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69E" w:rsidRDefault="00B3769E" w:rsidP="00306D1A">
      <w:pPr>
        <w:jc w:val="center"/>
        <w:rPr>
          <w:b/>
          <w:sz w:val="20"/>
          <w:szCs w:val="20"/>
        </w:rPr>
      </w:pPr>
      <w:bookmarkStart w:id="0" w:name="_GoBack"/>
      <w:bookmarkEnd w:id="0"/>
    </w:p>
    <w:p w:rsidR="009A3AB4" w:rsidRDefault="009A3AB4" w:rsidP="00306D1A">
      <w:pPr>
        <w:jc w:val="center"/>
        <w:rPr>
          <w:b/>
          <w:sz w:val="20"/>
          <w:szCs w:val="20"/>
        </w:rPr>
      </w:pPr>
    </w:p>
    <w:p w:rsidR="009751CB" w:rsidRPr="00AA7FB9" w:rsidRDefault="00AA7FB9" w:rsidP="00AA7FB9">
      <w:pPr>
        <w:shd w:val="clear" w:color="auto" w:fill="CCECFF"/>
        <w:rPr>
          <w:rFonts w:ascii="Cambria" w:hAnsi="Cambria"/>
          <w:b/>
          <w:color w:val="0070C0"/>
          <w:sz w:val="28"/>
          <w:szCs w:val="28"/>
        </w:rPr>
      </w:pPr>
      <w:r w:rsidRPr="00AA7FB9">
        <w:rPr>
          <w:rFonts w:ascii="Cambria" w:hAnsi="Cambria"/>
          <w:b/>
          <w:color w:val="0070C0"/>
          <w:sz w:val="28"/>
          <w:szCs w:val="28"/>
        </w:rPr>
        <w:t>Management Response</w:t>
      </w:r>
    </w:p>
    <w:p w:rsidR="00AA7FB9" w:rsidRPr="00AA7FB9" w:rsidRDefault="00AA7FB9" w:rsidP="00AA7FB9">
      <w:pPr>
        <w:shd w:val="clear" w:color="auto" w:fill="CCECFF"/>
        <w:rPr>
          <w:rFonts w:ascii="Cambria" w:hAnsi="Cambria"/>
          <w:b/>
          <w:color w:val="0070C0"/>
          <w:sz w:val="28"/>
          <w:szCs w:val="28"/>
        </w:rPr>
      </w:pPr>
    </w:p>
    <w:p w:rsidR="00AA7FB9" w:rsidRPr="00AA7FB9" w:rsidRDefault="00AA7FB9" w:rsidP="00AA7FB9">
      <w:pPr>
        <w:shd w:val="clear" w:color="auto" w:fill="CCECFF"/>
        <w:rPr>
          <w:rFonts w:ascii="Cambria" w:hAnsi="Cambria"/>
          <w:b/>
          <w:color w:val="0070C0"/>
          <w:sz w:val="28"/>
          <w:szCs w:val="28"/>
        </w:rPr>
      </w:pPr>
      <w:r w:rsidRPr="00AA7FB9">
        <w:rPr>
          <w:rFonts w:ascii="Cambria" w:hAnsi="Cambria"/>
          <w:b/>
          <w:color w:val="0070C0"/>
          <w:sz w:val="28"/>
          <w:szCs w:val="28"/>
        </w:rPr>
        <w:t xml:space="preserve">Independent Review of the Save the Children Vanuatu </w:t>
      </w:r>
    </w:p>
    <w:p w:rsidR="00AA7FB9" w:rsidRPr="00AA7FB9" w:rsidRDefault="00AA7FB9" w:rsidP="00AA7FB9">
      <w:pPr>
        <w:shd w:val="clear" w:color="auto" w:fill="CCECFF"/>
        <w:rPr>
          <w:rFonts w:ascii="Cambria" w:hAnsi="Cambria"/>
          <w:b/>
          <w:color w:val="0070C0"/>
          <w:sz w:val="28"/>
          <w:szCs w:val="28"/>
        </w:rPr>
      </w:pPr>
    </w:p>
    <w:p w:rsidR="00AA7FB9" w:rsidRPr="00AA7FB9" w:rsidRDefault="00AA7FB9" w:rsidP="00AA7FB9">
      <w:pPr>
        <w:shd w:val="clear" w:color="auto" w:fill="CCECFF"/>
        <w:rPr>
          <w:rFonts w:ascii="Cambria" w:hAnsi="Cambria"/>
          <w:b/>
          <w:color w:val="0070C0"/>
          <w:sz w:val="28"/>
          <w:szCs w:val="28"/>
        </w:rPr>
      </w:pPr>
      <w:r w:rsidRPr="00AA7FB9">
        <w:rPr>
          <w:rFonts w:ascii="Cambria" w:hAnsi="Cambria"/>
          <w:b/>
          <w:color w:val="0070C0"/>
          <w:sz w:val="28"/>
          <w:szCs w:val="28"/>
        </w:rPr>
        <w:t>Yumi Evriwan i Protektem Pikinini Tool and Community Pilots</w:t>
      </w:r>
    </w:p>
    <w:p w:rsidR="00AA7FB9" w:rsidRDefault="00AA7FB9" w:rsidP="00794FD8">
      <w:pPr>
        <w:jc w:val="both"/>
        <w:rPr>
          <w:rFonts w:ascii="Cambria" w:hAnsi="Cambria" w:cs="Calibri"/>
          <w:b/>
          <w:color w:val="0070C0"/>
        </w:rPr>
      </w:pPr>
    </w:p>
    <w:p w:rsidR="003468B0" w:rsidRDefault="00947508" w:rsidP="00794FD8">
      <w:pPr>
        <w:jc w:val="both"/>
        <w:rPr>
          <w:rFonts w:ascii="Cambria" w:hAnsi="Cambria" w:cs="Calibri"/>
          <w:b/>
          <w:color w:val="0070C0"/>
        </w:rPr>
      </w:pPr>
      <w:r w:rsidRPr="002344C8">
        <w:rPr>
          <w:rFonts w:ascii="Cambria" w:hAnsi="Cambria" w:cs="Calibri"/>
          <w:b/>
          <w:color w:val="0070C0"/>
        </w:rPr>
        <w:t>Evaluation</w:t>
      </w:r>
    </w:p>
    <w:p w:rsidR="007C74BD" w:rsidRDefault="007C74BD" w:rsidP="00794FD8">
      <w:pPr>
        <w:jc w:val="both"/>
        <w:rPr>
          <w:rFonts w:ascii="Cambria" w:hAnsi="Cambria" w:cs="Calibri"/>
          <w:b/>
          <w:color w:val="0070C0"/>
        </w:rPr>
      </w:pPr>
    </w:p>
    <w:p w:rsidR="007C74BD" w:rsidRPr="00AA7FB9" w:rsidRDefault="007C74BD" w:rsidP="00794FD8">
      <w:pPr>
        <w:jc w:val="both"/>
        <w:rPr>
          <w:rFonts w:ascii="Calibri" w:hAnsi="Calibri" w:cs="Calibri"/>
          <w:sz w:val="22"/>
          <w:szCs w:val="22"/>
        </w:rPr>
      </w:pPr>
      <w:r w:rsidRPr="00AA7FB9">
        <w:rPr>
          <w:rFonts w:ascii="Calibri" w:hAnsi="Calibri" w:cs="Calibri"/>
          <w:sz w:val="22"/>
          <w:szCs w:val="22"/>
        </w:rPr>
        <w:t>In 2013 Save the Children Vanuatu</w:t>
      </w:r>
      <w:r w:rsidR="003D2B80" w:rsidRPr="00AA7FB9">
        <w:rPr>
          <w:rFonts w:ascii="Calibri" w:hAnsi="Calibri" w:cs="Calibri"/>
          <w:sz w:val="22"/>
          <w:szCs w:val="22"/>
        </w:rPr>
        <w:t xml:space="preserve"> (SCV)</w:t>
      </w:r>
      <w:r w:rsidRPr="00AA7FB9">
        <w:rPr>
          <w:rFonts w:ascii="Calibri" w:hAnsi="Calibri" w:cs="Calibri"/>
          <w:sz w:val="22"/>
          <w:szCs w:val="22"/>
        </w:rPr>
        <w:t xml:space="preserve"> and the Australian Aid Program funded Stretem Rod Blong Jastis/Vanuatu Law and Justice Partnership (SRBJ) agreed to an evaluation of the Yumi Evriwan I Protektem Pikinini (YEPP) community engagement tool and community engagement pilots which SRBJ had been funding since July 2012.</w:t>
      </w:r>
    </w:p>
    <w:p w:rsidR="007C74BD" w:rsidRPr="00AA7FB9" w:rsidRDefault="007C74BD" w:rsidP="00794FD8">
      <w:pPr>
        <w:jc w:val="both"/>
        <w:rPr>
          <w:rFonts w:ascii="Calibri" w:hAnsi="Calibri" w:cs="Calibri"/>
          <w:sz w:val="22"/>
          <w:szCs w:val="22"/>
        </w:rPr>
      </w:pPr>
    </w:p>
    <w:p w:rsidR="007C74BD" w:rsidRPr="00AA7FB9" w:rsidRDefault="007C74BD" w:rsidP="00794FD8">
      <w:pPr>
        <w:jc w:val="both"/>
        <w:rPr>
          <w:rFonts w:ascii="Calibri" w:hAnsi="Calibri" w:cs="Calibri"/>
          <w:sz w:val="22"/>
          <w:szCs w:val="22"/>
        </w:rPr>
      </w:pPr>
      <w:r w:rsidRPr="00AA7FB9">
        <w:rPr>
          <w:rFonts w:ascii="Calibri" w:hAnsi="Calibri" w:cs="Calibri"/>
          <w:sz w:val="22"/>
          <w:szCs w:val="22"/>
        </w:rPr>
        <w:t>The overall purpose of the YEPP tool evaluation was to:</w:t>
      </w:r>
    </w:p>
    <w:p w:rsidR="007C74BD" w:rsidRPr="00AA7FB9" w:rsidRDefault="007C74BD" w:rsidP="00794FD8">
      <w:pPr>
        <w:jc w:val="both"/>
        <w:rPr>
          <w:rFonts w:ascii="Calibri" w:hAnsi="Calibri" w:cs="Calibri"/>
          <w:sz w:val="22"/>
          <w:szCs w:val="22"/>
        </w:rPr>
      </w:pPr>
    </w:p>
    <w:p w:rsidR="007C74BD" w:rsidRPr="00AA7FB9" w:rsidRDefault="007C74BD" w:rsidP="003D2B80">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Calibri"/>
          <w:szCs w:val="20"/>
        </w:rPr>
      </w:pPr>
      <w:r w:rsidRPr="00AA7FB9">
        <w:rPr>
          <w:rFonts w:cs="Calibri"/>
          <w:szCs w:val="20"/>
        </w:rPr>
        <w:t>Evaluate whether the YEPP tool is an appropriate tool for Vanuatu for:</w:t>
      </w:r>
    </w:p>
    <w:p w:rsidR="007C74BD" w:rsidRPr="00AA7FB9" w:rsidRDefault="007C74BD" w:rsidP="003D2B8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jc w:val="both"/>
        <w:rPr>
          <w:rFonts w:cs="Calibri"/>
          <w:szCs w:val="20"/>
        </w:rPr>
      </w:pPr>
    </w:p>
    <w:p w:rsidR="007C74BD" w:rsidRPr="00AA7FB9" w:rsidRDefault="007C74BD" w:rsidP="003D2B80">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Calibri"/>
          <w:szCs w:val="20"/>
        </w:rPr>
      </w:pPr>
      <w:r w:rsidRPr="00AA7FB9">
        <w:rPr>
          <w:rFonts w:cs="Calibri"/>
          <w:szCs w:val="20"/>
        </w:rPr>
        <w:t>Collecting data on child protection knowledge, attitude and practices;</w:t>
      </w:r>
    </w:p>
    <w:p w:rsidR="007C74BD" w:rsidRPr="00AA7FB9" w:rsidRDefault="007C74BD" w:rsidP="003D2B80">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Calibri"/>
          <w:szCs w:val="20"/>
        </w:rPr>
      </w:pPr>
      <w:r w:rsidRPr="00AA7FB9">
        <w:rPr>
          <w:rFonts w:cs="Calibri"/>
          <w:szCs w:val="20"/>
        </w:rPr>
        <w:t>Advancing education about child protection; and</w:t>
      </w:r>
    </w:p>
    <w:p w:rsidR="007C74BD" w:rsidRPr="00AA7FB9" w:rsidRDefault="007C74BD" w:rsidP="003D2B80">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Calibri"/>
          <w:szCs w:val="20"/>
        </w:rPr>
      </w:pPr>
      <w:r w:rsidRPr="00AA7FB9">
        <w:rPr>
          <w:rFonts w:cs="Calibri"/>
          <w:szCs w:val="20"/>
        </w:rPr>
        <w:t>Strategizing community responses to child protection.</w:t>
      </w:r>
    </w:p>
    <w:p w:rsidR="007C74BD" w:rsidRPr="00AA7FB9" w:rsidRDefault="007C74BD" w:rsidP="003D2B8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20"/>
        <w:jc w:val="both"/>
        <w:rPr>
          <w:rFonts w:cs="Calibri"/>
          <w:szCs w:val="20"/>
        </w:rPr>
      </w:pPr>
    </w:p>
    <w:p w:rsidR="007C74BD" w:rsidRPr="00AA7FB9" w:rsidRDefault="007C74BD" w:rsidP="003D2B80">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74" w:hanging="574"/>
        <w:jc w:val="both"/>
        <w:rPr>
          <w:rFonts w:cs="Calibri"/>
          <w:szCs w:val="20"/>
        </w:rPr>
      </w:pPr>
      <w:r w:rsidRPr="00AA7FB9">
        <w:rPr>
          <w:rFonts w:cs="Calibri"/>
          <w:szCs w:val="20"/>
        </w:rPr>
        <w:t>Evaluate the strengths and weaknesses of the implementation of the YEPP tool including ongoing adaptation.</w:t>
      </w:r>
    </w:p>
    <w:p w:rsidR="007C74BD" w:rsidRPr="00AA7FB9" w:rsidRDefault="007C74BD" w:rsidP="003D2B8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jc w:val="both"/>
        <w:rPr>
          <w:rFonts w:cs="Calibri"/>
          <w:szCs w:val="20"/>
        </w:rPr>
      </w:pPr>
    </w:p>
    <w:p w:rsidR="007C74BD" w:rsidRPr="00AA7FB9" w:rsidRDefault="007C74BD" w:rsidP="003D2B80">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567"/>
        <w:jc w:val="both"/>
        <w:rPr>
          <w:rFonts w:cs="Calibri"/>
          <w:szCs w:val="20"/>
        </w:rPr>
      </w:pPr>
      <w:r w:rsidRPr="00AA7FB9">
        <w:rPr>
          <w:rFonts w:cs="Calibri"/>
          <w:szCs w:val="20"/>
        </w:rPr>
        <w:t>Suggest improvements to the YEPP tool that will feed into the broader Child Protection Program design and strengthen the tool for future use.</w:t>
      </w:r>
    </w:p>
    <w:p w:rsidR="007C74BD" w:rsidRPr="00AA7FB9" w:rsidRDefault="007C74BD" w:rsidP="003D2B80">
      <w:pPr>
        <w:jc w:val="both"/>
        <w:rPr>
          <w:rFonts w:ascii="Calibri" w:hAnsi="Calibri" w:cs="Calibri"/>
          <w:sz w:val="22"/>
          <w:szCs w:val="22"/>
        </w:rPr>
      </w:pPr>
    </w:p>
    <w:p w:rsidR="007C74BD" w:rsidRPr="00AA7FB9" w:rsidRDefault="007C74BD" w:rsidP="007C74BD">
      <w:pPr>
        <w:jc w:val="both"/>
        <w:rPr>
          <w:rFonts w:ascii="Calibri" w:hAnsi="Calibri" w:cs="Calibri"/>
          <w:sz w:val="22"/>
          <w:szCs w:val="22"/>
        </w:rPr>
      </w:pPr>
      <w:r w:rsidRPr="00AA7FB9">
        <w:rPr>
          <w:rFonts w:ascii="Calibri" w:hAnsi="Calibri" w:cs="Calibri"/>
          <w:sz w:val="22"/>
          <w:szCs w:val="22"/>
        </w:rPr>
        <w:t>The lessons learned from the independent evaluation should be used to inform any</w:t>
      </w:r>
      <w:r w:rsidR="002E03B9">
        <w:rPr>
          <w:rFonts w:ascii="Calibri" w:hAnsi="Calibri" w:cs="Calibri"/>
          <w:sz w:val="22"/>
          <w:szCs w:val="22"/>
        </w:rPr>
        <w:t xml:space="preserve"> future community based child protection programming in Vanuatu.</w:t>
      </w:r>
    </w:p>
    <w:p w:rsidR="00947508" w:rsidRDefault="00947508" w:rsidP="00794FD8">
      <w:pPr>
        <w:jc w:val="both"/>
        <w:rPr>
          <w:rFonts w:ascii="Calibri" w:hAnsi="Calibri" w:cs="Calibri"/>
          <w:sz w:val="22"/>
          <w:szCs w:val="22"/>
        </w:rPr>
      </w:pPr>
    </w:p>
    <w:p w:rsidR="00947508" w:rsidRDefault="00947508" w:rsidP="00794FD8">
      <w:pPr>
        <w:jc w:val="both"/>
        <w:rPr>
          <w:rFonts w:ascii="Cambria" w:hAnsi="Cambria" w:cs="Calibri"/>
          <w:b/>
          <w:color w:val="0070C0"/>
        </w:rPr>
      </w:pPr>
      <w:r w:rsidRPr="002344C8">
        <w:rPr>
          <w:rFonts w:ascii="Cambria" w:hAnsi="Cambria" w:cs="Calibri"/>
          <w:b/>
          <w:color w:val="0070C0"/>
        </w:rPr>
        <w:t xml:space="preserve">Key </w:t>
      </w:r>
      <w:r w:rsidR="000F4585">
        <w:rPr>
          <w:rFonts w:ascii="Cambria" w:hAnsi="Cambria" w:cs="Calibri"/>
          <w:b/>
          <w:color w:val="0070C0"/>
        </w:rPr>
        <w:t>strengths</w:t>
      </w:r>
      <w:r w:rsidRPr="002344C8">
        <w:rPr>
          <w:rFonts w:ascii="Cambria" w:hAnsi="Cambria" w:cs="Calibri"/>
          <w:b/>
          <w:color w:val="0070C0"/>
        </w:rPr>
        <w:t xml:space="preserve"> noted by the evaluation</w:t>
      </w:r>
    </w:p>
    <w:p w:rsidR="00AA7FB9" w:rsidRDefault="00AA7FB9" w:rsidP="00794FD8">
      <w:pPr>
        <w:jc w:val="both"/>
        <w:rPr>
          <w:rFonts w:ascii="Cambria" w:hAnsi="Cambria" w:cs="Calibri"/>
          <w:b/>
          <w:color w:val="0070C0"/>
        </w:rPr>
      </w:pPr>
    </w:p>
    <w:p w:rsidR="002E03B9" w:rsidRPr="00184154" w:rsidRDefault="002E03B9" w:rsidP="002E03B9">
      <w:pPr>
        <w:shd w:val="clear" w:color="auto" w:fill="CCECFF"/>
        <w:jc w:val="both"/>
        <w:rPr>
          <w:rFonts w:ascii="Calibri" w:hAnsi="Calibri" w:cs="Calibri"/>
          <w:b/>
          <w:sz w:val="22"/>
          <w:szCs w:val="22"/>
        </w:rPr>
      </w:pPr>
      <w:r w:rsidRPr="00184154">
        <w:rPr>
          <w:rFonts w:ascii="Calibri" w:hAnsi="Calibri" w:cs="Calibri"/>
          <w:b/>
          <w:sz w:val="22"/>
          <w:szCs w:val="22"/>
        </w:rPr>
        <w:t>Key strengths noted in the review:</w:t>
      </w:r>
    </w:p>
    <w:p w:rsidR="002E03B9" w:rsidRPr="002E03B9" w:rsidRDefault="002E03B9" w:rsidP="002E03B9">
      <w:pPr>
        <w:shd w:val="clear" w:color="auto" w:fill="CCECFF"/>
        <w:jc w:val="both"/>
        <w:rPr>
          <w:rFonts w:ascii="Calibri" w:hAnsi="Calibri" w:cs="Calibri"/>
          <w:sz w:val="22"/>
          <w:szCs w:val="22"/>
        </w:rPr>
      </w:pPr>
    </w:p>
    <w:p w:rsidR="002E03B9" w:rsidRPr="002E03B9" w:rsidRDefault="002E03B9" w:rsidP="002E03B9">
      <w:pPr>
        <w:numPr>
          <w:ilvl w:val="0"/>
          <w:numId w:val="25"/>
        </w:numPr>
        <w:shd w:val="clear" w:color="auto" w:fill="CCECFF"/>
        <w:jc w:val="both"/>
        <w:rPr>
          <w:rFonts w:ascii="Calibri" w:hAnsi="Calibri" w:cs="Calibri"/>
          <w:sz w:val="22"/>
          <w:szCs w:val="22"/>
        </w:rPr>
      </w:pPr>
      <w:r w:rsidRPr="002E03B9">
        <w:rPr>
          <w:rFonts w:ascii="Calibri" w:hAnsi="Calibri" w:cs="Calibri"/>
          <w:bCs/>
          <w:color w:val="000000"/>
          <w:sz w:val="22"/>
          <w:szCs w:val="22"/>
        </w:rPr>
        <w:t>The talent, experience and insight of the local SCV staff who were able to provide very nuanced facilitation of sensitive and complex topics was identified consistently and unanimously by all stakeholders.</w:t>
      </w:r>
    </w:p>
    <w:p w:rsidR="002E03B9" w:rsidRPr="002E03B9" w:rsidRDefault="002E03B9" w:rsidP="002E03B9">
      <w:pPr>
        <w:numPr>
          <w:ilvl w:val="0"/>
          <w:numId w:val="25"/>
        </w:numPr>
        <w:shd w:val="clear" w:color="auto" w:fill="CCECFF"/>
        <w:jc w:val="both"/>
        <w:rPr>
          <w:rFonts w:ascii="Calibri" w:hAnsi="Calibri" w:cs="Calibri"/>
          <w:sz w:val="22"/>
          <w:szCs w:val="22"/>
        </w:rPr>
      </w:pPr>
      <w:r w:rsidRPr="002E03B9">
        <w:rPr>
          <w:rFonts w:ascii="Calibri" w:hAnsi="Calibri" w:cs="Calibri"/>
          <w:sz w:val="22"/>
          <w:szCs w:val="22"/>
        </w:rPr>
        <w:t>General positive feedback by communities about YEPP training sessions indicating an appetite for support in this area.</w:t>
      </w:r>
    </w:p>
    <w:p w:rsidR="002E03B9" w:rsidRPr="002E03B9" w:rsidRDefault="002E03B9" w:rsidP="002E03B9">
      <w:pPr>
        <w:numPr>
          <w:ilvl w:val="0"/>
          <w:numId w:val="25"/>
        </w:numPr>
        <w:shd w:val="clear" w:color="auto" w:fill="CCECFF"/>
        <w:jc w:val="both"/>
        <w:rPr>
          <w:rFonts w:ascii="Calibri" w:hAnsi="Calibri" w:cs="Calibri"/>
          <w:sz w:val="22"/>
          <w:szCs w:val="22"/>
        </w:rPr>
      </w:pPr>
      <w:r w:rsidRPr="002E03B9">
        <w:rPr>
          <w:rFonts w:ascii="Calibri" w:hAnsi="Calibri" w:cs="Calibri"/>
          <w:sz w:val="22"/>
          <w:szCs w:val="22"/>
        </w:rPr>
        <w:t>The YEPP tool sessions did provide opportunities for information sharing and awareness raising.</w:t>
      </w:r>
      <w:r w:rsidRPr="002E03B9">
        <w:rPr>
          <w:rFonts w:cs="Helvetica Neue"/>
          <w:bCs/>
          <w:color w:val="000000"/>
          <w:sz w:val="22"/>
          <w:szCs w:val="22"/>
        </w:rPr>
        <w:t xml:space="preserve"> </w:t>
      </w:r>
      <w:r w:rsidRPr="002E03B9">
        <w:rPr>
          <w:rFonts w:ascii="Calibri" w:hAnsi="Calibri" w:cs="Calibri"/>
          <w:bCs/>
          <w:color w:val="000000"/>
          <w:sz w:val="22"/>
          <w:szCs w:val="22"/>
        </w:rPr>
        <w:t>As well, several responses about the purpose of the YEPP tool illustrated the fact that a substantial number of the community members who participated in the review were able to talk about child protection in fairly consistently knowledgeable, complex and insightful ways. In a significant number of communities, people also cited the rights of children in a positive and supportive way in their responses</w:t>
      </w:r>
    </w:p>
    <w:p w:rsidR="002E03B9" w:rsidRPr="002E03B9" w:rsidRDefault="002E03B9" w:rsidP="002E03B9">
      <w:pPr>
        <w:numPr>
          <w:ilvl w:val="0"/>
          <w:numId w:val="25"/>
        </w:numPr>
        <w:shd w:val="clear" w:color="auto" w:fill="CCECFF"/>
        <w:jc w:val="both"/>
        <w:rPr>
          <w:rFonts w:ascii="Calibri" w:hAnsi="Calibri" w:cs="Calibri"/>
          <w:sz w:val="22"/>
          <w:szCs w:val="22"/>
        </w:rPr>
      </w:pPr>
      <w:r w:rsidRPr="002E03B9">
        <w:rPr>
          <w:rFonts w:ascii="Calibri" w:hAnsi="Calibri" w:cs="Calibri"/>
          <w:sz w:val="22"/>
          <w:szCs w:val="22"/>
        </w:rPr>
        <w:t>Simple, accessible tools in Bislama and/or local language were seen as helpful</w:t>
      </w:r>
    </w:p>
    <w:p w:rsidR="002E03B9" w:rsidRPr="002E03B9" w:rsidRDefault="002E03B9" w:rsidP="002E03B9">
      <w:pPr>
        <w:numPr>
          <w:ilvl w:val="0"/>
          <w:numId w:val="25"/>
        </w:numPr>
        <w:shd w:val="clear" w:color="auto" w:fill="CCECFF"/>
        <w:jc w:val="both"/>
        <w:rPr>
          <w:sz w:val="22"/>
          <w:szCs w:val="22"/>
        </w:rPr>
      </w:pPr>
      <w:r w:rsidRPr="002E03B9">
        <w:rPr>
          <w:rFonts w:ascii="Calibri" w:hAnsi="Calibri" w:cs="Calibri"/>
          <w:sz w:val="22"/>
          <w:szCs w:val="22"/>
        </w:rPr>
        <w:t>The skill of a number of local YEPP facilitators was noted.</w:t>
      </w:r>
    </w:p>
    <w:p w:rsidR="002E03B9" w:rsidRDefault="002E03B9" w:rsidP="00794FD8">
      <w:pPr>
        <w:jc w:val="both"/>
        <w:rPr>
          <w:rFonts w:ascii="Calibri" w:hAnsi="Calibri" w:cs="Calibri"/>
          <w:sz w:val="22"/>
          <w:szCs w:val="22"/>
        </w:rPr>
      </w:pPr>
    </w:p>
    <w:p w:rsidR="00AA7FB9" w:rsidRDefault="00AA7FB9" w:rsidP="00794FD8">
      <w:pPr>
        <w:jc w:val="both"/>
        <w:rPr>
          <w:rFonts w:ascii="Calibri" w:hAnsi="Calibri" w:cs="Calibri"/>
          <w:sz w:val="22"/>
          <w:szCs w:val="22"/>
        </w:rPr>
      </w:pPr>
      <w:r w:rsidRPr="00AA7FB9">
        <w:rPr>
          <w:rFonts w:ascii="Calibri" w:hAnsi="Calibri" w:cs="Calibri"/>
          <w:sz w:val="22"/>
          <w:szCs w:val="22"/>
        </w:rPr>
        <w:lastRenderedPageBreak/>
        <w:t>The Save the Children Vanuatu YEPP tool and community engagement pilots were essentially</w:t>
      </w:r>
      <w:r w:rsidR="00D820EA">
        <w:rPr>
          <w:rFonts w:ascii="Calibri" w:hAnsi="Calibri" w:cs="Calibri"/>
          <w:sz w:val="22"/>
          <w:szCs w:val="22"/>
        </w:rPr>
        <w:t xml:space="preserve"> intended to pilot an approach for participatory community planning around child protections issues; support the use of community based protection systems within communities; gather simple and transparent child focused baseline data; strengthen child protection practice at community level and contribute to area, provincial and national planning and policy development.</w:t>
      </w:r>
    </w:p>
    <w:p w:rsidR="00D820EA" w:rsidRDefault="00D820EA" w:rsidP="00794FD8">
      <w:pPr>
        <w:jc w:val="both"/>
        <w:rPr>
          <w:rFonts w:ascii="Calibri" w:hAnsi="Calibri" w:cs="Calibri"/>
          <w:sz w:val="22"/>
          <w:szCs w:val="22"/>
        </w:rPr>
      </w:pPr>
    </w:p>
    <w:p w:rsidR="00D820EA" w:rsidRDefault="00D820EA" w:rsidP="00794FD8">
      <w:pPr>
        <w:jc w:val="both"/>
        <w:rPr>
          <w:rFonts w:ascii="Calibri" w:hAnsi="Calibri" w:cs="Calibri"/>
          <w:sz w:val="22"/>
          <w:szCs w:val="22"/>
        </w:rPr>
      </w:pPr>
      <w:r>
        <w:rPr>
          <w:rFonts w:ascii="Calibri" w:hAnsi="Calibri" w:cs="Calibri"/>
          <w:sz w:val="22"/>
          <w:szCs w:val="22"/>
        </w:rPr>
        <w:t>The program was built on previous mapping conducted by a UNICEF contracted technical adviser, Michael Copeland and was intended to integrate with the Government of Vanuatu, UNICEF funded community pilots. SRBJ provided funding for the entire SCV Child Protection Program to the value of VUV 55,000,000 between 2012 and the end of 2013 being the period under review.</w:t>
      </w:r>
    </w:p>
    <w:p w:rsidR="00D820EA" w:rsidRDefault="00D820EA" w:rsidP="00794FD8">
      <w:pPr>
        <w:jc w:val="both"/>
        <w:rPr>
          <w:rFonts w:ascii="Calibri" w:hAnsi="Calibri" w:cs="Calibri"/>
          <w:sz w:val="22"/>
          <w:szCs w:val="22"/>
        </w:rPr>
      </w:pPr>
    </w:p>
    <w:p w:rsidR="00D820EA" w:rsidRDefault="00D820EA" w:rsidP="00794FD8">
      <w:pPr>
        <w:jc w:val="both"/>
        <w:rPr>
          <w:rFonts w:ascii="Calibri" w:hAnsi="Calibri" w:cs="Calibri"/>
          <w:sz w:val="22"/>
          <w:szCs w:val="22"/>
        </w:rPr>
      </w:pPr>
      <w:r>
        <w:rPr>
          <w:rFonts w:ascii="Calibri" w:hAnsi="Calibri" w:cs="Calibri"/>
          <w:sz w:val="22"/>
          <w:szCs w:val="22"/>
        </w:rPr>
        <w:t xml:space="preserve">The evaluation made several recommendations </w:t>
      </w:r>
      <w:r w:rsidR="002E03B9">
        <w:rPr>
          <w:rFonts w:ascii="Calibri" w:hAnsi="Calibri" w:cs="Calibri"/>
          <w:sz w:val="22"/>
          <w:szCs w:val="22"/>
        </w:rPr>
        <w:t>for</w:t>
      </w:r>
      <w:r>
        <w:rPr>
          <w:rFonts w:ascii="Calibri" w:hAnsi="Calibri" w:cs="Calibri"/>
          <w:sz w:val="22"/>
          <w:szCs w:val="22"/>
        </w:rPr>
        <w:t xml:space="preserve"> strengthening SCV’s approach to community engagement i</w:t>
      </w:r>
      <w:r w:rsidR="002E03B9">
        <w:rPr>
          <w:rFonts w:ascii="Calibri" w:hAnsi="Calibri" w:cs="Calibri"/>
          <w:sz w:val="22"/>
          <w:szCs w:val="22"/>
        </w:rPr>
        <w:t>n the arena of child protection. The evaluation, in particular, questioned the appropriateness of the tool’s fundamental approach to child protection; the relevance and appropriateness of using a train the trainers approach in this context; and the lack of effectiveness of the tool and pilots to deliver on its original objectives.</w:t>
      </w:r>
    </w:p>
    <w:p w:rsidR="002E03B9" w:rsidRDefault="002E03B9" w:rsidP="00794FD8">
      <w:pPr>
        <w:jc w:val="both"/>
        <w:rPr>
          <w:rFonts w:ascii="Calibri" w:hAnsi="Calibri" w:cs="Calibri"/>
          <w:sz w:val="22"/>
          <w:szCs w:val="22"/>
        </w:rPr>
      </w:pPr>
    </w:p>
    <w:p w:rsidR="00947508" w:rsidRDefault="00947508" w:rsidP="00794FD8">
      <w:pPr>
        <w:jc w:val="both"/>
        <w:rPr>
          <w:rFonts w:ascii="Cambria" w:hAnsi="Cambria" w:cs="Calibri"/>
          <w:b/>
          <w:color w:val="0070C0"/>
        </w:rPr>
      </w:pPr>
      <w:r w:rsidRPr="002344C8">
        <w:rPr>
          <w:rFonts w:ascii="Cambria" w:hAnsi="Cambria" w:cs="Calibri"/>
          <w:b/>
          <w:color w:val="0070C0"/>
        </w:rPr>
        <w:t>Recommendations and SRBJ response</w:t>
      </w:r>
    </w:p>
    <w:p w:rsidR="00AA7FB9" w:rsidRPr="002344C8" w:rsidRDefault="00AA7FB9" w:rsidP="00794FD8">
      <w:pPr>
        <w:jc w:val="both"/>
        <w:rPr>
          <w:rFonts w:ascii="Cambria" w:hAnsi="Cambria" w:cs="Calibri"/>
          <w:b/>
          <w:color w:val="0070C0"/>
        </w:rPr>
      </w:pPr>
    </w:p>
    <w:tbl>
      <w:tblPr>
        <w:tblW w:w="10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77"/>
        <w:gridCol w:w="5472"/>
      </w:tblGrid>
      <w:tr w:rsidR="00B9783F" w:rsidRPr="00184154" w:rsidTr="00184154">
        <w:tc>
          <w:tcPr>
            <w:tcW w:w="817" w:type="dxa"/>
            <w:shd w:val="clear" w:color="auto" w:fill="CCECFF"/>
          </w:tcPr>
          <w:p w:rsidR="002E03B9" w:rsidRPr="00184154" w:rsidRDefault="002E03B9" w:rsidP="00184154">
            <w:pPr>
              <w:numPr>
                <w:ilvl w:val="0"/>
                <w:numId w:val="26"/>
              </w:numPr>
              <w:rPr>
                <w:rFonts w:ascii="Calibri" w:hAnsi="Calibri" w:cs="Calibri"/>
                <w:sz w:val="20"/>
                <w:szCs w:val="20"/>
              </w:rPr>
            </w:pPr>
          </w:p>
        </w:tc>
        <w:tc>
          <w:tcPr>
            <w:tcW w:w="4677" w:type="dxa"/>
            <w:shd w:val="clear" w:color="auto" w:fill="CCECFF"/>
          </w:tcPr>
          <w:p w:rsidR="002E03B9" w:rsidRPr="00184154" w:rsidRDefault="002E03B9" w:rsidP="00184154">
            <w:pPr>
              <w:jc w:val="both"/>
              <w:rPr>
                <w:rFonts w:ascii="Calibri" w:hAnsi="Calibri" w:cs="Calibri"/>
                <w:b/>
                <w:sz w:val="22"/>
                <w:szCs w:val="22"/>
              </w:rPr>
            </w:pPr>
            <w:r w:rsidRPr="00184154">
              <w:rPr>
                <w:rFonts w:ascii="Calibri" w:hAnsi="Calibri" w:cs="Calibri"/>
                <w:b/>
                <w:sz w:val="22"/>
                <w:szCs w:val="22"/>
              </w:rPr>
              <w:t>Review recommendations</w:t>
            </w:r>
          </w:p>
        </w:tc>
        <w:tc>
          <w:tcPr>
            <w:tcW w:w="5472" w:type="dxa"/>
            <w:shd w:val="clear" w:color="auto" w:fill="CCECFF"/>
          </w:tcPr>
          <w:p w:rsidR="002E03B9" w:rsidRPr="00184154" w:rsidRDefault="002E03B9" w:rsidP="00184154">
            <w:pPr>
              <w:jc w:val="both"/>
              <w:rPr>
                <w:rFonts w:ascii="Calibri" w:hAnsi="Calibri" w:cs="Calibri"/>
                <w:b/>
                <w:sz w:val="22"/>
                <w:szCs w:val="22"/>
              </w:rPr>
            </w:pPr>
            <w:r w:rsidRPr="00184154">
              <w:rPr>
                <w:rFonts w:ascii="Calibri" w:hAnsi="Calibri" w:cs="Calibri"/>
                <w:b/>
                <w:sz w:val="22"/>
                <w:szCs w:val="22"/>
              </w:rPr>
              <w:t>SRBJ response</w:t>
            </w:r>
          </w:p>
        </w:tc>
      </w:tr>
      <w:tr w:rsidR="00B9783F" w:rsidRPr="00184154" w:rsidTr="00184154">
        <w:tc>
          <w:tcPr>
            <w:tcW w:w="817" w:type="dxa"/>
            <w:shd w:val="clear" w:color="auto" w:fill="CCECFF"/>
          </w:tcPr>
          <w:p w:rsidR="002E03B9" w:rsidRPr="00184154" w:rsidRDefault="002E03B9" w:rsidP="00184154">
            <w:pPr>
              <w:numPr>
                <w:ilvl w:val="0"/>
                <w:numId w:val="26"/>
              </w:numPr>
              <w:rPr>
                <w:rFonts w:ascii="Calibri" w:hAnsi="Calibri" w:cs="Calibri"/>
                <w:sz w:val="20"/>
                <w:szCs w:val="20"/>
              </w:rPr>
            </w:pPr>
          </w:p>
        </w:tc>
        <w:tc>
          <w:tcPr>
            <w:tcW w:w="4677" w:type="dxa"/>
            <w:shd w:val="clear" w:color="auto" w:fill="auto"/>
          </w:tcPr>
          <w:p w:rsidR="002E03B9" w:rsidRPr="00184154" w:rsidRDefault="00184154" w:rsidP="00184154">
            <w:pPr>
              <w:jc w:val="both"/>
              <w:rPr>
                <w:rFonts w:ascii="Calibri" w:hAnsi="Calibri" w:cs="Calibri"/>
                <w:sz w:val="22"/>
                <w:szCs w:val="22"/>
              </w:rPr>
            </w:pPr>
            <w:r w:rsidRPr="00184154">
              <w:rPr>
                <w:rFonts w:ascii="Calibri" w:hAnsi="Calibri" w:cs="Calibri"/>
                <w:sz w:val="22"/>
                <w:szCs w:val="22"/>
              </w:rPr>
              <w:t>SCV should not continue to use the YEPP tool in its current form</w:t>
            </w:r>
          </w:p>
        </w:tc>
        <w:tc>
          <w:tcPr>
            <w:tcW w:w="5472" w:type="dxa"/>
            <w:shd w:val="clear" w:color="auto" w:fill="auto"/>
          </w:tcPr>
          <w:p w:rsidR="002E03B9" w:rsidRPr="00184154" w:rsidRDefault="00184154" w:rsidP="00184154">
            <w:pPr>
              <w:jc w:val="both"/>
              <w:rPr>
                <w:rFonts w:ascii="Calibri" w:hAnsi="Calibri" w:cs="Calibri"/>
                <w:sz w:val="22"/>
                <w:szCs w:val="22"/>
              </w:rPr>
            </w:pPr>
            <w:r w:rsidRPr="00184154">
              <w:rPr>
                <w:rFonts w:ascii="Calibri" w:hAnsi="Calibri" w:cs="Calibri"/>
                <w:sz w:val="22"/>
                <w:szCs w:val="22"/>
              </w:rPr>
              <w:t>Agreed (all YEPP associated work has been ceased with agreement of SCV)</w:t>
            </w:r>
          </w:p>
        </w:tc>
      </w:tr>
      <w:tr w:rsidR="00B9783F" w:rsidRPr="00184154" w:rsidTr="00184154">
        <w:tc>
          <w:tcPr>
            <w:tcW w:w="817" w:type="dxa"/>
            <w:shd w:val="clear" w:color="auto" w:fill="CCECFF"/>
          </w:tcPr>
          <w:p w:rsidR="002E03B9" w:rsidRPr="00184154" w:rsidRDefault="002E03B9" w:rsidP="00184154">
            <w:pPr>
              <w:numPr>
                <w:ilvl w:val="0"/>
                <w:numId w:val="26"/>
              </w:numPr>
              <w:rPr>
                <w:rFonts w:ascii="Calibri" w:hAnsi="Calibri" w:cs="Calibri"/>
                <w:sz w:val="20"/>
                <w:szCs w:val="20"/>
              </w:rPr>
            </w:pPr>
          </w:p>
        </w:tc>
        <w:tc>
          <w:tcPr>
            <w:tcW w:w="4677" w:type="dxa"/>
            <w:shd w:val="clear" w:color="auto" w:fill="auto"/>
          </w:tcPr>
          <w:p w:rsidR="002E03B9" w:rsidRPr="00184154" w:rsidRDefault="00184154" w:rsidP="00184154">
            <w:pPr>
              <w:jc w:val="both"/>
              <w:rPr>
                <w:rFonts w:ascii="Calibri" w:hAnsi="Calibri" w:cs="Calibri"/>
                <w:sz w:val="22"/>
                <w:szCs w:val="22"/>
              </w:rPr>
            </w:pPr>
            <w:r w:rsidRPr="00184154">
              <w:rPr>
                <w:rFonts w:ascii="Calibri" w:hAnsi="Calibri" w:cs="Calibri"/>
                <w:sz w:val="22"/>
                <w:szCs w:val="22"/>
              </w:rPr>
              <w:t>SCV should engage in an assessment of its broader child protection toolkit and seek a new way forward</w:t>
            </w:r>
          </w:p>
        </w:tc>
        <w:tc>
          <w:tcPr>
            <w:tcW w:w="5472" w:type="dxa"/>
            <w:shd w:val="clear" w:color="auto" w:fill="auto"/>
          </w:tcPr>
          <w:p w:rsidR="002E03B9" w:rsidRPr="00184154" w:rsidRDefault="00184154" w:rsidP="00184154">
            <w:pPr>
              <w:jc w:val="both"/>
              <w:rPr>
                <w:rFonts w:ascii="Calibri" w:hAnsi="Calibri" w:cs="Calibri"/>
                <w:sz w:val="22"/>
                <w:szCs w:val="22"/>
              </w:rPr>
            </w:pPr>
            <w:r w:rsidRPr="00184154">
              <w:rPr>
                <w:rFonts w:ascii="Calibri" w:hAnsi="Calibri" w:cs="Calibri"/>
                <w:sz w:val="22"/>
                <w:szCs w:val="22"/>
              </w:rPr>
              <w:t xml:space="preserve">Agreed </w:t>
            </w:r>
          </w:p>
        </w:tc>
      </w:tr>
      <w:tr w:rsidR="00B9783F" w:rsidRPr="00184154" w:rsidTr="00184154">
        <w:tc>
          <w:tcPr>
            <w:tcW w:w="817" w:type="dxa"/>
            <w:shd w:val="clear" w:color="auto" w:fill="CCECFF"/>
          </w:tcPr>
          <w:p w:rsidR="002E03B9" w:rsidRPr="00184154" w:rsidRDefault="002E03B9" w:rsidP="00184154">
            <w:pPr>
              <w:numPr>
                <w:ilvl w:val="0"/>
                <w:numId w:val="26"/>
              </w:numPr>
              <w:rPr>
                <w:rFonts w:ascii="Calibri" w:hAnsi="Calibri" w:cs="Calibri"/>
                <w:sz w:val="20"/>
                <w:szCs w:val="20"/>
              </w:rPr>
            </w:pPr>
          </w:p>
        </w:tc>
        <w:tc>
          <w:tcPr>
            <w:tcW w:w="4677" w:type="dxa"/>
            <w:shd w:val="clear" w:color="auto" w:fill="auto"/>
          </w:tcPr>
          <w:p w:rsidR="002E03B9" w:rsidRPr="00184154" w:rsidRDefault="00184154" w:rsidP="00184154">
            <w:pPr>
              <w:jc w:val="both"/>
              <w:rPr>
                <w:rFonts w:ascii="Calibri" w:hAnsi="Calibri" w:cs="Calibri"/>
                <w:sz w:val="22"/>
                <w:szCs w:val="22"/>
              </w:rPr>
            </w:pPr>
            <w:r w:rsidRPr="00184154">
              <w:rPr>
                <w:rFonts w:ascii="Calibri" w:hAnsi="Calibri" w:cs="Calibri"/>
                <w:sz w:val="22"/>
                <w:szCs w:val="22"/>
              </w:rPr>
              <w:t>SCV’s approach to community engagement should be redesigned</w:t>
            </w:r>
          </w:p>
        </w:tc>
        <w:tc>
          <w:tcPr>
            <w:tcW w:w="5472" w:type="dxa"/>
            <w:shd w:val="clear" w:color="auto" w:fill="auto"/>
          </w:tcPr>
          <w:p w:rsidR="002E03B9" w:rsidRPr="00184154" w:rsidRDefault="00184154" w:rsidP="00184154">
            <w:pPr>
              <w:jc w:val="both"/>
              <w:rPr>
                <w:rFonts w:ascii="Calibri" w:hAnsi="Calibri" w:cs="Calibri"/>
                <w:sz w:val="22"/>
                <w:szCs w:val="22"/>
              </w:rPr>
            </w:pPr>
            <w:r w:rsidRPr="00184154">
              <w:rPr>
                <w:rFonts w:ascii="Calibri" w:hAnsi="Calibri" w:cs="Calibri"/>
                <w:sz w:val="22"/>
                <w:szCs w:val="22"/>
              </w:rPr>
              <w:t>Agreed</w:t>
            </w:r>
          </w:p>
        </w:tc>
      </w:tr>
    </w:tbl>
    <w:p w:rsidR="00947508" w:rsidRDefault="00947508" w:rsidP="00794FD8">
      <w:pPr>
        <w:jc w:val="both"/>
        <w:rPr>
          <w:rFonts w:ascii="Calibri" w:hAnsi="Calibri" w:cs="Calibri"/>
          <w:sz w:val="22"/>
          <w:szCs w:val="22"/>
        </w:rPr>
      </w:pPr>
    </w:p>
    <w:p w:rsidR="00947508" w:rsidRDefault="00947508" w:rsidP="00794FD8">
      <w:pPr>
        <w:jc w:val="both"/>
        <w:rPr>
          <w:rFonts w:ascii="Cambria" w:hAnsi="Cambria" w:cs="Calibri"/>
          <w:b/>
          <w:color w:val="0070C0"/>
        </w:rPr>
      </w:pPr>
      <w:r w:rsidRPr="002344C8">
        <w:rPr>
          <w:rFonts w:ascii="Cambria" w:hAnsi="Cambria" w:cs="Calibri"/>
          <w:b/>
          <w:color w:val="0070C0"/>
        </w:rPr>
        <w:t>Lessons identified with implications for future programmatic direction.</w:t>
      </w:r>
    </w:p>
    <w:p w:rsidR="00184154" w:rsidRDefault="00184154" w:rsidP="00794FD8">
      <w:pPr>
        <w:jc w:val="both"/>
        <w:rPr>
          <w:rFonts w:ascii="Cambria" w:hAnsi="Cambria" w:cs="Calibri"/>
          <w:b/>
          <w:color w:val="0070C0"/>
        </w:rPr>
      </w:pPr>
    </w:p>
    <w:p w:rsidR="001126E9" w:rsidRDefault="00184154" w:rsidP="00794FD8">
      <w:pPr>
        <w:jc w:val="both"/>
        <w:rPr>
          <w:rFonts w:ascii="Calibri" w:hAnsi="Calibri" w:cs="Calibri"/>
          <w:sz w:val="22"/>
          <w:szCs w:val="22"/>
        </w:rPr>
      </w:pPr>
      <w:r w:rsidRPr="00184154">
        <w:rPr>
          <w:rFonts w:ascii="Calibri" w:hAnsi="Calibri" w:cs="Calibri"/>
          <w:sz w:val="22"/>
          <w:szCs w:val="22"/>
        </w:rPr>
        <w:t>The lessons derived from the independent review of the SCV YEPP community engagement work were intended by the reviewer primarily for use by SCV, SRBJ and the Australian Aid Program but also as appropriate by national stakeholders</w:t>
      </w:r>
      <w:r w:rsidR="00B9783F">
        <w:rPr>
          <w:rFonts w:ascii="Calibri" w:hAnsi="Calibri" w:cs="Calibri"/>
          <w:sz w:val="22"/>
          <w:szCs w:val="22"/>
        </w:rPr>
        <w:t xml:space="preserve">. </w:t>
      </w:r>
    </w:p>
    <w:p w:rsidR="001126E9" w:rsidRDefault="001126E9" w:rsidP="00794FD8">
      <w:pPr>
        <w:jc w:val="both"/>
        <w:rPr>
          <w:rFonts w:ascii="Calibri" w:hAnsi="Calibri" w:cs="Calibri"/>
          <w:sz w:val="22"/>
          <w:szCs w:val="22"/>
        </w:rPr>
      </w:pPr>
    </w:p>
    <w:p w:rsidR="001126E9" w:rsidRDefault="001126E9" w:rsidP="00794FD8">
      <w:pPr>
        <w:jc w:val="both"/>
        <w:rPr>
          <w:rFonts w:ascii="Calibri" w:hAnsi="Calibri" w:cs="Calibri"/>
          <w:sz w:val="22"/>
          <w:szCs w:val="22"/>
        </w:rPr>
      </w:pPr>
      <w:r>
        <w:rPr>
          <w:rFonts w:ascii="Calibri" w:hAnsi="Calibri" w:cs="Calibri"/>
          <w:sz w:val="22"/>
          <w:szCs w:val="22"/>
        </w:rPr>
        <w:t>The two overarching findings were:</w:t>
      </w:r>
    </w:p>
    <w:p w:rsidR="001126E9" w:rsidRDefault="001126E9" w:rsidP="001126E9">
      <w:pPr>
        <w:numPr>
          <w:ilvl w:val="0"/>
          <w:numId w:val="28"/>
        </w:numPr>
        <w:jc w:val="both"/>
        <w:rPr>
          <w:rFonts w:ascii="Calibri" w:hAnsi="Calibri" w:cs="Calibri"/>
          <w:sz w:val="22"/>
          <w:szCs w:val="22"/>
        </w:rPr>
      </w:pPr>
      <w:r>
        <w:rPr>
          <w:rFonts w:ascii="Calibri" w:hAnsi="Calibri" w:cs="Calibri"/>
          <w:sz w:val="22"/>
          <w:szCs w:val="22"/>
        </w:rPr>
        <w:t>The YEPP tool design and the choice of implementation approach had substantial limitations that were compounded by issues around management and consultation.</w:t>
      </w:r>
    </w:p>
    <w:p w:rsidR="001126E9" w:rsidRDefault="001126E9" w:rsidP="001126E9">
      <w:pPr>
        <w:numPr>
          <w:ilvl w:val="0"/>
          <w:numId w:val="28"/>
        </w:numPr>
        <w:jc w:val="both"/>
        <w:rPr>
          <w:rFonts w:ascii="Calibri" w:hAnsi="Calibri" w:cs="Calibri"/>
          <w:sz w:val="22"/>
          <w:szCs w:val="22"/>
        </w:rPr>
      </w:pPr>
      <w:r>
        <w:rPr>
          <w:rFonts w:ascii="Calibri" w:hAnsi="Calibri" w:cs="Calibri"/>
          <w:sz w:val="22"/>
          <w:szCs w:val="22"/>
        </w:rPr>
        <w:t xml:space="preserve">The YEPP tool is not an appropriate tool for collecting data on child protection, knowledge, </w:t>
      </w:r>
      <w:r w:rsidR="00917D3B">
        <w:rPr>
          <w:rFonts w:ascii="Calibri" w:hAnsi="Calibri" w:cs="Calibri"/>
          <w:sz w:val="22"/>
          <w:szCs w:val="22"/>
        </w:rPr>
        <w:t>attitudes</w:t>
      </w:r>
      <w:r>
        <w:rPr>
          <w:rFonts w:ascii="Calibri" w:hAnsi="Calibri" w:cs="Calibri"/>
          <w:sz w:val="22"/>
          <w:szCs w:val="22"/>
        </w:rPr>
        <w:t xml:space="preserve"> and practice in Vanuatu.</w:t>
      </w:r>
    </w:p>
    <w:p w:rsidR="00B9783F" w:rsidRDefault="00B9783F" w:rsidP="00794FD8">
      <w:pPr>
        <w:jc w:val="both"/>
        <w:rPr>
          <w:rFonts w:ascii="Calibri" w:hAnsi="Calibri" w:cs="Calibri"/>
          <w:sz w:val="22"/>
          <w:szCs w:val="22"/>
        </w:rPr>
      </w:pPr>
    </w:p>
    <w:p w:rsidR="001126E9" w:rsidRDefault="001126E9" w:rsidP="001126E9">
      <w:pPr>
        <w:jc w:val="both"/>
        <w:rPr>
          <w:rFonts w:ascii="Calibri" w:hAnsi="Calibri" w:cs="Calibri"/>
          <w:sz w:val="22"/>
          <w:szCs w:val="22"/>
        </w:rPr>
      </w:pPr>
      <w:r>
        <w:rPr>
          <w:rFonts w:ascii="Calibri" w:hAnsi="Calibri" w:cs="Calibri"/>
          <w:sz w:val="22"/>
          <w:szCs w:val="22"/>
        </w:rPr>
        <w:t>SRBJ will consider the following lessons in the support of any future design of community based child protection programming:</w:t>
      </w:r>
    </w:p>
    <w:p w:rsidR="001126E9" w:rsidRDefault="001126E9" w:rsidP="00794FD8">
      <w:pPr>
        <w:jc w:val="both"/>
        <w:rPr>
          <w:rFonts w:ascii="Calibri" w:hAnsi="Calibri" w:cs="Calibri"/>
          <w:sz w:val="22"/>
          <w:szCs w:val="22"/>
        </w:rPr>
      </w:pPr>
    </w:p>
    <w:p w:rsidR="00B9783F" w:rsidRDefault="00B9783F" w:rsidP="00B9783F">
      <w:pPr>
        <w:numPr>
          <w:ilvl w:val="0"/>
          <w:numId w:val="27"/>
        </w:numPr>
        <w:jc w:val="both"/>
        <w:rPr>
          <w:rFonts w:ascii="Calibri" w:hAnsi="Calibri" w:cs="Calibri"/>
          <w:sz w:val="22"/>
          <w:szCs w:val="22"/>
        </w:rPr>
      </w:pPr>
      <w:r>
        <w:rPr>
          <w:rFonts w:ascii="Calibri" w:hAnsi="Calibri" w:cs="Calibri"/>
          <w:sz w:val="22"/>
          <w:szCs w:val="22"/>
        </w:rPr>
        <w:t>Ensuring continued consideration and focus on agreed objectives and explanation for deviation from those where appropriate.</w:t>
      </w:r>
    </w:p>
    <w:p w:rsidR="00B9783F" w:rsidRDefault="00B9783F" w:rsidP="00B9783F">
      <w:pPr>
        <w:numPr>
          <w:ilvl w:val="0"/>
          <w:numId w:val="27"/>
        </w:numPr>
        <w:jc w:val="both"/>
        <w:rPr>
          <w:rFonts w:ascii="Calibri" w:hAnsi="Calibri" w:cs="Calibri"/>
          <w:sz w:val="22"/>
          <w:szCs w:val="22"/>
        </w:rPr>
      </w:pPr>
      <w:r>
        <w:rPr>
          <w:rFonts w:ascii="Calibri" w:hAnsi="Calibri" w:cs="Calibri"/>
          <w:sz w:val="22"/>
          <w:szCs w:val="22"/>
        </w:rPr>
        <w:t xml:space="preserve">Having and understanding </w:t>
      </w:r>
      <w:r w:rsidR="001126E9">
        <w:rPr>
          <w:rFonts w:ascii="Calibri" w:hAnsi="Calibri" w:cs="Calibri"/>
          <w:sz w:val="22"/>
          <w:szCs w:val="22"/>
        </w:rPr>
        <w:t>a</w:t>
      </w:r>
      <w:r>
        <w:rPr>
          <w:rFonts w:ascii="Calibri" w:hAnsi="Calibri" w:cs="Calibri"/>
          <w:sz w:val="22"/>
          <w:szCs w:val="22"/>
        </w:rPr>
        <w:t xml:space="preserve"> theory of change that underpins the focus of the intervention.</w:t>
      </w:r>
    </w:p>
    <w:p w:rsidR="00CD0F21" w:rsidRDefault="00B9783F" w:rsidP="00B9783F">
      <w:pPr>
        <w:numPr>
          <w:ilvl w:val="0"/>
          <w:numId w:val="27"/>
        </w:numPr>
        <w:jc w:val="both"/>
        <w:rPr>
          <w:rFonts w:ascii="Calibri" w:hAnsi="Calibri" w:cs="Calibri"/>
          <w:sz w:val="22"/>
          <w:szCs w:val="22"/>
        </w:rPr>
      </w:pPr>
      <w:r w:rsidRPr="00CD0F21">
        <w:rPr>
          <w:rFonts w:ascii="Calibri" w:hAnsi="Calibri" w:cs="Calibri"/>
          <w:sz w:val="22"/>
          <w:szCs w:val="22"/>
        </w:rPr>
        <w:t>Having clarity with respect to the role that the organisation pla</w:t>
      </w:r>
      <w:r w:rsidR="00CD0F21" w:rsidRPr="00CD0F21">
        <w:rPr>
          <w:rFonts w:ascii="Calibri" w:hAnsi="Calibri" w:cs="Calibri"/>
          <w:sz w:val="22"/>
          <w:szCs w:val="22"/>
        </w:rPr>
        <w:t>ys in driving, supporting or guiding change especially with respect to ensuring that there is no reinforcement of inappropriate norms.</w:t>
      </w:r>
    </w:p>
    <w:p w:rsidR="00CD0F21" w:rsidRDefault="00CD0F21" w:rsidP="00B9783F">
      <w:pPr>
        <w:numPr>
          <w:ilvl w:val="0"/>
          <w:numId w:val="27"/>
        </w:numPr>
        <w:jc w:val="both"/>
        <w:rPr>
          <w:rFonts w:ascii="Calibri" w:hAnsi="Calibri" w:cs="Calibri"/>
          <w:sz w:val="22"/>
          <w:szCs w:val="22"/>
        </w:rPr>
      </w:pPr>
      <w:r>
        <w:rPr>
          <w:rFonts w:ascii="Calibri" w:hAnsi="Calibri" w:cs="Calibri"/>
          <w:sz w:val="22"/>
          <w:szCs w:val="22"/>
        </w:rPr>
        <w:t xml:space="preserve">Thoroughly considering the applicability of a tool </w:t>
      </w:r>
      <w:r w:rsidR="001126E9">
        <w:rPr>
          <w:rFonts w:ascii="Calibri" w:hAnsi="Calibri" w:cs="Calibri"/>
          <w:sz w:val="22"/>
          <w:szCs w:val="22"/>
        </w:rPr>
        <w:t xml:space="preserve">for child protection (particularly where </w:t>
      </w:r>
      <w:r>
        <w:rPr>
          <w:rFonts w:ascii="Calibri" w:hAnsi="Calibri" w:cs="Calibri"/>
          <w:sz w:val="22"/>
          <w:szCs w:val="22"/>
        </w:rPr>
        <w:t>developed for other subject areas</w:t>
      </w:r>
      <w:r w:rsidR="001126E9">
        <w:rPr>
          <w:rFonts w:ascii="Calibri" w:hAnsi="Calibri" w:cs="Calibri"/>
          <w:sz w:val="22"/>
          <w:szCs w:val="22"/>
        </w:rPr>
        <w:t>)</w:t>
      </w:r>
      <w:r>
        <w:rPr>
          <w:rFonts w:ascii="Calibri" w:hAnsi="Calibri" w:cs="Calibri"/>
          <w:sz w:val="22"/>
          <w:szCs w:val="22"/>
        </w:rPr>
        <w:t>.</w:t>
      </w:r>
    </w:p>
    <w:p w:rsidR="00CD0F21" w:rsidRDefault="00CD0F21" w:rsidP="00B9783F">
      <w:pPr>
        <w:numPr>
          <w:ilvl w:val="0"/>
          <w:numId w:val="27"/>
        </w:numPr>
        <w:jc w:val="both"/>
        <w:rPr>
          <w:rFonts w:ascii="Calibri" w:hAnsi="Calibri" w:cs="Calibri"/>
          <w:sz w:val="22"/>
          <w:szCs w:val="22"/>
        </w:rPr>
      </w:pPr>
      <w:r>
        <w:rPr>
          <w:rFonts w:ascii="Calibri" w:hAnsi="Calibri" w:cs="Calibri"/>
          <w:sz w:val="22"/>
          <w:szCs w:val="22"/>
        </w:rPr>
        <w:t>Ensuring thorough consideration of ethical issues in engaging with communities in the child protection arena.</w:t>
      </w:r>
    </w:p>
    <w:p w:rsidR="00CD0F21" w:rsidRDefault="00CD0F21" w:rsidP="00B9783F">
      <w:pPr>
        <w:numPr>
          <w:ilvl w:val="0"/>
          <w:numId w:val="27"/>
        </w:numPr>
        <w:jc w:val="both"/>
        <w:rPr>
          <w:rFonts w:ascii="Calibri" w:hAnsi="Calibri" w:cs="Calibri"/>
          <w:sz w:val="22"/>
          <w:szCs w:val="22"/>
        </w:rPr>
      </w:pPr>
      <w:r>
        <w:rPr>
          <w:rFonts w:ascii="Calibri" w:hAnsi="Calibri" w:cs="Calibri"/>
          <w:sz w:val="22"/>
          <w:szCs w:val="22"/>
        </w:rPr>
        <w:t>Ensuring strong quality control for messaging and approach in the area of child protection.</w:t>
      </w:r>
    </w:p>
    <w:p w:rsidR="00CD0F21" w:rsidRDefault="00CD0F21" w:rsidP="00B9783F">
      <w:pPr>
        <w:numPr>
          <w:ilvl w:val="0"/>
          <w:numId w:val="27"/>
        </w:numPr>
        <w:jc w:val="both"/>
        <w:rPr>
          <w:rFonts w:ascii="Calibri" w:hAnsi="Calibri" w:cs="Calibri"/>
          <w:sz w:val="22"/>
          <w:szCs w:val="22"/>
        </w:rPr>
      </w:pPr>
      <w:r>
        <w:rPr>
          <w:rFonts w:ascii="Calibri" w:hAnsi="Calibri" w:cs="Calibri"/>
          <w:sz w:val="22"/>
          <w:szCs w:val="22"/>
        </w:rPr>
        <w:t>Ensuring that in developing a simple tool the issues do not become oversimplified.</w:t>
      </w:r>
    </w:p>
    <w:p w:rsidR="00CD0F21" w:rsidRDefault="00CD0F21" w:rsidP="00B9783F">
      <w:pPr>
        <w:numPr>
          <w:ilvl w:val="0"/>
          <w:numId w:val="27"/>
        </w:numPr>
        <w:jc w:val="both"/>
        <w:rPr>
          <w:rFonts w:ascii="Calibri" w:hAnsi="Calibri" w:cs="Calibri"/>
          <w:sz w:val="22"/>
          <w:szCs w:val="22"/>
        </w:rPr>
      </w:pPr>
      <w:r>
        <w:rPr>
          <w:rFonts w:ascii="Calibri" w:hAnsi="Calibri" w:cs="Calibri"/>
          <w:sz w:val="22"/>
          <w:szCs w:val="22"/>
        </w:rPr>
        <w:t xml:space="preserve">Ensuring that all tools are culturally and ethically </w:t>
      </w:r>
      <w:r w:rsidR="001126E9">
        <w:rPr>
          <w:rFonts w:ascii="Calibri" w:hAnsi="Calibri" w:cs="Calibri"/>
          <w:sz w:val="22"/>
          <w:szCs w:val="22"/>
        </w:rPr>
        <w:t>appropriate and meet Save the Children’s international standards and general best practice.</w:t>
      </w:r>
    </w:p>
    <w:p w:rsidR="00947508" w:rsidRPr="00B60952" w:rsidRDefault="001126E9" w:rsidP="00794FD8">
      <w:pPr>
        <w:numPr>
          <w:ilvl w:val="0"/>
          <w:numId w:val="27"/>
        </w:numPr>
        <w:jc w:val="both"/>
        <w:rPr>
          <w:rFonts w:ascii="Calibri" w:hAnsi="Calibri" w:cs="Calibri"/>
          <w:sz w:val="22"/>
          <w:szCs w:val="22"/>
        </w:rPr>
      </w:pPr>
      <w:r w:rsidRPr="00B60952">
        <w:rPr>
          <w:rFonts w:ascii="Calibri" w:hAnsi="Calibri" w:cs="Calibri"/>
          <w:sz w:val="22"/>
          <w:szCs w:val="22"/>
        </w:rPr>
        <w:t>Strengthening the planning for and implementation of monitoring and evaluation for the piloting work to ensure that it is able to inform programming.</w:t>
      </w:r>
    </w:p>
    <w:sectPr w:rsidR="00947508" w:rsidRPr="00B60952" w:rsidSect="00947508">
      <w:footerReference w:type="default" r:id="rId11"/>
      <w:headerReference w:type="first" r:id="rId12"/>
      <w:footerReference w:type="first" r:id="rId13"/>
      <w:type w:val="continuous"/>
      <w:pgSz w:w="11907" w:h="16840" w:code="9"/>
      <w:pgMar w:top="720" w:right="720" w:bottom="720" w:left="720" w:header="142"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A54" w:rsidRDefault="00AA6A54">
      <w:r>
        <w:separator/>
      </w:r>
    </w:p>
  </w:endnote>
  <w:endnote w:type="continuationSeparator" w:id="0">
    <w:p w:rsidR="00AA6A54" w:rsidRDefault="00AA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eueLTStd-ThCn">
    <w:altName w:val="HelveticaNeueLT Std Thin Cn"/>
    <w:panose1 w:val="00000000000000000000"/>
    <w:charset w:val="4D"/>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HelveticaNeueLTStd-Roman">
    <w:altName w:val="HelveticaNeueLT Std"/>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Neue">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508" w:rsidRPr="00AC2564" w:rsidRDefault="00947508" w:rsidP="00AC2564">
    <w:pPr>
      <w:pStyle w:val="Footer"/>
      <w:pBdr>
        <w:top w:val="single" w:sz="4" w:space="1" w:color="auto"/>
      </w:pBdr>
      <w:jc w:val="right"/>
      <w:rPr>
        <w:sz w:val="20"/>
        <w:szCs w:val="20"/>
      </w:rPr>
    </w:pPr>
    <w:r w:rsidRPr="00AC2564">
      <w:rPr>
        <w:sz w:val="20"/>
        <w:szCs w:val="20"/>
      </w:rPr>
      <w:t xml:space="preserve">Page </w:t>
    </w:r>
    <w:r w:rsidRPr="00AC2564">
      <w:rPr>
        <w:sz w:val="20"/>
        <w:szCs w:val="20"/>
      </w:rPr>
      <w:fldChar w:fldCharType="begin"/>
    </w:r>
    <w:r w:rsidRPr="00AC2564">
      <w:rPr>
        <w:sz w:val="20"/>
        <w:szCs w:val="20"/>
      </w:rPr>
      <w:instrText xml:space="preserve"> PAGE </w:instrText>
    </w:r>
    <w:r w:rsidRPr="00AC2564">
      <w:rPr>
        <w:sz w:val="20"/>
        <w:szCs w:val="20"/>
      </w:rPr>
      <w:fldChar w:fldCharType="separate"/>
    </w:r>
    <w:r w:rsidR="007B47FE">
      <w:rPr>
        <w:noProof/>
        <w:sz w:val="20"/>
        <w:szCs w:val="20"/>
      </w:rPr>
      <w:t>2</w:t>
    </w:r>
    <w:r w:rsidRPr="00AC2564">
      <w:rPr>
        <w:sz w:val="20"/>
        <w:szCs w:val="20"/>
      </w:rPr>
      <w:fldChar w:fldCharType="end"/>
    </w:r>
    <w:r w:rsidRPr="00AC2564">
      <w:rPr>
        <w:sz w:val="20"/>
        <w:szCs w:val="20"/>
      </w:rPr>
      <w:t xml:space="preserve"> of </w:t>
    </w:r>
    <w:r w:rsidRPr="00AC2564">
      <w:rPr>
        <w:sz w:val="20"/>
        <w:szCs w:val="20"/>
      </w:rPr>
      <w:fldChar w:fldCharType="begin"/>
    </w:r>
    <w:r w:rsidRPr="00AC2564">
      <w:rPr>
        <w:sz w:val="20"/>
        <w:szCs w:val="20"/>
      </w:rPr>
      <w:instrText xml:space="preserve"> NUMPAGES </w:instrText>
    </w:r>
    <w:r w:rsidRPr="00AC2564">
      <w:rPr>
        <w:sz w:val="20"/>
        <w:szCs w:val="20"/>
      </w:rPr>
      <w:fldChar w:fldCharType="separate"/>
    </w:r>
    <w:r w:rsidR="007B47FE">
      <w:rPr>
        <w:noProof/>
        <w:sz w:val="20"/>
        <w:szCs w:val="20"/>
      </w:rPr>
      <w:t>2</w:t>
    </w:r>
    <w:r w:rsidRPr="00AC2564">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FB9" w:rsidRDefault="00AA7FB9">
    <w:pPr>
      <w:pStyle w:val="Footer"/>
      <w:jc w:val="right"/>
    </w:pPr>
    <w:r>
      <w:fldChar w:fldCharType="begin"/>
    </w:r>
    <w:r>
      <w:instrText xml:space="preserve"> PAGE   \* MERGEFORMAT </w:instrText>
    </w:r>
    <w:r>
      <w:fldChar w:fldCharType="separate"/>
    </w:r>
    <w:r w:rsidR="007B47FE">
      <w:rPr>
        <w:noProof/>
      </w:rPr>
      <w:t>1</w:t>
    </w:r>
    <w:r>
      <w:rPr>
        <w:noProof/>
      </w:rPr>
      <w:fldChar w:fldCharType="end"/>
    </w:r>
  </w:p>
  <w:p w:rsidR="00947508" w:rsidRDefault="0094750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A54" w:rsidRDefault="00AA6A54">
      <w:r>
        <w:separator/>
      </w:r>
    </w:p>
  </w:footnote>
  <w:footnote w:type="continuationSeparator" w:id="0">
    <w:p w:rsidR="00AA6A54" w:rsidRDefault="00AA6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508" w:rsidRDefault="00947508" w:rsidP="00C24519">
    <w:pPr>
      <w:tabs>
        <w:tab w:val="right" w:pos="9072"/>
        <w:tab w:val="left" w:pos="10206"/>
      </w:tabs>
      <w:rPr>
        <w:sz w:val="28"/>
        <w:szCs w:val="28"/>
      </w:rPr>
    </w:pPr>
  </w:p>
  <w:p w:rsidR="00947508" w:rsidRDefault="00947508" w:rsidP="00C24519">
    <w:pPr>
      <w:tabs>
        <w:tab w:val="right" w:pos="9072"/>
        <w:tab w:val="left" w:pos="10206"/>
      </w:tabs>
      <w:rPr>
        <w:sz w:val="28"/>
        <w:szCs w:val="28"/>
      </w:rPr>
    </w:pPr>
  </w:p>
  <w:p w:rsidR="00947508" w:rsidRDefault="00947508" w:rsidP="00C24519">
    <w:pPr>
      <w:tabs>
        <w:tab w:val="right" w:pos="9072"/>
        <w:tab w:val="left" w:pos="10206"/>
      </w:tabs>
      <w:rPr>
        <w:sz w:val="28"/>
        <w:szCs w:val="28"/>
      </w:rPr>
    </w:pPr>
    <w:r>
      <w:rPr>
        <w:sz w:val="28"/>
        <w:szCs w:val="28"/>
      </w:rPr>
      <w:tab/>
    </w:r>
    <w:r w:rsidR="007B47FE">
      <w:rPr>
        <w:noProof/>
        <w:sz w:val="28"/>
        <w:szCs w:val="28"/>
        <w:lang w:eastAsia="en-AU"/>
      </w:rPr>
      <w:drawing>
        <wp:inline distT="0" distB="0" distL="0" distR="0">
          <wp:extent cx="1323975" cy="590550"/>
          <wp:effectExtent l="0" t="0" r="0" b="0"/>
          <wp:docPr id="1" name="Picture 1" descr="Australian Aid Identifier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Aid Identifier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590550"/>
                  </a:xfrm>
                  <a:prstGeom prst="rect">
                    <a:avLst/>
                  </a:prstGeom>
                  <a:noFill/>
                  <a:ln>
                    <a:noFill/>
                  </a:ln>
                </pic:spPr>
              </pic:pic>
            </a:graphicData>
          </a:graphic>
        </wp:inline>
      </w:drawing>
    </w:r>
  </w:p>
  <w:p w:rsidR="00947508" w:rsidRDefault="00947508" w:rsidP="00C24519">
    <w:pPr>
      <w:tabs>
        <w:tab w:val="right" w:pos="9072"/>
        <w:tab w:val="left" w:pos="10206"/>
      </w:tabs>
      <w:rPr>
        <w:sz w:val="28"/>
        <w:szCs w:val="28"/>
      </w:rPr>
    </w:pPr>
  </w:p>
  <w:p w:rsidR="00B60952" w:rsidRDefault="00947508" w:rsidP="00B60952">
    <w:pPr>
      <w:jc w:val="center"/>
      <w:rPr>
        <w:b/>
        <w:color w:val="012169"/>
      </w:rPr>
    </w:pPr>
    <w:r w:rsidRPr="00DF72AB">
      <w:rPr>
        <w:b/>
        <w:color w:val="012169"/>
      </w:rPr>
      <w:t>Vanuatu Law and Justice Partnership (VLJP)</w:t>
    </w:r>
    <w:r w:rsidR="00B60952" w:rsidRPr="00B60952">
      <w:rPr>
        <w:b/>
        <w:color w:val="012169"/>
      </w:rPr>
      <w:t xml:space="preserve"> </w:t>
    </w:r>
  </w:p>
  <w:p w:rsidR="00B60952" w:rsidRPr="00DF72AB" w:rsidRDefault="00B60952" w:rsidP="00B60952">
    <w:pPr>
      <w:jc w:val="center"/>
      <w:rPr>
        <w:b/>
        <w:color w:val="012169"/>
      </w:rPr>
    </w:pPr>
    <w:r>
      <w:rPr>
        <w:b/>
        <w:color w:val="012169"/>
      </w:rPr>
      <w:t xml:space="preserve"> also known as </w:t>
    </w:r>
    <w:r w:rsidRPr="00B60952">
      <w:rPr>
        <w:b/>
        <w:i/>
        <w:color w:val="012169"/>
      </w:rPr>
      <w:t>Stretem Rod Blong Jastis</w:t>
    </w:r>
    <w:r>
      <w:rPr>
        <w:b/>
        <w:i/>
        <w:color w:val="012169"/>
      </w:rPr>
      <w:t xml:space="preserve"> </w:t>
    </w:r>
  </w:p>
  <w:p w:rsidR="00947508" w:rsidRPr="00DF72AB" w:rsidRDefault="00947508" w:rsidP="00FF0FD9">
    <w:pPr>
      <w:tabs>
        <w:tab w:val="right" w:pos="9072"/>
        <w:tab w:val="left" w:pos="10206"/>
      </w:tabs>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661D"/>
    <w:multiLevelType w:val="hybridMultilevel"/>
    <w:tmpl w:val="83D29786"/>
    <w:lvl w:ilvl="0" w:tplc="9528A3F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7A57A12"/>
    <w:multiLevelType w:val="hybridMultilevel"/>
    <w:tmpl w:val="0A40A3A0"/>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BA85C92"/>
    <w:multiLevelType w:val="hybridMultilevel"/>
    <w:tmpl w:val="4CFE09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0C5E89"/>
    <w:multiLevelType w:val="hybridMultilevel"/>
    <w:tmpl w:val="DF2EAA92"/>
    <w:lvl w:ilvl="0" w:tplc="9528A3F6">
      <w:start w:val="1"/>
      <w:numFmt w:val="decimal"/>
      <w:lvlText w:val="%1"/>
      <w:lvlJc w:val="left"/>
      <w:pPr>
        <w:ind w:left="920" w:hanging="360"/>
      </w:pPr>
      <w:rPr>
        <w:rFonts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 w15:restartNumberingAfterBreak="0">
    <w:nsid w:val="13851275"/>
    <w:multiLevelType w:val="hybridMultilevel"/>
    <w:tmpl w:val="168AE90C"/>
    <w:lvl w:ilvl="0" w:tplc="0C090019">
      <w:start w:val="1"/>
      <w:numFmt w:val="lowerLetter"/>
      <w:lvlText w:val="%1."/>
      <w:lvlJc w:val="left"/>
      <w:pPr>
        <w:ind w:left="920" w:hanging="360"/>
      </w:pPr>
      <w:rPr>
        <w:rFonts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5" w15:restartNumberingAfterBreak="0">
    <w:nsid w:val="14CD241D"/>
    <w:multiLevelType w:val="singleLevel"/>
    <w:tmpl w:val="2C9CCD12"/>
    <w:lvl w:ilvl="0">
      <w:start w:val="1"/>
      <w:numFmt w:val="bullet"/>
      <w:pStyle w:val="Colon"/>
      <w:lvlText w:val=""/>
      <w:lvlJc w:val="left"/>
      <w:pPr>
        <w:tabs>
          <w:tab w:val="num" w:pos="1191"/>
        </w:tabs>
        <w:ind w:left="1191" w:hanging="397"/>
      </w:pPr>
      <w:rPr>
        <w:rFonts w:ascii="Symbol" w:hAnsi="Symbol" w:hint="default"/>
      </w:rPr>
    </w:lvl>
  </w:abstractNum>
  <w:abstractNum w:abstractNumId="6" w15:restartNumberingAfterBreak="0">
    <w:nsid w:val="17BF41A1"/>
    <w:multiLevelType w:val="hybridMultilevel"/>
    <w:tmpl w:val="D0A83D92"/>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86E70D0"/>
    <w:multiLevelType w:val="hybridMultilevel"/>
    <w:tmpl w:val="673A8852"/>
    <w:lvl w:ilvl="0" w:tplc="9528A3F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ADA5404"/>
    <w:multiLevelType w:val="singleLevel"/>
    <w:tmpl w:val="0026312C"/>
    <w:lvl w:ilvl="0">
      <w:start w:val="1"/>
      <w:numFmt w:val="bullet"/>
      <w:pStyle w:val="Dot"/>
      <w:lvlText w:val=""/>
      <w:lvlJc w:val="left"/>
      <w:pPr>
        <w:tabs>
          <w:tab w:val="num" w:pos="397"/>
        </w:tabs>
        <w:ind w:left="397" w:hanging="397"/>
      </w:pPr>
      <w:rPr>
        <w:rFonts w:ascii="Symbol" w:hAnsi="Symbol" w:hint="default"/>
      </w:rPr>
    </w:lvl>
  </w:abstractNum>
  <w:abstractNum w:abstractNumId="9" w15:restartNumberingAfterBreak="0">
    <w:nsid w:val="1E3333C7"/>
    <w:multiLevelType w:val="hybridMultilevel"/>
    <w:tmpl w:val="11FE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5E3794"/>
    <w:multiLevelType w:val="hybridMultilevel"/>
    <w:tmpl w:val="1B40E652"/>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685368"/>
    <w:multiLevelType w:val="hybridMultilevel"/>
    <w:tmpl w:val="BCFE0180"/>
    <w:lvl w:ilvl="0" w:tplc="0809000F">
      <w:start w:val="1"/>
      <w:numFmt w:val="decimal"/>
      <w:lvlText w:val="%1."/>
      <w:lvlJc w:val="left"/>
      <w:pPr>
        <w:ind w:left="786" w:hanging="360"/>
      </w:pPr>
    </w:lvl>
    <w:lvl w:ilvl="1" w:tplc="08090019">
      <w:start w:val="1"/>
      <w:numFmt w:val="lowerLetter"/>
      <w:lvlText w:val="%2."/>
      <w:lvlJc w:val="left"/>
      <w:pPr>
        <w:ind w:left="1353"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FD10AC"/>
    <w:multiLevelType w:val="singleLevel"/>
    <w:tmpl w:val="BA5CCA4A"/>
    <w:lvl w:ilvl="0">
      <w:start w:val="1"/>
      <w:numFmt w:val="bullet"/>
      <w:pStyle w:val="Dash"/>
      <w:lvlText w:val=""/>
      <w:lvlJc w:val="left"/>
      <w:pPr>
        <w:tabs>
          <w:tab w:val="num" w:pos="794"/>
        </w:tabs>
        <w:ind w:left="794" w:hanging="397"/>
      </w:pPr>
      <w:rPr>
        <w:rFonts w:ascii="Symbol" w:hAnsi="Symbol" w:hint="default"/>
      </w:rPr>
    </w:lvl>
  </w:abstractNum>
  <w:abstractNum w:abstractNumId="13" w15:restartNumberingAfterBreak="0">
    <w:nsid w:val="3B864ABD"/>
    <w:multiLevelType w:val="hybridMultilevel"/>
    <w:tmpl w:val="187CC288"/>
    <w:lvl w:ilvl="0" w:tplc="9528A3F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19C4E7F"/>
    <w:multiLevelType w:val="hybridMultilevel"/>
    <w:tmpl w:val="5F107CBC"/>
    <w:lvl w:ilvl="0" w:tplc="9528A3F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A223B18"/>
    <w:multiLevelType w:val="hybridMultilevel"/>
    <w:tmpl w:val="99BE97BA"/>
    <w:lvl w:ilvl="0" w:tplc="9528A3F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22218F0"/>
    <w:multiLevelType w:val="hybridMultilevel"/>
    <w:tmpl w:val="647C5E92"/>
    <w:lvl w:ilvl="0" w:tplc="0C090009">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79A6B00"/>
    <w:multiLevelType w:val="hybridMultilevel"/>
    <w:tmpl w:val="53A8CF78"/>
    <w:lvl w:ilvl="0" w:tplc="04090001">
      <w:start w:val="1"/>
      <w:numFmt w:val="bullet"/>
      <w:pStyle w:val="CharCharChar1CharChar"/>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8162D2"/>
    <w:multiLevelType w:val="hybridMultilevel"/>
    <w:tmpl w:val="5F107CBC"/>
    <w:lvl w:ilvl="0" w:tplc="9528A3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3316F1"/>
    <w:multiLevelType w:val="hybridMultilevel"/>
    <w:tmpl w:val="B8F8AC4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DC7179"/>
    <w:multiLevelType w:val="hybridMultilevel"/>
    <w:tmpl w:val="F768E360"/>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AB861E9"/>
    <w:multiLevelType w:val="hybridMultilevel"/>
    <w:tmpl w:val="F0405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FA84754"/>
    <w:multiLevelType w:val="hybridMultilevel"/>
    <w:tmpl w:val="5F6898C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73721D2F"/>
    <w:multiLevelType w:val="hybridMultilevel"/>
    <w:tmpl w:val="B47ECF4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7AAC7A00"/>
    <w:multiLevelType w:val="hybridMultilevel"/>
    <w:tmpl w:val="A4943F0A"/>
    <w:lvl w:ilvl="0" w:tplc="9528A3F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FA413E1"/>
    <w:multiLevelType w:val="hybridMultilevel"/>
    <w:tmpl w:val="8FAAFB06"/>
    <w:lvl w:ilvl="0" w:tplc="0409000F">
      <w:start w:val="1"/>
      <w:numFmt w:val="decimal"/>
      <w:lvlText w:val="%1."/>
      <w:lvlJc w:val="left"/>
      <w:pPr>
        <w:ind w:left="360" w:hanging="360"/>
      </w:pPr>
    </w:lvl>
    <w:lvl w:ilvl="1" w:tplc="132E20C2">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2"/>
  </w:num>
  <w:num w:numId="3">
    <w:abstractNumId w:val="8"/>
  </w:num>
  <w:num w:numId="4">
    <w:abstractNumId w:val="17"/>
  </w:num>
  <w:num w:numId="5">
    <w:abstractNumId w:val="11"/>
  </w:num>
  <w:num w:numId="6">
    <w:abstractNumId w:val="6"/>
  </w:num>
  <w:num w:numId="7">
    <w:abstractNumId w:val="21"/>
  </w:num>
  <w:num w:numId="8">
    <w:abstractNumId w:val="2"/>
  </w:num>
  <w:num w:numId="9">
    <w:abstractNumId w:val="10"/>
  </w:num>
  <w:num w:numId="10">
    <w:abstractNumId w:val="19"/>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6"/>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0"/>
  </w:num>
  <w:num w:numId="17">
    <w:abstractNumId w:val="1"/>
  </w:num>
  <w:num w:numId="18">
    <w:abstractNumId w:val="25"/>
  </w:num>
  <w:num w:numId="19">
    <w:abstractNumId w:val="9"/>
  </w:num>
  <w:num w:numId="20">
    <w:abstractNumId w:val="4"/>
  </w:num>
  <w:num w:numId="21">
    <w:abstractNumId w:val="3"/>
  </w:num>
  <w:num w:numId="22">
    <w:abstractNumId w:val="0"/>
  </w:num>
  <w:num w:numId="23">
    <w:abstractNumId w:val="13"/>
  </w:num>
  <w:num w:numId="24">
    <w:abstractNumId w:val="15"/>
  </w:num>
  <w:num w:numId="25">
    <w:abstractNumId w:val="7"/>
  </w:num>
  <w:num w:numId="26">
    <w:abstractNumId w:val="18"/>
  </w:num>
  <w:num w:numId="27">
    <w:abstractNumId w:val="2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4BC"/>
    <w:rsid w:val="00016731"/>
    <w:rsid w:val="000716CE"/>
    <w:rsid w:val="00076C6A"/>
    <w:rsid w:val="00082D15"/>
    <w:rsid w:val="00085C88"/>
    <w:rsid w:val="000A45DD"/>
    <w:rsid w:val="000C42B9"/>
    <w:rsid w:val="000E7747"/>
    <w:rsid w:val="000F372C"/>
    <w:rsid w:val="000F4585"/>
    <w:rsid w:val="001126E9"/>
    <w:rsid w:val="001249FC"/>
    <w:rsid w:val="00130C91"/>
    <w:rsid w:val="0013740C"/>
    <w:rsid w:val="0014082E"/>
    <w:rsid w:val="00150DAB"/>
    <w:rsid w:val="001540D3"/>
    <w:rsid w:val="0015512E"/>
    <w:rsid w:val="00163C9E"/>
    <w:rsid w:val="00171A47"/>
    <w:rsid w:val="00184154"/>
    <w:rsid w:val="001B2566"/>
    <w:rsid w:val="001E2F4B"/>
    <w:rsid w:val="00205D04"/>
    <w:rsid w:val="00216182"/>
    <w:rsid w:val="0022373A"/>
    <w:rsid w:val="002344C8"/>
    <w:rsid w:val="00234C79"/>
    <w:rsid w:val="00245B33"/>
    <w:rsid w:val="002565AA"/>
    <w:rsid w:val="00263C23"/>
    <w:rsid w:val="002748FF"/>
    <w:rsid w:val="00274BF1"/>
    <w:rsid w:val="002904E6"/>
    <w:rsid w:val="002A1DDF"/>
    <w:rsid w:val="002B2937"/>
    <w:rsid w:val="002C1B39"/>
    <w:rsid w:val="002E03B9"/>
    <w:rsid w:val="002E15CA"/>
    <w:rsid w:val="002F5A69"/>
    <w:rsid w:val="002F6D90"/>
    <w:rsid w:val="00306D1A"/>
    <w:rsid w:val="003160AB"/>
    <w:rsid w:val="003468B0"/>
    <w:rsid w:val="00354CA9"/>
    <w:rsid w:val="00390A10"/>
    <w:rsid w:val="003974BC"/>
    <w:rsid w:val="003A47F0"/>
    <w:rsid w:val="003A4B72"/>
    <w:rsid w:val="003B7FC6"/>
    <w:rsid w:val="003C4ED1"/>
    <w:rsid w:val="003C68D7"/>
    <w:rsid w:val="003D2B80"/>
    <w:rsid w:val="003F4357"/>
    <w:rsid w:val="00427E94"/>
    <w:rsid w:val="00434792"/>
    <w:rsid w:val="004452D1"/>
    <w:rsid w:val="00450DED"/>
    <w:rsid w:val="00475115"/>
    <w:rsid w:val="00484C89"/>
    <w:rsid w:val="00487693"/>
    <w:rsid w:val="004B43FB"/>
    <w:rsid w:val="004B555A"/>
    <w:rsid w:val="004B5910"/>
    <w:rsid w:val="004C0679"/>
    <w:rsid w:val="004C2DAF"/>
    <w:rsid w:val="004E5081"/>
    <w:rsid w:val="004F30BD"/>
    <w:rsid w:val="004F7FC7"/>
    <w:rsid w:val="005038E7"/>
    <w:rsid w:val="00521E27"/>
    <w:rsid w:val="00537D2A"/>
    <w:rsid w:val="00572EC4"/>
    <w:rsid w:val="005874A6"/>
    <w:rsid w:val="005A5897"/>
    <w:rsid w:val="005B4DC5"/>
    <w:rsid w:val="005C49F0"/>
    <w:rsid w:val="005C7850"/>
    <w:rsid w:val="005F6D8F"/>
    <w:rsid w:val="006074E0"/>
    <w:rsid w:val="00625D95"/>
    <w:rsid w:val="006566D7"/>
    <w:rsid w:val="00696474"/>
    <w:rsid w:val="006C2C03"/>
    <w:rsid w:val="006E18E4"/>
    <w:rsid w:val="006E1C56"/>
    <w:rsid w:val="006E5C0B"/>
    <w:rsid w:val="006F6302"/>
    <w:rsid w:val="0070483F"/>
    <w:rsid w:val="007233B2"/>
    <w:rsid w:val="00724598"/>
    <w:rsid w:val="007410B9"/>
    <w:rsid w:val="00742402"/>
    <w:rsid w:val="00794FD8"/>
    <w:rsid w:val="007A0C41"/>
    <w:rsid w:val="007B366A"/>
    <w:rsid w:val="007B47FE"/>
    <w:rsid w:val="007C1F34"/>
    <w:rsid w:val="007C74BD"/>
    <w:rsid w:val="007D7DC8"/>
    <w:rsid w:val="00802DD7"/>
    <w:rsid w:val="008551F2"/>
    <w:rsid w:val="00860AF7"/>
    <w:rsid w:val="0088713D"/>
    <w:rsid w:val="00896A8F"/>
    <w:rsid w:val="0089743D"/>
    <w:rsid w:val="008A01A5"/>
    <w:rsid w:val="008A0970"/>
    <w:rsid w:val="008A179E"/>
    <w:rsid w:val="008A7541"/>
    <w:rsid w:val="008A7B2D"/>
    <w:rsid w:val="008B50CD"/>
    <w:rsid w:val="008D5378"/>
    <w:rsid w:val="008D6A15"/>
    <w:rsid w:val="008E452D"/>
    <w:rsid w:val="00914926"/>
    <w:rsid w:val="00916172"/>
    <w:rsid w:val="00917D3B"/>
    <w:rsid w:val="009443B7"/>
    <w:rsid w:val="00947508"/>
    <w:rsid w:val="0097483B"/>
    <w:rsid w:val="009751CB"/>
    <w:rsid w:val="009A3AB4"/>
    <w:rsid w:val="009B313B"/>
    <w:rsid w:val="009C4957"/>
    <w:rsid w:val="009D1320"/>
    <w:rsid w:val="009D1ED0"/>
    <w:rsid w:val="00A03462"/>
    <w:rsid w:val="00A101B1"/>
    <w:rsid w:val="00A32DF3"/>
    <w:rsid w:val="00A4697D"/>
    <w:rsid w:val="00A66751"/>
    <w:rsid w:val="00A83576"/>
    <w:rsid w:val="00AA62E2"/>
    <w:rsid w:val="00AA6A54"/>
    <w:rsid w:val="00AA7FB9"/>
    <w:rsid w:val="00AB4D3A"/>
    <w:rsid w:val="00AB7227"/>
    <w:rsid w:val="00AC2564"/>
    <w:rsid w:val="00AD46DB"/>
    <w:rsid w:val="00B1072A"/>
    <w:rsid w:val="00B15DB2"/>
    <w:rsid w:val="00B36F41"/>
    <w:rsid w:val="00B3769E"/>
    <w:rsid w:val="00B4182D"/>
    <w:rsid w:val="00B60952"/>
    <w:rsid w:val="00B67B63"/>
    <w:rsid w:val="00B70B2B"/>
    <w:rsid w:val="00B83E08"/>
    <w:rsid w:val="00B87454"/>
    <w:rsid w:val="00B900D5"/>
    <w:rsid w:val="00B9783F"/>
    <w:rsid w:val="00BD27F8"/>
    <w:rsid w:val="00BE5C51"/>
    <w:rsid w:val="00C02734"/>
    <w:rsid w:val="00C03AF7"/>
    <w:rsid w:val="00C058A5"/>
    <w:rsid w:val="00C07464"/>
    <w:rsid w:val="00C13C61"/>
    <w:rsid w:val="00C149AF"/>
    <w:rsid w:val="00C14B3C"/>
    <w:rsid w:val="00C24519"/>
    <w:rsid w:val="00C245AA"/>
    <w:rsid w:val="00C32E87"/>
    <w:rsid w:val="00C548BE"/>
    <w:rsid w:val="00C93148"/>
    <w:rsid w:val="00C95E4C"/>
    <w:rsid w:val="00CB4FF7"/>
    <w:rsid w:val="00CC0EB9"/>
    <w:rsid w:val="00CD0F21"/>
    <w:rsid w:val="00CF6878"/>
    <w:rsid w:val="00D02E31"/>
    <w:rsid w:val="00D16611"/>
    <w:rsid w:val="00D24C34"/>
    <w:rsid w:val="00D34444"/>
    <w:rsid w:val="00D54418"/>
    <w:rsid w:val="00D74A57"/>
    <w:rsid w:val="00D75D1E"/>
    <w:rsid w:val="00D820EA"/>
    <w:rsid w:val="00DA104C"/>
    <w:rsid w:val="00DB18E8"/>
    <w:rsid w:val="00DD1371"/>
    <w:rsid w:val="00DF72AB"/>
    <w:rsid w:val="00E06B2D"/>
    <w:rsid w:val="00E27034"/>
    <w:rsid w:val="00E37A43"/>
    <w:rsid w:val="00E437D6"/>
    <w:rsid w:val="00E51663"/>
    <w:rsid w:val="00E8237B"/>
    <w:rsid w:val="00EA16E3"/>
    <w:rsid w:val="00EA2B68"/>
    <w:rsid w:val="00EA3639"/>
    <w:rsid w:val="00EA7105"/>
    <w:rsid w:val="00EB4AF0"/>
    <w:rsid w:val="00EE01FA"/>
    <w:rsid w:val="00EE412F"/>
    <w:rsid w:val="00EE44C6"/>
    <w:rsid w:val="00EE6458"/>
    <w:rsid w:val="00EF5387"/>
    <w:rsid w:val="00F06B8A"/>
    <w:rsid w:val="00F13005"/>
    <w:rsid w:val="00F212CD"/>
    <w:rsid w:val="00F30FDA"/>
    <w:rsid w:val="00F40049"/>
    <w:rsid w:val="00F4140F"/>
    <w:rsid w:val="00F429E7"/>
    <w:rsid w:val="00F6120C"/>
    <w:rsid w:val="00F80942"/>
    <w:rsid w:val="00F911A1"/>
    <w:rsid w:val="00FE537E"/>
    <w:rsid w:val="00FF0F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0F30A35-EE90-456B-8DFB-EA71DAEF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Date"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character" w:default="1" w:styleId="DefaultParagraphFont">
    <w:name w:val="Default Paragraph Font"/>
    <w:link w:val="CharCharChar1CharChar"/>
    <w:semiHidden/>
    <w:rPr>
      <w:rFonts w:ascii="Arial Narrow" w:hAnsi="Arial Narrow"/>
      <w:sz w:val="24"/>
      <w:szCs w:val="24"/>
      <w:lang w:val="pl-PL" w:eastAsia="pl-PL" w:bidi="ar-SA"/>
    </w:rPr>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FaxInfo">
    <w:name w:val="FaxInfo"/>
    <w:basedOn w:val="Footer"/>
    <w:rPr>
      <w:rFonts w:ascii="Times New Roman" w:hAnsi="Times New Roman"/>
      <w:b/>
      <w:bCs/>
    </w:rPr>
  </w:style>
  <w:style w:type="paragraph" w:customStyle="1" w:styleId="Colon">
    <w:name w:val="_Colon"/>
    <w:basedOn w:val="Normal"/>
    <w:pPr>
      <w:numPr>
        <w:numId w:val="1"/>
      </w:numPr>
    </w:pPr>
    <w:rPr>
      <w:rFonts w:ascii="Times New Roman" w:hAnsi="Times New Roman"/>
    </w:rPr>
  </w:style>
  <w:style w:type="paragraph" w:customStyle="1" w:styleId="Dash">
    <w:name w:val="_Dash"/>
    <w:basedOn w:val="Normal"/>
    <w:pPr>
      <w:numPr>
        <w:numId w:val="2"/>
      </w:numPr>
    </w:pPr>
    <w:rPr>
      <w:rFonts w:ascii="Times New Roman" w:hAnsi="Times New Roman"/>
    </w:rPr>
  </w:style>
  <w:style w:type="paragraph" w:customStyle="1" w:styleId="Dot">
    <w:name w:val="_Dot"/>
    <w:basedOn w:val="Normal"/>
    <w:pPr>
      <w:numPr>
        <w:numId w:val="3"/>
      </w:numPr>
    </w:pPr>
    <w:rPr>
      <w:rFonts w:ascii="Times New Roman" w:hAnsi="Times New Roman"/>
    </w:rPr>
  </w:style>
  <w:style w:type="paragraph" w:styleId="BodyText">
    <w:name w:val="Body Text"/>
    <w:basedOn w:val="Normal"/>
    <w:pPr>
      <w:jc w:val="both"/>
    </w:pPr>
    <w:rPr>
      <w:rFonts w:ascii="Times New Roman" w:hAnsi="Times New Roman"/>
    </w:rPr>
  </w:style>
  <w:style w:type="paragraph" w:customStyle="1" w:styleId="BasicParagraph">
    <w:name w:val="[Basic Paragraph]"/>
    <w:basedOn w:val="Normal"/>
    <w:uiPriority w:val="99"/>
    <w:rsid w:val="00251F49"/>
    <w:pPr>
      <w:widowControl w:val="0"/>
      <w:autoSpaceDE w:val="0"/>
      <w:autoSpaceDN w:val="0"/>
      <w:adjustRightInd w:val="0"/>
      <w:spacing w:line="220" w:lineRule="atLeast"/>
      <w:textAlignment w:val="center"/>
    </w:pPr>
    <w:rPr>
      <w:rFonts w:ascii="HelveticaNeueLTStd-ThCn" w:hAnsi="HelveticaNeueLTStd-ThCn" w:cs="HelveticaNeueLTStd-ThCn"/>
      <w:color w:val="000000"/>
      <w:sz w:val="18"/>
      <w:szCs w:val="18"/>
      <w:lang w:val="en-GB"/>
    </w:rPr>
  </w:style>
  <w:style w:type="paragraph" w:styleId="Date">
    <w:name w:val="Date"/>
    <w:basedOn w:val="Normal"/>
    <w:next w:val="Normal"/>
    <w:link w:val="DateChar"/>
    <w:uiPriority w:val="99"/>
    <w:unhideWhenUsed/>
    <w:rsid w:val="00974E94"/>
    <w:pPr>
      <w:widowControl w:val="0"/>
      <w:suppressAutoHyphens/>
      <w:autoSpaceDE w:val="0"/>
      <w:autoSpaceDN w:val="0"/>
      <w:adjustRightInd w:val="0"/>
      <w:textAlignment w:val="center"/>
    </w:pPr>
    <w:rPr>
      <w:rFonts w:ascii="Times New Roman" w:eastAsia="Arial" w:hAnsi="Times New Roman" w:cs="Arial-BoldMT"/>
      <w:bCs/>
      <w:noProof/>
      <w:color w:val="000000"/>
      <w:szCs w:val="20"/>
      <w:lang w:val="en-GB"/>
    </w:rPr>
  </w:style>
  <w:style w:type="paragraph" w:customStyle="1" w:styleId="Footer2011">
    <w:name w:val="Footer 2011"/>
    <w:basedOn w:val="BasicParagraph"/>
    <w:qFormat/>
    <w:rsid w:val="00EF18E5"/>
    <w:rPr>
      <w:rFonts w:ascii="Arial" w:hAnsi="Arial" w:cs="HelveticaNeueLTStd-Roman"/>
      <w:color w:val="70423A"/>
      <w:sz w:val="16"/>
      <w:szCs w:val="16"/>
    </w:rPr>
  </w:style>
  <w:style w:type="character" w:customStyle="1" w:styleId="DateChar">
    <w:name w:val="Date Char"/>
    <w:link w:val="Date"/>
    <w:uiPriority w:val="99"/>
    <w:rsid w:val="00974E94"/>
    <w:rPr>
      <w:rFonts w:ascii="Arial Narrow" w:eastAsia="Arial" w:hAnsi="Arial Narrow" w:cs="Arial-BoldMT"/>
      <w:bCs/>
      <w:noProof/>
      <w:color w:val="000000"/>
      <w:sz w:val="24"/>
      <w:szCs w:val="24"/>
      <w:lang w:val="en-GB" w:eastAsia="pl-PL" w:bidi="ar-SA"/>
    </w:rPr>
  </w:style>
  <w:style w:type="paragraph" w:customStyle="1" w:styleId="Dear">
    <w:name w:val="Dear"/>
    <w:basedOn w:val="BodyText"/>
    <w:qFormat/>
    <w:rsid w:val="00974E94"/>
    <w:pPr>
      <w:widowControl w:val="0"/>
      <w:suppressAutoHyphens/>
      <w:autoSpaceDE w:val="0"/>
      <w:autoSpaceDN w:val="0"/>
      <w:adjustRightInd w:val="0"/>
      <w:spacing w:before="360" w:after="360"/>
      <w:jc w:val="left"/>
      <w:textAlignment w:val="center"/>
    </w:pPr>
    <w:rPr>
      <w:rFonts w:eastAsia="Arial" w:cs="ArialMT"/>
      <w:color w:val="000000"/>
      <w:szCs w:val="20"/>
      <w:lang w:val="en-US"/>
    </w:rPr>
  </w:style>
  <w:style w:type="character" w:styleId="Hyperlink">
    <w:name w:val="Hyperlink"/>
    <w:rsid w:val="006566D7"/>
    <w:rPr>
      <w:rFonts w:ascii="Arial Narrow" w:hAnsi="Arial Narrow"/>
      <w:color w:val="0000FF"/>
      <w:sz w:val="24"/>
      <w:szCs w:val="24"/>
      <w:u w:val="single"/>
      <w:lang w:val="pl-PL" w:eastAsia="pl-PL" w:bidi="ar-SA"/>
    </w:rPr>
  </w:style>
  <w:style w:type="table" w:styleId="TableGrid">
    <w:name w:val="Table Grid"/>
    <w:basedOn w:val="TableNormal"/>
    <w:rsid w:val="00656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CharChar">
    <w:name w:val="Char Char Char1 Char Char"/>
    <w:basedOn w:val="Normal"/>
    <w:link w:val="DefaultParagraphFont"/>
    <w:semiHidden/>
    <w:rsid w:val="00FF0FD9"/>
    <w:pPr>
      <w:numPr>
        <w:numId w:val="4"/>
      </w:numPr>
      <w:spacing w:before="100" w:line="220" w:lineRule="exact"/>
      <w:ind w:left="357" w:hanging="357"/>
      <w:jc w:val="both"/>
    </w:pPr>
    <w:rPr>
      <w:rFonts w:ascii="Arial Narrow" w:hAnsi="Arial Narrow"/>
      <w:lang w:val="pl-PL" w:eastAsia="pl-PL"/>
    </w:rPr>
  </w:style>
  <w:style w:type="paragraph" w:styleId="ListParagraph">
    <w:name w:val="List Paragraph"/>
    <w:basedOn w:val="Normal"/>
    <w:qFormat/>
    <w:rsid w:val="00306D1A"/>
    <w:pPr>
      <w:spacing w:after="200" w:line="276" w:lineRule="auto"/>
      <w:ind w:left="720"/>
      <w:contextualSpacing/>
    </w:pPr>
    <w:rPr>
      <w:rFonts w:ascii="Calibri" w:eastAsia="Calibri" w:hAnsi="Calibri"/>
      <w:sz w:val="22"/>
      <w:szCs w:val="22"/>
      <w:lang w:val="en-GB"/>
    </w:rPr>
  </w:style>
  <w:style w:type="character" w:customStyle="1" w:styleId="FooterChar">
    <w:name w:val="Footer Char"/>
    <w:link w:val="Footer"/>
    <w:uiPriority w:val="99"/>
    <w:rsid w:val="00306D1A"/>
    <w:rPr>
      <w:rFonts w:ascii="Arial" w:hAnsi="Arial"/>
      <w:sz w:val="24"/>
      <w:szCs w:val="24"/>
      <w:lang w:val="en-AU" w:eastAsia="en-US"/>
    </w:rPr>
  </w:style>
  <w:style w:type="paragraph" w:styleId="BalloonText">
    <w:name w:val="Balloon Text"/>
    <w:basedOn w:val="Normal"/>
    <w:link w:val="BalloonTextChar"/>
    <w:rsid w:val="00306D1A"/>
    <w:rPr>
      <w:rFonts w:ascii="Tahoma" w:hAnsi="Tahoma" w:cs="Tahoma"/>
      <w:sz w:val="16"/>
      <w:szCs w:val="16"/>
    </w:rPr>
  </w:style>
  <w:style w:type="character" w:customStyle="1" w:styleId="BalloonTextChar">
    <w:name w:val="Balloon Text Char"/>
    <w:link w:val="BalloonText"/>
    <w:rsid w:val="00306D1A"/>
    <w:rPr>
      <w:rFonts w:ascii="Tahoma" w:hAnsi="Tahoma" w:cs="Tahoma"/>
      <w:sz w:val="16"/>
      <w:szCs w:val="16"/>
      <w:lang w:val="en-AU" w:eastAsia="en-US" w:bidi="ar-SA"/>
    </w:rPr>
  </w:style>
  <w:style w:type="paragraph" w:styleId="FootnoteText">
    <w:name w:val="footnote text"/>
    <w:basedOn w:val="Normal"/>
    <w:link w:val="FootnoteTextChar"/>
    <w:rsid w:val="009751CB"/>
    <w:rPr>
      <w:sz w:val="20"/>
      <w:szCs w:val="20"/>
    </w:rPr>
  </w:style>
  <w:style w:type="character" w:customStyle="1" w:styleId="FootnoteTextChar">
    <w:name w:val="Footnote Text Char"/>
    <w:link w:val="FootnoteText"/>
    <w:rsid w:val="009751CB"/>
    <w:rPr>
      <w:rFonts w:ascii="Arial" w:hAnsi="Arial"/>
      <w:sz w:val="24"/>
      <w:szCs w:val="24"/>
      <w:lang w:val="en-AU" w:eastAsia="en-US" w:bidi="ar-SA"/>
    </w:rPr>
  </w:style>
  <w:style w:type="character" w:styleId="FootnoteReference">
    <w:name w:val="footnote reference"/>
    <w:rsid w:val="009751CB"/>
    <w:rPr>
      <w:rFonts w:ascii="Arial Narrow" w:hAnsi="Arial Narrow"/>
      <w:sz w:val="24"/>
      <w:szCs w:val="24"/>
      <w:vertAlign w:val="superscript"/>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87978">
      <w:bodyDiv w:val="1"/>
      <w:marLeft w:val="0"/>
      <w:marRight w:val="0"/>
      <w:marTop w:val="0"/>
      <w:marBottom w:val="0"/>
      <w:divBdr>
        <w:top w:val="none" w:sz="0" w:space="0" w:color="auto"/>
        <w:left w:val="none" w:sz="0" w:space="0" w:color="auto"/>
        <w:bottom w:val="none" w:sz="0" w:space="0" w:color="auto"/>
        <w:right w:val="none" w:sz="0" w:space="0" w:color="auto"/>
      </w:divBdr>
    </w:div>
    <w:div w:id="124927959">
      <w:bodyDiv w:val="1"/>
      <w:marLeft w:val="0"/>
      <w:marRight w:val="0"/>
      <w:marTop w:val="0"/>
      <w:marBottom w:val="0"/>
      <w:divBdr>
        <w:top w:val="none" w:sz="0" w:space="0" w:color="auto"/>
        <w:left w:val="none" w:sz="0" w:space="0" w:color="auto"/>
        <w:bottom w:val="none" w:sz="0" w:space="0" w:color="auto"/>
        <w:right w:val="none" w:sz="0" w:space="0" w:color="auto"/>
      </w:divBdr>
    </w:div>
    <w:div w:id="1079017042">
      <w:bodyDiv w:val="1"/>
      <w:marLeft w:val="0"/>
      <w:marRight w:val="0"/>
      <w:marTop w:val="0"/>
      <w:marBottom w:val="0"/>
      <w:divBdr>
        <w:top w:val="none" w:sz="0" w:space="0" w:color="auto"/>
        <w:left w:val="none" w:sz="0" w:space="0" w:color="auto"/>
        <w:bottom w:val="none" w:sz="0" w:space="0" w:color="auto"/>
        <w:right w:val="none" w:sz="0" w:space="0" w:color="auto"/>
      </w:divBdr>
    </w:div>
    <w:div w:id="1123303619">
      <w:bodyDiv w:val="1"/>
      <w:marLeft w:val="0"/>
      <w:marRight w:val="0"/>
      <w:marTop w:val="0"/>
      <w:marBottom w:val="0"/>
      <w:divBdr>
        <w:top w:val="none" w:sz="0" w:space="0" w:color="auto"/>
        <w:left w:val="none" w:sz="0" w:space="0" w:color="auto"/>
        <w:bottom w:val="none" w:sz="0" w:space="0" w:color="auto"/>
        <w:right w:val="none" w:sz="0" w:space="0" w:color="auto"/>
      </w:divBdr>
    </w:div>
    <w:div w:id="1242254241">
      <w:bodyDiv w:val="1"/>
      <w:marLeft w:val="0"/>
      <w:marRight w:val="0"/>
      <w:marTop w:val="0"/>
      <w:marBottom w:val="0"/>
      <w:divBdr>
        <w:top w:val="none" w:sz="0" w:space="0" w:color="auto"/>
        <w:left w:val="none" w:sz="0" w:space="0" w:color="auto"/>
        <w:bottom w:val="none" w:sz="0" w:space="0" w:color="auto"/>
        <w:right w:val="none" w:sz="0" w:space="0" w:color="auto"/>
      </w:divBdr>
    </w:div>
    <w:div w:id="142634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A8ADC7-7BA8-42DB-9920-5126481D4225}"/>
</file>

<file path=customXml/itemProps2.xml><?xml version="1.0" encoding="utf-8"?>
<ds:datastoreItem xmlns:ds="http://schemas.openxmlformats.org/officeDocument/2006/customXml" ds:itemID="{C6F27CEF-0DA7-458C-99E4-5C2F30616E06}"/>
</file>

<file path=customXml/itemProps3.xml><?xml version="1.0" encoding="utf-8"?>
<ds:datastoreItem xmlns:ds="http://schemas.openxmlformats.org/officeDocument/2006/customXml" ds:itemID="{E5009D77-614A-4633-82E3-CFBAFA0B7130}"/>
</file>

<file path=customXml/itemProps4.xml><?xml version="1.0" encoding="utf-8"?>
<ds:datastoreItem xmlns:ds="http://schemas.openxmlformats.org/officeDocument/2006/customXml" ds:itemID="{B906A695-118B-42D4-8D52-1872A0298982}"/>
</file>

<file path=docProps/app.xml><?xml version="1.0" encoding="utf-8"?>
<Properties xmlns="http://schemas.openxmlformats.org/officeDocument/2006/extended-properties" xmlns:vt="http://schemas.openxmlformats.org/officeDocument/2006/docPropsVTypes">
  <Template>Normal.dotm</Template>
  <TotalTime>0</TotalTime>
  <Pages>2</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nAME</vt:lpstr>
    </vt:vector>
  </TitlesOfParts>
  <Company>Smegma Inc.</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jemima.reeves</dc:creator>
  <cp:keywords/>
  <cp:lastModifiedBy>Lau, Lisa</cp:lastModifiedBy>
  <cp:revision>2</cp:revision>
  <cp:lastPrinted>2014-05-30T07:14:00Z</cp:lastPrinted>
  <dcterms:created xsi:type="dcterms:W3CDTF">2017-01-19T05:31:00Z</dcterms:created>
  <dcterms:modified xsi:type="dcterms:W3CDTF">2017-01-19T05:31:00Z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TitusGUID">
    <vt:lpwstr>04850c5f-773a-4c9b-9fa7-98cab0b7e718</vt:lpwstr>
  </property>
  <property fmtid="{D5CDD505-2E9C-101B-9397-08002B2CF9AE}" pid="4" name="SEC">
    <vt:lpwstr>UNCLASSIFIED</vt:lpwstr>
  </property>
  <property fmtid="{D5CDD505-2E9C-101B-9397-08002B2CF9AE}" pid="5" name="DLM">
    <vt:lpwstr>No DLM</vt:lpwstr>
  </property>
  <property fmtid="{D5CDD505-2E9C-101B-9397-08002B2CF9AE}" pid="6" name="Order">
    <vt:r8>1081400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