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B4" w:rsidRDefault="00070BB4" w:rsidP="00F63A6C">
      <w:pPr>
        <w:pStyle w:val="DocName"/>
        <w:pBdr>
          <w:top w:val="single" w:sz="4" w:space="12" w:color="FF9900"/>
          <w:bottom w:val="single" w:sz="4" w:space="5" w:color="FF9900"/>
        </w:pBdr>
        <w:shd w:val="clear" w:color="auto" w:fill="FFFFCC"/>
        <w:spacing w:line="360" w:lineRule="auto"/>
        <w:jc w:val="both"/>
        <w:rPr>
          <w:sz w:val="24"/>
          <w:lang w:eastAsia="en-AU"/>
        </w:rPr>
      </w:pPr>
      <w:r>
        <w:rPr>
          <w:sz w:val="24"/>
          <w:lang w:eastAsia="en-AU"/>
        </w:rPr>
        <w:t xml:space="preserve">Independent Evaluation of </w:t>
      </w:r>
      <w:r w:rsidR="00091973">
        <w:rPr>
          <w:sz w:val="24"/>
          <w:lang w:eastAsia="en-AU"/>
        </w:rPr>
        <w:t>Yogya-Central Java Community Assistance Program (YCAP)</w:t>
      </w:r>
    </w:p>
    <w:p w:rsidR="00070BB4" w:rsidRDefault="00070BB4" w:rsidP="00F63A6C">
      <w:pPr>
        <w:pStyle w:val="DocName"/>
        <w:pBdr>
          <w:top w:val="single" w:sz="4" w:space="12" w:color="FF9900"/>
          <w:bottom w:val="single" w:sz="4" w:space="5" w:color="FF9900"/>
        </w:pBdr>
        <w:shd w:val="clear" w:color="auto" w:fill="FFFFCC"/>
        <w:spacing w:line="360" w:lineRule="auto"/>
        <w:jc w:val="both"/>
        <w:rPr>
          <w:sz w:val="24"/>
          <w:lang w:eastAsia="en-AU"/>
        </w:rPr>
      </w:pPr>
      <w:r>
        <w:rPr>
          <w:sz w:val="24"/>
          <w:lang w:eastAsia="en-AU"/>
        </w:rPr>
        <w:t xml:space="preserve">MANAGEMENT RESPONSE </w:t>
      </w:r>
      <w:r w:rsidR="002A7713">
        <w:rPr>
          <w:sz w:val="24"/>
          <w:lang w:eastAsia="en-AU"/>
        </w:rPr>
        <w:t xml:space="preserve">and </w:t>
      </w:r>
      <w:r>
        <w:rPr>
          <w:sz w:val="24"/>
          <w:lang w:eastAsia="en-AU"/>
        </w:rPr>
        <w:t>LEARNING and DISSEMINATION PLAN</w:t>
      </w:r>
    </w:p>
    <w:p w:rsidR="00070BB4" w:rsidRPr="00565E3B" w:rsidRDefault="00070BB4" w:rsidP="00F63A6C">
      <w:pPr>
        <w:pStyle w:val="Heading2"/>
        <w:spacing w:before="480"/>
        <w:jc w:val="both"/>
      </w:pPr>
      <w:r>
        <w:t>Aid Activity Summary</w:t>
      </w:r>
    </w:p>
    <w:tbl>
      <w:tblPr>
        <w:tblW w:w="981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363"/>
        <w:gridCol w:w="2126"/>
        <w:gridCol w:w="1701"/>
        <w:gridCol w:w="3622"/>
      </w:tblGrid>
      <w:tr w:rsidR="00070BB4" w:rsidRPr="00F2320B">
        <w:trPr>
          <w:cantSplit/>
          <w:tblHeader/>
        </w:trPr>
        <w:tc>
          <w:tcPr>
            <w:tcW w:w="2363" w:type="dxa"/>
            <w:shd w:val="clear" w:color="auto" w:fill="E0E0E0"/>
            <w:vAlign w:val="center"/>
          </w:tcPr>
          <w:p w:rsidR="00070BB4" w:rsidRPr="00070BB4" w:rsidRDefault="00070BB4" w:rsidP="00F63A6C">
            <w:pPr>
              <w:pStyle w:val="Table-normal-text"/>
              <w:jc w:val="both"/>
              <w:rPr>
                <w:b/>
              </w:rPr>
            </w:pPr>
            <w:r w:rsidRPr="00070BB4">
              <w:rPr>
                <w:b/>
              </w:rPr>
              <w:t>Aid Activity Name</w:t>
            </w:r>
          </w:p>
        </w:tc>
        <w:tc>
          <w:tcPr>
            <w:tcW w:w="7449" w:type="dxa"/>
            <w:gridSpan w:val="3"/>
            <w:shd w:val="clear" w:color="auto" w:fill="E0E0E0"/>
            <w:vAlign w:val="center"/>
          </w:tcPr>
          <w:p w:rsidR="00070BB4" w:rsidRPr="00070BB4" w:rsidRDefault="00842A33" w:rsidP="00F63A6C">
            <w:pPr>
              <w:pStyle w:val="Table-normal-text"/>
              <w:jc w:val="both"/>
              <w:rPr>
                <w:b/>
              </w:rPr>
            </w:pPr>
            <w:r>
              <w:rPr>
                <w:b/>
              </w:rPr>
              <w:t>Yogya-Central Java Community Assistance Program</w:t>
            </w:r>
          </w:p>
        </w:tc>
      </w:tr>
      <w:tr w:rsidR="00070BB4" w:rsidRPr="00070BB4">
        <w:trPr>
          <w:cantSplit/>
        </w:trPr>
        <w:tc>
          <w:tcPr>
            <w:tcW w:w="2363" w:type="dxa"/>
            <w:shd w:val="clear" w:color="auto" w:fill="auto"/>
          </w:tcPr>
          <w:p w:rsidR="00070BB4" w:rsidRPr="00F2320B" w:rsidRDefault="00070BB4" w:rsidP="00F63A6C">
            <w:pPr>
              <w:pStyle w:val="Table-normal-text"/>
              <w:jc w:val="both"/>
            </w:pPr>
            <w:r w:rsidRPr="00F2320B">
              <w:t>AidWorks initiative number</w:t>
            </w:r>
          </w:p>
        </w:tc>
        <w:tc>
          <w:tcPr>
            <w:tcW w:w="7449" w:type="dxa"/>
            <w:gridSpan w:val="3"/>
            <w:shd w:val="clear" w:color="auto" w:fill="auto"/>
            <w:vAlign w:val="center"/>
          </w:tcPr>
          <w:p w:rsidR="00070BB4" w:rsidRPr="00070BB4" w:rsidRDefault="004C49AF" w:rsidP="00F63A6C">
            <w:pPr>
              <w:autoSpaceDE w:val="0"/>
              <w:autoSpaceDN w:val="0"/>
              <w:adjustRightInd w:val="0"/>
              <w:spacing w:before="0"/>
              <w:jc w:val="both"/>
              <w:rPr>
                <w:rFonts w:cs="Arial"/>
                <w:color w:val="000080"/>
                <w:lang w:val="en-GB" w:eastAsia="en-GB"/>
              </w:rPr>
            </w:pPr>
            <w:r>
              <w:rPr>
                <w:lang w:val="en-GB" w:eastAsia="en-GB"/>
              </w:rPr>
              <w:t>ING646 – Yogya Reconstruction Program</w:t>
            </w:r>
          </w:p>
        </w:tc>
      </w:tr>
      <w:tr w:rsidR="00070BB4" w:rsidRPr="00697031">
        <w:trPr>
          <w:cantSplit/>
        </w:trPr>
        <w:tc>
          <w:tcPr>
            <w:tcW w:w="2363" w:type="dxa"/>
            <w:shd w:val="clear" w:color="auto" w:fill="auto"/>
          </w:tcPr>
          <w:p w:rsidR="00070BB4" w:rsidRPr="00F2320B" w:rsidRDefault="00070BB4" w:rsidP="00F63A6C">
            <w:pPr>
              <w:pStyle w:val="Table-normal-text"/>
              <w:jc w:val="both"/>
            </w:pPr>
            <w:r w:rsidRPr="00F2320B">
              <w:t xml:space="preserve">Commencement </w:t>
            </w:r>
            <w:r>
              <w:t>d</w:t>
            </w:r>
            <w:r w:rsidRPr="00F2320B">
              <w:t>ate</w:t>
            </w:r>
          </w:p>
        </w:tc>
        <w:tc>
          <w:tcPr>
            <w:tcW w:w="2126" w:type="dxa"/>
            <w:shd w:val="clear" w:color="auto" w:fill="auto"/>
          </w:tcPr>
          <w:p w:rsidR="00070BB4" w:rsidRPr="00697031" w:rsidRDefault="004C49AF" w:rsidP="00F63A6C">
            <w:pPr>
              <w:pStyle w:val="Table-normal-text"/>
              <w:jc w:val="both"/>
            </w:pPr>
            <w:r>
              <w:t>June</w:t>
            </w:r>
            <w:r w:rsidR="00070BB4" w:rsidRPr="00697031">
              <w:t xml:space="preserve"> 2006</w:t>
            </w:r>
          </w:p>
        </w:tc>
        <w:tc>
          <w:tcPr>
            <w:tcW w:w="1701" w:type="dxa"/>
            <w:shd w:val="clear" w:color="auto" w:fill="auto"/>
          </w:tcPr>
          <w:p w:rsidR="00070BB4" w:rsidRPr="00697031" w:rsidRDefault="00070BB4" w:rsidP="00F63A6C">
            <w:pPr>
              <w:pStyle w:val="Table-normal-text"/>
              <w:jc w:val="both"/>
            </w:pPr>
            <w:r w:rsidRPr="00697031">
              <w:t>Completio</w:t>
            </w:r>
            <w:bookmarkStart w:id="0" w:name="_GoBack"/>
            <w:bookmarkEnd w:id="0"/>
            <w:r w:rsidRPr="00697031">
              <w:t>n date</w:t>
            </w:r>
          </w:p>
        </w:tc>
        <w:tc>
          <w:tcPr>
            <w:tcW w:w="3622" w:type="dxa"/>
            <w:shd w:val="clear" w:color="auto" w:fill="auto"/>
          </w:tcPr>
          <w:p w:rsidR="00070BB4" w:rsidRPr="00697031" w:rsidRDefault="004C49AF" w:rsidP="00F63A6C">
            <w:pPr>
              <w:pStyle w:val="Table-normal-text"/>
              <w:jc w:val="both"/>
            </w:pPr>
            <w:r>
              <w:t>June</w:t>
            </w:r>
            <w:r w:rsidR="00070BB4" w:rsidRPr="00697031">
              <w:t xml:space="preserve"> 2010</w:t>
            </w:r>
          </w:p>
        </w:tc>
      </w:tr>
      <w:tr w:rsidR="00070BB4" w:rsidRPr="00697031">
        <w:trPr>
          <w:cantSplit/>
        </w:trPr>
        <w:tc>
          <w:tcPr>
            <w:tcW w:w="2363" w:type="dxa"/>
            <w:shd w:val="clear" w:color="auto" w:fill="auto"/>
          </w:tcPr>
          <w:p w:rsidR="00070BB4" w:rsidRPr="00F2320B" w:rsidRDefault="00070BB4" w:rsidP="00F63A6C">
            <w:pPr>
              <w:pStyle w:val="Table-normal-text"/>
              <w:jc w:val="both"/>
            </w:pPr>
            <w:r>
              <w:t>Total Australian $</w:t>
            </w:r>
          </w:p>
        </w:tc>
        <w:tc>
          <w:tcPr>
            <w:tcW w:w="7449" w:type="dxa"/>
            <w:gridSpan w:val="3"/>
            <w:shd w:val="clear" w:color="auto" w:fill="auto"/>
          </w:tcPr>
          <w:p w:rsidR="00070BB4" w:rsidRPr="00697031" w:rsidRDefault="004C49AF" w:rsidP="00F63A6C">
            <w:pPr>
              <w:pStyle w:val="Table-normal-text"/>
              <w:jc w:val="both"/>
            </w:pPr>
            <w:r>
              <w:t>30,000,000</w:t>
            </w:r>
          </w:p>
        </w:tc>
      </w:tr>
      <w:tr w:rsidR="00070BB4" w:rsidRPr="0019156C">
        <w:trPr>
          <w:cantSplit/>
        </w:trPr>
        <w:tc>
          <w:tcPr>
            <w:tcW w:w="2363" w:type="dxa"/>
            <w:shd w:val="clear" w:color="auto" w:fill="auto"/>
          </w:tcPr>
          <w:p w:rsidR="00070BB4" w:rsidRPr="00F2320B" w:rsidRDefault="00070BB4" w:rsidP="00F63A6C">
            <w:pPr>
              <w:pStyle w:val="Table-normal-text"/>
              <w:jc w:val="both"/>
            </w:pPr>
            <w:r>
              <w:t>Total other $</w:t>
            </w:r>
          </w:p>
        </w:tc>
        <w:tc>
          <w:tcPr>
            <w:tcW w:w="7449" w:type="dxa"/>
            <w:gridSpan w:val="3"/>
            <w:shd w:val="clear" w:color="auto" w:fill="auto"/>
          </w:tcPr>
          <w:p w:rsidR="00070BB4" w:rsidRPr="0019156C" w:rsidRDefault="0072270A" w:rsidP="00F63A6C">
            <w:pPr>
              <w:pStyle w:val="Table-normal-text"/>
              <w:jc w:val="both"/>
            </w:pPr>
            <w:r>
              <w:t>Personnel</w:t>
            </w:r>
            <w:r w:rsidR="00070BB4" w:rsidRPr="0019156C">
              <w:t xml:space="preserve"> and other in-kind inputs from Government of Indonesia staff in Jakarta</w:t>
            </w:r>
            <w:r w:rsidR="00231263">
              <w:t xml:space="preserve">, </w:t>
            </w:r>
            <w:r w:rsidR="004A390D">
              <w:t xml:space="preserve">Yogyakarta </w:t>
            </w:r>
            <w:r w:rsidR="004A390D" w:rsidRPr="0019156C">
              <w:t>and</w:t>
            </w:r>
            <w:r w:rsidR="004A390D">
              <w:t xml:space="preserve"> </w:t>
            </w:r>
            <w:r w:rsidR="00231263">
              <w:t xml:space="preserve">Central Java </w:t>
            </w:r>
            <w:r w:rsidR="004A390D">
              <w:t>province</w:t>
            </w:r>
            <w:r>
              <w:t>, and community contribution</w:t>
            </w:r>
          </w:p>
        </w:tc>
      </w:tr>
      <w:tr w:rsidR="00070BB4" w:rsidRPr="0019156C">
        <w:trPr>
          <w:cantSplit/>
        </w:trPr>
        <w:tc>
          <w:tcPr>
            <w:tcW w:w="2363" w:type="dxa"/>
            <w:shd w:val="clear" w:color="auto" w:fill="auto"/>
          </w:tcPr>
          <w:p w:rsidR="00070BB4" w:rsidRPr="00F2320B" w:rsidRDefault="00070BB4" w:rsidP="00F63A6C">
            <w:pPr>
              <w:pStyle w:val="Table-normal-text"/>
              <w:jc w:val="both"/>
            </w:pPr>
            <w:r w:rsidRPr="00F2320B">
              <w:t>Delivery organisation(s)</w:t>
            </w:r>
          </w:p>
        </w:tc>
        <w:tc>
          <w:tcPr>
            <w:tcW w:w="7449" w:type="dxa"/>
            <w:gridSpan w:val="3"/>
            <w:shd w:val="clear" w:color="auto" w:fill="auto"/>
            <w:vAlign w:val="center"/>
          </w:tcPr>
          <w:p w:rsidR="00070BB4" w:rsidRPr="0019156C" w:rsidRDefault="00231263" w:rsidP="006F6391">
            <w:pPr>
              <w:pStyle w:val="PlainText"/>
            </w:pPr>
            <w:r>
              <w:t>RHK Management in association with IDSS</w:t>
            </w:r>
            <w:r w:rsidR="006F6391">
              <w:t xml:space="preserve"> (International Development Support Services)</w:t>
            </w:r>
          </w:p>
        </w:tc>
      </w:tr>
      <w:tr w:rsidR="00070BB4" w:rsidRPr="0019156C">
        <w:trPr>
          <w:cantSplit/>
          <w:trHeight w:val="850"/>
        </w:trPr>
        <w:tc>
          <w:tcPr>
            <w:tcW w:w="2363" w:type="dxa"/>
            <w:shd w:val="clear" w:color="auto" w:fill="auto"/>
          </w:tcPr>
          <w:p w:rsidR="00070BB4" w:rsidRPr="00F2320B" w:rsidRDefault="00070BB4" w:rsidP="00F63A6C">
            <w:pPr>
              <w:pStyle w:val="Table-normal-text"/>
              <w:jc w:val="both"/>
            </w:pPr>
            <w:r w:rsidRPr="00F2320B">
              <w:t>Implementing Partner(s)</w:t>
            </w:r>
          </w:p>
        </w:tc>
        <w:tc>
          <w:tcPr>
            <w:tcW w:w="7449" w:type="dxa"/>
            <w:gridSpan w:val="3"/>
            <w:shd w:val="clear" w:color="auto" w:fill="auto"/>
            <w:vAlign w:val="center"/>
          </w:tcPr>
          <w:p w:rsidR="00070BB4" w:rsidRPr="00070BB4" w:rsidRDefault="00231263" w:rsidP="00F63A6C">
            <w:pPr>
              <w:pStyle w:val="Table-normal-text"/>
              <w:jc w:val="both"/>
              <w:rPr>
                <w:szCs w:val="20"/>
              </w:rPr>
            </w:pPr>
            <w:r>
              <w:rPr>
                <w:szCs w:val="20"/>
              </w:rPr>
              <w:t>International and National Non Government Organisations (NGOs)</w:t>
            </w:r>
            <w:r w:rsidR="0072270A">
              <w:rPr>
                <w:szCs w:val="20"/>
              </w:rPr>
              <w:t xml:space="preserve">; Local </w:t>
            </w:r>
            <w:r w:rsidR="00F63A6C">
              <w:rPr>
                <w:szCs w:val="20"/>
              </w:rPr>
              <w:t>Governments</w:t>
            </w:r>
          </w:p>
        </w:tc>
      </w:tr>
      <w:tr w:rsidR="00070BB4" w:rsidRPr="0019156C">
        <w:trPr>
          <w:cantSplit/>
        </w:trPr>
        <w:tc>
          <w:tcPr>
            <w:tcW w:w="2363" w:type="dxa"/>
            <w:shd w:val="clear" w:color="auto" w:fill="auto"/>
          </w:tcPr>
          <w:p w:rsidR="00070BB4" w:rsidRPr="00F2320B" w:rsidRDefault="00070BB4" w:rsidP="00F63A6C">
            <w:pPr>
              <w:pStyle w:val="Table-normal-text"/>
              <w:jc w:val="both"/>
            </w:pPr>
            <w:r w:rsidRPr="00F2320B">
              <w:t>Country/Region</w:t>
            </w:r>
          </w:p>
        </w:tc>
        <w:tc>
          <w:tcPr>
            <w:tcW w:w="7449" w:type="dxa"/>
            <w:gridSpan w:val="3"/>
            <w:shd w:val="clear" w:color="auto" w:fill="auto"/>
          </w:tcPr>
          <w:p w:rsidR="00070BB4" w:rsidRPr="0019156C" w:rsidRDefault="004A390D" w:rsidP="00F63A6C">
            <w:pPr>
              <w:pStyle w:val="Table-normal-text"/>
              <w:jc w:val="both"/>
            </w:pPr>
            <w:r>
              <w:t xml:space="preserve">Yogyakarta </w:t>
            </w:r>
            <w:r w:rsidR="0072270A">
              <w:t xml:space="preserve">Province </w:t>
            </w:r>
            <w:r>
              <w:t>and Central</w:t>
            </w:r>
            <w:r w:rsidR="005A1B17">
              <w:t xml:space="preserve"> </w:t>
            </w:r>
            <w:r>
              <w:t>Java Province, Indonesia</w:t>
            </w:r>
          </w:p>
        </w:tc>
      </w:tr>
      <w:tr w:rsidR="00070BB4" w:rsidRPr="0019156C">
        <w:trPr>
          <w:cantSplit/>
        </w:trPr>
        <w:tc>
          <w:tcPr>
            <w:tcW w:w="2363" w:type="dxa"/>
            <w:shd w:val="clear" w:color="auto" w:fill="auto"/>
          </w:tcPr>
          <w:p w:rsidR="00070BB4" w:rsidRPr="00F2320B" w:rsidRDefault="00070BB4" w:rsidP="00F63A6C">
            <w:pPr>
              <w:pStyle w:val="Table-normal-text"/>
              <w:jc w:val="both"/>
            </w:pPr>
            <w:r w:rsidRPr="00F2320B">
              <w:t>Primary Sector</w:t>
            </w:r>
          </w:p>
        </w:tc>
        <w:tc>
          <w:tcPr>
            <w:tcW w:w="7449" w:type="dxa"/>
            <w:gridSpan w:val="3"/>
            <w:shd w:val="clear" w:color="auto" w:fill="auto"/>
          </w:tcPr>
          <w:p w:rsidR="00070BB4" w:rsidRPr="0019156C" w:rsidRDefault="004A390D" w:rsidP="00F63A6C">
            <w:pPr>
              <w:pStyle w:val="Table-normal-text"/>
              <w:jc w:val="both"/>
            </w:pPr>
            <w:r>
              <w:t xml:space="preserve">School Construction, Improving Livelihood and Disaster Risk Reduction </w:t>
            </w:r>
            <w:r w:rsidR="006F6391">
              <w:t>(DRR)</w:t>
            </w:r>
          </w:p>
        </w:tc>
      </w:tr>
    </w:tbl>
    <w:p w:rsidR="00070BB4" w:rsidRPr="000619DE" w:rsidRDefault="00070BB4" w:rsidP="00F63A6C">
      <w:pPr>
        <w:jc w:val="both"/>
        <w:rPr>
          <w:rFonts w:cs="Arial"/>
          <w:szCs w:val="20"/>
          <w:lang w:eastAsia="en-AU"/>
        </w:rPr>
      </w:pPr>
    </w:p>
    <w:p w:rsidR="00070BB4" w:rsidRPr="000619DE" w:rsidRDefault="00070BB4" w:rsidP="00F63A6C">
      <w:pPr>
        <w:jc w:val="both"/>
        <w:rPr>
          <w:rFonts w:cs="Arial"/>
          <w:b/>
          <w:szCs w:val="20"/>
        </w:rPr>
      </w:pPr>
      <w:r w:rsidRPr="000619DE">
        <w:rPr>
          <w:rFonts w:cs="Arial"/>
          <w:b/>
          <w:szCs w:val="20"/>
        </w:rPr>
        <w:t>Aid Activity Objective:</w:t>
      </w:r>
    </w:p>
    <w:p w:rsidR="000619DE" w:rsidRPr="000619DE" w:rsidRDefault="000619DE" w:rsidP="00F63A6C">
      <w:pPr>
        <w:jc w:val="both"/>
        <w:rPr>
          <w:rFonts w:cs="Arial"/>
          <w:b/>
          <w:szCs w:val="20"/>
        </w:rPr>
      </w:pPr>
    </w:p>
    <w:p w:rsidR="000619DE" w:rsidRDefault="000619DE" w:rsidP="00F63A6C">
      <w:pPr>
        <w:numPr>
          <w:ilvl w:val="1"/>
          <w:numId w:val="24"/>
        </w:numPr>
        <w:spacing w:before="0"/>
        <w:ind w:hanging="720"/>
        <w:jc w:val="both"/>
        <w:rPr>
          <w:rFonts w:cs="Arial"/>
          <w:szCs w:val="20"/>
        </w:rPr>
      </w:pPr>
      <w:r w:rsidRPr="000619DE">
        <w:rPr>
          <w:rFonts w:cs="Arial"/>
          <w:b/>
          <w:szCs w:val="20"/>
        </w:rPr>
        <w:t xml:space="preserve">Australia Indonesia Partnership for Reconstruction and Development </w:t>
      </w:r>
    </w:p>
    <w:p w:rsidR="00F17F21" w:rsidRDefault="00E90455" w:rsidP="009D6631">
      <w:pPr>
        <w:jc w:val="both"/>
        <w:rPr>
          <w:rFonts w:cs="Arial"/>
          <w:szCs w:val="20"/>
        </w:rPr>
      </w:pPr>
      <w:r>
        <w:rPr>
          <w:rFonts w:cs="Arial"/>
          <w:szCs w:val="20"/>
        </w:rPr>
        <w:t>O</w:t>
      </w:r>
      <w:r w:rsidRPr="000619DE">
        <w:rPr>
          <w:rFonts w:cs="Arial"/>
          <w:szCs w:val="20"/>
        </w:rPr>
        <w:t xml:space="preserve">n </w:t>
      </w:r>
      <w:r w:rsidR="00B36160" w:rsidRPr="000619DE">
        <w:rPr>
          <w:rFonts w:cs="Arial"/>
          <w:szCs w:val="20"/>
        </w:rPr>
        <w:t>17</w:t>
      </w:r>
      <w:r w:rsidR="00B36160">
        <w:rPr>
          <w:rFonts w:cs="Arial"/>
          <w:szCs w:val="20"/>
        </w:rPr>
        <w:t> </w:t>
      </w:r>
      <w:r w:rsidR="00B36160" w:rsidRPr="000619DE">
        <w:rPr>
          <w:rFonts w:cs="Arial"/>
          <w:szCs w:val="20"/>
        </w:rPr>
        <w:t>March</w:t>
      </w:r>
      <w:r w:rsidR="00B36160">
        <w:rPr>
          <w:rFonts w:cs="Arial"/>
          <w:szCs w:val="20"/>
        </w:rPr>
        <w:t> </w:t>
      </w:r>
      <w:r w:rsidRPr="000619DE">
        <w:rPr>
          <w:rFonts w:cs="Arial"/>
          <w:szCs w:val="20"/>
        </w:rPr>
        <w:t>2005</w:t>
      </w:r>
      <w:r>
        <w:rPr>
          <w:rFonts w:cs="Arial"/>
          <w:szCs w:val="20"/>
        </w:rPr>
        <w:t xml:space="preserve"> t</w:t>
      </w:r>
      <w:r w:rsidR="00F17F21" w:rsidRPr="000619DE">
        <w:rPr>
          <w:rFonts w:cs="Arial"/>
          <w:szCs w:val="20"/>
        </w:rPr>
        <w:t xml:space="preserve">he inaugural Joint Commission meeting of </w:t>
      </w:r>
      <w:r w:rsidR="000B78F2">
        <w:rPr>
          <w:rFonts w:cs="Arial"/>
          <w:szCs w:val="20"/>
        </w:rPr>
        <w:t xml:space="preserve">ministers for </w:t>
      </w:r>
      <w:r w:rsidR="00F17F21" w:rsidRPr="000619DE">
        <w:rPr>
          <w:rFonts w:cs="Arial"/>
          <w:szCs w:val="20"/>
        </w:rPr>
        <w:t xml:space="preserve">the Australia Indonesia Partnership for Reconstruction and Development (AIPRD) agreed a number of programs and activities to be funded from Australia’s </w:t>
      </w:r>
      <w:r w:rsidR="009D6631">
        <w:rPr>
          <w:rFonts w:cs="Arial"/>
          <w:szCs w:val="20"/>
        </w:rPr>
        <w:t>A$</w:t>
      </w:r>
      <w:r w:rsidR="00B36160">
        <w:rPr>
          <w:rFonts w:cs="Arial"/>
          <w:szCs w:val="20"/>
        </w:rPr>
        <w:t> </w:t>
      </w:r>
      <w:r w:rsidR="009D6631">
        <w:rPr>
          <w:rFonts w:cs="Arial"/>
          <w:szCs w:val="20"/>
        </w:rPr>
        <w:t>1</w:t>
      </w:r>
      <w:r w:rsidR="00B36160">
        <w:rPr>
          <w:rFonts w:cs="Arial"/>
          <w:szCs w:val="20"/>
        </w:rPr>
        <w:t> </w:t>
      </w:r>
      <w:r w:rsidR="000B78F2">
        <w:rPr>
          <w:rFonts w:cs="Arial"/>
          <w:szCs w:val="20"/>
        </w:rPr>
        <w:t>billion</w:t>
      </w:r>
      <w:r w:rsidR="00F17F21" w:rsidRPr="000619DE">
        <w:rPr>
          <w:rFonts w:cs="Arial"/>
          <w:szCs w:val="20"/>
        </w:rPr>
        <w:t xml:space="preserve"> post tsunami aid package. Endorsed by the AIPRD Joint Commission, the Partnership Framework outlines a program structure for the AIPRD based on two main themes: 1</w:t>
      </w:r>
      <w:r w:rsidR="00B36160" w:rsidRPr="000619DE">
        <w:rPr>
          <w:rFonts w:cs="Arial"/>
          <w:szCs w:val="20"/>
        </w:rPr>
        <w:t>.</w:t>
      </w:r>
      <w:r w:rsidR="00B36160">
        <w:rPr>
          <w:rFonts w:cs="Arial"/>
          <w:szCs w:val="20"/>
        </w:rPr>
        <w:t> </w:t>
      </w:r>
      <w:r w:rsidR="00F17F21" w:rsidRPr="000619DE">
        <w:rPr>
          <w:rFonts w:cs="Arial"/>
          <w:szCs w:val="20"/>
        </w:rPr>
        <w:t>Emergency Preparedness and Response; and 2</w:t>
      </w:r>
      <w:r w:rsidR="00B36160" w:rsidRPr="000619DE">
        <w:rPr>
          <w:rFonts w:cs="Arial"/>
          <w:szCs w:val="20"/>
        </w:rPr>
        <w:t>.</w:t>
      </w:r>
      <w:r w:rsidR="00B36160">
        <w:rPr>
          <w:rFonts w:cs="Arial"/>
          <w:szCs w:val="20"/>
        </w:rPr>
        <w:t> </w:t>
      </w:r>
      <w:r w:rsidR="00F17F21" w:rsidRPr="000619DE">
        <w:rPr>
          <w:rFonts w:cs="Arial"/>
          <w:szCs w:val="20"/>
        </w:rPr>
        <w:t>Promoting broad-based economic growth.</w:t>
      </w:r>
    </w:p>
    <w:p w:rsidR="00C168D0" w:rsidRDefault="00C168D0" w:rsidP="009D6631">
      <w:pPr>
        <w:jc w:val="both"/>
        <w:rPr>
          <w:rFonts w:cs="Arial"/>
          <w:szCs w:val="20"/>
        </w:rPr>
      </w:pPr>
    </w:p>
    <w:p w:rsidR="000619DE" w:rsidRPr="000619DE" w:rsidRDefault="000619DE" w:rsidP="00F63A6C">
      <w:pPr>
        <w:numPr>
          <w:ilvl w:val="1"/>
          <w:numId w:val="24"/>
        </w:numPr>
        <w:spacing w:before="0"/>
        <w:ind w:hanging="720"/>
        <w:jc w:val="both"/>
        <w:rPr>
          <w:rFonts w:cs="Arial"/>
          <w:b/>
          <w:szCs w:val="20"/>
        </w:rPr>
      </w:pPr>
      <w:r w:rsidRPr="000619DE">
        <w:rPr>
          <w:rFonts w:cs="Arial"/>
          <w:b/>
          <w:szCs w:val="20"/>
        </w:rPr>
        <w:t>Yogya</w:t>
      </w:r>
      <w:r>
        <w:rPr>
          <w:rFonts w:cs="Arial"/>
          <w:b/>
          <w:szCs w:val="20"/>
        </w:rPr>
        <w:t xml:space="preserve">karta </w:t>
      </w:r>
      <w:r w:rsidRPr="000619DE">
        <w:rPr>
          <w:rFonts w:cs="Arial"/>
          <w:b/>
          <w:szCs w:val="20"/>
        </w:rPr>
        <w:t>-</w:t>
      </w:r>
      <w:r>
        <w:rPr>
          <w:rFonts w:cs="Arial"/>
          <w:b/>
          <w:szCs w:val="20"/>
        </w:rPr>
        <w:t xml:space="preserve"> </w:t>
      </w:r>
      <w:r w:rsidRPr="000619DE">
        <w:rPr>
          <w:rFonts w:cs="Arial"/>
          <w:b/>
          <w:szCs w:val="20"/>
        </w:rPr>
        <w:t>Central Java Community Assistance Program</w:t>
      </w:r>
      <w:r>
        <w:rPr>
          <w:rFonts w:cs="Arial"/>
          <w:b/>
          <w:szCs w:val="20"/>
        </w:rPr>
        <w:t xml:space="preserve"> (YCAP)</w:t>
      </w:r>
    </w:p>
    <w:p w:rsidR="000619DE" w:rsidRPr="000619DE" w:rsidRDefault="00B36160" w:rsidP="00F63A6C">
      <w:pPr>
        <w:jc w:val="both"/>
        <w:rPr>
          <w:rFonts w:cs="Arial"/>
          <w:szCs w:val="20"/>
        </w:rPr>
      </w:pPr>
      <w:r w:rsidRPr="000619DE">
        <w:rPr>
          <w:rFonts w:cs="Arial"/>
          <w:szCs w:val="20"/>
        </w:rPr>
        <w:t>On</w:t>
      </w:r>
      <w:r>
        <w:rPr>
          <w:rFonts w:cs="Arial"/>
          <w:szCs w:val="20"/>
        </w:rPr>
        <w:t> </w:t>
      </w:r>
      <w:r w:rsidRPr="000619DE">
        <w:rPr>
          <w:rFonts w:cs="Arial"/>
          <w:szCs w:val="20"/>
        </w:rPr>
        <w:t>27</w:t>
      </w:r>
      <w:r>
        <w:rPr>
          <w:rFonts w:cs="Arial"/>
          <w:szCs w:val="20"/>
        </w:rPr>
        <w:t> </w:t>
      </w:r>
      <w:r w:rsidRPr="000619DE">
        <w:rPr>
          <w:rFonts w:cs="Arial"/>
          <w:szCs w:val="20"/>
        </w:rPr>
        <w:t>May</w:t>
      </w:r>
      <w:r>
        <w:rPr>
          <w:rFonts w:cs="Arial"/>
          <w:szCs w:val="20"/>
        </w:rPr>
        <w:t> </w:t>
      </w:r>
      <w:r w:rsidR="000619DE" w:rsidRPr="000619DE">
        <w:rPr>
          <w:rFonts w:cs="Arial"/>
          <w:szCs w:val="20"/>
        </w:rPr>
        <w:t xml:space="preserve">2006 an earthquake measuring 6.2 on the Richter scale occurred off the coast of South Java </w:t>
      </w:r>
      <w:r w:rsidR="006F6391">
        <w:rPr>
          <w:rFonts w:cs="Arial"/>
          <w:szCs w:val="20"/>
        </w:rPr>
        <w:t xml:space="preserve">and </w:t>
      </w:r>
      <w:r w:rsidR="006F6391" w:rsidRPr="000619DE">
        <w:rPr>
          <w:rFonts w:cs="Arial"/>
          <w:szCs w:val="20"/>
        </w:rPr>
        <w:t>affect</w:t>
      </w:r>
      <w:r w:rsidR="006F6391">
        <w:rPr>
          <w:rFonts w:cs="Arial"/>
          <w:szCs w:val="20"/>
        </w:rPr>
        <w:t>ed</w:t>
      </w:r>
      <w:r w:rsidR="006F6391" w:rsidRPr="000619DE">
        <w:rPr>
          <w:rFonts w:cs="Arial"/>
          <w:szCs w:val="20"/>
        </w:rPr>
        <w:t xml:space="preserve"> </w:t>
      </w:r>
      <w:r w:rsidR="000619DE" w:rsidRPr="000619DE">
        <w:rPr>
          <w:rFonts w:cs="Arial"/>
          <w:szCs w:val="20"/>
        </w:rPr>
        <w:t xml:space="preserve">the provinces of Yogyakarta (Bantul, Sleman, Gunung Kidul and Kulon Progo districts) and Central Java (Klaten, Magelang, Boyolali and Purwerejo). </w:t>
      </w:r>
    </w:p>
    <w:p w:rsidR="000619DE" w:rsidRPr="000619DE" w:rsidRDefault="006F6391" w:rsidP="00F63A6C">
      <w:pPr>
        <w:jc w:val="both"/>
        <w:rPr>
          <w:rFonts w:cs="Arial"/>
          <w:szCs w:val="20"/>
        </w:rPr>
      </w:pPr>
      <w:r>
        <w:rPr>
          <w:rFonts w:cs="Arial"/>
          <w:szCs w:val="20"/>
        </w:rPr>
        <w:t xml:space="preserve">The disaster killed </w:t>
      </w:r>
      <w:r w:rsidR="000619DE" w:rsidRPr="000619DE">
        <w:rPr>
          <w:rFonts w:cs="Arial"/>
          <w:szCs w:val="20"/>
        </w:rPr>
        <w:t>5,</w:t>
      </w:r>
      <w:r w:rsidR="00B36160" w:rsidRPr="000619DE">
        <w:rPr>
          <w:rFonts w:cs="Arial"/>
          <w:szCs w:val="20"/>
        </w:rPr>
        <w:t>722</w:t>
      </w:r>
      <w:r w:rsidR="00B36160">
        <w:rPr>
          <w:rFonts w:cs="Arial"/>
          <w:szCs w:val="20"/>
        </w:rPr>
        <w:t> </w:t>
      </w:r>
      <w:r w:rsidR="000619DE" w:rsidRPr="000619DE">
        <w:rPr>
          <w:rFonts w:cs="Arial"/>
          <w:szCs w:val="20"/>
        </w:rPr>
        <w:t xml:space="preserve">people, with an estimated 37,927 injured and </w:t>
      </w:r>
      <w:r w:rsidR="00032B0E">
        <w:rPr>
          <w:rFonts w:cs="Arial"/>
          <w:szCs w:val="20"/>
        </w:rPr>
        <w:t>several hundred thousand</w:t>
      </w:r>
      <w:r w:rsidR="00E53619">
        <w:rPr>
          <w:rFonts w:cs="Arial"/>
          <w:szCs w:val="20"/>
        </w:rPr>
        <w:t xml:space="preserve"> people </w:t>
      </w:r>
      <w:r w:rsidR="000619DE" w:rsidRPr="000619DE">
        <w:rPr>
          <w:rFonts w:cs="Arial"/>
          <w:szCs w:val="20"/>
        </w:rPr>
        <w:t xml:space="preserve">left homeless. </w:t>
      </w:r>
      <w:r w:rsidR="00443C27">
        <w:rPr>
          <w:rFonts w:cs="Arial"/>
          <w:szCs w:val="20"/>
        </w:rPr>
        <w:t>On </w:t>
      </w:r>
      <w:r w:rsidR="00443C27" w:rsidRPr="000619DE">
        <w:rPr>
          <w:rFonts w:cs="Arial"/>
          <w:szCs w:val="20"/>
        </w:rPr>
        <w:t>2</w:t>
      </w:r>
      <w:r w:rsidR="00443C27">
        <w:rPr>
          <w:rFonts w:cs="Arial"/>
          <w:szCs w:val="20"/>
        </w:rPr>
        <w:t> </w:t>
      </w:r>
      <w:r w:rsidR="00443C27" w:rsidRPr="000619DE">
        <w:rPr>
          <w:rFonts w:cs="Arial"/>
          <w:szCs w:val="20"/>
        </w:rPr>
        <w:t>June</w:t>
      </w:r>
      <w:r w:rsidR="00443C27">
        <w:rPr>
          <w:rFonts w:cs="Arial"/>
          <w:szCs w:val="20"/>
        </w:rPr>
        <w:t> </w:t>
      </w:r>
      <w:r w:rsidR="00AA6AA6">
        <w:rPr>
          <w:rFonts w:cs="Arial"/>
          <w:szCs w:val="20"/>
        </w:rPr>
        <w:t>2006</w:t>
      </w:r>
      <w:r w:rsidR="000619DE" w:rsidRPr="000619DE">
        <w:rPr>
          <w:rFonts w:cs="Arial"/>
          <w:szCs w:val="20"/>
        </w:rPr>
        <w:t xml:space="preserve"> the AIPRD Joint Commission approved $A</w:t>
      </w:r>
      <w:r w:rsidR="00B36160">
        <w:rPr>
          <w:rFonts w:cs="Arial"/>
          <w:szCs w:val="20"/>
        </w:rPr>
        <w:t> </w:t>
      </w:r>
      <w:r w:rsidR="00B36160" w:rsidRPr="000619DE">
        <w:rPr>
          <w:rFonts w:cs="Arial"/>
          <w:szCs w:val="20"/>
        </w:rPr>
        <w:t>30</w:t>
      </w:r>
      <w:r w:rsidR="00B36160">
        <w:rPr>
          <w:rFonts w:cs="Arial"/>
          <w:szCs w:val="20"/>
        </w:rPr>
        <w:t> </w:t>
      </w:r>
      <w:r w:rsidR="000619DE" w:rsidRPr="000619DE">
        <w:rPr>
          <w:rFonts w:cs="Arial"/>
          <w:szCs w:val="20"/>
        </w:rPr>
        <w:t>million in AIPRD grant funding for immediate demolition, repair and construction works</w:t>
      </w:r>
      <w:r w:rsidR="003A0CB5">
        <w:rPr>
          <w:rFonts w:cs="Arial"/>
          <w:szCs w:val="20"/>
        </w:rPr>
        <w:t>,</w:t>
      </w:r>
      <w:r w:rsidR="000619DE" w:rsidRPr="000619DE">
        <w:rPr>
          <w:rFonts w:cs="Arial"/>
          <w:szCs w:val="20"/>
        </w:rPr>
        <w:t xml:space="preserve"> and longer-term reconstruction for the Yogyakarta (and Central Java) Reconstruction Program.</w:t>
      </w:r>
      <w:r w:rsidR="000619DE">
        <w:rPr>
          <w:rFonts w:cs="Arial"/>
          <w:szCs w:val="20"/>
        </w:rPr>
        <w:t xml:space="preserve"> </w:t>
      </w:r>
      <w:r w:rsidR="000619DE">
        <w:t>A managing contractor was selected to implement the Yogya-Central Java Community Assistance Program (YCAP).</w:t>
      </w:r>
    </w:p>
    <w:p w:rsidR="000619DE" w:rsidRPr="000619DE" w:rsidRDefault="000619DE" w:rsidP="00F63A6C">
      <w:pPr>
        <w:autoSpaceDE w:val="0"/>
        <w:autoSpaceDN w:val="0"/>
        <w:adjustRightInd w:val="0"/>
        <w:jc w:val="both"/>
        <w:rPr>
          <w:rFonts w:cs="Arial"/>
          <w:szCs w:val="20"/>
        </w:rPr>
      </w:pPr>
      <w:r w:rsidRPr="000619DE">
        <w:rPr>
          <w:rFonts w:cs="Arial"/>
          <w:szCs w:val="20"/>
        </w:rPr>
        <w:t xml:space="preserve">The purpose of </w:t>
      </w:r>
      <w:r w:rsidR="00AA6AA6">
        <w:rPr>
          <w:rFonts w:cs="Arial"/>
          <w:szCs w:val="20"/>
        </w:rPr>
        <w:t xml:space="preserve">YCAP </w:t>
      </w:r>
      <w:r w:rsidR="00E53619">
        <w:rPr>
          <w:rFonts w:cs="Arial"/>
          <w:szCs w:val="20"/>
        </w:rPr>
        <w:t>was</w:t>
      </w:r>
      <w:r w:rsidR="00E53619" w:rsidRPr="000619DE">
        <w:rPr>
          <w:rFonts w:cs="Arial"/>
          <w:szCs w:val="20"/>
        </w:rPr>
        <w:t xml:space="preserve"> </w:t>
      </w:r>
      <w:r w:rsidRPr="000619DE">
        <w:rPr>
          <w:rFonts w:cs="Arial"/>
          <w:szCs w:val="20"/>
        </w:rPr>
        <w:t>to provide short and medium term assistance to affected communities and</w:t>
      </w:r>
      <w:r w:rsidR="003A0CB5">
        <w:rPr>
          <w:rFonts w:cs="Arial"/>
          <w:szCs w:val="20"/>
        </w:rPr>
        <w:t xml:space="preserve"> implement </w:t>
      </w:r>
      <w:r w:rsidRPr="000619DE">
        <w:rPr>
          <w:rFonts w:cs="Arial"/>
          <w:szCs w:val="20"/>
        </w:rPr>
        <w:t xml:space="preserve">rehabilitation programs. The program goal </w:t>
      </w:r>
      <w:r w:rsidR="00E53619">
        <w:rPr>
          <w:rFonts w:cs="Arial"/>
          <w:szCs w:val="20"/>
        </w:rPr>
        <w:t>was</w:t>
      </w:r>
      <w:r w:rsidR="00E53619" w:rsidRPr="000619DE">
        <w:rPr>
          <w:rFonts w:cs="Arial"/>
          <w:szCs w:val="20"/>
        </w:rPr>
        <w:t xml:space="preserve"> </w:t>
      </w:r>
      <w:r w:rsidRPr="000619DE">
        <w:rPr>
          <w:rFonts w:cs="Arial"/>
          <w:szCs w:val="20"/>
        </w:rPr>
        <w:t xml:space="preserve">to assist affected families and communities in the project areas to return </w:t>
      </w:r>
      <w:r w:rsidR="002752EF" w:rsidRPr="000619DE">
        <w:rPr>
          <w:rFonts w:cs="Arial"/>
          <w:szCs w:val="20"/>
        </w:rPr>
        <w:t xml:space="preserve">to normality </w:t>
      </w:r>
      <w:r w:rsidRPr="000619DE">
        <w:rPr>
          <w:rFonts w:cs="Arial"/>
          <w:szCs w:val="20"/>
        </w:rPr>
        <w:t xml:space="preserve">as quickly as possible. </w:t>
      </w:r>
    </w:p>
    <w:p w:rsidR="000619DE" w:rsidRPr="000619DE" w:rsidRDefault="003A0CB5" w:rsidP="00F63A6C">
      <w:pPr>
        <w:jc w:val="both"/>
        <w:rPr>
          <w:rFonts w:cs="Arial"/>
          <w:szCs w:val="20"/>
        </w:rPr>
      </w:pPr>
      <w:r>
        <w:rPr>
          <w:rFonts w:cs="Arial"/>
          <w:szCs w:val="20"/>
        </w:rPr>
        <w:t xml:space="preserve">The </w:t>
      </w:r>
      <w:r w:rsidR="000619DE" w:rsidRPr="000619DE">
        <w:rPr>
          <w:rFonts w:cs="Arial"/>
          <w:szCs w:val="20"/>
        </w:rPr>
        <w:t xml:space="preserve">YCAP </w:t>
      </w:r>
      <w:r w:rsidR="00E53619">
        <w:rPr>
          <w:rFonts w:cs="Arial"/>
          <w:szCs w:val="20"/>
        </w:rPr>
        <w:t>was</w:t>
      </w:r>
      <w:r w:rsidR="00E53619" w:rsidRPr="000619DE">
        <w:rPr>
          <w:rFonts w:cs="Arial"/>
          <w:szCs w:val="20"/>
        </w:rPr>
        <w:t xml:space="preserve"> </w:t>
      </w:r>
      <w:r w:rsidR="000619DE" w:rsidRPr="000619DE">
        <w:rPr>
          <w:rFonts w:cs="Arial"/>
          <w:szCs w:val="20"/>
        </w:rPr>
        <w:t xml:space="preserve">divided </w:t>
      </w:r>
      <w:r w:rsidR="003B6247">
        <w:rPr>
          <w:rFonts w:cs="Arial"/>
          <w:szCs w:val="20"/>
        </w:rPr>
        <w:t xml:space="preserve">into </w:t>
      </w:r>
      <w:r w:rsidR="000619DE" w:rsidRPr="000619DE">
        <w:rPr>
          <w:rFonts w:cs="Arial"/>
          <w:szCs w:val="20"/>
        </w:rPr>
        <w:t xml:space="preserve">two phases. Phase 1 operated from 2006 to 2008 and </w:t>
      </w:r>
      <w:r w:rsidR="00B36160" w:rsidRPr="000619DE">
        <w:rPr>
          <w:rFonts w:cs="Arial"/>
          <w:szCs w:val="20"/>
        </w:rPr>
        <w:t>Phase</w:t>
      </w:r>
      <w:r w:rsidR="00B36160">
        <w:rPr>
          <w:rFonts w:cs="Arial"/>
          <w:szCs w:val="20"/>
        </w:rPr>
        <w:t> </w:t>
      </w:r>
      <w:r w:rsidR="000619DE" w:rsidRPr="000619DE">
        <w:rPr>
          <w:rFonts w:cs="Arial"/>
          <w:szCs w:val="20"/>
        </w:rPr>
        <w:t xml:space="preserve">2 commenced </w:t>
      </w:r>
      <w:r w:rsidR="00443C27" w:rsidRPr="000619DE">
        <w:rPr>
          <w:rFonts w:cs="Arial"/>
          <w:szCs w:val="20"/>
        </w:rPr>
        <w:t>in</w:t>
      </w:r>
      <w:r w:rsidR="00443C27">
        <w:rPr>
          <w:rFonts w:cs="Arial"/>
          <w:szCs w:val="20"/>
        </w:rPr>
        <w:t> </w:t>
      </w:r>
      <w:r w:rsidR="000619DE" w:rsidRPr="000619DE">
        <w:rPr>
          <w:rFonts w:cs="Arial"/>
          <w:szCs w:val="20"/>
        </w:rPr>
        <w:t xml:space="preserve">2008 and concluded </w:t>
      </w:r>
      <w:r w:rsidR="00443C27" w:rsidRPr="000619DE">
        <w:rPr>
          <w:rFonts w:cs="Arial"/>
          <w:szCs w:val="20"/>
        </w:rPr>
        <w:t>in</w:t>
      </w:r>
      <w:r w:rsidR="00443C27">
        <w:rPr>
          <w:rFonts w:cs="Arial"/>
          <w:szCs w:val="20"/>
        </w:rPr>
        <w:t> </w:t>
      </w:r>
      <w:r w:rsidR="000619DE" w:rsidRPr="000619DE">
        <w:rPr>
          <w:rFonts w:cs="Arial"/>
          <w:szCs w:val="20"/>
        </w:rPr>
        <w:t xml:space="preserve">2010. </w:t>
      </w:r>
    </w:p>
    <w:p w:rsidR="006F6391" w:rsidRPr="000619DE" w:rsidRDefault="00E52039" w:rsidP="00F63A6C">
      <w:pPr>
        <w:jc w:val="both"/>
        <w:rPr>
          <w:rFonts w:cs="Arial"/>
          <w:szCs w:val="20"/>
        </w:rPr>
      </w:pPr>
      <w:r>
        <w:rPr>
          <w:rFonts w:cs="Arial"/>
          <w:szCs w:val="20"/>
        </w:rPr>
        <w:br w:type="page"/>
      </w:r>
      <w:r w:rsidR="000619DE" w:rsidRPr="000619DE">
        <w:rPr>
          <w:rFonts w:cs="Arial"/>
          <w:szCs w:val="20"/>
        </w:rPr>
        <w:lastRenderedPageBreak/>
        <w:t xml:space="preserve">Under </w:t>
      </w:r>
      <w:r w:rsidR="006F6391">
        <w:rPr>
          <w:rFonts w:cs="Arial"/>
          <w:szCs w:val="20"/>
        </w:rPr>
        <w:t>P</w:t>
      </w:r>
      <w:r w:rsidR="006F6391" w:rsidRPr="000619DE">
        <w:rPr>
          <w:rFonts w:cs="Arial"/>
          <w:szCs w:val="20"/>
        </w:rPr>
        <w:t>hase</w:t>
      </w:r>
      <w:r w:rsidR="00B36160">
        <w:rPr>
          <w:rFonts w:cs="Arial"/>
          <w:szCs w:val="20"/>
        </w:rPr>
        <w:t> </w:t>
      </w:r>
      <w:r w:rsidR="000619DE" w:rsidRPr="000619DE">
        <w:rPr>
          <w:rFonts w:cs="Arial"/>
          <w:szCs w:val="20"/>
        </w:rPr>
        <w:t xml:space="preserve">1, program components were: </w:t>
      </w:r>
    </w:p>
    <w:p w:rsidR="000619DE" w:rsidRDefault="006F6391" w:rsidP="00137083">
      <w:pPr>
        <w:numPr>
          <w:ilvl w:val="5"/>
          <w:numId w:val="24"/>
        </w:numPr>
        <w:tabs>
          <w:tab w:val="clear" w:pos="2160"/>
          <w:tab w:val="num" w:pos="709"/>
        </w:tabs>
        <w:ind w:left="709" w:hanging="283"/>
        <w:jc w:val="both"/>
      </w:pPr>
      <w:r>
        <w:t>s</w:t>
      </w:r>
      <w:r w:rsidRPr="000619DE">
        <w:t xml:space="preserve">ustaining </w:t>
      </w:r>
      <w:r w:rsidR="000619DE" w:rsidRPr="000619DE">
        <w:t>household life;</w:t>
      </w:r>
    </w:p>
    <w:p w:rsidR="006F6391" w:rsidRDefault="006F6391" w:rsidP="00137083">
      <w:pPr>
        <w:numPr>
          <w:ilvl w:val="5"/>
          <w:numId w:val="24"/>
        </w:numPr>
        <w:tabs>
          <w:tab w:val="clear" w:pos="2160"/>
          <w:tab w:val="num" w:pos="709"/>
        </w:tabs>
        <w:ind w:left="709" w:hanging="283"/>
        <w:jc w:val="both"/>
      </w:pPr>
      <w:r>
        <w:t xml:space="preserve">restoring local incomes; and </w:t>
      </w:r>
    </w:p>
    <w:p w:rsidR="006F6391" w:rsidRDefault="006F6391" w:rsidP="00137083">
      <w:pPr>
        <w:numPr>
          <w:ilvl w:val="5"/>
          <w:numId w:val="24"/>
        </w:numPr>
        <w:tabs>
          <w:tab w:val="clear" w:pos="2160"/>
          <w:tab w:val="num" w:pos="709"/>
        </w:tabs>
        <w:ind w:left="709" w:hanging="283"/>
        <w:jc w:val="both"/>
      </w:pPr>
      <w:r>
        <w:t>school read</w:t>
      </w:r>
      <w:r w:rsidR="00C56FC9">
        <w:t>i</w:t>
      </w:r>
      <w:r>
        <w:t>ness</w:t>
      </w:r>
      <w:r w:rsidR="003A0CB5">
        <w:t>.</w:t>
      </w:r>
    </w:p>
    <w:p w:rsidR="000619DE" w:rsidRPr="000619DE" w:rsidRDefault="000619DE" w:rsidP="00F63A6C">
      <w:pPr>
        <w:pStyle w:val="ListBullet"/>
        <w:numPr>
          <w:ilvl w:val="0"/>
          <w:numId w:val="0"/>
        </w:numPr>
        <w:spacing w:before="60" w:after="60"/>
        <w:ind w:left="360" w:hanging="360"/>
        <w:rPr>
          <w:rFonts w:ascii="Arial" w:hAnsi="Arial" w:cs="Arial"/>
          <w:sz w:val="20"/>
        </w:rPr>
      </w:pPr>
      <w:r w:rsidRPr="000619DE">
        <w:rPr>
          <w:rFonts w:ascii="Arial" w:hAnsi="Arial" w:cs="Arial"/>
          <w:sz w:val="20"/>
        </w:rPr>
        <w:t xml:space="preserve">Under </w:t>
      </w:r>
      <w:r w:rsidR="00443C27" w:rsidRPr="000619DE">
        <w:rPr>
          <w:rFonts w:ascii="Arial" w:hAnsi="Arial" w:cs="Arial"/>
          <w:sz w:val="20"/>
        </w:rPr>
        <w:t>phase</w:t>
      </w:r>
      <w:r w:rsidR="00443C27">
        <w:rPr>
          <w:rFonts w:ascii="Arial" w:hAnsi="Arial" w:cs="Arial"/>
          <w:sz w:val="20"/>
        </w:rPr>
        <w:t> </w:t>
      </w:r>
      <w:r w:rsidRPr="000619DE">
        <w:rPr>
          <w:rFonts w:ascii="Arial" w:hAnsi="Arial" w:cs="Arial"/>
          <w:sz w:val="20"/>
        </w:rPr>
        <w:t xml:space="preserve">2, program components </w:t>
      </w:r>
      <w:r w:rsidR="00032B0E">
        <w:rPr>
          <w:rFonts w:ascii="Arial" w:hAnsi="Arial" w:cs="Arial"/>
          <w:sz w:val="20"/>
        </w:rPr>
        <w:t>were</w:t>
      </w:r>
      <w:r w:rsidRPr="000619DE">
        <w:rPr>
          <w:rFonts w:ascii="Arial" w:hAnsi="Arial" w:cs="Arial"/>
          <w:sz w:val="20"/>
        </w:rPr>
        <w:t>:</w:t>
      </w:r>
    </w:p>
    <w:p w:rsidR="00C76B29" w:rsidRPr="00C76B29" w:rsidRDefault="000619DE" w:rsidP="00137083">
      <w:pPr>
        <w:numPr>
          <w:ilvl w:val="5"/>
          <w:numId w:val="31"/>
        </w:numPr>
        <w:tabs>
          <w:tab w:val="clear" w:pos="2160"/>
          <w:tab w:val="num" w:pos="709"/>
        </w:tabs>
        <w:ind w:left="426" w:firstLine="0"/>
        <w:jc w:val="both"/>
      </w:pPr>
      <w:r w:rsidRPr="00C76B29">
        <w:t>disaster risk reduction;</w:t>
      </w:r>
    </w:p>
    <w:p w:rsidR="00C76B29" w:rsidRPr="00C76B29" w:rsidRDefault="000619DE" w:rsidP="00C168D0">
      <w:pPr>
        <w:numPr>
          <w:ilvl w:val="5"/>
          <w:numId w:val="31"/>
        </w:numPr>
        <w:tabs>
          <w:tab w:val="clear" w:pos="2160"/>
          <w:tab w:val="num" w:pos="709"/>
        </w:tabs>
        <w:ind w:left="709" w:hanging="283"/>
        <w:jc w:val="both"/>
      </w:pPr>
      <w:r w:rsidRPr="00C76B29">
        <w:t>improving community infrastructure, particularly water and sanitation, irrigation, restoration of market</w:t>
      </w:r>
      <w:r w:rsidR="00032B0E" w:rsidRPr="00C76B29">
        <w:t xml:space="preserve"> place</w:t>
      </w:r>
      <w:r w:rsidRPr="00C76B29">
        <w:t>s and (where resources allow</w:t>
      </w:r>
      <w:r w:rsidR="003A0CB5">
        <w:t>ed</w:t>
      </w:r>
      <w:r w:rsidRPr="00C76B29">
        <w:t>) small scale roads and bridges rehabilitation;</w:t>
      </w:r>
      <w:r w:rsidR="00032B0E" w:rsidRPr="00C76B29">
        <w:t xml:space="preserve"> and</w:t>
      </w:r>
    </w:p>
    <w:p w:rsidR="000619DE" w:rsidRPr="00C76B29" w:rsidRDefault="00C76B29" w:rsidP="00137083">
      <w:pPr>
        <w:numPr>
          <w:ilvl w:val="5"/>
          <w:numId w:val="31"/>
        </w:numPr>
        <w:tabs>
          <w:tab w:val="clear" w:pos="2160"/>
          <w:tab w:val="num" w:pos="709"/>
        </w:tabs>
        <w:ind w:left="426" w:firstLine="0"/>
        <w:jc w:val="both"/>
      </w:pPr>
      <w:r>
        <w:t>i</w:t>
      </w:r>
      <w:r w:rsidRPr="00C76B29">
        <w:t xml:space="preserve">mproving </w:t>
      </w:r>
      <w:r w:rsidR="000619DE" w:rsidRPr="00C76B29">
        <w:t>livelihoods, giving priority to those made vulnerable by the earthquake.</w:t>
      </w:r>
    </w:p>
    <w:p w:rsidR="00070BB4" w:rsidRDefault="00070BB4" w:rsidP="00F63A6C">
      <w:pPr>
        <w:pStyle w:val="Heading2"/>
        <w:jc w:val="both"/>
      </w:pPr>
      <w:r>
        <w:t>Independent Evaluation Summary</w:t>
      </w:r>
    </w:p>
    <w:p w:rsidR="005A07AB" w:rsidRDefault="00070BB4" w:rsidP="00F63A6C">
      <w:pPr>
        <w:jc w:val="both"/>
      </w:pPr>
      <w:r w:rsidRPr="00123C3E">
        <w:rPr>
          <w:b/>
        </w:rPr>
        <w:t>Evaluation Objective</w:t>
      </w:r>
      <w:r w:rsidR="00720DFD">
        <w:rPr>
          <w:b/>
        </w:rPr>
        <w:t xml:space="preserve"> is to</w:t>
      </w:r>
      <w:r w:rsidRPr="00123C3E">
        <w:rPr>
          <w:b/>
        </w:rPr>
        <w:t>:</w:t>
      </w:r>
      <w:r>
        <w:rPr>
          <w:b/>
        </w:rPr>
        <w:t xml:space="preserve"> </w:t>
      </w:r>
    </w:p>
    <w:p w:rsidR="00C22F2A" w:rsidRDefault="00720DFD" w:rsidP="00137083">
      <w:pPr>
        <w:numPr>
          <w:ilvl w:val="7"/>
          <w:numId w:val="30"/>
        </w:numPr>
        <w:tabs>
          <w:tab w:val="clear" w:pos="2880"/>
          <w:tab w:val="num" w:pos="709"/>
        </w:tabs>
        <w:ind w:left="709" w:hanging="310"/>
        <w:jc w:val="both"/>
      </w:pPr>
      <w:r>
        <w:t>Assess the relevance, effectiveness, efficiency, impact and sustainability of YCAP,</w:t>
      </w:r>
      <w:r w:rsidR="003A0CB5">
        <w:t xml:space="preserve"> </w:t>
      </w:r>
      <w:r>
        <w:t>to provide information on accountability and lessons learnt that could be applied and/or shared across the aid program;</w:t>
      </w:r>
    </w:p>
    <w:p w:rsidR="00C22F2A" w:rsidRDefault="00111F86" w:rsidP="00137083">
      <w:pPr>
        <w:numPr>
          <w:ilvl w:val="7"/>
          <w:numId w:val="30"/>
        </w:numPr>
        <w:tabs>
          <w:tab w:val="clear" w:pos="2880"/>
          <w:tab w:val="num" w:pos="709"/>
        </w:tabs>
        <w:ind w:left="709" w:hanging="310"/>
        <w:jc w:val="both"/>
      </w:pPr>
      <w:r>
        <w:t>Identify factors facilitati</w:t>
      </w:r>
      <w:r w:rsidR="00720DFD">
        <w:t xml:space="preserve">ng or constraining success and lessons learnt from </w:t>
      </w:r>
      <w:r w:rsidR="00013139">
        <w:t>the program and</w:t>
      </w:r>
      <w:r w:rsidR="00032B0E">
        <w:t xml:space="preserve"> </w:t>
      </w:r>
      <w:r w:rsidR="00013139">
        <w:t xml:space="preserve">recommend mechanisms </w:t>
      </w:r>
      <w:r w:rsidR="00C22F2A">
        <w:t>to enhance overall effectiveness of post disaster assistance;</w:t>
      </w:r>
      <w:r w:rsidR="00E90455">
        <w:t xml:space="preserve"> and</w:t>
      </w:r>
    </w:p>
    <w:p w:rsidR="00070BB4" w:rsidRPr="004B6DC7" w:rsidRDefault="00C22F2A" w:rsidP="00137083">
      <w:pPr>
        <w:numPr>
          <w:ilvl w:val="7"/>
          <w:numId w:val="30"/>
        </w:numPr>
        <w:tabs>
          <w:tab w:val="clear" w:pos="2880"/>
          <w:tab w:val="num" w:pos="709"/>
        </w:tabs>
        <w:ind w:left="709" w:hanging="310"/>
        <w:jc w:val="both"/>
      </w:pPr>
      <w:r>
        <w:t>Validate and follow-up the information and relevant assessments made by the Activity Completion Report.</w:t>
      </w:r>
    </w:p>
    <w:p w:rsidR="00070BB4" w:rsidRPr="00F05B91" w:rsidRDefault="00070BB4" w:rsidP="00F63A6C">
      <w:pPr>
        <w:jc w:val="both"/>
        <w:rPr>
          <w:b/>
        </w:rPr>
      </w:pPr>
      <w:r w:rsidRPr="00123C3E">
        <w:rPr>
          <w:b/>
        </w:rPr>
        <w:t>Evaluation Completion Date:</w:t>
      </w:r>
      <w:r>
        <w:rPr>
          <w:b/>
        </w:rPr>
        <w:t xml:space="preserve">  </w:t>
      </w:r>
      <w:r w:rsidR="004F3149">
        <w:t>March</w:t>
      </w:r>
      <w:r w:rsidR="00443C27">
        <w:t> </w:t>
      </w:r>
      <w:r w:rsidRPr="00F05B91">
        <w:t>2010</w:t>
      </w:r>
      <w:r w:rsidR="00E90455">
        <w:t>.</w:t>
      </w:r>
    </w:p>
    <w:p w:rsidR="00070BB4" w:rsidRDefault="00070BB4" w:rsidP="00F63A6C">
      <w:pPr>
        <w:jc w:val="both"/>
      </w:pPr>
      <w:r w:rsidRPr="00123C3E">
        <w:rPr>
          <w:b/>
        </w:rPr>
        <w:t>Evaluation Team:</w:t>
      </w:r>
      <w:r>
        <w:rPr>
          <w:b/>
        </w:rPr>
        <w:t xml:space="preserve"> </w:t>
      </w:r>
      <w:r w:rsidR="004F3149" w:rsidRPr="004F3149">
        <w:t>Mr Colin</w:t>
      </w:r>
      <w:r w:rsidR="004F3149">
        <w:t xml:space="preserve"> Reynolds</w:t>
      </w:r>
      <w:r>
        <w:t xml:space="preserve"> (Team Leader</w:t>
      </w:r>
      <w:r w:rsidR="004F3149">
        <w:t xml:space="preserve"> – M&amp;E Specialist</w:t>
      </w:r>
      <w:r>
        <w:t xml:space="preserve">); Mr </w:t>
      </w:r>
      <w:r w:rsidR="004F3149">
        <w:t>M</w:t>
      </w:r>
      <w:r w:rsidR="00352F92">
        <w:t>ethodius K</w:t>
      </w:r>
      <w:r w:rsidR="004F3149">
        <w:t>usumahadi</w:t>
      </w:r>
      <w:r>
        <w:t xml:space="preserve"> (Team Member </w:t>
      </w:r>
      <w:r w:rsidR="004F3149">
        <w:t>–</w:t>
      </w:r>
      <w:r>
        <w:t xml:space="preserve"> </w:t>
      </w:r>
      <w:r w:rsidR="004F3149">
        <w:t>Community Development Specialist</w:t>
      </w:r>
      <w:r>
        <w:t xml:space="preserve">); and Mr </w:t>
      </w:r>
      <w:r w:rsidR="004F3149">
        <w:t>Jeong Park</w:t>
      </w:r>
      <w:r>
        <w:t xml:space="preserve"> (AusAID </w:t>
      </w:r>
      <w:r w:rsidR="004F3149">
        <w:t>Disaster Management Adviser).</w:t>
      </w:r>
    </w:p>
    <w:p w:rsidR="00070BB4" w:rsidRDefault="00070BB4" w:rsidP="00F63A6C">
      <w:pPr>
        <w:pStyle w:val="Heading2"/>
        <w:jc w:val="both"/>
      </w:pPr>
      <w:r>
        <w:t xml:space="preserve">Management Response of </w:t>
      </w:r>
      <w:r w:rsidR="001567ED">
        <w:t>Independent Completion Report (</w:t>
      </w:r>
      <w:r>
        <w:t>ICR</w:t>
      </w:r>
      <w:r w:rsidR="001567ED">
        <w:t>)</w:t>
      </w:r>
      <w:r>
        <w:t xml:space="preserve"> recommendations</w:t>
      </w:r>
    </w:p>
    <w:p w:rsidR="00070BB4" w:rsidRDefault="00352F92" w:rsidP="00F63A6C">
      <w:pPr>
        <w:jc w:val="both"/>
      </w:pPr>
      <w:r>
        <w:t>The</w:t>
      </w:r>
      <w:r w:rsidR="00070BB4">
        <w:t xml:space="preserve"> Independent Completion Report</w:t>
      </w:r>
      <w:r w:rsidR="001567ED">
        <w:t xml:space="preserve"> (ICR)</w:t>
      </w:r>
      <w:r w:rsidR="00070BB4">
        <w:t xml:space="preserve"> is well structured, </w:t>
      </w:r>
      <w:r w:rsidR="00E53619">
        <w:t xml:space="preserve">used </w:t>
      </w:r>
      <w:r w:rsidR="00AA6AA6">
        <w:t>an appropriate</w:t>
      </w:r>
      <w:r w:rsidR="00070BB4">
        <w:t xml:space="preserve"> methodology and contains very useful case study information and analysis. The conclusions presented are </w:t>
      </w:r>
      <w:r w:rsidR="002752EF">
        <w:t xml:space="preserve">practical </w:t>
      </w:r>
      <w:r w:rsidR="00070BB4">
        <w:t xml:space="preserve">and </w:t>
      </w:r>
      <w:r w:rsidR="00E53619">
        <w:t>the report</w:t>
      </w:r>
      <w:r w:rsidR="00070BB4">
        <w:t xml:space="preserve"> </w:t>
      </w:r>
      <w:r w:rsidR="00E53619">
        <w:t xml:space="preserve">identified </w:t>
      </w:r>
      <w:r w:rsidR="00070BB4">
        <w:t xml:space="preserve">constraints and </w:t>
      </w:r>
      <w:r w:rsidR="00E53619">
        <w:t xml:space="preserve">recommends </w:t>
      </w:r>
      <w:r w:rsidR="00070BB4">
        <w:t xml:space="preserve">how </w:t>
      </w:r>
      <w:r w:rsidR="003A0CB5">
        <w:t xml:space="preserve">these </w:t>
      </w:r>
      <w:r w:rsidR="00070BB4">
        <w:t xml:space="preserve">could be overcome </w:t>
      </w:r>
      <w:r w:rsidR="00AA6AA6">
        <w:t xml:space="preserve">for </w:t>
      </w:r>
      <w:r w:rsidR="00070BB4">
        <w:t xml:space="preserve">future programs. </w:t>
      </w:r>
    </w:p>
    <w:p w:rsidR="007D67BB" w:rsidRPr="007D67BB" w:rsidRDefault="00070BB4" w:rsidP="00A92F5E">
      <w:pPr>
        <w:jc w:val="both"/>
      </w:pPr>
      <w:r>
        <w:t>The ICR team</w:t>
      </w:r>
      <w:r w:rsidR="00A92F5E">
        <w:t>’s</w:t>
      </w:r>
      <w:r>
        <w:t xml:space="preserve"> report</w:t>
      </w:r>
      <w:r w:rsidR="00ED4542">
        <w:t xml:space="preserve"> </w:t>
      </w:r>
      <w:r>
        <w:t>addressed</w:t>
      </w:r>
      <w:r w:rsidR="00ED4542">
        <w:t xml:space="preserve"> all</w:t>
      </w:r>
      <w:r>
        <w:t xml:space="preserve"> topics and questions outlined in the </w:t>
      </w:r>
      <w:r w:rsidR="004B6DC7">
        <w:t>Terms of Reference</w:t>
      </w:r>
      <w:r w:rsidR="00A92F5E">
        <w:t xml:space="preserve">. It </w:t>
      </w:r>
      <w:r w:rsidR="005C62BC">
        <w:t xml:space="preserve">concludes </w:t>
      </w:r>
      <w:r w:rsidR="00ED4542">
        <w:t>the program</w:t>
      </w:r>
      <w:r w:rsidR="007D67BB">
        <w:t xml:space="preserve"> achieved above average outcomes, particularly in the second phase of its operation</w:t>
      </w:r>
      <w:r w:rsidR="00CC65D8">
        <w:t xml:space="preserve">. </w:t>
      </w:r>
      <w:r w:rsidR="003A0CB5">
        <w:t>A key success</w:t>
      </w:r>
      <w:r w:rsidR="002B6476">
        <w:t xml:space="preserve"> was </w:t>
      </w:r>
      <w:r w:rsidR="004A048F">
        <w:t xml:space="preserve">to successfully undertake a transition from ‘emergency’ to ‘development’ approaches between </w:t>
      </w:r>
      <w:r w:rsidR="00443C27">
        <w:t>phase </w:t>
      </w:r>
      <w:r w:rsidR="004A048F">
        <w:t xml:space="preserve">1 and </w:t>
      </w:r>
      <w:r w:rsidR="00443C27">
        <w:t>phase </w:t>
      </w:r>
      <w:r w:rsidR="004A048F">
        <w:t xml:space="preserve">2 of the program. </w:t>
      </w:r>
    </w:p>
    <w:p w:rsidR="007D67BB" w:rsidRDefault="007D67BB" w:rsidP="00F63A6C">
      <w:pPr>
        <w:jc w:val="both"/>
        <w:rPr>
          <w:rFonts w:cs="Arial"/>
        </w:rPr>
      </w:pPr>
      <w:r>
        <w:rPr>
          <w:rFonts w:cs="Arial"/>
        </w:rPr>
        <w:t>AusAID agrees with the ICR</w:t>
      </w:r>
      <w:r w:rsidR="00CC65D8">
        <w:rPr>
          <w:rFonts w:cs="Arial"/>
        </w:rPr>
        <w:t xml:space="preserve">’s comments </w:t>
      </w:r>
      <w:r>
        <w:rPr>
          <w:rFonts w:cs="Arial"/>
        </w:rPr>
        <w:t>that the</w:t>
      </w:r>
      <w:r w:rsidR="00CC65D8">
        <w:rPr>
          <w:rFonts w:cs="Arial"/>
        </w:rPr>
        <w:t xml:space="preserve"> YCAP’s</w:t>
      </w:r>
      <w:r w:rsidR="00AA6AA6">
        <w:rPr>
          <w:rFonts w:cs="Arial"/>
        </w:rPr>
        <w:t xml:space="preserve"> </w:t>
      </w:r>
      <w:r>
        <w:rPr>
          <w:rFonts w:cs="Arial"/>
        </w:rPr>
        <w:t xml:space="preserve">emergency response </w:t>
      </w:r>
      <w:r w:rsidR="003B6247">
        <w:rPr>
          <w:rFonts w:cs="Arial"/>
        </w:rPr>
        <w:t xml:space="preserve">was </w:t>
      </w:r>
      <w:r>
        <w:rPr>
          <w:rFonts w:cs="Arial"/>
        </w:rPr>
        <w:t>satisfactory</w:t>
      </w:r>
      <w:r w:rsidR="00AA6AA6">
        <w:rPr>
          <w:rFonts w:cs="Arial"/>
        </w:rPr>
        <w:t xml:space="preserve">. </w:t>
      </w:r>
      <w:r>
        <w:rPr>
          <w:rFonts w:cs="Arial"/>
        </w:rPr>
        <w:t xml:space="preserve"> </w:t>
      </w:r>
      <w:r w:rsidR="005C62BC">
        <w:rPr>
          <w:rFonts w:cs="Arial"/>
        </w:rPr>
        <w:t>We welcome</w:t>
      </w:r>
      <w:r>
        <w:rPr>
          <w:rFonts w:cs="Arial"/>
        </w:rPr>
        <w:t xml:space="preserve"> the</w:t>
      </w:r>
      <w:r w:rsidR="00CC65D8">
        <w:rPr>
          <w:rFonts w:cs="Arial"/>
        </w:rPr>
        <w:t xml:space="preserve"> ICR</w:t>
      </w:r>
      <w:r w:rsidR="005C62BC">
        <w:rPr>
          <w:rFonts w:cs="Arial"/>
        </w:rPr>
        <w:t>’s</w:t>
      </w:r>
      <w:r w:rsidR="00CC65D8">
        <w:rPr>
          <w:rFonts w:cs="Arial"/>
        </w:rPr>
        <w:t xml:space="preserve"> </w:t>
      </w:r>
      <w:r w:rsidR="005C62BC">
        <w:rPr>
          <w:rFonts w:cs="Arial"/>
        </w:rPr>
        <w:t>conclusion that</w:t>
      </w:r>
      <w:r w:rsidR="004248FC">
        <w:rPr>
          <w:rFonts w:cs="Arial"/>
        </w:rPr>
        <w:t xml:space="preserve"> activities implemented under</w:t>
      </w:r>
      <w:r>
        <w:rPr>
          <w:rFonts w:cs="Arial"/>
        </w:rPr>
        <w:t xml:space="preserve"> </w:t>
      </w:r>
      <w:r w:rsidR="00443C27">
        <w:rPr>
          <w:rFonts w:cs="Arial"/>
        </w:rPr>
        <w:t>phase </w:t>
      </w:r>
      <w:r w:rsidR="005C62BC">
        <w:rPr>
          <w:rFonts w:cs="Arial"/>
        </w:rPr>
        <w:t xml:space="preserve">2 </w:t>
      </w:r>
      <w:r w:rsidR="00AA6AA6">
        <w:rPr>
          <w:rFonts w:cs="Arial"/>
        </w:rPr>
        <w:t xml:space="preserve">were </w:t>
      </w:r>
      <w:r>
        <w:rPr>
          <w:rFonts w:cs="Arial"/>
        </w:rPr>
        <w:t xml:space="preserve">outstanding, particularly establishment of highly productive partnerships between </w:t>
      </w:r>
      <w:r w:rsidR="00CC65D8">
        <w:rPr>
          <w:rFonts w:cs="Arial"/>
        </w:rPr>
        <w:t>YCAP</w:t>
      </w:r>
      <w:r>
        <w:rPr>
          <w:rFonts w:cs="Arial"/>
        </w:rPr>
        <w:t>, local government, NGOs and communities.</w:t>
      </w:r>
      <w:r w:rsidR="009D6631">
        <w:rPr>
          <w:rFonts w:cs="Arial"/>
        </w:rPr>
        <w:t xml:space="preserve"> We agree </w:t>
      </w:r>
      <w:r w:rsidR="00CC65D8">
        <w:rPr>
          <w:rFonts w:cs="Arial"/>
        </w:rPr>
        <w:t>these methods</w:t>
      </w:r>
      <w:r>
        <w:rPr>
          <w:rFonts w:cs="Arial"/>
        </w:rPr>
        <w:t xml:space="preserve"> could be used as </w:t>
      </w:r>
      <w:r w:rsidR="002840CA">
        <w:rPr>
          <w:rFonts w:cs="Arial"/>
        </w:rPr>
        <w:t>a</w:t>
      </w:r>
      <w:r w:rsidR="00AA6AA6">
        <w:rPr>
          <w:rFonts w:cs="Arial"/>
        </w:rPr>
        <w:t xml:space="preserve"> </w:t>
      </w:r>
      <w:r>
        <w:rPr>
          <w:rFonts w:cs="Arial"/>
        </w:rPr>
        <w:t>model for stakeholde</w:t>
      </w:r>
      <w:r w:rsidR="002840CA">
        <w:rPr>
          <w:rFonts w:cs="Arial"/>
        </w:rPr>
        <w:t>r</w:t>
      </w:r>
      <w:r>
        <w:rPr>
          <w:rFonts w:cs="Arial"/>
        </w:rPr>
        <w:t xml:space="preserve"> engagement</w:t>
      </w:r>
      <w:r w:rsidR="00CC65D8">
        <w:rPr>
          <w:rFonts w:cs="Arial"/>
        </w:rPr>
        <w:t xml:space="preserve"> for future activitie</w:t>
      </w:r>
      <w:r w:rsidR="00C358C8">
        <w:rPr>
          <w:rFonts w:cs="Arial"/>
        </w:rPr>
        <w:t xml:space="preserve">s in disaster risk management and post disaster reconstruction. </w:t>
      </w:r>
    </w:p>
    <w:p w:rsidR="000953C6" w:rsidRPr="00137083" w:rsidRDefault="000953C6" w:rsidP="000953C6">
      <w:pPr>
        <w:jc w:val="both"/>
        <w:rPr>
          <w:rFonts w:cs="Arial"/>
        </w:rPr>
      </w:pPr>
      <w:r w:rsidRPr="005665DE">
        <w:rPr>
          <w:rFonts w:cs="Arial"/>
        </w:rPr>
        <w:t xml:space="preserve">Some lessons identified were: </w:t>
      </w:r>
    </w:p>
    <w:p w:rsidR="00070BB4" w:rsidRPr="00137083" w:rsidRDefault="005665DE" w:rsidP="005665DE">
      <w:pPr>
        <w:pStyle w:val="Default"/>
        <w:numPr>
          <w:ilvl w:val="0"/>
          <w:numId w:val="28"/>
        </w:numPr>
        <w:spacing w:before="120" w:after="120"/>
        <w:jc w:val="both"/>
        <w:rPr>
          <w:color w:val="auto"/>
          <w:sz w:val="20"/>
          <w:lang w:eastAsia="en-US"/>
        </w:rPr>
      </w:pPr>
      <w:r w:rsidRPr="005665DE">
        <w:rPr>
          <w:color w:val="auto"/>
          <w:sz w:val="20"/>
          <w:lang w:eastAsia="en-US"/>
        </w:rPr>
        <w:t>C</w:t>
      </w:r>
      <w:r w:rsidR="00FD3510" w:rsidRPr="005665DE">
        <w:rPr>
          <w:color w:val="auto"/>
          <w:sz w:val="20"/>
          <w:lang w:eastAsia="en-US"/>
        </w:rPr>
        <w:t>larit</w:t>
      </w:r>
      <w:r w:rsidR="00FD3510" w:rsidRPr="00137083">
        <w:rPr>
          <w:color w:val="auto"/>
          <w:sz w:val="20"/>
          <w:lang w:eastAsia="en-US"/>
        </w:rPr>
        <w:t>y in communication of program intent (particularly in relation to levels of funding directly available)</w:t>
      </w:r>
      <w:r w:rsidR="00AF1DE6" w:rsidRPr="00137083">
        <w:rPr>
          <w:color w:val="auto"/>
          <w:sz w:val="20"/>
          <w:lang w:eastAsia="en-US"/>
        </w:rPr>
        <w:t xml:space="preserve"> </w:t>
      </w:r>
      <w:r w:rsidR="00FD3510" w:rsidRPr="00137083">
        <w:rPr>
          <w:color w:val="auto"/>
          <w:sz w:val="20"/>
          <w:lang w:eastAsia="en-US"/>
        </w:rPr>
        <w:t>to stakeholders on program governance bodies is vital</w:t>
      </w:r>
      <w:r w:rsidR="00287596" w:rsidRPr="00137083">
        <w:rPr>
          <w:color w:val="auto"/>
          <w:sz w:val="20"/>
          <w:lang w:eastAsia="en-US"/>
        </w:rPr>
        <w:t xml:space="preserve"> to avoid </w:t>
      </w:r>
      <w:r w:rsidR="00FD3510" w:rsidRPr="00137083">
        <w:rPr>
          <w:color w:val="auto"/>
          <w:sz w:val="20"/>
          <w:lang w:eastAsia="en-US"/>
        </w:rPr>
        <w:t>implementation disputes</w:t>
      </w:r>
      <w:r w:rsidR="00287596" w:rsidRPr="00137083">
        <w:rPr>
          <w:color w:val="auto"/>
          <w:sz w:val="20"/>
          <w:lang w:eastAsia="en-US"/>
        </w:rPr>
        <w:t>.</w:t>
      </w:r>
      <w:r w:rsidR="00FD3510" w:rsidRPr="00137083">
        <w:rPr>
          <w:color w:val="auto"/>
          <w:sz w:val="20"/>
          <w:lang w:eastAsia="en-US"/>
        </w:rPr>
        <w:t xml:space="preserve"> </w:t>
      </w:r>
    </w:p>
    <w:p w:rsidR="00FD3510" w:rsidRPr="00137083" w:rsidRDefault="00FD3510" w:rsidP="00137083">
      <w:pPr>
        <w:pStyle w:val="Default"/>
        <w:numPr>
          <w:ilvl w:val="0"/>
          <w:numId w:val="28"/>
        </w:numPr>
        <w:spacing w:before="120" w:after="120"/>
        <w:jc w:val="both"/>
        <w:rPr>
          <w:rFonts w:cs="Times New Roman"/>
          <w:color w:val="auto"/>
          <w:sz w:val="20"/>
          <w:lang w:eastAsia="en-US"/>
        </w:rPr>
      </w:pPr>
      <w:r w:rsidRPr="00137083">
        <w:rPr>
          <w:rFonts w:cs="Times New Roman"/>
          <w:color w:val="auto"/>
          <w:sz w:val="20"/>
          <w:lang w:eastAsia="en-US"/>
        </w:rPr>
        <w:t>Transition between emergency and development assistance does not happen automatically, it must be managed</w:t>
      </w:r>
      <w:r w:rsidR="00F6373D" w:rsidRPr="00137083">
        <w:rPr>
          <w:rFonts w:cs="Times New Roman"/>
          <w:color w:val="auto"/>
          <w:sz w:val="20"/>
          <w:lang w:eastAsia="en-US"/>
        </w:rPr>
        <w:t xml:space="preserve">. The need to manage the transition should be explicitly recognised in the initial design. </w:t>
      </w:r>
    </w:p>
    <w:p w:rsidR="005665DE" w:rsidRPr="00137083" w:rsidRDefault="00CC70CC" w:rsidP="00137083">
      <w:pPr>
        <w:pStyle w:val="Default"/>
        <w:numPr>
          <w:ilvl w:val="0"/>
          <w:numId w:val="28"/>
        </w:numPr>
        <w:spacing w:before="120" w:after="120"/>
        <w:jc w:val="both"/>
        <w:rPr>
          <w:rFonts w:cs="Times New Roman"/>
          <w:color w:val="auto"/>
          <w:sz w:val="20"/>
          <w:lang w:eastAsia="en-US"/>
        </w:rPr>
      </w:pPr>
      <w:r w:rsidRPr="00137083">
        <w:rPr>
          <w:rFonts w:cs="Times New Roman"/>
          <w:color w:val="auto"/>
          <w:sz w:val="20"/>
          <w:lang w:eastAsia="en-US"/>
        </w:rPr>
        <w:t xml:space="preserve">Application of Paris Declaration principles should not be pursued blindly, but tailored to implementation contexts. </w:t>
      </w:r>
    </w:p>
    <w:p w:rsidR="00CC70CC" w:rsidRPr="00137083" w:rsidRDefault="00CC70CC" w:rsidP="00137083">
      <w:pPr>
        <w:pStyle w:val="Default"/>
        <w:numPr>
          <w:ilvl w:val="0"/>
          <w:numId w:val="28"/>
        </w:numPr>
        <w:spacing w:before="120" w:after="120"/>
        <w:jc w:val="both"/>
        <w:rPr>
          <w:rFonts w:cs="Times New Roman"/>
          <w:color w:val="auto"/>
          <w:sz w:val="20"/>
          <w:lang w:eastAsia="en-US"/>
        </w:rPr>
      </w:pPr>
      <w:r w:rsidRPr="00137083">
        <w:rPr>
          <w:rFonts w:cs="Times New Roman"/>
          <w:color w:val="auto"/>
          <w:sz w:val="20"/>
          <w:lang w:eastAsia="en-US"/>
        </w:rPr>
        <w:t xml:space="preserve">In developing </w:t>
      </w:r>
      <w:r w:rsidR="008346AF" w:rsidRPr="00137083">
        <w:rPr>
          <w:rFonts w:cs="Times New Roman"/>
          <w:color w:val="auto"/>
          <w:sz w:val="20"/>
          <w:lang w:eastAsia="en-US"/>
        </w:rPr>
        <w:t xml:space="preserve">a </w:t>
      </w:r>
      <w:r w:rsidRPr="00137083">
        <w:rPr>
          <w:rFonts w:cs="Times New Roman"/>
          <w:color w:val="auto"/>
          <w:sz w:val="20"/>
          <w:lang w:eastAsia="en-US"/>
        </w:rPr>
        <w:t>DRR strategy for a transitional</w:t>
      </w:r>
      <w:r w:rsidR="00252C6F" w:rsidRPr="00137083">
        <w:rPr>
          <w:rFonts w:cs="Times New Roman"/>
          <w:color w:val="auto"/>
          <w:sz w:val="20"/>
          <w:lang w:eastAsia="en-US"/>
        </w:rPr>
        <w:t xml:space="preserve"> program such as YCAP, DRR will be most effective when defined broadly</w:t>
      </w:r>
      <w:r w:rsidR="00EB32BC" w:rsidRPr="00137083">
        <w:rPr>
          <w:rFonts w:cs="Times New Roman"/>
          <w:color w:val="auto"/>
          <w:sz w:val="20"/>
          <w:lang w:eastAsia="en-US"/>
        </w:rPr>
        <w:t xml:space="preserve">. This </w:t>
      </w:r>
      <w:r w:rsidR="003835FC" w:rsidRPr="00137083">
        <w:rPr>
          <w:rFonts w:cs="Times New Roman"/>
          <w:color w:val="auto"/>
          <w:sz w:val="20"/>
          <w:lang w:eastAsia="en-US"/>
        </w:rPr>
        <w:t xml:space="preserve">priority </w:t>
      </w:r>
      <w:r w:rsidR="007465DC" w:rsidRPr="00137083">
        <w:rPr>
          <w:rFonts w:cs="Times New Roman"/>
          <w:color w:val="auto"/>
          <w:sz w:val="20"/>
          <w:lang w:eastAsia="en-US"/>
        </w:rPr>
        <w:t>should be reflected in budget allocations and appropriate performance indicators for construction activities which have the primary purpose of mitigating impacts of future disasters</w:t>
      </w:r>
      <w:r w:rsidR="00287596" w:rsidRPr="00137083">
        <w:rPr>
          <w:rFonts w:cs="Times New Roman"/>
          <w:color w:val="auto"/>
          <w:sz w:val="20"/>
          <w:lang w:eastAsia="en-US"/>
        </w:rPr>
        <w:t>.</w:t>
      </w:r>
    </w:p>
    <w:p w:rsidR="005665DE" w:rsidRDefault="005665DE" w:rsidP="00F63A6C">
      <w:pPr>
        <w:pStyle w:val="Heading2"/>
        <w:jc w:val="both"/>
        <w:rPr>
          <w:b w:val="0"/>
        </w:rPr>
      </w:pPr>
      <w:r>
        <w:rPr>
          <w:b w:val="0"/>
        </w:rPr>
        <w:lastRenderedPageBreak/>
        <w:t>A summary of the ICR recommendation</w:t>
      </w:r>
      <w:r w:rsidR="00A613EB">
        <w:rPr>
          <w:b w:val="0"/>
        </w:rPr>
        <w:t>s</w:t>
      </w:r>
      <w:r>
        <w:rPr>
          <w:b w:val="0"/>
        </w:rPr>
        <w:t xml:space="preserve"> is:</w:t>
      </w:r>
    </w:p>
    <w:p w:rsidR="00070BB4" w:rsidRPr="00137083" w:rsidRDefault="00070BB4" w:rsidP="00F63A6C">
      <w:pPr>
        <w:pStyle w:val="Heading2"/>
        <w:jc w:val="both"/>
        <w:rPr>
          <w:sz w:val="20"/>
          <w:szCs w:val="20"/>
        </w:rPr>
      </w:pPr>
      <w:r w:rsidRPr="00137083">
        <w:rPr>
          <w:sz w:val="20"/>
          <w:szCs w:val="20"/>
        </w:rPr>
        <w:t>Recommendation One</w:t>
      </w:r>
    </w:p>
    <w:p w:rsidR="008A1189" w:rsidRPr="00A613EB" w:rsidRDefault="008A1189" w:rsidP="00F63A6C">
      <w:pPr>
        <w:jc w:val="both"/>
        <w:rPr>
          <w:szCs w:val="20"/>
        </w:rPr>
      </w:pPr>
      <w:r w:rsidRPr="004F4858">
        <w:rPr>
          <w:szCs w:val="20"/>
        </w:rPr>
        <w:t xml:space="preserve">Future AusAID programs seeking to span a transition between </w:t>
      </w:r>
      <w:r w:rsidR="005665DE" w:rsidRPr="004F4858">
        <w:rPr>
          <w:szCs w:val="20"/>
        </w:rPr>
        <w:t xml:space="preserve">an </w:t>
      </w:r>
      <w:r w:rsidRPr="004F4858">
        <w:rPr>
          <w:szCs w:val="20"/>
        </w:rPr>
        <w:t>emergency</w:t>
      </w:r>
      <w:r w:rsidR="005665DE" w:rsidRPr="004F4858">
        <w:rPr>
          <w:szCs w:val="20"/>
        </w:rPr>
        <w:t xml:space="preserve"> response</w:t>
      </w:r>
      <w:r w:rsidRPr="004F4858">
        <w:rPr>
          <w:szCs w:val="20"/>
        </w:rPr>
        <w:t xml:space="preserve"> and development assistance should consider explicitly declaring these two parts </w:t>
      </w:r>
      <w:r w:rsidR="00CA7AB0" w:rsidRPr="00B36160">
        <w:rPr>
          <w:szCs w:val="20"/>
        </w:rPr>
        <w:t xml:space="preserve">of the </w:t>
      </w:r>
      <w:r w:rsidRPr="00443C27">
        <w:rPr>
          <w:szCs w:val="20"/>
        </w:rPr>
        <w:t>program and defining how and when respective activities and modification of program priorities will occur</w:t>
      </w:r>
      <w:r w:rsidR="00E90455" w:rsidRPr="00DE1B2B">
        <w:rPr>
          <w:szCs w:val="20"/>
        </w:rPr>
        <w:t>.</w:t>
      </w:r>
    </w:p>
    <w:p w:rsidR="0031262C" w:rsidRPr="00137083" w:rsidRDefault="0031262C" w:rsidP="00F63A6C">
      <w:pPr>
        <w:jc w:val="both"/>
        <w:rPr>
          <w:szCs w:val="20"/>
        </w:rPr>
      </w:pPr>
      <w:r w:rsidRPr="00A613EB">
        <w:rPr>
          <w:b/>
          <w:szCs w:val="20"/>
        </w:rPr>
        <w:t>Response:</w:t>
      </w:r>
      <w:r w:rsidRPr="00A613EB">
        <w:rPr>
          <w:szCs w:val="20"/>
        </w:rPr>
        <w:t xml:space="preserve"> </w:t>
      </w:r>
      <w:r w:rsidRPr="00A613EB">
        <w:rPr>
          <w:szCs w:val="20"/>
          <w:u w:val="single"/>
        </w:rPr>
        <w:t>Agree</w:t>
      </w:r>
      <w:r w:rsidR="00CA7AB0" w:rsidRPr="00A613EB">
        <w:rPr>
          <w:szCs w:val="20"/>
          <w:u w:val="single"/>
        </w:rPr>
        <w:t>d</w:t>
      </w:r>
      <w:r w:rsidR="00CA7AB0" w:rsidRPr="00A613EB">
        <w:rPr>
          <w:szCs w:val="20"/>
        </w:rPr>
        <w:t xml:space="preserve">. </w:t>
      </w:r>
      <w:r w:rsidR="005601EA">
        <w:rPr>
          <w:szCs w:val="20"/>
        </w:rPr>
        <w:t xml:space="preserve">Future designs should take account of the local economic and technical capacity of the affected province. </w:t>
      </w:r>
      <w:r w:rsidR="003D351C" w:rsidRPr="00137083">
        <w:rPr>
          <w:szCs w:val="20"/>
        </w:rPr>
        <w:t xml:space="preserve"> </w:t>
      </w:r>
    </w:p>
    <w:p w:rsidR="008A1189" w:rsidRPr="00137083" w:rsidRDefault="008A1189" w:rsidP="00F63A6C">
      <w:pPr>
        <w:pStyle w:val="Heading2"/>
        <w:jc w:val="both"/>
        <w:rPr>
          <w:sz w:val="20"/>
          <w:szCs w:val="20"/>
        </w:rPr>
      </w:pPr>
      <w:r w:rsidRPr="00137083">
        <w:rPr>
          <w:sz w:val="20"/>
          <w:szCs w:val="20"/>
        </w:rPr>
        <w:t>Recommendation Two</w:t>
      </w:r>
    </w:p>
    <w:p w:rsidR="008A1189" w:rsidRPr="00443C27" w:rsidRDefault="008A1189" w:rsidP="00F63A6C">
      <w:pPr>
        <w:pStyle w:val="Default"/>
        <w:spacing w:before="120" w:after="120"/>
        <w:jc w:val="both"/>
        <w:rPr>
          <w:rFonts w:cs="Times New Roman"/>
          <w:color w:val="auto"/>
          <w:sz w:val="20"/>
          <w:szCs w:val="20"/>
          <w:lang w:eastAsia="en-US"/>
        </w:rPr>
      </w:pPr>
      <w:r w:rsidRPr="004F4858">
        <w:rPr>
          <w:rFonts w:cs="Times New Roman"/>
          <w:color w:val="auto"/>
          <w:sz w:val="20"/>
          <w:szCs w:val="20"/>
          <w:lang w:eastAsia="en-US"/>
        </w:rPr>
        <w:t>A coordinated</w:t>
      </w:r>
      <w:r w:rsidR="00D56105" w:rsidRPr="004F4858">
        <w:rPr>
          <w:rFonts w:cs="Times New Roman"/>
          <w:color w:val="auto"/>
          <w:sz w:val="20"/>
          <w:szCs w:val="20"/>
          <w:lang w:eastAsia="en-US"/>
        </w:rPr>
        <w:t xml:space="preserve"> </w:t>
      </w:r>
      <w:r w:rsidR="003B026F" w:rsidRPr="004F4858">
        <w:rPr>
          <w:rFonts w:cs="Times New Roman"/>
          <w:color w:val="auto"/>
          <w:sz w:val="20"/>
          <w:szCs w:val="20"/>
          <w:lang w:eastAsia="en-US"/>
        </w:rPr>
        <w:t>o</w:t>
      </w:r>
      <w:r w:rsidR="00C358C8" w:rsidRPr="004F4858">
        <w:rPr>
          <w:rFonts w:cs="Times New Roman"/>
          <w:color w:val="auto"/>
          <w:sz w:val="20"/>
          <w:szCs w:val="20"/>
          <w:lang w:eastAsia="en-US"/>
        </w:rPr>
        <w:t>r</w:t>
      </w:r>
      <w:r w:rsidR="003B026F" w:rsidRPr="00B36160">
        <w:rPr>
          <w:rFonts w:cs="Times New Roman"/>
          <w:color w:val="auto"/>
          <w:sz w:val="20"/>
          <w:szCs w:val="20"/>
          <w:lang w:eastAsia="en-US"/>
        </w:rPr>
        <w:t xml:space="preserve"> </w:t>
      </w:r>
      <w:r w:rsidR="00D56105" w:rsidRPr="00B36160">
        <w:rPr>
          <w:rFonts w:cs="Times New Roman"/>
          <w:color w:val="auto"/>
          <w:sz w:val="20"/>
          <w:szCs w:val="20"/>
          <w:lang w:eastAsia="en-US"/>
        </w:rPr>
        <w:t>simultaneous</w:t>
      </w:r>
      <w:r w:rsidRPr="00B36160">
        <w:rPr>
          <w:rFonts w:cs="Times New Roman"/>
          <w:color w:val="auto"/>
          <w:sz w:val="20"/>
          <w:szCs w:val="20"/>
          <w:lang w:eastAsia="en-US"/>
        </w:rPr>
        <w:t xml:space="preserve"> approach to transitional programs (</w:t>
      </w:r>
      <w:r w:rsidR="00BC4B6F" w:rsidRPr="00B36160">
        <w:rPr>
          <w:rFonts w:cs="Times New Roman"/>
          <w:color w:val="auto"/>
          <w:sz w:val="20"/>
          <w:szCs w:val="20"/>
          <w:lang w:eastAsia="en-US"/>
        </w:rPr>
        <w:t>including</w:t>
      </w:r>
      <w:r w:rsidRPr="00B36160">
        <w:rPr>
          <w:rFonts w:cs="Times New Roman"/>
          <w:color w:val="auto"/>
          <w:sz w:val="20"/>
          <w:szCs w:val="20"/>
          <w:lang w:eastAsia="en-US"/>
        </w:rPr>
        <w:t xml:space="preserve"> an initial response team and </w:t>
      </w:r>
      <w:r w:rsidR="00443C27" w:rsidRPr="00B36160">
        <w:rPr>
          <w:rFonts w:cs="Times New Roman"/>
          <w:color w:val="auto"/>
          <w:sz w:val="20"/>
          <w:szCs w:val="20"/>
          <w:lang w:eastAsia="en-US"/>
        </w:rPr>
        <w:t>a</w:t>
      </w:r>
      <w:r w:rsidR="00443C27">
        <w:rPr>
          <w:rFonts w:cs="Times New Roman"/>
          <w:color w:val="auto"/>
          <w:sz w:val="20"/>
          <w:szCs w:val="20"/>
          <w:lang w:eastAsia="en-US"/>
        </w:rPr>
        <w:t> </w:t>
      </w:r>
      <w:r w:rsidRPr="00B36160">
        <w:rPr>
          <w:rFonts w:cs="Times New Roman"/>
          <w:color w:val="auto"/>
          <w:sz w:val="20"/>
          <w:szCs w:val="20"/>
          <w:lang w:eastAsia="en-US"/>
        </w:rPr>
        <w:t>transitional/development-oriented team) should be used in future</w:t>
      </w:r>
      <w:r w:rsidR="003B026F" w:rsidRPr="00B36160">
        <w:rPr>
          <w:rFonts w:cs="Times New Roman"/>
          <w:color w:val="auto"/>
          <w:sz w:val="20"/>
          <w:szCs w:val="20"/>
          <w:lang w:eastAsia="en-US"/>
        </w:rPr>
        <w:t>.</w:t>
      </w:r>
    </w:p>
    <w:p w:rsidR="0031262C" w:rsidRPr="00A613EB" w:rsidRDefault="0031262C" w:rsidP="00F63A6C">
      <w:pPr>
        <w:pStyle w:val="Default"/>
        <w:spacing w:before="120" w:after="120"/>
        <w:jc w:val="both"/>
        <w:rPr>
          <w:rFonts w:cs="Times New Roman"/>
          <w:b/>
          <w:color w:val="auto"/>
          <w:sz w:val="20"/>
          <w:szCs w:val="20"/>
          <w:lang w:eastAsia="en-US"/>
        </w:rPr>
      </w:pPr>
      <w:bookmarkStart w:id="1" w:name="OLE_LINK1"/>
      <w:r w:rsidRPr="00B36160">
        <w:rPr>
          <w:rFonts w:cs="Times New Roman"/>
          <w:b/>
          <w:color w:val="auto"/>
          <w:sz w:val="20"/>
          <w:szCs w:val="20"/>
          <w:lang w:eastAsia="en-US"/>
        </w:rPr>
        <w:t xml:space="preserve">Response: </w:t>
      </w:r>
      <w:r w:rsidR="00723971" w:rsidRPr="00B36160">
        <w:rPr>
          <w:rFonts w:cs="Times New Roman"/>
          <w:color w:val="auto"/>
          <w:sz w:val="20"/>
          <w:szCs w:val="20"/>
          <w:u w:val="single"/>
          <w:lang w:eastAsia="en-US"/>
        </w:rPr>
        <w:t>Agree</w:t>
      </w:r>
      <w:r w:rsidR="00CA7AB0" w:rsidRPr="00B36160">
        <w:rPr>
          <w:rFonts w:cs="Times New Roman"/>
          <w:color w:val="auto"/>
          <w:sz w:val="20"/>
          <w:szCs w:val="20"/>
          <w:u w:val="single"/>
          <w:lang w:eastAsia="en-US"/>
        </w:rPr>
        <w:t>d</w:t>
      </w:r>
      <w:r w:rsidR="005665DE" w:rsidRPr="00B36160">
        <w:rPr>
          <w:rFonts w:cs="Times New Roman"/>
          <w:color w:val="auto"/>
          <w:sz w:val="20"/>
          <w:szCs w:val="20"/>
          <w:u w:val="single"/>
          <w:lang w:eastAsia="en-US"/>
        </w:rPr>
        <w:t>.</w:t>
      </w:r>
      <w:r w:rsidR="005665DE" w:rsidRPr="00B36160">
        <w:rPr>
          <w:rFonts w:cs="Times New Roman"/>
          <w:color w:val="auto"/>
          <w:sz w:val="20"/>
          <w:szCs w:val="20"/>
          <w:lang w:eastAsia="en-US"/>
        </w:rPr>
        <w:t xml:space="preserve"> </w:t>
      </w:r>
    </w:p>
    <w:bookmarkEnd w:id="1"/>
    <w:p w:rsidR="008A1189" w:rsidRPr="00137083" w:rsidRDefault="008A1189" w:rsidP="00F63A6C">
      <w:pPr>
        <w:pStyle w:val="Heading2"/>
        <w:jc w:val="both"/>
        <w:rPr>
          <w:sz w:val="20"/>
          <w:szCs w:val="20"/>
        </w:rPr>
      </w:pPr>
      <w:r w:rsidRPr="00137083">
        <w:rPr>
          <w:sz w:val="20"/>
          <w:szCs w:val="20"/>
        </w:rPr>
        <w:t>Recommendation Three</w:t>
      </w:r>
    </w:p>
    <w:p w:rsidR="008A1189" w:rsidRPr="00B36160" w:rsidRDefault="008A1189" w:rsidP="00F63A6C">
      <w:pPr>
        <w:pStyle w:val="Default"/>
        <w:spacing w:before="120" w:after="120"/>
        <w:jc w:val="both"/>
        <w:rPr>
          <w:rFonts w:cs="Times New Roman"/>
          <w:color w:val="auto"/>
          <w:sz w:val="20"/>
          <w:szCs w:val="20"/>
          <w:lang w:eastAsia="en-US"/>
        </w:rPr>
      </w:pPr>
      <w:r w:rsidRPr="004F4858">
        <w:rPr>
          <w:rFonts w:cs="Times New Roman"/>
          <w:color w:val="auto"/>
          <w:sz w:val="20"/>
          <w:szCs w:val="20"/>
          <w:lang w:eastAsia="en-US"/>
        </w:rPr>
        <w:t>AusAID should set</w:t>
      </w:r>
      <w:r w:rsidR="005665DE" w:rsidRPr="004F4858">
        <w:rPr>
          <w:rFonts w:cs="Times New Roman"/>
          <w:color w:val="auto"/>
          <w:sz w:val="20"/>
          <w:szCs w:val="20"/>
          <w:lang w:eastAsia="en-US"/>
        </w:rPr>
        <w:t xml:space="preserve"> standards for </w:t>
      </w:r>
      <w:r w:rsidRPr="004F4858">
        <w:rPr>
          <w:rFonts w:cs="Times New Roman"/>
          <w:color w:val="auto"/>
          <w:sz w:val="20"/>
          <w:szCs w:val="20"/>
          <w:lang w:eastAsia="en-US"/>
        </w:rPr>
        <w:t xml:space="preserve">construction strength </w:t>
      </w:r>
      <w:r w:rsidRPr="00B36160">
        <w:rPr>
          <w:rFonts w:cs="Times New Roman"/>
          <w:color w:val="auto"/>
          <w:sz w:val="20"/>
          <w:szCs w:val="20"/>
          <w:lang w:eastAsia="en-US"/>
        </w:rPr>
        <w:t>applicable to the natural disaster risks of a particular location and adhere to these strength standards</w:t>
      </w:r>
      <w:r w:rsidR="005665DE" w:rsidRPr="00B36160">
        <w:rPr>
          <w:rFonts w:cs="Times New Roman"/>
          <w:color w:val="auto"/>
          <w:sz w:val="20"/>
          <w:szCs w:val="20"/>
          <w:lang w:eastAsia="en-US"/>
        </w:rPr>
        <w:t>.</w:t>
      </w:r>
    </w:p>
    <w:p w:rsidR="00723971" w:rsidRPr="00137083" w:rsidRDefault="00723971" w:rsidP="00F63A6C">
      <w:pPr>
        <w:pStyle w:val="Default"/>
        <w:spacing w:before="120" w:after="120"/>
        <w:jc w:val="both"/>
        <w:rPr>
          <w:rFonts w:cs="Times New Roman"/>
          <w:b/>
          <w:color w:val="auto"/>
          <w:sz w:val="20"/>
          <w:szCs w:val="20"/>
          <w:lang w:eastAsia="en-US"/>
        </w:rPr>
      </w:pPr>
      <w:r w:rsidRPr="00B36160">
        <w:rPr>
          <w:rFonts w:cs="Times New Roman"/>
          <w:b/>
          <w:color w:val="auto"/>
          <w:sz w:val="20"/>
          <w:szCs w:val="20"/>
          <w:lang w:eastAsia="en-US"/>
        </w:rPr>
        <w:t xml:space="preserve">Response: </w:t>
      </w:r>
      <w:r w:rsidRPr="00B36160">
        <w:rPr>
          <w:rFonts w:cs="Times New Roman"/>
          <w:color w:val="auto"/>
          <w:sz w:val="20"/>
          <w:szCs w:val="20"/>
          <w:u w:val="single"/>
          <w:lang w:eastAsia="en-US"/>
        </w:rPr>
        <w:t>Agree</w:t>
      </w:r>
      <w:r w:rsidR="00CA7AB0" w:rsidRPr="00B36160">
        <w:rPr>
          <w:rFonts w:cs="Times New Roman"/>
          <w:color w:val="auto"/>
          <w:sz w:val="20"/>
          <w:szCs w:val="20"/>
          <w:u w:val="single"/>
          <w:lang w:eastAsia="en-US"/>
        </w:rPr>
        <w:t>d</w:t>
      </w:r>
      <w:r w:rsidRPr="00B36160">
        <w:rPr>
          <w:rFonts w:cs="Times New Roman"/>
          <w:color w:val="auto"/>
          <w:sz w:val="20"/>
          <w:szCs w:val="20"/>
          <w:u w:val="single"/>
          <w:lang w:eastAsia="en-US"/>
        </w:rPr>
        <w:t>.</w:t>
      </w:r>
      <w:r w:rsidR="00320D8C" w:rsidRPr="00B36160">
        <w:rPr>
          <w:rFonts w:cs="Times New Roman"/>
          <w:color w:val="auto"/>
          <w:sz w:val="20"/>
          <w:szCs w:val="20"/>
          <w:lang w:eastAsia="en-US"/>
        </w:rPr>
        <w:t xml:space="preserve"> </w:t>
      </w:r>
      <w:r w:rsidR="00CA7AB0" w:rsidRPr="00B36160">
        <w:rPr>
          <w:rFonts w:cs="Times New Roman"/>
          <w:color w:val="auto"/>
          <w:sz w:val="20"/>
          <w:szCs w:val="20"/>
          <w:lang w:eastAsia="en-US"/>
        </w:rPr>
        <w:t>The</w:t>
      </w:r>
      <w:r w:rsidR="00CA7AB0" w:rsidRPr="00443C27">
        <w:rPr>
          <w:rFonts w:cs="Times New Roman"/>
          <w:color w:val="auto"/>
          <w:sz w:val="20"/>
          <w:szCs w:val="20"/>
          <w:lang w:eastAsia="en-US"/>
        </w:rPr>
        <w:t xml:space="preserve"> </w:t>
      </w:r>
      <w:r w:rsidR="005220DD" w:rsidRPr="00443C27">
        <w:rPr>
          <w:rFonts w:cs="Times New Roman"/>
          <w:color w:val="auto"/>
          <w:sz w:val="20"/>
          <w:szCs w:val="20"/>
          <w:lang w:eastAsia="en-US"/>
        </w:rPr>
        <w:t xml:space="preserve">minimum </w:t>
      </w:r>
      <w:r w:rsidR="00CA7AB0" w:rsidRPr="00443C27">
        <w:rPr>
          <w:rFonts w:cs="Times New Roman"/>
          <w:color w:val="auto"/>
          <w:sz w:val="20"/>
          <w:szCs w:val="20"/>
          <w:lang w:eastAsia="en-US"/>
        </w:rPr>
        <w:t xml:space="preserve">standard </w:t>
      </w:r>
      <w:r w:rsidR="00C358C8" w:rsidRPr="00443C27">
        <w:rPr>
          <w:rFonts w:cs="Times New Roman"/>
          <w:color w:val="auto"/>
          <w:sz w:val="20"/>
          <w:szCs w:val="20"/>
          <w:lang w:eastAsia="en-US"/>
        </w:rPr>
        <w:t xml:space="preserve">should </w:t>
      </w:r>
      <w:r w:rsidR="00CA7AB0" w:rsidRPr="00DE1B2B">
        <w:rPr>
          <w:rFonts w:cs="Times New Roman"/>
          <w:color w:val="auto"/>
          <w:sz w:val="20"/>
          <w:szCs w:val="20"/>
          <w:lang w:eastAsia="en-US"/>
        </w:rPr>
        <w:t>be</w:t>
      </w:r>
      <w:r w:rsidR="003B026F" w:rsidRPr="00A613EB">
        <w:rPr>
          <w:rFonts w:cs="Times New Roman"/>
          <w:color w:val="auto"/>
          <w:sz w:val="20"/>
          <w:szCs w:val="20"/>
          <w:lang w:eastAsia="en-US"/>
        </w:rPr>
        <w:t xml:space="preserve"> agreed</w:t>
      </w:r>
      <w:r w:rsidR="00CA7AB0" w:rsidRPr="00A613EB">
        <w:rPr>
          <w:rFonts w:cs="Times New Roman"/>
          <w:color w:val="auto"/>
          <w:sz w:val="20"/>
          <w:szCs w:val="20"/>
          <w:lang w:eastAsia="en-US"/>
        </w:rPr>
        <w:t xml:space="preserve"> in</w:t>
      </w:r>
      <w:r w:rsidR="00736E5F" w:rsidRPr="00A613EB">
        <w:rPr>
          <w:rFonts w:cs="Times New Roman"/>
          <w:color w:val="auto"/>
          <w:sz w:val="20"/>
          <w:szCs w:val="20"/>
          <w:lang w:eastAsia="en-US"/>
        </w:rPr>
        <w:t xml:space="preserve"> consultation with the Government of Indonesia</w:t>
      </w:r>
      <w:r w:rsidR="007D67BB" w:rsidRPr="00A613EB">
        <w:rPr>
          <w:rFonts w:cs="Times New Roman"/>
          <w:color w:val="auto"/>
          <w:sz w:val="20"/>
          <w:szCs w:val="20"/>
          <w:lang w:eastAsia="en-US"/>
        </w:rPr>
        <w:t xml:space="preserve"> (GoI)</w:t>
      </w:r>
      <w:r w:rsidR="009E17CF" w:rsidRPr="00137083">
        <w:rPr>
          <w:rFonts w:cs="Times New Roman"/>
          <w:color w:val="auto"/>
          <w:sz w:val="20"/>
          <w:szCs w:val="20"/>
          <w:lang w:eastAsia="en-US"/>
        </w:rPr>
        <w:t xml:space="preserve"> before design and construction</w:t>
      </w:r>
      <w:r w:rsidR="00736E5F" w:rsidRPr="00137083">
        <w:rPr>
          <w:rFonts w:cs="Times New Roman"/>
          <w:color w:val="auto"/>
          <w:sz w:val="20"/>
          <w:szCs w:val="20"/>
          <w:lang w:eastAsia="en-US"/>
        </w:rPr>
        <w:t xml:space="preserve">. </w:t>
      </w:r>
    </w:p>
    <w:p w:rsidR="006B259F" w:rsidRPr="00137083" w:rsidRDefault="006B259F" w:rsidP="00F63A6C">
      <w:pPr>
        <w:pStyle w:val="Heading2"/>
        <w:jc w:val="both"/>
        <w:rPr>
          <w:sz w:val="20"/>
          <w:szCs w:val="20"/>
        </w:rPr>
      </w:pPr>
      <w:r w:rsidRPr="00137083">
        <w:rPr>
          <w:sz w:val="20"/>
          <w:szCs w:val="20"/>
        </w:rPr>
        <w:t>Recommendation Four</w:t>
      </w:r>
    </w:p>
    <w:p w:rsidR="008A1189" w:rsidRPr="00443C27" w:rsidRDefault="008A1189" w:rsidP="00F63A6C">
      <w:pPr>
        <w:pStyle w:val="Default"/>
        <w:spacing w:before="120" w:after="120"/>
        <w:jc w:val="both"/>
        <w:rPr>
          <w:rFonts w:cs="Times New Roman"/>
          <w:color w:val="auto"/>
          <w:sz w:val="20"/>
          <w:szCs w:val="20"/>
          <w:lang w:eastAsia="en-US"/>
        </w:rPr>
      </w:pPr>
      <w:r w:rsidRPr="004F4858">
        <w:rPr>
          <w:rFonts w:cs="Times New Roman"/>
          <w:color w:val="auto"/>
          <w:sz w:val="20"/>
          <w:szCs w:val="20"/>
          <w:lang w:eastAsia="en-US"/>
        </w:rPr>
        <w:t xml:space="preserve">Future programs providing physical assets at local government level </w:t>
      </w:r>
      <w:r w:rsidRPr="00B36160">
        <w:rPr>
          <w:rFonts w:cs="Times New Roman"/>
          <w:color w:val="auto"/>
          <w:sz w:val="20"/>
          <w:szCs w:val="20"/>
          <w:lang w:eastAsia="en-US"/>
        </w:rPr>
        <w:t xml:space="preserve">should be </w:t>
      </w:r>
      <w:r w:rsidR="003B026F" w:rsidRPr="00B36160">
        <w:rPr>
          <w:rFonts w:cs="Times New Roman"/>
          <w:color w:val="auto"/>
          <w:sz w:val="20"/>
          <w:szCs w:val="20"/>
          <w:lang w:eastAsia="en-US"/>
        </w:rPr>
        <w:t xml:space="preserve">aware that </w:t>
      </w:r>
      <w:r w:rsidR="00DA1ECE" w:rsidRPr="00B36160">
        <w:rPr>
          <w:rFonts w:cs="Times New Roman"/>
          <w:color w:val="auto"/>
          <w:sz w:val="20"/>
          <w:szCs w:val="20"/>
          <w:lang w:eastAsia="en-US"/>
        </w:rPr>
        <w:t>local government</w:t>
      </w:r>
      <w:r w:rsidR="003B6247" w:rsidRPr="00B36160">
        <w:rPr>
          <w:rFonts w:cs="Times New Roman"/>
          <w:color w:val="auto"/>
          <w:sz w:val="20"/>
          <w:szCs w:val="20"/>
          <w:lang w:eastAsia="en-US"/>
        </w:rPr>
        <w:t>s</w:t>
      </w:r>
      <w:r w:rsidR="00DA1ECE" w:rsidRPr="00B36160">
        <w:rPr>
          <w:rFonts w:cs="Times New Roman"/>
          <w:color w:val="auto"/>
          <w:sz w:val="20"/>
          <w:szCs w:val="20"/>
          <w:lang w:eastAsia="en-US"/>
        </w:rPr>
        <w:t xml:space="preserve"> may not have operational budget for new assets </w:t>
      </w:r>
      <w:r w:rsidRPr="00B36160">
        <w:rPr>
          <w:rFonts w:cs="Times New Roman"/>
          <w:color w:val="auto"/>
          <w:sz w:val="20"/>
          <w:szCs w:val="20"/>
          <w:lang w:eastAsia="en-US"/>
        </w:rPr>
        <w:t xml:space="preserve">and </w:t>
      </w:r>
      <w:r w:rsidR="00C358C8" w:rsidRPr="00B36160">
        <w:rPr>
          <w:rFonts w:cs="Times New Roman"/>
          <w:color w:val="auto"/>
          <w:sz w:val="20"/>
          <w:szCs w:val="20"/>
          <w:lang w:eastAsia="en-US"/>
        </w:rPr>
        <w:t xml:space="preserve">AusAID </w:t>
      </w:r>
      <w:r w:rsidR="003B6247" w:rsidRPr="00B36160">
        <w:rPr>
          <w:rFonts w:cs="Times New Roman"/>
          <w:color w:val="auto"/>
          <w:sz w:val="20"/>
          <w:szCs w:val="20"/>
          <w:lang w:eastAsia="en-US"/>
        </w:rPr>
        <w:t>should</w:t>
      </w:r>
      <w:r w:rsidR="003B026F" w:rsidRPr="00443C27">
        <w:rPr>
          <w:rFonts w:cs="Times New Roman"/>
          <w:color w:val="auto"/>
          <w:sz w:val="20"/>
          <w:szCs w:val="20"/>
          <w:lang w:eastAsia="en-US"/>
        </w:rPr>
        <w:t xml:space="preserve"> </w:t>
      </w:r>
      <w:r w:rsidRPr="00443C27">
        <w:rPr>
          <w:rFonts w:cs="Times New Roman"/>
          <w:color w:val="auto"/>
          <w:sz w:val="20"/>
          <w:szCs w:val="20"/>
          <w:lang w:eastAsia="en-US"/>
        </w:rPr>
        <w:t xml:space="preserve">prompt and assist local governments to apply for allocation of maintenance budgets. </w:t>
      </w:r>
    </w:p>
    <w:p w:rsidR="00FF5F41" w:rsidRPr="00137083" w:rsidRDefault="00FF5F41" w:rsidP="00F63A6C">
      <w:pPr>
        <w:pStyle w:val="Default"/>
        <w:spacing w:before="120" w:after="120"/>
        <w:jc w:val="both"/>
        <w:rPr>
          <w:rFonts w:cs="Times New Roman"/>
          <w:color w:val="auto"/>
          <w:sz w:val="20"/>
          <w:szCs w:val="20"/>
          <w:lang w:eastAsia="en-US"/>
        </w:rPr>
      </w:pPr>
      <w:r w:rsidRPr="00443C27">
        <w:rPr>
          <w:rFonts w:cs="Times New Roman"/>
          <w:b/>
          <w:color w:val="auto"/>
          <w:sz w:val="20"/>
          <w:szCs w:val="20"/>
          <w:lang w:eastAsia="en-US"/>
        </w:rPr>
        <w:t>Respon</w:t>
      </w:r>
      <w:r w:rsidRPr="00DE1B2B">
        <w:rPr>
          <w:rFonts w:cs="Times New Roman"/>
          <w:b/>
          <w:color w:val="auto"/>
          <w:sz w:val="20"/>
          <w:szCs w:val="20"/>
          <w:lang w:eastAsia="en-US"/>
        </w:rPr>
        <w:t>se:</w:t>
      </w:r>
      <w:r w:rsidRPr="00A613EB">
        <w:rPr>
          <w:rFonts w:cs="Times New Roman"/>
          <w:color w:val="auto"/>
          <w:sz w:val="20"/>
          <w:szCs w:val="20"/>
          <w:lang w:eastAsia="en-US"/>
        </w:rPr>
        <w:t xml:space="preserve"> </w:t>
      </w:r>
      <w:r w:rsidRPr="00A613EB">
        <w:rPr>
          <w:rFonts w:cs="Times New Roman"/>
          <w:color w:val="auto"/>
          <w:sz w:val="20"/>
          <w:szCs w:val="20"/>
          <w:u w:val="single"/>
          <w:lang w:eastAsia="en-US"/>
        </w:rPr>
        <w:t>Agree</w:t>
      </w:r>
      <w:r w:rsidR="00283057" w:rsidRPr="00A613EB">
        <w:rPr>
          <w:rFonts w:cs="Times New Roman"/>
          <w:color w:val="auto"/>
          <w:sz w:val="20"/>
          <w:szCs w:val="20"/>
          <w:u w:val="single"/>
          <w:lang w:eastAsia="en-US"/>
        </w:rPr>
        <w:t>d</w:t>
      </w:r>
      <w:r w:rsidRPr="00A613EB">
        <w:rPr>
          <w:rFonts w:cs="Times New Roman"/>
          <w:color w:val="auto"/>
          <w:sz w:val="20"/>
          <w:szCs w:val="20"/>
          <w:u w:val="single"/>
          <w:lang w:eastAsia="en-US"/>
        </w:rPr>
        <w:t>.</w:t>
      </w:r>
      <w:r w:rsidRPr="00A613EB">
        <w:rPr>
          <w:rFonts w:cs="Times New Roman"/>
          <w:color w:val="auto"/>
          <w:sz w:val="20"/>
          <w:szCs w:val="20"/>
          <w:lang w:eastAsia="en-US"/>
        </w:rPr>
        <w:t xml:space="preserve"> The </w:t>
      </w:r>
      <w:r w:rsidR="002C21DA" w:rsidRPr="00A613EB">
        <w:rPr>
          <w:rFonts w:cs="Times New Roman"/>
          <w:color w:val="auto"/>
          <w:sz w:val="20"/>
          <w:szCs w:val="20"/>
          <w:lang w:eastAsia="en-US"/>
        </w:rPr>
        <w:t xml:space="preserve">YCAP program handed over </w:t>
      </w:r>
      <w:r w:rsidR="003B026F" w:rsidRPr="00137083">
        <w:rPr>
          <w:rFonts w:cs="Times New Roman"/>
          <w:color w:val="auto"/>
          <w:sz w:val="20"/>
          <w:szCs w:val="20"/>
          <w:lang w:eastAsia="en-US"/>
        </w:rPr>
        <w:t xml:space="preserve">its </w:t>
      </w:r>
      <w:r w:rsidR="002C21DA" w:rsidRPr="00137083">
        <w:rPr>
          <w:rFonts w:cs="Times New Roman"/>
          <w:color w:val="auto"/>
          <w:sz w:val="20"/>
          <w:szCs w:val="20"/>
          <w:lang w:eastAsia="en-US"/>
        </w:rPr>
        <w:t xml:space="preserve">physical assets to </w:t>
      </w:r>
      <w:r w:rsidR="003B026F" w:rsidRPr="00137083">
        <w:rPr>
          <w:rFonts w:cs="Times New Roman"/>
          <w:color w:val="auto"/>
          <w:sz w:val="20"/>
          <w:szCs w:val="20"/>
          <w:lang w:eastAsia="en-US"/>
        </w:rPr>
        <w:t xml:space="preserve">its </w:t>
      </w:r>
      <w:r w:rsidR="002C21DA" w:rsidRPr="00137083">
        <w:rPr>
          <w:rFonts w:cs="Times New Roman"/>
          <w:color w:val="auto"/>
          <w:sz w:val="20"/>
          <w:szCs w:val="20"/>
          <w:lang w:eastAsia="en-US"/>
        </w:rPr>
        <w:t>government</w:t>
      </w:r>
      <w:r w:rsidR="004F4858" w:rsidRPr="00137083">
        <w:rPr>
          <w:rFonts w:cs="Times New Roman"/>
          <w:color w:val="auto"/>
          <w:sz w:val="20"/>
          <w:szCs w:val="20"/>
          <w:lang w:eastAsia="en-US"/>
        </w:rPr>
        <w:t xml:space="preserve"> partners</w:t>
      </w:r>
      <w:r w:rsidR="002C21DA" w:rsidRPr="00137083">
        <w:rPr>
          <w:rFonts w:cs="Times New Roman"/>
          <w:color w:val="auto"/>
          <w:sz w:val="20"/>
          <w:szCs w:val="20"/>
          <w:lang w:eastAsia="en-US"/>
        </w:rPr>
        <w:t xml:space="preserve">. </w:t>
      </w:r>
      <w:r w:rsidR="00C358C8" w:rsidRPr="00137083">
        <w:rPr>
          <w:rFonts w:cs="Times New Roman"/>
          <w:color w:val="auto"/>
          <w:sz w:val="20"/>
          <w:szCs w:val="20"/>
          <w:lang w:eastAsia="en-US"/>
        </w:rPr>
        <w:t xml:space="preserve">The </w:t>
      </w:r>
      <w:r w:rsidR="003B026F" w:rsidRPr="00137083">
        <w:rPr>
          <w:rFonts w:cs="Times New Roman"/>
          <w:color w:val="auto"/>
          <w:sz w:val="20"/>
          <w:szCs w:val="20"/>
          <w:lang w:eastAsia="en-US"/>
        </w:rPr>
        <w:t>ICR highlight</w:t>
      </w:r>
      <w:r w:rsidR="00C358C8" w:rsidRPr="00137083">
        <w:rPr>
          <w:rFonts w:cs="Times New Roman"/>
          <w:color w:val="auto"/>
          <w:sz w:val="20"/>
          <w:szCs w:val="20"/>
          <w:lang w:eastAsia="en-US"/>
        </w:rPr>
        <w:t>s</w:t>
      </w:r>
      <w:r w:rsidR="003B026F" w:rsidRPr="00137083">
        <w:rPr>
          <w:rFonts w:cs="Times New Roman"/>
          <w:color w:val="auto"/>
          <w:sz w:val="20"/>
          <w:szCs w:val="20"/>
          <w:lang w:eastAsia="en-US"/>
        </w:rPr>
        <w:t xml:space="preserve"> that </w:t>
      </w:r>
      <w:r w:rsidR="00736E5F" w:rsidRPr="00137083">
        <w:rPr>
          <w:rFonts w:cs="Times New Roman"/>
          <w:color w:val="auto"/>
          <w:sz w:val="20"/>
          <w:szCs w:val="20"/>
          <w:lang w:eastAsia="en-US"/>
        </w:rPr>
        <w:t>local government</w:t>
      </w:r>
      <w:r w:rsidR="00857113" w:rsidRPr="00137083">
        <w:rPr>
          <w:rFonts w:cs="Times New Roman"/>
          <w:color w:val="auto"/>
          <w:sz w:val="20"/>
          <w:szCs w:val="20"/>
          <w:lang w:eastAsia="en-US"/>
        </w:rPr>
        <w:t>s</w:t>
      </w:r>
      <w:r w:rsidR="00736E5F" w:rsidRPr="00137083">
        <w:rPr>
          <w:rFonts w:cs="Times New Roman"/>
          <w:color w:val="auto"/>
          <w:sz w:val="20"/>
          <w:szCs w:val="20"/>
          <w:lang w:eastAsia="en-US"/>
        </w:rPr>
        <w:t xml:space="preserve"> </w:t>
      </w:r>
      <w:r w:rsidR="003B026F" w:rsidRPr="00137083">
        <w:rPr>
          <w:rFonts w:cs="Times New Roman"/>
          <w:color w:val="auto"/>
          <w:sz w:val="20"/>
          <w:szCs w:val="20"/>
          <w:lang w:eastAsia="en-US"/>
        </w:rPr>
        <w:t xml:space="preserve">should </w:t>
      </w:r>
      <w:r w:rsidR="00736E5F" w:rsidRPr="00137083">
        <w:rPr>
          <w:rFonts w:cs="Times New Roman"/>
          <w:color w:val="auto"/>
          <w:sz w:val="20"/>
          <w:szCs w:val="20"/>
          <w:lang w:eastAsia="en-US"/>
        </w:rPr>
        <w:t xml:space="preserve">prepare specific funds for maintenance. </w:t>
      </w:r>
      <w:r w:rsidR="00857113" w:rsidRPr="00137083">
        <w:rPr>
          <w:rFonts w:cs="Times New Roman"/>
          <w:color w:val="auto"/>
          <w:sz w:val="20"/>
          <w:szCs w:val="20"/>
          <w:lang w:eastAsia="en-US"/>
        </w:rPr>
        <w:t>This fundamental issue will be raise</w:t>
      </w:r>
      <w:r w:rsidR="005220DD" w:rsidRPr="00137083">
        <w:rPr>
          <w:rFonts w:cs="Times New Roman"/>
          <w:color w:val="auto"/>
          <w:sz w:val="20"/>
          <w:szCs w:val="20"/>
          <w:lang w:eastAsia="en-US"/>
        </w:rPr>
        <w:t>d</w:t>
      </w:r>
      <w:r w:rsidR="00857113" w:rsidRPr="00137083">
        <w:rPr>
          <w:rFonts w:cs="Times New Roman"/>
          <w:color w:val="auto"/>
          <w:sz w:val="20"/>
          <w:szCs w:val="20"/>
          <w:lang w:eastAsia="en-US"/>
        </w:rPr>
        <w:t xml:space="preserve"> more broadly within AusAID Indonesia to ensure activities </w:t>
      </w:r>
      <w:r w:rsidR="005220DD" w:rsidRPr="00137083">
        <w:rPr>
          <w:rFonts w:cs="Times New Roman"/>
          <w:color w:val="auto"/>
          <w:sz w:val="20"/>
          <w:szCs w:val="20"/>
          <w:lang w:eastAsia="en-US"/>
        </w:rPr>
        <w:t>address this early in</w:t>
      </w:r>
      <w:r w:rsidR="002752EF">
        <w:rPr>
          <w:rFonts w:cs="Times New Roman"/>
          <w:color w:val="auto"/>
          <w:sz w:val="20"/>
          <w:szCs w:val="20"/>
          <w:lang w:eastAsia="en-US"/>
        </w:rPr>
        <w:t xml:space="preserve"> design and in</w:t>
      </w:r>
      <w:r w:rsidR="005220DD" w:rsidRPr="00137083">
        <w:rPr>
          <w:rFonts w:cs="Times New Roman"/>
          <w:color w:val="auto"/>
          <w:sz w:val="20"/>
          <w:szCs w:val="20"/>
          <w:lang w:eastAsia="en-US"/>
        </w:rPr>
        <w:t xml:space="preserve"> implementation</w:t>
      </w:r>
      <w:r w:rsidR="00857113" w:rsidRPr="00137083">
        <w:rPr>
          <w:rFonts w:cs="Times New Roman"/>
          <w:color w:val="auto"/>
          <w:sz w:val="20"/>
          <w:szCs w:val="20"/>
          <w:lang w:eastAsia="en-US"/>
        </w:rPr>
        <w:t xml:space="preserve">. </w:t>
      </w:r>
    </w:p>
    <w:p w:rsidR="006B259F" w:rsidRPr="00137083" w:rsidRDefault="006B259F" w:rsidP="00F63A6C">
      <w:pPr>
        <w:pStyle w:val="Heading2"/>
        <w:jc w:val="both"/>
        <w:rPr>
          <w:sz w:val="20"/>
          <w:szCs w:val="20"/>
        </w:rPr>
      </w:pPr>
      <w:r w:rsidRPr="00137083">
        <w:rPr>
          <w:sz w:val="20"/>
          <w:szCs w:val="20"/>
        </w:rPr>
        <w:t>Recommendation Five</w:t>
      </w:r>
    </w:p>
    <w:p w:rsidR="008A1189" w:rsidRPr="004F4858" w:rsidRDefault="008A1189" w:rsidP="00F63A6C">
      <w:pPr>
        <w:pStyle w:val="Default"/>
        <w:spacing w:before="120" w:after="120"/>
        <w:jc w:val="both"/>
        <w:rPr>
          <w:rFonts w:cs="Times New Roman"/>
          <w:color w:val="auto"/>
          <w:sz w:val="20"/>
          <w:szCs w:val="20"/>
          <w:lang w:eastAsia="en-US"/>
        </w:rPr>
      </w:pPr>
      <w:r w:rsidRPr="004F4858">
        <w:rPr>
          <w:rFonts w:cs="Times New Roman"/>
          <w:color w:val="auto"/>
          <w:sz w:val="20"/>
          <w:szCs w:val="20"/>
          <w:lang w:eastAsia="en-US"/>
        </w:rPr>
        <w:t xml:space="preserve">It is strongly recommended that AusAID consider allocating </w:t>
      </w:r>
      <w:r w:rsidR="00B36160" w:rsidRPr="004F4858">
        <w:rPr>
          <w:rFonts w:cs="Times New Roman"/>
          <w:color w:val="auto"/>
          <w:sz w:val="20"/>
          <w:szCs w:val="20"/>
          <w:lang w:eastAsia="en-US"/>
        </w:rPr>
        <w:t>12</w:t>
      </w:r>
      <w:r w:rsidR="00B36160">
        <w:rPr>
          <w:rFonts w:cs="Times New Roman"/>
          <w:color w:val="auto"/>
          <w:sz w:val="20"/>
          <w:szCs w:val="20"/>
          <w:lang w:eastAsia="en-US"/>
        </w:rPr>
        <w:t> </w:t>
      </w:r>
      <w:r w:rsidRPr="004F4858">
        <w:rPr>
          <w:rFonts w:cs="Times New Roman"/>
          <w:color w:val="auto"/>
          <w:sz w:val="20"/>
          <w:szCs w:val="20"/>
          <w:lang w:eastAsia="en-US"/>
        </w:rPr>
        <w:t xml:space="preserve">months of modest additional funding to provide limited ongoing support to YCAP activities to: </w:t>
      </w:r>
    </w:p>
    <w:p w:rsidR="008A1189" w:rsidRPr="00B36160" w:rsidRDefault="008A1189" w:rsidP="00F63A6C">
      <w:pPr>
        <w:pStyle w:val="Default"/>
        <w:numPr>
          <w:ilvl w:val="0"/>
          <w:numId w:val="28"/>
        </w:numPr>
        <w:spacing w:before="120" w:after="120"/>
        <w:jc w:val="both"/>
        <w:rPr>
          <w:rFonts w:cs="Times New Roman"/>
          <w:color w:val="auto"/>
          <w:sz w:val="20"/>
          <w:szCs w:val="20"/>
          <w:lang w:eastAsia="en-US"/>
        </w:rPr>
      </w:pPr>
      <w:r w:rsidRPr="00B36160">
        <w:rPr>
          <w:rFonts w:cs="Times New Roman"/>
          <w:color w:val="auto"/>
          <w:sz w:val="20"/>
          <w:szCs w:val="20"/>
          <w:lang w:eastAsia="en-US"/>
        </w:rPr>
        <w:t>continue efforts to empower cooperation between GoI</w:t>
      </w:r>
      <w:r w:rsidR="00D56105" w:rsidRPr="00B36160">
        <w:rPr>
          <w:rFonts w:cs="Times New Roman"/>
          <w:color w:val="auto"/>
          <w:sz w:val="20"/>
          <w:szCs w:val="20"/>
          <w:lang w:eastAsia="en-US"/>
        </w:rPr>
        <w:t xml:space="preserve">, </w:t>
      </w:r>
      <w:r w:rsidRPr="00B36160">
        <w:rPr>
          <w:rFonts w:cs="Times New Roman"/>
          <w:color w:val="auto"/>
          <w:sz w:val="20"/>
          <w:szCs w:val="20"/>
          <w:lang w:eastAsia="en-US"/>
        </w:rPr>
        <w:t>NGO</w:t>
      </w:r>
      <w:r w:rsidR="00D56105" w:rsidRPr="00B36160">
        <w:rPr>
          <w:rFonts w:cs="Times New Roman"/>
          <w:color w:val="auto"/>
          <w:sz w:val="20"/>
          <w:szCs w:val="20"/>
          <w:lang w:eastAsia="en-US"/>
        </w:rPr>
        <w:t xml:space="preserve">s and the </w:t>
      </w:r>
      <w:r w:rsidRPr="00B36160">
        <w:rPr>
          <w:rFonts w:cs="Times New Roman"/>
          <w:color w:val="auto"/>
          <w:sz w:val="20"/>
          <w:szCs w:val="20"/>
          <w:lang w:eastAsia="en-US"/>
        </w:rPr>
        <w:t>community</w:t>
      </w:r>
      <w:r w:rsidR="004F4858" w:rsidRPr="00B36160">
        <w:rPr>
          <w:rFonts w:cs="Times New Roman"/>
          <w:color w:val="auto"/>
          <w:sz w:val="20"/>
          <w:szCs w:val="20"/>
          <w:lang w:eastAsia="en-US"/>
        </w:rPr>
        <w:t>;</w:t>
      </w:r>
      <w:r w:rsidRPr="00B36160">
        <w:rPr>
          <w:rFonts w:cs="Times New Roman"/>
          <w:color w:val="auto"/>
          <w:sz w:val="20"/>
          <w:szCs w:val="20"/>
          <w:lang w:eastAsia="en-US"/>
        </w:rPr>
        <w:t xml:space="preserve"> </w:t>
      </w:r>
    </w:p>
    <w:p w:rsidR="008A1189" w:rsidRPr="00137083" w:rsidRDefault="008A1189" w:rsidP="00F63A6C">
      <w:pPr>
        <w:pStyle w:val="Default"/>
        <w:numPr>
          <w:ilvl w:val="0"/>
          <w:numId w:val="28"/>
        </w:numPr>
        <w:spacing w:before="120" w:after="120"/>
        <w:jc w:val="both"/>
        <w:rPr>
          <w:rFonts w:cs="Times New Roman"/>
          <w:color w:val="auto"/>
          <w:sz w:val="20"/>
          <w:szCs w:val="20"/>
          <w:lang w:eastAsia="en-US"/>
        </w:rPr>
      </w:pPr>
      <w:r w:rsidRPr="00443C27">
        <w:rPr>
          <w:rFonts w:cs="Times New Roman"/>
          <w:color w:val="auto"/>
          <w:sz w:val="20"/>
          <w:szCs w:val="20"/>
          <w:lang w:eastAsia="en-US"/>
        </w:rPr>
        <w:t xml:space="preserve">continue efforts to empower cooperation between </w:t>
      </w:r>
      <w:r w:rsidR="00D56105" w:rsidRPr="00443C27">
        <w:rPr>
          <w:rFonts w:cs="Times New Roman"/>
          <w:color w:val="auto"/>
          <w:sz w:val="20"/>
          <w:szCs w:val="20"/>
          <w:lang w:eastAsia="en-US"/>
        </w:rPr>
        <w:t xml:space="preserve">Small </w:t>
      </w:r>
      <w:r w:rsidR="002752EF">
        <w:rPr>
          <w:rFonts w:cs="Times New Roman"/>
          <w:color w:val="auto"/>
          <w:sz w:val="20"/>
          <w:szCs w:val="20"/>
          <w:lang w:eastAsia="en-US"/>
        </w:rPr>
        <w:t xml:space="preserve">and </w:t>
      </w:r>
      <w:r w:rsidR="00D56105" w:rsidRPr="00443C27">
        <w:rPr>
          <w:rFonts w:cs="Times New Roman"/>
          <w:color w:val="auto"/>
          <w:sz w:val="20"/>
          <w:szCs w:val="20"/>
          <w:lang w:eastAsia="en-US"/>
        </w:rPr>
        <w:t>Medium Enterprises (</w:t>
      </w:r>
      <w:r w:rsidRPr="00443C27">
        <w:rPr>
          <w:rFonts w:cs="Times New Roman"/>
          <w:color w:val="auto"/>
          <w:sz w:val="20"/>
          <w:szCs w:val="20"/>
          <w:lang w:eastAsia="en-US"/>
        </w:rPr>
        <w:t>SME</w:t>
      </w:r>
      <w:r w:rsidR="00D56105" w:rsidRPr="00443C27">
        <w:rPr>
          <w:rFonts w:cs="Times New Roman"/>
          <w:color w:val="auto"/>
          <w:sz w:val="20"/>
          <w:szCs w:val="20"/>
          <w:lang w:eastAsia="en-US"/>
        </w:rPr>
        <w:t>)</w:t>
      </w:r>
      <w:r w:rsidR="00D56105" w:rsidRPr="00A613EB">
        <w:rPr>
          <w:rFonts w:cs="Times New Roman"/>
          <w:color w:val="auto"/>
          <w:sz w:val="20"/>
          <w:szCs w:val="20"/>
          <w:lang w:eastAsia="en-US"/>
        </w:rPr>
        <w:t xml:space="preserve">, </w:t>
      </w:r>
      <w:r w:rsidRPr="00A613EB">
        <w:rPr>
          <w:rFonts w:cs="Times New Roman"/>
          <w:color w:val="auto"/>
          <w:sz w:val="20"/>
          <w:szCs w:val="20"/>
          <w:lang w:eastAsia="en-US"/>
        </w:rPr>
        <w:t>NGO</w:t>
      </w:r>
      <w:r w:rsidR="00D56105" w:rsidRPr="00A613EB">
        <w:rPr>
          <w:rFonts w:cs="Times New Roman"/>
          <w:color w:val="auto"/>
          <w:sz w:val="20"/>
          <w:szCs w:val="20"/>
          <w:lang w:eastAsia="en-US"/>
        </w:rPr>
        <w:t>s and</w:t>
      </w:r>
      <w:r w:rsidRPr="00A613EB">
        <w:rPr>
          <w:rFonts w:cs="Times New Roman"/>
          <w:color w:val="auto"/>
          <w:sz w:val="20"/>
          <w:szCs w:val="20"/>
          <w:lang w:eastAsia="en-US"/>
        </w:rPr>
        <w:t xml:space="preserve"> bigger business entities</w:t>
      </w:r>
      <w:r w:rsidR="004F4858" w:rsidRPr="00A613EB">
        <w:rPr>
          <w:rFonts w:cs="Times New Roman"/>
          <w:color w:val="auto"/>
          <w:sz w:val="20"/>
          <w:szCs w:val="20"/>
          <w:lang w:eastAsia="en-US"/>
        </w:rPr>
        <w:t>; and</w:t>
      </w:r>
      <w:r w:rsidRPr="00137083">
        <w:rPr>
          <w:rFonts w:cs="Times New Roman"/>
          <w:color w:val="auto"/>
          <w:sz w:val="20"/>
          <w:szCs w:val="20"/>
          <w:lang w:eastAsia="en-US"/>
        </w:rPr>
        <w:t xml:space="preserve"> </w:t>
      </w:r>
    </w:p>
    <w:p w:rsidR="008A1189" w:rsidRPr="00137083" w:rsidRDefault="008A1189" w:rsidP="00F63A6C">
      <w:pPr>
        <w:pStyle w:val="Default"/>
        <w:numPr>
          <w:ilvl w:val="0"/>
          <w:numId w:val="28"/>
        </w:numPr>
        <w:spacing w:before="120" w:after="120"/>
        <w:jc w:val="both"/>
        <w:rPr>
          <w:rFonts w:cs="Times New Roman"/>
          <w:color w:val="auto"/>
          <w:sz w:val="20"/>
          <w:szCs w:val="20"/>
          <w:lang w:eastAsia="en-US"/>
        </w:rPr>
      </w:pPr>
      <w:r w:rsidRPr="00137083">
        <w:rPr>
          <w:rFonts w:cs="Times New Roman"/>
          <w:color w:val="auto"/>
          <w:sz w:val="20"/>
          <w:szCs w:val="20"/>
          <w:lang w:eastAsia="en-US"/>
        </w:rPr>
        <w:t>continue efforts to strengthen women as income earners as a way to encourage ongoing cultural change</w:t>
      </w:r>
      <w:r w:rsidR="004F4858" w:rsidRPr="00137083">
        <w:rPr>
          <w:rFonts w:cs="Times New Roman"/>
          <w:color w:val="auto"/>
          <w:sz w:val="20"/>
          <w:szCs w:val="20"/>
          <w:lang w:eastAsia="en-US"/>
        </w:rPr>
        <w:t>.</w:t>
      </w:r>
      <w:r w:rsidRPr="00137083">
        <w:rPr>
          <w:rFonts w:cs="Times New Roman"/>
          <w:color w:val="auto"/>
          <w:sz w:val="20"/>
          <w:szCs w:val="20"/>
          <w:lang w:eastAsia="en-US"/>
        </w:rPr>
        <w:t xml:space="preserve"> </w:t>
      </w:r>
    </w:p>
    <w:p w:rsidR="008A1189" w:rsidRPr="00B36160" w:rsidRDefault="008A1189" w:rsidP="00F63A6C">
      <w:pPr>
        <w:pStyle w:val="Default"/>
        <w:spacing w:before="120" w:after="120"/>
        <w:jc w:val="both"/>
        <w:rPr>
          <w:rFonts w:cs="Times New Roman"/>
          <w:color w:val="auto"/>
          <w:sz w:val="20"/>
          <w:szCs w:val="20"/>
          <w:lang w:eastAsia="en-US"/>
        </w:rPr>
      </w:pPr>
      <w:r w:rsidRPr="00137083">
        <w:rPr>
          <w:rFonts w:cs="Times New Roman"/>
          <w:color w:val="auto"/>
          <w:sz w:val="20"/>
          <w:szCs w:val="20"/>
          <w:lang w:eastAsia="en-US"/>
        </w:rPr>
        <w:t>This funding provision should have the multiple aims of consolidating the sustainability of phase</w:t>
      </w:r>
      <w:r w:rsidR="00B36160">
        <w:rPr>
          <w:rFonts w:cs="Times New Roman"/>
          <w:color w:val="auto"/>
          <w:sz w:val="20"/>
          <w:szCs w:val="20"/>
          <w:lang w:eastAsia="en-US"/>
        </w:rPr>
        <w:t> </w:t>
      </w:r>
      <w:r w:rsidRPr="00B36160">
        <w:rPr>
          <w:rFonts w:cs="Times New Roman"/>
          <w:color w:val="auto"/>
          <w:sz w:val="20"/>
          <w:szCs w:val="20"/>
          <w:lang w:eastAsia="en-US"/>
        </w:rPr>
        <w:t xml:space="preserve">2 achievements, monitoring future independent uptake of program approaches and researching the best means of replicating YCAP successes. </w:t>
      </w:r>
    </w:p>
    <w:p w:rsidR="001C6BF9" w:rsidRPr="00443C27" w:rsidRDefault="001C6BF9" w:rsidP="00F63A6C">
      <w:pPr>
        <w:pStyle w:val="Default"/>
        <w:spacing w:before="120" w:after="120"/>
        <w:jc w:val="both"/>
        <w:rPr>
          <w:rFonts w:cs="Times New Roman"/>
          <w:color w:val="auto"/>
          <w:sz w:val="20"/>
          <w:szCs w:val="20"/>
          <w:lang w:eastAsia="en-US"/>
        </w:rPr>
      </w:pPr>
      <w:r w:rsidRPr="00B36160">
        <w:rPr>
          <w:rFonts w:cs="Times New Roman"/>
          <w:b/>
          <w:color w:val="auto"/>
          <w:sz w:val="20"/>
          <w:szCs w:val="20"/>
          <w:lang w:eastAsia="en-US"/>
        </w:rPr>
        <w:t>Response:</w:t>
      </w:r>
      <w:r w:rsidRPr="00B36160">
        <w:rPr>
          <w:rFonts w:cs="Times New Roman"/>
          <w:color w:val="auto"/>
          <w:sz w:val="20"/>
          <w:szCs w:val="20"/>
          <w:lang w:eastAsia="en-US"/>
        </w:rPr>
        <w:t xml:space="preserve"> </w:t>
      </w:r>
      <w:r w:rsidRPr="00B36160">
        <w:rPr>
          <w:rFonts w:cs="Times New Roman"/>
          <w:color w:val="auto"/>
          <w:sz w:val="20"/>
          <w:szCs w:val="20"/>
          <w:u w:val="single"/>
          <w:lang w:eastAsia="en-US"/>
        </w:rPr>
        <w:t>Not Agree</w:t>
      </w:r>
      <w:r w:rsidR="00857113" w:rsidRPr="00B36160">
        <w:rPr>
          <w:rFonts w:cs="Times New Roman"/>
          <w:color w:val="auto"/>
          <w:sz w:val="20"/>
          <w:szCs w:val="20"/>
          <w:u w:val="single"/>
          <w:lang w:eastAsia="en-US"/>
        </w:rPr>
        <w:t>d</w:t>
      </w:r>
      <w:r w:rsidRPr="00B36160">
        <w:rPr>
          <w:rFonts w:cs="Times New Roman"/>
          <w:color w:val="auto"/>
          <w:sz w:val="20"/>
          <w:szCs w:val="20"/>
          <w:u w:val="single"/>
          <w:lang w:eastAsia="en-US"/>
        </w:rPr>
        <w:t>.</w:t>
      </w:r>
      <w:r w:rsidRPr="00B36160">
        <w:rPr>
          <w:rFonts w:cs="Times New Roman"/>
          <w:color w:val="auto"/>
          <w:sz w:val="20"/>
          <w:szCs w:val="20"/>
          <w:lang w:eastAsia="en-US"/>
        </w:rPr>
        <w:t xml:space="preserve"> The program was extended for </w:t>
      </w:r>
      <w:r w:rsidR="005B2BDE" w:rsidRPr="00B36160">
        <w:rPr>
          <w:rFonts w:cs="Times New Roman"/>
          <w:color w:val="auto"/>
          <w:sz w:val="20"/>
          <w:szCs w:val="20"/>
          <w:lang w:eastAsia="en-US"/>
        </w:rPr>
        <w:t xml:space="preserve">an </w:t>
      </w:r>
      <w:r w:rsidRPr="00B36160">
        <w:rPr>
          <w:rFonts w:cs="Times New Roman"/>
          <w:color w:val="auto"/>
          <w:sz w:val="20"/>
          <w:szCs w:val="20"/>
          <w:lang w:eastAsia="en-US"/>
        </w:rPr>
        <w:t xml:space="preserve">additional </w:t>
      </w:r>
      <w:r w:rsidR="00B36160" w:rsidRPr="00443C27">
        <w:rPr>
          <w:rFonts w:cs="Times New Roman"/>
          <w:color w:val="auto"/>
          <w:sz w:val="20"/>
          <w:szCs w:val="20"/>
          <w:lang w:eastAsia="en-US"/>
        </w:rPr>
        <w:t>15</w:t>
      </w:r>
      <w:r w:rsidR="00B36160">
        <w:rPr>
          <w:rFonts w:cs="Times New Roman"/>
          <w:color w:val="auto"/>
          <w:sz w:val="20"/>
          <w:szCs w:val="20"/>
          <w:lang w:eastAsia="en-US"/>
        </w:rPr>
        <w:t> </w:t>
      </w:r>
      <w:r w:rsidR="00857113" w:rsidRPr="00B36160">
        <w:rPr>
          <w:rFonts w:cs="Times New Roman"/>
          <w:color w:val="auto"/>
          <w:sz w:val="20"/>
          <w:szCs w:val="20"/>
          <w:lang w:eastAsia="en-US"/>
        </w:rPr>
        <w:t>months</w:t>
      </w:r>
      <w:r w:rsidRPr="00B36160">
        <w:rPr>
          <w:rFonts w:cs="Times New Roman"/>
          <w:color w:val="auto"/>
          <w:sz w:val="20"/>
          <w:szCs w:val="20"/>
          <w:lang w:eastAsia="en-US"/>
        </w:rPr>
        <w:t xml:space="preserve"> from the original</w:t>
      </w:r>
      <w:r w:rsidR="00287596" w:rsidRPr="00B36160">
        <w:rPr>
          <w:rFonts w:cs="Times New Roman"/>
          <w:color w:val="auto"/>
          <w:sz w:val="20"/>
          <w:szCs w:val="20"/>
          <w:lang w:eastAsia="en-US"/>
        </w:rPr>
        <w:t xml:space="preserve"> closing date</w:t>
      </w:r>
      <w:r w:rsidRPr="00B36160">
        <w:rPr>
          <w:rFonts w:cs="Times New Roman"/>
          <w:color w:val="auto"/>
          <w:sz w:val="20"/>
          <w:szCs w:val="20"/>
          <w:lang w:eastAsia="en-US"/>
        </w:rPr>
        <w:t xml:space="preserve">. </w:t>
      </w:r>
      <w:r w:rsidR="00D56105" w:rsidRPr="00B36160">
        <w:rPr>
          <w:rFonts w:cs="Times New Roman"/>
          <w:color w:val="auto"/>
          <w:sz w:val="20"/>
          <w:szCs w:val="20"/>
          <w:lang w:eastAsia="en-US"/>
        </w:rPr>
        <w:t xml:space="preserve">A </w:t>
      </w:r>
      <w:r w:rsidRPr="00B36160">
        <w:rPr>
          <w:rFonts w:cs="Times New Roman"/>
          <w:color w:val="auto"/>
          <w:sz w:val="20"/>
          <w:szCs w:val="20"/>
          <w:lang w:eastAsia="en-US"/>
        </w:rPr>
        <w:t xml:space="preserve">total of </w:t>
      </w:r>
      <w:r w:rsidR="00857113" w:rsidRPr="00443C27">
        <w:rPr>
          <w:rFonts w:cs="Times New Roman"/>
          <w:color w:val="auto"/>
          <w:sz w:val="20"/>
          <w:szCs w:val="20"/>
          <w:lang w:eastAsia="en-US"/>
        </w:rPr>
        <w:t xml:space="preserve">four </w:t>
      </w:r>
      <w:r w:rsidRPr="00443C27">
        <w:rPr>
          <w:rFonts w:cs="Times New Roman"/>
          <w:color w:val="auto"/>
          <w:sz w:val="20"/>
          <w:szCs w:val="20"/>
          <w:lang w:eastAsia="en-US"/>
        </w:rPr>
        <w:t xml:space="preserve">years </w:t>
      </w:r>
      <w:r w:rsidR="00D56105" w:rsidRPr="00443C27">
        <w:rPr>
          <w:rFonts w:cs="Times New Roman"/>
          <w:color w:val="auto"/>
          <w:sz w:val="20"/>
          <w:szCs w:val="20"/>
          <w:lang w:eastAsia="en-US"/>
        </w:rPr>
        <w:t xml:space="preserve">was </w:t>
      </w:r>
      <w:r w:rsidR="00857113" w:rsidRPr="00443C27">
        <w:rPr>
          <w:rFonts w:cs="Times New Roman"/>
          <w:color w:val="auto"/>
          <w:sz w:val="20"/>
          <w:szCs w:val="20"/>
          <w:lang w:eastAsia="en-US"/>
        </w:rPr>
        <w:t xml:space="preserve">appropriate </w:t>
      </w:r>
      <w:r w:rsidRPr="00DE1B2B">
        <w:rPr>
          <w:rFonts w:cs="Times New Roman"/>
          <w:color w:val="auto"/>
          <w:sz w:val="20"/>
          <w:szCs w:val="20"/>
          <w:lang w:eastAsia="en-US"/>
        </w:rPr>
        <w:t xml:space="preserve">to provide the assistance and </w:t>
      </w:r>
      <w:r w:rsidR="005B2BDE" w:rsidRPr="00A613EB">
        <w:rPr>
          <w:rFonts w:cs="Times New Roman"/>
          <w:color w:val="auto"/>
          <w:sz w:val="20"/>
          <w:szCs w:val="20"/>
          <w:lang w:eastAsia="en-US"/>
        </w:rPr>
        <w:t xml:space="preserve">to have </w:t>
      </w:r>
      <w:r w:rsidR="004F4858" w:rsidRPr="000469D4">
        <w:rPr>
          <w:rFonts w:cs="Times New Roman"/>
          <w:color w:val="auto"/>
          <w:sz w:val="20"/>
          <w:szCs w:val="20"/>
          <w:lang w:eastAsia="en-US"/>
        </w:rPr>
        <w:t>effectively</w:t>
      </w:r>
      <w:r w:rsidR="004F4858" w:rsidRPr="004F4858">
        <w:rPr>
          <w:rFonts w:cs="Times New Roman"/>
          <w:color w:val="auto"/>
          <w:sz w:val="20"/>
          <w:szCs w:val="20"/>
          <w:lang w:eastAsia="en-US"/>
        </w:rPr>
        <w:t xml:space="preserve"> </w:t>
      </w:r>
      <w:r w:rsidR="00D56105" w:rsidRPr="004F4858">
        <w:rPr>
          <w:rFonts w:cs="Times New Roman"/>
          <w:color w:val="auto"/>
          <w:sz w:val="20"/>
          <w:szCs w:val="20"/>
          <w:lang w:eastAsia="en-US"/>
        </w:rPr>
        <w:t>exited</w:t>
      </w:r>
      <w:r w:rsidR="00857113" w:rsidRPr="004F4858">
        <w:rPr>
          <w:rFonts w:cs="Times New Roman"/>
          <w:color w:val="auto"/>
          <w:sz w:val="20"/>
          <w:szCs w:val="20"/>
          <w:lang w:eastAsia="en-US"/>
        </w:rPr>
        <w:t>.</w:t>
      </w:r>
      <w:r w:rsidRPr="004F4858">
        <w:rPr>
          <w:rFonts w:cs="Times New Roman"/>
          <w:color w:val="auto"/>
          <w:sz w:val="20"/>
          <w:szCs w:val="20"/>
          <w:lang w:eastAsia="en-US"/>
        </w:rPr>
        <w:t xml:space="preserve"> </w:t>
      </w:r>
      <w:r w:rsidR="005B2BDE" w:rsidRPr="004F4858">
        <w:rPr>
          <w:rFonts w:cs="Times New Roman"/>
          <w:color w:val="auto"/>
          <w:sz w:val="20"/>
          <w:szCs w:val="20"/>
          <w:lang w:eastAsia="en-US"/>
        </w:rPr>
        <w:t xml:space="preserve">The ICR found that YCAP had been successful in facilitating better and more effective partnership between local government and local </w:t>
      </w:r>
      <w:r w:rsidR="00F63A6C" w:rsidRPr="00B36160">
        <w:rPr>
          <w:rFonts w:cs="Times New Roman"/>
          <w:color w:val="auto"/>
          <w:sz w:val="20"/>
          <w:szCs w:val="20"/>
          <w:lang w:eastAsia="en-US"/>
        </w:rPr>
        <w:t>organisations</w:t>
      </w:r>
      <w:r w:rsidR="005B2BDE" w:rsidRPr="00443C27">
        <w:rPr>
          <w:rFonts w:cs="Times New Roman"/>
          <w:color w:val="auto"/>
          <w:sz w:val="20"/>
          <w:szCs w:val="20"/>
          <w:lang w:eastAsia="en-US"/>
        </w:rPr>
        <w:t xml:space="preserve"> to carry on some related works</w:t>
      </w:r>
      <w:r w:rsidR="00D56105" w:rsidRPr="00443C27">
        <w:rPr>
          <w:rFonts w:cs="Times New Roman"/>
          <w:color w:val="auto"/>
          <w:sz w:val="20"/>
          <w:szCs w:val="20"/>
          <w:lang w:eastAsia="en-US"/>
        </w:rPr>
        <w:t xml:space="preserve"> themselves</w:t>
      </w:r>
      <w:r w:rsidR="00287596" w:rsidRPr="00443C27">
        <w:rPr>
          <w:rFonts w:cs="Times New Roman"/>
          <w:color w:val="auto"/>
          <w:sz w:val="20"/>
          <w:szCs w:val="20"/>
          <w:lang w:eastAsia="en-US"/>
        </w:rPr>
        <w:t>.</w:t>
      </w:r>
    </w:p>
    <w:p w:rsidR="006B259F" w:rsidRPr="00137083" w:rsidRDefault="006B259F" w:rsidP="00F63A6C">
      <w:pPr>
        <w:pStyle w:val="Heading2"/>
        <w:jc w:val="both"/>
        <w:rPr>
          <w:sz w:val="20"/>
          <w:szCs w:val="20"/>
        </w:rPr>
      </w:pPr>
      <w:r w:rsidRPr="00137083">
        <w:rPr>
          <w:sz w:val="20"/>
          <w:szCs w:val="20"/>
        </w:rPr>
        <w:t>Recommendation Six</w:t>
      </w:r>
    </w:p>
    <w:p w:rsidR="008A1189" w:rsidRPr="00B36160" w:rsidRDefault="008A1189" w:rsidP="00F63A6C">
      <w:pPr>
        <w:jc w:val="both"/>
        <w:rPr>
          <w:szCs w:val="20"/>
        </w:rPr>
      </w:pPr>
      <w:r w:rsidRPr="004F4858">
        <w:rPr>
          <w:szCs w:val="20"/>
        </w:rPr>
        <w:t xml:space="preserve">M&amp;E frameworks of programs </w:t>
      </w:r>
      <w:r w:rsidR="004F4858">
        <w:rPr>
          <w:szCs w:val="20"/>
        </w:rPr>
        <w:t>that</w:t>
      </w:r>
      <w:r w:rsidRPr="004F4858">
        <w:rPr>
          <w:szCs w:val="20"/>
        </w:rPr>
        <w:t xml:space="preserve"> transition from emergency to development assistance should define indicators relevant to both forms of assistance and recognise that optimal performance levels against </w:t>
      </w:r>
      <w:r w:rsidR="00443C27" w:rsidRPr="004F4858">
        <w:rPr>
          <w:szCs w:val="20"/>
        </w:rPr>
        <w:t>the</w:t>
      </w:r>
      <w:r w:rsidR="00443C27">
        <w:rPr>
          <w:szCs w:val="20"/>
        </w:rPr>
        <w:t> </w:t>
      </w:r>
      <w:r w:rsidRPr="004F4858">
        <w:rPr>
          <w:szCs w:val="20"/>
        </w:rPr>
        <w:t>various indicators is something that should change over time.</w:t>
      </w:r>
    </w:p>
    <w:p w:rsidR="006B259F" w:rsidRPr="00A613EB" w:rsidRDefault="007423E4" w:rsidP="00F63A6C">
      <w:pPr>
        <w:jc w:val="both"/>
        <w:rPr>
          <w:szCs w:val="20"/>
          <w:lang w:eastAsia="en-AU"/>
        </w:rPr>
      </w:pPr>
      <w:r w:rsidRPr="00443C27">
        <w:rPr>
          <w:b/>
          <w:szCs w:val="20"/>
        </w:rPr>
        <w:t>Response:</w:t>
      </w:r>
      <w:r w:rsidRPr="00DE1B2B">
        <w:rPr>
          <w:szCs w:val="20"/>
        </w:rPr>
        <w:t xml:space="preserve"> Agree</w:t>
      </w:r>
      <w:r w:rsidR="00BC2204" w:rsidRPr="00A613EB">
        <w:rPr>
          <w:szCs w:val="20"/>
        </w:rPr>
        <w:t>d</w:t>
      </w:r>
      <w:r w:rsidRPr="00A613EB">
        <w:rPr>
          <w:szCs w:val="20"/>
        </w:rPr>
        <w:t>.</w:t>
      </w:r>
    </w:p>
    <w:p w:rsidR="009B713D" w:rsidRPr="00137083" w:rsidRDefault="009B713D" w:rsidP="00F63A6C">
      <w:pPr>
        <w:pStyle w:val="Heading3"/>
        <w:jc w:val="both"/>
        <w:rPr>
          <w:rFonts w:cs="Arial"/>
          <w:bCs w:val="0"/>
          <w:i w:val="0"/>
          <w:sz w:val="24"/>
          <w:szCs w:val="22"/>
          <w:lang w:eastAsia="en-AU"/>
        </w:rPr>
      </w:pPr>
      <w:r>
        <w:rPr>
          <w:rFonts w:cs="Arial"/>
          <w:bCs w:val="0"/>
          <w:i w:val="0"/>
          <w:sz w:val="24"/>
          <w:szCs w:val="22"/>
          <w:lang w:eastAsia="en-AU"/>
        </w:rPr>
        <w:lastRenderedPageBreak/>
        <w:t xml:space="preserve">Learning and </w:t>
      </w:r>
      <w:r w:rsidRPr="00137083">
        <w:rPr>
          <w:rFonts w:cs="Arial"/>
          <w:bCs w:val="0"/>
          <w:i w:val="0"/>
          <w:sz w:val="24"/>
          <w:szCs w:val="22"/>
          <w:lang w:eastAsia="en-AU"/>
        </w:rPr>
        <w:t xml:space="preserve">Dissemination </w:t>
      </w:r>
      <w:r>
        <w:rPr>
          <w:rFonts w:cs="Arial"/>
          <w:bCs w:val="0"/>
          <w:i w:val="0"/>
          <w:sz w:val="24"/>
          <w:szCs w:val="22"/>
          <w:lang w:eastAsia="en-AU"/>
        </w:rPr>
        <w:t>Approach</w:t>
      </w:r>
    </w:p>
    <w:p w:rsidR="00FD57FF" w:rsidRDefault="009B713D" w:rsidP="00137083">
      <w:pPr>
        <w:jc w:val="both"/>
        <w:rPr>
          <w:lang w:eastAsia="en-AU"/>
        </w:rPr>
      </w:pPr>
      <w:r w:rsidRPr="005136E7">
        <w:rPr>
          <w:lang w:eastAsia="en-AU"/>
        </w:rPr>
        <w:t xml:space="preserve">The report has been shared with relevant units in </w:t>
      </w:r>
      <w:r w:rsidR="00E52039" w:rsidRPr="005136E7">
        <w:rPr>
          <w:lang w:eastAsia="en-AU"/>
        </w:rPr>
        <w:t>AusAID</w:t>
      </w:r>
      <w:r w:rsidRPr="005136E7">
        <w:rPr>
          <w:lang w:eastAsia="en-AU"/>
        </w:rPr>
        <w:t xml:space="preserve">. This should ensure institutional learning from the experience. It is now standard that AusAID assistance through </w:t>
      </w:r>
      <w:r w:rsidR="00E52039" w:rsidRPr="005136E7">
        <w:rPr>
          <w:lang w:eastAsia="en-AU"/>
        </w:rPr>
        <w:t>Australia – Indonesia Facility for Disaster Reduction (</w:t>
      </w:r>
      <w:r w:rsidRPr="005136E7">
        <w:rPr>
          <w:lang w:eastAsia="en-AU"/>
        </w:rPr>
        <w:t>AIFDR</w:t>
      </w:r>
      <w:r w:rsidR="00E52039" w:rsidRPr="005136E7">
        <w:rPr>
          <w:lang w:eastAsia="en-AU"/>
        </w:rPr>
        <w:t>)</w:t>
      </w:r>
      <w:r w:rsidRPr="005136E7">
        <w:rPr>
          <w:lang w:eastAsia="en-AU"/>
        </w:rPr>
        <w:t xml:space="preserve"> undertakes a ‘Building Back Better’ approach</w:t>
      </w:r>
      <w:r w:rsidR="00FD57FF" w:rsidRPr="005136E7">
        <w:rPr>
          <w:lang w:eastAsia="en-AU"/>
        </w:rPr>
        <w:t>.</w:t>
      </w:r>
      <w:r w:rsidR="00FD57FF">
        <w:rPr>
          <w:lang w:eastAsia="en-AU"/>
        </w:rPr>
        <w:t xml:space="preserve"> </w:t>
      </w:r>
    </w:p>
    <w:p w:rsidR="00070BB4" w:rsidRPr="00A062F2" w:rsidRDefault="00FD57FF" w:rsidP="008E70E2">
      <w:pPr>
        <w:jc w:val="both"/>
        <w:rPr>
          <w:lang w:eastAsia="en-AU"/>
        </w:rPr>
      </w:pPr>
      <w:r>
        <w:rPr>
          <w:lang w:eastAsia="en-AU"/>
        </w:rPr>
        <w:t xml:space="preserve">To continue the improvement in assisting natural disaster responses, </w:t>
      </w:r>
      <w:r w:rsidR="00C358C8">
        <w:rPr>
          <w:lang w:eastAsia="en-AU"/>
        </w:rPr>
        <w:t xml:space="preserve">the </w:t>
      </w:r>
      <w:r w:rsidR="00FF1A0C">
        <w:rPr>
          <w:lang w:eastAsia="en-AU"/>
        </w:rPr>
        <w:t xml:space="preserve">AIFDR </w:t>
      </w:r>
      <w:r w:rsidR="009E17CF">
        <w:rPr>
          <w:lang w:eastAsia="en-AU"/>
        </w:rPr>
        <w:t>is continuing to develop</w:t>
      </w:r>
      <w:r w:rsidR="00FF1A0C">
        <w:rPr>
          <w:lang w:eastAsia="en-AU"/>
        </w:rPr>
        <w:t xml:space="preserve"> a DRR program that takes lessons learned from completed recovery programs including YCAP</w:t>
      </w:r>
      <w:r w:rsidR="008E70E2">
        <w:rPr>
          <w:lang w:eastAsia="en-AU"/>
        </w:rPr>
        <w:t>.</w:t>
      </w:r>
    </w:p>
    <w:sectPr w:rsidR="00070BB4" w:rsidRPr="00A062F2" w:rsidSect="004457DB">
      <w:headerReference w:type="even" r:id="rId9"/>
      <w:headerReference w:type="default" r:id="rId10"/>
      <w:footerReference w:type="even" r:id="rId11"/>
      <w:footerReference w:type="default" r:id="rId12"/>
      <w:headerReference w:type="first" r:id="rId13"/>
      <w:footerReference w:type="first" r:id="rId14"/>
      <w:pgSz w:w="11906" w:h="16838"/>
      <w:pgMar w:top="1134" w:right="905"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B8" w:rsidRDefault="001314B8">
      <w:pPr>
        <w:pStyle w:val="Table-list-number"/>
      </w:pPr>
      <w:r>
        <w:separator/>
      </w:r>
    </w:p>
  </w:endnote>
  <w:endnote w:type="continuationSeparator" w:id="0">
    <w:p w:rsidR="001314B8" w:rsidRDefault="001314B8">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3" w:rsidRDefault="00137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3" w:rsidRPr="008F1256" w:rsidRDefault="00137083" w:rsidP="00070BB4">
    <w:pPr>
      <w:pStyle w:val="Footer"/>
      <w:pBdr>
        <w:top w:val="single" w:sz="4" w:space="8" w:color="999999"/>
      </w:pBdr>
      <w:tabs>
        <w:tab w:val="clear" w:pos="4153"/>
        <w:tab w:val="clear" w:pos="8306"/>
        <w:tab w:val="right" w:pos="9639"/>
      </w:tabs>
      <w:rPr>
        <w:szCs w:val="16"/>
      </w:rPr>
    </w:pPr>
    <w:r>
      <w:rPr>
        <w:szCs w:val="16"/>
      </w:rPr>
      <w:t>Independent Evaluation Management Response, registered #158</w:t>
    </w:r>
    <w:r w:rsidRPr="008F1256">
      <w:rPr>
        <w:szCs w:val="16"/>
      </w:rPr>
      <w:tab/>
      <w:t xml:space="preserve">UNCLASSIFIED   page </w:t>
    </w:r>
    <w:r w:rsidRPr="008F1256">
      <w:rPr>
        <w:rStyle w:val="PageNumber"/>
        <w:szCs w:val="16"/>
      </w:rPr>
      <w:fldChar w:fldCharType="begin"/>
    </w:r>
    <w:r w:rsidRPr="008F1256">
      <w:rPr>
        <w:rStyle w:val="PageNumber"/>
        <w:szCs w:val="16"/>
      </w:rPr>
      <w:instrText xml:space="preserve"> PAGE </w:instrText>
    </w:r>
    <w:r w:rsidRPr="008F1256">
      <w:rPr>
        <w:rStyle w:val="PageNumber"/>
        <w:szCs w:val="16"/>
      </w:rPr>
      <w:fldChar w:fldCharType="separate"/>
    </w:r>
    <w:r w:rsidR="008E70E2">
      <w:rPr>
        <w:rStyle w:val="PageNumber"/>
        <w:noProof/>
        <w:szCs w:val="16"/>
      </w:rPr>
      <w:t>1</w:t>
    </w:r>
    <w:r w:rsidRPr="008F1256">
      <w:rPr>
        <w:rStyle w:val="PageNumber"/>
        <w:szCs w:val="16"/>
      </w:rPr>
      <w:fldChar w:fldCharType="end"/>
    </w:r>
    <w:r w:rsidRPr="008F1256">
      <w:rPr>
        <w:rStyle w:val="PageNumber"/>
        <w:szCs w:val="16"/>
      </w:rPr>
      <w:t xml:space="preserve"> of </w:t>
    </w:r>
    <w:r w:rsidRPr="008F1256">
      <w:rPr>
        <w:rStyle w:val="PageNumber"/>
        <w:szCs w:val="16"/>
      </w:rPr>
      <w:fldChar w:fldCharType="begin"/>
    </w:r>
    <w:r w:rsidRPr="008F1256">
      <w:rPr>
        <w:rStyle w:val="PageNumber"/>
        <w:szCs w:val="16"/>
      </w:rPr>
      <w:instrText xml:space="preserve"> NUMPAGES </w:instrText>
    </w:r>
    <w:r w:rsidRPr="008F1256">
      <w:rPr>
        <w:rStyle w:val="PageNumber"/>
        <w:szCs w:val="16"/>
      </w:rPr>
      <w:fldChar w:fldCharType="separate"/>
    </w:r>
    <w:r w:rsidR="008E70E2">
      <w:rPr>
        <w:rStyle w:val="PageNumber"/>
        <w:noProof/>
        <w:szCs w:val="16"/>
      </w:rPr>
      <w:t>4</w:t>
    </w:r>
    <w:r w:rsidRPr="008F1256">
      <w:rPr>
        <w:rStyle w:val="PageNumber"/>
        <w:szCs w:val="16"/>
      </w:rPr>
      <w:fldChar w:fldCharType="end"/>
    </w:r>
  </w:p>
  <w:p w:rsidR="00137083" w:rsidRPr="008F1256" w:rsidRDefault="00137083" w:rsidP="00070BB4">
    <w:pPr>
      <w:pStyle w:val="Footer"/>
      <w:tabs>
        <w:tab w:val="clear" w:pos="4153"/>
        <w:tab w:val="clear" w:pos="8306"/>
        <w:tab w:val="right" w:pos="9639"/>
      </w:tabs>
      <w:spacing w:before="40"/>
      <w:rPr>
        <w:szCs w:val="16"/>
      </w:rPr>
    </w:pPr>
    <w:r w:rsidRPr="00074C73">
      <w:rPr>
        <w:rStyle w:val="PageNumber"/>
        <w:szCs w:val="16"/>
      </w:rPr>
      <w:t xml:space="preserve">Business Process Owner: </w:t>
    </w:r>
    <w:r w:rsidRPr="00074C73">
      <w:rPr>
        <w:rFonts w:cs="Arial"/>
        <w:bCs/>
        <w:szCs w:val="16"/>
      </w:rPr>
      <w:t xml:space="preserve">Director, </w:t>
    </w:r>
    <w:r>
      <w:rPr>
        <w:rFonts w:cs="Arial"/>
        <w:bCs/>
        <w:szCs w:val="16"/>
      </w:rPr>
      <w:t>Performance Systems and Support</w:t>
    </w:r>
    <w:r w:rsidRPr="00074C73">
      <w:rPr>
        <w:szCs w:val="16"/>
      </w:rPr>
      <w:tab/>
      <w:t>Template c</w:t>
    </w:r>
    <w:r w:rsidRPr="00074C73">
      <w:rPr>
        <w:rStyle w:val="PageNumber"/>
        <w:szCs w:val="16"/>
      </w:rPr>
      <w:t>urrent to</w:t>
    </w:r>
    <w:r w:rsidRPr="00074C73">
      <w:rPr>
        <w:szCs w:val="16"/>
      </w:rPr>
      <w:t xml:space="preserve"> </w:t>
    </w:r>
    <w:r>
      <w:rPr>
        <w:szCs w:val="16"/>
      </w:rPr>
      <w:t>30 June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3" w:rsidRDefault="00137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B8" w:rsidRDefault="001314B8">
      <w:pPr>
        <w:pStyle w:val="Table-list-number"/>
      </w:pPr>
      <w:r>
        <w:separator/>
      </w:r>
    </w:p>
  </w:footnote>
  <w:footnote w:type="continuationSeparator" w:id="0">
    <w:p w:rsidR="001314B8" w:rsidRDefault="001314B8">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3" w:rsidRDefault="00137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3" w:rsidRDefault="001370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083" w:rsidRDefault="001370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026"/>
    <w:multiLevelType w:val="hybridMultilevel"/>
    <w:tmpl w:val="7F708EB0"/>
    <w:lvl w:ilvl="0" w:tplc="0C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00D34"/>
    <w:multiLevelType w:val="hybridMultilevel"/>
    <w:tmpl w:val="64B4C9BE"/>
    <w:lvl w:ilvl="0" w:tplc="0C090001">
      <w:start w:val="1"/>
      <w:numFmt w:val="bullet"/>
      <w:lvlText w:val=""/>
      <w:lvlJc w:val="left"/>
      <w:pPr>
        <w:tabs>
          <w:tab w:val="num" w:pos="770"/>
        </w:tabs>
        <w:ind w:left="770" w:hanging="360"/>
      </w:pPr>
      <w:rPr>
        <w:rFonts w:ascii="Symbol" w:hAnsi="Symbol" w:hint="default"/>
      </w:rPr>
    </w:lvl>
    <w:lvl w:ilvl="1" w:tplc="0C090003" w:tentative="1">
      <w:start w:val="1"/>
      <w:numFmt w:val="bullet"/>
      <w:lvlText w:val="o"/>
      <w:lvlJc w:val="left"/>
      <w:pPr>
        <w:tabs>
          <w:tab w:val="num" w:pos="1490"/>
        </w:tabs>
        <w:ind w:left="1490" w:hanging="360"/>
      </w:pPr>
      <w:rPr>
        <w:rFonts w:ascii="Courier New" w:hAnsi="Courier New" w:cs="Arial" w:hint="default"/>
      </w:rPr>
    </w:lvl>
    <w:lvl w:ilvl="2" w:tplc="0C090005" w:tentative="1">
      <w:start w:val="1"/>
      <w:numFmt w:val="bullet"/>
      <w:lvlText w:val=""/>
      <w:lvlJc w:val="left"/>
      <w:pPr>
        <w:tabs>
          <w:tab w:val="num" w:pos="2210"/>
        </w:tabs>
        <w:ind w:left="2210" w:hanging="360"/>
      </w:pPr>
      <w:rPr>
        <w:rFonts w:ascii="Wingdings" w:hAnsi="Wingdings" w:hint="default"/>
      </w:rPr>
    </w:lvl>
    <w:lvl w:ilvl="3" w:tplc="0C090001" w:tentative="1">
      <w:start w:val="1"/>
      <w:numFmt w:val="bullet"/>
      <w:lvlText w:val=""/>
      <w:lvlJc w:val="left"/>
      <w:pPr>
        <w:tabs>
          <w:tab w:val="num" w:pos="2930"/>
        </w:tabs>
        <w:ind w:left="2930" w:hanging="360"/>
      </w:pPr>
      <w:rPr>
        <w:rFonts w:ascii="Symbol" w:hAnsi="Symbol" w:hint="default"/>
      </w:rPr>
    </w:lvl>
    <w:lvl w:ilvl="4" w:tplc="0C090003" w:tentative="1">
      <w:start w:val="1"/>
      <w:numFmt w:val="bullet"/>
      <w:lvlText w:val="o"/>
      <w:lvlJc w:val="left"/>
      <w:pPr>
        <w:tabs>
          <w:tab w:val="num" w:pos="3650"/>
        </w:tabs>
        <w:ind w:left="3650" w:hanging="360"/>
      </w:pPr>
      <w:rPr>
        <w:rFonts w:ascii="Courier New" w:hAnsi="Courier New" w:cs="Arial" w:hint="default"/>
      </w:rPr>
    </w:lvl>
    <w:lvl w:ilvl="5" w:tplc="0C090005" w:tentative="1">
      <w:start w:val="1"/>
      <w:numFmt w:val="bullet"/>
      <w:lvlText w:val=""/>
      <w:lvlJc w:val="left"/>
      <w:pPr>
        <w:tabs>
          <w:tab w:val="num" w:pos="4370"/>
        </w:tabs>
        <w:ind w:left="4370" w:hanging="360"/>
      </w:pPr>
      <w:rPr>
        <w:rFonts w:ascii="Wingdings" w:hAnsi="Wingdings" w:hint="default"/>
      </w:rPr>
    </w:lvl>
    <w:lvl w:ilvl="6" w:tplc="0C090001" w:tentative="1">
      <w:start w:val="1"/>
      <w:numFmt w:val="bullet"/>
      <w:lvlText w:val=""/>
      <w:lvlJc w:val="left"/>
      <w:pPr>
        <w:tabs>
          <w:tab w:val="num" w:pos="5090"/>
        </w:tabs>
        <w:ind w:left="5090" w:hanging="360"/>
      </w:pPr>
      <w:rPr>
        <w:rFonts w:ascii="Symbol" w:hAnsi="Symbol" w:hint="default"/>
      </w:rPr>
    </w:lvl>
    <w:lvl w:ilvl="7" w:tplc="0C090003" w:tentative="1">
      <w:start w:val="1"/>
      <w:numFmt w:val="bullet"/>
      <w:lvlText w:val="o"/>
      <w:lvlJc w:val="left"/>
      <w:pPr>
        <w:tabs>
          <w:tab w:val="num" w:pos="5810"/>
        </w:tabs>
        <w:ind w:left="5810" w:hanging="360"/>
      </w:pPr>
      <w:rPr>
        <w:rFonts w:ascii="Courier New" w:hAnsi="Courier New" w:cs="Arial" w:hint="default"/>
      </w:rPr>
    </w:lvl>
    <w:lvl w:ilvl="8" w:tplc="0C090005" w:tentative="1">
      <w:start w:val="1"/>
      <w:numFmt w:val="bullet"/>
      <w:lvlText w:val=""/>
      <w:lvlJc w:val="left"/>
      <w:pPr>
        <w:tabs>
          <w:tab w:val="num" w:pos="6530"/>
        </w:tabs>
        <w:ind w:left="6530" w:hanging="360"/>
      </w:pPr>
      <w:rPr>
        <w:rFonts w:ascii="Wingdings" w:hAnsi="Wingdings" w:hint="default"/>
      </w:rPr>
    </w:lvl>
  </w:abstractNum>
  <w:abstractNum w:abstractNumId="2">
    <w:nsid w:val="06104889"/>
    <w:multiLevelType w:val="singleLevel"/>
    <w:tmpl w:val="C608A640"/>
    <w:lvl w:ilvl="0">
      <w:start w:val="1"/>
      <w:numFmt w:val="bullet"/>
      <w:pStyle w:val="ListBullet"/>
      <w:lvlText w:val=""/>
      <w:lvlJc w:val="left"/>
      <w:pPr>
        <w:tabs>
          <w:tab w:val="num" w:pos="360"/>
        </w:tabs>
        <w:ind w:left="360" w:hanging="360"/>
      </w:pPr>
      <w:rPr>
        <w:rFonts w:ascii="Symbol" w:hAnsi="Symbol" w:hint="default"/>
        <w:b/>
        <w:i w:val="0"/>
        <w:vertAlign w:val="baseline"/>
      </w:rPr>
    </w:lvl>
  </w:abstractNum>
  <w:abstractNum w:abstractNumId="3">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2420BD"/>
    <w:multiLevelType w:val="hybridMultilevel"/>
    <w:tmpl w:val="E4006E7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F6939D9"/>
    <w:multiLevelType w:val="hybridMultilevel"/>
    <w:tmpl w:val="46EA0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6627F8"/>
    <w:multiLevelType w:val="hybridMultilevel"/>
    <w:tmpl w:val="06DC6F2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1BC2C98"/>
    <w:multiLevelType w:val="hybridMultilevel"/>
    <w:tmpl w:val="DDC6805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3CB8156A"/>
    <w:multiLevelType w:val="hybridMultilevel"/>
    <w:tmpl w:val="79924BE0"/>
    <w:lvl w:ilvl="0" w:tplc="04090019">
      <w:start w:val="1"/>
      <w:numFmt w:val="lowerLetter"/>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11">
    <w:nsid w:val="3E3E18BE"/>
    <w:multiLevelType w:val="hybridMultilevel"/>
    <w:tmpl w:val="AB927336"/>
    <w:lvl w:ilvl="0" w:tplc="0C09000F">
      <w:start w:val="1"/>
      <w:numFmt w:val="decimal"/>
      <w:lvlText w:val="%1."/>
      <w:lvlJc w:val="left"/>
      <w:pPr>
        <w:tabs>
          <w:tab w:val="num" w:pos="1145"/>
        </w:tabs>
        <w:ind w:left="1145" w:hanging="360"/>
      </w:pPr>
    </w:lvl>
    <w:lvl w:ilvl="1" w:tplc="0C090019" w:tentative="1">
      <w:start w:val="1"/>
      <w:numFmt w:val="lowerLetter"/>
      <w:lvlText w:val="%2."/>
      <w:lvlJc w:val="left"/>
      <w:pPr>
        <w:tabs>
          <w:tab w:val="num" w:pos="1865"/>
        </w:tabs>
        <w:ind w:left="1865" w:hanging="360"/>
      </w:pPr>
    </w:lvl>
    <w:lvl w:ilvl="2" w:tplc="0C09001B" w:tentative="1">
      <w:start w:val="1"/>
      <w:numFmt w:val="lowerRoman"/>
      <w:lvlText w:val="%3."/>
      <w:lvlJc w:val="right"/>
      <w:pPr>
        <w:tabs>
          <w:tab w:val="num" w:pos="2585"/>
        </w:tabs>
        <w:ind w:left="2585" w:hanging="180"/>
      </w:pPr>
    </w:lvl>
    <w:lvl w:ilvl="3" w:tplc="0C09000F" w:tentative="1">
      <w:start w:val="1"/>
      <w:numFmt w:val="decimal"/>
      <w:lvlText w:val="%4."/>
      <w:lvlJc w:val="left"/>
      <w:pPr>
        <w:tabs>
          <w:tab w:val="num" w:pos="3305"/>
        </w:tabs>
        <w:ind w:left="3305" w:hanging="360"/>
      </w:pPr>
    </w:lvl>
    <w:lvl w:ilvl="4" w:tplc="0C090019" w:tentative="1">
      <w:start w:val="1"/>
      <w:numFmt w:val="lowerLetter"/>
      <w:lvlText w:val="%5."/>
      <w:lvlJc w:val="left"/>
      <w:pPr>
        <w:tabs>
          <w:tab w:val="num" w:pos="4025"/>
        </w:tabs>
        <w:ind w:left="4025" w:hanging="360"/>
      </w:pPr>
    </w:lvl>
    <w:lvl w:ilvl="5" w:tplc="0C09001B" w:tentative="1">
      <w:start w:val="1"/>
      <w:numFmt w:val="lowerRoman"/>
      <w:lvlText w:val="%6."/>
      <w:lvlJc w:val="right"/>
      <w:pPr>
        <w:tabs>
          <w:tab w:val="num" w:pos="4745"/>
        </w:tabs>
        <w:ind w:left="4745" w:hanging="180"/>
      </w:pPr>
    </w:lvl>
    <w:lvl w:ilvl="6" w:tplc="0C09000F" w:tentative="1">
      <w:start w:val="1"/>
      <w:numFmt w:val="decimal"/>
      <w:lvlText w:val="%7."/>
      <w:lvlJc w:val="left"/>
      <w:pPr>
        <w:tabs>
          <w:tab w:val="num" w:pos="5465"/>
        </w:tabs>
        <w:ind w:left="5465" w:hanging="360"/>
      </w:pPr>
    </w:lvl>
    <w:lvl w:ilvl="7" w:tplc="0C090019" w:tentative="1">
      <w:start w:val="1"/>
      <w:numFmt w:val="lowerLetter"/>
      <w:lvlText w:val="%8."/>
      <w:lvlJc w:val="left"/>
      <w:pPr>
        <w:tabs>
          <w:tab w:val="num" w:pos="6185"/>
        </w:tabs>
        <w:ind w:left="6185" w:hanging="360"/>
      </w:pPr>
    </w:lvl>
    <w:lvl w:ilvl="8" w:tplc="0C09001B" w:tentative="1">
      <w:start w:val="1"/>
      <w:numFmt w:val="lowerRoman"/>
      <w:lvlText w:val="%9."/>
      <w:lvlJc w:val="right"/>
      <w:pPr>
        <w:tabs>
          <w:tab w:val="num" w:pos="6905"/>
        </w:tabs>
        <w:ind w:left="6905" w:hanging="180"/>
      </w:pPr>
    </w:lvl>
  </w:abstractNum>
  <w:abstractNum w:abstractNumId="12">
    <w:nsid w:val="3F2C35C9"/>
    <w:multiLevelType w:val="multilevel"/>
    <w:tmpl w:val="502E4A3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190060C"/>
    <w:multiLevelType w:val="multilevel"/>
    <w:tmpl w:val="D61EC1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nsid w:val="48385DD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E29490D"/>
    <w:multiLevelType w:val="hybridMultilevel"/>
    <w:tmpl w:val="8F5C685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526C321E"/>
    <w:multiLevelType w:val="multilevel"/>
    <w:tmpl w:val="AFFAB7B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5026F46"/>
    <w:multiLevelType w:val="hybridMultilevel"/>
    <w:tmpl w:val="456222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1915AF"/>
    <w:multiLevelType w:val="hybridMultilevel"/>
    <w:tmpl w:val="260876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7A03C0"/>
    <w:multiLevelType w:val="hybridMultilevel"/>
    <w:tmpl w:val="9B00C66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1080"/>
        </w:tabs>
        <w:ind w:left="1080" w:hanging="360"/>
      </w:pPr>
      <w:rPr>
        <w:rFont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5C846AE4"/>
    <w:multiLevelType w:val="hybridMultilevel"/>
    <w:tmpl w:val="C584DD46"/>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675874E3"/>
    <w:multiLevelType w:val="multilevel"/>
    <w:tmpl w:val="D61EC1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8317DA4"/>
    <w:multiLevelType w:val="hybridMultilevel"/>
    <w:tmpl w:val="9140CE02"/>
    <w:lvl w:ilvl="0" w:tplc="0C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1F92BD4"/>
    <w:multiLevelType w:val="hybridMultilevel"/>
    <w:tmpl w:val="27F4FEDE"/>
    <w:lvl w:ilvl="0" w:tplc="0C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26">
    <w:nsid w:val="73196995"/>
    <w:multiLevelType w:val="hybridMultilevel"/>
    <w:tmpl w:val="AB927336"/>
    <w:lvl w:ilvl="0" w:tplc="0C09000F">
      <w:start w:val="1"/>
      <w:numFmt w:val="decimal"/>
      <w:lvlText w:val="%1."/>
      <w:lvlJc w:val="left"/>
      <w:pPr>
        <w:tabs>
          <w:tab w:val="num" w:pos="1145"/>
        </w:tabs>
        <w:ind w:left="1145" w:hanging="360"/>
      </w:pPr>
    </w:lvl>
    <w:lvl w:ilvl="1" w:tplc="0C090019" w:tentative="1">
      <w:start w:val="1"/>
      <w:numFmt w:val="lowerLetter"/>
      <w:lvlText w:val="%2."/>
      <w:lvlJc w:val="left"/>
      <w:pPr>
        <w:tabs>
          <w:tab w:val="num" w:pos="1865"/>
        </w:tabs>
        <w:ind w:left="1865" w:hanging="360"/>
      </w:pPr>
    </w:lvl>
    <w:lvl w:ilvl="2" w:tplc="0C09001B" w:tentative="1">
      <w:start w:val="1"/>
      <w:numFmt w:val="lowerRoman"/>
      <w:lvlText w:val="%3."/>
      <w:lvlJc w:val="right"/>
      <w:pPr>
        <w:tabs>
          <w:tab w:val="num" w:pos="2585"/>
        </w:tabs>
        <w:ind w:left="2585" w:hanging="180"/>
      </w:pPr>
    </w:lvl>
    <w:lvl w:ilvl="3" w:tplc="0C09000F" w:tentative="1">
      <w:start w:val="1"/>
      <w:numFmt w:val="decimal"/>
      <w:lvlText w:val="%4."/>
      <w:lvlJc w:val="left"/>
      <w:pPr>
        <w:tabs>
          <w:tab w:val="num" w:pos="3305"/>
        </w:tabs>
        <w:ind w:left="3305" w:hanging="360"/>
      </w:pPr>
    </w:lvl>
    <w:lvl w:ilvl="4" w:tplc="0C090019" w:tentative="1">
      <w:start w:val="1"/>
      <w:numFmt w:val="lowerLetter"/>
      <w:lvlText w:val="%5."/>
      <w:lvlJc w:val="left"/>
      <w:pPr>
        <w:tabs>
          <w:tab w:val="num" w:pos="4025"/>
        </w:tabs>
        <w:ind w:left="4025" w:hanging="360"/>
      </w:pPr>
    </w:lvl>
    <w:lvl w:ilvl="5" w:tplc="0C09001B" w:tentative="1">
      <w:start w:val="1"/>
      <w:numFmt w:val="lowerRoman"/>
      <w:lvlText w:val="%6."/>
      <w:lvlJc w:val="right"/>
      <w:pPr>
        <w:tabs>
          <w:tab w:val="num" w:pos="4745"/>
        </w:tabs>
        <w:ind w:left="4745" w:hanging="180"/>
      </w:pPr>
    </w:lvl>
    <w:lvl w:ilvl="6" w:tplc="0C09000F" w:tentative="1">
      <w:start w:val="1"/>
      <w:numFmt w:val="decimal"/>
      <w:lvlText w:val="%7."/>
      <w:lvlJc w:val="left"/>
      <w:pPr>
        <w:tabs>
          <w:tab w:val="num" w:pos="5465"/>
        </w:tabs>
        <w:ind w:left="5465" w:hanging="360"/>
      </w:pPr>
    </w:lvl>
    <w:lvl w:ilvl="7" w:tplc="0C090019" w:tentative="1">
      <w:start w:val="1"/>
      <w:numFmt w:val="lowerLetter"/>
      <w:lvlText w:val="%8."/>
      <w:lvlJc w:val="left"/>
      <w:pPr>
        <w:tabs>
          <w:tab w:val="num" w:pos="6185"/>
        </w:tabs>
        <w:ind w:left="6185" w:hanging="360"/>
      </w:pPr>
    </w:lvl>
    <w:lvl w:ilvl="8" w:tplc="0C09001B" w:tentative="1">
      <w:start w:val="1"/>
      <w:numFmt w:val="lowerRoman"/>
      <w:lvlText w:val="%9."/>
      <w:lvlJc w:val="right"/>
      <w:pPr>
        <w:tabs>
          <w:tab w:val="num" w:pos="6905"/>
        </w:tabs>
        <w:ind w:left="6905" w:hanging="180"/>
      </w:pPr>
    </w:lvl>
  </w:abstractNum>
  <w:abstractNum w:abstractNumId="27">
    <w:nsid w:val="736F47B9"/>
    <w:multiLevelType w:val="hybridMultilevel"/>
    <w:tmpl w:val="A1F269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40959C7"/>
    <w:multiLevelType w:val="hybridMultilevel"/>
    <w:tmpl w:val="C6600D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F77EBE"/>
    <w:multiLevelType w:val="hybridMultilevel"/>
    <w:tmpl w:val="1A48914A"/>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4"/>
  </w:num>
  <w:num w:numId="3">
    <w:abstractNumId w:val="8"/>
  </w:num>
  <w:num w:numId="4">
    <w:abstractNumId w:val="25"/>
  </w:num>
  <w:num w:numId="5">
    <w:abstractNumId w:val="29"/>
  </w:num>
  <w:num w:numId="6">
    <w:abstractNumId w:val="3"/>
  </w:num>
  <w:num w:numId="7">
    <w:abstractNumId w:val="28"/>
  </w:num>
  <w:num w:numId="8">
    <w:abstractNumId w:val="2"/>
  </w:num>
  <w:num w:numId="9">
    <w:abstractNumId w:val="16"/>
  </w:num>
  <w:num w:numId="10">
    <w:abstractNumId w:val="20"/>
  </w:num>
  <w:num w:numId="11">
    <w:abstractNumId w:val="21"/>
  </w:num>
  <w:num w:numId="12">
    <w:abstractNumId w:val="9"/>
  </w:num>
  <w:num w:numId="13">
    <w:abstractNumId w:val="23"/>
  </w:num>
  <w:num w:numId="14">
    <w:abstractNumId w:val="26"/>
  </w:num>
  <w:num w:numId="15">
    <w:abstractNumId w:val="1"/>
  </w:num>
  <w:num w:numId="16">
    <w:abstractNumId w:val="24"/>
  </w:num>
  <w:num w:numId="17">
    <w:abstractNumId w:val="0"/>
  </w:num>
  <w:num w:numId="18">
    <w:abstractNumId w:val="10"/>
  </w:num>
  <w:num w:numId="19">
    <w:abstractNumId w:val="27"/>
  </w:num>
  <w:num w:numId="20">
    <w:abstractNumId w:val="19"/>
  </w:num>
  <w:num w:numId="21">
    <w:abstractNumId w:val="11"/>
  </w:num>
  <w:num w:numId="22">
    <w:abstractNumId w:val="4"/>
  </w:num>
  <w:num w:numId="23">
    <w:abstractNumId w:val="6"/>
  </w:num>
  <w:num w:numId="24">
    <w:abstractNumId w:val="22"/>
  </w:num>
  <w:num w:numId="25">
    <w:abstractNumId w:val="18"/>
  </w:num>
  <w:num w:numId="26">
    <w:abstractNumId w:val="5"/>
  </w:num>
  <w:num w:numId="27">
    <w:abstractNumId w:val="17"/>
  </w:num>
  <w:num w:numId="28">
    <w:abstractNumId w:val="30"/>
  </w:num>
  <w:num w:numId="29">
    <w:abstractNumId w:val="15"/>
  </w:num>
  <w:num w:numId="30">
    <w:abstractNumId w:val="12"/>
  </w:num>
  <w:num w:numId="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D8"/>
    <w:rsid w:val="00013139"/>
    <w:rsid w:val="000307A6"/>
    <w:rsid w:val="00032B0E"/>
    <w:rsid w:val="000463BA"/>
    <w:rsid w:val="00047908"/>
    <w:rsid w:val="00050FB4"/>
    <w:rsid w:val="000619DE"/>
    <w:rsid w:val="000620B5"/>
    <w:rsid w:val="00063EB2"/>
    <w:rsid w:val="000643AA"/>
    <w:rsid w:val="00070BB4"/>
    <w:rsid w:val="00091973"/>
    <w:rsid w:val="000953C6"/>
    <w:rsid w:val="000A1067"/>
    <w:rsid w:val="000B0EA6"/>
    <w:rsid w:val="000B78F2"/>
    <w:rsid w:val="00110D79"/>
    <w:rsid w:val="00111F86"/>
    <w:rsid w:val="00113D34"/>
    <w:rsid w:val="00115DD9"/>
    <w:rsid w:val="00115FD1"/>
    <w:rsid w:val="00121891"/>
    <w:rsid w:val="00125EAB"/>
    <w:rsid w:val="001314B8"/>
    <w:rsid w:val="00137083"/>
    <w:rsid w:val="00140C89"/>
    <w:rsid w:val="00144447"/>
    <w:rsid w:val="001451A0"/>
    <w:rsid w:val="001567ED"/>
    <w:rsid w:val="001618CF"/>
    <w:rsid w:val="00176CA9"/>
    <w:rsid w:val="00177AAA"/>
    <w:rsid w:val="00184CE6"/>
    <w:rsid w:val="001908A1"/>
    <w:rsid w:val="00190A61"/>
    <w:rsid w:val="00193E2A"/>
    <w:rsid w:val="001951F4"/>
    <w:rsid w:val="001A5A87"/>
    <w:rsid w:val="001C6BF9"/>
    <w:rsid w:val="001C7101"/>
    <w:rsid w:val="001D4384"/>
    <w:rsid w:val="001D74F0"/>
    <w:rsid w:val="001E0DA6"/>
    <w:rsid w:val="00212A5F"/>
    <w:rsid w:val="00231263"/>
    <w:rsid w:val="00247FA8"/>
    <w:rsid w:val="00252C6F"/>
    <w:rsid w:val="002752EF"/>
    <w:rsid w:val="00283057"/>
    <w:rsid w:val="00283193"/>
    <w:rsid w:val="002840CA"/>
    <w:rsid w:val="00287596"/>
    <w:rsid w:val="002A7713"/>
    <w:rsid w:val="002B6476"/>
    <w:rsid w:val="002C21DA"/>
    <w:rsid w:val="002D1D46"/>
    <w:rsid w:val="002E288E"/>
    <w:rsid w:val="002E36F4"/>
    <w:rsid w:val="002F6BBF"/>
    <w:rsid w:val="0030451B"/>
    <w:rsid w:val="0031074D"/>
    <w:rsid w:val="0031262C"/>
    <w:rsid w:val="00320D8C"/>
    <w:rsid w:val="003210DD"/>
    <w:rsid w:val="00323327"/>
    <w:rsid w:val="00336D8E"/>
    <w:rsid w:val="003415DC"/>
    <w:rsid w:val="00342209"/>
    <w:rsid w:val="00351740"/>
    <w:rsid w:val="00352F92"/>
    <w:rsid w:val="00354949"/>
    <w:rsid w:val="003835FC"/>
    <w:rsid w:val="00395134"/>
    <w:rsid w:val="00397159"/>
    <w:rsid w:val="003A0C89"/>
    <w:rsid w:val="003A0CB5"/>
    <w:rsid w:val="003A7ECA"/>
    <w:rsid w:val="003B026F"/>
    <w:rsid w:val="003B6247"/>
    <w:rsid w:val="003D351C"/>
    <w:rsid w:val="00400299"/>
    <w:rsid w:val="004068BC"/>
    <w:rsid w:val="00423855"/>
    <w:rsid w:val="004248FC"/>
    <w:rsid w:val="00443C27"/>
    <w:rsid w:val="004457DB"/>
    <w:rsid w:val="00450FDF"/>
    <w:rsid w:val="00496113"/>
    <w:rsid w:val="004A048F"/>
    <w:rsid w:val="004A21C0"/>
    <w:rsid w:val="004A390D"/>
    <w:rsid w:val="004A65C4"/>
    <w:rsid w:val="004B6DC7"/>
    <w:rsid w:val="004C49AF"/>
    <w:rsid w:val="004D50A4"/>
    <w:rsid w:val="004F0218"/>
    <w:rsid w:val="004F1A6A"/>
    <w:rsid w:val="004F3149"/>
    <w:rsid w:val="004F4858"/>
    <w:rsid w:val="00505BC8"/>
    <w:rsid w:val="005136E7"/>
    <w:rsid w:val="005220DD"/>
    <w:rsid w:val="005458D8"/>
    <w:rsid w:val="005601EA"/>
    <w:rsid w:val="005665DE"/>
    <w:rsid w:val="005A07AB"/>
    <w:rsid w:val="005A1B17"/>
    <w:rsid w:val="005B2BDE"/>
    <w:rsid w:val="005C62BC"/>
    <w:rsid w:val="005D6FCB"/>
    <w:rsid w:val="005F4B4E"/>
    <w:rsid w:val="005F7668"/>
    <w:rsid w:val="00621260"/>
    <w:rsid w:val="00626FE2"/>
    <w:rsid w:val="00636342"/>
    <w:rsid w:val="00665D68"/>
    <w:rsid w:val="006809CD"/>
    <w:rsid w:val="00692E9E"/>
    <w:rsid w:val="006A217A"/>
    <w:rsid w:val="006B259F"/>
    <w:rsid w:val="006D3140"/>
    <w:rsid w:val="006D5F47"/>
    <w:rsid w:val="006F6391"/>
    <w:rsid w:val="006F6E0E"/>
    <w:rsid w:val="00720DFD"/>
    <w:rsid w:val="007225AB"/>
    <w:rsid w:val="0072270A"/>
    <w:rsid w:val="00723971"/>
    <w:rsid w:val="00736E5F"/>
    <w:rsid w:val="007423E4"/>
    <w:rsid w:val="00743C1A"/>
    <w:rsid w:val="007465DC"/>
    <w:rsid w:val="00753EED"/>
    <w:rsid w:val="007732E8"/>
    <w:rsid w:val="007D67BB"/>
    <w:rsid w:val="007E45EB"/>
    <w:rsid w:val="007F20F6"/>
    <w:rsid w:val="00810090"/>
    <w:rsid w:val="00831B9A"/>
    <w:rsid w:val="008346AF"/>
    <w:rsid w:val="00842A33"/>
    <w:rsid w:val="008528D2"/>
    <w:rsid w:val="00857113"/>
    <w:rsid w:val="00862632"/>
    <w:rsid w:val="008A1189"/>
    <w:rsid w:val="008C3CFE"/>
    <w:rsid w:val="008E70E2"/>
    <w:rsid w:val="008F434A"/>
    <w:rsid w:val="00915EDF"/>
    <w:rsid w:val="009400B8"/>
    <w:rsid w:val="00970D36"/>
    <w:rsid w:val="009B713D"/>
    <w:rsid w:val="009D6631"/>
    <w:rsid w:val="009E17CF"/>
    <w:rsid w:val="009E2280"/>
    <w:rsid w:val="009F00CA"/>
    <w:rsid w:val="00A10BA3"/>
    <w:rsid w:val="00A172C5"/>
    <w:rsid w:val="00A537D0"/>
    <w:rsid w:val="00A613EB"/>
    <w:rsid w:val="00A92F5E"/>
    <w:rsid w:val="00AA2C35"/>
    <w:rsid w:val="00AA6AA6"/>
    <w:rsid w:val="00AE332D"/>
    <w:rsid w:val="00AF1DE6"/>
    <w:rsid w:val="00AF6845"/>
    <w:rsid w:val="00B1264A"/>
    <w:rsid w:val="00B30D31"/>
    <w:rsid w:val="00B36160"/>
    <w:rsid w:val="00B36731"/>
    <w:rsid w:val="00B47DDF"/>
    <w:rsid w:val="00B63FC8"/>
    <w:rsid w:val="00BC2204"/>
    <w:rsid w:val="00BC4B6F"/>
    <w:rsid w:val="00C036B1"/>
    <w:rsid w:val="00C168D0"/>
    <w:rsid w:val="00C22F2A"/>
    <w:rsid w:val="00C24033"/>
    <w:rsid w:val="00C358C8"/>
    <w:rsid w:val="00C56FC9"/>
    <w:rsid w:val="00C76B29"/>
    <w:rsid w:val="00CA7AB0"/>
    <w:rsid w:val="00CB175D"/>
    <w:rsid w:val="00CC2205"/>
    <w:rsid w:val="00CC65D8"/>
    <w:rsid w:val="00CC70CC"/>
    <w:rsid w:val="00CD2A4D"/>
    <w:rsid w:val="00D378BE"/>
    <w:rsid w:val="00D46EE5"/>
    <w:rsid w:val="00D56105"/>
    <w:rsid w:val="00D775BC"/>
    <w:rsid w:val="00D77886"/>
    <w:rsid w:val="00D77B15"/>
    <w:rsid w:val="00D8142B"/>
    <w:rsid w:val="00D92550"/>
    <w:rsid w:val="00D93F76"/>
    <w:rsid w:val="00DA1ECE"/>
    <w:rsid w:val="00DE0483"/>
    <w:rsid w:val="00DE1B2B"/>
    <w:rsid w:val="00DE1F40"/>
    <w:rsid w:val="00DE2E04"/>
    <w:rsid w:val="00E373E0"/>
    <w:rsid w:val="00E470F4"/>
    <w:rsid w:val="00E518B9"/>
    <w:rsid w:val="00E52039"/>
    <w:rsid w:val="00E53619"/>
    <w:rsid w:val="00E64508"/>
    <w:rsid w:val="00E668F5"/>
    <w:rsid w:val="00E70F86"/>
    <w:rsid w:val="00E90455"/>
    <w:rsid w:val="00EA036D"/>
    <w:rsid w:val="00EB32BC"/>
    <w:rsid w:val="00ED4542"/>
    <w:rsid w:val="00EE5FA3"/>
    <w:rsid w:val="00F0132D"/>
    <w:rsid w:val="00F17F21"/>
    <w:rsid w:val="00F6373D"/>
    <w:rsid w:val="00F63A6C"/>
    <w:rsid w:val="00FA07C9"/>
    <w:rsid w:val="00FB1287"/>
    <w:rsid w:val="00FD3510"/>
    <w:rsid w:val="00FD57FF"/>
    <w:rsid w:val="00FF1A0C"/>
    <w:rsid w:val="00FF2C6B"/>
    <w:rsid w:val="00FF5F41"/>
    <w:rsid w:val="00FF7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semiHidden/>
    <w:rsid w:val="002B22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B2279"/>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Courier New" w:hAnsi="Courier New"/>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Courier New" w:hAnsi="Courier New"/>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paragraph" w:styleId="ListBullet">
    <w:name w:val="List Bullet"/>
    <w:aliases w:val="List Bullet Char1,List Bullet Char Char,List Bullet Char2 Char Char,List Bullet Char Char1 Char Char,list letter Char Char Char1 Char Char,list letter Char1 Char1 Char Char,List Bullet Char Char Char Char Char,list letter Char,list letter"/>
    <w:basedOn w:val="Normal"/>
    <w:next w:val="Normal"/>
    <w:link w:val="ListBulletChar"/>
    <w:rsid w:val="00F05B91"/>
    <w:pPr>
      <w:numPr>
        <w:numId w:val="8"/>
      </w:numPr>
      <w:spacing w:before="40" w:after="40"/>
      <w:jc w:val="both"/>
    </w:pPr>
    <w:rPr>
      <w:rFonts w:ascii="Times New Roman" w:hAnsi="Times New Roman"/>
      <w:sz w:val="24"/>
      <w:szCs w:val="20"/>
    </w:rPr>
  </w:style>
  <w:style w:type="character" w:customStyle="1" w:styleId="ListBulletChar">
    <w:name w:val="List Bullet Char"/>
    <w:aliases w:val="List Bullet Char1 Char,List Bullet Char Char Char,List Bullet Char2 Char Char Char,List Bullet Char Char1 Char Char Char,list letter Char Char Char1 Char Char Char,list letter Char1 Char1 Char Char Char,list letter Char Char"/>
    <w:link w:val="ListBullet"/>
    <w:rsid w:val="00F05B91"/>
    <w:rPr>
      <w:sz w:val="24"/>
      <w:lang w:val="en-AU" w:eastAsia="en-US" w:bidi="ar-SA"/>
    </w:rPr>
  </w:style>
  <w:style w:type="paragraph" w:styleId="FootnoteText">
    <w:name w:val="footnote text"/>
    <w:basedOn w:val="Normal"/>
    <w:semiHidden/>
    <w:rsid w:val="008D34F8"/>
    <w:rPr>
      <w:szCs w:val="20"/>
    </w:rPr>
  </w:style>
  <w:style w:type="character" w:styleId="FootnoteReference">
    <w:name w:val="footnote reference"/>
    <w:semiHidden/>
    <w:rsid w:val="008D34F8"/>
    <w:rPr>
      <w:vertAlign w:val="superscript"/>
    </w:rPr>
  </w:style>
  <w:style w:type="paragraph" w:customStyle="1" w:styleId="Default">
    <w:name w:val="Default"/>
    <w:rsid w:val="008A1189"/>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F6391"/>
    <w:pPr>
      <w:spacing w:before="0"/>
    </w:pPr>
    <w:rPr>
      <w:rFonts w:ascii="Calibri" w:eastAsia="Calibri" w:hAnsi="Calibri"/>
      <w:sz w:val="22"/>
      <w:szCs w:val="21"/>
    </w:rPr>
  </w:style>
  <w:style w:type="character" w:customStyle="1" w:styleId="PlainTextChar">
    <w:name w:val="Plain Text Char"/>
    <w:link w:val="PlainText"/>
    <w:uiPriority w:val="99"/>
    <w:rsid w:val="006F6391"/>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semiHidden/>
    <w:rsid w:val="002B227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B2279"/>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4"/>
      </w:numPr>
    </w:pPr>
  </w:style>
  <w:style w:type="paragraph" w:customStyle="1" w:styleId="Heading3numbered">
    <w:name w:val="Heading 3 numbered"/>
    <w:basedOn w:val="Heading3"/>
    <w:next w:val="Normal"/>
    <w:rsid w:val="002B2279"/>
    <w:pPr>
      <w:numPr>
        <w:ilvl w:val="2"/>
        <w:numId w:val="4"/>
      </w:numPr>
    </w:pPr>
  </w:style>
  <w:style w:type="paragraph" w:customStyle="1" w:styleId="List-bullet-2">
    <w:name w:val="List-bullet-2"/>
    <w:basedOn w:val="Normal"/>
    <w:rsid w:val="002B2279"/>
    <w:pPr>
      <w:numPr>
        <w:numId w:val="2"/>
      </w:numPr>
      <w:spacing w:before="80"/>
    </w:pPr>
    <w:rPr>
      <w:rFonts w:cs="Arial"/>
      <w:szCs w:val="22"/>
      <w:lang w:val="en-US"/>
    </w:rPr>
  </w:style>
  <w:style w:type="paragraph" w:customStyle="1" w:styleId="List-number-2">
    <w:name w:val="List-number-2"/>
    <w:basedOn w:val="Normal"/>
    <w:link w:val="List-number-2Char"/>
    <w:rsid w:val="002B2279"/>
    <w:pPr>
      <w:numPr>
        <w:ilvl w:val="1"/>
        <w:numId w:val="3"/>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5"/>
      </w:numPr>
    </w:pPr>
  </w:style>
  <w:style w:type="paragraph" w:customStyle="1" w:styleId="Table-list-number">
    <w:name w:val="Table-list-number"/>
    <w:basedOn w:val="Table-normal-text"/>
    <w:rsid w:val="002B2279"/>
    <w:pPr>
      <w:numPr>
        <w:numId w:val="6"/>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4"/>
      </w:numPr>
    </w:pPr>
  </w:style>
  <w:style w:type="paragraph" w:customStyle="1" w:styleId="List-bullet-1">
    <w:name w:val="List-bullet-1"/>
    <w:basedOn w:val="Normal"/>
    <w:rsid w:val="002B2279"/>
    <w:pPr>
      <w:numPr>
        <w:numId w:val="1"/>
      </w:numPr>
    </w:pPr>
    <w:rPr>
      <w:rFonts w:cs="Arial"/>
      <w:szCs w:val="22"/>
    </w:rPr>
  </w:style>
  <w:style w:type="paragraph" w:customStyle="1" w:styleId="List-number-1">
    <w:name w:val="List-number-1"/>
    <w:basedOn w:val="Normal"/>
    <w:rsid w:val="002B2279"/>
    <w:pPr>
      <w:numPr>
        <w:numId w:val="3"/>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Courier New" w:hAnsi="Courier New"/>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Courier New" w:hAnsi="Courier New"/>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paragraph" w:styleId="ListBullet">
    <w:name w:val="List Bullet"/>
    <w:aliases w:val="List Bullet Char1,List Bullet Char Char,List Bullet Char2 Char Char,List Bullet Char Char1 Char Char,list letter Char Char Char1 Char Char,list letter Char1 Char1 Char Char,List Bullet Char Char Char Char Char,list letter Char,list letter"/>
    <w:basedOn w:val="Normal"/>
    <w:next w:val="Normal"/>
    <w:link w:val="ListBulletChar"/>
    <w:rsid w:val="00F05B91"/>
    <w:pPr>
      <w:numPr>
        <w:numId w:val="8"/>
      </w:numPr>
      <w:spacing w:before="40" w:after="40"/>
      <w:jc w:val="both"/>
    </w:pPr>
    <w:rPr>
      <w:rFonts w:ascii="Times New Roman" w:hAnsi="Times New Roman"/>
      <w:sz w:val="24"/>
      <w:szCs w:val="20"/>
    </w:rPr>
  </w:style>
  <w:style w:type="character" w:customStyle="1" w:styleId="ListBulletChar">
    <w:name w:val="List Bullet Char"/>
    <w:aliases w:val="List Bullet Char1 Char,List Bullet Char Char Char,List Bullet Char2 Char Char Char,List Bullet Char Char1 Char Char Char,list letter Char Char Char1 Char Char Char,list letter Char1 Char1 Char Char Char,list letter Char Char"/>
    <w:link w:val="ListBullet"/>
    <w:rsid w:val="00F05B91"/>
    <w:rPr>
      <w:sz w:val="24"/>
      <w:lang w:val="en-AU" w:eastAsia="en-US" w:bidi="ar-SA"/>
    </w:rPr>
  </w:style>
  <w:style w:type="paragraph" w:styleId="FootnoteText">
    <w:name w:val="footnote text"/>
    <w:basedOn w:val="Normal"/>
    <w:semiHidden/>
    <w:rsid w:val="008D34F8"/>
    <w:rPr>
      <w:szCs w:val="20"/>
    </w:rPr>
  </w:style>
  <w:style w:type="character" w:styleId="FootnoteReference">
    <w:name w:val="footnote reference"/>
    <w:semiHidden/>
    <w:rsid w:val="008D34F8"/>
    <w:rPr>
      <w:vertAlign w:val="superscript"/>
    </w:rPr>
  </w:style>
  <w:style w:type="paragraph" w:customStyle="1" w:styleId="Default">
    <w:name w:val="Default"/>
    <w:rsid w:val="008A1189"/>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6F6391"/>
    <w:pPr>
      <w:spacing w:before="0"/>
    </w:pPr>
    <w:rPr>
      <w:rFonts w:ascii="Calibri" w:eastAsia="Calibri" w:hAnsi="Calibri"/>
      <w:sz w:val="22"/>
      <w:szCs w:val="21"/>
    </w:rPr>
  </w:style>
  <w:style w:type="character" w:customStyle="1" w:styleId="PlainTextChar">
    <w:name w:val="Plain Text Char"/>
    <w:link w:val="PlainText"/>
    <w:uiPriority w:val="99"/>
    <w:rsid w:val="006F6391"/>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6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113BA-0FA6-4D95-8E4A-9A1252A325A6}"/>
</file>

<file path=customXml/itemProps2.xml><?xml version="1.0" encoding="utf-8"?>
<ds:datastoreItem xmlns:ds="http://schemas.openxmlformats.org/officeDocument/2006/customXml" ds:itemID="{19A28201-B6E4-4B53-8152-2F6CC3AE5226}"/>
</file>

<file path=customXml/itemProps3.xml><?xml version="1.0" encoding="utf-8"?>
<ds:datastoreItem xmlns:ds="http://schemas.openxmlformats.org/officeDocument/2006/customXml" ds:itemID="{6D1BC83D-FC7D-45B7-830F-36DBAB2FDBBF}"/>
</file>

<file path=customXml/itemProps4.xml><?xml version="1.0" encoding="utf-8"?>
<ds:datastoreItem xmlns:ds="http://schemas.openxmlformats.org/officeDocument/2006/customXml" ds:itemID="{1DA20165-DF15-4993-A0D0-A586DE3A23B5}"/>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8167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2013-05-28T01:20:00Z</dcterms:created>
  <dcterms:modified xsi:type="dcterms:W3CDTF">2013-05-28T01:21:00Z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28400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