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A6186" w14:textId="77777777" w:rsidR="007122DF" w:rsidRPr="007122DF" w:rsidRDefault="007122DF" w:rsidP="007122DF">
      <w:pPr>
        <w:spacing w:after="0" w:line="240" w:lineRule="auto"/>
        <w:ind w:firstLine="720"/>
        <w:jc w:val="center"/>
        <w:rPr>
          <w:rFonts w:ascii="Book Antiqua" w:hAnsi="Book Antiqua"/>
          <w:b/>
        </w:rPr>
      </w:pPr>
      <w:r w:rsidRPr="007122DF">
        <w:rPr>
          <w:rFonts w:ascii="Book Antiqua" w:hAnsi="Book Antiqua"/>
          <w:b/>
        </w:rPr>
        <w:t>WORLD BANK GROUP MULTI-DONOR TRUST FUND CONCEPT NOTE</w:t>
      </w:r>
    </w:p>
    <w:p w14:paraId="1C8C09CE" w14:textId="77777777" w:rsidR="007122DF" w:rsidRPr="007122DF" w:rsidRDefault="007122DF" w:rsidP="007122DF">
      <w:pPr>
        <w:spacing w:after="0" w:line="240" w:lineRule="auto"/>
        <w:jc w:val="center"/>
        <w:rPr>
          <w:rFonts w:ascii="Book Antiqua" w:hAnsi="Book Antiqua"/>
          <w:b/>
        </w:rPr>
      </w:pPr>
      <w:r w:rsidRPr="007122DF">
        <w:rPr>
          <w:rFonts w:ascii="Book Antiqua" w:hAnsi="Book Antiqua"/>
          <w:b/>
        </w:rPr>
        <w:t>Integrating Donor-Financed Health Programs</w:t>
      </w:r>
    </w:p>
    <w:p w14:paraId="374548D3" w14:textId="58A2BF64" w:rsidR="00963F0D" w:rsidRPr="007122DF" w:rsidRDefault="007122DF" w:rsidP="007122DF">
      <w:pPr>
        <w:spacing w:after="0" w:line="240" w:lineRule="auto"/>
        <w:jc w:val="center"/>
        <w:rPr>
          <w:rFonts w:ascii="Book Antiqua" w:hAnsi="Book Antiqua" w:cs="Times New Roman"/>
          <w:b/>
        </w:rPr>
      </w:pPr>
      <w:r w:rsidRPr="007122DF">
        <w:rPr>
          <w:rFonts w:ascii="Book Antiqua" w:hAnsi="Book Antiqua" w:cs="Times New Roman"/>
          <w:b/>
        </w:rPr>
        <w:t xml:space="preserve">Window 3: </w:t>
      </w:r>
      <w:r w:rsidR="001C5656" w:rsidRPr="007122DF">
        <w:rPr>
          <w:rFonts w:ascii="Book Antiqua" w:hAnsi="Book Antiqua" w:cs="Times New Roman"/>
          <w:b/>
        </w:rPr>
        <w:t>Integrating Financing for</w:t>
      </w:r>
      <w:r w:rsidR="00DC1D03" w:rsidRPr="007122DF">
        <w:rPr>
          <w:rFonts w:ascii="Book Antiqua" w:hAnsi="Book Antiqua" w:cs="Times New Roman"/>
          <w:b/>
        </w:rPr>
        <w:t xml:space="preserve"> </w:t>
      </w:r>
      <w:r w:rsidR="00963F0D" w:rsidRPr="007122DF">
        <w:rPr>
          <w:rFonts w:ascii="Book Antiqua" w:hAnsi="Book Antiqua" w:cs="Times New Roman"/>
          <w:b/>
        </w:rPr>
        <w:t>Health Security in East Asia</w:t>
      </w:r>
      <w:r w:rsidR="009F3248" w:rsidRPr="007122DF">
        <w:rPr>
          <w:rFonts w:ascii="Book Antiqua" w:hAnsi="Book Antiqua" w:cs="Times New Roman"/>
          <w:b/>
        </w:rPr>
        <w:t xml:space="preserve"> Pacific Region</w:t>
      </w:r>
    </w:p>
    <w:p w14:paraId="64C7DFF6" w14:textId="77777777" w:rsidR="007122DF" w:rsidRDefault="007122DF" w:rsidP="007122DF">
      <w:pPr>
        <w:spacing w:after="120" w:line="240" w:lineRule="auto"/>
        <w:jc w:val="center"/>
        <w:rPr>
          <w:rFonts w:ascii="Book Antiqua" w:hAnsi="Book Antiqua" w:cs="Times New Roman"/>
          <w:b/>
        </w:rPr>
      </w:pPr>
    </w:p>
    <w:p w14:paraId="363F90F4" w14:textId="319CBB3D" w:rsidR="001C5656" w:rsidRPr="007122DF" w:rsidRDefault="00DD295F" w:rsidP="007122DF">
      <w:pPr>
        <w:spacing w:after="120" w:line="240" w:lineRule="auto"/>
        <w:jc w:val="center"/>
        <w:rPr>
          <w:rFonts w:ascii="Book Antiqua" w:hAnsi="Book Antiqua" w:cs="Times New Roman"/>
          <w:b/>
        </w:rPr>
      </w:pPr>
      <w:r w:rsidRPr="007122DF">
        <w:rPr>
          <w:rFonts w:ascii="Book Antiqua" w:hAnsi="Book Antiqua" w:cs="Times New Roman"/>
          <w:b/>
        </w:rPr>
        <w:t>Objectives</w:t>
      </w:r>
    </w:p>
    <w:p w14:paraId="3BF804A1" w14:textId="77777777" w:rsidR="00C25700" w:rsidRPr="007122DF" w:rsidRDefault="009E60E9" w:rsidP="007122DF">
      <w:pPr>
        <w:spacing w:after="240" w:line="240" w:lineRule="auto"/>
        <w:jc w:val="both"/>
        <w:rPr>
          <w:rFonts w:ascii="Book Antiqua" w:hAnsi="Book Antiqua" w:cs="Times New Roman"/>
        </w:rPr>
      </w:pPr>
      <w:r w:rsidRPr="007122DF">
        <w:rPr>
          <w:rFonts w:ascii="Book Antiqua" w:hAnsi="Book Antiqua" w:cs="Times New Roman"/>
        </w:rPr>
        <w:t xml:space="preserve">The purpose of this concept note is to </w:t>
      </w:r>
      <w:r w:rsidR="00DC43C7" w:rsidRPr="007122DF">
        <w:rPr>
          <w:rFonts w:ascii="Book Antiqua" w:hAnsi="Book Antiqua" w:cs="Times New Roman"/>
        </w:rPr>
        <w:t>present</w:t>
      </w:r>
      <w:r w:rsidRPr="007122DF">
        <w:rPr>
          <w:rFonts w:ascii="Book Antiqua" w:hAnsi="Book Antiqua" w:cs="Times New Roman"/>
        </w:rPr>
        <w:t xml:space="preserve"> a scope of work and activities</w:t>
      </w:r>
      <w:r w:rsidR="00C7610B" w:rsidRPr="007122DF">
        <w:rPr>
          <w:rFonts w:ascii="Book Antiqua" w:hAnsi="Book Antiqua" w:cs="Times New Roman"/>
        </w:rPr>
        <w:t xml:space="preserve"> focus</w:t>
      </w:r>
      <w:r w:rsidRPr="007122DF">
        <w:rPr>
          <w:rFonts w:ascii="Book Antiqua" w:hAnsi="Book Antiqua" w:cs="Times New Roman"/>
        </w:rPr>
        <w:t>ing</w:t>
      </w:r>
      <w:r w:rsidR="001C5656" w:rsidRPr="007122DF">
        <w:rPr>
          <w:rFonts w:ascii="Book Antiqua" w:hAnsi="Book Antiqua" w:cs="Times New Roman"/>
        </w:rPr>
        <w:t xml:space="preserve"> on </w:t>
      </w:r>
      <w:r w:rsidR="005A424F" w:rsidRPr="007122DF">
        <w:rPr>
          <w:rFonts w:ascii="Book Antiqua" w:hAnsi="Book Antiqua" w:cs="Times New Roman"/>
        </w:rPr>
        <w:t>integrating and</w:t>
      </w:r>
      <w:r w:rsidR="001C5656" w:rsidRPr="007122DF">
        <w:rPr>
          <w:rFonts w:ascii="Book Antiqua" w:hAnsi="Book Antiqua" w:cs="Times New Roman"/>
        </w:rPr>
        <w:t xml:space="preserve"> leveraging national</w:t>
      </w:r>
      <w:r w:rsidR="003D7279" w:rsidRPr="007122DF">
        <w:rPr>
          <w:rFonts w:ascii="Book Antiqua" w:hAnsi="Book Antiqua" w:cs="Times New Roman"/>
        </w:rPr>
        <w:t>,</w:t>
      </w:r>
      <w:r w:rsidR="001C5656" w:rsidRPr="007122DF">
        <w:rPr>
          <w:rFonts w:ascii="Book Antiqua" w:hAnsi="Book Antiqua" w:cs="Times New Roman"/>
        </w:rPr>
        <w:t xml:space="preserve"> regional and global fi</w:t>
      </w:r>
      <w:r w:rsidR="00AC3107" w:rsidRPr="007122DF">
        <w:rPr>
          <w:rFonts w:ascii="Book Antiqua" w:hAnsi="Book Antiqua" w:cs="Times New Roman"/>
        </w:rPr>
        <w:t xml:space="preserve">nancing to </w:t>
      </w:r>
      <w:r w:rsidR="005A424F" w:rsidRPr="007122DF">
        <w:rPr>
          <w:rFonts w:ascii="Book Antiqua" w:hAnsi="Book Antiqua" w:cs="Times New Roman"/>
        </w:rPr>
        <w:t>improve health</w:t>
      </w:r>
      <w:r w:rsidR="00FE5A93" w:rsidRPr="007122DF">
        <w:rPr>
          <w:rFonts w:ascii="Book Antiqua" w:hAnsi="Book Antiqua" w:cs="Times New Roman"/>
        </w:rPr>
        <w:t xml:space="preserve"> security across</w:t>
      </w:r>
      <w:r w:rsidR="001C5656" w:rsidRPr="007122DF">
        <w:rPr>
          <w:rFonts w:ascii="Book Antiqua" w:hAnsi="Book Antiqua" w:cs="Times New Roman"/>
        </w:rPr>
        <w:t xml:space="preserve"> the East </w:t>
      </w:r>
      <w:r w:rsidR="005A424F" w:rsidRPr="007122DF">
        <w:rPr>
          <w:rFonts w:ascii="Book Antiqua" w:hAnsi="Book Antiqua" w:cs="Times New Roman"/>
        </w:rPr>
        <w:t xml:space="preserve">Asia </w:t>
      </w:r>
      <w:r w:rsidR="00DC43C7" w:rsidRPr="007122DF">
        <w:rPr>
          <w:rFonts w:ascii="Book Antiqua" w:hAnsi="Book Antiqua" w:cs="Times New Roman"/>
        </w:rPr>
        <w:t xml:space="preserve">and </w:t>
      </w:r>
      <w:r w:rsidR="005A424F" w:rsidRPr="007122DF">
        <w:rPr>
          <w:rFonts w:ascii="Book Antiqua" w:hAnsi="Book Antiqua" w:cs="Times New Roman"/>
        </w:rPr>
        <w:t>Pacific</w:t>
      </w:r>
      <w:r w:rsidR="008E454D" w:rsidRPr="007122DF">
        <w:rPr>
          <w:rFonts w:ascii="Book Antiqua" w:hAnsi="Book Antiqua" w:cs="Times New Roman"/>
        </w:rPr>
        <w:t xml:space="preserve"> (EAP) region</w:t>
      </w:r>
      <w:r w:rsidR="00C7610B" w:rsidRPr="007122DF">
        <w:rPr>
          <w:rFonts w:ascii="Book Antiqua" w:hAnsi="Book Antiqua" w:cs="Times New Roman"/>
        </w:rPr>
        <w:t xml:space="preserve"> within the overarching umbrella </w:t>
      </w:r>
      <w:r w:rsidR="005A424F" w:rsidRPr="007122DF">
        <w:rPr>
          <w:rFonts w:ascii="Book Antiqua" w:hAnsi="Book Antiqua" w:cs="Times New Roman"/>
        </w:rPr>
        <w:t>of the</w:t>
      </w:r>
      <w:r w:rsidR="001C5656" w:rsidRPr="007122DF">
        <w:rPr>
          <w:rFonts w:ascii="Book Antiqua" w:hAnsi="Book Antiqua" w:cs="Times New Roman"/>
        </w:rPr>
        <w:t xml:space="preserve"> multi-donor trust fund (MDTF)</w:t>
      </w:r>
      <w:r w:rsidR="00C7610B" w:rsidRPr="007122DF">
        <w:rPr>
          <w:rFonts w:ascii="Book Antiqua" w:hAnsi="Book Antiqua" w:cs="Times New Roman"/>
        </w:rPr>
        <w:t xml:space="preserve"> (TF072424)</w:t>
      </w:r>
      <w:r w:rsidR="00FE5A93" w:rsidRPr="007122DF">
        <w:rPr>
          <w:rFonts w:ascii="Book Antiqua" w:hAnsi="Book Antiqua" w:cs="Times New Roman"/>
        </w:rPr>
        <w:t xml:space="preserve"> </w:t>
      </w:r>
      <w:r w:rsidR="005A424F" w:rsidRPr="007122DF">
        <w:rPr>
          <w:rFonts w:ascii="Book Antiqua" w:hAnsi="Book Antiqua" w:cs="Times New Roman"/>
        </w:rPr>
        <w:t>for integrating</w:t>
      </w:r>
      <w:r w:rsidR="001C5656" w:rsidRPr="007122DF">
        <w:rPr>
          <w:rFonts w:ascii="Book Antiqua" w:hAnsi="Book Antiqua" w:cs="Times New Roman"/>
        </w:rPr>
        <w:t xml:space="preserve"> donor-financed health programs</w:t>
      </w:r>
      <w:r w:rsidR="00FE5A93" w:rsidRPr="007122DF">
        <w:rPr>
          <w:rFonts w:ascii="Book Antiqua" w:hAnsi="Book Antiqua" w:cs="Times New Roman"/>
        </w:rPr>
        <w:t xml:space="preserve">. Its development objective is </w:t>
      </w:r>
      <w:r w:rsidR="001C5656" w:rsidRPr="007122DF">
        <w:rPr>
          <w:rFonts w:ascii="Book Antiqua" w:hAnsi="Book Antiqua" w:cs="Times New Roman"/>
        </w:rPr>
        <w:t xml:space="preserve">to support countries in strengthening their health systems to accelerate and sustain progress towards key health outputs and outcomes that contribute to universal health coverage (UHC) with a particular focus on assessing and supporting the financial and institutional sustainability of donor-financed health programs. </w:t>
      </w:r>
      <w:r w:rsidR="00DC43C7" w:rsidRPr="007122DF">
        <w:rPr>
          <w:rFonts w:ascii="Book Antiqua" w:hAnsi="Book Antiqua" w:cs="Times New Roman"/>
        </w:rPr>
        <w:t xml:space="preserve"> </w:t>
      </w:r>
    </w:p>
    <w:p w14:paraId="57C3D4EF" w14:textId="6765804D" w:rsidR="00194A3D" w:rsidRPr="007122DF" w:rsidRDefault="00DC43C7" w:rsidP="007122DF">
      <w:pPr>
        <w:spacing w:after="240" w:line="240" w:lineRule="auto"/>
        <w:jc w:val="both"/>
        <w:rPr>
          <w:rFonts w:ascii="Book Antiqua" w:hAnsi="Book Antiqua" w:cs="Times New Roman"/>
          <w:i/>
          <w:iCs/>
        </w:rPr>
      </w:pPr>
      <w:r w:rsidRPr="007122DF">
        <w:rPr>
          <w:rFonts w:ascii="Book Antiqua" w:hAnsi="Book Antiqua" w:cs="Times New Roman"/>
        </w:rPr>
        <w:t>This</w:t>
      </w:r>
      <w:r w:rsidR="009E60E9" w:rsidRPr="007122DF">
        <w:rPr>
          <w:rFonts w:ascii="Book Antiqua" w:hAnsi="Book Antiqua" w:cs="Times New Roman"/>
        </w:rPr>
        <w:t xml:space="preserve"> concept note describes activities and expected impacts at both regio</w:t>
      </w:r>
      <w:bookmarkStart w:id="0" w:name="_GoBack"/>
      <w:bookmarkEnd w:id="0"/>
      <w:r w:rsidR="009E60E9" w:rsidRPr="007122DF">
        <w:rPr>
          <w:rFonts w:ascii="Book Antiqua" w:hAnsi="Book Antiqua" w:cs="Times New Roman"/>
        </w:rPr>
        <w:t>nal and country level under</w:t>
      </w:r>
      <w:r w:rsidR="001C5656" w:rsidRPr="007122DF">
        <w:rPr>
          <w:rFonts w:ascii="Book Antiqua" w:hAnsi="Book Antiqua" w:cs="Times New Roman"/>
        </w:rPr>
        <w:t xml:space="preserve"> </w:t>
      </w:r>
      <w:r w:rsidR="00834C6E" w:rsidRPr="007122DF">
        <w:rPr>
          <w:rFonts w:ascii="Book Antiqua" w:hAnsi="Book Antiqua" w:cs="Times New Roman"/>
        </w:rPr>
        <w:t xml:space="preserve">three </w:t>
      </w:r>
      <w:r w:rsidR="009E60E9" w:rsidRPr="007122DF">
        <w:rPr>
          <w:rFonts w:ascii="Book Antiqua" w:hAnsi="Book Antiqua" w:cs="Times New Roman"/>
        </w:rPr>
        <w:t xml:space="preserve">of the </w:t>
      </w:r>
      <w:r w:rsidRPr="007122DF">
        <w:rPr>
          <w:rFonts w:ascii="Book Antiqua" w:hAnsi="Book Antiqua" w:cs="Times New Roman"/>
        </w:rPr>
        <w:t xml:space="preserve">four MDTF </w:t>
      </w:r>
      <w:r w:rsidR="001C5656" w:rsidRPr="007122DF">
        <w:rPr>
          <w:rFonts w:ascii="Book Antiqua" w:hAnsi="Book Antiqua" w:cs="Times New Roman"/>
        </w:rPr>
        <w:t xml:space="preserve">activity pillars: (i) </w:t>
      </w:r>
      <w:r w:rsidR="001C5656" w:rsidRPr="007122DF">
        <w:rPr>
          <w:rFonts w:ascii="Book Antiqua" w:hAnsi="Book Antiqua" w:cs="Times New Roman"/>
          <w:i/>
          <w:iCs/>
        </w:rPr>
        <w:t>comprehensive health financing and institutional assessments (Bank-executed)</w:t>
      </w:r>
      <w:r w:rsidR="001C5656" w:rsidRPr="007122DF">
        <w:rPr>
          <w:rFonts w:ascii="Book Antiqua" w:hAnsi="Book Antiqua" w:cs="Times New Roman"/>
        </w:rPr>
        <w:t xml:space="preserve">; (ii) </w:t>
      </w:r>
      <w:r w:rsidR="001C5656" w:rsidRPr="007122DF">
        <w:rPr>
          <w:rFonts w:ascii="Book Antiqua" w:hAnsi="Book Antiqua" w:cs="Times New Roman"/>
          <w:i/>
          <w:iCs/>
        </w:rPr>
        <w:t>technical assistance and capacity building (Bank-executed)</w:t>
      </w:r>
      <w:r w:rsidR="001C5656" w:rsidRPr="007122DF">
        <w:rPr>
          <w:rFonts w:ascii="Book Antiqua" w:hAnsi="Book Antiqua" w:cs="Times New Roman"/>
        </w:rPr>
        <w:t xml:space="preserve">; (iii) </w:t>
      </w:r>
      <w:r w:rsidR="001C5656" w:rsidRPr="007122DF">
        <w:rPr>
          <w:rFonts w:ascii="Book Antiqua" w:hAnsi="Book Antiqua" w:cs="Times New Roman"/>
          <w:i/>
          <w:iCs/>
        </w:rPr>
        <w:t>knowledge generation and exchange activities (Bank-executed)</w:t>
      </w:r>
      <w:r w:rsidR="00834C6E" w:rsidRPr="007122DF">
        <w:rPr>
          <w:rFonts w:ascii="Book Antiqua" w:hAnsi="Book Antiqua" w:cs="Times New Roman"/>
          <w:i/>
          <w:iCs/>
        </w:rPr>
        <w:t xml:space="preserve">.  </w:t>
      </w:r>
      <w:r w:rsidR="00834C6E" w:rsidRPr="007122DF">
        <w:rPr>
          <w:rFonts w:ascii="Book Antiqua" w:hAnsi="Book Antiqua" w:cs="Times New Roman"/>
          <w:iCs/>
        </w:rPr>
        <w:t xml:space="preserve">Given that the overall funding envelope </w:t>
      </w:r>
      <w:r w:rsidR="003802A4" w:rsidRPr="007122DF">
        <w:rPr>
          <w:rFonts w:ascii="Book Antiqua" w:hAnsi="Book Antiqua" w:cs="Times New Roman"/>
          <w:iCs/>
        </w:rPr>
        <w:t xml:space="preserve">envisioned at this stage </w:t>
      </w:r>
      <w:r w:rsidR="00834C6E" w:rsidRPr="007122DF">
        <w:rPr>
          <w:rFonts w:ascii="Book Antiqua" w:hAnsi="Book Antiqua" w:cs="Times New Roman"/>
          <w:iCs/>
        </w:rPr>
        <w:t>would not be sufficient for significant government executed activities or co-financing, we are not proposing activities under the (iv) pillar</w:t>
      </w:r>
      <w:r w:rsidR="00CA3591" w:rsidRPr="007122DF">
        <w:rPr>
          <w:rFonts w:ascii="Book Antiqua" w:hAnsi="Book Antiqua" w:cs="Times New Roman"/>
          <w:iCs/>
        </w:rPr>
        <w:t xml:space="preserve">: </w:t>
      </w:r>
      <w:r w:rsidR="00CA3591" w:rsidRPr="007122DF">
        <w:rPr>
          <w:rFonts w:ascii="Book Antiqua" w:hAnsi="Book Antiqua" w:cs="Times New Roman"/>
          <w:i/>
          <w:iCs/>
        </w:rPr>
        <w:t>implementation of health systems integration/strengthening interventions (Recipient-executed)</w:t>
      </w:r>
      <w:r w:rsidR="00834C6E" w:rsidRPr="007122DF">
        <w:rPr>
          <w:rFonts w:ascii="Book Antiqua" w:hAnsi="Book Antiqua" w:cs="Times New Roman"/>
          <w:iCs/>
        </w:rPr>
        <w:t xml:space="preserve">. Activities under </w:t>
      </w:r>
      <w:r w:rsidR="00CA3591" w:rsidRPr="007122DF">
        <w:rPr>
          <w:rFonts w:ascii="Book Antiqua" w:hAnsi="Book Antiqua" w:cs="Times New Roman"/>
          <w:iCs/>
        </w:rPr>
        <w:t>p</w:t>
      </w:r>
      <w:r w:rsidR="00834C6E" w:rsidRPr="007122DF">
        <w:rPr>
          <w:rFonts w:ascii="Book Antiqua" w:hAnsi="Book Antiqua" w:cs="Times New Roman"/>
          <w:iCs/>
        </w:rPr>
        <w:t xml:space="preserve">illar </w:t>
      </w:r>
      <w:r w:rsidR="00CA3591" w:rsidRPr="007122DF">
        <w:rPr>
          <w:rFonts w:ascii="Book Antiqua" w:hAnsi="Book Antiqua" w:cs="Times New Roman"/>
          <w:iCs/>
        </w:rPr>
        <w:t>(ii)</w:t>
      </w:r>
      <w:r w:rsidR="00834C6E" w:rsidRPr="007122DF">
        <w:rPr>
          <w:rFonts w:ascii="Book Antiqua" w:hAnsi="Book Antiqua" w:cs="Times New Roman"/>
          <w:iCs/>
        </w:rPr>
        <w:t xml:space="preserve"> will be used to engage select governments around leveraging IDA and/or IBRD financing for health security.  </w:t>
      </w:r>
    </w:p>
    <w:p w14:paraId="0D52A50C" w14:textId="2A9315B8" w:rsidR="004E7C77" w:rsidRPr="007122DF" w:rsidRDefault="00325EFB" w:rsidP="007122DF">
      <w:pPr>
        <w:pStyle w:val="NoSpacing"/>
        <w:spacing w:after="240"/>
        <w:rPr>
          <w:rFonts w:ascii="Book Antiqua" w:hAnsi="Book Antiqua" w:cs="Times New Roman"/>
        </w:rPr>
      </w:pPr>
      <w:r w:rsidRPr="007122DF">
        <w:rPr>
          <w:rFonts w:ascii="Book Antiqua" w:hAnsi="Book Antiqua" w:cs="Times New Roman"/>
        </w:rPr>
        <w:t>Given th</w:t>
      </w:r>
      <w:r w:rsidR="00FE5A93" w:rsidRPr="007122DF">
        <w:rPr>
          <w:rFonts w:ascii="Book Antiqua" w:hAnsi="Book Antiqua" w:cs="Times New Roman"/>
        </w:rPr>
        <w:t>e complexity of health security</w:t>
      </w:r>
      <w:r w:rsidR="00DC43C7" w:rsidRPr="007122DF">
        <w:rPr>
          <w:rFonts w:ascii="Book Antiqua" w:hAnsi="Book Antiqua" w:cs="Times New Roman"/>
        </w:rPr>
        <w:t>,</w:t>
      </w:r>
      <w:r w:rsidR="00FE5A93" w:rsidRPr="007122DF">
        <w:rPr>
          <w:rFonts w:ascii="Book Antiqua" w:hAnsi="Book Antiqua" w:cs="Times New Roman"/>
        </w:rPr>
        <w:t xml:space="preserve"> </w:t>
      </w:r>
      <w:r w:rsidR="005A424F" w:rsidRPr="007122DF">
        <w:rPr>
          <w:rFonts w:ascii="Book Antiqua" w:hAnsi="Book Antiqua" w:cs="Times New Roman"/>
        </w:rPr>
        <w:t>its</w:t>
      </w:r>
      <w:r w:rsidR="00E21B94" w:rsidRPr="007122DF">
        <w:rPr>
          <w:rFonts w:ascii="Book Antiqua" w:hAnsi="Book Antiqua" w:cs="Times New Roman"/>
        </w:rPr>
        <w:t xml:space="preserve"> multisector approach outside health</w:t>
      </w:r>
      <w:r w:rsidR="005A424F" w:rsidRPr="007122DF">
        <w:rPr>
          <w:rFonts w:ascii="Book Antiqua" w:hAnsi="Book Antiqua" w:cs="Times New Roman"/>
        </w:rPr>
        <w:t>, myriad</w:t>
      </w:r>
      <w:r w:rsidR="00E21B94" w:rsidRPr="007122DF">
        <w:rPr>
          <w:rFonts w:ascii="Book Antiqua" w:hAnsi="Book Antiqua" w:cs="Times New Roman"/>
        </w:rPr>
        <w:t xml:space="preserve"> and </w:t>
      </w:r>
      <w:r w:rsidR="005A424F" w:rsidRPr="007122DF">
        <w:rPr>
          <w:rFonts w:ascii="Book Antiqua" w:hAnsi="Book Antiqua" w:cs="Times New Roman"/>
        </w:rPr>
        <w:t>fragmented initiatives</w:t>
      </w:r>
      <w:r w:rsidR="00E21B94" w:rsidRPr="007122DF">
        <w:rPr>
          <w:rFonts w:ascii="Book Antiqua" w:hAnsi="Book Antiqua" w:cs="Times New Roman"/>
        </w:rPr>
        <w:t xml:space="preserve"> involving many</w:t>
      </w:r>
      <w:r w:rsidR="00EF37F6" w:rsidRPr="007122DF">
        <w:rPr>
          <w:rFonts w:ascii="Book Antiqua" w:hAnsi="Book Antiqua" w:cs="Times New Roman"/>
        </w:rPr>
        <w:t xml:space="preserve"> development and technical </w:t>
      </w:r>
      <w:r w:rsidR="00FE5A93" w:rsidRPr="007122DF">
        <w:rPr>
          <w:rFonts w:ascii="Book Antiqua" w:hAnsi="Book Antiqua" w:cs="Times New Roman"/>
        </w:rPr>
        <w:t>partners</w:t>
      </w:r>
      <w:r w:rsidRPr="007122DF">
        <w:rPr>
          <w:rFonts w:ascii="Book Antiqua" w:hAnsi="Book Antiqua" w:cs="Times New Roman"/>
        </w:rPr>
        <w:t xml:space="preserve"> support</w:t>
      </w:r>
      <w:r w:rsidR="00FE5A93" w:rsidRPr="007122DF">
        <w:rPr>
          <w:rFonts w:ascii="Book Antiqua" w:hAnsi="Book Antiqua" w:cs="Times New Roman"/>
        </w:rPr>
        <w:t>ing</w:t>
      </w:r>
      <w:r w:rsidRPr="007122DF">
        <w:rPr>
          <w:rFonts w:ascii="Book Antiqua" w:hAnsi="Book Antiqua" w:cs="Times New Roman"/>
        </w:rPr>
        <w:t xml:space="preserve"> health security, </w:t>
      </w:r>
      <w:r w:rsidR="00CF45FC" w:rsidRPr="007122DF">
        <w:rPr>
          <w:rFonts w:ascii="Book Antiqua" w:hAnsi="Book Antiqua" w:cs="Times New Roman"/>
        </w:rPr>
        <w:t>the World Bank will leverage</w:t>
      </w:r>
      <w:r w:rsidR="00E21B94" w:rsidRPr="007122DF">
        <w:rPr>
          <w:rFonts w:ascii="Book Antiqua" w:hAnsi="Book Antiqua" w:cs="Times New Roman"/>
        </w:rPr>
        <w:t xml:space="preserve"> its own</w:t>
      </w:r>
      <w:r w:rsidR="00CF45FC" w:rsidRPr="007122DF">
        <w:rPr>
          <w:rFonts w:ascii="Book Antiqua" w:hAnsi="Book Antiqua" w:cs="Times New Roman"/>
        </w:rPr>
        <w:t xml:space="preserve"> </w:t>
      </w:r>
      <w:r w:rsidR="00E21B94" w:rsidRPr="007122DF">
        <w:rPr>
          <w:rFonts w:ascii="Book Antiqua" w:hAnsi="Book Antiqua" w:cs="Times New Roman"/>
        </w:rPr>
        <w:t xml:space="preserve">ongoing work </w:t>
      </w:r>
      <w:r w:rsidR="00CF45FC" w:rsidRPr="007122DF">
        <w:rPr>
          <w:rFonts w:ascii="Book Antiqua" w:hAnsi="Book Antiqua" w:cs="Times New Roman"/>
        </w:rPr>
        <w:t xml:space="preserve">and work in close collaboration with other </w:t>
      </w:r>
      <w:r w:rsidR="00FE5A93" w:rsidRPr="007122DF">
        <w:rPr>
          <w:rFonts w:ascii="Book Antiqua" w:hAnsi="Book Antiqua" w:cs="Times New Roman"/>
        </w:rPr>
        <w:t>partners such as</w:t>
      </w:r>
      <w:r w:rsidR="003D7279" w:rsidRPr="007122DF">
        <w:rPr>
          <w:rFonts w:ascii="Book Antiqua" w:hAnsi="Book Antiqua" w:cs="Times New Roman"/>
        </w:rPr>
        <w:t xml:space="preserve"> WHO, FAO, OIE, WPRO, USAID, CDC,</w:t>
      </w:r>
      <w:r w:rsidR="00FE5A93" w:rsidRPr="007122DF">
        <w:rPr>
          <w:rFonts w:ascii="Book Antiqua" w:hAnsi="Book Antiqua" w:cs="Times New Roman"/>
        </w:rPr>
        <w:t xml:space="preserve"> other bilateral donors</w:t>
      </w:r>
      <w:r w:rsidR="00CF45FC" w:rsidRPr="007122DF">
        <w:rPr>
          <w:rFonts w:ascii="Book Antiqua" w:hAnsi="Book Antiqua" w:cs="Times New Roman"/>
        </w:rPr>
        <w:t xml:space="preserve"> and ADB. </w:t>
      </w:r>
      <w:r w:rsidR="00834C6E" w:rsidRPr="007122DF">
        <w:rPr>
          <w:rFonts w:ascii="Book Antiqua" w:hAnsi="Book Antiqua" w:cs="Times New Roman"/>
        </w:rPr>
        <w:t xml:space="preserve">The comparative advantage for the World Bank </w:t>
      </w:r>
      <w:r w:rsidR="003802A4" w:rsidRPr="007122DF">
        <w:rPr>
          <w:rFonts w:ascii="Book Antiqua" w:hAnsi="Book Antiqua" w:cs="Times New Roman"/>
        </w:rPr>
        <w:t xml:space="preserve">-- </w:t>
      </w:r>
      <w:r w:rsidR="00834C6E" w:rsidRPr="007122DF">
        <w:rPr>
          <w:rFonts w:ascii="Book Antiqua" w:hAnsi="Book Antiqua" w:cs="Times New Roman"/>
        </w:rPr>
        <w:t xml:space="preserve">sustainable financing for </w:t>
      </w:r>
      <w:r w:rsidR="00AB29D3" w:rsidRPr="007122DF">
        <w:rPr>
          <w:rFonts w:ascii="Book Antiqua" w:hAnsi="Book Antiqua" w:cs="Times New Roman"/>
        </w:rPr>
        <w:t xml:space="preserve">UHC and </w:t>
      </w:r>
      <w:r w:rsidR="00834C6E" w:rsidRPr="007122DF">
        <w:rPr>
          <w:rFonts w:ascii="Book Antiqua" w:hAnsi="Book Antiqua" w:cs="Times New Roman"/>
        </w:rPr>
        <w:t>health security</w:t>
      </w:r>
      <w:r w:rsidR="003802A4" w:rsidRPr="007122DF">
        <w:rPr>
          <w:rFonts w:ascii="Book Antiqua" w:hAnsi="Book Antiqua" w:cs="Times New Roman"/>
        </w:rPr>
        <w:t>, links between health security and general economic well-being,</w:t>
      </w:r>
      <w:r w:rsidR="00834C6E" w:rsidRPr="007122DF">
        <w:rPr>
          <w:rFonts w:ascii="Book Antiqua" w:hAnsi="Book Antiqua" w:cs="Times New Roman"/>
        </w:rPr>
        <w:t xml:space="preserve"> as well as bringing together human and animal health sectors</w:t>
      </w:r>
      <w:r w:rsidR="00A87E34" w:rsidRPr="007122DF">
        <w:rPr>
          <w:rFonts w:ascii="Book Antiqua" w:hAnsi="Book Antiqua" w:cs="Times New Roman"/>
        </w:rPr>
        <w:t xml:space="preserve"> </w:t>
      </w:r>
      <w:r w:rsidR="003802A4" w:rsidRPr="007122DF">
        <w:rPr>
          <w:rFonts w:ascii="Book Antiqua" w:hAnsi="Book Antiqua" w:cs="Times New Roman"/>
        </w:rPr>
        <w:t xml:space="preserve">-- </w:t>
      </w:r>
      <w:r w:rsidR="00A87E34" w:rsidRPr="007122DF">
        <w:rPr>
          <w:rFonts w:ascii="Book Antiqua" w:hAnsi="Book Antiqua" w:cs="Times New Roman"/>
        </w:rPr>
        <w:t>guide the proposal</w:t>
      </w:r>
      <w:r w:rsidR="00834C6E" w:rsidRPr="007122DF">
        <w:rPr>
          <w:rFonts w:ascii="Book Antiqua" w:hAnsi="Book Antiqua" w:cs="Times New Roman"/>
        </w:rPr>
        <w:t xml:space="preserve">. </w:t>
      </w:r>
      <w:r w:rsidR="00E21B94" w:rsidRPr="007122DF">
        <w:rPr>
          <w:rFonts w:ascii="Book Antiqua" w:hAnsi="Book Antiqua" w:cs="Times New Roman"/>
        </w:rPr>
        <w:t xml:space="preserve">While </w:t>
      </w:r>
      <w:r w:rsidR="00DC43C7" w:rsidRPr="007122DF">
        <w:rPr>
          <w:rFonts w:ascii="Book Antiqua" w:hAnsi="Book Antiqua" w:cs="Times New Roman"/>
        </w:rPr>
        <w:t>defining</w:t>
      </w:r>
      <w:r w:rsidR="00E21B94" w:rsidRPr="007122DF">
        <w:rPr>
          <w:rFonts w:ascii="Book Antiqua" w:hAnsi="Book Antiqua" w:cs="Times New Roman"/>
        </w:rPr>
        <w:t xml:space="preserve"> policy, strategies, financing, communication</w:t>
      </w:r>
      <w:r w:rsidR="00DC43C7" w:rsidRPr="007122DF">
        <w:rPr>
          <w:rFonts w:ascii="Book Antiqua" w:hAnsi="Book Antiqua" w:cs="Times New Roman"/>
        </w:rPr>
        <w:t xml:space="preserve"> and monitoring and evaluation </w:t>
      </w:r>
      <w:r w:rsidR="00361974" w:rsidRPr="007122DF">
        <w:rPr>
          <w:rFonts w:ascii="Book Antiqua" w:hAnsi="Book Antiqua" w:cs="Times New Roman"/>
        </w:rPr>
        <w:t xml:space="preserve">for </w:t>
      </w:r>
      <w:r w:rsidR="00DC43C7" w:rsidRPr="007122DF">
        <w:rPr>
          <w:rFonts w:ascii="Book Antiqua" w:hAnsi="Book Antiqua" w:cs="Times New Roman"/>
        </w:rPr>
        <w:t>pandemic preparedness is the responsibility of national governments</w:t>
      </w:r>
      <w:r w:rsidR="00361974" w:rsidRPr="007122DF">
        <w:rPr>
          <w:rFonts w:ascii="Book Antiqua" w:hAnsi="Book Antiqua" w:cs="Times New Roman"/>
        </w:rPr>
        <w:t>;</w:t>
      </w:r>
      <w:r w:rsidR="00E21B94" w:rsidRPr="007122DF">
        <w:rPr>
          <w:rFonts w:ascii="Book Antiqua" w:hAnsi="Book Antiqua" w:cs="Times New Roman"/>
        </w:rPr>
        <w:t xml:space="preserve"> regional co</w:t>
      </w:r>
      <w:r w:rsidR="00FF0FC6" w:rsidRPr="007122DF">
        <w:rPr>
          <w:rFonts w:ascii="Book Antiqua" w:hAnsi="Book Antiqua" w:cs="Times New Roman"/>
        </w:rPr>
        <w:t>o</w:t>
      </w:r>
      <w:r w:rsidR="00E21B94" w:rsidRPr="007122DF">
        <w:rPr>
          <w:rFonts w:ascii="Book Antiqua" w:hAnsi="Book Antiqua" w:cs="Times New Roman"/>
        </w:rPr>
        <w:t xml:space="preserve">peration is critical </w:t>
      </w:r>
      <w:r w:rsidR="00055ACB" w:rsidRPr="007122DF">
        <w:rPr>
          <w:rFonts w:ascii="Book Antiqua" w:hAnsi="Book Antiqua" w:cs="Times New Roman"/>
        </w:rPr>
        <w:t>as prevention</w:t>
      </w:r>
      <w:r w:rsidR="00171A38" w:rsidRPr="007122DF">
        <w:rPr>
          <w:rFonts w:ascii="Book Antiqua" w:hAnsi="Book Antiqua" w:cs="Times New Roman"/>
        </w:rPr>
        <w:t xml:space="preserve"> </w:t>
      </w:r>
      <w:r w:rsidR="00055ACB" w:rsidRPr="007122DF">
        <w:rPr>
          <w:rFonts w:ascii="Book Antiqua" w:hAnsi="Book Antiqua" w:cs="Times New Roman"/>
        </w:rPr>
        <w:t xml:space="preserve">and control </w:t>
      </w:r>
      <w:r w:rsidR="00361974" w:rsidRPr="007122DF">
        <w:rPr>
          <w:rFonts w:ascii="Book Antiqua" w:hAnsi="Book Antiqua" w:cs="Times New Roman"/>
        </w:rPr>
        <w:t xml:space="preserve">of </w:t>
      </w:r>
      <w:r w:rsidR="00055ACB" w:rsidRPr="007122DF">
        <w:rPr>
          <w:rFonts w:ascii="Book Antiqua" w:hAnsi="Book Antiqua" w:cs="Times New Roman"/>
        </w:rPr>
        <w:t xml:space="preserve">potential cross-border diseases is a regional public good, with substantial positive externalities.  </w:t>
      </w:r>
      <w:r w:rsidR="00E21B94" w:rsidRPr="007122DF">
        <w:rPr>
          <w:rFonts w:ascii="Book Antiqua" w:hAnsi="Book Antiqua" w:cs="Times New Roman"/>
        </w:rPr>
        <w:t>R</w:t>
      </w:r>
      <w:r w:rsidR="008B0545" w:rsidRPr="007122DF">
        <w:rPr>
          <w:rFonts w:ascii="Book Antiqua" w:hAnsi="Book Antiqua" w:cs="Times New Roman"/>
        </w:rPr>
        <w:t>egional economic organizations</w:t>
      </w:r>
      <w:r w:rsidR="003D7279" w:rsidRPr="007122DF">
        <w:rPr>
          <w:rFonts w:ascii="Book Antiqua" w:hAnsi="Book Antiqua" w:cs="Times New Roman"/>
        </w:rPr>
        <w:t xml:space="preserve"> </w:t>
      </w:r>
      <w:r w:rsidR="00CF45FC" w:rsidRPr="007122DF">
        <w:rPr>
          <w:rFonts w:ascii="Book Antiqua" w:hAnsi="Book Antiqua" w:cs="Times New Roman"/>
        </w:rPr>
        <w:t xml:space="preserve">such as </w:t>
      </w:r>
      <w:r w:rsidR="003D7279" w:rsidRPr="007122DF">
        <w:rPr>
          <w:rFonts w:ascii="Book Antiqua" w:hAnsi="Book Antiqua" w:cs="Times New Roman"/>
        </w:rPr>
        <w:t>ASEAN</w:t>
      </w:r>
      <w:r w:rsidR="00EF37F6" w:rsidRPr="007122DF">
        <w:rPr>
          <w:rFonts w:ascii="Book Antiqua" w:hAnsi="Book Antiqua" w:cs="Times New Roman"/>
        </w:rPr>
        <w:t>, APEC and EAS</w:t>
      </w:r>
      <w:r w:rsidR="00CF45FC" w:rsidRPr="007122DF">
        <w:rPr>
          <w:rFonts w:ascii="Book Antiqua" w:hAnsi="Book Antiqua" w:cs="Times New Roman"/>
        </w:rPr>
        <w:t xml:space="preserve"> </w:t>
      </w:r>
      <w:r w:rsidR="00E21B94" w:rsidRPr="007122DF">
        <w:rPr>
          <w:rFonts w:ascii="Book Antiqua" w:hAnsi="Book Antiqua" w:cs="Times New Roman"/>
        </w:rPr>
        <w:t>already engaged in health security will be leveraged to improve health secur</w:t>
      </w:r>
      <w:r w:rsidR="00FF0FC6" w:rsidRPr="007122DF">
        <w:rPr>
          <w:rFonts w:ascii="Book Antiqua" w:hAnsi="Book Antiqua" w:cs="Times New Roman"/>
        </w:rPr>
        <w:t xml:space="preserve">ity across the </w:t>
      </w:r>
      <w:r w:rsidR="00E21B94" w:rsidRPr="007122DF">
        <w:rPr>
          <w:rFonts w:ascii="Book Antiqua" w:hAnsi="Book Antiqua" w:cs="Times New Roman"/>
        </w:rPr>
        <w:t>EAP region</w:t>
      </w:r>
      <w:r w:rsidR="00FF0FC6" w:rsidRPr="007122DF">
        <w:rPr>
          <w:rFonts w:ascii="Book Antiqua" w:hAnsi="Book Antiqua" w:cs="Times New Roman"/>
        </w:rPr>
        <w:t>. Indonesia and Vietnam are prioritized for support in the first two years with the possibility of integrating health security financing assessments in other ongoing assessments in Cambodia, Lao PDR</w:t>
      </w:r>
      <w:r w:rsidR="00062883" w:rsidRPr="007122DF">
        <w:rPr>
          <w:rFonts w:ascii="Book Antiqua" w:hAnsi="Book Antiqua" w:cs="Times New Roman"/>
        </w:rPr>
        <w:t>,</w:t>
      </w:r>
      <w:r w:rsidR="00055ACB" w:rsidRPr="007122DF">
        <w:rPr>
          <w:rFonts w:ascii="Book Antiqua" w:hAnsi="Book Antiqua" w:cs="Times New Roman"/>
        </w:rPr>
        <w:t xml:space="preserve"> and Myanmar if more resources become available.</w:t>
      </w:r>
    </w:p>
    <w:p w14:paraId="7525BD90" w14:textId="77777777" w:rsidR="004E7C77" w:rsidRPr="007122DF" w:rsidRDefault="004E7C77" w:rsidP="007122DF">
      <w:pPr>
        <w:pStyle w:val="NoSpacing"/>
        <w:spacing w:after="240"/>
        <w:rPr>
          <w:rFonts w:ascii="Book Antiqua" w:hAnsi="Book Antiqua" w:cs="Times New Roman"/>
        </w:rPr>
      </w:pPr>
      <w:r w:rsidRPr="007122DF">
        <w:rPr>
          <w:rFonts w:ascii="Book Antiqua" w:hAnsi="Book Antiqua" w:cs="Times New Roman"/>
          <w:noProof/>
        </w:rPr>
        <w:t xml:space="preserve">The development objective of this initiative is to strengthen financial and institutional capacity of selected countries to ensure sustainability of health security in the EAP region. Expected intermediate outcomes  includes: </w:t>
      </w:r>
    </w:p>
    <w:p w14:paraId="73B2F89C" w14:textId="77777777" w:rsidR="004E7C77" w:rsidRPr="007122DF" w:rsidRDefault="004E7C77" w:rsidP="007122DF">
      <w:pPr>
        <w:pStyle w:val="NoSpacing"/>
        <w:rPr>
          <w:rFonts w:ascii="Book Antiqua" w:hAnsi="Book Antiqua" w:cs="Times New Roman"/>
          <w:noProof/>
        </w:rPr>
      </w:pPr>
      <w:r w:rsidRPr="007122DF">
        <w:rPr>
          <w:rFonts w:ascii="Book Antiqua" w:hAnsi="Book Antiqua" w:cs="Times New Roman"/>
          <w:noProof/>
        </w:rPr>
        <w:t>•</w:t>
      </w:r>
      <w:r w:rsidRPr="007122DF">
        <w:rPr>
          <w:rFonts w:ascii="Book Antiqua" w:hAnsi="Book Antiqua" w:cs="Times New Roman"/>
          <w:noProof/>
        </w:rPr>
        <w:tab/>
        <w:t>Catalyze and leverage domestic and external financing to improve health security</w:t>
      </w:r>
    </w:p>
    <w:p w14:paraId="33F870DC" w14:textId="77777777" w:rsidR="004E7C77" w:rsidRPr="007122DF" w:rsidRDefault="004E7C77" w:rsidP="007122DF">
      <w:pPr>
        <w:pStyle w:val="NoSpacing"/>
        <w:rPr>
          <w:rFonts w:ascii="Book Antiqua" w:hAnsi="Book Antiqua" w:cs="Times New Roman"/>
          <w:noProof/>
        </w:rPr>
      </w:pPr>
      <w:r w:rsidRPr="007122DF">
        <w:rPr>
          <w:rFonts w:ascii="Book Antiqua" w:hAnsi="Book Antiqua" w:cs="Times New Roman"/>
          <w:noProof/>
        </w:rPr>
        <w:t>•</w:t>
      </w:r>
      <w:r w:rsidRPr="007122DF">
        <w:rPr>
          <w:rFonts w:ascii="Book Antiqua" w:hAnsi="Book Antiqua" w:cs="Times New Roman"/>
          <w:noProof/>
        </w:rPr>
        <w:tab/>
        <w:t>Provide technical assistance in financial and institutional capacity building</w:t>
      </w:r>
    </w:p>
    <w:p w14:paraId="207F2AEA" w14:textId="424D2D50" w:rsidR="007122DF" w:rsidRPr="007122DF" w:rsidRDefault="004E7C77" w:rsidP="007122DF">
      <w:pPr>
        <w:pStyle w:val="NoSpacing"/>
        <w:rPr>
          <w:rFonts w:ascii="Book Antiqua" w:hAnsi="Book Antiqua" w:cs="Times New Roman"/>
          <w:noProof/>
        </w:rPr>
      </w:pPr>
      <w:r w:rsidRPr="007122DF">
        <w:rPr>
          <w:rFonts w:ascii="Book Antiqua" w:hAnsi="Book Antiqua" w:cs="Times New Roman"/>
          <w:noProof/>
        </w:rPr>
        <w:t>•</w:t>
      </w:r>
      <w:r w:rsidRPr="007122DF">
        <w:rPr>
          <w:rFonts w:ascii="Book Antiqua" w:hAnsi="Book Antiqua" w:cs="Times New Roman"/>
          <w:noProof/>
        </w:rPr>
        <w:tab/>
        <w:t>Increase political and economic commitment for health security</w:t>
      </w:r>
    </w:p>
    <w:p w14:paraId="0FB142B5" w14:textId="1A393A52" w:rsidR="0063353A" w:rsidRPr="007122DF" w:rsidRDefault="0063353A" w:rsidP="007122DF">
      <w:pPr>
        <w:spacing w:after="240" w:line="240" w:lineRule="auto"/>
        <w:jc w:val="both"/>
        <w:rPr>
          <w:rFonts w:ascii="Book Antiqua" w:hAnsi="Book Antiqua" w:cs="Times New Roman"/>
          <w:b/>
        </w:rPr>
      </w:pPr>
      <w:r w:rsidRPr="007122DF">
        <w:rPr>
          <w:rFonts w:ascii="Book Antiqua" w:hAnsi="Book Antiqua" w:cs="Times New Roman"/>
          <w:b/>
        </w:rPr>
        <w:lastRenderedPageBreak/>
        <w:t>Background</w:t>
      </w:r>
    </w:p>
    <w:p w14:paraId="67427FC5" w14:textId="77777777"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rPr>
        <w:t xml:space="preserve">Although progress has been made over the past few decades in the area of pandemic preparedness, as it has for all hazards, the recent Ebola outbreak and the resulting social, health and economic devastation was a clear demonstration that global response systems and national public health systems remain deficient in many ways. It illustrated that the world is not adequately prepared to prevent and respond to major outbreaks or a global pandemic. Burgeoning international trade, migration and travel continue to escalate the risk for pandemics or spread of infectious diseases across geographies. Other factors such as population density, urbanization, poverty, changing ecosystems, climate change, and the close contact between humans and animals, including wildlife, have increased the potential for emergence and rapid spread of infectious diseases across the world. In addition, increasing anti-microbial resistance (AMR) poses a global challenge.  </w:t>
      </w:r>
    </w:p>
    <w:p w14:paraId="7D2C9CDA" w14:textId="77777777"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iCs/>
        </w:rPr>
        <w:t>Pandemic preparedness refers to a variety of health and non-health capabilities and operational capacities put in place--prior to an emergency happening--at community, subnational, national, regional and global levels--to forecast, prevent, detect, protect, respond and recover from infectious disease outbreaks and other public health emergencies.</w:t>
      </w:r>
      <w:r w:rsidRPr="007122DF">
        <w:rPr>
          <w:rFonts w:ascii="Book Antiqua" w:hAnsi="Book Antiqua" w:cs="Times New Roman"/>
        </w:rPr>
        <w:t xml:space="preserve"> </w:t>
      </w:r>
      <w:r w:rsidRPr="007122DF">
        <w:rPr>
          <w:rFonts w:ascii="Book Antiqua" w:hAnsi="Book Antiqua" w:cs="Times New Roman"/>
          <w:iCs/>
        </w:rPr>
        <w:t xml:space="preserve">Preparedness is essentially the capacity to prevent, forecast, detect, respond and recover in relation to infectious disease outbreaks It encompasses an all-hazards approach that allows building capacity to respond to other hazards and natural disasters. It also requires continuous planning, resilience-building, preparedness performance monitoring, and the identification of gaps and solutions through frequent simulations and scenario exercises. </w:t>
      </w:r>
      <w:r w:rsidRPr="007122DF">
        <w:rPr>
          <w:rFonts w:ascii="Book Antiqua" w:hAnsi="Book Antiqua" w:cs="Times New Roman"/>
        </w:rPr>
        <w:t xml:space="preserve"> Although mechanisms such as the International Health Regulations (IHR)</w:t>
      </w:r>
      <w:r w:rsidRPr="007122DF">
        <w:rPr>
          <w:rFonts w:ascii="Book Antiqua" w:hAnsi="Book Antiqua" w:cs="Times New Roman"/>
        </w:rPr>
        <w:sym w:font="Symbol" w:char="F0BE"/>
      </w:r>
      <w:r w:rsidRPr="007122DF">
        <w:rPr>
          <w:rFonts w:ascii="Book Antiqua" w:hAnsi="Book Antiqua" w:cs="Times New Roman"/>
        </w:rPr>
        <w:t>a legally binding instrument first promulgated in 1969 and broadened in 2005</w:t>
      </w:r>
      <w:r w:rsidRPr="007122DF">
        <w:rPr>
          <w:rStyle w:val="FootnoteReference"/>
          <w:rFonts w:ascii="Book Antiqua" w:hAnsi="Book Antiqua" w:cs="Times New Roman"/>
        </w:rPr>
        <w:footnoteReference w:id="1"/>
      </w:r>
      <w:r w:rsidRPr="007122DF">
        <w:rPr>
          <w:rFonts w:ascii="Book Antiqua" w:hAnsi="Book Antiqua" w:cs="Times New Roman"/>
        </w:rPr>
        <w:sym w:font="Symbol" w:char="F0BE"/>
      </w:r>
      <w:r w:rsidRPr="007122DF">
        <w:rPr>
          <w:rFonts w:ascii="Book Antiqua" w:hAnsi="Book Antiqua" w:cs="Times New Roman"/>
        </w:rPr>
        <w:t>was developed with clearly defined core capacity requirements to prevent, protect against, control and provide a public health response to the international spread of disease and manage public health risks, recent assessments have found that 80 percent of countries have not complied with their legal obligations or updated their legal frameworks to implement their national IHR plans.</w:t>
      </w:r>
      <w:r w:rsidRPr="007122DF">
        <w:rPr>
          <w:rStyle w:val="FootnoteReference"/>
          <w:rFonts w:ascii="Book Antiqua" w:hAnsi="Book Antiqua" w:cs="Times New Roman"/>
        </w:rPr>
        <w:footnoteReference w:id="2"/>
      </w:r>
      <w:r w:rsidRPr="007122DF">
        <w:rPr>
          <w:rStyle w:val="FootnoteReference"/>
          <w:rFonts w:ascii="Book Antiqua" w:hAnsi="Book Antiqua" w:cs="Times New Roman"/>
        </w:rPr>
        <w:footnoteReference w:id="3"/>
      </w:r>
      <w:r w:rsidRPr="007122DF">
        <w:rPr>
          <w:rFonts w:ascii="Book Antiqua" w:hAnsi="Book Antiqua" w:cs="Times New Roman"/>
        </w:rPr>
        <w:t xml:space="preserve"> There is recent emphasis on investing in and developing more resilient, public health systems, empowering communities and focusing on pandemic preparedness to ensure  that  people are prepared, protected and can recover quickly from events that affect health outcomes and also increase risks to social and economic security. Similarly, the World Organization for Animal Health (OIE) standards</w:t>
      </w:r>
      <w:r w:rsidRPr="007122DF">
        <w:rPr>
          <w:rStyle w:val="FootnoteReference"/>
          <w:rFonts w:ascii="Book Antiqua" w:hAnsi="Book Antiqua" w:cs="Times New Roman"/>
        </w:rPr>
        <w:footnoteReference w:id="4"/>
      </w:r>
      <w:r w:rsidRPr="007122DF">
        <w:rPr>
          <w:rFonts w:ascii="Book Antiqua" w:hAnsi="Book Antiqua" w:cs="Times New Roman"/>
        </w:rPr>
        <w:t xml:space="preserve">  aim at the sustainable improvement of a country's Veterinary Services' compliance with OIE standards on the quality of Veterinary Services, ensuring: early detection of disease incursions, transparency and notification, rapid response to animal disease outbreaks including implementation of biosecurity and bio-containment, compensation strategies to indemnify animal owners hit by outbreaks, and vaccination, as appropriate</w:t>
      </w:r>
    </w:p>
    <w:p w14:paraId="338A53CD" w14:textId="77777777"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color w:val="000000"/>
        </w:rPr>
        <w:t>T</w:t>
      </w:r>
      <w:r w:rsidRPr="007122DF">
        <w:rPr>
          <w:rFonts w:ascii="Book Antiqua" w:hAnsi="Book Antiqua" w:cs="Times New Roman"/>
        </w:rPr>
        <w:t xml:space="preserve">he Ebola and Zika experiences are not the first, but only add to a long series of “wake-up calls” for greater international, coordinated action and increased sustainable financing to: (i) take </w:t>
      </w:r>
      <w:r w:rsidRPr="007122DF">
        <w:rPr>
          <w:rFonts w:ascii="Book Antiqua" w:hAnsi="Book Antiqua" w:cs="Times New Roman"/>
        </w:rPr>
        <w:lastRenderedPageBreak/>
        <w:t xml:space="preserve">seriously emerging health threats; (ii) assess pandemic risks; (iii) apply lessons identified from prior events, and; (iv) develop appropriate policies, strategies, and plans. A key factor accounting for the continued challenges in preparedness is the fact that the world’s focus has been historically and primarily on </w:t>
      </w:r>
      <w:r w:rsidRPr="007122DF">
        <w:rPr>
          <w:rFonts w:ascii="Book Antiqua" w:hAnsi="Book Antiqua" w:cs="Times New Roman"/>
          <w:bCs/>
          <w:i/>
          <w:iCs/>
        </w:rPr>
        <w:t xml:space="preserve">responding </w:t>
      </w:r>
      <w:r w:rsidRPr="007122DF">
        <w:rPr>
          <w:rFonts w:ascii="Book Antiqua" w:hAnsi="Book Antiqua" w:cs="Times New Roman"/>
        </w:rPr>
        <w:t>to disasters as they occur; the prevention component of preparedness has, therefore, taken a back seat. Also, when potential pandemics are framed as just a health risk, governments often find it difficult to justify spending money to avoid low probability risk and the private sector may see little return on such investments. Yet, the key to mitigating the impact of a pandemic, as with any disaster, is in what happens during the pre-pandemic period, not in what might happen after a catastrophic event is already underway. Reports from several high-level panels and commissions recommend improvements in nations’ public health capabilities and infrastructure, international leadership, and research and development. The UN High Level Panel on the Global Response to Health Crises also suggests that the WBG and WHO as well as other multilateral donors mobilize financing for preparedness and establish financing mechanisms such as the Pandemic Emergency Financing Facility (PEF), which the Bank launched in spring 2016.</w:t>
      </w:r>
    </w:p>
    <w:p w14:paraId="5CBDBC02" w14:textId="6624531D"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rPr>
        <w:t xml:space="preserve">The emergence of infectious diseases typically </w:t>
      </w:r>
      <w:r w:rsidR="009523F0" w:rsidRPr="007122DF">
        <w:rPr>
          <w:rFonts w:ascii="Book Antiqua" w:hAnsi="Book Antiqua" w:cs="Times New Roman"/>
        </w:rPr>
        <w:t>occurs</w:t>
      </w:r>
      <w:r w:rsidRPr="007122DF">
        <w:rPr>
          <w:rFonts w:ascii="Book Antiqua" w:hAnsi="Book Antiqua" w:cs="Times New Roman"/>
        </w:rPr>
        <w:t xml:space="preserve"> at the human-animal-ecosystem interface. It is estimated that 75 percent of infectious diseases in humans, and 60 percent of all new human diseases each year, are of zoonotic origin.  Human health and animal health are interdependent and bound to the health of the ecosystems in which they exist. Severe Acute Respiratory Syndrome (SARS), Nipah virus infection, avian influenza A (H5N1) and A (H7N9), and Ebola virus disease are among the many examples of infectious diseases that have emerged at the human-animal-ecosystem interface. Diseases of animal origin that can be transmitted to humans, such as avian influenza, rabies, Rift Valley fever and brucellosis, pose worldwide risks to public health</w:t>
      </w:r>
      <w:r w:rsidR="009523F0">
        <w:rPr>
          <w:rFonts w:ascii="Book Antiqua" w:hAnsi="Book Antiqua" w:cs="Times New Roman"/>
        </w:rPr>
        <w:t xml:space="preserve">. Globally, 13 zoonotic diseases together </w:t>
      </w:r>
      <w:r w:rsidRPr="007122DF">
        <w:rPr>
          <w:rFonts w:ascii="Book Antiqua" w:hAnsi="Book Antiqua" w:cs="Times New Roman"/>
        </w:rPr>
        <w:t>account for the deaths of 2.2 million people and 2.4 billion illnesses each year. The vast majority of these infections occur in low- and middle-income countries, presenting a major obstacle to global development efforts. “One Health” is a collaborative approach for strengthening systems to prevent, detect and respond—primarily—to infectious diseases and related issues such as antimicrobial resistance that threaten human health, animal health, and environmental health. One Health utilizes a variety of tools, such as surveillance and reporting, with the ultimate objective of improving global health security and accelerating socio-economic development</w:t>
      </w:r>
      <w:r w:rsidRPr="007122DF">
        <w:rPr>
          <w:rStyle w:val="FootnoteReference"/>
          <w:rFonts w:ascii="Book Antiqua" w:hAnsi="Book Antiqua" w:cs="Times New Roman"/>
        </w:rPr>
        <w:footnoteReference w:id="5"/>
      </w:r>
      <w:r w:rsidRPr="007122DF">
        <w:rPr>
          <w:rFonts w:ascii="Book Antiqua" w:hAnsi="Book Antiqua" w:cs="Times New Roman"/>
        </w:rPr>
        <w:t>. The One Health approach requires strong cross-sectorial coordination.</w:t>
      </w:r>
    </w:p>
    <w:p w14:paraId="75E27F13" w14:textId="77777777" w:rsidR="00BE33BB" w:rsidRPr="007122DF" w:rsidRDefault="00BE33BB" w:rsidP="007122DF">
      <w:pPr>
        <w:spacing w:after="240" w:line="240" w:lineRule="auto"/>
        <w:rPr>
          <w:rFonts w:ascii="Book Antiqua" w:hAnsi="Book Antiqua" w:cs="Times New Roman"/>
          <w:color w:val="000000"/>
        </w:rPr>
      </w:pPr>
      <w:r w:rsidRPr="007122DF">
        <w:rPr>
          <w:rFonts w:ascii="Book Antiqua" w:hAnsi="Book Antiqua" w:cs="Times New Roman"/>
          <w:color w:val="000000"/>
        </w:rPr>
        <w:t xml:space="preserve">Another lesson learnt from the Ebola outbreak and previous pandemics is that the challenge of financing pandemic preparedness is not just ensuring sufficient resources but also improving governance structures and institutions to coordinate and manage resources effectively.  The requirements for preparedness are multiple and the components lie in different parts of government and are financed through a variety of mechanisms ranging from: domestic and external resources to emergency funds; disease specific global funds such as the Global Fund for AIDS, TB and Malaria (GFATM); the US President’s Emergency Plan for AIDS Relief (PEPFAR); development banks and bilateral donors. However, domestic and external financing is often fragmented and donor coordination remains a challenge.  Rational and increased financing requires stronger leadership, a common financing framework for investments in pandemic </w:t>
      </w:r>
      <w:r w:rsidRPr="007122DF">
        <w:rPr>
          <w:rFonts w:ascii="Book Antiqua" w:hAnsi="Book Antiqua" w:cs="Times New Roman"/>
          <w:color w:val="000000"/>
        </w:rPr>
        <w:lastRenderedPageBreak/>
        <w:t>preparedness, effective national legal and regulatory frameworks, and effective governance structures at national and local levels.   By linking financing for pandemics with all sectors of the economy, preparedness would be “mainstreamed” in development plans.</w:t>
      </w:r>
    </w:p>
    <w:p w14:paraId="0D3200C1" w14:textId="77777777" w:rsidR="00BE33BB" w:rsidRPr="007122DF" w:rsidRDefault="00BE33BB" w:rsidP="007122DF">
      <w:pPr>
        <w:spacing w:after="240" w:line="240" w:lineRule="auto"/>
        <w:rPr>
          <w:rFonts w:ascii="Book Antiqua" w:hAnsi="Book Antiqua" w:cs="Times New Roman"/>
          <w:color w:val="000000"/>
        </w:rPr>
      </w:pPr>
      <w:r w:rsidRPr="007122DF">
        <w:rPr>
          <w:rFonts w:ascii="Book Antiqua" w:hAnsi="Book Antiqua" w:cs="Times New Roman"/>
        </w:rPr>
        <w:t xml:space="preserve">Pandemics are multisectoral and are linked with other disasters. Therefore, countries prepared for pandemics have better capacity to handle other emergencies. While a pandemic is a health emergency, its impact is by no means confined to the health sector. Other hazards such as hurricanes, floods, earthquakes, accidental or intentional release of pathogens, nuclear contamination, chemical spills, and energy shortages have health impacts. While efforts to strengthen health systems are imperative, adopting a “whole-of-government” and a “whole-of-society” approach to pandemic preparedness is compulsory in order to mitigate the social and economic consequences of a pandemic. Given that most emerging infections originate in animals, it is essential to sustain support for a One Health approach to address pandemic risk, including antimicrobial resistance (AMR), and coordinate surveillance for early warning and prevention of infectious diseases with zoonotic potential. It is also essential to increase investments in veterinary health systems. Most of the skills needed for pandemic response are applicable for all hazards, including risk communication, coordination, community mobilization, commodity management, and security. However, cross-sectoral coordination and collaboration remains a challenge for most governments and stakeholders. </w:t>
      </w:r>
    </w:p>
    <w:p w14:paraId="5253A189" w14:textId="77777777"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rPr>
        <w:t xml:space="preserve">Investing in preparedness yields significant returns on investment. The World Bank Group (WBG) estimates that system improvements in public health and animal health to meet the minimum standards of the WHO and the OIE, for example, would cost US$3.4 billion a year. However, past zoonotic outbreaks occurring between 1997 and 2009— that did not even become pandemics—cost $80 billion or US$6.7 billion per year. On the other hand, the benefit of better preparedness is estimated at approximately US$36.7 billion per year. This far outweighs the estimated investment in pandemic preparedness of US$3.4billion per year. </w:t>
      </w:r>
    </w:p>
    <w:p w14:paraId="6D68F22A" w14:textId="77777777"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rPr>
        <w:t xml:space="preserve">Increased investments in pandemic preparedness and building capacities would: </w:t>
      </w:r>
    </w:p>
    <w:p w14:paraId="6E1F1696" w14:textId="02E19009" w:rsidR="00BE33BB" w:rsidRPr="007122DF" w:rsidRDefault="00BE33BB" w:rsidP="007122DF">
      <w:pPr>
        <w:pStyle w:val="ListParagraph"/>
        <w:numPr>
          <w:ilvl w:val="0"/>
          <w:numId w:val="39"/>
        </w:numPr>
        <w:spacing w:after="240" w:line="240" w:lineRule="auto"/>
        <w:rPr>
          <w:rFonts w:ascii="Book Antiqua" w:hAnsi="Book Antiqua" w:cs="Times New Roman"/>
        </w:rPr>
      </w:pPr>
      <w:r w:rsidRPr="007122DF">
        <w:rPr>
          <w:rFonts w:ascii="Book Antiqua" w:hAnsi="Book Antiqua" w:cs="Times New Roman"/>
        </w:rPr>
        <w:t>Strengthen overall health systems and core public health functions to manage other health problems.  Improving veterinary systems would also contribute to health security, as well as increase trade opportunities, food security and incomes for farmers.</w:t>
      </w:r>
    </w:p>
    <w:p w14:paraId="39B276E6" w14:textId="5451903C" w:rsidR="00BE33BB" w:rsidRPr="007122DF" w:rsidRDefault="00BE33BB" w:rsidP="007122DF">
      <w:pPr>
        <w:pStyle w:val="ListParagraph"/>
        <w:numPr>
          <w:ilvl w:val="0"/>
          <w:numId w:val="39"/>
        </w:numPr>
        <w:spacing w:after="240" w:line="240" w:lineRule="auto"/>
        <w:rPr>
          <w:rFonts w:ascii="Book Antiqua" w:hAnsi="Book Antiqua" w:cs="Times New Roman"/>
        </w:rPr>
      </w:pPr>
      <w:r w:rsidRPr="007122DF">
        <w:rPr>
          <w:rFonts w:ascii="Book Antiqua" w:hAnsi="Book Antiqua" w:cs="Times New Roman"/>
        </w:rPr>
        <w:t xml:space="preserve">Contribute to the WBG’s mission of poverty alleviation and boosting shared prosperity, especially since infectious diseases tend to impact the poor disproportionately. </w:t>
      </w:r>
      <w:r w:rsidRPr="007122DF">
        <w:rPr>
          <w:rFonts w:ascii="Book Antiqua" w:hAnsi="Book Antiqua" w:cs="Times New Roman"/>
          <w:lang w:val="en"/>
        </w:rPr>
        <w:t>Poor communities tend to live close to animals with inadequate veterinary and human public health services. Such diseases diminish livelihoods, nutrition, food security, trade, and assets of poor households</w:t>
      </w:r>
      <w:r w:rsidRPr="007122DF">
        <w:rPr>
          <w:rStyle w:val="FootnoteReference"/>
          <w:rFonts w:ascii="Book Antiqua" w:hAnsi="Book Antiqua" w:cs="Times New Roman"/>
          <w:lang w:val="en"/>
        </w:rPr>
        <w:footnoteReference w:id="6"/>
      </w:r>
      <w:r w:rsidRPr="007122DF">
        <w:rPr>
          <w:rFonts w:ascii="Book Antiqua" w:hAnsi="Book Antiqua" w:cs="Times New Roman"/>
          <w:lang w:val="en"/>
        </w:rPr>
        <w:t>.</w:t>
      </w:r>
    </w:p>
    <w:p w14:paraId="1647AD21" w14:textId="77777777" w:rsidR="00BE33BB" w:rsidRPr="007122DF" w:rsidRDefault="00BE33BB" w:rsidP="007122DF">
      <w:pPr>
        <w:spacing w:after="240" w:line="240" w:lineRule="auto"/>
        <w:rPr>
          <w:rFonts w:ascii="Book Antiqua" w:hAnsi="Book Antiqua" w:cs="Times New Roman"/>
        </w:rPr>
      </w:pPr>
      <w:r w:rsidRPr="007122DF">
        <w:rPr>
          <w:rFonts w:ascii="Book Antiqua" w:eastAsia="MS Mincho" w:hAnsi="Book Antiqua" w:cs="Times New Roman"/>
        </w:rPr>
        <w:t xml:space="preserve">The international community is stepping up efforts to anticipate public health risks and improve pandemic preparedness. These efforts </w:t>
      </w:r>
      <w:r w:rsidRPr="007122DF">
        <w:rPr>
          <w:rFonts w:ascii="Book Antiqua" w:hAnsi="Book Antiqua" w:cs="Times New Roman"/>
        </w:rPr>
        <w:t xml:space="preserve">include: (i) a Sustainable Development Goal target to strengthen the capacity of all countries for early warning and detection, risk reduction and management of global health risks; (ii) establishment of the Global Health Security Agenda (GHSA) which is a partnership of 50+ countries and development partners to enhance capacity to prevent, detect, and respond to health threats; (iii) strengthening implementation of the International Health Regulations (IHR) and monitoring country reporting on disease outbreaks </w:t>
      </w:r>
      <w:r w:rsidRPr="007122DF">
        <w:rPr>
          <w:rFonts w:ascii="Book Antiqua" w:hAnsi="Book Antiqua" w:cs="Times New Roman"/>
        </w:rPr>
        <w:lastRenderedPageBreak/>
        <w:t xml:space="preserve">and public health events through joint external evaluations (JEE) that cover 19 technical areas derived from both the IHR and GHSA and the establishment of an Alliance for pandemic preparedness to oversee implementation of  the joint external evaluations and follow up actions; and (iv) PVS pathway to increase compliance with the OIE standards, for the improvement of animal health and welfare and veterinary public health worldwide, including safe international trade in animals and their products.  </w:t>
      </w:r>
    </w:p>
    <w:p w14:paraId="0D10955E" w14:textId="77777777" w:rsidR="00BE33BB" w:rsidRPr="007122DF" w:rsidRDefault="00BE33BB" w:rsidP="007122DF">
      <w:pPr>
        <w:spacing w:after="240" w:line="240" w:lineRule="auto"/>
        <w:rPr>
          <w:rFonts w:ascii="Book Antiqua" w:eastAsia="MS Mincho" w:hAnsi="Book Antiqua" w:cs="Times New Roman"/>
        </w:rPr>
      </w:pPr>
      <w:r w:rsidRPr="007122DF">
        <w:rPr>
          <w:rFonts w:ascii="Book Antiqua" w:hAnsi="Book Antiqua" w:cs="Times New Roman"/>
        </w:rPr>
        <w:t>However, the JEE tool, within the WHO evaluation and monitoring framework, currently does not include financing indicators and the Bank is discussing with WHO, the United States Government and other partners to incorporate preparedness financing indicators and questions through the creation of a 20</w:t>
      </w:r>
      <w:r w:rsidRPr="007122DF">
        <w:rPr>
          <w:rFonts w:ascii="Book Antiqua" w:hAnsi="Book Antiqua" w:cs="Times New Roman"/>
          <w:vertAlign w:val="superscript"/>
        </w:rPr>
        <w:t>th</w:t>
      </w:r>
      <w:r w:rsidRPr="007122DF">
        <w:rPr>
          <w:rFonts w:ascii="Book Antiqua" w:hAnsi="Book Antiqua" w:cs="Times New Roman"/>
        </w:rPr>
        <w:t xml:space="preserve"> technical area. In addition, the G7 in 2015 announced support for 60 countries to implement the IHR. The EU has committed resources to provide emergency measures and longer-term support for the development of vaccines and treatments, and the UK has launched the Fleming Fund to tackle the growing problem of AMR.  Coordination between different initiatives remains a challenge. </w:t>
      </w:r>
    </w:p>
    <w:p w14:paraId="1B3FB0D5" w14:textId="47D5DCEC"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rPr>
        <w:t>Building on its experience in health systems stre</w:t>
      </w:r>
      <w:r w:rsidR="009523F0">
        <w:rPr>
          <w:rFonts w:ascii="Book Antiqua" w:hAnsi="Book Antiqua" w:cs="Times New Roman"/>
        </w:rPr>
        <w:t xml:space="preserve">ngthening, lessons learnt from </w:t>
      </w:r>
      <w:r w:rsidRPr="007122DF">
        <w:rPr>
          <w:rFonts w:ascii="Book Antiqua" w:hAnsi="Book Antiqua" w:cs="Times New Roman"/>
        </w:rPr>
        <w:t xml:space="preserve">previous investments in public health and pandemic preparedness, support to regional projects in West Africa, East Africa, and Southern Africa on anti-microbial resistance, the WBG is well positioned to step up its efforts by supporting countries to reduce risks to infectious disease outbreaks and building their capacity to prepare and respond to them.  Lessons learned from WBG’s support to various pandemics such as HIV and the Global Program for Avian Influenza Control and Human Pandemic Preparedness and Response Project (GPAI), which provided US$1.3 billion of financing for 72 projects in 60 countries to strengthen their capacity for early and effective disease control, provide a solid foundation for scaling up these efforts through increased IDA 18 support.  Within the EAP region, the GPAI supported eight countries including Cambodia, Indonesia, Lao PDR, Vietnam and Myanmar. In many of these countries, the GPAI supported the development of pandemic preparedness national action plans, based on the One Health principle, which will provide an essential foundation for advancing the broader engagement on health security financing. Key lessons learned include: i) pandemic risk is a specific issue that requires sustained high-level support and commitment to avoid being overrun by short-term priorities.; ii) attention to pandemics and other major health emergencies should move away from a paradigm grounded in crisis response, and towards incorporating pandemic risk reduction and risk management into system strengthening; and iii) the Bank could work to reduce the risks from zoonotic diseases and pandemics by building support for animal health systems, human health systems, and the links between them into agriculture, livestock, and human health interventions as this would strengthen long term capacity building in regular investment operations planned and designed during ordinary times. </w:t>
      </w:r>
    </w:p>
    <w:p w14:paraId="535AFE25" w14:textId="77777777"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rPr>
        <w:t xml:space="preserve">Within the global community, the WBG, World Health Organization (WHO) and other partners have launched an innovative global financing facility – The Pandemic Emergency Financing Facility (PEF). The PEF will provide critical private and public financing to strengthen pandemic response efforts, and incentivize investments in preparedness as a crucial measure towards mitigating pandemic risk. The PEF includes both insurance and cash windows with affordable premiums to provide surge funding for response efforts to help prevent rare, high-severity disease outbreaks from becoming pandemics and help fill a critical funding gap, as well as help catalyze the creation of a global market for pandemic insurance instruments. The PEF is </w:t>
      </w:r>
      <w:r w:rsidRPr="007122DF">
        <w:rPr>
          <w:rFonts w:ascii="Book Antiqua" w:hAnsi="Book Antiqua" w:cs="Times New Roman"/>
        </w:rPr>
        <w:lastRenderedPageBreak/>
        <w:t>an important new complement to existing global and WBG financing tools to invest in public health system strengthening and outbreak preparedness and response available to IDA and IBRD countries.</w:t>
      </w:r>
    </w:p>
    <w:p w14:paraId="64D4ADFA" w14:textId="2D7D26E7" w:rsidR="00BE33BB" w:rsidRPr="007122DF" w:rsidRDefault="00BE33BB" w:rsidP="007122DF">
      <w:pPr>
        <w:spacing w:after="240" w:line="240" w:lineRule="auto"/>
        <w:rPr>
          <w:rFonts w:ascii="Book Antiqua" w:hAnsi="Book Antiqua" w:cs="Times New Roman"/>
          <w:b/>
          <w:i/>
        </w:rPr>
      </w:pPr>
      <w:r w:rsidRPr="007122DF">
        <w:rPr>
          <w:rFonts w:ascii="Book Antiqua" w:hAnsi="Book Antiqua" w:cs="Times New Roman"/>
          <w:b/>
          <w:i/>
        </w:rPr>
        <w:t>F</w:t>
      </w:r>
      <w:r w:rsidR="009523F0">
        <w:rPr>
          <w:rFonts w:ascii="Book Antiqua" w:hAnsi="Book Antiqua" w:cs="Times New Roman"/>
          <w:b/>
          <w:i/>
        </w:rPr>
        <w:t>inancing Instrument: The Multi-D</w:t>
      </w:r>
      <w:r w:rsidRPr="007122DF">
        <w:rPr>
          <w:rFonts w:ascii="Book Antiqua" w:hAnsi="Book Antiqua" w:cs="Times New Roman"/>
          <w:b/>
          <w:i/>
        </w:rPr>
        <w:t xml:space="preserve">onor Trust Fund </w:t>
      </w:r>
    </w:p>
    <w:p w14:paraId="4E23362C" w14:textId="77777777"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rPr>
        <w:t>The program is linked to the Global Health Security Window of the overarching umbrella of the multi-donor trust fund (MDTF) (TF072424) for integrating donor-financed health programs in the EAP region. Its development objective is to support countries in strengthening their health systems to accelerate and sustain progress towards key health outputs and outcomes that contribute to universal health coverage (UHC).  Within this PDO, this program will focus on assessing pandemic preparedness financing and strengthening the financial and institutional sustainability of donor-financed health programs.  This will be achieved by: (i) conducting comprehensive pandemic preparedness financing assessments; (ii) enhancing regional and national capacity; and (iii) improving knowledge generation, sharing and learning.</w:t>
      </w:r>
    </w:p>
    <w:p w14:paraId="37E21478" w14:textId="77777777" w:rsidR="00BE33BB" w:rsidRPr="007122DF" w:rsidRDefault="00BE33BB" w:rsidP="007122DF">
      <w:pPr>
        <w:spacing w:after="240" w:line="240" w:lineRule="auto"/>
        <w:rPr>
          <w:rFonts w:ascii="Book Antiqua" w:hAnsi="Book Antiqua" w:cs="Times New Roman"/>
          <w:b/>
          <w:i/>
        </w:rPr>
      </w:pPr>
      <w:r w:rsidRPr="007122DF">
        <w:rPr>
          <w:rFonts w:ascii="Book Antiqua" w:hAnsi="Book Antiqua" w:cs="Times New Roman"/>
          <w:b/>
          <w:i/>
        </w:rPr>
        <w:t>Why the focus East Asia Pacific Region?</w:t>
      </w:r>
    </w:p>
    <w:p w14:paraId="77381B4E" w14:textId="77777777"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rPr>
        <w:t>The program focuses on the East Asia Pacific (EAP) region because it is vital to global pandemic preparedness. Home to more than 30% of the world’s population, this region’s ability to effectively forecast, prevent, detect health threats, as well as capacity to respond and recover, is a determinant for true global pandemic preparedness. Furthermore, the region has been the epicenter of emerging and re-emerging infectious diseases such as Severe Acute Respiratory Syndrome (SARS), Nipah virus infection, avian influenza A (H5N1) and A (H7N9). The region is also one of the most “globally connected in terms of international flows of trade, capital, information, and people.”</w:t>
      </w:r>
      <w:r w:rsidRPr="007122DF">
        <w:rPr>
          <w:rFonts w:ascii="Book Antiqua" w:hAnsi="Book Antiqua" w:cs="Times New Roman"/>
          <w:vertAlign w:val="superscript"/>
        </w:rPr>
        <w:footnoteReference w:id="7"/>
      </w:r>
      <w:r w:rsidRPr="007122DF">
        <w:rPr>
          <w:rFonts w:ascii="Book Antiqua" w:hAnsi="Book Antiqua" w:cs="Times New Roman"/>
        </w:rPr>
        <w:t xml:space="preserve"> Several socio-economic, demographic, environmental and ecological factors drive the emergence of disease outbreaks in the EAP region. These drivers include: close contact between humans and animals, encroachment with wildlife, high population density, rapid urbanization, high growth rates, and climate change. The region is further prone to natural disasters</w:t>
      </w:r>
      <w:r w:rsidRPr="007122DF">
        <w:rPr>
          <w:rFonts w:ascii="Book Antiqua" w:hAnsi="Book Antiqua" w:cs="Times New Roman"/>
        </w:rPr>
        <w:sym w:font="Symbol" w:char="F020"/>
      </w:r>
      <w:r w:rsidRPr="007122DF">
        <w:rPr>
          <w:rFonts w:ascii="Book Antiqua" w:hAnsi="Book Antiqua" w:cs="Times New Roman"/>
        </w:rPr>
        <w:sym w:font="Symbol" w:char="F02D"/>
      </w:r>
      <w:r w:rsidRPr="007122DF">
        <w:rPr>
          <w:rFonts w:ascii="Book Antiqua" w:hAnsi="Book Antiqua" w:cs="Times New Roman"/>
        </w:rPr>
        <w:sym w:font="Symbol" w:char="F020"/>
      </w:r>
      <w:r w:rsidRPr="007122DF">
        <w:rPr>
          <w:rFonts w:ascii="Book Antiqua" w:hAnsi="Book Antiqua" w:cs="Times New Roman"/>
        </w:rPr>
        <w:t>mainly floods, earthquakes and tsunamis</w:t>
      </w:r>
      <w:r w:rsidRPr="007122DF">
        <w:rPr>
          <w:rFonts w:ascii="Book Antiqua" w:hAnsi="Book Antiqua" w:cs="Times New Roman"/>
        </w:rPr>
        <w:sym w:font="Symbol" w:char="F020"/>
      </w:r>
      <w:r w:rsidRPr="007122DF">
        <w:rPr>
          <w:rFonts w:ascii="Book Antiqua" w:hAnsi="Book Antiqua" w:cs="Times New Roman"/>
        </w:rPr>
        <w:sym w:font="Symbol" w:char="F02D"/>
      </w:r>
      <w:r w:rsidRPr="007122DF">
        <w:rPr>
          <w:rFonts w:ascii="Book Antiqua" w:hAnsi="Book Antiqua" w:cs="Times New Roman"/>
        </w:rPr>
        <w:sym w:font="Symbol" w:char="F020"/>
      </w:r>
      <w:r w:rsidRPr="007122DF">
        <w:rPr>
          <w:rFonts w:ascii="Book Antiqua" w:hAnsi="Book Antiqua" w:cs="Times New Roman"/>
        </w:rPr>
        <w:t xml:space="preserve">all of which impact on health. </w:t>
      </w:r>
    </w:p>
    <w:p w14:paraId="726A901A" w14:textId="77777777"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rPr>
        <w:t>Recognizing the threats, several countries in the EAP region have made tremendous efforts to tackle emerging infectious disease; however, many challenges remain in ensuring adequate and efficient sustainable financing for pandemic preparedness. Current levels of financing for overall health care, and pandemic preparedness in particular, remain suboptimal in most EAP countries as they spend less on health as a share of GDP and in per capita terms and under-invest in pandemic preparedness. Investing in public health is often not prioritized and several countries are less than compliant with all the IHR and OIE standards requirements. Furthermore, countries have limited capacity to prevent, detect and respond adequately to disease outbreaks. There is high reliance on out of pocket payments while several countries still heavily depend on external financing. Generally, health financing is not pooled or managed in optimal ways and allocation tends to be inefficient and inequitable. External financing support is also often fragmented, uncoordinated, off budget and often substitutes for domestic investment. Budget execution may also be inefficient in some countries. Finally, the need to work across sectors and boundaries adds to the challenge in many countries of the region.</w:t>
      </w:r>
    </w:p>
    <w:p w14:paraId="4A664E9A" w14:textId="77777777"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rPr>
        <w:lastRenderedPageBreak/>
        <w:t xml:space="preserve">Given the global and regional public health nature of investments in health security, an effective and coordinated regional approach is necessary given the trans-boundary nature of epidemics and the specific pandemic risks associated with the region in particular. There is a need to build the capacity of regional institutions for coordinated efforts in ensuring sustainable and more efficient financing to: (i) support prevention; (ii) advance early detection, rapid and effective responses and countermeasures; (iii) improve cross-sectorial collaboration to address risks of emergence of infectious diseases at the human-animal-ecosystem interfaces; and (iv) promote knowledge exchange, cross country learning and innovation; and (iv) build capacity and strengthen institutions. The Association of Southeast Asian Nations (ASEAN) and Asia-Pacific Economic Cooperation (APEC) are already involved in pandemic preparedness and disaster risk management and can play a key role in building political commitment for increased domestic financing for pandemic preparedness and resource sharing for vaccines and commodity stockpiles and emergency preparedness. </w:t>
      </w:r>
    </w:p>
    <w:p w14:paraId="41E3E9DE" w14:textId="77777777"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rPr>
        <w:t xml:space="preserve">To address sustainable financing  and  strengthen regional and cross-sectorial cooperation in EAP, the WBG is collaborating with DFAT and other partners to support the following objectives: (i) increase diplomatic and policy engagement as well as advocacy for sustainable and efficient domestic and external financing and also </w:t>
      </w:r>
      <w:r w:rsidRPr="007122DF">
        <w:rPr>
          <w:rFonts w:ascii="Book Antiqua" w:hAnsi="Book Antiqua" w:cs="Times New Roman"/>
          <w:lang w:val="en-AU"/>
        </w:rPr>
        <w:t>generate the necessary evidence on financing and capacity gaps;</w:t>
      </w:r>
      <w:r w:rsidRPr="007122DF">
        <w:rPr>
          <w:rFonts w:ascii="Book Antiqua" w:hAnsi="Book Antiqua" w:cs="Times New Roman"/>
        </w:rPr>
        <w:t xml:space="preserve"> (ii) improve regional collaboration to address trans-border risks of transmission of infectious diseases; and (iii) provide technical support to strengthen knowledge generation and sharing, and capacity building of national and regional institutions. </w:t>
      </w:r>
    </w:p>
    <w:p w14:paraId="7B181462" w14:textId="7307A5FC" w:rsidR="00BE33BB" w:rsidRPr="007122DF" w:rsidRDefault="00BE33BB" w:rsidP="007122DF">
      <w:pPr>
        <w:spacing w:after="240" w:line="240" w:lineRule="auto"/>
        <w:rPr>
          <w:rFonts w:ascii="Book Antiqua" w:hAnsi="Book Antiqua" w:cs="Times New Roman"/>
        </w:rPr>
      </w:pPr>
      <w:r w:rsidRPr="007122DF">
        <w:rPr>
          <w:rFonts w:ascii="Book Antiqua" w:hAnsi="Book Antiqua" w:cs="Times New Roman"/>
          <w:lang w:val="en-AU"/>
        </w:rPr>
        <w:t xml:space="preserve">The proposed scope of work aligns with the WBG goal to build resilient and responsive public health systems as emphasized in the World Bank EAP’s Regional Health Strategy 2014-2019 to ensure that countries are better prepared for the next epidemic/pandemic. </w:t>
      </w:r>
      <w:r w:rsidRPr="007122DF">
        <w:rPr>
          <w:rFonts w:ascii="Book Antiqua" w:hAnsi="Book Antiqua" w:cs="Times New Roman"/>
        </w:rPr>
        <w:t xml:space="preserve"> This program complements on-going pandemic preparedness efforts by increasing and integrating pandemic preparedness financing at country level and strengthening regional cooperation to address trans-boundary health threats. This initiative will also bring on board the private sector as a key constituency that is often highly impacted on by pandemics by developing an investment case for this important group. The selection of countries was informed by country interest to participate in the initiative as well as partner priorities in EAP. The</w:t>
      </w:r>
      <w:r w:rsidRPr="007122DF">
        <w:rPr>
          <w:rFonts w:ascii="Book Antiqua" w:hAnsi="Book Antiqua" w:cs="Times New Roman"/>
          <w:iCs/>
        </w:rPr>
        <w:t xml:space="preserve"> program prioritizes Indonesia, Vietnam, Cambodia and Lao PDR with the possibility of integrating pandemic preparedness financing assessments in ongoing assessments in other countries in the region. The convening function of regional institutions such as ASEAN, APEC and Mekong Basin Disease Surveillance Network will involve more countries beyond the four priority countries. The four priority countries will conduct the financial and institutional assessments with technical support from national partners and the World Bank, WHO, OIE and CDC.  The four countries will jointly provide oversight of the initiative through the recently formed technical task force to oversee the initiative.</w:t>
      </w:r>
    </w:p>
    <w:p w14:paraId="67C92433" w14:textId="77777777" w:rsidR="00BE33BB" w:rsidRPr="007122DF" w:rsidRDefault="00BE33BB" w:rsidP="007122DF">
      <w:pPr>
        <w:spacing w:after="240" w:line="240" w:lineRule="auto"/>
        <w:rPr>
          <w:rFonts w:ascii="Book Antiqua" w:hAnsi="Book Antiqua" w:cs="Times New Roman"/>
          <w:iCs/>
        </w:rPr>
      </w:pPr>
      <w:r w:rsidRPr="007122DF">
        <w:rPr>
          <w:rFonts w:ascii="Book Antiqua" w:hAnsi="Book Antiqua" w:cs="Times New Roman"/>
          <w:iCs/>
        </w:rPr>
        <w:t xml:space="preserve">The selection of countries was informed by country interest to participate in the initiative as well as partner priorities in the region.  The proposed results framework will provide a means of monitoring program implementation for the duration of the grant to ensure that countries are on track to better prevent, detect and respond to the threat of pandemics. </w:t>
      </w:r>
    </w:p>
    <w:p w14:paraId="6E2625A9" w14:textId="27E06E60" w:rsidR="00414F89" w:rsidRPr="007122DF" w:rsidRDefault="00414F89" w:rsidP="007122DF">
      <w:pPr>
        <w:pStyle w:val="Default"/>
        <w:spacing w:after="240"/>
        <w:jc w:val="both"/>
        <w:rPr>
          <w:rFonts w:ascii="Book Antiqua" w:hAnsi="Book Antiqua"/>
          <w:b/>
          <w:sz w:val="22"/>
          <w:szCs w:val="22"/>
          <w:lang w:val="en-AU"/>
        </w:rPr>
      </w:pPr>
    </w:p>
    <w:p w14:paraId="25AB1FCC" w14:textId="77777777" w:rsidR="00A62510" w:rsidRDefault="00A62510">
      <w:pPr>
        <w:rPr>
          <w:rFonts w:ascii="Book Antiqua" w:hAnsi="Book Antiqua" w:cs="Times New Roman"/>
          <w:b/>
          <w:lang w:val="en-AU"/>
        </w:rPr>
      </w:pPr>
      <w:r>
        <w:rPr>
          <w:rFonts w:ascii="Book Antiqua" w:hAnsi="Book Antiqua" w:cs="Times New Roman"/>
          <w:b/>
          <w:lang w:val="en-AU"/>
        </w:rPr>
        <w:br w:type="page"/>
      </w:r>
    </w:p>
    <w:p w14:paraId="1253DF0C" w14:textId="6F9AEE0B" w:rsidR="005072A1" w:rsidRPr="007122DF" w:rsidRDefault="00414F89" w:rsidP="007122DF">
      <w:pPr>
        <w:spacing w:after="240" w:line="240" w:lineRule="auto"/>
        <w:jc w:val="both"/>
        <w:rPr>
          <w:rFonts w:ascii="Book Antiqua" w:hAnsi="Book Antiqua" w:cs="Times New Roman"/>
          <w:b/>
          <w:lang w:val="en-AU"/>
        </w:rPr>
      </w:pPr>
      <w:r w:rsidRPr="007122DF">
        <w:rPr>
          <w:rFonts w:ascii="Book Antiqua" w:hAnsi="Book Antiqua" w:cs="Times New Roman"/>
          <w:b/>
          <w:lang w:val="en-AU"/>
        </w:rPr>
        <w:lastRenderedPageBreak/>
        <w:t>Proposed</w:t>
      </w:r>
      <w:r w:rsidR="005072A1" w:rsidRPr="007122DF">
        <w:rPr>
          <w:rFonts w:ascii="Book Antiqua" w:hAnsi="Book Antiqua" w:cs="Times New Roman"/>
          <w:b/>
          <w:lang w:val="en-AU"/>
        </w:rPr>
        <w:t xml:space="preserve"> Activities</w:t>
      </w:r>
    </w:p>
    <w:p w14:paraId="5184B7F7" w14:textId="4C0D096D" w:rsidR="004E7C77" w:rsidRPr="007122DF" w:rsidRDefault="004E7C77" w:rsidP="007122DF">
      <w:pPr>
        <w:pStyle w:val="NoSpacing"/>
        <w:spacing w:after="240"/>
        <w:rPr>
          <w:rFonts w:ascii="Book Antiqua" w:hAnsi="Book Antiqua" w:cs="Times New Roman"/>
        </w:rPr>
      </w:pPr>
      <w:r w:rsidRPr="007122DF">
        <w:rPr>
          <w:rFonts w:ascii="Book Antiqua" w:hAnsi="Book Antiqua" w:cs="Times New Roman"/>
        </w:rPr>
        <w:t xml:space="preserve">The </w:t>
      </w:r>
      <w:r w:rsidRPr="007122DF">
        <w:rPr>
          <w:rFonts w:ascii="Book Antiqua" w:hAnsi="Book Antiqua" w:cs="Times New Roman"/>
          <w:lang w:val="en-AU"/>
        </w:rPr>
        <w:t>proposed activities of this program are linked and aligned with the overall MDTF development objective and its pillars. The interventions will focus on: 1) conducting comprehensive pandemic preparedness financing and institutional assessments; 2) strengthening capacity at regional and national levels; and 3) knowledge generation and sharing, effective advocacy and making a case for investment in health security.</w:t>
      </w:r>
      <w:r w:rsidR="00B14AEB" w:rsidRPr="007122DF">
        <w:rPr>
          <w:rFonts w:ascii="Book Antiqua" w:hAnsi="Book Antiqua" w:cs="Times New Roman"/>
          <w:lang w:val="en-AU"/>
        </w:rPr>
        <w:t xml:space="preserve"> The budget for the initiative is US$4.35 million.</w:t>
      </w:r>
    </w:p>
    <w:p w14:paraId="69EC38BB" w14:textId="6439540C" w:rsidR="004E7C77" w:rsidRPr="007122DF" w:rsidRDefault="004E7C77" w:rsidP="007122DF">
      <w:pPr>
        <w:pStyle w:val="NoSpacing"/>
        <w:spacing w:after="240"/>
        <w:rPr>
          <w:rFonts w:ascii="Book Antiqua" w:hAnsi="Book Antiqua" w:cs="Times New Roman"/>
          <w:lang w:val="en-AU"/>
        </w:rPr>
      </w:pPr>
      <w:r w:rsidRPr="007122DF">
        <w:rPr>
          <w:rFonts w:ascii="Book Antiqua" w:hAnsi="Book Antiqua" w:cs="Times New Roman"/>
          <w:lang w:val="en-AU"/>
        </w:rPr>
        <w:t xml:space="preserve">In June 2016, the World Bank team hosted a high-level meeting with policymakers, development partners, private sector and civil society organizations from the EAP region. The objective of the meeting was to secure political buy-in and commitment for the program as well as consult and build consensus around the priority areas of pandemic preparedness and next steps. Stakeholders endorsed the proposed approach. </w:t>
      </w:r>
    </w:p>
    <w:p w14:paraId="52AD7140" w14:textId="77777777" w:rsidR="005A721E" w:rsidRPr="007122DF" w:rsidRDefault="00FD4F54" w:rsidP="007122DF">
      <w:pPr>
        <w:spacing w:after="240" w:line="240" w:lineRule="auto"/>
        <w:jc w:val="both"/>
        <w:rPr>
          <w:rFonts w:ascii="Book Antiqua" w:hAnsi="Book Antiqua" w:cs="Times New Roman"/>
          <w:b/>
          <w:i/>
          <w:lang w:val="en-AU"/>
        </w:rPr>
      </w:pPr>
      <w:r w:rsidRPr="007122DF">
        <w:rPr>
          <w:rFonts w:ascii="Book Antiqua" w:hAnsi="Book Antiqua" w:cs="Times New Roman"/>
          <w:b/>
          <w:i/>
          <w:lang w:val="en-AU"/>
        </w:rPr>
        <w:t>Pillar 1: Comprehensive Health Financing and Institutional Assessments</w:t>
      </w:r>
    </w:p>
    <w:p w14:paraId="1FD8AEA5" w14:textId="77777777" w:rsidR="005A721E" w:rsidRPr="007122DF" w:rsidRDefault="005A721E" w:rsidP="007122DF">
      <w:pPr>
        <w:pStyle w:val="Normal0"/>
        <w:spacing w:after="240" w:line="240" w:lineRule="auto"/>
        <w:jc w:val="both"/>
        <w:rPr>
          <w:rFonts w:ascii="Book Antiqua" w:hAnsi="Book Antiqua" w:cs="Times New Roman"/>
          <w:lang w:val="en-AU"/>
        </w:rPr>
      </w:pPr>
      <w:r w:rsidRPr="007122DF">
        <w:rPr>
          <w:rFonts w:ascii="Book Antiqua" w:hAnsi="Book Antiqua" w:cs="Times New Roman"/>
          <w:lang w:val="en-AU"/>
        </w:rPr>
        <w:t>This pillar will build on on-going work in financial and institutional sustainability of health programs, health system strengthening and One Health approaches. This pillar supports countries to conduct</w:t>
      </w:r>
      <w:r w:rsidRPr="007122DF">
        <w:rPr>
          <w:rFonts w:ascii="Book Antiqua" w:hAnsi="Book Antiqua" w:cs="Times New Roman"/>
          <w:b/>
          <w:lang w:val="en-AU"/>
        </w:rPr>
        <w:t xml:space="preserve"> </w:t>
      </w:r>
      <w:r w:rsidRPr="007122DF">
        <w:rPr>
          <w:rFonts w:ascii="Book Antiqua" w:hAnsi="Book Antiqua" w:cs="Times New Roman"/>
          <w:lang w:val="en-AU"/>
        </w:rPr>
        <w:t>comprehensive pandemic preparedness financing and institutional</w:t>
      </w:r>
      <w:r w:rsidRPr="007122DF">
        <w:rPr>
          <w:rFonts w:ascii="Book Antiqua" w:hAnsi="Book Antiqua" w:cs="Times New Roman"/>
          <w:b/>
          <w:lang w:val="en-AU"/>
        </w:rPr>
        <w:t xml:space="preserve"> </w:t>
      </w:r>
      <w:r w:rsidRPr="007122DF">
        <w:rPr>
          <w:rFonts w:ascii="Book Antiqua" w:hAnsi="Book Antiqua" w:cs="Times New Roman"/>
          <w:lang w:val="en-AU"/>
        </w:rPr>
        <w:t xml:space="preserve">assessments in the target countries. </w:t>
      </w:r>
    </w:p>
    <w:p w14:paraId="5C79A807" w14:textId="77777777" w:rsidR="005A721E" w:rsidRPr="007122DF" w:rsidRDefault="006B3D25" w:rsidP="007122DF">
      <w:pPr>
        <w:pStyle w:val="Normal0"/>
        <w:spacing w:after="240" w:line="240" w:lineRule="auto"/>
        <w:jc w:val="both"/>
        <w:rPr>
          <w:rFonts w:ascii="Book Antiqua" w:hAnsi="Book Antiqua" w:cs="Times New Roman"/>
          <w:i/>
          <w:lang w:val="en-AU"/>
        </w:rPr>
      </w:pPr>
      <w:r w:rsidRPr="007122DF">
        <w:rPr>
          <w:rFonts w:ascii="Book Antiqua" w:hAnsi="Book Antiqua" w:cs="Times New Roman"/>
          <w:i/>
          <w:lang w:val="en-AU"/>
        </w:rPr>
        <w:t xml:space="preserve"> </w:t>
      </w:r>
      <w:r w:rsidR="005A721E" w:rsidRPr="007122DF">
        <w:rPr>
          <w:rFonts w:ascii="Book Antiqua" w:hAnsi="Book Antiqua" w:cs="Times New Roman"/>
          <w:i/>
          <w:lang w:val="en-AU"/>
        </w:rPr>
        <w:t>Outputs:</w:t>
      </w:r>
    </w:p>
    <w:p w14:paraId="422FF6A0" w14:textId="6C16FC56" w:rsidR="005A721E" w:rsidRPr="007122DF" w:rsidRDefault="005A721E" w:rsidP="007122DF">
      <w:pPr>
        <w:pStyle w:val="Normal0"/>
        <w:numPr>
          <w:ilvl w:val="0"/>
          <w:numId w:val="29"/>
        </w:numPr>
        <w:spacing w:after="0" w:line="240" w:lineRule="auto"/>
        <w:ind w:left="806" w:hanging="446"/>
        <w:jc w:val="both"/>
        <w:rPr>
          <w:rFonts w:ascii="Book Antiqua" w:hAnsi="Book Antiqua" w:cs="Times New Roman"/>
          <w:lang w:val="en-AU"/>
        </w:rPr>
      </w:pPr>
      <w:r w:rsidRPr="007122DF">
        <w:rPr>
          <w:rFonts w:ascii="Book Antiqua" w:hAnsi="Book Antiqua" w:cs="Times New Roman"/>
        </w:rPr>
        <w:t xml:space="preserve">Health security financing </w:t>
      </w:r>
      <w:r w:rsidR="00472181">
        <w:rPr>
          <w:rFonts w:ascii="Book Antiqua" w:hAnsi="Book Antiqua" w:cs="Times New Roman"/>
        </w:rPr>
        <w:t xml:space="preserve">and institutional </w:t>
      </w:r>
      <w:r w:rsidRPr="007122DF">
        <w:rPr>
          <w:rFonts w:ascii="Book Antiqua" w:hAnsi="Book Antiqua" w:cs="Times New Roman"/>
        </w:rPr>
        <w:t xml:space="preserve">assessment piloted in selected countries </w:t>
      </w:r>
    </w:p>
    <w:p w14:paraId="75620CDF" w14:textId="1CB474AA" w:rsidR="007122DF" w:rsidRDefault="00472181" w:rsidP="00472181">
      <w:pPr>
        <w:pStyle w:val="Normal0"/>
        <w:numPr>
          <w:ilvl w:val="0"/>
          <w:numId w:val="29"/>
        </w:numPr>
        <w:spacing w:after="0" w:line="240" w:lineRule="auto"/>
        <w:ind w:left="806" w:hanging="446"/>
        <w:jc w:val="both"/>
        <w:rPr>
          <w:rFonts w:ascii="Book Antiqua" w:hAnsi="Book Antiqua" w:cs="Times New Roman"/>
          <w:lang w:val="en-AU"/>
        </w:rPr>
      </w:pPr>
      <w:r>
        <w:rPr>
          <w:rFonts w:ascii="Book Antiqua" w:hAnsi="Book Antiqua" w:cs="Times New Roman"/>
        </w:rPr>
        <w:t>Health security plans developed in four countries</w:t>
      </w:r>
    </w:p>
    <w:p w14:paraId="51EC5CEC" w14:textId="77777777" w:rsidR="00472181" w:rsidRPr="00472181" w:rsidRDefault="00472181" w:rsidP="00472181">
      <w:pPr>
        <w:pStyle w:val="Normal0"/>
        <w:spacing w:after="0" w:line="240" w:lineRule="auto"/>
        <w:ind w:left="806"/>
        <w:jc w:val="both"/>
        <w:rPr>
          <w:rFonts w:ascii="Book Antiqua" w:hAnsi="Book Antiqua" w:cs="Times New Roman"/>
          <w:lang w:val="en-AU"/>
        </w:rPr>
      </w:pPr>
    </w:p>
    <w:p w14:paraId="10E9E9D2" w14:textId="49950809" w:rsidR="005A721E" w:rsidRPr="007122DF" w:rsidRDefault="005A721E" w:rsidP="007122DF">
      <w:pPr>
        <w:pStyle w:val="Normal0"/>
        <w:spacing w:after="240" w:line="240" w:lineRule="auto"/>
        <w:jc w:val="both"/>
        <w:rPr>
          <w:rFonts w:ascii="Book Antiqua" w:hAnsi="Book Antiqua" w:cs="Times New Roman"/>
          <w:i/>
          <w:lang w:val="en-AU"/>
        </w:rPr>
      </w:pPr>
      <w:r w:rsidRPr="007122DF">
        <w:rPr>
          <w:rFonts w:ascii="Book Antiqua" w:hAnsi="Book Antiqua" w:cs="Times New Roman"/>
          <w:i/>
          <w:lang w:val="en-AU"/>
        </w:rPr>
        <w:t xml:space="preserve">Activities: </w:t>
      </w:r>
    </w:p>
    <w:p w14:paraId="78BBE54B" w14:textId="77777777" w:rsidR="005A721E" w:rsidRPr="007122DF" w:rsidRDefault="005A721E" w:rsidP="007122DF">
      <w:pPr>
        <w:pStyle w:val="Normal0"/>
        <w:numPr>
          <w:ilvl w:val="0"/>
          <w:numId w:val="30"/>
        </w:numPr>
        <w:spacing w:after="240" w:line="240" w:lineRule="auto"/>
        <w:jc w:val="both"/>
        <w:rPr>
          <w:rFonts w:ascii="Book Antiqua" w:hAnsi="Book Antiqua" w:cs="Times New Roman"/>
          <w:lang w:val="en-AU"/>
        </w:rPr>
      </w:pPr>
      <w:r w:rsidRPr="007122DF">
        <w:rPr>
          <w:rFonts w:ascii="Book Antiqua" w:hAnsi="Book Antiqua" w:cs="Times New Roman"/>
          <w:lang w:val="en-AU"/>
        </w:rPr>
        <w:t>Develop and pilot a health security financing assessment tool looking at both human and animal health. The health security financing assessment will take into account the results of the JEE and PVS Pathway tools, the broader WHO monitoring and evaluation framework and WHO-OIE tool for assessment of capacities at the human-animal health interface as well as the operational framework for good governance at human-animal health interface. The assessments will focus on the collection and compilation of data on pandemic preparedness financing flows; service delivery by source, revenue generation, external resources; and adequacy of resources for preparedness response and recovery and cross border aspects/regional public goods financing gaps. The assessments will also examine allocative and technical efficiency (including investments in supplies, vaccines, research, surveillance, laboratory networks and cross border areas), pooling, predictability, and resource mobilization. With regards to financial and institutional sustainability, the assessments will examine political commitment to support the broader pandemic preparedness agenda, fiscal space, and prioritization for preparedness and emergency response including how pandemic preparedness is linked to overall disaster risk management through an all-hazards approach. Country reports will be disseminated and discussed with Ministries of Finance, Planning, and other stakeholders.</w:t>
      </w:r>
    </w:p>
    <w:p w14:paraId="5B585D70" w14:textId="77777777" w:rsidR="005A721E" w:rsidRPr="007122DF" w:rsidRDefault="005A721E" w:rsidP="007122DF">
      <w:pPr>
        <w:pStyle w:val="Normal0"/>
        <w:numPr>
          <w:ilvl w:val="0"/>
          <w:numId w:val="30"/>
        </w:numPr>
        <w:spacing w:after="240" w:line="240" w:lineRule="auto"/>
        <w:jc w:val="both"/>
        <w:rPr>
          <w:rFonts w:ascii="Book Antiqua" w:hAnsi="Book Antiqua" w:cs="Times New Roman"/>
          <w:lang w:val="en-AU"/>
        </w:rPr>
      </w:pPr>
      <w:r w:rsidRPr="007122DF">
        <w:rPr>
          <w:rFonts w:ascii="Book Antiqua" w:hAnsi="Book Antiqua" w:cs="Times New Roman"/>
          <w:lang w:val="en-AU"/>
        </w:rPr>
        <w:lastRenderedPageBreak/>
        <w:t>Support countries to conduct institutional assessments that will look at both regional and national institutions coordinating and implementing pandemic preparedness plans.</w:t>
      </w:r>
      <w:r w:rsidRPr="007122DF">
        <w:rPr>
          <w:rFonts w:ascii="Book Antiqua" w:hAnsi="Book Antiqua" w:cs="Times New Roman"/>
          <w:b/>
          <w:lang w:val="en-AU"/>
        </w:rPr>
        <w:t xml:space="preserve"> </w:t>
      </w:r>
      <w:r w:rsidRPr="007122DF">
        <w:rPr>
          <w:rFonts w:ascii="Book Antiqua" w:hAnsi="Book Antiqua" w:cs="Times New Roman"/>
          <w:lang w:val="en-AU"/>
        </w:rPr>
        <w:t xml:space="preserve">In the context of financing, assessments will focus on coordination of donor support,  political economy and commitment for pandemic preparedness, pandemic preparedness governance, multi-sectoral collaboration and coordination mechanisms, public financial management, human resources management, supply chain management including strategic procurement and stockpiling, standard operating procedures for cross border and inter agency collaboration, communication strategies, legal and regulatory frameworks in the context of financing, sub-national level and community involvement. </w:t>
      </w:r>
    </w:p>
    <w:p w14:paraId="680580CE" w14:textId="5967540C" w:rsidR="005A721E" w:rsidRPr="007122DF" w:rsidRDefault="005A721E" w:rsidP="007122DF">
      <w:pPr>
        <w:pStyle w:val="Normal0"/>
        <w:numPr>
          <w:ilvl w:val="0"/>
          <w:numId w:val="30"/>
        </w:numPr>
        <w:spacing w:after="240" w:line="240" w:lineRule="auto"/>
        <w:jc w:val="both"/>
        <w:rPr>
          <w:rFonts w:ascii="Book Antiqua" w:hAnsi="Book Antiqua" w:cs="Times New Roman"/>
          <w:lang w:val="en-AU"/>
        </w:rPr>
      </w:pPr>
      <w:r w:rsidRPr="007122DF">
        <w:rPr>
          <w:rFonts w:ascii="Book Antiqua" w:hAnsi="Book Antiqua" w:cs="Times New Roman"/>
          <w:lang w:val="en-AU"/>
        </w:rPr>
        <w:t xml:space="preserve">Conduct annual regional consultations with other international partners, relevant regional entities, Ministries of Finance, Ministries of Foreign Affairs, Ministries engaged in environment, both human and animal health (domestic and wild animals), private sector and civil society stakeholders to review cross country assessments and advocate to increase political commitment to increase domestic resources and explore innovative financing including risk insurance for pandemic preparedness. Inter-regional knowledge exchanges can be a valuable vehicle to motivate countries to invest more in improving pandemic preparedness. </w:t>
      </w:r>
    </w:p>
    <w:p w14:paraId="6C103B94" w14:textId="4927CCCC" w:rsidR="005A721E" w:rsidRPr="007122DF" w:rsidRDefault="005A721E" w:rsidP="007122DF">
      <w:pPr>
        <w:pStyle w:val="Normal0"/>
        <w:numPr>
          <w:ilvl w:val="0"/>
          <w:numId w:val="30"/>
        </w:numPr>
        <w:spacing w:after="240" w:line="240" w:lineRule="auto"/>
        <w:jc w:val="both"/>
        <w:rPr>
          <w:rFonts w:ascii="Book Antiqua" w:hAnsi="Book Antiqua" w:cs="Times New Roman"/>
          <w:lang w:val="en-AU"/>
        </w:rPr>
      </w:pPr>
      <w:r w:rsidRPr="007122DF">
        <w:rPr>
          <w:rFonts w:ascii="Book Antiqua" w:hAnsi="Book Antiqua" w:cs="Times New Roman"/>
          <w:lang w:val="en-AU"/>
        </w:rPr>
        <w:t>Establish a Technical Task Force</w:t>
      </w:r>
      <w:r w:rsidRPr="007122DF">
        <w:rPr>
          <w:rStyle w:val="FootnoteReference"/>
          <w:rFonts w:ascii="Book Antiqua" w:hAnsi="Book Antiqua" w:cs="Times New Roman"/>
          <w:lang w:val="en-AU"/>
        </w:rPr>
        <w:footnoteReference w:id="8"/>
      </w:r>
      <w:r w:rsidRPr="007122DF">
        <w:rPr>
          <w:rFonts w:ascii="Book Antiqua" w:hAnsi="Book Antiqua" w:cs="Times New Roman"/>
          <w:lang w:val="en-AU"/>
        </w:rPr>
        <w:t xml:space="preserve"> to coordinate and provide technical inputs for this initiative.  </w:t>
      </w:r>
      <w:r w:rsidRPr="007122DF">
        <w:rPr>
          <w:rFonts w:ascii="Book Antiqua" w:hAnsi="Book Antiqua" w:cs="Times New Roman"/>
        </w:rPr>
        <w:t>The objectives of the Technical Task Force include the following: (i) Guide and coordinate technical support for developing the health security financing assessment tool (HSFAT); (ii) Strengthen advocacy at country and regional levels to enhance political commitment and leadership and identify regional champions; and (iii) Serve as an advisory group to support interpretation of the results of health security financing assessment and make adjustments to the tool and process.  The main deliverables for the Task Force are the development of a pandemic preparedness financing assessment tool and a set of proposed indicators and questions on a 20</w:t>
      </w:r>
      <w:r w:rsidRPr="007122DF">
        <w:rPr>
          <w:rFonts w:ascii="Book Antiqua" w:hAnsi="Book Antiqua" w:cs="Times New Roman"/>
          <w:vertAlign w:val="superscript"/>
        </w:rPr>
        <w:t>th</w:t>
      </w:r>
      <w:r w:rsidRPr="007122DF">
        <w:rPr>
          <w:rFonts w:ascii="Book Antiqua" w:hAnsi="Book Antiqua" w:cs="Times New Roman"/>
        </w:rPr>
        <w:t xml:space="preserve"> JEE technical area.  The 20</w:t>
      </w:r>
      <w:r w:rsidRPr="007122DF">
        <w:rPr>
          <w:rFonts w:ascii="Book Antiqua" w:hAnsi="Book Antiqua" w:cs="Times New Roman"/>
          <w:vertAlign w:val="superscript"/>
        </w:rPr>
        <w:t>th</w:t>
      </w:r>
      <w:r w:rsidRPr="007122DF">
        <w:rPr>
          <w:rFonts w:ascii="Book Antiqua" w:hAnsi="Book Antiqua" w:cs="Times New Roman"/>
        </w:rPr>
        <w:t xml:space="preserve"> technical area would function as a primer to the implementation of the HSFAT tool.  </w:t>
      </w:r>
      <w:r w:rsidRPr="007122DF">
        <w:rPr>
          <w:rFonts w:ascii="Book Antiqua" w:hAnsi="Book Antiqua" w:cs="Times New Roman"/>
          <w:lang w:val="en-AU"/>
        </w:rPr>
        <w:t xml:space="preserve">The Task Force will meet bi-annually to review progress, address implementation challenges, and discuss emerging issues. </w:t>
      </w:r>
    </w:p>
    <w:p w14:paraId="5C470C5D" w14:textId="14607FEF" w:rsidR="00AE3487" w:rsidRPr="007122DF" w:rsidRDefault="007122DF" w:rsidP="007122DF">
      <w:pPr>
        <w:spacing w:after="240" w:line="240" w:lineRule="auto"/>
        <w:jc w:val="both"/>
        <w:rPr>
          <w:rFonts w:ascii="Book Antiqua" w:hAnsi="Book Antiqua" w:cs="Times New Roman"/>
          <w:lang w:val="en-AU"/>
        </w:rPr>
      </w:pPr>
      <w:r>
        <w:rPr>
          <w:rFonts w:ascii="Book Antiqua" w:hAnsi="Book Antiqua" w:cs="Times New Roman"/>
          <w:lang w:val="en-AU"/>
        </w:rPr>
        <w:t>The overall three-</w:t>
      </w:r>
      <w:r w:rsidR="00AE3487" w:rsidRPr="007122DF">
        <w:rPr>
          <w:rFonts w:ascii="Book Antiqua" w:hAnsi="Book Antiqua" w:cs="Times New Roman"/>
          <w:lang w:val="en-AU"/>
        </w:rPr>
        <w:t>year budget for this activity will be AUD$4 million.</w:t>
      </w:r>
    </w:p>
    <w:p w14:paraId="53D462A1" w14:textId="77777777" w:rsidR="007122DF" w:rsidRDefault="007122DF">
      <w:pPr>
        <w:rPr>
          <w:rFonts w:ascii="Book Antiqua" w:hAnsi="Book Antiqua" w:cs="Times New Roman"/>
          <w:b/>
          <w:i/>
          <w:lang w:val="en-AU"/>
        </w:rPr>
      </w:pPr>
      <w:r>
        <w:rPr>
          <w:rFonts w:ascii="Book Antiqua" w:hAnsi="Book Antiqua" w:cs="Times New Roman"/>
          <w:b/>
          <w:i/>
          <w:lang w:val="en-AU"/>
        </w:rPr>
        <w:br w:type="page"/>
      </w:r>
    </w:p>
    <w:p w14:paraId="073662A9" w14:textId="6E231B1F" w:rsidR="005935E4" w:rsidRPr="007122DF" w:rsidRDefault="0037662D" w:rsidP="007122DF">
      <w:pPr>
        <w:pStyle w:val="ListParagraph"/>
        <w:spacing w:after="240" w:line="240" w:lineRule="auto"/>
        <w:ind w:left="0"/>
        <w:jc w:val="both"/>
        <w:rPr>
          <w:rFonts w:ascii="Book Antiqua" w:hAnsi="Book Antiqua" w:cs="Times New Roman"/>
          <w:b/>
          <w:i/>
          <w:lang w:val="en-AU"/>
        </w:rPr>
      </w:pPr>
      <w:r w:rsidRPr="007122DF">
        <w:rPr>
          <w:rFonts w:ascii="Book Antiqua" w:hAnsi="Book Antiqua" w:cs="Times New Roman"/>
          <w:b/>
          <w:i/>
          <w:lang w:val="en-AU"/>
        </w:rPr>
        <w:lastRenderedPageBreak/>
        <w:t>Pil</w:t>
      </w:r>
      <w:r w:rsidR="00171A38" w:rsidRPr="007122DF">
        <w:rPr>
          <w:rFonts w:ascii="Book Antiqua" w:hAnsi="Book Antiqua" w:cs="Times New Roman"/>
          <w:b/>
          <w:i/>
          <w:lang w:val="en-AU"/>
        </w:rPr>
        <w:t>l</w:t>
      </w:r>
      <w:r w:rsidRPr="007122DF">
        <w:rPr>
          <w:rFonts w:ascii="Book Antiqua" w:hAnsi="Book Antiqua" w:cs="Times New Roman"/>
          <w:b/>
          <w:i/>
          <w:lang w:val="en-AU"/>
        </w:rPr>
        <w:t xml:space="preserve">ar II: Technical </w:t>
      </w:r>
      <w:r w:rsidR="007A5839" w:rsidRPr="007122DF">
        <w:rPr>
          <w:rFonts w:ascii="Book Antiqua" w:hAnsi="Book Antiqua" w:cs="Times New Roman"/>
          <w:b/>
          <w:i/>
          <w:lang w:val="en-AU"/>
        </w:rPr>
        <w:t>Assistance and C</w:t>
      </w:r>
      <w:r w:rsidRPr="007122DF">
        <w:rPr>
          <w:rFonts w:ascii="Book Antiqua" w:hAnsi="Book Antiqua" w:cs="Times New Roman"/>
          <w:b/>
          <w:i/>
          <w:lang w:val="en-AU"/>
        </w:rPr>
        <w:t>apacity Building</w:t>
      </w:r>
    </w:p>
    <w:p w14:paraId="1B082134" w14:textId="21DBB568" w:rsidR="005A721E" w:rsidRDefault="005A721E" w:rsidP="007122DF">
      <w:pPr>
        <w:pStyle w:val="Normal0"/>
        <w:spacing w:after="240" w:line="240" w:lineRule="auto"/>
        <w:contextualSpacing/>
        <w:jc w:val="both"/>
        <w:rPr>
          <w:rFonts w:ascii="Book Antiqua" w:hAnsi="Book Antiqua" w:cs="Times New Roman"/>
          <w:lang w:val="en-AU"/>
        </w:rPr>
      </w:pPr>
      <w:r w:rsidRPr="007122DF">
        <w:rPr>
          <w:rFonts w:ascii="Book Antiqua" w:hAnsi="Book Antiqua" w:cs="Times New Roman"/>
          <w:lang w:val="en-AU"/>
        </w:rPr>
        <w:t xml:space="preserve">The focus of this pillar is to address the issues identified in pillar 1 in priority countries. Technical assistance will be provided to foster regional collaboration, develop political commitment for sustainable financing, and build capacity of regional and national institutions. </w:t>
      </w:r>
    </w:p>
    <w:p w14:paraId="04CB09E3" w14:textId="77777777" w:rsidR="007122DF" w:rsidRPr="007122DF" w:rsidRDefault="007122DF" w:rsidP="007122DF">
      <w:pPr>
        <w:pStyle w:val="Normal0"/>
        <w:spacing w:after="240" w:line="240" w:lineRule="auto"/>
        <w:contextualSpacing/>
        <w:jc w:val="both"/>
        <w:rPr>
          <w:rFonts w:ascii="Book Antiqua" w:hAnsi="Book Antiqua" w:cs="Times New Roman"/>
          <w:lang w:val="en-AU"/>
        </w:rPr>
      </w:pPr>
    </w:p>
    <w:p w14:paraId="11078643" w14:textId="69FFF287" w:rsidR="005A721E" w:rsidRPr="007122DF" w:rsidRDefault="005A721E" w:rsidP="007122DF">
      <w:pPr>
        <w:pStyle w:val="Normal0"/>
        <w:spacing w:after="240" w:line="240" w:lineRule="auto"/>
        <w:jc w:val="both"/>
        <w:rPr>
          <w:rFonts w:ascii="Book Antiqua" w:hAnsi="Book Antiqua" w:cs="Times New Roman"/>
          <w:i/>
          <w:lang w:val="en-AU"/>
        </w:rPr>
      </w:pPr>
      <w:r w:rsidRPr="007122DF">
        <w:rPr>
          <w:rFonts w:ascii="Book Antiqua" w:hAnsi="Book Antiqua" w:cs="Times New Roman"/>
          <w:i/>
          <w:lang w:val="en-AU"/>
        </w:rPr>
        <w:t xml:space="preserve">Outputs: </w:t>
      </w:r>
    </w:p>
    <w:p w14:paraId="68B6618C" w14:textId="77777777" w:rsidR="005A721E" w:rsidRPr="007122DF" w:rsidRDefault="005A721E" w:rsidP="007122DF">
      <w:pPr>
        <w:pStyle w:val="Normal0"/>
        <w:numPr>
          <w:ilvl w:val="0"/>
          <w:numId w:val="31"/>
        </w:numPr>
        <w:spacing w:after="120" w:line="240" w:lineRule="auto"/>
        <w:jc w:val="both"/>
        <w:rPr>
          <w:rFonts w:ascii="Book Antiqua" w:hAnsi="Book Antiqua" w:cs="Times New Roman"/>
        </w:rPr>
      </w:pPr>
      <w:r w:rsidRPr="007122DF">
        <w:rPr>
          <w:rFonts w:ascii="Book Antiqua" w:hAnsi="Book Antiqua" w:cs="Times New Roman"/>
        </w:rPr>
        <w:t>Integrated pandemic preparedness financing and plans in place in priority countries</w:t>
      </w:r>
    </w:p>
    <w:p w14:paraId="37C93451" w14:textId="77777777" w:rsidR="005A721E" w:rsidRPr="007122DF" w:rsidRDefault="005A721E" w:rsidP="007122DF">
      <w:pPr>
        <w:pStyle w:val="Normal0"/>
        <w:numPr>
          <w:ilvl w:val="0"/>
          <w:numId w:val="31"/>
        </w:numPr>
        <w:spacing w:after="120" w:line="240" w:lineRule="auto"/>
        <w:jc w:val="both"/>
        <w:rPr>
          <w:rFonts w:ascii="Book Antiqua" w:hAnsi="Book Antiqua" w:cs="Times New Roman"/>
        </w:rPr>
      </w:pPr>
      <w:r w:rsidRPr="007122DF">
        <w:rPr>
          <w:rFonts w:ascii="Book Antiqua" w:hAnsi="Book Antiqua" w:cs="Times New Roman"/>
        </w:rPr>
        <w:t xml:space="preserve">Pandemic preparedness financing advocacy strategies developed </w:t>
      </w:r>
    </w:p>
    <w:p w14:paraId="3CE8D5F3" w14:textId="77777777" w:rsidR="005A721E" w:rsidRPr="007122DF" w:rsidRDefault="005A721E" w:rsidP="007122DF">
      <w:pPr>
        <w:pStyle w:val="Normal0"/>
        <w:spacing w:after="120" w:line="240" w:lineRule="auto"/>
        <w:jc w:val="both"/>
        <w:rPr>
          <w:rFonts w:ascii="Book Antiqua" w:hAnsi="Book Antiqua" w:cs="Times New Roman"/>
          <w:i/>
          <w:lang w:val="en-AU"/>
        </w:rPr>
      </w:pPr>
      <w:r w:rsidRPr="007122DF">
        <w:rPr>
          <w:rFonts w:ascii="Book Antiqua" w:hAnsi="Book Antiqua" w:cs="Times New Roman"/>
          <w:i/>
          <w:lang w:val="en-AU"/>
        </w:rPr>
        <w:t xml:space="preserve">Activities: </w:t>
      </w:r>
    </w:p>
    <w:p w14:paraId="4B64B2E7" w14:textId="77777777" w:rsidR="005A721E" w:rsidRPr="007122DF" w:rsidRDefault="005A721E" w:rsidP="007122DF">
      <w:pPr>
        <w:pStyle w:val="Normal0"/>
        <w:numPr>
          <w:ilvl w:val="0"/>
          <w:numId w:val="32"/>
        </w:numPr>
        <w:spacing w:after="120" w:line="240" w:lineRule="auto"/>
        <w:jc w:val="both"/>
        <w:rPr>
          <w:rFonts w:ascii="Book Antiqua" w:hAnsi="Book Antiqua" w:cs="Times New Roman"/>
          <w:lang w:val="en-AU"/>
        </w:rPr>
      </w:pPr>
      <w:r w:rsidRPr="007122DF">
        <w:rPr>
          <w:rFonts w:ascii="Book Antiqua" w:hAnsi="Book Antiqua" w:cs="Times New Roman"/>
          <w:lang w:val="en-AU"/>
        </w:rPr>
        <w:t xml:space="preserve">Conduct a series of capacity building events to improve skills in financial planning, tracking and monitoring and evaluation.   </w:t>
      </w:r>
    </w:p>
    <w:p w14:paraId="713029C6" w14:textId="77777777" w:rsidR="005A721E" w:rsidRPr="007122DF" w:rsidRDefault="005A721E" w:rsidP="007122DF">
      <w:pPr>
        <w:pStyle w:val="Normal0"/>
        <w:numPr>
          <w:ilvl w:val="0"/>
          <w:numId w:val="32"/>
        </w:numPr>
        <w:spacing w:after="120" w:line="240" w:lineRule="auto"/>
        <w:jc w:val="both"/>
        <w:rPr>
          <w:rFonts w:ascii="Book Antiqua" w:hAnsi="Book Antiqua" w:cs="Times New Roman"/>
          <w:lang w:val="en-AU"/>
        </w:rPr>
      </w:pPr>
      <w:r w:rsidRPr="007122DF">
        <w:rPr>
          <w:rFonts w:ascii="Book Antiqua" w:hAnsi="Book Antiqua" w:cs="Times New Roman"/>
          <w:lang w:val="en-AU"/>
        </w:rPr>
        <w:t xml:space="preserve">Provide technical support to regional economic organizations and develop advocacy strategies and tools to increase political commitment and strengthen leadership of ministries of finance and planning.  </w:t>
      </w:r>
    </w:p>
    <w:p w14:paraId="5FBF734F" w14:textId="77777777" w:rsidR="005A721E" w:rsidRPr="007122DF" w:rsidRDefault="005A721E" w:rsidP="007122DF">
      <w:pPr>
        <w:pStyle w:val="Normal0"/>
        <w:numPr>
          <w:ilvl w:val="0"/>
          <w:numId w:val="32"/>
        </w:numPr>
        <w:spacing w:after="120" w:line="240" w:lineRule="auto"/>
        <w:jc w:val="both"/>
        <w:rPr>
          <w:rFonts w:ascii="Book Antiqua" w:hAnsi="Book Antiqua" w:cs="Times New Roman"/>
          <w:lang w:val="en-AU"/>
        </w:rPr>
      </w:pPr>
      <w:r w:rsidRPr="007122DF">
        <w:rPr>
          <w:rFonts w:ascii="Book Antiqua" w:hAnsi="Book Antiqua" w:cs="Times New Roman"/>
          <w:lang w:val="en-AU"/>
        </w:rPr>
        <w:t>Support joint planning, implementation, monitoring and evaluation across countries, encouraging mutual accountability and pooled financing for cross-border issues.</w:t>
      </w:r>
    </w:p>
    <w:p w14:paraId="4EB78A92" w14:textId="77777777" w:rsidR="005A721E" w:rsidRPr="007122DF" w:rsidRDefault="005A721E" w:rsidP="007122DF">
      <w:pPr>
        <w:pStyle w:val="Normal0"/>
        <w:numPr>
          <w:ilvl w:val="0"/>
          <w:numId w:val="32"/>
        </w:numPr>
        <w:spacing w:after="120" w:line="240" w:lineRule="auto"/>
        <w:jc w:val="both"/>
        <w:rPr>
          <w:rFonts w:ascii="Book Antiqua" w:hAnsi="Book Antiqua" w:cs="Times New Roman"/>
          <w:lang w:val="en-AU"/>
        </w:rPr>
      </w:pPr>
      <w:r w:rsidRPr="007122DF">
        <w:rPr>
          <w:rFonts w:ascii="Book Antiqua" w:hAnsi="Book Antiqua" w:cs="Times New Roman"/>
          <w:lang w:val="en-AU"/>
        </w:rPr>
        <w:t>Engage with regional economic organizations and countries with a view to setting up a sub-regional pandemic preparedness operation in 3 EAP countries.</w:t>
      </w:r>
    </w:p>
    <w:p w14:paraId="53CAA2CA" w14:textId="77777777" w:rsidR="005A721E" w:rsidRPr="007122DF" w:rsidRDefault="005A721E" w:rsidP="007122DF">
      <w:pPr>
        <w:pStyle w:val="Normal0"/>
        <w:numPr>
          <w:ilvl w:val="0"/>
          <w:numId w:val="32"/>
        </w:numPr>
        <w:spacing w:after="120" w:line="240" w:lineRule="auto"/>
        <w:jc w:val="both"/>
        <w:rPr>
          <w:rFonts w:ascii="Book Antiqua" w:hAnsi="Book Antiqua" w:cs="Times New Roman"/>
          <w:lang w:val="en-AU"/>
        </w:rPr>
      </w:pPr>
      <w:r w:rsidRPr="007122DF">
        <w:rPr>
          <w:rFonts w:ascii="Book Antiqua" w:hAnsi="Book Antiqua" w:cs="Times New Roman"/>
          <w:lang w:val="en-AU"/>
        </w:rPr>
        <w:t>Support countries to develop pandemic preparedness strategies and plans as well as capacity development plans post JEE assessments:  The Joint External Evaluations conducted by WHO will establish baselines and identify areas of underinvestment and capacity gaps. This will be bridged with the PVS and gap analysis conducted by OIE</w:t>
      </w:r>
      <w:r w:rsidRPr="007122DF">
        <w:rPr>
          <w:rStyle w:val="FootnoteReference"/>
          <w:rFonts w:ascii="Book Antiqua" w:hAnsi="Book Antiqua" w:cs="Times New Roman"/>
          <w:lang w:val="en-AU"/>
        </w:rPr>
        <w:footnoteReference w:id="9"/>
      </w:r>
      <w:r w:rsidRPr="007122DF">
        <w:rPr>
          <w:rFonts w:ascii="Book Antiqua" w:hAnsi="Book Antiqua" w:cs="Times New Roman"/>
          <w:vertAlign w:val="superscript"/>
          <w:lang w:val="en-AU"/>
        </w:rPr>
        <w:t>,</w:t>
      </w:r>
      <w:r w:rsidRPr="007122DF">
        <w:rPr>
          <w:rStyle w:val="FootnoteReference"/>
          <w:rFonts w:ascii="Book Antiqua" w:hAnsi="Book Antiqua" w:cs="Times New Roman"/>
          <w:lang w:val="en-AU"/>
        </w:rPr>
        <w:footnoteReference w:id="10"/>
      </w:r>
      <w:r w:rsidRPr="007122DF">
        <w:rPr>
          <w:rFonts w:ascii="Book Antiqua" w:hAnsi="Book Antiqua" w:cs="Times New Roman"/>
          <w:lang w:val="en-AU"/>
        </w:rPr>
        <w:t>.</w:t>
      </w:r>
    </w:p>
    <w:p w14:paraId="1FD3FFD1" w14:textId="77777777" w:rsidR="005A721E" w:rsidRPr="007122DF" w:rsidRDefault="005A721E" w:rsidP="007122DF">
      <w:pPr>
        <w:pStyle w:val="Normal0"/>
        <w:numPr>
          <w:ilvl w:val="0"/>
          <w:numId w:val="32"/>
        </w:numPr>
        <w:spacing w:after="120" w:line="240" w:lineRule="auto"/>
        <w:jc w:val="both"/>
        <w:rPr>
          <w:rFonts w:ascii="Book Antiqua" w:hAnsi="Book Antiqua" w:cs="Times New Roman"/>
          <w:lang w:val="en-AU"/>
        </w:rPr>
      </w:pPr>
      <w:r w:rsidRPr="007122DF">
        <w:rPr>
          <w:rFonts w:ascii="Book Antiqua" w:hAnsi="Book Antiqua" w:cs="Times New Roman"/>
          <w:lang w:val="en-AU"/>
        </w:rPr>
        <w:t xml:space="preserve">Strengthen multisectoral coordination for improving one health and whole-of-society approaches to pandemic preparedness </w:t>
      </w:r>
    </w:p>
    <w:p w14:paraId="04616EAF" w14:textId="60CA9344" w:rsidR="00AE3487" w:rsidRPr="007122DF" w:rsidRDefault="005A721E" w:rsidP="007122DF">
      <w:pPr>
        <w:pStyle w:val="Normal0"/>
        <w:numPr>
          <w:ilvl w:val="0"/>
          <w:numId w:val="32"/>
        </w:numPr>
        <w:spacing w:after="120" w:line="240" w:lineRule="auto"/>
        <w:jc w:val="both"/>
        <w:rPr>
          <w:rFonts w:ascii="Book Antiqua" w:hAnsi="Book Antiqua" w:cs="Times New Roman"/>
          <w:lang w:val="en-AU"/>
        </w:rPr>
      </w:pPr>
      <w:r w:rsidRPr="007122DF">
        <w:rPr>
          <w:rFonts w:ascii="Book Antiqua" w:hAnsi="Book Antiqua" w:cs="Times New Roman"/>
          <w:lang w:val="en-AU"/>
        </w:rPr>
        <w:t>Provide technical support to improve planning capacity and improve allocative and technical efficiency.</w:t>
      </w:r>
    </w:p>
    <w:p w14:paraId="7DA9679B" w14:textId="77777777" w:rsidR="00AE3487" w:rsidRPr="007122DF" w:rsidRDefault="00AE3487" w:rsidP="007122DF">
      <w:pPr>
        <w:spacing w:after="120" w:line="240" w:lineRule="auto"/>
        <w:jc w:val="both"/>
        <w:rPr>
          <w:rFonts w:ascii="Book Antiqua" w:hAnsi="Book Antiqua" w:cs="Times New Roman"/>
          <w:lang w:val="en-AU"/>
        </w:rPr>
      </w:pPr>
      <w:r w:rsidRPr="007122DF">
        <w:rPr>
          <w:rFonts w:ascii="Book Antiqua" w:hAnsi="Book Antiqua" w:cs="Times New Roman"/>
          <w:lang w:val="en-AU"/>
        </w:rPr>
        <w:t xml:space="preserve">The overall budget for this pillar will be about AUD$2.5 million over three years. </w:t>
      </w:r>
    </w:p>
    <w:p w14:paraId="545DCE0B" w14:textId="4016DE38" w:rsidR="008223C7" w:rsidRPr="007122DF" w:rsidRDefault="00F92B4F" w:rsidP="007122DF">
      <w:pPr>
        <w:spacing w:after="240" w:line="240" w:lineRule="auto"/>
        <w:jc w:val="both"/>
        <w:rPr>
          <w:rFonts w:ascii="Book Antiqua" w:hAnsi="Book Antiqua" w:cs="Times New Roman"/>
          <w:b/>
          <w:i/>
          <w:lang w:val="en-AU"/>
        </w:rPr>
      </w:pPr>
      <w:r w:rsidRPr="007122DF">
        <w:rPr>
          <w:rFonts w:ascii="Book Antiqua" w:hAnsi="Book Antiqua" w:cs="Times New Roman"/>
          <w:b/>
          <w:i/>
          <w:lang w:val="en-AU"/>
        </w:rPr>
        <w:t>Pillar III</w:t>
      </w:r>
      <w:r w:rsidR="008223C7" w:rsidRPr="007122DF">
        <w:rPr>
          <w:rFonts w:ascii="Book Antiqua" w:hAnsi="Book Antiqua" w:cs="Times New Roman"/>
          <w:b/>
          <w:i/>
          <w:lang w:val="en-AU"/>
        </w:rPr>
        <w:t>:</w:t>
      </w:r>
      <w:r w:rsidR="001C0EEF" w:rsidRPr="007122DF">
        <w:rPr>
          <w:rFonts w:ascii="Book Antiqua" w:hAnsi="Book Antiqua" w:cs="Times New Roman"/>
          <w:b/>
          <w:i/>
          <w:lang w:val="en-AU"/>
        </w:rPr>
        <w:t xml:space="preserve">  </w:t>
      </w:r>
      <w:r w:rsidRPr="007122DF">
        <w:rPr>
          <w:rFonts w:ascii="Book Antiqua" w:hAnsi="Book Antiqua" w:cs="Times New Roman"/>
          <w:b/>
          <w:i/>
          <w:lang w:val="en-AU"/>
        </w:rPr>
        <w:t xml:space="preserve">Increase knowledge generation, innovation and learning: </w:t>
      </w:r>
    </w:p>
    <w:p w14:paraId="42A1DE8D" w14:textId="77777777" w:rsidR="000F0103" w:rsidRPr="007122DF" w:rsidRDefault="000F0103" w:rsidP="007122DF">
      <w:pPr>
        <w:pStyle w:val="Normal0"/>
        <w:spacing w:after="240" w:line="240" w:lineRule="auto"/>
        <w:jc w:val="both"/>
        <w:rPr>
          <w:rFonts w:ascii="Book Antiqua" w:hAnsi="Book Antiqua" w:cs="Times New Roman"/>
        </w:rPr>
      </w:pPr>
      <w:r w:rsidRPr="007122DF">
        <w:rPr>
          <w:rFonts w:ascii="Book Antiqua" w:hAnsi="Book Antiqua" w:cs="Times New Roman"/>
          <w:lang w:val="en-AU"/>
        </w:rPr>
        <w:t>Pillar III supports cross-country learning focusing on health security financing and regional collaboration.</w:t>
      </w:r>
      <w:r w:rsidRPr="007122DF">
        <w:rPr>
          <w:rFonts w:ascii="Book Antiqua" w:hAnsi="Book Antiqua" w:cs="Times New Roman"/>
        </w:rPr>
        <w:t xml:space="preserve"> Knowledge gaps will be identified and technical support provided to address these gaps. </w:t>
      </w:r>
    </w:p>
    <w:p w14:paraId="56E39F1D" w14:textId="77777777" w:rsidR="000F0103" w:rsidRPr="007122DF" w:rsidRDefault="000F0103" w:rsidP="007122DF">
      <w:pPr>
        <w:pStyle w:val="Normal0"/>
        <w:spacing w:after="120" w:line="240" w:lineRule="auto"/>
        <w:jc w:val="both"/>
        <w:rPr>
          <w:rFonts w:ascii="Book Antiqua" w:hAnsi="Book Antiqua" w:cs="Times New Roman"/>
          <w:b/>
          <w:i/>
        </w:rPr>
      </w:pPr>
      <w:r w:rsidRPr="007122DF">
        <w:rPr>
          <w:rFonts w:ascii="Book Antiqua" w:hAnsi="Book Antiqua" w:cs="Times New Roman"/>
          <w:b/>
          <w:i/>
        </w:rPr>
        <w:t xml:space="preserve">Outputs: </w:t>
      </w:r>
    </w:p>
    <w:p w14:paraId="755BF7D8" w14:textId="77777777" w:rsidR="000F0103" w:rsidRPr="007122DF" w:rsidRDefault="000F0103" w:rsidP="007122DF">
      <w:pPr>
        <w:pStyle w:val="Normal0"/>
        <w:numPr>
          <w:ilvl w:val="0"/>
          <w:numId w:val="34"/>
        </w:numPr>
        <w:spacing w:after="120" w:line="240" w:lineRule="auto"/>
        <w:jc w:val="both"/>
        <w:rPr>
          <w:rFonts w:ascii="Book Antiqua" w:hAnsi="Book Antiqua" w:cs="Times New Roman"/>
        </w:rPr>
      </w:pPr>
      <w:r w:rsidRPr="007122DF">
        <w:rPr>
          <w:rFonts w:ascii="Book Antiqua" w:hAnsi="Book Antiqua" w:cs="Times New Roman"/>
        </w:rPr>
        <w:t xml:space="preserve">Regional knowledge exchange events (both within and across the EAP region, as well as with other regions that share similar experiences) and platforms implemented </w:t>
      </w:r>
    </w:p>
    <w:p w14:paraId="64401147" w14:textId="77777777" w:rsidR="000F0103" w:rsidRPr="007122DF" w:rsidRDefault="000F0103" w:rsidP="007122DF">
      <w:pPr>
        <w:pStyle w:val="Normal0"/>
        <w:numPr>
          <w:ilvl w:val="0"/>
          <w:numId w:val="34"/>
        </w:numPr>
        <w:spacing w:after="120" w:line="240" w:lineRule="auto"/>
        <w:jc w:val="both"/>
        <w:rPr>
          <w:rFonts w:ascii="Book Antiqua" w:hAnsi="Book Antiqua" w:cs="Times New Roman"/>
        </w:rPr>
      </w:pPr>
      <w:r w:rsidRPr="007122DF">
        <w:rPr>
          <w:rFonts w:ascii="Book Antiqua" w:hAnsi="Book Antiqua" w:cs="Times New Roman"/>
        </w:rPr>
        <w:lastRenderedPageBreak/>
        <w:t xml:space="preserve">Knowledge products developed and disseminated </w:t>
      </w:r>
    </w:p>
    <w:p w14:paraId="08E3BBB8" w14:textId="77777777" w:rsidR="000F0103" w:rsidRPr="007122DF" w:rsidRDefault="000F0103" w:rsidP="007122DF">
      <w:pPr>
        <w:pStyle w:val="Normal0"/>
        <w:numPr>
          <w:ilvl w:val="0"/>
          <w:numId w:val="34"/>
        </w:numPr>
        <w:spacing w:after="120" w:line="240" w:lineRule="auto"/>
        <w:jc w:val="both"/>
        <w:rPr>
          <w:rFonts w:ascii="Book Antiqua" w:hAnsi="Book Antiqua" w:cs="Times New Roman"/>
        </w:rPr>
      </w:pPr>
      <w:r w:rsidRPr="007122DF">
        <w:rPr>
          <w:rFonts w:ascii="Book Antiqua" w:hAnsi="Book Antiqua" w:cs="Times New Roman"/>
        </w:rPr>
        <w:t xml:space="preserve">An investment case for health security financing developed </w:t>
      </w:r>
    </w:p>
    <w:p w14:paraId="23A53D0A" w14:textId="77777777" w:rsidR="000F0103" w:rsidRPr="007122DF" w:rsidRDefault="000F0103" w:rsidP="007122DF">
      <w:pPr>
        <w:pStyle w:val="Normal0"/>
        <w:numPr>
          <w:ilvl w:val="0"/>
          <w:numId w:val="34"/>
        </w:numPr>
        <w:spacing w:after="120" w:line="240" w:lineRule="auto"/>
        <w:jc w:val="both"/>
        <w:rPr>
          <w:rFonts w:ascii="Book Antiqua" w:hAnsi="Book Antiqua" w:cs="Times New Roman"/>
        </w:rPr>
      </w:pPr>
      <w:r w:rsidRPr="007122DF">
        <w:rPr>
          <w:rFonts w:ascii="Book Antiqua" w:hAnsi="Book Antiqua" w:cs="Times New Roman"/>
        </w:rPr>
        <w:t xml:space="preserve">Study tours conducted </w:t>
      </w:r>
    </w:p>
    <w:p w14:paraId="15236F25" w14:textId="77777777" w:rsidR="000F0103" w:rsidRPr="007122DF" w:rsidRDefault="000F0103" w:rsidP="007122DF">
      <w:pPr>
        <w:pStyle w:val="Normal0"/>
        <w:spacing w:after="120" w:line="240" w:lineRule="auto"/>
        <w:jc w:val="both"/>
        <w:rPr>
          <w:rFonts w:ascii="Book Antiqua" w:hAnsi="Book Antiqua" w:cs="Times New Roman"/>
          <w:b/>
          <w:i/>
        </w:rPr>
      </w:pPr>
      <w:r w:rsidRPr="007122DF">
        <w:rPr>
          <w:rFonts w:ascii="Book Antiqua" w:hAnsi="Book Antiqua" w:cs="Times New Roman"/>
          <w:b/>
          <w:i/>
        </w:rPr>
        <w:t xml:space="preserve">Activities: </w:t>
      </w:r>
    </w:p>
    <w:p w14:paraId="0B6B8F00" w14:textId="77777777" w:rsidR="000F0103" w:rsidRPr="007122DF" w:rsidRDefault="000F0103" w:rsidP="007122DF">
      <w:pPr>
        <w:pStyle w:val="Normal0"/>
        <w:numPr>
          <w:ilvl w:val="0"/>
          <w:numId w:val="33"/>
        </w:numPr>
        <w:spacing w:after="120" w:line="240" w:lineRule="auto"/>
        <w:jc w:val="both"/>
        <w:rPr>
          <w:rFonts w:ascii="Book Antiqua" w:hAnsi="Book Antiqua" w:cs="Times New Roman"/>
          <w:lang w:val="en-AU"/>
        </w:rPr>
      </w:pPr>
      <w:r w:rsidRPr="007122DF">
        <w:rPr>
          <w:rFonts w:ascii="Book Antiqua" w:hAnsi="Book Antiqua" w:cs="Times New Roman"/>
          <w:lang w:val="en-AU"/>
        </w:rPr>
        <w:t xml:space="preserve">Facilitate regional, cross-sectoral and cross country learning through joint training, curricula and tools, disseminating best practices, and sharing lessons learned. This will include working in partnership with regional organizations, selected countries, technical organizations such as WHO, FAO, OIE to support cross-boundary simulation of pandemic preparedness plans to monitor performance, apply lessons learned, and pilot innovations. </w:t>
      </w:r>
    </w:p>
    <w:p w14:paraId="38599B16" w14:textId="77777777" w:rsidR="000F0103" w:rsidRPr="007122DF" w:rsidRDefault="000F0103" w:rsidP="007122DF">
      <w:pPr>
        <w:pStyle w:val="Normal0"/>
        <w:numPr>
          <w:ilvl w:val="0"/>
          <w:numId w:val="33"/>
        </w:numPr>
        <w:spacing w:after="120" w:line="240" w:lineRule="auto"/>
        <w:jc w:val="both"/>
        <w:rPr>
          <w:rFonts w:ascii="Book Antiqua" w:hAnsi="Book Antiqua" w:cs="Times New Roman"/>
          <w:lang w:val="en-AU"/>
        </w:rPr>
      </w:pPr>
      <w:r w:rsidRPr="007122DF">
        <w:rPr>
          <w:rFonts w:ascii="Book Antiqua" w:hAnsi="Book Antiqua" w:cs="Times New Roman"/>
          <w:lang w:val="en-AU"/>
        </w:rPr>
        <w:t>Commission cross-sectoral analytical work</w:t>
      </w:r>
      <w:r w:rsidRPr="007122DF">
        <w:rPr>
          <w:rFonts w:ascii="Book Antiqua" w:hAnsi="Book Antiqua" w:cs="Times New Roman"/>
          <w:lang w:val="en-AU"/>
        </w:rPr>
        <w:sym w:font="Symbol" w:char="F020"/>
      </w:r>
      <w:r w:rsidRPr="007122DF">
        <w:rPr>
          <w:rFonts w:ascii="Book Antiqua" w:hAnsi="Book Antiqua" w:cs="Times New Roman"/>
          <w:lang w:val="en-AU"/>
        </w:rPr>
        <w:t xml:space="preserve">to address knowledge gaps and strengthen the evidence base for health security financing. </w:t>
      </w:r>
    </w:p>
    <w:p w14:paraId="609F7BA6" w14:textId="77777777" w:rsidR="000F0103" w:rsidRPr="007122DF" w:rsidRDefault="000F0103" w:rsidP="007122DF">
      <w:pPr>
        <w:pStyle w:val="Normal0"/>
        <w:numPr>
          <w:ilvl w:val="0"/>
          <w:numId w:val="32"/>
        </w:numPr>
        <w:spacing w:after="120" w:line="240" w:lineRule="auto"/>
        <w:jc w:val="both"/>
        <w:rPr>
          <w:rFonts w:ascii="Book Antiqua" w:hAnsi="Book Antiqua" w:cs="Times New Roman"/>
          <w:lang w:val="en-AU"/>
        </w:rPr>
      </w:pPr>
      <w:r w:rsidRPr="007122DF">
        <w:rPr>
          <w:rFonts w:ascii="Book Antiqua" w:hAnsi="Book Antiqua" w:cs="Times New Roman"/>
          <w:lang w:val="en-AU"/>
        </w:rPr>
        <w:t xml:space="preserve">Provide support for global, regional and national knowledge exchanges and forums. </w:t>
      </w:r>
    </w:p>
    <w:p w14:paraId="61577548" w14:textId="77777777" w:rsidR="000F0103" w:rsidRPr="007122DF" w:rsidRDefault="000F0103" w:rsidP="007122DF">
      <w:pPr>
        <w:pStyle w:val="Normal0"/>
        <w:numPr>
          <w:ilvl w:val="0"/>
          <w:numId w:val="32"/>
        </w:numPr>
        <w:spacing w:after="120" w:line="240" w:lineRule="auto"/>
        <w:jc w:val="both"/>
        <w:rPr>
          <w:rFonts w:ascii="Book Antiqua" w:hAnsi="Book Antiqua" w:cs="Times New Roman"/>
          <w:lang w:val="en-AU"/>
        </w:rPr>
      </w:pPr>
      <w:r w:rsidRPr="007122DF">
        <w:rPr>
          <w:rFonts w:ascii="Book Antiqua" w:hAnsi="Book Antiqua" w:cs="Times New Roman"/>
          <w:lang w:val="en-AU"/>
        </w:rPr>
        <w:t>Support consultative meetings on health security financing.</w:t>
      </w:r>
    </w:p>
    <w:p w14:paraId="733B2D29" w14:textId="77777777" w:rsidR="000F0103" w:rsidRPr="007122DF" w:rsidRDefault="000F0103" w:rsidP="007122DF">
      <w:pPr>
        <w:pStyle w:val="Normal0"/>
        <w:numPr>
          <w:ilvl w:val="0"/>
          <w:numId w:val="33"/>
        </w:numPr>
        <w:spacing w:after="120" w:line="240" w:lineRule="auto"/>
        <w:jc w:val="both"/>
        <w:rPr>
          <w:rFonts w:ascii="Book Antiqua" w:hAnsi="Book Antiqua" w:cs="Times New Roman"/>
          <w:lang w:val="en-AU"/>
        </w:rPr>
      </w:pPr>
      <w:r w:rsidRPr="007122DF">
        <w:rPr>
          <w:rFonts w:ascii="Book Antiqua" w:hAnsi="Book Antiqua" w:cs="Times New Roman"/>
          <w:lang w:val="en-AU"/>
        </w:rPr>
        <w:t>Convene regular partners’ meetings to discuss integration, collaboration and coordination on priority pandemic preparedness issues identified through financing assessments and to emphasize the links between pandemic preparedness and the macro-economy.</w:t>
      </w:r>
    </w:p>
    <w:p w14:paraId="40406E36" w14:textId="204E68D7" w:rsidR="000F0103" w:rsidRPr="007122DF" w:rsidRDefault="000F0103" w:rsidP="007122DF">
      <w:pPr>
        <w:pStyle w:val="Normal0"/>
        <w:numPr>
          <w:ilvl w:val="0"/>
          <w:numId w:val="33"/>
        </w:numPr>
        <w:spacing w:after="120" w:line="240" w:lineRule="auto"/>
        <w:jc w:val="both"/>
        <w:rPr>
          <w:rFonts w:ascii="Book Antiqua" w:hAnsi="Book Antiqua" w:cs="Times New Roman"/>
          <w:lang w:val="en-AU"/>
        </w:rPr>
      </w:pPr>
      <w:r w:rsidRPr="007122DF">
        <w:rPr>
          <w:rFonts w:ascii="Book Antiqua" w:hAnsi="Book Antiqua" w:cs="Times New Roman"/>
          <w:lang w:val="en-AU"/>
        </w:rPr>
        <w:t xml:space="preserve">Convene annual high-level regional meetings that bring together key countries and relevant stakeholders in the region to establish a regional platform for knowledge exchange and learning and maintain political commitment. </w:t>
      </w:r>
    </w:p>
    <w:p w14:paraId="2A75C172" w14:textId="77777777" w:rsidR="00AE3487" w:rsidRPr="007122DF" w:rsidRDefault="00AE3487" w:rsidP="007122DF">
      <w:pPr>
        <w:spacing w:after="120" w:line="240" w:lineRule="auto"/>
        <w:jc w:val="both"/>
        <w:rPr>
          <w:rFonts w:ascii="Book Antiqua" w:hAnsi="Book Antiqua" w:cs="Times New Roman"/>
          <w:lang w:val="en-AU"/>
        </w:rPr>
      </w:pPr>
      <w:r w:rsidRPr="007122DF">
        <w:rPr>
          <w:rFonts w:ascii="Book Antiqua" w:hAnsi="Book Antiqua" w:cs="Times New Roman"/>
          <w:lang w:val="en-AU"/>
        </w:rPr>
        <w:t>The overall budget for this component will be AUD$1.5 million.</w:t>
      </w:r>
    </w:p>
    <w:p w14:paraId="6A101830" w14:textId="77777777" w:rsidR="007122DF" w:rsidRDefault="007122DF" w:rsidP="007122DF">
      <w:pPr>
        <w:pStyle w:val="ListParagraph"/>
        <w:spacing w:after="240" w:line="240" w:lineRule="auto"/>
        <w:ind w:left="1080" w:hanging="1080"/>
        <w:jc w:val="both"/>
        <w:rPr>
          <w:rFonts w:ascii="Book Antiqua" w:hAnsi="Book Antiqua" w:cs="Times New Roman"/>
          <w:b/>
          <w:lang w:val="en-AU"/>
        </w:rPr>
      </w:pPr>
    </w:p>
    <w:p w14:paraId="7D0AF5CD" w14:textId="3225AAA4" w:rsidR="00905213" w:rsidRPr="007122DF" w:rsidRDefault="00905213" w:rsidP="007122DF">
      <w:pPr>
        <w:pStyle w:val="ListParagraph"/>
        <w:spacing w:after="240" w:line="240" w:lineRule="auto"/>
        <w:ind w:left="1080" w:hanging="1080"/>
        <w:jc w:val="both"/>
        <w:rPr>
          <w:rFonts w:ascii="Book Antiqua" w:hAnsi="Book Antiqua" w:cs="Times New Roman"/>
          <w:b/>
          <w:lang w:val="en-AU"/>
        </w:rPr>
      </w:pPr>
      <w:r w:rsidRPr="007122DF">
        <w:rPr>
          <w:rFonts w:ascii="Book Antiqua" w:hAnsi="Book Antiqua" w:cs="Times New Roman"/>
          <w:b/>
          <w:lang w:val="en-AU"/>
        </w:rPr>
        <w:t xml:space="preserve">Expected Results and Outcomes </w:t>
      </w:r>
    </w:p>
    <w:p w14:paraId="5C7F2A9F" w14:textId="68981002" w:rsidR="00730E93" w:rsidRPr="007122DF" w:rsidRDefault="005C00C4" w:rsidP="007122DF">
      <w:pPr>
        <w:autoSpaceDE w:val="0"/>
        <w:autoSpaceDN w:val="0"/>
        <w:adjustRightInd w:val="0"/>
        <w:spacing w:after="240" w:line="240" w:lineRule="auto"/>
        <w:jc w:val="both"/>
        <w:rPr>
          <w:rFonts w:ascii="Book Antiqua" w:hAnsi="Book Antiqua" w:cs="Times New Roman"/>
        </w:rPr>
      </w:pPr>
      <w:r w:rsidRPr="007122DF">
        <w:rPr>
          <w:rFonts w:ascii="Book Antiqua" w:hAnsi="Book Antiqua" w:cs="Times New Roman"/>
        </w:rPr>
        <w:t>R</w:t>
      </w:r>
      <w:r w:rsidR="00730E93" w:rsidRPr="007122DF">
        <w:rPr>
          <w:rFonts w:ascii="Book Antiqua" w:hAnsi="Book Antiqua" w:cs="Times New Roman"/>
        </w:rPr>
        <w:t>esults framework</w:t>
      </w:r>
    </w:p>
    <w:tbl>
      <w:tblPr>
        <w:tblStyle w:val="TableGrid20"/>
        <w:tblW w:w="0" w:type="auto"/>
        <w:jc w:val="center"/>
        <w:tblLook w:val="04A0" w:firstRow="1" w:lastRow="0" w:firstColumn="1" w:lastColumn="0" w:noHBand="0" w:noVBand="1"/>
      </w:tblPr>
      <w:tblGrid>
        <w:gridCol w:w="2317"/>
        <w:gridCol w:w="2589"/>
        <w:gridCol w:w="2581"/>
        <w:gridCol w:w="433"/>
        <w:gridCol w:w="1440"/>
      </w:tblGrid>
      <w:tr w:rsidR="005C00C4" w:rsidRPr="007122DF" w14:paraId="35D31767" w14:textId="77777777" w:rsidTr="007122DF">
        <w:trPr>
          <w:trHeight w:val="537"/>
          <w:jc w:val="center"/>
        </w:trPr>
        <w:tc>
          <w:tcPr>
            <w:tcW w:w="2317" w:type="dxa"/>
            <w:tcBorders>
              <w:top w:val="double" w:sz="4" w:space="0" w:color="auto"/>
              <w:left w:val="nil"/>
              <w:bottom w:val="double" w:sz="4" w:space="0" w:color="auto"/>
              <w:right w:val="nil"/>
            </w:tcBorders>
            <w:shd w:val="clear" w:color="auto" w:fill="BFBFBF" w:themeFill="background1" w:themeFillShade="BF"/>
          </w:tcPr>
          <w:p w14:paraId="4914E402" w14:textId="77777777" w:rsidR="005C00C4" w:rsidRPr="007122DF" w:rsidRDefault="005C00C4" w:rsidP="007122DF">
            <w:pPr>
              <w:pStyle w:val="Normal1"/>
              <w:widowControl w:val="0"/>
              <w:spacing w:after="240" w:line="240" w:lineRule="auto"/>
              <w:jc w:val="center"/>
              <w:rPr>
                <w:rFonts w:ascii="Book Antiqua" w:hAnsi="Book Antiqua" w:cs="Times New Roman"/>
                <w:b/>
                <w:sz w:val="18"/>
                <w:szCs w:val="18"/>
              </w:rPr>
            </w:pPr>
            <w:r w:rsidRPr="007122DF">
              <w:rPr>
                <w:rFonts w:ascii="Book Antiqua" w:hAnsi="Book Antiqua" w:cs="Times New Roman"/>
                <w:b/>
                <w:sz w:val="18"/>
                <w:szCs w:val="18"/>
              </w:rPr>
              <w:t>Development objective</w:t>
            </w:r>
          </w:p>
        </w:tc>
        <w:tc>
          <w:tcPr>
            <w:tcW w:w="2589" w:type="dxa"/>
            <w:tcBorders>
              <w:top w:val="double" w:sz="4" w:space="0" w:color="auto"/>
              <w:left w:val="nil"/>
              <w:bottom w:val="double" w:sz="4" w:space="0" w:color="auto"/>
              <w:right w:val="nil"/>
            </w:tcBorders>
            <w:shd w:val="clear" w:color="auto" w:fill="BFBFBF" w:themeFill="background1" w:themeFillShade="BF"/>
          </w:tcPr>
          <w:p w14:paraId="417BF446" w14:textId="77777777" w:rsidR="005C00C4" w:rsidRPr="007122DF" w:rsidRDefault="005C00C4" w:rsidP="007122DF">
            <w:pPr>
              <w:pStyle w:val="Normal1"/>
              <w:widowControl w:val="0"/>
              <w:spacing w:after="240" w:line="240" w:lineRule="auto"/>
              <w:jc w:val="center"/>
              <w:rPr>
                <w:rFonts w:ascii="Book Antiqua" w:hAnsi="Book Antiqua" w:cs="Times New Roman"/>
                <w:b/>
                <w:sz w:val="18"/>
                <w:szCs w:val="18"/>
              </w:rPr>
            </w:pPr>
            <w:r w:rsidRPr="007122DF">
              <w:rPr>
                <w:rFonts w:ascii="Book Antiqua" w:hAnsi="Book Antiqua" w:cs="Times New Roman"/>
                <w:b/>
                <w:sz w:val="18"/>
                <w:szCs w:val="18"/>
              </w:rPr>
              <w:t>Indicators</w:t>
            </w:r>
          </w:p>
        </w:tc>
        <w:tc>
          <w:tcPr>
            <w:tcW w:w="2581" w:type="dxa"/>
            <w:tcBorders>
              <w:top w:val="double" w:sz="4" w:space="0" w:color="auto"/>
              <w:left w:val="nil"/>
              <w:bottom w:val="double" w:sz="4" w:space="0" w:color="auto"/>
              <w:right w:val="nil"/>
            </w:tcBorders>
            <w:shd w:val="clear" w:color="auto" w:fill="BFBFBF" w:themeFill="background1" w:themeFillShade="BF"/>
          </w:tcPr>
          <w:p w14:paraId="4B56E936" w14:textId="77777777" w:rsidR="005C00C4" w:rsidRPr="007122DF" w:rsidRDefault="005C00C4" w:rsidP="007122DF">
            <w:pPr>
              <w:pStyle w:val="Normal1"/>
              <w:widowControl w:val="0"/>
              <w:spacing w:after="240" w:line="240" w:lineRule="auto"/>
              <w:jc w:val="center"/>
              <w:rPr>
                <w:rFonts w:ascii="Book Antiqua" w:hAnsi="Book Antiqua" w:cs="Times New Roman"/>
                <w:b/>
                <w:sz w:val="18"/>
                <w:szCs w:val="18"/>
              </w:rPr>
            </w:pPr>
            <w:r w:rsidRPr="007122DF">
              <w:rPr>
                <w:rFonts w:ascii="Book Antiqua" w:hAnsi="Book Antiqua" w:cs="Times New Roman"/>
                <w:b/>
                <w:sz w:val="18"/>
                <w:szCs w:val="18"/>
              </w:rPr>
              <w:t>Targets/Rationale/Notes</w:t>
            </w:r>
          </w:p>
        </w:tc>
        <w:tc>
          <w:tcPr>
            <w:tcW w:w="1873" w:type="dxa"/>
            <w:gridSpan w:val="2"/>
            <w:tcBorders>
              <w:top w:val="double" w:sz="4" w:space="0" w:color="auto"/>
              <w:left w:val="nil"/>
              <w:bottom w:val="double" w:sz="4" w:space="0" w:color="auto"/>
              <w:right w:val="nil"/>
            </w:tcBorders>
            <w:shd w:val="clear" w:color="auto" w:fill="BFBFBF" w:themeFill="background1" w:themeFillShade="BF"/>
          </w:tcPr>
          <w:p w14:paraId="603D96E7" w14:textId="77777777" w:rsidR="005C00C4" w:rsidRPr="007122DF" w:rsidRDefault="005C00C4" w:rsidP="007122DF">
            <w:pPr>
              <w:pStyle w:val="Normal1"/>
              <w:widowControl w:val="0"/>
              <w:spacing w:after="240" w:line="240" w:lineRule="auto"/>
              <w:jc w:val="center"/>
              <w:rPr>
                <w:rFonts w:ascii="Book Antiqua" w:hAnsi="Book Antiqua" w:cs="Times New Roman"/>
                <w:b/>
                <w:sz w:val="18"/>
                <w:szCs w:val="18"/>
              </w:rPr>
            </w:pPr>
            <w:r w:rsidRPr="007122DF">
              <w:rPr>
                <w:rFonts w:ascii="Book Antiqua" w:hAnsi="Book Antiqua" w:cs="Times New Roman"/>
                <w:b/>
                <w:sz w:val="18"/>
                <w:szCs w:val="18"/>
              </w:rPr>
              <w:t>Status</w:t>
            </w:r>
          </w:p>
        </w:tc>
      </w:tr>
      <w:tr w:rsidR="005C00C4" w:rsidRPr="007122DF" w14:paraId="076EA307" w14:textId="77777777" w:rsidTr="007122DF">
        <w:trPr>
          <w:jc w:val="center"/>
        </w:trPr>
        <w:tc>
          <w:tcPr>
            <w:tcW w:w="2317" w:type="dxa"/>
            <w:tcBorders>
              <w:top w:val="double" w:sz="4" w:space="0" w:color="auto"/>
              <w:left w:val="nil"/>
              <w:bottom w:val="double" w:sz="4" w:space="0" w:color="auto"/>
              <w:right w:val="nil"/>
            </w:tcBorders>
          </w:tcPr>
          <w:p w14:paraId="7E358B14" w14:textId="77777777" w:rsidR="005C00C4" w:rsidRPr="007122DF" w:rsidRDefault="005C00C4" w:rsidP="007122DF">
            <w:pPr>
              <w:pStyle w:val="Normal1"/>
              <w:widowControl w:val="0"/>
              <w:autoSpaceDE w:val="0"/>
              <w:autoSpaceDN w:val="0"/>
              <w:adjustRightInd w:val="0"/>
              <w:spacing w:after="240" w:line="240" w:lineRule="auto"/>
              <w:rPr>
                <w:rFonts w:ascii="Book Antiqua" w:hAnsi="Book Antiqua" w:cs="Times New Roman"/>
                <w:b/>
                <w:sz w:val="18"/>
                <w:szCs w:val="18"/>
              </w:rPr>
            </w:pPr>
            <w:r w:rsidRPr="007122DF">
              <w:rPr>
                <w:rFonts w:ascii="Book Antiqua" w:hAnsi="Book Antiqua" w:cs="Times New Roman"/>
                <w:sz w:val="18"/>
                <w:szCs w:val="18"/>
              </w:rPr>
              <w:t>To strengthen financial and institutional capacity of selected countries to ensure sustainability of health security in the EAP region</w:t>
            </w:r>
          </w:p>
        </w:tc>
        <w:tc>
          <w:tcPr>
            <w:tcW w:w="2589" w:type="dxa"/>
            <w:tcBorders>
              <w:top w:val="double" w:sz="4" w:space="0" w:color="auto"/>
              <w:left w:val="nil"/>
              <w:bottom w:val="double" w:sz="4" w:space="0" w:color="auto"/>
              <w:right w:val="nil"/>
            </w:tcBorders>
          </w:tcPr>
          <w:p w14:paraId="394DE86A" w14:textId="77777777" w:rsidR="009523F0" w:rsidRDefault="009523F0" w:rsidP="007122DF">
            <w:pPr>
              <w:pStyle w:val="Normal1"/>
              <w:widowControl w:val="0"/>
              <w:numPr>
                <w:ilvl w:val="0"/>
                <w:numId w:val="35"/>
              </w:numPr>
              <w:spacing w:after="240" w:line="240" w:lineRule="auto"/>
              <w:contextualSpacing/>
              <w:rPr>
                <w:rFonts w:ascii="Book Antiqua" w:hAnsi="Book Antiqua" w:cs="Times New Roman"/>
                <w:sz w:val="18"/>
                <w:szCs w:val="18"/>
              </w:rPr>
            </w:pPr>
            <w:r>
              <w:rPr>
                <w:rFonts w:ascii="Book Antiqua" w:hAnsi="Book Antiqua" w:cs="Times New Roman"/>
                <w:sz w:val="18"/>
                <w:szCs w:val="18"/>
              </w:rPr>
              <w:t xml:space="preserve">Share of sector </w:t>
            </w:r>
            <w:r w:rsidR="005C00C4" w:rsidRPr="007122DF">
              <w:rPr>
                <w:rFonts w:ascii="Book Antiqua" w:hAnsi="Book Antiqua" w:cs="Times New Roman"/>
                <w:sz w:val="18"/>
                <w:szCs w:val="18"/>
              </w:rPr>
              <w:t xml:space="preserve">budget </w:t>
            </w:r>
          </w:p>
          <w:p w14:paraId="6725751A" w14:textId="28E9992B" w:rsidR="005C00C4" w:rsidRPr="007122DF" w:rsidRDefault="009523F0" w:rsidP="009523F0">
            <w:pPr>
              <w:pStyle w:val="Normal1"/>
              <w:widowControl w:val="0"/>
              <w:spacing w:after="240" w:line="240" w:lineRule="auto"/>
              <w:ind w:left="144"/>
              <w:contextualSpacing/>
              <w:rPr>
                <w:rFonts w:ascii="Book Antiqua" w:hAnsi="Book Antiqua" w:cs="Times New Roman"/>
                <w:sz w:val="18"/>
                <w:szCs w:val="18"/>
              </w:rPr>
            </w:pPr>
            <w:r>
              <w:rPr>
                <w:rFonts w:ascii="Book Antiqua" w:hAnsi="Book Antiqua" w:cs="Times New Roman"/>
                <w:sz w:val="18"/>
                <w:szCs w:val="18"/>
              </w:rPr>
              <w:t>(</w:t>
            </w:r>
            <w:r w:rsidR="005C00C4" w:rsidRPr="007122DF">
              <w:rPr>
                <w:rFonts w:ascii="Book Antiqua" w:hAnsi="Book Antiqua" w:cs="Times New Roman"/>
                <w:sz w:val="18"/>
                <w:szCs w:val="18"/>
              </w:rPr>
              <w:t xml:space="preserve">health, agriculture, </w:t>
            </w:r>
            <w:r w:rsidRPr="007122DF">
              <w:rPr>
                <w:rFonts w:ascii="Book Antiqua" w:hAnsi="Book Antiqua" w:cs="Times New Roman"/>
                <w:sz w:val="18"/>
                <w:szCs w:val="18"/>
              </w:rPr>
              <w:t>etc.</w:t>
            </w:r>
            <w:r w:rsidR="005C00C4" w:rsidRPr="007122DF">
              <w:rPr>
                <w:rFonts w:ascii="Book Antiqua" w:hAnsi="Book Antiqua" w:cs="Times New Roman"/>
                <w:sz w:val="18"/>
                <w:szCs w:val="18"/>
              </w:rPr>
              <w:t xml:space="preserve">)  allocated to pandemic preparedness </w:t>
            </w:r>
          </w:p>
          <w:p w14:paraId="230A4395" w14:textId="77777777" w:rsidR="005C00C4" w:rsidRPr="007122DF" w:rsidRDefault="005C00C4" w:rsidP="007122DF">
            <w:pPr>
              <w:pStyle w:val="Normal1"/>
              <w:widowControl w:val="0"/>
              <w:spacing w:after="240" w:line="240" w:lineRule="auto"/>
              <w:ind w:left="144"/>
              <w:contextualSpacing/>
              <w:rPr>
                <w:rFonts w:ascii="Book Antiqua" w:hAnsi="Book Antiqua" w:cs="Times New Roman"/>
                <w:sz w:val="18"/>
                <w:szCs w:val="18"/>
              </w:rPr>
            </w:pPr>
          </w:p>
          <w:p w14:paraId="5BCF7C80" w14:textId="77777777"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Percentage of recommendations to increase and improve efficiency/effectiveness of health security financing implemented by country</w:t>
            </w:r>
          </w:p>
          <w:p w14:paraId="00E24DF4" w14:textId="77777777"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 xml:space="preserve">Number of countries and regional organizations with advocacy or collaboration plans on health security </w:t>
            </w:r>
          </w:p>
        </w:tc>
        <w:tc>
          <w:tcPr>
            <w:tcW w:w="3014" w:type="dxa"/>
            <w:gridSpan w:val="2"/>
            <w:tcBorders>
              <w:top w:val="double" w:sz="4" w:space="0" w:color="auto"/>
              <w:left w:val="nil"/>
              <w:bottom w:val="double" w:sz="4" w:space="0" w:color="auto"/>
              <w:right w:val="nil"/>
            </w:tcBorders>
          </w:tcPr>
          <w:p w14:paraId="04D52D89" w14:textId="77777777"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 xml:space="preserve">The health security financing assessments will provide baselines. </w:t>
            </w:r>
          </w:p>
          <w:p w14:paraId="258CB1AB" w14:textId="5D116FDA" w:rsidR="005C00C4" w:rsidRPr="007122DF" w:rsidRDefault="005C00C4" w:rsidP="007122DF">
            <w:pPr>
              <w:pStyle w:val="Normal1"/>
              <w:widowControl w:val="0"/>
              <w:spacing w:after="240" w:line="240" w:lineRule="auto"/>
              <w:contextualSpacing/>
              <w:rPr>
                <w:rFonts w:ascii="Book Antiqua" w:hAnsi="Book Antiqua" w:cs="Times New Roman"/>
                <w:sz w:val="18"/>
                <w:szCs w:val="18"/>
              </w:rPr>
            </w:pPr>
          </w:p>
          <w:p w14:paraId="2188C12C" w14:textId="77777777"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Ultimately improved financing should show up as improved JEE and PVS scores.</w:t>
            </w:r>
          </w:p>
          <w:p w14:paraId="18BBF17E" w14:textId="5ADDDA08" w:rsidR="005C00C4" w:rsidRPr="007122DF" w:rsidRDefault="005C00C4" w:rsidP="007122DF">
            <w:pPr>
              <w:pStyle w:val="Normal1"/>
              <w:widowControl w:val="0"/>
              <w:spacing w:after="240" w:line="240" w:lineRule="auto"/>
              <w:contextualSpacing/>
              <w:rPr>
                <w:rFonts w:ascii="Book Antiqua" w:hAnsi="Book Antiqua" w:cs="Times New Roman"/>
                <w:sz w:val="18"/>
                <w:szCs w:val="18"/>
              </w:rPr>
            </w:pPr>
          </w:p>
          <w:p w14:paraId="48C5EAC2" w14:textId="77777777"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3 countries and two regional organizations that develop/strengthen advocacy strategies and collaboration plans to address cross border health threats</w:t>
            </w:r>
          </w:p>
        </w:tc>
        <w:tc>
          <w:tcPr>
            <w:tcW w:w="1440" w:type="dxa"/>
            <w:tcBorders>
              <w:top w:val="double" w:sz="4" w:space="0" w:color="auto"/>
              <w:left w:val="nil"/>
              <w:bottom w:val="double" w:sz="4" w:space="0" w:color="auto"/>
              <w:right w:val="nil"/>
            </w:tcBorders>
          </w:tcPr>
          <w:p w14:paraId="6BCBE074" w14:textId="77777777" w:rsidR="005C00C4" w:rsidRPr="007122DF" w:rsidRDefault="005C00C4" w:rsidP="007122DF">
            <w:pPr>
              <w:pStyle w:val="Normal1"/>
              <w:widowControl w:val="0"/>
              <w:spacing w:after="240" w:line="240" w:lineRule="auto"/>
              <w:ind w:left="144"/>
              <w:contextualSpacing/>
              <w:rPr>
                <w:rFonts w:ascii="Book Antiqua" w:hAnsi="Book Antiqua" w:cs="Times New Roman"/>
                <w:sz w:val="18"/>
                <w:szCs w:val="18"/>
              </w:rPr>
            </w:pPr>
          </w:p>
        </w:tc>
      </w:tr>
      <w:tr w:rsidR="005C00C4" w:rsidRPr="007122DF" w14:paraId="551618F3" w14:textId="77777777" w:rsidTr="007122DF">
        <w:trPr>
          <w:jc w:val="center"/>
        </w:trPr>
        <w:tc>
          <w:tcPr>
            <w:tcW w:w="2317" w:type="dxa"/>
            <w:tcBorders>
              <w:top w:val="double" w:sz="4" w:space="0" w:color="auto"/>
              <w:left w:val="nil"/>
              <w:bottom w:val="double" w:sz="4" w:space="0" w:color="auto"/>
              <w:right w:val="nil"/>
            </w:tcBorders>
            <w:shd w:val="clear" w:color="auto" w:fill="BFBFBF" w:themeFill="background1" w:themeFillShade="BF"/>
          </w:tcPr>
          <w:p w14:paraId="3A70F1C6" w14:textId="77777777" w:rsidR="005C00C4" w:rsidRPr="007122DF" w:rsidRDefault="005C00C4" w:rsidP="007122DF">
            <w:pPr>
              <w:pStyle w:val="Normal1"/>
              <w:widowControl w:val="0"/>
              <w:spacing w:after="240" w:line="240" w:lineRule="auto"/>
              <w:jc w:val="center"/>
              <w:rPr>
                <w:rFonts w:ascii="Book Antiqua" w:hAnsi="Book Antiqua" w:cs="Times New Roman"/>
                <w:b/>
                <w:sz w:val="18"/>
                <w:szCs w:val="18"/>
              </w:rPr>
            </w:pPr>
            <w:r w:rsidRPr="007122DF">
              <w:rPr>
                <w:rFonts w:ascii="Book Antiqua" w:hAnsi="Book Antiqua" w:cs="Times New Roman"/>
                <w:b/>
                <w:sz w:val="18"/>
                <w:szCs w:val="18"/>
              </w:rPr>
              <w:t>Intermediate objectives</w:t>
            </w:r>
          </w:p>
        </w:tc>
        <w:tc>
          <w:tcPr>
            <w:tcW w:w="2589" w:type="dxa"/>
            <w:tcBorders>
              <w:top w:val="double" w:sz="4" w:space="0" w:color="auto"/>
              <w:left w:val="nil"/>
              <w:bottom w:val="double" w:sz="4" w:space="0" w:color="auto"/>
              <w:right w:val="nil"/>
            </w:tcBorders>
            <w:shd w:val="clear" w:color="auto" w:fill="BFBFBF" w:themeFill="background1" w:themeFillShade="BF"/>
          </w:tcPr>
          <w:p w14:paraId="19F8158B" w14:textId="77777777" w:rsidR="005C00C4" w:rsidRPr="007122DF" w:rsidRDefault="005C00C4" w:rsidP="007122DF">
            <w:pPr>
              <w:pStyle w:val="Normal1"/>
              <w:widowControl w:val="0"/>
              <w:spacing w:after="240" w:line="240" w:lineRule="auto"/>
              <w:jc w:val="center"/>
              <w:rPr>
                <w:rFonts w:ascii="Book Antiqua" w:hAnsi="Book Antiqua" w:cs="Times New Roman"/>
                <w:b/>
                <w:sz w:val="18"/>
                <w:szCs w:val="18"/>
              </w:rPr>
            </w:pPr>
            <w:r w:rsidRPr="007122DF">
              <w:rPr>
                <w:rFonts w:ascii="Book Antiqua" w:hAnsi="Book Antiqua" w:cs="Times New Roman"/>
                <w:b/>
                <w:sz w:val="18"/>
                <w:szCs w:val="18"/>
              </w:rPr>
              <w:t>Indicators</w:t>
            </w:r>
          </w:p>
        </w:tc>
        <w:tc>
          <w:tcPr>
            <w:tcW w:w="2581" w:type="dxa"/>
            <w:tcBorders>
              <w:top w:val="double" w:sz="4" w:space="0" w:color="auto"/>
              <w:left w:val="nil"/>
              <w:bottom w:val="double" w:sz="4" w:space="0" w:color="auto"/>
              <w:right w:val="nil"/>
            </w:tcBorders>
            <w:shd w:val="clear" w:color="auto" w:fill="BFBFBF" w:themeFill="background1" w:themeFillShade="BF"/>
          </w:tcPr>
          <w:p w14:paraId="5D5F3C74" w14:textId="77777777" w:rsidR="005C00C4" w:rsidRPr="007122DF" w:rsidRDefault="005C00C4" w:rsidP="007122DF">
            <w:pPr>
              <w:pStyle w:val="Normal1"/>
              <w:widowControl w:val="0"/>
              <w:spacing w:after="240" w:line="240" w:lineRule="auto"/>
              <w:jc w:val="center"/>
              <w:rPr>
                <w:rFonts w:ascii="Book Antiqua" w:hAnsi="Book Antiqua" w:cs="Times New Roman"/>
                <w:b/>
                <w:sz w:val="18"/>
                <w:szCs w:val="18"/>
              </w:rPr>
            </w:pPr>
            <w:r w:rsidRPr="007122DF">
              <w:rPr>
                <w:rFonts w:ascii="Book Antiqua" w:hAnsi="Book Antiqua" w:cs="Times New Roman"/>
                <w:b/>
                <w:sz w:val="18"/>
                <w:szCs w:val="18"/>
              </w:rPr>
              <w:t>Targets/Rationale/Notes</w:t>
            </w:r>
          </w:p>
        </w:tc>
        <w:tc>
          <w:tcPr>
            <w:tcW w:w="1873" w:type="dxa"/>
            <w:gridSpan w:val="2"/>
            <w:tcBorders>
              <w:top w:val="double" w:sz="4" w:space="0" w:color="auto"/>
              <w:left w:val="nil"/>
              <w:bottom w:val="double" w:sz="4" w:space="0" w:color="auto"/>
              <w:right w:val="nil"/>
            </w:tcBorders>
            <w:shd w:val="clear" w:color="auto" w:fill="BFBFBF" w:themeFill="background1" w:themeFillShade="BF"/>
          </w:tcPr>
          <w:p w14:paraId="299F0881" w14:textId="77777777" w:rsidR="005C00C4" w:rsidRPr="007122DF" w:rsidRDefault="005C00C4" w:rsidP="007122DF">
            <w:pPr>
              <w:pStyle w:val="Normal1"/>
              <w:widowControl w:val="0"/>
              <w:spacing w:after="240" w:line="240" w:lineRule="auto"/>
              <w:jc w:val="center"/>
              <w:rPr>
                <w:rFonts w:ascii="Book Antiqua" w:hAnsi="Book Antiqua" w:cs="Times New Roman"/>
                <w:b/>
                <w:sz w:val="18"/>
                <w:szCs w:val="18"/>
              </w:rPr>
            </w:pPr>
          </w:p>
        </w:tc>
      </w:tr>
      <w:tr w:rsidR="005C00C4" w:rsidRPr="007122DF" w14:paraId="1F90B96F" w14:textId="77777777" w:rsidTr="007122DF">
        <w:trPr>
          <w:jc w:val="center"/>
        </w:trPr>
        <w:tc>
          <w:tcPr>
            <w:tcW w:w="2317" w:type="dxa"/>
            <w:tcBorders>
              <w:top w:val="double" w:sz="4" w:space="0" w:color="auto"/>
              <w:left w:val="nil"/>
              <w:bottom w:val="single" w:sz="4" w:space="0" w:color="auto"/>
              <w:right w:val="nil"/>
            </w:tcBorders>
          </w:tcPr>
          <w:p w14:paraId="4BC8052F" w14:textId="77777777"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lastRenderedPageBreak/>
              <w:t>Catalyze and leverage domestic and external financing to improve health security</w:t>
            </w:r>
          </w:p>
        </w:tc>
        <w:tc>
          <w:tcPr>
            <w:tcW w:w="2589" w:type="dxa"/>
            <w:tcBorders>
              <w:top w:val="double" w:sz="4" w:space="0" w:color="auto"/>
              <w:left w:val="nil"/>
              <w:bottom w:val="single" w:sz="4" w:space="0" w:color="auto"/>
              <w:right w:val="nil"/>
            </w:tcBorders>
          </w:tcPr>
          <w:p w14:paraId="537BACEC" w14:textId="77777777" w:rsidR="005C00C4" w:rsidRPr="007122DF" w:rsidRDefault="005C00C4" w:rsidP="007122DF">
            <w:pPr>
              <w:pStyle w:val="ListParagraph"/>
              <w:widowControl w:val="0"/>
              <w:numPr>
                <w:ilvl w:val="0"/>
                <w:numId w:val="35"/>
              </w:numPr>
              <w:spacing w:after="240"/>
              <w:rPr>
                <w:rFonts w:ascii="Book Antiqua" w:hAnsi="Book Antiqua" w:cs="Times New Roman"/>
                <w:sz w:val="18"/>
                <w:szCs w:val="18"/>
              </w:rPr>
            </w:pPr>
            <w:r w:rsidRPr="007122DF">
              <w:rPr>
                <w:rFonts w:ascii="Book Antiqua" w:hAnsi="Book Antiqua" w:cs="Times New Roman"/>
                <w:sz w:val="18"/>
                <w:szCs w:val="18"/>
              </w:rPr>
              <w:t>Comprehensive tool to assess gaps in health security financing and institutional capacity developed</w:t>
            </w:r>
          </w:p>
          <w:p w14:paraId="4AA5B333" w14:textId="77777777" w:rsidR="005C00C4" w:rsidRPr="007122DF" w:rsidRDefault="005C00C4" w:rsidP="007122DF">
            <w:pPr>
              <w:pStyle w:val="Normal1"/>
              <w:widowControl w:val="0"/>
              <w:spacing w:after="240" w:line="240" w:lineRule="auto"/>
              <w:ind w:left="144"/>
              <w:contextualSpacing/>
              <w:rPr>
                <w:rFonts w:ascii="Book Antiqua" w:hAnsi="Book Antiqua" w:cs="Times New Roman"/>
                <w:sz w:val="18"/>
                <w:szCs w:val="18"/>
              </w:rPr>
            </w:pPr>
          </w:p>
          <w:p w14:paraId="51D880B8" w14:textId="77777777"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Number of countries that have developed costed national pandemic preparedness plans with resource mobilization plans to increase domestic and external financing</w:t>
            </w:r>
          </w:p>
        </w:tc>
        <w:tc>
          <w:tcPr>
            <w:tcW w:w="2581" w:type="dxa"/>
            <w:tcBorders>
              <w:top w:val="double" w:sz="4" w:space="0" w:color="auto"/>
              <w:left w:val="nil"/>
              <w:bottom w:val="single" w:sz="4" w:space="0" w:color="auto"/>
              <w:right w:val="nil"/>
            </w:tcBorders>
          </w:tcPr>
          <w:p w14:paraId="79CF00D6" w14:textId="29F90DB7"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These tools will be a public good filling existing gaps in the JEE and PVS pathway process. The tools will be used alongside the JEE and PVS pathway process to improve financial and institutional sustainability of pandemic preparedness.</w:t>
            </w:r>
          </w:p>
          <w:p w14:paraId="528FF880" w14:textId="77777777" w:rsidR="005C00C4" w:rsidRPr="007122DF" w:rsidRDefault="005C00C4" w:rsidP="007122DF">
            <w:pPr>
              <w:pStyle w:val="Normal1"/>
              <w:widowControl w:val="0"/>
              <w:spacing w:after="240" w:line="240" w:lineRule="auto"/>
              <w:ind w:left="144"/>
              <w:contextualSpacing/>
              <w:rPr>
                <w:rFonts w:ascii="Book Antiqua" w:hAnsi="Book Antiqua" w:cs="Times New Roman"/>
                <w:sz w:val="18"/>
                <w:szCs w:val="18"/>
              </w:rPr>
            </w:pPr>
          </w:p>
          <w:p w14:paraId="15600476" w14:textId="77777777"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The preparedness plan also allows the country to leverage and increase additional investments as needed.</w:t>
            </w:r>
          </w:p>
        </w:tc>
        <w:tc>
          <w:tcPr>
            <w:tcW w:w="1873" w:type="dxa"/>
            <w:gridSpan w:val="2"/>
            <w:tcBorders>
              <w:top w:val="double" w:sz="4" w:space="0" w:color="auto"/>
              <w:left w:val="nil"/>
              <w:bottom w:val="single" w:sz="4" w:space="0" w:color="auto"/>
              <w:right w:val="nil"/>
            </w:tcBorders>
          </w:tcPr>
          <w:p w14:paraId="1F97D9F1" w14:textId="77777777" w:rsidR="005C00C4" w:rsidRPr="007122DF" w:rsidRDefault="005C00C4" w:rsidP="007122DF">
            <w:pPr>
              <w:pStyle w:val="Normal1"/>
              <w:widowControl w:val="0"/>
              <w:spacing w:after="240" w:line="240" w:lineRule="auto"/>
              <w:ind w:left="144"/>
              <w:contextualSpacing/>
              <w:rPr>
                <w:rFonts w:ascii="Book Antiqua" w:hAnsi="Book Antiqua" w:cs="Times New Roman"/>
                <w:sz w:val="18"/>
                <w:szCs w:val="18"/>
              </w:rPr>
            </w:pPr>
          </w:p>
        </w:tc>
      </w:tr>
      <w:tr w:rsidR="005C00C4" w:rsidRPr="007122DF" w14:paraId="1571BC0A" w14:textId="77777777" w:rsidTr="007122DF">
        <w:trPr>
          <w:jc w:val="center"/>
        </w:trPr>
        <w:tc>
          <w:tcPr>
            <w:tcW w:w="2317" w:type="dxa"/>
            <w:tcBorders>
              <w:top w:val="single" w:sz="4" w:space="0" w:color="auto"/>
              <w:left w:val="nil"/>
              <w:bottom w:val="single" w:sz="4" w:space="0" w:color="auto"/>
              <w:right w:val="nil"/>
            </w:tcBorders>
          </w:tcPr>
          <w:p w14:paraId="0E26AAB9" w14:textId="77777777" w:rsidR="005C00C4" w:rsidRPr="007122DF" w:rsidRDefault="005C00C4" w:rsidP="007122DF">
            <w:pPr>
              <w:pStyle w:val="Normal1"/>
              <w:widowControl w:val="0"/>
              <w:spacing w:after="240" w:line="240" w:lineRule="auto"/>
              <w:rPr>
                <w:rFonts w:ascii="Book Antiqua" w:hAnsi="Book Antiqua" w:cs="Times New Roman"/>
                <w:b/>
                <w:sz w:val="18"/>
                <w:szCs w:val="18"/>
              </w:rPr>
            </w:pPr>
            <w:r w:rsidRPr="007122DF">
              <w:rPr>
                <w:rFonts w:ascii="Book Antiqua" w:hAnsi="Book Antiqua" w:cs="Times New Roman"/>
                <w:sz w:val="18"/>
                <w:szCs w:val="18"/>
              </w:rPr>
              <w:t>Provide technical assistance in financial and institutional capacity building</w:t>
            </w:r>
          </w:p>
        </w:tc>
        <w:tc>
          <w:tcPr>
            <w:tcW w:w="2589" w:type="dxa"/>
            <w:tcBorders>
              <w:top w:val="single" w:sz="4" w:space="0" w:color="auto"/>
              <w:left w:val="nil"/>
              <w:bottom w:val="single" w:sz="4" w:space="0" w:color="auto"/>
              <w:right w:val="nil"/>
            </w:tcBorders>
          </w:tcPr>
          <w:p w14:paraId="7C70350C" w14:textId="77777777" w:rsidR="005C00C4" w:rsidRPr="007122DF" w:rsidRDefault="005C00C4" w:rsidP="007122DF">
            <w:pPr>
              <w:pStyle w:val="Normal1"/>
              <w:widowControl w:val="0"/>
              <w:numPr>
                <w:ilvl w:val="0"/>
                <w:numId w:val="36"/>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 xml:space="preserve">Percentage of recommendations to strengthen institutional capacities and coordination of health security initiatives implemented by country and regional organizations </w:t>
            </w:r>
          </w:p>
          <w:p w14:paraId="77B01640" w14:textId="77777777" w:rsidR="005C00C4" w:rsidRPr="007122DF" w:rsidRDefault="005C00C4" w:rsidP="007122DF">
            <w:pPr>
              <w:pStyle w:val="Normal1"/>
              <w:widowControl w:val="0"/>
              <w:spacing w:after="240" w:line="240" w:lineRule="auto"/>
              <w:ind w:left="144"/>
              <w:contextualSpacing/>
              <w:rPr>
                <w:rFonts w:ascii="Book Antiqua" w:hAnsi="Book Antiqua" w:cs="Times New Roman"/>
                <w:sz w:val="18"/>
                <w:szCs w:val="18"/>
              </w:rPr>
            </w:pPr>
          </w:p>
          <w:p w14:paraId="3952900F" w14:textId="77777777" w:rsidR="005C00C4" w:rsidRPr="007122DF" w:rsidRDefault="005C00C4" w:rsidP="007122DF">
            <w:pPr>
              <w:pStyle w:val="Normal1"/>
              <w:widowControl w:val="0"/>
              <w:numPr>
                <w:ilvl w:val="0"/>
                <w:numId w:val="36"/>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Number of countries conducting periodic simulation exercises to measure capacity in pandemic preparedness</w:t>
            </w:r>
          </w:p>
        </w:tc>
        <w:tc>
          <w:tcPr>
            <w:tcW w:w="2581" w:type="dxa"/>
            <w:tcBorders>
              <w:top w:val="single" w:sz="4" w:space="0" w:color="auto"/>
              <w:left w:val="nil"/>
              <w:bottom w:val="single" w:sz="4" w:space="0" w:color="auto"/>
              <w:right w:val="nil"/>
            </w:tcBorders>
          </w:tcPr>
          <w:p w14:paraId="2F6D5E33" w14:textId="2345B3C3"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Based on recommendations of institutional assessments, technical assistance will be provide</w:t>
            </w:r>
            <w:r w:rsidR="009523F0">
              <w:rPr>
                <w:rFonts w:ascii="Book Antiqua" w:hAnsi="Book Antiqua" w:cs="Times New Roman"/>
                <w:sz w:val="18"/>
                <w:szCs w:val="18"/>
              </w:rPr>
              <w:t>d</w:t>
            </w:r>
            <w:r w:rsidRPr="007122DF">
              <w:rPr>
                <w:rFonts w:ascii="Book Antiqua" w:hAnsi="Book Antiqua" w:cs="Times New Roman"/>
                <w:sz w:val="18"/>
                <w:szCs w:val="18"/>
              </w:rPr>
              <w:t xml:space="preserve"> to strengthen institutional capacity.</w:t>
            </w:r>
          </w:p>
          <w:p w14:paraId="79008DAA" w14:textId="77777777" w:rsidR="005C00C4" w:rsidRPr="007122DF" w:rsidRDefault="005C00C4" w:rsidP="007122DF">
            <w:pPr>
              <w:pStyle w:val="Normal1"/>
              <w:widowControl w:val="0"/>
              <w:spacing w:after="240" w:line="240" w:lineRule="auto"/>
              <w:ind w:left="144"/>
              <w:contextualSpacing/>
              <w:rPr>
                <w:rFonts w:ascii="Book Antiqua" w:hAnsi="Book Antiqua" w:cs="Times New Roman"/>
                <w:sz w:val="18"/>
                <w:szCs w:val="18"/>
              </w:rPr>
            </w:pPr>
          </w:p>
          <w:p w14:paraId="11C3A0B3" w14:textId="77777777"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Simulation exercises will assess progress made in development of health security capacity, identify capacity gaps and further actions needed.</w:t>
            </w:r>
          </w:p>
        </w:tc>
        <w:tc>
          <w:tcPr>
            <w:tcW w:w="1873" w:type="dxa"/>
            <w:gridSpan w:val="2"/>
            <w:tcBorders>
              <w:top w:val="single" w:sz="4" w:space="0" w:color="auto"/>
              <w:left w:val="nil"/>
              <w:bottom w:val="single" w:sz="4" w:space="0" w:color="auto"/>
              <w:right w:val="nil"/>
            </w:tcBorders>
          </w:tcPr>
          <w:p w14:paraId="18F8A229" w14:textId="77777777" w:rsidR="005C00C4" w:rsidRPr="007122DF" w:rsidRDefault="005C00C4" w:rsidP="007122DF">
            <w:pPr>
              <w:pStyle w:val="Normal1"/>
              <w:widowControl w:val="0"/>
              <w:spacing w:after="240" w:line="240" w:lineRule="auto"/>
              <w:ind w:left="144"/>
              <w:contextualSpacing/>
              <w:rPr>
                <w:rFonts w:ascii="Book Antiqua" w:hAnsi="Book Antiqua" w:cs="Times New Roman"/>
                <w:sz w:val="18"/>
                <w:szCs w:val="18"/>
              </w:rPr>
            </w:pPr>
          </w:p>
        </w:tc>
      </w:tr>
      <w:tr w:rsidR="005C00C4" w:rsidRPr="007122DF" w14:paraId="26DD7A98" w14:textId="77777777" w:rsidTr="007122DF">
        <w:trPr>
          <w:jc w:val="center"/>
        </w:trPr>
        <w:tc>
          <w:tcPr>
            <w:tcW w:w="2317" w:type="dxa"/>
            <w:tcBorders>
              <w:top w:val="single" w:sz="4" w:space="0" w:color="auto"/>
              <w:left w:val="nil"/>
              <w:bottom w:val="single" w:sz="4" w:space="0" w:color="auto"/>
              <w:right w:val="nil"/>
            </w:tcBorders>
          </w:tcPr>
          <w:p w14:paraId="47478780" w14:textId="77777777" w:rsidR="005C00C4" w:rsidRPr="007122DF" w:rsidRDefault="005C00C4" w:rsidP="007122DF">
            <w:pPr>
              <w:pStyle w:val="Normal1"/>
              <w:widowControl w:val="0"/>
              <w:spacing w:after="240" w:line="240" w:lineRule="auto"/>
              <w:rPr>
                <w:rFonts w:ascii="Book Antiqua" w:hAnsi="Book Antiqua" w:cs="Times New Roman"/>
                <w:b/>
                <w:sz w:val="18"/>
                <w:szCs w:val="18"/>
              </w:rPr>
            </w:pPr>
            <w:r w:rsidRPr="007122DF">
              <w:rPr>
                <w:rFonts w:ascii="Book Antiqua" w:hAnsi="Book Antiqua" w:cs="Times New Roman"/>
                <w:sz w:val="18"/>
                <w:szCs w:val="18"/>
              </w:rPr>
              <w:t>Increase political and economic commitment for health security</w:t>
            </w:r>
          </w:p>
        </w:tc>
        <w:tc>
          <w:tcPr>
            <w:tcW w:w="2589" w:type="dxa"/>
            <w:tcBorders>
              <w:top w:val="single" w:sz="4" w:space="0" w:color="auto"/>
              <w:left w:val="nil"/>
              <w:bottom w:val="single" w:sz="4" w:space="0" w:color="auto"/>
              <w:right w:val="nil"/>
            </w:tcBorders>
          </w:tcPr>
          <w:p w14:paraId="1E26185D" w14:textId="57509E04" w:rsidR="005C00C4" w:rsidRPr="007122DF" w:rsidRDefault="005C00C4" w:rsidP="007122DF">
            <w:pPr>
              <w:pStyle w:val="ListParagraph"/>
              <w:widowControl w:val="0"/>
              <w:numPr>
                <w:ilvl w:val="0"/>
                <w:numId w:val="37"/>
              </w:numPr>
              <w:spacing w:after="240"/>
              <w:rPr>
                <w:rFonts w:ascii="Book Antiqua" w:hAnsi="Book Antiqua" w:cs="Times New Roman"/>
                <w:sz w:val="18"/>
                <w:szCs w:val="18"/>
              </w:rPr>
            </w:pPr>
            <w:r w:rsidRPr="007122DF">
              <w:rPr>
                <w:rFonts w:ascii="Book Antiqua" w:hAnsi="Book Antiqua" w:cs="Times New Roman"/>
                <w:sz w:val="18"/>
                <w:szCs w:val="18"/>
              </w:rPr>
              <w:t xml:space="preserve">A collaborative task force with all partners to improve regional commitment for health security </w:t>
            </w:r>
          </w:p>
          <w:p w14:paraId="4ACAF3AB" w14:textId="77777777" w:rsidR="005C00C4" w:rsidRPr="007122DF" w:rsidRDefault="005C00C4" w:rsidP="007122DF">
            <w:pPr>
              <w:pStyle w:val="ListParagraph"/>
              <w:widowControl w:val="0"/>
              <w:spacing w:after="240"/>
              <w:ind w:left="144"/>
              <w:rPr>
                <w:rFonts w:ascii="Book Antiqua" w:hAnsi="Book Antiqua" w:cs="Times New Roman"/>
                <w:sz w:val="18"/>
                <w:szCs w:val="18"/>
              </w:rPr>
            </w:pPr>
          </w:p>
          <w:p w14:paraId="3681599D" w14:textId="5CE3CAAC"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 xml:space="preserve">Number of regional consultative and collaboration events </w:t>
            </w:r>
          </w:p>
          <w:p w14:paraId="29E31189" w14:textId="77777777" w:rsidR="005C00C4" w:rsidRPr="007122DF" w:rsidRDefault="005C00C4" w:rsidP="007122DF">
            <w:pPr>
              <w:pStyle w:val="Normal1"/>
              <w:widowControl w:val="0"/>
              <w:spacing w:after="240" w:line="240" w:lineRule="auto"/>
              <w:ind w:left="144"/>
              <w:contextualSpacing/>
              <w:rPr>
                <w:rFonts w:ascii="Book Antiqua" w:hAnsi="Book Antiqua" w:cs="Times New Roman"/>
                <w:sz w:val="18"/>
                <w:szCs w:val="18"/>
              </w:rPr>
            </w:pPr>
          </w:p>
          <w:p w14:paraId="1B57ADDC" w14:textId="71644A3F"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 xml:space="preserve">Advocacy tools for health security financing </w:t>
            </w:r>
          </w:p>
          <w:p w14:paraId="2F814D8C" w14:textId="686C58DC" w:rsidR="005C00C4" w:rsidRPr="007122DF" w:rsidRDefault="005C00C4" w:rsidP="007122DF">
            <w:pPr>
              <w:pStyle w:val="Normal1"/>
              <w:widowControl w:val="0"/>
              <w:spacing w:after="240" w:line="240" w:lineRule="auto"/>
              <w:contextualSpacing/>
              <w:rPr>
                <w:rFonts w:ascii="Book Antiqua" w:hAnsi="Book Antiqua" w:cs="Times New Roman"/>
                <w:sz w:val="18"/>
                <w:szCs w:val="18"/>
              </w:rPr>
            </w:pPr>
          </w:p>
          <w:p w14:paraId="0DB591E3" w14:textId="7356CEA3"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Number of countries exchanging data and knowledge on health security</w:t>
            </w:r>
          </w:p>
          <w:p w14:paraId="64423D6C" w14:textId="325F15D8" w:rsidR="005C00C4" w:rsidRPr="007122DF" w:rsidRDefault="005C00C4" w:rsidP="007122DF">
            <w:pPr>
              <w:pStyle w:val="Normal1"/>
              <w:widowControl w:val="0"/>
              <w:spacing w:after="240" w:line="240" w:lineRule="auto"/>
              <w:contextualSpacing/>
              <w:rPr>
                <w:rFonts w:ascii="Book Antiqua" w:hAnsi="Book Antiqua" w:cs="Times New Roman"/>
                <w:sz w:val="18"/>
                <w:szCs w:val="18"/>
              </w:rPr>
            </w:pPr>
          </w:p>
          <w:p w14:paraId="09AA7774" w14:textId="77777777" w:rsidR="005C00C4" w:rsidRPr="007122DF" w:rsidRDefault="005C00C4" w:rsidP="007122DF">
            <w:pPr>
              <w:pStyle w:val="Normal1"/>
              <w:widowControl w:val="0"/>
              <w:numPr>
                <w:ilvl w:val="0"/>
                <w:numId w:val="35"/>
              </w:numPr>
              <w:spacing w:after="240" w:line="240" w:lineRule="auto"/>
              <w:contextualSpacing/>
              <w:rPr>
                <w:rFonts w:ascii="Book Antiqua" w:hAnsi="Book Antiqua" w:cs="Times New Roman"/>
                <w:sz w:val="18"/>
                <w:szCs w:val="18"/>
              </w:rPr>
            </w:pPr>
            <w:r w:rsidRPr="007122DF">
              <w:rPr>
                <w:rFonts w:ascii="Book Antiqua" w:hAnsi="Book Antiqua" w:cs="Times New Roman"/>
                <w:sz w:val="18"/>
                <w:szCs w:val="18"/>
              </w:rPr>
              <w:t xml:space="preserve">Number of analytical and knowledge products in pandemic preparedness  </w:t>
            </w:r>
          </w:p>
          <w:p w14:paraId="6BB54347" w14:textId="77777777" w:rsidR="005C00C4" w:rsidRPr="007122DF" w:rsidRDefault="005C00C4" w:rsidP="007122DF">
            <w:pPr>
              <w:pStyle w:val="Normal1"/>
              <w:widowControl w:val="0"/>
              <w:spacing w:after="240" w:line="240" w:lineRule="auto"/>
              <w:ind w:left="144"/>
              <w:contextualSpacing/>
              <w:rPr>
                <w:rFonts w:ascii="Book Antiqua" w:hAnsi="Book Antiqua" w:cs="Times New Roman"/>
                <w:sz w:val="18"/>
                <w:szCs w:val="18"/>
              </w:rPr>
            </w:pPr>
          </w:p>
        </w:tc>
        <w:tc>
          <w:tcPr>
            <w:tcW w:w="2581" w:type="dxa"/>
            <w:tcBorders>
              <w:top w:val="single" w:sz="4" w:space="0" w:color="auto"/>
              <w:left w:val="nil"/>
              <w:bottom w:val="single" w:sz="4" w:space="0" w:color="auto"/>
              <w:right w:val="nil"/>
            </w:tcBorders>
          </w:tcPr>
          <w:p w14:paraId="23E2E618" w14:textId="77777777" w:rsidR="005C00C4" w:rsidRPr="007122DF" w:rsidRDefault="005C00C4" w:rsidP="007122DF">
            <w:pPr>
              <w:pStyle w:val="ListParagraph"/>
              <w:widowControl w:val="0"/>
              <w:numPr>
                <w:ilvl w:val="0"/>
                <w:numId w:val="35"/>
              </w:numPr>
              <w:spacing w:after="240"/>
              <w:rPr>
                <w:rFonts w:ascii="Book Antiqua" w:hAnsi="Book Antiqua" w:cs="Times New Roman"/>
                <w:sz w:val="18"/>
                <w:szCs w:val="18"/>
              </w:rPr>
            </w:pPr>
            <w:r w:rsidRPr="007122DF">
              <w:rPr>
                <w:rFonts w:ascii="Book Antiqua" w:hAnsi="Book Antiqua" w:cs="Times New Roman"/>
                <w:sz w:val="18"/>
                <w:szCs w:val="18"/>
              </w:rPr>
              <w:t>Task force will include representatives from key government agencies in the target countries and international partners active in the region, including USAID, CDC, WHO, OIE, ADB, Mekong Disease Surveillance Network, ASEAN HS working group chair.</w:t>
            </w:r>
          </w:p>
        </w:tc>
        <w:tc>
          <w:tcPr>
            <w:tcW w:w="1873" w:type="dxa"/>
            <w:gridSpan w:val="2"/>
            <w:tcBorders>
              <w:top w:val="single" w:sz="4" w:space="0" w:color="auto"/>
              <w:left w:val="nil"/>
              <w:bottom w:val="single" w:sz="4" w:space="0" w:color="auto"/>
              <w:right w:val="nil"/>
            </w:tcBorders>
          </w:tcPr>
          <w:p w14:paraId="52A1DE64" w14:textId="77777777" w:rsidR="005C00C4" w:rsidRPr="007122DF" w:rsidRDefault="005C00C4" w:rsidP="007122DF">
            <w:pPr>
              <w:pStyle w:val="Normal1"/>
              <w:widowControl w:val="0"/>
              <w:spacing w:after="240" w:line="240" w:lineRule="auto"/>
              <w:ind w:left="144"/>
              <w:contextualSpacing/>
              <w:rPr>
                <w:rFonts w:ascii="Book Antiqua" w:hAnsi="Book Antiqua" w:cs="Times New Roman"/>
                <w:sz w:val="18"/>
                <w:szCs w:val="18"/>
              </w:rPr>
            </w:pPr>
          </w:p>
        </w:tc>
      </w:tr>
    </w:tbl>
    <w:p w14:paraId="3AB71778" w14:textId="77777777" w:rsidR="00A62510" w:rsidRDefault="00A62510" w:rsidP="007122DF">
      <w:pPr>
        <w:spacing w:after="240" w:line="240" w:lineRule="auto"/>
        <w:jc w:val="both"/>
        <w:rPr>
          <w:rFonts w:ascii="Book Antiqua" w:hAnsi="Book Antiqua" w:cs="Times New Roman"/>
          <w:b/>
        </w:rPr>
      </w:pPr>
    </w:p>
    <w:p w14:paraId="795A1098" w14:textId="77777777" w:rsidR="00A62510" w:rsidRDefault="00A62510">
      <w:pPr>
        <w:rPr>
          <w:rFonts w:ascii="Book Antiqua" w:hAnsi="Book Antiqua" w:cs="Times New Roman"/>
          <w:b/>
        </w:rPr>
      </w:pPr>
      <w:r>
        <w:rPr>
          <w:rFonts w:ascii="Book Antiqua" w:hAnsi="Book Antiqua" w:cs="Times New Roman"/>
          <w:b/>
        </w:rPr>
        <w:br w:type="page"/>
      </w:r>
    </w:p>
    <w:p w14:paraId="20CD4A52" w14:textId="1D0C3BAD" w:rsidR="0087655A" w:rsidRPr="007122DF" w:rsidRDefault="0087655A" w:rsidP="007122DF">
      <w:pPr>
        <w:spacing w:after="240" w:line="240" w:lineRule="auto"/>
        <w:jc w:val="both"/>
        <w:rPr>
          <w:rFonts w:ascii="Book Antiqua" w:hAnsi="Book Antiqua" w:cs="Times New Roman"/>
          <w:b/>
        </w:rPr>
      </w:pPr>
      <w:r w:rsidRPr="007122DF">
        <w:rPr>
          <w:rFonts w:ascii="Book Antiqua" w:hAnsi="Book Antiqua" w:cs="Times New Roman"/>
          <w:b/>
        </w:rPr>
        <w:lastRenderedPageBreak/>
        <w:t xml:space="preserve">Management </w:t>
      </w:r>
    </w:p>
    <w:p w14:paraId="215DBC66" w14:textId="6D372421" w:rsidR="00730E93" w:rsidRPr="007122DF" w:rsidRDefault="0087655A" w:rsidP="007122DF">
      <w:pPr>
        <w:spacing w:after="240" w:line="240" w:lineRule="auto"/>
        <w:jc w:val="both"/>
        <w:rPr>
          <w:rFonts w:ascii="Book Antiqua" w:hAnsi="Book Antiqua" w:cs="Times New Roman"/>
        </w:rPr>
      </w:pPr>
      <w:r w:rsidRPr="007122DF">
        <w:rPr>
          <w:rFonts w:ascii="Book Antiqua" w:hAnsi="Book Antiqua" w:cs="Times New Roman"/>
        </w:rPr>
        <w:t>This work will be conducted under the MDTF governance structure and managed by GHNDR (Global Practice for Health, Nutrition and Population</w:t>
      </w:r>
      <w:r w:rsidR="00BD45CE" w:rsidRPr="007122DF">
        <w:rPr>
          <w:rFonts w:ascii="Book Antiqua" w:hAnsi="Book Antiqua" w:cs="Times New Roman"/>
        </w:rPr>
        <w:t>)</w:t>
      </w:r>
      <w:r w:rsidRPr="007122DF">
        <w:rPr>
          <w:rFonts w:ascii="Book Antiqua" w:hAnsi="Book Antiqua" w:cs="Times New Roman"/>
        </w:rPr>
        <w:t xml:space="preserve"> focusing on EAP countries. </w:t>
      </w:r>
      <w:r w:rsidR="00F65AE6" w:rsidRPr="007122DF">
        <w:rPr>
          <w:rFonts w:ascii="Book Antiqua" w:hAnsi="Book Antiqua" w:cs="Times New Roman"/>
        </w:rPr>
        <w:t xml:space="preserve">The TTL for the work </w:t>
      </w:r>
      <w:r w:rsidR="00987D32" w:rsidRPr="007122DF">
        <w:rPr>
          <w:rFonts w:ascii="Book Antiqua" w:hAnsi="Book Antiqua" w:cs="Times New Roman"/>
        </w:rPr>
        <w:t xml:space="preserve">is </w:t>
      </w:r>
      <w:r w:rsidR="00F65AE6" w:rsidRPr="007122DF">
        <w:rPr>
          <w:rFonts w:ascii="Book Antiqua" w:hAnsi="Book Antiqua" w:cs="Times New Roman"/>
        </w:rPr>
        <w:t>the Global Lead for Healthy Societies working with a network of experts within and outside the World Bank</w:t>
      </w:r>
      <w:r w:rsidR="00F72FEE" w:rsidRPr="007122DF">
        <w:rPr>
          <w:rFonts w:ascii="Book Antiqua" w:hAnsi="Book Antiqua" w:cs="Times New Roman"/>
        </w:rPr>
        <w:t xml:space="preserve"> to leverage ongoing work with other partners.  For example, Indonesia and Vietnam are also priority countries for the U</w:t>
      </w:r>
      <w:r w:rsidR="00F123D6" w:rsidRPr="007122DF">
        <w:rPr>
          <w:rFonts w:ascii="Book Antiqua" w:hAnsi="Book Antiqua" w:cs="Times New Roman"/>
        </w:rPr>
        <w:t>.</w:t>
      </w:r>
      <w:r w:rsidR="00F72FEE" w:rsidRPr="007122DF">
        <w:rPr>
          <w:rFonts w:ascii="Book Antiqua" w:hAnsi="Book Antiqua" w:cs="Times New Roman"/>
        </w:rPr>
        <w:t>S</w:t>
      </w:r>
      <w:r w:rsidR="00F123D6" w:rsidRPr="007122DF">
        <w:rPr>
          <w:rFonts w:ascii="Book Antiqua" w:hAnsi="Book Antiqua" w:cs="Times New Roman"/>
        </w:rPr>
        <w:t>.</w:t>
      </w:r>
      <w:r w:rsidR="00F72FEE" w:rsidRPr="007122DF">
        <w:rPr>
          <w:rFonts w:ascii="Book Antiqua" w:hAnsi="Book Antiqua" w:cs="Times New Roman"/>
        </w:rPr>
        <w:t xml:space="preserve"> Government</w:t>
      </w:r>
      <w:r w:rsidR="003C24CE" w:rsidRPr="007122DF">
        <w:rPr>
          <w:rFonts w:ascii="Book Antiqua" w:hAnsi="Book Antiqua" w:cs="Times New Roman"/>
        </w:rPr>
        <w:t xml:space="preserve"> GHSA and WHO is conducting JEE in a number of countries and </w:t>
      </w:r>
      <w:r w:rsidR="00CB06B3" w:rsidRPr="007122DF">
        <w:rPr>
          <w:rFonts w:ascii="Book Antiqua" w:hAnsi="Book Antiqua" w:cs="Times New Roman"/>
        </w:rPr>
        <w:t xml:space="preserve">the Bank team </w:t>
      </w:r>
      <w:r w:rsidR="003C24CE" w:rsidRPr="007122DF">
        <w:rPr>
          <w:rFonts w:ascii="Book Antiqua" w:hAnsi="Book Antiqua" w:cs="Times New Roman"/>
        </w:rPr>
        <w:t xml:space="preserve">will engage with them to </w:t>
      </w:r>
      <w:r w:rsidR="00F123D6" w:rsidRPr="007122DF">
        <w:rPr>
          <w:rFonts w:ascii="Book Antiqua" w:hAnsi="Book Antiqua" w:cs="Times New Roman"/>
        </w:rPr>
        <w:t xml:space="preserve">conduct JEE in the three </w:t>
      </w:r>
      <w:r w:rsidR="003C24CE" w:rsidRPr="007122DF">
        <w:rPr>
          <w:rFonts w:ascii="Book Antiqua" w:hAnsi="Book Antiqua" w:cs="Times New Roman"/>
        </w:rPr>
        <w:t xml:space="preserve">DFAT priority countries </w:t>
      </w:r>
      <w:r w:rsidR="00A44FA4" w:rsidRPr="007122DF">
        <w:rPr>
          <w:rFonts w:ascii="Book Antiqua" w:hAnsi="Book Antiqua" w:cs="Times New Roman"/>
        </w:rPr>
        <w:t>to generate</w:t>
      </w:r>
      <w:r w:rsidR="00CB06B3" w:rsidRPr="007122DF">
        <w:rPr>
          <w:rFonts w:ascii="Book Antiqua" w:hAnsi="Book Antiqua" w:cs="Times New Roman"/>
        </w:rPr>
        <w:t xml:space="preserve"> b</w:t>
      </w:r>
      <w:r w:rsidR="003C24CE" w:rsidRPr="007122DF">
        <w:rPr>
          <w:rFonts w:ascii="Book Antiqua" w:hAnsi="Book Antiqua" w:cs="Times New Roman"/>
        </w:rPr>
        <w:t>aseline</w:t>
      </w:r>
      <w:r w:rsidR="00CB06B3" w:rsidRPr="007122DF">
        <w:rPr>
          <w:rFonts w:ascii="Book Antiqua" w:hAnsi="Book Antiqua" w:cs="Times New Roman"/>
        </w:rPr>
        <w:t xml:space="preserve"> information</w:t>
      </w:r>
      <w:r w:rsidR="003C24CE" w:rsidRPr="007122DF">
        <w:rPr>
          <w:rFonts w:ascii="Book Antiqua" w:hAnsi="Book Antiqua" w:cs="Times New Roman"/>
        </w:rPr>
        <w:t>.</w:t>
      </w:r>
      <w:r w:rsidR="00F65AE6" w:rsidRPr="007122DF">
        <w:rPr>
          <w:rFonts w:ascii="Book Antiqua" w:hAnsi="Book Antiqua" w:cs="Times New Roman"/>
        </w:rPr>
        <w:t xml:space="preserve"> </w:t>
      </w:r>
      <w:r w:rsidRPr="007122DF">
        <w:rPr>
          <w:rFonts w:ascii="Book Antiqua" w:hAnsi="Book Antiqua" w:cs="Times New Roman"/>
        </w:rPr>
        <w:t>Recipients will include WBG task teams and government institutions</w:t>
      </w:r>
      <w:r w:rsidR="00BD45CE" w:rsidRPr="007122DF">
        <w:rPr>
          <w:rFonts w:ascii="Book Antiqua" w:hAnsi="Book Antiqua" w:cs="Times New Roman"/>
        </w:rPr>
        <w:t xml:space="preserve">. </w:t>
      </w:r>
      <w:r w:rsidR="00730E93" w:rsidRPr="007122DF">
        <w:rPr>
          <w:rFonts w:ascii="Book Antiqua" w:hAnsi="Book Antiqua" w:cs="Times New Roman"/>
        </w:rPr>
        <w:t xml:space="preserve">Activities financed will be administered under the Operational Policies and Procedures that apply to IBRD/IDA financing, including the WBG’s framework regarding governance and anti-corruption. </w:t>
      </w:r>
    </w:p>
    <w:p w14:paraId="081976EB" w14:textId="4988B361" w:rsidR="00BE33BB" w:rsidRPr="007122DF" w:rsidRDefault="00BE33BB" w:rsidP="007122DF">
      <w:pPr>
        <w:spacing w:after="240" w:line="240" w:lineRule="auto"/>
        <w:jc w:val="both"/>
        <w:rPr>
          <w:rFonts w:ascii="Book Antiqua" w:hAnsi="Book Antiqua" w:cs="Times New Roman"/>
          <w:b/>
        </w:rPr>
      </w:pPr>
      <w:r w:rsidRPr="007122DF">
        <w:rPr>
          <w:rFonts w:ascii="Book Antiqua" w:hAnsi="Book Antiqua" w:cs="Times New Roman"/>
          <w:b/>
        </w:rPr>
        <w:t>Dissemination and Outreach Strategy</w:t>
      </w:r>
    </w:p>
    <w:p w14:paraId="1C567CE3" w14:textId="34A3AB8F" w:rsidR="00BE33BB" w:rsidRPr="007122DF" w:rsidRDefault="00BE33BB" w:rsidP="007122DF">
      <w:pPr>
        <w:spacing w:after="240" w:line="240" w:lineRule="auto"/>
        <w:jc w:val="both"/>
        <w:rPr>
          <w:rFonts w:ascii="Book Antiqua" w:hAnsi="Book Antiqua" w:cs="Times New Roman"/>
          <w:b/>
        </w:rPr>
      </w:pPr>
      <w:r w:rsidRPr="007122DF">
        <w:rPr>
          <w:rFonts w:ascii="Book Antiqua" w:hAnsi="Book Antiqua" w:cs="Times New Roman"/>
          <w:lang w:val="en-AU"/>
        </w:rPr>
        <w:t>The dissemination strategy for the program will involve a multipronged approach targeting different stakeholder groups. The final products of this program, including the health security financing and institutional assessment tools will be disseminated and adopted in the participating countries. Furthermore, the program will organize a series of regional consultative meetings and knowledge exchange events to disseminate and share lessons learned from the program.</w:t>
      </w:r>
    </w:p>
    <w:p w14:paraId="428927FC" w14:textId="77777777" w:rsidR="00BE33BB" w:rsidRPr="007122DF" w:rsidRDefault="00BE33BB" w:rsidP="007122DF">
      <w:pPr>
        <w:spacing w:after="240" w:line="240" w:lineRule="auto"/>
        <w:jc w:val="both"/>
        <w:rPr>
          <w:rFonts w:ascii="Book Antiqua" w:hAnsi="Book Antiqua" w:cs="Times New Roman"/>
        </w:rPr>
      </w:pPr>
    </w:p>
    <w:sectPr w:rsidR="00BE33BB" w:rsidRPr="007122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CC269" w14:textId="77777777" w:rsidR="00D91E0B" w:rsidRDefault="00D91E0B" w:rsidP="00640746">
      <w:pPr>
        <w:spacing w:after="0" w:line="240" w:lineRule="auto"/>
      </w:pPr>
      <w:r>
        <w:separator/>
      </w:r>
    </w:p>
  </w:endnote>
  <w:endnote w:type="continuationSeparator" w:id="0">
    <w:p w14:paraId="18034A9B" w14:textId="77777777" w:rsidR="00D91E0B" w:rsidRDefault="00D91E0B" w:rsidP="0064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8947" w14:textId="77777777" w:rsidR="00DC3885" w:rsidRDefault="00DC3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440629"/>
      <w:docPartObj>
        <w:docPartGallery w:val="Page Numbers (Bottom of Page)"/>
        <w:docPartUnique/>
      </w:docPartObj>
    </w:sdtPr>
    <w:sdtEndPr>
      <w:rPr>
        <w:noProof/>
      </w:rPr>
    </w:sdtEndPr>
    <w:sdtContent>
      <w:p w14:paraId="2198633B" w14:textId="4443B0DE" w:rsidR="005E4C5C" w:rsidRDefault="005E4C5C">
        <w:pPr>
          <w:pStyle w:val="Footer"/>
          <w:jc w:val="center"/>
        </w:pPr>
        <w:r>
          <w:fldChar w:fldCharType="begin"/>
        </w:r>
        <w:r>
          <w:instrText xml:space="preserve"> PAGE   \* MERGEFORMAT </w:instrText>
        </w:r>
        <w:r>
          <w:fldChar w:fldCharType="separate"/>
        </w:r>
        <w:r w:rsidR="00DC3885">
          <w:rPr>
            <w:noProof/>
          </w:rPr>
          <w:t>4</w:t>
        </w:r>
        <w:r>
          <w:rPr>
            <w:noProof/>
          </w:rPr>
          <w:fldChar w:fldCharType="end"/>
        </w:r>
      </w:p>
    </w:sdtContent>
  </w:sdt>
  <w:p w14:paraId="7BAB655F" w14:textId="77777777" w:rsidR="005E4C5C" w:rsidRDefault="005E4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C6FA" w14:textId="77777777" w:rsidR="00DC3885" w:rsidRDefault="00DC3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E6A7C" w14:textId="77777777" w:rsidR="00D91E0B" w:rsidRDefault="00D91E0B" w:rsidP="00640746">
      <w:pPr>
        <w:spacing w:after="0" w:line="240" w:lineRule="auto"/>
      </w:pPr>
      <w:r>
        <w:separator/>
      </w:r>
    </w:p>
  </w:footnote>
  <w:footnote w:type="continuationSeparator" w:id="0">
    <w:p w14:paraId="61A9CB1B" w14:textId="77777777" w:rsidR="00D91E0B" w:rsidRDefault="00D91E0B" w:rsidP="00640746">
      <w:pPr>
        <w:spacing w:after="0" w:line="240" w:lineRule="auto"/>
      </w:pPr>
      <w:r>
        <w:continuationSeparator/>
      </w:r>
    </w:p>
  </w:footnote>
  <w:footnote w:id="1">
    <w:p w14:paraId="2A7EAFF7" w14:textId="77777777" w:rsidR="00BE33BB" w:rsidRPr="00693BCF" w:rsidRDefault="00BE33BB" w:rsidP="00BE33BB">
      <w:pPr>
        <w:pStyle w:val="FootnoteText"/>
        <w:rPr>
          <w:rFonts w:ascii="Times New Roman" w:hAnsi="Times New Roman" w:cs="Times New Roman"/>
        </w:rPr>
      </w:pPr>
      <w:r w:rsidRPr="00693BCF">
        <w:rPr>
          <w:rStyle w:val="FootnoteReference"/>
          <w:rFonts w:ascii="Times New Roman" w:hAnsi="Times New Roman" w:cs="Times New Roman"/>
        </w:rPr>
        <w:footnoteRef/>
      </w:r>
      <w:r w:rsidRPr="00693BCF">
        <w:rPr>
          <w:rFonts w:ascii="Times New Roman" w:hAnsi="Times New Roman" w:cs="Times New Roman"/>
        </w:rPr>
        <w:t xml:space="preserve"> International Health Regulations (2005, 2</w:t>
      </w:r>
      <w:r w:rsidRPr="00693BCF">
        <w:rPr>
          <w:rFonts w:ascii="Times New Roman" w:hAnsi="Times New Roman" w:cs="Times New Roman"/>
          <w:vertAlign w:val="superscript"/>
        </w:rPr>
        <w:t>nd</w:t>
      </w:r>
      <w:r w:rsidRPr="00693BCF">
        <w:rPr>
          <w:rFonts w:ascii="Times New Roman" w:hAnsi="Times New Roman" w:cs="Times New Roman"/>
        </w:rPr>
        <w:t xml:space="preserve"> ed. Geneva World Health Organization. 2008.</w:t>
      </w:r>
    </w:p>
  </w:footnote>
  <w:footnote w:id="2">
    <w:p w14:paraId="59315EBC" w14:textId="77777777" w:rsidR="00BE33BB" w:rsidRPr="00B43AEC" w:rsidRDefault="00BE33BB" w:rsidP="00BE33BB">
      <w:pPr>
        <w:pStyle w:val="FootnoteText"/>
        <w:rPr>
          <w:rFonts w:ascii="Times New Roman" w:hAnsi="Times New Roman" w:cs="Times New Roman"/>
        </w:rPr>
      </w:pPr>
      <w:r w:rsidRPr="00B43AEC">
        <w:rPr>
          <w:rStyle w:val="FootnoteReference"/>
          <w:rFonts w:ascii="Times New Roman" w:hAnsi="Times New Roman" w:cs="Times New Roman"/>
        </w:rPr>
        <w:footnoteRef/>
      </w:r>
      <w:r w:rsidRPr="00B43AEC">
        <w:rPr>
          <w:rFonts w:ascii="Times New Roman" w:hAnsi="Times New Roman" w:cs="Times New Roman"/>
        </w:rPr>
        <w:t xml:space="preserve"> World Health Organization. http://www.who.int/topics/international_health_regulations/en/</w:t>
      </w:r>
    </w:p>
  </w:footnote>
  <w:footnote w:id="3">
    <w:p w14:paraId="560C417D" w14:textId="77777777" w:rsidR="00BE33BB" w:rsidRDefault="00BE33BB" w:rsidP="00BE33BB">
      <w:pPr>
        <w:pStyle w:val="FootnoteText"/>
      </w:pPr>
      <w:r w:rsidRPr="00B43AEC">
        <w:rPr>
          <w:rStyle w:val="FootnoteReference"/>
          <w:rFonts w:ascii="Times New Roman" w:hAnsi="Times New Roman" w:cs="Times New Roman"/>
        </w:rPr>
        <w:footnoteRef/>
      </w:r>
      <w:r w:rsidRPr="00B43AEC">
        <w:rPr>
          <w:rFonts w:ascii="Times New Roman" w:hAnsi="Times New Roman" w:cs="Times New Roman"/>
        </w:rPr>
        <w:t xml:space="preserve"> Moon S, Sridhar D, Pate MA, Jha AK, Clinton C, Delaunay S, et al. Will Ebola change the game? Ten essential reforms before the next pandemic. The report of the Harvard-LSHTM Independent Panel on the Global Response to Ebola. Lancet. 2015; 386: 2204–21. doi: 10.1016/S0140-6736(15)00946-0. pmid:26615326</w:t>
      </w:r>
    </w:p>
  </w:footnote>
  <w:footnote w:id="4">
    <w:p w14:paraId="2F394788" w14:textId="77777777" w:rsidR="00BE33BB" w:rsidRDefault="00BE33BB" w:rsidP="00BE33BB">
      <w:pPr>
        <w:pStyle w:val="FootnoteText"/>
      </w:pPr>
      <w:r>
        <w:rPr>
          <w:rStyle w:val="FootnoteReference"/>
        </w:rPr>
        <w:footnoteRef/>
      </w:r>
      <w:r>
        <w:t xml:space="preserve"> </w:t>
      </w:r>
      <w:r>
        <w:rPr>
          <w:rStyle w:val="FootnoteReference"/>
        </w:rPr>
        <w:footnoteRef/>
      </w:r>
      <w:r>
        <w:t xml:space="preserve"> </w:t>
      </w:r>
      <w:r w:rsidRPr="002F079B">
        <w:rPr>
          <w:rFonts w:ascii="Times New Roman" w:hAnsi="Times New Roman" w:cs="Times New Roman"/>
        </w:rPr>
        <w:t xml:space="preserve">World Organization for Animal Health. </w:t>
      </w:r>
      <w:hyperlink r:id="rId1" w:history="1">
        <w:r w:rsidRPr="00670673">
          <w:rPr>
            <w:rStyle w:val="Hyperlink0"/>
            <w:rFonts w:ascii="Times New Roman" w:hAnsi="Times New Roman" w:cs="Times New Roman"/>
          </w:rPr>
          <w:t>http://www.oie.int/en/international-standard-setting/overview/</w:t>
        </w:r>
      </w:hyperlink>
      <w:r>
        <w:rPr>
          <w:rFonts w:ascii="Times New Roman" w:hAnsi="Times New Roman" w:cs="Times New Roman"/>
        </w:rPr>
        <w:t xml:space="preserve"> </w:t>
      </w:r>
    </w:p>
  </w:footnote>
  <w:footnote w:id="5">
    <w:p w14:paraId="4379EE32" w14:textId="77777777" w:rsidR="00BE33BB" w:rsidRPr="008D34C7" w:rsidRDefault="00BE33BB" w:rsidP="00BE33BB">
      <w:pPr>
        <w:pStyle w:val="FootnoteText"/>
        <w:rPr>
          <w:rFonts w:ascii="Times New Roman" w:hAnsi="Times New Roman" w:cs="Times New Roman"/>
        </w:rPr>
      </w:pPr>
      <w:r w:rsidRPr="008D34C7">
        <w:rPr>
          <w:rStyle w:val="FootnoteReference"/>
          <w:rFonts w:ascii="Times New Roman" w:hAnsi="Times New Roman" w:cs="Times New Roman"/>
        </w:rPr>
        <w:footnoteRef/>
      </w:r>
      <w:r w:rsidRPr="008D34C7">
        <w:rPr>
          <w:rFonts w:ascii="Times New Roman" w:hAnsi="Times New Roman" w:cs="Times New Roman"/>
        </w:rPr>
        <w:t xml:space="preserve"> World Bank Group. People, Pathogens, and Our Planet. Volume 1: Towards a One Health Approach for Controlling Zoonotic Diseases. 2010. </w:t>
      </w:r>
      <w:hyperlink r:id="rId2" w:history="1">
        <w:r w:rsidRPr="008D34C7">
          <w:rPr>
            <w:rFonts w:ascii="Times New Roman" w:hAnsi="Times New Roman" w:cs="Times New Roman"/>
          </w:rPr>
          <w:t>http://siteresources.worldbank.org/INTARD/Resources/PPP_Web.pdf</w:t>
        </w:r>
      </w:hyperlink>
      <w:r w:rsidRPr="008D34C7">
        <w:rPr>
          <w:rFonts w:ascii="Times New Roman" w:hAnsi="Times New Roman" w:cs="Times New Roman"/>
        </w:rPr>
        <w:t xml:space="preserve"> </w:t>
      </w:r>
    </w:p>
  </w:footnote>
  <w:footnote w:id="6">
    <w:p w14:paraId="37B3BA13" w14:textId="77777777" w:rsidR="00BE33BB" w:rsidRDefault="00BE33BB" w:rsidP="00BE33BB">
      <w:pPr>
        <w:pStyle w:val="FootnoteText"/>
      </w:pPr>
      <w:r>
        <w:rPr>
          <w:rStyle w:val="FootnoteReference"/>
        </w:rPr>
        <w:footnoteRef/>
      </w:r>
      <w:r>
        <w:t xml:space="preserve"> World Bank. </w:t>
      </w:r>
      <w:hyperlink r:id="rId3" w:history="1">
        <w:r w:rsidRPr="00203249">
          <w:rPr>
            <w:rStyle w:val="Hyperlink00"/>
          </w:rPr>
          <w:t>http://www.worldbank.org/en/topic/pandemics/overview</w:t>
        </w:r>
      </w:hyperlink>
      <w:r>
        <w:t xml:space="preserve"> </w:t>
      </w:r>
    </w:p>
  </w:footnote>
  <w:footnote w:id="7">
    <w:p w14:paraId="04F63071" w14:textId="77777777" w:rsidR="00BE33BB" w:rsidRDefault="00BE33BB" w:rsidP="00BE33BB">
      <w:pPr>
        <w:pStyle w:val="FootnoteText"/>
      </w:pPr>
      <w:r>
        <w:rPr>
          <w:rStyle w:val="FootnoteReference"/>
        </w:rPr>
        <w:footnoteRef/>
      </w:r>
      <w:r>
        <w:t xml:space="preserve"> Ghemawat, P and S Altman (2014), </w:t>
      </w:r>
      <w:r w:rsidRPr="00C61301">
        <w:rPr>
          <w:i/>
        </w:rPr>
        <w:t>DHL Global Connectedness Index</w:t>
      </w:r>
      <w:r>
        <w:t>, Bonn: Deutsche Post.</w:t>
      </w:r>
    </w:p>
  </w:footnote>
  <w:footnote w:id="8">
    <w:p w14:paraId="041EAE60" w14:textId="77777777" w:rsidR="005A721E" w:rsidRDefault="005A721E" w:rsidP="005A721E">
      <w:pPr>
        <w:pStyle w:val="FootnoteText"/>
      </w:pPr>
      <w:r>
        <w:rPr>
          <w:rStyle w:val="FootnoteReference"/>
        </w:rPr>
        <w:footnoteRef/>
      </w:r>
      <w:r>
        <w:t xml:space="preserve"> The objectives of the Technical Task Force include the following: </w:t>
      </w:r>
      <w:r w:rsidRPr="004E11FE">
        <w:t>(i) Guide and coordinate technical support for developing the health security financing assessment tool (HSFAT); (ii) Strengthen advocacy at country and regional levels to enhance political commitment and leadership and identify regional champions; and (iii) Serve as an advisory group to support interpretation of the results of health security financing assessment and make adju</w:t>
      </w:r>
      <w:r>
        <w:t xml:space="preserve">stments to the tool and process. </w:t>
      </w:r>
    </w:p>
  </w:footnote>
  <w:footnote w:id="9">
    <w:p w14:paraId="48FDB602" w14:textId="77777777" w:rsidR="005A721E" w:rsidRDefault="005A721E" w:rsidP="005A721E">
      <w:pPr>
        <w:pStyle w:val="FootnoteText"/>
      </w:pPr>
      <w:r>
        <w:rPr>
          <w:rStyle w:val="FootnoteReference"/>
        </w:rPr>
        <w:footnoteRef/>
      </w:r>
      <w:r>
        <w:t xml:space="preserve"> </w:t>
      </w:r>
      <w:r>
        <w:rPr>
          <w:rFonts w:ascii="Times New Roman" w:hAnsi="Times New Roman" w:cs="Times New Roman"/>
        </w:rPr>
        <w:t xml:space="preserve"> WHO, 2015. Handbook for the assessment of capacities at the human-animal interface</w:t>
      </w:r>
    </w:p>
  </w:footnote>
  <w:footnote w:id="10">
    <w:p w14:paraId="483C338F" w14:textId="77777777" w:rsidR="005A721E" w:rsidRPr="002F079B" w:rsidRDefault="005A721E" w:rsidP="005A721E">
      <w:pPr>
        <w:pStyle w:val="FootnoteText"/>
        <w:rPr>
          <w:rFonts w:ascii="Times New Roman" w:hAnsi="Times New Roman" w:cs="Times New Roman"/>
        </w:rPr>
      </w:pPr>
      <w:r>
        <w:rPr>
          <w:rStyle w:val="FootnoteReference"/>
        </w:rPr>
        <w:footnoteRef/>
      </w:r>
      <w:r>
        <w:t xml:space="preserve"> </w:t>
      </w:r>
      <w:r w:rsidRPr="002F079B">
        <w:rPr>
          <w:rFonts w:ascii="Times New Roman" w:hAnsi="Times New Roman" w:cs="Times New Roman"/>
        </w:rPr>
        <w:t>WHO-OIE Operational Framework for Good governance at the human-animal interface: Bridging WHO and OIE tools for the assessment of national capacities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3526C" w14:textId="77777777" w:rsidR="00DC3885" w:rsidRDefault="00DC3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93D18" w14:textId="77777777" w:rsidR="00DC3885" w:rsidRDefault="00DC3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5F42" w14:textId="77777777" w:rsidR="00DC3885" w:rsidRDefault="00DC3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542A844"/>
    <w:lvl w:ilvl="0" w:tplc="034CEF1E">
      <w:start w:val="1"/>
      <w:numFmt w:val="decimal"/>
      <w:lvlText w:val="%1."/>
      <w:lvlJc w:val="left"/>
      <w:pPr>
        <w:ind w:left="720" w:hanging="360"/>
      </w:pPr>
      <w:rPr>
        <w:rFonts w:hint="default"/>
      </w:rPr>
    </w:lvl>
    <w:lvl w:ilvl="1" w:tplc="E8F0E31C" w:tentative="1">
      <w:start w:val="1"/>
      <w:numFmt w:val="lowerLetter"/>
      <w:lvlText w:val="%2."/>
      <w:lvlJc w:val="left"/>
      <w:pPr>
        <w:ind w:left="1440" w:hanging="360"/>
      </w:pPr>
    </w:lvl>
    <w:lvl w:ilvl="2" w:tplc="25489578" w:tentative="1">
      <w:start w:val="1"/>
      <w:numFmt w:val="lowerRoman"/>
      <w:lvlText w:val="%3."/>
      <w:lvlJc w:val="right"/>
      <w:pPr>
        <w:ind w:left="2160" w:hanging="180"/>
      </w:pPr>
    </w:lvl>
    <w:lvl w:ilvl="3" w:tplc="BE704DBA" w:tentative="1">
      <w:start w:val="1"/>
      <w:numFmt w:val="decimal"/>
      <w:lvlText w:val="%4."/>
      <w:lvlJc w:val="left"/>
      <w:pPr>
        <w:ind w:left="2880" w:hanging="360"/>
      </w:pPr>
    </w:lvl>
    <w:lvl w:ilvl="4" w:tplc="668EEB14" w:tentative="1">
      <w:start w:val="1"/>
      <w:numFmt w:val="lowerLetter"/>
      <w:lvlText w:val="%5."/>
      <w:lvlJc w:val="left"/>
      <w:pPr>
        <w:ind w:left="3600" w:hanging="360"/>
      </w:pPr>
    </w:lvl>
    <w:lvl w:ilvl="5" w:tplc="23E09040" w:tentative="1">
      <w:start w:val="1"/>
      <w:numFmt w:val="lowerRoman"/>
      <w:lvlText w:val="%6."/>
      <w:lvlJc w:val="right"/>
      <w:pPr>
        <w:ind w:left="4320" w:hanging="180"/>
      </w:pPr>
    </w:lvl>
    <w:lvl w:ilvl="6" w:tplc="7F8C8E9C" w:tentative="1">
      <w:start w:val="1"/>
      <w:numFmt w:val="decimal"/>
      <w:lvlText w:val="%7."/>
      <w:lvlJc w:val="left"/>
      <w:pPr>
        <w:ind w:left="5040" w:hanging="360"/>
      </w:pPr>
    </w:lvl>
    <w:lvl w:ilvl="7" w:tplc="708AD0F4" w:tentative="1">
      <w:start w:val="1"/>
      <w:numFmt w:val="lowerLetter"/>
      <w:lvlText w:val="%8."/>
      <w:lvlJc w:val="left"/>
      <w:pPr>
        <w:ind w:left="5760" w:hanging="360"/>
      </w:pPr>
    </w:lvl>
    <w:lvl w:ilvl="8" w:tplc="BD6C773C" w:tentative="1">
      <w:start w:val="1"/>
      <w:numFmt w:val="lowerRoman"/>
      <w:lvlText w:val="%9."/>
      <w:lvlJc w:val="right"/>
      <w:pPr>
        <w:ind w:left="6480" w:hanging="180"/>
      </w:pPr>
    </w:lvl>
  </w:abstractNum>
  <w:abstractNum w:abstractNumId="1" w15:restartNumberingAfterBreak="0">
    <w:nsid w:val="00000002"/>
    <w:multiLevelType w:val="hybridMultilevel"/>
    <w:tmpl w:val="00029158"/>
    <w:lvl w:ilvl="0" w:tplc="8C32F0BA">
      <w:start w:val="1"/>
      <w:numFmt w:val="lowerRoman"/>
      <w:lvlText w:val="(%1)"/>
      <w:lvlJc w:val="left"/>
      <w:pPr>
        <w:ind w:left="1080" w:hanging="720"/>
      </w:pPr>
      <w:rPr>
        <w:rFonts w:hint="default"/>
      </w:rPr>
    </w:lvl>
    <w:lvl w:ilvl="1" w:tplc="A5C8864A" w:tentative="1">
      <w:start w:val="1"/>
      <w:numFmt w:val="lowerLetter"/>
      <w:lvlText w:val="%2."/>
      <w:lvlJc w:val="left"/>
      <w:pPr>
        <w:ind w:left="1440" w:hanging="360"/>
      </w:pPr>
    </w:lvl>
    <w:lvl w:ilvl="2" w:tplc="6D0E1502" w:tentative="1">
      <w:start w:val="1"/>
      <w:numFmt w:val="lowerRoman"/>
      <w:lvlText w:val="%3."/>
      <w:lvlJc w:val="right"/>
      <w:pPr>
        <w:ind w:left="2160" w:hanging="180"/>
      </w:pPr>
    </w:lvl>
    <w:lvl w:ilvl="3" w:tplc="4808DEBC" w:tentative="1">
      <w:start w:val="1"/>
      <w:numFmt w:val="decimal"/>
      <w:lvlText w:val="%4."/>
      <w:lvlJc w:val="left"/>
      <w:pPr>
        <w:ind w:left="2880" w:hanging="360"/>
      </w:pPr>
    </w:lvl>
    <w:lvl w:ilvl="4" w:tplc="79B47BAE" w:tentative="1">
      <w:start w:val="1"/>
      <w:numFmt w:val="lowerLetter"/>
      <w:lvlText w:val="%5."/>
      <w:lvlJc w:val="left"/>
      <w:pPr>
        <w:ind w:left="3600" w:hanging="360"/>
      </w:pPr>
    </w:lvl>
    <w:lvl w:ilvl="5" w:tplc="51D600E2" w:tentative="1">
      <w:start w:val="1"/>
      <w:numFmt w:val="lowerRoman"/>
      <w:lvlText w:val="%6."/>
      <w:lvlJc w:val="right"/>
      <w:pPr>
        <w:ind w:left="4320" w:hanging="180"/>
      </w:pPr>
    </w:lvl>
    <w:lvl w:ilvl="6" w:tplc="552C11F6" w:tentative="1">
      <w:start w:val="1"/>
      <w:numFmt w:val="decimal"/>
      <w:lvlText w:val="%7."/>
      <w:lvlJc w:val="left"/>
      <w:pPr>
        <w:ind w:left="5040" w:hanging="360"/>
      </w:pPr>
    </w:lvl>
    <w:lvl w:ilvl="7" w:tplc="847AB9DA" w:tentative="1">
      <w:start w:val="1"/>
      <w:numFmt w:val="lowerLetter"/>
      <w:lvlText w:val="%8."/>
      <w:lvlJc w:val="left"/>
      <w:pPr>
        <w:ind w:left="5760" w:hanging="360"/>
      </w:pPr>
    </w:lvl>
    <w:lvl w:ilvl="8" w:tplc="6ED8BD12" w:tentative="1">
      <w:start w:val="1"/>
      <w:numFmt w:val="lowerRoman"/>
      <w:lvlText w:val="%9."/>
      <w:lvlJc w:val="right"/>
      <w:pPr>
        <w:ind w:left="6480" w:hanging="180"/>
      </w:pPr>
    </w:lvl>
  </w:abstractNum>
  <w:abstractNum w:abstractNumId="2" w15:restartNumberingAfterBreak="0">
    <w:nsid w:val="00000003"/>
    <w:multiLevelType w:val="hybridMultilevel"/>
    <w:tmpl w:val="2548A0FC"/>
    <w:lvl w:ilvl="0" w:tplc="13C6EEEE">
      <w:start w:val="1"/>
      <w:numFmt w:val="bullet"/>
      <w:lvlText w:val=""/>
      <w:lvlJc w:val="left"/>
      <w:pPr>
        <w:ind w:left="720" w:hanging="360"/>
      </w:pPr>
      <w:rPr>
        <w:rFonts w:ascii="Symbol" w:hAnsi="Symbol" w:hint="default"/>
      </w:rPr>
    </w:lvl>
    <w:lvl w:ilvl="1" w:tplc="BAD0315E" w:tentative="1">
      <w:start w:val="1"/>
      <w:numFmt w:val="bullet"/>
      <w:lvlText w:val="o"/>
      <w:lvlJc w:val="left"/>
      <w:pPr>
        <w:ind w:left="1440" w:hanging="360"/>
      </w:pPr>
      <w:rPr>
        <w:rFonts w:ascii="Courier New" w:hAnsi="Courier New" w:cs="Courier New" w:hint="default"/>
      </w:rPr>
    </w:lvl>
    <w:lvl w:ilvl="2" w:tplc="6FC66EFC" w:tentative="1">
      <w:start w:val="1"/>
      <w:numFmt w:val="bullet"/>
      <w:lvlText w:val=""/>
      <w:lvlJc w:val="left"/>
      <w:pPr>
        <w:ind w:left="2160" w:hanging="360"/>
      </w:pPr>
      <w:rPr>
        <w:rFonts w:ascii="Wingdings" w:hAnsi="Wingdings" w:hint="default"/>
      </w:rPr>
    </w:lvl>
    <w:lvl w:ilvl="3" w:tplc="18C49A5E" w:tentative="1">
      <w:start w:val="1"/>
      <w:numFmt w:val="bullet"/>
      <w:lvlText w:val=""/>
      <w:lvlJc w:val="left"/>
      <w:pPr>
        <w:ind w:left="2880" w:hanging="360"/>
      </w:pPr>
      <w:rPr>
        <w:rFonts w:ascii="Symbol" w:hAnsi="Symbol" w:hint="default"/>
      </w:rPr>
    </w:lvl>
    <w:lvl w:ilvl="4" w:tplc="A51CD290" w:tentative="1">
      <w:start w:val="1"/>
      <w:numFmt w:val="bullet"/>
      <w:lvlText w:val="o"/>
      <w:lvlJc w:val="left"/>
      <w:pPr>
        <w:ind w:left="3600" w:hanging="360"/>
      </w:pPr>
      <w:rPr>
        <w:rFonts w:ascii="Courier New" w:hAnsi="Courier New" w:cs="Courier New" w:hint="default"/>
      </w:rPr>
    </w:lvl>
    <w:lvl w:ilvl="5" w:tplc="8BB4030A" w:tentative="1">
      <w:start w:val="1"/>
      <w:numFmt w:val="bullet"/>
      <w:lvlText w:val=""/>
      <w:lvlJc w:val="left"/>
      <w:pPr>
        <w:ind w:left="4320" w:hanging="360"/>
      </w:pPr>
      <w:rPr>
        <w:rFonts w:ascii="Wingdings" w:hAnsi="Wingdings" w:hint="default"/>
      </w:rPr>
    </w:lvl>
    <w:lvl w:ilvl="6" w:tplc="E89C3FC6" w:tentative="1">
      <w:start w:val="1"/>
      <w:numFmt w:val="bullet"/>
      <w:lvlText w:val=""/>
      <w:lvlJc w:val="left"/>
      <w:pPr>
        <w:ind w:left="5040" w:hanging="360"/>
      </w:pPr>
      <w:rPr>
        <w:rFonts w:ascii="Symbol" w:hAnsi="Symbol" w:hint="default"/>
      </w:rPr>
    </w:lvl>
    <w:lvl w:ilvl="7" w:tplc="FB12765C" w:tentative="1">
      <w:start w:val="1"/>
      <w:numFmt w:val="bullet"/>
      <w:lvlText w:val="o"/>
      <w:lvlJc w:val="left"/>
      <w:pPr>
        <w:ind w:left="5760" w:hanging="360"/>
      </w:pPr>
      <w:rPr>
        <w:rFonts w:ascii="Courier New" w:hAnsi="Courier New" w:cs="Courier New" w:hint="default"/>
      </w:rPr>
    </w:lvl>
    <w:lvl w:ilvl="8" w:tplc="18C82EBA"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A73C50C4"/>
    <w:lvl w:ilvl="0" w:tplc="6F1299A2">
      <w:start w:val="1"/>
      <w:numFmt w:val="lowerRoman"/>
      <w:lvlText w:val="(%1)"/>
      <w:lvlJc w:val="left"/>
      <w:pPr>
        <w:ind w:left="1080" w:hanging="720"/>
      </w:pPr>
      <w:rPr>
        <w:rFonts w:hint="default"/>
      </w:rPr>
    </w:lvl>
    <w:lvl w:ilvl="1" w:tplc="63D8D424">
      <w:start w:val="1"/>
      <w:numFmt w:val="lowerLetter"/>
      <w:lvlText w:val="%2."/>
      <w:lvlJc w:val="left"/>
      <w:pPr>
        <w:ind w:left="1440" w:hanging="360"/>
      </w:pPr>
    </w:lvl>
    <w:lvl w:ilvl="2" w:tplc="E02E0174" w:tentative="1">
      <w:start w:val="1"/>
      <w:numFmt w:val="lowerRoman"/>
      <w:lvlText w:val="%3."/>
      <w:lvlJc w:val="right"/>
      <w:pPr>
        <w:ind w:left="2160" w:hanging="180"/>
      </w:pPr>
    </w:lvl>
    <w:lvl w:ilvl="3" w:tplc="32D8E8B6" w:tentative="1">
      <w:start w:val="1"/>
      <w:numFmt w:val="decimal"/>
      <w:lvlText w:val="%4."/>
      <w:lvlJc w:val="left"/>
      <w:pPr>
        <w:ind w:left="2880" w:hanging="360"/>
      </w:pPr>
    </w:lvl>
    <w:lvl w:ilvl="4" w:tplc="1FA6694E" w:tentative="1">
      <w:start w:val="1"/>
      <w:numFmt w:val="lowerLetter"/>
      <w:lvlText w:val="%5."/>
      <w:lvlJc w:val="left"/>
      <w:pPr>
        <w:ind w:left="3600" w:hanging="360"/>
      </w:pPr>
    </w:lvl>
    <w:lvl w:ilvl="5" w:tplc="57C24320" w:tentative="1">
      <w:start w:val="1"/>
      <w:numFmt w:val="lowerRoman"/>
      <w:lvlText w:val="%6."/>
      <w:lvlJc w:val="right"/>
      <w:pPr>
        <w:ind w:left="4320" w:hanging="180"/>
      </w:pPr>
    </w:lvl>
    <w:lvl w:ilvl="6" w:tplc="86003DFC" w:tentative="1">
      <w:start w:val="1"/>
      <w:numFmt w:val="decimal"/>
      <w:lvlText w:val="%7."/>
      <w:lvlJc w:val="left"/>
      <w:pPr>
        <w:ind w:left="5040" w:hanging="360"/>
      </w:pPr>
    </w:lvl>
    <w:lvl w:ilvl="7" w:tplc="4E9A039E" w:tentative="1">
      <w:start w:val="1"/>
      <w:numFmt w:val="lowerLetter"/>
      <w:lvlText w:val="%8."/>
      <w:lvlJc w:val="left"/>
      <w:pPr>
        <w:ind w:left="5760" w:hanging="360"/>
      </w:pPr>
    </w:lvl>
    <w:lvl w:ilvl="8" w:tplc="37BECAB6" w:tentative="1">
      <w:start w:val="1"/>
      <w:numFmt w:val="lowerRoman"/>
      <w:lvlText w:val="%9."/>
      <w:lvlJc w:val="right"/>
      <w:pPr>
        <w:ind w:left="6480" w:hanging="180"/>
      </w:pPr>
    </w:lvl>
  </w:abstractNum>
  <w:abstractNum w:abstractNumId="4" w15:restartNumberingAfterBreak="0">
    <w:nsid w:val="00000005"/>
    <w:multiLevelType w:val="hybridMultilevel"/>
    <w:tmpl w:val="195E8644"/>
    <w:lvl w:ilvl="0" w:tplc="ED0A266A">
      <w:start w:val="1"/>
      <w:numFmt w:val="bullet"/>
      <w:lvlText w:val=""/>
      <w:lvlJc w:val="left"/>
      <w:pPr>
        <w:ind w:left="720" w:hanging="360"/>
      </w:pPr>
      <w:rPr>
        <w:rFonts w:ascii="Symbol" w:hAnsi="Symbol" w:hint="default"/>
      </w:rPr>
    </w:lvl>
    <w:lvl w:ilvl="1" w:tplc="190A180E">
      <w:numFmt w:val="bullet"/>
      <w:lvlText w:val="•"/>
      <w:lvlJc w:val="left"/>
      <w:pPr>
        <w:ind w:left="1800" w:hanging="720"/>
      </w:pPr>
      <w:rPr>
        <w:rFonts w:ascii="Times New Roman" w:eastAsiaTheme="minorHAnsi" w:hAnsi="Times New Roman" w:cs="Times New Roman" w:hint="default"/>
        <w:i/>
      </w:rPr>
    </w:lvl>
    <w:lvl w:ilvl="2" w:tplc="598E091A" w:tentative="1">
      <w:start w:val="1"/>
      <w:numFmt w:val="bullet"/>
      <w:lvlText w:val=""/>
      <w:lvlJc w:val="left"/>
      <w:pPr>
        <w:ind w:left="2160" w:hanging="360"/>
      </w:pPr>
      <w:rPr>
        <w:rFonts w:ascii="Wingdings" w:hAnsi="Wingdings" w:hint="default"/>
      </w:rPr>
    </w:lvl>
    <w:lvl w:ilvl="3" w:tplc="849CE0A0" w:tentative="1">
      <w:start w:val="1"/>
      <w:numFmt w:val="bullet"/>
      <w:lvlText w:val=""/>
      <w:lvlJc w:val="left"/>
      <w:pPr>
        <w:ind w:left="2880" w:hanging="360"/>
      </w:pPr>
      <w:rPr>
        <w:rFonts w:ascii="Symbol" w:hAnsi="Symbol" w:hint="default"/>
      </w:rPr>
    </w:lvl>
    <w:lvl w:ilvl="4" w:tplc="0250238C" w:tentative="1">
      <w:start w:val="1"/>
      <w:numFmt w:val="bullet"/>
      <w:lvlText w:val="o"/>
      <w:lvlJc w:val="left"/>
      <w:pPr>
        <w:ind w:left="3600" w:hanging="360"/>
      </w:pPr>
      <w:rPr>
        <w:rFonts w:ascii="Courier New" w:hAnsi="Courier New" w:cs="Courier New" w:hint="default"/>
      </w:rPr>
    </w:lvl>
    <w:lvl w:ilvl="5" w:tplc="08F61F4E" w:tentative="1">
      <w:start w:val="1"/>
      <w:numFmt w:val="bullet"/>
      <w:lvlText w:val=""/>
      <w:lvlJc w:val="left"/>
      <w:pPr>
        <w:ind w:left="4320" w:hanging="360"/>
      </w:pPr>
      <w:rPr>
        <w:rFonts w:ascii="Wingdings" w:hAnsi="Wingdings" w:hint="default"/>
      </w:rPr>
    </w:lvl>
    <w:lvl w:ilvl="6" w:tplc="32D4511E" w:tentative="1">
      <w:start w:val="1"/>
      <w:numFmt w:val="bullet"/>
      <w:lvlText w:val=""/>
      <w:lvlJc w:val="left"/>
      <w:pPr>
        <w:ind w:left="5040" w:hanging="360"/>
      </w:pPr>
      <w:rPr>
        <w:rFonts w:ascii="Symbol" w:hAnsi="Symbol" w:hint="default"/>
      </w:rPr>
    </w:lvl>
    <w:lvl w:ilvl="7" w:tplc="54F25BE2" w:tentative="1">
      <w:start w:val="1"/>
      <w:numFmt w:val="bullet"/>
      <w:lvlText w:val="o"/>
      <w:lvlJc w:val="left"/>
      <w:pPr>
        <w:ind w:left="5760" w:hanging="360"/>
      </w:pPr>
      <w:rPr>
        <w:rFonts w:ascii="Courier New" w:hAnsi="Courier New" w:cs="Courier New" w:hint="default"/>
      </w:rPr>
    </w:lvl>
    <w:lvl w:ilvl="8" w:tplc="810A0454"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12B8762C"/>
    <w:lvl w:ilvl="0" w:tplc="0BD43D70">
      <w:start w:val="1"/>
      <w:numFmt w:val="lowerRoman"/>
      <w:lvlText w:val="(%1)"/>
      <w:lvlJc w:val="left"/>
      <w:pPr>
        <w:ind w:left="1080" w:hanging="720"/>
      </w:pPr>
      <w:rPr>
        <w:rFonts w:hint="default"/>
      </w:rPr>
    </w:lvl>
    <w:lvl w:ilvl="1" w:tplc="3D7C4864" w:tentative="1">
      <w:start w:val="1"/>
      <w:numFmt w:val="lowerLetter"/>
      <w:lvlText w:val="%2."/>
      <w:lvlJc w:val="left"/>
      <w:pPr>
        <w:ind w:left="1440" w:hanging="360"/>
      </w:pPr>
    </w:lvl>
    <w:lvl w:ilvl="2" w:tplc="8AAA0B08" w:tentative="1">
      <w:start w:val="1"/>
      <w:numFmt w:val="lowerRoman"/>
      <w:lvlText w:val="%3."/>
      <w:lvlJc w:val="right"/>
      <w:pPr>
        <w:ind w:left="2160" w:hanging="180"/>
      </w:pPr>
    </w:lvl>
    <w:lvl w:ilvl="3" w:tplc="A3F8D4F6" w:tentative="1">
      <w:start w:val="1"/>
      <w:numFmt w:val="decimal"/>
      <w:lvlText w:val="%4."/>
      <w:lvlJc w:val="left"/>
      <w:pPr>
        <w:ind w:left="2880" w:hanging="360"/>
      </w:pPr>
    </w:lvl>
    <w:lvl w:ilvl="4" w:tplc="9A984156" w:tentative="1">
      <w:start w:val="1"/>
      <w:numFmt w:val="lowerLetter"/>
      <w:lvlText w:val="%5."/>
      <w:lvlJc w:val="left"/>
      <w:pPr>
        <w:ind w:left="3600" w:hanging="360"/>
      </w:pPr>
    </w:lvl>
    <w:lvl w:ilvl="5" w:tplc="FC5611DA" w:tentative="1">
      <w:start w:val="1"/>
      <w:numFmt w:val="lowerRoman"/>
      <w:lvlText w:val="%6."/>
      <w:lvlJc w:val="right"/>
      <w:pPr>
        <w:ind w:left="4320" w:hanging="180"/>
      </w:pPr>
    </w:lvl>
    <w:lvl w:ilvl="6" w:tplc="597695EA" w:tentative="1">
      <w:start w:val="1"/>
      <w:numFmt w:val="decimal"/>
      <w:lvlText w:val="%7."/>
      <w:lvlJc w:val="left"/>
      <w:pPr>
        <w:ind w:left="5040" w:hanging="360"/>
      </w:pPr>
    </w:lvl>
    <w:lvl w:ilvl="7" w:tplc="C7801768" w:tentative="1">
      <w:start w:val="1"/>
      <w:numFmt w:val="lowerLetter"/>
      <w:lvlText w:val="%8."/>
      <w:lvlJc w:val="left"/>
      <w:pPr>
        <w:ind w:left="5760" w:hanging="360"/>
      </w:pPr>
    </w:lvl>
    <w:lvl w:ilvl="8" w:tplc="30769F94" w:tentative="1">
      <w:start w:val="1"/>
      <w:numFmt w:val="lowerRoman"/>
      <w:lvlText w:val="%9."/>
      <w:lvlJc w:val="right"/>
      <w:pPr>
        <w:ind w:left="6480" w:hanging="180"/>
      </w:pPr>
    </w:lvl>
  </w:abstractNum>
  <w:abstractNum w:abstractNumId="6" w15:restartNumberingAfterBreak="0">
    <w:nsid w:val="00000007"/>
    <w:multiLevelType w:val="hybridMultilevel"/>
    <w:tmpl w:val="B06EDFCE"/>
    <w:lvl w:ilvl="0" w:tplc="08E45DC4">
      <w:start w:val="1"/>
      <w:numFmt w:val="bullet"/>
      <w:lvlText w:val=""/>
      <w:lvlJc w:val="left"/>
      <w:pPr>
        <w:ind w:left="720" w:hanging="360"/>
      </w:pPr>
      <w:rPr>
        <w:rFonts w:ascii="Symbol" w:hAnsi="Symbol" w:hint="default"/>
      </w:rPr>
    </w:lvl>
    <w:lvl w:ilvl="1" w:tplc="B400135A" w:tentative="1">
      <w:start w:val="1"/>
      <w:numFmt w:val="bullet"/>
      <w:lvlText w:val="o"/>
      <w:lvlJc w:val="left"/>
      <w:pPr>
        <w:ind w:left="1440" w:hanging="360"/>
      </w:pPr>
      <w:rPr>
        <w:rFonts w:ascii="Courier New" w:hAnsi="Courier New" w:cs="Courier New" w:hint="default"/>
      </w:rPr>
    </w:lvl>
    <w:lvl w:ilvl="2" w:tplc="CEEEF766" w:tentative="1">
      <w:start w:val="1"/>
      <w:numFmt w:val="bullet"/>
      <w:lvlText w:val=""/>
      <w:lvlJc w:val="left"/>
      <w:pPr>
        <w:ind w:left="2160" w:hanging="360"/>
      </w:pPr>
      <w:rPr>
        <w:rFonts w:ascii="Wingdings" w:hAnsi="Wingdings" w:hint="default"/>
      </w:rPr>
    </w:lvl>
    <w:lvl w:ilvl="3" w:tplc="B9824CF6" w:tentative="1">
      <w:start w:val="1"/>
      <w:numFmt w:val="bullet"/>
      <w:lvlText w:val=""/>
      <w:lvlJc w:val="left"/>
      <w:pPr>
        <w:ind w:left="2880" w:hanging="360"/>
      </w:pPr>
      <w:rPr>
        <w:rFonts w:ascii="Symbol" w:hAnsi="Symbol" w:hint="default"/>
      </w:rPr>
    </w:lvl>
    <w:lvl w:ilvl="4" w:tplc="DDDA9726" w:tentative="1">
      <w:start w:val="1"/>
      <w:numFmt w:val="bullet"/>
      <w:lvlText w:val="o"/>
      <w:lvlJc w:val="left"/>
      <w:pPr>
        <w:ind w:left="3600" w:hanging="360"/>
      </w:pPr>
      <w:rPr>
        <w:rFonts w:ascii="Courier New" w:hAnsi="Courier New" w:cs="Courier New" w:hint="default"/>
      </w:rPr>
    </w:lvl>
    <w:lvl w:ilvl="5" w:tplc="00A8AA92" w:tentative="1">
      <w:start w:val="1"/>
      <w:numFmt w:val="bullet"/>
      <w:lvlText w:val=""/>
      <w:lvlJc w:val="left"/>
      <w:pPr>
        <w:ind w:left="4320" w:hanging="360"/>
      </w:pPr>
      <w:rPr>
        <w:rFonts w:ascii="Wingdings" w:hAnsi="Wingdings" w:hint="default"/>
      </w:rPr>
    </w:lvl>
    <w:lvl w:ilvl="6" w:tplc="382C7A62" w:tentative="1">
      <w:start w:val="1"/>
      <w:numFmt w:val="bullet"/>
      <w:lvlText w:val=""/>
      <w:lvlJc w:val="left"/>
      <w:pPr>
        <w:ind w:left="5040" w:hanging="360"/>
      </w:pPr>
      <w:rPr>
        <w:rFonts w:ascii="Symbol" w:hAnsi="Symbol" w:hint="default"/>
      </w:rPr>
    </w:lvl>
    <w:lvl w:ilvl="7" w:tplc="859E940E" w:tentative="1">
      <w:start w:val="1"/>
      <w:numFmt w:val="bullet"/>
      <w:lvlText w:val="o"/>
      <w:lvlJc w:val="left"/>
      <w:pPr>
        <w:ind w:left="5760" w:hanging="360"/>
      </w:pPr>
      <w:rPr>
        <w:rFonts w:ascii="Courier New" w:hAnsi="Courier New" w:cs="Courier New" w:hint="default"/>
      </w:rPr>
    </w:lvl>
    <w:lvl w:ilvl="8" w:tplc="687E1348"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94C82F84"/>
    <w:lvl w:ilvl="0" w:tplc="1BCCA698">
      <w:start w:val="1"/>
      <w:numFmt w:val="bullet"/>
      <w:lvlText w:val=""/>
      <w:lvlJc w:val="left"/>
      <w:pPr>
        <w:ind w:left="144" w:hanging="144"/>
      </w:pPr>
      <w:rPr>
        <w:rFonts w:ascii="Wingdings" w:hAnsi="Wingdings" w:hint="default"/>
      </w:rPr>
    </w:lvl>
    <w:lvl w:ilvl="1" w:tplc="89C821A2" w:tentative="1">
      <w:start w:val="1"/>
      <w:numFmt w:val="bullet"/>
      <w:lvlText w:val="o"/>
      <w:lvlJc w:val="left"/>
      <w:pPr>
        <w:ind w:left="1080" w:hanging="360"/>
      </w:pPr>
      <w:rPr>
        <w:rFonts w:ascii="Courier New" w:hAnsi="Courier New" w:cs="Courier New" w:hint="default"/>
      </w:rPr>
    </w:lvl>
    <w:lvl w:ilvl="2" w:tplc="8D00A9C6" w:tentative="1">
      <w:start w:val="1"/>
      <w:numFmt w:val="bullet"/>
      <w:lvlText w:val=""/>
      <w:lvlJc w:val="left"/>
      <w:pPr>
        <w:ind w:left="1800" w:hanging="360"/>
      </w:pPr>
      <w:rPr>
        <w:rFonts w:ascii="Wingdings" w:hAnsi="Wingdings" w:hint="default"/>
      </w:rPr>
    </w:lvl>
    <w:lvl w:ilvl="3" w:tplc="98D6C6A0" w:tentative="1">
      <w:start w:val="1"/>
      <w:numFmt w:val="bullet"/>
      <w:lvlText w:val=""/>
      <w:lvlJc w:val="left"/>
      <w:pPr>
        <w:ind w:left="2520" w:hanging="360"/>
      </w:pPr>
      <w:rPr>
        <w:rFonts w:ascii="Symbol" w:hAnsi="Symbol" w:hint="default"/>
      </w:rPr>
    </w:lvl>
    <w:lvl w:ilvl="4" w:tplc="9AC640DA" w:tentative="1">
      <w:start w:val="1"/>
      <w:numFmt w:val="bullet"/>
      <w:lvlText w:val="o"/>
      <w:lvlJc w:val="left"/>
      <w:pPr>
        <w:ind w:left="3240" w:hanging="360"/>
      </w:pPr>
      <w:rPr>
        <w:rFonts w:ascii="Courier New" w:hAnsi="Courier New" w:cs="Courier New" w:hint="default"/>
      </w:rPr>
    </w:lvl>
    <w:lvl w:ilvl="5" w:tplc="4F225362" w:tentative="1">
      <w:start w:val="1"/>
      <w:numFmt w:val="bullet"/>
      <w:lvlText w:val=""/>
      <w:lvlJc w:val="left"/>
      <w:pPr>
        <w:ind w:left="3960" w:hanging="360"/>
      </w:pPr>
      <w:rPr>
        <w:rFonts w:ascii="Wingdings" w:hAnsi="Wingdings" w:hint="default"/>
      </w:rPr>
    </w:lvl>
    <w:lvl w:ilvl="6" w:tplc="27F4470A" w:tentative="1">
      <w:start w:val="1"/>
      <w:numFmt w:val="bullet"/>
      <w:lvlText w:val=""/>
      <w:lvlJc w:val="left"/>
      <w:pPr>
        <w:ind w:left="4680" w:hanging="360"/>
      </w:pPr>
      <w:rPr>
        <w:rFonts w:ascii="Symbol" w:hAnsi="Symbol" w:hint="default"/>
      </w:rPr>
    </w:lvl>
    <w:lvl w:ilvl="7" w:tplc="DAAA589C" w:tentative="1">
      <w:start w:val="1"/>
      <w:numFmt w:val="bullet"/>
      <w:lvlText w:val="o"/>
      <w:lvlJc w:val="left"/>
      <w:pPr>
        <w:ind w:left="5400" w:hanging="360"/>
      </w:pPr>
      <w:rPr>
        <w:rFonts w:ascii="Courier New" w:hAnsi="Courier New" w:cs="Courier New" w:hint="default"/>
      </w:rPr>
    </w:lvl>
    <w:lvl w:ilvl="8" w:tplc="B5DADA56" w:tentative="1">
      <w:start w:val="1"/>
      <w:numFmt w:val="bullet"/>
      <w:lvlText w:val=""/>
      <w:lvlJc w:val="left"/>
      <w:pPr>
        <w:ind w:left="6120" w:hanging="360"/>
      </w:pPr>
      <w:rPr>
        <w:rFonts w:ascii="Wingdings" w:hAnsi="Wingdings" w:hint="default"/>
      </w:rPr>
    </w:lvl>
  </w:abstractNum>
  <w:abstractNum w:abstractNumId="8" w15:restartNumberingAfterBreak="0">
    <w:nsid w:val="00000009"/>
    <w:multiLevelType w:val="hybridMultilevel"/>
    <w:tmpl w:val="03BA30AE"/>
    <w:lvl w:ilvl="0" w:tplc="D17E8FEE">
      <w:start w:val="1"/>
      <w:numFmt w:val="bullet"/>
      <w:lvlText w:val=""/>
      <w:lvlJc w:val="left"/>
      <w:pPr>
        <w:ind w:left="288" w:hanging="144"/>
      </w:pPr>
      <w:rPr>
        <w:rFonts w:ascii="Wingdings" w:hAnsi="Wingdings" w:hint="default"/>
      </w:rPr>
    </w:lvl>
    <w:lvl w:ilvl="1" w:tplc="111EF436" w:tentative="1">
      <w:start w:val="1"/>
      <w:numFmt w:val="bullet"/>
      <w:lvlText w:val="o"/>
      <w:lvlJc w:val="left"/>
      <w:pPr>
        <w:ind w:left="1584" w:hanging="360"/>
      </w:pPr>
      <w:rPr>
        <w:rFonts w:ascii="Courier New" w:hAnsi="Courier New" w:cs="Courier New" w:hint="default"/>
      </w:rPr>
    </w:lvl>
    <w:lvl w:ilvl="2" w:tplc="74FA2676" w:tentative="1">
      <w:start w:val="1"/>
      <w:numFmt w:val="bullet"/>
      <w:lvlText w:val=""/>
      <w:lvlJc w:val="left"/>
      <w:pPr>
        <w:ind w:left="2304" w:hanging="360"/>
      </w:pPr>
      <w:rPr>
        <w:rFonts w:ascii="Wingdings" w:hAnsi="Wingdings" w:hint="default"/>
      </w:rPr>
    </w:lvl>
    <w:lvl w:ilvl="3" w:tplc="E23EF10C" w:tentative="1">
      <w:start w:val="1"/>
      <w:numFmt w:val="bullet"/>
      <w:lvlText w:val=""/>
      <w:lvlJc w:val="left"/>
      <w:pPr>
        <w:ind w:left="3024" w:hanging="360"/>
      </w:pPr>
      <w:rPr>
        <w:rFonts w:ascii="Symbol" w:hAnsi="Symbol" w:hint="default"/>
      </w:rPr>
    </w:lvl>
    <w:lvl w:ilvl="4" w:tplc="193ED342" w:tentative="1">
      <w:start w:val="1"/>
      <w:numFmt w:val="bullet"/>
      <w:lvlText w:val="o"/>
      <w:lvlJc w:val="left"/>
      <w:pPr>
        <w:ind w:left="3744" w:hanging="360"/>
      </w:pPr>
      <w:rPr>
        <w:rFonts w:ascii="Courier New" w:hAnsi="Courier New" w:cs="Courier New" w:hint="default"/>
      </w:rPr>
    </w:lvl>
    <w:lvl w:ilvl="5" w:tplc="2698DAD2" w:tentative="1">
      <w:start w:val="1"/>
      <w:numFmt w:val="bullet"/>
      <w:lvlText w:val=""/>
      <w:lvlJc w:val="left"/>
      <w:pPr>
        <w:ind w:left="4464" w:hanging="360"/>
      </w:pPr>
      <w:rPr>
        <w:rFonts w:ascii="Wingdings" w:hAnsi="Wingdings" w:hint="default"/>
      </w:rPr>
    </w:lvl>
    <w:lvl w:ilvl="6" w:tplc="57C20DFE" w:tentative="1">
      <w:start w:val="1"/>
      <w:numFmt w:val="bullet"/>
      <w:lvlText w:val=""/>
      <w:lvlJc w:val="left"/>
      <w:pPr>
        <w:ind w:left="5184" w:hanging="360"/>
      </w:pPr>
      <w:rPr>
        <w:rFonts w:ascii="Symbol" w:hAnsi="Symbol" w:hint="default"/>
      </w:rPr>
    </w:lvl>
    <w:lvl w:ilvl="7" w:tplc="3CE443FA" w:tentative="1">
      <w:start w:val="1"/>
      <w:numFmt w:val="bullet"/>
      <w:lvlText w:val="o"/>
      <w:lvlJc w:val="left"/>
      <w:pPr>
        <w:ind w:left="5904" w:hanging="360"/>
      </w:pPr>
      <w:rPr>
        <w:rFonts w:ascii="Courier New" w:hAnsi="Courier New" w:cs="Courier New" w:hint="default"/>
      </w:rPr>
    </w:lvl>
    <w:lvl w:ilvl="8" w:tplc="3C18E0DC" w:tentative="1">
      <w:start w:val="1"/>
      <w:numFmt w:val="bullet"/>
      <w:lvlText w:val=""/>
      <w:lvlJc w:val="left"/>
      <w:pPr>
        <w:ind w:left="6624" w:hanging="360"/>
      </w:pPr>
      <w:rPr>
        <w:rFonts w:ascii="Wingdings" w:hAnsi="Wingdings" w:hint="default"/>
      </w:rPr>
    </w:lvl>
  </w:abstractNum>
  <w:abstractNum w:abstractNumId="9" w15:restartNumberingAfterBreak="0">
    <w:nsid w:val="0000000A"/>
    <w:multiLevelType w:val="hybridMultilevel"/>
    <w:tmpl w:val="204C718A"/>
    <w:lvl w:ilvl="0" w:tplc="9A0EAAB0">
      <w:start w:val="1"/>
      <w:numFmt w:val="bullet"/>
      <w:lvlText w:val=""/>
      <w:lvlJc w:val="left"/>
      <w:pPr>
        <w:ind w:left="144" w:hanging="144"/>
      </w:pPr>
      <w:rPr>
        <w:rFonts w:ascii="Wingdings" w:hAnsi="Wingdings" w:hint="default"/>
      </w:rPr>
    </w:lvl>
    <w:lvl w:ilvl="1" w:tplc="AF668000" w:tentative="1">
      <w:start w:val="1"/>
      <w:numFmt w:val="bullet"/>
      <w:lvlText w:val="o"/>
      <w:lvlJc w:val="left"/>
      <w:pPr>
        <w:ind w:left="1440" w:hanging="360"/>
      </w:pPr>
      <w:rPr>
        <w:rFonts w:ascii="Courier New" w:hAnsi="Courier New" w:cs="Courier New" w:hint="default"/>
      </w:rPr>
    </w:lvl>
    <w:lvl w:ilvl="2" w:tplc="F468C3A8" w:tentative="1">
      <w:start w:val="1"/>
      <w:numFmt w:val="bullet"/>
      <w:lvlText w:val=""/>
      <w:lvlJc w:val="left"/>
      <w:pPr>
        <w:ind w:left="2160" w:hanging="360"/>
      </w:pPr>
      <w:rPr>
        <w:rFonts w:ascii="Wingdings" w:hAnsi="Wingdings" w:hint="default"/>
      </w:rPr>
    </w:lvl>
    <w:lvl w:ilvl="3" w:tplc="A6BAD2BA" w:tentative="1">
      <w:start w:val="1"/>
      <w:numFmt w:val="bullet"/>
      <w:lvlText w:val=""/>
      <w:lvlJc w:val="left"/>
      <w:pPr>
        <w:ind w:left="2880" w:hanging="360"/>
      </w:pPr>
      <w:rPr>
        <w:rFonts w:ascii="Symbol" w:hAnsi="Symbol" w:hint="default"/>
      </w:rPr>
    </w:lvl>
    <w:lvl w:ilvl="4" w:tplc="E83253F8" w:tentative="1">
      <w:start w:val="1"/>
      <w:numFmt w:val="bullet"/>
      <w:lvlText w:val="o"/>
      <w:lvlJc w:val="left"/>
      <w:pPr>
        <w:ind w:left="3600" w:hanging="360"/>
      </w:pPr>
      <w:rPr>
        <w:rFonts w:ascii="Courier New" w:hAnsi="Courier New" w:cs="Courier New" w:hint="default"/>
      </w:rPr>
    </w:lvl>
    <w:lvl w:ilvl="5" w:tplc="B6E4C350" w:tentative="1">
      <w:start w:val="1"/>
      <w:numFmt w:val="bullet"/>
      <w:lvlText w:val=""/>
      <w:lvlJc w:val="left"/>
      <w:pPr>
        <w:ind w:left="4320" w:hanging="360"/>
      </w:pPr>
      <w:rPr>
        <w:rFonts w:ascii="Wingdings" w:hAnsi="Wingdings" w:hint="default"/>
      </w:rPr>
    </w:lvl>
    <w:lvl w:ilvl="6" w:tplc="738063B2" w:tentative="1">
      <w:start w:val="1"/>
      <w:numFmt w:val="bullet"/>
      <w:lvlText w:val=""/>
      <w:lvlJc w:val="left"/>
      <w:pPr>
        <w:ind w:left="5040" w:hanging="360"/>
      </w:pPr>
      <w:rPr>
        <w:rFonts w:ascii="Symbol" w:hAnsi="Symbol" w:hint="default"/>
      </w:rPr>
    </w:lvl>
    <w:lvl w:ilvl="7" w:tplc="26F29CCC" w:tentative="1">
      <w:start w:val="1"/>
      <w:numFmt w:val="bullet"/>
      <w:lvlText w:val="o"/>
      <w:lvlJc w:val="left"/>
      <w:pPr>
        <w:ind w:left="5760" w:hanging="360"/>
      </w:pPr>
      <w:rPr>
        <w:rFonts w:ascii="Courier New" w:hAnsi="Courier New" w:cs="Courier New" w:hint="default"/>
      </w:rPr>
    </w:lvl>
    <w:lvl w:ilvl="8" w:tplc="EECA3C9A" w:tentative="1">
      <w:start w:val="1"/>
      <w:numFmt w:val="bullet"/>
      <w:lvlText w:val=""/>
      <w:lvlJc w:val="left"/>
      <w:pPr>
        <w:ind w:left="6480" w:hanging="360"/>
      </w:pPr>
      <w:rPr>
        <w:rFonts w:ascii="Wingdings" w:hAnsi="Wingdings" w:hint="default"/>
      </w:rPr>
    </w:lvl>
  </w:abstractNum>
  <w:abstractNum w:abstractNumId="10" w15:restartNumberingAfterBreak="0">
    <w:nsid w:val="022036EE"/>
    <w:multiLevelType w:val="hybridMultilevel"/>
    <w:tmpl w:val="2548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1776F"/>
    <w:multiLevelType w:val="hybridMultilevel"/>
    <w:tmpl w:val="7910BD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07D76496"/>
    <w:multiLevelType w:val="hybridMultilevel"/>
    <w:tmpl w:val="5A08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68408A"/>
    <w:multiLevelType w:val="hybridMultilevel"/>
    <w:tmpl w:val="47DE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62D95"/>
    <w:multiLevelType w:val="hybridMultilevel"/>
    <w:tmpl w:val="E1F4E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404345"/>
    <w:multiLevelType w:val="hybridMultilevel"/>
    <w:tmpl w:val="D002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B1C61"/>
    <w:multiLevelType w:val="multilevel"/>
    <w:tmpl w:val="F28ECC72"/>
    <w:lvl w:ilvl="0">
      <w:start w:val="1"/>
      <w:numFmt w:val="lowerRoman"/>
      <w:lvlText w:val="%1)"/>
      <w:lvlJc w:val="left"/>
      <w:pPr>
        <w:ind w:left="0" w:firstLine="0"/>
      </w:pPr>
      <w:rPr>
        <w:rFonts w:hint="default"/>
      </w:rPr>
    </w:lvl>
    <w:lvl w:ilvl="1">
      <w:start w:val="1"/>
      <w:numFmt w:val="none"/>
      <w:lvlText w:val="i)"/>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5F403E"/>
    <w:multiLevelType w:val="hybridMultilevel"/>
    <w:tmpl w:val="F894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F6524"/>
    <w:multiLevelType w:val="hybridMultilevel"/>
    <w:tmpl w:val="E13E8AD0"/>
    <w:lvl w:ilvl="0" w:tplc="3008334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673B5"/>
    <w:multiLevelType w:val="hybridMultilevel"/>
    <w:tmpl w:val="E2B624EA"/>
    <w:lvl w:ilvl="0" w:tplc="435CB4FE">
      <w:start w:val="1"/>
      <w:numFmt w:val="decimal"/>
      <w:lvlText w:val="%1."/>
      <w:lvlJc w:val="left"/>
      <w:pPr>
        <w:ind w:left="72" w:firstLine="288"/>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160880"/>
    <w:multiLevelType w:val="hybridMultilevel"/>
    <w:tmpl w:val="6DEE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84BD7"/>
    <w:multiLevelType w:val="hybridMultilevel"/>
    <w:tmpl w:val="8A20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A0FCF"/>
    <w:multiLevelType w:val="hybridMultilevel"/>
    <w:tmpl w:val="00EA5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D84E24"/>
    <w:multiLevelType w:val="hybridMultilevel"/>
    <w:tmpl w:val="2492455A"/>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24" w15:restartNumberingAfterBreak="0">
    <w:nsid w:val="3E3664D1"/>
    <w:multiLevelType w:val="hybridMultilevel"/>
    <w:tmpl w:val="E21848CA"/>
    <w:lvl w:ilvl="0" w:tplc="AD12FF36">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696232"/>
    <w:multiLevelType w:val="hybridMultilevel"/>
    <w:tmpl w:val="195E8644"/>
    <w:lvl w:ilvl="0" w:tplc="04090001">
      <w:start w:val="1"/>
      <w:numFmt w:val="bullet"/>
      <w:lvlText w:val=""/>
      <w:lvlJc w:val="left"/>
      <w:pPr>
        <w:ind w:left="720" w:hanging="360"/>
      </w:pPr>
      <w:rPr>
        <w:rFonts w:ascii="Symbol" w:hAnsi="Symbol" w:hint="default"/>
      </w:rPr>
    </w:lvl>
    <w:lvl w:ilvl="1" w:tplc="88F83070">
      <w:numFmt w:val="bullet"/>
      <w:lvlText w:val="•"/>
      <w:lvlJc w:val="left"/>
      <w:pPr>
        <w:ind w:left="1800" w:hanging="720"/>
      </w:pPr>
      <w:rPr>
        <w:rFonts w:ascii="Times New Roman" w:eastAsiaTheme="minorHAnsi"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759BB"/>
    <w:multiLevelType w:val="hybridMultilevel"/>
    <w:tmpl w:val="541C2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E4AD3"/>
    <w:multiLevelType w:val="hybridMultilevel"/>
    <w:tmpl w:val="B06E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92330"/>
    <w:multiLevelType w:val="hybridMultilevel"/>
    <w:tmpl w:val="A858E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9D574E"/>
    <w:multiLevelType w:val="hybridMultilevel"/>
    <w:tmpl w:val="0310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B3774"/>
    <w:multiLevelType w:val="hybridMultilevel"/>
    <w:tmpl w:val="CC36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52F88"/>
    <w:multiLevelType w:val="hybridMultilevel"/>
    <w:tmpl w:val="569E68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94247C"/>
    <w:multiLevelType w:val="hybridMultilevel"/>
    <w:tmpl w:val="ABC4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C7B0F"/>
    <w:multiLevelType w:val="hybridMultilevel"/>
    <w:tmpl w:val="2878F280"/>
    <w:lvl w:ilvl="0" w:tplc="BED8FA88">
      <w:start w:val="1"/>
      <w:numFmt w:val="bullet"/>
      <w:lvlText w:val=""/>
      <w:lvlJc w:val="left"/>
      <w:pPr>
        <w:ind w:left="1090" w:hanging="360"/>
      </w:pPr>
      <w:rPr>
        <w:rFonts w:ascii="Symbol" w:hAnsi="Symbol" w:hint="default"/>
        <w:color w:val="auto"/>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34" w15:restartNumberingAfterBreak="0">
    <w:nsid w:val="66517584"/>
    <w:multiLevelType w:val="hybridMultilevel"/>
    <w:tmpl w:val="51B862AE"/>
    <w:lvl w:ilvl="0" w:tplc="300833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75091"/>
    <w:multiLevelType w:val="hybridMultilevel"/>
    <w:tmpl w:val="6B2269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562B51"/>
    <w:multiLevelType w:val="hybridMultilevel"/>
    <w:tmpl w:val="1856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71B12"/>
    <w:multiLevelType w:val="hybridMultilevel"/>
    <w:tmpl w:val="7E421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8090E"/>
    <w:multiLevelType w:val="hybridMultilevel"/>
    <w:tmpl w:val="0854F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38"/>
  </w:num>
  <w:num w:numId="4">
    <w:abstractNumId w:val="15"/>
  </w:num>
  <w:num w:numId="5">
    <w:abstractNumId w:val="22"/>
  </w:num>
  <w:num w:numId="6">
    <w:abstractNumId w:val="16"/>
  </w:num>
  <w:num w:numId="7">
    <w:abstractNumId w:val="25"/>
  </w:num>
  <w:num w:numId="8">
    <w:abstractNumId w:val="21"/>
  </w:num>
  <w:num w:numId="9">
    <w:abstractNumId w:val="29"/>
  </w:num>
  <w:num w:numId="10">
    <w:abstractNumId w:val="30"/>
  </w:num>
  <w:num w:numId="11">
    <w:abstractNumId w:val="33"/>
  </w:num>
  <w:num w:numId="12">
    <w:abstractNumId w:val="23"/>
  </w:num>
  <w:num w:numId="13">
    <w:abstractNumId w:val="20"/>
  </w:num>
  <w:num w:numId="14">
    <w:abstractNumId w:val="26"/>
  </w:num>
  <w:num w:numId="15">
    <w:abstractNumId w:val="37"/>
  </w:num>
  <w:num w:numId="16">
    <w:abstractNumId w:val="18"/>
  </w:num>
  <w:num w:numId="17">
    <w:abstractNumId w:val="34"/>
  </w:num>
  <w:num w:numId="18">
    <w:abstractNumId w:val="13"/>
  </w:num>
  <w:num w:numId="19">
    <w:abstractNumId w:val="31"/>
  </w:num>
  <w:num w:numId="20">
    <w:abstractNumId w:val="12"/>
  </w:num>
  <w:num w:numId="21">
    <w:abstractNumId w:val="19"/>
  </w:num>
  <w:num w:numId="22">
    <w:abstractNumId w:val="36"/>
  </w:num>
  <w:num w:numId="23">
    <w:abstractNumId w:val="24"/>
  </w:num>
  <w:num w:numId="24">
    <w:abstractNumId w:val="10"/>
  </w:num>
  <w:num w:numId="25">
    <w:abstractNumId w:val="27"/>
  </w:num>
  <w:num w:numId="26">
    <w:abstractNumId w:val="11"/>
  </w:num>
  <w:num w:numId="27">
    <w:abstractNumId w:val="32"/>
  </w:num>
  <w:num w:numId="28">
    <w:abstractNumId w:val="14"/>
  </w:num>
  <w:num w:numId="29">
    <w:abstractNumId w:val="1"/>
  </w:num>
  <w:num w:numId="30">
    <w:abstractNumId w:val="2"/>
  </w:num>
  <w:num w:numId="31">
    <w:abstractNumId w:val="3"/>
  </w:num>
  <w:num w:numId="32">
    <w:abstractNumId w:val="4"/>
  </w:num>
  <w:num w:numId="33">
    <w:abstractNumId w:val="6"/>
  </w:num>
  <w:num w:numId="34">
    <w:abstractNumId w:val="5"/>
  </w:num>
  <w:num w:numId="35">
    <w:abstractNumId w:val="7"/>
  </w:num>
  <w:num w:numId="36">
    <w:abstractNumId w:val="8"/>
  </w:num>
  <w:num w:numId="37">
    <w:abstractNumId w:val="9"/>
  </w:num>
  <w:num w:numId="38">
    <w:abstractNumId w:val="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0D"/>
    <w:rsid w:val="00007348"/>
    <w:rsid w:val="00011245"/>
    <w:rsid w:val="000329A9"/>
    <w:rsid w:val="00046F9D"/>
    <w:rsid w:val="00055ACB"/>
    <w:rsid w:val="0006185F"/>
    <w:rsid w:val="00062883"/>
    <w:rsid w:val="000729D8"/>
    <w:rsid w:val="000747BE"/>
    <w:rsid w:val="00074D05"/>
    <w:rsid w:val="000765B0"/>
    <w:rsid w:val="00076C7D"/>
    <w:rsid w:val="00081259"/>
    <w:rsid w:val="00081F0C"/>
    <w:rsid w:val="00087CD8"/>
    <w:rsid w:val="000934BD"/>
    <w:rsid w:val="000A5FDB"/>
    <w:rsid w:val="000C32D7"/>
    <w:rsid w:val="000D352D"/>
    <w:rsid w:val="000E30ED"/>
    <w:rsid w:val="000E34F6"/>
    <w:rsid w:val="000F0103"/>
    <w:rsid w:val="001118DC"/>
    <w:rsid w:val="001154B0"/>
    <w:rsid w:val="00116B2A"/>
    <w:rsid w:val="00133F95"/>
    <w:rsid w:val="00136C76"/>
    <w:rsid w:val="00155506"/>
    <w:rsid w:val="00157D68"/>
    <w:rsid w:val="00161CD0"/>
    <w:rsid w:val="00167FE7"/>
    <w:rsid w:val="00171A38"/>
    <w:rsid w:val="00174B00"/>
    <w:rsid w:val="0018015E"/>
    <w:rsid w:val="00181D72"/>
    <w:rsid w:val="00194A3D"/>
    <w:rsid w:val="00196712"/>
    <w:rsid w:val="001C0EEF"/>
    <w:rsid w:val="001C4C2C"/>
    <w:rsid w:val="001C5656"/>
    <w:rsid w:val="001D028F"/>
    <w:rsid w:val="001D27D3"/>
    <w:rsid w:val="001D2884"/>
    <w:rsid w:val="001E31E8"/>
    <w:rsid w:val="001F09B1"/>
    <w:rsid w:val="001F24B1"/>
    <w:rsid w:val="0021584F"/>
    <w:rsid w:val="002320FC"/>
    <w:rsid w:val="0024137E"/>
    <w:rsid w:val="002430FB"/>
    <w:rsid w:val="00284FDF"/>
    <w:rsid w:val="00292FB7"/>
    <w:rsid w:val="002A06FD"/>
    <w:rsid w:val="002A247C"/>
    <w:rsid w:val="002B5FD3"/>
    <w:rsid w:val="002C5868"/>
    <w:rsid w:val="002D6F0D"/>
    <w:rsid w:val="002E31D6"/>
    <w:rsid w:val="002E72FC"/>
    <w:rsid w:val="002F1668"/>
    <w:rsid w:val="002F1A74"/>
    <w:rsid w:val="003027DE"/>
    <w:rsid w:val="003034D3"/>
    <w:rsid w:val="003164D4"/>
    <w:rsid w:val="003174E6"/>
    <w:rsid w:val="0032368D"/>
    <w:rsid w:val="00325EFB"/>
    <w:rsid w:val="00335869"/>
    <w:rsid w:val="00347CE0"/>
    <w:rsid w:val="00354536"/>
    <w:rsid w:val="003572CC"/>
    <w:rsid w:val="00361974"/>
    <w:rsid w:val="0037662D"/>
    <w:rsid w:val="003802A4"/>
    <w:rsid w:val="00385DF5"/>
    <w:rsid w:val="0039285F"/>
    <w:rsid w:val="00395600"/>
    <w:rsid w:val="003A6CE9"/>
    <w:rsid w:val="003B2679"/>
    <w:rsid w:val="003B291F"/>
    <w:rsid w:val="003B71BD"/>
    <w:rsid w:val="003C0175"/>
    <w:rsid w:val="003C146B"/>
    <w:rsid w:val="003C24CE"/>
    <w:rsid w:val="003C6702"/>
    <w:rsid w:val="003D17C0"/>
    <w:rsid w:val="003D695D"/>
    <w:rsid w:val="003D7279"/>
    <w:rsid w:val="003E0DC0"/>
    <w:rsid w:val="003F7FDF"/>
    <w:rsid w:val="00404140"/>
    <w:rsid w:val="0040542B"/>
    <w:rsid w:val="004074D0"/>
    <w:rsid w:val="004101C3"/>
    <w:rsid w:val="004116F4"/>
    <w:rsid w:val="00412F5E"/>
    <w:rsid w:val="00414F89"/>
    <w:rsid w:val="00422568"/>
    <w:rsid w:val="00434177"/>
    <w:rsid w:val="0046618F"/>
    <w:rsid w:val="00470D11"/>
    <w:rsid w:val="00472181"/>
    <w:rsid w:val="00481B0F"/>
    <w:rsid w:val="004A1241"/>
    <w:rsid w:val="004D11FB"/>
    <w:rsid w:val="004E29D2"/>
    <w:rsid w:val="004E7C77"/>
    <w:rsid w:val="004F43EF"/>
    <w:rsid w:val="00500A4D"/>
    <w:rsid w:val="00502117"/>
    <w:rsid w:val="0050396C"/>
    <w:rsid w:val="005072A1"/>
    <w:rsid w:val="00507923"/>
    <w:rsid w:val="00514161"/>
    <w:rsid w:val="0051480C"/>
    <w:rsid w:val="005336AF"/>
    <w:rsid w:val="00542A7B"/>
    <w:rsid w:val="005742BB"/>
    <w:rsid w:val="00576F32"/>
    <w:rsid w:val="005803AC"/>
    <w:rsid w:val="00581DEF"/>
    <w:rsid w:val="005935E4"/>
    <w:rsid w:val="00596B29"/>
    <w:rsid w:val="005A0FE3"/>
    <w:rsid w:val="005A424F"/>
    <w:rsid w:val="005A4B0E"/>
    <w:rsid w:val="005A721E"/>
    <w:rsid w:val="005B0B5A"/>
    <w:rsid w:val="005B4768"/>
    <w:rsid w:val="005C00C4"/>
    <w:rsid w:val="005D46DF"/>
    <w:rsid w:val="005D6C62"/>
    <w:rsid w:val="005E4C5C"/>
    <w:rsid w:val="005E78AB"/>
    <w:rsid w:val="005F039B"/>
    <w:rsid w:val="005F150B"/>
    <w:rsid w:val="005F3E95"/>
    <w:rsid w:val="005F4FA4"/>
    <w:rsid w:val="005F53AF"/>
    <w:rsid w:val="005F7550"/>
    <w:rsid w:val="00601D7D"/>
    <w:rsid w:val="006161EB"/>
    <w:rsid w:val="00616872"/>
    <w:rsid w:val="00620B1C"/>
    <w:rsid w:val="00627BE2"/>
    <w:rsid w:val="0063353A"/>
    <w:rsid w:val="00640746"/>
    <w:rsid w:val="006451B8"/>
    <w:rsid w:val="00651654"/>
    <w:rsid w:val="0066444F"/>
    <w:rsid w:val="00664F5A"/>
    <w:rsid w:val="00665E32"/>
    <w:rsid w:val="00674F12"/>
    <w:rsid w:val="006778C3"/>
    <w:rsid w:val="006845A4"/>
    <w:rsid w:val="00691D27"/>
    <w:rsid w:val="006A09DE"/>
    <w:rsid w:val="006A0F8D"/>
    <w:rsid w:val="006A3D32"/>
    <w:rsid w:val="006A50B9"/>
    <w:rsid w:val="006A7292"/>
    <w:rsid w:val="006B10D6"/>
    <w:rsid w:val="006B3D25"/>
    <w:rsid w:val="006C1FD0"/>
    <w:rsid w:val="006C3D87"/>
    <w:rsid w:val="006D136F"/>
    <w:rsid w:val="006D4472"/>
    <w:rsid w:val="006F1D9D"/>
    <w:rsid w:val="006F41AB"/>
    <w:rsid w:val="00700F1E"/>
    <w:rsid w:val="007038C9"/>
    <w:rsid w:val="007122DF"/>
    <w:rsid w:val="00720355"/>
    <w:rsid w:val="00722F53"/>
    <w:rsid w:val="00726135"/>
    <w:rsid w:val="00730E93"/>
    <w:rsid w:val="00731CE9"/>
    <w:rsid w:val="00733AF1"/>
    <w:rsid w:val="007378B3"/>
    <w:rsid w:val="00740479"/>
    <w:rsid w:val="00744FCC"/>
    <w:rsid w:val="00756E35"/>
    <w:rsid w:val="00766489"/>
    <w:rsid w:val="0076689E"/>
    <w:rsid w:val="00770547"/>
    <w:rsid w:val="007955DF"/>
    <w:rsid w:val="007A5839"/>
    <w:rsid w:val="007B2647"/>
    <w:rsid w:val="007C16F9"/>
    <w:rsid w:val="007D2A54"/>
    <w:rsid w:val="007E1E27"/>
    <w:rsid w:val="007E21A5"/>
    <w:rsid w:val="007F3B43"/>
    <w:rsid w:val="007F4BD9"/>
    <w:rsid w:val="008070DF"/>
    <w:rsid w:val="00814648"/>
    <w:rsid w:val="008223C7"/>
    <w:rsid w:val="0082612A"/>
    <w:rsid w:val="00834C6E"/>
    <w:rsid w:val="00851C2D"/>
    <w:rsid w:val="00853E7D"/>
    <w:rsid w:val="008578F3"/>
    <w:rsid w:val="008733F7"/>
    <w:rsid w:val="0087655A"/>
    <w:rsid w:val="00880EDA"/>
    <w:rsid w:val="00887CE3"/>
    <w:rsid w:val="008B0545"/>
    <w:rsid w:val="008C160A"/>
    <w:rsid w:val="008C35AB"/>
    <w:rsid w:val="008C55FB"/>
    <w:rsid w:val="008D7450"/>
    <w:rsid w:val="008D773B"/>
    <w:rsid w:val="008E0A26"/>
    <w:rsid w:val="008E454D"/>
    <w:rsid w:val="00900FE8"/>
    <w:rsid w:val="00904874"/>
    <w:rsid w:val="009050FD"/>
    <w:rsid w:val="00905213"/>
    <w:rsid w:val="00941102"/>
    <w:rsid w:val="00941197"/>
    <w:rsid w:val="009431AA"/>
    <w:rsid w:val="00946A1E"/>
    <w:rsid w:val="009523F0"/>
    <w:rsid w:val="00963F0D"/>
    <w:rsid w:val="00973055"/>
    <w:rsid w:val="00987D32"/>
    <w:rsid w:val="009C103A"/>
    <w:rsid w:val="009C1657"/>
    <w:rsid w:val="009C1DFB"/>
    <w:rsid w:val="009D0CBC"/>
    <w:rsid w:val="009E230C"/>
    <w:rsid w:val="009E35BD"/>
    <w:rsid w:val="009E60E9"/>
    <w:rsid w:val="009F3248"/>
    <w:rsid w:val="00A14847"/>
    <w:rsid w:val="00A250A8"/>
    <w:rsid w:val="00A27B14"/>
    <w:rsid w:val="00A334DF"/>
    <w:rsid w:val="00A410F7"/>
    <w:rsid w:val="00A435B2"/>
    <w:rsid w:val="00A44FA4"/>
    <w:rsid w:val="00A51236"/>
    <w:rsid w:val="00A57E35"/>
    <w:rsid w:val="00A609B3"/>
    <w:rsid w:val="00A60B99"/>
    <w:rsid w:val="00A618B6"/>
    <w:rsid w:val="00A62510"/>
    <w:rsid w:val="00A72842"/>
    <w:rsid w:val="00A802FD"/>
    <w:rsid w:val="00A87E34"/>
    <w:rsid w:val="00AA76F3"/>
    <w:rsid w:val="00AB29D3"/>
    <w:rsid w:val="00AC3107"/>
    <w:rsid w:val="00AC3B7B"/>
    <w:rsid w:val="00AC6F58"/>
    <w:rsid w:val="00AC7DED"/>
    <w:rsid w:val="00AD5791"/>
    <w:rsid w:val="00AD682B"/>
    <w:rsid w:val="00AD747D"/>
    <w:rsid w:val="00AE0444"/>
    <w:rsid w:val="00AE3487"/>
    <w:rsid w:val="00AF45BE"/>
    <w:rsid w:val="00B1109A"/>
    <w:rsid w:val="00B12DDC"/>
    <w:rsid w:val="00B14AEB"/>
    <w:rsid w:val="00B21AE7"/>
    <w:rsid w:val="00B53FB8"/>
    <w:rsid w:val="00B7094F"/>
    <w:rsid w:val="00B70D3B"/>
    <w:rsid w:val="00B7721C"/>
    <w:rsid w:val="00B93DA7"/>
    <w:rsid w:val="00BA77F7"/>
    <w:rsid w:val="00BB20E2"/>
    <w:rsid w:val="00BB71FC"/>
    <w:rsid w:val="00BC5CB1"/>
    <w:rsid w:val="00BD45CE"/>
    <w:rsid w:val="00BD460A"/>
    <w:rsid w:val="00BE33BB"/>
    <w:rsid w:val="00C03CEC"/>
    <w:rsid w:val="00C04A21"/>
    <w:rsid w:val="00C05351"/>
    <w:rsid w:val="00C11C90"/>
    <w:rsid w:val="00C1554A"/>
    <w:rsid w:val="00C158DF"/>
    <w:rsid w:val="00C15D44"/>
    <w:rsid w:val="00C23D1D"/>
    <w:rsid w:val="00C24BF3"/>
    <w:rsid w:val="00C25700"/>
    <w:rsid w:val="00C43C9A"/>
    <w:rsid w:val="00C5621D"/>
    <w:rsid w:val="00C57A88"/>
    <w:rsid w:val="00C61301"/>
    <w:rsid w:val="00C634F9"/>
    <w:rsid w:val="00C6546D"/>
    <w:rsid w:val="00C656FD"/>
    <w:rsid w:val="00C72E47"/>
    <w:rsid w:val="00C738B9"/>
    <w:rsid w:val="00C7610B"/>
    <w:rsid w:val="00C76F6C"/>
    <w:rsid w:val="00C91518"/>
    <w:rsid w:val="00C93913"/>
    <w:rsid w:val="00CA3591"/>
    <w:rsid w:val="00CB06B3"/>
    <w:rsid w:val="00CD073C"/>
    <w:rsid w:val="00CE14D3"/>
    <w:rsid w:val="00CE5D10"/>
    <w:rsid w:val="00CF45FC"/>
    <w:rsid w:val="00CF6E80"/>
    <w:rsid w:val="00D102D0"/>
    <w:rsid w:val="00D1457D"/>
    <w:rsid w:val="00D26FBF"/>
    <w:rsid w:val="00D36FC6"/>
    <w:rsid w:val="00D45660"/>
    <w:rsid w:val="00D64FBF"/>
    <w:rsid w:val="00D7105B"/>
    <w:rsid w:val="00D81E8F"/>
    <w:rsid w:val="00D86013"/>
    <w:rsid w:val="00D9058B"/>
    <w:rsid w:val="00D91E0B"/>
    <w:rsid w:val="00DA6BF7"/>
    <w:rsid w:val="00DA7969"/>
    <w:rsid w:val="00DB6E4C"/>
    <w:rsid w:val="00DC021C"/>
    <w:rsid w:val="00DC1D03"/>
    <w:rsid w:val="00DC2F6C"/>
    <w:rsid w:val="00DC3885"/>
    <w:rsid w:val="00DC43C7"/>
    <w:rsid w:val="00DD1D5E"/>
    <w:rsid w:val="00DD295F"/>
    <w:rsid w:val="00DD2DE7"/>
    <w:rsid w:val="00DE4143"/>
    <w:rsid w:val="00DE444C"/>
    <w:rsid w:val="00DE48D2"/>
    <w:rsid w:val="00DF0ECD"/>
    <w:rsid w:val="00DF6BCD"/>
    <w:rsid w:val="00E05638"/>
    <w:rsid w:val="00E16DD0"/>
    <w:rsid w:val="00E2135E"/>
    <w:rsid w:val="00E21B94"/>
    <w:rsid w:val="00E30D26"/>
    <w:rsid w:val="00E41452"/>
    <w:rsid w:val="00E45967"/>
    <w:rsid w:val="00E47FE1"/>
    <w:rsid w:val="00E544B7"/>
    <w:rsid w:val="00E734D2"/>
    <w:rsid w:val="00E75502"/>
    <w:rsid w:val="00E75A5B"/>
    <w:rsid w:val="00E81228"/>
    <w:rsid w:val="00E81250"/>
    <w:rsid w:val="00E938E0"/>
    <w:rsid w:val="00EB1682"/>
    <w:rsid w:val="00EB5E39"/>
    <w:rsid w:val="00ED641A"/>
    <w:rsid w:val="00EE7B65"/>
    <w:rsid w:val="00EF37F6"/>
    <w:rsid w:val="00EF58B4"/>
    <w:rsid w:val="00F123D6"/>
    <w:rsid w:val="00F27314"/>
    <w:rsid w:val="00F3290A"/>
    <w:rsid w:val="00F35C48"/>
    <w:rsid w:val="00F362B1"/>
    <w:rsid w:val="00F372DA"/>
    <w:rsid w:val="00F47889"/>
    <w:rsid w:val="00F52BA0"/>
    <w:rsid w:val="00F54A22"/>
    <w:rsid w:val="00F65AE6"/>
    <w:rsid w:val="00F72FEE"/>
    <w:rsid w:val="00F762C4"/>
    <w:rsid w:val="00F835F0"/>
    <w:rsid w:val="00F92B4F"/>
    <w:rsid w:val="00F973B6"/>
    <w:rsid w:val="00FA7CB2"/>
    <w:rsid w:val="00FB4D73"/>
    <w:rsid w:val="00FB5376"/>
    <w:rsid w:val="00FB6AF6"/>
    <w:rsid w:val="00FC56A0"/>
    <w:rsid w:val="00FD3CB0"/>
    <w:rsid w:val="00FD4F54"/>
    <w:rsid w:val="00FE5A93"/>
    <w:rsid w:val="00FF0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85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FE7"/>
  </w:style>
  <w:style w:type="paragraph" w:styleId="Heading1">
    <w:name w:val="heading 1"/>
    <w:basedOn w:val="Normal"/>
    <w:next w:val="Normal"/>
    <w:link w:val="Heading1Char"/>
    <w:uiPriority w:val="9"/>
    <w:qFormat/>
    <w:rsid w:val="00730E93"/>
    <w:pPr>
      <w:keepNext/>
      <w:spacing w:after="0" w:line="240" w:lineRule="auto"/>
      <w:jc w:val="both"/>
      <w:outlineLvl w:val="0"/>
    </w:pPr>
    <w:rPr>
      <w:rFonts w:ascii="Book Antiqua" w:eastAsiaTheme="majorEastAsia" w:hAnsi="Book Antiqua" w:cstheme="majorBidi"/>
      <w:b/>
      <w:bCs/>
      <w:i/>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63F0D"/>
    <w:pPr>
      <w:spacing w:after="200" w:line="240" w:lineRule="auto"/>
    </w:pPr>
    <w:rPr>
      <w:i/>
      <w:iCs/>
      <w:color w:val="44546A" w:themeColor="text2"/>
      <w:sz w:val="18"/>
      <w:szCs w:val="18"/>
    </w:rPr>
  </w:style>
  <w:style w:type="paragraph" w:styleId="ListParagraph">
    <w:name w:val="List Paragraph"/>
    <w:aliases w:val="Bullet Paragraph,123 List Paragraph,Numbered Paragraph,Main numbered paragraph,References,Numbered List Paragraph,Bullets,List Paragraph (numbered (a)),List Paragraph nowy,Liste 1,List_Paragraph,Multilevel para_II,List Paragraph1"/>
    <w:basedOn w:val="Normal"/>
    <w:link w:val="ListParagraphChar"/>
    <w:uiPriority w:val="34"/>
    <w:qFormat/>
    <w:rsid w:val="00963F0D"/>
    <w:pPr>
      <w:ind w:left="720"/>
      <w:contextualSpacing/>
    </w:pPr>
  </w:style>
  <w:style w:type="table" w:customStyle="1" w:styleId="TableGridLight1">
    <w:name w:val="Table Grid Light1"/>
    <w:basedOn w:val="TableNormal"/>
    <w:next w:val="TableGridLight2"/>
    <w:uiPriority w:val="99"/>
    <w:rsid w:val="003B71BD"/>
    <w:pPr>
      <w:spacing w:before="100" w:after="0" w:line="240" w:lineRule="auto"/>
    </w:pPr>
    <w:rPr>
      <w:rFonts w:eastAsia="MS Minch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mbria" w:hAnsi="Cambria"/>
        <w:b/>
        <w:color w:val="FFFFFF"/>
        <w:sz w:val="22"/>
      </w:rPr>
      <w:tblPr/>
      <w:tcPr>
        <w:shd w:val="clear" w:color="auto" w:fill="07111E"/>
      </w:tcPr>
    </w:tblStylePr>
  </w:style>
  <w:style w:type="table" w:customStyle="1" w:styleId="TableGridLight2">
    <w:name w:val="Table Grid Light2"/>
    <w:basedOn w:val="TableNormal"/>
    <w:uiPriority w:val="40"/>
    <w:rsid w:val="003B71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DF6BCD"/>
    <w:pPr>
      <w:tabs>
        <w:tab w:val="center" w:pos="4680"/>
        <w:tab w:val="right" w:pos="9360"/>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DF6BCD"/>
    <w:rPr>
      <w:rFonts w:eastAsiaTheme="minorEastAsia"/>
      <w:sz w:val="20"/>
      <w:szCs w:val="20"/>
    </w:rPr>
  </w:style>
  <w:style w:type="table" w:styleId="TableGrid">
    <w:name w:val="Table Grid"/>
    <w:basedOn w:val="TableNormal"/>
    <w:uiPriority w:val="39"/>
    <w:rsid w:val="00DF6B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0746"/>
    <w:pPr>
      <w:spacing w:after="0" w:line="240" w:lineRule="auto"/>
    </w:pPr>
    <w:rPr>
      <w:sz w:val="20"/>
      <w:szCs w:val="20"/>
    </w:rPr>
  </w:style>
  <w:style w:type="character" w:customStyle="1" w:styleId="FootnoteTextChar">
    <w:name w:val="Footnote Text Char"/>
    <w:basedOn w:val="DefaultParagraphFont"/>
    <w:link w:val="FootnoteText"/>
    <w:uiPriority w:val="99"/>
    <w:rsid w:val="00640746"/>
    <w:rPr>
      <w:sz w:val="20"/>
      <w:szCs w:val="20"/>
    </w:rPr>
  </w:style>
  <w:style w:type="character" w:styleId="FootnoteReference">
    <w:name w:val="footnote reference"/>
    <w:basedOn w:val="DefaultParagraphFont"/>
    <w:uiPriority w:val="99"/>
    <w:unhideWhenUsed/>
    <w:rsid w:val="00640746"/>
    <w:rPr>
      <w:vertAlign w:val="superscript"/>
    </w:rPr>
  </w:style>
  <w:style w:type="paragraph" w:styleId="EndnoteText">
    <w:name w:val="endnote text"/>
    <w:basedOn w:val="Normal"/>
    <w:link w:val="EndnoteTextChar"/>
    <w:uiPriority w:val="99"/>
    <w:unhideWhenUsed/>
    <w:rsid w:val="005D6C62"/>
    <w:pPr>
      <w:spacing w:after="0" w:line="240" w:lineRule="auto"/>
    </w:pPr>
    <w:rPr>
      <w:sz w:val="20"/>
      <w:szCs w:val="20"/>
    </w:rPr>
  </w:style>
  <w:style w:type="character" w:customStyle="1" w:styleId="EndnoteTextChar">
    <w:name w:val="Endnote Text Char"/>
    <w:basedOn w:val="DefaultParagraphFont"/>
    <w:link w:val="EndnoteText"/>
    <w:uiPriority w:val="99"/>
    <w:rsid w:val="005D6C62"/>
    <w:rPr>
      <w:sz w:val="20"/>
      <w:szCs w:val="20"/>
    </w:rPr>
  </w:style>
  <w:style w:type="character" w:styleId="EndnoteReference">
    <w:name w:val="endnote reference"/>
    <w:basedOn w:val="DefaultParagraphFont"/>
    <w:uiPriority w:val="99"/>
    <w:semiHidden/>
    <w:unhideWhenUsed/>
    <w:rsid w:val="005D6C62"/>
    <w:rPr>
      <w:vertAlign w:val="superscript"/>
    </w:rPr>
  </w:style>
  <w:style w:type="paragraph" w:styleId="BalloonText">
    <w:name w:val="Balloon Text"/>
    <w:basedOn w:val="Normal"/>
    <w:link w:val="BalloonTextChar"/>
    <w:uiPriority w:val="99"/>
    <w:semiHidden/>
    <w:unhideWhenUsed/>
    <w:rsid w:val="00074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D05"/>
    <w:rPr>
      <w:rFonts w:ascii="Segoe UI" w:hAnsi="Segoe UI" w:cs="Segoe UI"/>
      <w:sz w:val="18"/>
      <w:szCs w:val="18"/>
    </w:rPr>
  </w:style>
  <w:style w:type="character" w:styleId="CommentReference">
    <w:name w:val="annotation reference"/>
    <w:basedOn w:val="DefaultParagraphFont"/>
    <w:uiPriority w:val="99"/>
    <w:semiHidden/>
    <w:unhideWhenUsed/>
    <w:rsid w:val="00292FB7"/>
    <w:rPr>
      <w:sz w:val="16"/>
      <w:szCs w:val="16"/>
    </w:rPr>
  </w:style>
  <w:style w:type="paragraph" w:styleId="CommentText">
    <w:name w:val="annotation text"/>
    <w:basedOn w:val="Normal"/>
    <w:link w:val="CommentTextChar"/>
    <w:uiPriority w:val="99"/>
    <w:semiHidden/>
    <w:unhideWhenUsed/>
    <w:rsid w:val="00292FB7"/>
    <w:pPr>
      <w:spacing w:line="240" w:lineRule="auto"/>
    </w:pPr>
    <w:rPr>
      <w:sz w:val="20"/>
      <w:szCs w:val="20"/>
    </w:rPr>
  </w:style>
  <w:style w:type="character" w:customStyle="1" w:styleId="CommentTextChar">
    <w:name w:val="Comment Text Char"/>
    <w:basedOn w:val="DefaultParagraphFont"/>
    <w:link w:val="CommentText"/>
    <w:uiPriority w:val="99"/>
    <w:semiHidden/>
    <w:rsid w:val="00292FB7"/>
    <w:rPr>
      <w:sz w:val="20"/>
      <w:szCs w:val="20"/>
    </w:rPr>
  </w:style>
  <w:style w:type="paragraph" w:styleId="CommentSubject">
    <w:name w:val="annotation subject"/>
    <w:basedOn w:val="CommentText"/>
    <w:next w:val="CommentText"/>
    <w:link w:val="CommentSubjectChar"/>
    <w:uiPriority w:val="99"/>
    <w:semiHidden/>
    <w:unhideWhenUsed/>
    <w:rsid w:val="00292FB7"/>
    <w:rPr>
      <w:b/>
      <w:bCs/>
    </w:rPr>
  </w:style>
  <w:style w:type="character" w:customStyle="1" w:styleId="CommentSubjectChar">
    <w:name w:val="Comment Subject Char"/>
    <w:basedOn w:val="CommentTextChar"/>
    <w:link w:val="CommentSubject"/>
    <w:uiPriority w:val="99"/>
    <w:semiHidden/>
    <w:rsid w:val="00292FB7"/>
    <w:rPr>
      <w:b/>
      <w:bCs/>
      <w:sz w:val="20"/>
      <w:szCs w:val="20"/>
    </w:rPr>
  </w:style>
  <w:style w:type="character" w:customStyle="1" w:styleId="ListParagraphChar">
    <w:name w:val="List Paragraph Char"/>
    <w:aliases w:val="Bullet Paragraph Char,123 List Paragraph Char,Numbered Paragraph Char,Main numbered paragraph Char,References Char,Numbered List Paragraph Char,Bullets Char,List Paragraph (numbered (a)) Char,List Paragraph nowy Char,Liste 1 Char"/>
    <w:link w:val="ListParagraph"/>
    <w:uiPriority w:val="34"/>
    <w:qFormat/>
    <w:locked/>
    <w:rsid w:val="006451B8"/>
  </w:style>
  <w:style w:type="paragraph" w:styleId="Revision">
    <w:name w:val="Revision"/>
    <w:hidden/>
    <w:uiPriority w:val="99"/>
    <w:semiHidden/>
    <w:rsid w:val="005742BB"/>
    <w:pPr>
      <w:spacing w:after="0" w:line="240" w:lineRule="auto"/>
    </w:pPr>
  </w:style>
  <w:style w:type="character" w:styleId="Hyperlink">
    <w:name w:val="Hyperlink"/>
    <w:basedOn w:val="DefaultParagraphFont"/>
    <w:uiPriority w:val="99"/>
    <w:unhideWhenUsed/>
    <w:rsid w:val="00766489"/>
    <w:rPr>
      <w:color w:val="0563C1" w:themeColor="hyperlink"/>
      <w:u w:val="single"/>
    </w:rPr>
  </w:style>
  <w:style w:type="paragraph" w:styleId="Header">
    <w:name w:val="header"/>
    <w:basedOn w:val="Normal"/>
    <w:link w:val="HeaderChar"/>
    <w:uiPriority w:val="99"/>
    <w:unhideWhenUsed/>
    <w:rsid w:val="001D0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28F"/>
  </w:style>
  <w:style w:type="character" w:customStyle="1" w:styleId="Heading1Char">
    <w:name w:val="Heading 1 Char"/>
    <w:basedOn w:val="DefaultParagraphFont"/>
    <w:link w:val="Heading1"/>
    <w:uiPriority w:val="9"/>
    <w:rsid w:val="00730E93"/>
    <w:rPr>
      <w:rFonts w:ascii="Book Antiqua" w:eastAsiaTheme="majorEastAsia" w:hAnsi="Book Antiqua" w:cstheme="majorBidi"/>
      <w:b/>
      <w:bCs/>
      <w:i/>
      <w:color w:val="000000" w:themeColor="text1"/>
      <w:szCs w:val="28"/>
    </w:rPr>
  </w:style>
  <w:style w:type="paragraph" w:styleId="NoSpacing">
    <w:name w:val="No Spacing"/>
    <w:uiPriority w:val="1"/>
    <w:qFormat/>
    <w:rsid w:val="004E7C77"/>
    <w:pPr>
      <w:spacing w:after="0" w:line="240" w:lineRule="auto"/>
    </w:pPr>
  </w:style>
  <w:style w:type="paragraph" w:customStyle="1" w:styleId="Normal0">
    <w:name w:val="Normal_0"/>
    <w:qFormat/>
    <w:rsid w:val="004E7C77"/>
    <w:pPr>
      <w:spacing w:line="256" w:lineRule="auto"/>
    </w:pPr>
  </w:style>
  <w:style w:type="paragraph" w:customStyle="1" w:styleId="Normal1">
    <w:name w:val="Normal_1"/>
    <w:qFormat/>
    <w:rsid w:val="005C00C4"/>
    <w:pPr>
      <w:spacing w:line="256" w:lineRule="auto"/>
    </w:pPr>
  </w:style>
  <w:style w:type="table" w:customStyle="1" w:styleId="TableGrid20">
    <w:name w:val="Table Grid2_0"/>
    <w:basedOn w:val="TableNormal"/>
    <w:next w:val="TableNormal"/>
    <w:uiPriority w:val="39"/>
    <w:rsid w:val="005C0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0">
    <w:name w:val="Hyperlink_0"/>
    <w:basedOn w:val="DefaultParagraphFont"/>
    <w:uiPriority w:val="99"/>
    <w:unhideWhenUsed/>
    <w:rsid w:val="00BE33BB"/>
    <w:rPr>
      <w:color w:val="0563C1" w:themeColor="hyperlink"/>
      <w:u w:val="single"/>
    </w:rPr>
  </w:style>
  <w:style w:type="paragraph" w:customStyle="1" w:styleId="NormalWeb0">
    <w:name w:val="Normal (Web)_0"/>
    <w:basedOn w:val="Normal0"/>
    <w:uiPriority w:val="99"/>
    <w:unhideWhenUsed/>
    <w:rsid w:val="00BE33B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yperlink00">
    <w:name w:val="Hyperlink_0_0"/>
    <w:basedOn w:val="DefaultParagraphFont"/>
    <w:uiPriority w:val="99"/>
    <w:unhideWhenUsed/>
    <w:rsid w:val="00BE33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en/topic/pandemics/overview" TargetMode="External"/><Relationship Id="rId2" Type="http://schemas.openxmlformats.org/officeDocument/2006/relationships/hyperlink" Target="http://siteresources.worldbank.org/INTARD/Resources/PPP_Web.pdf" TargetMode="External"/><Relationship Id="rId1" Type="http://schemas.openxmlformats.org/officeDocument/2006/relationships/hyperlink" Target="http://www.oie.int/en/international-standard-setting/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4C9732-B3D1-432A-8875-546EF060A620}"/>
</file>

<file path=customXml/itemProps2.xml><?xml version="1.0" encoding="utf-8"?>
<ds:datastoreItem xmlns:ds="http://schemas.openxmlformats.org/officeDocument/2006/customXml" ds:itemID="{568A58CF-01E8-433A-B885-2946D9C48C1A}"/>
</file>

<file path=customXml/itemProps3.xml><?xml version="1.0" encoding="utf-8"?>
<ds:datastoreItem xmlns:ds="http://schemas.openxmlformats.org/officeDocument/2006/customXml" ds:itemID="{52F0CB44-2809-4C71-B8D3-F115B750B8E6}"/>
</file>

<file path=customXml/itemProps4.xml><?xml version="1.0" encoding="utf-8"?>
<ds:datastoreItem xmlns:ds="http://schemas.openxmlformats.org/officeDocument/2006/customXml" ds:itemID="{BD50F790-A518-4061-840E-7F660F3CFE5B}"/>
</file>

<file path=docProps/app.xml><?xml version="1.0" encoding="utf-8"?>
<Properties xmlns="http://schemas.openxmlformats.org/officeDocument/2006/extended-properties" xmlns:vt="http://schemas.openxmlformats.org/officeDocument/2006/docPropsVTypes">
  <Template>Normal.dotm</Template>
  <TotalTime>0</TotalTime>
  <Pages>13</Pages>
  <Words>5751</Words>
  <Characters>32785</Characters>
  <Application>Microsoft Office Word</Application>
  <DocSecurity>0</DocSecurity>
  <Lines>273</Lines>
  <Paragraphs>76</Paragraphs>
  <ScaleCrop>false</ScaleCrop>
  <Company/>
  <LinksUpToDate>false</LinksUpToDate>
  <CharactersWithSpaces>38460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Bank Multi-Donor Trust Fund: Window 3</dc:title>
  <dc:creator/>
  <cp:lastModifiedBy/>
  <cp:revision>1</cp:revision>
  <dcterms:created xsi:type="dcterms:W3CDTF">2017-06-13T01:06:00Z</dcterms:created>
  <dcterms:modified xsi:type="dcterms:W3CDTF">2017-06-13T01:06:00Z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95c4bd9a-47b7-4525-ad55-a5223873b8ea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1103200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