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diagrams/quickStyle1.xml" ContentType="application/vnd.openxmlformats-officedocument.drawingml.diagramStyle+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A2B" w:rsidRPr="00247D3A" w:rsidRDefault="0072012C" w:rsidP="0072012C">
      <w:pPr>
        <w:ind w:firstLine="720"/>
        <w:jc w:val="center"/>
        <w:rPr>
          <w:b/>
        </w:rPr>
      </w:pPr>
      <w:r>
        <w:rPr>
          <w:b/>
        </w:rPr>
        <w:t xml:space="preserve">WORLD BANK GROUP </w:t>
      </w:r>
      <w:r w:rsidR="00C41D20">
        <w:rPr>
          <w:b/>
        </w:rPr>
        <w:t xml:space="preserve">MULTI-DONOR TRUST FUND </w:t>
      </w:r>
      <w:r w:rsidR="00D86A2B" w:rsidRPr="00247D3A">
        <w:rPr>
          <w:b/>
        </w:rPr>
        <w:t>C</w:t>
      </w:r>
      <w:r w:rsidR="00C41D20">
        <w:rPr>
          <w:b/>
        </w:rPr>
        <w:t>ONCEPT NOTE</w:t>
      </w:r>
    </w:p>
    <w:p w:rsidR="0072012C" w:rsidRDefault="00127CFF" w:rsidP="0072012C">
      <w:pPr>
        <w:jc w:val="center"/>
        <w:rPr>
          <w:b/>
        </w:rPr>
      </w:pPr>
      <w:r>
        <w:rPr>
          <w:b/>
        </w:rPr>
        <w:t>Integrating Donor-Financed Health Programs</w:t>
      </w:r>
    </w:p>
    <w:p w:rsidR="00D2580A" w:rsidRPr="00247D3A" w:rsidRDefault="00D2580A" w:rsidP="0072012C">
      <w:pPr>
        <w:jc w:val="center"/>
        <w:rPr>
          <w:b/>
        </w:rPr>
      </w:pPr>
      <w:r>
        <w:rPr>
          <w:b/>
        </w:rPr>
        <w:t>Window 1</w:t>
      </w:r>
    </w:p>
    <w:p w:rsidR="0030178D" w:rsidRDefault="0030178D" w:rsidP="0030178D">
      <w:pPr>
        <w:widowControl w:val="0"/>
        <w:autoSpaceDE w:val="0"/>
        <w:autoSpaceDN w:val="0"/>
        <w:adjustRightInd w:val="0"/>
        <w:rPr>
          <w:rFonts w:cs="Helvetica"/>
        </w:rPr>
      </w:pPr>
    </w:p>
    <w:p w:rsidR="00CD0506" w:rsidRPr="0022063C" w:rsidRDefault="00CD0506" w:rsidP="00CD0506">
      <w:pPr>
        <w:pStyle w:val="Heading1"/>
        <w:jc w:val="center"/>
        <w:rPr>
          <w:color w:val="auto"/>
        </w:rPr>
      </w:pPr>
      <w:r w:rsidRPr="0022063C">
        <w:rPr>
          <w:color w:val="auto"/>
        </w:rPr>
        <w:t>Program Development Objective</w:t>
      </w:r>
    </w:p>
    <w:p w:rsidR="00CD0506" w:rsidRPr="00247D3A" w:rsidRDefault="00CD0506" w:rsidP="00CD0506"/>
    <w:p w:rsidR="00CD0506" w:rsidRPr="00247D3A" w:rsidRDefault="00CD0506" w:rsidP="00CD0506">
      <w:pPr>
        <w:widowControl w:val="0"/>
        <w:autoSpaceDE w:val="0"/>
        <w:autoSpaceDN w:val="0"/>
        <w:adjustRightInd w:val="0"/>
        <w:rPr>
          <w:rFonts w:cs="Helvetica"/>
        </w:rPr>
      </w:pPr>
      <w:r w:rsidRPr="00247D3A">
        <w:rPr>
          <w:rFonts w:cs="Helvetica"/>
        </w:rPr>
        <w:t>The development objective of the multi-donor trust fund (MDTF) is to support countries in strengthening their health systems to accelerate and sustain progress towards</w:t>
      </w:r>
      <w:r>
        <w:rPr>
          <w:rFonts w:cs="Helvetica"/>
        </w:rPr>
        <w:t xml:space="preserve"> </w:t>
      </w:r>
      <w:r w:rsidRPr="00247D3A">
        <w:rPr>
          <w:rFonts w:cs="Helvetica"/>
        </w:rPr>
        <w:t>key health outputs and outcomes that contribute to UHC</w:t>
      </w:r>
      <w:r>
        <w:rPr>
          <w:rFonts w:cs="Helvetica"/>
        </w:rPr>
        <w:t xml:space="preserve"> </w:t>
      </w:r>
      <w:r w:rsidRPr="00247D3A">
        <w:rPr>
          <w:rFonts w:cs="Helvetica"/>
        </w:rPr>
        <w:t xml:space="preserve">with a particular focus on assessing and supporting the financial and institutional sustainability of </w:t>
      </w:r>
      <w:r>
        <w:rPr>
          <w:rFonts w:cs="Helvetica"/>
        </w:rPr>
        <w:t>donor</w:t>
      </w:r>
      <w:r w:rsidRPr="00247D3A">
        <w:rPr>
          <w:rFonts w:cs="Helvetica"/>
        </w:rPr>
        <w:t xml:space="preserve">-financed </w:t>
      </w:r>
      <w:r>
        <w:rPr>
          <w:rFonts w:cs="Helvetica"/>
        </w:rPr>
        <w:t xml:space="preserve">health </w:t>
      </w:r>
      <w:r w:rsidRPr="00247D3A">
        <w:rPr>
          <w:rFonts w:cs="Helvetica"/>
        </w:rPr>
        <w:t xml:space="preserve">programs. </w:t>
      </w:r>
    </w:p>
    <w:p w:rsidR="00CD0506" w:rsidRPr="00247D3A" w:rsidRDefault="00CD0506" w:rsidP="0030178D">
      <w:pPr>
        <w:widowControl w:val="0"/>
        <w:autoSpaceDE w:val="0"/>
        <w:autoSpaceDN w:val="0"/>
        <w:adjustRightInd w:val="0"/>
        <w:rPr>
          <w:rFonts w:cs="Helvetica"/>
        </w:rPr>
      </w:pPr>
    </w:p>
    <w:p w:rsidR="003051D1" w:rsidRPr="003A3609" w:rsidRDefault="006E3634" w:rsidP="006B1ACE">
      <w:pPr>
        <w:pStyle w:val="Heading1"/>
        <w:jc w:val="center"/>
        <w:rPr>
          <w:color w:val="auto"/>
        </w:rPr>
      </w:pPr>
      <w:r>
        <w:rPr>
          <w:color w:val="auto"/>
        </w:rPr>
        <w:t>Strategic Context</w:t>
      </w:r>
      <w:r w:rsidR="003051D1" w:rsidRPr="003A3609">
        <w:rPr>
          <w:color w:val="auto"/>
        </w:rPr>
        <w:t xml:space="preserve"> &amp; Rationale</w:t>
      </w:r>
    </w:p>
    <w:p w:rsidR="003051D1" w:rsidRPr="00247D3A" w:rsidRDefault="003051D1"/>
    <w:p w:rsidR="00111646" w:rsidRDefault="00C0295F" w:rsidP="0090421F">
      <w:r w:rsidRPr="00247D3A">
        <w:t xml:space="preserve">Over the past 10-15 years, three trends </w:t>
      </w:r>
      <w:r w:rsidR="00111646">
        <w:t>in</w:t>
      </w:r>
      <w:r w:rsidRPr="00247D3A">
        <w:t xml:space="preserve"> global health ar</w:t>
      </w:r>
      <w:bookmarkStart w:id="0" w:name="_GoBack"/>
      <w:bookmarkEnd w:id="0"/>
      <w:r w:rsidRPr="00247D3A">
        <w:t xml:space="preserve">e notable. First is the 2000 adoption of the Millennium Development Goals (MDGs) which stimulated significant policy attention towards realizing improvements in maternal and child health </w:t>
      </w:r>
      <w:r w:rsidR="0009115B">
        <w:t xml:space="preserve">(MCH) </w:t>
      </w:r>
      <w:r w:rsidRPr="00247D3A">
        <w:t xml:space="preserve">as well as reducing the burden associated with prominent communicable diseases across </w:t>
      </w:r>
      <w:r w:rsidR="0009115B">
        <w:t xml:space="preserve">developing </w:t>
      </w:r>
      <w:r w:rsidRPr="00247D3A">
        <w:t>countries. Three of the eight MDGs are directly related to health: these include two time-bound targets that call for country-specific relative reductions in under-five and maternal mortality; in addition, the sixth MDG calls for halting and reversing the spread of HIV, malaria, and tuberculosis</w:t>
      </w:r>
      <w:r w:rsidR="009D076B" w:rsidRPr="00247D3A">
        <w:t xml:space="preserve"> (TB)</w:t>
      </w:r>
      <w:r w:rsidRPr="00247D3A">
        <w:t xml:space="preserve"> by 2015.</w:t>
      </w:r>
      <w:r w:rsidR="00111646">
        <w:t xml:space="preserve"> </w:t>
      </w:r>
      <w:r w:rsidRPr="00247D3A">
        <w:t xml:space="preserve">Second, following the adoption of the MDGs by all UN member states, there </w:t>
      </w:r>
      <w:r w:rsidR="003A3609">
        <w:t>w</w:t>
      </w:r>
      <w:r w:rsidRPr="00247D3A">
        <w:t xml:space="preserve">as a substantial increase in development assistance for health (DAH), often earmarked for </w:t>
      </w:r>
      <w:r w:rsidR="003A3609">
        <w:t xml:space="preserve">financing </w:t>
      </w:r>
      <w:r w:rsidRPr="00247D3A">
        <w:t>MDG-related</w:t>
      </w:r>
      <w:r w:rsidR="003A3609">
        <w:t xml:space="preserve"> </w:t>
      </w:r>
      <w:r w:rsidRPr="00247D3A">
        <w:t>interventions. Overall, DAH doubled from less than US$6 billion in 1990 to about US$11 billion in 2000; subsequently, over the period 2001-2013, DAH more than tripled to an estimated US$31 billion in 2013</w:t>
      </w:r>
      <w:r w:rsidR="007F6FE9" w:rsidRPr="00247D3A">
        <w:t xml:space="preserve"> (</w:t>
      </w:r>
      <w:r w:rsidR="007F6FE9" w:rsidRPr="00247D3A">
        <w:fldChar w:fldCharType="begin"/>
      </w:r>
      <w:r w:rsidR="007F6FE9" w:rsidRPr="00247D3A">
        <w:instrText xml:space="preserve"> REF _Ref404864191 \h  \* MERGEFORMAT </w:instrText>
      </w:r>
      <w:r w:rsidR="007F6FE9" w:rsidRPr="00247D3A">
        <w:fldChar w:fldCharType="separate"/>
      </w:r>
      <w:r w:rsidR="00A334D4" w:rsidRPr="003A3609">
        <w:t xml:space="preserve">Table </w:t>
      </w:r>
      <w:r w:rsidR="00A334D4">
        <w:rPr>
          <w:noProof/>
        </w:rPr>
        <w:t>1</w:t>
      </w:r>
      <w:r w:rsidR="007F6FE9" w:rsidRPr="00247D3A">
        <w:fldChar w:fldCharType="end"/>
      </w:r>
      <w:r w:rsidR="007F6FE9" w:rsidRPr="00247D3A">
        <w:t>)</w:t>
      </w:r>
      <w:r w:rsidRPr="00247D3A">
        <w:t xml:space="preserve">. </w:t>
      </w:r>
    </w:p>
    <w:p w:rsidR="001D0EE4" w:rsidRPr="00247D3A" w:rsidRDefault="001D0EE4" w:rsidP="0090421F"/>
    <w:p w:rsidR="007F6FE9" w:rsidRPr="003A3609" w:rsidRDefault="007F6FE9" w:rsidP="0090421F">
      <w:pPr>
        <w:pStyle w:val="Caption"/>
        <w:spacing w:after="0"/>
        <w:jc w:val="center"/>
        <w:rPr>
          <w:color w:val="auto"/>
        </w:rPr>
      </w:pPr>
      <w:bookmarkStart w:id="1" w:name="_Ref404864191"/>
      <w:r w:rsidRPr="003A3609">
        <w:rPr>
          <w:color w:val="auto"/>
        </w:rPr>
        <w:t xml:space="preserve">Table </w:t>
      </w:r>
      <w:r w:rsidR="00FB38CB" w:rsidRPr="003A3609">
        <w:rPr>
          <w:color w:val="auto"/>
        </w:rPr>
        <w:fldChar w:fldCharType="begin"/>
      </w:r>
      <w:r w:rsidR="00FB38CB" w:rsidRPr="003A3609">
        <w:rPr>
          <w:color w:val="auto"/>
        </w:rPr>
        <w:instrText xml:space="preserve"> SEQ Table \* ARABIC </w:instrText>
      </w:r>
      <w:r w:rsidR="00FB38CB" w:rsidRPr="003A3609">
        <w:rPr>
          <w:color w:val="auto"/>
        </w:rPr>
        <w:fldChar w:fldCharType="separate"/>
      </w:r>
      <w:r w:rsidR="00A334D4">
        <w:rPr>
          <w:noProof/>
          <w:color w:val="auto"/>
        </w:rPr>
        <w:t>1</w:t>
      </w:r>
      <w:r w:rsidR="00FB38CB" w:rsidRPr="003A3609">
        <w:rPr>
          <w:color w:val="auto"/>
        </w:rPr>
        <w:fldChar w:fldCharType="end"/>
      </w:r>
      <w:bookmarkEnd w:id="1"/>
      <w:r w:rsidRPr="003A3609">
        <w:rPr>
          <w:color w:val="auto"/>
        </w:rPr>
        <w:t>: Trends in development assistance for health, 1990-2013</w:t>
      </w:r>
    </w:p>
    <w:tbl>
      <w:tblPr>
        <w:tblStyle w:val="TableGrid"/>
        <w:tblW w:w="0" w:type="auto"/>
        <w:jc w:val="center"/>
        <w:tblLook w:val="04A0" w:firstRow="1" w:lastRow="0" w:firstColumn="1" w:lastColumn="0" w:noHBand="0" w:noVBand="1"/>
      </w:tblPr>
      <w:tblGrid>
        <w:gridCol w:w="2201"/>
        <w:gridCol w:w="1188"/>
        <w:gridCol w:w="1278"/>
        <w:gridCol w:w="1278"/>
        <w:gridCol w:w="1278"/>
        <w:gridCol w:w="1278"/>
      </w:tblGrid>
      <w:tr w:rsidR="00136B51" w:rsidRPr="00247D3A" w:rsidTr="001E66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136B51" w:rsidRPr="00247D3A" w:rsidRDefault="00136B51" w:rsidP="0090421F">
            <w:r w:rsidRPr="00247D3A">
              <w:t xml:space="preserve">Development assistance </w:t>
            </w:r>
          </w:p>
          <w:p w:rsidR="00136B51" w:rsidRPr="00247D3A" w:rsidRDefault="00136B51" w:rsidP="0090421F">
            <w:r w:rsidRPr="00247D3A">
              <w:t xml:space="preserve">for health </w:t>
            </w:r>
          </w:p>
        </w:tc>
        <w:tc>
          <w:tcPr>
            <w:tcW w:w="0" w:type="auto"/>
          </w:tcPr>
          <w:p w:rsidR="00136B51" w:rsidRPr="00247D3A" w:rsidRDefault="00136B51" w:rsidP="0090421F">
            <w:pPr>
              <w:jc w:val="center"/>
              <w:cnfStyle w:val="100000000000" w:firstRow="1" w:lastRow="0" w:firstColumn="0" w:lastColumn="0" w:oddVBand="0" w:evenVBand="0" w:oddHBand="0" w:evenHBand="0" w:firstRowFirstColumn="0" w:firstRowLastColumn="0" w:lastRowFirstColumn="0" w:lastRowLastColumn="0"/>
            </w:pPr>
            <w:r w:rsidRPr="00247D3A">
              <w:t>1990</w:t>
            </w:r>
          </w:p>
        </w:tc>
        <w:tc>
          <w:tcPr>
            <w:tcW w:w="0" w:type="auto"/>
          </w:tcPr>
          <w:p w:rsidR="00136B51" w:rsidRPr="00247D3A" w:rsidRDefault="00136B51" w:rsidP="0090421F">
            <w:pPr>
              <w:jc w:val="center"/>
              <w:cnfStyle w:val="100000000000" w:firstRow="1" w:lastRow="0" w:firstColumn="0" w:lastColumn="0" w:oddVBand="0" w:evenVBand="0" w:oddHBand="0" w:evenHBand="0" w:firstRowFirstColumn="0" w:firstRowLastColumn="0" w:lastRowFirstColumn="0" w:lastRowLastColumn="0"/>
            </w:pPr>
            <w:r w:rsidRPr="00247D3A">
              <w:t>2000</w:t>
            </w:r>
          </w:p>
        </w:tc>
        <w:tc>
          <w:tcPr>
            <w:tcW w:w="0" w:type="auto"/>
          </w:tcPr>
          <w:p w:rsidR="00136B51" w:rsidRPr="00247D3A" w:rsidRDefault="00136B51" w:rsidP="0090421F">
            <w:pPr>
              <w:jc w:val="center"/>
              <w:cnfStyle w:val="100000000000" w:firstRow="1" w:lastRow="0" w:firstColumn="0" w:lastColumn="0" w:oddVBand="0" w:evenVBand="0" w:oddHBand="0" w:evenHBand="0" w:firstRowFirstColumn="0" w:firstRowLastColumn="0" w:lastRowFirstColumn="0" w:lastRowLastColumn="0"/>
            </w:pPr>
            <w:r w:rsidRPr="00247D3A">
              <w:t>2005</w:t>
            </w:r>
          </w:p>
        </w:tc>
        <w:tc>
          <w:tcPr>
            <w:tcW w:w="0" w:type="auto"/>
          </w:tcPr>
          <w:p w:rsidR="00136B51" w:rsidRPr="00247D3A" w:rsidRDefault="00136B51" w:rsidP="0090421F">
            <w:pPr>
              <w:jc w:val="center"/>
              <w:cnfStyle w:val="100000000000" w:firstRow="1" w:lastRow="0" w:firstColumn="0" w:lastColumn="0" w:oddVBand="0" w:evenVBand="0" w:oddHBand="0" w:evenHBand="0" w:firstRowFirstColumn="0" w:firstRowLastColumn="0" w:lastRowFirstColumn="0" w:lastRowLastColumn="0"/>
            </w:pPr>
            <w:r w:rsidRPr="00247D3A">
              <w:t>2010</w:t>
            </w:r>
          </w:p>
        </w:tc>
        <w:tc>
          <w:tcPr>
            <w:tcW w:w="0" w:type="auto"/>
          </w:tcPr>
          <w:p w:rsidR="00136B51" w:rsidRPr="00247D3A" w:rsidRDefault="00136B51" w:rsidP="0090421F">
            <w:pPr>
              <w:jc w:val="center"/>
              <w:cnfStyle w:val="100000000000" w:firstRow="1" w:lastRow="0" w:firstColumn="0" w:lastColumn="0" w:oddVBand="0" w:evenVBand="0" w:oddHBand="0" w:evenHBand="0" w:firstRowFirstColumn="0" w:firstRowLastColumn="0" w:lastRowFirstColumn="0" w:lastRowLastColumn="0"/>
            </w:pPr>
            <w:r w:rsidRPr="00247D3A">
              <w:t>2013</w:t>
            </w:r>
          </w:p>
        </w:tc>
      </w:tr>
      <w:tr w:rsidR="00136B51" w:rsidRPr="00247D3A" w:rsidTr="001E66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36B51" w:rsidRPr="00247D3A" w:rsidRDefault="00136B51" w:rsidP="0090421F">
            <w:r w:rsidRPr="00247D3A">
              <w:t>Total</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US$</w:t>
            </w:r>
            <w:r w:rsidR="009D7DD1">
              <w:t>6</w:t>
            </w:r>
            <w:r w:rsidR="007F6FE9" w:rsidRPr="00247D3A">
              <w:t xml:space="preserve"> billion</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US$1</w:t>
            </w:r>
            <w:r w:rsidR="009D7DD1">
              <w:t>1</w:t>
            </w:r>
            <w:r w:rsidR="007F6FE9" w:rsidRPr="00247D3A">
              <w:t xml:space="preserve"> billion</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US$17</w:t>
            </w:r>
            <w:r w:rsidR="007F6FE9" w:rsidRPr="00247D3A">
              <w:t xml:space="preserve"> billion</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US$29</w:t>
            </w:r>
            <w:r w:rsidR="007F6FE9" w:rsidRPr="00247D3A">
              <w:t xml:space="preserve"> billion</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US$31</w:t>
            </w:r>
            <w:r w:rsidR="007F6FE9" w:rsidRPr="00247D3A">
              <w:t xml:space="preserve"> billion</w:t>
            </w:r>
          </w:p>
        </w:tc>
      </w:tr>
      <w:tr w:rsidR="00136B51" w:rsidRPr="00247D3A" w:rsidTr="001E66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36B51" w:rsidRPr="00247D3A" w:rsidRDefault="00136B51" w:rsidP="0090421F">
            <w:r w:rsidRPr="00247D3A">
              <w:t>Share GFATM</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7.4%</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11.4%</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12.8%</w:t>
            </w:r>
          </w:p>
        </w:tc>
      </w:tr>
      <w:tr w:rsidR="00136B51" w:rsidRPr="00247D3A" w:rsidTr="001E66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36B51" w:rsidRPr="00247D3A" w:rsidRDefault="00136B51" w:rsidP="0090421F">
            <w:r w:rsidRPr="00247D3A">
              <w:t>Share GAVI</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1.9%</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2.7%</w:t>
            </w:r>
          </w:p>
        </w:tc>
        <w:tc>
          <w:tcPr>
            <w:tcW w:w="0" w:type="auto"/>
          </w:tcPr>
          <w:p w:rsidR="00136B51" w:rsidRPr="00247D3A" w:rsidRDefault="00136B51" w:rsidP="0090421F">
            <w:pPr>
              <w:jc w:val="center"/>
              <w:cnfStyle w:val="000000000000" w:firstRow="0" w:lastRow="0" w:firstColumn="0" w:lastColumn="0" w:oddVBand="0" w:evenVBand="0" w:oddHBand="0" w:evenHBand="0" w:firstRowFirstColumn="0" w:firstRowLastColumn="0" w:lastRowFirstColumn="0" w:lastRowLastColumn="0"/>
            </w:pPr>
            <w:r w:rsidRPr="00247D3A">
              <w:t>4.9%</w:t>
            </w:r>
          </w:p>
        </w:tc>
      </w:tr>
    </w:tbl>
    <w:p w:rsidR="000442FE" w:rsidRPr="00247D3A" w:rsidRDefault="00EC27B0" w:rsidP="0090421F">
      <w:r w:rsidRPr="00247D3A">
        <w:tab/>
      </w:r>
      <w:r w:rsidRPr="00247D3A">
        <w:rPr>
          <w:sz w:val="18"/>
        </w:rPr>
        <w:t>Source: Institute of Health Metrics and Evaluation</w:t>
      </w:r>
      <w:r w:rsidR="003A3609">
        <w:rPr>
          <w:sz w:val="18"/>
        </w:rPr>
        <w:t xml:space="preserve"> Financing Database</w:t>
      </w:r>
    </w:p>
    <w:p w:rsidR="00EC27B0" w:rsidRPr="00247D3A" w:rsidRDefault="00EC27B0" w:rsidP="0090421F"/>
    <w:p w:rsidR="006C689A" w:rsidRPr="00247D3A" w:rsidRDefault="00111646" w:rsidP="0090421F">
      <w:r w:rsidRPr="00247D3A">
        <w:t>In addition to the rise in DAH, the global health landscape has seen the entry of new players in the past decade: several new private and public initiatives and organization</w:t>
      </w:r>
      <w:r>
        <w:t>s</w:t>
      </w:r>
      <w:r w:rsidRPr="00247D3A">
        <w:t xml:space="preserve"> have become prominent, including the Global Alliance for Vaccines and Immunization (GAVI) and the Global Fund for AIDS, TB, and Malaria (GFATM). Most of these new DAH initiatives have an MDG-related focus -- providing targeted financial and technical assistance to governments</w:t>
      </w:r>
      <w:r>
        <w:t xml:space="preserve"> and to non-traditional providers such as</w:t>
      </w:r>
      <w:r w:rsidRPr="00247D3A">
        <w:t xml:space="preserve"> NGOs</w:t>
      </w:r>
      <w:r>
        <w:t xml:space="preserve"> –</w:t>
      </w:r>
      <w:r w:rsidRPr="00247D3A">
        <w:t xml:space="preserve"> </w:t>
      </w:r>
      <w:r>
        <w:t xml:space="preserve">and with </w:t>
      </w:r>
      <w:r w:rsidRPr="00247D3A">
        <w:t xml:space="preserve">specific procurement, financial management, </w:t>
      </w:r>
      <w:r>
        <w:t xml:space="preserve">human resource management, </w:t>
      </w:r>
      <w:r w:rsidRPr="00247D3A">
        <w:t xml:space="preserve">and reporting modalities that are </w:t>
      </w:r>
      <w:r>
        <w:t>often significantly different</w:t>
      </w:r>
      <w:r w:rsidRPr="00247D3A">
        <w:t xml:space="preserve"> </w:t>
      </w:r>
      <w:r>
        <w:t xml:space="preserve">from (and sometimes </w:t>
      </w:r>
      <w:r w:rsidRPr="00247D3A">
        <w:t>superior to</w:t>
      </w:r>
      <w:r>
        <w:t>)</w:t>
      </w:r>
      <w:r w:rsidRPr="00247D3A">
        <w:t xml:space="preserve"> those in the rest of the health system</w:t>
      </w:r>
      <w:r>
        <w:t xml:space="preserve"> in recipient countries</w:t>
      </w:r>
      <w:r w:rsidRPr="00247D3A">
        <w:t xml:space="preserve">. Even when the amounts financed by DAH are small relative to total or public expenditures on health, they are often large relative </w:t>
      </w:r>
      <w:r>
        <w:t xml:space="preserve">to </w:t>
      </w:r>
      <w:r w:rsidRPr="00247D3A">
        <w:t>the amounts spent by countries on the specific diseases of focus</w:t>
      </w:r>
      <w:r>
        <w:t>,</w:t>
      </w:r>
      <w:r w:rsidRPr="00247D3A">
        <w:t xml:space="preserve"> and </w:t>
      </w:r>
      <w:r>
        <w:t xml:space="preserve">DAH resources </w:t>
      </w:r>
      <w:r w:rsidRPr="00247D3A">
        <w:t xml:space="preserve">are often used for targeting </w:t>
      </w:r>
      <w:r>
        <w:t xml:space="preserve">specific </w:t>
      </w:r>
      <w:r w:rsidRPr="00247D3A">
        <w:t xml:space="preserve">vulnerable population sub-groups. </w:t>
      </w:r>
      <w:r w:rsidR="006C689A" w:rsidRPr="00247D3A">
        <w:t xml:space="preserve">Many of the new DAH initiatives also have explicit eligibility and graduation clauses that are dependent on </w:t>
      </w:r>
      <w:r w:rsidR="006C689A">
        <w:t xml:space="preserve">recipient </w:t>
      </w:r>
      <w:r w:rsidR="006C689A" w:rsidRPr="00247D3A">
        <w:t>country income</w:t>
      </w:r>
      <w:r w:rsidR="006C689A">
        <w:t>s</w:t>
      </w:r>
      <w:r w:rsidR="006C689A" w:rsidRPr="00247D3A">
        <w:t xml:space="preserve"> and other related criteria. For example, GFATM determines eligibility based on a series of factor</w:t>
      </w:r>
      <w:r w:rsidR="006C689A">
        <w:t>s</w:t>
      </w:r>
      <w:r w:rsidR="006C689A" w:rsidRPr="00247D3A">
        <w:t xml:space="preserve"> that include country income and disease burden: as </w:t>
      </w:r>
      <w:r w:rsidR="006C689A" w:rsidRPr="00247D3A">
        <w:lastRenderedPageBreak/>
        <w:t xml:space="preserve">countries become richer, there are restrictions on the envelope of GFATM financing that is available and how it can be utilized. For GAVI, eligible countries are those with GNI per capita less than US$1,570 (for new vaccine support, eligible countries must also have DPT3 immunization rates in excess of 70%). Graduating countries are those whose income is above US$1,570: these countries can no longer apply for new vaccine or cash-based program support but can continue to receive support for existing vaccine or cash-based program support. </w:t>
      </w:r>
      <w:r w:rsidR="006C689A">
        <w:t>GAVI g</w:t>
      </w:r>
      <w:r w:rsidR="006C689A" w:rsidRPr="00247D3A">
        <w:t>raduating countries also have co-financing requirements: after one year, co-financing requirements increase linearly over four years until 100% of the cost is covered by domestic sources</w:t>
      </w:r>
      <w:r w:rsidR="006C689A">
        <w:t xml:space="preserve"> (s</w:t>
      </w:r>
      <w:r w:rsidR="006C689A" w:rsidRPr="003A3609">
        <w:t>ome countries have mobilized domestic resources as a part of their national response</w:t>
      </w:r>
      <w:r w:rsidR="006C689A">
        <w:t>,</w:t>
      </w:r>
      <w:r w:rsidR="006C689A" w:rsidRPr="003A3609">
        <w:t xml:space="preserve"> but in most countries domestic sources remain </w:t>
      </w:r>
      <w:r w:rsidR="006C689A" w:rsidRPr="00820C7E">
        <w:t>unpredictable</w:t>
      </w:r>
      <w:r w:rsidR="006C689A">
        <w:t xml:space="preserve">). </w:t>
      </w:r>
    </w:p>
    <w:p w:rsidR="006C689A" w:rsidRDefault="006C689A" w:rsidP="0090421F"/>
    <w:p w:rsidR="00BB0FF3" w:rsidRPr="00247D3A" w:rsidRDefault="00C0295F" w:rsidP="0090421F">
      <w:r w:rsidRPr="00247D3A">
        <w:t xml:space="preserve">Third, and more recently, there has been a concerted push across the developing world towards attaining </w:t>
      </w:r>
      <w:r w:rsidR="00216A80">
        <w:t>u</w:t>
      </w:r>
      <w:r w:rsidR="00355A02">
        <w:t xml:space="preserve">niversal </w:t>
      </w:r>
      <w:r w:rsidR="00216A80">
        <w:t>h</w:t>
      </w:r>
      <w:r w:rsidR="00355A02">
        <w:t xml:space="preserve">ealth </w:t>
      </w:r>
      <w:r w:rsidR="00216A80">
        <w:t>c</w:t>
      </w:r>
      <w:r w:rsidR="00355A02">
        <w:t>overage (</w:t>
      </w:r>
      <w:r w:rsidRPr="00247D3A">
        <w:t>UHC</w:t>
      </w:r>
      <w:r w:rsidR="00355A02">
        <w:t>)</w:t>
      </w:r>
      <w:r w:rsidRPr="00247D3A">
        <w:t xml:space="preserve">, bringing to the forefront </w:t>
      </w:r>
      <w:r w:rsidR="009D076B" w:rsidRPr="00247D3A">
        <w:t xml:space="preserve">not only </w:t>
      </w:r>
      <w:r w:rsidRPr="00247D3A">
        <w:t>issues related to</w:t>
      </w:r>
      <w:r w:rsidR="009D076B" w:rsidRPr="00247D3A">
        <w:t xml:space="preserve"> coverage of health interventions but also of</w:t>
      </w:r>
      <w:r w:rsidRPr="00247D3A">
        <w:t xml:space="preserve"> </w:t>
      </w:r>
      <w:r w:rsidR="009D076B" w:rsidRPr="00247D3A">
        <w:t xml:space="preserve">ensuring </w:t>
      </w:r>
      <w:r w:rsidR="00BB0FF3" w:rsidRPr="00247D3A">
        <w:t xml:space="preserve">adequate </w:t>
      </w:r>
      <w:r w:rsidRPr="00247D3A">
        <w:t>financial protection</w:t>
      </w:r>
      <w:r w:rsidR="00BB0FF3" w:rsidRPr="00247D3A">
        <w:t xml:space="preserve"> from the risk of health-related catastrophic payments</w:t>
      </w:r>
      <w:r w:rsidRPr="00247D3A">
        <w:t>. UHC -- the objective of which is for everyone to have access to quality health care when needed without experiencing financial hardship as a result -- is now an explicit and prominent policy objective in mo</w:t>
      </w:r>
      <w:r w:rsidR="009D076B" w:rsidRPr="00247D3A">
        <w:t>re than 100</w:t>
      </w:r>
      <w:r w:rsidRPr="00247D3A">
        <w:t xml:space="preserve"> </w:t>
      </w:r>
      <w:r w:rsidR="00FB38CB">
        <w:t xml:space="preserve">developing </w:t>
      </w:r>
      <w:r w:rsidRPr="00247D3A">
        <w:t>countries</w:t>
      </w:r>
      <w:r w:rsidRPr="00B56E15">
        <w:t>.</w:t>
      </w:r>
      <w:r w:rsidR="00FB38CB">
        <w:t xml:space="preserve"> </w:t>
      </w:r>
      <w:r w:rsidR="0018272C" w:rsidRPr="00B56E15">
        <w:t xml:space="preserve">UHC is also a likely candidate for the post-MDG </w:t>
      </w:r>
      <w:r w:rsidR="006D56A4">
        <w:t>Sustainable Development Goals (SDGs)</w:t>
      </w:r>
      <w:r w:rsidR="0018272C" w:rsidRPr="00B56E15">
        <w:t>.</w:t>
      </w:r>
      <w:r w:rsidR="0018272C" w:rsidRPr="00247D3A">
        <w:t xml:space="preserve"> </w:t>
      </w:r>
      <w:r w:rsidR="00FB38CB" w:rsidRPr="00AC43E0">
        <w:t xml:space="preserve">UHC </w:t>
      </w:r>
      <w:r w:rsidR="00FB38CB">
        <w:t xml:space="preserve">can be conceptualized </w:t>
      </w:r>
      <w:r w:rsidR="00FB38CB" w:rsidRPr="00AC43E0">
        <w:t xml:space="preserve">as consisting of three key dimensions: (i) </w:t>
      </w:r>
      <w:r w:rsidR="00FB38CB" w:rsidRPr="009D7DD1">
        <w:rPr>
          <w:i/>
        </w:rPr>
        <w:t>population coverage</w:t>
      </w:r>
      <w:r w:rsidR="00FB38CB" w:rsidRPr="00AC43E0">
        <w:t xml:space="preserve"> (“breadth”); (ii) </w:t>
      </w:r>
      <w:r w:rsidR="00FB38CB" w:rsidRPr="009D7DD1">
        <w:rPr>
          <w:i/>
        </w:rPr>
        <w:t>service coverage</w:t>
      </w:r>
      <w:r w:rsidR="00FB38CB" w:rsidRPr="00AC43E0">
        <w:t xml:space="preserve"> (“depth”); and (iii) </w:t>
      </w:r>
      <w:r w:rsidR="00FB38CB" w:rsidRPr="009D7DD1">
        <w:rPr>
          <w:i/>
        </w:rPr>
        <w:t>cost coverage</w:t>
      </w:r>
      <w:r w:rsidR="00FB38CB" w:rsidRPr="00AC43E0">
        <w:t xml:space="preserve"> (“height”). UHC is not only about increasing the </w:t>
      </w:r>
      <w:r w:rsidR="00FB38CB">
        <w:t xml:space="preserve">breadth of coverage in terms of </w:t>
      </w:r>
      <w:r w:rsidR="00FB38CB" w:rsidRPr="00AC43E0">
        <w:t xml:space="preserve">number of people </w:t>
      </w:r>
      <w:r w:rsidR="00FB38CB">
        <w:t>with access to affordable health care</w:t>
      </w:r>
      <w:r w:rsidR="00FB38CB" w:rsidRPr="00AC43E0">
        <w:t xml:space="preserve">, although this is clearly one important dimension of UHC, but also about </w:t>
      </w:r>
      <w:r w:rsidR="00FB38CB">
        <w:t xml:space="preserve">assessing </w:t>
      </w:r>
      <w:r w:rsidR="0018272C">
        <w:t>to what extent are</w:t>
      </w:r>
      <w:r w:rsidR="00FB38CB">
        <w:t xml:space="preserve"> benefits</w:t>
      </w:r>
      <w:r w:rsidR="00216A80">
        <w:t xml:space="preserve"> and service coverage</w:t>
      </w:r>
      <w:r w:rsidR="00FB38CB">
        <w:t xml:space="preserve"> </w:t>
      </w:r>
      <w:r w:rsidR="0018272C">
        <w:t>realized</w:t>
      </w:r>
      <w:r w:rsidR="00FB38CB">
        <w:t xml:space="preserve"> </w:t>
      </w:r>
      <w:r w:rsidR="00FB38CB" w:rsidRPr="00AC43E0">
        <w:t>and financial protection</w:t>
      </w:r>
      <w:r w:rsidR="00FB38CB">
        <w:t xml:space="preserve"> accorded</w:t>
      </w:r>
      <w:r w:rsidR="00FB38CB" w:rsidRPr="00AC43E0">
        <w:t>.</w:t>
      </w:r>
      <w:r w:rsidR="00FB38CB" w:rsidRPr="00AC43E0">
        <w:rPr>
          <w:rStyle w:val="FootnoteReference"/>
        </w:rPr>
        <w:footnoteReference w:id="2"/>
      </w:r>
      <w:r w:rsidR="00FB38CB">
        <w:t xml:space="preserve"> </w:t>
      </w:r>
      <w:r w:rsidR="00216A80">
        <w:t>Present a</w:t>
      </w:r>
      <w:r w:rsidR="00FB38CB">
        <w:t xml:space="preserve">ttainment of UHC varies significantly across developing countries: some Pacific countries </w:t>
      </w:r>
      <w:r w:rsidR="00543E90" w:rsidRPr="00B56E15">
        <w:t xml:space="preserve">and others </w:t>
      </w:r>
      <w:r w:rsidRPr="00B56E15">
        <w:t>such as China and Thailand</w:t>
      </w:r>
      <w:r w:rsidR="00543E90" w:rsidRPr="00B56E15">
        <w:t xml:space="preserve"> </w:t>
      </w:r>
      <w:r w:rsidRPr="00B56E15">
        <w:t xml:space="preserve">now </w:t>
      </w:r>
      <w:r w:rsidR="00FB38CB">
        <w:t>provide almost universal breadth of coverage</w:t>
      </w:r>
      <w:r w:rsidRPr="00B56E15">
        <w:t>; others</w:t>
      </w:r>
      <w:r w:rsidR="00B56E15" w:rsidRPr="00FB38CB">
        <w:t xml:space="preserve"> </w:t>
      </w:r>
      <w:r w:rsidRPr="00B56E15">
        <w:t>such as Indonesia, Philippines, and Vietnam cover 40-60%</w:t>
      </w:r>
      <w:r w:rsidR="00FB38CB">
        <w:t xml:space="preserve"> </w:t>
      </w:r>
      <w:r w:rsidRPr="00B56E15">
        <w:t>of the population</w:t>
      </w:r>
      <w:r w:rsidR="00FB38CB">
        <w:t xml:space="preserve"> under UHC programs</w:t>
      </w:r>
      <w:r w:rsidRPr="00B56E15">
        <w:t xml:space="preserve">; </w:t>
      </w:r>
      <w:r w:rsidR="00576DB3" w:rsidRPr="00B56E15">
        <w:t>and</w:t>
      </w:r>
      <w:r w:rsidRPr="00B56E15">
        <w:t xml:space="preserve"> </w:t>
      </w:r>
      <w:r w:rsidR="00B43060" w:rsidRPr="00B56E15">
        <w:t xml:space="preserve">progress </w:t>
      </w:r>
      <w:r w:rsidR="00FB38CB">
        <w:t xml:space="preserve">has been </w:t>
      </w:r>
      <w:r w:rsidR="00B43060" w:rsidRPr="00B56E15">
        <w:t>made in some of the lower income countries such as Cambodia and Lao PDR in removing financial barriers for targeted sub-groups such as the poor and for certain services such as those related to</w:t>
      </w:r>
      <w:r w:rsidR="0018272C">
        <w:t xml:space="preserve"> MCH</w:t>
      </w:r>
      <w:r w:rsidRPr="00B56E15">
        <w:t xml:space="preserve">. </w:t>
      </w:r>
      <w:r w:rsidR="001D6BB8">
        <w:t xml:space="preserve">Challenges remain with regard to depth and height of coverage even in countries claiming universal breadth of coverage. </w:t>
      </w:r>
    </w:p>
    <w:p w:rsidR="00BB0FF3" w:rsidRPr="00247D3A" w:rsidRDefault="00BB0FF3" w:rsidP="0090421F"/>
    <w:p w:rsidR="0068695A" w:rsidRDefault="00260B53" w:rsidP="0090421F">
      <w:r w:rsidRPr="00247D3A">
        <w:t xml:space="preserve">Given this backdrop, one of the key policy challenges facing countries is </w:t>
      </w:r>
      <w:r w:rsidR="009813BB" w:rsidRPr="00247D3A">
        <w:t xml:space="preserve">that of </w:t>
      </w:r>
      <w:r w:rsidRPr="00247D3A">
        <w:rPr>
          <w:rFonts w:cs="Helvetica"/>
        </w:rPr>
        <w:t xml:space="preserve">strengthening their health systems </w:t>
      </w:r>
      <w:r w:rsidR="009813BB" w:rsidRPr="00247D3A">
        <w:rPr>
          <w:rFonts w:cs="Helvetica"/>
        </w:rPr>
        <w:t xml:space="preserve">to accelerate and sustain progress towards </w:t>
      </w:r>
      <w:r w:rsidR="008572F7" w:rsidRPr="00247D3A">
        <w:rPr>
          <w:rFonts w:cs="Helvetica"/>
        </w:rPr>
        <w:t xml:space="preserve">key health outputs and outcomes that contribute to UHC </w:t>
      </w:r>
      <w:r w:rsidR="009813BB" w:rsidRPr="00247D3A">
        <w:rPr>
          <w:rFonts w:cs="Helvetica"/>
        </w:rPr>
        <w:t xml:space="preserve">while effectively managing the transition from and integration of </w:t>
      </w:r>
      <w:r w:rsidR="00D80540">
        <w:rPr>
          <w:rFonts w:cs="Helvetica"/>
        </w:rPr>
        <w:t>donor</w:t>
      </w:r>
      <w:r w:rsidR="009813BB" w:rsidRPr="00247D3A">
        <w:rPr>
          <w:rFonts w:cs="Helvetica"/>
        </w:rPr>
        <w:t xml:space="preserve">-financed </w:t>
      </w:r>
      <w:r w:rsidR="006C689A">
        <w:rPr>
          <w:rFonts w:cs="Helvetica"/>
        </w:rPr>
        <w:t>health</w:t>
      </w:r>
      <w:r w:rsidR="009813BB" w:rsidRPr="00247D3A">
        <w:rPr>
          <w:rFonts w:cs="Helvetica"/>
        </w:rPr>
        <w:t xml:space="preserve"> programs. </w:t>
      </w:r>
      <w:r w:rsidRPr="00247D3A">
        <w:t>This implies</w:t>
      </w:r>
      <w:r w:rsidR="009813BB" w:rsidRPr="00247D3A">
        <w:t xml:space="preserve"> </w:t>
      </w:r>
      <w:r w:rsidRPr="00247D3A">
        <w:t xml:space="preserve">ensuring not just adequacy in terms of levels of domestic-sourced replacement financing but also that such financing is pooled and utilized </w:t>
      </w:r>
      <w:r w:rsidR="00BA087B" w:rsidRPr="00247D3A">
        <w:t xml:space="preserve">equitably and </w:t>
      </w:r>
      <w:r w:rsidRPr="00247D3A">
        <w:t xml:space="preserve">efficiently, and that countries have </w:t>
      </w:r>
      <w:r w:rsidR="00133BC8" w:rsidRPr="00247D3A">
        <w:t xml:space="preserve">both </w:t>
      </w:r>
      <w:r w:rsidRPr="00247D3A">
        <w:t xml:space="preserve">the financial and institutional capacity to </w:t>
      </w:r>
      <w:r w:rsidR="006C689A">
        <w:t xml:space="preserve">deliver </w:t>
      </w:r>
      <w:r w:rsidR="00216A80">
        <w:t xml:space="preserve">these </w:t>
      </w:r>
      <w:r w:rsidR="006C689A">
        <w:t>services</w:t>
      </w:r>
      <w:r w:rsidRPr="00247D3A">
        <w:t xml:space="preserve"> effectively.</w:t>
      </w:r>
      <w:r w:rsidR="008F4F86" w:rsidRPr="00247D3A">
        <w:t xml:space="preserve"> </w:t>
      </w:r>
      <w:r w:rsidR="000027C6" w:rsidRPr="00247D3A">
        <w:t>In many countries, i</w:t>
      </w:r>
      <w:r w:rsidR="008F4F86" w:rsidRPr="00247D3A">
        <w:t>mplementation capacity and political prioritization are likely to be just as critical (if not more) than financial considerations in ensuring sustainability</w:t>
      </w:r>
      <w:r w:rsidR="00216A80">
        <w:t xml:space="preserve"> of donor-financed programs</w:t>
      </w:r>
      <w:r w:rsidR="008F4F86" w:rsidRPr="00247D3A">
        <w:t xml:space="preserve">. Furthermore, with implementation of UHC, there are additional </w:t>
      </w:r>
      <w:r w:rsidR="008F4F86" w:rsidRPr="00247D3A">
        <w:lastRenderedPageBreak/>
        <w:t xml:space="preserve">challenges related to whether or not benefits adequately stipulate and deliver comparable interventions to those that were previously </w:t>
      </w:r>
      <w:r w:rsidR="00D80540">
        <w:t>donor</w:t>
      </w:r>
      <w:r w:rsidR="008F4F86" w:rsidRPr="00247D3A">
        <w:t xml:space="preserve"> financed, and to what extent some of the programs continue to </w:t>
      </w:r>
      <w:r w:rsidR="00323AC9">
        <w:t xml:space="preserve">be </w:t>
      </w:r>
      <w:r w:rsidR="008F4F86" w:rsidRPr="00247D3A">
        <w:t>managed separately from UHC implementation modalities.</w:t>
      </w:r>
      <w:r w:rsidR="00216A80">
        <w:t xml:space="preserve"> </w:t>
      </w:r>
    </w:p>
    <w:p w:rsidR="0068695A" w:rsidRDefault="0068695A" w:rsidP="0090421F"/>
    <w:p w:rsidR="00C0295F" w:rsidRDefault="00DC5A7C" w:rsidP="0090421F">
      <w:r w:rsidRPr="00247D3A">
        <w:t>With regard to</w:t>
      </w:r>
      <w:r w:rsidR="00F96C5F" w:rsidRPr="00247D3A">
        <w:t xml:space="preserve"> </w:t>
      </w:r>
      <w:r w:rsidR="00216A80">
        <w:t xml:space="preserve">abetting </w:t>
      </w:r>
      <w:r w:rsidR="00F96C5F" w:rsidRPr="00247D3A">
        <w:t>sustainability</w:t>
      </w:r>
      <w:r w:rsidR="00216A80">
        <w:t xml:space="preserve"> of donor-financed programs</w:t>
      </w:r>
      <w:r w:rsidR="00F96C5F" w:rsidRPr="00247D3A">
        <w:t xml:space="preserve">, the key is to assess </w:t>
      </w:r>
      <w:r w:rsidR="00115B20" w:rsidRPr="00247D3A">
        <w:t xml:space="preserve">and </w:t>
      </w:r>
      <w:r w:rsidR="00216A80">
        <w:t>mitigate</w:t>
      </w:r>
      <w:r w:rsidR="00115B20" w:rsidRPr="00247D3A">
        <w:t xml:space="preserve"> </w:t>
      </w:r>
      <w:r w:rsidR="00F96C5F" w:rsidRPr="00247D3A">
        <w:t xml:space="preserve">some of the transition </w:t>
      </w:r>
      <w:r w:rsidR="00115B20" w:rsidRPr="00247D3A">
        <w:t>challenges</w:t>
      </w:r>
      <w:r w:rsidR="00F96C5F" w:rsidRPr="00247D3A">
        <w:t xml:space="preserve"> within a broader health systems </w:t>
      </w:r>
      <w:r w:rsidRPr="00247D3A">
        <w:t xml:space="preserve">strengthening </w:t>
      </w:r>
      <w:r w:rsidR="00F96C5F" w:rsidRPr="00247D3A">
        <w:t>framework</w:t>
      </w:r>
      <w:r w:rsidR="00115B20" w:rsidRPr="00247D3A">
        <w:t xml:space="preserve"> </w:t>
      </w:r>
      <w:r w:rsidRPr="00247D3A">
        <w:t xml:space="preserve">and </w:t>
      </w:r>
      <w:r w:rsidR="0018272C">
        <w:t>withi</w:t>
      </w:r>
      <w:r w:rsidRPr="00247D3A">
        <w:t xml:space="preserve">n the </w:t>
      </w:r>
      <w:r w:rsidR="00115B20" w:rsidRPr="00247D3A">
        <w:t>context of UHC</w:t>
      </w:r>
      <w:r w:rsidR="00F96C5F" w:rsidRPr="00247D3A">
        <w:t xml:space="preserve">. </w:t>
      </w:r>
      <w:r w:rsidR="0068695A">
        <w:t>In other terms, w</w:t>
      </w:r>
      <w:r w:rsidR="00216A80" w:rsidRPr="00247D3A">
        <w:t>hat are some of the key challenges, in addition to the loss in financing, that might have a</w:t>
      </w:r>
      <w:r w:rsidR="00216A80">
        <w:t xml:space="preserve"> </w:t>
      </w:r>
      <w:r w:rsidR="00216A80" w:rsidRPr="00820C7E">
        <w:t>harmful</w:t>
      </w:r>
      <w:r w:rsidR="00216A80" w:rsidRPr="00247D3A">
        <w:t xml:space="preserve"> impact on the coverage and sustainability of </w:t>
      </w:r>
      <w:r w:rsidR="00D80540">
        <w:t>donor</w:t>
      </w:r>
      <w:r w:rsidR="00216A80" w:rsidRPr="00247D3A">
        <w:t>-financed programs in transition countries as they strive to achieve UHC, and what can be done to done to help overcome some of these challenges?</w:t>
      </w:r>
      <w:r w:rsidR="00B25108">
        <w:t xml:space="preserve"> Some related issues </w:t>
      </w:r>
      <w:r w:rsidR="0068695A">
        <w:t xml:space="preserve">include assessing if </w:t>
      </w:r>
      <w:r w:rsidR="00F96C5F" w:rsidRPr="00247D3A">
        <w:t>UHC benefits</w:t>
      </w:r>
      <w:r w:rsidR="0068695A">
        <w:t xml:space="preserve"> packages</w:t>
      </w:r>
      <w:r w:rsidR="00F96C5F" w:rsidRPr="00247D3A">
        <w:t xml:space="preserve"> include coverage for immunization and MDG-related interventions that were previously </w:t>
      </w:r>
      <w:r w:rsidR="00D80540">
        <w:t>donor</w:t>
      </w:r>
      <w:r w:rsidR="00F96C5F" w:rsidRPr="00247D3A">
        <w:t xml:space="preserve"> financed? Does everyone have coverage under UHC programs? Are these interventions adequately financed from domestic sources in the foreseeable future? Are there mechanisms for updating benefits as new technologies become available? Are all providers within the health system </w:t>
      </w:r>
      <w:r w:rsidR="00F96C5F" w:rsidRPr="00820C7E">
        <w:t>emp</w:t>
      </w:r>
      <w:r w:rsidR="00A80855" w:rsidRPr="00820C7E">
        <w:t>owered</w:t>
      </w:r>
      <w:r w:rsidR="0022063C">
        <w:t xml:space="preserve"> </w:t>
      </w:r>
      <w:r w:rsidR="00F96C5F" w:rsidRPr="00247D3A">
        <w:t xml:space="preserve">to deliver such services? </w:t>
      </w:r>
      <w:r w:rsidR="006832B7" w:rsidRPr="0022063C">
        <w:t>Do financing mechanisms, including provider payment methods</w:t>
      </w:r>
      <w:r w:rsidR="00371AD4">
        <w:t>,</w:t>
      </w:r>
      <w:r w:rsidR="006C689A">
        <w:t xml:space="preserve"> </w:t>
      </w:r>
      <w:r w:rsidR="006832B7" w:rsidRPr="0022063C">
        <w:t xml:space="preserve">provide the correct incentives to ensure access to and continuity of care? </w:t>
      </w:r>
      <w:r w:rsidR="00F96C5F" w:rsidRPr="00247D3A">
        <w:t xml:space="preserve">Are there mechanisms to ensure adequate supply-side readiness? Do countries have the capacity to procure </w:t>
      </w:r>
      <w:r w:rsidR="00B56E15">
        <w:t xml:space="preserve">and supply commodities </w:t>
      </w:r>
      <w:r w:rsidR="00F96C5F" w:rsidRPr="00247D3A">
        <w:t xml:space="preserve">and monitor </w:t>
      </w:r>
      <w:r w:rsidR="00B56E15">
        <w:t xml:space="preserve">the </w:t>
      </w:r>
      <w:r w:rsidR="00F96C5F" w:rsidRPr="00247D3A">
        <w:t xml:space="preserve">implementation of interventions and of results? Are there challenges related to </w:t>
      </w:r>
      <w:r w:rsidR="006D56A4">
        <w:t xml:space="preserve">procurement, </w:t>
      </w:r>
      <w:r w:rsidR="00F96C5F" w:rsidRPr="00247D3A">
        <w:t>financial management</w:t>
      </w:r>
      <w:r w:rsidR="006D56A4">
        <w:t xml:space="preserve">, and transitions from human resource management policies under </w:t>
      </w:r>
      <w:r w:rsidR="00D80540">
        <w:t>donor</w:t>
      </w:r>
      <w:r w:rsidR="006D56A4">
        <w:t>-financed programs</w:t>
      </w:r>
      <w:r w:rsidR="00F96C5F" w:rsidRPr="00247D3A">
        <w:t xml:space="preserve">? Are there equity considerations in managing the transition, especially in terms of sustaining access for vulnerable population sub-groups? To what extent might targeted technical assistance be needed in order to help overcome some of the transition challenges? </w:t>
      </w:r>
    </w:p>
    <w:p w:rsidR="00F27C21" w:rsidRDefault="00F27C21" w:rsidP="008F4F86"/>
    <w:p w:rsidR="006E3634" w:rsidRDefault="006E3634" w:rsidP="006E3634">
      <w:pPr>
        <w:rPr>
          <w:szCs w:val="20"/>
        </w:rPr>
      </w:pPr>
      <w:r w:rsidRPr="00247D3A">
        <w:rPr>
          <w:szCs w:val="20"/>
        </w:rPr>
        <w:t xml:space="preserve">Sustaining improvements in health outcomes and financial sustainability of the health sector are integral to the overall World Bank Group’s </w:t>
      </w:r>
      <w:r>
        <w:rPr>
          <w:szCs w:val="20"/>
        </w:rPr>
        <w:t xml:space="preserve">(WBG’s) </w:t>
      </w:r>
      <w:r w:rsidRPr="00247D3A">
        <w:rPr>
          <w:szCs w:val="20"/>
        </w:rPr>
        <w:t>strategy of eliminating extreme poverty and boosting shared prosperity in a sustainable manner. The central contribution of the H</w:t>
      </w:r>
      <w:r>
        <w:rPr>
          <w:szCs w:val="20"/>
        </w:rPr>
        <w:t xml:space="preserve">ealth, Nutrition, and Population </w:t>
      </w:r>
      <w:r w:rsidRPr="00247D3A">
        <w:rPr>
          <w:szCs w:val="20"/>
        </w:rPr>
        <w:t>Global Practice (GHNDR) to the WB</w:t>
      </w:r>
      <w:r>
        <w:rPr>
          <w:szCs w:val="20"/>
        </w:rPr>
        <w:t>G</w:t>
      </w:r>
      <w:r w:rsidRPr="00247D3A">
        <w:rPr>
          <w:szCs w:val="20"/>
        </w:rPr>
        <w:t xml:space="preserve">’s twin goals is to enable the achievement of UHC. The proposed work is also aligned with the </w:t>
      </w:r>
      <w:r>
        <w:rPr>
          <w:szCs w:val="20"/>
        </w:rPr>
        <w:t>WBG</w:t>
      </w:r>
      <w:r w:rsidRPr="00247D3A">
        <w:rPr>
          <w:szCs w:val="20"/>
        </w:rPr>
        <w:t xml:space="preserve">’s latest </w:t>
      </w:r>
      <w:r>
        <w:rPr>
          <w:szCs w:val="20"/>
        </w:rPr>
        <w:t xml:space="preserve">(2007) </w:t>
      </w:r>
      <w:r w:rsidRPr="00247D3A">
        <w:rPr>
          <w:szCs w:val="20"/>
        </w:rPr>
        <w:t>Strategy for Health, Nutrition</w:t>
      </w:r>
      <w:r>
        <w:rPr>
          <w:szCs w:val="20"/>
        </w:rPr>
        <w:t>,</w:t>
      </w:r>
      <w:r w:rsidRPr="00247D3A">
        <w:rPr>
          <w:szCs w:val="20"/>
        </w:rPr>
        <w:t xml:space="preserve"> and Population (HNP) Results, particularly</w:t>
      </w:r>
      <w:r>
        <w:rPr>
          <w:szCs w:val="20"/>
        </w:rPr>
        <w:t xml:space="preserve"> with regard to</w:t>
      </w:r>
      <w:r w:rsidRPr="00247D3A">
        <w:rPr>
          <w:szCs w:val="20"/>
        </w:rPr>
        <w:t xml:space="preserve"> Strategic Objective 3 which is geared to</w:t>
      </w:r>
      <w:r>
        <w:rPr>
          <w:szCs w:val="20"/>
        </w:rPr>
        <w:t xml:space="preserve">wards </w:t>
      </w:r>
      <w:r w:rsidRPr="00247D3A">
        <w:rPr>
          <w:szCs w:val="20"/>
        </w:rPr>
        <w:t>improv</w:t>
      </w:r>
      <w:r>
        <w:rPr>
          <w:szCs w:val="20"/>
        </w:rPr>
        <w:t>ing</w:t>
      </w:r>
      <w:r w:rsidRPr="00247D3A">
        <w:rPr>
          <w:szCs w:val="20"/>
        </w:rPr>
        <w:t xml:space="preserve"> financial sustainability in the HNP sector and its contribution to sound macroeconomic and fiscal policy and country competitiveness. Strategic Objective 3 provides clear and overarching guidance for the proposed work while emphasizing that, in order to “ensure people’s access to essential services and financial protection, countries need to raise stable, sufficient, long-term public and private financial resources, predictably, equitably, efficiently, and in a way that minimizes economic distortions.”</w:t>
      </w:r>
      <w:r>
        <w:rPr>
          <w:rStyle w:val="FootnoteReference"/>
          <w:szCs w:val="20"/>
        </w:rPr>
        <w:footnoteReference w:id="3"/>
      </w:r>
      <w:r w:rsidRPr="00247D3A">
        <w:rPr>
          <w:szCs w:val="20"/>
        </w:rPr>
        <w:t xml:space="preserve"> </w:t>
      </w:r>
    </w:p>
    <w:p w:rsidR="006E3634" w:rsidRDefault="006E3634" w:rsidP="006E3634">
      <w:pPr>
        <w:rPr>
          <w:szCs w:val="20"/>
        </w:rPr>
      </w:pPr>
    </w:p>
    <w:p w:rsidR="000E6BC8" w:rsidRDefault="006E3634" w:rsidP="000E6BC8">
      <w:r>
        <w:rPr>
          <w:szCs w:val="20"/>
        </w:rPr>
        <w:t xml:space="preserve">GHNDR is </w:t>
      </w:r>
      <w:r w:rsidRPr="00697FF3">
        <w:t xml:space="preserve">developing a new health financing business line </w:t>
      </w:r>
      <w:r>
        <w:t xml:space="preserve">with </w:t>
      </w:r>
      <w:r w:rsidRPr="00697FF3">
        <w:t>the objective</w:t>
      </w:r>
      <w:r>
        <w:t xml:space="preserve"> of</w:t>
      </w:r>
      <w:r w:rsidRPr="00697FF3">
        <w:t xml:space="preserve"> support</w:t>
      </w:r>
      <w:r>
        <w:t>ing</w:t>
      </w:r>
      <w:r w:rsidRPr="00697FF3">
        <w:t xml:space="preserve"> countries </w:t>
      </w:r>
      <w:r>
        <w:t>to</w:t>
      </w:r>
      <w:r w:rsidRPr="00697FF3">
        <w:t xml:space="preserve"> strengthen their health financing systems to accelerate and sustain progress towards UHC. The business line will focus on assisting countries in: (i) raising adequate levels of funding; (ii) using these resources efficiently; and (iii) protecting individuals from financial hardship, and helping countries pursue all of the above in an equitable manner.</w:t>
      </w:r>
      <w:r>
        <w:t xml:space="preserve"> The activities financed under the MDTF will be fully consistent and aligned with the overarching objective of the new health financing business line. </w:t>
      </w:r>
      <w:r w:rsidR="000E6BC8">
        <w:t xml:space="preserve">More generally, the activities proposed will emphasize the “delta” of engaging on transition issues within the context of WBG engagement in countries related to </w:t>
      </w:r>
      <w:r w:rsidR="000E6BC8">
        <w:lastRenderedPageBreak/>
        <w:t>broader questions on UHC and engagement with Ministries of Finance. The activities will also emphasize issues related to decentralization where relevant, and the MDTF will engage via the process of an internal WBG consultative group with other countries facing similar decentralization challenges such as in Pakistan, India, Ethiopia, Nigeria, and Brazil.</w:t>
      </w:r>
      <w:r w:rsidR="000E6BC8" w:rsidRPr="000E6BC8">
        <w:t xml:space="preserve"> </w:t>
      </w:r>
      <w:r w:rsidR="000E6BC8">
        <w:t>The activities will underscore engagement across GHNDR from a learning and knowledge-sharing perspective.</w:t>
      </w:r>
    </w:p>
    <w:p w:rsidR="000E6BC8" w:rsidRDefault="000E6BC8" w:rsidP="006E3634"/>
    <w:p w:rsidR="00B415C1" w:rsidRDefault="006E3634" w:rsidP="006E3634">
      <w:r>
        <w:rPr>
          <w:szCs w:val="20"/>
        </w:rPr>
        <w:t xml:space="preserve">The proposed program is also in full alignment with the </w:t>
      </w:r>
      <w:r w:rsidRPr="00023619">
        <w:t>Global Financing Facility in Support of Every Woman Every Child (GFF)</w:t>
      </w:r>
      <w:r>
        <w:t xml:space="preserve"> which</w:t>
      </w:r>
      <w:r>
        <w:rPr>
          <w:color w:val="1F497D"/>
        </w:rPr>
        <w:t xml:space="preserve"> </w:t>
      </w:r>
      <w:r w:rsidRPr="006D56A4">
        <w:t xml:space="preserve">is expected to be </w:t>
      </w:r>
      <w:r>
        <w:t xml:space="preserve">one of </w:t>
      </w:r>
      <w:r w:rsidRPr="006D56A4">
        <w:t>the main WBG financing vehicle</w:t>
      </w:r>
      <w:r>
        <w:t>s for attaining the post-2015 Sustainable Development Goals (SDGs) including UHC</w:t>
      </w:r>
      <w:r w:rsidRPr="006D56A4">
        <w:t>.</w:t>
      </w:r>
      <w:r>
        <w:t xml:space="preserve"> The GFF will act as a pathfinder in a new era of financing for development by pioneering a model that shifts away from focusing solely on donor financing to an approach that combines donor support, domestic financing, and innovative sources for resource mobilization and delivery (including the private sector) in a synergistic way. The GFF will serve as a major vehicle for financing the proposed SDG on healthy lives and will play a special role in scaling up financing to support the UN Secretary-General’s renewed “Global Strategy for Women’s and Children’s Health”. </w:t>
      </w:r>
    </w:p>
    <w:p w:rsidR="00B415C1" w:rsidRDefault="00B415C1" w:rsidP="006E3634"/>
    <w:p w:rsidR="006E3634" w:rsidRDefault="006E3634" w:rsidP="006E3634">
      <w:r>
        <w:t xml:space="preserve">The activities proposed under this MDTF will complement </w:t>
      </w:r>
      <w:r w:rsidRPr="006D56A4">
        <w:t xml:space="preserve">GAVI co-financed piloting of the </w:t>
      </w:r>
      <w:r>
        <w:t xml:space="preserve">GHNDR’s </w:t>
      </w:r>
      <w:r w:rsidRPr="006D56A4">
        <w:t>financial and institutional health finan</w:t>
      </w:r>
      <w:r>
        <w:t>c</w:t>
      </w:r>
      <w:r w:rsidRPr="006D56A4">
        <w:t>ing assessments in several countries (including Indonesia).</w:t>
      </w:r>
      <w:r w:rsidR="00036850">
        <w:t xml:space="preserve"> </w:t>
      </w:r>
      <w:r w:rsidRPr="008C63D3">
        <w:t xml:space="preserve">The activities </w:t>
      </w:r>
      <w:r>
        <w:t>financed by the MDTF will,</w:t>
      </w:r>
      <w:r w:rsidRPr="008C63D3">
        <w:t xml:space="preserve"> in essence</w:t>
      </w:r>
      <w:r>
        <w:t>,</w:t>
      </w:r>
      <w:r w:rsidRPr="008C63D3">
        <w:t xml:space="preserve"> </w:t>
      </w:r>
      <w:r>
        <w:t xml:space="preserve">also be </w:t>
      </w:r>
      <w:r w:rsidRPr="008C63D3">
        <w:t xml:space="preserve">a subset of broader support </w:t>
      </w:r>
      <w:r>
        <w:t xml:space="preserve">currently </w:t>
      </w:r>
      <w:r w:rsidRPr="008C63D3">
        <w:t>being provided to improve public financial management (PFM</w:t>
      </w:r>
      <w:r>
        <w:t xml:space="preserve">; </w:t>
      </w:r>
      <w:r w:rsidRPr="008C63D3">
        <w:t>i.e.</w:t>
      </w:r>
      <w:r>
        <w:t>,</w:t>
      </w:r>
      <w:r w:rsidRPr="008C63D3">
        <w:t xml:space="preserve"> budgeting, accounting, funding flows, internal controls, reporting, and auditing)</w:t>
      </w:r>
      <w:r>
        <w:t xml:space="preserve"> in some of the recipient countries</w:t>
      </w:r>
      <w:r w:rsidRPr="008C63D3">
        <w:t xml:space="preserve">. The transition plans will feed into the revisions of national health strategic plans and complementary medium term expenditure plans, as well as the ongoing annual operational plans and budgets. </w:t>
      </w:r>
      <w:r>
        <w:t>Some of the</w:t>
      </w:r>
      <w:r w:rsidRPr="008C63D3">
        <w:t xml:space="preserve"> </w:t>
      </w:r>
      <w:r>
        <w:t xml:space="preserve">proposed </w:t>
      </w:r>
      <w:r w:rsidRPr="008C63D3">
        <w:t xml:space="preserve">activities have also been outlined in the recently reviewed </w:t>
      </w:r>
      <w:r>
        <w:t xml:space="preserve">and approved </w:t>
      </w:r>
      <w:r w:rsidRPr="008C63D3">
        <w:t>Pacific Health Program</w:t>
      </w:r>
      <w:r>
        <w:t>s</w:t>
      </w:r>
      <w:r w:rsidRPr="008C63D3">
        <w:t xml:space="preserve"> of T</w:t>
      </w:r>
      <w:r>
        <w:t>echnical Assistance (TA)</w:t>
      </w:r>
      <w:r w:rsidRPr="008C63D3">
        <w:t>/</w:t>
      </w:r>
      <w:r>
        <w:t>Analytical and Advisory Services (</w:t>
      </w:r>
      <w:r w:rsidRPr="008C63D3">
        <w:t>AAA</w:t>
      </w:r>
      <w:r>
        <w:t>)</w:t>
      </w:r>
      <w:r w:rsidRPr="008C63D3">
        <w:t xml:space="preserve"> for 2015-2018 and </w:t>
      </w:r>
      <w:r>
        <w:t xml:space="preserve">the </w:t>
      </w:r>
      <w:r w:rsidRPr="008C63D3">
        <w:t>Indonesia Health Program of TA/AAA</w:t>
      </w:r>
      <w:r>
        <w:t xml:space="preserve"> for 2015-2016.</w:t>
      </w:r>
      <w:r>
        <w:rPr>
          <w:rStyle w:val="FootnoteReference"/>
        </w:rPr>
        <w:footnoteReference w:id="4"/>
      </w:r>
    </w:p>
    <w:p w:rsidR="009257AA" w:rsidRPr="00247D3A" w:rsidRDefault="009257AA" w:rsidP="005646F5">
      <w:pPr>
        <w:jc w:val="center"/>
        <w:rPr>
          <w:i/>
        </w:rPr>
      </w:pPr>
    </w:p>
    <w:p w:rsidR="00FE14E5" w:rsidRDefault="006E3634" w:rsidP="006E3634">
      <w:pPr>
        <w:pStyle w:val="Heading1"/>
        <w:jc w:val="center"/>
        <w:rPr>
          <w:color w:val="auto"/>
        </w:rPr>
      </w:pPr>
      <w:r>
        <w:rPr>
          <w:color w:val="auto"/>
        </w:rPr>
        <w:t>Project Components/Activities</w:t>
      </w:r>
    </w:p>
    <w:p w:rsidR="006E3634" w:rsidRPr="006E3634" w:rsidRDefault="006E3634" w:rsidP="006E3634"/>
    <w:p w:rsidR="008C63D3" w:rsidRPr="008C63D3" w:rsidRDefault="009851A0" w:rsidP="0090421F">
      <w:pPr>
        <w:widowControl w:val="0"/>
        <w:autoSpaceDE w:val="0"/>
        <w:autoSpaceDN w:val="0"/>
        <w:adjustRightInd w:val="0"/>
      </w:pPr>
      <w:r w:rsidRPr="008C63D3">
        <w:t>The program will provide resource</w:t>
      </w:r>
      <w:r w:rsidR="005D7EF8" w:rsidRPr="008C63D3">
        <w:t>s</w:t>
      </w:r>
      <w:r w:rsidRPr="008C63D3">
        <w:t xml:space="preserve"> to </w:t>
      </w:r>
      <w:r w:rsidR="002541E2">
        <w:t xml:space="preserve">WBG </w:t>
      </w:r>
      <w:r w:rsidRPr="008C63D3">
        <w:t xml:space="preserve">task teams and </w:t>
      </w:r>
      <w:r w:rsidR="007703CC">
        <w:t xml:space="preserve">to </w:t>
      </w:r>
      <w:r w:rsidR="005D7EF8" w:rsidRPr="008C63D3">
        <w:t>government</w:t>
      </w:r>
      <w:r w:rsidR="00B415C1">
        <w:t>s</w:t>
      </w:r>
      <w:r w:rsidRPr="008C63D3">
        <w:t xml:space="preserve"> to </w:t>
      </w:r>
      <w:r w:rsidR="00153BA7" w:rsidRPr="008C63D3">
        <w:rPr>
          <w:rFonts w:cs="Helvetica"/>
        </w:rPr>
        <w:t xml:space="preserve">support countries in strengthening their health systems to accelerate and sustain progress towards </w:t>
      </w:r>
      <w:r w:rsidR="00FA32C4" w:rsidRPr="00247D3A">
        <w:rPr>
          <w:rFonts w:cs="Helvetica"/>
        </w:rPr>
        <w:t xml:space="preserve">key health outputs and outcomes that contribute to </w:t>
      </w:r>
      <w:r w:rsidR="00E06145" w:rsidRPr="008C63D3">
        <w:rPr>
          <w:rFonts w:cs="Helvetica"/>
        </w:rPr>
        <w:t>UHC</w:t>
      </w:r>
      <w:r w:rsidR="00153BA7" w:rsidRPr="008C63D3">
        <w:rPr>
          <w:rFonts w:cs="Helvetica"/>
        </w:rPr>
        <w:t xml:space="preserve"> with a particular focus on assessing and supporting the financial and institutional sustainability of </w:t>
      </w:r>
      <w:r w:rsidR="00D80540">
        <w:rPr>
          <w:rFonts w:cs="Helvetica"/>
        </w:rPr>
        <w:t>donor</w:t>
      </w:r>
      <w:r w:rsidR="00153BA7" w:rsidRPr="008C63D3">
        <w:rPr>
          <w:rFonts w:cs="Helvetica"/>
        </w:rPr>
        <w:t xml:space="preserve">-financed </w:t>
      </w:r>
      <w:r w:rsidR="006C689A">
        <w:rPr>
          <w:rFonts w:cs="Helvetica"/>
        </w:rPr>
        <w:t>health</w:t>
      </w:r>
      <w:r w:rsidR="00153BA7" w:rsidRPr="008C63D3">
        <w:rPr>
          <w:rFonts w:cs="Helvetica"/>
        </w:rPr>
        <w:t xml:space="preserve"> programs. </w:t>
      </w:r>
    </w:p>
    <w:p w:rsidR="008C63D3" w:rsidRPr="008C63D3" w:rsidRDefault="008C63D3" w:rsidP="0090421F">
      <w:pPr>
        <w:widowControl w:val="0"/>
        <w:autoSpaceDE w:val="0"/>
        <w:autoSpaceDN w:val="0"/>
        <w:adjustRightInd w:val="0"/>
        <w:rPr>
          <w:rFonts w:cs="Helvetica"/>
        </w:rPr>
      </w:pPr>
    </w:p>
    <w:p w:rsidR="00153BA7" w:rsidRDefault="00342C54" w:rsidP="0090421F">
      <w:pPr>
        <w:widowControl w:val="0"/>
        <w:autoSpaceDE w:val="0"/>
        <w:autoSpaceDN w:val="0"/>
        <w:adjustRightInd w:val="0"/>
        <w:rPr>
          <w:rFonts w:cs="Helvetica"/>
        </w:rPr>
      </w:pPr>
      <w:r w:rsidRPr="00247D3A">
        <w:rPr>
          <w:rFonts w:cs="Helvetica"/>
        </w:rPr>
        <w:t>The</w:t>
      </w:r>
      <w:r w:rsidR="006C689A">
        <w:rPr>
          <w:rFonts w:cs="Helvetica"/>
        </w:rPr>
        <w:t xml:space="preserve"> MDTF will comprise </w:t>
      </w:r>
      <w:r w:rsidR="0037175C" w:rsidRPr="00247D3A">
        <w:rPr>
          <w:rFonts w:cs="Helvetica"/>
        </w:rPr>
        <w:t>four</w:t>
      </w:r>
      <w:r w:rsidRPr="00247D3A">
        <w:rPr>
          <w:rFonts w:cs="Helvetica"/>
        </w:rPr>
        <w:t xml:space="preserve"> </w:t>
      </w:r>
      <w:r w:rsidR="003B79BA">
        <w:rPr>
          <w:rFonts w:cs="Helvetica"/>
        </w:rPr>
        <w:t>B</w:t>
      </w:r>
      <w:r w:rsidR="00476939">
        <w:rPr>
          <w:rFonts w:cs="Helvetica"/>
        </w:rPr>
        <w:t xml:space="preserve">ank </w:t>
      </w:r>
      <w:r w:rsidR="003B79BA">
        <w:rPr>
          <w:rFonts w:cs="Helvetica"/>
        </w:rPr>
        <w:t>E</w:t>
      </w:r>
      <w:r w:rsidR="00476939">
        <w:rPr>
          <w:rFonts w:cs="Helvetica"/>
        </w:rPr>
        <w:t>xecuted (BE)</w:t>
      </w:r>
      <w:r w:rsidR="003B79BA">
        <w:rPr>
          <w:rFonts w:cs="Helvetica"/>
        </w:rPr>
        <w:t xml:space="preserve"> and/or R</w:t>
      </w:r>
      <w:r w:rsidR="00476939">
        <w:rPr>
          <w:rFonts w:cs="Helvetica"/>
        </w:rPr>
        <w:t xml:space="preserve">ecipient </w:t>
      </w:r>
      <w:r w:rsidR="003B79BA">
        <w:rPr>
          <w:rFonts w:cs="Helvetica"/>
        </w:rPr>
        <w:t>E</w:t>
      </w:r>
      <w:r w:rsidR="00476939">
        <w:rPr>
          <w:rFonts w:cs="Helvetica"/>
        </w:rPr>
        <w:t>xecuted (RE)</w:t>
      </w:r>
      <w:r w:rsidR="003B79BA">
        <w:rPr>
          <w:rFonts w:cs="Helvetica"/>
        </w:rPr>
        <w:t xml:space="preserve"> activity </w:t>
      </w:r>
      <w:r w:rsidRPr="00247D3A">
        <w:rPr>
          <w:rFonts w:cs="Helvetica"/>
        </w:rPr>
        <w:t>pillars</w:t>
      </w:r>
      <w:r w:rsidR="00697FF3">
        <w:rPr>
          <w:rFonts w:cs="Helvetica"/>
        </w:rPr>
        <w:t xml:space="preserve"> </w:t>
      </w:r>
      <w:r w:rsidR="00697FF3" w:rsidRPr="00247D3A">
        <w:rPr>
          <w:rFonts w:cs="Helvetica"/>
        </w:rPr>
        <w:t>(see</w:t>
      </w:r>
      <w:r w:rsidR="008D5FFA">
        <w:rPr>
          <w:rFonts w:cs="Helvetica"/>
        </w:rPr>
        <w:t xml:space="preserve"> Figure 1)</w:t>
      </w:r>
      <w:r w:rsidRPr="00247D3A">
        <w:rPr>
          <w:rFonts w:cs="Helvetica"/>
        </w:rPr>
        <w:t xml:space="preserve">: (i) </w:t>
      </w:r>
      <w:r w:rsidR="00BC3A9D" w:rsidRPr="00BC3A9D">
        <w:rPr>
          <w:rFonts w:cs="Helvetica"/>
          <w:i/>
        </w:rPr>
        <w:t xml:space="preserve">comprehensive </w:t>
      </w:r>
      <w:r w:rsidRPr="00247D3A">
        <w:rPr>
          <w:rFonts w:cs="Helvetica"/>
          <w:i/>
        </w:rPr>
        <w:t xml:space="preserve">health financing </w:t>
      </w:r>
      <w:r w:rsidR="002223EC">
        <w:rPr>
          <w:rFonts w:cs="Helvetica"/>
          <w:i/>
        </w:rPr>
        <w:t xml:space="preserve">and institutional </w:t>
      </w:r>
      <w:r w:rsidRPr="00247D3A">
        <w:rPr>
          <w:rFonts w:cs="Helvetica"/>
          <w:i/>
        </w:rPr>
        <w:t>assessments</w:t>
      </w:r>
      <w:r w:rsidR="008D3F9B">
        <w:rPr>
          <w:rFonts w:cs="Helvetica"/>
          <w:i/>
        </w:rPr>
        <w:t xml:space="preserve"> (BE)</w:t>
      </w:r>
      <w:r w:rsidRPr="00247D3A">
        <w:rPr>
          <w:rFonts w:cs="Helvetica"/>
        </w:rPr>
        <w:t xml:space="preserve">; (ii) </w:t>
      </w:r>
      <w:r w:rsidRPr="00247D3A">
        <w:rPr>
          <w:rFonts w:cs="Helvetica"/>
          <w:i/>
        </w:rPr>
        <w:t>technical assistance</w:t>
      </w:r>
      <w:r w:rsidR="004B4B83" w:rsidRPr="00247D3A">
        <w:rPr>
          <w:rFonts w:cs="Helvetica"/>
          <w:i/>
        </w:rPr>
        <w:t xml:space="preserve"> and capacity building</w:t>
      </w:r>
      <w:r w:rsidR="008D3F9B">
        <w:rPr>
          <w:rFonts w:cs="Helvetica"/>
          <w:i/>
        </w:rPr>
        <w:t xml:space="preserve"> (BE)</w:t>
      </w:r>
      <w:r w:rsidRPr="00247D3A">
        <w:rPr>
          <w:rFonts w:cs="Helvetica"/>
        </w:rPr>
        <w:t>; (iii)</w:t>
      </w:r>
      <w:r w:rsidR="0037175C" w:rsidRPr="00247D3A">
        <w:rPr>
          <w:rFonts w:cs="Helvetica"/>
        </w:rPr>
        <w:t xml:space="preserve"> </w:t>
      </w:r>
      <w:r w:rsidR="0037175C" w:rsidRPr="00247D3A">
        <w:rPr>
          <w:rFonts w:cs="Helvetica"/>
          <w:i/>
        </w:rPr>
        <w:t xml:space="preserve">knowledge </w:t>
      </w:r>
      <w:r w:rsidR="006F0E72">
        <w:rPr>
          <w:rFonts w:cs="Helvetica"/>
          <w:i/>
        </w:rPr>
        <w:t xml:space="preserve">generation and </w:t>
      </w:r>
      <w:r w:rsidR="0037175C" w:rsidRPr="00247D3A">
        <w:rPr>
          <w:rFonts w:cs="Helvetica"/>
          <w:i/>
        </w:rPr>
        <w:t>exchange activities</w:t>
      </w:r>
      <w:r w:rsidR="008D3F9B">
        <w:rPr>
          <w:rFonts w:cs="Helvetica"/>
          <w:i/>
        </w:rPr>
        <w:t xml:space="preserve"> (BE)</w:t>
      </w:r>
      <w:r w:rsidR="00DA0FA8">
        <w:rPr>
          <w:rFonts w:cs="Helvetica"/>
          <w:i/>
        </w:rPr>
        <w:t xml:space="preserve">; </w:t>
      </w:r>
      <w:r w:rsidR="00DA0FA8" w:rsidRPr="00DA0FA8">
        <w:rPr>
          <w:rFonts w:cs="Helvetica"/>
        </w:rPr>
        <w:t>and</w:t>
      </w:r>
      <w:r w:rsidR="00DA0FA8">
        <w:rPr>
          <w:rFonts w:cs="Helvetica"/>
          <w:i/>
        </w:rPr>
        <w:t xml:space="preserve"> (iv) </w:t>
      </w:r>
      <w:r w:rsidR="00DA0FA8" w:rsidRPr="00247D3A">
        <w:rPr>
          <w:rFonts w:cs="Helvetica"/>
          <w:i/>
        </w:rPr>
        <w:t>piloting of innovative health financing and service delivery mechanisms</w:t>
      </w:r>
      <w:r w:rsidR="00DA0FA8">
        <w:rPr>
          <w:rFonts w:cs="Helvetica"/>
          <w:i/>
        </w:rPr>
        <w:t xml:space="preserve"> (RE</w:t>
      </w:r>
      <w:r w:rsidR="00DA0FA8" w:rsidRPr="00820C7E">
        <w:rPr>
          <w:rFonts w:cs="Helvetica"/>
          <w:i/>
        </w:rPr>
        <w:t>)</w:t>
      </w:r>
      <w:r w:rsidR="0037175C" w:rsidRPr="00247D3A">
        <w:rPr>
          <w:rFonts w:cs="Helvetica"/>
        </w:rPr>
        <w:t xml:space="preserve">. </w:t>
      </w:r>
      <w:r w:rsidR="009A4A85" w:rsidRPr="00247D3A">
        <w:rPr>
          <w:rFonts w:cs="Helvetica"/>
        </w:rPr>
        <w:t>Each of these is outlined in more detail below.</w:t>
      </w:r>
      <w:r w:rsidR="002345DA">
        <w:rPr>
          <w:rFonts w:cs="Helvetica"/>
        </w:rPr>
        <w:t xml:space="preserve"> All four pillars will finance activities for which the primary focus will be on the institutional and financing sustainability of donor-financed programs. The only differences across the pillars is to do with the implementation modality (i.e., BE versus RE) and nature of support (diagnostics, technical assistance, knowledge sharing, and piloting of innovative interventions).</w:t>
      </w:r>
    </w:p>
    <w:p w:rsidR="006E3634" w:rsidRDefault="006E3634">
      <w:pPr>
        <w:rPr>
          <w:b/>
          <w:sz w:val="20"/>
        </w:rPr>
      </w:pPr>
    </w:p>
    <w:p w:rsidR="00B25108" w:rsidRDefault="00B25108">
      <w:pPr>
        <w:rPr>
          <w:b/>
          <w:sz w:val="20"/>
        </w:rPr>
      </w:pPr>
      <w:r>
        <w:rPr>
          <w:sz w:val="20"/>
        </w:rPr>
        <w:br w:type="page"/>
      </w:r>
    </w:p>
    <w:p w:rsidR="00932644" w:rsidRDefault="00932644" w:rsidP="0090421F">
      <w:pPr>
        <w:pStyle w:val="Heading2"/>
        <w:ind w:right="13"/>
        <w:jc w:val="center"/>
      </w:pPr>
      <w:r w:rsidRPr="00B53637">
        <w:rPr>
          <w:sz w:val="20"/>
        </w:rPr>
        <w:t>Figure 1: Outline structure for the MDTF</w:t>
      </w:r>
    </w:p>
    <w:p w:rsidR="004776A0" w:rsidRPr="00B415C1" w:rsidRDefault="00B53637" w:rsidP="0005155D">
      <w:pPr>
        <w:pStyle w:val="ListParagraph"/>
        <w:widowControl w:val="0"/>
        <w:autoSpaceDE w:val="0"/>
        <w:autoSpaceDN w:val="0"/>
        <w:adjustRightInd w:val="0"/>
        <w:ind w:left="1080" w:firstLine="360"/>
        <w:jc w:val="left"/>
        <w:rPr>
          <w:rFonts w:cs="Helvetica"/>
        </w:rPr>
      </w:pPr>
      <w:r>
        <w:rPr>
          <w:noProof/>
          <w:lang w:val="en-AU" w:eastAsia="en-AU"/>
        </w:rPr>
        <w:drawing>
          <wp:anchor distT="0" distB="0" distL="114300" distR="114300" simplePos="0" relativeHeight="251791360" behindDoc="0" locked="0" layoutInCell="1" allowOverlap="1" wp14:anchorId="000E00DB" wp14:editId="34438F86">
            <wp:simplePos x="0" y="0"/>
            <wp:positionH relativeFrom="column">
              <wp:posOffset>484495</wp:posOffset>
            </wp:positionH>
            <wp:positionV relativeFrom="paragraph">
              <wp:posOffset>0</wp:posOffset>
            </wp:positionV>
            <wp:extent cx="4879075" cy="3098042"/>
            <wp:effectExtent l="38100" t="0" r="17145" b="0"/>
            <wp:wrapTopAndBottom/>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C7704C">
        <w:rPr>
          <w:noProof/>
          <w:lang w:val="en-AU" w:eastAsia="en-AU"/>
        </w:rPr>
        <mc:AlternateContent>
          <mc:Choice Requires="wps">
            <w:drawing>
              <wp:anchor distT="0" distB="0" distL="114300" distR="114300" simplePos="0" relativeHeight="251790336" behindDoc="0" locked="0" layoutInCell="1" allowOverlap="1" wp14:anchorId="1EE5E9D7" wp14:editId="75489C44">
                <wp:simplePos x="0" y="0"/>
                <wp:positionH relativeFrom="column">
                  <wp:posOffset>5124450</wp:posOffset>
                </wp:positionH>
                <wp:positionV relativeFrom="paragraph">
                  <wp:posOffset>3699510</wp:posOffset>
                </wp:positionV>
                <wp:extent cx="771100" cy="194405"/>
                <wp:effectExtent l="0" t="0" r="0" b="0"/>
                <wp:wrapNone/>
                <wp:docPr id="4" name="Rectangle 4"/>
                <wp:cNvGraphicFramePr/>
                <a:graphic xmlns:a="http://schemas.openxmlformats.org/drawingml/2006/main">
                  <a:graphicData uri="http://schemas.microsoft.com/office/word/2010/wordprocessingShape">
                    <wps:wsp>
                      <wps:cNvSpPr/>
                      <wps:spPr>
                        <a:xfrm>
                          <a:off x="0" y="0"/>
                          <a:ext cx="771100" cy="194405"/>
                        </a:xfrm>
                        <a:prstGeom prst="rect">
                          <a:avLst/>
                        </a:prstGeom>
                        <a:ln>
                          <a:noFill/>
                        </a:ln>
                      </wps:spPr>
                      <wps:txbx>
                        <w:txbxContent>
                          <w:p w:rsidR="00B25108" w:rsidRPr="00BB7A9B" w:rsidRDefault="00B25108" w:rsidP="00BB7A9B">
                            <w:pPr>
                              <w:spacing w:after="160" w:line="259" w:lineRule="auto"/>
                              <w:jc w:val="left"/>
                              <w:rPr>
                                <w:b/>
                              </w:rPr>
                            </w:pPr>
                            <w:r w:rsidRPr="00BB7A9B">
                              <w:rPr>
                                <w:rFonts w:ascii="Calibri" w:eastAsia="Calibri" w:hAnsi="Calibri" w:cs="Calibri"/>
                                <w:b/>
                                <w:color w:val="FFFFFF" w:themeColor="background1"/>
                                <w:sz w:val="16"/>
                              </w:rPr>
                              <w:t>Bank Executed</w:t>
                            </w:r>
                          </w:p>
                        </w:txbxContent>
                      </wps:txbx>
                      <wps:bodyPr horzOverflow="overflow" vert="horz" lIns="0" tIns="0" rIns="0" bIns="0" rtlCol="0">
                        <a:noAutofit/>
                      </wps:bodyPr>
                    </wps:wsp>
                  </a:graphicData>
                </a:graphic>
              </wp:anchor>
            </w:drawing>
          </mc:Choice>
          <mc:Fallback xmlns:cx2="http://schemas.microsoft.com/office/drawing/2015/10/21/chartex">
            <w:pict>
              <v:rect w14:anchorId="1EE5E9D7" id="Rectangle 4" o:spid="_x0000_s1026" style="position:absolute;left:0;text-align:left;margin-left:403.5pt;margin-top:291.3pt;width:60.7pt;height:15.3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" filled="f" stroked="f">
                <v:textbox inset="0,0,0,0">
                  <w:txbxContent>
                    <w:p w:rsidR="00B25108" w:rsidRPr="00BB7A9B" w:rsidRDefault="00B25108" w:rsidP="00BB7A9B">
                      <w:pPr>
                        <w:spacing w:after="160" w:line="259" w:lineRule="auto"/>
                        <w:jc w:val="left"/>
                        <w:rPr>
                          <w:b/>
                        </w:rPr>
                      </w:pPr>
                      <w:r w:rsidRPr="00BB7A9B">
                        <w:rPr>
                          <w:rFonts w:ascii="Calibri" w:eastAsia="Calibri" w:hAnsi="Calibri" w:cs="Calibri"/>
                          <w:b/>
                          <w:color w:val="FFFFFF" w:themeColor="background1"/>
                          <w:sz w:val="16"/>
                        </w:rPr>
                        <w:t>Bank Executed</w:t>
                      </w:r>
                    </w:p>
                  </w:txbxContent>
                </v:textbox>
              </v:rect>
            </w:pict>
          </mc:Fallback>
        </mc:AlternateContent>
      </w:r>
    </w:p>
    <w:p w:rsidR="004776A0" w:rsidRDefault="004776A0" w:rsidP="0090421F">
      <w:pPr>
        <w:widowControl w:val="0"/>
        <w:autoSpaceDE w:val="0"/>
        <w:autoSpaceDN w:val="0"/>
        <w:adjustRightInd w:val="0"/>
      </w:pPr>
    </w:p>
    <w:p w:rsidR="00B25108" w:rsidRDefault="00B25108" w:rsidP="00B25108">
      <w:pPr>
        <w:pStyle w:val="ListParagraph"/>
        <w:widowControl w:val="0"/>
        <w:autoSpaceDE w:val="0"/>
        <w:autoSpaceDN w:val="0"/>
        <w:adjustRightInd w:val="0"/>
        <w:ind w:left="90"/>
        <w:jc w:val="center"/>
        <w:rPr>
          <w:rFonts w:cs="Helvetica"/>
          <w:i/>
        </w:rPr>
      </w:pPr>
      <w:r>
        <w:rPr>
          <w:rFonts w:cs="Helvetica"/>
          <w:i/>
        </w:rPr>
        <w:t xml:space="preserve">Pillar I: </w:t>
      </w:r>
      <w:r w:rsidRPr="00B415C1">
        <w:rPr>
          <w:rFonts w:cs="Helvetica"/>
          <w:i/>
        </w:rPr>
        <w:t>Comprehensive Health Financing &amp; Institutional Assessments</w:t>
      </w:r>
    </w:p>
    <w:p w:rsidR="00B25108" w:rsidRDefault="00B25108" w:rsidP="00B25108">
      <w:pPr>
        <w:pStyle w:val="ListParagraph"/>
        <w:widowControl w:val="0"/>
        <w:autoSpaceDE w:val="0"/>
        <w:autoSpaceDN w:val="0"/>
        <w:adjustRightInd w:val="0"/>
        <w:ind w:left="90"/>
        <w:jc w:val="center"/>
      </w:pPr>
    </w:p>
    <w:p w:rsidR="000C4B07" w:rsidRPr="004776A0" w:rsidRDefault="000C4B07" w:rsidP="0090421F">
      <w:pPr>
        <w:pStyle w:val="ListParagraph"/>
        <w:widowControl w:val="0"/>
        <w:autoSpaceDE w:val="0"/>
        <w:autoSpaceDN w:val="0"/>
        <w:adjustRightInd w:val="0"/>
        <w:ind w:left="90"/>
        <w:rPr>
          <w:rFonts w:cs="Helvetica"/>
        </w:rPr>
      </w:pPr>
      <w:r>
        <w:t>This pillar w</w:t>
      </w:r>
      <w:r w:rsidR="0079303E">
        <w:t>ill</w:t>
      </w:r>
      <w:r>
        <w:t xml:space="preserve"> provide resources to </w:t>
      </w:r>
      <w:r w:rsidR="009E0420">
        <w:t xml:space="preserve">WBG </w:t>
      </w:r>
      <w:r>
        <w:t xml:space="preserve">task teams in order to undertake comprehensive health financing </w:t>
      </w:r>
      <w:r w:rsidR="00A860C4">
        <w:t xml:space="preserve">and institutional </w:t>
      </w:r>
      <w:r>
        <w:t>assessments (HF</w:t>
      </w:r>
      <w:r w:rsidR="00A860C4">
        <w:t>I</w:t>
      </w:r>
      <w:r>
        <w:t xml:space="preserve">As) </w:t>
      </w:r>
      <w:r w:rsidR="00E1553B">
        <w:t xml:space="preserve">using the framework developed by GHNDR and </w:t>
      </w:r>
      <w:r w:rsidRPr="004776A0">
        <w:rPr>
          <w:rFonts w:cs="Helvetica"/>
        </w:rPr>
        <w:t xml:space="preserve">with a particular focus on assessing the financial and institutional sustainability of </w:t>
      </w:r>
      <w:r w:rsidR="00D80540">
        <w:rPr>
          <w:rFonts w:cs="Helvetica"/>
        </w:rPr>
        <w:t>donor</w:t>
      </w:r>
      <w:r w:rsidRPr="004776A0">
        <w:rPr>
          <w:rFonts w:cs="Helvetica"/>
        </w:rPr>
        <w:t xml:space="preserve">-financed </w:t>
      </w:r>
      <w:r w:rsidR="009E0420">
        <w:rPr>
          <w:rFonts w:cs="Helvetica"/>
        </w:rPr>
        <w:t>health</w:t>
      </w:r>
      <w:r w:rsidRPr="004776A0">
        <w:rPr>
          <w:rFonts w:cs="Helvetica"/>
        </w:rPr>
        <w:t xml:space="preserve"> priority programs. As noted above, </w:t>
      </w:r>
      <w:r>
        <w:t>GHNDR</w:t>
      </w:r>
      <w:r w:rsidRPr="00CD20E0">
        <w:t xml:space="preserve"> is developing a new business line re-oriented towards provision of support to countries on a range of health financing issues and challenges, including those faced by countries transitioning away from </w:t>
      </w:r>
      <w:r w:rsidR="00D80540">
        <w:t>donor</w:t>
      </w:r>
      <w:r w:rsidRPr="00CD20E0">
        <w:t xml:space="preserve">-sourced financing. As part of this effort, </w:t>
      </w:r>
      <w:r>
        <w:t>GHNDR</w:t>
      </w:r>
      <w:r w:rsidRPr="00CD20E0">
        <w:t xml:space="preserve"> is developing a comprehensive </w:t>
      </w:r>
      <w:r>
        <w:t xml:space="preserve">health financing </w:t>
      </w:r>
      <w:r w:rsidR="00A860C4">
        <w:t xml:space="preserve">and institutional </w:t>
      </w:r>
      <w:r>
        <w:t xml:space="preserve">assessment framework </w:t>
      </w:r>
      <w:r w:rsidRPr="00CD20E0">
        <w:t>to assess the performance of health financing systems.</w:t>
      </w:r>
      <w:r w:rsidR="00BC6400">
        <w:rPr>
          <w:rStyle w:val="FootnoteReference"/>
        </w:rPr>
        <w:footnoteReference w:id="5"/>
      </w:r>
      <w:r w:rsidRPr="00CD20E0">
        <w:t xml:space="preserve"> In countries facing specific transition challenges, the assessment will include modules focused on assessing financial and institutional sustainability of support for specific diseases or programs, albeit these will be embedded within the broader assessment of the ability of health financing systems to facilitate attainment of UHC.</w:t>
      </w:r>
      <w:r w:rsidR="00FC27E8">
        <w:t xml:space="preserve"> </w:t>
      </w:r>
      <w:r w:rsidRPr="00CD20E0">
        <w:t xml:space="preserve">In addition to financial sustainability considerations, the comprehensive analytical framework will assess health financing from a variety of perspectives including </w:t>
      </w:r>
      <w:r w:rsidR="004A2F42">
        <w:t>adequacy</w:t>
      </w:r>
      <w:r w:rsidRPr="00CD20E0">
        <w:t xml:space="preserve"> of resources; equity in health financing revenue generation and allocation; efficiency in how revenue are raised, pooled, and allocated; and predictability of financing, among others. With regard to financial sustainability considerations, several sets of issues are likely to be paramount: whether the financing needs of the health sector are being adequately met in order to help countries make progress towards attainment of UHC (including in countries transitioning away from </w:t>
      </w:r>
      <w:r w:rsidR="00D80540">
        <w:t>donor</w:t>
      </w:r>
      <w:r w:rsidRPr="00CD20E0">
        <w:t xml:space="preserve">-sourced financing); the macro-fiscal country context and its impact on health financing, including issues of prioritization for health in the government budget; and whether or not financing for health is crowding-out legitimate resource needs of other sectors and/or adversely impacting the economy in other ways. With regard to institutional sustainability considerations, the assessment will include a focus on issues related to public financial management, </w:t>
      </w:r>
      <w:r w:rsidR="00FC27E8">
        <w:t xml:space="preserve">human resource management, </w:t>
      </w:r>
      <w:r w:rsidRPr="00CD20E0">
        <w:t>procurement and strategic purchasing capabilities, and challenges related to decentralization and governance in the health sector more generally.</w:t>
      </w:r>
      <w:r>
        <w:t xml:space="preserve"> </w:t>
      </w:r>
    </w:p>
    <w:p w:rsidR="00905D2F" w:rsidRDefault="00905D2F" w:rsidP="0090421F">
      <w:pPr>
        <w:widowControl w:val="0"/>
        <w:autoSpaceDE w:val="0"/>
        <w:autoSpaceDN w:val="0"/>
        <w:adjustRightInd w:val="0"/>
        <w:rPr>
          <w:rFonts w:cs="Helvetica"/>
        </w:rPr>
      </w:pPr>
    </w:p>
    <w:p w:rsidR="00F1272D" w:rsidRDefault="00F1272D" w:rsidP="0090421F">
      <w:pPr>
        <w:widowControl w:val="0"/>
        <w:autoSpaceDE w:val="0"/>
        <w:autoSpaceDN w:val="0"/>
        <w:adjustRightInd w:val="0"/>
        <w:rPr>
          <w:rFonts w:cs="Helvetica"/>
        </w:rPr>
      </w:pPr>
      <w:r>
        <w:rPr>
          <w:rFonts w:cs="Helvetica"/>
        </w:rPr>
        <w:t xml:space="preserve">Activities </w:t>
      </w:r>
      <w:r w:rsidR="00B415C1">
        <w:rPr>
          <w:rFonts w:cs="Helvetica"/>
        </w:rPr>
        <w:t xml:space="preserve">under this pillar </w:t>
      </w:r>
      <w:r w:rsidR="00C1413D">
        <w:rPr>
          <w:rFonts w:cs="Helvetica"/>
        </w:rPr>
        <w:t xml:space="preserve">may </w:t>
      </w:r>
      <w:r>
        <w:rPr>
          <w:rFonts w:cs="Helvetica"/>
        </w:rPr>
        <w:t>include support for:</w:t>
      </w:r>
    </w:p>
    <w:p w:rsidR="00F1272D" w:rsidRDefault="00F1272D" w:rsidP="0090421F">
      <w:pPr>
        <w:widowControl w:val="0"/>
        <w:autoSpaceDE w:val="0"/>
        <w:autoSpaceDN w:val="0"/>
        <w:adjustRightInd w:val="0"/>
        <w:rPr>
          <w:rFonts w:cs="Helvetica"/>
        </w:rPr>
      </w:pPr>
    </w:p>
    <w:p w:rsidR="00F1272D" w:rsidRPr="00A70D36" w:rsidRDefault="00F1272D" w:rsidP="0090421F">
      <w:pPr>
        <w:pStyle w:val="ListParagraph"/>
        <w:widowControl w:val="0"/>
        <w:numPr>
          <w:ilvl w:val="0"/>
          <w:numId w:val="11"/>
        </w:numPr>
        <w:autoSpaceDE w:val="0"/>
        <w:autoSpaceDN w:val="0"/>
        <w:adjustRightInd w:val="0"/>
        <w:rPr>
          <w:rFonts w:cs="Helvetica"/>
        </w:rPr>
      </w:pPr>
      <w:r w:rsidRPr="00A70D36">
        <w:rPr>
          <w:rFonts w:cs="Helvetica"/>
        </w:rPr>
        <w:t>Collection, compilation, and analysis of data on health financing flows</w:t>
      </w:r>
      <w:r w:rsidR="0038799C" w:rsidRPr="00A70D36">
        <w:rPr>
          <w:rFonts w:cs="Helvetica"/>
        </w:rPr>
        <w:t xml:space="preserve"> and service delivery</w:t>
      </w:r>
      <w:r w:rsidR="0037182F" w:rsidRPr="00A70D36">
        <w:rPr>
          <w:rFonts w:cs="Helvetica"/>
        </w:rPr>
        <w:t xml:space="preserve"> </w:t>
      </w:r>
      <w:r w:rsidR="00A70D36" w:rsidRPr="00A70D36">
        <w:rPr>
          <w:rFonts w:cs="Helvetica"/>
        </w:rPr>
        <w:t>–</w:t>
      </w:r>
      <w:r w:rsidRPr="00A70D36">
        <w:rPr>
          <w:rFonts w:cs="Helvetica"/>
        </w:rPr>
        <w:t xml:space="preserve"> including by source and use</w:t>
      </w:r>
      <w:r w:rsidR="0037182F" w:rsidRPr="00A70D36">
        <w:rPr>
          <w:rFonts w:cs="Helvetica"/>
        </w:rPr>
        <w:t xml:space="preserve"> – disaggregated by </w:t>
      </w:r>
      <w:r w:rsidR="00D80540">
        <w:rPr>
          <w:rFonts w:cs="Helvetica"/>
        </w:rPr>
        <w:t>donor</w:t>
      </w:r>
      <w:r w:rsidR="0037182F" w:rsidRPr="00A70D36">
        <w:rPr>
          <w:rFonts w:cs="Helvetica"/>
        </w:rPr>
        <w:t>-financed</w:t>
      </w:r>
      <w:r w:rsidR="00C25A92">
        <w:rPr>
          <w:rFonts w:cs="Helvetica"/>
        </w:rPr>
        <w:t>,</w:t>
      </w:r>
      <w:r w:rsidR="0037182F" w:rsidRPr="00A70D36">
        <w:rPr>
          <w:rFonts w:cs="Helvetica"/>
        </w:rPr>
        <w:t xml:space="preserve"> priority programs</w:t>
      </w:r>
      <w:r w:rsidR="00C25A92">
        <w:rPr>
          <w:rFonts w:cs="Helvetica"/>
        </w:rPr>
        <w:t>,</w:t>
      </w:r>
      <w:r w:rsidR="0037182F" w:rsidRPr="00A70D36">
        <w:rPr>
          <w:rFonts w:cs="Helvetica"/>
        </w:rPr>
        <w:t xml:space="preserve"> and across different levels of government.</w:t>
      </w:r>
    </w:p>
    <w:p w:rsidR="00F1272D" w:rsidRPr="00F1272D" w:rsidRDefault="00F1272D" w:rsidP="0090421F">
      <w:pPr>
        <w:pStyle w:val="ListParagraph"/>
        <w:widowControl w:val="0"/>
        <w:numPr>
          <w:ilvl w:val="0"/>
          <w:numId w:val="11"/>
        </w:numPr>
        <w:autoSpaceDE w:val="0"/>
        <w:autoSpaceDN w:val="0"/>
        <w:adjustRightInd w:val="0"/>
        <w:rPr>
          <w:rFonts w:cs="Helvetica"/>
        </w:rPr>
      </w:pPr>
      <w:r>
        <w:rPr>
          <w:rFonts w:eastAsia="Times New Roman"/>
        </w:rPr>
        <w:t>Support for tracking budgetary allocation and processes including monitoring of funding flows to areas of impact.</w:t>
      </w:r>
    </w:p>
    <w:p w:rsidR="00F1272D" w:rsidRPr="003A3609" w:rsidRDefault="00F1272D" w:rsidP="0090421F">
      <w:pPr>
        <w:pStyle w:val="ListParagraph"/>
        <w:widowControl w:val="0"/>
        <w:numPr>
          <w:ilvl w:val="0"/>
          <w:numId w:val="11"/>
        </w:numPr>
        <w:autoSpaceDE w:val="0"/>
        <w:autoSpaceDN w:val="0"/>
        <w:adjustRightInd w:val="0"/>
      </w:pPr>
      <w:r>
        <w:rPr>
          <w:rFonts w:eastAsia="Times New Roman"/>
        </w:rPr>
        <w:t>Institutional assessment</w:t>
      </w:r>
      <w:r w:rsidR="00A00131">
        <w:rPr>
          <w:rFonts w:eastAsia="Times New Roman"/>
        </w:rPr>
        <w:t xml:space="preserve">s to </w:t>
      </w:r>
      <w:r w:rsidR="0038799C">
        <w:rPr>
          <w:rFonts w:eastAsia="Times New Roman"/>
        </w:rPr>
        <w:t xml:space="preserve">identify key areas of discord and </w:t>
      </w:r>
      <w:r w:rsidR="00A00131">
        <w:rPr>
          <w:rFonts w:eastAsia="Times New Roman"/>
        </w:rPr>
        <w:t xml:space="preserve">facilitate </w:t>
      </w:r>
      <w:r>
        <w:rPr>
          <w:rFonts w:eastAsia="Times New Roman"/>
        </w:rPr>
        <w:t xml:space="preserve">integration of </w:t>
      </w:r>
      <w:r w:rsidR="00D80540">
        <w:rPr>
          <w:rFonts w:eastAsia="Times New Roman"/>
        </w:rPr>
        <w:t>donor</w:t>
      </w:r>
      <w:r>
        <w:rPr>
          <w:rFonts w:eastAsia="Times New Roman"/>
        </w:rPr>
        <w:t>-financed and other priority programs.</w:t>
      </w:r>
    </w:p>
    <w:p w:rsidR="00BE6990" w:rsidRPr="00E20D02" w:rsidRDefault="00BE6990" w:rsidP="0090421F">
      <w:pPr>
        <w:pStyle w:val="ListParagraph"/>
        <w:widowControl w:val="0"/>
        <w:numPr>
          <w:ilvl w:val="0"/>
          <w:numId w:val="11"/>
        </w:numPr>
        <w:autoSpaceDE w:val="0"/>
        <w:autoSpaceDN w:val="0"/>
        <w:adjustRightInd w:val="0"/>
      </w:pPr>
      <w:r w:rsidRPr="004A2F42">
        <w:t xml:space="preserve">Support </w:t>
      </w:r>
      <w:r w:rsidR="003A3A6C">
        <w:t xml:space="preserve">for </w:t>
      </w:r>
      <w:r w:rsidRPr="004A2F42">
        <w:t>development and implementation of disease specific health accounts</w:t>
      </w:r>
      <w:r w:rsidR="004A2F42">
        <w:t>,</w:t>
      </w:r>
      <w:r w:rsidRPr="004A2F42">
        <w:t xml:space="preserve"> especially for those </w:t>
      </w:r>
      <w:r w:rsidR="003A3A6C">
        <w:t xml:space="preserve">countries </w:t>
      </w:r>
      <w:r w:rsidRPr="004A2F42">
        <w:t>that have implemented N</w:t>
      </w:r>
      <w:r w:rsidR="004A2F42">
        <w:t>HAs</w:t>
      </w:r>
      <w:r w:rsidRPr="004A2F42">
        <w:t xml:space="preserve"> on a regular basis</w:t>
      </w:r>
      <w:r w:rsidR="00C1413D" w:rsidRPr="00E20D02">
        <w:rPr>
          <w:rFonts w:eastAsia="Times New Roman"/>
        </w:rPr>
        <w:t>.</w:t>
      </w:r>
    </w:p>
    <w:p w:rsidR="00DD6B94" w:rsidRPr="00384970" w:rsidRDefault="00DD6B94" w:rsidP="0090421F">
      <w:pPr>
        <w:pStyle w:val="ListParagraph"/>
        <w:widowControl w:val="0"/>
        <w:numPr>
          <w:ilvl w:val="0"/>
          <w:numId w:val="11"/>
        </w:numPr>
        <w:autoSpaceDE w:val="0"/>
        <w:autoSpaceDN w:val="0"/>
        <w:adjustRightInd w:val="0"/>
      </w:pPr>
      <w:r w:rsidRPr="00E20D02">
        <w:rPr>
          <w:rFonts w:eastAsia="Times New Roman"/>
        </w:rPr>
        <w:t>Assessment of technical and allocative efficiency of existing programs.</w:t>
      </w:r>
    </w:p>
    <w:p w:rsidR="00F1272D" w:rsidRPr="00247D3A" w:rsidRDefault="00F1272D" w:rsidP="0090421F">
      <w:pPr>
        <w:widowControl w:val="0"/>
        <w:autoSpaceDE w:val="0"/>
        <w:autoSpaceDN w:val="0"/>
        <w:adjustRightInd w:val="0"/>
        <w:rPr>
          <w:rFonts w:cs="Helvetica"/>
        </w:rPr>
      </w:pPr>
    </w:p>
    <w:p w:rsidR="00905D2F" w:rsidRPr="00F55FC3" w:rsidRDefault="0005155D" w:rsidP="0005155D">
      <w:pPr>
        <w:pStyle w:val="ListParagraph"/>
        <w:widowControl w:val="0"/>
        <w:autoSpaceDE w:val="0"/>
        <w:autoSpaceDN w:val="0"/>
        <w:adjustRightInd w:val="0"/>
        <w:ind w:left="1800" w:firstLine="360"/>
        <w:jc w:val="left"/>
        <w:rPr>
          <w:rFonts w:cs="Helvetica"/>
        </w:rPr>
      </w:pPr>
      <w:r>
        <w:rPr>
          <w:rFonts w:cs="Helvetica"/>
          <w:i/>
        </w:rPr>
        <w:t xml:space="preserve"> Pillar II: </w:t>
      </w:r>
      <w:r w:rsidR="006F3454" w:rsidRPr="003B79BA">
        <w:rPr>
          <w:rFonts w:cs="Helvetica"/>
          <w:i/>
        </w:rPr>
        <w:t xml:space="preserve">Technical Assistance </w:t>
      </w:r>
      <w:r w:rsidR="00AA58CD" w:rsidRPr="003B79BA">
        <w:rPr>
          <w:rFonts w:cs="Helvetica"/>
          <w:i/>
        </w:rPr>
        <w:t>&amp;</w:t>
      </w:r>
      <w:r w:rsidR="006F3454" w:rsidRPr="003B79BA">
        <w:rPr>
          <w:rFonts w:cs="Helvetica"/>
          <w:i/>
        </w:rPr>
        <w:t xml:space="preserve"> Capacity Building</w:t>
      </w:r>
    </w:p>
    <w:p w:rsidR="00905D2F" w:rsidRDefault="00905D2F" w:rsidP="0090421F">
      <w:pPr>
        <w:widowControl w:val="0"/>
        <w:autoSpaceDE w:val="0"/>
        <w:autoSpaceDN w:val="0"/>
        <w:adjustRightInd w:val="0"/>
        <w:rPr>
          <w:rFonts w:cs="Helvetica"/>
        </w:rPr>
      </w:pPr>
    </w:p>
    <w:p w:rsidR="00284FB6" w:rsidRDefault="007F1BC2" w:rsidP="0090421F">
      <w:pPr>
        <w:widowControl w:val="0"/>
        <w:autoSpaceDE w:val="0"/>
        <w:autoSpaceDN w:val="0"/>
        <w:adjustRightInd w:val="0"/>
        <w:rPr>
          <w:rFonts w:cs="Helvetica"/>
        </w:rPr>
      </w:pPr>
      <w:r w:rsidRPr="00247D3A">
        <w:rPr>
          <w:rFonts w:cs="Helvetica"/>
        </w:rPr>
        <w:t>This pillar</w:t>
      </w:r>
      <w:r w:rsidR="0079303E">
        <w:rPr>
          <w:rFonts w:cs="Helvetica"/>
        </w:rPr>
        <w:t xml:space="preserve"> will </w:t>
      </w:r>
      <w:r w:rsidRPr="00247D3A">
        <w:rPr>
          <w:rFonts w:cs="Helvetica"/>
        </w:rPr>
        <w:t>provide resources to strengthen the capacity of governments and other key stakeholders for health systems strengthening, including</w:t>
      </w:r>
      <w:r w:rsidR="001E00B0">
        <w:rPr>
          <w:rFonts w:cs="Helvetica"/>
        </w:rPr>
        <w:t xml:space="preserve"> in</w:t>
      </w:r>
      <w:r w:rsidRPr="00247D3A">
        <w:rPr>
          <w:rFonts w:cs="Helvetica"/>
        </w:rPr>
        <w:t xml:space="preserve"> the key areas of health financing</w:t>
      </w:r>
      <w:r w:rsidR="00C1413D">
        <w:rPr>
          <w:rFonts w:cs="Helvetica"/>
        </w:rPr>
        <w:t>, information management</w:t>
      </w:r>
      <w:r w:rsidR="0079303E">
        <w:rPr>
          <w:rFonts w:cs="Helvetica"/>
        </w:rPr>
        <w:t>,</w:t>
      </w:r>
      <w:r w:rsidRPr="00247D3A">
        <w:rPr>
          <w:rFonts w:cs="Helvetica"/>
        </w:rPr>
        <w:t xml:space="preserve"> and service delivery</w:t>
      </w:r>
      <w:r w:rsidR="003D08DE" w:rsidRPr="00247D3A">
        <w:rPr>
          <w:rFonts w:cs="Helvetica"/>
        </w:rPr>
        <w:t xml:space="preserve"> for UHC</w:t>
      </w:r>
      <w:r w:rsidR="001E00B0">
        <w:rPr>
          <w:rFonts w:cs="Helvetica"/>
        </w:rPr>
        <w:t xml:space="preserve"> and in the context of integration of </w:t>
      </w:r>
      <w:r w:rsidR="00D80540">
        <w:rPr>
          <w:rFonts w:cs="Helvetica"/>
        </w:rPr>
        <w:t>donor</w:t>
      </w:r>
      <w:r w:rsidR="001E00B0">
        <w:rPr>
          <w:rFonts w:cs="Helvetica"/>
        </w:rPr>
        <w:t xml:space="preserve">-financed </w:t>
      </w:r>
      <w:r w:rsidR="008B0FCA">
        <w:rPr>
          <w:rFonts w:cs="Helvetica"/>
        </w:rPr>
        <w:t>health</w:t>
      </w:r>
      <w:r w:rsidR="001E00B0">
        <w:rPr>
          <w:rFonts w:cs="Helvetica"/>
        </w:rPr>
        <w:t xml:space="preserve"> programs</w:t>
      </w:r>
      <w:r w:rsidR="003D08DE" w:rsidRPr="00247D3A">
        <w:rPr>
          <w:rFonts w:cs="Helvetica"/>
        </w:rPr>
        <w:t xml:space="preserve">. </w:t>
      </w:r>
      <w:r w:rsidR="000C1F60">
        <w:rPr>
          <w:rFonts w:cs="Helvetica"/>
        </w:rPr>
        <w:t>Although in principle some of the activities financed under this pillar could help inform project preparation</w:t>
      </w:r>
      <w:r w:rsidR="00DD6B94">
        <w:rPr>
          <w:rFonts w:cs="Helvetica"/>
        </w:rPr>
        <w:t>, the MDTF will not explicitly earmark funds for this purpose.</w:t>
      </w:r>
    </w:p>
    <w:p w:rsidR="00284FB6" w:rsidRDefault="00284FB6" w:rsidP="0090421F">
      <w:pPr>
        <w:widowControl w:val="0"/>
        <w:autoSpaceDE w:val="0"/>
        <w:autoSpaceDN w:val="0"/>
        <w:adjustRightInd w:val="0"/>
        <w:rPr>
          <w:rFonts w:cs="Helvetica"/>
        </w:rPr>
      </w:pPr>
    </w:p>
    <w:p w:rsidR="003D08DE" w:rsidRPr="00247D3A" w:rsidRDefault="003D08DE" w:rsidP="0090421F">
      <w:pPr>
        <w:widowControl w:val="0"/>
        <w:autoSpaceDE w:val="0"/>
        <w:autoSpaceDN w:val="0"/>
        <w:adjustRightInd w:val="0"/>
        <w:rPr>
          <w:rFonts w:cs="Helvetica"/>
        </w:rPr>
      </w:pPr>
      <w:r w:rsidRPr="00247D3A">
        <w:rPr>
          <w:rFonts w:cs="Helvetica"/>
        </w:rPr>
        <w:t xml:space="preserve">Activities </w:t>
      </w:r>
      <w:r w:rsidR="00B415C1">
        <w:rPr>
          <w:rFonts w:cs="Helvetica"/>
        </w:rPr>
        <w:t xml:space="preserve">under this pillar </w:t>
      </w:r>
      <w:r w:rsidR="00820C7E" w:rsidRPr="00820C7E">
        <w:rPr>
          <w:rFonts w:cs="Helvetica"/>
        </w:rPr>
        <w:t>may</w:t>
      </w:r>
      <w:r w:rsidRPr="00247D3A">
        <w:rPr>
          <w:rFonts w:cs="Helvetica"/>
        </w:rPr>
        <w:t xml:space="preserve"> include support for:</w:t>
      </w:r>
    </w:p>
    <w:p w:rsidR="003D08DE" w:rsidRPr="00247D3A" w:rsidRDefault="003D08DE" w:rsidP="0090421F">
      <w:pPr>
        <w:widowControl w:val="0"/>
        <w:autoSpaceDE w:val="0"/>
        <w:autoSpaceDN w:val="0"/>
        <w:adjustRightInd w:val="0"/>
        <w:rPr>
          <w:rFonts w:cs="Helvetica"/>
        </w:rPr>
      </w:pPr>
    </w:p>
    <w:p w:rsidR="00FE4936" w:rsidRPr="00247D3A" w:rsidRDefault="00E1553B" w:rsidP="0090421F">
      <w:pPr>
        <w:pStyle w:val="ListParagraph"/>
        <w:widowControl w:val="0"/>
        <w:numPr>
          <w:ilvl w:val="0"/>
          <w:numId w:val="8"/>
        </w:numPr>
        <w:autoSpaceDE w:val="0"/>
        <w:autoSpaceDN w:val="0"/>
        <w:adjustRightInd w:val="0"/>
        <w:rPr>
          <w:rFonts w:cs="Helvetica"/>
        </w:rPr>
      </w:pPr>
      <w:r>
        <w:rPr>
          <w:rFonts w:cs="Helvetica"/>
        </w:rPr>
        <w:t>D</w:t>
      </w:r>
      <w:r w:rsidR="00FE4936" w:rsidRPr="00247D3A">
        <w:rPr>
          <w:rFonts w:cs="Helvetica"/>
        </w:rPr>
        <w:t>evelop</w:t>
      </w:r>
      <w:r>
        <w:rPr>
          <w:rFonts w:cs="Helvetica"/>
        </w:rPr>
        <w:t>ment of</w:t>
      </w:r>
      <w:r w:rsidR="00FE4936" w:rsidRPr="00247D3A">
        <w:rPr>
          <w:rFonts w:cs="Helvetica"/>
        </w:rPr>
        <w:t xml:space="preserve"> pathway options toward equitable and sustainable financing for UHC, including for addressing health financing transition challenges and for mainstreaming of </w:t>
      </w:r>
      <w:r w:rsidR="00D80540">
        <w:rPr>
          <w:rFonts w:cs="Helvetica"/>
        </w:rPr>
        <w:t>donor</w:t>
      </w:r>
      <w:r>
        <w:rPr>
          <w:rFonts w:cs="Helvetica"/>
        </w:rPr>
        <w:t xml:space="preserve">-financed </w:t>
      </w:r>
      <w:r w:rsidR="008B0FCA">
        <w:rPr>
          <w:rFonts w:cs="Helvetica"/>
        </w:rPr>
        <w:t>health</w:t>
      </w:r>
      <w:r w:rsidR="00FE4936" w:rsidRPr="00247D3A">
        <w:rPr>
          <w:rFonts w:cs="Helvetica"/>
        </w:rPr>
        <w:t xml:space="preserve"> programs. </w:t>
      </w:r>
    </w:p>
    <w:p w:rsidR="003D08DE" w:rsidRPr="00247D3A" w:rsidRDefault="006F3454" w:rsidP="0090421F">
      <w:pPr>
        <w:pStyle w:val="ListParagraph"/>
        <w:widowControl w:val="0"/>
        <w:numPr>
          <w:ilvl w:val="0"/>
          <w:numId w:val="8"/>
        </w:numPr>
        <w:autoSpaceDE w:val="0"/>
        <w:autoSpaceDN w:val="0"/>
        <w:adjustRightInd w:val="0"/>
        <w:rPr>
          <w:rFonts w:cs="Helvetica"/>
        </w:rPr>
      </w:pPr>
      <w:r w:rsidRPr="00247D3A">
        <w:rPr>
          <w:rFonts w:cs="Helvetica"/>
        </w:rPr>
        <w:t xml:space="preserve">Engagement with non-health sector </w:t>
      </w:r>
      <w:r w:rsidR="003D08DE" w:rsidRPr="00247D3A">
        <w:rPr>
          <w:rFonts w:cs="Helvetica"/>
        </w:rPr>
        <w:t>actors</w:t>
      </w:r>
      <w:r w:rsidRPr="00247D3A">
        <w:rPr>
          <w:rFonts w:cs="Helvetica"/>
        </w:rPr>
        <w:t xml:space="preserve"> at the national level (</w:t>
      </w:r>
      <w:r w:rsidR="003D08DE" w:rsidRPr="00247D3A">
        <w:rPr>
          <w:rFonts w:cs="Helvetica"/>
        </w:rPr>
        <w:t>e.g., m</w:t>
      </w:r>
      <w:r w:rsidRPr="00247D3A">
        <w:rPr>
          <w:rFonts w:cs="Helvetica"/>
        </w:rPr>
        <w:t>inistr</w:t>
      </w:r>
      <w:r w:rsidR="003D08DE" w:rsidRPr="00247D3A">
        <w:rPr>
          <w:rFonts w:cs="Helvetica"/>
        </w:rPr>
        <w:t>ies</w:t>
      </w:r>
      <w:r w:rsidRPr="00247D3A">
        <w:rPr>
          <w:rFonts w:cs="Helvetica"/>
        </w:rPr>
        <w:t xml:space="preserve"> of </w:t>
      </w:r>
      <w:r w:rsidR="003D08DE" w:rsidRPr="00247D3A">
        <w:rPr>
          <w:rFonts w:cs="Helvetica"/>
        </w:rPr>
        <w:t>f</w:t>
      </w:r>
      <w:r w:rsidRPr="00247D3A">
        <w:rPr>
          <w:rFonts w:cs="Helvetica"/>
        </w:rPr>
        <w:t>inance</w:t>
      </w:r>
      <w:r w:rsidR="003D08DE" w:rsidRPr="00247D3A">
        <w:rPr>
          <w:rFonts w:cs="Helvetica"/>
        </w:rPr>
        <w:t xml:space="preserve"> and planning, </w:t>
      </w:r>
      <w:r w:rsidR="00C1413D">
        <w:rPr>
          <w:rFonts w:cs="Helvetica"/>
        </w:rPr>
        <w:t>public service</w:t>
      </w:r>
      <w:r w:rsidR="0079303E">
        <w:rPr>
          <w:rFonts w:cs="Helvetica"/>
        </w:rPr>
        <w:t>,</w:t>
      </w:r>
      <w:r w:rsidR="00C1413D">
        <w:rPr>
          <w:rFonts w:cs="Helvetica"/>
        </w:rPr>
        <w:t xml:space="preserve"> and </w:t>
      </w:r>
      <w:r w:rsidR="003D08DE" w:rsidRPr="00247D3A">
        <w:rPr>
          <w:rFonts w:cs="Helvetica"/>
        </w:rPr>
        <w:t>executive offices</w:t>
      </w:r>
      <w:r w:rsidRPr="00247D3A">
        <w:rPr>
          <w:rFonts w:cs="Helvetica"/>
        </w:rPr>
        <w:t xml:space="preserve">) </w:t>
      </w:r>
      <w:r w:rsidR="003D08DE" w:rsidRPr="00247D3A">
        <w:rPr>
          <w:rFonts w:cs="Helvetica"/>
        </w:rPr>
        <w:t xml:space="preserve">and sub-national governments </w:t>
      </w:r>
      <w:r w:rsidRPr="00247D3A">
        <w:rPr>
          <w:rFonts w:cs="Helvetica"/>
        </w:rPr>
        <w:t>for</w:t>
      </w:r>
      <w:r w:rsidR="003D08DE" w:rsidRPr="00247D3A">
        <w:rPr>
          <w:rFonts w:cs="Helvetica"/>
        </w:rPr>
        <w:t xml:space="preserve"> dialoguing on health financing</w:t>
      </w:r>
      <w:r w:rsidR="00C1413D">
        <w:rPr>
          <w:rFonts w:cs="Helvetica"/>
        </w:rPr>
        <w:t>, information management</w:t>
      </w:r>
      <w:r w:rsidR="0079303E">
        <w:rPr>
          <w:rFonts w:cs="Helvetica"/>
        </w:rPr>
        <w:t>,</w:t>
      </w:r>
      <w:r w:rsidR="003D08DE" w:rsidRPr="00247D3A">
        <w:rPr>
          <w:rFonts w:cs="Helvetica"/>
        </w:rPr>
        <w:t xml:space="preserve"> and service delivery, including with regard to financial and institutional implications of transitions from </w:t>
      </w:r>
      <w:r w:rsidR="00D80540">
        <w:rPr>
          <w:rFonts w:cs="Helvetica"/>
        </w:rPr>
        <w:t>donor</w:t>
      </w:r>
      <w:r w:rsidR="003D08DE" w:rsidRPr="00247D3A">
        <w:rPr>
          <w:rFonts w:cs="Helvetica"/>
        </w:rPr>
        <w:t>-financing</w:t>
      </w:r>
      <w:r w:rsidR="00E1553B">
        <w:rPr>
          <w:rFonts w:cs="Helvetica"/>
        </w:rPr>
        <w:t xml:space="preserve"> in the context of UHC</w:t>
      </w:r>
      <w:r w:rsidRPr="00247D3A">
        <w:rPr>
          <w:rFonts w:cs="Helvetica"/>
        </w:rPr>
        <w:t xml:space="preserve">. </w:t>
      </w:r>
    </w:p>
    <w:p w:rsidR="003D08DE" w:rsidRDefault="00C72ADC" w:rsidP="0090421F">
      <w:pPr>
        <w:pStyle w:val="ListParagraph"/>
        <w:widowControl w:val="0"/>
        <w:numPr>
          <w:ilvl w:val="0"/>
          <w:numId w:val="8"/>
        </w:numPr>
        <w:autoSpaceDE w:val="0"/>
        <w:autoSpaceDN w:val="0"/>
        <w:adjustRightInd w:val="0"/>
        <w:rPr>
          <w:rFonts w:cs="Helvetica"/>
        </w:rPr>
      </w:pPr>
      <w:r w:rsidRPr="00247D3A">
        <w:rPr>
          <w:rFonts w:cs="Helvetica"/>
        </w:rPr>
        <w:t xml:space="preserve">Training of key stakeholders on the equitable and efficient generation and utilization of resources, including issues related to integration and/or optimizing the complementarity of </w:t>
      </w:r>
      <w:r w:rsidR="00D80540">
        <w:rPr>
          <w:rFonts w:cs="Helvetica"/>
        </w:rPr>
        <w:t>donor</w:t>
      </w:r>
      <w:r w:rsidR="00E1553B">
        <w:rPr>
          <w:rFonts w:cs="Helvetica"/>
        </w:rPr>
        <w:t xml:space="preserve">-financed </w:t>
      </w:r>
      <w:r w:rsidR="008B0FCA">
        <w:rPr>
          <w:rFonts w:cs="Helvetica"/>
        </w:rPr>
        <w:t>health</w:t>
      </w:r>
      <w:r w:rsidRPr="00247D3A">
        <w:rPr>
          <w:rFonts w:cs="Helvetica"/>
        </w:rPr>
        <w:t xml:space="preserve"> programs.</w:t>
      </w:r>
    </w:p>
    <w:p w:rsidR="00DD6B94" w:rsidRDefault="00DD6B94" w:rsidP="0090421F">
      <w:pPr>
        <w:pStyle w:val="ListParagraph"/>
        <w:widowControl w:val="0"/>
        <w:numPr>
          <w:ilvl w:val="0"/>
          <w:numId w:val="8"/>
        </w:numPr>
        <w:autoSpaceDE w:val="0"/>
        <w:autoSpaceDN w:val="0"/>
        <w:adjustRightInd w:val="0"/>
        <w:rPr>
          <w:rFonts w:cs="Helvetica"/>
        </w:rPr>
      </w:pPr>
      <w:r>
        <w:rPr>
          <w:rFonts w:cs="Helvetica"/>
        </w:rPr>
        <w:t>Technical assistance and capacity building for enhancing the technical and allocative efficiency of programs as they undergo transition from donor-financing to domestic-financing.</w:t>
      </w:r>
    </w:p>
    <w:p w:rsidR="006F0E72" w:rsidRPr="006F0E72" w:rsidRDefault="0038799C" w:rsidP="0090421F">
      <w:pPr>
        <w:pStyle w:val="ListParagraph"/>
        <w:widowControl w:val="0"/>
        <w:numPr>
          <w:ilvl w:val="0"/>
          <w:numId w:val="8"/>
        </w:numPr>
        <w:autoSpaceDE w:val="0"/>
        <w:autoSpaceDN w:val="0"/>
        <w:adjustRightInd w:val="0"/>
        <w:rPr>
          <w:rFonts w:cs="Helvetica"/>
        </w:rPr>
      </w:pPr>
      <w:r w:rsidRPr="006F0E72">
        <w:rPr>
          <w:rFonts w:cs="Helvetica"/>
        </w:rPr>
        <w:t>Capacity building for improving health system monitoring and evaluation systems</w:t>
      </w:r>
      <w:r w:rsidR="006F0E72" w:rsidRPr="006F0E72">
        <w:rPr>
          <w:rFonts w:cs="Helvetica"/>
        </w:rPr>
        <w:t xml:space="preserve">, including for design of </w:t>
      </w:r>
      <w:r w:rsidR="006F0E72" w:rsidRPr="00820C7E">
        <w:t>pilot</w:t>
      </w:r>
      <w:r w:rsidR="006F0E72">
        <w:t>s and d</w:t>
      </w:r>
      <w:r w:rsidR="006F0E72" w:rsidRPr="00820C7E">
        <w:t>evelop</w:t>
      </w:r>
      <w:r w:rsidR="006F0E72">
        <w:t>ment of</w:t>
      </w:r>
      <w:r w:rsidR="006F0E72" w:rsidRPr="00820C7E">
        <w:t xml:space="preserve"> monitoring and evaluation mechanism including performance indicators</w:t>
      </w:r>
      <w:r w:rsidR="006F0E72">
        <w:t>.</w:t>
      </w:r>
      <w:r w:rsidR="006F0E72" w:rsidRPr="00820C7E">
        <w:t xml:space="preserve">  </w:t>
      </w:r>
    </w:p>
    <w:p w:rsidR="00DC5A7C" w:rsidRDefault="00DC5A7C" w:rsidP="0090421F">
      <w:pPr>
        <w:autoSpaceDE w:val="0"/>
        <w:autoSpaceDN w:val="0"/>
        <w:adjustRightInd w:val="0"/>
      </w:pPr>
    </w:p>
    <w:p w:rsidR="0079303E" w:rsidRPr="003B79BA" w:rsidRDefault="0005155D" w:rsidP="0005155D">
      <w:pPr>
        <w:pStyle w:val="ListParagraph"/>
        <w:autoSpaceDE w:val="0"/>
        <w:autoSpaceDN w:val="0"/>
        <w:adjustRightInd w:val="0"/>
        <w:ind w:left="2520"/>
        <w:rPr>
          <w:i/>
        </w:rPr>
      </w:pPr>
      <w:r>
        <w:rPr>
          <w:i/>
        </w:rPr>
        <w:t xml:space="preserve">Pillar III: </w:t>
      </w:r>
      <w:r w:rsidR="0079303E" w:rsidRPr="003B79BA">
        <w:rPr>
          <w:i/>
        </w:rPr>
        <w:t xml:space="preserve">Knowledge </w:t>
      </w:r>
      <w:r w:rsidR="006F0E72">
        <w:rPr>
          <w:i/>
        </w:rPr>
        <w:t xml:space="preserve">Generation </w:t>
      </w:r>
      <w:r w:rsidR="0079303E" w:rsidRPr="003B79BA">
        <w:rPr>
          <w:i/>
        </w:rPr>
        <w:t xml:space="preserve">&amp; </w:t>
      </w:r>
      <w:r w:rsidR="006F0E72">
        <w:rPr>
          <w:i/>
        </w:rPr>
        <w:t>Exchange</w:t>
      </w:r>
      <w:r w:rsidR="0079303E" w:rsidRPr="003B79BA">
        <w:rPr>
          <w:i/>
        </w:rPr>
        <w:t xml:space="preserve"> Activities</w:t>
      </w:r>
    </w:p>
    <w:p w:rsidR="0079303E" w:rsidRDefault="0079303E" w:rsidP="0090421F">
      <w:pPr>
        <w:autoSpaceDE w:val="0"/>
        <w:autoSpaceDN w:val="0"/>
        <w:adjustRightInd w:val="0"/>
        <w:rPr>
          <w:rFonts w:eastAsia="Times New Roman"/>
        </w:rPr>
      </w:pPr>
    </w:p>
    <w:p w:rsidR="0079303E" w:rsidRDefault="0079303E" w:rsidP="0090421F">
      <w:pPr>
        <w:autoSpaceDE w:val="0"/>
        <w:autoSpaceDN w:val="0"/>
        <w:adjustRightInd w:val="0"/>
        <w:rPr>
          <w:rFonts w:eastAsia="Times New Roman"/>
        </w:rPr>
      </w:pPr>
      <w:r>
        <w:rPr>
          <w:rFonts w:eastAsia="Times New Roman"/>
        </w:rPr>
        <w:t xml:space="preserve">This pillar will provide resources to task teams and governments to share and disseminate good practice knowledge and experiences on integration of </w:t>
      </w:r>
      <w:r w:rsidR="00D80540">
        <w:rPr>
          <w:rFonts w:eastAsia="Times New Roman"/>
        </w:rPr>
        <w:t>donor</w:t>
      </w:r>
      <w:r>
        <w:rPr>
          <w:rFonts w:eastAsia="Times New Roman"/>
        </w:rPr>
        <w:t>-financed and other priority programs.</w:t>
      </w:r>
    </w:p>
    <w:p w:rsidR="0079303E" w:rsidRDefault="0079303E" w:rsidP="0090421F">
      <w:pPr>
        <w:autoSpaceDE w:val="0"/>
        <w:autoSpaceDN w:val="0"/>
        <w:adjustRightInd w:val="0"/>
        <w:rPr>
          <w:rFonts w:eastAsia="Times New Roman"/>
        </w:rPr>
      </w:pPr>
    </w:p>
    <w:p w:rsidR="0079303E" w:rsidRDefault="0079303E" w:rsidP="0090421F">
      <w:pPr>
        <w:autoSpaceDE w:val="0"/>
        <w:autoSpaceDN w:val="0"/>
        <w:adjustRightInd w:val="0"/>
        <w:rPr>
          <w:rFonts w:eastAsia="Times New Roman"/>
        </w:rPr>
      </w:pPr>
      <w:r>
        <w:rPr>
          <w:rFonts w:eastAsia="Times New Roman"/>
        </w:rPr>
        <w:t xml:space="preserve">Activities </w:t>
      </w:r>
      <w:r w:rsidR="00B415C1">
        <w:rPr>
          <w:rFonts w:eastAsia="Times New Roman"/>
        </w:rPr>
        <w:t xml:space="preserve">under this pillar </w:t>
      </w:r>
      <w:r>
        <w:rPr>
          <w:rFonts w:eastAsia="Times New Roman"/>
        </w:rPr>
        <w:t>may include support for:</w:t>
      </w:r>
    </w:p>
    <w:p w:rsidR="0079303E" w:rsidRDefault="0079303E" w:rsidP="0090421F">
      <w:pPr>
        <w:autoSpaceDE w:val="0"/>
        <w:autoSpaceDN w:val="0"/>
        <w:adjustRightInd w:val="0"/>
        <w:rPr>
          <w:rFonts w:eastAsia="Times New Roman"/>
        </w:rPr>
      </w:pPr>
    </w:p>
    <w:p w:rsidR="0079303E" w:rsidRPr="00A61F71" w:rsidRDefault="0079303E" w:rsidP="0090421F">
      <w:pPr>
        <w:pStyle w:val="ListParagraph"/>
        <w:numPr>
          <w:ilvl w:val="0"/>
          <w:numId w:val="13"/>
        </w:numPr>
        <w:autoSpaceDE w:val="0"/>
        <w:autoSpaceDN w:val="0"/>
        <w:adjustRightInd w:val="0"/>
      </w:pPr>
      <w:r w:rsidRPr="00A61F71">
        <w:t xml:space="preserve">Developing an advocacy strategy and </w:t>
      </w:r>
      <w:r w:rsidRPr="00820C7E">
        <w:rPr>
          <w:rFonts w:eastAsia="Times New Roman"/>
        </w:rPr>
        <w:t>facilitating</w:t>
      </w:r>
      <w:r w:rsidRPr="00A61F71">
        <w:t xml:space="preserve"> policy discussion</w:t>
      </w:r>
      <w:r w:rsidR="008B0FCA">
        <w:t>s</w:t>
      </w:r>
      <w:r w:rsidRPr="00A61F71">
        <w:t xml:space="preserve"> at the country level. </w:t>
      </w:r>
    </w:p>
    <w:p w:rsidR="006F0E72" w:rsidRDefault="006F0E72" w:rsidP="0090421F">
      <w:pPr>
        <w:pStyle w:val="ListParagraph"/>
        <w:numPr>
          <w:ilvl w:val="0"/>
          <w:numId w:val="13"/>
        </w:numPr>
        <w:autoSpaceDE w:val="0"/>
        <w:autoSpaceDN w:val="0"/>
        <w:adjustRightInd w:val="0"/>
      </w:pPr>
      <w:r>
        <w:t>Impact e</w:t>
      </w:r>
      <w:r w:rsidRPr="00820C7E">
        <w:t>valuation</w:t>
      </w:r>
      <w:r>
        <w:t>s</w:t>
      </w:r>
      <w:r w:rsidRPr="00820C7E">
        <w:t xml:space="preserve"> </w:t>
      </w:r>
      <w:r w:rsidRPr="00A61F71">
        <w:t xml:space="preserve">to </w:t>
      </w:r>
      <w:r w:rsidRPr="00820C7E">
        <w:t xml:space="preserve">generate evidence </w:t>
      </w:r>
      <w:r>
        <w:t>to inform</w:t>
      </w:r>
      <w:r w:rsidRPr="00820C7E">
        <w:t xml:space="preserve"> polic</w:t>
      </w:r>
      <w:r>
        <w:t xml:space="preserve">ies </w:t>
      </w:r>
      <w:r w:rsidRPr="00820C7E">
        <w:t>for financial and institutional sustainability</w:t>
      </w:r>
      <w:r w:rsidR="00FC27E8">
        <w:t>.</w:t>
      </w:r>
    </w:p>
    <w:p w:rsidR="00FC27E8" w:rsidRPr="004A2F42" w:rsidRDefault="008B0FCA" w:rsidP="0090421F">
      <w:pPr>
        <w:pStyle w:val="ListParagraph"/>
        <w:widowControl w:val="0"/>
        <w:numPr>
          <w:ilvl w:val="0"/>
          <w:numId w:val="13"/>
        </w:numPr>
        <w:autoSpaceDE w:val="0"/>
        <w:autoSpaceDN w:val="0"/>
        <w:adjustRightInd w:val="0"/>
      </w:pPr>
      <w:r>
        <w:t>A</w:t>
      </w:r>
      <w:r w:rsidR="00FC27E8">
        <w:t xml:space="preserve">nalysis </w:t>
      </w:r>
      <w:r w:rsidR="00FC27E8" w:rsidRPr="004A2F42">
        <w:t xml:space="preserve">of </w:t>
      </w:r>
      <w:r w:rsidR="00FC27E8">
        <w:t>c</w:t>
      </w:r>
      <w:r w:rsidR="00FC27E8" w:rsidRPr="004A2F42">
        <w:t xml:space="preserve">ountry </w:t>
      </w:r>
      <w:r w:rsidR="00FC27E8">
        <w:t>c</w:t>
      </w:r>
      <w:r w:rsidR="00FC27E8" w:rsidRPr="004A2F42">
        <w:t xml:space="preserve">ase </w:t>
      </w:r>
      <w:r w:rsidR="00FC27E8" w:rsidRPr="00820C7E">
        <w:rPr>
          <w:rFonts w:eastAsia="Times New Roman"/>
        </w:rPr>
        <w:t>studies</w:t>
      </w:r>
      <w:r w:rsidR="00FC27E8" w:rsidRPr="004A2F42">
        <w:t xml:space="preserve"> based on health financing and institutional assessment</w:t>
      </w:r>
      <w:r>
        <w:t>s</w:t>
      </w:r>
      <w:r w:rsidR="00FC27E8" w:rsidRPr="004A2F42">
        <w:t xml:space="preserve"> and </w:t>
      </w:r>
      <w:r>
        <w:t>identification</w:t>
      </w:r>
      <w:r w:rsidR="00FC27E8" w:rsidRPr="004A2F42">
        <w:t xml:space="preserve"> of enablers of sustained transition</w:t>
      </w:r>
      <w:r>
        <w:t xml:space="preserve"> from cross-country experiences</w:t>
      </w:r>
      <w:r w:rsidR="00176CD6">
        <w:t>, including of experience of countries in improving technical and allocative efficiency of program facing transition-financing challenges</w:t>
      </w:r>
      <w:r w:rsidR="00FC27E8" w:rsidRPr="004A2F42">
        <w:t xml:space="preserve">. </w:t>
      </w:r>
    </w:p>
    <w:p w:rsidR="0079303E" w:rsidRPr="00494438" w:rsidRDefault="0079303E" w:rsidP="0090421F">
      <w:pPr>
        <w:pStyle w:val="ListParagraph"/>
        <w:numPr>
          <w:ilvl w:val="0"/>
          <w:numId w:val="13"/>
        </w:numPr>
        <w:autoSpaceDE w:val="0"/>
        <w:autoSpaceDN w:val="0"/>
        <w:adjustRightInd w:val="0"/>
      </w:pPr>
      <w:r w:rsidRPr="007D5E98">
        <w:rPr>
          <w:rFonts w:eastAsia="Times New Roman"/>
        </w:rPr>
        <w:t xml:space="preserve">Compilation and sharing of lessons learned from countries graduating from </w:t>
      </w:r>
      <w:r w:rsidR="00D80540">
        <w:rPr>
          <w:rFonts w:eastAsia="Times New Roman"/>
        </w:rPr>
        <w:t>donor</w:t>
      </w:r>
      <w:r w:rsidRPr="007D5E98">
        <w:rPr>
          <w:rFonts w:eastAsia="Times New Roman"/>
        </w:rPr>
        <w:t>-</w:t>
      </w:r>
      <w:r w:rsidRPr="00820C7E">
        <w:rPr>
          <w:rFonts w:eastAsia="Times New Roman"/>
        </w:rPr>
        <w:t>financed</w:t>
      </w:r>
      <w:r w:rsidRPr="007D5E98">
        <w:rPr>
          <w:rFonts w:eastAsia="Times New Roman"/>
        </w:rPr>
        <w:t xml:space="preserve"> programs, including via financing of South-South </w:t>
      </w:r>
      <w:r w:rsidR="006926AC">
        <w:rPr>
          <w:rFonts w:eastAsia="Times New Roman"/>
        </w:rPr>
        <w:t xml:space="preserve">and North-South </w:t>
      </w:r>
      <w:r w:rsidRPr="007D5E98">
        <w:rPr>
          <w:rFonts w:eastAsia="Times New Roman"/>
        </w:rPr>
        <w:t>study tours to help provide exposure to policy-makers and other stakeholders to implementation of innovative integration strategies.</w:t>
      </w:r>
    </w:p>
    <w:p w:rsidR="0079303E" w:rsidRPr="008B0FCA" w:rsidRDefault="0079303E" w:rsidP="0090421F">
      <w:pPr>
        <w:pStyle w:val="ListParagraph"/>
        <w:numPr>
          <w:ilvl w:val="0"/>
          <w:numId w:val="13"/>
        </w:numPr>
        <w:autoSpaceDE w:val="0"/>
        <w:autoSpaceDN w:val="0"/>
        <w:adjustRightInd w:val="0"/>
      </w:pPr>
      <w:r>
        <w:rPr>
          <w:rFonts w:eastAsia="Times New Roman"/>
        </w:rPr>
        <w:t xml:space="preserve">Regional </w:t>
      </w:r>
      <w:r w:rsidR="003D2447">
        <w:rPr>
          <w:rFonts w:eastAsia="Times New Roman"/>
        </w:rPr>
        <w:t xml:space="preserve">and global </w:t>
      </w:r>
      <w:r>
        <w:rPr>
          <w:rFonts w:eastAsia="Times New Roman"/>
        </w:rPr>
        <w:t>knowledge-exchange, consultation, and dissemination activities including cross-country comparative analytical work</w:t>
      </w:r>
      <w:r w:rsidR="003D2447">
        <w:rPr>
          <w:rFonts w:eastAsia="Times New Roman"/>
        </w:rPr>
        <w:t xml:space="preserve"> and contributions to global knowledge- based related to transition challenges</w:t>
      </w:r>
      <w:r>
        <w:rPr>
          <w:rFonts w:eastAsia="Times New Roman"/>
        </w:rPr>
        <w:t>.</w:t>
      </w:r>
    </w:p>
    <w:p w:rsidR="008B0FCA" w:rsidRPr="009E71EC" w:rsidRDefault="008B0FCA" w:rsidP="0090421F">
      <w:pPr>
        <w:pStyle w:val="ListParagraph"/>
        <w:numPr>
          <w:ilvl w:val="0"/>
          <w:numId w:val="13"/>
        </w:numPr>
        <w:autoSpaceDE w:val="0"/>
        <w:autoSpaceDN w:val="0"/>
        <w:adjustRightInd w:val="0"/>
      </w:pPr>
      <w:r>
        <w:rPr>
          <w:rFonts w:eastAsia="Times New Roman"/>
        </w:rPr>
        <w:t>D</w:t>
      </w:r>
      <w:r w:rsidRPr="009E71EC">
        <w:rPr>
          <w:rFonts w:eastAsia="Times New Roman"/>
        </w:rPr>
        <w:t xml:space="preserve">ocumentation of </w:t>
      </w:r>
      <w:r>
        <w:rPr>
          <w:rFonts w:eastAsia="Times New Roman"/>
        </w:rPr>
        <w:t>good</w:t>
      </w:r>
      <w:r w:rsidRPr="009E71EC">
        <w:rPr>
          <w:rFonts w:eastAsia="Times New Roman"/>
        </w:rPr>
        <w:t xml:space="preserve"> practices</w:t>
      </w:r>
      <w:r>
        <w:rPr>
          <w:rFonts w:eastAsia="Times New Roman"/>
        </w:rPr>
        <w:t xml:space="preserve"> and</w:t>
      </w:r>
      <w:r w:rsidRPr="009E71EC">
        <w:rPr>
          <w:rFonts w:eastAsia="Times New Roman"/>
        </w:rPr>
        <w:t xml:space="preserve"> consultations to discuss and disseminate findings</w:t>
      </w:r>
      <w:r w:rsidR="00473F8A">
        <w:rPr>
          <w:rFonts w:eastAsia="Times New Roman"/>
        </w:rPr>
        <w:t>. O</w:t>
      </w:r>
      <w:r w:rsidR="00473F8A">
        <w:t>utputs of the activities could be summarized in a series of working papers (4,000-5,000 words) to enable capture and dissemination of pertinent issues and to help inform integration efforts across countries.</w:t>
      </w:r>
    </w:p>
    <w:p w:rsidR="0079303E" w:rsidRPr="00247D3A" w:rsidRDefault="0079303E" w:rsidP="0090421F">
      <w:pPr>
        <w:autoSpaceDE w:val="0"/>
        <w:autoSpaceDN w:val="0"/>
        <w:adjustRightInd w:val="0"/>
      </w:pPr>
    </w:p>
    <w:p w:rsidR="00FE4936" w:rsidRPr="0005155D" w:rsidRDefault="0005155D" w:rsidP="0005155D">
      <w:pPr>
        <w:autoSpaceDE w:val="0"/>
        <w:autoSpaceDN w:val="0"/>
        <w:adjustRightInd w:val="0"/>
        <w:ind w:firstLine="360"/>
        <w:rPr>
          <w:i/>
        </w:rPr>
      </w:pPr>
      <w:r w:rsidRPr="0005155D">
        <w:rPr>
          <w:i/>
        </w:rPr>
        <w:t xml:space="preserve">Pillar IV: </w:t>
      </w:r>
      <w:r w:rsidR="00A61F71" w:rsidRPr="0005155D">
        <w:rPr>
          <w:i/>
        </w:rPr>
        <w:t>Piloting of I</w:t>
      </w:r>
      <w:r w:rsidR="00820C7E" w:rsidRPr="0005155D">
        <w:rPr>
          <w:i/>
        </w:rPr>
        <w:t xml:space="preserve">nnovative </w:t>
      </w:r>
      <w:r w:rsidR="00A61F71" w:rsidRPr="0005155D">
        <w:rPr>
          <w:i/>
        </w:rPr>
        <w:t>H</w:t>
      </w:r>
      <w:r w:rsidR="00820C7E" w:rsidRPr="0005155D">
        <w:rPr>
          <w:i/>
        </w:rPr>
        <w:t xml:space="preserve">ealth </w:t>
      </w:r>
      <w:r w:rsidR="00A61F71" w:rsidRPr="0005155D">
        <w:rPr>
          <w:i/>
        </w:rPr>
        <w:t>F</w:t>
      </w:r>
      <w:r w:rsidR="00820C7E" w:rsidRPr="0005155D">
        <w:rPr>
          <w:i/>
        </w:rPr>
        <w:t xml:space="preserve">inancing </w:t>
      </w:r>
      <w:r w:rsidR="006F0E72" w:rsidRPr="0005155D">
        <w:rPr>
          <w:i/>
        </w:rPr>
        <w:t>&amp;</w:t>
      </w:r>
      <w:r w:rsidR="00820C7E" w:rsidRPr="0005155D">
        <w:rPr>
          <w:i/>
        </w:rPr>
        <w:t xml:space="preserve"> </w:t>
      </w:r>
      <w:r w:rsidR="00A61F71" w:rsidRPr="0005155D">
        <w:rPr>
          <w:i/>
        </w:rPr>
        <w:t>S</w:t>
      </w:r>
      <w:r w:rsidR="00820C7E" w:rsidRPr="0005155D">
        <w:rPr>
          <w:i/>
        </w:rPr>
        <w:t xml:space="preserve">ervice </w:t>
      </w:r>
      <w:r w:rsidR="00A61F71" w:rsidRPr="0005155D">
        <w:rPr>
          <w:i/>
        </w:rPr>
        <w:t>D</w:t>
      </w:r>
      <w:r w:rsidR="00820C7E" w:rsidRPr="0005155D">
        <w:rPr>
          <w:i/>
        </w:rPr>
        <w:t>elivery</w:t>
      </w:r>
      <w:r w:rsidR="00A61F71" w:rsidRPr="0005155D">
        <w:rPr>
          <w:i/>
        </w:rPr>
        <w:t xml:space="preserve"> Integration</w:t>
      </w:r>
      <w:r w:rsidR="00820C7E" w:rsidRPr="0005155D">
        <w:rPr>
          <w:i/>
        </w:rPr>
        <w:t xml:space="preserve"> </w:t>
      </w:r>
      <w:r w:rsidR="00A61F71" w:rsidRPr="0005155D">
        <w:rPr>
          <w:i/>
        </w:rPr>
        <w:t>M</w:t>
      </w:r>
      <w:r w:rsidR="00820C7E" w:rsidRPr="0005155D">
        <w:rPr>
          <w:i/>
        </w:rPr>
        <w:t>echanism</w:t>
      </w:r>
      <w:r w:rsidR="00A61F71" w:rsidRPr="0005155D">
        <w:rPr>
          <w:i/>
        </w:rPr>
        <w:t>s</w:t>
      </w:r>
    </w:p>
    <w:p w:rsidR="005646F5" w:rsidRPr="00A61F71" w:rsidRDefault="005646F5" w:rsidP="0090421F"/>
    <w:p w:rsidR="00A860C4" w:rsidRPr="00A61F71" w:rsidRDefault="00A860C4" w:rsidP="0090421F">
      <w:pPr>
        <w:autoSpaceDE w:val="0"/>
        <w:autoSpaceDN w:val="0"/>
        <w:adjustRightInd w:val="0"/>
      </w:pPr>
      <w:r w:rsidRPr="00A61F71">
        <w:t xml:space="preserve">This pillar </w:t>
      </w:r>
      <w:r w:rsidR="00B25108">
        <w:t>will</w:t>
      </w:r>
      <w:r w:rsidRPr="00A61F71">
        <w:t xml:space="preserve"> provide resources to governments to</w:t>
      </w:r>
      <w:r w:rsidR="006F0E72">
        <w:t xml:space="preserve"> </w:t>
      </w:r>
      <w:r w:rsidR="001F7B56">
        <w:t>pilot</w:t>
      </w:r>
      <w:r w:rsidRPr="00A61F71">
        <w:t xml:space="preserve"> innovative health financing and service delivery</w:t>
      </w:r>
      <w:r w:rsidR="006F0E72">
        <w:t xml:space="preserve"> integration</w:t>
      </w:r>
      <w:r w:rsidRPr="00A61F71">
        <w:t xml:space="preserve"> mechanisms</w:t>
      </w:r>
      <w:r w:rsidR="00820C7E" w:rsidRPr="00820C7E">
        <w:t xml:space="preserve">.   </w:t>
      </w:r>
    </w:p>
    <w:p w:rsidR="00A860C4" w:rsidRPr="00A61F71" w:rsidRDefault="00A860C4" w:rsidP="0090421F">
      <w:pPr>
        <w:autoSpaceDE w:val="0"/>
        <w:autoSpaceDN w:val="0"/>
        <w:adjustRightInd w:val="0"/>
      </w:pPr>
    </w:p>
    <w:p w:rsidR="00820C7E" w:rsidRDefault="0038799C" w:rsidP="0090421F">
      <w:pPr>
        <w:autoSpaceDE w:val="0"/>
        <w:autoSpaceDN w:val="0"/>
        <w:adjustRightInd w:val="0"/>
      </w:pPr>
      <w:r w:rsidRPr="00A61F71">
        <w:t xml:space="preserve">Activities </w:t>
      </w:r>
      <w:r w:rsidR="00B415C1">
        <w:t xml:space="preserve">under this pillar </w:t>
      </w:r>
      <w:r w:rsidR="00820C7E" w:rsidRPr="00820C7E">
        <w:t>may</w:t>
      </w:r>
      <w:r w:rsidRPr="00A61F71">
        <w:t xml:space="preserve"> include</w:t>
      </w:r>
      <w:r w:rsidR="006F0E72">
        <w:t xml:space="preserve"> support for:</w:t>
      </w:r>
    </w:p>
    <w:p w:rsidR="006F0E72" w:rsidRPr="00820C7E" w:rsidRDefault="006F0E72" w:rsidP="0090421F">
      <w:pPr>
        <w:autoSpaceDE w:val="0"/>
        <w:autoSpaceDN w:val="0"/>
        <w:adjustRightInd w:val="0"/>
      </w:pPr>
    </w:p>
    <w:p w:rsidR="0038799C" w:rsidRPr="00A61F71" w:rsidRDefault="0038799C" w:rsidP="0090421F">
      <w:pPr>
        <w:pStyle w:val="ListParagraph"/>
        <w:numPr>
          <w:ilvl w:val="0"/>
          <w:numId w:val="12"/>
        </w:numPr>
        <w:autoSpaceDE w:val="0"/>
        <w:autoSpaceDN w:val="0"/>
        <w:adjustRightInd w:val="0"/>
      </w:pPr>
      <w:r w:rsidRPr="00A61F71">
        <w:t xml:space="preserve">Piloting of innovative procurement, financial management, human resource management, service delivery, and monitoring </w:t>
      </w:r>
      <w:r w:rsidR="00824416" w:rsidRPr="00A61F71">
        <w:t>interventions</w:t>
      </w:r>
      <w:r w:rsidRPr="00A61F71">
        <w:t xml:space="preserve">. </w:t>
      </w:r>
    </w:p>
    <w:p w:rsidR="00F1272D" w:rsidRPr="00A61F71" w:rsidRDefault="00F1272D" w:rsidP="0090421F">
      <w:pPr>
        <w:pStyle w:val="ListParagraph"/>
        <w:numPr>
          <w:ilvl w:val="0"/>
          <w:numId w:val="12"/>
        </w:numPr>
        <w:autoSpaceDE w:val="0"/>
        <w:autoSpaceDN w:val="0"/>
        <w:adjustRightInd w:val="0"/>
      </w:pPr>
      <w:r w:rsidRPr="00A61F71">
        <w:t xml:space="preserve">Support </w:t>
      </w:r>
      <w:r w:rsidR="0038799C" w:rsidRPr="00A61F71">
        <w:t>for</w:t>
      </w:r>
      <w:r w:rsidRPr="00A61F71">
        <w:t xml:space="preserve"> investigat</w:t>
      </w:r>
      <w:r w:rsidR="0038799C" w:rsidRPr="00A61F71">
        <w:t>ing</w:t>
      </w:r>
      <w:r w:rsidRPr="00A61F71">
        <w:t xml:space="preserve"> and test</w:t>
      </w:r>
      <w:r w:rsidR="0038799C" w:rsidRPr="00A61F71">
        <w:t>ing</w:t>
      </w:r>
      <w:r w:rsidRPr="00A61F71">
        <w:t xml:space="preserve"> </w:t>
      </w:r>
      <w:r w:rsidR="00325B28" w:rsidRPr="00A61F71">
        <w:t xml:space="preserve">different </w:t>
      </w:r>
      <w:r w:rsidR="001F7B56">
        <w:t xml:space="preserve">implementation </w:t>
      </w:r>
      <w:r w:rsidR="00325B28" w:rsidRPr="00A61F71">
        <w:t xml:space="preserve">mechanisms for </w:t>
      </w:r>
      <w:r w:rsidR="0038799C" w:rsidRPr="00A61F71">
        <w:t xml:space="preserve">integrating </w:t>
      </w:r>
      <w:r w:rsidR="00D80540">
        <w:t>donor</w:t>
      </w:r>
      <w:r w:rsidR="0038799C" w:rsidRPr="00A61F71">
        <w:t>-financed and other priority programs within UHC programs.</w:t>
      </w:r>
    </w:p>
    <w:p w:rsidR="00BE6990" w:rsidRDefault="00BE6990" w:rsidP="001C17F2">
      <w:pPr>
        <w:autoSpaceDE w:val="0"/>
        <w:autoSpaceDN w:val="0"/>
        <w:adjustRightInd w:val="0"/>
      </w:pPr>
    </w:p>
    <w:p w:rsidR="00E4275A" w:rsidRPr="00A61F71" w:rsidRDefault="005646F5" w:rsidP="0090421F">
      <w:pPr>
        <w:pStyle w:val="Heading1"/>
        <w:jc w:val="center"/>
        <w:rPr>
          <w:color w:val="auto"/>
        </w:rPr>
      </w:pPr>
      <w:r w:rsidRPr="00A61F71">
        <w:rPr>
          <w:color w:val="auto"/>
        </w:rPr>
        <w:t xml:space="preserve">Program </w:t>
      </w:r>
      <w:r w:rsidR="00DE5B0C" w:rsidRPr="00A61F71">
        <w:rPr>
          <w:color w:val="auto"/>
        </w:rPr>
        <w:t>Criteria</w:t>
      </w:r>
    </w:p>
    <w:p w:rsidR="005646F5" w:rsidRPr="00B74ADD" w:rsidRDefault="005646F5" w:rsidP="0090421F"/>
    <w:p w:rsidR="005636ED" w:rsidRDefault="007D5E98" w:rsidP="0090421F">
      <w:pPr>
        <w:autoSpaceDE w:val="0"/>
        <w:autoSpaceDN w:val="0"/>
        <w:adjustRightInd w:val="0"/>
      </w:pPr>
      <w:r w:rsidRPr="00247D3A">
        <w:t xml:space="preserve">The key selection criteria for activities to be funded by the MDTF will be: (i) alignment with governments’ development strategies; (ii) contribution to achieving the </w:t>
      </w:r>
      <w:r>
        <w:t xml:space="preserve">program </w:t>
      </w:r>
      <w:r w:rsidRPr="00247D3A">
        <w:t>development objective; (iii) alignment with the development strategy and priorities of WBG</w:t>
      </w:r>
      <w:r w:rsidR="000222FE">
        <w:t>;</w:t>
      </w:r>
      <w:r w:rsidRPr="00247D3A">
        <w:t xml:space="preserve"> and (iv)</w:t>
      </w:r>
      <w:r w:rsidR="00A61F71">
        <w:t xml:space="preserve"> </w:t>
      </w:r>
      <w:r w:rsidRPr="00B74ADD">
        <w:t xml:space="preserve">alignment with the development strategy and priorities </w:t>
      </w:r>
      <w:r w:rsidR="00541087">
        <w:t>of</w:t>
      </w:r>
      <w:r w:rsidRPr="00B74ADD">
        <w:t xml:space="preserve"> donors contributing to the MDTF. </w:t>
      </w:r>
    </w:p>
    <w:p w:rsidR="005636ED" w:rsidRDefault="005636ED" w:rsidP="0090421F">
      <w:pPr>
        <w:autoSpaceDE w:val="0"/>
        <w:autoSpaceDN w:val="0"/>
        <w:adjustRightInd w:val="0"/>
      </w:pPr>
    </w:p>
    <w:p w:rsidR="000222FE" w:rsidRDefault="00180FC3" w:rsidP="0090421F">
      <w:pPr>
        <w:autoSpaceDE w:val="0"/>
        <w:autoSpaceDN w:val="0"/>
        <w:adjustRightInd w:val="0"/>
      </w:pPr>
      <w:r>
        <w:t>T</w:t>
      </w:r>
      <w:r w:rsidR="00905D2F" w:rsidRPr="00B74ADD">
        <w:t>he first</w:t>
      </w:r>
      <w:r>
        <w:t xml:space="preserve"> set of</w:t>
      </w:r>
      <w:r w:rsidR="00905D2F" w:rsidRPr="00B74ADD">
        <w:t xml:space="preserve"> activit</w:t>
      </w:r>
      <w:r>
        <w:t>ies</w:t>
      </w:r>
      <w:r w:rsidR="00905D2F" w:rsidRPr="00B74ADD">
        <w:t xml:space="preserve"> </w:t>
      </w:r>
      <w:r w:rsidR="00541087">
        <w:t>under</w:t>
      </w:r>
      <w:r w:rsidR="00905D2F" w:rsidRPr="00B74ADD">
        <w:t xml:space="preserve"> the MDTF </w:t>
      </w:r>
      <w:r>
        <w:t>w</w:t>
      </w:r>
      <w:r w:rsidR="00B25108">
        <w:t xml:space="preserve">ill </w:t>
      </w:r>
      <w:r w:rsidR="007A75DB">
        <w:t xml:space="preserve">initially </w:t>
      </w:r>
      <w:r>
        <w:t xml:space="preserve">be </w:t>
      </w:r>
      <w:r w:rsidR="00541087">
        <w:t>financed by DFAT</w:t>
      </w:r>
      <w:r w:rsidR="007A75DB">
        <w:t xml:space="preserve"> and </w:t>
      </w:r>
      <w:r w:rsidR="001C40AB">
        <w:t>w</w:t>
      </w:r>
      <w:r w:rsidR="00B25108">
        <w:t xml:space="preserve">ill </w:t>
      </w:r>
      <w:r w:rsidR="001C40AB">
        <w:t xml:space="preserve">include </w:t>
      </w:r>
      <w:r w:rsidR="00491376" w:rsidRPr="00247D3A">
        <w:rPr>
          <w:rFonts w:cs="Helvetica"/>
        </w:rPr>
        <w:t xml:space="preserve">assessing and supporting the financial and institutional sustainability of </w:t>
      </w:r>
      <w:r w:rsidR="005636ED">
        <w:rPr>
          <w:rFonts w:cs="Helvetica"/>
        </w:rPr>
        <w:t>GFATM</w:t>
      </w:r>
      <w:r w:rsidR="00491376" w:rsidRPr="00247D3A">
        <w:rPr>
          <w:rFonts w:cs="Helvetica"/>
        </w:rPr>
        <w:t xml:space="preserve">-financed </w:t>
      </w:r>
      <w:r w:rsidR="006865DC">
        <w:rPr>
          <w:rFonts w:cs="Helvetica"/>
        </w:rPr>
        <w:t>health</w:t>
      </w:r>
      <w:r w:rsidR="00491376" w:rsidRPr="00247D3A">
        <w:rPr>
          <w:rFonts w:cs="Helvetica"/>
        </w:rPr>
        <w:t xml:space="preserve"> programs</w:t>
      </w:r>
      <w:r w:rsidR="00491376">
        <w:rPr>
          <w:rFonts w:cs="Helvetica"/>
        </w:rPr>
        <w:t xml:space="preserve"> in </w:t>
      </w:r>
      <w:r w:rsidR="00A53C29">
        <w:rPr>
          <w:rFonts w:cs="Helvetica"/>
        </w:rPr>
        <w:t>three</w:t>
      </w:r>
      <w:r w:rsidR="00491376">
        <w:rPr>
          <w:rFonts w:cs="Helvetica"/>
        </w:rPr>
        <w:t xml:space="preserve"> E</w:t>
      </w:r>
      <w:r w:rsidR="00D5265F">
        <w:rPr>
          <w:rFonts w:cs="Helvetica"/>
        </w:rPr>
        <w:t xml:space="preserve">ast </w:t>
      </w:r>
      <w:r w:rsidR="00491376">
        <w:rPr>
          <w:rFonts w:cs="Helvetica"/>
        </w:rPr>
        <w:t>A</w:t>
      </w:r>
      <w:r w:rsidR="00D5265F">
        <w:rPr>
          <w:rFonts w:cs="Helvetica"/>
        </w:rPr>
        <w:t xml:space="preserve">sia and </w:t>
      </w:r>
      <w:r w:rsidR="00491376">
        <w:rPr>
          <w:rFonts w:cs="Helvetica"/>
        </w:rPr>
        <w:t>P</w:t>
      </w:r>
      <w:r w:rsidR="00D5265F">
        <w:rPr>
          <w:rFonts w:cs="Helvetica"/>
        </w:rPr>
        <w:t>acific (EAP) region</w:t>
      </w:r>
      <w:r w:rsidR="00491376">
        <w:rPr>
          <w:rFonts w:cs="Helvetica"/>
        </w:rPr>
        <w:t xml:space="preserve"> countries: </w:t>
      </w:r>
      <w:r w:rsidR="00491376" w:rsidRPr="00384877">
        <w:t>Indonesia, P</w:t>
      </w:r>
      <w:r w:rsidR="00491376">
        <w:t xml:space="preserve">apua </w:t>
      </w:r>
      <w:r w:rsidR="00491376" w:rsidRPr="00384877">
        <w:t>N</w:t>
      </w:r>
      <w:r w:rsidR="00491376">
        <w:t xml:space="preserve">ew </w:t>
      </w:r>
      <w:r w:rsidR="00491376" w:rsidRPr="00384877">
        <w:t>G</w:t>
      </w:r>
      <w:r w:rsidR="00491376">
        <w:t>uinea</w:t>
      </w:r>
      <w:r w:rsidR="00491376" w:rsidRPr="00384877">
        <w:t xml:space="preserve">, </w:t>
      </w:r>
      <w:r w:rsidR="00A53C29">
        <w:t xml:space="preserve">and </w:t>
      </w:r>
      <w:r w:rsidR="00491376" w:rsidRPr="00384877">
        <w:t>Solomon Islands</w:t>
      </w:r>
      <w:r w:rsidR="00A53C29">
        <w:t>. Additional countries of focus could include Cambodia and Vanuatu at a later stage</w:t>
      </w:r>
      <w:r w:rsidR="00581D11">
        <w:t xml:space="preserve"> (see Annex 1 for country</w:t>
      </w:r>
      <w:r w:rsidR="000222FE">
        <w:t xml:space="preserve">-specific </w:t>
      </w:r>
      <w:r w:rsidR="00581D11">
        <w:t>information</w:t>
      </w:r>
      <w:r w:rsidR="00A53C29">
        <w:t xml:space="preserve"> on these five countries</w:t>
      </w:r>
      <w:r w:rsidR="00581D11">
        <w:t>)</w:t>
      </w:r>
      <w:r w:rsidR="00491376">
        <w:t>.</w:t>
      </w:r>
      <w:r w:rsidR="00491376">
        <w:rPr>
          <w:rFonts w:cs="Helvetica"/>
        </w:rPr>
        <w:t xml:space="preserve"> </w:t>
      </w:r>
      <w:r w:rsidR="000222FE" w:rsidRPr="008C63D3">
        <w:t xml:space="preserve">In each of </w:t>
      </w:r>
      <w:r w:rsidR="000222FE">
        <w:t xml:space="preserve">these </w:t>
      </w:r>
      <w:r w:rsidR="000222FE" w:rsidRPr="008C63D3">
        <w:t>initial priority countries</w:t>
      </w:r>
      <w:r w:rsidR="000222FE">
        <w:t>, GFATM</w:t>
      </w:r>
      <w:r w:rsidR="000222FE" w:rsidRPr="008C63D3">
        <w:t xml:space="preserve"> allocations make up a considerable proportion of total budget allocations and expenditure</w:t>
      </w:r>
      <w:r w:rsidR="000222FE">
        <w:t xml:space="preserve">s </w:t>
      </w:r>
      <w:r w:rsidR="000222FE" w:rsidRPr="008C63D3">
        <w:t xml:space="preserve">for </w:t>
      </w:r>
      <w:r w:rsidR="000222FE">
        <w:t xml:space="preserve">HIV, </w:t>
      </w:r>
      <w:r w:rsidR="000222FE" w:rsidRPr="008C63D3">
        <w:t xml:space="preserve">TB, </w:t>
      </w:r>
      <w:r w:rsidR="000222FE">
        <w:t>m</w:t>
      </w:r>
      <w:r w:rsidR="000222FE" w:rsidRPr="008C63D3">
        <w:t>alaria programs (this ranges from 25</w:t>
      </w:r>
      <w:r w:rsidR="006865DC">
        <w:t>-</w:t>
      </w:r>
      <w:r w:rsidR="000222FE" w:rsidRPr="008C63D3">
        <w:t>90</w:t>
      </w:r>
      <w:r w:rsidR="000222FE">
        <w:t>%</w:t>
      </w:r>
      <w:r w:rsidR="000222FE" w:rsidRPr="008C63D3">
        <w:t xml:space="preserve"> of total funds </w:t>
      </w:r>
      <w:r w:rsidR="005636ED">
        <w:t xml:space="preserve">with </w:t>
      </w:r>
      <w:r w:rsidR="000222FE" w:rsidRPr="008C63D3">
        <w:t>vari</w:t>
      </w:r>
      <w:r w:rsidR="005636ED">
        <w:t>ations</w:t>
      </w:r>
      <w:r w:rsidR="000222FE" w:rsidRPr="008C63D3">
        <w:t xml:space="preserve"> between programs and countries). </w:t>
      </w:r>
      <w:r w:rsidR="00DB17A3">
        <w:t xml:space="preserve">Indicative </w:t>
      </w:r>
      <w:r w:rsidR="00D5265F">
        <w:t xml:space="preserve">country-specific </w:t>
      </w:r>
      <w:r w:rsidR="00DB17A3">
        <w:t xml:space="preserve">activities are outlined in Annex 2. </w:t>
      </w:r>
      <w:r w:rsidR="00A53C29">
        <w:t>Other country engagements will be decided as additional funds come in.</w:t>
      </w:r>
      <w:r w:rsidR="004A3E88">
        <w:t xml:space="preserve"> Proposed activities in each of the countries, as well as those that may cut-across countries, will have their own reviews via the WBG’s Grant Funding Request (GFR) process (see also section of Governance Arrangements below).</w:t>
      </w:r>
    </w:p>
    <w:p w:rsidR="003D2447" w:rsidRDefault="003D2447" w:rsidP="0090421F">
      <w:pPr>
        <w:autoSpaceDE w:val="0"/>
        <w:autoSpaceDN w:val="0"/>
        <w:adjustRightInd w:val="0"/>
      </w:pPr>
    </w:p>
    <w:p w:rsidR="003D2447" w:rsidRDefault="003D2447" w:rsidP="0090421F">
      <w:pPr>
        <w:autoSpaceDE w:val="0"/>
        <w:autoSpaceDN w:val="0"/>
        <w:adjustRightInd w:val="0"/>
        <w:rPr>
          <w:szCs w:val="20"/>
        </w:rPr>
      </w:pPr>
      <w:r w:rsidRPr="00820C7E">
        <w:rPr>
          <w:szCs w:val="20"/>
        </w:rPr>
        <w:t xml:space="preserve">The teams are and will continue to be in regular dialogue with other partners and stakeholders (including key development partners and academia) who are also conducting activities related to the health sector in the focus countries in order to ensure that activities and outputs proposed are not duplicating other activities and are complementary to work being done by other partners and stakeholders. For the initial set of activities in the </w:t>
      </w:r>
      <w:r>
        <w:rPr>
          <w:szCs w:val="20"/>
        </w:rPr>
        <w:t>three</w:t>
      </w:r>
      <w:r w:rsidRPr="00820C7E">
        <w:rPr>
          <w:szCs w:val="20"/>
        </w:rPr>
        <w:t xml:space="preserve"> EAP countries financed by DFAT, the scope has been discussed and coordinated with DFAT and GFATM, at both headquarters and country levels. The team has also reviewed the main country level programs </w:t>
      </w:r>
      <w:r>
        <w:rPr>
          <w:szCs w:val="20"/>
        </w:rPr>
        <w:t>being conducted by relevant p</w:t>
      </w:r>
      <w:r w:rsidRPr="00820C7E">
        <w:rPr>
          <w:szCs w:val="20"/>
        </w:rPr>
        <w:t xml:space="preserve">artners for the </w:t>
      </w:r>
      <w:r>
        <w:rPr>
          <w:szCs w:val="20"/>
        </w:rPr>
        <w:t>three</w:t>
      </w:r>
      <w:r w:rsidRPr="00820C7E">
        <w:rPr>
          <w:szCs w:val="20"/>
        </w:rPr>
        <w:t xml:space="preserve"> known focus countries to ensure complementarity and avoid duplication.</w:t>
      </w:r>
      <w:r w:rsidR="00C01A85">
        <w:rPr>
          <w:szCs w:val="20"/>
        </w:rPr>
        <w:t xml:space="preserve"> Individual GFRs will also be required to specify modalities for stakeholder engagement at the concept, implementation, and completion stages. Activities that are conducted in close coordination with key stakeholders and global partners such as WHO will be encouraged.</w:t>
      </w:r>
    </w:p>
    <w:p w:rsidR="005636ED" w:rsidRDefault="005636ED" w:rsidP="005636ED"/>
    <w:p w:rsidR="008400AA" w:rsidRPr="00A61F71" w:rsidRDefault="008400AA" w:rsidP="008400AA">
      <w:pPr>
        <w:pStyle w:val="Heading1"/>
        <w:jc w:val="center"/>
        <w:rPr>
          <w:color w:val="auto"/>
        </w:rPr>
      </w:pPr>
      <w:r w:rsidRPr="00A61F71">
        <w:rPr>
          <w:color w:val="auto"/>
        </w:rPr>
        <w:t>Results Framework</w:t>
      </w:r>
    </w:p>
    <w:p w:rsidR="008400AA" w:rsidRDefault="008400AA" w:rsidP="008400AA"/>
    <w:p w:rsidR="00036850" w:rsidRDefault="008400AA" w:rsidP="00036850">
      <w:r>
        <w:rPr>
          <w:rFonts w:cs="Helvetica"/>
        </w:rPr>
        <w:t xml:space="preserve">In order to identify progress towards attainment of the program objective, several indicators will be monitored that </w:t>
      </w:r>
      <w:r>
        <w:rPr>
          <w:rFonts w:cs="Calibri"/>
        </w:rPr>
        <w:t>will</w:t>
      </w:r>
      <w:r w:rsidRPr="00247D3A">
        <w:rPr>
          <w:rFonts w:cs="Calibri"/>
        </w:rPr>
        <w:t xml:space="preserve"> provide </w:t>
      </w:r>
      <w:r>
        <w:rPr>
          <w:rFonts w:cs="Calibri"/>
        </w:rPr>
        <w:t>the</w:t>
      </w:r>
      <w:r w:rsidRPr="00247D3A">
        <w:rPr>
          <w:rFonts w:cs="Calibri"/>
        </w:rPr>
        <w:t xml:space="preserve"> basis for monitoring results under the MDTF. Indicators will be </w:t>
      </w:r>
      <w:r>
        <w:rPr>
          <w:rFonts w:cs="Calibri"/>
        </w:rPr>
        <w:t xml:space="preserve">country-specific and </w:t>
      </w:r>
      <w:r w:rsidRPr="00247D3A">
        <w:rPr>
          <w:rFonts w:cs="Calibri"/>
        </w:rPr>
        <w:t xml:space="preserve">developed </w:t>
      </w:r>
      <w:r>
        <w:rPr>
          <w:rFonts w:cs="Calibri"/>
        </w:rPr>
        <w:t xml:space="preserve">under </w:t>
      </w:r>
      <w:r w:rsidRPr="00247D3A">
        <w:rPr>
          <w:rFonts w:cs="Calibri"/>
        </w:rPr>
        <w:t xml:space="preserve">each of the </w:t>
      </w:r>
      <w:r w:rsidRPr="00A61F71">
        <w:t>four</w:t>
      </w:r>
      <w:r w:rsidRPr="00247D3A">
        <w:rPr>
          <w:rFonts w:cs="Calibri"/>
        </w:rPr>
        <w:t xml:space="preserve"> pillars of the MDTF</w:t>
      </w:r>
      <w:r>
        <w:rPr>
          <w:rFonts w:cs="Calibri"/>
        </w:rPr>
        <w:t xml:space="preserve"> depending on the nature of support that is provided. These indicators will be</w:t>
      </w:r>
      <w:r w:rsidRPr="00247D3A">
        <w:rPr>
          <w:rFonts w:cs="Calibri"/>
        </w:rPr>
        <w:t xml:space="preserve"> measured and reported at the country level and aggregated to assess results of the overall </w:t>
      </w:r>
      <w:r>
        <w:rPr>
          <w:rFonts w:cs="Calibri"/>
        </w:rPr>
        <w:t>program</w:t>
      </w:r>
      <w:r w:rsidRPr="00247D3A">
        <w:rPr>
          <w:rFonts w:cs="Calibri"/>
        </w:rPr>
        <w:t xml:space="preserve">. It is envisaged that </w:t>
      </w:r>
      <w:r w:rsidRPr="00820C7E">
        <w:rPr>
          <w:rFonts w:cs="Calibri"/>
        </w:rPr>
        <w:t>a small number</w:t>
      </w:r>
      <w:r w:rsidRPr="00247D3A">
        <w:rPr>
          <w:rFonts w:cs="Calibri"/>
        </w:rPr>
        <w:t xml:space="preserve"> of </w:t>
      </w:r>
      <w:r w:rsidRPr="00820C7E">
        <w:rPr>
          <w:rFonts w:cs="Calibri"/>
        </w:rPr>
        <w:t>additional</w:t>
      </w:r>
      <w:r w:rsidRPr="00247D3A">
        <w:rPr>
          <w:rFonts w:cs="Calibri"/>
        </w:rPr>
        <w:t xml:space="preserve"> indicators w</w:t>
      </w:r>
      <w:r w:rsidR="00B25108">
        <w:rPr>
          <w:rFonts w:cs="Calibri"/>
        </w:rPr>
        <w:t xml:space="preserve">ill </w:t>
      </w:r>
      <w:r w:rsidRPr="00247D3A">
        <w:rPr>
          <w:rFonts w:cs="Calibri"/>
        </w:rPr>
        <w:t xml:space="preserve">be developed to capture intermediate outcomes and outputs of the different investments under the </w:t>
      </w:r>
      <w:r w:rsidRPr="00820C7E">
        <w:rPr>
          <w:rFonts w:cs="Calibri"/>
        </w:rPr>
        <w:t>MDTF support</w:t>
      </w:r>
      <w:r>
        <w:rPr>
          <w:rFonts w:cs="Calibri"/>
        </w:rPr>
        <w:t xml:space="preserve"> depending on the nature of support provided across countries (e.g., the number of HFIAs completed and disseminated; indicators for measuring provision of technical assistance; strengthened government capacity to integrate and implement donor-financed and other priority programs; generation, capture, and exchange of operational knowledge with regard to health system strengthening and integration of donor-financed interventions).</w:t>
      </w:r>
      <w:r w:rsidR="00036850">
        <w:rPr>
          <w:rFonts w:cs="Calibri"/>
        </w:rPr>
        <w:t xml:space="preserve"> </w:t>
      </w:r>
      <w:r w:rsidR="00036850">
        <w:t>Table 2 summarizes the proposed results framework for the MDTF.</w:t>
      </w:r>
    </w:p>
    <w:p w:rsidR="00036850" w:rsidRDefault="00036850" w:rsidP="00036850">
      <w:pPr>
        <w:autoSpaceDE w:val="0"/>
        <w:autoSpaceDN w:val="0"/>
        <w:adjustRightInd w:val="0"/>
      </w:pPr>
    </w:p>
    <w:p w:rsidR="00036850" w:rsidRPr="001C17F2" w:rsidRDefault="00036850" w:rsidP="00036850">
      <w:pPr>
        <w:autoSpaceDE w:val="0"/>
        <w:autoSpaceDN w:val="0"/>
        <w:adjustRightInd w:val="0"/>
        <w:jc w:val="center"/>
        <w:rPr>
          <w:b/>
          <w:sz w:val="18"/>
          <w:szCs w:val="18"/>
        </w:rPr>
      </w:pPr>
      <w:r w:rsidRPr="001C17F2">
        <w:rPr>
          <w:b/>
          <w:sz w:val="18"/>
          <w:szCs w:val="18"/>
        </w:rPr>
        <w:t>Table 2: Proposed results framework</w:t>
      </w:r>
    </w:p>
    <w:tbl>
      <w:tblPr>
        <w:tblStyle w:val="TableGrid"/>
        <w:tblW w:w="0" w:type="auto"/>
        <w:jc w:val="center"/>
        <w:tblLook w:val="04A0" w:firstRow="1" w:lastRow="0" w:firstColumn="1" w:lastColumn="0" w:noHBand="0" w:noVBand="1"/>
      </w:tblPr>
      <w:tblGrid>
        <w:gridCol w:w="3116"/>
        <w:gridCol w:w="3117"/>
        <w:gridCol w:w="3117"/>
      </w:tblGrid>
      <w:tr w:rsidR="00036850" w:rsidTr="00A53C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il"/>
              <w:right w:val="nil"/>
            </w:tcBorders>
            <w:vAlign w:val="top"/>
          </w:tcPr>
          <w:p w:rsidR="00036850" w:rsidRPr="002E5027" w:rsidRDefault="00036850" w:rsidP="00A53C29">
            <w:pPr>
              <w:rPr>
                <w:b w:val="0"/>
              </w:rPr>
            </w:pPr>
            <w:r w:rsidRPr="002E5027">
              <w:t>Development objective</w:t>
            </w:r>
          </w:p>
        </w:tc>
        <w:tc>
          <w:tcPr>
            <w:tcW w:w="3117" w:type="dxa"/>
            <w:tcBorders>
              <w:left w:val="nil"/>
              <w:right w:val="nil"/>
            </w:tcBorders>
            <w:vAlign w:val="top"/>
          </w:tcPr>
          <w:p w:rsidR="00036850" w:rsidRPr="002E5027" w:rsidRDefault="00036850" w:rsidP="00A53C29">
            <w:pPr>
              <w:jc w:val="center"/>
              <w:cnfStyle w:val="100000000000" w:firstRow="1" w:lastRow="0" w:firstColumn="0" w:lastColumn="0" w:oddVBand="0" w:evenVBand="0" w:oddHBand="0" w:evenHBand="0" w:firstRowFirstColumn="0" w:firstRowLastColumn="0" w:lastRowFirstColumn="0" w:lastRowLastColumn="0"/>
              <w:rPr>
                <w:b w:val="0"/>
              </w:rPr>
            </w:pPr>
            <w:r w:rsidRPr="002E5027">
              <w:t>Indicators</w:t>
            </w:r>
          </w:p>
        </w:tc>
        <w:tc>
          <w:tcPr>
            <w:tcW w:w="3117" w:type="dxa"/>
            <w:tcBorders>
              <w:left w:val="nil"/>
              <w:right w:val="nil"/>
            </w:tcBorders>
            <w:vAlign w:val="top"/>
          </w:tcPr>
          <w:p w:rsidR="00036850" w:rsidRPr="002E5027" w:rsidRDefault="00036850" w:rsidP="00A53C29">
            <w:pPr>
              <w:jc w:val="center"/>
              <w:cnfStyle w:val="100000000000" w:firstRow="1" w:lastRow="0" w:firstColumn="0" w:lastColumn="0" w:oddVBand="0" w:evenVBand="0" w:oddHBand="0" w:evenHBand="0" w:firstRowFirstColumn="0" w:firstRowLastColumn="0" w:lastRowFirstColumn="0" w:lastRowLastColumn="0"/>
              <w:rPr>
                <w:b w:val="0"/>
              </w:rPr>
            </w:pPr>
            <w:r w:rsidRPr="002E5027">
              <w:t>Targets</w:t>
            </w:r>
          </w:p>
        </w:tc>
      </w:tr>
      <w:tr w:rsidR="00036850" w:rsidTr="00A53C29">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double" w:sz="4" w:space="0" w:color="auto"/>
              <w:left w:val="nil"/>
              <w:bottom w:val="single" w:sz="4" w:space="0" w:color="auto"/>
              <w:right w:val="nil"/>
            </w:tcBorders>
            <w:vAlign w:val="top"/>
          </w:tcPr>
          <w:p w:rsidR="00036850" w:rsidRPr="001C17F2" w:rsidRDefault="00036850" w:rsidP="00A53C29">
            <w:pPr>
              <w:widowControl w:val="0"/>
              <w:autoSpaceDE w:val="0"/>
              <w:autoSpaceDN w:val="0"/>
              <w:adjustRightInd w:val="0"/>
              <w:rPr>
                <w:b w:val="0"/>
              </w:rPr>
            </w:pPr>
            <w:r w:rsidRPr="001C17F2">
              <w:rPr>
                <w:rFonts w:cs="Helvetica"/>
                <w:b w:val="0"/>
              </w:rPr>
              <w:t xml:space="preserve">Support countries in strengthening their health systems to accelerate and sustain progress towards key health outputs and outcomes that contribute to UHC with a particular focus on assessing and supporting the financial and institutional sustainability of donor-financed health programs. </w:t>
            </w:r>
          </w:p>
        </w:tc>
        <w:tc>
          <w:tcPr>
            <w:tcW w:w="3117" w:type="dxa"/>
            <w:tcBorders>
              <w:top w:val="double" w:sz="4" w:space="0" w:color="auto"/>
              <w:left w:val="nil"/>
              <w:bottom w:val="single" w:sz="4" w:space="0" w:color="auto"/>
              <w:right w:val="nil"/>
            </w:tcBorders>
            <w:vAlign w:val="top"/>
          </w:tcPr>
          <w:p w:rsidR="00036850" w:rsidRDefault="00036850" w:rsidP="00B75C90">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Number of countries where MDTF-financed activities aimed at assessing and supporting the financial and institutional sustainability of donor-financed health programs have been implemented.</w:t>
            </w:r>
          </w:p>
          <w:p w:rsidR="00B75C90" w:rsidRDefault="00B75C90" w:rsidP="00B75C90">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rsidRPr="00784715">
              <w:t>Number of countries that have developed their strategy for integrating donor-funded programs (transition plan).</w:t>
            </w:r>
          </w:p>
          <w:p w:rsidR="00BB5E11" w:rsidRDefault="00BB5E11" w:rsidP="00B75C90">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Proportion of externally-financed activities that are domestically-financed.</w:t>
            </w:r>
          </w:p>
          <w:p w:rsidR="00BB5E11" w:rsidRDefault="00BB5E11">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Key output indicators (to be finalized after coordination with core indicators that will be tracked by GHNDR).</w:t>
            </w:r>
          </w:p>
        </w:tc>
        <w:tc>
          <w:tcPr>
            <w:tcW w:w="3117" w:type="dxa"/>
            <w:tcBorders>
              <w:top w:val="doub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At least three countries where MDTF-financed activities have been implemented by the end of year three, and at least five countries by the end of year five.</w:t>
            </w:r>
          </w:p>
          <w:p w:rsidR="00B75C90" w:rsidRDefault="00B75C9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rsidRPr="00784715">
              <w:t>At least three countries have developed strategy for integrating donor-funded programs.</w:t>
            </w:r>
          </w:p>
          <w:p w:rsidR="00BB5E11" w:rsidRDefault="00BB5E11">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 xml:space="preserve">At least three countries where domestic financing has replaced at least 50% of external financed activities by end of year five. </w:t>
            </w:r>
          </w:p>
        </w:tc>
      </w:tr>
      <w:tr w:rsidR="00036850" w:rsidTr="00A53C29">
        <w:trPr>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il"/>
              <w:bottom w:val="single" w:sz="4" w:space="0" w:color="auto"/>
              <w:right w:val="nil"/>
            </w:tcBorders>
            <w:shd w:val="clear" w:color="auto" w:fill="BFBFBF" w:themeFill="background1" w:themeFillShade="BF"/>
            <w:vAlign w:val="top"/>
          </w:tcPr>
          <w:p w:rsidR="00036850" w:rsidRPr="003D1517" w:rsidRDefault="00036850" w:rsidP="00A53C29">
            <w:pPr>
              <w:rPr>
                <w:b w:val="0"/>
              </w:rPr>
            </w:pPr>
            <w:r w:rsidRPr="003D1517">
              <w:t>Intermediate objectives</w:t>
            </w:r>
          </w:p>
        </w:tc>
        <w:tc>
          <w:tcPr>
            <w:tcW w:w="3117" w:type="dxa"/>
            <w:tcBorders>
              <w:left w:val="nil"/>
              <w:bottom w:val="single" w:sz="4" w:space="0" w:color="auto"/>
              <w:right w:val="nil"/>
            </w:tcBorders>
            <w:shd w:val="clear" w:color="auto" w:fill="BFBFBF" w:themeFill="background1" w:themeFillShade="BF"/>
            <w:vAlign w:val="top"/>
          </w:tcPr>
          <w:p w:rsidR="00036850" w:rsidRPr="003D1517" w:rsidRDefault="00036850" w:rsidP="00A53C29">
            <w:pPr>
              <w:jc w:val="center"/>
              <w:cnfStyle w:val="000000000000" w:firstRow="0" w:lastRow="0" w:firstColumn="0" w:lastColumn="0" w:oddVBand="0" w:evenVBand="0" w:oddHBand="0" w:evenHBand="0" w:firstRowFirstColumn="0" w:firstRowLastColumn="0" w:lastRowFirstColumn="0" w:lastRowLastColumn="0"/>
              <w:rPr>
                <w:b/>
              </w:rPr>
            </w:pPr>
            <w:r w:rsidRPr="003D1517">
              <w:rPr>
                <w:b/>
              </w:rPr>
              <w:t>Indicators</w:t>
            </w:r>
          </w:p>
        </w:tc>
        <w:tc>
          <w:tcPr>
            <w:tcW w:w="3117" w:type="dxa"/>
            <w:tcBorders>
              <w:left w:val="nil"/>
              <w:bottom w:val="single" w:sz="4" w:space="0" w:color="auto"/>
              <w:right w:val="nil"/>
            </w:tcBorders>
            <w:shd w:val="clear" w:color="auto" w:fill="BFBFBF" w:themeFill="background1" w:themeFillShade="BF"/>
            <w:vAlign w:val="top"/>
          </w:tcPr>
          <w:p w:rsidR="00036850" w:rsidRPr="001C17F2" w:rsidRDefault="00036850" w:rsidP="00A53C29">
            <w:pPr>
              <w:jc w:val="center"/>
              <w:cnfStyle w:val="000000000000" w:firstRow="0" w:lastRow="0" w:firstColumn="0" w:lastColumn="0" w:oddVBand="0" w:evenVBand="0" w:oddHBand="0" w:evenHBand="0" w:firstRowFirstColumn="0" w:firstRowLastColumn="0" w:lastRowFirstColumn="0" w:lastRowLastColumn="0"/>
              <w:rPr>
                <w:b/>
              </w:rPr>
            </w:pPr>
            <w:r w:rsidRPr="001C17F2">
              <w:rPr>
                <w:b/>
              </w:rPr>
              <w:t>Targets</w:t>
            </w:r>
          </w:p>
        </w:tc>
      </w:tr>
      <w:tr w:rsidR="00036850" w:rsidTr="00A53C29">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rsidR="00036850" w:rsidRPr="001C17F2" w:rsidRDefault="00036850" w:rsidP="00A53C29">
            <w:pPr>
              <w:rPr>
                <w:b w:val="0"/>
              </w:rPr>
            </w:pPr>
            <w:r w:rsidRPr="001C17F2">
              <w:rPr>
                <w:b w:val="0"/>
              </w:rPr>
              <w:t>Development financing informed</w:t>
            </w:r>
          </w:p>
        </w:tc>
        <w:tc>
          <w:tcPr>
            <w:tcW w:w="3117" w:type="dxa"/>
            <w:tcBorders>
              <w:top w:val="sing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Government expenditure informed.</w:t>
            </w:r>
          </w:p>
        </w:tc>
        <w:tc>
          <w:tcPr>
            <w:tcW w:w="3117" w:type="dxa"/>
            <w:tcBorders>
              <w:top w:val="single" w:sz="4" w:space="0" w:color="auto"/>
              <w:left w:val="nil"/>
              <w:bottom w:val="single" w:sz="4" w:space="0" w:color="auto"/>
              <w:right w:val="nil"/>
            </w:tcBorders>
            <w:vAlign w:val="top"/>
          </w:tcPr>
          <w:p w:rsidR="00036850" w:rsidRDefault="00036850" w:rsidP="00B75C90">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Health financing and institutional assessments conducted</w:t>
            </w:r>
            <w:r w:rsidR="00B75C90">
              <w:t xml:space="preserve"> and discussed with Ministries of Health, Finance, and Planning</w:t>
            </w:r>
            <w:r>
              <w:t xml:space="preserve"> </w:t>
            </w:r>
            <w:r w:rsidR="005E3847">
              <w:t xml:space="preserve">and other stakeholders </w:t>
            </w:r>
            <w:r>
              <w:t>in five countries by the end of year five.</w:t>
            </w:r>
          </w:p>
        </w:tc>
      </w:tr>
      <w:tr w:rsidR="00036850" w:rsidTr="00A53C29">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rsidR="00036850" w:rsidRPr="001C17F2" w:rsidRDefault="00036850" w:rsidP="00A53C29">
            <w:pPr>
              <w:rPr>
                <w:b w:val="0"/>
              </w:rPr>
            </w:pPr>
            <w:r w:rsidRPr="001C17F2">
              <w:rPr>
                <w:b w:val="0"/>
              </w:rPr>
              <w:t>Policy strategy informed</w:t>
            </w:r>
          </w:p>
        </w:tc>
        <w:tc>
          <w:tcPr>
            <w:tcW w:w="3117" w:type="dxa"/>
            <w:tcBorders>
              <w:top w:val="sing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Government policy/strategy informed.</w:t>
            </w:r>
          </w:p>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Development community/partner policy/strategy informed.</w:t>
            </w:r>
          </w:p>
        </w:tc>
        <w:tc>
          <w:tcPr>
            <w:tcW w:w="3117" w:type="dxa"/>
            <w:tcBorders>
              <w:top w:val="sing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Pathway options and transition plans for integration donor-financed health programs informed in five countries by the end of year five.</w:t>
            </w:r>
          </w:p>
        </w:tc>
      </w:tr>
      <w:tr w:rsidR="00036850" w:rsidTr="00A53C29">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rsidR="00036850" w:rsidRPr="001C17F2" w:rsidRDefault="00036850" w:rsidP="00A53C29">
            <w:pPr>
              <w:rPr>
                <w:b w:val="0"/>
              </w:rPr>
            </w:pPr>
            <w:r w:rsidRPr="001C17F2">
              <w:rPr>
                <w:b w:val="0"/>
              </w:rPr>
              <w:t>Client’s capacity increased</w:t>
            </w:r>
          </w:p>
        </w:tc>
        <w:tc>
          <w:tcPr>
            <w:tcW w:w="3117" w:type="dxa"/>
            <w:tcBorders>
              <w:top w:val="sing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Design capacity strengthened.</w:t>
            </w:r>
          </w:p>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Implementation capacity strengthened.</w:t>
            </w:r>
          </w:p>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Monitoring and evaluation capacity strengthened.</w:t>
            </w:r>
          </w:p>
        </w:tc>
        <w:tc>
          <w:tcPr>
            <w:tcW w:w="3117" w:type="dxa"/>
            <w:tcBorders>
              <w:top w:val="sing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Technical assistance and capacity building activities for integration of donor-financed health programs implemented in five countries by the end of year five.</w:t>
            </w:r>
          </w:p>
        </w:tc>
      </w:tr>
      <w:tr w:rsidR="00036850" w:rsidTr="00A53C29">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rsidR="00036850" w:rsidRPr="001C17F2" w:rsidRDefault="00036850" w:rsidP="00A53C29">
            <w:pPr>
              <w:rPr>
                <w:b w:val="0"/>
              </w:rPr>
            </w:pPr>
            <w:r w:rsidRPr="001C17F2">
              <w:rPr>
                <w:b w:val="0"/>
              </w:rPr>
              <w:t>Knowledge deepened</w:t>
            </w:r>
          </w:p>
        </w:tc>
        <w:tc>
          <w:tcPr>
            <w:tcW w:w="3117" w:type="dxa"/>
            <w:tcBorders>
              <w:top w:val="sing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 xml:space="preserve">Facilitated exchange of best practice with clients. </w:t>
            </w:r>
          </w:p>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 xml:space="preserve">Facilitated exchange of best practice w/ partners. </w:t>
            </w:r>
          </w:p>
          <w:p w:rsidR="00036850" w:rsidRDefault="00036850" w:rsidP="00264EDA">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Disseminated best practices</w:t>
            </w:r>
            <w:r w:rsidR="00264EDA">
              <w:t>.</w:t>
            </w:r>
            <w:r>
              <w:t xml:space="preserve"> </w:t>
            </w:r>
          </w:p>
        </w:tc>
        <w:tc>
          <w:tcPr>
            <w:tcW w:w="3117" w:type="dxa"/>
            <w:tcBorders>
              <w:top w:val="single" w:sz="4" w:space="0" w:color="auto"/>
              <w:left w:val="nil"/>
              <w:bottom w:val="single" w:sz="4" w:space="0" w:color="auto"/>
              <w:right w:val="nil"/>
            </w:tcBorders>
            <w:vAlign w:val="top"/>
          </w:tcPr>
          <w:p w:rsidR="00036850" w:rsidRDefault="00036850" w:rsidP="00A53C29">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Knowledge exchange activities implemented in five countries by the end of year five.</w:t>
            </w:r>
          </w:p>
        </w:tc>
      </w:tr>
      <w:tr w:rsidR="00036850" w:rsidTr="00A53C29">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shd w:val="clear" w:color="auto" w:fill="FFFFFF"/>
            <w:vAlign w:val="top"/>
          </w:tcPr>
          <w:p w:rsidR="00036850" w:rsidRPr="001C17F2" w:rsidRDefault="00036850" w:rsidP="00A53C29">
            <w:pPr>
              <w:rPr>
                <w:b w:val="0"/>
              </w:rPr>
            </w:pPr>
            <w:r w:rsidRPr="001C17F2">
              <w:rPr>
                <w:b w:val="0"/>
              </w:rPr>
              <w:t>Innovative approaches &amp; solutions generated</w:t>
            </w:r>
          </w:p>
        </w:tc>
        <w:tc>
          <w:tcPr>
            <w:tcW w:w="3117" w:type="dxa"/>
            <w:tcBorders>
              <w:top w:val="single" w:sz="4" w:space="0" w:color="auto"/>
              <w:left w:val="nil"/>
              <w:bottom w:val="single" w:sz="4" w:space="0" w:color="auto"/>
              <w:right w:val="nil"/>
            </w:tcBorders>
            <w:shd w:val="clear" w:color="auto" w:fill="FFFFFF"/>
            <w:vAlign w:val="top"/>
          </w:tcPr>
          <w:p w:rsidR="00036850" w:rsidRDefault="00036850" w:rsidP="00264EDA">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 xml:space="preserve">New innovative approach fostered. </w:t>
            </w:r>
          </w:p>
          <w:p w:rsidR="00036850" w:rsidRDefault="00036850" w:rsidP="00264EDA">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New innovative approach developed.</w:t>
            </w:r>
          </w:p>
        </w:tc>
        <w:tc>
          <w:tcPr>
            <w:tcW w:w="3117" w:type="dxa"/>
            <w:tcBorders>
              <w:top w:val="single" w:sz="4" w:space="0" w:color="auto"/>
              <w:left w:val="nil"/>
              <w:bottom w:val="single" w:sz="4" w:space="0" w:color="auto"/>
              <w:right w:val="nil"/>
            </w:tcBorders>
            <w:vAlign w:val="top"/>
          </w:tcPr>
          <w:p w:rsidR="00036850" w:rsidRDefault="00036850" w:rsidP="00264EDA">
            <w:pPr>
              <w:pStyle w:val="ListParagraph"/>
              <w:numPr>
                <w:ilvl w:val="0"/>
                <w:numId w:val="40"/>
              </w:numPr>
              <w:jc w:val="left"/>
              <w:cnfStyle w:val="000000000000" w:firstRow="0" w:lastRow="0" w:firstColumn="0" w:lastColumn="0" w:oddVBand="0" w:evenVBand="0" w:oddHBand="0" w:evenHBand="0" w:firstRowFirstColumn="0" w:firstRowLastColumn="0" w:lastRowFirstColumn="0" w:lastRowLastColumn="0"/>
            </w:pPr>
            <w:r>
              <w:t>Innovative health financing and service delivery pilots implemented in two countries by the end of year five.</w:t>
            </w:r>
          </w:p>
        </w:tc>
      </w:tr>
    </w:tbl>
    <w:p w:rsidR="00036850" w:rsidRDefault="00036850" w:rsidP="008400AA"/>
    <w:p w:rsidR="00B55645" w:rsidRPr="00563154" w:rsidRDefault="00B55645" w:rsidP="00B55645">
      <w:pPr>
        <w:pStyle w:val="Heading1"/>
        <w:jc w:val="center"/>
        <w:rPr>
          <w:color w:val="auto"/>
        </w:rPr>
      </w:pPr>
      <w:r w:rsidRPr="00563154">
        <w:rPr>
          <w:color w:val="auto"/>
        </w:rPr>
        <w:t>Governance Arrangements</w:t>
      </w:r>
    </w:p>
    <w:p w:rsidR="00B55645" w:rsidRPr="00563154" w:rsidRDefault="00B55645" w:rsidP="00B55645"/>
    <w:p w:rsidR="00F66FE2" w:rsidRPr="00563154" w:rsidRDefault="00F66FE2" w:rsidP="00F66FE2">
      <w:pPr>
        <w:autoSpaceDE w:val="0"/>
        <w:autoSpaceDN w:val="0"/>
        <w:adjustRightInd w:val="0"/>
        <w:rPr>
          <w:rFonts w:cs="Calibri"/>
        </w:rPr>
      </w:pPr>
      <w:r w:rsidRPr="00563154">
        <w:rPr>
          <w:i/>
        </w:rPr>
        <w:t>Trust Fund Management and Administration</w:t>
      </w:r>
      <w:r w:rsidRPr="00563154">
        <w:t xml:space="preserve">. WBG shall serve as Administrator of the MDTF. </w:t>
      </w:r>
      <w:r w:rsidRPr="00563154">
        <w:rPr>
          <w:rFonts w:cs="Calibri"/>
        </w:rPr>
        <w:t>In this capacity, it will establish and maintain appropriate records and accounts to identify the contributions to the MDTF and the commitments to be financed out of the contributions.</w:t>
      </w:r>
      <w:r w:rsidRPr="00563154">
        <w:t xml:space="preserve"> </w:t>
      </w:r>
      <w:r w:rsidR="008400AA" w:rsidRPr="00563154">
        <w:t>As specified earlier, t</w:t>
      </w:r>
      <w:r w:rsidRPr="00563154">
        <w:rPr>
          <w:rFonts w:cs="Calibri"/>
        </w:rPr>
        <w:t>his w</w:t>
      </w:r>
      <w:r w:rsidR="00B25108" w:rsidRPr="00563154">
        <w:rPr>
          <w:rFonts w:cs="Calibri"/>
        </w:rPr>
        <w:t>ill</w:t>
      </w:r>
      <w:r w:rsidRPr="00563154">
        <w:rPr>
          <w:rFonts w:cs="Calibri"/>
        </w:rPr>
        <w:t xml:space="preserve"> be a </w:t>
      </w:r>
      <w:r w:rsidRPr="00563154">
        <w:t>hybrid MDTF and will include both RE a</w:t>
      </w:r>
      <w:r w:rsidRPr="00563154">
        <w:rPr>
          <w:rFonts w:cs="Calibri"/>
        </w:rPr>
        <w:t>nd BE activities.</w:t>
      </w:r>
    </w:p>
    <w:p w:rsidR="00F66FE2" w:rsidRPr="00563154" w:rsidRDefault="00F66FE2" w:rsidP="00F66FE2">
      <w:pPr>
        <w:autoSpaceDE w:val="0"/>
        <w:autoSpaceDN w:val="0"/>
        <w:adjustRightInd w:val="0"/>
        <w:jc w:val="left"/>
        <w:rPr>
          <w:rFonts w:cs="Calibri,Bold"/>
          <w:b/>
          <w:bCs/>
        </w:rPr>
      </w:pPr>
    </w:p>
    <w:p w:rsidR="00F66FE2" w:rsidRPr="00563154" w:rsidRDefault="00F66FE2" w:rsidP="00F66FE2">
      <w:pPr>
        <w:autoSpaceDE w:val="0"/>
        <w:autoSpaceDN w:val="0"/>
        <w:adjustRightInd w:val="0"/>
        <w:jc w:val="left"/>
        <w:rPr>
          <w:rFonts w:cs="Calibri"/>
        </w:rPr>
      </w:pPr>
      <w:r w:rsidRPr="00563154">
        <w:rPr>
          <w:rFonts w:cs="Calibri,Bold"/>
          <w:bCs/>
          <w:u w:val="single"/>
        </w:rPr>
        <w:t>Managing Unit</w:t>
      </w:r>
      <w:r w:rsidRPr="00563154">
        <w:rPr>
          <w:rFonts w:cs="Calibri,Bold"/>
          <w:bCs/>
        </w:rPr>
        <w:t>.</w:t>
      </w:r>
      <w:r w:rsidRPr="00563154">
        <w:rPr>
          <w:rFonts w:cs="Calibri,Bold"/>
          <w:b/>
          <w:bCs/>
        </w:rPr>
        <w:t xml:space="preserve"> </w:t>
      </w:r>
      <w:r w:rsidRPr="00563154">
        <w:rPr>
          <w:rFonts w:cs="Calibri,Bold"/>
          <w:bCs/>
        </w:rPr>
        <w:t>GHNDR</w:t>
      </w:r>
      <w:r w:rsidRPr="00563154">
        <w:rPr>
          <w:rFonts w:cs="Calibri"/>
        </w:rPr>
        <w:t xml:space="preserve"> (Global Practice for Health, Nutrition &amp; Population).</w:t>
      </w:r>
    </w:p>
    <w:p w:rsidR="00FE2F94" w:rsidRPr="00563154" w:rsidRDefault="00FE2F94" w:rsidP="00F66FE2">
      <w:pPr>
        <w:autoSpaceDE w:val="0"/>
        <w:autoSpaceDN w:val="0"/>
        <w:adjustRightInd w:val="0"/>
        <w:jc w:val="left"/>
        <w:rPr>
          <w:rFonts w:cs="Calibri,Bold"/>
          <w:bCs/>
          <w:u w:val="single"/>
        </w:rPr>
      </w:pPr>
    </w:p>
    <w:p w:rsidR="00F66FE2" w:rsidRPr="00563154" w:rsidRDefault="00F66FE2" w:rsidP="00F66FE2">
      <w:pPr>
        <w:autoSpaceDE w:val="0"/>
        <w:autoSpaceDN w:val="0"/>
        <w:adjustRightInd w:val="0"/>
        <w:jc w:val="left"/>
        <w:rPr>
          <w:rFonts w:cs="Calibri"/>
        </w:rPr>
      </w:pPr>
      <w:r w:rsidRPr="00563154">
        <w:rPr>
          <w:rFonts w:cs="Calibri,Bold"/>
          <w:bCs/>
          <w:u w:val="single"/>
        </w:rPr>
        <w:t>Geographical Scope</w:t>
      </w:r>
      <w:r w:rsidRPr="00563154">
        <w:rPr>
          <w:rFonts w:cs="Calibri,Bold"/>
          <w:bCs/>
        </w:rPr>
        <w:t>.</w:t>
      </w:r>
      <w:r w:rsidRPr="00563154">
        <w:rPr>
          <w:rFonts w:cs="Calibri,Bold"/>
          <w:b/>
          <w:bCs/>
        </w:rPr>
        <w:t xml:space="preserve"> </w:t>
      </w:r>
      <w:r w:rsidRPr="00563154">
        <w:rPr>
          <w:rFonts w:cs="Calibri,Bold"/>
          <w:bCs/>
        </w:rPr>
        <w:t>Global, with initial focus on EAP countries.</w:t>
      </w:r>
    </w:p>
    <w:p w:rsidR="00FE2F94" w:rsidRPr="00563154" w:rsidRDefault="00FE2F94" w:rsidP="00F66FE2">
      <w:pPr>
        <w:autoSpaceDE w:val="0"/>
        <w:autoSpaceDN w:val="0"/>
        <w:adjustRightInd w:val="0"/>
        <w:jc w:val="left"/>
        <w:rPr>
          <w:rFonts w:cs="Calibri,Bold"/>
          <w:bCs/>
          <w:u w:val="single"/>
        </w:rPr>
      </w:pPr>
    </w:p>
    <w:p w:rsidR="00F66FE2" w:rsidRPr="00563154" w:rsidRDefault="00F66FE2" w:rsidP="00F66FE2">
      <w:pPr>
        <w:autoSpaceDE w:val="0"/>
        <w:autoSpaceDN w:val="0"/>
        <w:adjustRightInd w:val="0"/>
        <w:jc w:val="left"/>
        <w:rPr>
          <w:rFonts w:cs="Calibri"/>
        </w:rPr>
      </w:pPr>
      <w:r w:rsidRPr="00563154">
        <w:rPr>
          <w:rFonts w:cs="Calibri,Bold"/>
          <w:bCs/>
          <w:u w:val="single"/>
        </w:rPr>
        <w:t>Potential Donors</w:t>
      </w:r>
      <w:r w:rsidRPr="00563154">
        <w:rPr>
          <w:rFonts w:cs="Calibri,Bold"/>
          <w:bCs/>
        </w:rPr>
        <w:t>.</w:t>
      </w:r>
      <w:r w:rsidRPr="00563154">
        <w:rPr>
          <w:rFonts w:cs="Calibri,Bold"/>
          <w:b/>
          <w:bCs/>
        </w:rPr>
        <w:t xml:space="preserve"> </w:t>
      </w:r>
      <w:r w:rsidRPr="00563154">
        <w:rPr>
          <w:rFonts w:cs="Calibri"/>
        </w:rPr>
        <w:t>Australia (initially, but others may choose to contribute over time).</w:t>
      </w:r>
    </w:p>
    <w:p w:rsidR="00FE2F94" w:rsidRPr="00563154" w:rsidRDefault="00FE2F94" w:rsidP="00F66FE2">
      <w:pPr>
        <w:autoSpaceDE w:val="0"/>
        <w:autoSpaceDN w:val="0"/>
        <w:adjustRightInd w:val="0"/>
        <w:rPr>
          <w:rFonts w:cs="Calibri,Bold"/>
          <w:bCs/>
          <w:u w:val="single"/>
        </w:rPr>
      </w:pPr>
    </w:p>
    <w:p w:rsidR="00F66FE2" w:rsidRPr="00563154" w:rsidRDefault="00F66FE2" w:rsidP="00F66FE2">
      <w:pPr>
        <w:autoSpaceDE w:val="0"/>
        <w:autoSpaceDN w:val="0"/>
        <w:adjustRightInd w:val="0"/>
      </w:pPr>
      <w:r w:rsidRPr="00563154">
        <w:rPr>
          <w:rFonts w:cs="Calibri,Bold"/>
          <w:bCs/>
          <w:u w:val="single"/>
        </w:rPr>
        <w:t>Recipients</w:t>
      </w:r>
      <w:r w:rsidRPr="00563154">
        <w:rPr>
          <w:rFonts w:cs="Calibri,Bold"/>
          <w:bCs/>
        </w:rPr>
        <w:t>.</w:t>
      </w:r>
      <w:r w:rsidRPr="00563154">
        <w:rPr>
          <w:rFonts w:cs="Calibri,Bold"/>
          <w:b/>
          <w:bCs/>
        </w:rPr>
        <w:t xml:space="preserve"> </w:t>
      </w:r>
      <w:r w:rsidRPr="00563154">
        <w:rPr>
          <w:rFonts w:cs="Calibri,Bold"/>
          <w:bCs/>
        </w:rPr>
        <w:t xml:space="preserve">WBG task teams and </w:t>
      </w:r>
      <w:r w:rsidRPr="00563154">
        <w:rPr>
          <w:rFonts w:cs="Calibri"/>
        </w:rPr>
        <w:t>government institutions.</w:t>
      </w:r>
    </w:p>
    <w:p w:rsidR="00F66FE2" w:rsidRPr="00563154" w:rsidRDefault="00F66FE2" w:rsidP="00F66FE2">
      <w:pPr>
        <w:autoSpaceDE w:val="0"/>
        <w:autoSpaceDN w:val="0"/>
        <w:adjustRightInd w:val="0"/>
      </w:pPr>
    </w:p>
    <w:p w:rsidR="00F66FE2" w:rsidRPr="00563154" w:rsidRDefault="00F66FE2" w:rsidP="00F66FE2">
      <w:pPr>
        <w:autoSpaceDE w:val="0"/>
        <w:autoSpaceDN w:val="0"/>
        <w:adjustRightInd w:val="0"/>
      </w:pPr>
      <w:r w:rsidRPr="00563154">
        <w:rPr>
          <w:i/>
        </w:rPr>
        <w:t>Proposed Governance Structure</w:t>
      </w:r>
      <w:r w:rsidRPr="00563154">
        <w:t xml:space="preserve">. </w:t>
      </w:r>
      <w:r w:rsidRPr="00563154">
        <w:rPr>
          <w:rFonts w:cs="Calibri"/>
        </w:rPr>
        <w:t xml:space="preserve">The working of the proposed MDTF shall be governed by: (i) Administration Agreements between WBG and donors; and (ii) Grant Agreements between WBG and grant recipients for RE activities. WBG will administer the MDTF in accordance with WBG policies and procedures and fiduciary terms agreed with </w:t>
      </w:r>
      <w:r w:rsidR="008400AA" w:rsidRPr="00563154">
        <w:rPr>
          <w:rFonts w:cs="Calibri"/>
        </w:rPr>
        <w:t>trust fund</w:t>
      </w:r>
      <w:r w:rsidRPr="00563154">
        <w:rPr>
          <w:rFonts w:cs="Calibri"/>
        </w:rPr>
        <w:t xml:space="preserve"> donors. Activities financed from the </w:t>
      </w:r>
      <w:r w:rsidR="008400AA" w:rsidRPr="00563154">
        <w:rPr>
          <w:rFonts w:cs="Calibri"/>
        </w:rPr>
        <w:t>MD</w:t>
      </w:r>
      <w:r w:rsidRPr="00563154">
        <w:rPr>
          <w:rFonts w:cs="Calibri"/>
        </w:rPr>
        <w:t>TF will be administered under the Operational Policies and Procedures that apply to IBRD/IDA financing, including the WBG’s framework regarding governance and anti-corruption.</w:t>
      </w:r>
      <w:r w:rsidRPr="00563154">
        <w:t xml:space="preserve"> </w:t>
      </w:r>
      <w:r w:rsidRPr="00563154">
        <w:rPr>
          <w:rFonts w:cs="Calibri"/>
        </w:rPr>
        <w:t>The governance arrangements proposed for the MDTF will consist of two tiers:</w:t>
      </w:r>
    </w:p>
    <w:p w:rsidR="00F66FE2" w:rsidRPr="00563154" w:rsidRDefault="00F66FE2" w:rsidP="00F66FE2">
      <w:pPr>
        <w:autoSpaceDE w:val="0"/>
        <w:autoSpaceDN w:val="0"/>
        <w:adjustRightInd w:val="0"/>
      </w:pPr>
    </w:p>
    <w:p w:rsidR="00F66FE2" w:rsidRPr="00563154" w:rsidRDefault="00F66FE2" w:rsidP="00F66FE2">
      <w:pPr>
        <w:autoSpaceDE w:val="0"/>
        <w:autoSpaceDN w:val="0"/>
        <w:adjustRightInd w:val="0"/>
        <w:rPr>
          <w:rFonts w:cs="Calibri"/>
        </w:rPr>
      </w:pPr>
      <w:r w:rsidRPr="00563154">
        <w:rPr>
          <w:u w:val="single"/>
        </w:rPr>
        <w:t>GHNDR Board</w:t>
      </w:r>
      <w:r w:rsidRPr="00563154">
        <w:t xml:space="preserve">. </w:t>
      </w:r>
      <w:r w:rsidRPr="00563154">
        <w:rPr>
          <w:rFonts w:cs="Calibri"/>
        </w:rPr>
        <w:t xml:space="preserve">The overall framework and strategic direction of the MDTF will be guided by the GHNDR Board. Members include, </w:t>
      </w:r>
      <w:r w:rsidRPr="00563154">
        <w:rPr>
          <w:rFonts w:cs="Calibri"/>
          <w:i/>
        </w:rPr>
        <w:t>inter alia</w:t>
      </w:r>
      <w:r w:rsidRPr="00563154">
        <w:rPr>
          <w:rFonts w:cs="Calibri"/>
        </w:rPr>
        <w:t xml:space="preserve">, the GHNDR Senior Director and Director, and Practice Managers assigned to different regions. This Board will be responsible for overseeing the implementation of the MDTF and contributing to decisions on activities, approval of funding proposals, prioritization, etc. </w:t>
      </w:r>
      <w:r w:rsidRPr="00563154">
        <w:t xml:space="preserve">The MDTF will be established as a </w:t>
      </w:r>
      <w:r w:rsidR="008400AA" w:rsidRPr="00563154">
        <w:t>p</w:t>
      </w:r>
      <w:r w:rsidRPr="00563154">
        <w:t xml:space="preserve">arent MDTF managed by GHNDR with individual child TFs under the MDTF. The </w:t>
      </w:r>
      <w:r w:rsidRPr="00563154">
        <w:rPr>
          <w:bCs/>
        </w:rPr>
        <w:t xml:space="preserve">oversight </w:t>
      </w:r>
      <w:r w:rsidRPr="00563154">
        <w:t xml:space="preserve">of the </w:t>
      </w:r>
      <w:r w:rsidR="008400AA" w:rsidRPr="00563154">
        <w:t>MDTF</w:t>
      </w:r>
      <w:r w:rsidRPr="00563154">
        <w:t xml:space="preserve"> will be the responsibility of the GHNDR Senior Director.</w:t>
      </w:r>
    </w:p>
    <w:p w:rsidR="00FE2F94" w:rsidRPr="00563154" w:rsidRDefault="00FE2F94" w:rsidP="00F66FE2">
      <w:pPr>
        <w:autoSpaceDE w:val="0"/>
        <w:autoSpaceDN w:val="0"/>
        <w:adjustRightInd w:val="0"/>
        <w:rPr>
          <w:rFonts w:cs="Calibri,Bold"/>
          <w:bCs/>
          <w:u w:val="single"/>
        </w:rPr>
      </w:pPr>
    </w:p>
    <w:p w:rsidR="00F66FE2" w:rsidRPr="00563154" w:rsidRDefault="00F66FE2" w:rsidP="00F66FE2">
      <w:pPr>
        <w:autoSpaceDE w:val="0"/>
        <w:autoSpaceDN w:val="0"/>
        <w:adjustRightInd w:val="0"/>
      </w:pPr>
      <w:r w:rsidRPr="00563154">
        <w:rPr>
          <w:rFonts w:cs="Calibri,Bold"/>
          <w:bCs/>
          <w:u w:val="single"/>
        </w:rPr>
        <w:t>MDTF Management Team</w:t>
      </w:r>
      <w:r w:rsidRPr="00563154">
        <w:rPr>
          <w:rFonts w:cs="Calibri,Bold"/>
          <w:bCs/>
        </w:rPr>
        <w:t xml:space="preserve">. </w:t>
      </w:r>
      <w:r w:rsidRPr="00563154">
        <w:t xml:space="preserve">The day-to-day management of the MDTF will be the responsibility of the GHNDR MDTF Program Manager who is a Senior/Lead Health Specialist/Economist in GHNDR. </w:t>
      </w:r>
      <w:r w:rsidRPr="00563154">
        <w:rPr>
          <w:rFonts w:cs="Calibri"/>
        </w:rPr>
        <w:t xml:space="preserve">The Program Manager will ensure that all activities and financial reports are carried out and completed in accordance with WBG policies and procedures and the Administration Agreements signed with donors. </w:t>
      </w:r>
      <w:r w:rsidRPr="00563154">
        <w:t xml:space="preserve">Individual </w:t>
      </w:r>
      <w:r w:rsidRPr="00563154">
        <w:rPr>
          <w:rFonts w:cs="Calibri"/>
        </w:rPr>
        <w:t xml:space="preserve">child </w:t>
      </w:r>
      <w:r w:rsidR="008400AA" w:rsidRPr="00563154">
        <w:rPr>
          <w:rFonts w:cs="Calibri"/>
        </w:rPr>
        <w:t>trust funds</w:t>
      </w:r>
      <w:r w:rsidRPr="00563154">
        <w:rPr>
          <w:rFonts w:cs="Calibri"/>
        </w:rPr>
        <w:t xml:space="preserve"> to support global, regional, and/or specific country work w</w:t>
      </w:r>
      <w:r w:rsidR="00B25108" w:rsidRPr="00563154">
        <w:rPr>
          <w:rFonts w:cs="Calibri"/>
        </w:rPr>
        <w:t>ill</w:t>
      </w:r>
      <w:r w:rsidRPr="00563154">
        <w:rPr>
          <w:rFonts w:cs="Calibri"/>
        </w:rPr>
        <w:t xml:space="preserve"> be individually managed by GHNDR task team leaders. </w:t>
      </w:r>
      <w:r w:rsidR="008400AA" w:rsidRPr="00563154">
        <w:rPr>
          <w:rFonts w:cs="Calibri"/>
        </w:rPr>
        <w:t xml:space="preserve">Resources </w:t>
      </w:r>
      <w:r w:rsidR="008400AA" w:rsidRPr="00563154">
        <w:t>w</w:t>
      </w:r>
      <w:r w:rsidR="00B25108" w:rsidRPr="00563154">
        <w:t xml:space="preserve">ill </w:t>
      </w:r>
      <w:r w:rsidR="008400AA" w:rsidRPr="00563154">
        <w:t xml:space="preserve">be allocated to child trust funds based on WBG GFRs that detail grant development objectives, grant financed activities, risks, and amount requested to deliver the work. </w:t>
      </w:r>
      <w:r w:rsidR="008400AA" w:rsidRPr="00563154">
        <w:rPr>
          <w:rFonts w:cs="Calibri"/>
        </w:rPr>
        <w:t>To the extent that allocations are made on a global or regional/country basis, standard WBG global/regional/country supervision and management processes will apply.</w:t>
      </w:r>
    </w:p>
    <w:p w:rsidR="00F66FE2" w:rsidRPr="00563154" w:rsidRDefault="00F66FE2" w:rsidP="00F66FE2">
      <w:pPr>
        <w:widowControl w:val="0"/>
        <w:overflowPunct w:val="0"/>
        <w:autoSpaceDE w:val="0"/>
        <w:autoSpaceDN w:val="0"/>
        <w:adjustRightInd w:val="0"/>
        <w:spacing w:line="233" w:lineRule="auto"/>
        <w:ind w:right="140"/>
      </w:pPr>
    </w:p>
    <w:p w:rsidR="00F66FE2" w:rsidRPr="00563154" w:rsidRDefault="00F66FE2" w:rsidP="00F66FE2">
      <w:pPr>
        <w:widowControl w:val="0"/>
        <w:autoSpaceDE w:val="0"/>
        <w:autoSpaceDN w:val="0"/>
        <w:adjustRightInd w:val="0"/>
        <w:spacing w:line="12" w:lineRule="exact"/>
        <w:rPr>
          <w:sz w:val="28"/>
          <w:szCs w:val="24"/>
        </w:rPr>
      </w:pPr>
    </w:p>
    <w:p w:rsidR="00F66FE2" w:rsidRPr="00563154" w:rsidRDefault="00F66FE2" w:rsidP="00F66FE2">
      <w:pPr>
        <w:autoSpaceDE w:val="0"/>
        <w:autoSpaceDN w:val="0"/>
        <w:adjustRightInd w:val="0"/>
      </w:pPr>
      <w:r w:rsidRPr="00563154">
        <w:rPr>
          <w:bCs/>
          <w:i/>
          <w:iCs/>
        </w:rPr>
        <w:t>Operating Guidelines.</w:t>
      </w:r>
      <w:r w:rsidRPr="00563154">
        <w:rPr>
          <w:b/>
          <w:bCs/>
          <w:i/>
          <w:iCs/>
        </w:rPr>
        <w:t xml:space="preserve"> </w:t>
      </w:r>
      <w:r w:rsidRPr="00563154">
        <w:t xml:space="preserve">The MDTF will operate under standard WBG guidelines with regard to financial management, procurement, environmental, and social safeguards. </w:t>
      </w:r>
    </w:p>
    <w:p w:rsidR="00F66FE2" w:rsidRPr="00563154" w:rsidRDefault="00F66FE2" w:rsidP="00F66FE2">
      <w:pPr>
        <w:widowControl w:val="0"/>
        <w:overflowPunct w:val="0"/>
        <w:autoSpaceDE w:val="0"/>
        <w:autoSpaceDN w:val="0"/>
        <w:adjustRightInd w:val="0"/>
        <w:spacing w:line="234" w:lineRule="auto"/>
        <w:ind w:right="140"/>
        <w:rPr>
          <w:rFonts w:cs="Calibri"/>
          <w:b/>
          <w:i/>
          <w:szCs w:val="20"/>
        </w:rPr>
      </w:pPr>
    </w:p>
    <w:p w:rsidR="00F66FE2" w:rsidRPr="00563154" w:rsidRDefault="00F66FE2" w:rsidP="00F66FE2">
      <w:pPr>
        <w:widowControl w:val="0"/>
        <w:overflowPunct w:val="0"/>
        <w:autoSpaceDE w:val="0"/>
        <w:autoSpaceDN w:val="0"/>
        <w:adjustRightInd w:val="0"/>
        <w:spacing w:line="234" w:lineRule="auto"/>
        <w:ind w:right="140"/>
      </w:pPr>
      <w:r w:rsidRPr="00563154">
        <w:rPr>
          <w:rFonts w:cs="Calibri"/>
          <w:i/>
          <w:szCs w:val="20"/>
        </w:rPr>
        <w:t>Quality Assurance</w:t>
      </w:r>
      <w:r w:rsidRPr="00563154">
        <w:rPr>
          <w:rFonts w:cs="Calibri"/>
          <w:szCs w:val="20"/>
        </w:rPr>
        <w:t xml:space="preserve">. The program will follow existing internal WBG quality assurance processes based on the nature of the activities supported. </w:t>
      </w:r>
      <w:r w:rsidRPr="00563154">
        <w:t xml:space="preserve">As per the WBG’s existing quality assurance processes, donors and government counterparts may be invited to provide comments at the </w:t>
      </w:r>
      <w:r w:rsidR="008400AA" w:rsidRPr="00563154">
        <w:t xml:space="preserve">activity-specific </w:t>
      </w:r>
      <w:r w:rsidRPr="00563154">
        <w:t xml:space="preserve">concept note </w:t>
      </w:r>
      <w:r w:rsidR="008400AA" w:rsidRPr="00563154">
        <w:t>and/</w:t>
      </w:r>
      <w:r w:rsidRPr="00563154">
        <w:t>or activity</w:t>
      </w:r>
      <w:r w:rsidR="008400AA" w:rsidRPr="00563154">
        <w:t>-specific</w:t>
      </w:r>
      <w:r w:rsidRPr="00563154">
        <w:t xml:space="preserve"> completion stages. </w:t>
      </w:r>
    </w:p>
    <w:p w:rsidR="00F66FE2" w:rsidRPr="00563154" w:rsidRDefault="00F66FE2" w:rsidP="00F66FE2">
      <w:pPr>
        <w:widowControl w:val="0"/>
        <w:overflowPunct w:val="0"/>
        <w:autoSpaceDE w:val="0"/>
        <w:autoSpaceDN w:val="0"/>
        <w:adjustRightInd w:val="0"/>
        <w:spacing w:line="233" w:lineRule="auto"/>
        <w:ind w:right="140"/>
      </w:pPr>
    </w:p>
    <w:p w:rsidR="00F66FE2" w:rsidRPr="00563154" w:rsidRDefault="00F66FE2" w:rsidP="00F66FE2">
      <w:pPr>
        <w:autoSpaceDE w:val="0"/>
        <w:autoSpaceDN w:val="0"/>
        <w:adjustRightInd w:val="0"/>
      </w:pPr>
      <w:r w:rsidRPr="00563154">
        <w:rPr>
          <w:bCs/>
          <w:i/>
          <w:iCs/>
        </w:rPr>
        <w:t>T</w:t>
      </w:r>
      <w:r w:rsidR="00FE2F94" w:rsidRPr="00563154">
        <w:rPr>
          <w:bCs/>
          <w:i/>
          <w:iCs/>
        </w:rPr>
        <w:t xml:space="preserve">rust </w:t>
      </w:r>
      <w:r w:rsidRPr="00563154">
        <w:rPr>
          <w:bCs/>
          <w:i/>
          <w:iCs/>
        </w:rPr>
        <w:t>F</w:t>
      </w:r>
      <w:r w:rsidR="00FE2F94" w:rsidRPr="00563154">
        <w:rPr>
          <w:bCs/>
          <w:i/>
          <w:iCs/>
        </w:rPr>
        <w:t>und</w:t>
      </w:r>
      <w:r w:rsidRPr="00563154">
        <w:rPr>
          <w:bCs/>
          <w:i/>
          <w:iCs/>
        </w:rPr>
        <w:t xml:space="preserve"> Cost Recovery Arrangements.</w:t>
      </w:r>
      <w:r w:rsidRPr="00563154">
        <w:rPr>
          <w:b/>
          <w:bCs/>
          <w:i/>
          <w:iCs/>
        </w:rPr>
        <w:t xml:space="preserve"> </w:t>
      </w:r>
      <w:r w:rsidRPr="00563154">
        <w:t xml:space="preserve">The proposed MDTF arrangements provide for full cost recovery. The cost recovery arrangements will finance </w:t>
      </w:r>
      <w:r w:rsidR="009D1449" w:rsidRPr="00563154">
        <w:t>trust fund</w:t>
      </w:r>
      <w:r w:rsidRPr="00563154">
        <w:t xml:space="preserve"> administration and program management.</w:t>
      </w:r>
    </w:p>
    <w:p w:rsidR="00F66FE2" w:rsidRPr="00563154" w:rsidRDefault="00F66FE2" w:rsidP="00F66FE2">
      <w:pPr>
        <w:widowControl w:val="0"/>
        <w:overflowPunct w:val="0"/>
        <w:autoSpaceDE w:val="0"/>
        <w:autoSpaceDN w:val="0"/>
        <w:adjustRightInd w:val="0"/>
        <w:spacing w:line="233" w:lineRule="auto"/>
        <w:ind w:right="140"/>
      </w:pPr>
    </w:p>
    <w:p w:rsidR="00F66FE2" w:rsidRPr="00563154" w:rsidRDefault="00F66FE2" w:rsidP="00F66FE2">
      <w:pPr>
        <w:autoSpaceDE w:val="0"/>
        <w:autoSpaceDN w:val="0"/>
        <w:adjustRightInd w:val="0"/>
        <w:rPr>
          <w:rFonts w:cs="Calibri"/>
        </w:rPr>
      </w:pPr>
      <w:r w:rsidRPr="00563154">
        <w:rPr>
          <w:i/>
        </w:rPr>
        <w:t>Reporting</w:t>
      </w:r>
      <w:r w:rsidRPr="00563154">
        <w:t>. The MDTF Program Manager will be responsible for providing to the donors an annual report outlining the work and activities undertaken. The MDTF Program Manager will coordinate the global/regional/country progress report inputs. WBG</w:t>
      </w:r>
      <w:r w:rsidRPr="00563154">
        <w:rPr>
          <w:rFonts w:cs="Calibri"/>
        </w:rPr>
        <w:t xml:space="preserve"> will report to the donors to the MDTF using three modalities:</w:t>
      </w:r>
    </w:p>
    <w:p w:rsidR="00F66FE2" w:rsidRPr="00563154" w:rsidRDefault="00F66FE2" w:rsidP="00F66FE2">
      <w:pPr>
        <w:autoSpaceDE w:val="0"/>
        <w:autoSpaceDN w:val="0"/>
        <w:adjustRightInd w:val="0"/>
        <w:jc w:val="left"/>
        <w:rPr>
          <w:rFonts w:cs="Calibri"/>
        </w:rPr>
      </w:pPr>
    </w:p>
    <w:p w:rsidR="00F66FE2" w:rsidRPr="00563154" w:rsidRDefault="00F66FE2" w:rsidP="00F66FE2">
      <w:pPr>
        <w:autoSpaceDE w:val="0"/>
        <w:autoSpaceDN w:val="0"/>
        <w:adjustRightInd w:val="0"/>
        <w:rPr>
          <w:rFonts w:cs="Calibri"/>
        </w:rPr>
      </w:pPr>
      <w:r w:rsidRPr="00563154">
        <w:rPr>
          <w:rFonts w:cs="Calibri"/>
          <w:u w:val="single"/>
        </w:rPr>
        <w:t>Annual Activities Reporting</w:t>
      </w:r>
      <w:r w:rsidRPr="00563154">
        <w:rPr>
          <w:rFonts w:cs="Calibri"/>
        </w:rPr>
        <w:t xml:space="preserve">. A yearly activities report will be prepared. It will document progress and results of programs financed by the MDTF and additional activities that these programs may have helped leveraged. The report will also update the donors on the upcoming annual work program outline. Annual planning, review, and reporting will be done in line with the respective countries own planning and budget cycles. The financial reporting to donors will be done on the WBG fiscal year basis (July-June). Senior Bank staff from GHNDR will take part in the annual meeting with the donors. </w:t>
      </w:r>
    </w:p>
    <w:p w:rsidR="00FE2F94" w:rsidRPr="00563154" w:rsidRDefault="00FE2F94" w:rsidP="00F66FE2">
      <w:pPr>
        <w:autoSpaceDE w:val="0"/>
        <w:autoSpaceDN w:val="0"/>
        <w:adjustRightInd w:val="0"/>
        <w:rPr>
          <w:rFonts w:cs="Calibri"/>
          <w:u w:val="single"/>
        </w:rPr>
      </w:pPr>
    </w:p>
    <w:p w:rsidR="00F66FE2" w:rsidRPr="00563154" w:rsidRDefault="00F66FE2" w:rsidP="00F66FE2">
      <w:pPr>
        <w:autoSpaceDE w:val="0"/>
        <w:autoSpaceDN w:val="0"/>
        <w:adjustRightInd w:val="0"/>
        <w:rPr>
          <w:rFonts w:cs="Calibri"/>
        </w:rPr>
      </w:pPr>
      <w:r w:rsidRPr="00563154">
        <w:rPr>
          <w:rFonts w:cs="Calibri"/>
          <w:u w:val="single"/>
        </w:rPr>
        <w:t>Financial Reporting</w:t>
      </w:r>
      <w:r w:rsidRPr="00563154">
        <w:rPr>
          <w:rFonts w:cs="Calibri"/>
        </w:rPr>
        <w:t xml:space="preserve">. Financial reporting will follow established WBG procedures. WBG shall provide to the donors, within six months following the end of each WBG fiscal year, an attestation from an independent auditor concerning the adequacy of internal control over financial reporting for TFs as a whole (called the “Single Audit”). The cost of such attestation is borne by WBG. In addition to the Single Audit, the donors will have 24 hours a day access to WBGs Donor Center, a web platform which provides donors (not the public) with detailed financial data on their IBRD/IDA </w:t>
      </w:r>
      <w:r w:rsidR="009D1449" w:rsidRPr="00563154">
        <w:rPr>
          <w:rFonts w:cs="Calibri"/>
        </w:rPr>
        <w:t>trust fund</w:t>
      </w:r>
      <w:r w:rsidRPr="00563154">
        <w:rPr>
          <w:rFonts w:cs="Calibri"/>
        </w:rPr>
        <w:t xml:space="preserve"> portfolio in a secure, access-controlled environment. On an exceptional basis, the donors may request an external audit of the </w:t>
      </w:r>
      <w:r w:rsidR="009D1449" w:rsidRPr="00563154">
        <w:rPr>
          <w:rFonts w:cs="Calibri"/>
        </w:rPr>
        <w:t>trust fund</w:t>
      </w:r>
      <w:r w:rsidRPr="00563154">
        <w:rPr>
          <w:rFonts w:cs="Calibri"/>
        </w:rPr>
        <w:t xml:space="preserve"> financial statement. WBG will determine the necessity of such an audit, and agree on the scope and terms of reference of such audit. All costs associated with an external audit, including costs incurred by WBG, will be borne by the donors.</w:t>
      </w:r>
    </w:p>
    <w:p w:rsidR="00FE2F94" w:rsidRPr="00563154" w:rsidRDefault="00FE2F94" w:rsidP="00F66FE2">
      <w:pPr>
        <w:autoSpaceDE w:val="0"/>
        <w:autoSpaceDN w:val="0"/>
        <w:adjustRightInd w:val="0"/>
        <w:rPr>
          <w:rFonts w:cs="Calibri"/>
          <w:u w:val="single"/>
        </w:rPr>
      </w:pPr>
    </w:p>
    <w:p w:rsidR="00F66FE2" w:rsidRPr="00563154" w:rsidRDefault="00F66FE2" w:rsidP="00F66FE2">
      <w:pPr>
        <w:autoSpaceDE w:val="0"/>
        <w:autoSpaceDN w:val="0"/>
        <w:adjustRightInd w:val="0"/>
      </w:pPr>
      <w:r w:rsidRPr="00563154">
        <w:rPr>
          <w:rFonts w:cs="Calibri"/>
          <w:u w:val="single"/>
        </w:rPr>
        <w:t>Individual Activity Reporting</w:t>
      </w:r>
      <w:r w:rsidRPr="00563154">
        <w:rPr>
          <w:rFonts w:cs="Calibri"/>
        </w:rPr>
        <w:t>. The Bank will provide annual Grant Reporting and Monitoring reports (GRM) for individual activities.</w:t>
      </w:r>
    </w:p>
    <w:p w:rsidR="00FE2F94" w:rsidRPr="00563154" w:rsidRDefault="00FE2F94" w:rsidP="00F66FE2">
      <w:pPr>
        <w:autoSpaceDE w:val="0"/>
        <w:autoSpaceDN w:val="0"/>
        <w:adjustRightInd w:val="0"/>
        <w:rPr>
          <w:rFonts w:cs="Calibri"/>
          <w:u w:val="single"/>
        </w:rPr>
      </w:pPr>
    </w:p>
    <w:p w:rsidR="00F66FE2" w:rsidRPr="00563154" w:rsidRDefault="00F66FE2" w:rsidP="00F66FE2">
      <w:pPr>
        <w:autoSpaceDE w:val="0"/>
        <w:autoSpaceDN w:val="0"/>
        <w:adjustRightInd w:val="0"/>
      </w:pPr>
      <w:r w:rsidRPr="00563154">
        <w:rPr>
          <w:rFonts w:cs="Calibri"/>
          <w:u w:val="single"/>
        </w:rPr>
        <w:t>MDTF Final Reporting</w:t>
      </w:r>
      <w:r w:rsidRPr="00563154">
        <w:rPr>
          <w:rFonts w:cs="Calibri"/>
        </w:rPr>
        <w:t>. Within six (6) months of the final disbursement date of the MDTF, WBG will furnish to the donors a final report on activities financed by the MDTF.</w:t>
      </w:r>
    </w:p>
    <w:p w:rsidR="00F66FE2" w:rsidRPr="00563154" w:rsidRDefault="00F66FE2" w:rsidP="000C414D">
      <w:pPr>
        <w:pStyle w:val="Heading1"/>
        <w:jc w:val="center"/>
        <w:rPr>
          <w:color w:val="auto"/>
        </w:rPr>
      </w:pPr>
    </w:p>
    <w:p w:rsidR="00535332" w:rsidRPr="00563154" w:rsidRDefault="00535332" w:rsidP="000C414D">
      <w:pPr>
        <w:pStyle w:val="Heading1"/>
        <w:jc w:val="center"/>
        <w:rPr>
          <w:color w:val="auto"/>
        </w:rPr>
      </w:pPr>
      <w:r w:rsidRPr="00563154">
        <w:rPr>
          <w:color w:val="auto"/>
        </w:rPr>
        <w:t>Resources &amp; Schedule</w:t>
      </w:r>
    </w:p>
    <w:p w:rsidR="00D642F3" w:rsidRPr="00563154" w:rsidRDefault="00D642F3"/>
    <w:p w:rsidR="002A5531" w:rsidRPr="00563154" w:rsidRDefault="001402BB" w:rsidP="009762A2">
      <w:pPr>
        <w:autoSpaceDE w:val="0"/>
        <w:autoSpaceDN w:val="0"/>
        <w:adjustRightInd w:val="0"/>
        <w:rPr>
          <w:b/>
          <w:i/>
        </w:rPr>
      </w:pPr>
      <w:r w:rsidRPr="00563154">
        <w:t xml:space="preserve">The MDTF </w:t>
      </w:r>
      <w:r w:rsidR="00FD44F0" w:rsidRPr="00563154">
        <w:t xml:space="preserve">is expected to commence in </w:t>
      </w:r>
      <w:r w:rsidR="003B6A52" w:rsidRPr="00563154">
        <w:t>mid</w:t>
      </w:r>
      <w:r w:rsidR="005858E2" w:rsidRPr="00563154">
        <w:t>-</w:t>
      </w:r>
      <w:r w:rsidR="00FD44F0" w:rsidRPr="00563154">
        <w:t xml:space="preserve">2015 and last a period of about five years. The MDTF </w:t>
      </w:r>
      <w:r w:rsidRPr="00563154">
        <w:t xml:space="preserve">will include a first infusion of </w:t>
      </w:r>
      <w:r w:rsidR="002A5531" w:rsidRPr="00563154">
        <w:t>A</w:t>
      </w:r>
      <w:r w:rsidRPr="00563154">
        <w:t>US$</w:t>
      </w:r>
      <w:r w:rsidR="002A5531" w:rsidRPr="00563154">
        <w:t>8</w:t>
      </w:r>
      <w:r w:rsidRPr="00563154">
        <w:t xml:space="preserve"> million from DFAT to support </w:t>
      </w:r>
      <w:r w:rsidRPr="00563154">
        <w:rPr>
          <w:rFonts w:eastAsia="MS Mincho"/>
        </w:rPr>
        <w:t>work in five EAP countries</w:t>
      </w:r>
      <w:r w:rsidR="00B77460" w:rsidRPr="00563154">
        <w:rPr>
          <w:rFonts w:eastAsia="MS Mincho"/>
        </w:rPr>
        <w:t xml:space="preserve"> over a</w:t>
      </w:r>
      <w:r w:rsidR="001C17F2" w:rsidRPr="00563154">
        <w:rPr>
          <w:rFonts w:eastAsia="MS Mincho"/>
        </w:rPr>
        <w:t>n initial</w:t>
      </w:r>
      <w:r w:rsidR="00563154">
        <w:rPr>
          <w:rFonts w:eastAsia="MS Mincho"/>
        </w:rPr>
        <w:t xml:space="preserve"> three </w:t>
      </w:r>
      <w:r w:rsidR="00B77460" w:rsidRPr="00563154">
        <w:rPr>
          <w:rFonts w:eastAsia="MS Mincho"/>
        </w:rPr>
        <w:t>year period</w:t>
      </w:r>
      <w:r w:rsidR="009762A2" w:rsidRPr="00563154">
        <w:rPr>
          <w:rFonts w:eastAsia="MS Mincho"/>
        </w:rPr>
        <w:t xml:space="preserve">. These resources will be </w:t>
      </w:r>
      <w:r w:rsidR="0091133E" w:rsidRPr="00563154">
        <w:rPr>
          <w:rFonts w:eastAsia="MS Mincho"/>
        </w:rPr>
        <w:t xml:space="preserve">transferred to </w:t>
      </w:r>
      <w:r w:rsidR="009762A2" w:rsidRPr="00563154">
        <w:rPr>
          <w:rFonts w:eastAsia="MS Mincho"/>
        </w:rPr>
        <w:t>WBG</w:t>
      </w:r>
      <w:r w:rsidR="0091133E" w:rsidRPr="00563154">
        <w:rPr>
          <w:rFonts w:eastAsia="MS Mincho"/>
        </w:rPr>
        <w:t xml:space="preserve"> </w:t>
      </w:r>
      <w:r w:rsidR="00B77460" w:rsidRPr="00563154">
        <w:rPr>
          <w:rFonts w:eastAsia="MS Mincho"/>
        </w:rPr>
        <w:t xml:space="preserve">as one lump sum </w:t>
      </w:r>
      <w:r w:rsidR="009762A2" w:rsidRPr="00563154">
        <w:rPr>
          <w:rFonts w:eastAsia="MS Mincho"/>
        </w:rPr>
        <w:t xml:space="preserve">payment </w:t>
      </w:r>
      <w:r w:rsidR="00B77460" w:rsidRPr="00563154">
        <w:rPr>
          <w:rFonts w:eastAsia="MS Mincho"/>
        </w:rPr>
        <w:t xml:space="preserve">upon finalization of related </w:t>
      </w:r>
      <w:r w:rsidR="001C17F2" w:rsidRPr="00563154">
        <w:rPr>
          <w:rFonts w:eastAsia="MS Mincho"/>
        </w:rPr>
        <w:t>administrative</w:t>
      </w:r>
      <w:r w:rsidR="0091133E" w:rsidRPr="00563154">
        <w:rPr>
          <w:rFonts w:eastAsia="MS Mincho"/>
        </w:rPr>
        <w:t xml:space="preserve"> </w:t>
      </w:r>
      <w:r w:rsidR="00B77460" w:rsidRPr="00563154">
        <w:rPr>
          <w:rFonts w:eastAsia="MS Mincho"/>
        </w:rPr>
        <w:t>agreements</w:t>
      </w:r>
      <w:r w:rsidRPr="00563154">
        <w:rPr>
          <w:rFonts w:eastAsia="MS Mincho"/>
        </w:rPr>
        <w:t>.</w:t>
      </w:r>
      <w:r w:rsidRPr="00563154">
        <w:t xml:space="preserve"> </w:t>
      </w:r>
      <w:r w:rsidR="001206C0" w:rsidRPr="00563154">
        <w:t>Additional financing from DFAT and other donors is anticipated.</w:t>
      </w:r>
      <w:r w:rsidR="00B77460" w:rsidRPr="00563154">
        <w:t xml:space="preserve"> </w:t>
      </w:r>
    </w:p>
    <w:p w:rsidR="009762A2" w:rsidRPr="00563154" w:rsidRDefault="009762A2" w:rsidP="000C414D">
      <w:pPr>
        <w:pStyle w:val="Heading1"/>
        <w:jc w:val="center"/>
        <w:rPr>
          <w:color w:val="auto"/>
        </w:rPr>
      </w:pPr>
    </w:p>
    <w:p w:rsidR="00E614E5" w:rsidRPr="00B64A38" w:rsidRDefault="00E614E5" w:rsidP="000C414D">
      <w:pPr>
        <w:pStyle w:val="Heading1"/>
        <w:jc w:val="center"/>
        <w:rPr>
          <w:color w:val="auto"/>
        </w:rPr>
      </w:pPr>
      <w:r w:rsidRPr="00563154">
        <w:rPr>
          <w:color w:val="auto"/>
        </w:rPr>
        <w:t>Timeline for Preparation</w:t>
      </w:r>
    </w:p>
    <w:p w:rsidR="00E614E5" w:rsidRPr="00B64A38" w:rsidRDefault="00E614E5" w:rsidP="00E614E5">
      <w:pPr>
        <w:autoSpaceDE w:val="0"/>
        <w:autoSpaceDN w:val="0"/>
        <w:adjustRightInd w:val="0"/>
        <w:jc w:val="left"/>
      </w:pPr>
    </w:p>
    <w:p w:rsidR="00E614E5" w:rsidRPr="00B64A38" w:rsidRDefault="00E614E5" w:rsidP="00E614E5">
      <w:pPr>
        <w:autoSpaceDE w:val="0"/>
        <w:autoSpaceDN w:val="0"/>
        <w:adjustRightInd w:val="0"/>
        <w:jc w:val="left"/>
      </w:pPr>
      <w:r w:rsidRPr="00B64A38">
        <w:t>An indicative timeline for the preparation and establishment of the MDTF is as</w:t>
      </w:r>
      <w:r w:rsidR="00C15900" w:rsidRPr="00B64A38">
        <w:t xml:space="preserve"> </w:t>
      </w:r>
      <w:r w:rsidRPr="00B64A38">
        <w:t>follows:</w:t>
      </w:r>
    </w:p>
    <w:p w:rsidR="0084596A" w:rsidRPr="00B64A38" w:rsidRDefault="0084596A"/>
    <w:p w:rsidR="00E614E5" w:rsidRPr="00B64A38" w:rsidRDefault="001C17F2" w:rsidP="00966BAE">
      <w:pPr>
        <w:pStyle w:val="ListParagraph"/>
        <w:numPr>
          <w:ilvl w:val="0"/>
          <w:numId w:val="14"/>
        </w:numPr>
        <w:autoSpaceDE w:val="0"/>
        <w:autoSpaceDN w:val="0"/>
        <w:adjustRightInd w:val="0"/>
        <w:jc w:val="left"/>
      </w:pPr>
      <w:r w:rsidRPr="00B64A38">
        <w:t>MDTF c</w:t>
      </w:r>
      <w:r w:rsidR="00E614E5" w:rsidRPr="00B64A38">
        <w:t xml:space="preserve">oncept </w:t>
      </w:r>
      <w:r w:rsidRPr="00B64A38">
        <w:t xml:space="preserve">note </w:t>
      </w:r>
      <w:r w:rsidR="00E614E5" w:rsidRPr="00B64A38">
        <w:t xml:space="preserve">review </w:t>
      </w:r>
      <w:r w:rsidR="00E614E5" w:rsidRPr="00B64A38">
        <w:tab/>
      </w:r>
      <w:r w:rsidR="00E614E5" w:rsidRPr="00B64A38">
        <w:tab/>
      </w:r>
      <w:r w:rsidR="00E614E5" w:rsidRPr="00B64A38">
        <w:tab/>
      </w:r>
      <w:r w:rsidR="00E614E5" w:rsidRPr="00B64A38">
        <w:tab/>
      </w:r>
      <w:r w:rsidR="00E614E5" w:rsidRPr="00B64A38">
        <w:tab/>
      </w:r>
      <w:r w:rsidR="009762A2" w:rsidRPr="00B64A38">
        <w:tab/>
      </w:r>
      <w:r w:rsidR="009762A2" w:rsidRPr="00B64A38">
        <w:tab/>
      </w:r>
      <w:r w:rsidR="00E614E5" w:rsidRPr="00B64A38">
        <w:t xml:space="preserve">by </w:t>
      </w:r>
      <w:r w:rsidR="009762A2" w:rsidRPr="00B64A38">
        <w:t>April</w:t>
      </w:r>
      <w:r w:rsidR="00E614E5" w:rsidRPr="00B64A38">
        <w:t xml:space="preserve"> 2015</w:t>
      </w:r>
    </w:p>
    <w:p w:rsidR="00E614E5" w:rsidRPr="00B64A38" w:rsidRDefault="001C17F2" w:rsidP="00966BAE">
      <w:pPr>
        <w:pStyle w:val="ListParagraph"/>
        <w:numPr>
          <w:ilvl w:val="0"/>
          <w:numId w:val="14"/>
        </w:numPr>
        <w:autoSpaceDE w:val="0"/>
        <w:autoSpaceDN w:val="0"/>
        <w:adjustRightInd w:val="0"/>
        <w:jc w:val="left"/>
      </w:pPr>
      <w:r w:rsidRPr="00B64A38">
        <w:t>Trust fund proposal (</w:t>
      </w:r>
      <w:r w:rsidR="00E614E5" w:rsidRPr="00B64A38">
        <w:t>TF</w:t>
      </w:r>
      <w:r w:rsidRPr="00B64A38">
        <w:t>P)</w:t>
      </w:r>
      <w:r w:rsidR="00E614E5" w:rsidRPr="00B64A38">
        <w:t xml:space="preserve"> sent for clearance </w:t>
      </w:r>
      <w:r w:rsidR="00E614E5" w:rsidRPr="00B64A38">
        <w:tab/>
      </w:r>
      <w:r w:rsidR="009762A2" w:rsidRPr="00B64A38">
        <w:tab/>
      </w:r>
      <w:r w:rsidR="009762A2" w:rsidRPr="00B64A38">
        <w:tab/>
      </w:r>
      <w:r w:rsidR="009762A2" w:rsidRPr="00B64A38">
        <w:tab/>
      </w:r>
      <w:r w:rsidRPr="00B64A38">
        <w:tab/>
      </w:r>
      <w:r w:rsidR="00E614E5" w:rsidRPr="00B64A38">
        <w:t xml:space="preserve">by </w:t>
      </w:r>
      <w:r w:rsidR="002063B5" w:rsidRPr="00B64A38">
        <w:t>April</w:t>
      </w:r>
      <w:r w:rsidR="00E614E5" w:rsidRPr="00B64A38">
        <w:t xml:space="preserve"> 2015</w:t>
      </w:r>
    </w:p>
    <w:p w:rsidR="00E614E5" w:rsidRPr="00B64A38" w:rsidRDefault="00E614E5" w:rsidP="00966BAE">
      <w:pPr>
        <w:pStyle w:val="ListParagraph"/>
        <w:numPr>
          <w:ilvl w:val="0"/>
          <w:numId w:val="14"/>
        </w:numPr>
        <w:autoSpaceDE w:val="0"/>
        <w:autoSpaceDN w:val="0"/>
        <w:adjustRightInd w:val="0"/>
        <w:jc w:val="left"/>
      </w:pPr>
      <w:r w:rsidRPr="00B64A38">
        <w:t>T</w:t>
      </w:r>
      <w:r w:rsidR="009762A2" w:rsidRPr="00B64A38">
        <w:t>F</w:t>
      </w:r>
      <w:r w:rsidR="001C17F2" w:rsidRPr="00B64A38">
        <w:t>P</w:t>
      </w:r>
      <w:r w:rsidRPr="00B64A38">
        <w:t xml:space="preserve"> cleared </w:t>
      </w:r>
      <w:r w:rsidRPr="00B64A38">
        <w:tab/>
      </w:r>
      <w:r w:rsidRPr="00B64A38">
        <w:tab/>
      </w:r>
      <w:r w:rsidRPr="00B64A38">
        <w:tab/>
      </w:r>
      <w:r w:rsidRPr="00B64A38">
        <w:tab/>
      </w:r>
      <w:r w:rsidRPr="00B64A38">
        <w:tab/>
      </w:r>
      <w:r w:rsidR="001C17F2" w:rsidRPr="00B64A38">
        <w:tab/>
      </w:r>
      <w:r w:rsidR="001C17F2" w:rsidRPr="00B64A38">
        <w:tab/>
      </w:r>
      <w:r w:rsidR="009762A2" w:rsidRPr="00B64A38">
        <w:tab/>
      </w:r>
      <w:r w:rsidR="009762A2" w:rsidRPr="00B64A38">
        <w:tab/>
      </w:r>
      <w:r w:rsidRPr="00B64A38">
        <w:t xml:space="preserve">by </w:t>
      </w:r>
      <w:r w:rsidR="002063B5" w:rsidRPr="00B64A38">
        <w:t>April</w:t>
      </w:r>
      <w:r w:rsidRPr="00B64A38">
        <w:t xml:space="preserve"> 2015</w:t>
      </w:r>
    </w:p>
    <w:p w:rsidR="00E614E5" w:rsidRPr="00B64A38" w:rsidRDefault="00E614E5" w:rsidP="00966BAE">
      <w:pPr>
        <w:pStyle w:val="ListParagraph"/>
        <w:numPr>
          <w:ilvl w:val="0"/>
          <w:numId w:val="14"/>
        </w:numPr>
        <w:autoSpaceDE w:val="0"/>
        <w:autoSpaceDN w:val="0"/>
        <w:adjustRightInd w:val="0"/>
        <w:jc w:val="left"/>
      </w:pPr>
      <w:r w:rsidRPr="00B64A38">
        <w:t xml:space="preserve">Administrative Agreement(s) prepared </w:t>
      </w:r>
      <w:r w:rsidRPr="00B64A38">
        <w:tab/>
      </w:r>
      <w:r w:rsidRPr="00B64A38">
        <w:tab/>
      </w:r>
      <w:r w:rsidRPr="00B64A38">
        <w:tab/>
      </w:r>
      <w:r w:rsidRPr="00B64A38">
        <w:tab/>
      </w:r>
      <w:r w:rsidR="009762A2" w:rsidRPr="00B64A38">
        <w:tab/>
      </w:r>
      <w:r w:rsidR="009762A2" w:rsidRPr="00B64A38">
        <w:tab/>
      </w:r>
      <w:r w:rsidRPr="00B64A38">
        <w:t xml:space="preserve">by </w:t>
      </w:r>
      <w:r w:rsidR="002063B5" w:rsidRPr="00B64A38">
        <w:t>May</w:t>
      </w:r>
      <w:r w:rsidRPr="00B64A38">
        <w:t xml:space="preserve"> 2015</w:t>
      </w:r>
    </w:p>
    <w:p w:rsidR="00E614E5" w:rsidRPr="00B64A38" w:rsidRDefault="00E614E5" w:rsidP="00966BAE">
      <w:pPr>
        <w:pStyle w:val="ListParagraph"/>
        <w:numPr>
          <w:ilvl w:val="0"/>
          <w:numId w:val="14"/>
        </w:numPr>
        <w:autoSpaceDE w:val="0"/>
        <w:autoSpaceDN w:val="0"/>
        <w:adjustRightInd w:val="0"/>
        <w:jc w:val="left"/>
      </w:pPr>
      <w:r w:rsidRPr="00B64A38">
        <w:t xml:space="preserve">Administrative Agreements signed </w:t>
      </w:r>
      <w:r w:rsidRPr="00B64A38">
        <w:tab/>
      </w:r>
      <w:r w:rsidRPr="00B64A38">
        <w:tab/>
      </w:r>
      <w:r w:rsidRPr="00B64A38">
        <w:tab/>
      </w:r>
      <w:r w:rsidR="009762A2" w:rsidRPr="00B64A38">
        <w:tab/>
      </w:r>
      <w:r w:rsidRPr="00B64A38">
        <w:tab/>
      </w:r>
      <w:r w:rsidR="009762A2" w:rsidRPr="00B64A38">
        <w:tab/>
      </w:r>
      <w:r w:rsidRPr="00B64A38">
        <w:t xml:space="preserve">by </w:t>
      </w:r>
      <w:r w:rsidR="002063B5" w:rsidRPr="00B64A38">
        <w:t>May</w:t>
      </w:r>
      <w:r w:rsidRPr="00B64A38">
        <w:t xml:space="preserve"> 2015</w:t>
      </w:r>
    </w:p>
    <w:p w:rsidR="00E614E5" w:rsidRPr="00B64A38" w:rsidRDefault="001C17F2" w:rsidP="00966BAE">
      <w:pPr>
        <w:pStyle w:val="ListParagraph"/>
        <w:numPr>
          <w:ilvl w:val="0"/>
          <w:numId w:val="14"/>
        </w:numPr>
        <w:autoSpaceDE w:val="0"/>
        <w:autoSpaceDN w:val="0"/>
        <w:adjustRightInd w:val="0"/>
        <w:jc w:val="left"/>
      </w:pPr>
      <w:r w:rsidRPr="00B64A38">
        <w:t>Initial call for funds</w:t>
      </w:r>
      <w:r w:rsidR="00E614E5" w:rsidRPr="00B64A38">
        <w:t xml:space="preserve"> </w:t>
      </w:r>
      <w:r w:rsidR="00E614E5" w:rsidRPr="00B64A38">
        <w:tab/>
      </w:r>
      <w:r w:rsidR="00E614E5" w:rsidRPr="00B64A38">
        <w:tab/>
      </w:r>
      <w:r w:rsidR="00E614E5" w:rsidRPr="00B64A38">
        <w:tab/>
      </w:r>
      <w:r w:rsidR="00E614E5" w:rsidRPr="00B64A38">
        <w:tab/>
      </w:r>
      <w:r w:rsidR="00E614E5" w:rsidRPr="00B64A38">
        <w:tab/>
      </w:r>
      <w:r w:rsidR="00E614E5" w:rsidRPr="00B64A38">
        <w:tab/>
      </w:r>
      <w:r w:rsidR="009762A2" w:rsidRPr="00B64A38">
        <w:tab/>
      </w:r>
      <w:r w:rsidR="009762A2" w:rsidRPr="00B64A38">
        <w:tab/>
      </w:r>
      <w:r w:rsidR="00E614E5" w:rsidRPr="00B64A38">
        <w:t xml:space="preserve">by </w:t>
      </w:r>
      <w:r w:rsidR="002063B5" w:rsidRPr="00B64A38">
        <w:t>May</w:t>
      </w:r>
      <w:r w:rsidR="00E614E5" w:rsidRPr="00B64A38">
        <w:t xml:space="preserve"> 2015</w:t>
      </w:r>
    </w:p>
    <w:p w:rsidR="00E614E5" w:rsidRPr="00B64A38" w:rsidRDefault="00E614E5" w:rsidP="00966BAE">
      <w:pPr>
        <w:pStyle w:val="ListParagraph"/>
        <w:numPr>
          <w:ilvl w:val="0"/>
          <w:numId w:val="14"/>
        </w:numPr>
      </w:pPr>
      <w:r w:rsidRPr="00B64A38">
        <w:t xml:space="preserve">First GFRs and commencement of activities </w:t>
      </w:r>
      <w:r w:rsidRPr="00B64A38">
        <w:tab/>
      </w:r>
      <w:r w:rsidRPr="00B64A38">
        <w:tab/>
      </w:r>
      <w:r w:rsidRPr="00B64A38">
        <w:tab/>
      </w:r>
      <w:r w:rsidR="009762A2" w:rsidRPr="00B64A38">
        <w:tab/>
      </w:r>
      <w:r w:rsidR="009762A2" w:rsidRPr="00B64A38">
        <w:tab/>
      </w:r>
      <w:r w:rsidRPr="00B64A38">
        <w:t xml:space="preserve">by </w:t>
      </w:r>
      <w:r w:rsidR="003B6A52" w:rsidRPr="00B64A38">
        <w:t xml:space="preserve">June </w:t>
      </w:r>
      <w:r w:rsidRPr="00B64A38">
        <w:t>2015</w:t>
      </w:r>
    </w:p>
    <w:p w:rsidR="002D70AA" w:rsidRDefault="002D70AA">
      <w:pPr>
        <w:rPr>
          <w:b/>
        </w:rPr>
      </w:pPr>
      <w:r>
        <w:rPr>
          <w:b/>
        </w:rPr>
        <w:br w:type="page"/>
      </w:r>
    </w:p>
    <w:p w:rsidR="00EE5393" w:rsidRDefault="00581D11" w:rsidP="009762A2">
      <w:pPr>
        <w:jc w:val="center"/>
      </w:pPr>
      <w:r>
        <w:rPr>
          <w:b/>
        </w:rPr>
        <w:t>A</w:t>
      </w:r>
      <w:r w:rsidR="000B7857">
        <w:rPr>
          <w:b/>
        </w:rPr>
        <w:t>NNEX</w:t>
      </w:r>
      <w:r>
        <w:rPr>
          <w:b/>
        </w:rPr>
        <w:t xml:space="preserve"> 1</w:t>
      </w:r>
    </w:p>
    <w:p w:rsidR="00581D11" w:rsidRDefault="00581D11" w:rsidP="00224EC5"/>
    <w:p w:rsidR="00FE793E" w:rsidRDefault="00FE793E" w:rsidP="008F0AE0">
      <w:pPr>
        <w:jc w:val="center"/>
        <w:rPr>
          <w:b/>
        </w:rPr>
      </w:pPr>
      <w:r>
        <w:rPr>
          <w:b/>
        </w:rPr>
        <w:t>Burden of Disease and GFATM Financial Support</w:t>
      </w:r>
      <w:r w:rsidR="000B7857">
        <w:rPr>
          <w:b/>
        </w:rPr>
        <w:t xml:space="preserve"> in</w:t>
      </w:r>
    </w:p>
    <w:p w:rsidR="000B7857" w:rsidRDefault="000B7857" w:rsidP="000B7857">
      <w:pPr>
        <w:jc w:val="center"/>
        <w:rPr>
          <w:b/>
        </w:rPr>
      </w:pPr>
      <w:r w:rsidRPr="008F0AE0">
        <w:rPr>
          <w:b/>
        </w:rPr>
        <w:t xml:space="preserve">Cambodia, Indonesia, Papua New Guinea, </w:t>
      </w:r>
      <w:r>
        <w:rPr>
          <w:b/>
        </w:rPr>
        <w:t xml:space="preserve">Solomon Islands, </w:t>
      </w:r>
      <w:r w:rsidRPr="008F0AE0">
        <w:rPr>
          <w:b/>
        </w:rPr>
        <w:t>and Vanuatu</w:t>
      </w:r>
    </w:p>
    <w:p w:rsidR="00CC1A98" w:rsidRPr="008F0AE0" w:rsidRDefault="00CC1A98" w:rsidP="008F0AE0">
      <w:pPr>
        <w:rPr>
          <w:bCs/>
        </w:rPr>
      </w:pPr>
    </w:p>
    <w:p w:rsidR="00581D11" w:rsidRPr="008F0AE0" w:rsidRDefault="00581D11" w:rsidP="008F0AE0">
      <w:pPr>
        <w:ind w:right="192"/>
        <w:rPr>
          <w:iCs/>
        </w:rPr>
      </w:pPr>
      <w:r w:rsidRPr="008F0AE0">
        <w:rPr>
          <w:rFonts w:eastAsia="MS Mincho"/>
        </w:rPr>
        <w:t xml:space="preserve">Infectious diseases such as HIV/AIDS, TB, and malaria accounted for more than 800,000 deaths in the Asia Pacific region in 2012. </w:t>
      </w:r>
      <w:r w:rsidRPr="008F0AE0">
        <w:rPr>
          <w:bCs/>
        </w:rPr>
        <w:t>Although Cambodia, Indonesia, Papua New Guinea (</w:t>
      </w:r>
      <w:r w:rsidR="00C869AB">
        <w:rPr>
          <w:bCs/>
        </w:rPr>
        <w:t>Papua New Guinea</w:t>
      </w:r>
      <w:r w:rsidRPr="008F0AE0">
        <w:rPr>
          <w:bCs/>
        </w:rPr>
        <w:t xml:space="preserve">), Solomon Islands, and Vanuatu (the five focus countries for proposed DFAT support) have made notable progress, attainment of health-related MDG outcomes for HIV/AIDS, TB, and malaria remain a challenge, especially among poor and vulnerable population sub-groups. </w:t>
      </w:r>
      <w:r w:rsidRPr="008F0AE0">
        <w:rPr>
          <w:iCs/>
        </w:rPr>
        <w:t xml:space="preserve">While the share of communicable diseases in the overall burden has been declining in these countries, TB's share of the overall disease burden has remained largely unchanged and relatively high </w:t>
      </w:r>
      <w:r w:rsidR="0025043B">
        <w:rPr>
          <w:iCs/>
        </w:rPr>
        <w:t>[</w:t>
      </w:r>
      <w:r w:rsidRPr="008F0AE0">
        <w:rPr>
          <w:iCs/>
        </w:rPr>
        <w:t xml:space="preserve">in the range of 3-7% of all disability-adjusted life years </w:t>
      </w:r>
      <w:r w:rsidR="0025043B">
        <w:rPr>
          <w:iCs/>
        </w:rPr>
        <w:t xml:space="preserve">(DALYs) </w:t>
      </w:r>
      <w:r w:rsidRPr="008F0AE0">
        <w:rPr>
          <w:iCs/>
        </w:rPr>
        <w:t>lost</w:t>
      </w:r>
      <w:r w:rsidR="0025043B">
        <w:rPr>
          <w:iCs/>
        </w:rPr>
        <w:t>]</w:t>
      </w:r>
      <w:r w:rsidRPr="008F0AE0">
        <w:rPr>
          <w:iCs/>
        </w:rPr>
        <w:t xml:space="preserve"> over the period 1990-2010 in Indonesia, Cambodia, and P</w:t>
      </w:r>
      <w:r w:rsidR="0025043B">
        <w:rPr>
          <w:iCs/>
        </w:rPr>
        <w:t xml:space="preserve">apua </w:t>
      </w:r>
      <w:r w:rsidRPr="008F0AE0">
        <w:rPr>
          <w:iCs/>
        </w:rPr>
        <w:t>N</w:t>
      </w:r>
      <w:r w:rsidR="0025043B">
        <w:rPr>
          <w:iCs/>
        </w:rPr>
        <w:t xml:space="preserve">ew </w:t>
      </w:r>
      <w:r w:rsidRPr="008F0AE0">
        <w:rPr>
          <w:iCs/>
        </w:rPr>
        <w:t>G</w:t>
      </w:r>
      <w:r w:rsidR="0025043B">
        <w:rPr>
          <w:iCs/>
        </w:rPr>
        <w:t>uinea</w:t>
      </w:r>
      <w:r w:rsidRPr="008F0AE0">
        <w:rPr>
          <w:iCs/>
        </w:rPr>
        <w:t xml:space="preserve">; over the same time period, the burden from HIV/AIDS has actually increased in Indonesia, Cambodia, and </w:t>
      </w:r>
      <w:r w:rsidR="00C869AB">
        <w:rPr>
          <w:iCs/>
        </w:rPr>
        <w:t>Papua New Guinea</w:t>
      </w:r>
      <w:r w:rsidRPr="008F0AE0">
        <w:rPr>
          <w:iCs/>
        </w:rPr>
        <w:t xml:space="preserve"> (Table 1). </w:t>
      </w:r>
    </w:p>
    <w:p w:rsidR="00581D11" w:rsidRPr="008F0AE0" w:rsidRDefault="00581D11" w:rsidP="008F0AE0">
      <w:pPr>
        <w:ind w:right="260"/>
        <w:rPr>
          <w:iCs/>
        </w:rPr>
      </w:pPr>
    </w:p>
    <w:p w:rsidR="00581D11" w:rsidRPr="00A61F71" w:rsidRDefault="008F0AE0" w:rsidP="008F0AE0">
      <w:pPr>
        <w:pStyle w:val="Caption"/>
        <w:keepNext/>
        <w:spacing w:after="0"/>
        <w:jc w:val="center"/>
        <w:rPr>
          <w:color w:val="auto"/>
        </w:rPr>
      </w:pPr>
      <w:r w:rsidRPr="00A61F71">
        <w:rPr>
          <w:color w:val="auto"/>
          <w:sz w:val="20"/>
        </w:rPr>
        <w:t>Table 1:</w:t>
      </w:r>
      <w:r w:rsidR="00581D11" w:rsidRPr="00A61F71">
        <w:rPr>
          <w:color w:val="auto"/>
          <w:sz w:val="20"/>
        </w:rPr>
        <w:t xml:space="preserve"> Share of disease burden by country and communicable disease, select years</w:t>
      </w:r>
    </w:p>
    <w:tbl>
      <w:tblPr>
        <w:tblStyle w:val="LightList-Accent1"/>
        <w:tblW w:w="8180" w:type="dxa"/>
        <w:jc w:val="center"/>
        <w:tblLayout w:type="fixed"/>
        <w:tblLook w:val="04A0" w:firstRow="1" w:lastRow="0" w:firstColumn="1" w:lastColumn="0" w:noHBand="0" w:noVBand="1"/>
      </w:tblPr>
      <w:tblGrid>
        <w:gridCol w:w="1940"/>
        <w:gridCol w:w="960"/>
        <w:gridCol w:w="2400"/>
        <w:gridCol w:w="960"/>
        <w:gridCol w:w="960"/>
        <w:gridCol w:w="960"/>
      </w:tblGrid>
      <w:tr w:rsidR="00581D11" w:rsidRPr="008F0AE0" w:rsidTr="00581D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vMerge w:val="restart"/>
            <w:noWrap/>
          </w:tcPr>
          <w:p w:rsidR="00581D11" w:rsidRPr="00A61F71" w:rsidRDefault="00581D11" w:rsidP="008F0AE0">
            <w:pPr>
              <w:jc w:val="center"/>
              <w:rPr>
                <w:color w:val="auto"/>
                <w:sz w:val="18"/>
              </w:rPr>
            </w:pPr>
            <w:r w:rsidRPr="00A61F71">
              <w:rPr>
                <w:color w:val="auto"/>
                <w:sz w:val="18"/>
              </w:rPr>
              <w:t>Country</w:t>
            </w:r>
          </w:p>
        </w:tc>
        <w:tc>
          <w:tcPr>
            <w:tcW w:w="960" w:type="dxa"/>
            <w:vMerge w:val="restart"/>
            <w:noWrap/>
          </w:tcPr>
          <w:p w:rsidR="00581D11" w:rsidRPr="00A61F71" w:rsidRDefault="00581D11" w:rsidP="008F0AE0">
            <w:pPr>
              <w:jc w:val="center"/>
              <w:cnfStyle w:val="100000000000" w:firstRow="1" w:lastRow="0" w:firstColumn="0" w:lastColumn="0" w:oddVBand="0" w:evenVBand="0" w:oddHBand="0" w:evenHBand="0" w:firstRowFirstColumn="0" w:firstRowLastColumn="0" w:lastRowFirstColumn="0" w:lastRowLastColumn="0"/>
              <w:rPr>
                <w:color w:val="auto"/>
                <w:sz w:val="18"/>
              </w:rPr>
            </w:pPr>
            <w:r w:rsidRPr="00A61F71">
              <w:rPr>
                <w:color w:val="auto"/>
                <w:sz w:val="18"/>
              </w:rPr>
              <w:t>Year</w:t>
            </w:r>
          </w:p>
        </w:tc>
        <w:tc>
          <w:tcPr>
            <w:tcW w:w="2400" w:type="dxa"/>
            <w:vMerge w:val="restart"/>
            <w:noWrap/>
          </w:tcPr>
          <w:p w:rsidR="00581D11" w:rsidRPr="00A61F71" w:rsidRDefault="00581D11" w:rsidP="008F0AE0">
            <w:pPr>
              <w:jc w:val="center"/>
              <w:cnfStyle w:val="100000000000" w:firstRow="1" w:lastRow="0" w:firstColumn="0" w:lastColumn="0" w:oddVBand="0" w:evenVBand="0" w:oddHBand="0" w:evenHBand="0" w:firstRowFirstColumn="0" w:firstRowLastColumn="0" w:lastRowFirstColumn="0" w:lastRowLastColumn="0"/>
              <w:rPr>
                <w:color w:val="auto"/>
                <w:sz w:val="18"/>
              </w:rPr>
            </w:pPr>
            <w:r w:rsidRPr="00A61F71">
              <w:rPr>
                <w:color w:val="auto"/>
                <w:sz w:val="18"/>
              </w:rPr>
              <w:t>Communicable disease burden as % of total burden</w:t>
            </w:r>
          </w:p>
        </w:tc>
        <w:tc>
          <w:tcPr>
            <w:tcW w:w="2880" w:type="dxa"/>
            <w:gridSpan w:val="3"/>
            <w:tcBorders>
              <w:bottom w:val="single" w:sz="8" w:space="0" w:color="4F81BD" w:themeColor="accent1"/>
            </w:tcBorders>
            <w:noWrap/>
          </w:tcPr>
          <w:p w:rsidR="00581D11" w:rsidRPr="00A61F71" w:rsidRDefault="00581D11" w:rsidP="008F0AE0">
            <w:pPr>
              <w:jc w:val="center"/>
              <w:cnfStyle w:val="100000000000" w:firstRow="1" w:lastRow="0" w:firstColumn="0" w:lastColumn="0" w:oddVBand="0" w:evenVBand="0" w:oddHBand="0" w:evenHBand="0" w:firstRowFirstColumn="0" w:firstRowLastColumn="0" w:lastRowFirstColumn="0" w:lastRowLastColumn="0"/>
              <w:rPr>
                <w:color w:val="auto"/>
                <w:sz w:val="18"/>
              </w:rPr>
            </w:pPr>
            <w:r w:rsidRPr="00A61F71">
              <w:rPr>
                <w:color w:val="auto"/>
                <w:sz w:val="18"/>
              </w:rPr>
              <w:t>Burden of disease</w:t>
            </w:r>
          </w:p>
        </w:tc>
      </w:tr>
      <w:tr w:rsidR="00581D11" w:rsidRPr="008F0AE0" w:rsidTr="00581D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vMerge/>
            <w:shd w:val="clear" w:color="auto" w:fill="4F81BD" w:themeFill="accent1"/>
            <w:noWrap/>
          </w:tcPr>
          <w:p w:rsidR="00581D11" w:rsidRPr="00A61F71" w:rsidRDefault="00581D11" w:rsidP="008F0AE0">
            <w:pPr>
              <w:jc w:val="center"/>
              <w:rPr>
                <w:sz w:val="18"/>
              </w:rPr>
            </w:pPr>
          </w:p>
        </w:tc>
        <w:tc>
          <w:tcPr>
            <w:tcW w:w="960" w:type="dxa"/>
            <w:vMerge/>
            <w:shd w:val="clear" w:color="auto" w:fill="4F81BD" w:themeFill="accent1"/>
            <w:noWrap/>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b/>
                <w:sz w:val="18"/>
              </w:rPr>
            </w:pPr>
          </w:p>
        </w:tc>
        <w:tc>
          <w:tcPr>
            <w:tcW w:w="2400" w:type="dxa"/>
            <w:vMerge/>
            <w:shd w:val="clear" w:color="auto" w:fill="4F81BD" w:themeFill="accent1"/>
            <w:noWrap/>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b/>
                <w:sz w:val="18"/>
              </w:rPr>
            </w:pPr>
          </w:p>
        </w:tc>
        <w:tc>
          <w:tcPr>
            <w:tcW w:w="960" w:type="dxa"/>
            <w:shd w:val="clear" w:color="auto" w:fill="4F81BD" w:themeFill="accent1"/>
            <w:noWrap/>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b/>
                <w:sz w:val="18"/>
              </w:rPr>
            </w:pPr>
            <w:r w:rsidRPr="00A61F71">
              <w:rPr>
                <w:b/>
                <w:sz w:val="18"/>
              </w:rPr>
              <w:t xml:space="preserve">TB </w:t>
            </w:r>
          </w:p>
        </w:tc>
        <w:tc>
          <w:tcPr>
            <w:tcW w:w="960" w:type="dxa"/>
            <w:shd w:val="clear" w:color="auto" w:fill="4F81BD" w:themeFill="accent1"/>
            <w:noWrap/>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b/>
                <w:sz w:val="18"/>
              </w:rPr>
            </w:pPr>
            <w:r w:rsidRPr="00A61F71">
              <w:rPr>
                <w:b/>
                <w:sz w:val="18"/>
              </w:rPr>
              <w:t>Malaria</w:t>
            </w:r>
          </w:p>
        </w:tc>
        <w:tc>
          <w:tcPr>
            <w:tcW w:w="960" w:type="dxa"/>
            <w:shd w:val="clear" w:color="auto" w:fill="4F81BD" w:themeFill="accent1"/>
            <w:noWrap/>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b/>
                <w:sz w:val="18"/>
              </w:rPr>
            </w:pPr>
            <w:r w:rsidRPr="00A61F71">
              <w:rPr>
                <w:b/>
                <w:sz w:val="18"/>
              </w:rPr>
              <w:t>HIV</w:t>
            </w:r>
          </w:p>
        </w:tc>
      </w:tr>
      <w:tr w:rsidR="00581D11" w:rsidRPr="008F0AE0" w:rsidTr="00581D11">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noWrap/>
          </w:tcPr>
          <w:p w:rsidR="00581D11" w:rsidRPr="008F0AE0" w:rsidRDefault="00581D11" w:rsidP="008F0AE0">
            <w:pPr>
              <w:rPr>
                <w:rFonts w:eastAsia="Times New Roman"/>
                <w:b w:val="0"/>
                <w:sz w:val="18"/>
                <w:szCs w:val="18"/>
              </w:rPr>
            </w:pPr>
            <w:r w:rsidRPr="008F0AE0">
              <w:rPr>
                <w:rFonts w:eastAsia="Times New Roman"/>
                <w:b w:val="0"/>
                <w:sz w:val="18"/>
                <w:szCs w:val="18"/>
              </w:rPr>
              <w:t>Cambodia</w:t>
            </w:r>
          </w:p>
        </w:tc>
        <w:tc>
          <w:tcPr>
            <w:tcW w:w="960" w:type="dxa"/>
            <w:noWrap/>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1990</w:t>
            </w:r>
          </w:p>
        </w:tc>
        <w:tc>
          <w:tcPr>
            <w:tcW w:w="2400" w:type="dxa"/>
            <w:tcBorders>
              <w:top w:val="single" w:sz="8" w:space="0" w:color="4F81BD" w:themeColor="accent1"/>
              <w:bottom w:val="single" w:sz="8" w:space="0" w:color="4F81BD" w:themeColor="accent1"/>
              <w:right w:val="single" w:sz="8"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66.9%</w:t>
            </w:r>
          </w:p>
        </w:tc>
        <w:tc>
          <w:tcPr>
            <w:tcW w:w="960" w:type="dxa"/>
            <w:tcBorders>
              <w:left w:val="single" w:sz="8"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3.3%</w:t>
            </w:r>
          </w:p>
        </w:tc>
        <w:tc>
          <w:tcPr>
            <w:tcW w:w="960" w:type="dxa"/>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5.1%</w:t>
            </w:r>
          </w:p>
        </w:tc>
        <w:tc>
          <w:tcPr>
            <w:tcW w:w="960" w:type="dxa"/>
            <w:noWrap/>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noWrap/>
          </w:tcPr>
          <w:p w:rsidR="00581D11" w:rsidRPr="008F0AE0" w:rsidRDefault="00581D11" w:rsidP="008F0AE0">
            <w:pPr>
              <w:rPr>
                <w:rFonts w:eastAsia="Times New Roman"/>
                <w:b w:val="0"/>
                <w:sz w:val="18"/>
                <w:szCs w:val="18"/>
              </w:rPr>
            </w:pPr>
            <w:r w:rsidRPr="008F0AE0">
              <w:rPr>
                <w:rFonts w:eastAsia="Times New Roman"/>
                <w:b w:val="0"/>
                <w:sz w:val="18"/>
                <w:szCs w:val="18"/>
              </w:rPr>
              <w:t>Cambodia</w:t>
            </w:r>
          </w:p>
        </w:tc>
        <w:tc>
          <w:tcPr>
            <w:tcW w:w="960" w:type="dxa"/>
            <w:noWrap/>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2000</w:t>
            </w:r>
          </w:p>
        </w:tc>
        <w:tc>
          <w:tcPr>
            <w:tcW w:w="2400" w:type="dxa"/>
            <w:tcBorders>
              <w:right w:val="single" w:sz="8"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57.4%</w:t>
            </w:r>
          </w:p>
        </w:tc>
        <w:tc>
          <w:tcPr>
            <w:tcW w:w="960" w:type="dxa"/>
            <w:tcBorders>
              <w:left w:val="single" w:sz="8"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3.3%</w:t>
            </w:r>
          </w:p>
        </w:tc>
        <w:tc>
          <w:tcPr>
            <w:tcW w:w="960" w:type="dxa"/>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4.8</w:t>
            </w:r>
            <w:r w:rsidR="0025043B">
              <w:rPr>
                <w:rFonts w:eastAsia="Times New Roman"/>
                <w:sz w:val="18"/>
                <w:szCs w:val="18"/>
              </w:rPr>
              <w:t>%</w:t>
            </w:r>
          </w:p>
        </w:tc>
        <w:tc>
          <w:tcPr>
            <w:tcW w:w="960" w:type="dxa"/>
            <w:noWrap/>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8" w:space="0" w:color="4F81BD" w:themeColor="accent1"/>
              <w:bottom w:val="single" w:sz="12" w:space="0" w:color="4F81BD" w:themeColor="accent1"/>
            </w:tcBorders>
            <w:noWrap/>
          </w:tcPr>
          <w:p w:rsidR="00581D11" w:rsidRPr="008F0AE0" w:rsidRDefault="00581D11" w:rsidP="008F0AE0">
            <w:pPr>
              <w:rPr>
                <w:rFonts w:eastAsia="Times New Roman"/>
                <w:b w:val="0"/>
                <w:sz w:val="18"/>
                <w:szCs w:val="18"/>
              </w:rPr>
            </w:pPr>
            <w:r w:rsidRPr="008F0AE0">
              <w:rPr>
                <w:rFonts w:eastAsia="Times New Roman"/>
                <w:b w:val="0"/>
                <w:sz w:val="18"/>
                <w:szCs w:val="18"/>
              </w:rPr>
              <w:t>Cambodia</w:t>
            </w:r>
          </w:p>
        </w:tc>
        <w:tc>
          <w:tcPr>
            <w:tcW w:w="960" w:type="dxa"/>
            <w:tcBorders>
              <w:top w:val="single" w:sz="8" w:space="0" w:color="4F81BD" w:themeColor="accent1"/>
              <w:bottom w:val="single" w:sz="12" w:space="0" w:color="4F81BD" w:themeColor="accent1"/>
            </w:tcBorders>
            <w:noWrap/>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2010</w:t>
            </w:r>
          </w:p>
        </w:tc>
        <w:tc>
          <w:tcPr>
            <w:tcW w:w="2400" w:type="dxa"/>
            <w:tcBorders>
              <w:top w:val="single" w:sz="8" w:space="0" w:color="4F81BD" w:themeColor="accent1"/>
              <w:bottom w:val="single" w:sz="12" w:space="0" w:color="4F81BD" w:themeColor="accent1"/>
              <w:right w:val="single" w:sz="8"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38.9%</w:t>
            </w:r>
          </w:p>
        </w:tc>
        <w:tc>
          <w:tcPr>
            <w:tcW w:w="960" w:type="dxa"/>
            <w:tcBorders>
              <w:top w:val="single" w:sz="8" w:space="0" w:color="4F81BD" w:themeColor="accent1"/>
              <w:left w:val="single" w:sz="8" w:space="0" w:color="4F81BD" w:themeColor="accent1"/>
              <w:bottom w:val="single" w:sz="12"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3.6%</w:t>
            </w:r>
          </w:p>
        </w:tc>
        <w:tc>
          <w:tcPr>
            <w:tcW w:w="960" w:type="dxa"/>
            <w:tcBorders>
              <w:top w:val="single" w:sz="8" w:space="0" w:color="4F81BD" w:themeColor="accent1"/>
              <w:bottom w:val="single" w:sz="12"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2.1%</w:t>
            </w:r>
          </w:p>
        </w:tc>
        <w:tc>
          <w:tcPr>
            <w:tcW w:w="960" w:type="dxa"/>
            <w:tcBorders>
              <w:top w:val="single" w:sz="8" w:space="0" w:color="4F81BD" w:themeColor="accent1"/>
              <w:bottom w:val="single" w:sz="12"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1.6%</w:t>
            </w:r>
          </w:p>
        </w:tc>
      </w:tr>
      <w:tr w:rsidR="00581D11" w:rsidRPr="008F0AE0" w:rsidTr="000107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12" w:space="0" w:color="4F81BD" w:themeColor="accent1"/>
            </w:tcBorders>
            <w:noWrap/>
          </w:tcPr>
          <w:p w:rsidR="00581D11" w:rsidRPr="008F0AE0" w:rsidRDefault="00581D11" w:rsidP="008F0AE0">
            <w:pPr>
              <w:rPr>
                <w:b w:val="0"/>
                <w:sz w:val="18"/>
                <w:szCs w:val="18"/>
              </w:rPr>
            </w:pPr>
            <w:r w:rsidRPr="008F0AE0">
              <w:rPr>
                <w:b w:val="0"/>
                <w:sz w:val="18"/>
                <w:szCs w:val="18"/>
              </w:rPr>
              <w:t>Indonesia</w:t>
            </w:r>
          </w:p>
        </w:tc>
        <w:tc>
          <w:tcPr>
            <w:tcW w:w="960" w:type="dxa"/>
            <w:tcBorders>
              <w:top w:val="single" w:sz="12" w:space="0" w:color="4F81BD" w:themeColor="accent1"/>
            </w:tcBorders>
            <w:noWrap/>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sz w:val="18"/>
                <w:szCs w:val="18"/>
              </w:rPr>
            </w:pPr>
            <w:r w:rsidRPr="008F0AE0">
              <w:rPr>
                <w:sz w:val="18"/>
                <w:szCs w:val="18"/>
              </w:rPr>
              <w:t>1990</w:t>
            </w:r>
          </w:p>
        </w:tc>
        <w:tc>
          <w:tcPr>
            <w:tcW w:w="2400" w:type="dxa"/>
            <w:tcBorders>
              <w:top w:val="single" w:sz="12" w:space="0" w:color="4F81BD" w:themeColor="accent1"/>
              <w:right w:val="single" w:sz="8"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0AE0">
              <w:rPr>
                <w:sz w:val="18"/>
                <w:szCs w:val="18"/>
              </w:rPr>
              <w:t>56.4%</w:t>
            </w:r>
          </w:p>
        </w:tc>
        <w:tc>
          <w:tcPr>
            <w:tcW w:w="960" w:type="dxa"/>
            <w:tcBorders>
              <w:top w:val="single" w:sz="12" w:space="0" w:color="4F81BD" w:themeColor="accent1"/>
              <w:left w:val="single" w:sz="8"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0AE0">
              <w:rPr>
                <w:sz w:val="18"/>
                <w:szCs w:val="18"/>
              </w:rPr>
              <w:t>7.5%</w:t>
            </w:r>
          </w:p>
        </w:tc>
        <w:tc>
          <w:tcPr>
            <w:tcW w:w="960" w:type="dxa"/>
            <w:tcBorders>
              <w:top w:val="single" w:sz="12"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F0AE0">
              <w:rPr>
                <w:sz w:val="18"/>
                <w:szCs w:val="18"/>
              </w:rPr>
              <w:t>2.6%</w:t>
            </w:r>
          </w:p>
        </w:tc>
        <w:tc>
          <w:tcPr>
            <w:tcW w:w="960" w:type="dxa"/>
            <w:tcBorders>
              <w:top w:val="single" w:sz="12" w:space="0" w:color="4F81BD" w:themeColor="accent1"/>
            </w:tcBorders>
            <w:noWrap/>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bottom w:val="single" w:sz="8" w:space="0" w:color="4F81BD" w:themeColor="accent1"/>
            </w:tcBorders>
            <w:noWrap/>
            <w:hideMark/>
          </w:tcPr>
          <w:p w:rsidR="00581D11" w:rsidRPr="008F0AE0" w:rsidRDefault="00581D11" w:rsidP="008F0AE0">
            <w:pPr>
              <w:rPr>
                <w:rFonts w:eastAsia="Times New Roman"/>
                <w:b w:val="0"/>
                <w:sz w:val="18"/>
                <w:szCs w:val="18"/>
              </w:rPr>
            </w:pPr>
            <w:r w:rsidRPr="008F0AE0">
              <w:rPr>
                <w:rFonts w:eastAsia="Times New Roman"/>
                <w:b w:val="0"/>
                <w:sz w:val="18"/>
                <w:szCs w:val="18"/>
              </w:rPr>
              <w:t>Indonesia</w:t>
            </w:r>
          </w:p>
        </w:tc>
        <w:tc>
          <w:tcPr>
            <w:tcW w:w="960" w:type="dxa"/>
            <w:tcBorders>
              <w:bottom w:val="single" w:sz="8" w:space="0" w:color="4F81BD" w:themeColor="accent1"/>
            </w:tcBorders>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2000</w:t>
            </w:r>
          </w:p>
        </w:tc>
        <w:tc>
          <w:tcPr>
            <w:tcW w:w="2400" w:type="dxa"/>
            <w:tcBorders>
              <w:top w:val="single" w:sz="8" w:space="0" w:color="4F81BD" w:themeColor="accent1"/>
              <w:bottom w:val="single" w:sz="8" w:space="0" w:color="4F81BD" w:themeColor="accent1"/>
              <w:righ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42.6%</w:t>
            </w:r>
          </w:p>
        </w:tc>
        <w:tc>
          <w:tcPr>
            <w:tcW w:w="960" w:type="dxa"/>
            <w:tcBorders>
              <w:left w:val="single" w:sz="8" w:space="0" w:color="4F81BD" w:themeColor="accent1"/>
              <w:bottom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7.6%</w:t>
            </w:r>
          </w:p>
        </w:tc>
        <w:tc>
          <w:tcPr>
            <w:tcW w:w="960" w:type="dxa"/>
            <w:tcBorders>
              <w:bottom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1.9%</w:t>
            </w:r>
          </w:p>
        </w:tc>
        <w:tc>
          <w:tcPr>
            <w:tcW w:w="960" w:type="dxa"/>
            <w:tcBorders>
              <w:bottom w:val="single" w:sz="8" w:space="0" w:color="4F81BD" w:themeColor="accent1"/>
            </w:tcBorders>
            <w:noWrap/>
            <w:hideMark/>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bottom w:val="single" w:sz="12" w:space="0" w:color="4F81BD" w:themeColor="accent1"/>
            </w:tcBorders>
            <w:noWrap/>
            <w:hideMark/>
          </w:tcPr>
          <w:p w:rsidR="00581D11" w:rsidRPr="008F0AE0" w:rsidRDefault="00581D11" w:rsidP="008F0AE0">
            <w:pPr>
              <w:rPr>
                <w:rFonts w:eastAsia="Times New Roman"/>
                <w:b w:val="0"/>
                <w:sz w:val="18"/>
                <w:szCs w:val="18"/>
              </w:rPr>
            </w:pPr>
            <w:r w:rsidRPr="008F0AE0">
              <w:rPr>
                <w:rFonts w:eastAsia="Times New Roman"/>
                <w:b w:val="0"/>
                <w:sz w:val="18"/>
                <w:szCs w:val="18"/>
              </w:rPr>
              <w:t>Indonesia</w:t>
            </w:r>
          </w:p>
        </w:tc>
        <w:tc>
          <w:tcPr>
            <w:tcW w:w="960" w:type="dxa"/>
            <w:tcBorders>
              <w:bottom w:val="single" w:sz="12" w:space="0" w:color="4F81BD" w:themeColor="accent1"/>
            </w:tcBorders>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2010</w:t>
            </w:r>
          </w:p>
        </w:tc>
        <w:tc>
          <w:tcPr>
            <w:tcW w:w="2400" w:type="dxa"/>
            <w:tcBorders>
              <w:bottom w:val="single" w:sz="12" w:space="0" w:color="4F81BD" w:themeColor="accent1"/>
              <w:right w:val="single" w:sz="8"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33.2%</w:t>
            </w:r>
          </w:p>
        </w:tc>
        <w:tc>
          <w:tcPr>
            <w:tcW w:w="960" w:type="dxa"/>
            <w:tcBorders>
              <w:left w:val="single" w:sz="8" w:space="0" w:color="4F81BD" w:themeColor="accent1"/>
              <w:bottom w:val="single" w:sz="12"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7.6%</w:t>
            </w:r>
          </w:p>
        </w:tc>
        <w:tc>
          <w:tcPr>
            <w:tcW w:w="960" w:type="dxa"/>
            <w:tcBorders>
              <w:bottom w:val="single" w:sz="12"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1.0%</w:t>
            </w:r>
          </w:p>
        </w:tc>
        <w:tc>
          <w:tcPr>
            <w:tcW w:w="960" w:type="dxa"/>
            <w:tcBorders>
              <w:bottom w:val="single" w:sz="12"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0.9%</w:t>
            </w:r>
          </w:p>
        </w:tc>
      </w:tr>
      <w:tr w:rsidR="00581D11" w:rsidRPr="008F0AE0" w:rsidTr="000107FF">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12" w:space="0" w:color="4F81BD" w:themeColor="accent1"/>
            </w:tcBorders>
            <w:noWrap/>
            <w:hideMark/>
          </w:tcPr>
          <w:p w:rsidR="00581D11" w:rsidRPr="008F0AE0" w:rsidRDefault="00C869AB" w:rsidP="008F0AE0">
            <w:pPr>
              <w:rPr>
                <w:rFonts w:eastAsia="Times New Roman"/>
                <w:b w:val="0"/>
                <w:sz w:val="18"/>
                <w:szCs w:val="18"/>
              </w:rPr>
            </w:pPr>
            <w:r>
              <w:rPr>
                <w:rFonts w:eastAsia="Times New Roman"/>
                <w:b w:val="0"/>
                <w:sz w:val="18"/>
                <w:szCs w:val="18"/>
              </w:rPr>
              <w:t>Papua New Guinea</w:t>
            </w:r>
          </w:p>
        </w:tc>
        <w:tc>
          <w:tcPr>
            <w:tcW w:w="960" w:type="dxa"/>
            <w:tcBorders>
              <w:top w:val="single" w:sz="12" w:space="0" w:color="4F81BD" w:themeColor="accent1"/>
            </w:tcBorders>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1990</w:t>
            </w:r>
          </w:p>
        </w:tc>
        <w:tc>
          <w:tcPr>
            <w:tcW w:w="2400" w:type="dxa"/>
            <w:tcBorders>
              <w:top w:val="single" w:sz="12" w:space="0" w:color="4F81BD" w:themeColor="accent1"/>
              <w:bottom w:val="single" w:sz="8" w:space="0" w:color="4F81BD" w:themeColor="accent1"/>
              <w:righ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59.6%</w:t>
            </w:r>
          </w:p>
        </w:tc>
        <w:tc>
          <w:tcPr>
            <w:tcW w:w="960" w:type="dxa"/>
            <w:tcBorders>
              <w:top w:val="single" w:sz="12" w:space="0" w:color="4F81BD" w:themeColor="accent1"/>
              <w:lef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3.4%</w:t>
            </w:r>
          </w:p>
        </w:tc>
        <w:tc>
          <w:tcPr>
            <w:tcW w:w="960" w:type="dxa"/>
            <w:tcBorders>
              <w:top w:val="single" w:sz="12"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5.8%</w:t>
            </w:r>
          </w:p>
        </w:tc>
        <w:tc>
          <w:tcPr>
            <w:tcW w:w="960" w:type="dxa"/>
            <w:tcBorders>
              <w:top w:val="single" w:sz="12" w:space="0" w:color="4F81BD" w:themeColor="accent1"/>
            </w:tcBorders>
            <w:noWrap/>
            <w:hideMark/>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noWrap/>
            <w:hideMark/>
          </w:tcPr>
          <w:p w:rsidR="00581D11" w:rsidRPr="008F0AE0" w:rsidRDefault="00C869AB" w:rsidP="008F0AE0">
            <w:pPr>
              <w:rPr>
                <w:rFonts w:eastAsia="Times New Roman"/>
                <w:b w:val="0"/>
                <w:sz w:val="18"/>
                <w:szCs w:val="18"/>
              </w:rPr>
            </w:pPr>
            <w:r>
              <w:rPr>
                <w:rFonts w:eastAsia="Times New Roman"/>
                <w:b w:val="0"/>
                <w:sz w:val="18"/>
                <w:szCs w:val="18"/>
              </w:rPr>
              <w:t>Papua New Guinea</w:t>
            </w:r>
          </w:p>
        </w:tc>
        <w:tc>
          <w:tcPr>
            <w:tcW w:w="960"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2000</w:t>
            </w:r>
          </w:p>
        </w:tc>
        <w:tc>
          <w:tcPr>
            <w:tcW w:w="2400" w:type="dxa"/>
            <w:tcBorders>
              <w:right w:val="single" w:sz="8"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54.9%</w:t>
            </w:r>
          </w:p>
        </w:tc>
        <w:tc>
          <w:tcPr>
            <w:tcW w:w="960" w:type="dxa"/>
            <w:tcBorders>
              <w:left w:val="single" w:sz="8"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3.3%</w:t>
            </w:r>
          </w:p>
        </w:tc>
        <w:tc>
          <w:tcPr>
            <w:tcW w:w="960" w:type="dxa"/>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4.9%</w:t>
            </w:r>
          </w:p>
        </w:tc>
        <w:tc>
          <w:tcPr>
            <w:tcW w:w="960" w:type="dxa"/>
            <w:noWrap/>
            <w:hideMark/>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8" w:space="0" w:color="4F81BD" w:themeColor="accent1"/>
              <w:bottom w:val="single" w:sz="12" w:space="0" w:color="4F81BD" w:themeColor="accent1"/>
            </w:tcBorders>
            <w:noWrap/>
            <w:hideMark/>
          </w:tcPr>
          <w:p w:rsidR="00581D11" w:rsidRPr="008F0AE0" w:rsidRDefault="00C869AB" w:rsidP="008F0AE0">
            <w:pPr>
              <w:rPr>
                <w:rFonts w:eastAsia="Times New Roman"/>
                <w:b w:val="0"/>
                <w:sz w:val="18"/>
                <w:szCs w:val="18"/>
              </w:rPr>
            </w:pPr>
            <w:r>
              <w:rPr>
                <w:rFonts w:eastAsia="Times New Roman"/>
                <w:b w:val="0"/>
                <w:sz w:val="18"/>
                <w:szCs w:val="18"/>
              </w:rPr>
              <w:t>Papua New Guinea</w:t>
            </w:r>
          </w:p>
        </w:tc>
        <w:tc>
          <w:tcPr>
            <w:tcW w:w="960" w:type="dxa"/>
            <w:tcBorders>
              <w:top w:val="single" w:sz="8" w:space="0" w:color="4F81BD" w:themeColor="accent1"/>
              <w:bottom w:val="single" w:sz="12" w:space="0" w:color="4F81BD" w:themeColor="accent1"/>
            </w:tcBorders>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2010</w:t>
            </w:r>
          </w:p>
        </w:tc>
        <w:tc>
          <w:tcPr>
            <w:tcW w:w="2400" w:type="dxa"/>
            <w:tcBorders>
              <w:top w:val="single" w:sz="8" w:space="0" w:color="4F81BD" w:themeColor="accent1"/>
              <w:bottom w:val="single" w:sz="12" w:space="0" w:color="4F81BD" w:themeColor="accent1"/>
              <w:righ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45.8%</w:t>
            </w:r>
          </w:p>
        </w:tc>
        <w:tc>
          <w:tcPr>
            <w:tcW w:w="960" w:type="dxa"/>
            <w:tcBorders>
              <w:top w:val="single" w:sz="8" w:space="0" w:color="4F81BD" w:themeColor="accent1"/>
              <w:left w:val="single" w:sz="8" w:space="0" w:color="4F81BD" w:themeColor="accent1"/>
              <w:bottom w:val="single" w:sz="12"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3.5%</w:t>
            </w:r>
          </w:p>
        </w:tc>
        <w:tc>
          <w:tcPr>
            <w:tcW w:w="960" w:type="dxa"/>
            <w:tcBorders>
              <w:top w:val="single" w:sz="8" w:space="0" w:color="4F81BD" w:themeColor="accent1"/>
              <w:bottom w:val="single" w:sz="12"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3.3%</w:t>
            </w:r>
          </w:p>
        </w:tc>
        <w:tc>
          <w:tcPr>
            <w:tcW w:w="960" w:type="dxa"/>
            <w:tcBorders>
              <w:top w:val="single" w:sz="8" w:space="0" w:color="4F81BD" w:themeColor="accent1"/>
              <w:bottom w:val="single" w:sz="12"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2.5%</w:t>
            </w:r>
          </w:p>
        </w:tc>
      </w:tr>
      <w:tr w:rsidR="00581D11" w:rsidRPr="008F0AE0" w:rsidTr="000107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12" w:space="0" w:color="4F81BD" w:themeColor="accent1"/>
            </w:tcBorders>
            <w:noWrap/>
          </w:tcPr>
          <w:p w:rsidR="00581D11" w:rsidRPr="008F0AE0" w:rsidRDefault="00581D11" w:rsidP="008F0AE0">
            <w:pPr>
              <w:rPr>
                <w:rFonts w:eastAsia="Times New Roman"/>
                <w:b w:val="0"/>
                <w:sz w:val="18"/>
                <w:szCs w:val="18"/>
              </w:rPr>
            </w:pPr>
            <w:r w:rsidRPr="008F0AE0">
              <w:rPr>
                <w:rFonts w:eastAsia="Times New Roman"/>
                <w:b w:val="0"/>
                <w:sz w:val="18"/>
                <w:szCs w:val="18"/>
              </w:rPr>
              <w:t>Solomon Islands</w:t>
            </w:r>
          </w:p>
        </w:tc>
        <w:tc>
          <w:tcPr>
            <w:tcW w:w="960" w:type="dxa"/>
            <w:tcBorders>
              <w:top w:val="single" w:sz="12" w:space="0" w:color="4F81BD" w:themeColor="accent1"/>
            </w:tcBorders>
            <w:noWrap/>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1990</w:t>
            </w:r>
          </w:p>
        </w:tc>
        <w:tc>
          <w:tcPr>
            <w:tcW w:w="2400" w:type="dxa"/>
            <w:tcBorders>
              <w:top w:val="single" w:sz="12" w:space="0" w:color="4F81BD" w:themeColor="accent1"/>
              <w:right w:val="single" w:sz="8"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47.4%</w:t>
            </w:r>
          </w:p>
        </w:tc>
        <w:tc>
          <w:tcPr>
            <w:tcW w:w="960" w:type="dxa"/>
            <w:tcBorders>
              <w:top w:val="single" w:sz="12" w:space="0" w:color="4F81BD" w:themeColor="accent1"/>
              <w:left w:val="single" w:sz="8"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3.7%</w:t>
            </w:r>
          </w:p>
        </w:tc>
        <w:tc>
          <w:tcPr>
            <w:tcW w:w="960" w:type="dxa"/>
            <w:tcBorders>
              <w:top w:val="single" w:sz="12"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4.7%</w:t>
            </w:r>
          </w:p>
        </w:tc>
        <w:tc>
          <w:tcPr>
            <w:tcW w:w="960" w:type="dxa"/>
            <w:tcBorders>
              <w:top w:val="single" w:sz="12" w:space="0" w:color="4F81BD" w:themeColor="accent1"/>
            </w:tcBorders>
            <w:noWrap/>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bottom w:val="single" w:sz="8" w:space="0" w:color="4F81BD" w:themeColor="accent1"/>
            </w:tcBorders>
            <w:noWrap/>
          </w:tcPr>
          <w:p w:rsidR="00581D11" w:rsidRPr="008F0AE0" w:rsidRDefault="00581D11" w:rsidP="008F0AE0">
            <w:pPr>
              <w:rPr>
                <w:rFonts w:eastAsia="Times New Roman"/>
                <w:b w:val="0"/>
                <w:sz w:val="18"/>
                <w:szCs w:val="18"/>
              </w:rPr>
            </w:pPr>
            <w:r w:rsidRPr="008F0AE0">
              <w:rPr>
                <w:rFonts w:eastAsia="Times New Roman"/>
                <w:b w:val="0"/>
                <w:sz w:val="18"/>
                <w:szCs w:val="18"/>
              </w:rPr>
              <w:t>Solomon Islands</w:t>
            </w:r>
          </w:p>
        </w:tc>
        <w:tc>
          <w:tcPr>
            <w:tcW w:w="960" w:type="dxa"/>
            <w:tcBorders>
              <w:bottom w:val="single" w:sz="8" w:space="0" w:color="4F81BD" w:themeColor="accent1"/>
            </w:tcBorders>
            <w:noWrap/>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2000</w:t>
            </w:r>
          </w:p>
        </w:tc>
        <w:tc>
          <w:tcPr>
            <w:tcW w:w="2400" w:type="dxa"/>
            <w:tcBorders>
              <w:top w:val="single" w:sz="8" w:space="0" w:color="4F81BD" w:themeColor="accent1"/>
              <w:bottom w:val="single" w:sz="8" w:space="0" w:color="4F81BD" w:themeColor="accent1"/>
              <w:right w:val="single" w:sz="8"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39.2%</w:t>
            </w:r>
          </w:p>
        </w:tc>
        <w:tc>
          <w:tcPr>
            <w:tcW w:w="960" w:type="dxa"/>
            <w:tcBorders>
              <w:left w:val="single" w:sz="8" w:space="0" w:color="4F81BD" w:themeColor="accent1"/>
              <w:bottom w:val="single" w:sz="8"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3.3%</w:t>
            </w:r>
          </w:p>
        </w:tc>
        <w:tc>
          <w:tcPr>
            <w:tcW w:w="960" w:type="dxa"/>
            <w:tcBorders>
              <w:bottom w:val="single" w:sz="8" w:space="0" w:color="4F81BD" w:themeColor="accent1"/>
            </w:tcBorders>
            <w:noWrap/>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3.5%</w:t>
            </w:r>
          </w:p>
        </w:tc>
        <w:tc>
          <w:tcPr>
            <w:tcW w:w="960" w:type="dxa"/>
            <w:tcBorders>
              <w:bottom w:val="single" w:sz="8" w:space="0" w:color="4F81BD" w:themeColor="accent1"/>
            </w:tcBorders>
            <w:noWrap/>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0107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bottom w:val="single" w:sz="12" w:space="0" w:color="4F81BD" w:themeColor="accent1"/>
            </w:tcBorders>
            <w:noWrap/>
          </w:tcPr>
          <w:p w:rsidR="00581D11" w:rsidRPr="008F0AE0" w:rsidRDefault="00581D11" w:rsidP="008F0AE0">
            <w:pPr>
              <w:rPr>
                <w:rFonts w:eastAsia="Times New Roman"/>
                <w:b w:val="0"/>
                <w:sz w:val="18"/>
                <w:szCs w:val="20"/>
              </w:rPr>
            </w:pPr>
            <w:r w:rsidRPr="008F0AE0">
              <w:rPr>
                <w:rFonts w:eastAsia="Times New Roman"/>
                <w:b w:val="0"/>
                <w:sz w:val="18"/>
                <w:szCs w:val="20"/>
              </w:rPr>
              <w:t>Solomon Islands</w:t>
            </w:r>
          </w:p>
        </w:tc>
        <w:tc>
          <w:tcPr>
            <w:tcW w:w="960" w:type="dxa"/>
            <w:tcBorders>
              <w:bottom w:val="single" w:sz="12" w:space="0" w:color="4F81BD" w:themeColor="accent1"/>
            </w:tcBorders>
            <w:noWrap/>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20"/>
              </w:rPr>
            </w:pPr>
            <w:r w:rsidRPr="008F0AE0">
              <w:rPr>
                <w:rFonts w:eastAsia="Times New Roman"/>
                <w:sz w:val="18"/>
                <w:szCs w:val="20"/>
              </w:rPr>
              <w:t>2010</w:t>
            </w:r>
          </w:p>
        </w:tc>
        <w:tc>
          <w:tcPr>
            <w:tcW w:w="2400" w:type="dxa"/>
            <w:tcBorders>
              <w:bottom w:val="single" w:sz="12" w:space="0" w:color="4F81BD" w:themeColor="accent1"/>
              <w:right w:val="single" w:sz="8"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20"/>
              </w:rPr>
            </w:pPr>
            <w:r w:rsidRPr="008F0AE0">
              <w:rPr>
                <w:rFonts w:eastAsia="Times New Roman"/>
                <w:sz w:val="18"/>
                <w:szCs w:val="20"/>
              </w:rPr>
              <w:t>32.9%</w:t>
            </w:r>
          </w:p>
        </w:tc>
        <w:tc>
          <w:tcPr>
            <w:tcW w:w="960" w:type="dxa"/>
            <w:tcBorders>
              <w:left w:val="single" w:sz="8" w:space="0" w:color="4F81BD" w:themeColor="accent1"/>
              <w:bottom w:val="single" w:sz="12"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20"/>
              </w:rPr>
            </w:pPr>
            <w:r w:rsidRPr="008F0AE0">
              <w:rPr>
                <w:rFonts w:eastAsia="Times New Roman"/>
                <w:sz w:val="18"/>
                <w:szCs w:val="20"/>
              </w:rPr>
              <w:t>3.0%</w:t>
            </w:r>
          </w:p>
        </w:tc>
        <w:tc>
          <w:tcPr>
            <w:tcW w:w="960" w:type="dxa"/>
            <w:tcBorders>
              <w:bottom w:val="single" w:sz="12" w:space="0" w:color="4F81BD" w:themeColor="accent1"/>
            </w:tcBorders>
            <w:noWrap/>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20"/>
              </w:rPr>
            </w:pPr>
            <w:r w:rsidRPr="008F0AE0">
              <w:rPr>
                <w:rFonts w:eastAsia="Times New Roman"/>
                <w:sz w:val="18"/>
                <w:szCs w:val="20"/>
              </w:rPr>
              <w:t>2.4%</w:t>
            </w:r>
          </w:p>
        </w:tc>
        <w:tc>
          <w:tcPr>
            <w:tcW w:w="960" w:type="dxa"/>
            <w:tcBorders>
              <w:bottom w:val="single" w:sz="12" w:space="0" w:color="4F81BD" w:themeColor="accent1"/>
            </w:tcBorders>
            <w:noWrap/>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20"/>
              </w:rPr>
            </w:pPr>
            <w:r w:rsidRPr="008F0AE0">
              <w:rPr>
                <w:rFonts w:eastAsia="Times New Roman"/>
                <w:sz w:val="18"/>
                <w:szCs w:val="20"/>
              </w:rPr>
              <w:t>0</w:t>
            </w:r>
            <w:r w:rsidR="0025043B">
              <w:rPr>
                <w:rFonts w:eastAsia="Times New Roman"/>
                <w:sz w:val="18"/>
                <w:szCs w:val="20"/>
              </w:rPr>
              <w:t>.0</w:t>
            </w:r>
            <w:r w:rsidRPr="008F0AE0">
              <w:rPr>
                <w:rFonts w:eastAsia="Times New Roman"/>
                <w:sz w:val="18"/>
                <w:szCs w:val="20"/>
              </w:rPr>
              <w:t>%</w:t>
            </w:r>
          </w:p>
        </w:tc>
      </w:tr>
      <w:tr w:rsidR="00581D11" w:rsidRPr="008F0AE0" w:rsidTr="000107FF">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12" w:space="0" w:color="4F81BD" w:themeColor="accent1"/>
            </w:tcBorders>
            <w:noWrap/>
            <w:hideMark/>
          </w:tcPr>
          <w:p w:rsidR="00581D11" w:rsidRPr="008F0AE0" w:rsidRDefault="00581D11" w:rsidP="008F0AE0">
            <w:pPr>
              <w:rPr>
                <w:rFonts w:eastAsia="Times New Roman"/>
                <w:b w:val="0"/>
                <w:sz w:val="18"/>
                <w:szCs w:val="18"/>
              </w:rPr>
            </w:pPr>
            <w:r w:rsidRPr="008F0AE0">
              <w:rPr>
                <w:rFonts w:eastAsia="Times New Roman"/>
                <w:b w:val="0"/>
                <w:sz w:val="18"/>
                <w:szCs w:val="18"/>
              </w:rPr>
              <w:t>Vanuatu</w:t>
            </w:r>
          </w:p>
        </w:tc>
        <w:tc>
          <w:tcPr>
            <w:tcW w:w="960" w:type="dxa"/>
            <w:tcBorders>
              <w:top w:val="single" w:sz="12" w:space="0" w:color="4F81BD" w:themeColor="accent1"/>
            </w:tcBorders>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1990</w:t>
            </w:r>
          </w:p>
        </w:tc>
        <w:tc>
          <w:tcPr>
            <w:tcW w:w="2400" w:type="dxa"/>
            <w:tcBorders>
              <w:top w:val="single" w:sz="12" w:space="0" w:color="4F81BD" w:themeColor="accent1"/>
              <w:bottom w:val="single" w:sz="8" w:space="0" w:color="4F81BD" w:themeColor="accent1"/>
              <w:righ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41.1%</w:t>
            </w:r>
          </w:p>
        </w:tc>
        <w:tc>
          <w:tcPr>
            <w:tcW w:w="960" w:type="dxa"/>
            <w:tcBorders>
              <w:top w:val="single" w:sz="12" w:space="0" w:color="4F81BD" w:themeColor="accent1"/>
              <w:lef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3.2%</w:t>
            </w:r>
          </w:p>
        </w:tc>
        <w:tc>
          <w:tcPr>
            <w:tcW w:w="960" w:type="dxa"/>
            <w:tcBorders>
              <w:top w:val="single" w:sz="12"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1.1%</w:t>
            </w:r>
          </w:p>
        </w:tc>
        <w:tc>
          <w:tcPr>
            <w:tcW w:w="960" w:type="dxa"/>
            <w:tcBorders>
              <w:top w:val="single" w:sz="12" w:space="0" w:color="4F81BD" w:themeColor="accent1"/>
            </w:tcBorders>
            <w:noWrap/>
            <w:hideMark/>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581D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40" w:type="dxa"/>
            <w:noWrap/>
            <w:hideMark/>
          </w:tcPr>
          <w:p w:rsidR="00581D11" w:rsidRPr="008F0AE0" w:rsidRDefault="00581D11" w:rsidP="008F0AE0">
            <w:pPr>
              <w:rPr>
                <w:rFonts w:eastAsia="Times New Roman"/>
                <w:b w:val="0"/>
                <w:sz w:val="18"/>
                <w:szCs w:val="18"/>
              </w:rPr>
            </w:pPr>
            <w:r w:rsidRPr="008F0AE0">
              <w:rPr>
                <w:rFonts w:eastAsia="Times New Roman"/>
                <w:b w:val="0"/>
                <w:sz w:val="18"/>
                <w:szCs w:val="18"/>
              </w:rPr>
              <w:t>Vanuatu</w:t>
            </w:r>
          </w:p>
        </w:tc>
        <w:tc>
          <w:tcPr>
            <w:tcW w:w="960"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2000</w:t>
            </w:r>
          </w:p>
        </w:tc>
        <w:tc>
          <w:tcPr>
            <w:tcW w:w="2400" w:type="dxa"/>
            <w:tcBorders>
              <w:right w:val="single" w:sz="8"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35.6%</w:t>
            </w:r>
          </w:p>
        </w:tc>
        <w:tc>
          <w:tcPr>
            <w:tcW w:w="960" w:type="dxa"/>
            <w:tcBorders>
              <w:left w:val="single" w:sz="8" w:space="0" w:color="4F81BD" w:themeColor="accent1"/>
            </w:tcBorders>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2.7%</w:t>
            </w:r>
          </w:p>
        </w:tc>
        <w:tc>
          <w:tcPr>
            <w:tcW w:w="960" w:type="dxa"/>
            <w:noWrap/>
            <w:hideMark/>
          </w:tcPr>
          <w:p w:rsidR="00581D11" w:rsidRPr="008F0AE0" w:rsidRDefault="00581D11" w:rsidP="0025043B">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0.8%</w:t>
            </w:r>
          </w:p>
        </w:tc>
        <w:tc>
          <w:tcPr>
            <w:tcW w:w="960" w:type="dxa"/>
            <w:noWrap/>
            <w:hideMark/>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F0AE0">
              <w:rPr>
                <w:rFonts w:eastAsia="Times New Roman"/>
                <w:sz w:val="18"/>
                <w:szCs w:val="18"/>
              </w:rPr>
              <w:t>--</w:t>
            </w:r>
          </w:p>
        </w:tc>
      </w:tr>
      <w:tr w:rsidR="00581D11" w:rsidRPr="008F0AE0" w:rsidTr="00581D11">
        <w:trPr>
          <w:trHeight w:val="300"/>
          <w:jc w:val="center"/>
        </w:trPr>
        <w:tc>
          <w:tcPr>
            <w:cnfStyle w:val="001000000000" w:firstRow="0" w:lastRow="0" w:firstColumn="1" w:lastColumn="0" w:oddVBand="0" w:evenVBand="0" w:oddHBand="0" w:evenHBand="0" w:firstRowFirstColumn="0" w:firstRowLastColumn="0" w:lastRowFirstColumn="0" w:lastRowLastColumn="0"/>
            <w:tcW w:w="1940" w:type="dxa"/>
            <w:noWrap/>
            <w:hideMark/>
          </w:tcPr>
          <w:p w:rsidR="00581D11" w:rsidRPr="008F0AE0" w:rsidRDefault="00581D11" w:rsidP="008F0AE0">
            <w:pPr>
              <w:rPr>
                <w:rFonts w:eastAsia="Times New Roman"/>
                <w:b w:val="0"/>
                <w:sz w:val="18"/>
                <w:szCs w:val="18"/>
              </w:rPr>
            </w:pPr>
            <w:r w:rsidRPr="008F0AE0">
              <w:rPr>
                <w:rFonts w:eastAsia="Times New Roman"/>
                <w:b w:val="0"/>
                <w:sz w:val="18"/>
                <w:szCs w:val="18"/>
              </w:rPr>
              <w:t>Vanuatu</w:t>
            </w:r>
          </w:p>
        </w:tc>
        <w:tc>
          <w:tcPr>
            <w:tcW w:w="960"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2010</w:t>
            </w:r>
          </w:p>
        </w:tc>
        <w:tc>
          <w:tcPr>
            <w:tcW w:w="2400" w:type="dxa"/>
            <w:tcBorders>
              <w:top w:val="single" w:sz="8" w:space="0" w:color="4F81BD" w:themeColor="accent1"/>
              <w:bottom w:val="single" w:sz="8" w:space="0" w:color="4F81BD" w:themeColor="accent1"/>
              <w:righ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30.7%</w:t>
            </w:r>
          </w:p>
        </w:tc>
        <w:tc>
          <w:tcPr>
            <w:tcW w:w="960" w:type="dxa"/>
            <w:tcBorders>
              <w:left w:val="single" w:sz="8" w:space="0" w:color="4F81BD" w:themeColor="accent1"/>
            </w:tcBorders>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2.3%</w:t>
            </w:r>
          </w:p>
        </w:tc>
        <w:tc>
          <w:tcPr>
            <w:tcW w:w="960" w:type="dxa"/>
            <w:noWrap/>
            <w:hideMark/>
          </w:tcPr>
          <w:p w:rsidR="00581D11" w:rsidRPr="008F0AE0" w:rsidRDefault="00581D11" w:rsidP="0025043B">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0.8%</w:t>
            </w:r>
          </w:p>
        </w:tc>
        <w:tc>
          <w:tcPr>
            <w:tcW w:w="960" w:type="dxa"/>
            <w:noWrap/>
            <w:hideMark/>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F0AE0">
              <w:rPr>
                <w:rFonts w:eastAsia="Times New Roman"/>
                <w:sz w:val="18"/>
                <w:szCs w:val="18"/>
              </w:rPr>
              <w:t>0</w:t>
            </w:r>
            <w:r w:rsidR="0025043B">
              <w:rPr>
                <w:rFonts w:eastAsia="Times New Roman"/>
                <w:sz w:val="18"/>
                <w:szCs w:val="18"/>
              </w:rPr>
              <w:t>.0</w:t>
            </w:r>
            <w:r w:rsidRPr="008F0AE0">
              <w:rPr>
                <w:rFonts w:eastAsia="Times New Roman"/>
                <w:sz w:val="18"/>
                <w:szCs w:val="18"/>
              </w:rPr>
              <w:t>%</w:t>
            </w:r>
          </w:p>
        </w:tc>
      </w:tr>
    </w:tbl>
    <w:p w:rsidR="00581D11" w:rsidRPr="008F0AE0" w:rsidRDefault="00581D11" w:rsidP="008F0AE0">
      <w:pPr>
        <w:ind w:right="260" w:firstLine="720"/>
        <w:jc w:val="left"/>
        <w:rPr>
          <w:sz w:val="20"/>
          <w:szCs w:val="20"/>
        </w:rPr>
      </w:pPr>
      <w:r w:rsidRPr="008F0AE0">
        <w:rPr>
          <w:sz w:val="18"/>
          <w:szCs w:val="18"/>
        </w:rPr>
        <w:t xml:space="preserve">Source:  Institute of Health Metrics and Evaluation </w:t>
      </w:r>
      <w:r w:rsidR="0025043B">
        <w:rPr>
          <w:sz w:val="18"/>
          <w:szCs w:val="18"/>
        </w:rPr>
        <w:t>Database</w:t>
      </w:r>
      <w:r w:rsidRPr="008F0AE0">
        <w:rPr>
          <w:sz w:val="20"/>
        </w:rPr>
        <w:br/>
      </w:r>
    </w:p>
    <w:p w:rsidR="00581D11" w:rsidRPr="008F0AE0" w:rsidRDefault="00581D11" w:rsidP="008F0AE0">
      <w:r w:rsidRPr="008F0AE0">
        <w:t xml:space="preserve">The MDGs call for halting and reversing the spread of HIV, malaria, and TB by 2015. As noted above, while progress has been made, many of the five focus countries are not on track to achieve </w:t>
      </w:r>
      <w:r w:rsidR="00CC1A98" w:rsidRPr="008F0AE0">
        <w:t xml:space="preserve">certain </w:t>
      </w:r>
      <w:r w:rsidR="00563154">
        <w:t xml:space="preserve">MDG targets: </w:t>
      </w:r>
      <w:r w:rsidRPr="008F0AE0">
        <w:t xml:space="preserve">(a) HIV/AIDS, off track: Cambodia, Indonesia, </w:t>
      </w:r>
      <w:r w:rsidR="00C869AB">
        <w:t>Papua New Guinea</w:t>
      </w:r>
      <w:r w:rsidRPr="008F0AE0">
        <w:t xml:space="preserve">; and (b) TB, off track: </w:t>
      </w:r>
      <w:r w:rsidR="00C869AB">
        <w:t>Papua New Guinea</w:t>
      </w:r>
      <w:r w:rsidRPr="008F0AE0">
        <w:t xml:space="preserve"> (incidence). While Cambodia, Indonesia and Solomon Islands exceeded WHO’s recommended TB treatment indicator target of 85%, </w:t>
      </w:r>
      <w:r w:rsidR="00C869AB">
        <w:t>Papua New Guinea</w:t>
      </w:r>
      <w:r w:rsidRPr="008F0AE0">
        <w:t xml:space="preserve"> (69%) lagged considerably behind and Vanuatu (82%) was slightly below the threshold.  </w:t>
      </w:r>
    </w:p>
    <w:p w:rsidR="00CC1A98" w:rsidRPr="008F0AE0" w:rsidRDefault="00CC1A98" w:rsidP="008F0AE0"/>
    <w:p w:rsidR="00CC1A98" w:rsidRPr="008F0AE0" w:rsidRDefault="00CC1A98" w:rsidP="000B7857">
      <w:pPr>
        <w:pStyle w:val="Heading3"/>
        <w:numPr>
          <w:ilvl w:val="0"/>
          <w:numId w:val="0"/>
        </w:numPr>
        <w:jc w:val="center"/>
      </w:pPr>
      <w:r w:rsidRPr="008F0AE0">
        <w:t>HIV/AIDS</w:t>
      </w:r>
    </w:p>
    <w:p w:rsidR="00CC1A98" w:rsidRPr="008F0AE0" w:rsidRDefault="00CC1A98" w:rsidP="008F0AE0">
      <w:pPr>
        <w:rPr>
          <w:sz w:val="20"/>
        </w:rPr>
      </w:pPr>
    </w:p>
    <w:p w:rsidR="00CC1A98" w:rsidRPr="008F0AE0" w:rsidRDefault="00CC1A98" w:rsidP="008F0AE0">
      <w:r w:rsidRPr="008F0AE0">
        <w:t xml:space="preserve">There are wide variations </w:t>
      </w:r>
      <w:r w:rsidR="008F0AE0">
        <w:t xml:space="preserve">of HIV prevalence </w:t>
      </w:r>
      <w:r w:rsidRPr="008F0AE0">
        <w:t>across and within the countries</w:t>
      </w:r>
      <w:r w:rsidR="008F0AE0">
        <w:t xml:space="preserve"> (Table 2)</w:t>
      </w:r>
      <w:r w:rsidRPr="008F0AE0">
        <w:t>. For example, Indonesia is one of nine countries where the estimated incidence rate of HIV infection among adults (15-49 years of age) increased over 25% between 2001-2011</w:t>
      </w:r>
      <w:r w:rsidR="008F0AE0">
        <w:t xml:space="preserve">, and the </w:t>
      </w:r>
      <w:r w:rsidR="008F0AE0" w:rsidRPr="008F0AE0">
        <w:t>prevalence of HIV/AIDS varies significantly across the country</w:t>
      </w:r>
      <w:r w:rsidRPr="008F0AE0">
        <w:t>.</w:t>
      </w:r>
      <w:r w:rsidRPr="008F0AE0">
        <w:rPr>
          <w:rStyle w:val="FootnoteReference"/>
        </w:rPr>
        <w:footnoteReference w:id="6"/>
      </w:r>
      <w:r w:rsidRPr="008F0AE0">
        <w:t xml:space="preserve"> </w:t>
      </w:r>
    </w:p>
    <w:p w:rsidR="00CC1A98" w:rsidRPr="008F0AE0" w:rsidRDefault="00CC1A98" w:rsidP="008F0AE0">
      <w:pPr>
        <w:rPr>
          <w:bCs/>
        </w:rPr>
      </w:pPr>
    </w:p>
    <w:p w:rsidR="00CC1A98" w:rsidRPr="00A61F71" w:rsidRDefault="00CC1A98" w:rsidP="008F0AE0">
      <w:pPr>
        <w:pStyle w:val="Caption"/>
        <w:spacing w:after="0"/>
        <w:jc w:val="center"/>
        <w:rPr>
          <w:color w:val="auto"/>
          <w:sz w:val="20"/>
        </w:rPr>
      </w:pPr>
      <w:bookmarkStart w:id="2" w:name="_Ref398880865"/>
      <w:r w:rsidRPr="00A61F71">
        <w:rPr>
          <w:color w:val="auto"/>
          <w:sz w:val="20"/>
        </w:rPr>
        <w:t>Table</w:t>
      </w:r>
      <w:bookmarkEnd w:id="2"/>
      <w:r w:rsidRPr="00A61F71">
        <w:rPr>
          <w:color w:val="auto"/>
          <w:sz w:val="20"/>
        </w:rPr>
        <w:t xml:space="preserve"> </w:t>
      </w:r>
      <w:r w:rsidR="008F0AE0" w:rsidRPr="00A61F71">
        <w:rPr>
          <w:color w:val="auto"/>
          <w:sz w:val="20"/>
        </w:rPr>
        <w:t>2</w:t>
      </w:r>
      <w:r w:rsidRPr="00A61F71">
        <w:rPr>
          <w:color w:val="auto"/>
          <w:sz w:val="20"/>
        </w:rPr>
        <w:t>: HIV prevalence among population aged 15-49 years, 2010-2012</w:t>
      </w:r>
    </w:p>
    <w:tbl>
      <w:tblPr>
        <w:tblStyle w:val="LightList-Accent1"/>
        <w:tblW w:w="0" w:type="auto"/>
        <w:jc w:val="center"/>
        <w:tblLook w:val="04A0" w:firstRow="1" w:lastRow="0" w:firstColumn="1" w:lastColumn="0" w:noHBand="0" w:noVBand="1"/>
      </w:tblPr>
      <w:tblGrid>
        <w:gridCol w:w="3192"/>
        <w:gridCol w:w="1465"/>
        <w:gridCol w:w="1445"/>
        <w:gridCol w:w="1493"/>
      </w:tblGrid>
      <w:tr w:rsidR="00CC1A98" w:rsidRPr="008F0AE0" w:rsidTr="004E17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4F81BD" w:themeColor="accent1"/>
            </w:tcBorders>
          </w:tcPr>
          <w:p w:rsidR="00CC1A98" w:rsidRPr="00A61F71" w:rsidRDefault="00CC1A98" w:rsidP="008F0AE0">
            <w:pPr>
              <w:rPr>
                <w:color w:val="auto"/>
                <w:sz w:val="20"/>
              </w:rPr>
            </w:pPr>
            <w:r w:rsidRPr="00A61F71">
              <w:rPr>
                <w:color w:val="auto"/>
                <w:sz w:val="20"/>
              </w:rPr>
              <w:t>Country</w:t>
            </w:r>
          </w:p>
        </w:tc>
        <w:tc>
          <w:tcPr>
            <w:tcW w:w="4403" w:type="dxa"/>
            <w:gridSpan w:val="3"/>
            <w:tcBorders>
              <w:bottom w:val="single" w:sz="8" w:space="0" w:color="4F81BD" w:themeColor="accent1"/>
            </w:tcBorders>
          </w:tcPr>
          <w:p w:rsidR="00CC1A98" w:rsidRPr="00A61F71" w:rsidRDefault="00CC1A98" w:rsidP="008F0AE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HIV prevalence among population aged 15-49 years</w:t>
            </w:r>
            <w:r w:rsidR="000B7857">
              <w:rPr>
                <w:color w:val="auto"/>
                <w:sz w:val="20"/>
              </w:rPr>
              <w:t xml:space="preserve"> (%)</w:t>
            </w:r>
          </w:p>
        </w:tc>
      </w:tr>
      <w:tr w:rsidR="00CC1A98" w:rsidRPr="008F0AE0" w:rsidTr="004E17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shd w:val="clear" w:color="auto" w:fill="4F81BD" w:themeFill="accent1"/>
          </w:tcPr>
          <w:p w:rsidR="00CC1A98" w:rsidRPr="008F0AE0" w:rsidRDefault="00CC1A98" w:rsidP="008F0AE0">
            <w:pPr>
              <w:rPr>
                <w:sz w:val="20"/>
              </w:rPr>
            </w:pPr>
          </w:p>
        </w:tc>
        <w:tc>
          <w:tcPr>
            <w:tcW w:w="1465" w:type="dxa"/>
            <w:shd w:val="clear" w:color="auto" w:fill="4F81BD" w:themeFill="accent1"/>
          </w:tcPr>
          <w:p w:rsidR="00CC1A98" w:rsidRPr="00A61F71"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2010</w:t>
            </w:r>
          </w:p>
        </w:tc>
        <w:tc>
          <w:tcPr>
            <w:tcW w:w="1445" w:type="dxa"/>
            <w:shd w:val="clear" w:color="auto" w:fill="4F81BD" w:themeFill="accent1"/>
          </w:tcPr>
          <w:p w:rsidR="00CC1A98" w:rsidRPr="00A61F71"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2011</w:t>
            </w:r>
          </w:p>
        </w:tc>
        <w:tc>
          <w:tcPr>
            <w:tcW w:w="1493" w:type="dxa"/>
            <w:shd w:val="clear" w:color="auto" w:fill="4F81BD" w:themeFill="accent1"/>
          </w:tcPr>
          <w:p w:rsidR="00CC1A98" w:rsidRPr="00A61F71"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2012</w:t>
            </w:r>
          </w:p>
        </w:tc>
      </w:tr>
      <w:tr w:rsidR="00CC1A98" w:rsidRPr="008F0AE0" w:rsidTr="004E17FB">
        <w:trPr>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rPr>
                <w:b w:val="0"/>
                <w:sz w:val="20"/>
                <w:szCs w:val="20"/>
              </w:rPr>
            </w:pPr>
            <w:r w:rsidRPr="008F0AE0">
              <w:rPr>
                <w:b w:val="0"/>
                <w:sz w:val="20"/>
                <w:szCs w:val="20"/>
              </w:rPr>
              <w:t>Cambodia</w:t>
            </w:r>
          </w:p>
        </w:tc>
        <w:tc>
          <w:tcPr>
            <w:tcW w:w="1465" w:type="dxa"/>
            <w:vAlign w:val="bottom"/>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0.8</w:t>
            </w:r>
          </w:p>
        </w:tc>
        <w:tc>
          <w:tcPr>
            <w:tcW w:w="1445" w:type="dxa"/>
            <w:vAlign w:val="bottom"/>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0.8</w:t>
            </w:r>
          </w:p>
        </w:tc>
        <w:tc>
          <w:tcPr>
            <w:tcW w:w="1493" w:type="dxa"/>
            <w:tcBorders>
              <w:top w:val="single" w:sz="8" w:space="0" w:color="4F81BD" w:themeColor="accent1"/>
              <w:bottom w:val="single" w:sz="8" w:space="0" w:color="4F81BD" w:themeColor="accent1"/>
              <w:right w:val="single" w:sz="8" w:space="0" w:color="4F81BD" w:themeColor="accent1"/>
            </w:tcBorders>
            <w:vAlign w:val="bottom"/>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0.8</w:t>
            </w:r>
          </w:p>
        </w:tc>
      </w:tr>
      <w:tr w:rsidR="00CC1A98" w:rsidRPr="008F0AE0" w:rsidTr="004E17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rPr>
                <w:rFonts w:eastAsia="Times New Roman"/>
                <w:b w:val="0"/>
                <w:sz w:val="20"/>
                <w:szCs w:val="20"/>
              </w:rPr>
            </w:pPr>
            <w:r w:rsidRPr="008F0AE0">
              <w:rPr>
                <w:rFonts w:eastAsia="Times New Roman"/>
                <w:b w:val="0"/>
                <w:sz w:val="20"/>
                <w:szCs w:val="20"/>
              </w:rPr>
              <w:t>Indonesia</w:t>
            </w:r>
          </w:p>
        </w:tc>
        <w:tc>
          <w:tcPr>
            <w:tcW w:w="1465" w:type="dxa"/>
            <w:vAlign w:val="bottom"/>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0.4</w:t>
            </w:r>
          </w:p>
        </w:tc>
        <w:tc>
          <w:tcPr>
            <w:tcW w:w="1445" w:type="dxa"/>
            <w:vAlign w:val="bottom"/>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0.4</w:t>
            </w:r>
          </w:p>
        </w:tc>
        <w:tc>
          <w:tcPr>
            <w:tcW w:w="1493" w:type="dxa"/>
            <w:vAlign w:val="bottom"/>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0.4</w:t>
            </w:r>
          </w:p>
        </w:tc>
      </w:tr>
      <w:tr w:rsidR="00CC1A98" w:rsidRPr="008F0AE0" w:rsidTr="004E17FB">
        <w:trPr>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rPr>
                <w:rFonts w:eastAsia="Times New Roman"/>
                <w:b w:val="0"/>
                <w:sz w:val="20"/>
                <w:szCs w:val="20"/>
              </w:rPr>
            </w:pPr>
            <w:r w:rsidRPr="008F0AE0">
              <w:rPr>
                <w:rFonts w:eastAsia="Times New Roman"/>
                <w:b w:val="0"/>
                <w:sz w:val="20"/>
                <w:szCs w:val="20"/>
              </w:rPr>
              <w:t>P</w:t>
            </w:r>
            <w:r w:rsidR="000B7857">
              <w:rPr>
                <w:rFonts w:eastAsia="Times New Roman"/>
                <w:b w:val="0"/>
                <w:sz w:val="20"/>
                <w:szCs w:val="20"/>
              </w:rPr>
              <w:t xml:space="preserve">apua </w:t>
            </w:r>
            <w:r w:rsidRPr="008F0AE0">
              <w:rPr>
                <w:rFonts w:eastAsia="Times New Roman"/>
                <w:b w:val="0"/>
                <w:sz w:val="20"/>
                <w:szCs w:val="20"/>
              </w:rPr>
              <w:t>N</w:t>
            </w:r>
            <w:r w:rsidR="000B7857">
              <w:rPr>
                <w:rFonts w:eastAsia="Times New Roman"/>
                <w:b w:val="0"/>
                <w:sz w:val="20"/>
                <w:szCs w:val="20"/>
              </w:rPr>
              <w:t xml:space="preserve">ew </w:t>
            </w:r>
            <w:r w:rsidRPr="008F0AE0">
              <w:rPr>
                <w:rFonts w:eastAsia="Times New Roman"/>
                <w:b w:val="0"/>
                <w:sz w:val="20"/>
                <w:szCs w:val="20"/>
              </w:rPr>
              <w:t>G</w:t>
            </w:r>
            <w:r w:rsidR="000B7857">
              <w:rPr>
                <w:rFonts w:eastAsia="Times New Roman"/>
                <w:b w:val="0"/>
                <w:sz w:val="20"/>
                <w:szCs w:val="20"/>
              </w:rPr>
              <w:t>uinea</w:t>
            </w:r>
          </w:p>
        </w:tc>
        <w:tc>
          <w:tcPr>
            <w:tcW w:w="1465" w:type="dxa"/>
            <w:vAlign w:val="bottom"/>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0.6</w:t>
            </w:r>
          </w:p>
        </w:tc>
        <w:tc>
          <w:tcPr>
            <w:tcW w:w="1445" w:type="dxa"/>
            <w:vAlign w:val="bottom"/>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0.6</w:t>
            </w:r>
          </w:p>
        </w:tc>
        <w:tc>
          <w:tcPr>
            <w:tcW w:w="1493" w:type="dxa"/>
            <w:tcBorders>
              <w:top w:val="single" w:sz="8" w:space="0" w:color="4F81BD" w:themeColor="accent1"/>
              <w:bottom w:val="single" w:sz="8" w:space="0" w:color="4F81BD" w:themeColor="accent1"/>
              <w:right w:val="single" w:sz="8" w:space="0" w:color="4F81BD" w:themeColor="accent1"/>
            </w:tcBorders>
            <w:vAlign w:val="bottom"/>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0.5</w:t>
            </w:r>
          </w:p>
        </w:tc>
      </w:tr>
      <w:tr w:rsidR="00CC1A98" w:rsidRPr="008F0AE0" w:rsidTr="004E17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rPr>
                <w:rFonts w:eastAsia="Times New Roman"/>
                <w:b w:val="0"/>
                <w:sz w:val="20"/>
                <w:szCs w:val="20"/>
              </w:rPr>
            </w:pPr>
            <w:r w:rsidRPr="008F0AE0">
              <w:rPr>
                <w:rFonts w:eastAsia="Times New Roman"/>
                <w:b w:val="0"/>
                <w:sz w:val="20"/>
                <w:szCs w:val="20"/>
              </w:rPr>
              <w:t>Solomon Is</w:t>
            </w:r>
            <w:r w:rsidR="000B7857">
              <w:rPr>
                <w:rFonts w:eastAsia="Times New Roman"/>
                <w:b w:val="0"/>
                <w:sz w:val="20"/>
                <w:szCs w:val="20"/>
              </w:rPr>
              <w:t>lands</w:t>
            </w:r>
          </w:p>
        </w:tc>
        <w:tc>
          <w:tcPr>
            <w:tcW w:w="1465" w:type="dxa"/>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n.a.</w:t>
            </w:r>
          </w:p>
        </w:tc>
        <w:tc>
          <w:tcPr>
            <w:tcW w:w="1445" w:type="dxa"/>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n.a.</w:t>
            </w:r>
          </w:p>
        </w:tc>
        <w:tc>
          <w:tcPr>
            <w:tcW w:w="1493" w:type="dxa"/>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 xml:space="preserve">.004 </w:t>
            </w:r>
            <w:r w:rsidRPr="008F0AE0">
              <w:rPr>
                <w:sz w:val="20"/>
                <w:szCs w:val="20"/>
                <w:vertAlign w:val="superscript"/>
              </w:rPr>
              <w:t>a/</w:t>
            </w:r>
          </w:p>
        </w:tc>
      </w:tr>
      <w:tr w:rsidR="00CC1A98" w:rsidRPr="008F0AE0" w:rsidTr="004E17FB">
        <w:trPr>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rPr>
                <w:rFonts w:eastAsia="Times New Roman"/>
                <w:b w:val="0"/>
                <w:sz w:val="20"/>
                <w:szCs w:val="20"/>
              </w:rPr>
            </w:pPr>
            <w:r w:rsidRPr="008F0AE0">
              <w:rPr>
                <w:rFonts w:eastAsia="Times New Roman"/>
                <w:b w:val="0"/>
                <w:sz w:val="20"/>
                <w:szCs w:val="20"/>
              </w:rPr>
              <w:t>Vanuatu</w:t>
            </w:r>
          </w:p>
        </w:tc>
        <w:tc>
          <w:tcPr>
            <w:tcW w:w="1465" w:type="dxa"/>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w:t>
            </w:r>
          </w:p>
        </w:tc>
        <w:tc>
          <w:tcPr>
            <w:tcW w:w="1445" w:type="dxa"/>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w:t>
            </w:r>
          </w:p>
        </w:tc>
        <w:tc>
          <w:tcPr>
            <w:tcW w:w="1493" w:type="dxa"/>
            <w:tcBorders>
              <w:top w:val="single" w:sz="8" w:space="0" w:color="4F81BD" w:themeColor="accent1"/>
              <w:bottom w:val="single" w:sz="8" w:space="0" w:color="4F81BD" w:themeColor="accent1"/>
              <w:right w:val="single" w:sz="8" w:space="0" w:color="4F81BD" w:themeColor="accent1"/>
            </w:tcBorders>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w:t>
            </w:r>
          </w:p>
        </w:tc>
      </w:tr>
    </w:tbl>
    <w:p w:rsidR="00CC1A98" w:rsidRPr="008F0AE0" w:rsidRDefault="00CC1A98" w:rsidP="000B7857">
      <w:pPr>
        <w:keepNext/>
        <w:ind w:left="2160" w:right="990" w:hanging="720"/>
        <w:rPr>
          <w:rFonts w:eastAsia="Times New Roman"/>
          <w:sz w:val="18"/>
          <w:szCs w:val="18"/>
        </w:rPr>
      </w:pPr>
      <w:r w:rsidRPr="008F0AE0">
        <w:rPr>
          <w:rFonts w:eastAsia="Times New Roman"/>
          <w:sz w:val="18"/>
          <w:szCs w:val="18"/>
        </w:rPr>
        <w:t>Source:</w:t>
      </w:r>
      <w:r w:rsidRPr="008F0AE0">
        <w:rPr>
          <w:rFonts w:eastAsia="Times New Roman"/>
          <w:sz w:val="18"/>
          <w:szCs w:val="18"/>
        </w:rPr>
        <w:tab/>
        <w:t>World Development Indicators; MDG Indicators, UN, 2014; Ministry of Health, Solomon Islands, Solomon Islands Global AIDS Response Progress Report, 2014</w:t>
      </w:r>
      <w:r w:rsidR="000B7857">
        <w:rPr>
          <w:rFonts w:eastAsia="Times New Roman"/>
          <w:sz w:val="18"/>
          <w:szCs w:val="18"/>
        </w:rPr>
        <w:t xml:space="preserve">; </w:t>
      </w:r>
      <w:r w:rsidRPr="008F0AE0">
        <w:rPr>
          <w:rFonts w:eastAsia="Times New Roman"/>
          <w:sz w:val="18"/>
          <w:szCs w:val="18"/>
        </w:rPr>
        <w:t>Note: a/ 2013 data.</w:t>
      </w:r>
    </w:p>
    <w:p w:rsidR="00CC1A98" w:rsidRPr="008F0AE0" w:rsidRDefault="00CC1A98" w:rsidP="008F0AE0">
      <w:pPr>
        <w:pStyle w:val="Heading3"/>
        <w:numPr>
          <w:ilvl w:val="0"/>
          <w:numId w:val="0"/>
        </w:numPr>
        <w:ind w:left="360"/>
      </w:pPr>
    </w:p>
    <w:p w:rsidR="00CC1A98" w:rsidRPr="008F0AE0" w:rsidRDefault="00CC1A98" w:rsidP="000B7857">
      <w:pPr>
        <w:pStyle w:val="Heading3"/>
        <w:numPr>
          <w:ilvl w:val="0"/>
          <w:numId w:val="0"/>
        </w:numPr>
        <w:jc w:val="center"/>
      </w:pPr>
      <w:r w:rsidRPr="008F0AE0">
        <w:t>Tuberculosis</w:t>
      </w:r>
    </w:p>
    <w:p w:rsidR="00CC1A98" w:rsidRPr="008F0AE0" w:rsidRDefault="00CC1A98" w:rsidP="008F0AE0"/>
    <w:p w:rsidR="00CC1A98" w:rsidRPr="008F0AE0" w:rsidRDefault="00CC1A98" w:rsidP="008F0AE0">
      <w:r w:rsidRPr="008F0AE0">
        <w:t xml:space="preserve">The </w:t>
      </w:r>
      <w:r w:rsidR="008F0AE0">
        <w:t>c</w:t>
      </w:r>
      <w:r w:rsidRPr="008F0AE0">
        <w:t>ountries include two of the 22 high-burden TB countries: Cambodia and Indonesia.</w:t>
      </w:r>
      <w:r w:rsidRPr="008F0AE0">
        <w:rPr>
          <w:rStyle w:val="FootnoteReference"/>
        </w:rPr>
        <w:footnoteReference w:id="7"/>
      </w:r>
      <w:r w:rsidRPr="008F0AE0">
        <w:t xml:space="preserve"> In Cambodia, the estimated incidence rate of TB was 424/100,000 population, the prevalence rate was 817/100,000 population, and the death rate was 63/100,000 population in 2011 (</w:t>
      </w:r>
      <w:r w:rsidR="008F0AE0">
        <w:t>Table 3</w:t>
      </w:r>
      <w:r w:rsidRPr="008F0AE0">
        <w:t>).  Indonesia has an estimated TB prevalence of 730,000 cases or 6.1% of the world’s TB cases, and is the fifth highest contributor to missed cases (cases which are not diagnosed or diagnosed but not reported) globally</w:t>
      </w:r>
      <w:r w:rsidR="00C869AB">
        <w:t xml:space="preserve"> </w:t>
      </w:r>
      <w:r w:rsidRPr="008F0AE0">
        <w:t>suggesting deficiencies in the surveillance, diagnosis, and treatment of TB.</w:t>
      </w:r>
      <w:r w:rsidRPr="008F0AE0">
        <w:rPr>
          <w:rStyle w:val="FootnoteReference"/>
        </w:rPr>
        <w:footnoteReference w:id="8"/>
      </w:r>
      <w:r w:rsidRPr="008F0AE0">
        <w:t xml:space="preserve"> </w:t>
      </w:r>
    </w:p>
    <w:p w:rsidR="00CC1A98" w:rsidRPr="008F0AE0" w:rsidRDefault="00CC1A98" w:rsidP="008F0AE0"/>
    <w:p w:rsidR="00CC1A98" w:rsidRPr="00A61F71" w:rsidRDefault="00CC1A98" w:rsidP="008F0AE0">
      <w:pPr>
        <w:pStyle w:val="Caption"/>
        <w:keepNext/>
        <w:spacing w:after="0"/>
        <w:jc w:val="center"/>
        <w:rPr>
          <w:color w:val="auto"/>
          <w:sz w:val="20"/>
        </w:rPr>
      </w:pPr>
      <w:bookmarkStart w:id="3" w:name="_Ref398880883"/>
      <w:r w:rsidRPr="00A61F71">
        <w:rPr>
          <w:color w:val="auto"/>
          <w:sz w:val="20"/>
        </w:rPr>
        <w:t>Table</w:t>
      </w:r>
      <w:bookmarkEnd w:id="3"/>
      <w:r w:rsidR="000107FF" w:rsidRPr="00A61F71">
        <w:rPr>
          <w:color w:val="auto"/>
          <w:sz w:val="20"/>
        </w:rPr>
        <w:t xml:space="preserve"> </w:t>
      </w:r>
      <w:r w:rsidR="008F0AE0" w:rsidRPr="00A61F71">
        <w:rPr>
          <w:color w:val="auto"/>
          <w:sz w:val="20"/>
        </w:rPr>
        <w:t>3</w:t>
      </w:r>
      <w:r w:rsidRPr="00A61F71">
        <w:rPr>
          <w:color w:val="auto"/>
          <w:sz w:val="20"/>
        </w:rPr>
        <w:t>: Select TB indicators by country, 2010-2012</w:t>
      </w:r>
    </w:p>
    <w:tbl>
      <w:tblPr>
        <w:tblStyle w:val="LightList-Accent1"/>
        <w:tblW w:w="0" w:type="auto"/>
        <w:jc w:val="center"/>
        <w:tblLook w:val="04A0" w:firstRow="1" w:lastRow="0" w:firstColumn="1" w:lastColumn="0" w:noHBand="0" w:noVBand="1"/>
      </w:tblPr>
      <w:tblGrid>
        <w:gridCol w:w="3192"/>
        <w:gridCol w:w="982"/>
        <w:gridCol w:w="982"/>
        <w:gridCol w:w="982"/>
        <w:gridCol w:w="1064"/>
        <w:gridCol w:w="1064"/>
        <w:gridCol w:w="1064"/>
      </w:tblGrid>
      <w:tr w:rsidR="00CC1A98" w:rsidRPr="008F0AE0" w:rsidTr="005F52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Borders>
              <w:bottom w:val="single" w:sz="8" w:space="0" w:color="4F81BD" w:themeColor="accent1"/>
            </w:tcBorders>
          </w:tcPr>
          <w:p w:rsidR="00CC1A98" w:rsidRPr="00A61F71" w:rsidRDefault="00CC1A98" w:rsidP="008F0AE0">
            <w:pPr>
              <w:keepNext/>
              <w:rPr>
                <w:color w:val="auto"/>
                <w:sz w:val="20"/>
              </w:rPr>
            </w:pPr>
            <w:r w:rsidRPr="00A61F71">
              <w:rPr>
                <w:color w:val="auto"/>
                <w:sz w:val="20"/>
              </w:rPr>
              <w:t>Country</w:t>
            </w:r>
          </w:p>
        </w:tc>
        <w:tc>
          <w:tcPr>
            <w:tcW w:w="2946" w:type="dxa"/>
            <w:gridSpan w:val="3"/>
            <w:tcBorders>
              <w:bottom w:val="single" w:sz="8" w:space="0" w:color="4F81BD" w:themeColor="accent1"/>
            </w:tcBorders>
          </w:tcPr>
          <w:p w:rsidR="00CC1A98" w:rsidRPr="00A61F71" w:rsidRDefault="00CC1A98" w:rsidP="008F0AE0">
            <w:pPr>
              <w:keepNext/>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Incidence of TB</w:t>
            </w:r>
          </w:p>
          <w:p w:rsidR="00CC1A98" w:rsidRPr="00A61F71" w:rsidRDefault="00CC1A98" w:rsidP="008F0AE0">
            <w:pPr>
              <w:keepNext/>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(per 100,000 people)</w:t>
            </w:r>
          </w:p>
        </w:tc>
        <w:tc>
          <w:tcPr>
            <w:tcW w:w="3192" w:type="dxa"/>
            <w:gridSpan w:val="3"/>
            <w:tcBorders>
              <w:bottom w:val="single" w:sz="8" w:space="0" w:color="4F81BD" w:themeColor="accent1"/>
            </w:tcBorders>
          </w:tcPr>
          <w:p w:rsidR="00CC1A98" w:rsidRPr="00A61F71" w:rsidRDefault="00CC1A98" w:rsidP="008F0AE0">
            <w:pPr>
              <w:keepNext/>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TB prevalence rate</w:t>
            </w:r>
          </w:p>
          <w:p w:rsidR="00CC1A98" w:rsidRPr="00A61F71" w:rsidRDefault="00CC1A98" w:rsidP="008F0AE0">
            <w:pPr>
              <w:keepNext/>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(per 100,000 people)</w:t>
            </w:r>
          </w:p>
        </w:tc>
      </w:tr>
      <w:tr w:rsidR="00CC1A98" w:rsidRPr="008F0AE0" w:rsidTr="005F52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shd w:val="clear" w:color="auto" w:fill="4F81BD" w:themeFill="accent1"/>
          </w:tcPr>
          <w:p w:rsidR="00CC1A98" w:rsidRPr="008F0AE0" w:rsidRDefault="00CC1A98" w:rsidP="008F0AE0">
            <w:pPr>
              <w:keepNext/>
              <w:rPr>
                <w:sz w:val="20"/>
              </w:rPr>
            </w:pPr>
          </w:p>
        </w:tc>
        <w:tc>
          <w:tcPr>
            <w:tcW w:w="982" w:type="dxa"/>
            <w:shd w:val="clear" w:color="auto" w:fill="4F81BD" w:themeFill="accent1"/>
          </w:tcPr>
          <w:p w:rsidR="00CC1A98" w:rsidRPr="00A61F71"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2010</w:t>
            </w:r>
          </w:p>
        </w:tc>
        <w:tc>
          <w:tcPr>
            <w:tcW w:w="982" w:type="dxa"/>
            <w:shd w:val="clear" w:color="auto" w:fill="4F81BD" w:themeFill="accent1"/>
          </w:tcPr>
          <w:p w:rsidR="00CC1A98" w:rsidRPr="00A61F71"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2011</w:t>
            </w:r>
          </w:p>
        </w:tc>
        <w:tc>
          <w:tcPr>
            <w:tcW w:w="982" w:type="dxa"/>
            <w:shd w:val="clear" w:color="auto" w:fill="4F81BD" w:themeFill="accent1"/>
          </w:tcPr>
          <w:p w:rsidR="00CC1A98" w:rsidRPr="00A61F71"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2012</w:t>
            </w:r>
          </w:p>
        </w:tc>
        <w:tc>
          <w:tcPr>
            <w:tcW w:w="1064" w:type="dxa"/>
            <w:shd w:val="clear" w:color="auto" w:fill="4F81BD" w:themeFill="accent1"/>
          </w:tcPr>
          <w:p w:rsidR="00CC1A98" w:rsidRPr="00A61F71"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2010</w:t>
            </w:r>
          </w:p>
        </w:tc>
        <w:tc>
          <w:tcPr>
            <w:tcW w:w="1064" w:type="dxa"/>
            <w:shd w:val="clear" w:color="auto" w:fill="4F81BD" w:themeFill="accent1"/>
          </w:tcPr>
          <w:p w:rsidR="00CC1A98" w:rsidRPr="00A61F71"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2011</w:t>
            </w:r>
          </w:p>
        </w:tc>
        <w:tc>
          <w:tcPr>
            <w:tcW w:w="1064" w:type="dxa"/>
            <w:shd w:val="clear" w:color="auto" w:fill="4F81BD" w:themeFill="accent1"/>
          </w:tcPr>
          <w:p w:rsidR="00CC1A98" w:rsidRPr="00A61F71"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2012</w:t>
            </w:r>
          </w:p>
        </w:tc>
      </w:tr>
      <w:tr w:rsidR="00CC1A98" w:rsidRPr="008F0AE0" w:rsidTr="005F5282">
        <w:trPr>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keepNext/>
              <w:rPr>
                <w:b w:val="0"/>
                <w:sz w:val="20"/>
                <w:szCs w:val="20"/>
              </w:rPr>
            </w:pPr>
            <w:r w:rsidRPr="008F0AE0">
              <w:rPr>
                <w:b w:val="0"/>
                <w:sz w:val="20"/>
                <w:szCs w:val="20"/>
              </w:rPr>
              <w:t>Cambodia</w:t>
            </w:r>
          </w:p>
        </w:tc>
        <w:tc>
          <w:tcPr>
            <w:tcW w:w="982"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437</w:t>
            </w:r>
          </w:p>
        </w:tc>
        <w:tc>
          <w:tcPr>
            <w:tcW w:w="982"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424</w:t>
            </w:r>
          </w:p>
        </w:tc>
        <w:tc>
          <w:tcPr>
            <w:tcW w:w="982" w:type="dxa"/>
            <w:tcBorders>
              <w:top w:val="single" w:sz="8" w:space="0" w:color="4F81BD" w:themeColor="accent1"/>
              <w:bottom w:val="single" w:sz="8" w:space="0" w:color="4F81BD" w:themeColor="accent1"/>
              <w:right w:val="single" w:sz="8" w:space="0" w:color="4F81BD" w:themeColor="accent1"/>
            </w:tcBorders>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411</w:t>
            </w:r>
          </w:p>
        </w:tc>
        <w:tc>
          <w:tcPr>
            <w:tcW w:w="1064" w:type="dxa"/>
            <w:tcBorders>
              <w:left w:val="single" w:sz="8" w:space="0" w:color="4F81BD" w:themeColor="accent1"/>
            </w:tcBorders>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875</w:t>
            </w:r>
          </w:p>
        </w:tc>
        <w:tc>
          <w:tcPr>
            <w:tcW w:w="1064"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817</w:t>
            </w:r>
          </w:p>
        </w:tc>
        <w:tc>
          <w:tcPr>
            <w:tcW w:w="1064"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764</w:t>
            </w:r>
          </w:p>
        </w:tc>
      </w:tr>
      <w:tr w:rsidR="00CC1A98" w:rsidRPr="008F0AE0" w:rsidTr="005F52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keepNext/>
              <w:rPr>
                <w:rFonts w:eastAsia="Times New Roman"/>
                <w:b w:val="0"/>
                <w:sz w:val="20"/>
                <w:szCs w:val="20"/>
              </w:rPr>
            </w:pPr>
            <w:r w:rsidRPr="008F0AE0">
              <w:rPr>
                <w:rFonts w:eastAsia="Times New Roman"/>
                <w:b w:val="0"/>
                <w:sz w:val="20"/>
                <w:szCs w:val="20"/>
              </w:rPr>
              <w:t>Indonesia</w:t>
            </w:r>
          </w:p>
        </w:tc>
        <w:tc>
          <w:tcPr>
            <w:tcW w:w="982" w:type="dxa"/>
            <w:vAlign w:val="bottom"/>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189</w:t>
            </w:r>
          </w:p>
        </w:tc>
        <w:tc>
          <w:tcPr>
            <w:tcW w:w="982" w:type="dxa"/>
            <w:vAlign w:val="bottom"/>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187</w:t>
            </w:r>
          </w:p>
        </w:tc>
        <w:tc>
          <w:tcPr>
            <w:tcW w:w="982" w:type="dxa"/>
            <w:tcBorders>
              <w:right w:val="single" w:sz="8" w:space="0" w:color="4F81BD" w:themeColor="accent1"/>
            </w:tcBorders>
            <w:vAlign w:val="bottom"/>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185</w:t>
            </w:r>
          </w:p>
        </w:tc>
        <w:tc>
          <w:tcPr>
            <w:tcW w:w="1064" w:type="dxa"/>
            <w:tcBorders>
              <w:left w:val="single" w:sz="8" w:space="0" w:color="4F81BD" w:themeColor="accent1"/>
            </w:tcBorders>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306</w:t>
            </w:r>
          </w:p>
        </w:tc>
        <w:tc>
          <w:tcPr>
            <w:tcW w:w="1064" w:type="dxa"/>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301</w:t>
            </w:r>
          </w:p>
        </w:tc>
        <w:tc>
          <w:tcPr>
            <w:tcW w:w="1064" w:type="dxa"/>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297</w:t>
            </w:r>
          </w:p>
        </w:tc>
      </w:tr>
      <w:tr w:rsidR="00CC1A98" w:rsidRPr="008F0AE0" w:rsidTr="005F5282">
        <w:trPr>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869AB" w:rsidP="008F0AE0">
            <w:pPr>
              <w:keepNext/>
              <w:rPr>
                <w:rFonts w:eastAsia="Times New Roman"/>
                <w:b w:val="0"/>
                <w:sz w:val="20"/>
                <w:szCs w:val="20"/>
              </w:rPr>
            </w:pPr>
            <w:r>
              <w:rPr>
                <w:rFonts w:eastAsia="Times New Roman"/>
                <w:b w:val="0"/>
                <w:sz w:val="20"/>
                <w:szCs w:val="20"/>
              </w:rPr>
              <w:t>Papua New Guinea</w:t>
            </w:r>
          </w:p>
        </w:tc>
        <w:tc>
          <w:tcPr>
            <w:tcW w:w="982" w:type="dxa"/>
            <w:vAlign w:val="bottom"/>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348</w:t>
            </w:r>
          </w:p>
        </w:tc>
        <w:tc>
          <w:tcPr>
            <w:tcW w:w="982" w:type="dxa"/>
            <w:vAlign w:val="bottom"/>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346</w:t>
            </w:r>
          </w:p>
        </w:tc>
        <w:tc>
          <w:tcPr>
            <w:tcW w:w="982" w:type="dxa"/>
            <w:tcBorders>
              <w:top w:val="single" w:sz="8" w:space="0" w:color="4F81BD" w:themeColor="accent1"/>
              <w:bottom w:val="single" w:sz="8" w:space="0" w:color="4F81BD" w:themeColor="accent1"/>
              <w:right w:val="single" w:sz="8" w:space="0" w:color="4F81BD" w:themeColor="accent1"/>
            </w:tcBorders>
            <w:vAlign w:val="bottom"/>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348</w:t>
            </w:r>
          </w:p>
        </w:tc>
        <w:tc>
          <w:tcPr>
            <w:tcW w:w="1064" w:type="dxa"/>
            <w:tcBorders>
              <w:left w:val="single" w:sz="8" w:space="0" w:color="4F81BD" w:themeColor="accent1"/>
            </w:tcBorders>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568</w:t>
            </w:r>
          </w:p>
        </w:tc>
        <w:tc>
          <w:tcPr>
            <w:tcW w:w="1064"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549</w:t>
            </w:r>
          </w:p>
        </w:tc>
        <w:tc>
          <w:tcPr>
            <w:tcW w:w="1064"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541</w:t>
            </w:r>
          </w:p>
        </w:tc>
      </w:tr>
      <w:tr w:rsidR="00CC1A98" w:rsidRPr="008F0AE0" w:rsidTr="005F52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keepNext/>
              <w:rPr>
                <w:rFonts w:eastAsia="Times New Roman"/>
                <w:b w:val="0"/>
                <w:sz w:val="20"/>
                <w:szCs w:val="20"/>
              </w:rPr>
            </w:pPr>
            <w:r w:rsidRPr="008F0AE0">
              <w:rPr>
                <w:rFonts w:eastAsia="Times New Roman"/>
                <w:b w:val="0"/>
                <w:sz w:val="20"/>
                <w:szCs w:val="20"/>
              </w:rPr>
              <w:t>Solomon Is</w:t>
            </w:r>
          </w:p>
        </w:tc>
        <w:tc>
          <w:tcPr>
            <w:tcW w:w="982" w:type="dxa"/>
            <w:vAlign w:val="bottom"/>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108</w:t>
            </w:r>
          </w:p>
        </w:tc>
        <w:tc>
          <w:tcPr>
            <w:tcW w:w="982" w:type="dxa"/>
            <w:vAlign w:val="bottom"/>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103</w:t>
            </w:r>
          </w:p>
        </w:tc>
        <w:tc>
          <w:tcPr>
            <w:tcW w:w="982" w:type="dxa"/>
            <w:tcBorders>
              <w:right w:val="single" w:sz="8" w:space="0" w:color="4F81BD" w:themeColor="accent1"/>
            </w:tcBorders>
            <w:vAlign w:val="bottom"/>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97</w:t>
            </w:r>
          </w:p>
        </w:tc>
        <w:tc>
          <w:tcPr>
            <w:tcW w:w="1064" w:type="dxa"/>
            <w:tcBorders>
              <w:left w:val="single" w:sz="8" w:space="0" w:color="4F81BD" w:themeColor="accent1"/>
            </w:tcBorders>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171</w:t>
            </w:r>
          </w:p>
        </w:tc>
        <w:tc>
          <w:tcPr>
            <w:tcW w:w="1064" w:type="dxa"/>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160</w:t>
            </w:r>
          </w:p>
        </w:tc>
        <w:tc>
          <w:tcPr>
            <w:tcW w:w="1064" w:type="dxa"/>
          </w:tcPr>
          <w:p w:rsidR="00CC1A98" w:rsidRPr="008F0AE0" w:rsidRDefault="00CC1A98" w:rsidP="008F0AE0">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151</w:t>
            </w:r>
          </w:p>
        </w:tc>
      </w:tr>
      <w:tr w:rsidR="00CC1A98" w:rsidRPr="008F0AE0" w:rsidTr="005F5282">
        <w:trPr>
          <w:jc w:val="center"/>
        </w:trPr>
        <w:tc>
          <w:tcPr>
            <w:cnfStyle w:val="001000000000" w:firstRow="0" w:lastRow="0" w:firstColumn="1" w:lastColumn="0" w:oddVBand="0" w:evenVBand="0" w:oddHBand="0" w:evenHBand="0" w:firstRowFirstColumn="0" w:firstRowLastColumn="0" w:lastRowFirstColumn="0" w:lastRowLastColumn="0"/>
            <w:tcW w:w="3192" w:type="dxa"/>
          </w:tcPr>
          <w:p w:rsidR="00CC1A98" w:rsidRPr="008F0AE0" w:rsidRDefault="00CC1A98" w:rsidP="008F0AE0">
            <w:pPr>
              <w:keepNext/>
              <w:rPr>
                <w:rFonts w:eastAsia="Times New Roman"/>
                <w:b w:val="0"/>
                <w:sz w:val="20"/>
                <w:szCs w:val="20"/>
              </w:rPr>
            </w:pPr>
            <w:r w:rsidRPr="008F0AE0">
              <w:rPr>
                <w:rFonts w:eastAsia="Times New Roman"/>
                <w:b w:val="0"/>
                <w:sz w:val="20"/>
                <w:szCs w:val="20"/>
              </w:rPr>
              <w:t>Vanuatu</w:t>
            </w:r>
          </w:p>
        </w:tc>
        <w:tc>
          <w:tcPr>
            <w:tcW w:w="982" w:type="dxa"/>
            <w:vAlign w:val="bottom"/>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69</w:t>
            </w:r>
          </w:p>
        </w:tc>
        <w:tc>
          <w:tcPr>
            <w:tcW w:w="982" w:type="dxa"/>
            <w:vAlign w:val="bottom"/>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67</w:t>
            </w:r>
          </w:p>
        </w:tc>
        <w:tc>
          <w:tcPr>
            <w:tcW w:w="982" w:type="dxa"/>
            <w:tcBorders>
              <w:top w:val="single" w:sz="8" w:space="0" w:color="4F81BD" w:themeColor="accent1"/>
              <w:bottom w:val="single" w:sz="8" w:space="0" w:color="4F81BD" w:themeColor="accent1"/>
              <w:right w:val="single" w:sz="8" w:space="0" w:color="4F81BD" w:themeColor="accent1"/>
            </w:tcBorders>
            <w:vAlign w:val="bottom"/>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65</w:t>
            </w:r>
          </w:p>
        </w:tc>
        <w:tc>
          <w:tcPr>
            <w:tcW w:w="1064" w:type="dxa"/>
            <w:tcBorders>
              <w:left w:val="single" w:sz="8" w:space="0" w:color="4F81BD" w:themeColor="accent1"/>
            </w:tcBorders>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105</w:t>
            </w:r>
          </w:p>
        </w:tc>
        <w:tc>
          <w:tcPr>
            <w:tcW w:w="1064"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97</w:t>
            </w:r>
          </w:p>
        </w:tc>
        <w:tc>
          <w:tcPr>
            <w:tcW w:w="1064" w:type="dxa"/>
          </w:tcPr>
          <w:p w:rsidR="00CC1A98" w:rsidRPr="008F0AE0" w:rsidRDefault="00CC1A98" w:rsidP="008F0AE0">
            <w:pPr>
              <w:keepNext/>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89</w:t>
            </w:r>
          </w:p>
        </w:tc>
      </w:tr>
    </w:tbl>
    <w:p w:rsidR="00CC1A98" w:rsidRPr="008F0AE0" w:rsidRDefault="00CC1A98" w:rsidP="008F0AE0">
      <w:pPr>
        <w:keepNext/>
        <w:ind w:left="720" w:firstLine="720"/>
        <w:rPr>
          <w:rFonts w:eastAsia="Times New Roman"/>
          <w:sz w:val="18"/>
          <w:szCs w:val="18"/>
        </w:rPr>
      </w:pPr>
      <w:r w:rsidRPr="008F0AE0">
        <w:rPr>
          <w:rFonts w:eastAsia="Times New Roman"/>
          <w:sz w:val="18"/>
          <w:szCs w:val="18"/>
        </w:rPr>
        <w:t xml:space="preserve">Source: World Development Indicators, 2014; MDG Indicators, UN, 2014. </w:t>
      </w:r>
    </w:p>
    <w:p w:rsidR="00CC1A98" w:rsidRPr="008F0AE0" w:rsidRDefault="00CC1A98" w:rsidP="008F0AE0">
      <w:pPr>
        <w:pStyle w:val="Heading3"/>
        <w:numPr>
          <w:ilvl w:val="0"/>
          <w:numId w:val="0"/>
        </w:numPr>
        <w:ind w:left="360"/>
      </w:pPr>
    </w:p>
    <w:p w:rsidR="00CC1A98" w:rsidRPr="008F0AE0" w:rsidRDefault="00CC1A98" w:rsidP="00C869AB">
      <w:pPr>
        <w:pStyle w:val="Heading3"/>
        <w:numPr>
          <w:ilvl w:val="0"/>
          <w:numId w:val="0"/>
        </w:numPr>
        <w:jc w:val="center"/>
      </w:pPr>
      <w:r w:rsidRPr="008F0AE0">
        <w:t>Malaria</w:t>
      </w:r>
    </w:p>
    <w:p w:rsidR="00CC1A98" w:rsidRPr="008F0AE0" w:rsidRDefault="00CC1A98" w:rsidP="008F0AE0">
      <w:pPr>
        <w:rPr>
          <w:sz w:val="20"/>
        </w:rPr>
      </w:pPr>
    </w:p>
    <w:p w:rsidR="00CC1A98" w:rsidRPr="008F0AE0" w:rsidRDefault="00EA1FE2" w:rsidP="008F0AE0">
      <w:r>
        <w:t xml:space="preserve">Many of </w:t>
      </w:r>
      <w:r w:rsidR="00CC1A98" w:rsidRPr="008F0AE0">
        <w:t xml:space="preserve">the </w:t>
      </w:r>
      <w:r>
        <w:t>c</w:t>
      </w:r>
      <w:r w:rsidR="00CC1A98" w:rsidRPr="008F0AE0">
        <w:t xml:space="preserve">ountries still have a high burden of malaria </w:t>
      </w:r>
      <w:r w:rsidR="008F0AE0">
        <w:t>(Table 4)</w:t>
      </w:r>
      <w:r w:rsidR="00CC1A98" w:rsidRPr="008F0AE0">
        <w:t>.  In Indonesia, malaria prevalence is highest in six provinces, and around 117 million people are at varied degrees of risk of contracting malaria in Indonesia; about 17% of Indonesia’s population – largely in the eastern part of the country -- live in areas deemed “high transmission” for malaria (i.e., with &gt;1 case per 1,000 population).</w:t>
      </w:r>
      <w:r w:rsidRPr="008F0AE0">
        <w:rPr>
          <w:rStyle w:val="FootnoteReference"/>
        </w:rPr>
        <w:footnoteReference w:id="9"/>
      </w:r>
      <w:r w:rsidR="00CC1A98" w:rsidRPr="008F0AE0">
        <w:t xml:space="preserve"> Also, in recent years, the artemisin-resistant malaria strain has emerged in several locations alongside border areas of Cambodia, elevating a public health risk of losing an effective anti-malaria drug due to counterfeit and substandard drugs and poor prescription practices that can spread to other countries and regions very much like chloroquine in 1970s.  </w:t>
      </w:r>
    </w:p>
    <w:p w:rsidR="00CC1A98" w:rsidRPr="008F0AE0" w:rsidRDefault="00CC1A98" w:rsidP="008F0AE0"/>
    <w:p w:rsidR="00CC1A98" w:rsidRPr="00A61F71" w:rsidRDefault="00CC1A98" w:rsidP="008F0AE0">
      <w:pPr>
        <w:pStyle w:val="Caption"/>
        <w:spacing w:after="0"/>
        <w:jc w:val="center"/>
        <w:rPr>
          <w:color w:val="auto"/>
          <w:sz w:val="20"/>
        </w:rPr>
      </w:pPr>
      <w:r w:rsidRPr="00A61F71">
        <w:rPr>
          <w:color w:val="auto"/>
          <w:sz w:val="20"/>
        </w:rPr>
        <w:t>Table</w:t>
      </w:r>
      <w:r w:rsidR="000107FF" w:rsidRPr="00A61F71">
        <w:rPr>
          <w:color w:val="auto"/>
          <w:sz w:val="20"/>
        </w:rPr>
        <w:t xml:space="preserve"> </w:t>
      </w:r>
      <w:r w:rsidR="008F0AE0" w:rsidRPr="00A61F71">
        <w:rPr>
          <w:color w:val="auto"/>
          <w:sz w:val="20"/>
        </w:rPr>
        <w:t>4</w:t>
      </w:r>
      <w:r w:rsidRPr="00A61F71">
        <w:rPr>
          <w:color w:val="auto"/>
          <w:sz w:val="20"/>
        </w:rPr>
        <w:t>: Select malaria indicators by country</w:t>
      </w:r>
    </w:p>
    <w:tbl>
      <w:tblPr>
        <w:tblStyle w:val="LightList-Accent1"/>
        <w:tblW w:w="0" w:type="auto"/>
        <w:jc w:val="center"/>
        <w:tblLook w:val="04A0" w:firstRow="1" w:lastRow="0" w:firstColumn="1" w:lastColumn="0" w:noHBand="0" w:noVBand="1"/>
      </w:tblPr>
      <w:tblGrid>
        <w:gridCol w:w="2435"/>
        <w:gridCol w:w="2149"/>
        <w:gridCol w:w="2213"/>
        <w:gridCol w:w="2543"/>
      </w:tblGrid>
      <w:tr w:rsidR="00CC1A98" w:rsidRPr="008F0AE0" w:rsidTr="005F52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6" w:type="dxa"/>
          </w:tcPr>
          <w:p w:rsidR="00CC1A98" w:rsidRPr="00A61F71" w:rsidRDefault="00CC1A98" w:rsidP="008F0AE0">
            <w:pPr>
              <w:rPr>
                <w:color w:val="auto"/>
                <w:sz w:val="20"/>
              </w:rPr>
            </w:pPr>
            <w:r w:rsidRPr="00A61F71">
              <w:rPr>
                <w:color w:val="auto"/>
                <w:sz w:val="20"/>
              </w:rPr>
              <w:t>Country</w:t>
            </w:r>
          </w:p>
        </w:tc>
        <w:tc>
          <w:tcPr>
            <w:tcW w:w="2150" w:type="dxa"/>
          </w:tcPr>
          <w:p w:rsidR="00CC1A98" w:rsidRPr="00A61F71" w:rsidRDefault="00CC1A98" w:rsidP="008F0AE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Notified cases of malaria per 100,000 population (2012)</w:t>
            </w:r>
          </w:p>
        </w:tc>
        <w:tc>
          <w:tcPr>
            <w:tcW w:w="2214" w:type="dxa"/>
            <w:tcBorders>
              <w:bottom w:val="single" w:sz="8" w:space="0" w:color="4F81BD" w:themeColor="accent1"/>
            </w:tcBorders>
          </w:tcPr>
          <w:p w:rsidR="00CC1A98" w:rsidRPr="00A61F71" w:rsidRDefault="00CC1A98" w:rsidP="008F0AE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Proportion of children under 5 sleeping under insecticide-treated bed net</w:t>
            </w:r>
          </w:p>
        </w:tc>
        <w:tc>
          <w:tcPr>
            <w:tcW w:w="2544" w:type="dxa"/>
          </w:tcPr>
          <w:p w:rsidR="00CC1A98" w:rsidRPr="00A61F71" w:rsidRDefault="00CC1A98" w:rsidP="008F0AE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Proportion of children under 5 with fever who are treated with appropriate anti-malarial drugs</w:t>
            </w:r>
          </w:p>
        </w:tc>
      </w:tr>
      <w:tr w:rsidR="00CC1A98" w:rsidRPr="008F0AE0" w:rsidTr="005F52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6" w:type="dxa"/>
          </w:tcPr>
          <w:p w:rsidR="00CC1A98" w:rsidRPr="008F0AE0" w:rsidRDefault="00CC1A98" w:rsidP="008F0AE0">
            <w:pPr>
              <w:rPr>
                <w:b w:val="0"/>
                <w:sz w:val="20"/>
                <w:szCs w:val="20"/>
              </w:rPr>
            </w:pPr>
            <w:r w:rsidRPr="008F0AE0">
              <w:rPr>
                <w:b w:val="0"/>
                <w:sz w:val="20"/>
                <w:szCs w:val="20"/>
              </w:rPr>
              <w:t>Cambodia</w:t>
            </w:r>
          </w:p>
        </w:tc>
        <w:tc>
          <w:tcPr>
            <w:tcW w:w="2150" w:type="dxa"/>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2,219</w:t>
            </w:r>
          </w:p>
        </w:tc>
        <w:tc>
          <w:tcPr>
            <w:tcW w:w="2214" w:type="dxa"/>
            <w:tcBorders>
              <w:right w:val="nil"/>
            </w:tcBorders>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 xml:space="preserve">4.0 </w:t>
            </w:r>
            <w:r w:rsidRPr="008F0AE0">
              <w:rPr>
                <w:sz w:val="20"/>
                <w:szCs w:val="20"/>
                <w:vertAlign w:val="superscript"/>
              </w:rPr>
              <w:t>a/</w:t>
            </w:r>
          </w:p>
        </w:tc>
        <w:tc>
          <w:tcPr>
            <w:tcW w:w="2544" w:type="dxa"/>
            <w:tcBorders>
              <w:left w:val="nil"/>
            </w:tcBorders>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 xml:space="preserve">0.3 </w:t>
            </w:r>
            <w:r w:rsidRPr="008F0AE0">
              <w:rPr>
                <w:sz w:val="20"/>
                <w:szCs w:val="20"/>
                <w:vertAlign w:val="superscript"/>
              </w:rPr>
              <w:t>c/</w:t>
            </w:r>
          </w:p>
        </w:tc>
      </w:tr>
      <w:tr w:rsidR="00CC1A98" w:rsidRPr="008F0AE0" w:rsidTr="005F5282">
        <w:trPr>
          <w:jc w:val="center"/>
        </w:trPr>
        <w:tc>
          <w:tcPr>
            <w:cnfStyle w:val="001000000000" w:firstRow="0" w:lastRow="0" w:firstColumn="1" w:lastColumn="0" w:oddVBand="0" w:evenVBand="0" w:oddHBand="0" w:evenHBand="0" w:firstRowFirstColumn="0" w:firstRowLastColumn="0" w:lastRowFirstColumn="0" w:lastRowLastColumn="0"/>
            <w:tcW w:w="2436" w:type="dxa"/>
          </w:tcPr>
          <w:p w:rsidR="00CC1A98" w:rsidRPr="008F0AE0" w:rsidRDefault="00CC1A98" w:rsidP="008F0AE0">
            <w:pPr>
              <w:rPr>
                <w:rFonts w:eastAsia="Times New Roman"/>
                <w:b w:val="0"/>
                <w:sz w:val="20"/>
                <w:szCs w:val="20"/>
              </w:rPr>
            </w:pPr>
            <w:r w:rsidRPr="008F0AE0">
              <w:rPr>
                <w:rFonts w:eastAsia="Times New Roman"/>
                <w:b w:val="0"/>
                <w:sz w:val="20"/>
                <w:szCs w:val="20"/>
              </w:rPr>
              <w:t>Indonesia</w:t>
            </w:r>
          </w:p>
        </w:tc>
        <w:tc>
          <w:tcPr>
            <w:tcW w:w="2150" w:type="dxa"/>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5,817</w:t>
            </w:r>
          </w:p>
        </w:tc>
        <w:tc>
          <w:tcPr>
            <w:tcW w:w="2214" w:type="dxa"/>
            <w:tcBorders>
              <w:top w:val="single" w:sz="8" w:space="0" w:color="4F81BD" w:themeColor="accent1"/>
              <w:bottom w:val="single" w:sz="8" w:space="0" w:color="4F81BD" w:themeColor="accent1"/>
              <w:right w:val="nil"/>
            </w:tcBorders>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 xml:space="preserve">3.0 </w:t>
            </w:r>
            <w:r w:rsidRPr="008F0AE0">
              <w:rPr>
                <w:sz w:val="20"/>
                <w:szCs w:val="20"/>
                <w:vertAlign w:val="superscript"/>
              </w:rPr>
              <w:t>b/</w:t>
            </w:r>
          </w:p>
        </w:tc>
        <w:tc>
          <w:tcPr>
            <w:tcW w:w="2544" w:type="dxa"/>
            <w:tcBorders>
              <w:left w:val="nil"/>
            </w:tcBorders>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 xml:space="preserve">0.8 </w:t>
            </w:r>
            <w:r w:rsidRPr="008F0AE0">
              <w:rPr>
                <w:sz w:val="20"/>
                <w:szCs w:val="20"/>
                <w:vertAlign w:val="superscript"/>
              </w:rPr>
              <w:t>d/</w:t>
            </w:r>
          </w:p>
        </w:tc>
      </w:tr>
      <w:tr w:rsidR="00CC1A98" w:rsidRPr="008F0AE0" w:rsidTr="005F52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6" w:type="dxa"/>
          </w:tcPr>
          <w:p w:rsidR="00CC1A98" w:rsidRPr="008F0AE0" w:rsidRDefault="00C869AB" w:rsidP="00EA1FE2">
            <w:pPr>
              <w:rPr>
                <w:rFonts w:eastAsia="Times New Roman"/>
                <w:b w:val="0"/>
                <w:sz w:val="20"/>
                <w:szCs w:val="20"/>
              </w:rPr>
            </w:pPr>
            <w:r>
              <w:rPr>
                <w:rFonts w:eastAsia="Times New Roman"/>
                <w:b w:val="0"/>
                <w:sz w:val="20"/>
                <w:szCs w:val="20"/>
              </w:rPr>
              <w:t>P</w:t>
            </w:r>
            <w:r w:rsidR="00EA1FE2">
              <w:rPr>
                <w:rFonts w:eastAsia="Times New Roman"/>
                <w:b w:val="0"/>
                <w:sz w:val="20"/>
                <w:szCs w:val="20"/>
              </w:rPr>
              <w:t>apua New Guinea</w:t>
            </w:r>
          </w:p>
        </w:tc>
        <w:tc>
          <w:tcPr>
            <w:tcW w:w="2150" w:type="dxa"/>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14,384</w:t>
            </w:r>
          </w:p>
        </w:tc>
        <w:tc>
          <w:tcPr>
            <w:tcW w:w="2214" w:type="dxa"/>
            <w:tcBorders>
              <w:right w:val="nil"/>
            </w:tcBorders>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n.a.</w:t>
            </w:r>
          </w:p>
        </w:tc>
        <w:tc>
          <w:tcPr>
            <w:tcW w:w="2544" w:type="dxa"/>
            <w:tcBorders>
              <w:left w:val="nil"/>
            </w:tcBorders>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n.a.</w:t>
            </w:r>
          </w:p>
        </w:tc>
      </w:tr>
      <w:tr w:rsidR="00CC1A98" w:rsidRPr="008F0AE0" w:rsidTr="005F5282">
        <w:trPr>
          <w:jc w:val="center"/>
        </w:trPr>
        <w:tc>
          <w:tcPr>
            <w:cnfStyle w:val="001000000000" w:firstRow="0" w:lastRow="0" w:firstColumn="1" w:lastColumn="0" w:oddVBand="0" w:evenVBand="0" w:oddHBand="0" w:evenHBand="0" w:firstRowFirstColumn="0" w:firstRowLastColumn="0" w:lastRowFirstColumn="0" w:lastRowLastColumn="0"/>
            <w:tcW w:w="2436" w:type="dxa"/>
          </w:tcPr>
          <w:p w:rsidR="00CC1A98" w:rsidRPr="008F0AE0" w:rsidRDefault="00CC1A98" w:rsidP="008F0AE0">
            <w:pPr>
              <w:rPr>
                <w:rFonts w:eastAsia="Times New Roman"/>
                <w:b w:val="0"/>
                <w:sz w:val="20"/>
                <w:szCs w:val="20"/>
              </w:rPr>
            </w:pPr>
            <w:r w:rsidRPr="008F0AE0">
              <w:rPr>
                <w:rFonts w:eastAsia="Times New Roman"/>
                <w:b w:val="0"/>
                <w:sz w:val="20"/>
                <w:szCs w:val="20"/>
              </w:rPr>
              <w:t>Solomon Is</w:t>
            </w:r>
            <w:r w:rsidR="00EA1FE2">
              <w:rPr>
                <w:rFonts w:eastAsia="Times New Roman"/>
                <w:b w:val="0"/>
                <w:sz w:val="20"/>
                <w:szCs w:val="20"/>
              </w:rPr>
              <w:t>lands</w:t>
            </w:r>
          </w:p>
        </w:tc>
        <w:tc>
          <w:tcPr>
            <w:tcW w:w="2150" w:type="dxa"/>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7,168</w:t>
            </w:r>
          </w:p>
        </w:tc>
        <w:tc>
          <w:tcPr>
            <w:tcW w:w="2214" w:type="dxa"/>
            <w:tcBorders>
              <w:top w:val="single" w:sz="8" w:space="0" w:color="4F81BD" w:themeColor="accent1"/>
              <w:bottom w:val="single" w:sz="8" w:space="0" w:color="4F81BD" w:themeColor="accent1"/>
              <w:right w:val="nil"/>
            </w:tcBorders>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 xml:space="preserve">40.0 </w:t>
            </w:r>
            <w:r w:rsidRPr="008F0AE0">
              <w:rPr>
                <w:sz w:val="20"/>
                <w:szCs w:val="20"/>
                <w:vertAlign w:val="superscript"/>
              </w:rPr>
              <w:t>b/</w:t>
            </w:r>
          </w:p>
        </w:tc>
        <w:tc>
          <w:tcPr>
            <w:tcW w:w="2544" w:type="dxa"/>
            <w:tcBorders>
              <w:left w:val="nil"/>
            </w:tcBorders>
          </w:tcPr>
          <w:p w:rsidR="00CC1A98" w:rsidRPr="008F0AE0" w:rsidRDefault="00CC1A98"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 xml:space="preserve">19.0 </w:t>
            </w:r>
            <w:r w:rsidRPr="008F0AE0">
              <w:rPr>
                <w:sz w:val="20"/>
                <w:szCs w:val="20"/>
                <w:vertAlign w:val="superscript"/>
              </w:rPr>
              <w:t>e/</w:t>
            </w:r>
          </w:p>
        </w:tc>
      </w:tr>
      <w:tr w:rsidR="00CC1A98" w:rsidRPr="008F0AE0" w:rsidTr="005F52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6" w:type="dxa"/>
          </w:tcPr>
          <w:p w:rsidR="00CC1A98" w:rsidRPr="008F0AE0" w:rsidRDefault="00CC1A98" w:rsidP="008F0AE0">
            <w:pPr>
              <w:rPr>
                <w:rFonts w:eastAsia="Times New Roman"/>
                <w:b w:val="0"/>
                <w:sz w:val="20"/>
                <w:szCs w:val="20"/>
              </w:rPr>
            </w:pPr>
            <w:r w:rsidRPr="008F0AE0">
              <w:rPr>
                <w:rFonts w:eastAsia="Times New Roman"/>
                <w:b w:val="0"/>
                <w:sz w:val="20"/>
                <w:szCs w:val="20"/>
              </w:rPr>
              <w:t>Vanuatu</w:t>
            </w:r>
          </w:p>
        </w:tc>
        <w:tc>
          <w:tcPr>
            <w:tcW w:w="2150" w:type="dxa"/>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3,799</w:t>
            </w:r>
          </w:p>
        </w:tc>
        <w:tc>
          <w:tcPr>
            <w:tcW w:w="2214" w:type="dxa"/>
            <w:tcBorders>
              <w:right w:val="nil"/>
            </w:tcBorders>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 xml:space="preserve">55.7 </w:t>
            </w:r>
            <w:r w:rsidRPr="008F0AE0">
              <w:rPr>
                <w:sz w:val="20"/>
                <w:szCs w:val="20"/>
                <w:vertAlign w:val="superscript"/>
              </w:rPr>
              <w:t>b/</w:t>
            </w:r>
          </w:p>
        </w:tc>
        <w:tc>
          <w:tcPr>
            <w:tcW w:w="2544" w:type="dxa"/>
            <w:tcBorders>
              <w:left w:val="nil"/>
            </w:tcBorders>
          </w:tcPr>
          <w:p w:rsidR="00CC1A98" w:rsidRPr="008F0AE0" w:rsidRDefault="00CC1A98" w:rsidP="008F0AE0">
            <w:pPr>
              <w:jc w:val="center"/>
              <w:cnfStyle w:val="000000100000" w:firstRow="0" w:lastRow="0" w:firstColumn="0" w:lastColumn="0" w:oddVBand="0" w:evenVBand="0" w:oddHBand="1" w:evenHBand="0" w:firstRowFirstColumn="0" w:firstRowLastColumn="0" w:lastRowFirstColumn="0" w:lastRowLastColumn="0"/>
              <w:rPr>
                <w:sz w:val="20"/>
                <w:szCs w:val="20"/>
              </w:rPr>
            </w:pPr>
            <w:r w:rsidRPr="008F0AE0">
              <w:rPr>
                <w:sz w:val="20"/>
                <w:szCs w:val="20"/>
              </w:rPr>
              <w:t xml:space="preserve">53.1 </w:t>
            </w:r>
            <w:r w:rsidRPr="008F0AE0">
              <w:rPr>
                <w:sz w:val="20"/>
                <w:szCs w:val="20"/>
                <w:vertAlign w:val="superscript"/>
              </w:rPr>
              <w:t>e/</w:t>
            </w:r>
          </w:p>
        </w:tc>
      </w:tr>
    </w:tbl>
    <w:p w:rsidR="00CC1A98" w:rsidRPr="008F0AE0" w:rsidRDefault="00CC1A98" w:rsidP="008F0AE0">
      <w:pPr>
        <w:ind w:firstLine="720"/>
        <w:rPr>
          <w:rFonts w:eastAsia="Times New Roman"/>
          <w:sz w:val="18"/>
          <w:szCs w:val="18"/>
        </w:rPr>
      </w:pPr>
      <w:r w:rsidRPr="008F0AE0">
        <w:rPr>
          <w:rFonts w:eastAsia="Times New Roman"/>
          <w:sz w:val="18"/>
          <w:szCs w:val="18"/>
        </w:rPr>
        <w:t>Source: MDG Indicators, UN, 2014.</w:t>
      </w:r>
    </w:p>
    <w:p w:rsidR="00CC1A98" w:rsidRPr="008F0AE0" w:rsidRDefault="00CC1A98" w:rsidP="008F0AE0">
      <w:pPr>
        <w:ind w:firstLine="720"/>
      </w:pPr>
      <w:r w:rsidRPr="008F0AE0">
        <w:rPr>
          <w:rFonts w:eastAsia="Times New Roman"/>
          <w:sz w:val="18"/>
          <w:szCs w:val="18"/>
        </w:rPr>
        <w:t xml:space="preserve">Notes:  a/ 2005 data; b/ 2007 data; c/ 2010 data; d/ 2012 data; </w:t>
      </w:r>
      <w:r w:rsidR="001C4786" w:rsidRPr="00820C7E">
        <w:rPr>
          <w:rFonts w:eastAsia="Times New Roman"/>
          <w:sz w:val="18"/>
          <w:szCs w:val="18"/>
        </w:rPr>
        <w:t>e</w:t>
      </w:r>
      <w:r w:rsidRPr="008F0AE0">
        <w:rPr>
          <w:rFonts w:eastAsia="Times New Roman"/>
          <w:sz w:val="18"/>
          <w:szCs w:val="18"/>
        </w:rPr>
        <w:t>/ 2007 data.</w:t>
      </w:r>
    </w:p>
    <w:p w:rsidR="00581D11" w:rsidRPr="008F0AE0" w:rsidRDefault="00581D11" w:rsidP="008F0AE0">
      <w:pPr>
        <w:ind w:right="260"/>
      </w:pPr>
    </w:p>
    <w:p w:rsidR="00CC1A98" w:rsidRPr="008F0AE0" w:rsidRDefault="00CC1A98" w:rsidP="008F0AE0">
      <w:pPr>
        <w:ind w:right="260"/>
        <w:jc w:val="center"/>
        <w:rPr>
          <w:i/>
        </w:rPr>
      </w:pPr>
      <w:r w:rsidRPr="008F0AE0">
        <w:rPr>
          <w:i/>
        </w:rPr>
        <w:t>GFATM Support</w:t>
      </w:r>
    </w:p>
    <w:p w:rsidR="00CC1A98" w:rsidRPr="008F0AE0" w:rsidRDefault="00CC1A98" w:rsidP="008F0AE0">
      <w:pPr>
        <w:ind w:right="260"/>
      </w:pPr>
    </w:p>
    <w:p w:rsidR="001E1278" w:rsidRPr="001E1278" w:rsidRDefault="00581D11" w:rsidP="001E1278">
      <w:pPr>
        <w:rPr>
          <w:szCs w:val="20"/>
        </w:rPr>
      </w:pPr>
      <w:r w:rsidRPr="008F0AE0">
        <w:rPr>
          <w:iCs/>
          <w:szCs w:val="20"/>
        </w:rPr>
        <w:t xml:space="preserve">Since 2002, GFATM has provided increasing levels of resources </w:t>
      </w:r>
      <w:r w:rsidR="00C2114B" w:rsidRPr="008F0AE0">
        <w:rPr>
          <w:iCs/>
          <w:szCs w:val="20"/>
        </w:rPr>
        <w:t xml:space="preserve">for the </w:t>
      </w:r>
      <w:r w:rsidR="00CC1A98" w:rsidRPr="008F0AE0">
        <w:rPr>
          <w:iCs/>
          <w:szCs w:val="20"/>
        </w:rPr>
        <w:t xml:space="preserve">five </w:t>
      </w:r>
      <w:r w:rsidR="00C2114B" w:rsidRPr="008F0AE0">
        <w:rPr>
          <w:iCs/>
          <w:szCs w:val="20"/>
        </w:rPr>
        <w:t xml:space="preserve">focus countries. </w:t>
      </w:r>
      <w:r w:rsidRPr="008F0AE0">
        <w:rPr>
          <w:iCs/>
          <w:szCs w:val="20"/>
        </w:rPr>
        <w:t>Over 2010-2012, GF</w:t>
      </w:r>
      <w:r w:rsidR="008C63D3" w:rsidRPr="008F0AE0">
        <w:rPr>
          <w:iCs/>
          <w:szCs w:val="20"/>
        </w:rPr>
        <w:t>ATM</w:t>
      </w:r>
      <w:r w:rsidRPr="008F0AE0">
        <w:rPr>
          <w:iCs/>
          <w:szCs w:val="20"/>
        </w:rPr>
        <w:t xml:space="preserve"> disbursements amounted to an average of US$74 million in Indonesia, US$45 million in Cambodia, and US$19 million in </w:t>
      </w:r>
      <w:r w:rsidR="00C869AB">
        <w:rPr>
          <w:iCs/>
          <w:szCs w:val="20"/>
        </w:rPr>
        <w:t>P</w:t>
      </w:r>
      <w:r w:rsidR="00EA1FE2">
        <w:rPr>
          <w:iCs/>
          <w:szCs w:val="20"/>
        </w:rPr>
        <w:t xml:space="preserve">apua </w:t>
      </w:r>
      <w:r w:rsidR="00C869AB">
        <w:rPr>
          <w:iCs/>
          <w:szCs w:val="20"/>
        </w:rPr>
        <w:t>N</w:t>
      </w:r>
      <w:r w:rsidR="00EA1FE2">
        <w:rPr>
          <w:iCs/>
          <w:szCs w:val="20"/>
        </w:rPr>
        <w:t>ew Guinea</w:t>
      </w:r>
      <w:r w:rsidRPr="008F0AE0">
        <w:rPr>
          <w:iCs/>
          <w:szCs w:val="20"/>
        </w:rPr>
        <w:t xml:space="preserve"> (Table </w:t>
      </w:r>
      <w:r w:rsidR="00EA1FE2">
        <w:rPr>
          <w:iCs/>
          <w:szCs w:val="20"/>
        </w:rPr>
        <w:t>5</w:t>
      </w:r>
      <w:r w:rsidRPr="008F0AE0">
        <w:rPr>
          <w:iCs/>
          <w:szCs w:val="20"/>
        </w:rPr>
        <w:t>).</w:t>
      </w:r>
      <w:r w:rsidR="00C2114B" w:rsidRPr="008F0AE0">
        <w:rPr>
          <w:iCs/>
          <w:szCs w:val="20"/>
        </w:rPr>
        <w:t xml:space="preserve"> </w:t>
      </w:r>
      <w:r w:rsidR="001E1278" w:rsidRPr="001E1278">
        <w:rPr>
          <w:szCs w:val="20"/>
        </w:rPr>
        <w:t xml:space="preserve">Even though </w:t>
      </w:r>
      <w:r w:rsidR="00D80540">
        <w:rPr>
          <w:szCs w:val="20"/>
        </w:rPr>
        <w:t>donor</w:t>
      </w:r>
      <w:r w:rsidR="001E1278" w:rsidRPr="001E1278">
        <w:rPr>
          <w:szCs w:val="20"/>
        </w:rPr>
        <w:t xml:space="preserve"> sources are a proportionally a small share of health financing in </w:t>
      </w:r>
      <w:r w:rsidR="001E1278">
        <w:rPr>
          <w:szCs w:val="20"/>
        </w:rPr>
        <w:t>the countries</w:t>
      </w:r>
      <w:r w:rsidR="001E1278" w:rsidRPr="001E1278">
        <w:rPr>
          <w:szCs w:val="20"/>
        </w:rPr>
        <w:t xml:space="preserve">, </w:t>
      </w:r>
      <w:r w:rsidR="001E1278">
        <w:rPr>
          <w:szCs w:val="20"/>
        </w:rPr>
        <w:t>i</w:t>
      </w:r>
      <w:r w:rsidR="00CC1A98" w:rsidRPr="008F0AE0">
        <w:t xml:space="preserve">n each of </w:t>
      </w:r>
      <w:r w:rsidR="001E1278">
        <w:t xml:space="preserve">the </w:t>
      </w:r>
      <w:r w:rsidR="00CC1A98" w:rsidRPr="008F0AE0">
        <w:t>countries GFATM allocations make up a considerable proportion of the total budget allocations and expenditures for HIV, TB, malaria programs (this ranges from 25% to 90% of total funds but varies between programs and countries).</w:t>
      </w:r>
      <w:r w:rsidR="00C2114B" w:rsidRPr="008F0AE0">
        <w:t> </w:t>
      </w:r>
      <w:r w:rsidR="001E1278" w:rsidRPr="001E1278">
        <w:rPr>
          <w:szCs w:val="20"/>
        </w:rPr>
        <w:t xml:space="preserve">In addition, some </w:t>
      </w:r>
      <w:r w:rsidR="00D80540">
        <w:rPr>
          <w:szCs w:val="20"/>
        </w:rPr>
        <w:t>donor</w:t>
      </w:r>
      <w:r w:rsidR="001E1278" w:rsidRPr="001E1278">
        <w:rPr>
          <w:szCs w:val="20"/>
        </w:rPr>
        <w:t xml:space="preserve"> financing is generally targeted to vulnerable population sub-groups via NGOs and a loss of this type of targeted support can potentially have negative implications for these sub-groups, particularly in countries such as Indonesia where central and local government agencies are not accustomed to directly working with or channeling funds to NGOs. Some of the </w:t>
      </w:r>
      <w:r w:rsidR="00D80540">
        <w:rPr>
          <w:szCs w:val="20"/>
        </w:rPr>
        <w:t>donor</w:t>
      </w:r>
      <w:r w:rsidR="001E1278" w:rsidRPr="001E1278">
        <w:rPr>
          <w:szCs w:val="20"/>
        </w:rPr>
        <w:t xml:space="preserve">-financed programs also have parallel monitoring systems that are often superior to health management information systems. </w:t>
      </w:r>
    </w:p>
    <w:p w:rsidR="00581D11" w:rsidRPr="008F0AE0" w:rsidRDefault="00581D11" w:rsidP="008F0AE0">
      <w:pPr>
        <w:ind w:right="260"/>
      </w:pPr>
    </w:p>
    <w:p w:rsidR="00EA1FE2" w:rsidRDefault="00EA1FE2">
      <w:pPr>
        <w:rPr>
          <w:b/>
          <w:bCs/>
          <w:sz w:val="20"/>
          <w:szCs w:val="18"/>
        </w:rPr>
      </w:pPr>
      <w:bookmarkStart w:id="4" w:name="_Ref398880922"/>
      <w:r>
        <w:rPr>
          <w:sz w:val="20"/>
        </w:rPr>
        <w:br w:type="page"/>
      </w:r>
    </w:p>
    <w:p w:rsidR="00581D11" w:rsidRPr="00A61F71" w:rsidRDefault="00581D11" w:rsidP="008F0AE0">
      <w:pPr>
        <w:pStyle w:val="Caption"/>
        <w:spacing w:after="0"/>
        <w:jc w:val="center"/>
        <w:rPr>
          <w:color w:val="auto"/>
          <w:sz w:val="20"/>
        </w:rPr>
      </w:pPr>
      <w:r w:rsidRPr="00A61F71">
        <w:rPr>
          <w:color w:val="auto"/>
          <w:sz w:val="20"/>
        </w:rPr>
        <w:t xml:space="preserve">Table </w:t>
      </w:r>
      <w:bookmarkEnd w:id="4"/>
      <w:r w:rsidR="00EA1FE2">
        <w:rPr>
          <w:color w:val="auto"/>
          <w:sz w:val="20"/>
        </w:rPr>
        <w:t>5</w:t>
      </w:r>
      <w:r w:rsidRPr="00A61F71">
        <w:rPr>
          <w:color w:val="auto"/>
          <w:sz w:val="20"/>
        </w:rPr>
        <w:t xml:space="preserve">: </w:t>
      </w:r>
      <w:r w:rsidR="000107FF" w:rsidRPr="00A61F71">
        <w:rPr>
          <w:color w:val="auto"/>
          <w:sz w:val="20"/>
        </w:rPr>
        <w:t>GFATM</w:t>
      </w:r>
      <w:r w:rsidRPr="00A61F71">
        <w:rPr>
          <w:color w:val="auto"/>
          <w:sz w:val="20"/>
        </w:rPr>
        <w:t xml:space="preserve"> disbursements by country and year, 2003-2012, US$ million</w:t>
      </w:r>
    </w:p>
    <w:tbl>
      <w:tblPr>
        <w:tblStyle w:val="LightList-Accent1"/>
        <w:tblW w:w="9471" w:type="dxa"/>
        <w:jc w:val="center"/>
        <w:tblLayout w:type="fixed"/>
        <w:tblLook w:val="04A0" w:firstRow="1" w:lastRow="0" w:firstColumn="1" w:lastColumn="0" w:noHBand="0" w:noVBand="1"/>
      </w:tblPr>
      <w:tblGrid>
        <w:gridCol w:w="987"/>
        <w:gridCol w:w="748"/>
        <w:gridCol w:w="763"/>
        <w:gridCol w:w="767"/>
        <w:gridCol w:w="768"/>
        <w:gridCol w:w="769"/>
        <w:gridCol w:w="769"/>
        <w:gridCol w:w="769"/>
        <w:gridCol w:w="769"/>
        <w:gridCol w:w="769"/>
        <w:gridCol w:w="769"/>
        <w:gridCol w:w="824"/>
      </w:tblGrid>
      <w:tr w:rsidR="00581D11" w:rsidRPr="008F0AE0" w:rsidTr="00581D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7" w:type="dxa"/>
            <w:noWrap/>
            <w:hideMark/>
          </w:tcPr>
          <w:p w:rsidR="00581D11" w:rsidRPr="00A61F71" w:rsidRDefault="00581D11" w:rsidP="008F0AE0">
            <w:pPr>
              <w:rPr>
                <w:color w:val="auto"/>
                <w:sz w:val="16"/>
              </w:rPr>
            </w:pPr>
            <w:r w:rsidRPr="00A61F71">
              <w:rPr>
                <w:color w:val="auto"/>
                <w:sz w:val="16"/>
              </w:rPr>
              <w:t>Country</w:t>
            </w:r>
          </w:p>
        </w:tc>
        <w:tc>
          <w:tcPr>
            <w:tcW w:w="748"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2003</w:t>
            </w:r>
          </w:p>
        </w:tc>
        <w:tc>
          <w:tcPr>
            <w:tcW w:w="763"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2004</w:t>
            </w:r>
          </w:p>
        </w:tc>
        <w:tc>
          <w:tcPr>
            <w:tcW w:w="767"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2005</w:t>
            </w:r>
          </w:p>
        </w:tc>
        <w:tc>
          <w:tcPr>
            <w:tcW w:w="768"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2006</w:t>
            </w:r>
          </w:p>
        </w:tc>
        <w:tc>
          <w:tcPr>
            <w:tcW w:w="769"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2007</w:t>
            </w:r>
          </w:p>
        </w:tc>
        <w:tc>
          <w:tcPr>
            <w:tcW w:w="769"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2008</w:t>
            </w:r>
          </w:p>
        </w:tc>
        <w:tc>
          <w:tcPr>
            <w:tcW w:w="769"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2009</w:t>
            </w:r>
          </w:p>
        </w:tc>
        <w:tc>
          <w:tcPr>
            <w:tcW w:w="769"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2010</w:t>
            </w:r>
          </w:p>
        </w:tc>
        <w:tc>
          <w:tcPr>
            <w:tcW w:w="769"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2011</w:t>
            </w:r>
          </w:p>
        </w:tc>
        <w:tc>
          <w:tcPr>
            <w:tcW w:w="769" w:type="dxa"/>
            <w:noWrap/>
            <w:hideMark/>
          </w:tcPr>
          <w:p w:rsidR="00581D11" w:rsidRPr="00A61F71" w:rsidRDefault="00581D11" w:rsidP="008F0AE0">
            <w:pPr>
              <w:jc w:val="right"/>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2012</w:t>
            </w:r>
          </w:p>
        </w:tc>
        <w:tc>
          <w:tcPr>
            <w:tcW w:w="824" w:type="dxa"/>
            <w:noWrap/>
            <w:hideMark/>
          </w:tcPr>
          <w:p w:rsidR="00581D11" w:rsidRPr="00A61F71" w:rsidRDefault="00581D11" w:rsidP="008F0AE0">
            <w:pPr>
              <w:jc w:val="center"/>
              <w:cnfStyle w:val="100000000000" w:firstRow="1" w:lastRow="0" w:firstColumn="0" w:lastColumn="0" w:oddVBand="0" w:evenVBand="0" w:oddHBand="0" w:evenHBand="0" w:firstRowFirstColumn="0" w:firstRowLastColumn="0" w:lastRowFirstColumn="0" w:lastRowLastColumn="0"/>
              <w:rPr>
                <w:color w:val="auto"/>
                <w:sz w:val="16"/>
              </w:rPr>
            </w:pPr>
            <w:r w:rsidRPr="00A61F71">
              <w:rPr>
                <w:color w:val="auto"/>
                <w:sz w:val="16"/>
              </w:rPr>
              <w:t>Ave 2010-2012</w:t>
            </w:r>
          </w:p>
        </w:tc>
      </w:tr>
      <w:tr w:rsidR="00581D11" w:rsidRPr="008F0AE0" w:rsidTr="00581D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7" w:type="dxa"/>
            <w:noWrap/>
            <w:hideMark/>
          </w:tcPr>
          <w:p w:rsidR="00581D11" w:rsidRPr="008F0AE0" w:rsidRDefault="00581D11" w:rsidP="008F0AE0">
            <w:pPr>
              <w:rPr>
                <w:rFonts w:eastAsia="Times New Roman"/>
                <w:b w:val="0"/>
                <w:sz w:val="16"/>
                <w:szCs w:val="16"/>
              </w:rPr>
            </w:pPr>
            <w:r w:rsidRPr="008F0AE0">
              <w:rPr>
                <w:rFonts w:eastAsia="Times New Roman"/>
                <w:b w:val="0"/>
                <w:sz w:val="16"/>
                <w:szCs w:val="16"/>
              </w:rPr>
              <w:t>Cambodia</w:t>
            </w:r>
          </w:p>
        </w:tc>
        <w:tc>
          <w:tcPr>
            <w:tcW w:w="748"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6.49</w:t>
            </w:r>
          </w:p>
        </w:tc>
        <w:tc>
          <w:tcPr>
            <w:tcW w:w="763"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5.51</w:t>
            </w:r>
          </w:p>
        </w:tc>
        <w:tc>
          <w:tcPr>
            <w:tcW w:w="767"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18.85</w:t>
            </w:r>
          </w:p>
        </w:tc>
        <w:tc>
          <w:tcPr>
            <w:tcW w:w="768"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22.17</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21.07</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38.60</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46.41</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61.22</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58.62</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15.11</w:t>
            </w:r>
          </w:p>
        </w:tc>
        <w:tc>
          <w:tcPr>
            <w:tcW w:w="824"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44.98</w:t>
            </w:r>
          </w:p>
        </w:tc>
      </w:tr>
      <w:tr w:rsidR="00581D11" w:rsidRPr="008F0AE0" w:rsidTr="00581D11">
        <w:trPr>
          <w:trHeight w:val="300"/>
          <w:jc w:val="center"/>
        </w:trPr>
        <w:tc>
          <w:tcPr>
            <w:cnfStyle w:val="001000000000" w:firstRow="0" w:lastRow="0" w:firstColumn="1" w:lastColumn="0" w:oddVBand="0" w:evenVBand="0" w:oddHBand="0" w:evenHBand="0" w:firstRowFirstColumn="0" w:firstRowLastColumn="0" w:lastRowFirstColumn="0" w:lastRowLastColumn="0"/>
            <w:tcW w:w="987" w:type="dxa"/>
            <w:noWrap/>
            <w:hideMark/>
          </w:tcPr>
          <w:p w:rsidR="00581D11" w:rsidRPr="008F0AE0" w:rsidRDefault="00581D11" w:rsidP="008F0AE0">
            <w:pPr>
              <w:rPr>
                <w:rFonts w:eastAsia="Times New Roman"/>
                <w:b w:val="0"/>
                <w:sz w:val="16"/>
                <w:szCs w:val="16"/>
              </w:rPr>
            </w:pPr>
            <w:r w:rsidRPr="008F0AE0">
              <w:rPr>
                <w:rFonts w:eastAsia="Times New Roman"/>
                <w:b w:val="0"/>
                <w:sz w:val="16"/>
                <w:szCs w:val="16"/>
              </w:rPr>
              <w:t>Indonesia</w:t>
            </w:r>
          </w:p>
        </w:tc>
        <w:tc>
          <w:tcPr>
            <w:tcW w:w="748"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6.02</w:t>
            </w:r>
          </w:p>
        </w:tc>
        <w:tc>
          <w:tcPr>
            <w:tcW w:w="763"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18.18</w:t>
            </w:r>
          </w:p>
        </w:tc>
        <w:tc>
          <w:tcPr>
            <w:tcW w:w="767"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22.86</w:t>
            </w:r>
          </w:p>
        </w:tc>
        <w:tc>
          <w:tcPr>
            <w:tcW w:w="768"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34.88</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10.30</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43.01</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88.67</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83.22</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81.04</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58.24</w:t>
            </w:r>
          </w:p>
        </w:tc>
        <w:tc>
          <w:tcPr>
            <w:tcW w:w="824"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74.17</w:t>
            </w:r>
          </w:p>
        </w:tc>
      </w:tr>
      <w:tr w:rsidR="00581D11" w:rsidRPr="008F0AE0" w:rsidTr="00581D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7" w:type="dxa"/>
            <w:noWrap/>
            <w:hideMark/>
          </w:tcPr>
          <w:p w:rsidR="00581D11" w:rsidRPr="008F0AE0" w:rsidRDefault="00C869AB" w:rsidP="008F0AE0">
            <w:pPr>
              <w:rPr>
                <w:rFonts w:eastAsia="Times New Roman"/>
                <w:b w:val="0"/>
                <w:sz w:val="16"/>
                <w:szCs w:val="16"/>
              </w:rPr>
            </w:pPr>
            <w:r>
              <w:rPr>
                <w:rFonts w:eastAsia="Times New Roman"/>
                <w:b w:val="0"/>
                <w:sz w:val="16"/>
                <w:szCs w:val="16"/>
              </w:rPr>
              <w:t>Papua New Guinea</w:t>
            </w:r>
          </w:p>
        </w:tc>
        <w:tc>
          <w:tcPr>
            <w:tcW w:w="748"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 </w:t>
            </w:r>
          </w:p>
        </w:tc>
        <w:tc>
          <w:tcPr>
            <w:tcW w:w="763"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2.19</w:t>
            </w:r>
          </w:p>
        </w:tc>
        <w:tc>
          <w:tcPr>
            <w:tcW w:w="767"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5.89</w:t>
            </w:r>
          </w:p>
        </w:tc>
        <w:tc>
          <w:tcPr>
            <w:tcW w:w="768"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0.88</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8.05</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10.02</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33.68</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7.11</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13.65</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36.23</w:t>
            </w:r>
          </w:p>
        </w:tc>
        <w:tc>
          <w:tcPr>
            <w:tcW w:w="824"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8F0AE0">
              <w:rPr>
                <w:rFonts w:eastAsia="Times New Roman"/>
                <w:sz w:val="16"/>
                <w:szCs w:val="16"/>
              </w:rPr>
              <w:t>19.00</w:t>
            </w:r>
          </w:p>
        </w:tc>
      </w:tr>
      <w:tr w:rsidR="00581D11" w:rsidRPr="008F0AE0" w:rsidTr="00581D11">
        <w:trPr>
          <w:trHeight w:val="300"/>
          <w:jc w:val="center"/>
        </w:trPr>
        <w:tc>
          <w:tcPr>
            <w:cnfStyle w:val="001000000000" w:firstRow="0" w:lastRow="0" w:firstColumn="1" w:lastColumn="0" w:oddVBand="0" w:evenVBand="0" w:oddHBand="0" w:evenHBand="0" w:firstRowFirstColumn="0" w:firstRowLastColumn="0" w:lastRowFirstColumn="0" w:lastRowLastColumn="0"/>
            <w:tcW w:w="987" w:type="dxa"/>
            <w:noWrap/>
            <w:hideMark/>
          </w:tcPr>
          <w:p w:rsidR="00581D11" w:rsidRPr="008F0AE0" w:rsidRDefault="00581D11" w:rsidP="008F0AE0">
            <w:pPr>
              <w:rPr>
                <w:rFonts w:eastAsia="Times New Roman"/>
                <w:b w:val="0"/>
                <w:sz w:val="16"/>
                <w:szCs w:val="16"/>
              </w:rPr>
            </w:pPr>
            <w:r w:rsidRPr="008F0AE0">
              <w:rPr>
                <w:rFonts w:eastAsia="Times New Roman"/>
                <w:b w:val="0"/>
                <w:sz w:val="16"/>
                <w:szCs w:val="16"/>
              </w:rPr>
              <w:t>Solomon Is</w:t>
            </w:r>
            <w:r w:rsidR="00EA1FE2">
              <w:rPr>
                <w:rFonts w:eastAsia="Times New Roman"/>
                <w:b w:val="0"/>
                <w:sz w:val="16"/>
                <w:szCs w:val="16"/>
              </w:rPr>
              <w:t>lands</w:t>
            </w:r>
          </w:p>
        </w:tc>
        <w:tc>
          <w:tcPr>
            <w:tcW w:w="748"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pPr>
            <w:r w:rsidRPr="008F0AE0">
              <w:rPr>
                <w:rFonts w:eastAsia="Times New Roman"/>
                <w:sz w:val="16"/>
                <w:szCs w:val="16"/>
              </w:rPr>
              <w:t>--</w:t>
            </w:r>
          </w:p>
        </w:tc>
        <w:tc>
          <w:tcPr>
            <w:tcW w:w="763"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pPr>
            <w:r w:rsidRPr="008F0AE0">
              <w:rPr>
                <w:rFonts w:eastAsia="Times New Roman"/>
                <w:sz w:val="16"/>
                <w:szCs w:val="16"/>
              </w:rPr>
              <w:t>--</w:t>
            </w:r>
          </w:p>
        </w:tc>
        <w:tc>
          <w:tcPr>
            <w:tcW w:w="767"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pPr>
            <w:r w:rsidRPr="008F0AE0">
              <w:rPr>
                <w:rFonts w:eastAsia="Times New Roman"/>
                <w:sz w:val="16"/>
                <w:szCs w:val="16"/>
              </w:rPr>
              <w:t>--</w:t>
            </w:r>
          </w:p>
        </w:tc>
        <w:tc>
          <w:tcPr>
            <w:tcW w:w="768"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1.51</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0.44</w:t>
            </w:r>
          </w:p>
        </w:tc>
        <w:tc>
          <w:tcPr>
            <w:tcW w:w="769"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1.44</w:t>
            </w:r>
          </w:p>
        </w:tc>
        <w:tc>
          <w:tcPr>
            <w:tcW w:w="824" w:type="dxa"/>
            <w:noWrap/>
            <w:hideMark/>
          </w:tcPr>
          <w:p w:rsidR="00581D11" w:rsidRPr="008F0AE0" w:rsidRDefault="00581D11" w:rsidP="008F0AE0">
            <w:pPr>
              <w:jc w:val="righ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F0AE0">
              <w:rPr>
                <w:rFonts w:eastAsia="Times New Roman"/>
                <w:sz w:val="16"/>
                <w:szCs w:val="16"/>
              </w:rPr>
              <w:t>--</w:t>
            </w:r>
          </w:p>
        </w:tc>
      </w:tr>
      <w:tr w:rsidR="00581D11" w:rsidRPr="008F0AE0" w:rsidTr="00581D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7" w:type="dxa"/>
            <w:noWrap/>
            <w:hideMark/>
          </w:tcPr>
          <w:p w:rsidR="00581D11" w:rsidRPr="008F0AE0" w:rsidRDefault="00581D11" w:rsidP="008F0AE0">
            <w:pPr>
              <w:rPr>
                <w:rFonts w:eastAsia="Times New Roman"/>
                <w:b w:val="0"/>
                <w:sz w:val="16"/>
                <w:szCs w:val="16"/>
              </w:rPr>
            </w:pPr>
            <w:r w:rsidRPr="008F0AE0">
              <w:rPr>
                <w:rFonts w:eastAsia="Times New Roman"/>
                <w:b w:val="0"/>
                <w:sz w:val="16"/>
                <w:szCs w:val="16"/>
              </w:rPr>
              <w:t>Vanuatu</w:t>
            </w:r>
          </w:p>
        </w:tc>
        <w:tc>
          <w:tcPr>
            <w:tcW w:w="748"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3"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7"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8"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769"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c>
          <w:tcPr>
            <w:tcW w:w="824" w:type="dxa"/>
            <w:noWrap/>
            <w:hideMark/>
          </w:tcPr>
          <w:p w:rsidR="00581D11" w:rsidRPr="008F0AE0" w:rsidRDefault="00581D11" w:rsidP="008F0AE0">
            <w:pPr>
              <w:jc w:val="right"/>
              <w:cnfStyle w:val="000000100000" w:firstRow="0" w:lastRow="0" w:firstColumn="0" w:lastColumn="0" w:oddVBand="0" w:evenVBand="0" w:oddHBand="1" w:evenHBand="0" w:firstRowFirstColumn="0" w:firstRowLastColumn="0" w:lastRowFirstColumn="0" w:lastRowLastColumn="0"/>
            </w:pPr>
            <w:r w:rsidRPr="008F0AE0">
              <w:rPr>
                <w:rFonts w:eastAsia="Times New Roman"/>
                <w:sz w:val="16"/>
                <w:szCs w:val="16"/>
              </w:rPr>
              <w:t>--</w:t>
            </w:r>
          </w:p>
        </w:tc>
      </w:tr>
    </w:tbl>
    <w:p w:rsidR="00581D11" w:rsidRPr="008F0AE0" w:rsidRDefault="00581D11" w:rsidP="008F0AE0">
      <w:pPr>
        <w:rPr>
          <w:sz w:val="18"/>
          <w:szCs w:val="18"/>
        </w:rPr>
      </w:pPr>
      <w:r w:rsidRPr="008F0AE0">
        <w:rPr>
          <w:sz w:val="18"/>
          <w:szCs w:val="18"/>
        </w:rPr>
        <w:tab/>
        <w:t>Source:  OECD (2014). OECD for financing data.</w:t>
      </w:r>
    </w:p>
    <w:p w:rsidR="00581D11" w:rsidRPr="008F0AE0" w:rsidRDefault="00581D11" w:rsidP="008F0AE0">
      <w:pPr>
        <w:ind w:right="260"/>
        <w:rPr>
          <w:sz w:val="20"/>
        </w:rPr>
      </w:pPr>
    </w:p>
    <w:p w:rsidR="00581D11" w:rsidRPr="008F0AE0" w:rsidRDefault="00581D11" w:rsidP="002A4E49">
      <w:pPr>
        <w:rPr>
          <w:szCs w:val="20"/>
        </w:rPr>
      </w:pPr>
      <w:r w:rsidRPr="008F0AE0">
        <w:rPr>
          <w:iCs/>
          <w:szCs w:val="20"/>
        </w:rPr>
        <w:t xml:space="preserve">Under its </w:t>
      </w:r>
      <w:r w:rsidR="00EA1FE2">
        <w:rPr>
          <w:iCs/>
          <w:szCs w:val="20"/>
        </w:rPr>
        <w:t>n</w:t>
      </w:r>
      <w:r w:rsidRPr="008F0AE0">
        <w:rPr>
          <w:iCs/>
          <w:szCs w:val="20"/>
        </w:rPr>
        <w:t xml:space="preserve">ew </w:t>
      </w:r>
      <w:r w:rsidR="00EA1FE2">
        <w:rPr>
          <w:iCs/>
          <w:szCs w:val="20"/>
        </w:rPr>
        <w:t>f</w:t>
      </w:r>
      <w:r w:rsidRPr="008F0AE0">
        <w:rPr>
          <w:iCs/>
          <w:szCs w:val="20"/>
        </w:rPr>
        <w:t xml:space="preserve">unding </w:t>
      </w:r>
      <w:r w:rsidR="00EA1FE2">
        <w:rPr>
          <w:iCs/>
          <w:szCs w:val="20"/>
        </w:rPr>
        <w:t>m</w:t>
      </w:r>
      <w:r w:rsidRPr="008F0AE0">
        <w:rPr>
          <w:iCs/>
          <w:szCs w:val="20"/>
        </w:rPr>
        <w:t>odel, GF</w:t>
      </w:r>
      <w:r w:rsidR="00C2114B" w:rsidRPr="008F0AE0">
        <w:rPr>
          <w:iCs/>
          <w:szCs w:val="20"/>
        </w:rPr>
        <w:t>ATM</w:t>
      </w:r>
      <w:r w:rsidRPr="008F0AE0">
        <w:rPr>
          <w:iCs/>
          <w:szCs w:val="20"/>
        </w:rPr>
        <w:t xml:space="preserve"> has indicative country allocations for the </w:t>
      </w:r>
      <w:r w:rsidR="00563154" w:rsidRPr="008F0AE0">
        <w:rPr>
          <w:iCs/>
          <w:szCs w:val="20"/>
        </w:rPr>
        <w:t>three-year</w:t>
      </w:r>
      <w:r w:rsidRPr="008F0AE0">
        <w:rPr>
          <w:iCs/>
          <w:szCs w:val="20"/>
        </w:rPr>
        <w:t xml:space="preserve"> period 2014-2016 (Table </w:t>
      </w:r>
      <w:r w:rsidR="00EA1FE2">
        <w:rPr>
          <w:iCs/>
          <w:szCs w:val="20"/>
        </w:rPr>
        <w:t>6</w:t>
      </w:r>
      <w:r w:rsidRPr="008F0AE0">
        <w:rPr>
          <w:iCs/>
          <w:szCs w:val="20"/>
        </w:rPr>
        <w:fldChar w:fldCharType="begin"/>
      </w:r>
      <w:r w:rsidRPr="008F0AE0">
        <w:rPr>
          <w:iCs/>
          <w:szCs w:val="20"/>
        </w:rPr>
        <w:instrText xml:space="preserve"> REF _Ref398913045 \h  \* MERGEFORMAT </w:instrText>
      </w:r>
      <w:r w:rsidRPr="008F0AE0">
        <w:rPr>
          <w:iCs/>
          <w:szCs w:val="20"/>
        </w:rPr>
      </w:r>
      <w:r w:rsidRPr="008F0AE0">
        <w:rPr>
          <w:iCs/>
          <w:szCs w:val="20"/>
        </w:rPr>
        <w:fldChar w:fldCharType="separate"/>
      </w:r>
      <w:r w:rsidR="00A334D4" w:rsidRPr="00A61F71">
        <w:rPr>
          <w:sz w:val="20"/>
        </w:rPr>
        <w:t xml:space="preserve">Table </w:t>
      </w:r>
      <w:r w:rsidRPr="008F0AE0">
        <w:rPr>
          <w:iCs/>
          <w:szCs w:val="20"/>
        </w:rPr>
        <w:fldChar w:fldCharType="end"/>
      </w:r>
      <w:r w:rsidRPr="008F0AE0">
        <w:rPr>
          <w:iCs/>
          <w:szCs w:val="20"/>
        </w:rPr>
        <w:t xml:space="preserve">). </w:t>
      </w:r>
      <w:r w:rsidR="00C2114B" w:rsidRPr="008F0AE0">
        <w:rPr>
          <w:iCs/>
          <w:szCs w:val="20"/>
        </w:rPr>
        <w:t xml:space="preserve">It is expected that GFATM’s </w:t>
      </w:r>
      <w:r w:rsidRPr="008F0AE0">
        <w:rPr>
          <w:rFonts w:eastAsia="MS Mincho"/>
          <w:szCs w:val="20"/>
        </w:rPr>
        <w:t xml:space="preserve">new funding model is likely to lead to decreasing grants to some of DFAT’s priority countries in the Asia-Pacific region (such as Vanuatu, </w:t>
      </w:r>
      <w:r w:rsidR="001C4786" w:rsidRPr="00820C7E">
        <w:rPr>
          <w:rFonts w:eastAsia="MS Mincho"/>
          <w:szCs w:val="20"/>
        </w:rPr>
        <w:t>Solomon Islands</w:t>
      </w:r>
      <w:r w:rsidR="00EA1FE2">
        <w:rPr>
          <w:rFonts w:eastAsia="MS Mincho"/>
          <w:szCs w:val="20"/>
        </w:rPr>
        <w:t>,</w:t>
      </w:r>
      <w:r w:rsidR="001C4786" w:rsidRPr="00820C7E">
        <w:rPr>
          <w:rFonts w:eastAsia="MS Mincho"/>
          <w:szCs w:val="20"/>
        </w:rPr>
        <w:t xml:space="preserve"> </w:t>
      </w:r>
      <w:r w:rsidRPr="008F0AE0">
        <w:rPr>
          <w:rFonts w:eastAsia="MS Mincho"/>
          <w:szCs w:val="20"/>
        </w:rPr>
        <w:t>and Indonesia) reflecting their relatively low disease burden and transition to middle</w:t>
      </w:r>
      <w:r w:rsidR="00EA1FE2">
        <w:rPr>
          <w:rFonts w:eastAsia="MS Mincho"/>
          <w:szCs w:val="20"/>
        </w:rPr>
        <w:t>-</w:t>
      </w:r>
      <w:r w:rsidRPr="008F0AE0">
        <w:rPr>
          <w:rFonts w:eastAsia="MS Mincho"/>
          <w:szCs w:val="20"/>
        </w:rPr>
        <w:t xml:space="preserve">income status. The considerable gains in disease prevention and treatment achieved with </w:t>
      </w:r>
      <w:r w:rsidR="000107FF">
        <w:rPr>
          <w:rFonts w:eastAsia="MS Mincho"/>
          <w:szCs w:val="20"/>
        </w:rPr>
        <w:t xml:space="preserve">GFATM </w:t>
      </w:r>
      <w:r w:rsidRPr="008F0AE0">
        <w:rPr>
          <w:rFonts w:eastAsia="MS Mincho"/>
          <w:szCs w:val="20"/>
        </w:rPr>
        <w:t>support (e.g.</w:t>
      </w:r>
      <w:r w:rsidR="000107FF">
        <w:rPr>
          <w:rFonts w:eastAsia="MS Mincho"/>
          <w:szCs w:val="20"/>
        </w:rPr>
        <w:t>,</w:t>
      </w:r>
      <w:r w:rsidRPr="008F0AE0">
        <w:rPr>
          <w:rFonts w:eastAsia="MS Mincho"/>
          <w:szCs w:val="20"/>
        </w:rPr>
        <w:t xml:space="preserve"> malaria gains in Vanuatu</w:t>
      </w:r>
      <w:r w:rsidR="001C4786" w:rsidRPr="00820C7E">
        <w:rPr>
          <w:rFonts w:eastAsia="MS Mincho"/>
          <w:szCs w:val="20"/>
        </w:rPr>
        <w:t xml:space="preserve"> and Solomon Islands</w:t>
      </w:r>
      <w:r w:rsidRPr="008F0AE0">
        <w:rPr>
          <w:rFonts w:eastAsia="MS Mincho"/>
          <w:szCs w:val="20"/>
        </w:rPr>
        <w:t xml:space="preserve">) are at risk of being eroded with the reduction in </w:t>
      </w:r>
      <w:r w:rsidR="00C2114B" w:rsidRPr="008F0AE0">
        <w:rPr>
          <w:rFonts w:eastAsia="MS Mincho"/>
          <w:szCs w:val="20"/>
        </w:rPr>
        <w:t xml:space="preserve">GFATM </w:t>
      </w:r>
      <w:r w:rsidRPr="008F0AE0">
        <w:rPr>
          <w:rFonts w:eastAsia="MS Mincho"/>
          <w:szCs w:val="20"/>
        </w:rPr>
        <w:t>financing</w:t>
      </w:r>
      <w:r w:rsidR="004E17FB">
        <w:rPr>
          <w:rFonts w:eastAsia="MS Mincho"/>
          <w:szCs w:val="20"/>
        </w:rPr>
        <w:t>, while all five countries still face numerous challenges in preventing and controlling HIV, TB, and malaria</w:t>
      </w:r>
      <w:r w:rsidRPr="008F0AE0">
        <w:rPr>
          <w:rFonts w:eastAsia="MS Mincho"/>
          <w:szCs w:val="20"/>
        </w:rPr>
        <w:t>.</w:t>
      </w:r>
    </w:p>
    <w:p w:rsidR="00581D11" w:rsidRPr="008F0AE0" w:rsidRDefault="00581D11" w:rsidP="008F0AE0">
      <w:pPr>
        <w:rPr>
          <w:iCs/>
          <w:szCs w:val="20"/>
        </w:rPr>
      </w:pPr>
    </w:p>
    <w:p w:rsidR="00581D11" w:rsidRPr="00A61F71" w:rsidRDefault="00581D11" w:rsidP="008F0AE0">
      <w:pPr>
        <w:pStyle w:val="Caption"/>
        <w:spacing w:after="0"/>
        <w:jc w:val="center"/>
        <w:rPr>
          <w:color w:val="auto"/>
          <w:sz w:val="20"/>
        </w:rPr>
      </w:pPr>
      <w:bookmarkStart w:id="5" w:name="_Ref398913045"/>
      <w:r w:rsidRPr="00A61F71">
        <w:rPr>
          <w:color w:val="auto"/>
          <w:sz w:val="20"/>
        </w:rPr>
        <w:t xml:space="preserve">Table </w:t>
      </w:r>
      <w:bookmarkEnd w:id="5"/>
      <w:r w:rsidR="00EA1FE2">
        <w:rPr>
          <w:color w:val="auto"/>
          <w:sz w:val="20"/>
        </w:rPr>
        <w:t>6</w:t>
      </w:r>
      <w:r w:rsidRPr="00A61F71">
        <w:rPr>
          <w:color w:val="auto"/>
          <w:sz w:val="20"/>
        </w:rPr>
        <w:t xml:space="preserve">: </w:t>
      </w:r>
      <w:r w:rsidR="000107FF" w:rsidRPr="00A61F71">
        <w:rPr>
          <w:color w:val="auto"/>
          <w:sz w:val="20"/>
        </w:rPr>
        <w:t>GFATM</w:t>
      </w:r>
      <w:r w:rsidRPr="00A61F71">
        <w:rPr>
          <w:color w:val="auto"/>
          <w:sz w:val="20"/>
        </w:rPr>
        <w:t xml:space="preserve"> country allocations for 2014-2016, by disease, US$ million</w:t>
      </w:r>
    </w:p>
    <w:tbl>
      <w:tblPr>
        <w:tblStyle w:val="LightList-Accent1"/>
        <w:tblW w:w="8932" w:type="dxa"/>
        <w:jc w:val="center"/>
        <w:tblLayout w:type="fixed"/>
        <w:tblLook w:val="04A0" w:firstRow="1" w:lastRow="0" w:firstColumn="1" w:lastColumn="0" w:noHBand="0" w:noVBand="1"/>
      </w:tblPr>
      <w:tblGrid>
        <w:gridCol w:w="3070"/>
        <w:gridCol w:w="1954"/>
        <w:gridCol w:w="1954"/>
        <w:gridCol w:w="1954"/>
      </w:tblGrid>
      <w:tr w:rsidR="00581D11" w:rsidRPr="008F0AE0" w:rsidTr="004E17F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70" w:type="dxa"/>
            <w:tcBorders>
              <w:top w:val="single" w:sz="8" w:space="0" w:color="4F81BD" w:themeColor="accent1"/>
              <w:bottom w:val="single" w:sz="8" w:space="0" w:color="4F81BD" w:themeColor="accent1"/>
            </w:tcBorders>
            <w:noWrap/>
            <w:hideMark/>
          </w:tcPr>
          <w:p w:rsidR="00581D11" w:rsidRPr="00A61F71" w:rsidRDefault="00581D11" w:rsidP="008F0AE0">
            <w:pPr>
              <w:rPr>
                <w:color w:val="auto"/>
                <w:sz w:val="20"/>
              </w:rPr>
            </w:pPr>
            <w:r w:rsidRPr="00A61F71">
              <w:rPr>
                <w:color w:val="auto"/>
                <w:sz w:val="20"/>
              </w:rPr>
              <w:t>Country</w:t>
            </w:r>
          </w:p>
        </w:tc>
        <w:tc>
          <w:tcPr>
            <w:tcW w:w="5862" w:type="dxa"/>
            <w:gridSpan w:val="3"/>
            <w:tcBorders>
              <w:top w:val="single" w:sz="8" w:space="0" w:color="4F81BD" w:themeColor="accent1"/>
              <w:bottom w:val="single" w:sz="8" w:space="0" w:color="4F81BD" w:themeColor="accent1"/>
            </w:tcBorders>
            <w:noWrap/>
            <w:hideMark/>
          </w:tcPr>
          <w:p w:rsidR="00581D11" w:rsidRPr="00A61F71" w:rsidRDefault="00581D11" w:rsidP="008F0AE0">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A61F71">
              <w:rPr>
                <w:color w:val="auto"/>
                <w:sz w:val="20"/>
              </w:rPr>
              <w:t>Country allocation (2014-2016)</w:t>
            </w:r>
          </w:p>
        </w:tc>
      </w:tr>
      <w:tr w:rsidR="00581D11" w:rsidRPr="008F0AE0" w:rsidTr="00C21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70" w:type="dxa"/>
            <w:shd w:val="clear" w:color="auto" w:fill="4F81BD" w:themeFill="accent1"/>
            <w:noWrap/>
          </w:tcPr>
          <w:p w:rsidR="00581D11" w:rsidRPr="008F0AE0" w:rsidRDefault="00581D11" w:rsidP="008F0AE0">
            <w:pPr>
              <w:rPr>
                <w:rFonts w:eastAsia="Times New Roman"/>
                <w:sz w:val="20"/>
                <w:szCs w:val="20"/>
              </w:rPr>
            </w:pPr>
          </w:p>
        </w:tc>
        <w:tc>
          <w:tcPr>
            <w:tcW w:w="1954" w:type="dxa"/>
            <w:shd w:val="clear" w:color="auto" w:fill="4F81BD" w:themeFill="accent1"/>
            <w:noWrap/>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HIV/AIDS</w:t>
            </w:r>
          </w:p>
        </w:tc>
        <w:tc>
          <w:tcPr>
            <w:tcW w:w="1954" w:type="dxa"/>
            <w:shd w:val="clear" w:color="auto" w:fill="4F81BD" w:themeFill="accent1"/>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TB</w:t>
            </w:r>
          </w:p>
        </w:tc>
        <w:tc>
          <w:tcPr>
            <w:tcW w:w="1954" w:type="dxa"/>
            <w:shd w:val="clear" w:color="auto" w:fill="4F81BD" w:themeFill="accent1"/>
          </w:tcPr>
          <w:p w:rsidR="00581D11" w:rsidRPr="00A61F71" w:rsidRDefault="00581D11" w:rsidP="008F0AE0">
            <w:pPr>
              <w:jc w:val="center"/>
              <w:cnfStyle w:val="000000100000" w:firstRow="0" w:lastRow="0" w:firstColumn="0" w:lastColumn="0" w:oddVBand="0" w:evenVBand="0" w:oddHBand="1" w:evenHBand="0" w:firstRowFirstColumn="0" w:firstRowLastColumn="0" w:lastRowFirstColumn="0" w:lastRowLastColumn="0"/>
              <w:rPr>
                <w:sz w:val="20"/>
              </w:rPr>
            </w:pPr>
            <w:r w:rsidRPr="00A61F71">
              <w:rPr>
                <w:sz w:val="20"/>
              </w:rPr>
              <w:t>Malaria</w:t>
            </w:r>
          </w:p>
        </w:tc>
      </w:tr>
      <w:tr w:rsidR="00581D11" w:rsidRPr="008F0AE0" w:rsidTr="00C2114B">
        <w:trPr>
          <w:trHeight w:val="300"/>
          <w:jc w:val="center"/>
        </w:trPr>
        <w:tc>
          <w:tcPr>
            <w:cnfStyle w:val="001000000000" w:firstRow="0" w:lastRow="0" w:firstColumn="1" w:lastColumn="0" w:oddVBand="0" w:evenVBand="0" w:oddHBand="0" w:evenHBand="0" w:firstRowFirstColumn="0" w:firstRowLastColumn="0" w:lastRowFirstColumn="0" w:lastRowLastColumn="0"/>
            <w:tcW w:w="3070" w:type="dxa"/>
            <w:tcBorders>
              <w:right w:val="single" w:sz="4" w:space="0" w:color="auto"/>
            </w:tcBorders>
            <w:noWrap/>
            <w:hideMark/>
          </w:tcPr>
          <w:p w:rsidR="00581D11" w:rsidRPr="008F0AE0" w:rsidRDefault="00581D11" w:rsidP="008F0AE0">
            <w:pPr>
              <w:rPr>
                <w:rFonts w:eastAsia="Times New Roman"/>
                <w:b w:val="0"/>
                <w:sz w:val="20"/>
                <w:szCs w:val="20"/>
              </w:rPr>
            </w:pPr>
            <w:r w:rsidRPr="008F0AE0">
              <w:rPr>
                <w:rFonts w:eastAsia="Times New Roman"/>
                <w:b w:val="0"/>
                <w:sz w:val="20"/>
                <w:szCs w:val="20"/>
              </w:rPr>
              <w:t xml:space="preserve">Cambodia </w:t>
            </w:r>
            <w:r w:rsidRPr="008F0AE0">
              <w:rPr>
                <w:rFonts w:eastAsia="Times New Roman"/>
                <w:b w:val="0"/>
                <w:sz w:val="20"/>
                <w:szCs w:val="20"/>
                <w:vertAlign w:val="superscript"/>
              </w:rPr>
              <w:t>a/</w:t>
            </w:r>
          </w:p>
        </w:tc>
        <w:tc>
          <w:tcPr>
            <w:tcW w:w="1954" w:type="dxa"/>
            <w:tcBorders>
              <w:top w:val="single" w:sz="8" w:space="0" w:color="4F81BD" w:themeColor="accent1"/>
              <w:left w:val="single" w:sz="4" w:space="0" w:color="auto"/>
              <w:bottom w:val="single" w:sz="8" w:space="0" w:color="4F81BD" w:themeColor="accent1"/>
              <w:right w:val="single" w:sz="4" w:space="0" w:color="auto"/>
            </w:tcBorders>
            <w:noWrap/>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0AE0">
              <w:rPr>
                <w:rFonts w:eastAsia="Times New Roman"/>
                <w:sz w:val="20"/>
                <w:szCs w:val="20"/>
              </w:rPr>
              <w:t>80.8</w:t>
            </w:r>
          </w:p>
        </w:tc>
        <w:tc>
          <w:tcPr>
            <w:tcW w:w="1954" w:type="dxa"/>
            <w:tcBorders>
              <w:top w:val="single" w:sz="8" w:space="0" w:color="4F81BD" w:themeColor="accent1"/>
              <w:left w:val="single" w:sz="4" w:space="0" w:color="auto"/>
              <w:bottom w:val="single" w:sz="8" w:space="0" w:color="4F81BD" w:themeColor="accent1"/>
              <w:right w:val="single" w:sz="4" w:space="0" w:color="auto"/>
            </w:tcBorders>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0AE0">
              <w:rPr>
                <w:rFonts w:eastAsia="Times New Roman"/>
                <w:sz w:val="20"/>
                <w:szCs w:val="20"/>
              </w:rPr>
              <w:t>15.9</w:t>
            </w:r>
          </w:p>
        </w:tc>
        <w:tc>
          <w:tcPr>
            <w:tcW w:w="1954" w:type="dxa"/>
            <w:tcBorders>
              <w:top w:val="single" w:sz="8" w:space="0" w:color="4F81BD" w:themeColor="accent1"/>
              <w:left w:val="single" w:sz="4" w:space="0" w:color="auto"/>
              <w:bottom w:val="single" w:sz="8" w:space="0" w:color="4F81BD" w:themeColor="accent1"/>
            </w:tcBorders>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0AE0">
              <w:rPr>
                <w:rFonts w:eastAsia="Times New Roman"/>
                <w:sz w:val="20"/>
                <w:szCs w:val="20"/>
              </w:rPr>
              <w:t>52.1</w:t>
            </w:r>
          </w:p>
        </w:tc>
      </w:tr>
      <w:tr w:rsidR="00581D11" w:rsidRPr="008F0AE0" w:rsidTr="00C21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70" w:type="dxa"/>
            <w:tcBorders>
              <w:right w:val="single" w:sz="4" w:space="0" w:color="auto"/>
            </w:tcBorders>
            <w:noWrap/>
            <w:hideMark/>
          </w:tcPr>
          <w:p w:rsidR="00581D11" w:rsidRPr="008F0AE0" w:rsidRDefault="00581D11" w:rsidP="008F0AE0">
            <w:pPr>
              <w:rPr>
                <w:rFonts w:eastAsia="Times New Roman"/>
                <w:b w:val="0"/>
                <w:sz w:val="20"/>
                <w:szCs w:val="20"/>
              </w:rPr>
            </w:pPr>
            <w:r w:rsidRPr="008F0AE0">
              <w:rPr>
                <w:rFonts w:eastAsia="Times New Roman"/>
                <w:b w:val="0"/>
                <w:sz w:val="20"/>
                <w:szCs w:val="20"/>
              </w:rPr>
              <w:t xml:space="preserve">Indonesia </w:t>
            </w:r>
            <w:r w:rsidRPr="008F0AE0">
              <w:rPr>
                <w:rFonts w:eastAsia="Times New Roman"/>
                <w:b w:val="0"/>
                <w:sz w:val="20"/>
                <w:szCs w:val="20"/>
                <w:vertAlign w:val="superscript"/>
              </w:rPr>
              <w:t>a/</w:t>
            </w:r>
          </w:p>
        </w:tc>
        <w:tc>
          <w:tcPr>
            <w:tcW w:w="1954" w:type="dxa"/>
            <w:tcBorders>
              <w:left w:val="single" w:sz="4" w:space="0" w:color="auto"/>
              <w:right w:val="single" w:sz="4" w:space="0" w:color="auto"/>
            </w:tcBorders>
            <w:noWrap/>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0AE0">
              <w:rPr>
                <w:rFonts w:eastAsia="Times New Roman"/>
                <w:sz w:val="20"/>
                <w:szCs w:val="20"/>
              </w:rPr>
              <w:t>116.1</w:t>
            </w:r>
          </w:p>
        </w:tc>
        <w:tc>
          <w:tcPr>
            <w:tcW w:w="1954" w:type="dxa"/>
            <w:tcBorders>
              <w:left w:val="single" w:sz="4" w:space="0" w:color="auto"/>
              <w:right w:val="single" w:sz="4" w:space="0" w:color="auto"/>
            </w:tcBorders>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0AE0">
              <w:rPr>
                <w:rFonts w:eastAsia="Times New Roman"/>
                <w:sz w:val="20"/>
                <w:szCs w:val="20"/>
              </w:rPr>
              <w:t>107.8</w:t>
            </w:r>
          </w:p>
        </w:tc>
        <w:tc>
          <w:tcPr>
            <w:tcW w:w="1954" w:type="dxa"/>
            <w:tcBorders>
              <w:left w:val="single" w:sz="4" w:space="0" w:color="auto"/>
            </w:tcBorders>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0AE0">
              <w:rPr>
                <w:rFonts w:eastAsia="Times New Roman"/>
                <w:sz w:val="20"/>
                <w:szCs w:val="20"/>
              </w:rPr>
              <w:t>78.4</w:t>
            </w:r>
          </w:p>
        </w:tc>
      </w:tr>
      <w:tr w:rsidR="00581D11" w:rsidRPr="008F0AE0" w:rsidTr="00C2114B">
        <w:trPr>
          <w:trHeight w:val="300"/>
          <w:jc w:val="center"/>
        </w:trPr>
        <w:tc>
          <w:tcPr>
            <w:cnfStyle w:val="001000000000" w:firstRow="0" w:lastRow="0" w:firstColumn="1" w:lastColumn="0" w:oddVBand="0" w:evenVBand="0" w:oddHBand="0" w:evenHBand="0" w:firstRowFirstColumn="0" w:firstRowLastColumn="0" w:lastRowFirstColumn="0" w:lastRowLastColumn="0"/>
            <w:tcW w:w="3070" w:type="dxa"/>
            <w:tcBorders>
              <w:right w:val="single" w:sz="4" w:space="0" w:color="auto"/>
            </w:tcBorders>
            <w:noWrap/>
            <w:hideMark/>
          </w:tcPr>
          <w:p w:rsidR="00581D11" w:rsidRPr="008F0AE0" w:rsidRDefault="00C869AB" w:rsidP="008F0AE0">
            <w:pPr>
              <w:rPr>
                <w:rFonts w:eastAsia="Times New Roman"/>
                <w:b w:val="0"/>
                <w:sz w:val="20"/>
                <w:szCs w:val="20"/>
              </w:rPr>
            </w:pPr>
            <w:r>
              <w:rPr>
                <w:rFonts w:eastAsia="Times New Roman"/>
                <w:b w:val="0"/>
                <w:sz w:val="20"/>
                <w:szCs w:val="20"/>
              </w:rPr>
              <w:t>Papua New Guinea</w:t>
            </w:r>
          </w:p>
        </w:tc>
        <w:tc>
          <w:tcPr>
            <w:tcW w:w="1954" w:type="dxa"/>
            <w:tcBorders>
              <w:top w:val="single" w:sz="8" w:space="0" w:color="4F81BD" w:themeColor="accent1"/>
              <w:left w:val="single" w:sz="4" w:space="0" w:color="auto"/>
              <w:bottom w:val="single" w:sz="8" w:space="0" w:color="4F81BD" w:themeColor="accent1"/>
              <w:right w:val="single" w:sz="4" w:space="0" w:color="auto"/>
            </w:tcBorders>
            <w:noWrap/>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0AE0">
              <w:rPr>
                <w:rFonts w:eastAsia="Times New Roman"/>
                <w:sz w:val="20"/>
                <w:szCs w:val="20"/>
              </w:rPr>
              <w:t>25.2</w:t>
            </w:r>
          </w:p>
        </w:tc>
        <w:tc>
          <w:tcPr>
            <w:tcW w:w="1954" w:type="dxa"/>
            <w:tcBorders>
              <w:top w:val="single" w:sz="8" w:space="0" w:color="4F81BD" w:themeColor="accent1"/>
              <w:left w:val="single" w:sz="4" w:space="0" w:color="auto"/>
              <w:bottom w:val="single" w:sz="8" w:space="0" w:color="4F81BD" w:themeColor="accent1"/>
              <w:right w:val="single" w:sz="4" w:space="0" w:color="auto"/>
            </w:tcBorders>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0AE0">
              <w:rPr>
                <w:rFonts w:eastAsia="Times New Roman"/>
                <w:sz w:val="20"/>
                <w:szCs w:val="20"/>
              </w:rPr>
              <w:t>13.7</w:t>
            </w:r>
          </w:p>
        </w:tc>
        <w:tc>
          <w:tcPr>
            <w:tcW w:w="1954" w:type="dxa"/>
            <w:tcBorders>
              <w:top w:val="single" w:sz="8" w:space="0" w:color="4F81BD" w:themeColor="accent1"/>
              <w:left w:val="single" w:sz="4" w:space="0" w:color="auto"/>
              <w:bottom w:val="single" w:sz="4" w:space="0" w:color="auto"/>
            </w:tcBorders>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8F0AE0">
              <w:rPr>
                <w:rFonts w:eastAsia="Times New Roman"/>
                <w:sz w:val="20"/>
                <w:szCs w:val="20"/>
              </w:rPr>
              <w:t>44.3</w:t>
            </w:r>
          </w:p>
        </w:tc>
      </w:tr>
      <w:tr w:rsidR="00581D11" w:rsidRPr="008F0AE0" w:rsidTr="00C2114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70" w:type="dxa"/>
            <w:tcBorders>
              <w:right w:val="single" w:sz="4" w:space="0" w:color="auto"/>
            </w:tcBorders>
            <w:noWrap/>
            <w:hideMark/>
          </w:tcPr>
          <w:p w:rsidR="00581D11" w:rsidRPr="008F0AE0" w:rsidRDefault="00581D11" w:rsidP="008F0AE0">
            <w:pPr>
              <w:rPr>
                <w:rFonts w:eastAsia="Times New Roman"/>
                <w:b w:val="0"/>
                <w:sz w:val="20"/>
                <w:szCs w:val="20"/>
              </w:rPr>
            </w:pPr>
            <w:r w:rsidRPr="008F0AE0">
              <w:rPr>
                <w:rFonts w:eastAsia="Times New Roman"/>
                <w:b w:val="0"/>
                <w:sz w:val="20"/>
                <w:szCs w:val="20"/>
              </w:rPr>
              <w:t xml:space="preserve">Multi-country Western Pacific (TB-HIV) </w:t>
            </w:r>
            <w:r w:rsidRPr="008F0AE0">
              <w:rPr>
                <w:rFonts w:eastAsia="Times New Roman"/>
                <w:b w:val="0"/>
                <w:sz w:val="20"/>
                <w:szCs w:val="20"/>
                <w:vertAlign w:val="superscript"/>
              </w:rPr>
              <w:t>b/</w:t>
            </w:r>
          </w:p>
        </w:tc>
        <w:tc>
          <w:tcPr>
            <w:tcW w:w="3908" w:type="dxa"/>
            <w:gridSpan w:val="2"/>
            <w:tcBorders>
              <w:left w:val="single" w:sz="4" w:space="0" w:color="auto"/>
              <w:right w:val="single" w:sz="4" w:space="0" w:color="auto"/>
            </w:tcBorders>
            <w:noWrap/>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0AE0">
              <w:rPr>
                <w:rFonts w:eastAsia="Times New Roman"/>
                <w:sz w:val="20"/>
                <w:szCs w:val="20"/>
              </w:rPr>
              <w:t>21.2</w:t>
            </w:r>
          </w:p>
        </w:tc>
        <w:tc>
          <w:tcPr>
            <w:tcW w:w="1954" w:type="dxa"/>
            <w:tcBorders>
              <w:top w:val="single" w:sz="4" w:space="0" w:color="auto"/>
              <w:left w:val="single" w:sz="4" w:space="0" w:color="auto"/>
              <w:bottom w:val="single" w:sz="4" w:space="0" w:color="auto"/>
            </w:tcBorders>
          </w:tcPr>
          <w:p w:rsidR="00581D11" w:rsidRPr="008F0AE0" w:rsidRDefault="00581D11" w:rsidP="008F0AE0">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8F0AE0">
              <w:rPr>
                <w:rFonts w:eastAsia="Times New Roman"/>
                <w:sz w:val="20"/>
                <w:szCs w:val="20"/>
              </w:rPr>
              <w:t>--</w:t>
            </w:r>
          </w:p>
        </w:tc>
      </w:tr>
      <w:tr w:rsidR="00581D11" w:rsidRPr="008F0AE0" w:rsidTr="004E17FB">
        <w:trPr>
          <w:trHeight w:val="300"/>
          <w:jc w:val="center"/>
        </w:trPr>
        <w:tc>
          <w:tcPr>
            <w:cnfStyle w:val="001000000000" w:firstRow="0" w:lastRow="0" w:firstColumn="1" w:lastColumn="0" w:oddVBand="0" w:evenVBand="0" w:oddHBand="0" w:evenHBand="0" w:firstRowFirstColumn="0" w:firstRowLastColumn="0" w:lastRowFirstColumn="0" w:lastRowLastColumn="0"/>
            <w:tcW w:w="3070" w:type="dxa"/>
            <w:tcBorders>
              <w:bottom w:val="single" w:sz="8" w:space="0" w:color="4F81BD" w:themeColor="accent1"/>
              <w:right w:val="single" w:sz="4" w:space="0" w:color="auto"/>
            </w:tcBorders>
            <w:noWrap/>
            <w:hideMark/>
          </w:tcPr>
          <w:p w:rsidR="00581D11" w:rsidRPr="008F0AE0" w:rsidRDefault="00581D11" w:rsidP="008F0AE0">
            <w:pPr>
              <w:rPr>
                <w:rFonts w:eastAsia="Times New Roman"/>
                <w:b w:val="0"/>
                <w:sz w:val="20"/>
                <w:szCs w:val="20"/>
              </w:rPr>
            </w:pPr>
            <w:r w:rsidRPr="008F0AE0">
              <w:rPr>
                <w:rFonts w:eastAsia="Times New Roman"/>
                <w:b w:val="0"/>
                <w:sz w:val="20"/>
                <w:szCs w:val="20"/>
              </w:rPr>
              <w:t xml:space="preserve">Multi-country Western Pacific (Malaria) </w:t>
            </w:r>
            <w:r w:rsidRPr="008F0AE0">
              <w:rPr>
                <w:rFonts w:eastAsia="Times New Roman"/>
                <w:b w:val="0"/>
                <w:sz w:val="20"/>
                <w:szCs w:val="20"/>
                <w:vertAlign w:val="superscript"/>
              </w:rPr>
              <w:t>b/</w:t>
            </w:r>
          </w:p>
        </w:tc>
        <w:tc>
          <w:tcPr>
            <w:tcW w:w="1954" w:type="dxa"/>
            <w:tcBorders>
              <w:top w:val="nil"/>
              <w:left w:val="single" w:sz="4" w:space="0" w:color="auto"/>
              <w:bottom w:val="single" w:sz="8" w:space="0" w:color="4F81BD" w:themeColor="accent1"/>
              <w:right w:val="single" w:sz="4" w:space="0" w:color="auto"/>
            </w:tcBorders>
            <w:noWrap/>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w:t>
            </w:r>
          </w:p>
        </w:tc>
        <w:tc>
          <w:tcPr>
            <w:tcW w:w="1954" w:type="dxa"/>
            <w:tcBorders>
              <w:top w:val="nil"/>
              <w:left w:val="single" w:sz="4" w:space="0" w:color="auto"/>
              <w:bottom w:val="single" w:sz="8" w:space="0" w:color="4F81BD" w:themeColor="accent1"/>
              <w:right w:val="single" w:sz="4" w:space="0" w:color="auto"/>
            </w:tcBorders>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w:t>
            </w:r>
          </w:p>
        </w:tc>
        <w:tc>
          <w:tcPr>
            <w:tcW w:w="1954" w:type="dxa"/>
            <w:tcBorders>
              <w:top w:val="single" w:sz="4" w:space="0" w:color="auto"/>
              <w:left w:val="single" w:sz="4" w:space="0" w:color="auto"/>
              <w:bottom w:val="single" w:sz="8" w:space="0" w:color="4F81BD" w:themeColor="accent1"/>
            </w:tcBorders>
          </w:tcPr>
          <w:p w:rsidR="00581D11" w:rsidRPr="008F0AE0" w:rsidRDefault="00581D11" w:rsidP="008F0AE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0AE0">
              <w:rPr>
                <w:sz w:val="20"/>
                <w:szCs w:val="20"/>
              </w:rPr>
              <w:t>9.7</w:t>
            </w:r>
          </w:p>
        </w:tc>
      </w:tr>
    </w:tbl>
    <w:p w:rsidR="00581D11" w:rsidRPr="008F0AE0" w:rsidRDefault="00581D11" w:rsidP="008F0AE0">
      <w:pPr>
        <w:rPr>
          <w:sz w:val="18"/>
          <w:szCs w:val="20"/>
        </w:rPr>
      </w:pPr>
      <w:r w:rsidRPr="008F0AE0">
        <w:rPr>
          <w:sz w:val="20"/>
          <w:szCs w:val="20"/>
        </w:rPr>
        <w:tab/>
      </w:r>
      <w:r w:rsidRPr="008F0AE0">
        <w:rPr>
          <w:sz w:val="18"/>
          <w:szCs w:val="20"/>
        </w:rPr>
        <w:t xml:space="preserve">Source:  GFATM (2014). </w:t>
      </w:r>
    </w:p>
    <w:p w:rsidR="00581D11" w:rsidRPr="008F0AE0" w:rsidRDefault="00581D11" w:rsidP="008F0AE0">
      <w:pPr>
        <w:ind w:left="1440" w:hanging="720"/>
        <w:rPr>
          <w:rStyle w:val="Emphasis"/>
          <w:i w:val="0"/>
          <w:sz w:val="18"/>
          <w:szCs w:val="20"/>
        </w:rPr>
      </w:pPr>
      <w:r w:rsidRPr="008F0AE0">
        <w:rPr>
          <w:sz w:val="18"/>
          <w:szCs w:val="20"/>
        </w:rPr>
        <w:t xml:space="preserve">Notes: </w:t>
      </w:r>
      <w:r w:rsidRPr="008F0AE0">
        <w:rPr>
          <w:sz w:val="18"/>
          <w:szCs w:val="20"/>
        </w:rPr>
        <w:tab/>
        <w:t xml:space="preserve">a/ </w:t>
      </w:r>
      <w:r w:rsidRPr="008F0AE0">
        <w:rPr>
          <w:rStyle w:val="Emphasis"/>
          <w:i w:val="0"/>
          <w:sz w:val="18"/>
          <w:szCs w:val="20"/>
        </w:rPr>
        <w:t>Country has existing funding in a health systems strengthening grant. This funding has been included proportionally in each eligible component.</w:t>
      </w:r>
    </w:p>
    <w:p w:rsidR="00581D11" w:rsidRPr="008F0AE0" w:rsidRDefault="00581D11" w:rsidP="008F0AE0">
      <w:pPr>
        <w:ind w:left="1440"/>
        <w:rPr>
          <w:sz w:val="18"/>
          <w:szCs w:val="20"/>
        </w:rPr>
      </w:pPr>
      <w:r w:rsidRPr="008F0AE0">
        <w:rPr>
          <w:rStyle w:val="Emphasis"/>
          <w:i w:val="0"/>
          <w:sz w:val="18"/>
          <w:szCs w:val="20"/>
        </w:rPr>
        <w:t xml:space="preserve">b/ The multi-country Western Pacific allocation for TB and HIV includes the following eligible countries: Kiribati, Marshall Islands, Micronesia, Samoa, </w:t>
      </w:r>
      <w:r w:rsidRPr="008F0AE0">
        <w:rPr>
          <w:rStyle w:val="Emphasis"/>
          <w:i w:val="0"/>
          <w:sz w:val="18"/>
          <w:szCs w:val="20"/>
          <w:u w:val="single"/>
        </w:rPr>
        <w:t>Solomon Islands</w:t>
      </w:r>
      <w:r w:rsidRPr="008F0AE0">
        <w:rPr>
          <w:rStyle w:val="Emphasis"/>
          <w:i w:val="0"/>
          <w:sz w:val="18"/>
          <w:szCs w:val="20"/>
        </w:rPr>
        <w:t xml:space="preserve">, Tonga, Tuvalu and </w:t>
      </w:r>
      <w:r w:rsidRPr="008F0AE0">
        <w:rPr>
          <w:rStyle w:val="Emphasis"/>
          <w:i w:val="0"/>
          <w:sz w:val="18"/>
          <w:szCs w:val="20"/>
          <w:u w:val="single"/>
        </w:rPr>
        <w:t>Vanuatu</w:t>
      </w:r>
      <w:r w:rsidRPr="008F0AE0">
        <w:rPr>
          <w:rStyle w:val="Emphasis"/>
          <w:i w:val="0"/>
          <w:sz w:val="18"/>
          <w:szCs w:val="20"/>
        </w:rPr>
        <w:t xml:space="preserve">. </w:t>
      </w:r>
      <w:bookmarkStart w:id="6" w:name="4"/>
      <w:bookmarkEnd w:id="6"/>
      <w:r w:rsidRPr="008F0AE0">
        <w:rPr>
          <w:rStyle w:val="Emphasis"/>
          <w:i w:val="0"/>
          <w:sz w:val="18"/>
          <w:szCs w:val="20"/>
        </w:rPr>
        <w:t xml:space="preserve">The multi-country Western Pacific allocation for malaria includes the following eligible countries: </w:t>
      </w:r>
      <w:r w:rsidRPr="008F0AE0">
        <w:rPr>
          <w:rStyle w:val="Emphasis"/>
          <w:i w:val="0"/>
          <w:sz w:val="18"/>
          <w:szCs w:val="20"/>
          <w:u w:val="single"/>
        </w:rPr>
        <w:t>Solomon Islands</w:t>
      </w:r>
      <w:r w:rsidRPr="008F0AE0">
        <w:rPr>
          <w:rStyle w:val="Emphasis"/>
          <w:i w:val="0"/>
          <w:sz w:val="18"/>
          <w:szCs w:val="20"/>
        </w:rPr>
        <w:t xml:space="preserve"> and </w:t>
      </w:r>
      <w:r w:rsidRPr="008F0AE0">
        <w:rPr>
          <w:rStyle w:val="Emphasis"/>
          <w:i w:val="0"/>
          <w:sz w:val="18"/>
          <w:szCs w:val="20"/>
          <w:u w:val="single"/>
        </w:rPr>
        <w:t>Vanuatu</w:t>
      </w:r>
      <w:r w:rsidRPr="008F0AE0">
        <w:rPr>
          <w:rStyle w:val="Emphasis"/>
          <w:i w:val="0"/>
          <w:sz w:val="18"/>
          <w:szCs w:val="20"/>
        </w:rPr>
        <w:t>.</w:t>
      </w:r>
    </w:p>
    <w:p w:rsidR="00581D11" w:rsidRDefault="00581D11" w:rsidP="008F0AE0">
      <w:pPr>
        <w:rPr>
          <w:bCs/>
        </w:rPr>
      </w:pPr>
    </w:p>
    <w:p w:rsidR="002B73D7" w:rsidRDefault="002B73D7" w:rsidP="008F0AE0">
      <w:pPr>
        <w:rPr>
          <w:bCs/>
        </w:rPr>
      </w:pPr>
    </w:p>
    <w:p w:rsidR="00581D11" w:rsidRDefault="00581D11" w:rsidP="008F0AE0"/>
    <w:p w:rsidR="0051799A" w:rsidRDefault="0051799A" w:rsidP="008F0AE0"/>
    <w:p w:rsidR="0051799A" w:rsidRDefault="0051799A" w:rsidP="00FB38CB">
      <w:pPr>
        <w:rPr>
          <w:rFonts w:ascii="Times New Roman" w:hAnsi="Times New Roman"/>
        </w:rPr>
        <w:sectPr w:rsidR="0051799A" w:rsidSect="00224EC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rsidR="0023266F" w:rsidRPr="0023266F" w:rsidRDefault="0051799A" w:rsidP="0023266F">
      <w:pPr>
        <w:jc w:val="center"/>
        <w:rPr>
          <w:rFonts w:asciiTheme="minorHAnsi" w:hAnsiTheme="minorHAnsi"/>
          <w:b/>
          <w:sz w:val="24"/>
          <w:szCs w:val="24"/>
        </w:rPr>
      </w:pPr>
      <w:r w:rsidRPr="0023266F">
        <w:rPr>
          <w:rFonts w:ascii="Times New Roman" w:hAnsi="Times New Roman"/>
          <w:b/>
          <w:sz w:val="24"/>
          <w:szCs w:val="24"/>
        </w:rPr>
        <w:t>A</w:t>
      </w:r>
      <w:r w:rsidR="0023266F" w:rsidRPr="0023266F">
        <w:rPr>
          <w:rFonts w:ascii="Times New Roman" w:hAnsi="Times New Roman"/>
          <w:b/>
          <w:sz w:val="24"/>
          <w:szCs w:val="24"/>
        </w:rPr>
        <w:t>NNEX 2</w:t>
      </w:r>
    </w:p>
    <w:p w:rsidR="0023266F" w:rsidRDefault="0023266F" w:rsidP="00FB38CB">
      <w:pPr>
        <w:rPr>
          <w:rFonts w:asciiTheme="minorHAnsi" w:hAnsiTheme="minorHAnsi"/>
          <w:b/>
        </w:rPr>
      </w:pPr>
    </w:p>
    <w:p w:rsidR="0051799A" w:rsidRPr="00594D0E" w:rsidRDefault="0051799A" w:rsidP="0023266F">
      <w:pPr>
        <w:jc w:val="center"/>
        <w:rPr>
          <w:b/>
          <w:sz w:val="18"/>
          <w:szCs w:val="18"/>
        </w:rPr>
      </w:pPr>
      <w:r w:rsidRPr="00594D0E">
        <w:rPr>
          <w:b/>
          <w:sz w:val="18"/>
          <w:szCs w:val="18"/>
        </w:rPr>
        <w:t xml:space="preserve">Overview of </w:t>
      </w:r>
      <w:r w:rsidR="0023266F" w:rsidRPr="00594D0E">
        <w:rPr>
          <w:b/>
          <w:sz w:val="18"/>
          <w:szCs w:val="18"/>
        </w:rPr>
        <w:t>Indicative</w:t>
      </w:r>
      <w:r w:rsidRPr="00594D0E">
        <w:rPr>
          <w:b/>
          <w:sz w:val="18"/>
          <w:szCs w:val="18"/>
        </w:rPr>
        <w:t xml:space="preserve"> Activities</w:t>
      </w:r>
    </w:p>
    <w:tbl>
      <w:tblPr>
        <w:tblStyle w:val="TableGrid"/>
        <w:tblW w:w="12978" w:type="dxa"/>
        <w:tblLook w:val="04A0" w:firstRow="1" w:lastRow="0" w:firstColumn="1" w:lastColumn="0" w:noHBand="0" w:noVBand="1"/>
      </w:tblPr>
      <w:tblGrid>
        <w:gridCol w:w="6948"/>
        <w:gridCol w:w="6030"/>
      </w:tblGrid>
      <w:tr w:rsidR="0051799A" w:rsidRPr="00594D0E" w:rsidTr="00232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gridSpan w:val="2"/>
            <w:shd w:val="clear" w:color="auto" w:fill="auto"/>
          </w:tcPr>
          <w:p w:rsidR="0051799A" w:rsidRPr="00594D0E" w:rsidRDefault="0051799A" w:rsidP="00FB38CB">
            <w:pPr>
              <w:spacing w:before="120" w:after="120"/>
              <w:jc w:val="center"/>
              <w:rPr>
                <w:b w:val="0"/>
                <w:smallCaps/>
                <w:szCs w:val="18"/>
              </w:rPr>
            </w:pPr>
            <w:r w:rsidRPr="00594D0E">
              <w:rPr>
                <w:b w:val="0"/>
                <w:smallCaps/>
                <w:szCs w:val="18"/>
              </w:rPr>
              <w:t>Solomon Islands</w:t>
            </w:r>
          </w:p>
          <w:p w:rsidR="0051799A" w:rsidRPr="00594D0E" w:rsidRDefault="0051799A" w:rsidP="00FB38CB">
            <w:pPr>
              <w:spacing w:before="60" w:after="60"/>
              <w:rPr>
                <w:b w:val="0"/>
                <w:color w:val="000000"/>
                <w:szCs w:val="18"/>
              </w:rPr>
            </w:pPr>
            <w:r w:rsidRPr="00594D0E">
              <w:rPr>
                <w:b w:val="0"/>
                <w:szCs w:val="18"/>
              </w:rPr>
              <w:t>Outcome: S</w:t>
            </w:r>
            <w:r w:rsidRPr="00594D0E">
              <w:rPr>
                <w:b w:val="0"/>
                <w:color w:val="000000"/>
                <w:szCs w:val="18"/>
              </w:rPr>
              <w:t xml:space="preserve">trengthened government-led analysis, operational planning, budgeting, management and monitoring that supports evidence-based policy and actions that contribute to more efficient, equitable and quality health service delivery. </w:t>
            </w:r>
          </w:p>
          <w:p w:rsidR="0051799A" w:rsidRPr="00594D0E" w:rsidRDefault="0051799A" w:rsidP="00FB38CB">
            <w:pPr>
              <w:spacing w:before="60" w:after="60"/>
              <w:rPr>
                <w:b w:val="0"/>
                <w:color w:val="000000"/>
                <w:szCs w:val="18"/>
              </w:rPr>
            </w:pPr>
            <w:r w:rsidRPr="00594D0E">
              <w:rPr>
                <w:b w:val="0"/>
                <w:color w:val="000000"/>
                <w:szCs w:val="18"/>
              </w:rPr>
              <w:t>Experience/lessons will be used to inform a broader regional knowledge base on health financing and sector performance.</w:t>
            </w:r>
          </w:p>
          <w:p w:rsidR="0051799A" w:rsidRPr="00594D0E" w:rsidRDefault="0051799A" w:rsidP="00FB38CB">
            <w:pPr>
              <w:spacing w:before="120" w:after="60"/>
              <w:rPr>
                <w:b w:val="0"/>
                <w:szCs w:val="18"/>
              </w:rPr>
            </w:pPr>
            <w:r w:rsidRPr="00594D0E">
              <w:rPr>
                <w:b w:val="0"/>
                <w:szCs w:val="18"/>
              </w:rPr>
              <w:t xml:space="preserve">Indicators: </w:t>
            </w:r>
          </w:p>
          <w:p w:rsidR="0051799A" w:rsidRPr="00594D0E" w:rsidRDefault="0051799A" w:rsidP="0051799A">
            <w:pPr>
              <w:pStyle w:val="ListParagraph"/>
              <w:numPr>
                <w:ilvl w:val="0"/>
                <w:numId w:val="27"/>
              </w:numPr>
              <w:spacing w:before="60" w:after="60"/>
              <w:ind w:left="270" w:hanging="270"/>
              <w:jc w:val="both"/>
              <w:rPr>
                <w:b w:val="0"/>
                <w:color w:val="000000"/>
                <w:szCs w:val="18"/>
              </w:rPr>
            </w:pPr>
            <w:r w:rsidRPr="00594D0E">
              <w:rPr>
                <w:b w:val="0"/>
                <w:color w:val="000000"/>
                <w:szCs w:val="18"/>
              </w:rPr>
              <w:t>Completed assessment and transition plan for</w:t>
            </w:r>
            <w:r w:rsidRPr="00594D0E">
              <w:rPr>
                <w:b w:val="0"/>
                <w:szCs w:val="18"/>
              </w:rPr>
              <w:t xml:space="preserve"> institutional and financial sustainability of current GFATM (and GAVI) activities.</w:t>
            </w:r>
            <w:r w:rsidRPr="00594D0E">
              <w:rPr>
                <w:b w:val="0"/>
                <w:color w:val="000000"/>
                <w:szCs w:val="18"/>
              </w:rPr>
              <w:t xml:space="preserve">  </w:t>
            </w:r>
          </w:p>
          <w:p w:rsidR="0051799A" w:rsidRPr="00594D0E" w:rsidRDefault="0051799A" w:rsidP="0051799A">
            <w:pPr>
              <w:pStyle w:val="ListParagraph"/>
              <w:numPr>
                <w:ilvl w:val="0"/>
                <w:numId w:val="27"/>
              </w:numPr>
              <w:spacing w:before="60" w:after="60"/>
              <w:ind w:left="270" w:hanging="270"/>
              <w:jc w:val="both"/>
              <w:rPr>
                <w:b w:val="0"/>
                <w:color w:val="000000"/>
                <w:szCs w:val="18"/>
              </w:rPr>
            </w:pPr>
            <w:r w:rsidRPr="00594D0E">
              <w:rPr>
                <w:b w:val="0"/>
                <w:szCs w:val="18"/>
              </w:rPr>
              <w:t>Completed integration of all GFATM (and GAVI) activities into the annual operational plan, budget and monitoring framework (by mid-2016 for implementation from 2017 onwards)</w:t>
            </w:r>
            <w:r w:rsidRPr="00594D0E">
              <w:rPr>
                <w:rStyle w:val="FootnoteReference"/>
                <w:b w:val="0"/>
                <w:szCs w:val="18"/>
              </w:rPr>
              <w:footnoteReference w:id="10"/>
            </w:r>
          </w:p>
          <w:p w:rsidR="0051799A" w:rsidRPr="00594D0E" w:rsidRDefault="0051799A" w:rsidP="0051799A">
            <w:pPr>
              <w:pStyle w:val="ListParagraph"/>
              <w:numPr>
                <w:ilvl w:val="0"/>
                <w:numId w:val="27"/>
              </w:numPr>
              <w:spacing w:before="60" w:after="60"/>
              <w:ind w:left="270" w:hanging="270"/>
              <w:jc w:val="both"/>
              <w:rPr>
                <w:b w:val="0"/>
                <w:color w:val="000000"/>
                <w:szCs w:val="18"/>
              </w:rPr>
            </w:pPr>
            <w:r w:rsidRPr="00594D0E">
              <w:rPr>
                <w:b w:val="0"/>
                <w:color w:val="000000"/>
                <w:szCs w:val="18"/>
              </w:rPr>
              <w:t>Annually completed/updated health public expenditure analysis that is used to inform sector and central agency policy dialogue on progress with transition arrangements and broader sector performance.</w:t>
            </w:r>
          </w:p>
          <w:p w:rsidR="0051799A" w:rsidRPr="00594D0E" w:rsidRDefault="0051799A" w:rsidP="00FB38CB">
            <w:pPr>
              <w:spacing w:before="60" w:after="60"/>
              <w:rPr>
                <w:b w:val="0"/>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rPr>
                <w:b w:val="0"/>
                <w:szCs w:val="18"/>
              </w:rPr>
            </w:pPr>
            <w:r w:rsidRPr="00594D0E">
              <w:rPr>
                <w:b w:val="0"/>
                <w:szCs w:val="18"/>
              </w:rPr>
              <w:t>Activity</w:t>
            </w:r>
          </w:p>
        </w:tc>
        <w:tc>
          <w:tcPr>
            <w:tcW w:w="6030" w:type="dxa"/>
            <w:shd w:val="clear" w:color="auto" w:fill="000000" w:themeFill="text1"/>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r w:rsidRPr="00594D0E">
              <w:rPr>
                <w:szCs w:val="18"/>
              </w:rPr>
              <w:t>Rationale</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Assist MHMS to complete an assessment of institutional and financial sustainability of current GFATM (and GAVI) activities.   This includes developing a transition plan for full integration of GF (and GAVI) activities over the next few years as part of a graduation strategy from these </w:t>
            </w:r>
            <w:r w:rsidR="00D80540" w:rsidRPr="00594D0E">
              <w:rPr>
                <w:b w:val="0"/>
                <w:szCs w:val="18"/>
              </w:rPr>
              <w:t>donor</w:t>
            </w:r>
            <w:r w:rsidRPr="00594D0E">
              <w:rPr>
                <w:b w:val="0"/>
                <w:szCs w:val="18"/>
              </w:rPr>
              <w:t xml:space="preserve"> funding sources. This includes:</w:t>
            </w:r>
          </w:p>
          <w:p w:rsidR="0051799A" w:rsidRPr="00594D0E" w:rsidRDefault="0051799A" w:rsidP="0051799A">
            <w:pPr>
              <w:pStyle w:val="ListParagraph"/>
              <w:numPr>
                <w:ilvl w:val="0"/>
                <w:numId w:val="20"/>
              </w:numPr>
              <w:jc w:val="both"/>
              <w:rPr>
                <w:b w:val="0"/>
                <w:szCs w:val="18"/>
              </w:rPr>
            </w:pPr>
            <w:r w:rsidRPr="00594D0E">
              <w:rPr>
                <w:b w:val="0"/>
                <w:szCs w:val="18"/>
              </w:rPr>
              <w:t xml:space="preserve">getting all activities ‘on plan and on budget’, with integration of all necessary project staff and resources (e.g. including HR, Finance, HIS/M&amp;E); and </w:t>
            </w:r>
          </w:p>
          <w:p w:rsidR="0051799A" w:rsidRPr="00594D0E" w:rsidRDefault="0051799A" w:rsidP="0051799A">
            <w:pPr>
              <w:pStyle w:val="ListParagraph"/>
              <w:numPr>
                <w:ilvl w:val="0"/>
                <w:numId w:val="20"/>
              </w:numPr>
              <w:jc w:val="both"/>
              <w:rPr>
                <w:b w:val="0"/>
                <w:szCs w:val="18"/>
              </w:rPr>
            </w:pPr>
            <w:r w:rsidRPr="00594D0E">
              <w:rPr>
                <w:b w:val="0"/>
                <w:szCs w:val="18"/>
              </w:rPr>
              <w:t>planning for and moving to local procurement of commodities.</w:t>
            </w:r>
          </w:p>
          <w:p w:rsidR="0051799A" w:rsidRPr="00594D0E" w:rsidRDefault="0051799A" w:rsidP="00B25108">
            <w:pPr>
              <w:spacing w:before="60" w:after="60"/>
              <w:rPr>
                <w:b w:val="0"/>
                <w:szCs w:val="18"/>
              </w:rPr>
            </w:pPr>
            <w:r w:rsidRPr="00594D0E">
              <w:rPr>
                <w:b w:val="0"/>
                <w:szCs w:val="18"/>
              </w:rPr>
              <w:t>The transition plan w</w:t>
            </w:r>
            <w:r w:rsidR="00B25108">
              <w:rPr>
                <w:b w:val="0"/>
                <w:szCs w:val="18"/>
              </w:rPr>
              <w:t xml:space="preserve">ill </w:t>
            </w:r>
            <w:r w:rsidRPr="00594D0E">
              <w:rPr>
                <w:b w:val="0"/>
                <w:szCs w:val="18"/>
              </w:rPr>
              <w:t xml:space="preserve">feed into the medium term expenditure pressures (MTEP) work, complementing the National Health Strategic Plan 2016-2020.  </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This is a subset of the broader health systems work the World Bank and other partners are assisting Solomon Islands with to strengthen core planning, budgeting, implementing and monitoring. Over recent years, Solomon Islands has received substantial </w:t>
            </w:r>
            <w:r w:rsidR="00D80540" w:rsidRPr="00594D0E">
              <w:rPr>
                <w:szCs w:val="18"/>
              </w:rPr>
              <w:t>donor</w:t>
            </w:r>
            <w:r w:rsidRPr="00594D0E">
              <w:rPr>
                <w:szCs w:val="18"/>
              </w:rPr>
              <w:t xml:space="preserve"> grants from the Global Fund and Australian Department of Foreign Affairs and Trade (DFAT) to finance disease specific activities (as well as from GAVI for introduction of new vaccines).  While there has been an effort to broaden the impact of funding received so that core health systems are strengthened as part of the disease specific funding support, the level of integration varies.  Solomon Islands is now faced with significant reductions in these funding allocations as part of pressures on global financing institutions and/or changing eligibility criteria requiring graduation from funding support.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after="120"/>
              <w:rPr>
                <w:b w:val="0"/>
                <w:szCs w:val="18"/>
              </w:rPr>
            </w:pPr>
            <w:r w:rsidRPr="00594D0E">
              <w:rPr>
                <w:b w:val="0"/>
                <w:szCs w:val="18"/>
              </w:rPr>
              <w:t xml:space="preserve">The GFATM and GAVI activities noted above will be incorporated into the broader long-term technical support for core public financial management within the Ministry of Health and Medical Services (MHMS). This is focused on assisting MHMS and development partners (DPs) to improve efficiencies and reduce leakage working within the Government’s own planning, budgeting and monitoring cycle, using Government systems and processes wherever possible to prepare, implement, report and monitor an integrated annual operational plan and budget (this means Government and donors working to one plan, one budget, one monitoring and evaluation framework etc. for both provincial and national programs).  This includes work to: (i) build a broader understanding across management of the unit costs for service delivery and how differences between provinces and health facility levels might be reduced (ranging from major expenditure for staff costs and allowances, to smaller costs for utilities, food and other supplies); (ii) develop a more systematic and consistent approach to allowances such as leave fares, housing, transport etc.  </w:t>
            </w:r>
          </w:p>
          <w:p w:rsidR="0051799A" w:rsidRPr="00594D0E" w:rsidRDefault="0051799A" w:rsidP="00FB38CB">
            <w:pPr>
              <w:spacing w:before="120" w:after="120"/>
              <w:rPr>
                <w:b w:val="0"/>
                <w:szCs w:val="18"/>
              </w:rPr>
            </w:pPr>
            <w:r w:rsidRPr="00594D0E">
              <w:rPr>
                <w:b w:val="0"/>
                <w:szCs w:val="18"/>
              </w:rPr>
              <w:t>Mutually agreed capacity development targets have been established between WB and MHMS management and finance unit to get the best value from this TA.</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Analytical work to date has highlighted the need to improve both allocative and technical efficiencies in order to increase fiscal space within MHMS.  By working closely with the MHMS Finance Unit as well as with the national and provincial managers the WB team is able to assist MHMS to use findings from analytical work to help make evidence-informed decisions on resource allocation and use.  </w:t>
            </w:r>
          </w:p>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r w:rsidRPr="00594D0E">
              <w:rPr>
                <w:szCs w:val="18"/>
              </w:rPr>
              <w:t>Work to develop more systematic approaches to management of allowances, procurement arrangements for preferred suppliers etc. could be used as pilot activities to help inform broader Solomon Islands Government expenditure management at central and other line agencies. This is consistent with the Ministry of Finance and Treasury’s (MoFT) desire for more ‘action learning’ pilots rather than more passive reviews.</w:t>
            </w:r>
          </w:p>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after="120"/>
              <w:rPr>
                <w:b w:val="0"/>
                <w:szCs w:val="18"/>
              </w:rPr>
            </w:pPr>
            <w:r w:rsidRPr="00594D0E">
              <w:rPr>
                <w:b w:val="0"/>
                <w:szCs w:val="18"/>
              </w:rPr>
              <w:t>Assist MHMS to comp</w:t>
            </w:r>
            <w:r w:rsidR="00563154">
              <w:rPr>
                <w:b w:val="0"/>
                <w:szCs w:val="18"/>
              </w:rPr>
              <w:t xml:space="preserve">lete annual/regular updates of </w:t>
            </w:r>
            <w:r w:rsidRPr="00594D0E">
              <w:rPr>
                <w:b w:val="0"/>
                <w:szCs w:val="18"/>
              </w:rPr>
              <w:t xml:space="preserve">costing and expenditure analysis to inform ongoing management of all domestic and </w:t>
            </w:r>
            <w:r w:rsidR="00D80540" w:rsidRPr="00594D0E">
              <w:rPr>
                <w:b w:val="0"/>
                <w:szCs w:val="18"/>
              </w:rPr>
              <w:t>donor</w:t>
            </w:r>
            <w:r w:rsidRPr="00594D0E">
              <w:rPr>
                <w:b w:val="0"/>
                <w:szCs w:val="18"/>
              </w:rPr>
              <w:t xml:space="preserve"> resources (allocation and expenditure):</w:t>
            </w:r>
          </w:p>
          <w:p w:rsidR="0051799A" w:rsidRPr="00594D0E" w:rsidRDefault="0051799A" w:rsidP="0051799A">
            <w:pPr>
              <w:pStyle w:val="ListParagraph"/>
              <w:numPr>
                <w:ilvl w:val="0"/>
                <w:numId w:val="20"/>
              </w:numPr>
              <w:jc w:val="both"/>
              <w:rPr>
                <w:b w:val="0"/>
                <w:szCs w:val="18"/>
              </w:rPr>
            </w:pPr>
            <w:r w:rsidRPr="00594D0E">
              <w:rPr>
                <w:b w:val="0"/>
                <w:szCs w:val="18"/>
              </w:rPr>
              <w:t>Line Ministry Expenditure Analysis</w:t>
            </w:r>
          </w:p>
          <w:p w:rsidR="0051799A" w:rsidRPr="00594D0E" w:rsidRDefault="0051799A" w:rsidP="0051799A">
            <w:pPr>
              <w:pStyle w:val="ListParagraph"/>
              <w:numPr>
                <w:ilvl w:val="0"/>
                <w:numId w:val="20"/>
              </w:numPr>
              <w:jc w:val="both"/>
              <w:rPr>
                <w:b w:val="0"/>
                <w:szCs w:val="18"/>
              </w:rPr>
            </w:pPr>
            <w:r w:rsidRPr="00594D0E">
              <w:rPr>
                <w:b w:val="0"/>
                <w:szCs w:val="18"/>
              </w:rPr>
              <w:t>Medium Term Expenditure Pressures Framework</w:t>
            </w:r>
          </w:p>
          <w:p w:rsidR="0051799A" w:rsidRPr="00594D0E" w:rsidRDefault="0051799A" w:rsidP="0051799A">
            <w:pPr>
              <w:pStyle w:val="ListParagraph"/>
              <w:numPr>
                <w:ilvl w:val="0"/>
                <w:numId w:val="20"/>
              </w:numPr>
              <w:jc w:val="both"/>
              <w:rPr>
                <w:b w:val="0"/>
                <w:szCs w:val="18"/>
              </w:rPr>
            </w:pPr>
            <w:r w:rsidRPr="00594D0E">
              <w:rPr>
                <w:b w:val="0"/>
                <w:szCs w:val="18"/>
              </w:rPr>
              <w:t xml:space="preserve">Health Equity Analysis (using HIES 2012 data) </w:t>
            </w:r>
          </w:p>
          <w:p w:rsidR="0051799A" w:rsidRPr="00594D0E" w:rsidRDefault="0051799A" w:rsidP="00FB38CB">
            <w:pPr>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This work will help to improve the linkages between key policy priorities and expenditure at the sector/line level as well as at central agencies, particularly MoFT and the Ministry of Development Planning and Aid Coordination (MDPAC). This is an important part of efforts to improve the quality of expenditure for both recurrent (MoFT) and development/capital (MDPAC) budgets – regardless of the funding source.</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Participate in quality sector policy dialogue as part of the quarterly health SWAp meetings (chaired by the MHMS Permanent Secretary), including the Joint Annual Performance Review of the Health Sector.  The WB health team contributions to policy dialogue aim to assist MHMS to maintain the difficult balance of </w:t>
            </w:r>
            <w:r w:rsidRPr="00594D0E">
              <w:rPr>
                <w:rFonts w:eastAsiaTheme="minorEastAsia"/>
                <w:b w:val="0"/>
                <w:kern w:val="24"/>
                <w:szCs w:val="18"/>
                <w:lang w:eastAsia="en-AU"/>
              </w:rPr>
              <w:t>a relatively equitable, accessible and affordable health system</w:t>
            </w:r>
            <w:r w:rsidRPr="00594D0E">
              <w:rPr>
                <w:b w:val="0"/>
                <w:szCs w:val="18"/>
              </w:rPr>
              <w:t xml:space="preserve"> </w:t>
            </w:r>
            <w:r w:rsidRPr="00594D0E">
              <w:rPr>
                <w:rFonts w:eastAsiaTheme="minorEastAsia"/>
                <w:b w:val="0"/>
                <w:kern w:val="24"/>
                <w:szCs w:val="18"/>
                <w:lang w:eastAsia="en-AU"/>
              </w:rPr>
              <w:t>that achieves broad based service and health improvements for Solomon Islanders</w:t>
            </w:r>
            <w:r w:rsidRPr="00594D0E">
              <w:rPr>
                <w:b w:val="0"/>
                <w:szCs w:val="18"/>
              </w:rPr>
              <w:t xml:space="preserve">.   The WB team is assisting MHMS to increase its focus on results, including benchmarking its performance internally (between provinces etc.) as well as against a range of other countries.   </w:t>
            </w:r>
          </w:p>
          <w:p w:rsidR="0051799A" w:rsidRPr="00594D0E" w:rsidRDefault="0051799A" w:rsidP="00FB38CB">
            <w:pPr>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The SWAp meetings are part of MHMS’s governance arrangements for the health sector.  They provide an opportunity for regular oversight of health sector performance for both SIG/MHMS and DPs. The World Bank team assists MHMS and SWAp partners to reflect on the management of resources within MHMS – looking at financial reporting and expenditure management and linking this with broader sector performance using health service and outcome data (from the routine HIS and intermittent survey data) and human resources data.  </w:t>
            </w:r>
          </w:p>
          <w:p w:rsidR="0051799A" w:rsidRPr="00594D0E" w:rsidRDefault="0051799A" w:rsidP="00FB38CB">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Key issues affecting health service delivery and overall sector performance can be used to inform policy dialogue at the central agency level through the WB’s and/or other DPs engagement in the Core Economic Working Group and related fora. WB and/or other DPs can use this information and central policy role to support continued improvements in broader expenditure allocations and management, including specific PFM reforms (particularly those aimed at improving the flow of funds, internal controls and related accountability for service delivery).</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12978" w:type="dxa"/>
            <w:gridSpan w:val="2"/>
          </w:tcPr>
          <w:p w:rsidR="0051799A" w:rsidRPr="00594D0E" w:rsidRDefault="0051799A" w:rsidP="00FB38CB">
            <w:pPr>
              <w:spacing w:before="60" w:after="60"/>
              <w:rPr>
                <w:b w:val="0"/>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rPr>
                <w:b w:val="0"/>
                <w:szCs w:val="18"/>
              </w:rPr>
            </w:pPr>
          </w:p>
        </w:tc>
        <w:tc>
          <w:tcPr>
            <w:tcW w:w="6030" w:type="dxa"/>
            <w:shd w:val="clear" w:color="auto" w:fill="000000" w:themeFill="text1"/>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12978" w:type="dxa"/>
            <w:gridSpan w:val="2"/>
          </w:tcPr>
          <w:p w:rsidR="0051799A" w:rsidRPr="00594D0E" w:rsidRDefault="0051799A" w:rsidP="00FB38CB">
            <w:pPr>
              <w:spacing w:before="120" w:after="120"/>
              <w:jc w:val="center"/>
              <w:rPr>
                <w:b w:val="0"/>
                <w:smallCaps/>
                <w:szCs w:val="18"/>
              </w:rPr>
            </w:pPr>
            <w:r w:rsidRPr="00594D0E">
              <w:rPr>
                <w:b w:val="0"/>
                <w:smallCaps/>
                <w:szCs w:val="18"/>
              </w:rPr>
              <w:t>Vanuatu</w:t>
            </w:r>
          </w:p>
          <w:p w:rsidR="0051799A" w:rsidRPr="00594D0E" w:rsidRDefault="0051799A" w:rsidP="00FB38CB">
            <w:pPr>
              <w:spacing w:before="60" w:after="60"/>
              <w:rPr>
                <w:b w:val="0"/>
                <w:szCs w:val="18"/>
              </w:rPr>
            </w:pPr>
            <w:r w:rsidRPr="00594D0E">
              <w:rPr>
                <w:b w:val="0"/>
                <w:szCs w:val="18"/>
              </w:rPr>
              <w:t>Note: More discussion is needed with the Government of Vanuatu on this proposed work. Given the immediate demands of the emergency response to Cyclone Pam over recent weeks and the early reconstruction efforts it has not been possible to do this.</w:t>
            </w:r>
          </w:p>
          <w:p w:rsidR="0051799A" w:rsidRPr="00594D0E" w:rsidRDefault="0051799A" w:rsidP="00FB38CB">
            <w:pPr>
              <w:spacing w:before="60" w:after="60"/>
              <w:rPr>
                <w:b w:val="0"/>
                <w:color w:val="000000"/>
                <w:szCs w:val="18"/>
              </w:rPr>
            </w:pPr>
            <w:r w:rsidRPr="00594D0E">
              <w:rPr>
                <w:b w:val="0"/>
                <w:szCs w:val="18"/>
              </w:rPr>
              <w:t>Outcome: S</w:t>
            </w:r>
            <w:r w:rsidRPr="00594D0E">
              <w:rPr>
                <w:b w:val="0"/>
                <w:color w:val="000000"/>
                <w:szCs w:val="18"/>
              </w:rPr>
              <w:t xml:space="preserve">trengthened government-led analysis, operational planning, budgeting, management and monitoring that supports evidence-based policy and actions that contribute to more efficient, equitable and quality health service delivery. </w:t>
            </w:r>
          </w:p>
          <w:p w:rsidR="0051799A" w:rsidRPr="00594D0E" w:rsidRDefault="0051799A" w:rsidP="00FB38CB">
            <w:pPr>
              <w:spacing w:before="60" w:after="60"/>
              <w:rPr>
                <w:b w:val="0"/>
                <w:color w:val="000000"/>
                <w:szCs w:val="18"/>
              </w:rPr>
            </w:pPr>
            <w:r w:rsidRPr="00594D0E">
              <w:rPr>
                <w:b w:val="0"/>
                <w:color w:val="000000"/>
                <w:szCs w:val="18"/>
              </w:rPr>
              <w:t>Experience/lessons will be used to inform a broader regional knowledge base on health financing and sector performance.</w:t>
            </w:r>
          </w:p>
          <w:p w:rsidR="0051799A" w:rsidRPr="00594D0E" w:rsidRDefault="0051799A" w:rsidP="00FB38CB">
            <w:pPr>
              <w:spacing w:before="120" w:after="60"/>
              <w:rPr>
                <w:b w:val="0"/>
                <w:szCs w:val="18"/>
              </w:rPr>
            </w:pPr>
            <w:r w:rsidRPr="00594D0E">
              <w:rPr>
                <w:b w:val="0"/>
                <w:szCs w:val="18"/>
              </w:rPr>
              <w:t xml:space="preserve">Indicators: </w:t>
            </w:r>
          </w:p>
          <w:p w:rsidR="0023266F" w:rsidRPr="00594D0E" w:rsidRDefault="0051799A" w:rsidP="00B55645">
            <w:pPr>
              <w:pStyle w:val="ListParagraph"/>
              <w:numPr>
                <w:ilvl w:val="0"/>
                <w:numId w:val="29"/>
              </w:numPr>
              <w:spacing w:before="60" w:after="60"/>
              <w:ind w:left="270" w:hanging="270"/>
              <w:rPr>
                <w:b w:val="0"/>
                <w:color w:val="000000"/>
                <w:szCs w:val="18"/>
              </w:rPr>
            </w:pPr>
            <w:r w:rsidRPr="00594D0E">
              <w:rPr>
                <w:b w:val="0"/>
                <w:color w:val="000000"/>
                <w:szCs w:val="18"/>
              </w:rPr>
              <w:t>Completed assessment and transition plan for</w:t>
            </w:r>
            <w:r w:rsidRPr="00594D0E">
              <w:rPr>
                <w:b w:val="0"/>
                <w:szCs w:val="18"/>
              </w:rPr>
              <w:t xml:space="preserve"> institutional and financial sustainability of current GFATM activities.</w:t>
            </w:r>
          </w:p>
          <w:p w:rsidR="0051799A" w:rsidRPr="00594D0E" w:rsidRDefault="0051799A" w:rsidP="00B55645">
            <w:pPr>
              <w:pStyle w:val="ListParagraph"/>
              <w:numPr>
                <w:ilvl w:val="0"/>
                <w:numId w:val="29"/>
              </w:numPr>
              <w:spacing w:before="60" w:after="60"/>
              <w:ind w:left="270" w:hanging="270"/>
              <w:rPr>
                <w:b w:val="0"/>
                <w:color w:val="000000"/>
                <w:szCs w:val="18"/>
              </w:rPr>
            </w:pPr>
            <w:r w:rsidRPr="00594D0E">
              <w:rPr>
                <w:b w:val="0"/>
                <w:szCs w:val="18"/>
              </w:rPr>
              <w:t>Completed integration of all GFATM activities into the annual operational plan, budget and monitoring framework (by mid-2016 for implementation from 2017 onwards)</w:t>
            </w:r>
            <w:r w:rsidRPr="00594D0E">
              <w:rPr>
                <w:rStyle w:val="FootnoteReference"/>
                <w:b w:val="0"/>
                <w:szCs w:val="18"/>
              </w:rPr>
              <w:footnoteReference w:id="11"/>
            </w:r>
          </w:p>
          <w:p w:rsidR="0051799A" w:rsidRPr="00594D0E" w:rsidRDefault="0051799A" w:rsidP="0051799A">
            <w:pPr>
              <w:pStyle w:val="ListParagraph"/>
              <w:numPr>
                <w:ilvl w:val="0"/>
                <w:numId w:val="29"/>
              </w:numPr>
              <w:spacing w:before="60" w:after="60"/>
              <w:ind w:left="270" w:hanging="270"/>
              <w:jc w:val="both"/>
              <w:rPr>
                <w:b w:val="0"/>
                <w:color w:val="000000"/>
                <w:szCs w:val="18"/>
              </w:rPr>
            </w:pPr>
            <w:r w:rsidRPr="00594D0E">
              <w:rPr>
                <w:b w:val="0"/>
                <w:color w:val="000000"/>
                <w:szCs w:val="18"/>
              </w:rPr>
              <w:t>Annually completed/updated health public expenditure analysis that is used to inform sector and central agency policy dialogue on progress with transition arrangements and broader sector performance.</w:t>
            </w:r>
          </w:p>
          <w:p w:rsidR="0051799A" w:rsidRPr="00594D0E" w:rsidRDefault="0051799A" w:rsidP="00FB38CB">
            <w:pPr>
              <w:pStyle w:val="ListParagraph"/>
              <w:spacing w:before="60" w:after="60"/>
              <w:ind w:left="270"/>
              <w:rPr>
                <w:b w:val="0"/>
                <w:color w:val="000000"/>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rPr>
                <w:b w:val="0"/>
                <w:szCs w:val="18"/>
              </w:rPr>
            </w:pPr>
            <w:r w:rsidRPr="00594D0E">
              <w:rPr>
                <w:b w:val="0"/>
                <w:szCs w:val="18"/>
              </w:rPr>
              <w:t>Activity</w:t>
            </w:r>
          </w:p>
        </w:tc>
        <w:tc>
          <w:tcPr>
            <w:tcW w:w="6030" w:type="dxa"/>
            <w:shd w:val="clear" w:color="auto" w:fill="000000" w:themeFill="text1"/>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r w:rsidRPr="00594D0E">
              <w:rPr>
                <w:szCs w:val="18"/>
              </w:rPr>
              <w:t>Rationale</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Assist the Ministry of Health (MoH) to complete an assessment of institutional and financial sustainability of current GFATM activities.   This includes developing a transition plan for full integration of GFATM activities over the next few years into MoH’s recurrent budget as part of a graduation strategy from these </w:t>
            </w:r>
            <w:r w:rsidR="00D80540" w:rsidRPr="00594D0E">
              <w:rPr>
                <w:b w:val="0"/>
                <w:szCs w:val="18"/>
              </w:rPr>
              <w:t>donor</w:t>
            </w:r>
            <w:r w:rsidRPr="00594D0E">
              <w:rPr>
                <w:b w:val="0"/>
                <w:szCs w:val="18"/>
              </w:rPr>
              <w:t xml:space="preserve"> funding sources. This includes:</w:t>
            </w:r>
          </w:p>
          <w:p w:rsidR="0051799A" w:rsidRPr="00594D0E" w:rsidRDefault="0051799A" w:rsidP="0051799A">
            <w:pPr>
              <w:pStyle w:val="ListParagraph"/>
              <w:numPr>
                <w:ilvl w:val="0"/>
                <w:numId w:val="20"/>
              </w:numPr>
              <w:jc w:val="both"/>
              <w:rPr>
                <w:b w:val="0"/>
                <w:szCs w:val="18"/>
              </w:rPr>
            </w:pPr>
            <w:r w:rsidRPr="00594D0E">
              <w:rPr>
                <w:b w:val="0"/>
                <w:szCs w:val="18"/>
              </w:rPr>
              <w:t xml:space="preserve">getting all activities ‘on plan and on budget’, with integration of all necessary project staff and resources; and </w:t>
            </w:r>
          </w:p>
          <w:p w:rsidR="0051799A" w:rsidRPr="00594D0E" w:rsidRDefault="0051799A" w:rsidP="0051799A">
            <w:pPr>
              <w:pStyle w:val="ListParagraph"/>
              <w:numPr>
                <w:ilvl w:val="0"/>
                <w:numId w:val="20"/>
              </w:numPr>
              <w:jc w:val="both"/>
              <w:rPr>
                <w:b w:val="0"/>
                <w:szCs w:val="18"/>
              </w:rPr>
            </w:pPr>
            <w:r w:rsidRPr="00594D0E">
              <w:rPr>
                <w:b w:val="0"/>
                <w:szCs w:val="18"/>
              </w:rPr>
              <w:t>planning for and moving to local procurement of commodities.</w:t>
            </w:r>
          </w:p>
          <w:p w:rsidR="0051799A" w:rsidRPr="00594D0E" w:rsidRDefault="0051799A" w:rsidP="00B25108">
            <w:pPr>
              <w:spacing w:before="60" w:after="60"/>
              <w:rPr>
                <w:b w:val="0"/>
                <w:szCs w:val="18"/>
              </w:rPr>
            </w:pPr>
            <w:r w:rsidRPr="00594D0E">
              <w:rPr>
                <w:b w:val="0"/>
                <w:szCs w:val="18"/>
              </w:rPr>
              <w:t>The transition plan w</w:t>
            </w:r>
            <w:r w:rsidR="00B25108">
              <w:rPr>
                <w:b w:val="0"/>
                <w:szCs w:val="18"/>
              </w:rPr>
              <w:t xml:space="preserve">ill </w:t>
            </w:r>
            <w:r w:rsidRPr="00594D0E">
              <w:rPr>
                <w:b w:val="0"/>
                <w:szCs w:val="18"/>
              </w:rPr>
              <w:t xml:space="preserve">feed into the development of a new National Health Strategy 2017-2021.  </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Over recent years, Vanuatu has received substantial </w:t>
            </w:r>
            <w:r w:rsidR="00D80540" w:rsidRPr="00594D0E">
              <w:rPr>
                <w:szCs w:val="18"/>
              </w:rPr>
              <w:t>donor</w:t>
            </w:r>
            <w:r w:rsidRPr="00594D0E">
              <w:rPr>
                <w:szCs w:val="18"/>
              </w:rPr>
              <w:t xml:space="preserve"> grants from GFATM and Australia’s DFAT to finance disease specific activities.  While there has been an effort to broaden the impact of funding received so that core health systems are strengthened as part of the disease specific funding support, the level of integration varies.  Vanuatu is now faced with significant reductions in these funding allocations as part of pressures on global financing institutions and/or changing eligibility criteria requiring graduation from funding support.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after="120"/>
              <w:rPr>
                <w:b w:val="0"/>
                <w:szCs w:val="18"/>
              </w:rPr>
            </w:pPr>
            <w:r w:rsidRPr="00594D0E">
              <w:rPr>
                <w:b w:val="0"/>
                <w:szCs w:val="18"/>
              </w:rPr>
              <w:t xml:space="preserve">The GFATM activities noted above will be incorporated into the broader long-term technical support for core public financial management within the MoH. Focus on assisting MoH and DPs to improve efficiencies working within the Government’s own planning and budget cycle, using Government systems and processes wherever possible to prepare, implement, monitor and report against an integrated annual Business Plan and budget (this means Government and donors working to one plan, one budget, one monitoring and evaluation framework </w:t>
            </w:r>
            <w:r w:rsidR="00563154" w:rsidRPr="00594D0E">
              <w:rPr>
                <w:b w:val="0"/>
                <w:szCs w:val="18"/>
              </w:rPr>
              <w:t>etc.</w:t>
            </w:r>
            <w:r w:rsidRPr="00594D0E">
              <w:rPr>
                <w:b w:val="0"/>
                <w:szCs w:val="18"/>
              </w:rPr>
              <w:t xml:space="preserve"> for both provincial and national programs).    Mutually agreed capacity development targets have been established between WB and MoH management and finance unit to get the best value from this TA.</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Analytical work to date, including the Health Financing Options Paper in 2013, has highlighted the need to improve both allocative and technical efficiencies in order to increase fiscal space within MoH.  Demonstrating more efficient use of resources will also help improve the credibility of MoH and its bids for increased budget allocations each year; in recent years with multiple management changes in MoH there has been a breakdown in the relationship between MoH and the Ministry of Finance &amp; Economic Management (MFEM). By working closely with the MoH Finance Unit as well as with the national and provincial managers the WB team is able to assist MoH to use findings from analytical work to help make evidence-informed decisions on resource allocation and use and, in doing so, to contribute to a more constructive relationship with MFEM.  </w:t>
            </w:r>
          </w:p>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after="120"/>
              <w:rPr>
                <w:b w:val="0"/>
                <w:szCs w:val="18"/>
              </w:rPr>
            </w:pPr>
            <w:r w:rsidRPr="00594D0E">
              <w:rPr>
                <w:b w:val="0"/>
                <w:szCs w:val="18"/>
              </w:rPr>
              <w:t>Assist MoH to complete core costing and expenditure analysis to inform ongoing management of resources (allocation and expenditure):</w:t>
            </w:r>
          </w:p>
          <w:p w:rsidR="0051799A" w:rsidRPr="00594D0E" w:rsidRDefault="0051799A" w:rsidP="0051799A">
            <w:pPr>
              <w:pStyle w:val="ListParagraph"/>
              <w:numPr>
                <w:ilvl w:val="0"/>
                <w:numId w:val="20"/>
              </w:numPr>
              <w:jc w:val="both"/>
              <w:rPr>
                <w:b w:val="0"/>
                <w:szCs w:val="18"/>
              </w:rPr>
            </w:pPr>
            <w:r w:rsidRPr="00594D0E">
              <w:rPr>
                <w:b w:val="0"/>
                <w:szCs w:val="18"/>
              </w:rPr>
              <w:t>Core vaccine sustainability</w:t>
            </w:r>
          </w:p>
          <w:p w:rsidR="0051799A" w:rsidRPr="00594D0E" w:rsidRDefault="0051799A" w:rsidP="0051799A">
            <w:pPr>
              <w:pStyle w:val="ListParagraph"/>
              <w:numPr>
                <w:ilvl w:val="0"/>
                <w:numId w:val="20"/>
              </w:numPr>
              <w:jc w:val="both"/>
              <w:rPr>
                <w:b w:val="0"/>
                <w:szCs w:val="18"/>
              </w:rPr>
            </w:pPr>
            <w:r w:rsidRPr="00594D0E">
              <w:rPr>
                <w:b w:val="0"/>
                <w:szCs w:val="18"/>
              </w:rPr>
              <w:t>Basic Medium Term Expenditure Pressures (MTEP) Framework</w:t>
            </w:r>
          </w:p>
          <w:p w:rsidR="0051799A" w:rsidRPr="00594D0E" w:rsidRDefault="0051799A" w:rsidP="00FB38CB">
            <w:pPr>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This work will help to improve the linkages between key policy priorities and expenditure at the sector/line level as well as at central agencies, particularly MFEM and the Prime Minister’s Office. This is an important part of efforts to build a stronger base of evidence and improve the quality of expenditure for better health outcomes.</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Participate in quality sector policy dialogue as part of the Joint Partner Working Group (JPWG) meetings (held three times a year).  The WB health team contributions to policy dialogue aim to assist MoH with the difficult challenge of achieving </w:t>
            </w:r>
            <w:r w:rsidRPr="00594D0E">
              <w:rPr>
                <w:rFonts w:eastAsiaTheme="minorEastAsia"/>
                <w:b w:val="0"/>
                <w:kern w:val="24"/>
                <w:szCs w:val="18"/>
                <w:lang w:eastAsia="en-AU"/>
              </w:rPr>
              <w:t>a relatively equitable, accessible and affordable health system</w:t>
            </w:r>
            <w:r w:rsidRPr="00594D0E">
              <w:rPr>
                <w:b w:val="0"/>
                <w:szCs w:val="18"/>
              </w:rPr>
              <w:t xml:space="preserve"> </w:t>
            </w:r>
            <w:r w:rsidRPr="00594D0E">
              <w:rPr>
                <w:rFonts w:eastAsiaTheme="minorEastAsia"/>
                <w:b w:val="0"/>
                <w:kern w:val="24"/>
                <w:szCs w:val="18"/>
                <w:lang w:eastAsia="en-AU"/>
              </w:rPr>
              <w:t>that delivers broad based service and health improvements for the population of Vanuatu</w:t>
            </w:r>
            <w:r w:rsidRPr="00594D0E">
              <w:rPr>
                <w:b w:val="0"/>
                <w:szCs w:val="18"/>
              </w:rPr>
              <w:t xml:space="preserve">.   The WB will assist MoH national and provincial teams to increase their focus on stronger management of resources through to output results, including benchmarking its performance internally (between provinces </w:t>
            </w:r>
            <w:r w:rsidR="00563154" w:rsidRPr="00594D0E">
              <w:rPr>
                <w:b w:val="0"/>
                <w:szCs w:val="18"/>
              </w:rPr>
              <w:t>etc.</w:t>
            </w:r>
            <w:r w:rsidRPr="00594D0E">
              <w:rPr>
                <w:b w:val="0"/>
                <w:szCs w:val="18"/>
              </w:rPr>
              <w:t xml:space="preserve">) as well as against a range of other countries.   </w:t>
            </w:r>
          </w:p>
          <w:p w:rsidR="0051799A" w:rsidRPr="00594D0E" w:rsidRDefault="0051799A" w:rsidP="00FB38CB">
            <w:pPr>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The JPWG meetings are part of MoH’s governance arrangements for the health sector.  They provide an opportunity for regular oversight of health sector performance for both Government of Vanuatu/MoH and DPs. The World Bank team plays a key role in assisting MoH and DPs to reflect on the management of resources within MoH – looking at financial reporting and expenditure management and linking this with broader sector performance using health service and outcome data (from the routine HIS and intermittent survey data) and human resources data.  </w:t>
            </w:r>
          </w:p>
          <w:p w:rsidR="0051799A" w:rsidRPr="00594D0E" w:rsidRDefault="0051799A" w:rsidP="00FB38CB">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Key issues affecting health service delivery and overall sector performance can be used to inform WB and other DPs policy dialogue at the central agency level. This may also assist with central agencies ongoing efforts to improve expenditure allocations and management, including specific PFM reforms (particularly those aimed at improving the flow of funds, internal controls and related accountability for service delivery).</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rPr>
                <w:b w:val="0"/>
                <w:szCs w:val="18"/>
              </w:rPr>
            </w:pPr>
          </w:p>
        </w:tc>
        <w:tc>
          <w:tcPr>
            <w:tcW w:w="6030" w:type="dxa"/>
            <w:shd w:val="clear" w:color="auto" w:fill="000000" w:themeFill="text1"/>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12978" w:type="dxa"/>
            <w:gridSpan w:val="2"/>
          </w:tcPr>
          <w:p w:rsidR="0051799A" w:rsidRPr="00594D0E" w:rsidRDefault="0051799A" w:rsidP="00FB38CB">
            <w:pPr>
              <w:spacing w:before="120" w:after="120"/>
              <w:jc w:val="center"/>
              <w:rPr>
                <w:b w:val="0"/>
                <w:smallCaps/>
                <w:szCs w:val="18"/>
              </w:rPr>
            </w:pPr>
            <w:r w:rsidRPr="00594D0E">
              <w:rPr>
                <w:b w:val="0"/>
                <w:smallCaps/>
                <w:szCs w:val="18"/>
              </w:rPr>
              <w:t>Papua New Guinea</w:t>
            </w:r>
          </w:p>
          <w:p w:rsidR="0051799A" w:rsidRPr="00594D0E" w:rsidRDefault="0051799A" w:rsidP="00FB38CB">
            <w:pPr>
              <w:spacing w:before="60" w:after="60"/>
              <w:rPr>
                <w:b w:val="0"/>
                <w:color w:val="000000"/>
                <w:szCs w:val="18"/>
              </w:rPr>
            </w:pPr>
            <w:r w:rsidRPr="00594D0E">
              <w:rPr>
                <w:b w:val="0"/>
                <w:szCs w:val="18"/>
              </w:rPr>
              <w:t>Outcome: S</w:t>
            </w:r>
            <w:r w:rsidRPr="00594D0E">
              <w:rPr>
                <w:b w:val="0"/>
                <w:color w:val="000000"/>
                <w:szCs w:val="18"/>
              </w:rPr>
              <w:t xml:space="preserve">trengthened government-led analysis, operational planning, budgeting, management and monitoring that supports evidence-based policy and actions that contribute to more efficient, equitable and quality health service delivery. </w:t>
            </w:r>
          </w:p>
          <w:p w:rsidR="0051799A" w:rsidRPr="00594D0E" w:rsidRDefault="0051799A" w:rsidP="00FB38CB">
            <w:pPr>
              <w:spacing w:before="60" w:after="60"/>
              <w:rPr>
                <w:b w:val="0"/>
                <w:color w:val="000000"/>
                <w:szCs w:val="18"/>
              </w:rPr>
            </w:pPr>
            <w:r w:rsidRPr="00594D0E">
              <w:rPr>
                <w:b w:val="0"/>
                <w:color w:val="000000"/>
                <w:szCs w:val="18"/>
              </w:rPr>
              <w:t>Experience/lessons will be used to inform a broader regional knowledge base on health financing and sector performance.</w:t>
            </w:r>
          </w:p>
          <w:p w:rsidR="0051799A" w:rsidRPr="00594D0E" w:rsidRDefault="0051799A" w:rsidP="00FB38CB">
            <w:pPr>
              <w:spacing w:before="120" w:after="60"/>
              <w:rPr>
                <w:b w:val="0"/>
                <w:szCs w:val="18"/>
              </w:rPr>
            </w:pPr>
            <w:r w:rsidRPr="00594D0E">
              <w:rPr>
                <w:b w:val="0"/>
                <w:szCs w:val="18"/>
              </w:rPr>
              <w:t xml:space="preserve">Indicators: </w:t>
            </w:r>
          </w:p>
          <w:p w:rsidR="0023266F" w:rsidRPr="00594D0E" w:rsidRDefault="0051799A" w:rsidP="00B55645">
            <w:pPr>
              <w:pStyle w:val="ListParagraph"/>
              <w:numPr>
                <w:ilvl w:val="0"/>
                <w:numId w:val="28"/>
              </w:numPr>
              <w:spacing w:before="60" w:after="60"/>
              <w:ind w:left="270" w:hanging="270"/>
              <w:jc w:val="both"/>
              <w:rPr>
                <w:b w:val="0"/>
                <w:color w:val="000000"/>
                <w:szCs w:val="18"/>
              </w:rPr>
            </w:pPr>
            <w:r w:rsidRPr="00594D0E">
              <w:rPr>
                <w:b w:val="0"/>
                <w:color w:val="000000"/>
                <w:szCs w:val="18"/>
              </w:rPr>
              <w:t>Completed assessment and transition plan for</w:t>
            </w:r>
            <w:r w:rsidRPr="00594D0E">
              <w:rPr>
                <w:b w:val="0"/>
                <w:szCs w:val="18"/>
              </w:rPr>
              <w:t xml:space="preserve"> institutional and financial sustainability of current GFATM (and GAVI) activities.</w:t>
            </w:r>
          </w:p>
          <w:p w:rsidR="0051799A" w:rsidRPr="00594D0E" w:rsidRDefault="0051799A" w:rsidP="00B55645">
            <w:pPr>
              <w:pStyle w:val="ListParagraph"/>
              <w:numPr>
                <w:ilvl w:val="0"/>
                <w:numId w:val="28"/>
              </w:numPr>
              <w:spacing w:before="60" w:after="60"/>
              <w:ind w:left="270" w:hanging="270"/>
              <w:jc w:val="both"/>
              <w:rPr>
                <w:b w:val="0"/>
                <w:color w:val="000000"/>
                <w:szCs w:val="18"/>
              </w:rPr>
            </w:pPr>
            <w:r w:rsidRPr="00594D0E">
              <w:rPr>
                <w:b w:val="0"/>
                <w:szCs w:val="18"/>
              </w:rPr>
              <w:t>Completed integration of all GFATM (and GAVI) activities into the annual operational plan, budget and monitoring framework (by mid-2016 for implementation from 2017 onwards)</w:t>
            </w:r>
            <w:r w:rsidRPr="00594D0E">
              <w:rPr>
                <w:rStyle w:val="FootnoteReference"/>
                <w:b w:val="0"/>
                <w:szCs w:val="18"/>
              </w:rPr>
              <w:footnoteReference w:id="12"/>
            </w:r>
          </w:p>
          <w:p w:rsidR="0051799A" w:rsidRDefault="0051799A" w:rsidP="007A3C05">
            <w:pPr>
              <w:pStyle w:val="ListParagraph"/>
              <w:numPr>
                <w:ilvl w:val="0"/>
                <w:numId w:val="28"/>
              </w:numPr>
              <w:spacing w:before="60" w:after="60"/>
              <w:ind w:left="270" w:hanging="270"/>
              <w:jc w:val="both"/>
              <w:rPr>
                <w:b w:val="0"/>
                <w:color w:val="000000"/>
                <w:szCs w:val="18"/>
              </w:rPr>
            </w:pPr>
            <w:r w:rsidRPr="00594D0E">
              <w:rPr>
                <w:b w:val="0"/>
                <w:color w:val="000000"/>
                <w:szCs w:val="18"/>
              </w:rPr>
              <w:t>Annually completed/updated health public expenditure analysis that is used to inform sector and central agency policy dialogue on progress with transition arrangements and broader sector performance.</w:t>
            </w:r>
          </w:p>
          <w:p w:rsidR="007A3C05" w:rsidRPr="007A3C05" w:rsidRDefault="007A3C05" w:rsidP="007A3C05">
            <w:pPr>
              <w:pStyle w:val="ListParagraph"/>
              <w:spacing w:before="60" w:after="60"/>
              <w:ind w:left="270"/>
              <w:jc w:val="both"/>
              <w:rPr>
                <w:b w:val="0"/>
                <w:color w:val="000000"/>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rPr>
                <w:b w:val="0"/>
                <w:szCs w:val="18"/>
              </w:rPr>
            </w:pPr>
            <w:r w:rsidRPr="00594D0E">
              <w:rPr>
                <w:b w:val="0"/>
                <w:szCs w:val="18"/>
              </w:rPr>
              <w:t>Activity</w:t>
            </w:r>
          </w:p>
        </w:tc>
        <w:tc>
          <w:tcPr>
            <w:tcW w:w="6030" w:type="dxa"/>
            <w:shd w:val="clear" w:color="auto" w:fill="000000" w:themeFill="text1"/>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r w:rsidRPr="00594D0E">
              <w:rPr>
                <w:szCs w:val="18"/>
              </w:rPr>
              <w:t>Rationale</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Assist the National Department of Health (NDoH) to complete an assessment of institutional and financial sustainability of current GFATM (and GAVI) activities.   This includes developing a transition plan for full integration of GF (and GAVI) activities over the next few years as part of a graduation strategy from these </w:t>
            </w:r>
            <w:r w:rsidR="00D80540" w:rsidRPr="00594D0E">
              <w:rPr>
                <w:b w:val="0"/>
                <w:szCs w:val="18"/>
              </w:rPr>
              <w:t>donor</w:t>
            </w:r>
            <w:r w:rsidRPr="00594D0E">
              <w:rPr>
                <w:b w:val="0"/>
                <w:szCs w:val="18"/>
              </w:rPr>
              <w:t xml:space="preserve"> funding sources. This includes:</w:t>
            </w:r>
          </w:p>
          <w:p w:rsidR="0051799A" w:rsidRPr="00594D0E" w:rsidRDefault="0051799A" w:rsidP="0051799A">
            <w:pPr>
              <w:pStyle w:val="ListParagraph"/>
              <w:numPr>
                <w:ilvl w:val="0"/>
                <w:numId w:val="20"/>
              </w:numPr>
              <w:jc w:val="both"/>
              <w:rPr>
                <w:b w:val="0"/>
                <w:szCs w:val="18"/>
              </w:rPr>
            </w:pPr>
            <w:r w:rsidRPr="00594D0E">
              <w:rPr>
                <w:b w:val="0"/>
                <w:szCs w:val="18"/>
              </w:rPr>
              <w:t xml:space="preserve">getting all activities ‘on plan and on budget’, with integration of all necessary project staff and resources (e.g. including HR, Finance, HIS/M&amp;E); and </w:t>
            </w:r>
          </w:p>
          <w:p w:rsidR="0051799A" w:rsidRPr="00594D0E" w:rsidRDefault="0051799A" w:rsidP="0051799A">
            <w:pPr>
              <w:pStyle w:val="ListParagraph"/>
              <w:numPr>
                <w:ilvl w:val="0"/>
                <w:numId w:val="20"/>
              </w:numPr>
              <w:jc w:val="both"/>
              <w:rPr>
                <w:b w:val="0"/>
                <w:szCs w:val="18"/>
              </w:rPr>
            </w:pPr>
            <w:r w:rsidRPr="00594D0E">
              <w:rPr>
                <w:b w:val="0"/>
                <w:szCs w:val="18"/>
              </w:rPr>
              <w:t>planning for and moving to local procurement of commodities.</w:t>
            </w:r>
          </w:p>
          <w:p w:rsidR="0051799A" w:rsidRPr="00594D0E" w:rsidRDefault="0051799A" w:rsidP="00B25108">
            <w:pPr>
              <w:spacing w:before="60" w:after="60"/>
              <w:rPr>
                <w:b w:val="0"/>
                <w:szCs w:val="18"/>
              </w:rPr>
            </w:pPr>
            <w:r w:rsidRPr="00594D0E">
              <w:rPr>
                <w:b w:val="0"/>
                <w:szCs w:val="18"/>
              </w:rPr>
              <w:t>The transition plan w</w:t>
            </w:r>
            <w:r w:rsidR="00B25108">
              <w:rPr>
                <w:b w:val="0"/>
                <w:szCs w:val="18"/>
              </w:rPr>
              <w:t xml:space="preserve">ill </w:t>
            </w:r>
            <w:r w:rsidRPr="00594D0E">
              <w:rPr>
                <w:b w:val="0"/>
                <w:szCs w:val="18"/>
              </w:rPr>
              <w:t xml:space="preserve">feed into the medium term planning and budgeting work.   </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This is a subset of the broader health systems work the World Bank and other partners are assisting </w:t>
            </w:r>
            <w:r w:rsidR="00C869AB" w:rsidRPr="00594D0E">
              <w:rPr>
                <w:szCs w:val="18"/>
              </w:rPr>
              <w:t>Papua New Guinea</w:t>
            </w:r>
            <w:r w:rsidRPr="00594D0E">
              <w:rPr>
                <w:szCs w:val="18"/>
              </w:rPr>
              <w:t xml:space="preserve"> with to strengthen core planning, budgeting, implementing and monitoring. Over recent years, </w:t>
            </w:r>
            <w:r w:rsidR="00C869AB" w:rsidRPr="00594D0E">
              <w:rPr>
                <w:szCs w:val="18"/>
              </w:rPr>
              <w:t>Papua New Guinea</w:t>
            </w:r>
            <w:r w:rsidRPr="00594D0E">
              <w:rPr>
                <w:szCs w:val="18"/>
              </w:rPr>
              <w:t xml:space="preserve"> has received substantial </w:t>
            </w:r>
            <w:r w:rsidR="00D80540" w:rsidRPr="00594D0E">
              <w:rPr>
                <w:szCs w:val="18"/>
              </w:rPr>
              <w:t>donor</w:t>
            </w:r>
            <w:r w:rsidRPr="00594D0E">
              <w:rPr>
                <w:szCs w:val="18"/>
              </w:rPr>
              <w:t xml:space="preserve"> grants from the Global Fund (as well as from GAVI for introduction of new vaccines) to finance disease specific activities.  While there has been an effort to broaden the impact of funding received so that core health systems are strengthened as part of the disease specific funding support, the level of integration varies.  </w:t>
            </w:r>
            <w:r w:rsidR="00C869AB" w:rsidRPr="00594D0E">
              <w:rPr>
                <w:szCs w:val="18"/>
              </w:rPr>
              <w:t>Papua New Guinea</w:t>
            </w:r>
            <w:r w:rsidRPr="00594D0E">
              <w:rPr>
                <w:szCs w:val="18"/>
              </w:rPr>
              <w:t xml:space="preserve"> is now faced with significant reductions in these funding allocations as part of pressures on global financing institutions and/or changing eligibility criteria requiring graduation from funding support.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after="120"/>
              <w:rPr>
                <w:b w:val="0"/>
                <w:szCs w:val="18"/>
              </w:rPr>
            </w:pPr>
            <w:r w:rsidRPr="00594D0E">
              <w:rPr>
                <w:b w:val="0"/>
                <w:szCs w:val="18"/>
              </w:rPr>
              <w:t xml:space="preserve">The GFATM and GAVI activities noted above will be incorporated into the broader long-term technical support for core public financial management within the NDoH. This is focused on assisting NDoH and development partners (DPs) to improve efficiencies within the Government’s own planning, budgeting and monitoring cycle, using Government systems and processes wherever possible to prepare, implement, report and monitor an integrated annual operational plan and budget (this means Government and donors working to one plan, one budget, one monitoring and evaluation framework etc. for both provincial and national programs).  </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Analytical work to date has highlighted the need to improve both allocative and technical efficiencies in order to increase fiscal space within NDoH.  By working closely with the NDoH Finance Unit as well as with the national and provincial managers the WB team is able to assist NDoH to use findings from analytical work to help make evidence-informed decisions on resource allocation and use.  </w:t>
            </w:r>
          </w:p>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Participate in quality sector policy dialogue as part of ongoing health partner meetings.   The WB team is assisting NDoH to increase its focus on results, including benchmarking its performance internally (between provinces etc.) as well as against a range of other countries.   </w:t>
            </w:r>
          </w:p>
          <w:p w:rsidR="0051799A" w:rsidRPr="00594D0E" w:rsidRDefault="0051799A" w:rsidP="00FB38CB">
            <w:pPr>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The health partner meetings are part of NDoH’s governance arrangements for the health sector.  They provide an opportunity for regular oversight of healt</w:t>
            </w:r>
            <w:r w:rsidR="00563154">
              <w:rPr>
                <w:szCs w:val="18"/>
              </w:rPr>
              <w:t xml:space="preserve">h sector performance for both </w:t>
            </w:r>
            <w:r w:rsidR="00C869AB" w:rsidRPr="00594D0E">
              <w:rPr>
                <w:szCs w:val="18"/>
              </w:rPr>
              <w:t>Papua New Guinea</w:t>
            </w:r>
            <w:r w:rsidRPr="00594D0E">
              <w:rPr>
                <w:szCs w:val="18"/>
              </w:rPr>
              <w:t xml:space="preserve">/NDoH and DPs. The World Bank team assists NDoH and health partners to reflect on the management of resources within NDoH – looking at financial reporting and expenditure management and linking this with broader sector performance using health service and outcome data (from the routine HIS and intermittent survey data) and human resources data.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rPr>
                <w:b w:val="0"/>
                <w:szCs w:val="18"/>
              </w:rPr>
            </w:pPr>
          </w:p>
        </w:tc>
        <w:tc>
          <w:tcPr>
            <w:tcW w:w="6030" w:type="dxa"/>
            <w:shd w:val="clear" w:color="auto" w:fill="000000" w:themeFill="text1"/>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12978" w:type="dxa"/>
            <w:gridSpan w:val="2"/>
          </w:tcPr>
          <w:p w:rsidR="0051799A" w:rsidRPr="00594D0E" w:rsidRDefault="0051799A" w:rsidP="00FB38CB">
            <w:pPr>
              <w:spacing w:before="120" w:after="120"/>
              <w:jc w:val="center"/>
              <w:rPr>
                <w:b w:val="0"/>
                <w:smallCaps/>
                <w:szCs w:val="18"/>
              </w:rPr>
            </w:pPr>
            <w:r w:rsidRPr="00594D0E">
              <w:rPr>
                <w:b w:val="0"/>
                <w:smallCaps/>
                <w:szCs w:val="18"/>
              </w:rPr>
              <w:t>INDONESIA</w:t>
            </w:r>
          </w:p>
          <w:p w:rsidR="0051799A" w:rsidRPr="00594D0E" w:rsidRDefault="0051799A" w:rsidP="00FB38CB">
            <w:pPr>
              <w:spacing w:before="60" w:after="60"/>
              <w:rPr>
                <w:b w:val="0"/>
                <w:color w:val="000000"/>
                <w:szCs w:val="18"/>
              </w:rPr>
            </w:pPr>
            <w:r w:rsidRPr="00594D0E">
              <w:rPr>
                <w:b w:val="0"/>
                <w:szCs w:val="18"/>
              </w:rPr>
              <w:t>Outcome: S</w:t>
            </w:r>
            <w:r w:rsidRPr="00594D0E">
              <w:rPr>
                <w:b w:val="0"/>
                <w:color w:val="000000"/>
                <w:szCs w:val="18"/>
              </w:rPr>
              <w:t xml:space="preserve">trengthened government-led transitional plan for </w:t>
            </w:r>
            <w:r w:rsidR="00D80540" w:rsidRPr="00594D0E">
              <w:rPr>
                <w:b w:val="0"/>
                <w:color w:val="000000"/>
                <w:szCs w:val="18"/>
              </w:rPr>
              <w:t>donor</w:t>
            </w:r>
            <w:r w:rsidRPr="00594D0E">
              <w:rPr>
                <w:b w:val="0"/>
                <w:color w:val="000000"/>
                <w:szCs w:val="18"/>
              </w:rPr>
              <w:t xml:space="preserve"> funded health programs with strong emphasis on financial, institutional, and programmatic sustainability analyses in the wider context of UHC implementation and in a decentralized setting to ensure continuity of these programs. Informed policy and actions that contribute to more efficient, equitable and quality health service delivery. </w:t>
            </w:r>
          </w:p>
          <w:p w:rsidR="0051799A" w:rsidRPr="00594D0E" w:rsidRDefault="0051799A" w:rsidP="00FB38CB">
            <w:pPr>
              <w:spacing w:before="60" w:after="60"/>
              <w:rPr>
                <w:b w:val="0"/>
                <w:color w:val="000000"/>
                <w:szCs w:val="18"/>
              </w:rPr>
            </w:pPr>
            <w:r w:rsidRPr="00594D0E">
              <w:rPr>
                <w:b w:val="0"/>
                <w:color w:val="000000"/>
                <w:szCs w:val="18"/>
              </w:rPr>
              <w:t>Experience/lessons will be used to inform a broader regional knowledge base on health financing and sector performance.</w:t>
            </w:r>
          </w:p>
          <w:p w:rsidR="0051799A" w:rsidRPr="00594D0E" w:rsidRDefault="0051799A" w:rsidP="00FB38CB">
            <w:pPr>
              <w:spacing w:before="120" w:after="60"/>
              <w:rPr>
                <w:b w:val="0"/>
                <w:szCs w:val="18"/>
              </w:rPr>
            </w:pPr>
            <w:r w:rsidRPr="00594D0E">
              <w:rPr>
                <w:b w:val="0"/>
                <w:szCs w:val="18"/>
              </w:rPr>
              <w:t xml:space="preserve">Indicators: </w:t>
            </w:r>
          </w:p>
          <w:p w:rsidR="0051799A" w:rsidRPr="00594D0E" w:rsidRDefault="0051799A" w:rsidP="0051799A">
            <w:pPr>
              <w:pStyle w:val="ListParagraph"/>
              <w:numPr>
                <w:ilvl w:val="0"/>
                <w:numId w:val="30"/>
              </w:numPr>
              <w:spacing w:before="60" w:after="60"/>
              <w:ind w:left="697" w:hanging="270"/>
              <w:jc w:val="both"/>
              <w:rPr>
                <w:b w:val="0"/>
                <w:color w:val="000000"/>
                <w:szCs w:val="18"/>
              </w:rPr>
            </w:pPr>
            <w:r w:rsidRPr="00594D0E">
              <w:rPr>
                <w:b w:val="0"/>
                <w:color w:val="000000"/>
                <w:szCs w:val="18"/>
              </w:rPr>
              <w:t>Completed assessment and transition plan for</w:t>
            </w:r>
            <w:r w:rsidRPr="00594D0E">
              <w:rPr>
                <w:b w:val="0"/>
                <w:szCs w:val="18"/>
              </w:rPr>
              <w:t xml:space="preserve"> financial, institutional, and programmatic sustainability of current GFATM (and GAVI) funded health programs.</w:t>
            </w:r>
            <w:r w:rsidRPr="00594D0E">
              <w:rPr>
                <w:b w:val="0"/>
                <w:color w:val="000000"/>
                <w:szCs w:val="18"/>
              </w:rPr>
              <w:t xml:space="preserve">  </w:t>
            </w:r>
          </w:p>
          <w:p w:rsidR="0051799A" w:rsidRPr="00594D0E" w:rsidRDefault="0051799A" w:rsidP="0051799A">
            <w:pPr>
              <w:pStyle w:val="ListParagraph"/>
              <w:numPr>
                <w:ilvl w:val="0"/>
                <w:numId w:val="30"/>
              </w:numPr>
              <w:spacing w:before="60" w:after="60"/>
              <w:ind w:left="697" w:hanging="270"/>
              <w:jc w:val="both"/>
              <w:rPr>
                <w:b w:val="0"/>
                <w:color w:val="000000"/>
                <w:szCs w:val="18"/>
              </w:rPr>
            </w:pPr>
            <w:r w:rsidRPr="00594D0E">
              <w:rPr>
                <w:b w:val="0"/>
                <w:szCs w:val="18"/>
              </w:rPr>
              <w:t xml:space="preserve">Informed policy and action-plan related documents such as annual operational plan, budget and monitoring framework with the sustainability analysis for the aforementioned </w:t>
            </w:r>
            <w:r w:rsidR="00D80540" w:rsidRPr="00594D0E">
              <w:rPr>
                <w:b w:val="0"/>
                <w:szCs w:val="18"/>
              </w:rPr>
              <w:t>donor</w:t>
            </w:r>
            <w:r w:rsidRPr="00594D0E">
              <w:rPr>
                <w:b w:val="0"/>
                <w:szCs w:val="18"/>
              </w:rPr>
              <w:t xml:space="preserve"> funded programs fiscal year 2017 onwards</w:t>
            </w:r>
          </w:p>
          <w:p w:rsidR="0051799A" w:rsidRPr="00594D0E" w:rsidRDefault="0051799A" w:rsidP="0023266F">
            <w:pPr>
              <w:pStyle w:val="ListParagraph"/>
              <w:numPr>
                <w:ilvl w:val="0"/>
                <w:numId w:val="30"/>
              </w:numPr>
              <w:spacing w:before="60" w:after="60"/>
              <w:ind w:left="697" w:hanging="270"/>
              <w:jc w:val="both"/>
              <w:rPr>
                <w:b w:val="0"/>
                <w:szCs w:val="18"/>
              </w:rPr>
            </w:pPr>
            <w:r w:rsidRPr="00594D0E">
              <w:rPr>
                <w:b w:val="0"/>
                <w:color w:val="000000"/>
                <w:szCs w:val="18"/>
              </w:rPr>
              <w:t>Monitoring and evaluation framework is developed to measure progress of the integration and is used to inform sector and central agency policy dialogue on progress with transition arrangements and broader sector performance.</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rPr>
                <w:b w:val="0"/>
                <w:szCs w:val="18"/>
              </w:rPr>
            </w:pPr>
            <w:r w:rsidRPr="00594D0E">
              <w:rPr>
                <w:b w:val="0"/>
                <w:szCs w:val="18"/>
              </w:rPr>
              <w:t>Activity</w:t>
            </w:r>
          </w:p>
        </w:tc>
        <w:tc>
          <w:tcPr>
            <w:tcW w:w="6030" w:type="dxa"/>
            <w:shd w:val="clear" w:color="auto" w:fill="000000" w:themeFill="text1"/>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rPr>
            </w:pPr>
            <w:r w:rsidRPr="00594D0E">
              <w:rPr>
                <w:szCs w:val="18"/>
              </w:rPr>
              <w:t>Rationale</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51799A">
            <w:pPr>
              <w:pStyle w:val="ListParagraph"/>
              <w:numPr>
                <w:ilvl w:val="0"/>
                <w:numId w:val="31"/>
              </w:numPr>
              <w:spacing w:before="60" w:after="60"/>
              <w:ind w:left="157" w:hanging="180"/>
              <w:jc w:val="both"/>
              <w:rPr>
                <w:b w:val="0"/>
                <w:szCs w:val="18"/>
              </w:rPr>
            </w:pPr>
            <w:r w:rsidRPr="00594D0E">
              <w:rPr>
                <w:b w:val="0"/>
                <w:szCs w:val="18"/>
              </w:rPr>
              <w:t xml:space="preserve">Analysis of data on health financing flows and service delivery – including by source and use – disaggregated by </w:t>
            </w:r>
            <w:r w:rsidR="00D80540" w:rsidRPr="00594D0E">
              <w:rPr>
                <w:b w:val="0"/>
                <w:szCs w:val="18"/>
              </w:rPr>
              <w:t>donor</w:t>
            </w:r>
            <w:r w:rsidRPr="00594D0E">
              <w:rPr>
                <w:b w:val="0"/>
                <w:szCs w:val="18"/>
              </w:rPr>
              <w:t>-financed, priority programs, and across different levels of government.</w:t>
            </w:r>
          </w:p>
          <w:p w:rsidR="0051799A" w:rsidRPr="00594D0E" w:rsidRDefault="0051799A" w:rsidP="0051799A">
            <w:pPr>
              <w:pStyle w:val="ListParagraph"/>
              <w:numPr>
                <w:ilvl w:val="0"/>
                <w:numId w:val="31"/>
              </w:numPr>
              <w:spacing w:before="60" w:after="60"/>
              <w:ind w:left="157" w:hanging="180"/>
              <w:jc w:val="both"/>
              <w:rPr>
                <w:b w:val="0"/>
                <w:szCs w:val="18"/>
              </w:rPr>
            </w:pPr>
            <w:r w:rsidRPr="00594D0E">
              <w:rPr>
                <w:b w:val="0"/>
                <w:szCs w:val="18"/>
              </w:rPr>
              <w:t>Support for tracking budgetary allocation and processes including monitoring of funding flows to areas of impact.</w:t>
            </w:r>
          </w:p>
          <w:p w:rsidR="0051799A" w:rsidRPr="00594D0E" w:rsidRDefault="0051799A" w:rsidP="0051799A">
            <w:pPr>
              <w:pStyle w:val="ListParagraph"/>
              <w:numPr>
                <w:ilvl w:val="0"/>
                <w:numId w:val="31"/>
              </w:numPr>
              <w:spacing w:before="60" w:after="60"/>
              <w:ind w:left="157" w:hanging="180"/>
              <w:jc w:val="both"/>
              <w:rPr>
                <w:b w:val="0"/>
                <w:szCs w:val="18"/>
              </w:rPr>
            </w:pPr>
            <w:r w:rsidRPr="00594D0E">
              <w:rPr>
                <w:b w:val="0"/>
                <w:szCs w:val="18"/>
              </w:rPr>
              <w:t xml:space="preserve">Analysis of integration of health services of </w:t>
            </w:r>
            <w:r w:rsidR="00D80540" w:rsidRPr="00594D0E">
              <w:rPr>
                <w:b w:val="0"/>
                <w:szCs w:val="18"/>
              </w:rPr>
              <w:t>donor</w:t>
            </w:r>
            <w:r w:rsidRPr="00594D0E">
              <w:rPr>
                <w:b w:val="0"/>
                <w:szCs w:val="18"/>
              </w:rPr>
              <w:t xml:space="preserve"> funded programs such as TB and Malaria (and vaccination) into UHC based on the model used in the HIV Integration analysis. </w:t>
            </w:r>
          </w:p>
          <w:p w:rsidR="0051799A" w:rsidRPr="00594D0E" w:rsidRDefault="0051799A" w:rsidP="0051799A">
            <w:pPr>
              <w:pStyle w:val="ListParagraph"/>
              <w:numPr>
                <w:ilvl w:val="0"/>
                <w:numId w:val="31"/>
              </w:numPr>
              <w:spacing w:before="60" w:after="60"/>
              <w:ind w:left="157" w:hanging="180"/>
              <w:jc w:val="both"/>
              <w:rPr>
                <w:b w:val="0"/>
                <w:szCs w:val="18"/>
              </w:rPr>
            </w:pPr>
            <w:r w:rsidRPr="00594D0E">
              <w:rPr>
                <w:b w:val="0"/>
                <w:szCs w:val="18"/>
              </w:rPr>
              <w:t xml:space="preserve">Institutional assessments to identify key areas of discord and facilitate integration of </w:t>
            </w:r>
            <w:r w:rsidR="00D80540" w:rsidRPr="00594D0E">
              <w:rPr>
                <w:b w:val="0"/>
                <w:szCs w:val="18"/>
              </w:rPr>
              <w:t>donor</w:t>
            </w:r>
            <w:r w:rsidRPr="00594D0E">
              <w:rPr>
                <w:b w:val="0"/>
                <w:szCs w:val="18"/>
              </w:rPr>
              <w:t>-financed and other priority programs.</w:t>
            </w:r>
          </w:p>
          <w:p w:rsidR="0051799A" w:rsidRPr="00594D0E" w:rsidRDefault="0051799A" w:rsidP="0051799A">
            <w:pPr>
              <w:pStyle w:val="ListParagraph"/>
              <w:numPr>
                <w:ilvl w:val="0"/>
                <w:numId w:val="31"/>
              </w:numPr>
              <w:spacing w:before="60" w:after="60"/>
              <w:ind w:left="157" w:hanging="180"/>
              <w:jc w:val="both"/>
              <w:rPr>
                <w:b w:val="0"/>
                <w:szCs w:val="18"/>
              </w:rPr>
            </w:pPr>
            <w:r w:rsidRPr="00594D0E">
              <w:rPr>
                <w:b w:val="0"/>
                <w:szCs w:val="18"/>
              </w:rPr>
              <w:t xml:space="preserve">Development of Country Case studies based on the health financing and institutional assessment and review of other enablers of sustained transition. </w:t>
            </w:r>
          </w:p>
          <w:p w:rsidR="0051799A" w:rsidRPr="00594D0E" w:rsidRDefault="0051799A" w:rsidP="0051799A">
            <w:pPr>
              <w:pStyle w:val="ListParagraph"/>
              <w:numPr>
                <w:ilvl w:val="0"/>
                <w:numId w:val="31"/>
              </w:numPr>
              <w:spacing w:before="60" w:after="60"/>
              <w:ind w:left="157" w:hanging="180"/>
              <w:jc w:val="both"/>
              <w:rPr>
                <w:b w:val="0"/>
                <w:szCs w:val="18"/>
              </w:rPr>
            </w:pPr>
            <w:r w:rsidRPr="00594D0E">
              <w:rPr>
                <w:b w:val="0"/>
                <w:szCs w:val="18"/>
              </w:rPr>
              <w:t xml:space="preserve">Support development and implementation of disease specific health accounts especially for those that have implemented specific disease health accounts, such as NASA, on a regular basis. </w:t>
            </w:r>
            <w:r w:rsidRPr="00594D0E">
              <w:rPr>
                <w:b w:val="0"/>
                <w:i/>
                <w:szCs w:val="18"/>
              </w:rPr>
              <w:t>(Note: There is an ongoing activity in country to improve NHA, so this activity is still to be discussed</w:t>
            </w:r>
            <w:r w:rsidRPr="00594D0E">
              <w:rPr>
                <w:b w:val="0"/>
                <w:szCs w:val="18"/>
              </w:rPr>
              <w:t>)</w:t>
            </w:r>
          </w:p>
          <w:p w:rsidR="0051799A" w:rsidRPr="00594D0E" w:rsidRDefault="0051799A" w:rsidP="00FB38CB">
            <w:pPr>
              <w:spacing w:before="60" w:after="60"/>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Despite the increase in the proportion of domestic funding, doubled between 2004 and 2010, the country’s response to HIV epidemic remains dependent to </w:t>
            </w:r>
            <w:r w:rsidR="00D80540" w:rsidRPr="00594D0E">
              <w:rPr>
                <w:szCs w:val="18"/>
              </w:rPr>
              <w:t>donor</w:t>
            </w:r>
            <w:r w:rsidRPr="00594D0E">
              <w:rPr>
                <w:szCs w:val="18"/>
              </w:rPr>
              <w:t xml:space="preserve"> sources. The proportion of </w:t>
            </w:r>
            <w:r w:rsidR="00D80540" w:rsidRPr="00594D0E">
              <w:rPr>
                <w:szCs w:val="18"/>
              </w:rPr>
              <w:t>donor</w:t>
            </w:r>
            <w:r w:rsidRPr="00594D0E">
              <w:rPr>
                <w:szCs w:val="18"/>
              </w:rPr>
              <w:t xml:space="preserve"> funding remains significant, accounted for almost 60% at the National level, while in some Provinces or districts </w:t>
            </w:r>
            <w:r w:rsidR="00D80540" w:rsidRPr="00594D0E">
              <w:rPr>
                <w:szCs w:val="18"/>
              </w:rPr>
              <w:t>donor</w:t>
            </w:r>
            <w:r w:rsidRPr="00594D0E">
              <w:rPr>
                <w:szCs w:val="18"/>
              </w:rPr>
              <w:t xml:space="preserve"> funding may reach more than 70% of total HIV program funding. The Global Fund continues to be the primary </w:t>
            </w:r>
            <w:r w:rsidR="00D80540" w:rsidRPr="00594D0E">
              <w:rPr>
                <w:szCs w:val="18"/>
              </w:rPr>
              <w:t>donor</w:t>
            </w:r>
            <w:r w:rsidR="00563154">
              <w:rPr>
                <w:szCs w:val="18"/>
              </w:rPr>
              <w:t xml:space="preserve"> and</w:t>
            </w:r>
            <w:r w:rsidRPr="00594D0E">
              <w:rPr>
                <w:szCs w:val="18"/>
              </w:rPr>
              <w:t xml:space="preserve"> is projected to decline further with the uncertainty of GFATM continuation after the Grant ends at the end of 2017.</w:t>
            </w:r>
          </w:p>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The Government of Indonesia is facing challenges in ensuring sustainability of HIV programs with the ending of GFATM funding at the end of 2017. This is expected to have significant effect to HIV interventions if the contribution from resources other than </w:t>
            </w:r>
            <w:r w:rsidR="00D80540" w:rsidRPr="00594D0E">
              <w:rPr>
                <w:szCs w:val="18"/>
              </w:rPr>
              <w:t>donor</w:t>
            </w:r>
            <w:r w:rsidRPr="00594D0E">
              <w:rPr>
                <w:szCs w:val="18"/>
              </w:rPr>
              <w:t xml:space="preserve"> sources is not mobilized. </w:t>
            </w:r>
          </w:p>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The World Bank has initiated a series of analytical works at the end of 2014 to support the development of the country’s HIV financial sustainability plan. The analytical works include optimization analysis HIV resource allocation, and integration of HIV into UHC. The activities proposed under this Trust Fund are the continuation of the initial analytical works.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51799A">
            <w:pPr>
              <w:pStyle w:val="ListParagraph"/>
              <w:numPr>
                <w:ilvl w:val="0"/>
                <w:numId w:val="32"/>
              </w:numPr>
              <w:spacing w:before="120" w:after="120"/>
              <w:ind w:left="157" w:hanging="180"/>
              <w:jc w:val="both"/>
              <w:rPr>
                <w:b w:val="0"/>
                <w:szCs w:val="18"/>
              </w:rPr>
            </w:pPr>
            <w:r w:rsidRPr="00594D0E">
              <w:rPr>
                <w:b w:val="0"/>
                <w:szCs w:val="18"/>
              </w:rPr>
              <w:t>The activity will be focusing on assisting MOH and development partners (DPs) to identify determinant factors of inefficiencies and identify the most appropriate service modality and to improve efficiencies in service delivery.</w:t>
            </w:r>
          </w:p>
          <w:p w:rsidR="0051799A" w:rsidRPr="00594D0E" w:rsidRDefault="0051799A" w:rsidP="0051799A">
            <w:pPr>
              <w:pStyle w:val="ListParagraph"/>
              <w:numPr>
                <w:ilvl w:val="0"/>
                <w:numId w:val="32"/>
              </w:numPr>
              <w:spacing w:before="120" w:after="120"/>
              <w:ind w:left="157" w:hanging="180"/>
              <w:jc w:val="both"/>
              <w:rPr>
                <w:b w:val="0"/>
                <w:szCs w:val="18"/>
              </w:rPr>
            </w:pPr>
            <w:r w:rsidRPr="00594D0E">
              <w:rPr>
                <w:b w:val="0"/>
                <w:szCs w:val="18"/>
              </w:rPr>
              <w:t xml:space="preserve">Analysis of technical efficiency for selected program interventions based on the country program priorities </w:t>
            </w:r>
          </w:p>
          <w:p w:rsidR="0051799A" w:rsidRPr="00594D0E" w:rsidRDefault="0051799A" w:rsidP="0051799A">
            <w:pPr>
              <w:pStyle w:val="ListParagraph"/>
              <w:numPr>
                <w:ilvl w:val="0"/>
                <w:numId w:val="32"/>
              </w:numPr>
              <w:spacing w:before="120" w:after="120"/>
              <w:ind w:left="157" w:hanging="180"/>
              <w:jc w:val="both"/>
              <w:rPr>
                <w:b w:val="0"/>
                <w:szCs w:val="18"/>
              </w:rPr>
            </w:pPr>
            <w:r w:rsidRPr="00594D0E">
              <w:rPr>
                <w:b w:val="0"/>
                <w:szCs w:val="18"/>
              </w:rPr>
              <w:t xml:space="preserve">Analysis of human resource for health which has been identified as one of the major drivers of inefficiency in health service delivery; including HR needs, availability, and qualification to deliver services of aforementioned programs </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One of the potential funding sources to finance these health programs may be derived from generating saving from improved efficiency in service delivery. Addressing bottlenecks that prevent efficient service delivery will enable re-allocation of the amount of saving to other programs or to scale up already proved effective program interventions. </w:t>
            </w:r>
          </w:p>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Analytical work to date has highlighted the need to improve service delivery efficiency in order to increase fiscal space within the health sector.  This analytical works will identify determinant factors of inefficiencies in service delivery and will emphasize on providing practical solutions. This activity will be done in close collaboration with the main counterparts especially MOH and NAC and in using the findings from analytical work to support evidence-informed decisions on resource allocation and use.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The development of framework to monitor and evaluate integration of previously </w:t>
            </w:r>
            <w:r w:rsidR="00D80540" w:rsidRPr="00594D0E">
              <w:rPr>
                <w:b w:val="0"/>
                <w:szCs w:val="18"/>
              </w:rPr>
              <w:t>donor</w:t>
            </w:r>
            <w:r w:rsidRPr="00594D0E">
              <w:rPr>
                <w:b w:val="0"/>
                <w:szCs w:val="18"/>
              </w:rPr>
              <w:t xml:space="preserve"> funded programs into the country’s health system, availability of funding, accessibility and continuity of service delivery.</w:t>
            </w:r>
          </w:p>
          <w:p w:rsidR="0051799A" w:rsidRPr="00594D0E" w:rsidRDefault="0051799A" w:rsidP="00FB38CB">
            <w:pPr>
              <w:spacing w:before="120"/>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The demand for country to demonstrate results has been on the rise over the years. Especially with resources scarcity, the pressure to show evidence that optimum results can be reached with the least financial input is growing. Therefore, countries need to have a strong monitoring and evaluation mechanism to measure results of program interventions.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51799A">
            <w:pPr>
              <w:pStyle w:val="ListParagraph"/>
              <w:numPr>
                <w:ilvl w:val="0"/>
                <w:numId w:val="33"/>
              </w:numPr>
              <w:spacing w:before="120"/>
              <w:ind w:left="157" w:hanging="157"/>
              <w:jc w:val="both"/>
              <w:rPr>
                <w:b w:val="0"/>
                <w:szCs w:val="18"/>
              </w:rPr>
            </w:pPr>
            <w:r w:rsidRPr="00594D0E">
              <w:rPr>
                <w:b w:val="0"/>
                <w:szCs w:val="18"/>
              </w:rPr>
              <w:t xml:space="preserve">Actively participate in policy dialogue and disseminate results of the analytical works to support informed policy making. The WB team will be working with the country team including NAC, Ministry of Health, and major development partners to increase its focus on results, including benchmarking its performance internally (between provinces etc.) as well as against a range of other countries. </w:t>
            </w:r>
          </w:p>
          <w:p w:rsidR="0051799A" w:rsidRPr="00594D0E" w:rsidRDefault="0051799A" w:rsidP="0051799A">
            <w:pPr>
              <w:pStyle w:val="ListParagraph"/>
              <w:numPr>
                <w:ilvl w:val="0"/>
                <w:numId w:val="33"/>
              </w:numPr>
              <w:spacing w:before="120"/>
              <w:ind w:left="157" w:hanging="157"/>
              <w:jc w:val="both"/>
              <w:rPr>
                <w:b w:val="0"/>
                <w:szCs w:val="18"/>
              </w:rPr>
            </w:pPr>
            <w:r w:rsidRPr="00594D0E">
              <w:rPr>
                <w:b w:val="0"/>
                <w:szCs w:val="18"/>
              </w:rPr>
              <w:t xml:space="preserve">The WB team involves and facilitates in policy discussion with Ministry of Finance and National Planning Agency/Ministry of National Planning (Bappenas) in identifying financial gap and potential sources of efficiency (for reallocation) and new sources of funding.   </w:t>
            </w:r>
          </w:p>
          <w:p w:rsidR="0051799A" w:rsidRPr="00594D0E" w:rsidRDefault="0051799A" w:rsidP="00FB38CB">
            <w:pPr>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Integrating previously donor funded programs into the domestically funded health system means that there will be shifts of priorities and in resource allocation.  The country coordination mechanisms for specific health programs exist and are relatively active.  These mechanisms provide an opportunity for regular oversight of health sector performance for both MOH/NAC and DPs. However, these mechanisms tend to operate vertically in isolation from the sector, and have not established communication lines with relevant and influential ministries or agencies/institutions such as MoF, Bappenas, and the Parliament.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shd w:val="clear" w:color="auto" w:fill="000000" w:themeFill="text1"/>
          </w:tcPr>
          <w:p w:rsidR="0051799A" w:rsidRPr="00594D0E" w:rsidRDefault="0051799A" w:rsidP="00FB38CB">
            <w:pPr>
              <w:spacing w:before="120"/>
              <w:rPr>
                <w:b w:val="0"/>
                <w:szCs w:val="18"/>
              </w:rPr>
            </w:pPr>
          </w:p>
        </w:tc>
        <w:tc>
          <w:tcPr>
            <w:tcW w:w="6030" w:type="dxa"/>
            <w:shd w:val="clear" w:color="auto" w:fill="000000" w:themeFill="text1"/>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12978" w:type="dxa"/>
            <w:gridSpan w:val="2"/>
          </w:tcPr>
          <w:p w:rsidR="0051799A" w:rsidRPr="00594D0E" w:rsidRDefault="0051799A" w:rsidP="00FB38CB">
            <w:pPr>
              <w:spacing w:before="120" w:after="120"/>
              <w:jc w:val="center"/>
              <w:rPr>
                <w:b w:val="0"/>
                <w:smallCaps/>
                <w:szCs w:val="18"/>
              </w:rPr>
            </w:pPr>
            <w:r w:rsidRPr="00594D0E">
              <w:rPr>
                <w:b w:val="0"/>
                <w:smallCaps/>
                <w:szCs w:val="18"/>
              </w:rPr>
              <w:t>CAMBODIA</w:t>
            </w:r>
          </w:p>
          <w:p w:rsidR="0051799A" w:rsidRPr="00594D0E" w:rsidRDefault="0051799A" w:rsidP="00FB38CB">
            <w:pPr>
              <w:spacing w:before="60" w:after="60"/>
              <w:rPr>
                <w:b w:val="0"/>
                <w:color w:val="000000"/>
                <w:szCs w:val="18"/>
              </w:rPr>
            </w:pPr>
            <w:r w:rsidRPr="00594D0E">
              <w:rPr>
                <w:b w:val="0"/>
                <w:szCs w:val="18"/>
              </w:rPr>
              <w:t>Outcome: S</w:t>
            </w:r>
            <w:r w:rsidRPr="00594D0E">
              <w:rPr>
                <w:b w:val="0"/>
                <w:color w:val="000000"/>
                <w:szCs w:val="18"/>
              </w:rPr>
              <w:t xml:space="preserve">trengthened government-led analysis, operational planning, budgeting, management and monitoring that supports evidence-based policy and actions that contribute to more efficient, equitable and quality health service delivery. </w:t>
            </w:r>
          </w:p>
          <w:p w:rsidR="0051799A" w:rsidRPr="00594D0E" w:rsidRDefault="0051799A" w:rsidP="00FB38CB">
            <w:pPr>
              <w:spacing w:before="60" w:after="60"/>
              <w:rPr>
                <w:b w:val="0"/>
                <w:color w:val="000000"/>
                <w:szCs w:val="18"/>
              </w:rPr>
            </w:pPr>
            <w:r w:rsidRPr="00594D0E">
              <w:rPr>
                <w:b w:val="0"/>
                <w:color w:val="000000"/>
                <w:szCs w:val="18"/>
              </w:rPr>
              <w:t>Experience/lessons will be used to inform a broader regional knowledge base on health financing and sector performance.</w:t>
            </w:r>
          </w:p>
          <w:p w:rsidR="0051799A" w:rsidRPr="00594D0E" w:rsidRDefault="0051799A" w:rsidP="00FB38CB">
            <w:pPr>
              <w:spacing w:before="120" w:after="60"/>
              <w:rPr>
                <w:b w:val="0"/>
                <w:szCs w:val="18"/>
              </w:rPr>
            </w:pPr>
            <w:r w:rsidRPr="00594D0E">
              <w:rPr>
                <w:b w:val="0"/>
                <w:szCs w:val="18"/>
              </w:rPr>
              <w:t xml:space="preserve">Indicators: </w:t>
            </w:r>
          </w:p>
          <w:p w:rsidR="0051799A" w:rsidRPr="00594D0E" w:rsidRDefault="0051799A" w:rsidP="0023266F">
            <w:pPr>
              <w:pStyle w:val="ListParagraph"/>
              <w:numPr>
                <w:ilvl w:val="0"/>
                <w:numId w:val="34"/>
              </w:numPr>
              <w:spacing w:before="60" w:after="60"/>
              <w:jc w:val="both"/>
              <w:rPr>
                <w:b w:val="0"/>
                <w:color w:val="000000"/>
                <w:szCs w:val="18"/>
              </w:rPr>
            </w:pPr>
            <w:r w:rsidRPr="00594D0E">
              <w:rPr>
                <w:b w:val="0"/>
                <w:color w:val="000000"/>
                <w:szCs w:val="18"/>
              </w:rPr>
              <w:t>Completed assessment and transition plan for</w:t>
            </w:r>
            <w:r w:rsidRPr="00594D0E">
              <w:rPr>
                <w:b w:val="0"/>
                <w:szCs w:val="18"/>
              </w:rPr>
              <w:t xml:space="preserve"> institutional and financial sustainability of current GFATM (and GAVI) activities.</w:t>
            </w:r>
            <w:r w:rsidRPr="00594D0E">
              <w:rPr>
                <w:b w:val="0"/>
                <w:color w:val="000000"/>
                <w:szCs w:val="18"/>
              </w:rPr>
              <w:t xml:space="preserve">  </w:t>
            </w:r>
          </w:p>
          <w:p w:rsidR="0051799A" w:rsidRPr="00594D0E" w:rsidRDefault="0051799A" w:rsidP="0023266F">
            <w:pPr>
              <w:pStyle w:val="ListParagraph"/>
              <w:numPr>
                <w:ilvl w:val="0"/>
                <w:numId w:val="34"/>
              </w:numPr>
              <w:spacing w:before="60" w:after="60"/>
              <w:jc w:val="both"/>
              <w:rPr>
                <w:b w:val="0"/>
                <w:color w:val="000000"/>
                <w:szCs w:val="18"/>
              </w:rPr>
            </w:pPr>
            <w:r w:rsidRPr="00594D0E">
              <w:rPr>
                <w:b w:val="0"/>
                <w:szCs w:val="18"/>
              </w:rPr>
              <w:t>Completed integration of all GFATM (and GAVI) activities into the annual operational plan, budget and monitoring framework (by mid-2016 for implementation from 2017 onwards)</w:t>
            </w:r>
          </w:p>
          <w:p w:rsidR="0051799A" w:rsidRPr="00594D0E" w:rsidRDefault="0051799A" w:rsidP="0023266F">
            <w:pPr>
              <w:pStyle w:val="ListParagraph"/>
              <w:numPr>
                <w:ilvl w:val="0"/>
                <w:numId w:val="34"/>
              </w:numPr>
              <w:spacing w:before="60" w:after="60"/>
              <w:jc w:val="both"/>
              <w:rPr>
                <w:b w:val="0"/>
                <w:color w:val="000000"/>
                <w:szCs w:val="18"/>
              </w:rPr>
            </w:pPr>
            <w:r w:rsidRPr="00594D0E">
              <w:rPr>
                <w:b w:val="0"/>
                <w:color w:val="000000"/>
                <w:szCs w:val="18"/>
              </w:rPr>
              <w:t>Annually completed/updated health public expenditure analysis that is used to inform sector and central agency policy dialogue on progress with transition arrangements and broader sector performance.</w:t>
            </w:r>
          </w:p>
          <w:p w:rsidR="0051799A" w:rsidRPr="00594D0E" w:rsidRDefault="0051799A" w:rsidP="00FB38CB">
            <w:pPr>
              <w:spacing w:before="60" w:after="60"/>
              <w:rPr>
                <w:b w:val="0"/>
                <w:szCs w:val="18"/>
                <w:highlight w:val="yellow"/>
              </w:rPr>
            </w:pPr>
          </w:p>
        </w:tc>
      </w:tr>
      <w:tr w:rsidR="0051799A" w:rsidRPr="00594D0E" w:rsidTr="0023266F">
        <w:tc>
          <w:tcPr>
            <w:cnfStyle w:val="001000000000" w:firstRow="0" w:lastRow="0" w:firstColumn="1" w:lastColumn="0" w:oddVBand="0" w:evenVBand="0" w:oddHBand="0" w:evenHBand="0" w:firstRowFirstColumn="0" w:firstRowLastColumn="0" w:lastRowFirstColumn="0" w:lastRowLastColumn="0"/>
            <w:tcW w:w="6948" w:type="dxa"/>
            <w:shd w:val="clear" w:color="auto" w:fill="auto"/>
          </w:tcPr>
          <w:p w:rsidR="0051799A" w:rsidRPr="00594D0E" w:rsidRDefault="0051799A" w:rsidP="00FB38CB">
            <w:pPr>
              <w:rPr>
                <w:b w:val="0"/>
                <w:szCs w:val="18"/>
              </w:rPr>
            </w:pPr>
            <w:r w:rsidRPr="00594D0E">
              <w:rPr>
                <w:b w:val="0"/>
                <w:szCs w:val="18"/>
              </w:rPr>
              <w:t>Activity</w:t>
            </w:r>
          </w:p>
        </w:tc>
        <w:tc>
          <w:tcPr>
            <w:tcW w:w="6030" w:type="dxa"/>
            <w:shd w:val="clear" w:color="auto" w:fill="auto"/>
          </w:tcPr>
          <w:p w:rsidR="0051799A" w:rsidRPr="00594D0E" w:rsidRDefault="0051799A" w:rsidP="00FB38CB">
            <w:pPr>
              <w:cnfStyle w:val="000000000000" w:firstRow="0" w:lastRow="0" w:firstColumn="0" w:lastColumn="0" w:oddVBand="0" w:evenVBand="0" w:oddHBand="0" w:evenHBand="0" w:firstRowFirstColumn="0" w:firstRowLastColumn="0" w:lastRowFirstColumn="0" w:lastRowLastColumn="0"/>
              <w:rPr>
                <w:szCs w:val="18"/>
                <w:highlight w:val="yellow"/>
              </w:rPr>
            </w:pPr>
            <w:r w:rsidRPr="00594D0E">
              <w:rPr>
                <w:szCs w:val="18"/>
              </w:rPr>
              <w:t>Rationale</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51799A">
            <w:pPr>
              <w:pStyle w:val="ListParagraph"/>
              <w:numPr>
                <w:ilvl w:val="0"/>
                <w:numId w:val="20"/>
              </w:numPr>
              <w:spacing w:before="60" w:after="60"/>
              <w:ind w:left="337" w:hanging="270"/>
              <w:jc w:val="both"/>
              <w:rPr>
                <w:b w:val="0"/>
                <w:szCs w:val="18"/>
              </w:rPr>
            </w:pPr>
            <w:r w:rsidRPr="00594D0E">
              <w:rPr>
                <w:b w:val="0"/>
                <w:szCs w:val="18"/>
              </w:rPr>
              <w:t xml:space="preserve">Collection, compilation, and analysis of data on health financing flows and service delivery – including by source and use – disaggregated by </w:t>
            </w:r>
            <w:r w:rsidR="00D80540" w:rsidRPr="00594D0E">
              <w:rPr>
                <w:b w:val="0"/>
                <w:szCs w:val="18"/>
              </w:rPr>
              <w:t>donor</w:t>
            </w:r>
            <w:r w:rsidRPr="00594D0E">
              <w:rPr>
                <w:b w:val="0"/>
                <w:szCs w:val="18"/>
              </w:rPr>
              <w:t>-financed, priority programs, and across different levels of government.</w:t>
            </w:r>
          </w:p>
          <w:p w:rsidR="0051799A" w:rsidRPr="00594D0E" w:rsidRDefault="0051799A" w:rsidP="0051799A">
            <w:pPr>
              <w:pStyle w:val="ListParagraph"/>
              <w:numPr>
                <w:ilvl w:val="0"/>
                <w:numId w:val="20"/>
              </w:numPr>
              <w:spacing w:before="60" w:after="60"/>
              <w:ind w:left="337" w:hanging="270"/>
              <w:jc w:val="both"/>
              <w:rPr>
                <w:b w:val="0"/>
                <w:szCs w:val="18"/>
              </w:rPr>
            </w:pPr>
            <w:r w:rsidRPr="00594D0E">
              <w:rPr>
                <w:b w:val="0"/>
                <w:szCs w:val="18"/>
              </w:rPr>
              <w:t xml:space="preserve">Support for tracking budgetary allocation and processes including monitoring of funding flows to areas of impact. </w:t>
            </w:r>
          </w:p>
          <w:p w:rsidR="0051799A" w:rsidRPr="00594D0E" w:rsidRDefault="0051799A" w:rsidP="0051799A">
            <w:pPr>
              <w:pStyle w:val="ListParagraph"/>
              <w:numPr>
                <w:ilvl w:val="0"/>
                <w:numId w:val="20"/>
              </w:numPr>
              <w:spacing w:before="60" w:after="60"/>
              <w:ind w:left="337" w:hanging="270"/>
              <w:jc w:val="both"/>
              <w:rPr>
                <w:b w:val="0"/>
                <w:szCs w:val="18"/>
              </w:rPr>
            </w:pPr>
            <w:r w:rsidRPr="00594D0E">
              <w:rPr>
                <w:b w:val="0"/>
                <w:szCs w:val="18"/>
              </w:rPr>
              <w:t xml:space="preserve">Institutional assessments to identify key areas of discord and facilitate integration of </w:t>
            </w:r>
            <w:r w:rsidR="00D80540" w:rsidRPr="00594D0E">
              <w:rPr>
                <w:b w:val="0"/>
                <w:szCs w:val="18"/>
              </w:rPr>
              <w:t>donor</w:t>
            </w:r>
            <w:r w:rsidRPr="00594D0E">
              <w:rPr>
                <w:b w:val="0"/>
                <w:szCs w:val="18"/>
              </w:rPr>
              <w:t>-financed and other priority programs.</w:t>
            </w:r>
          </w:p>
          <w:p w:rsidR="0051799A" w:rsidRPr="00594D0E" w:rsidRDefault="0051799A" w:rsidP="0051799A">
            <w:pPr>
              <w:pStyle w:val="ListParagraph"/>
              <w:numPr>
                <w:ilvl w:val="0"/>
                <w:numId w:val="20"/>
              </w:numPr>
              <w:spacing w:before="60" w:after="60"/>
              <w:ind w:left="337" w:hanging="270"/>
              <w:jc w:val="both"/>
              <w:rPr>
                <w:b w:val="0"/>
                <w:szCs w:val="18"/>
              </w:rPr>
            </w:pPr>
            <w:r w:rsidRPr="00594D0E">
              <w:rPr>
                <w:b w:val="0"/>
                <w:szCs w:val="18"/>
              </w:rPr>
              <w:t>Development of Country Case studies based on the health financing and institutional assessment and review of other enablers of sustained transition.</w:t>
            </w: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This is a subset of the broader health systems work the World Bank and other partners are assisting Cambodia aiming to strengthen core planning, budgeting, implementing and monitoring. Over recent years, Cambodia has received funding to finance disease specific activities (as well as from GAVI for introduction of new vaccines).  While there has been an effort to broaden the impact of funding received so that core health systems are strengthened as part of the disease specific funding support, the level of integration varies.  Cambodia is now faced with significant reductions in these funding allocations as part of pressures on global financing institutions and/or changing eligibility criteria requiring graduation from funding support. </w:t>
            </w:r>
          </w:p>
        </w:tc>
      </w:tr>
      <w:tr w:rsidR="0051799A" w:rsidRPr="00594D0E" w:rsidTr="00FB38CB">
        <w:tc>
          <w:tcPr>
            <w:cnfStyle w:val="001000000000" w:firstRow="0" w:lastRow="0" w:firstColumn="1" w:lastColumn="0" w:oddVBand="0" w:evenVBand="0" w:oddHBand="0" w:evenHBand="0" w:firstRowFirstColumn="0" w:firstRowLastColumn="0" w:lastRowFirstColumn="0" w:lastRowLastColumn="0"/>
            <w:tcW w:w="6948" w:type="dxa"/>
          </w:tcPr>
          <w:p w:rsidR="0051799A" w:rsidRPr="00594D0E" w:rsidRDefault="0051799A" w:rsidP="00FB38CB">
            <w:pPr>
              <w:spacing w:before="120"/>
              <w:rPr>
                <w:b w:val="0"/>
                <w:szCs w:val="18"/>
              </w:rPr>
            </w:pPr>
            <w:r w:rsidRPr="00594D0E">
              <w:rPr>
                <w:b w:val="0"/>
                <w:szCs w:val="18"/>
              </w:rPr>
              <w:t xml:space="preserve">Participate in quality sector policy dialogue as part of ongoing health partner meetings. The WB team is assisting Ministry of Health to increase its focus on results, including benchmarking its performance at sub national level as well as against a range of other countries.   </w:t>
            </w:r>
          </w:p>
          <w:p w:rsidR="0051799A" w:rsidRPr="00594D0E" w:rsidRDefault="0051799A" w:rsidP="00FB38CB">
            <w:pPr>
              <w:rPr>
                <w:b w:val="0"/>
                <w:szCs w:val="18"/>
              </w:rPr>
            </w:pPr>
          </w:p>
        </w:tc>
        <w:tc>
          <w:tcPr>
            <w:tcW w:w="6030" w:type="dxa"/>
          </w:tcPr>
          <w:p w:rsidR="0051799A" w:rsidRPr="00594D0E" w:rsidRDefault="0051799A" w:rsidP="00FB38CB">
            <w:pPr>
              <w:spacing w:before="120"/>
              <w:cnfStyle w:val="000000000000" w:firstRow="0" w:lastRow="0" w:firstColumn="0" w:lastColumn="0" w:oddVBand="0" w:evenVBand="0" w:oddHBand="0" w:evenHBand="0" w:firstRowFirstColumn="0" w:firstRowLastColumn="0" w:lastRowFirstColumn="0" w:lastRowLastColumn="0"/>
              <w:rPr>
                <w:szCs w:val="18"/>
              </w:rPr>
            </w:pPr>
            <w:r w:rsidRPr="00594D0E">
              <w:rPr>
                <w:szCs w:val="18"/>
              </w:rPr>
              <w:t xml:space="preserve">The health partner meetings are part of MoH’s governance arrangements for the health sector.  They provide an opportunity for regular oversight of health sector performance for MoH and DPs. The World Bank team assists MoH and health partners to reflect on the management of resources within MoH – looking at financial reporting and expenditure management and linking this with broader sector performance using health service and outcome data (from the routine HIS and intermittent survey data) and human resources data. </w:t>
            </w:r>
          </w:p>
        </w:tc>
      </w:tr>
    </w:tbl>
    <w:p w:rsidR="0051799A" w:rsidRPr="00594D0E" w:rsidRDefault="0051799A" w:rsidP="00FB38CB">
      <w:pPr>
        <w:rPr>
          <w:sz w:val="18"/>
          <w:szCs w:val="18"/>
        </w:rPr>
      </w:pPr>
    </w:p>
    <w:p w:rsidR="0051799A" w:rsidRPr="00594D0E" w:rsidRDefault="0051799A" w:rsidP="00FB38CB">
      <w:pPr>
        <w:pStyle w:val="Heading2"/>
        <w:jc w:val="both"/>
        <w:rPr>
          <w:sz w:val="18"/>
          <w:szCs w:val="18"/>
        </w:rPr>
      </w:pPr>
    </w:p>
    <w:p w:rsidR="00581D11" w:rsidRPr="00594D0E" w:rsidRDefault="00581D11" w:rsidP="008F0AE0">
      <w:pPr>
        <w:rPr>
          <w:sz w:val="18"/>
          <w:szCs w:val="18"/>
        </w:rPr>
      </w:pPr>
    </w:p>
    <w:sectPr w:rsidR="00581D11" w:rsidRPr="00594D0E" w:rsidSect="00A61F71">
      <w:footerReference w:type="default" r:id="rId1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A9" w:rsidRDefault="00991DA9" w:rsidP="00E4275A">
      <w:r>
        <w:separator/>
      </w:r>
    </w:p>
  </w:endnote>
  <w:endnote w:type="continuationSeparator" w:id="0">
    <w:p w:rsidR="00991DA9" w:rsidRDefault="00991DA9" w:rsidP="00E4275A">
      <w:r>
        <w:continuationSeparator/>
      </w:r>
    </w:p>
  </w:endnote>
  <w:endnote w:type="continuationNotice" w:id="1">
    <w:p w:rsidR="00991DA9" w:rsidRDefault="0099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10" w:rsidRDefault="00B81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4120"/>
      <w:docPartObj>
        <w:docPartGallery w:val="Page Numbers (Bottom of Page)"/>
        <w:docPartUnique/>
      </w:docPartObj>
    </w:sdtPr>
    <w:sdtEndPr>
      <w:rPr>
        <w:noProof/>
      </w:rPr>
    </w:sdtEndPr>
    <w:sdtContent>
      <w:p w:rsidR="00B25108" w:rsidRDefault="00B25108">
        <w:pPr>
          <w:pStyle w:val="Footer"/>
          <w:jc w:val="center"/>
        </w:pPr>
        <w:r>
          <w:fldChar w:fldCharType="begin"/>
        </w:r>
        <w:r>
          <w:instrText xml:space="preserve"> PAGE   \* MERGEFORMAT </w:instrText>
        </w:r>
        <w:r>
          <w:fldChar w:fldCharType="separate"/>
        </w:r>
        <w:r w:rsidR="00F62CEB">
          <w:rPr>
            <w:noProof/>
          </w:rPr>
          <w:t>4</w:t>
        </w:r>
        <w:r>
          <w:rPr>
            <w:noProof/>
          </w:rPr>
          <w:fldChar w:fldCharType="end"/>
        </w:r>
      </w:p>
    </w:sdtContent>
  </w:sdt>
  <w:p w:rsidR="00B25108" w:rsidRDefault="00B25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108" w:rsidRDefault="00B25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03395"/>
      <w:docPartObj>
        <w:docPartGallery w:val="Page Numbers (Bottom of Page)"/>
        <w:docPartUnique/>
      </w:docPartObj>
    </w:sdtPr>
    <w:sdtEndPr/>
    <w:sdtContent>
      <w:p w:rsidR="00B25108" w:rsidRDefault="00B25108">
        <w:pPr>
          <w:pStyle w:val="Footer"/>
        </w:pPr>
        <w:r>
          <w:fldChar w:fldCharType="begin"/>
        </w:r>
        <w:r>
          <w:instrText xml:space="preserve"> PAGE   \* MERGEFORMAT </w:instrText>
        </w:r>
        <w:r>
          <w:fldChar w:fldCharType="separate"/>
        </w:r>
        <w:r w:rsidR="00F62CEB">
          <w:rPr>
            <w:noProof/>
          </w:rPr>
          <w:t>22</w:t>
        </w:r>
        <w:r>
          <w:rPr>
            <w:noProof/>
          </w:rPr>
          <w:fldChar w:fldCharType="end"/>
        </w:r>
      </w:p>
    </w:sdtContent>
  </w:sdt>
  <w:p w:rsidR="00B25108" w:rsidRDefault="00B2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A9" w:rsidRDefault="00991DA9" w:rsidP="00E4275A">
      <w:r>
        <w:separator/>
      </w:r>
    </w:p>
  </w:footnote>
  <w:footnote w:type="continuationSeparator" w:id="0">
    <w:p w:rsidR="00991DA9" w:rsidRDefault="00991DA9" w:rsidP="00E4275A">
      <w:r>
        <w:continuationSeparator/>
      </w:r>
    </w:p>
  </w:footnote>
  <w:footnote w:type="continuationNotice" w:id="1">
    <w:p w:rsidR="00991DA9" w:rsidRDefault="00991DA9"/>
  </w:footnote>
  <w:footnote w:id="2">
    <w:p w:rsidR="00B25108" w:rsidRPr="005C3EF3" w:rsidRDefault="00B25108" w:rsidP="00FB38CB">
      <w:pPr>
        <w:pStyle w:val="FootnoteText"/>
      </w:pPr>
      <w:r w:rsidRPr="005C3EF3">
        <w:rPr>
          <w:rStyle w:val="FootnoteReference"/>
        </w:rPr>
        <w:footnoteRef/>
      </w:r>
      <w:r w:rsidRPr="005C3EF3">
        <w:t xml:space="preserve"> It is important to note that the three dimensions of UHC (“depth”, “breadth”, and “height”) are neither independent nor mutually exclusive: ensuring depth of coverage has implications for the breadth and height of UHC as well. Universal availability of the benefit package for all – not just those who are well-off and live in urban areas -- is a key aspect of ensuring that UHC is not a hypothetical aspiration but a realized policy designed to enhance health and improve social protection. And high </w:t>
      </w:r>
      <w:r>
        <w:t>out-of-pocket (</w:t>
      </w:r>
      <w:r w:rsidRPr="005C3EF3">
        <w:t>OOP</w:t>
      </w:r>
      <w:r>
        <w:t>)</w:t>
      </w:r>
      <w:r w:rsidRPr="005C3EF3">
        <w:t xml:space="preserve"> payments – i.e., low height of UHC – can (and is) often a result of poor depth of coverage if patients have to pay OOP for drugs or seek care elsewhere in private facilities that are outside the network.</w:t>
      </w:r>
    </w:p>
  </w:footnote>
  <w:footnote w:id="3">
    <w:p w:rsidR="00B25108" w:rsidRDefault="00B25108" w:rsidP="006E3634">
      <w:pPr>
        <w:pStyle w:val="FootnoteText"/>
      </w:pPr>
      <w:r w:rsidRPr="005401AD">
        <w:rPr>
          <w:rStyle w:val="FootnoteReference"/>
        </w:rPr>
        <w:footnoteRef/>
      </w:r>
      <w:r>
        <w:t xml:space="preserve"> World Bank (2007), </w:t>
      </w:r>
      <w:r w:rsidRPr="005401AD">
        <w:rPr>
          <w:i/>
        </w:rPr>
        <w:t>Health, Nutrition, and Population Strategy</w:t>
      </w:r>
      <w:r>
        <w:t>, Washington, DC.</w:t>
      </w:r>
    </w:p>
  </w:footnote>
  <w:footnote w:id="4">
    <w:p w:rsidR="00B25108" w:rsidRDefault="00B25108" w:rsidP="006E3634">
      <w:pPr>
        <w:pStyle w:val="FootnoteText"/>
      </w:pPr>
      <w:r>
        <w:rPr>
          <w:rStyle w:val="FootnoteReference"/>
        </w:rPr>
        <w:footnoteRef/>
      </w:r>
      <w:r>
        <w:t xml:space="preserve"> This includes P153469 for Papua New Guinea, and P153778 for Pacific. </w:t>
      </w:r>
    </w:p>
  </w:footnote>
  <w:footnote w:id="5">
    <w:p w:rsidR="00B25108" w:rsidRDefault="00B25108" w:rsidP="00E20D02">
      <w:pPr>
        <w:jc w:val="left"/>
      </w:pPr>
      <w:r>
        <w:rPr>
          <w:rStyle w:val="FootnoteReference"/>
        </w:rPr>
        <w:footnoteRef/>
      </w:r>
      <w:r>
        <w:t xml:space="preserve"> </w:t>
      </w:r>
      <w:r w:rsidRPr="00E20D02">
        <w:rPr>
          <w:sz w:val="18"/>
          <w:szCs w:val="18"/>
        </w:rPr>
        <w:t>Note that the GHNDR health financing and institutional assessments are analytical tools that will be next-generation public expenditure reviews (PERs) and will build on the framework of PER and other related assessments.</w:t>
      </w:r>
    </w:p>
    <w:p w:rsidR="00B25108" w:rsidRDefault="00B25108">
      <w:pPr>
        <w:pStyle w:val="FootnoteText"/>
      </w:pPr>
    </w:p>
  </w:footnote>
  <w:footnote w:id="6">
    <w:p w:rsidR="00B25108" w:rsidRPr="008F0AE0" w:rsidRDefault="00B25108" w:rsidP="008F0AE0">
      <w:pPr>
        <w:pStyle w:val="FootnoteText"/>
      </w:pPr>
      <w:r w:rsidRPr="008F0AE0">
        <w:rPr>
          <w:rStyle w:val="FootnoteReference"/>
          <w:rFonts w:cs="Arial"/>
        </w:rPr>
        <w:footnoteRef/>
      </w:r>
      <w:r w:rsidRPr="008F0AE0">
        <w:t xml:space="preserve"> UNAIDS (2012), Global Report: UNAIDS report on the global aids epidemic, UNAIDS, Geneva.</w:t>
      </w:r>
    </w:p>
  </w:footnote>
  <w:footnote w:id="7">
    <w:p w:rsidR="00B25108" w:rsidRPr="008F0AE0" w:rsidRDefault="00B25108" w:rsidP="008F0AE0">
      <w:pPr>
        <w:pStyle w:val="FootnoteText"/>
      </w:pPr>
      <w:r w:rsidRPr="008F0AE0">
        <w:rPr>
          <w:rStyle w:val="FootnoteReference"/>
          <w:rFonts w:cs="Arial"/>
        </w:rPr>
        <w:footnoteRef/>
      </w:r>
      <w:r w:rsidRPr="008F0AE0">
        <w:t xml:space="preserve"> WHO (2013), </w:t>
      </w:r>
      <w:r w:rsidRPr="008F0AE0">
        <w:rPr>
          <w:iCs/>
        </w:rPr>
        <w:t>Global Tuberculosis Report 2013</w:t>
      </w:r>
      <w:r w:rsidRPr="008F0AE0">
        <w:t xml:space="preserve">, Geneva: World Health Organization.  </w:t>
      </w:r>
    </w:p>
  </w:footnote>
  <w:footnote w:id="8">
    <w:p w:rsidR="00B25108" w:rsidRPr="008F0AE0" w:rsidRDefault="00B25108" w:rsidP="008F0AE0">
      <w:pPr>
        <w:pStyle w:val="FootnoteText"/>
      </w:pPr>
      <w:r w:rsidRPr="008F0AE0">
        <w:rPr>
          <w:rStyle w:val="FootnoteReference"/>
          <w:rFonts w:cs="Arial"/>
        </w:rPr>
        <w:footnoteRef/>
      </w:r>
      <w:r w:rsidRPr="008F0AE0">
        <w:t xml:space="preserve"> WHO (2013).</w:t>
      </w:r>
    </w:p>
  </w:footnote>
  <w:footnote w:id="9">
    <w:p w:rsidR="00B25108" w:rsidRPr="008F0AE0" w:rsidRDefault="00B25108" w:rsidP="00EA1FE2">
      <w:pPr>
        <w:pStyle w:val="FootnoteText"/>
      </w:pPr>
      <w:r w:rsidRPr="008F0AE0">
        <w:rPr>
          <w:rStyle w:val="FootnoteReference"/>
        </w:rPr>
        <w:footnoteRef/>
      </w:r>
      <w:r w:rsidRPr="008F0AE0">
        <w:t xml:space="preserve"> East Nusa Tenggara, Gorontalo, North Maluku, North Sulawesi, Papua, and West Papua.</w:t>
      </w:r>
    </w:p>
  </w:footnote>
  <w:footnote w:id="10">
    <w:p w:rsidR="00B25108" w:rsidRDefault="00B25108" w:rsidP="00FB38CB">
      <w:pPr>
        <w:pStyle w:val="FootnoteText"/>
      </w:pPr>
      <w:r>
        <w:rPr>
          <w:rStyle w:val="FootnoteReference"/>
        </w:rPr>
        <w:footnoteRef/>
      </w:r>
      <w:r>
        <w:t xml:space="preserve"> The Government of Solomon Islands’ annual planning and budgeting cycle starts 1 January through to 31 December. The following year’s plan and budget submission are routinely completed mid-year, so there will not be time to complete the full assessment and transition plan for the 2016 plan and budget as that will be completed mid-2015.</w:t>
      </w:r>
    </w:p>
  </w:footnote>
  <w:footnote w:id="11">
    <w:p w:rsidR="00B25108" w:rsidRDefault="00B25108" w:rsidP="00FB38CB">
      <w:pPr>
        <w:pStyle w:val="FootnoteText"/>
      </w:pPr>
      <w:r>
        <w:rPr>
          <w:rStyle w:val="FootnoteReference"/>
        </w:rPr>
        <w:footnoteRef/>
      </w:r>
      <w:r>
        <w:t xml:space="preserve"> The Government of Vanuatu’s annual planning and budgeting cycle starts 1 January through to 31 December. The following year’s plan and budget submission are routinely completed mid-year, so there will not be time to complete the full assessment and transition plan for the 2016 plan and budget as that will be completed mid-2015.</w:t>
      </w:r>
    </w:p>
  </w:footnote>
  <w:footnote w:id="12">
    <w:p w:rsidR="00B25108" w:rsidRDefault="00B25108" w:rsidP="00FB38CB">
      <w:pPr>
        <w:pStyle w:val="FootnoteText"/>
      </w:pPr>
      <w:r>
        <w:rPr>
          <w:rStyle w:val="FootnoteReference"/>
        </w:rPr>
        <w:footnoteRef/>
      </w:r>
      <w:r>
        <w:t xml:space="preserve"> The Government of Papua New Guinea’s annual planning and budgeting cycle starts 1 January through to 31 December. The following year’s plan and budget submission are routinely completed mid-year, so there will not be time to complete the full assessment and transition plan for the 2016 plan and budget as that will be completed mid-2015.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10" w:rsidRDefault="00B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10" w:rsidRDefault="00B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10" w:rsidRDefault="00B81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5E5"/>
    <w:multiLevelType w:val="multilevel"/>
    <w:tmpl w:val="33FA5116"/>
    <w:styleLink w:val="StyleBulletedWingdingssymbol"/>
    <w:lvl w:ilvl="0">
      <w:start w:val="1"/>
      <w:numFmt w:val="bullet"/>
      <w:lvlText w:val=""/>
      <w:lvlJc w:val="left"/>
      <w:pPr>
        <w:ind w:left="360" w:hanging="360"/>
      </w:pPr>
      <w:rPr>
        <w:rFonts w:ascii="Wingdings" w:hAnsi="Wingdings"/>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 w15:restartNumberingAfterBreak="0">
    <w:nsid w:val="046660F2"/>
    <w:multiLevelType w:val="multilevel"/>
    <w:tmpl w:val="B0A059F4"/>
    <w:styleLink w:val="StyleBulletedWingdingssymbolLeft225Hanging025"/>
    <w:lvl w:ilvl="0">
      <w:start w:val="1"/>
      <w:numFmt w:val="bullet"/>
      <w:lvlText w:val=""/>
      <w:lvlJc w:val="left"/>
      <w:pPr>
        <w:ind w:left="360" w:hanging="360"/>
      </w:pPr>
      <w:rPr>
        <w:rFonts w:ascii="Wingdings" w:hAnsi="Wingdings"/>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 w15:restartNumberingAfterBreak="0">
    <w:nsid w:val="05E37DC1"/>
    <w:multiLevelType w:val="hybridMultilevel"/>
    <w:tmpl w:val="3B7A2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25EAD"/>
    <w:multiLevelType w:val="hybridMultilevel"/>
    <w:tmpl w:val="BC3AB1E6"/>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379F9"/>
    <w:multiLevelType w:val="hybridMultilevel"/>
    <w:tmpl w:val="41A4BB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B12DA"/>
    <w:multiLevelType w:val="hybridMultilevel"/>
    <w:tmpl w:val="30F44CBC"/>
    <w:lvl w:ilvl="0" w:tplc="8236B3F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15E24"/>
    <w:multiLevelType w:val="hybridMultilevel"/>
    <w:tmpl w:val="795C2E58"/>
    <w:lvl w:ilvl="0" w:tplc="577E175A">
      <w:start w:val="1"/>
      <w:numFmt w:val="decimal"/>
      <w:pStyle w:val="Numberednor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CE146F"/>
    <w:multiLevelType w:val="hybridMultilevel"/>
    <w:tmpl w:val="307439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14033"/>
    <w:multiLevelType w:val="multilevel"/>
    <w:tmpl w:val="77B60684"/>
    <w:styleLink w:val="StyleBulletedSymbolsymbolLeft225Hanging025"/>
    <w:lvl w:ilvl="0">
      <w:start w:val="1"/>
      <w:numFmt w:val="bullet"/>
      <w:lvlText w:val=""/>
      <w:lvlJc w:val="left"/>
      <w:pPr>
        <w:ind w:left="360" w:hanging="360"/>
      </w:pPr>
      <w:rPr>
        <w:rFonts w:ascii="Wingdings" w:hAnsi="Wingdings"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9" w15:restartNumberingAfterBreak="0">
    <w:nsid w:val="28101849"/>
    <w:multiLevelType w:val="hybridMultilevel"/>
    <w:tmpl w:val="AD4CCA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BD832EB"/>
    <w:multiLevelType w:val="hybridMultilevel"/>
    <w:tmpl w:val="44B656F2"/>
    <w:lvl w:ilvl="0" w:tplc="C942649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C67D8"/>
    <w:multiLevelType w:val="hybridMultilevel"/>
    <w:tmpl w:val="48068428"/>
    <w:lvl w:ilvl="0" w:tplc="6A8CD7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2052A"/>
    <w:multiLevelType w:val="hybridMultilevel"/>
    <w:tmpl w:val="6BE82A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3664D1"/>
    <w:multiLevelType w:val="hybridMultilevel"/>
    <w:tmpl w:val="E21848CA"/>
    <w:lvl w:ilvl="0" w:tplc="AD12FF36">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A0253"/>
    <w:multiLevelType w:val="hybridMultilevel"/>
    <w:tmpl w:val="B90EBDFA"/>
    <w:lvl w:ilvl="0" w:tplc="FFFFFFFF">
      <w:start w:val="1"/>
      <w:numFmt w:val="upperRoman"/>
      <w:pStyle w:val="EstiloTtulo112ptNegroJustificadoAntes"/>
      <w:lvlText w:val="%1."/>
      <w:lvlJc w:val="right"/>
      <w:pPr>
        <w:tabs>
          <w:tab w:val="num" w:pos="180"/>
        </w:tabs>
        <w:ind w:left="180" w:hanging="180"/>
      </w:pPr>
    </w:lvl>
    <w:lvl w:ilvl="1" w:tplc="FFFFFFFF">
      <w:start w:val="1"/>
      <w:numFmt w:val="decimal"/>
      <w:lvlText w:val="%2)"/>
      <w:lvlJc w:val="left"/>
      <w:pPr>
        <w:tabs>
          <w:tab w:val="num" w:pos="2220"/>
        </w:tabs>
        <w:ind w:left="2220" w:hanging="9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43A72A01"/>
    <w:multiLevelType w:val="hybridMultilevel"/>
    <w:tmpl w:val="5E00A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C74EE4"/>
    <w:multiLevelType w:val="hybridMultilevel"/>
    <w:tmpl w:val="AA620224"/>
    <w:lvl w:ilvl="0" w:tplc="6A8CD7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71967"/>
    <w:multiLevelType w:val="hybridMultilevel"/>
    <w:tmpl w:val="CF44EC08"/>
    <w:lvl w:ilvl="0" w:tplc="912E3468">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953CC"/>
    <w:multiLevelType w:val="hybridMultilevel"/>
    <w:tmpl w:val="BC3A9180"/>
    <w:lvl w:ilvl="0" w:tplc="11CAD9AE">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8513B"/>
    <w:multiLevelType w:val="hybridMultilevel"/>
    <w:tmpl w:val="E72C27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A06584"/>
    <w:multiLevelType w:val="hybridMultilevel"/>
    <w:tmpl w:val="A8729F40"/>
    <w:lvl w:ilvl="0" w:tplc="DA54410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A4EC7"/>
    <w:multiLevelType w:val="hybridMultilevel"/>
    <w:tmpl w:val="2278CECA"/>
    <w:lvl w:ilvl="0" w:tplc="726E66E0">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52B22"/>
    <w:multiLevelType w:val="hybridMultilevel"/>
    <w:tmpl w:val="CBA409F8"/>
    <w:lvl w:ilvl="0" w:tplc="6A8CD7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52E4A"/>
    <w:multiLevelType w:val="hybridMultilevel"/>
    <w:tmpl w:val="42D2D5FC"/>
    <w:lvl w:ilvl="0" w:tplc="BAD8A810">
      <w:start w:val="1"/>
      <w:numFmt w:val="upperRoman"/>
      <w:pStyle w:val="Ttulo2Negro"/>
      <w:lvlText w:val="%1."/>
      <w:lvlJc w:val="left"/>
      <w:pPr>
        <w:tabs>
          <w:tab w:val="num" w:pos="720"/>
        </w:tabs>
        <w:ind w:left="720" w:hanging="360"/>
      </w:pPr>
      <w:rPr>
        <w:rFonts w:ascii="Cambria" w:hAnsi="Cambria" w:hint="default"/>
        <w:b/>
        <w:sz w:val="24"/>
        <w:szCs w:val="24"/>
      </w:rPr>
    </w:lvl>
    <w:lvl w:ilvl="1" w:tplc="0C0A0003">
      <w:start w:val="1"/>
      <w:numFmt w:val="bullet"/>
      <w:lvlText w:val=""/>
      <w:lvlJc w:val="left"/>
      <w:pPr>
        <w:tabs>
          <w:tab w:val="num" w:pos="1440"/>
        </w:tabs>
        <w:ind w:left="1440" w:hanging="360"/>
      </w:pPr>
      <w:rPr>
        <w:rFonts w:ascii="Symbol" w:hAnsi="Symbol" w:hint="default"/>
        <w:b/>
        <w:sz w:val="24"/>
        <w:szCs w:val="24"/>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4" w15:restartNumberingAfterBreak="0">
    <w:nsid w:val="53BD3820"/>
    <w:multiLevelType w:val="hybridMultilevel"/>
    <w:tmpl w:val="DFE282FC"/>
    <w:lvl w:ilvl="0" w:tplc="6A8CD7AE">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8557609"/>
    <w:multiLevelType w:val="hybridMultilevel"/>
    <w:tmpl w:val="12C0A6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852F88"/>
    <w:multiLevelType w:val="hybridMultilevel"/>
    <w:tmpl w:val="569E6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8F3380"/>
    <w:multiLevelType w:val="hybridMultilevel"/>
    <w:tmpl w:val="E638AF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E2296B"/>
    <w:multiLevelType w:val="hybridMultilevel"/>
    <w:tmpl w:val="5D6425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75123A"/>
    <w:multiLevelType w:val="hybridMultilevel"/>
    <w:tmpl w:val="E022078A"/>
    <w:lvl w:ilvl="0" w:tplc="4754C7F0">
      <w:start w:val="1"/>
      <w:numFmt w:val="lowerLetter"/>
      <w:lvlText w:val="%1."/>
      <w:lvlJc w:val="left"/>
      <w:pPr>
        <w:ind w:left="360" w:hanging="360"/>
      </w:pPr>
      <w:rPr>
        <w:rFonts w:ascii="Book Antiqua" w:hAnsi="Book Antiqua"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67349D"/>
    <w:multiLevelType w:val="hybridMultilevel"/>
    <w:tmpl w:val="DA941926"/>
    <w:lvl w:ilvl="0" w:tplc="179C447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42DF3"/>
    <w:multiLevelType w:val="hybridMultilevel"/>
    <w:tmpl w:val="8B027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85C19"/>
    <w:multiLevelType w:val="hybridMultilevel"/>
    <w:tmpl w:val="17FA44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9131DE"/>
    <w:multiLevelType w:val="hybridMultilevel"/>
    <w:tmpl w:val="30F44CBC"/>
    <w:lvl w:ilvl="0" w:tplc="8236B3F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67261"/>
    <w:multiLevelType w:val="hybridMultilevel"/>
    <w:tmpl w:val="665655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AE6C2D"/>
    <w:multiLevelType w:val="hybridMultilevel"/>
    <w:tmpl w:val="83B6574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22529"/>
    <w:multiLevelType w:val="hybridMultilevel"/>
    <w:tmpl w:val="C840BF9A"/>
    <w:lvl w:ilvl="0" w:tplc="2108976C">
      <w:start w:val="1"/>
      <w:numFmt w:val="decimal"/>
      <w:lvlText w:val="%1."/>
      <w:lvlJc w:val="left"/>
      <w:pPr>
        <w:ind w:left="270" w:hanging="360"/>
      </w:pPr>
      <w:rPr>
        <w:rFonts w:hint="default"/>
        <w:b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75546A49"/>
    <w:multiLevelType w:val="hybridMultilevel"/>
    <w:tmpl w:val="104A42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5A1B7A"/>
    <w:multiLevelType w:val="hybridMultilevel"/>
    <w:tmpl w:val="BAD4EC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AA06E5"/>
    <w:multiLevelType w:val="multilevel"/>
    <w:tmpl w:val="AE0C7508"/>
    <w:styleLink w:val="StyleBulletedWingdingssymbolLeft225Hanging0251"/>
    <w:lvl w:ilvl="0">
      <w:start w:val="1"/>
      <w:numFmt w:val="bullet"/>
      <w:lvlText w:val=""/>
      <w:lvlJc w:val="left"/>
      <w:pPr>
        <w:ind w:left="360" w:hanging="360"/>
      </w:pPr>
      <w:rPr>
        <w:rFonts w:ascii="Wingdings" w:hAnsi="Wingdings"/>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40" w15:restartNumberingAfterBreak="0">
    <w:nsid w:val="7F4E37A7"/>
    <w:multiLevelType w:val="hybridMultilevel"/>
    <w:tmpl w:val="3D02C5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9"/>
  </w:num>
  <w:num w:numId="4">
    <w:abstractNumId w:val="0"/>
  </w:num>
  <w:num w:numId="5">
    <w:abstractNumId w:val="14"/>
  </w:num>
  <w:num w:numId="6">
    <w:abstractNumId w:val="23"/>
  </w:num>
  <w:num w:numId="7">
    <w:abstractNumId w:val="20"/>
  </w:num>
  <w:num w:numId="8">
    <w:abstractNumId w:val="34"/>
  </w:num>
  <w:num w:numId="9">
    <w:abstractNumId w:val="35"/>
  </w:num>
  <w:num w:numId="10">
    <w:abstractNumId w:val="3"/>
  </w:num>
  <w:num w:numId="11">
    <w:abstractNumId w:val="26"/>
  </w:num>
  <w:num w:numId="12">
    <w:abstractNumId w:val="2"/>
  </w:num>
  <w:num w:numId="13">
    <w:abstractNumId w:val="7"/>
  </w:num>
  <w:num w:numId="14">
    <w:abstractNumId w:val="25"/>
  </w:num>
  <w:num w:numId="15">
    <w:abstractNumId w:val="6"/>
  </w:num>
  <w:num w:numId="16">
    <w:abstractNumId w:val="15"/>
  </w:num>
  <w:num w:numId="17">
    <w:abstractNumId w:val="4"/>
  </w:num>
  <w:num w:numId="18">
    <w:abstractNumId w:val="28"/>
  </w:num>
  <w:num w:numId="19">
    <w:abstractNumId w:val="29"/>
  </w:num>
  <w:num w:numId="20">
    <w:abstractNumId w:val="24"/>
  </w:num>
  <w:num w:numId="21">
    <w:abstractNumId w:val="24"/>
  </w:num>
  <w:num w:numId="22">
    <w:abstractNumId w:val="9"/>
  </w:num>
  <w:num w:numId="23">
    <w:abstractNumId w:val="17"/>
  </w:num>
  <w:num w:numId="24">
    <w:abstractNumId w:val="21"/>
  </w:num>
  <w:num w:numId="25">
    <w:abstractNumId w:val="31"/>
  </w:num>
  <w:num w:numId="26">
    <w:abstractNumId w:val="27"/>
  </w:num>
  <w:num w:numId="27">
    <w:abstractNumId w:val="33"/>
  </w:num>
  <w:num w:numId="28">
    <w:abstractNumId w:val="30"/>
  </w:num>
  <w:num w:numId="29">
    <w:abstractNumId w:val="5"/>
  </w:num>
  <w:num w:numId="30">
    <w:abstractNumId w:val="36"/>
  </w:num>
  <w:num w:numId="31">
    <w:abstractNumId w:val="11"/>
  </w:num>
  <w:num w:numId="32">
    <w:abstractNumId w:val="22"/>
  </w:num>
  <w:num w:numId="33">
    <w:abstractNumId w:val="16"/>
  </w:num>
  <w:num w:numId="34">
    <w:abstractNumId w:val="10"/>
  </w:num>
  <w:num w:numId="35">
    <w:abstractNumId w:val="40"/>
  </w:num>
  <w:num w:numId="36">
    <w:abstractNumId w:val="12"/>
  </w:num>
  <w:num w:numId="37">
    <w:abstractNumId w:val="32"/>
  </w:num>
  <w:num w:numId="38">
    <w:abstractNumId w:val="37"/>
  </w:num>
  <w:num w:numId="39">
    <w:abstractNumId w:val="19"/>
  </w:num>
  <w:num w:numId="40">
    <w:abstractNumId w:val="13"/>
  </w:num>
  <w:num w:numId="41">
    <w:abstractNumId w:val="18"/>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54"/>
    <w:rsid w:val="00000507"/>
    <w:rsid w:val="00000578"/>
    <w:rsid w:val="000008F9"/>
    <w:rsid w:val="00000902"/>
    <w:rsid w:val="000013F3"/>
    <w:rsid w:val="000017AD"/>
    <w:rsid w:val="00001800"/>
    <w:rsid w:val="00001A7E"/>
    <w:rsid w:val="00001BDF"/>
    <w:rsid w:val="0000201F"/>
    <w:rsid w:val="000024FC"/>
    <w:rsid w:val="000027C6"/>
    <w:rsid w:val="00002804"/>
    <w:rsid w:val="00002E2B"/>
    <w:rsid w:val="00003ED2"/>
    <w:rsid w:val="00004530"/>
    <w:rsid w:val="000046E1"/>
    <w:rsid w:val="00004828"/>
    <w:rsid w:val="00004958"/>
    <w:rsid w:val="00004ABF"/>
    <w:rsid w:val="00004C64"/>
    <w:rsid w:val="00004EA3"/>
    <w:rsid w:val="00005BBA"/>
    <w:rsid w:val="0000635E"/>
    <w:rsid w:val="000063F9"/>
    <w:rsid w:val="00006530"/>
    <w:rsid w:val="000065D8"/>
    <w:rsid w:val="00006874"/>
    <w:rsid w:val="00006A13"/>
    <w:rsid w:val="00006E58"/>
    <w:rsid w:val="000071C2"/>
    <w:rsid w:val="000075A8"/>
    <w:rsid w:val="00007712"/>
    <w:rsid w:val="00007863"/>
    <w:rsid w:val="00007A33"/>
    <w:rsid w:val="00007A7F"/>
    <w:rsid w:val="00007AB4"/>
    <w:rsid w:val="0001077A"/>
    <w:rsid w:val="000107FF"/>
    <w:rsid w:val="000109AC"/>
    <w:rsid w:val="00010A73"/>
    <w:rsid w:val="00010BD5"/>
    <w:rsid w:val="00010C71"/>
    <w:rsid w:val="00011B46"/>
    <w:rsid w:val="00011B93"/>
    <w:rsid w:val="00011CC4"/>
    <w:rsid w:val="00012062"/>
    <w:rsid w:val="000121C4"/>
    <w:rsid w:val="00012DC4"/>
    <w:rsid w:val="00012E81"/>
    <w:rsid w:val="00013C7C"/>
    <w:rsid w:val="0001405A"/>
    <w:rsid w:val="00014A08"/>
    <w:rsid w:val="00014E7E"/>
    <w:rsid w:val="00016038"/>
    <w:rsid w:val="00016041"/>
    <w:rsid w:val="00016276"/>
    <w:rsid w:val="000163C9"/>
    <w:rsid w:val="0001648C"/>
    <w:rsid w:val="00016B44"/>
    <w:rsid w:val="00016E9D"/>
    <w:rsid w:val="0001700A"/>
    <w:rsid w:val="000179E5"/>
    <w:rsid w:val="00020AD1"/>
    <w:rsid w:val="00020D75"/>
    <w:rsid w:val="0002132A"/>
    <w:rsid w:val="000213FA"/>
    <w:rsid w:val="000222FE"/>
    <w:rsid w:val="0002253D"/>
    <w:rsid w:val="00022BC7"/>
    <w:rsid w:val="00022CCE"/>
    <w:rsid w:val="0002333F"/>
    <w:rsid w:val="000239DF"/>
    <w:rsid w:val="00024683"/>
    <w:rsid w:val="00025977"/>
    <w:rsid w:val="00025F9F"/>
    <w:rsid w:val="0002657F"/>
    <w:rsid w:val="000265E6"/>
    <w:rsid w:val="00026654"/>
    <w:rsid w:val="00026C83"/>
    <w:rsid w:val="000273C4"/>
    <w:rsid w:val="000277AA"/>
    <w:rsid w:val="00027ECC"/>
    <w:rsid w:val="000306C7"/>
    <w:rsid w:val="000307E8"/>
    <w:rsid w:val="000312A5"/>
    <w:rsid w:val="0003159F"/>
    <w:rsid w:val="000315B2"/>
    <w:rsid w:val="00031A53"/>
    <w:rsid w:val="00031DA0"/>
    <w:rsid w:val="00032037"/>
    <w:rsid w:val="000326A4"/>
    <w:rsid w:val="00032AAE"/>
    <w:rsid w:val="000330E3"/>
    <w:rsid w:val="00033274"/>
    <w:rsid w:val="00033437"/>
    <w:rsid w:val="00033C31"/>
    <w:rsid w:val="00033EFE"/>
    <w:rsid w:val="0003467A"/>
    <w:rsid w:val="0003551B"/>
    <w:rsid w:val="000356EE"/>
    <w:rsid w:val="000358F4"/>
    <w:rsid w:val="0003595C"/>
    <w:rsid w:val="000360D7"/>
    <w:rsid w:val="0003610F"/>
    <w:rsid w:val="0003614F"/>
    <w:rsid w:val="00036346"/>
    <w:rsid w:val="00036408"/>
    <w:rsid w:val="00036850"/>
    <w:rsid w:val="00036890"/>
    <w:rsid w:val="00036C00"/>
    <w:rsid w:val="00036C03"/>
    <w:rsid w:val="00036D6F"/>
    <w:rsid w:val="000377DC"/>
    <w:rsid w:val="00037DF4"/>
    <w:rsid w:val="0004024E"/>
    <w:rsid w:val="0004036D"/>
    <w:rsid w:val="00040634"/>
    <w:rsid w:val="00040A18"/>
    <w:rsid w:val="00041456"/>
    <w:rsid w:val="00041CB1"/>
    <w:rsid w:val="0004216F"/>
    <w:rsid w:val="000423A1"/>
    <w:rsid w:val="00042614"/>
    <w:rsid w:val="00042681"/>
    <w:rsid w:val="000426DC"/>
    <w:rsid w:val="00042EA9"/>
    <w:rsid w:val="00042FB2"/>
    <w:rsid w:val="000442FE"/>
    <w:rsid w:val="00044423"/>
    <w:rsid w:val="00044C52"/>
    <w:rsid w:val="00044CDE"/>
    <w:rsid w:val="00044F72"/>
    <w:rsid w:val="0004665E"/>
    <w:rsid w:val="00046E92"/>
    <w:rsid w:val="00046F37"/>
    <w:rsid w:val="00047256"/>
    <w:rsid w:val="00047363"/>
    <w:rsid w:val="00047C1C"/>
    <w:rsid w:val="00047F55"/>
    <w:rsid w:val="00047FAF"/>
    <w:rsid w:val="000504DF"/>
    <w:rsid w:val="00050AD9"/>
    <w:rsid w:val="00050B88"/>
    <w:rsid w:val="0005155D"/>
    <w:rsid w:val="00051B81"/>
    <w:rsid w:val="00051C69"/>
    <w:rsid w:val="00051EEE"/>
    <w:rsid w:val="00053225"/>
    <w:rsid w:val="0005387D"/>
    <w:rsid w:val="00053CE6"/>
    <w:rsid w:val="00053D95"/>
    <w:rsid w:val="00054004"/>
    <w:rsid w:val="00054B05"/>
    <w:rsid w:val="00054B42"/>
    <w:rsid w:val="00055C09"/>
    <w:rsid w:val="00055D49"/>
    <w:rsid w:val="00056095"/>
    <w:rsid w:val="0005616B"/>
    <w:rsid w:val="000562B7"/>
    <w:rsid w:val="00056634"/>
    <w:rsid w:val="00057D5D"/>
    <w:rsid w:val="00057FD3"/>
    <w:rsid w:val="00060330"/>
    <w:rsid w:val="000604D2"/>
    <w:rsid w:val="0006069E"/>
    <w:rsid w:val="000609C5"/>
    <w:rsid w:val="00060D4F"/>
    <w:rsid w:val="000611C2"/>
    <w:rsid w:val="0006175B"/>
    <w:rsid w:val="000630ED"/>
    <w:rsid w:val="00063EED"/>
    <w:rsid w:val="00064129"/>
    <w:rsid w:val="000643BC"/>
    <w:rsid w:val="000647C8"/>
    <w:rsid w:val="000647F5"/>
    <w:rsid w:val="00064EF6"/>
    <w:rsid w:val="0006524A"/>
    <w:rsid w:val="0006571D"/>
    <w:rsid w:val="00065FE0"/>
    <w:rsid w:val="00066B05"/>
    <w:rsid w:val="00067649"/>
    <w:rsid w:val="00067BC8"/>
    <w:rsid w:val="00067C5F"/>
    <w:rsid w:val="00070500"/>
    <w:rsid w:val="00070738"/>
    <w:rsid w:val="000707B2"/>
    <w:rsid w:val="00071221"/>
    <w:rsid w:val="00071417"/>
    <w:rsid w:val="00071419"/>
    <w:rsid w:val="00071651"/>
    <w:rsid w:val="00071869"/>
    <w:rsid w:val="00071BE8"/>
    <w:rsid w:val="00072065"/>
    <w:rsid w:val="000728C0"/>
    <w:rsid w:val="000728D3"/>
    <w:rsid w:val="00072C0B"/>
    <w:rsid w:val="00072DEB"/>
    <w:rsid w:val="00073476"/>
    <w:rsid w:val="000738B6"/>
    <w:rsid w:val="0007476A"/>
    <w:rsid w:val="0007482E"/>
    <w:rsid w:val="00074F82"/>
    <w:rsid w:val="000759F2"/>
    <w:rsid w:val="00075DA0"/>
    <w:rsid w:val="00075DD4"/>
    <w:rsid w:val="00075E5E"/>
    <w:rsid w:val="00076033"/>
    <w:rsid w:val="00076068"/>
    <w:rsid w:val="000761E2"/>
    <w:rsid w:val="00076292"/>
    <w:rsid w:val="00076B2F"/>
    <w:rsid w:val="00076D0D"/>
    <w:rsid w:val="000770FD"/>
    <w:rsid w:val="0007789D"/>
    <w:rsid w:val="00077963"/>
    <w:rsid w:val="00077E88"/>
    <w:rsid w:val="00077FE7"/>
    <w:rsid w:val="00080439"/>
    <w:rsid w:val="00080987"/>
    <w:rsid w:val="00080EE0"/>
    <w:rsid w:val="0008148D"/>
    <w:rsid w:val="0008185A"/>
    <w:rsid w:val="00083135"/>
    <w:rsid w:val="00083162"/>
    <w:rsid w:val="0008341E"/>
    <w:rsid w:val="00083D84"/>
    <w:rsid w:val="00084111"/>
    <w:rsid w:val="000841EA"/>
    <w:rsid w:val="000845AE"/>
    <w:rsid w:val="00084D57"/>
    <w:rsid w:val="000852A7"/>
    <w:rsid w:val="0008567C"/>
    <w:rsid w:val="0008579A"/>
    <w:rsid w:val="000858E9"/>
    <w:rsid w:val="0008603E"/>
    <w:rsid w:val="00086132"/>
    <w:rsid w:val="0008616D"/>
    <w:rsid w:val="0008622E"/>
    <w:rsid w:val="000862C1"/>
    <w:rsid w:val="00086376"/>
    <w:rsid w:val="00086619"/>
    <w:rsid w:val="00086792"/>
    <w:rsid w:val="000873EF"/>
    <w:rsid w:val="00087746"/>
    <w:rsid w:val="0008784C"/>
    <w:rsid w:val="0008784D"/>
    <w:rsid w:val="00087966"/>
    <w:rsid w:val="00087BEA"/>
    <w:rsid w:val="00087F57"/>
    <w:rsid w:val="00090153"/>
    <w:rsid w:val="000903F9"/>
    <w:rsid w:val="0009115B"/>
    <w:rsid w:val="00091D77"/>
    <w:rsid w:val="0009284A"/>
    <w:rsid w:val="00092B91"/>
    <w:rsid w:val="000932B2"/>
    <w:rsid w:val="000937D9"/>
    <w:rsid w:val="000939D1"/>
    <w:rsid w:val="00094127"/>
    <w:rsid w:val="000941BC"/>
    <w:rsid w:val="000945A7"/>
    <w:rsid w:val="00094BAB"/>
    <w:rsid w:val="00094ED6"/>
    <w:rsid w:val="00095B7C"/>
    <w:rsid w:val="00095DE2"/>
    <w:rsid w:val="000960AE"/>
    <w:rsid w:val="00096207"/>
    <w:rsid w:val="00096332"/>
    <w:rsid w:val="000964CD"/>
    <w:rsid w:val="0009653B"/>
    <w:rsid w:val="000965E8"/>
    <w:rsid w:val="000967B2"/>
    <w:rsid w:val="000968A4"/>
    <w:rsid w:val="00096BAE"/>
    <w:rsid w:val="00096EAD"/>
    <w:rsid w:val="0009733F"/>
    <w:rsid w:val="000973AD"/>
    <w:rsid w:val="00097616"/>
    <w:rsid w:val="00097913"/>
    <w:rsid w:val="00097F26"/>
    <w:rsid w:val="000A0693"/>
    <w:rsid w:val="000A0F7A"/>
    <w:rsid w:val="000A0FA9"/>
    <w:rsid w:val="000A103F"/>
    <w:rsid w:val="000A156F"/>
    <w:rsid w:val="000A1C09"/>
    <w:rsid w:val="000A1CBD"/>
    <w:rsid w:val="000A1F61"/>
    <w:rsid w:val="000A2685"/>
    <w:rsid w:val="000A26B4"/>
    <w:rsid w:val="000A2A00"/>
    <w:rsid w:val="000A2EE1"/>
    <w:rsid w:val="000A3056"/>
    <w:rsid w:val="000A3115"/>
    <w:rsid w:val="000A34E1"/>
    <w:rsid w:val="000A37D4"/>
    <w:rsid w:val="000A3E78"/>
    <w:rsid w:val="000A3ED6"/>
    <w:rsid w:val="000A3FC7"/>
    <w:rsid w:val="000A4D9F"/>
    <w:rsid w:val="000A51A6"/>
    <w:rsid w:val="000A54E0"/>
    <w:rsid w:val="000A5669"/>
    <w:rsid w:val="000A6BB9"/>
    <w:rsid w:val="000A6E2A"/>
    <w:rsid w:val="000A6F9D"/>
    <w:rsid w:val="000A7C5A"/>
    <w:rsid w:val="000B0319"/>
    <w:rsid w:val="000B038F"/>
    <w:rsid w:val="000B0FD5"/>
    <w:rsid w:val="000B12B7"/>
    <w:rsid w:val="000B15B0"/>
    <w:rsid w:val="000B1B7A"/>
    <w:rsid w:val="000B1D2A"/>
    <w:rsid w:val="000B1E05"/>
    <w:rsid w:val="000B209D"/>
    <w:rsid w:val="000B20B6"/>
    <w:rsid w:val="000B238E"/>
    <w:rsid w:val="000B246D"/>
    <w:rsid w:val="000B2D34"/>
    <w:rsid w:val="000B2DAD"/>
    <w:rsid w:val="000B3A2D"/>
    <w:rsid w:val="000B3B78"/>
    <w:rsid w:val="000B3F98"/>
    <w:rsid w:val="000B45A2"/>
    <w:rsid w:val="000B4948"/>
    <w:rsid w:val="000B4B57"/>
    <w:rsid w:val="000B4F75"/>
    <w:rsid w:val="000B511F"/>
    <w:rsid w:val="000B526A"/>
    <w:rsid w:val="000B55BE"/>
    <w:rsid w:val="000B5B5E"/>
    <w:rsid w:val="000B5FFC"/>
    <w:rsid w:val="000B67E3"/>
    <w:rsid w:val="000B73B6"/>
    <w:rsid w:val="000B73EE"/>
    <w:rsid w:val="000B7857"/>
    <w:rsid w:val="000B7959"/>
    <w:rsid w:val="000B7A20"/>
    <w:rsid w:val="000B7A64"/>
    <w:rsid w:val="000B7F77"/>
    <w:rsid w:val="000C0097"/>
    <w:rsid w:val="000C0389"/>
    <w:rsid w:val="000C0770"/>
    <w:rsid w:val="000C081A"/>
    <w:rsid w:val="000C0B02"/>
    <w:rsid w:val="000C1236"/>
    <w:rsid w:val="000C12BC"/>
    <w:rsid w:val="000C144E"/>
    <w:rsid w:val="000C1B99"/>
    <w:rsid w:val="000C1F60"/>
    <w:rsid w:val="000C2357"/>
    <w:rsid w:val="000C2446"/>
    <w:rsid w:val="000C274C"/>
    <w:rsid w:val="000C2B8C"/>
    <w:rsid w:val="000C2FD1"/>
    <w:rsid w:val="000C3389"/>
    <w:rsid w:val="000C35BD"/>
    <w:rsid w:val="000C36A2"/>
    <w:rsid w:val="000C3AB2"/>
    <w:rsid w:val="000C3E4C"/>
    <w:rsid w:val="000C414D"/>
    <w:rsid w:val="000C4514"/>
    <w:rsid w:val="000C4B07"/>
    <w:rsid w:val="000C4B26"/>
    <w:rsid w:val="000C4B40"/>
    <w:rsid w:val="000C4EA6"/>
    <w:rsid w:val="000C55C0"/>
    <w:rsid w:val="000C560E"/>
    <w:rsid w:val="000C5764"/>
    <w:rsid w:val="000C5911"/>
    <w:rsid w:val="000C5A0F"/>
    <w:rsid w:val="000C5A5C"/>
    <w:rsid w:val="000C5B72"/>
    <w:rsid w:val="000C5F0A"/>
    <w:rsid w:val="000C6F00"/>
    <w:rsid w:val="000C7254"/>
    <w:rsid w:val="000C72DC"/>
    <w:rsid w:val="000C75C1"/>
    <w:rsid w:val="000C7922"/>
    <w:rsid w:val="000C79B7"/>
    <w:rsid w:val="000D0329"/>
    <w:rsid w:val="000D03A8"/>
    <w:rsid w:val="000D0710"/>
    <w:rsid w:val="000D088D"/>
    <w:rsid w:val="000D08A5"/>
    <w:rsid w:val="000D0B99"/>
    <w:rsid w:val="000D0CD6"/>
    <w:rsid w:val="000D0CF8"/>
    <w:rsid w:val="000D168C"/>
    <w:rsid w:val="000D1F44"/>
    <w:rsid w:val="000D2404"/>
    <w:rsid w:val="000D2490"/>
    <w:rsid w:val="000D25BC"/>
    <w:rsid w:val="000D25E7"/>
    <w:rsid w:val="000D28B0"/>
    <w:rsid w:val="000D2CF3"/>
    <w:rsid w:val="000D3093"/>
    <w:rsid w:val="000D369A"/>
    <w:rsid w:val="000D4281"/>
    <w:rsid w:val="000D444B"/>
    <w:rsid w:val="000D4EFD"/>
    <w:rsid w:val="000D4F66"/>
    <w:rsid w:val="000D5079"/>
    <w:rsid w:val="000D57DB"/>
    <w:rsid w:val="000D5AF3"/>
    <w:rsid w:val="000D5BA4"/>
    <w:rsid w:val="000D5C51"/>
    <w:rsid w:val="000D612D"/>
    <w:rsid w:val="000D62DE"/>
    <w:rsid w:val="000D64B8"/>
    <w:rsid w:val="000D64F5"/>
    <w:rsid w:val="000D66F6"/>
    <w:rsid w:val="000D6765"/>
    <w:rsid w:val="000D6D21"/>
    <w:rsid w:val="000D6F7D"/>
    <w:rsid w:val="000D72F0"/>
    <w:rsid w:val="000D79A8"/>
    <w:rsid w:val="000D7CB3"/>
    <w:rsid w:val="000E00DC"/>
    <w:rsid w:val="000E01B5"/>
    <w:rsid w:val="000E04C8"/>
    <w:rsid w:val="000E08F3"/>
    <w:rsid w:val="000E0A41"/>
    <w:rsid w:val="000E0AD2"/>
    <w:rsid w:val="000E0E61"/>
    <w:rsid w:val="000E0EAA"/>
    <w:rsid w:val="000E111A"/>
    <w:rsid w:val="000E1277"/>
    <w:rsid w:val="000E17A7"/>
    <w:rsid w:val="000E17FA"/>
    <w:rsid w:val="000E1A9E"/>
    <w:rsid w:val="000E1B3B"/>
    <w:rsid w:val="000E1F4A"/>
    <w:rsid w:val="000E2213"/>
    <w:rsid w:val="000E251A"/>
    <w:rsid w:val="000E2772"/>
    <w:rsid w:val="000E28A2"/>
    <w:rsid w:val="000E28F8"/>
    <w:rsid w:val="000E2C05"/>
    <w:rsid w:val="000E2E3D"/>
    <w:rsid w:val="000E3210"/>
    <w:rsid w:val="000E3364"/>
    <w:rsid w:val="000E34D5"/>
    <w:rsid w:val="000E3624"/>
    <w:rsid w:val="000E38AF"/>
    <w:rsid w:val="000E398A"/>
    <w:rsid w:val="000E451D"/>
    <w:rsid w:val="000E4568"/>
    <w:rsid w:val="000E48E8"/>
    <w:rsid w:val="000E4A0B"/>
    <w:rsid w:val="000E4A11"/>
    <w:rsid w:val="000E4A1B"/>
    <w:rsid w:val="000E4B01"/>
    <w:rsid w:val="000E4E2F"/>
    <w:rsid w:val="000E530A"/>
    <w:rsid w:val="000E55D5"/>
    <w:rsid w:val="000E56E4"/>
    <w:rsid w:val="000E5A1C"/>
    <w:rsid w:val="000E5D64"/>
    <w:rsid w:val="000E6358"/>
    <w:rsid w:val="000E63A3"/>
    <w:rsid w:val="000E6897"/>
    <w:rsid w:val="000E6BC8"/>
    <w:rsid w:val="000E6C93"/>
    <w:rsid w:val="000E7215"/>
    <w:rsid w:val="000E7508"/>
    <w:rsid w:val="000E7670"/>
    <w:rsid w:val="000F0092"/>
    <w:rsid w:val="000F01D2"/>
    <w:rsid w:val="000F01F9"/>
    <w:rsid w:val="000F05F5"/>
    <w:rsid w:val="000F0DF8"/>
    <w:rsid w:val="000F11A2"/>
    <w:rsid w:val="000F171C"/>
    <w:rsid w:val="000F1DA2"/>
    <w:rsid w:val="000F1DE7"/>
    <w:rsid w:val="000F210F"/>
    <w:rsid w:val="000F2597"/>
    <w:rsid w:val="000F2905"/>
    <w:rsid w:val="000F2942"/>
    <w:rsid w:val="000F29F4"/>
    <w:rsid w:val="000F31CF"/>
    <w:rsid w:val="000F3212"/>
    <w:rsid w:val="000F3437"/>
    <w:rsid w:val="000F3E1B"/>
    <w:rsid w:val="000F3EDE"/>
    <w:rsid w:val="000F40B7"/>
    <w:rsid w:val="000F4B41"/>
    <w:rsid w:val="000F71EE"/>
    <w:rsid w:val="000F76C4"/>
    <w:rsid w:val="000F77EA"/>
    <w:rsid w:val="000F78BC"/>
    <w:rsid w:val="000F7DB8"/>
    <w:rsid w:val="001001CD"/>
    <w:rsid w:val="001003C7"/>
    <w:rsid w:val="00100887"/>
    <w:rsid w:val="001016AA"/>
    <w:rsid w:val="0010188A"/>
    <w:rsid w:val="00101CAF"/>
    <w:rsid w:val="00101DF5"/>
    <w:rsid w:val="001023C9"/>
    <w:rsid w:val="001026BB"/>
    <w:rsid w:val="00102A9B"/>
    <w:rsid w:val="00102AB7"/>
    <w:rsid w:val="00102EDA"/>
    <w:rsid w:val="001033BC"/>
    <w:rsid w:val="00103667"/>
    <w:rsid w:val="001040A9"/>
    <w:rsid w:val="001041EB"/>
    <w:rsid w:val="00104284"/>
    <w:rsid w:val="001043FC"/>
    <w:rsid w:val="0010453B"/>
    <w:rsid w:val="001061D8"/>
    <w:rsid w:val="0010635F"/>
    <w:rsid w:val="001064CF"/>
    <w:rsid w:val="001064E7"/>
    <w:rsid w:val="00107900"/>
    <w:rsid w:val="00107D77"/>
    <w:rsid w:val="001108B2"/>
    <w:rsid w:val="001110C8"/>
    <w:rsid w:val="001111DB"/>
    <w:rsid w:val="0011132B"/>
    <w:rsid w:val="00111646"/>
    <w:rsid w:val="00111798"/>
    <w:rsid w:val="001117B9"/>
    <w:rsid w:val="00111A2E"/>
    <w:rsid w:val="00111B12"/>
    <w:rsid w:val="00111E70"/>
    <w:rsid w:val="00112629"/>
    <w:rsid w:val="00112775"/>
    <w:rsid w:val="00112F7B"/>
    <w:rsid w:val="0011319A"/>
    <w:rsid w:val="001132F6"/>
    <w:rsid w:val="0011349F"/>
    <w:rsid w:val="00113A75"/>
    <w:rsid w:val="00113D87"/>
    <w:rsid w:val="00115951"/>
    <w:rsid w:val="00115A34"/>
    <w:rsid w:val="00115B20"/>
    <w:rsid w:val="00115B7B"/>
    <w:rsid w:val="00115C1D"/>
    <w:rsid w:val="001163B5"/>
    <w:rsid w:val="00116926"/>
    <w:rsid w:val="00116D41"/>
    <w:rsid w:val="001170F6"/>
    <w:rsid w:val="00117345"/>
    <w:rsid w:val="00117599"/>
    <w:rsid w:val="00117BFE"/>
    <w:rsid w:val="00120112"/>
    <w:rsid w:val="0012012C"/>
    <w:rsid w:val="001206C0"/>
    <w:rsid w:val="00121100"/>
    <w:rsid w:val="001216E1"/>
    <w:rsid w:val="00121730"/>
    <w:rsid w:val="001218B6"/>
    <w:rsid w:val="00121904"/>
    <w:rsid w:val="00121FBA"/>
    <w:rsid w:val="001221D2"/>
    <w:rsid w:val="00122C17"/>
    <w:rsid w:val="00122E8E"/>
    <w:rsid w:val="0012353A"/>
    <w:rsid w:val="001235A1"/>
    <w:rsid w:val="001238A2"/>
    <w:rsid w:val="00123C50"/>
    <w:rsid w:val="001242B5"/>
    <w:rsid w:val="00124456"/>
    <w:rsid w:val="0012452B"/>
    <w:rsid w:val="00124ACA"/>
    <w:rsid w:val="001254AA"/>
    <w:rsid w:val="001254D4"/>
    <w:rsid w:val="00125988"/>
    <w:rsid w:val="00125CEB"/>
    <w:rsid w:val="00125EE6"/>
    <w:rsid w:val="00125EF5"/>
    <w:rsid w:val="0012606C"/>
    <w:rsid w:val="0012630A"/>
    <w:rsid w:val="001265C5"/>
    <w:rsid w:val="00126741"/>
    <w:rsid w:val="00126835"/>
    <w:rsid w:val="0012688C"/>
    <w:rsid w:val="00126CC3"/>
    <w:rsid w:val="00126D17"/>
    <w:rsid w:val="001271AA"/>
    <w:rsid w:val="0012748F"/>
    <w:rsid w:val="001279B1"/>
    <w:rsid w:val="00127CFF"/>
    <w:rsid w:val="00127E74"/>
    <w:rsid w:val="001308C7"/>
    <w:rsid w:val="00130D3D"/>
    <w:rsid w:val="0013113B"/>
    <w:rsid w:val="00132752"/>
    <w:rsid w:val="00132753"/>
    <w:rsid w:val="00132844"/>
    <w:rsid w:val="00132B9B"/>
    <w:rsid w:val="00133458"/>
    <w:rsid w:val="00133A9D"/>
    <w:rsid w:val="00133BC8"/>
    <w:rsid w:val="001343A6"/>
    <w:rsid w:val="001349C0"/>
    <w:rsid w:val="00134EC7"/>
    <w:rsid w:val="00135026"/>
    <w:rsid w:val="001353E5"/>
    <w:rsid w:val="00135418"/>
    <w:rsid w:val="00135438"/>
    <w:rsid w:val="0013548F"/>
    <w:rsid w:val="0013559A"/>
    <w:rsid w:val="00135879"/>
    <w:rsid w:val="00135A42"/>
    <w:rsid w:val="0013610D"/>
    <w:rsid w:val="001361BC"/>
    <w:rsid w:val="00136451"/>
    <w:rsid w:val="0013656B"/>
    <w:rsid w:val="00136B51"/>
    <w:rsid w:val="00136CD6"/>
    <w:rsid w:val="0013702A"/>
    <w:rsid w:val="0013705C"/>
    <w:rsid w:val="001372D3"/>
    <w:rsid w:val="0013758F"/>
    <w:rsid w:val="00137650"/>
    <w:rsid w:val="001402BB"/>
    <w:rsid w:val="001405FA"/>
    <w:rsid w:val="0014086D"/>
    <w:rsid w:val="00140D11"/>
    <w:rsid w:val="00141640"/>
    <w:rsid w:val="00141B37"/>
    <w:rsid w:val="00141B7C"/>
    <w:rsid w:val="00141BC3"/>
    <w:rsid w:val="00141D51"/>
    <w:rsid w:val="00141FAB"/>
    <w:rsid w:val="0014250D"/>
    <w:rsid w:val="001428E2"/>
    <w:rsid w:val="00142AEA"/>
    <w:rsid w:val="00142B8D"/>
    <w:rsid w:val="00142FE8"/>
    <w:rsid w:val="001432F3"/>
    <w:rsid w:val="00143ED2"/>
    <w:rsid w:val="00143EE8"/>
    <w:rsid w:val="0014419B"/>
    <w:rsid w:val="00144C7E"/>
    <w:rsid w:val="00144E3A"/>
    <w:rsid w:val="00144E54"/>
    <w:rsid w:val="00144EDB"/>
    <w:rsid w:val="0014525C"/>
    <w:rsid w:val="00145C47"/>
    <w:rsid w:val="00145D3C"/>
    <w:rsid w:val="00145DA7"/>
    <w:rsid w:val="001461AC"/>
    <w:rsid w:val="00146854"/>
    <w:rsid w:val="001469C5"/>
    <w:rsid w:val="00146E82"/>
    <w:rsid w:val="00146EA3"/>
    <w:rsid w:val="001474C1"/>
    <w:rsid w:val="0014758B"/>
    <w:rsid w:val="0014769B"/>
    <w:rsid w:val="00147841"/>
    <w:rsid w:val="00147DF3"/>
    <w:rsid w:val="00147ECE"/>
    <w:rsid w:val="00150177"/>
    <w:rsid w:val="00150584"/>
    <w:rsid w:val="00150822"/>
    <w:rsid w:val="00150840"/>
    <w:rsid w:val="00150BBB"/>
    <w:rsid w:val="00150E76"/>
    <w:rsid w:val="00150F8A"/>
    <w:rsid w:val="0015166A"/>
    <w:rsid w:val="0015173A"/>
    <w:rsid w:val="00151C5D"/>
    <w:rsid w:val="00151E9D"/>
    <w:rsid w:val="00152074"/>
    <w:rsid w:val="00152094"/>
    <w:rsid w:val="00152711"/>
    <w:rsid w:val="00152CD1"/>
    <w:rsid w:val="00153BA7"/>
    <w:rsid w:val="00153E15"/>
    <w:rsid w:val="00153F0D"/>
    <w:rsid w:val="0015403D"/>
    <w:rsid w:val="001540B3"/>
    <w:rsid w:val="001540F2"/>
    <w:rsid w:val="00154875"/>
    <w:rsid w:val="00154C97"/>
    <w:rsid w:val="00154F28"/>
    <w:rsid w:val="00155357"/>
    <w:rsid w:val="00155C1D"/>
    <w:rsid w:val="00155DEE"/>
    <w:rsid w:val="0015615E"/>
    <w:rsid w:val="001561FF"/>
    <w:rsid w:val="00156482"/>
    <w:rsid w:val="001565AA"/>
    <w:rsid w:val="001565DA"/>
    <w:rsid w:val="00157702"/>
    <w:rsid w:val="001577B1"/>
    <w:rsid w:val="00157900"/>
    <w:rsid w:val="00157BE1"/>
    <w:rsid w:val="00160292"/>
    <w:rsid w:val="00160480"/>
    <w:rsid w:val="0016081C"/>
    <w:rsid w:val="00160B0C"/>
    <w:rsid w:val="00160F2B"/>
    <w:rsid w:val="0016104A"/>
    <w:rsid w:val="00161908"/>
    <w:rsid w:val="00161AF1"/>
    <w:rsid w:val="00161CF9"/>
    <w:rsid w:val="00162A1A"/>
    <w:rsid w:val="00162AA0"/>
    <w:rsid w:val="00162F49"/>
    <w:rsid w:val="0016333E"/>
    <w:rsid w:val="00163A40"/>
    <w:rsid w:val="00163EB9"/>
    <w:rsid w:val="0016481E"/>
    <w:rsid w:val="00164CD9"/>
    <w:rsid w:val="00164F32"/>
    <w:rsid w:val="001663C1"/>
    <w:rsid w:val="0016671E"/>
    <w:rsid w:val="0016688E"/>
    <w:rsid w:val="00167167"/>
    <w:rsid w:val="001676BF"/>
    <w:rsid w:val="00167F69"/>
    <w:rsid w:val="00170288"/>
    <w:rsid w:val="00170740"/>
    <w:rsid w:val="00170B6D"/>
    <w:rsid w:val="00171094"/>
    <w:rsid w:val="00171150"/>
    <w:rsid w:val="00171485"/>
    <w:rsid w:val="0017162A"/>
    <w:rsid w:val="00171791"/>
    <w:rsid w:val="00171D2A"/>
    <w:rsid w:val="001720B2"/>
    <w:rsid w:val="001720E8"/>
    <w:rsid w:val="00172DFD"/>
    <w:rsid w:val="00172FA5"/>
    <w:rsid w:val="0017326A"/>
    <w:rsid w:val="001739B9"/>
    <w:rsid w:val="0017466D"/>
    <w:rsid w:val="0017475A"/>
    <w:rsid w:val="00174977"/>
    <w:rsid w:val="00174D5A"/>
    <w:rsid w:val="0017518F"/>
    <w:rsid w:val="001752A0"/>
    <w:rsid w:val="00175508"/>
    <w:rsid w:val="00175961"/>
    <w:rsid w:val="00175A16"/>
    <w:rsid w:val="00176B9C"/>
    <w:rsid w:val="00176CD6"/>
    <w:rsid w:val="001771EE"/>
    <w:rsid w:val="0017765B"/>
    <w:rsid w:val="00177819"/>
    <w:rsid w:val="00177F33"/>
    <w:rsid w:val="00177FA1"/>
    <w:rsid w:val="00180133"/>
    <w:rsid w:val="001801BE"/>
    <w:rsid w:val="001805B1"/>
    <w:rsid w:val="00180FC3"/>
    <w:rsid w:val="00181223"/>
    <w:rsid w:val="00181A7F"/>
    <w:rsid w:val="00181BB9"/>
    <w:rsid w:val="00182035"/>
    <w:rsid w:val="0018272C"/>
    <w:rsid w:val="001828E4"/>
    <w:rsid w:val="00182C92"/>
    <w:rsid w:val="00182DD5"/>
    <w:rsid w:val="00182FA6"/>
    <w:rsid w:val="00183151"/>
    <w:rsid w:val="00183747"/>
    <w:rsid w:val="001839FA"/>
    <w:rsid w:val="001844AA"/>
    <w:rsid w:val="00184BE4"/>
    <w:rsid w:val="00184FA0"/>
    <w:rsid w:val="00185456"/>
    <w:rsid w:val="001858F0"/>
    <w:rsid w:val="00185BC3"/>
    <w:rsid w:val="00185FF4"/>
    <w:rsid w:val="00186B0E"/>
    <w:rsid w:val="001870E3"/>
    <w:rsid w:val="0018722D"/>
    <w:rsid w:val="001873E4"/>
    <w:rsid w:val="0018778A"/>
    <w:rsid w:val="0018797B"/>
    <w:rsid w:val="00187AF8"/>
    <w:rsid w:val="00187EA4"/>
    <w:rsid w:val="00190607"/>
    <w:rsid w:val="00190AE3"/>
    <w:rsid w:val="00191120"/>
    <w:rsid w:val="00191F92"/>
    <w:rsid w:val="001926F3"/>
    <w:rsid w:val="001929A6"/>
    <w:rsid w:val="00192BBD"/>
    <w:rsid w:val="00192DE1"/>
    <w:rsid w:val="0019326D"/>
    <w:rsid w:val="00193B1A"/>
    <w:rsid w:val="00193E0E"/>
    <w:rsid w:val="00194269"/>
    <w:rsid w:val="001942FE"/>
    <w:rsid w:val="00194568"/>
    <w:rsid w:val="00194A55"/>
    <w:rsid w:val="00194B14"/>
    <w:rsid w:val="00194C3C"/>
    <w:rsid w:val="00194C95"/>
    <w:rsid w:val="00194E8A"/>
    <w:rsid w:val="00195451"/>
    <w:rsid w:val="0019555B"/>
    <w:rsid w:val="00195F5C"/>
    <w:rsid w:val="0019602F"/>
    <w:rsid w:val="001965A2"/>
    <w:rsid w:val="00196AA8"/>
    <w:rsid w:val="00196C07"/>
    <w:rsid w:val="001978CC"/>
    <w:rsid w:val="001A051C"/>
    <w:rsid w:val="001A099B"/>
    <w:rsid w:val="001A0B60"/>
    <w:rsid w:val="001A0F62"/>
    <w:rsid w:val="001A1560"/>
    <w:rsid w:val="001A19B2"/>
    <w:rsid w:val="001A1E7A"/>
    <w:rsid w:val="001A2EBF"/>
    <w:rsid w:val="001A2FD0"/>
    <w:rsid w:val="001A3442"/>
    <w:rsid w:val="001A3746"/>
    <w:rsid w:val="001A3997"/>
    <w:rsid w:val="001A3D31"/>
    <w:rsid w:val="001A4037"/>
    <w:rsid w:val="001A418B"/>
    <w:rsid w:val="001A42E6"/>
    <w:rsid w:val="001A430E"/>
    <w:rsid w:val="001A4492"/>
    <w:rsid w:val="001A51DB"/>
    <w:rsid w:val="001A54CB"/>
    <w:rsid w:val="001A553B"/>
    <w:rsid w:val="001A55E1"/>
    <w:rsid w:val="001A55EA"/>
    <w:rsid w:val="001A5813"/>
    <w:rsid w:val="001A6469"/>
    <w:rsid w:val="001A6780"/>
    <w:rsid w:val="001A6C4C"/>
    <w:rsid w:val="001A6CA1"/>
    <w:rsid w:val="001A6D3B"/>
    <w:rsid w:val="001A72D1"/>
    <w:rsid w:val="001A75BB"/>
    <w:rsid w:val="001A7692"/>
    <w:rsid w:val="001A7834"/>
    <w:rsid w:val="001A7BBD"/>
    <w:rsid w:val="001A7C5D"/>
    <w:rsid w:val="001A7D0B"/>
    <w:rsid w:val="001B0D8E"/>
    <w:rsid w:val="001B18EC"/>
    <w:rsid w:val="001B1A71"/>
    <w:rsid w:val="001B1DE0"/>
    <w:rsid w:val="001B1E63"/>
    <w:rsid w:val="001B1F47"/>
    <w:rsid w:val="001B2011"/>
    <w:rsid w:val="001B21A4"/>
    <w:rsid w:val="001B22FB"/>
    <w:rsid w:val="001B2560"/>
    <w:rsid w:val="001B268D"/>
    <w:rsid w:val="001B28F1"/>
    <w:rsid w:val="001B2943"/>
    <w:rsid w:val="001B2B71"/>
    <w:rsid w:val="001B2DDE"/>
    <w:rsid w:val="001B30EB"/>
    <w:rsid w:val="001B3F5F"/>
    <w:rsid w:val="001B422F"/>
    <w:rsid w:val="001B4790"/>
    <w:rsid w:val="001B5139"/>
    <w:rsid w:val="001B56A7"/>
    <w:rsid w:val="001B5712"/>
    <w:rsid w:val="001B5B08"/>
    <w:rsid w:val="001B6005"/>
    <w:rsid w:val="001B6211"/>
    <w:rsid w:val="001B6818"/>
    <w:rsid w:val="001B6BFE"/>
    <w:rsid w:val="001B6D66"/>
    <w:rsid w:val="001B708C"/>
    <w:rsid w:val="001B735F"/>
    <w:rsid w:val="001B771E"/>
    <w:rsid w:val="001B7ADF"/>
    <w:rsid w:val="001B7B6D"/>
    <w:rsid w:val="001B7C42"/>
    <w:rsid w:val="001B7F12"/>
    <w:rsid w:val="001C0060"/>
    <w:rsid w:val="001C00A8"/>
    <w:rsid w:val="001C09E9"/>
    <w:rsid w:val="001C0B7F"/>
    <w:rsid w:val="001C0EE2"/>
    <w:rsid w:val="001C1020"/>
    <w:rsid w:val="001C1037"/>
    <w:rsid w:val="001C1692"/>
    <w:rsid w:val="001C171C"/>
    <w:rsid w:val="001C17F2"/>
    <w:rsid w:val="001C1AC8"/>
    <w:rsid w:val="001C24C3"/>
    <w:rsid w:val="001C3629"/>
    <w:rsid w:val="001C3AA6"/>
    <w:rsid w:val="001C3AB7"/>
    <w:rsid w:val="001C40AB"/>
    <w:rsid w:val="001C411C"/>
    <w:rsid w:val="001C4162"/>
    <w:rsid w:val="001C4490"/>
    <w:rsid w:val="001C4786"/>
    <w:rsid w:val="001C4E47"/>
    <w:rsid w:val="001C4F80"/>
    <w:rsid w:val="001C531E"/>
    <w:rsid w:val="001C577B"/>
    <w:rsid w:val="001C58F6"/>
    <w:rsid w:val="001C5AC3"/>
    <w:rsid w:val="001C6147"/>
    <w:rsid w:val="001C64B4"/>
    <w:rsid w:val="001C692A"/>
    <w:rsid w:val="001C6C0B"/>
    <w:rsid w:val="001C71F9"/>
    <w:rsid w:val="001C7CE3"/>
    <w:rsid w:val="001D039B"/>
    <w:rsid w:val="001D062F"/>
    <w:rsid w:val="001D0E58"/>
    <w:rsid w:val="001D0E72"/>
    <w:rsid w:val="001D0EE4"/>
    <w:rsid w:val="001D0F5D"/>
    <w:rsid w:val="001D1051"/>
    <w:rsid w:val="001D10AD"/>
    <w:rsid w:val="001D13E6"/>
    <w:rsid w:val="001D1754"/>
    <w:rsid w:val="001D1E25"/>
    <w:rsid w:val="001D1E63"/>
    <w:rsid w:val="001D1F61"/>
    <w:rsid w:val="001D2068"/>
    <w:rsid w:val="001D24D1"/>
    <w:rsid w:val="001D27F4"/>
    <w:rsid w:val="001D289A"/>
    <w:rsid w:val="001D2D4C"/>
    <w:rsid w:val="001D308C"/>
    <w:rsid w:val="001D31EF"/>
    <w:rsid w:val="001D34B7"/>
    <w:rsid w:val="001D3C0E"/>
    <w:rsid w:val="001D3ED9"/>
    <w:rsid w:val="001D3FC0"/>
    <w:rsid w:val="001D4F78"/>
    <w:rsid w:val="001D5431"/>
    <w:rsid w:val="001D559A"/>
    <w:rsid w:val="001D57E5"/>
    <w:rsid w:val="001D598B"/>
    <w:rsid w:val="001D5A3C"/>
    <w:rsid w:val="001D62C5"/>
    <w:rsid w:val="001D67C4"/>
    <w:rsid w:val="001D6B52"/>
    <w:rsid w:val="001D6BB8"/>
    <w:rsid w:val="001D6D4F"/>
    <w:rsid w:val="001D72DC"/>
    <w:rsid w:val="001D7745"/>
    <w:rsid w:val="001D7BA8"/>
    <w:rsid w:val="001E0037"/>
    <w:rsid w:val="001E00B0"/>
    <w:rsid w:val="001E041A"/>
    <w:rsid w:val="001E0E8C"/>
    <w:rsid w:val="001E1278"/>
    <w:rsid w:val="001E12D1"/>
    <w:rsid w:val="001E17A4"/>
    <w:rsid w:val="001E19B8"/>
    <w:rsid w:val="001E19F4"/>
    <w:rsid w:val="001E1B05"/>
    <w:rsid w:val="001E1D82"/>
    <w:rsid w:val="001E1EAC"/>
    <w:rsid w:val="001E1FFC"/>
    <w:rsid w:val="001E2561"/>
    <w:rsid w:val="001E2AF5"/>
    <w:rsid w:val="001E2B1C"/>
    <w:rsid w:val="001E3EC7"/>
    <w:rsid w:val="001E44E4"/>
    <w:rsid w:val="001E4D64"/>
    <w:rsid w:val="001E5710"/>
    <w:rsid w:val="001E573F"/>
    <w:rsid w:val="001E5A84"/>
    <w:rsid w:val="001E5B65"/>
    <w:rsid w:val="001E5C28"/>
    <w:rsid w:val="001E6113"/>
    <w:rsid w:val="001E645C"/>
    <w:rsid w:val="001E64A8"/>
    <w:rsid w:val="001E665F"/>
    <w:rsid w:val="001E6DAC"/>
    <w:rsid w:val="001E7173"/>
    <w:rsid w:val="001E71A0"/>
    <w:rsid w:val="001E7B6E"/>
    <w:rsid w:val="001F0916"/>
    <w:rsid w:val="001F0B29"/>
    <w:rsid w:val="001F0D82"/>
    <w:rsid w:val="001F16A7"/>
    <w:rsid w:val="001F1CAB"/>
    <w:rsid w:val="001F1F55"/>
    <w:rsid w:val="001F2BBF"/>
    <w:rsid w:val="001F2DA8"/>
    <w:rsid w:val="001F3147"/>
    <w:rsid w:val="001F3689"/>
    <w:rsid w:val="001F43ED"/>
    <w:rsid w:val="001F4568"/>
    <w:rsid w:val="001F4961"/>
    <w:rsid w:val="001F59FA"/>
    <w:rsid w:val="001F5FC8"/>
    <w:rsid w:val="001F6670"/>
    <w:rsid w:val="001F6738"/>
    <w:rsid w:val="001F6F9B"/>
    <w:rsid w:val="001F760B"/>
    <w:rsid w:val="001F776F"/>
    <w:rsid w:val="001F7B56"/>
    <w:rsid w:val="0020050B"/>
    <w:rsid w:val="00200E55"/>
    <w:rsid w:val="00201222"/>
    <w:rsid w:val="00201282"/>
    <w:rsid w:val="00201E58"/>
    <w:rsid w:val="00201FC1"/>
    <w:rsid w:val="0020216F"/>
    <w:rsid w:val="002025B7"/>
    <w:rsid w:val="002028A4"/>
    <w:rsid w:val="00202B49"/>
    <w:rsid w:val="00202C71"/>
    <w:rsid w:val="00203289"/>
    <w:rsid w:val="002032DD"/>
    <w:rsid w:val="002033F5"/>
    <w:rsid w:val="002034C8"/>
    <w:rsid w:val="0020408B"/>
    <w:rsid w:val="002046E0"/>
    <w:rsid w:val="0020531C"/>
    <w:rsid w:val="00205427"/>
    <w:rsid w:val="002055B9"/>
    <w:rsid w:val="00205B05"/>
    <w:rsid w:val="00205D6B"/>
    <w:rsid w:val="00205F09"/>
    <w:rsid w:val="0020623A"/>
    <w:rsid w:val="002063B5"/>
    <w:rsid w:val="002065B4"/>
    <w:rsid w:val="00206710"/>
    <w:rsid w:val="00206F1E"/>
    <w:rsid w:val="00207820"/>
    <w:rsid w:val="00210C90"/>
    <w:rsid w:val="00210D08"/>
    <w:rsid w:val="00210D69"/>
    <w:rsid w:val="0021114F"/>
    <w:rsid w:val="00211B9A"/>
    <w:rsid w:val="00211DC8"/>
    <w:rsid w:val="00212166"/>
    <w:rsid w:val="0021293A"/>
    <w:rsid w:val="00212C00"/>
    <w:rsid w:val="00212DE0"/>
    <w:rsid w:val="00213ACA"/>
    <w:rsid w:val="00213D85"/>
    <w:rsid w:val="00213D88"/>
    <w:rsid w:val="0021427A"/>
    <w:rsid w:val="00214AEC"/>
    <w:rsid w:val="00214D15"/>
    <w:rsid w:val="00215137"/>
    <w:rsid w:val="00215145"/>
    <w:rsid w:val="002151E3"/>
    <w:rsid w:val="002155AD"/>
    <w:rsid w:val="0021616D"/>
    <w:rsid w:val="0021648C"/>
    <w:rsid w:val="00216A80"/>
    <w:rsid w:val="00216C90"/>
    <w:rsid w:val="00216D62"/>
    <w:rsid w:val="00216E63"/>
    <w:rsid w:val="002172E2"/>
    <w:rsid w:val="002201C3"/>
    <w:rsid w:val="0022048B"/>
    <w:rsid w:val="00220586"/>
    <w:rsid w:val="0022063C"/>
    <w:rsid w:val="00220A10"/>
    <w:rsid w:val="00220FB7"/>
    <w:rsid w:val="0022129A"/>
    <w:rsid w:val="00221798"/>
    <w:rsid w:val="00221965"/>
    <w:rsid w:val="00221AFE"/>
    <w:rsid w:val="00221D02"/>
    <w:rsid w:val="00221E62"/>
    <w:rsid w:val="002223EC"/>
    <w:rsid w:val="0022267D"/>
    <w:rsid w:val="00222931"/>
    <w:rsid w:val="00222B8A"/>
    <w:rsid w:val="00222CAC"/>
    <w:rsid w:val="00222E92"/>
    <w:rsid w:val="00222FBA"/>
    <w:rsid w:val="00223124"/>
    <w:rsid w:val="00223D1D"/>
    <w:rsid w:val="00223ED0"/>
    <w:rsid w:val="002244BB"/>
    <w:rsid w:val="00224B39"/>
    <w:rsid w:val="00224D0F"/>
    <w:rsid w:val="00224EC5"/>
    <w:rsid w:val="002253A5"/>
    <w:rsid w:val="002254A0"/>
    <w:rsid w:val="002255CA"/>
    <w:rsid w:val="00225AAC"/>
    <w:rsid w:val="00225B23"/>
    <w:rsid w:val="00225CDC"/>
    <w:rsid w:val="00226868"/>
    <w:rsid w:val="0022686E"/>
    <w:rsid w:val="00226A47"/>
    <w:rsid w:val="00226A77"/>
    <w:rsid w:val="002272E4"/>
    <w:rsid w:val="00230273"/>
    <w:rsid w:val="0023068F"/>
    <w:rsid w:val="00230A12"/>
    <w:rsid w:val="002315B0"/>
    <w:rsid w:val="00231778"/>
    <w:rsid w:val="00231CD1"/>
    <w:rsid w:val="00231EF3"/>
    <w:rsid w:val="00232114"/>
    <w:rsid w:val="00232127"/>
    <w:rsid w:val="00232400"/>
    <w:rsid w:val="0023257E"/>
    <w:rsid w:val="0023266F"/>
    <w:rsid w:val="00232DEF"/>
    <w:rsid w:val="00233830"/>
    <w:rsid w:val="00233C4B"/>
    <w:rsid w:val="00233D7E"/>
    <w:rsid w:val="00233FAC"/>
    <w:rsid w:val="002345DA"/>
    <w:rsid w:val="00234768"/>
    <w:rsid w:val="00234854"/>
    <w:rsid w:val="00234C49"/>
    <w:rsid w:val="00234DD9"/>
    <w:rsid w:val="002353C1"/>
    <w:rsid w:val="00235B13"/>
    <w:rsid w:val="00235BF3"/>
    <w:rsid w:val="00236187"/>
    <w:rsid w:val="002365CA"/>
    <w:rsid w:val="00236A0D"/>
    <w:rsid w:val="002375CC"/>
    <w:rsid w:val="002376D9"/>
    <w:rsid w:val="00237B99"/>
    <w:rsid w:val="00237E21"/>
    <w:rsid w:val="00240130"/>
    <w:rsid w:val="00240425"/>
    <w:rsid w:val="00240526"/>
    <w:rsid w:val="00240895"/>
    <w:rsid w:val="0024169E"/>
    <w:rsid w:val="00241974"/>
    <w:rsid w:val="00241EA7"/>
    <w:rsid w:val="0024242F"/>
    <w:rsid w:val="00242712"/>
    <w:rsid w:val="00242808"/>
    <w:rsid w:val="00242E59"/>
    <w:rsid w:val="00243181"/>
    <w:rsid w:val="002433DF"/>
    <w:rsid w:val="002439E2"/>
    <w:rsid w:val="00243B68"/>
    <w:rsid w:val="00243C56"/>
    <w:rsid w:val="00244863"/>
    <w:rsid w:val="00244A1A"/>
    <w:rsid w:val="00244ADB"/>
    <w:rsid w:val="002454C1"/>
    <w:rsid w:val="00245BAB"/>
    <w:rsid w:val="002460B3"/>
    <w:rsid w:val="002462D5"/>
    <w:rsid w:val="002477A2"/>
    <w:rsid w:val="00247840"/>
    <w:rsid w:val="00247C9A"/>
    <w:rsid w:val="00247D3A"/>
    <w:rsid w:val="00247DC8"/>
    <w:rsid w:val="0025024B"/>
    <w:rsid w:val="0025043B"/>
    <w:rsid w:val="0025071F"/>
    <w:rsid w:val="002507C4"/>
    <w:rsid w:val="002510B3"/>
    <w:rsid w:val="00251666"/>
    <w:rsid w:val="0025190E"/>
    <w:rsid w:val="00252314"/>
    <w:rsid w:val="00252383"/>
    <w:rsid w:val="00252AA8"/>
    <w:rsid w:val="00252EC8"/>
    <w:rsid w:val="0025302C"/>
    <w:rsid w:val="002537AE"/>
    <w:rsid w:val="002538CB"/>
    <w:rsid w:val="00253EB8"/>
    <w:rsid w:val="00253F11"/>
    <w:rsid w:val="002541E2"/>
    <w:rsid w:val="002547D3"/>
    <w:rsid w:val="002548F7"/>
    <w:rsid w:val="00254CA8"/>
    <w:rsid w:val="00254CAE"/>
    <w:rsid w:val="0025519E"/>
    <w:rsid w:val="0025573E"/>
    <w:rsid w:val="00255743"/>
    <w:rsid w:val="00256089"/>
    <w:rsid w:val="0025615B"/>
    <w:rsid w:val="002569A8"/>
    <w:rsid w:val="00256C55"/>
    <w:rsid w:val="00256D6F"/>
    <w:rsid w:val="00256E81"/>
    <w:rsid w:val="0025760D"/>
    <w:rsid w:val="00257CD2"/>
    <w:rsid w:val="00257F0B"/>
    <w:rsid w:val="002606D1"/>
    <w:rsid w:val="00260861"/>
    <w:rsid w:val="00260B53"/>
    <w:rsid w:val="00260B99"/>
    <w:rsid w:val="00260C1E"/>
    <w:rsid w:val="00260DAE"/>
    <w:rsid w:val="00260E43"/>
    <w:rsid w:val="00261255"/>
    <w:rsid w:val="002614E5"/>
    <w:rsid w:val="00261579"/>
    <w:rsid w:val="002619C7"/>
    <w:rsid w:val="00261C35"/>
    <w:rsid w:val="0026235F"/>
    <w:rsid w:val="00262BF3"/>
    <w:rsid w:val="0026323B"/>
    <w:rsid w:val="0026352E"/>
    <w:rsid w:val="00263EA2"/>
    <w:rsid w:val="00263F16"/>
    <w:rsid w:val="00263F80"/>
    <w:rsid w:val="0026410E"/>
    <w:rsid w:val="00264248"/>
    <w:rsid w:val="002645DE"/>
    <w:rsid w:val="00264662"/>
    <w:rsid w:val="00264806"/>
    <w:rsid w:val="002649D6"/>
    <w:rsid w:val="00264A32"/>
    <w:rsid w:val="00264D7E"/>
    <w:rsid w:val="00264EDA"/>
    <w:rsid w:val="00265240"/>
    <w:rsid w:val="00265A63"/>
    <w:rsid w:val="00265D76"/>
    <w:rsid w:val="00265F47"/>
    <w:rsid w:val="00266033"/>
    <w:rsid w:val="00266542"/>
    <w:rsid w:val="00266543"/>
    <w:rsid w:val="002665A4"/>
    <w:rsid w:val="002669E6"/>
    <w:rsid w:val="00266ACE"/>
    <w:rsid w:val="00266C36"/>
    <w:rsid w:val="00266D53"/>
    <w:rsid w:val="00266F5C"/>
    <w:rsid w:val="00267621"/>
    <w:rsid w:val="00267FE4"/>
    <w:rsid w:val="00270419"/>
    <w:rsid w:val="00270CC9"/>
    <w:rsid w:val="00271062"/>
    <w:rsid w:val="002711CF"/>
    <w:rsid w:val="00271273"/>
    <w:rsid w:val="00271934"/>
    <w:rsid w:val="00271B05"/>
    <w:rsid w:val="002726AB"/>
    <w:rsid w:val="002726C4"/>
    <w:rsid w:val="00272E25"/>
    <w:rsid w:val="00272EA8"/>
    <w:rsid w:val="00272F8A"/>
    <w:rsid w:val="0027383C"/>
    <w:rsid w:val="00273B0A"/>
    <w:rsid w:val="00273F85"/>
    <w:rsid w:val="00274111"/>
    <w:rsid w:val="0027429D"/>
    <w:rsid w:val="0027481D"/>
    <w:rsid w:val="0027495A"/>
    <w:rsid w:val="00274C44"/>
    <w:rsid w:val="00274DA8"/>
    <w:rsid w:val="00274FAE"/>
    <w:rsid w:val="00275D30"/>
    <w:rsid w:val="00275F07"/>
    <w:rsid w:val="00276002"/>
    <w:rsid w:val="0027624B"/>
    <w:rsid w:val="002767D6"/>
    <w:rsid w:val="00276B92"/>
    <w:rsid w:val="00276E87"/>
    <w:rsid w:val="00277677"/>
    <w:rsid w:val="00280071"/>
    <w:rsid w:val="002800DD"/>
    <w:rsid w:val="00280270"/>
    <w:rsid w:val="002802BE"/>
    <w:rsid w:val="002806E9"/>
    <w:rsid w:val="0028097D"/>
    <w:rsid w:val="002811B3"/>
    <w:rsid w:val="002813A5"/>
    <w:rsid w:val="00282B49"/>
    <w:rsid w:val="00282F65"/>
    <w:rsid w:val="00283147"/>
    <w:rsid w:val="0028323E"/>
    <w:rsid w:val="002839BF"/>
    <w:rsid w:val="00283D5A"/>
    <w:rsid w:val="002841AB"/>
    <w:rsid w:val="002843F5"/>
    <w:rsid w:val="0028495A"/>
    <w:rsid w:val="00284E50"/>
    <w:rsid w:val="00284FB6"/>
    <w:rsid w:val="0028532E"/>
    <w:rsid w:val="002853E2"/>
    <w:rsid w:val="0028557D"/>
    <w:rsid w:val="002855A6"/>
    <w:rsid w:val="00285ADC"/>
    <w:rsid w:val="00285BA8"/>
    <w:rsid w:val="00285D79"/>
    <w:rsid w:val="00285DA2"/>
    <w:rsid w:val="00285DE7"/>
    <w:rsid w:val="00285F94"/>
    <w:rsid w:val="00286302"/>
    <w:rsid w:val="0028638D"/>
    <w:rsid w:val="002865FA"/>
    <w:rsid w:val="002866C7"/>
    <w:rsid w:val="00286C40"/>
    <w:rsid w:val="002876ED"/>
    <w:rsid w:val="00287A80"/>
    <w:rsid w:val="0029079D"/>
    <w:rsid w:val="0029090E"/>
    <w:rsid w:val="00290FC8"/>
    <w:rsid w:val="0029109A"/>
    <w:rsid w:val="00291279"/>
    <w:rsid w:val="00291917"/>
    <w:rsid w:val="0029196F"/>
    <w:rsid w:val="00291D7A"/>
    <w:rsid w:val="0029209F"/>
    <w:rsid w:val="002923EF"/>
    <w:rsid w:val="0029278F"/>
    <w:rsid w:val="00292A3C"/>
    <w:rsid w:val="0029302A"/>
    <w:rsid w:val="00293A97"/>
    <w:rsid w:val="00293F0D"/>
    <w:rsid w:val="00294754"/>
    <w:rsid w:val="002947FC"/>
    <w:rsid w:val="0029490A"/>
    <w:rsid w:val="00294A2E"/>
    <w:rsid w:val="00294BBD"/>
    <w:rsid w:val="002951FE"/>
    <w:rsid w:val="0029544C"/>
    <w:rsid w:val="00295643"/>
    <w:rsid w:val="00295940"/>
    <w:rsid w:val="00295DDF"/>
    <w:rsid w:val="00295FC8"/>
    <w:rsid w:val="00296129"/>
    <w:rsid w:val="00296758"/>
    <w:rsid w:val="00296D81"/>
    <w:rsid w:val="002A0B28"/>
    <w:rsid w:val="002A0F48"/>
    <w:rsid w:val="002A1034"/>
    <w:rsid w:val="002A1DEB"/>
    <w:rsid w:val="002A228C"/>
    <w:rsid w:val="002A22E2"/>
    <w:rsid w:val="002A25B3"/>
    <w:rsid w:val="002A2B7D"/>
    <w:rsid w:val="002A2C22"/>
    <w:rsid w:val="002A3E5C"/>
    <w:rsid w:val="002A4950"/>
    <w:rsid w:val="002A4E49"/>
    <w:rsid w:val="002A4F41"/>
    <w:rsid w:val="002A5531"/>
    <w:rsid w:val="002A56ED"/>
    <w:rsid w:val="002A578E"/>
    <w:rsid w:val="002A5B0F"/>
    <w:rsid w:val="002A5B98"/>
    <w:rsid w:val="002A5C33"/>
    <w:rsid w:val="002A5FDA"/>
    <w:rsid w:val="002A607A"/>
    <w:rsid w:val="002A616D"/>
    <w:rsid w:val="002A6170"/>
    <w:rsid w:val="002A6A67"/>
    <w:rsid w:val="002A7068"/>
    <w:rsid w:val="002A7576"/>
    <w:rsid w:val="002A75EC"/>
    <w:rsid w:val="002B0623"/>
    <w:rsid w:val="002B09BC"/>
    <w:rsid w:val="002B13FB"/>
    <w:rsid w:val="002B1460"/>
    <w:rsid w:val="002B152D"/>
    <w:rsid w:val="002B1B37"/>
    <w:rsid w:val="002B2137"/>
    <w:rsid w:val="002B22B1"/>
    <w:rsid w:val="002B2B2E"/>
    <w:rsid w:val="002B2DD5"/>
    <w:rsid w:val="002B2F98"/>
    <w:rsid w:val="002B3039"/>
    <w:rsid w:val="002B303F"/>
    <w:rsid w:val="002B32F0"/>
    <w:rsid w:val="002B3484"/>
    <w:rsid w:val="002B359B"/>
    <w:rsid w:val="002B3A4B"/>
    <w:rsid w:val="002B3C03"/>
    <w:rsid w:val="002B3D85"/>
    <w:rsid w:val="002B3E6D"/>
    <w:rsid w:val="002B47C5"/>
    <w:rsid w:val="002B4D60"/>
    <w:rsid w:val="002B5032"/>
    <w:rsid w:val="002B5454"/>
    <w:rsid w:val="002B5625"/>
    <w:rsid w:val="002B59FC"/>
    <w:rsid w:val="002B5FB9"/>
    <w:rsid w:val="002B642C"/>
    <w:rsid w:val="002B6690"/>
    <w:rsid w:val="002B6BC4"/>
    <w:rsid w:val="002B7275"/>
    <w:rsid w:val="002B736D"/>
    <w:rsid w:val="002B73A9"/>
    <w:rsid w:val="002B73D7"/>
    <w:rsid w:val="002C04FB"/>
    <w:rsid w:val="002C096F"/>
    <w:rsid w:val="002C0D1B"/>
    <w:rsid w:val="002C0EAE"/>
    <w:rsid w:val="002C0F65"/>
    <w:rsid w:val="002C10FC"/>
    <w:rsid w:val="002C1790"/>
    <w:rsid w:val="002C1CF5"/>
    <w:rsid w:val="002C25AE"/>
    <w:rsid w:val="002C27B7"/>
    <w:rsid w:val="002C28EB"/>
    <w:rsid w:val="002C2BED"/>
    <w:rsid w:val="002C310D"/>
    <w:rsid w:val="002C33D6"/>
    <w:rsid w:val="002C342F"/>
    <w:rsid w:val="002C398B"/>
    <w:rsid w:val="002C469E"/>
    <w:rsid w:val="002C4A31"/>
    <w:rsid w:val="002C4D47"/>
    <w:rsid w:val="002C4FAF"/>
    <w:rsid w:val="002C5215"/>
    <w:rsid w:val="002C56A4"/>
    <w:rsid w:val="002C58DA"/>
    <w:rsid w:val="002C5D8A"/>
    <w:rsid w:val="002C60F4"/>
    <w:rsid w:val="002C667D"/>
    <w:rsid w:val="002C6DD2"/>
    <w:rsid w:val="002C6E3C"/>
    <w:rsid w:val="002C7123"/>
    <w:rsid w:val="002C7349"/>
    <w:rsid w:val="002C751B"/>
    <w:rsid w:val="002C77F5"/>
    <w:rsid w:val="002D03A8"/>
    <w:rsid w:val="002D04DE"/>
    <w:rsid w:val="002D095F"/>
    <w:rsid w:val="002D110D"/>
    <w:rsid w:val="002D1930"/>
    <w:rsid w:val="002D1EBC"/>
    <w:rsid w:val="002D22BA"/>
    <w:rsid w:val="002D29B3"/>
    <w:rsid w:val="002D2FE2"/>
    <w:rsid w:val="002D33A2"/>
    <w:rsid w:val="002D3573"/>
    <w:rsid w:val="002D36D6"/>
    <w:rsid w:val="002D3887"/>
    <w:rsid w:val="002D390B"/>
    <w:rsid w:val="002D3BE3"/>
    <w:rsid w:val="002D4093"/>
    <w:rsid w:val="002D4ACC"/>
    <w:rsid w:val="002D4B2E"/>
    <w:rsid w:val="002D4C4D"/>
    <w:rsid w:val="002D4CF4"/>
    <w:rsid w:val="002D4F4F"/>
    <w:rsid w:val="002D55F2"/>
    <w:rsid w:val="002D5635"/>
    <w:rsid w:val="002D5718"/>
    <w:rsid w:val="002D5CCC"/>
    <w:rsid w:val="002D5E82"/>
    <w:rsid w:val="002D60AA"/>
    <w:rsid w:val="002D6347"/>
    <w:rsid w:val="002D64E7"/>
    <w:rsid w:val="002D6724"/>
    <w:rsid w:val="002D6995"/>
    <w:rsid w:val="002D70AA"/>
    <w:rsid w:val="002D7382"/>
    <w:rsid w:val="002D74AA"/>
    <w:rsid w:val="002D7FCF"/>
    <w:rsid w:val="002E0C5F"/>
    <w:rsid w:val="002E0C7B"/>
    <w:rsid w:val="002E1220"/>
    <w:rsid w:val="002E1921"/>
    <w:rsid w:val="002E20D0"/>
    <w:rsid w:val="002E2DC2"/>
    <w:rsid w:val="002E36C2"/>
    <w:rsid w:val="002E36D8"/>
    <w:rsid w:val="002E3A1C"/>
    <w:rsid w:val="002E3B30"/>
    <w:rsid w:val="002E4AEE"/>
    <w:rsid w:val="002E4D46"/>
    <w:rsid w:val="002E4F05"/>
    <w:rsid w:val="002E52DD"/>
    <w:rsid w:val="002E5391"/>
    <w:rsid w:val="002E53B7"/>
    <w:rsid w:val="002E6045"/>
    <w:rsid w:val="002E62C9"/>
    <w:rsid w:val="002E6849"/>
    <w:rsid w:val="002E6C38"/>
    <w:rsid w:val="002E74FD"/>
    <w:rsid w:val="002E7665"/>
    <w:rsid w:val="002E7BC1"/>
    <w:rsid w:val="002F0A8B"/>
    <w:rsid w:val="002F0AA3"/>
    <w:rsid w:val="002F0DA6"/>
    <w:rsid w:val="002F0E8C"/>
    <w:rsid w:val="002F1029"/>
    <w:rsid w:val="002F1538"/>
    <w:rsid w:val="002F1E6D"/>
    <w:rsid w:val="002F2AF4"/>
    <w:rsid w:val="002F330F"/>
    <w:rsid w:val="002F393E"/>
    <w:rsid w:val="002F3DC3"/>
    <w:rsid w:val="002F46BE"/>
    <w:rsid w:val="002F4A17"/>
    <w:rsid w:val="002F4C4F"/>
    <w:rsid w:val="002F4E9A"/>
    <w:rsid w:val="002F5687"/>
    <w:rsid w:val="002F5D90"/>
    <w:rsid w:val="002F6890"/>
    <w:rsid w:val="002F6A8D"/>
    <w:rsid w:val="002F6DCC"/>
    <w:rsid w:val="002F765D"/>
    <w:rsid w:val="00300282"/>
    <w:rsid w:val="00300699"/>
    <w:rsid w:val="00300736"/>
    <w:rsid w:val="00300E6C"/>
    <w:rsid w:val="0030178D"/>
    <w:rsid w:val="00301819"/>
    <w:rsid w:val="00301A1C"/>
    <w:rsid w:val="00301FDD"/>
    <w:rsid w:val="003020BB"/>
    <w:rsid w:val="0030268B"/>
    <w:rsid w:val="0030313E"/>
    <w:rsid w:val="00304090"/>
    <w:rsid w:val="00304162"/>
    <w:rsid w:val="00304737"/>
    <w:rsid w:val="0030479F"/>
    <w:rsid w:val="00304819"/>
    <w:rsid w:val="00304F8A"/>
    <w:rsid w:val="003051D1"/>
    <w:rsid w:val="003055F7"/>
    <w:rsid w:val="00305825"/>
    <w:rsid w:val="00305967"/>
    <w:rsid w:val="00305F5D"/>
    <w:rsid w:val="003069DF"/>
    <w:rsid w:val="00307268"/>
    <w:rsid w:val="003075E4"/>
    <w:rsid w:val="00307625"/>
    <w:rsid w:val="0030792D"/>
    <w:rsid w:val="003079F8"/>
    <w:rsid w:val="003104BD"/>
    <w:rsid w:val="00310511"/>
    <w:rsid w:val="0031098F"/>
    <w:rsid w:val="00311477"/>
    <w:rsid w:val="00311B19"/>
    <w:rsid w:val="0031222C"/>
    <w:rsid w:val="00312476"/>
    <w:rsid w:val="00312F73"/>
    <w:rsid w:val="00313F50"/>
    <w:rsid w:val="0031464B"/>
    <w:rsid w:val="0031515E"/>
    <w:rsid w:val="003151F8"/>
    <w:rsid w:val="0031521C"/>
    <w:rsid w:val="00315845"/>
    <w:rsid w:val="00315888"/>
    <w:rsid w:val="003163E9"/>
    <w:rsid w:val="00316686"/>
    <w:rsid w:val="00316839"/>
    <w:rsid w:val="00316A06"/>
    <w:rsid w:val="00316C5B"/>
    <w:rsid w:val="00317443"/>
    <w:rsid w:val="0031746A"/>
    <w:rsid w:val="00317C56"/>
    <w:rsid w:val="00320A33"/>
    <w:rsid w:val="00320DF0"/>
    <w:rsid w:val="00321618"/>
    <w:rsid w:val="00321757"/>
    <w:rsid w:val="003217C5"/>
    <w:rsid w:val="00321DC9"/>
    <w:rsid w:val="00322306"/>
    <w:rsid w:val="003225AC"/>
    <w:rsid w:val="003229E9"/>
    <w:rsid w:val="00323240"/>
    <w:rsid w:val="0032349A"/>
    <w:rsid w:val="003237ED"/>
    <w:rsid w:val="0032398C"/>
    <w:rsid w:val="00323AC9"/>
    <w:rsid w:val="0032430F"/>
    <w:rsid w:val="00324B05"/>
    <w:rsid w:val="00324F85"/>
    <w:rsid w:val="0032556E"/>
    <w:rsid w:val="00325B28"/>
    <w:rsid w:val="00325D17"/>
    <w:rsid w:val="003261C3"/>
    <w:rsid w:val="0032643B"/>
    <w:rsid w:val="003264F0"/>
    <w:rsid w:val="003268CB"/>
    <w:rsid w:val="00326906"/>
    <w:rsid w:val="00326ECD"/>
    <w:rsid w:val="00326F3A"/>
    <w:rsid w:val="003270CD"/>
    <w:rsid w:val="003274F1"/>
    <w:rsid w:val="003277C0"/>
    <w:rsid w:val="00327860"/>
    <w:rsid w:val="00327C61"/>
    <w:rsid w:val="0033063F"/>
    <w:rsid w:val="003307B0"/>
    <w:rsid w:val="00330F41"/>
    <w:rsid w:val="00330FF1"/>
    <w:rsid w:val="00331392"/>
    <w:rsid w:val="00331828"/>
    <w:rsid w:val="00331917"/>
    <w:rsid w:val="0033268F"/>
    <w:rsid w:val="0033289E"/>
    <w:rsid w:val="00333930"/>
    <w:rsid w:val="00333963"/>
    <w:rsid w:val="00334811"/>
    <w:rsid w:val="00334931"/>
    <w:rsid w:val="00334D0B"/>
    <w:rsid w:val="00334D1F"/>
    <w:rsid w:val="0033505F"/>
    <w:rsid w:val="003352B8"/>
    <w:rsid w:val="003352C6"/>
    <w:rsid w:val="00335FE3"/>
    <w:rsid w:val="00336029"/>
    <w:rsid w:val="003361C2"/>
    <w:rsid w:val="003361C6"/>
    <w:rsid w:val="00336694"/>
    <w:rsid w:val="00336770"/>
    <w:rsid w:val="00336912"/>
    <w:rsid w:val="00336E49"/>
    <w:rsid w:val="003374AA"/>
    <w:rsid w:val="0033789E"/>
    <w:rsid w:val="003379C6"/>
    <w:rsid w:val="00337A21"/>
    <w:rsid w:val="00340B51"/>
    <w:rsid w:val="00340E0C"/>
    <w:rsid w:val="00341059"/>
    <w:rsid w:val="003413FB"/>
    <w:rsid w:val="00341DCC"/>
    <w:rsid w:val="00342535"/>
    <w:rsid w:val="00342C54"/>
    <w:rsid w:val="00342CA0"/>
    <w:rsid w:val="00342CFA"/>
    <w:rsid w:val="00342F3F"/>
    <w:rsid w:val="003436E7"/>
    <w:rsid w:val="00343A74"/>
    <w:rsid w:val="00343DEE"/>
    <w:rsid w:val="003441F1"/>
    <w:rsid w:val="003446DD"/>
    <w:rsid w:val="00344F63"/>
    <w:rsid w:val="00344FE4"/>
    <w:rsid w:val="003452DE"/>
    <w:rsid w:val="003457E7"/>
    <w:rsid w:val="00345904"/>
    <w:rsid w:val="00345E7C"/>
    <w:rsid w:val="003462BD"/>
    <w:rsid w:val="003462E9"/>
    <w:rsid w:val="00346633"/>
    <w:rsid w:val="00346871"/>
    <w:rsid w:val="00346CD4"/>
    <w:rsid w:val="00346DCF"/>
    <w:rsid w:val="0034708F"/>
    <w:rsid w:val="00347BA9"/>
    <w:rsid w:val="00350100"/>
    <w:rsid w:val="0035028C"/>
    <w:rsid w:val="0035078F"/>
    <w:rsid w:val="00350976"/>
    <w:rsid w:val="0035117B"/>
    <w:rsid w:val="0035143B"/>
    <w:rsid w:val="00351B21"/>
    <w:rsid w:val="00352766"/>
    <w:rsid w:val="00352B0F"/>
    <w:rsid w:val="00352BD0"/>
    <w:rsid w:val="00353632"/>
    <w:rsid w:val="00353710"/>
    <w:rsid w:val="0035387E"/>
    <w:rsid w:val="00353AE1"/>
    <w:rsid w:val="00353EB8"/>
    <w:rsid w:val="00353F8E"/>
    <w:rsid w:val="003541FF"/>
    <w:rsid w:val="00354A15"/>
    <w:rsid w:val="00355421"/>
    <w:rsid w:val="0035598A"/>
    <w:rsid w:val="00355A02"/>
    <w:rsid w:val="00355B7A"/>
    <w:rsid w:val="003560A2"/>
    <w:rsid w:val="00356774"/>
    <w:rsid w:val="00356E17"/>
    <w:rsid w:val="00356F66"/>
    <w:rsid w:val="00357378"/>
    <w:rsid w:val="00357392"/>
    <w:rsid w:val="003575ED"/>
    <w:rsid w:val="00357601"/>
    <w:rsid w:val="00357D28"/>
    <w:rsid w:val="00357E02"/>
    <w:rsid w:val="00360680"/>
    <w:rsid w:val="003606EA"/>
    <w:rsid w:val="00360AB6"/>
    <w:rsid w:val="003618BD"/>
    <w:rsid w:val="003619C3"/>
    <w:rsid w:val="003619FD"/>
    <w:rsid w:val="00361A1B"/>
    <w:rsid w:val="003620A8"/>
    <w:rsid w:val="003620CF"/>
    <w:rsid w:val="003624CC"/>
    <w:rsid w:val="00362927"/>
    <w:rsid w:val="00362D06"/>
    <w:rsid w:val="00362DDB"/>
    <w:rsid w:val="0036376A"/>
    <w:rsid w:val="00363A32"/>
    <w:rsid w:val="00363AFC"/>
    <w:rsid w:val="003644F7"/>
    <w:rsid w:val="00364843"/>
    <w:rsid w:val="00364A49"/>
    <w:rsid w:val="00364AFA"/>
    <w:rsid w:val="00364B03"/>
    <w:rsid w:val="00364B33"/>
    <w:rsid w:val="00364D6B"/>
    <w:rsid w:val="00364EC5"/>
    <w:rsid w:val="0036593E"/>
    <w:rsid w:val="00365ED1"/>
    <w:rsid w:val="00366768"/>
    <w:rsid w:val="00366B57"/>
    <w:rsid w:val="00366C24"/>
    <w:rsid w:val="00366C34"/>
    <w:rsid w:val="0036731F"/>
    <w:rsid w:val="0036777E"/>
    <w:rsid w:val="00367D0E"/>
    <w:rsid w:val="00367F6D"/>
    <w:rsid w:val="00370E12"/>
    <w:rsid w:val="0037175C"/>
    <w:rsid w:val="0037182F"/>
    <w:rsid w:val="00371934"/>
    <w:rsid w:val="00371AD4"/>
    <w:rsid w:val="00371DA2"/>
    <w:rsid w:val="00371E6D"/>
    <w:rsid w:val="00372324"/>
    <w:rsid w:val="00372535"/>
    <w:rsid w:val="003725E7"/>
    <w:rsid w:val="003727AD"/>
    <w:rsid w:val="00372F23"/>
    <w:rsid w:val="003732A0"/>
    <w:rsid w:val="0037346E"/>
    <w:rsid w:val="003735C3"/>
    <w:rsid w:val="003745EB"/>
    <w:rsid w:val="00374695"/>
    <w:rsid w:val="00374D95"/>
    <w:rsid w:val="00374E6B"/>
    <w:rsid w:val="00375059"/>
    <w:rsid w:val="003756C3"/>
    <w:rsid w:val="0037597D"/>
    <w:rsid w:val="00375A35"/>
    <w:rsid w:val="00375D11"/>
    <w:rsid w:val="00375F89"/>
    <w:rsid w:val="0037739B"/>
    <w:rsid w:val="00380331"/>
    <w:rsid w:val="00380356"/>
    <w:rsid w:val="00380A3E"/>
    <w:rsid w:val="00380D35"/>
    <w:rsid w:val="00380F74"/>
    <w:rsid w:val="00381729"/>
    <w:rsid w:val="00381AA0"/>
    <w:rsid w:val="00382133"/>
    <w:rsid w:val="0038216E"/>
    <w:rsid w:val="00382C90"/>
    <w:rsid w:val="00382DBB"/>
    <w:rsid w:val="00382E4D"/>
    <w:rsid w:val="0038335E"/>
    <w:rsid w:val="00383913"/>
    <w:rsid w:val="00383D11"/>
    <w:rsid w:val="003846A8"/>
    <w:rsid w:val="00384877"/>
    <w:rsid w:val="00384970"/>
    <w:rsid w:val="00384B83"/>
    <w:rsid w:val="00384E96"/>
    <w:rsid w:val="00384EC7"/>
    <w:rsid w:val="003852D0"/>
    <w:rsid w:val="00385B4C"/>
    <w:rsid w:val="00386095"/>
    <w:rsid w:val="00386414"/>
    <w:rsid w:val="00386744"/>
    <w:rsid w:val="0038683F"/>
    <w:rsid w:val="00386A12"/>
    <w:rsid w:val="00386D93"/>
    <w:rsid w:val="003870D8"/>
    <w:rsid w:val="00387178"/>
    <w:rsid w:val="003873E8"/>
    <w:rsid w:val="0038743C"/>
    <w:rsid w:val="003877D1"/>
    <w:rsid w:val="0038799C"/>
    <w:rsid w:val="00390743"/>
    <w:rsid w:val="00390AF1"/>
    <w:rsid w:val="00390E12"/>
    <w:rsid w:val="00390F5F"/>
    <w:rsid w:val="003910CA"/>
    <w:rsid w:val="0039122D"/>
    <w:rsid w:val="003913AA"/>
    <w:rsid w:val="00391C54"/>
    <w:rsid w:val="00391D33"/>
    <w:rsid w:val="00393A9E"/>
    <w:rsid w:val="003946BF"/>
    <w:rsid w:val="00394DFF"/>
    <w:rsid w:val="003950EB"/>
    <w:rsid w:val="003951C4"/>
    <w:rsid w:val="003952E1"/>
    <w:rsid w:val="00395A7B"/>
    <w:rsid w:val="0039602E"/>
    <w:rsid w:val="003961CC"/>
    <w:rsid w:val="00396239"/>
    <w:rsid w:val="00396364"/>
    <w:rsid w:val="00396560"/>
    <w:rsid w:val="00396EBF"/>
    <w:rsid w:val="003970E4"/>
    <w:rsid w:val="00397432"/>
    <w:rsid w:val="003A0386"/>
    <w:rsid w:val="003A0391"/>
    <w:rsid w:val="003A05BA"/>
    <w:rsid w:val="003A05C7"/>
    <w:rsid w:val="003A0686"/>
    <w:rsid w:val="003A0717"/>
    <w:rsid w:val="003A0A3F"/>
    <w:rsid w:val="003A1BB2"/>
    <w:rsid w:val="003A1BBB"/>
    <w:rsid w:val="003A28FD"/>
    <w:rsid w:val="003A2C5C"/>
    <w:rsid w:val="003A327B"/>
    <w:rsid w:val="003A3546"/>
    <w:rsid w:val="003A3609"/>
    <w:rsid w:val="003A3A6C"/>
    <w:rsid w:val="003A4534"/>
    <w:rsid w:val="003A48B9"/>
    <w:rsid w:val="003A5659"/>
    <w:rsid w:val="003A5DF0"/>
    <w:rsid w:val="003A60C8"/>
    <w:rsid w:val="003A64C2"/>
    <w:rsid w:val="003A6D71"/>
    <w:rsid w:val="003A6F71"/>
    <w:rsid w:val="003A7B78"/>
    <w:rsid w:val="003A7F81"/>
    <w:rsid w:val="003B0031"/>
    <w:rsid w:val="003B0740"/>
    <w:rsid w:val="003B09A8"/>
    <w:rsid w:val="003B0C81"/>
    <w:rsid w:val="003B1004"/>
    <w:rsid w:val="003B15FF"/>
    <w:rsid w:val="003B1949"/>
    <w:rsid w:val="003B1EC6"/>
    <w:rsid w:val="003B2275"/>
    <w:rsid w:val="003B24AD"/>
    <w:rsid w:val="003B2592"/>
    <w:rsid w:val="003B269D"/>
    <w:rsid w:val="003B287D"/>
    <w:rsid w:val="003B29BA"/>
    <w:rsid w:val="003B29C3"/>
    <w:rsid w:val="003B3DBF"/>
    <w:rsid w:val="003B4142"/>
    <w:rsid w:val="003B47CC"/>
    <w:rsid w:val="003B4841"/>
    <w:rsid w:val="003B5571"/>
    <w:rsid w:val="003B59A0"/>
    <w:rsid w:val="003B614C"/>
    <w:rsid w:val="003B63D8"/>
    <w:rsid w:val="003B6A52"/>
    <w:rsid w:val="003B79BA"/>
    <w:rsid w:val="003C04C9"/>
    <w:rsid w:val="003C0A13"/>
    <w:rsid w:val="003C0B64"/>
    <w:rsid w:val="003C0B6D"/>
    <w:rsid w:val="003C0B9E"/>
    <w:rsid w:val="003C1227"/>
    <w:rsid w:val="003C156E"/>
    <w:rsid w:val="003C1798"/>
    <w:rsid w:val="003C1EF3"/>
    <w:rsid w:val="003C21A4"/>
    <w:rsid w:val="003C22FF"/>
    <w:rsid w:val="003C27A3"/>
    <w:rsid w:val="003C292D"/>
    <w:rsid w:val="003C331C"/>
    <w:rsid w:val="003C359B"/>
    <w:rsid w:val="003C3A14"/>
    <w:rsid w:val="003C3C87"/>
    <w:rsid w:val="003C3FBD"/>
    <w:rsid w:val="003C43FB"/>
    <w:rsid w:val="003C5203"/>
    <w:rsid w:val="003C5A82"/>
    <w:rsid w:val="003C5ABA"/>
    <w:rsid w:val="003C63BC"/>
    <w:rsid w:val="003C6FE2"/>
    <w:rsid w:val="003C7688"/>
    <w:rsid w:val="003C7E04"/>
    <w:rsid w:val="003D02CB"/>
    <w:rsid w:val="003D06DA"/>
    <w:rsid w:val="003D070E"/>
    <w:rsid w:val="003D07C0"/>
    <w:rsid w:val="003D08DE"/>
    <w:rsid w:val="003D0DC1"/>
    <w:rsid w:val="003D111C"/>
    <w:rsid w:val="003D134F"/>
    <w:rsid w:val="003D17D5"/>
    <w:rsid w:val="003D1A60"/>
    <w:rsid w:val="003D230F"/>
    <w:rsid w:val="003D2447"/>
    <w:rsid w:val="003D2C9E"/>
    <w:rsid w:val="003D2CB3"/>
    <w:rsid w:val="003D2F50"/>
    <w:rsid w:val="003D3126"/>
    <w:rsid w:val="003D336E"/>
    <w:rsid w:val="003D3AFD"/>
    <w:rsid w:val="003D483B"/>
    <w:rsid w:val="003D4E82"/>
    <w:rsid w:val="003D5295"/>
    <w:rsid w:val="003D563C"/>
    <w:rsid w:val="003D5756"/>
    <w:rsid w:val="003D5890"/>
    <w:rsid w:val="003D58C6"/>
    <w:rsid w:val="003D5A34"/>
    <w:rsid w:val="003D5F55"/>
    <w:rsid w:val="003D628B"/>
    <w:rsid w:val="003D6418"/>
    <w:rsid w:val="003D64ED"/>
    <w:rsid w:val="003D6632"/>
    <w:rsid w:val="003D6811"/>
    <w:rsid w:val="003D6A8A"/>
    <w:rsid w:val="003D6EAC"/>
    <w:rsid w:val="003D6EE3"/>
    <w:rsid w:val="003D7233"/>
    <w:rsid w:val="003D7924"/>
    <w:rsid w:val="003D7CFE"/>
    <w:rsid w:val="003E0125"/>
    <w:rsid w:val="003E0383"/>
    <w:rsid w:val="003E0467"/>
    <w:rsid w:val="003E0777"/>
    <w:rsid w:val="003E0CFA"/>
    <w:rsid w:val="003E0E63"/>
    <w:rsid w:val="003E0FBB"/>
    <w:rsid w:val="003E111E"/>
    <w:rsid w:val="003E2373"/>
    <w:rsid w:val="003E277F"/>
    <w:rsid w:val="003E2A8F"/>
    <w:rsid w:val="003E2CD1"/>
    <w:rsid w:val="003E2DA7"/>
    <w:rsid w:val="003E2E8B"/>
    <w:rsid w:val="003E34B3"/>
    <w:rsid w:val="003E3773"/>
    <w:rsid w:val="003E44B7"/>
    <w:rsid w:val="003E4742"/>
    <w:rsid w:val="003E4EE0"/>
    <w:rsid w:val="003E5047"/>
    <w:rsid w:val="003E525A"/>
    <w:rsid w:val="003E5276"/>
    <w:rsid w:val="003E64F5"/>
    <w:rsid w:val="003E6FA0"/>
    <w:rsid w:val="003E7011"/>
    <w:rsid w:val="003E73CC"/>
    <w:rsid w:val="003E75D9"/>
    <w:rsid w:val="003E769E"/>
    <w:rsid w:val="003E776F"/>
    <w:rsid w:val="003E78AC"/>
    <w:rsid w:val="003E7ADC"/>
    <w:rsid w:val="003E7BFD"/>
    <w:rsid w:val="003E7D90"/>
    <w:rsid w:val="003E7F0F"/>
    <w:rsid w:val="003F0069"/>
    <w:rsid w:val="003F0422"/>
    <w:rsid w:val="003F097A"/>
    <w:rsid w:val="003F0EE1"/>
    <w:rsid w:val="003F0F08"/>
    <w:rsid w:val="003F0FA1"/>
    <w:rsid w:val="003F1A6B"/>
    <w:rsid w:val="003F24B8"/>
    <w:rsid w:val="003F28A4"/>
    <w:rsid w:val="003F302F"/>
    <w:rsid w:val="003F3078"/>
    <w:rsid w:val="003F3960"/>
    <w:rsid w:val="003F3B91"/>
    <w:rsid w:val="003F3EA2"/>
    <w:rsid w:val="003F4518"/>
    <w:rsid w:val="003F45FC"/>
    <w:rsid w:val="003F50B0"/>
    <w:rsid w:val="003F5454"/>
    <w:rsid w:val="003F5598"/>
    <w:rsid w:val="003F5F17"/>
    <w:rsid w:val="003F6156"/>
    <w:rsid w:val="003F65C8"/>
    <w:rsid w:val="003F6922"/>
    <w:rsid w:val="003F7156"/>
    <w:rsid w:val="003F79FE"/>
    <w:rsid w:val="003F7DF1"/>
    <w:rsid w:val="004005AB"/>
    <w:rsid w:val="0040071F"/>
    <w:rsid w:val="00400AB4"/>
    <w:rsid w:val="00400B6A"/>
    <w:rsid w:val="00401228"/>
    <w:rsid w:val="004012A2"/>
    <w:rsid w:val="00401CCE"/>
    <w:rsid w:val="004020AD"/>
    <w:rsid w:val="00402303"/>
    <w:rsid w:val="0040242F"/>
    <w:rsid w:val="0040254A"/>
    <w:rsid w:val="00402925"/>
    <w:rsid w:val="0040297A"/>
    <w:rsid w:val="00402D95"/>
    <w:rsid w:val="00402F7D"/>
    <w:rsid w:val="00403395"/>
    <w:rsid w:val="00403C92"/>
    <w:rsid w:val="00404D18"/>
    <w:rsid w:val="0040530B"/>
    <w:rsid w:val="00405477"/>
    <w:rsid w:val="004054BC"/>
    <w:rsid w:val="0040566F"/>
    <w:rsid w:val="004056DF"/>
    <w:rsid w:val="004062AF"/>
    <w:rsid w:val="00406E56"/>
    <w:rsid w:val="00406E94"/>
    <w:rsid w:val="0040721A"/>
    <w:rsid w:val="004072F4"/>
    <w:rsid w:val="00410654"/>
    <w:rsid w:val="0041085C"/>
    <w:rsid w:val="00410C36"/>
    <w:rsid w:val="00410D1B"/>
    <w:rsid w:val="004113F4"/>
    <w:rsid w:val="00411D28"/>
    <w:rsid w:val="0041381B"/>
    <w:rsid w:val="00413E0F"/>
    <w:rsid w:val="0041424A"/>
    <w:rsid w:val="00414633"/>
    <w:rsid w:val="00414758"/>
    <w:rsid w:val="004148F0"/>
    <w:rsid w:val="00414A28"/>
    <w:rsid w:val="00414D8E"/>
    <w:rsid w:val="00414F33"/>
    <w:rsid w:val="0041523F"/>
    <w:rsid w:val="00415363"/>
    <w:rsid w:val="00415751"/>
    <w:rsid w:val="00415A19"/>
    <w:rsid w:val="00416161"/>
    <w:rsid w:val="0041634E"/>
    <w:rsid w:val="0041641D"/>
    <w:rsid w:val="00416527"/>
    <w:rsid w:val="0041657B"/>
    <w:rsid w:val="0041694F"/>
    <w:rsid w:val="00417503"/>
    <w:rsid w:val="00417F41"/>
    <w:rsid w:val="004200B9"/>
    <w:rsid w:val="004202BA"/>
    <w:rsid w:val="00420334"/>
    <w:rsid w:val="0042050E"/>
    <w:rsid w:val="0042093D"/>
    <w:rsid w:val="00420BAF"/>
    <w:rsid w:val="00420CD7"/>
    <w:rsid w:val="00420F2D"/>
    <w:rsid w:val="004210A3"/>
    <w:rsid w:val="00421E67"/>
    <w:rsid w:val="0042232C"/>
    <w:rsid w:val="004223CC"/>
    <w:rsid w:val="004228E6"/>
    <w:rsid w:val="00422CC7"/>
    <w:rsid w:val="00423239"/>
    <w:rsid w:val="00423677"/>
    <w:rsid w:val="00423BF7"/>
    <w:rsid w:val="004242EA"/>
    <w:rsid w:val="00424B05"/>
    <w:rsid w:val="004251F9"/>
    <w:rsid w:val="004252B0"/>
    <w:rsid w:val="004253C7"/>
    <w:rsid w:val="004264EF"/>
    <w:rsid w:val="00426CE6"/>
    <w:rsid w:val="00426E4B"/>
    <w:rsid w:val="00427064"/>
    <w:rsid w:val="0042712F"/>
    <w:rsid w:val="00427176"/>
    <w:rsid w:val="00427D26"/>
    <w:rsid w:val="00427DC0"/>
    <w:rsid w:val="00430348"/>
    <w:rsid w:val="004304EF"/>
    <w:rsid w:val="0043121B"/>
    <w:rsid w:val="00431249"/>
    <w:rsid w:val="00431785"/>
    <w:rsid w:val="00431A97"/>
    <w:rsid w:val="00431D1F"/>
    <w:rsid w:val="004327D1"/>
    <w:rsid w:val="0043290A"/>
    <w:rsid w:val="004332CD"/>
    <w:rsid w:val="0043375B"/>
    <w:rsid w:val="0043404E"/>
    <w:rsid w:val="00434E21"/>
    <w:rsid w:val="00435021"/>
    <w:rsid w:val="004357C4"/>
    <w:rsid w:val="004359BA"/>
    <w:rsid w:val="00435A67"/>
    <w:rsid w:val="00435FC2"/>
    <w:rsid w:val="004360F6"/>
    <w:rsid w:val="004363F6"/>
    <w:rsid w:val="004377C2"/>
    <w:rsid w:val="00437C70"/>
    <w:rsid w:val="00437E1C"/>
    <w:rsid w:val="00440050"/>
    <w:rsid w:val="00440293"/>
    <w:rsid w:val="00440379"/>
    <w:rsid w:val="00440C75"/>
    <w:rsid w:val="00440E0C"/>
    <w:rsid w:val="00441AF5"/>
    <w:rsid w:val="00442043"/>
    <w:rsid w:val="004422A5"/>
    <w:rsid w:val="00442347"/>
    <w:rsid w:val="0044257B"/>
    <w:rsid w:val="00442B90"/>
    <w:rsid w:val="00442CEB"/>
    <w:rsid w:val="00443535"/>
    <w:rsid w:val="004435C8"/>
    <w:rsid w:val="00443F64"/>
    <w:rsid w:val="0044414A"/>
    <w:rsid w:val="0044450A"/>
    <w:rsid w:val="004449A1"/>
    <w:rsid w:val="00444AD2"/>
    <w:rsid w:val="00444D3B"/>
    <w:rsid w:val="004450AA"/>
    <w:rsid w:val="0044647C"/>
    <w:rsid w:val="00446AC2"/>
    <w:rsid w:val="00446CF0"/>
    <w:rsid w:val="00446F63"/>
    <w:rsid w:val="004473A0"/>
    <w:rsid w:val="00447644"/>
    <w:rsid w:val="00447860"/>
    <w:rsid w:val="00447964"/>
    <w:rsid w:val="004479E3"/>
    <w:rsid w:val="00447CA3"/>
    <w:rsid w:val="00450998"/>
    <w:rsid w:val="00450AFD"/>
    <w:rsid w:val="004513B4"/>
    <w:rsid w:val="004514F7"/>
    <w:rsid w:val="0045194F"/>
    <w:rsid w:val="00452364"/>
    <w:rsid w:val="0045252D"/>
    <w:rsid w:val="00452E55"/>
    <w:rsid w:val="0045307C"/>
    <w:rsid w:val="00454359"/>
    <w:rsid w:val="004546FA"/>
    <w:rsid w:val="0045558F"/>
    <w:rsid w:val="004558A1"/>
    <w:rsid w:val="00455FB4"/>
    <w:rsid w:val="00456184"/>
    <w:rsid w:val="00456486"/>
    <w:rsid w:val="00456B24"/>
    <w:rsid w:val="004571FE"/>
    <w:rsid w:val="00457522"/>
    <w:rsid w:val="00457A7F"/>
    <w:rsid w:val="0046048E"/>
    <w:rsid w:val="0046062E"/>
    <w:rsid w:val="0046087E"/>
    <w:rsid w:val="0046106F"/>
    <w:rsid w:val="004610DA"/>
    <w:rsid w:val="004613DD"/>
    <w:rsid w:val="0046150A"/>
    <w:rsid w:val="00461589"/>
    <w:rsid w:val="00461A45"/>
    <w:rsid w:val="00461B0D"/>
    <w:rsid w:val="00461D1F"/>
    <w:rsid w:val="00462497"/>
    <w:rsid w:val="00462AA6"/>
    <w:rsid w:val="004633C4"/>
    <w:rsid w:val="00463424"/>
    <w:rsid w:val="00463ACC"/>
    <w:rsid w:val="00463B13"/>
    <w:rsid w:val="00463C35"/>
    <w:rsid w:val="00463F94"/>
    <w:rsid w:val="004640DA"/>
    <w:rsid w:val="00464197"/>
    <w:rsid w:val="00464250"/>
    <w:rsid w:val="004642B5"/>
    <w:rsid w:val="00464AEA"/>
    <w:rsid w:val="00464E31"/>
    <w:rsid w:val="0046505A"/>
    <w:rsid w:val="00465407"/>
    <w:rsid w:val="004655B5"/>
    <w:rsid w:val="004658CB"/>
    <w:rsid w:val="004660AA"/>
    <w:rsid w:val="00466103"/>
    <w:rsid w:val="004662D4"/>
    <w:rsid w:val="00466363"/>
    <w:rsid w:val="004664FF"/>
    <w:rsid w:val="0046674F"/>
    <w:rsid w:val="00467006"/>
    <w:rsid w:val="004672CF"/>
    <w:rsid w:val="0046746F"/>
    <w:rsid w:val="004678BC"/>
    <w:rsid w:val="00467CF6"/>
    <w:rsid w:val="004705C8"/>
    <w:rsid w:val="004715B8"/>
    <w:rsid w:val="00471BF5"/>
    <w:rsid w:val="004724B9"/>
    <w:rsid w:val="00472862"/>
    <w:rsid w:val="00472A41"/>
    <w:rsid w:val="00472E68"/>
    <w:rsid w:val="00473F3B"/>
    <w:rsid w:val="00473F43"/>
    <w:rsid w:val="00473F8A"/>
    <w:rsid w:val="00474161"/>
    <w:rsid w:val="004741DE"/>
    <w:rsid w:val="004744AB"/>
    <w:rsid w:val="0047481A"/>
    <w:rsid w:val="00474CFF"/>
    <w:rsid w:val="004752B8"/>
    <w:rsid w:val="0047586A"/>
    <w:rsid w:val="00475A59"/>
    <w:rsid w:val="004765DE"/>
    <w:rsid w:val="00476939"/>
    <w:rsid w:val="00476A5C"/>
    <w:rsid w:val="004776A0"/>
    <w:rsid w:val="00480426"/>
    <w:rsid w:val="00480666"/>
    <w:rsid w:val="0048069B"/>
    <w:rsid w:val="00480734"/>
    <w:rsid w:val="00480B76"/>
    <w:rsid w:val="0048118F"/>
    <w:rsid w:val="0048121A"/>
    <w:rsid w:val="00481695"/>
    <w:rsid w:val="00481C9D"/>
    <w:rsid w:val="00481F12"/>
    <w:rsid w:val="004828EC"/>
    <w:rsid w:val="00482A11"/>
    <w:rsid w:val="00482AD4"/>
    <w:rsid w:val="004831C5"/>
    <w:rsid w:val="004833A7"/>
    <w:rsid w:val="00483B91"/>
    <w:rsid w:val="00483F14"/>
    <w:rsid w:val="00483F42"/>
    <w:rsid w:val="00483F5A"/>
    <w:rsid w:val="004841E5"/>
    <w:rsid w:val="0048460C"/>
    <w:rsid w:val="004847F5"/>
    <w:rsid w:val="00484915"/>
    <w:rsid w:val="00484A1E"/>
    <w:rsid w:val="00484FDC"/>
    <w:rsid w:val="004852B5"/>
    <w:rsid w:val="004857B0"/>
    <w:rsid w:val="00485885"/>
    <w:rsid w:val="00485B23"/>
    <w:rsid w:val="00485B41"/>
    <w:rsid w:val="00485B8F"/>
    <w:rsid w:val="00485FD0"/>
    <w:rsid w:val="004860D5"/>
    <w:rsid w:val="00486652"/>
    <w:rsid w:val="00486785"/>
    <w:rsid w:val="00486E98"/>
    <w:rsid w:val="004872F4"/>
    <w:rsid w:val="00490118"/>
    <w:rsid w:val="0049083B"/>
    <w:rsid w:val="00490D23"/>
    <w:rsid w:val="00491376"/>
    <w:rsid w:val="004914AF"/>
    <w:rsid w:val="0049151B"/>
    <w:rsid w:val="004918BF"/>
    <w:rsid w:val="00491934"/>
    <w:rsid w:val="00492971"/>
    <w:rsid w:val="00492CEA"/>
    <w:rsid w:val="00492EAA"/>
    <w:rsid w:val="0049300C"/>
    <w:rsid w:val="0049312D"/>
    <w:rsid w:val="004935C1"/>
    <w:rsid w:val="00493B17"/>
    <w:rsid w:val="00493C76"/>
    <w:rsid w:val="00494438"/>
    <w:rsid w:val="00494512"/>
    <w:rsid w:val="00494F74"/>
    <w:rsid w:val="00494FFC"/>
    <w:rsid w:val="00495238"/>
    <w:rsid w:val="00495303"/>
    <w:rsid w:val="00495426"/>
    <w:rsid w:val="004957A0"/>
    <w:rsid w:val="00495C7F"/>
    <w:rsid w:val="00496164"/>
    <w:rsid w:val="00496B50"/>
    <w:rsid w:val="00496D6A"/>
    <w:rsid w:val="004970FE"/>
    <w:rsid w:val="00497259"/>
    <w:rsid w:val="00497603"/>
    <w:rsid w:val="0049780E"/>
    <w:rsid w:val="00497A3A"/>
    <w:rsid w:val="00497B70"/>
    <w:rsid w:val="00497FBE"/>
    <w:rsid w:val="004A0506"/>
    <w:rsid w:val="004A0824"/>
    <w:rsid w:val="004A0DE3"/>
    <w:rsid w:val="004A1C77"/>
    <w:rsid w:val="004A26B4"/>
    <w:rsid w:val="004A28C8"/>
    <w:rsid w:val="004A2E30"/>
    <w:rsid w:val="004A2EBE"/>
    <w:rsid w:val="004A2F42"/>
    <w:rsid w:val="004A3381"/>
    <w:rsid w:val="004A381D"/>
    <w:rsid w:val="004A3968"/>
    <w:rsid w:val="004A3A97"/>
    <w:rsid w:val="004A3B1B"/>
    <w:rsid w:val="004A3E88"/>
    <w:rsid w:val="004A484E"/>
    <w:rsid w:val="004A4A31"/>
    <w:rsid w:val="004A4BF0"/>
    <w:rsid w:val="004A4C60"/>
    <w:rsid w:val="004A4EF7"/>
    <w:rsid w:val="004A52B8"/>
    <w:rsid w:val="004A5A26"/>
    <w:rsid w:val="004A61B2"/>
    <w:rsid w:val="004A62A8"/>
    <w:rsid w:val="004A64C4"/>
    <w:rsid w:val="004A6744"/>
    <w:rsid w:val="004A68AF"/>
    <w:rsid w:val="004A6B49"/>
    <w:rsid w:val="004A6B4C"/>
    <w:rsid w:val="004A6CB0"/>
    <w:rsid w:val="004A6DF4"/>
    <w:rsid w:val="004A6ED2"/>
    <w:rsid w:val="004A7131"/>
    <w:rsid w:val="004A723C"/>
    <w:rsid w:val="004A7241"/>
    <w:rsid w:val="004A786E"/>
    <w:rsid w:val="004A7CB5"/>
    <w:rsid w:val="004A7D0B"/>
    <w:rsid w:val="004A7E66"/>
    <w:rsid w:val="004B02FC"/>
    <w:rsid w:val="004B0D7A"/>
    <w:rsid w:val="004B10A0"/>
    <w:rsid w:val="004B1692"/>
    <w:rsid w:val="004B17B4"/>
    <w:rsid w:val="004B1993"/>
    <w:rsid w:val="004B1B83"/>
    <w:rsid w:val="004B1E81"/>
    <w:rsid w:val="004B2A70"/>
    <w:rsid w:val="004B2A9B"/>
    <w:rsid w:val="004B2B4D"/>
    <w:rsid w:val="004B2BE9"/>
    <w:rsid w:val="004B30DE"/>
    <w:rsid w:val="004B38FB"/>
    <w:rsid w:val="004B4447"/>
    <w:rsid w:val="004B48CB"/>
    <w:rsid w:val="004B4B83"/>
    <w:rsid w:val="004B5030"/>
    <w:rsid w:val="004B515C"/>
    <w:rsid w:val="004B52AC"/>
    <w:rsid w:val="004B5C54"/>
    <w:rsid w:val="004B6374"/>
    <w:rsid w:val="004B6585"/>
    <w:rsid w:val="004B67C8"/>
    <w:rsid w:val="004B7921"/>
    <w:rsid w:val="004C0100"/>
    <w:rsid w:val="004C0DE1"/>
    <w:rsid w:val="004C12F9"/>
    <w:rsid w:val="004C1606"/>
    <w:rsid w:val="004C17C7"/>
    <w:rsid w:val="004C1B91"/>
    <w:rsid w:val="004C1E44"/>
    <w:rsid w:val="004C1E75"/>
    <w:rsid w:val="004C20EB"/>
    <w:rsid w:val="004C23C9"/>
    <w:rsid w:val="004C2690"/>
    <w:rsid w:val="004C2B34"/>
    <w:rsid w:val="004C2C67"/>
    <w:rsid w:val="004C309E"/>
    <w:rsid w:val="004C354D"/>
    <w:rsid w:val="004C35DF"/>
    <w:rsid w:val="004C3965"/>
    <w:rsid w:val="004C3A90"/>
    <w:rsid w:val="004C3AF0"/>
    <w:rsid w:val="004C3E5E"/>
    <w:rsid w:val="004C4013"/>
    <w:rsid w:val="004C425D"/>
    <w:rsid w:val="004C4357"/>
    <w:rsid w:val="004C4386"/>
    <w:rsid w:val="004C4860"/>
    <w:rsid w:val="004C4B8B"/>
    <w:rsid w:val="004C500B"/>
    <w:rsid w:val="004C53D6"/>
    <w:rsid w:val="004C5478"/>
    <w:rsid w:val="004C5607"/>
    <w:rsid w:val="004C57F1"/>
    <w:rsid w:val="004C59D5"/>
    <w:rsid w:val="004C685B"/>
    <w:rsid w:val="004C74EE"/>
    <w:rsid w:val="004C770B"/>
    <w:rsid w:val="004C7842"/>
    <w:rsid w:val="004C7C4C"/>
    <w:rsid w:val="004C7D6A"/>
    <w:rsid w:val="004D0001"/>
    <w:rsid w:val="004D0119"/>
    <w:rsid w:val="004D0269"/>
    <w:rsid w:val="004D0307"/>
    <w:rsid w:val="004D0B4B"/>
    <w:rsid w:val="004D11F7"/>
    <w:rsid w:val="004D1276"/>
    <w:rsid w:val="004D12CD"/>
    <w:rsid w:val="004D19B9"/>
    <w:rsid w:val="004D2247"/>
    <w:rsid w:val="004D2DA8"/>
    <w:rsid w:val="004D2DB0"/>
    <w:rsid w:val="004D2E09"/>
    <w:rsid w:val="004D33F0"/>
    <w:rsid w:val="004D3D2D"/>
    <w:rsid w:val="004D42CF"/>
    <w:rsid w:val="004D4956"/>
    <w:rsid w:val="004D4C9C"/>
    <w:rsid w:val="004D4F4B"/>
    <w:rsid w:val="004D56C6"/>
    <w:rsid w:val="004D5938"/>
    <w:rsid w:val="004D68BB"/>
    <w:rsid w:val="004D69D6"/>
    <w:rsid w:val="004D708C"/>
    <w:rsid w:val="004D70AE"/>
    <w:rsid w:val="004D7243"/>
    <w:rsid w:val="004D76B9"/>
    <w:rsid w:val="004D76DC"/>
    <w:rsid w:val="004D77B2"/>
    <w:rsid w:val="004E000C"/>
    <w:rsid w:val="004E0588"/>
    <w:rsid w:val="004E0AB5"/>
    <w:rsid w:val="004E0E33"/>
    <w:rsid w:val="004E0FB0"/>
    <w:rsid w:val="004E107C"/>
    <w:rsid w:val="004E17BE"/>
    <w:rsid w:val="004E17FB"/>
    <w:rsid w:val="004E1893"/>
    <w:rsid w:val="004E18E6"/>
    <w:rsid w:val="004E1A57"/>
    <w:rsid w:val="004E1B51"/>
    <w:rsid w:val="004E1F75"/>
    <w:rsid w:val="004E24A0"/>
    <w:rsid w:val="004E25FF"/>
    <w:rsid w:val="004E26F6"/>
    <w:rsid w:val="004E27A7"/>
    <w:rsid w:val="004E2A26"/>
    <w:rsid w:val="004E34BA"/>
    <w:rsid w:val="004E3874"/>
    <w:rsid w:val="004E3FAB"/>
    <w:rsid w:val="004E4657"/>
    <w:rsid w:val="004E4FEA"/>
    <w:rsid w:val="004E5140"/>
    <w:rsid w:val="004E514A"/>
    <w:rsid w:val="004E55F6"/>
    <w:rsid w:val="004E591C"/>
    <w:rsid w:val="004E6149"/>
    <w:rsid w:val="004E63AC"/>
    <w:rsid w:val="004E68CD"/>
    <w:rsid w:val="004E6D3A"/>
    <w:rsid w:val="004E6D4E"/>
    <w:rsid w:val="004E6E43"/>
    <w:rsid w:val="004E72A3"/>
    <w:rsid w:val="004E7B3D"/>
    <w:rsid w:val="004E7F9C"/>
    <w:rsid w:val="004F063F"/>
    <w:rsid w:val="004F068A"/>
    <w:rsid w:val="004F0C2F"/>
    <w:rsid w:val="004F0D98"/>
    <w:rsid w:val="004F0DE5"/>
    <w:rsid w:val="004F0DF4"/>
    <w:rsid w:val="004F11DA"/>
    <w:rsid w:val="004F1412"/>
    <w:rsid w:val="004F182A"/>
    <w:rsid w:val="004F1A58"/>
    <w:rsid w:val="004F1E8F"/>
    <w:rsid w:val="004F2516"/>
    <w:rsid w:val="004F25E5"/>
    <w:rsid w:val="004F2794"/>
    <w:rsid w:val="004F2A89"/>
    <w:rsid w:val="004F2E3F"/>
    <w:rsid w:val="004F3EAE"/>
    <w:rsid w:val="004F4309"/>
    <w:rsid w:val="004F49CA"/>
    <w:rsid w:val="004F4C34"/>
    <w:rsid w:val="004F5253"/>
    <w:rsid w:val="004F58AA"/>
    <w:rsid w:val="004F5A50"/>
    <w:rsid w:val="004F5C18"/>
    <w:rsid w:val="004F5C2E"/>
    <w:rsid w:val="004F6008"/>
    <w:rsid w:val="004F6702"/>
    <w:rsid w:val="004F682A"/>
    <w:rsid w:val="004F69BE"/>
    <w:rsid w:val="004F6A9C"/>
    <w:rsid w:val="004F6B96"/>
    <w:rsid w:val="004F7212"/>
    <w:rsid w:val="004F7284"/>
    <w:rsid w:val="004F788F"/>
    <w:rsid w:val="004F7DE5"/>
    <w:rsid w:val="00500084"/>
    <w:rsid w:val="00500507"/>
    <w:rsid w:val="0050070B"/>
    <w:rsid w:val="00500DDA"/>
    <w:rsid w:val="00500EA7"/>
    <w:rsid w:val="00500FDA"/>
    <w:rsid w:val="00500FDE"/>
    <w:rsid w:val="0050169D"/>
    <w:rsid w:val="00501EDE"/>
    <w:rsid w:val="00501EEA"/>
    <w:rsid w:val="005028DB"/>
    <w:rsid w:val="005030B6"/>
    <w:rsid w:val="00503473"/>
    <w:rsid w:val="00504122"/>
    <w:rsid w:val="00504CEE"/>
    <w:rsid w:val="00505047"/>
    <w:rsid w:val="00506683"/>
    <w:rsid w:val="00506A84"/>
    <w:rsid w:val="00506B33"/>
    <w:rsid w:val="0050707B"/>
    <w:rsid w:val="00507A5C"/>
    <w:rsid w:val="00507CD2"/>
    <w:rsid w:val="005102A2"/>
    <w:rsid w:val="00510405"/>
    <w:rsid w:val="00510529"/>
    <w:rsid w:val="005105D3"/>
    <w:rsid w:val="0051060F"/>
    <w:rsid w:val="00510991"/>
    <w:rsid w:val="005109C0"/>
    <w:rsid w:val="00510A7A"/>
    <w:rsid w:val="00510D4A"/>
    <w:rsid w:val="0051139D"/>
    <w:rsid w:val="005119D0"/>
    <w:rsid w:val="00511B6E"/>
    <w:rsid w:val="00511BD5"/>
    <w:rsid w:val="00511BD7"/>
    <w:rsid w:val="00511CCD"/>
    <w:rsid w:val="005123E0"/>
    <w:rsid w:val="00512478"/>
    <w:rsid w:val="0051250E"/>
    <w:rsid w:val="00512692"/>
    <w:rsid w:val="00512D20"/>
    <w:rsid w:val="0051321B"/>
    <w:rsid w:val="00513237"/>
    <w:rsid w:val="0051343B"/>
    <w:rsid w:val="00513526"/>
    <w:rsid w:val="00514226"/>
    <w:rsid w:val="00514834"/>
    <w:rsid w:val="00514CFA"/>
    <w:rsid w:val="00515245"/>
    <w:rsid w:val="00515433"/>
    <w:rsid w:val="005155B1"/>
    <w:rsid w:val="00515F5A"/>
    <w:rsid w:val="0051615A"/>
    <w:rsid w:val="005166B9"/>
    <w:rsid w:val="00516A2A"/>
    <w:rsid w:val="00516E47"/>
    <w:rsid w:val="005171E6"/>
    <w:rsid w:val="0051735E"/>
    <w:rsid w:val="0051799A"/>
    <w:rsid w:val="00517D84"/>
    <w:rsid w:val="00520019"/>
    <w:rsid w:val="00520070"/>
    <w:rsid w:val="005203B9"/>
    <w:rsid w:val="005206A3"/>
    <w:rsid w:val="005206DA"/>
    <w:rsid w:val="00520755"/>
    <w:rsid w:val="005208E9"/>
    <w:rsid w:val="005209C1"/>
    <w:rsid w:val="005209D5"/>
    <w:rsid w:val="00520A32"/>
    <w:rsid w:val="00520B79"/>
    <w:rsid w:val="00521ABB"/>
    <w:rsid w:val="00521C30"/>
    <w:rsid w:val="00521D8C"/>
    <w:rsid w:val="005221C8"/>
    <w:rsid w:val="005223CB"/>
    <w:rsid w:val="0052278C"/>
    <w:rsid w:val="00522B32"/>
    <w:rsid w:val="005232AE"/>
    <w:rsid w:val="00523D45"/>
    <w:rsid w:val="00523D8D"/>
    <w:rsid w:val="005250F1"/>
    <w:rsid w:val="00525B8F"/>
    <w:rsid w:val="00525BC5"/>
    <w:rsid w:val="005262AB"/>
    <w:rsid w:val="005264C3"/>
    <w:rsid w:val="00526585"/>
    <w:rsid w:val="00526A34"/>
    <w:rsid w:val="00526A80"/>
    <w:rsid w:val="00526BDB"/>
    <w:rsid w:val="0052720F"/>
    <w:rsid w:val="005274DF"/>
    <w:rsid w:val="00527E21"/>
    <w:rsid w:val="00527FC8"/>
    <w:rsid w:val="005302BE"/>
    <w:rsid w:val="00531A57"/>
    <w:rsid w:val="00531DF3"/>
    <w:rsid w:val="00532193"/>
    <w:rsid w:val="0053295A"/>
    <w:rsid w:val="00532A3B"/>
    <w:rsid w:val="005331DF"/>
    <w:rsid w:val="00533649"/>
    <w:rsid w:val="00534600"/>
    <w:rsid w:val="00534780"/>
    <w:rsid w:val="00534C24"/>
    <w:rsid w:val="00534E8E"/>
    <w:rsid w:val="0053521C"/>
    <w:rsid w:val="00535332"/>
    <w:rsid w:val="00535559"/>
    <w:rsid w:val="00535725"/>
    <w:rsid w:val="0053590B"/>
    <w:rsid w:val="00536198"/>
    <w:rsid w:val="00536B77"/>
    <w:rsid w:val="005370E0"/>
    <w:rsid w:val="005371CA"/>
    <w:rsid w:val="005372D7"/>
    <w:rsid w:val="0053763D"/>
    <w:rsid w:val="005376D0"/>
    <w:rsid w:val="00537CEA"/>
    <w:rsid w:val="005401AD"/>
    <w:rsid w:val="0054028B"/>
    <w:rsid w:val="00540329"/>
    <w:rsid w:val="00540545"/>
    <w:rsid w:val="005409DD"/>
    <w:rsid w:val="00540EAC"/>
    <w:rsid w:val="00541087"/>
    <w:rsid w:val="0054112A"/>
    <w:rsid w:val="005422D3"/>
    <w:rsid w:val="00542328"/>
    <w:rsid w:val="005428CE"/>
    <w:rsid w:val="00542A43"/>
    <w:rsid w:val="0054311E"/>
    <w:rsid w:val="005432EE"/>
    <w:rsid w:val="00543378"/>
    <w:rsid w:val="0054350C"/>
    <w:rsid w:val="0054392A"/>
    <w:rsid w:val="00543E90"/>
    <w:rsid w:val="00544241"/>
    <w:rsid w:val="005442A4"/>
    <w:rsid w:val="005444F1"/>
    <w:rsid w:val="00544A66"/>
    <w:rsid w:val="00544D9A"/>
    <w:rsid w:val="00544DBB"/>
    <w:rsid w:val="005451C9"/>
    <w:rsid w:val="0054539D"/>
    <w:rsid w:val="00545546"/>
    <w:rsid w:val="005459DD"/>
    <w:rsid w:val="005459F5"/>
    <w:rsid w:val="00545D68"/>
    <w:rsid w:val="00545E88"/>
    <w:rsid w:val="0054699E"/>
    <w:rsid w:val="00546F99"/>
    <w:rsid w:val="005471C5"/>
    <w:rsid w:val="00547727"/>
    <w:rsid w:val="00547FB9"/>
    <w:rsid w:val="00550076"/>
    <w:rsid w:val="0055088D"/>
    <w:rsid w:val="00550B8B"/>
    <w:rsid w:val="00551A5F"/>
    <w:rsid w:val="00551B5D"/>
    <w:rsid w:val="0055239B"/>
    <w:rsid w:val="0055294D"/>
    <w:rsid w:val="00553251"/>
    <w:rsid w:val="005534F0"/>
    <w:rsid w:val="0055359E"/>
    <w:rsid w:val="0055379E"/>
    <w:rsid w:val="005537D4"/>
    <w:rsid w:val="00553A4A"/>
    <w:rsid w:val="00553BDA"/>
    <w:rsid w:val="00553E24"/>
    <w:rsid w:val="00553F7C"/>
    <w:rsid w:val="00554407"/>
    <w:rsid w:val="00554DFA"/>
    <w:rsid w:val="00555439"/>
    <w:rsid w:val="00555676"/>
    <w:rsid w:val="005556AC"/>
    <w:rsid w:val="00556825"/>
    <w:rsid w:val="00556AAC"/>
    <w:rsid w:val="0055753B"/>
    <w:rsid w:val="005579A9"/>
    <w:rsid w:val="00557A28"/>
    <w:rsid w:val="00557AA9"/>
    <w:rsid w:val="00557F0A"/>
    <w:rsid w:val="00560BB3"/>
    <w:rsid w:val="005612E5"/>
    <w:rsid w:val="00561452"/>
    <w:rsid w:val="005616B3"/>
    <w:rsid w:val="00561AD3"/>
    <w:rsid w:val="00562002"/>
    <w:rsid w:val="005620CC"/>
    <w:rsid w:val="005622A5"/>
    <w:rsid w:val="005622DC"/>
    <w:rsid w:val="00562519"/>
    <w:rsid w:val="005626A6"/>
    <w:rsid w:val="00563154"/>
    <w:rsid w:val="005636ED"/>
    <w:rsid w:val="00563A68"/>
    <w:rsid w:val="00563B62"/>
    <w:rsid w:val="00563B94"/>
    <w:rsid w:val="00563CA9"/>
    <w:rsid w:val="005646F5"/>
    <w:rsid w:val="00565647"/>
    <w:rsid w:val="00566250"/>
    <w:rsid w:val="00566423"/>
    <w:rsid w:val="005670F2"/>
    <w:rsid w:val="00567278"/>
    <w:rsid w:val="0056789B"/>
    <w:rsid w:val="0057029E"/>
    <w:rsid w:val="00570423"/>
    <w:rsid w:val="00570B51"/>
    <w:rsid w:val="00571DB9"/>
    <w:rsid w:val="00571FCE"/>
    <w:rsid w:val="005729B5"/>
    <w:rsid w:val="00572F79"/>
    <w:rsid w:val="00572F9A"/>
    <w:rsid w:val="00573380"/>
    <w:rsid w:val="00573850"/>
    <w:rsid w:val="00573C74"/>
    <w:rsid w:val="00573CD3"/>
    <w:rsid w:val="00574293"/>
    <w:rsid w:val="00574AD8"/>
    <w:rsid w:val="005758D0"/>
    <w:rsid w:val="00575E97"/>
    <w:rsid w:val="0057611B"/>
    <w:rsid w:val="00576159"/>
    <w:rsid w:val="00576AE3"/>
    <w:rsid w:val="00576DB3"/>
    <w:rsid w:val="00577365"/>
    <w:rsid w:val="005779E3"/>
    <w:rsid w:val="00577A3A"/>
    <w:rsid w:val="00577A4E"/>
    <w:rsid w:val="00577B79"/>
    <w:rsid w:val="00577F41"/>
    <w:rsid w:val="005801DC"/>
    <w:rsid w:val="00580797"/>
    <w:rsid w:val="00580C6A"/>
    <w:rsid w:val="0058163C"/>
    <w:rsid w:val="00581B31"/>
    <w:rsid w:val="00581D11"/>
    <w:rsid w:val="00581D5C"/>
    <w:rsid w:val="00581DEA"/>
    <w:rsid w:val="005822EA"/>
    <w:rsid w:val="00582756"/>
    <w:rsid w:val="005829C6"/>
    <w:rsid w:val="00582E90"/>
    <w:rsid w:val="00583102"/>
    <w:rsid w:val="0058347A"/>
    <w:rsid w:val="00583795"/>
    <w:rsid w:val="00583AD1"/>
    <w:rsid w:val="00583CBF"/>
    <w:rsid w:val="0058402C"/>
    <w:rsid w:val="005845F3"/>
    <w:rsid w:val="00584764"/>
    <w:rsid w:val="0058554D"/>
    <w:rsid w:val="00585723"/>
    <w:rsid w:val="005858E2"/>
    <w:rsid w:val="00585D0A"/>
    <w:rsid w:val="005865FD"/>
    <w:rsid w:val="005866D3"/>
    <w:rsid w:val="00586978"/>
    <w:rsid w:val="00586F36"/>
    <w:rsid w:val="00587346"/>
    <w:rsid w:val="0059001A"/>
    <w:rsid w:val="00590302"/>
    <w:rsid w:val="0059067C"/>
    <w:rsid w:val="005906A7"/>
    <w:rsid w:val="005906F5"/>
    <w:rsid w:val="005909A4"/>
    <w:rsid w:val="00591165"/>
    <w:rsid w:val="00591659"/>
    <w:rsid w:val="00591A41"/>
    <w:rsid w:val="00591AC0"/>
    <w:rsid w:val="00591B4A"/>
    <w:rsid w:val="00591DC1"/>
    <w:rsid w:val="00592067"/>
    <w:rsid w:val="005920E1"/>
    <w:rsid w:val="00592234"/>
    <w:rsid w:val="00592C55"/>
    <w:rsid w:val="00592C94"/>
    <w:rsid w:val="00592D86"/>
    <w:rsid w:val="00592E66"/>
    <w:rsid w:val="00592F43"/>
    <w:rsid w:val="00592F82"/>
    <w:rsid w:val="005931D2"/>
    <w:rsid w:val="00594033"/>
    <w:rsid w:val="005949C1"/>
    <w:rsid w:val="00594A61"/>
    <w:rsid w:val="00594D0E"/>
    <w:rsid w:val="00594F1C"/>
    <w:rsid w:val="0059521B"/>
    <w:rsid w:val="00595904"/>
    <w:rsid w:val="00595C0C"/>
    <w:rsid w:val="00596528"/>
    <w:rsid w:val="0059652A"/>
    <w:rsid w:val="00596B47"/>
    <w:rsid w:val="00596C63"/>
    <w:rsid w:val="00596D1B"/>
    <w:rsid w:val="00596D7F"/>
    <w:rsid w:val="0059712B"/>
    <w:rsid w:val="005972D3"/>
    <w:rsid w:val="00597402"/>
    <w:rsid w:val="00597578"/>
    <w:rsid w:val="00597581"/>
    <w:rsid w:val="005A1092"/>
    <w:rsid w:val="005A1110"/>
    <w:rsid w:val="005A1392"/>
    <w:rsid w:val="005A1F0E"/>
    <w:rsid w:val="005A2689"/>
    <w:rsid w:val="005A292D"/>
    <w:rsid w:val="005A2C1F"/>
    <w:rsid w:val="005A2D07"/>
    <w:rsid w:val="005A3122"/>
    <w:rsid w:val="005A31DA"/>
    <w:rsid w:val="005A349D"/>
    <w:rsid w:val="005A3537"/>
    <w:rsid w:val="005A3599"/>
    <w:rsid w:val="005A3AA8"/>
    <w:rsid w:val="005A3ACD"/>
    <w:rsid w:val="005A48F7"/>
    <w:rsid w:val="005A50CE"/>
    <w:rsid w:val="005A5319"/>
    <w:rsid w:val="005A54C9"/>
    <w:rsid w:val="005A569A"/>
    <w:rsid w:val="005A58EE"/>
    <w:rsid w:val="005A5E72"/>
    <w:rsid w:val="005A62A7"/>
    <w:rsid w:val="005A635C"/>
    <w:rsid w:val="005A6361"/>
    <w:rsid w:val="005A693E"/>
    <w:rsid w:val="005A6A32"/>
    <w:rsid w:val="005A6B6E"/>
    <w:rsid w:val="005A6E26"/>
    <w:rsid w:val="005A73FD"/>
    <w:rsid w:val="005A77F9"/>
    <w:rsid w:val="005A7CEF"/>
    <w:rsid w:val="005A7E82"/>
    <w:rsid w:val="005B02C6"/>
    <w:rsid w:val="005B0352"/>
    <w:rsid w:val="005B0E2D"/>
    <w:rsid w:val="005B0FB7"/>
    <w:rsid w:val="005B1E32"/>
    <w:rsid w:val="005B1F0E"/>
    <w:rsid w:val="005B2154"/>
    <w:rsid w:val="005B2B6B"/>
    <w:rsid w:val="005B2CEF"/>
    <w:rsid w:val="005B31F7"/>
    <w:rsid w:val="005B3263"/>
    <w:rsid w:val="005B350F"/>
    <w:rsid w:val="005B3869"/>
    <w:rsid w:val="005B3AF2"/>
    <w:rsid w:val="005B3F23"/>
    <w:rsid w:val="005B40B7"/>
    <w:rsid w:val="005B4813"/>
    <w:rsid w:val="005B4996"/>
    <w:rsid w:val="005B4AAD"/>
    <w:rsid w:val="005B4C7C"/>
    <w:rsid w:val="005B4DC9"/>
    <w:rsid w:val="005B4ED5"/>
    <w:rsid w:val="005B5987"/>
    <w:rsid w:val="005B5C3D"/>
    <w:rsid w:val="005B62E2"/>
    <w:rsid w:val="005B646F"/>
    <w:rsid w:val="005B69A9"/>
    <w:rsid w:val="005B6C34"/>
    <w:rsid w:val="005B710D"/>
    <w:rsid w:val="005B71B2"/>
    <w:rsid w:val="005C01CF"/>
    <w:rsid w:val="005C0581"/>
    <w:rsid w:val="005C0C87"/>
    <w:rsid w:val="005C0F49"/>
    <w:rsid w:val="005C1004"/>
    <w:rsid w:val="005C15F3"/>
    <w:rsid w:val="005C1941"/>
    <w:rsid w:val="005C1CAB"/>
    <w:rsid w:val="005C1CF5"/>
    <w:rsid w:val="005C1DE7"/>
    <w:rsid w:val="005C30A5"/>
    <w:rsid w:val="005C3237"/>
    <w:rsid w:val="005C3B8D"/>
    <w:rsid w:val="005C3CEB"/>
    <w:rsid w:val="005C3EDC"/>
    <w:rsid w:val="005C4072"/>
    <w:rsid w:val="005C409E"/>
    <w:rsid w:val="005C478A"/>
    <w:rsid w:val="005C486D"/>
    <w:rsid w:val="005C4AD0"/>
    <w:rsid w:val="005C5487"/>
    <w:rsid w:val="005C565E"/>
    <w:rsid w:val="005C593D"/>
    <w:rsid w:val="005C5B3A"/>
    <w:rsid w:val="005C5D2A"/>
    <w:rsid w:val="005C6399"/>
    <w:rsid w:val="005C676A"/>
    <w:rsid w:val="005C6A1F"/>
    <w:rsid w:val="005C7377"/>
    <w:rsid w:val="005C7D66"/>
    <w:rsid w:val="005C7DE3"/>
    <w:rsid w:val="005D02F0"/>
    <w:rsid w:val="005D07FA"/>
    <w:rsid w:val="005D08AD"/>
    <w:rsid w:val="005D0EE1"/>
    <w:rsid w:val="005D10A6"/>
    <w:rsid w:val="005D1933"/>
    <w:rsid w:val="005D1CD2"/>
    <w:rsid w:val="005D1D99"/>
    <w:rsid w:val="005D1E84"/>
    <w:rsid w:val="005D22E9"/>
    <w:rsid w:val="005D24DD"/>
    <w:rsid w:val="005D26FB"/>
    <w:rsid w:val="005D288D"/>
    <w:rsid w:val="005D338A"/>
    <w:rsid w:val="005D3469"/>
    <w:rsid w:val="005D3B75"/>
    <w:rsid w:val="005D3C15"/>
    <w:rsid w:val="005D400B"/>
    <w:rsid w:val="005D43B1"/>
    <w:rsid w:val="005D4DF0"/>
    <w:rsid w:val="005D4E0F"/>
    <w:rsid w:val="005D4F67"/>
    <w:rsid w:val="005D51C0"/>
    <w:rsid w:val="005D51ED"/>
    <w:rsid w:val="005D568D"/>
    <w:rsid w:val="005D5E65"/>
    <w:rsid w:val="005D5EA8"/>
    <w:rsid w:val="005D64D1"/>
    <w:rsid w:val="005D689B"/>
    <w:rsid w:val="005D6E95"/>
    <w:rsid w:val="005D7213"/>
    <w:rsid w:val="005D725C"/>
    <w:rsid w:val="005D7A24"/>
    <w:rsid w:val="005D7BD4"/>
    <w:rsid w:val="005D7EBC"/>
    <w:rsid w:val="005D7EE7"/>
    <w:rsid w:val="005D7EF8"/>
    <w:rsid w:val="005E0694"/>
    <w:rsid w:val="005E084A"/>
    <w:rsid w:val="005E0C55"/>
    <w:rsid w:val="005E11BF"/>
    <w:rsid w:val="005E1669"/>
    <w:rsid w:val="005E1EB3"/>
    <w:rsid w:val="005E1EE8"/>
    <w:rsid w:val="005E1F18"/>
    <w:rsid w:val="005E24F7"/>
    <w:rsid w:val="005E269B"/>
    <w:rsid w:val="005E2814"/>
    <w:rsid w:val="005E2BB4"/>
    <w:rsid w:val="005E30BE"/>
    <w:rsid w:val="005E341C"/>
    <w:rsid w:val="005E3599"/>
    <w:rsid w:val="005E3847"/>
    <w:rsid w:val="005E434D"/>
    <w:rsid w:val="005E43BC"/>
    <w:rsid w:val="005E447B"/>
    <w:rsid w:val="005E452B"/>
    <w:rsid w:val="005E504A"/>
    <w:rsid w:val="005E5533"/>
    <w:rsid w:val="005E579E"/>
    <w:rsid w:val="005E59FC"/>
    <w:rsid w:val="005E5C4E"/>
    <w:rsid w:val="005E5ED5"/>
    <w:rsid w:val="005E620D"/>
    <w:rsid w:val="005E6E73"/>
    <w:rsid w:val="005E7352"/>
    <w:rsid w:val="005E74B3"/>
    <w:rsid w:val="005E7A2D"/>
    <w:rsid w:val="005E7E63"/>
    <w:rsid w:val="005E7F51"/>
    <w:rsid w:val="005E7F7F"/>
    <w:rsid w:val="005F02D2"/>
    <w:rsid w:val="005F0C56"/>
    <w:rsid w:val="005F0FE3"/>
    <w:rsid w:val="005F1060"/>
    <w:rsid w:val="005F149B"/>
    <w:rsid w:val="005F178D"/>
    <w:rsid w:val="005F1990"/>
    <w:rsid w:val="005F1A4B"/>
    <w:rsid w:val="005F1A8B"/>
    <w:rsid w:val="005F1BBA"/>
    <w:rsid w:val="005F1BE8"/>
    <w:rsid w:val="005F2258"/>
    <w:rsid w:val="005F2680"/>
    <w:rsid w:val="005F26AE"/>
    <w:rsid w:val="005F2D3B"/>
    <w:rsid w:val="005F3181"/>
    <w:rsid w:val="005F338E"/>
    <w:rsid w:val="005F34E6"/>
    <w:rsid w:val="005F39A8"/>
    <w:rsid w:val="005F3FCE"/>
    <w:rsid w:val="005F456B"/>
    <w:rsid w:val="005F4B5A"/>
    <w:rsid w:val="005F4C5E"/>
    <w:rsid w:val="005F4DC6"/>
    <w:rsid w:val="005F4E66"/>
    <w:rsid w:val="005F4E94"/>
    <w:rsid w:val="005F4F24"/>
    <w:rsid w:val="005F5170"/>
    <w:rsid w:val="005F5282"/>
    <w:rsid w:val="005F52EC"/>
    <w:rsid w:val="005F5925"/>
    <w:rsid w:val="005F5BA8"/>
    <w:rsid w:val="005F5C03"/>
    <w:rsid w:val="005F5F92"/>
    <w:rsid w:val="005F6F4C"/>
    <w:rsid w:val="005F6F90"/>
    <w:rsid w:val="005F70CF"/>
    <w:rsid w:val="005F74E7"/>
    <w:rsid w:val="005F763F"/>
    <w:rsid w:val="005F784D"/>
    <w:rsid w:val="006000DE"/>
    <w:rsid w:val="00600336"/>
    <w:rsid w:val="00600632"/>
    <w:rsid w:val="00600DB6"/>
    <w:rsid w:val="00600E71"/>
    <w:rsid w:val="00600F14"/>
    <w:rsid w:val="00601230"/>
    <w:rsid w:val="0060144D"/>
    <w:rsid w:val="00601A9E"/>
    <w:rsid w:val="006021E2"/>
    <w:rsid w:val="0060267B"/>
    <w:rsid w:val="00602777"/>
    <w:rsid w:val="00602931"/>
    <w:rsid w:val="00602B4F"/>
    <w:rsid w:val="00602CE8"/>
    <w:rsid w:val="00602DAF"/>
    <w:rsid w:val="00603058"/>
    <w:rsid w:val="006031B8"/>
    <w:rsid w:val="00603892"/>
    <w:rsid w:val="00603AA9"/>
    <w:rsid w:val="00603C64"/>
    <w:rsid w:val="0060427F"/>
    <w:rsid w:val="006045A6"/>
    <w:rsid w:val="006049CD"/>
    <w:rsid w:val="0060510C"/>
    <w:rsid w:val="00605159"/>
    <w:rsid w:val="006051B5"/>
    <w:rsid w:val="0060521A"/>
    <w:rsid w:val="006053E4"/>
    <w:rsid w:val="0060690E"/>
    <w:rsid w:val="00606FC4"/>
    <w:rsid w:val="00607135"/>
    <w:rsid w:val="00607143"/>
    <w:rsid w:val="00610011"/>
    <w:rsid w:val="00610227"/>
    <w:rsid w:val="0061066D"/>
    <w:rsid w:val="00610FBA"/>
    <w:rsid w:val="00611307"/>
    <w:rsid w:val="006119C7"/>
    <w:rsid w:val="0061349A"/>
    <w:rsid w:val="00613D59"/>
    <w:rsid w:val="00613EA7"/>
    <w:rsid w:val="00614522"/>
    <w:rsid w:val="006147DF"/>
    <w:rsid w:val="00614AB8"/>
    <w:rsid w:val="00614CDC"/>
    <w:rsid w:val="00614CF6"/>
    <w:rsid w:val="00614DBB"/>
    <w:rsid w:val="006150E4"/>
    <w:rsid w:val="00615882"/>
    <w:rsid w:val="00615934"/>
    <w:rsid w:val="0061596D"/>
    <w:rsid w:val="00615C67"/>
    <w:rsid w:val="00615D44"/>
    <w:rsid w:val="00616842"/>
    <w:rsid w:val="006171B2"/>
    <w:rsid w:val="006203CF"/>
    <w:rsid w:val="0062062A"/>
    <w:rsid w:val="00620A4A"/>
    <w:rsid w:val="00620E64"/>
    <w:rsid w:val="00620F5C"/>
    <w:rsid w:val="00620FDC"/>
    <w:rsid w:val="006210ED"/>
    <w:rsid w:val="006213D8"/>
    <w:rsid w:val="00621635"/>
    <w:rsid w:val="00621977"/>
    <w:rsid w:val="006219B0"/>
    <w:rsid w:val="00621BB7"/>
    <w:rsid w:val="006220EC"/>
    <w:rsid w:val="006221AA"/>
    <w:rsid w:val="00622487"/>
    <w:rsid w:val="006224BD"/>
    <w:rsid w:val="00622EAB"/>
    <w:rsid w:val="00622F68"/>
    <w:rsid w:val="0062339C"/>
    <w:rsid w:val="00623B2E"/>
    <w:rsid w:val="00623E9C"/>
    <w:rsid w:val="00624B09"/>
    <w:rsid w:val="00624DFE"/>
    <w:rsid w:val="00624E55"/>
    <w:rsid w:val="00625046"/>
    <w:rsid w:val="006257CE"/>
    <w:rsid w:val="00625BCC"/>
    <w:rsid w:val="00625DCF"/>
    <w:rsid w:val="00625F66"/>
    <w:rsid w:val="00626D22"/>
    <w:rsid w:val="00627211"/>
    <w:rsid w:val="006276A9"/>
    <w:rsid w:val="0062799C"/>
    <w:rsid w:val="006302DC"/>
    <w:rsid w:val="006304F0"/>
    <w:rsid w:val="00630716"/>
    <w:rsid w:val="00630BDD"/>
    <w:rsid w:val="006311F6"/>
    <w:rsid w:val="00631219"/>
    <w:rsid w:val="006312ED"/>
    <w:rsid w:val="00631514"/>
    <w:rsid w:val="0063151F"/>
    <w:rsid w:val="00631582"/>
    <w:rsid w:val="00631B2E"/>
    <w:rsid w:val="00632196"/>
    <w:rsid w:val="006326F3"/>
    <w:rsid w:val="00632CB9"/>
    <w:rsid w:val="00632F46"/>
    <w:rsid w:val="006331F4"/>
    <w:rsid w:val="00633399"/>
    <w:rsid w:val="00633668"/>
    <w:rsid w:val="00633891"/>
    <w:rsid w:val="00633B5F"/>
    <w:rsid w:val="00633CC3"/>
    <w:rsid w:val="00633E3A"/>
    <w:rsid w:val="00634674"/>
    <w:rsid w:val="00635963"/>
    <w:rsid w:val="00635994"/>
    <w:rsid w:val="00636121"/>
    <w:rsid w:val="0063620A"/>
    <w:rsid w:val="0063636A"/>
    <w:rsid w:val="00637012"/>
    <w:rsid w:val="006376BE"/>
    <w:rsid w:val="00637718"/>
    <w:rsid w:val="00640339"/>
    <w:rsid w:val="00640B62"/>
    <w:rsid w:val="00640DA9"/>
    <w:rsid w:val="00641A4E"/>
    <w:rsid w:val="00641AF0"/>
    <w:rsid w:val="00641CB3"/>
    <w:rsid w:val="00641E0B"/>
    <w:rsid w:val="006420BB"/>
    <w:rsid w:val="0064248C"/>
    <w:rsid w:val="00642887"/>
    <w:rsid w:val="00642AB7"/>
    <w:rsid w:val="00642E3F"/>
    <w:rsid w:val="00643139"/>
    <w:rsid w:val="00643202"/>
    <w:rsid w:val="00643499"/>
    <w:rsid w:val="006440A2"/>
    <w:rsid w:val="00644DF1"/>
    <w:rsid w:val="006451DE"/>
    <w:rsid w:val="00645328"/>
    <w:rsid w:val="00645389"/>
    <w:rsid w:val="0064542C"/>
    <w:rsid w:val="006455C9"/>
    <w:rsid w:val="00646374"/>
    <w:rsid w:val="0064646D"/>
    <w:rsid w:val="00646788"/>
    <w:rsid w:val="00646D08"/>
    <w:rsid w:val="00646E24"/>
    <w:rsid w:val="0064767B"/>
    <w:rsid w:val="00647865"/>
    <w:rsid w:val="00647F25"/>
    <w:rsid w:val="006506EA"/>
    <w:rsid w:val="006507AC"/>
    <w:rsid w:val="00650803"/>
    <w:rsid w:val="00650A2E"/>
    <w:rsid w:val="00650B52"/>
    <w:rsid w:val="00650F63"/>
    <w:rsid w:val="0065147D"/>
    <w:rsid w:val="00651739"/>
    <w:rsid w:val="00651B7D"/>
    <w:rsid w:val="00651D09"/>
    <w:rsid w:val="00651E66"/>
    <w:rsid w:val="0065272A"/>
    <w:rsid w:val="00652862"/>
    <w:rsid w:val="00652919"/>
    <w:rsid w:val="00652957"/>
    <w:rsid w:val="00652B9B"/>
    <w:rsid w:val="00653749"/>
    <w:rsid w:val="00653AD4"/>
    <w:rsid w:val="00653B72"/>
    <w:rsid w:val="0065418A"/>
    <w:rsid w:val="006545FA"/>
    <w:rsid w:val="00654BC0"/>
    <w:rsid w:val="00655547"/>
    <w:rsid w:val="00655A6D"/>
    <w:rsid w:val="00655BA2"/>
    <w:rsid w:val="00655D83"/>
    <w:rsid w:val="00656414"/>
    <w:rsid w:val="0065667A"/>
    <w:rsid w:val="00656ECD"/>
    <w:rsid w:val="0065743E"/>
    <w:rsid w:val="006577CB"/>
    <w:rsid w:val="00657C04"/>
    <w:rsid w:val="006603F5"/>
    <w:rsid w:val="006608D5"/>
    <w:rsid w:val="00660AB6"/>
    <w:rsid w:val="00660BE0"/>
    <w:rsid w:val="00661126"/>
    <w:rsid w:val="006611E9"/>
    <w:rsid w:val="0066129C"/>
    <w:rsid w:val="0066200A"/>
    <w:rsid w:val="00662189"/>
    <w:rsid w:val="006624C8"/>
    <w:rsid w:val="006626A5"/>
    <w:rsid w:val="00662BBE"/>
    <w:rsid w:val="006635CC"/>
    <w:rsid w:val="00663646"/>
    <w:rsid w:val="0066382A"/>
    <w:rsid w:val="006639BE"/>
    <w:rsid w:val="00663A42"/>
    <w:rsid w:val="006647CE"/>
    <w:rsid w:val="0066491B"/>
    <w:rsid w:val="006649EC"/>
    <w:rsid w:val="00664EA9"/>
    <w:rsid w:val="00665052"/>
    <w:rsid w:val="00665289"/>
    <w:rsid w:val="00665A2D"/>
    <w:rsid w:val="00665B83"/>
    <w:rsid w:val="00666656"/>
    <w:rsid w:val="00666678"/>
    <w:rsid w:val="0066677A"/>
    <w:rsid w:val="00666AA1"/>
    <w:rsid w:val="00667009"/>
    <w:rsid w:val="006678CC"/>
    <w:rsid w:val="006679D0"/>
    <w:rsid w:val="00667A97"/>
    <w:rsid w:val="00667D1F"/>
    <w:rsid w:val="0067067C"/>
    <w:rsid w:val="00670694"/>
    <w:rsid w:val="006708A8"/>
    <w:rsid w:val="00671389"/>
    <w:rsid w:val="0067153E"/>
    <w:rsid w:val="006721CD"/>
    <w:rsid w:val="0067242C"/>
    <w:rsid w:val="00672785"/>
    <w:rsid w:val="00673048"/>
    <w:rsid w:val="00673065"/>
    <w:rsid w:val="006732E5"/>
    <w:rsid w:val="00673362"/>
    <w:rsid w:val="006733CF"/>
    <w:rsid w:val="00673DB2"/>
    <w:rsid w:val="00673E1C"/>
    <w:rsid w:val="00674024"/>
    <w:rsid w:val="00674210"/>
    <w:rsid w:val="0067479E"/>
    <w:rsid w:val="006749B8"/>
    <w:rsid w:val="00674E6E"/>
    <w:rsid w:val="00675231"/>
    <w:rsid w:val="00675236"/>
    <w:rsid w:val="006753AA"/>
    <w:rsid w:val="00675A2B"/>
    <w:rsid w:val="0067646D"/>
    <w:rsid w:val="006765FC"/>
    <w:rsid w:val="006772C5"/>
    <w:rsid w:val="00677779"/>
    <w:rsid w:val="00677CEB"/>
    <w:rsid w:val="00680984"/>
    <w:rsid w:val="00680B30"/>
    <w:rsid w:val="00680F7E"/>
    <w:rsid w:val="00681D20"/>
    <w:rsid w:val="00682356"/>
    <w:rsid w:val="00682365"/>
    <w:rsid w:val="006829B1"/>
    <w:rsid w:val="00682C69"/>
    <w:rsid w:val="006832B7"/>
    <w:rsid w:val="006836DA"/>
    <w:rsid w:val="006843A9"/>
    <w:rsid w:val="00684A74"/>
    <w:rsid w:val="00684F9B"/>
    <w:rsid w:val="0068526B"/>
    <w:rsid w:val="0068538F"/>
    <w:rsid w:val="00685442"/>
    <w:rsid w:val="00685E11"/>
    <w:rsid w:val="006863C6"/>
    <w:rsid w:val="006865DC"/>
    <w:rsid w:val="006867AB"/>
    <w:rsid w:val="0068695A"/>
    <w:rsid w:val="00686C5A"/>
    <w:rsid w:val="00686E9A"/>
    <w:rsid w:val="00687D07"/>
    <w:rsid w:val="006901CA"/>
    <w:rsid w:val="00690211"/>
    <w:rsid w:val="0069038F"/>
    <w:rsid w:val="00690411"/>
    <w:rsid w:val="00690475"/>
    <w:rsid w:val="006908F6"/>
    <w:rsid w:val="00690915"/>
    <w:rsid w:val="0069106F"/>
    <w:rsid w:val="00691E89"/>
    <w:rsid w:val="00691F2C"/>
    <w:rsid w:val="00692110"/>
    <w:rsid w:val="0069220A"/>
    <w:rsid w:val="0069246D"/>
    <w:rsid w:val="0069262A"/>
    <w:rsid w:val="006926AC"/>
    <w:rsid w:val="006931E3"/>
    <w:rsid w:val="00693456"/>
    <w:rsid w:val="00693A96"/>
    <w:rsid w:val="00693CD6"/>
    <w:rsid w:val="00693E72"/>
    <w:rsid w:val="0069406D"/>
    <w:rsid w:val="0069414D"/>
    <w:rsid w:val="00694803"/>
    <w:rsid w:val="00694A0D"/>
    <w:rsid w:val="00695029"/>
    <w:rsid w:val="0069502C"/>
    <w:rsid w:val="00695999"/>
    <w:rsid w:val="00696125"/>
    <w:rsid w:val="00696165"/>
    <w:rsid w:val="0069649E"/>
    <w:rsid w:val="006967E9"/>
    <w:rsid w:val="00697269"/>
    <w:rsid w:val="0069727A"/>
    <w:rsid w:val="00697488"/>
    <w:rsid w:val="00697924"/>
    <w:rsid w:val="00697FB8"/>
    <w:rsid w:val="00697FF3"/>
    <w:rsid w:val="006A0810"/>
    <w:rsid w:val="006A08B8"/>
    <w:rsid w:val="006A0B93"/>
    <w:rsid w:val="006A0C25"/>
    <w:rsid w:val="006A1828"/>
    <w:rsid w:val="006A1868"/>
    <w:rsid w:val="006A1AF3"/>
    <w:rsid w:val="006A2B32"/>
    <w:rsid w:val="006A3411"/>
    <w:rsid w:val="006A3707"/>
    <w:rsid w:val="006A3718"/>
    <w:rsid w:val="006A38F2"/>
    <w:rsid w:val="006A3929"/>
    <w:rsid w:val="006A3E16"/>
    <w:rsid w:val="006A4522"/>
    <w:rsid w:val="006A50FF"/>
    <w:rsid w:val="006A580B"/>
    <w:rsid w:val="006A59F1"/>
    <w:rsid w:val="006A5C8C"/>
    <w:rsid w:val="006A5CB0"/>
    <w:rsid w:val="006A5CF6"/>
    <w:rsid w:val="006A70C8"/>
    <w:rsid w:val="006A7426"/>
    <w:rsid w:val="006A789C"/>
    <w:rsid w:val="006A7AFB"/>
    <w:rsid w:val="006B0177"/>
    <w:rsid w:val="006B018C"/>
    <w:rsid w:val="006B04C1"/>
    <w:rsid w:val="006B0815"/>
    <w:rsid w:val="006B0EA9"/>
    <w:rsid w:val="006B111A"/>
    <w:rsid w:val="006B1364"/>
    <w:rsid w:val="006B1497"/>
    <w:rsid w:val="006B18C4"/>
    <w:rsid w:val="006B1ACE"/>
    <w:rsid w:val="006B1F45"/>
    <w:rsid w:val="006B240A"/>
    <w:rsid w:val="006B26C2"/>
    <w:rsid w:val="006B287A"/>
    <w:rsid w:val="006B297E"/>
    <w:rsid w:val="006B298C"/>
    <w:rsid w:val="006B29B6"/>
    <w:rsid w:val="006B2AD3"/>
    <w:rsid w:val="006B30DF"/>
    <w:rsid w:val="006B33E3"/>
    <w:rsid w:val="006B3529"/>
    <w:rsid w:val="006B4012"/>
    <w:rsid w:val="006B42F1"/>
    <w:rsid w:val="006B5597"/>
    <w:rsid w:val="006B58B0"/>
    <w:rsid w:val="006B5A77"/>
    <w:rsid w:val="006B5DBA"/>
    <w:rsid w:val="006B6112"/>
    <w:rsid w:val="006B6241"/>
    <w:rsid w:val="006B63CA"/>
    <w:rsid w:val="006B6607"/>
    <w:rsid w:val="006B668F"/>
    <w:rsid w:val="006B731E"/>
    <w:rsid w:val="006B753E"/>
    <w:rsid w:val="006B7A9F"/>
    <w:rsid w:val="006C0679"/>
    <w:rsid w:val="006C0D4B"/>
    <w:rsid w:val="006C0DB3"/>
    <w:rsid w:val="006C148C"/>
    <w:rsid w:val="006C1521"/>
    <w:rsid w:val="006C21EE"/>
    <w:rsid w:val="006C28F2"/>
    <w:rsid w:val="006C2ABF"/>
    <w:rsid w:val="006C2B25"/>
    <w:rsid w:val="006C2B47"/>
    <w:rsid w:val="006C3A12"/>
    <w:rsid w:val="006C3F9F"/>
    <w:rsid w:val="006C4D46"/>
    <w:rsid w:val="006C4DC4"/>
    <w:rsid w:val="006C4E30"/>
    <w:rsid w:val="006C512F"/>
    <w:rsid w:val="006C53BF"/>
    <w:rsid w:val="006C689A"/>
    <w:rsid w:val="006C68B2"/>
    <w:rsid w:val="006C6A02"/>
    <w:rsid w:val="006C6CAB"/>
    <w:rsid w:val="006C6CFE"/>
    <w:rsid w:val="006C6DEA"/>
    <w:rsid w:val="006C7102"/>
    <w:rsid w:val="006C71FA"/>
    <w:rsid w:val="006C74D5"/>
    <w:rsid w:val="006C7729"/>
    <w:rsid w:val="006C7C87"/>
    <w:rsid w:val="006D0011"/>
    <w:rsid w:val="006D0A67"/>
    <w:rsid w:val="006D0B4E"/>
    <w:rsid w:val="006D0DF5"/>
    <w:rsid w:val="006D0EDC"/>
    <w:rsid w:val="006D14D7"/>
    <w:rsid w:val="006D1F6F"/>
    <w:rsid w:val="006D334B"/>
    <w:rsid w:val="006D35F9"/>
    <w:rsid w:val="006D3665"/>
    <w:rsid w:val="006D39AD"/>
    <w:rsid w:val="006D39FE"/>
    <w:rsid w:val="006D3C6C"/>
    <w:rsid w:val="006D54C4"/>
    <w:rsid w:val="006D56A4"/>
    <w:rsid w:val="006D574C"/>
    <w:rsid w:val="006D5B09"/>
    <w:rsid w:val="006D5F76"/>
    <w:rsid w:val="006D608E"/>
    <w:rsid w:val="006D62A5"/>
    <w:rsid w:val="006D69A7"/>
    <w:rsid w:val="006D720A"/>
    <w:rsid w:val="006D7540"/>
    <w:rsid w:val="006D76A6"/>
    <w:rsid w:val="006D7869"/>
    <w:rsid w:val="006D796A"/>
    <w:rsid w:val="006D7B43"/>
    <w:rsid w:val="006D7CEE"/>
    <w:rsid w:val="006D7CFB"/>
    <w:rsid w:val="006D7CFC"/>
    <w:rsid w:val="006E007E"/>
    <w:rsid w:val="006E02C5"/>
    <w:rsid w:val="006E14F3"/>
    <w:rsid w:val="006E15FC"/>
    <w:rsid w:val="006E18B3"/>
    <w:rsid w:val="006E19A8"/>
    <w:rsid w:val="006E208D"/>
    <w:rsid w:val="006E29FA"/>
    <w:rsid w:val="006E2ADE"/>
    <w:rsid w:val="006E2C6D"/>
    <w:rsid w:val="006E3048"/>
    <w:rsid w:val="006E322B"/>
    <w:rsid w:val="006E3248"/>
    <w:rsid w:val="006E3300"/>
    <w:rsid w:val="006E3314"/>
    <w:rsid w:val="006E3634"/>
    <w:rsid w:val="006E3AB7"/>
    <w:rsid w:val="006E3ACC"/>
    <w:rsid w:val="006E3AD6"/>
    <w:rsid w:val="006E4628"/>
    <w:rsid w:val="006E4795"/>
    <w:rsid w:val="006E4BA8"/>
    <w:rsid w:val="006E4D01"/>
    <w:rsid w:val="006E52EB"/>
    <w:rsid w:val="006E5B18"/>
    <w:rsid w:val="006E6108"/>
    <w:rsid w:val="006E6364"/>
    <w:rsid w:val="006E6500"/>
    <w:rsid w:val="006E661E"/>
    <w:rsid w:val="006E69C0"/>
    <w:rsid w:val="006E6A12"/>
    <w:rsid w:val="006E6C9F"/>
    <w:rsid w:val="006E7611"/>
    <w:rsid w:val="006E7632"/>
    <w:rsid w:val="006E791D"/>
    <w:rsid w:val="006E791F"/>
    <w:rsid w:val="006E7A25"/>
    <w:rsid w:val="006E7E68"/>
    <w:rsid w:val="006E7EA4"/>
    <w:rsid w:val="006E7FB2"/>
    <w:rsid w:val="006F03DE"/>
    <w:rsid w:val="006F0E72"/>
    <w:rsid w:val="006F1320"/>
    <w:rsid w:val="006F22EE"/>
    <w:rsid w:val="006F2A41"/>
    <w:rsid w:val="006F3266"/>
    <w:rsid w:val="006F3454"/>
    <w:rsid w:val="006F347D"/>
    <w:rsid w:val="006F3557"/>
    <w:rsid w:val="006F360B"/>
    <w:rsid w:val="006F36E2"/>
    <w:rsid w:val="006F3C4D"/>
    <w:rsid w:val="006F40D5"/>
    <w:rsid w:val="006F456C"/>
    <w:rsid w:val="006F4E16"/>
    <w:rsid w:val="006F50F9"/>
    <w:rsid w:val="006F52CE"/>
    <w:rsid w:val="006F554C"/>
    <w:rsid w:val="006F562B"/>
    <w:rsid w:val="006F58B2"/>
    <w:rsid w:val="006F6107"/>
    <w:rsid w:val="006F658C"/>
    <w:rsid w:val="006F6686"/>
    <w:rsid w:val="006F67DD"/>
    <w:rsid w:val="006F69B3"/>
    <w:rsid w:val="006F6A0B"/>
    <w:rsid w:val="006F6F4E"/>
    <w:rsid w:val="00700685"/>
    <w:rsid w:val="00701896"/>
    <w:rsid w:val="00702298"/>
    <w:rsid w:val="00702486"/>
    <w:rsid w:val="00702893"/>
    <w:rsid w:val="00702F41"/>
    <w:rsid w:val="00703415"/>
    <w:rsid w:val="00703A55"/>
    <w:rsid w:val="007042B2"/>
    <w:rsid w:val="007043D1"/>
    <w:rsid w:val="0070446A"/>
    <w:rsid w:val="00705238"/>
    <w:rsid w:val="007053D0"/>
    <w:rsid w:val="00705480"/>
    <w:rsid w:val="00705721"/>
    <w:rsid w:val="00705D5A"/>
    <w:rsid w:val="00705DAA"/>
    <w:rsid w:val="0070654B"/>
    <w:rsid w:val="007067AB"/>
    <w:rsid w:val="00706E04"/>
    <w:rsid w:val="00706EB6"/>
    <w:rsid w:val="00706F63"/>
    <w:rsid w:val="00707291"/>
    <w:rsid w:val="00707452"/>
    <w:rsid w:val="00707C3A"/>
    <w:rsid w:val="00707D65"/>
    <w:rsid w:val="00707F9A"/>
    <w:rsid w:val="00707FA9"/>
    <w:rsid w:val="00710193"/>
    <w:rsid w:val="007103B0"/>
    <w:rsid w:val="007105F7"/>
    <w:rsid w:val="00710736"/>
    <w:rsid w:val="00710A67"/>
    <w:rsid w:val="007111C0"/>
    <w:rsid w:val="0071157E"/>
    <w:rsid w:val="0071186F"/>
    <w:rsid w:val="00711F81"/>
    <w:rsid w:val="00712354"/>
    <w:rsid w:val="007123B4"/>
    <w:rsid w:val="00712461"/>
    <w:rsid w:val="007124C8"/>
    <w:rsid w:val="007124FE"/>
    <w:rsid w:val="00712A96"/>
    <w:rsid w:val="007133B2"/>
    <w:rsid w:val="0071377D"/>
    <w:rsid w:val="0071479B"/>
    <w:rsid w:val="00714B8A"/>
    <w:rsid w:val="00714C3B"/>
    <w:rsid w:val="00714F07"/>
    <w:rsid w:val="00715742"/>
    <w:rsid w:val="00715C16"/>
    <w:rsid w:val="00715E04"/>
    <w:rsid w:val="007162CB"/>
    <w:rsid w:val="00716A12"/>
    <w:rsid w:val="00716A31"/>
    <w:rsid w:val="00716ACD"/>
    <w:rsid w:val="00716DD4"/>
    <w:rsid w:val="00716FD4"/>
    <w:rsid w:val="007172E3"/>
    <w:rsid w:val="007172E6"/>
    <w:rsid w:val="00717741"/>
    <w:rsid w:val="00717BFA"/>
    <w:rsid w:val="00717C5D"/>
    <w:rsid w:val="007200EE"/>
    <w:rsid w:val="0072012C"/>
    <w:rsid w:val="0072029B"/>
    <w:rsid w:val="0072050A"/>
    <w:rsid w:val="00720B41"/>
    <w:rsid w:val="00721B3A"/>
    <w:rsid w:val="00722494"/>
    <w:rsid w:val="007229BB"/>
    <w:rsid w:val="00722ADC"/>
    <w:rsid w:val="00723001"/>
    <w:rsid w:val="0072336E"/>
    <w:rsid w:val="007233A0"/>
    <w:rsid w:val="007234D1"/>
    <w:rsid w:val="00723A55"/>
    <w:rsid w:val="00723C1A"/>
    <w:rsid w:val="00724373"/>
    <w:rsid w:val="0072463D"/>
    <w:rsid w:val="00724CCB"/>
    <w:rsid w:val="00724D31"/>
    <w:rsid w:val="00724D55"/>
    <w:rsid w:val="007250E4"/>
    <w:rsid w:val="007253DE"/>
    <w:rsid w:val="00725F92"/>
    <w:rsid w:val="007260C1"/>
    <w:rsid w:val="007260C8"/>
    <w:rsid w:val="007264BB"/>
    <w:rsid w:val="00726502"/>
    <w:rsid w:val="00726B8A"/>
    <w:rsid w:val="00726CFA"/>
    <w:rsid w:val="00727028"/>
    <w:rsid w:val="00727634"/>
    <w:rsid w:val="00727977"/>
    <w:rsid w:val="00727999"/>
    <w:rsid w:val="00727E77"/>
    <w:rsid w:val="007301BD"/>
    <w:rsid w:val="00731CE8"/>
    <w:rsid w:val="00731F1F"/>
    <w:rsid w:val="00731F2D"/>
    <w:rsid w:val="00732027"/>
    <w:rsid w:val="007324A2"/>
    <w:rsid w:val="007326DB"/>
    <w:rsid w:val="00732A87"/>
    <w:rsid w:val="00732AAD"/>
    <w:rsid w:val="00733315"/>
    <w:rsid w:val="0073374F"/>
    <w:rsid w:val="007337B5"/>
    <w:rsid w:val="00733878"/>
    <w:rsid w:val="00733887"/>
    <w:rsid w:val="0073435D"/>
    <w:rsid w:val="0073466A"/>
    <w:rsid w:val="00734E32"/>
    <w:rsid w:val="0073515B"/>
    <w:rsid w:val="00735309"/>
    <w:rsid w:val="00735AED"/>
    <w:rsid w:val="00735B69"/>
    <w:rsid w:val="007361D2"/>
    <w:rsid w:val="00736364"/>
    <w:rsid w:val="007368E1"/>
    <w:rsid w:val="00736C83"/>
    <w:rsid w:val="00736EFA"/>
    <w:rsid w:val="007376F9"/>
    <w:rsid w:val="00737728"/>
    <w:rsid w:val="0073780C"/>
    <w:rsid w:val="007378A8"/>
    <w:rsid w:val="0074000B"/>
    <w:rsid w:val="00740252"/>
    <w:rsid w:val="0074028B"/>
    <w:rsid w:val="00740525"/>
    <w:rsid w:val="0074057A"/>
    <w:rsid w:val="00741461"/>
    <w:rsid w:val="007419A0"/>
    <w:rsid w:val="00741B3E"/>
    <w:rsid w:val="00741B89"/>
    <w:rsid w:val="00741C26"/>
    <w:rsid w:val="00741F1E"/>
    <w:rsid w:val="00742045"/>
    <w:rsid w:val="0074240E"/>
    <w:rsid w:val="00742AFB"/>
    <w:rsid w:val="00742C85"/>
    <w:rsid w:val="00743B1D"/>
    <w:rsid w:val="0074460E"/>
    <w:rsid w:val="007446D0"/>
    <w:rsid w:val="00744758"/>
    <w:rsid w:val="00744991"/>
    <w:rsid w:val="0074522D"/>
    <w:rsid w:val="0074530D"/>
    <w:rsid w:val="00745388"/>
    <w:rsid w:val="007469E0"/>
    <w:rsid w:val="00746E39"/>
    <w:rsid w:val="00747FD5"/>
    <w:rsid w:val="0075023A"/>
    <w:rsid w:val="00750717"/>
    <w:rsid w:val="0075071F"/>
    <w:rsid w:val="007510B3"/>
    <w:rsid w:val="00751917"/>
    <w:rsid w:val="00751C6B"/>
    <w:rsid w:val="00752395"/>
    <w:rsid w:val="00752D7D"/>
    <w:rsid w:val="00753067"/>
    <w:rsid w:val="007534E8"/>
    <w:rsid w:val="007536BE"/>
    <w:rsid w:val="0075384A"/>
    <w:rsid w:val="0075393F"/>
    <w:rsid w:val="00753B52"/>
    <w:rsid w:val="00753FA1"/>
    <w:rsid w:val="007540DE"/>
    <w:rsid w:val="00754B73"/>
    <w:rsid w:val="0075510D"/>
    <w:rsid w:val="0075528D"/>
    <w:rsid w:val="007554A5"/>
    <w:rsid w:val="007555F1"/>
    <w:rsid w:val="0075598B"/>
    <w:rsid w:val="00755A2A"/>
    <w:rsid w:val="00755EB5"/>
    <w:rsid w:val="00755FDA"/>
    <w:rsid w:val="00756473"/>
    <w:rsid w:val="007566C5"/>
    <w:rsid w:val="007568CE"/>
    <w:rsid w:val="00756B71"/>
    <w:rsid w:val="00756FA6"/>
    <w:rsid w:val="007572D0"/>
    <w:rsid w:val="0075749A"/>
    <w:rsid w:val="00760602"/>
    <w:rsid w:val="00760A39"/>
    <w:rsid w:val="00760A4A"/>
    <w:rsid w:val="007610DC"/>
    <w:rsid w:val="0076184E"/>
    <w:rsid w:val="00761DED"/>
    <w:rsid w:val="0076250E"/>
    <w:rsid w:val="00762B86"/>
    <w:rsid w:val="00762CB5"/>
    <w:rsid w:val="00762E9B"/>
    <w:rsid w:val="0076334D"/>
    <w:rsid w:val="007633C7"/>
    <w:rsid w:val="00763507"/>
    <w:rsid w:val="00763BFF"/>
    <w:rsid w:val="007641B2"/>
    <w:rsid w:val="00765169"/>
    <w:rsid w:val="00765438"/>
    <w:rsid w:val="0076616F"/>
    <w:rsid w:val="00766BE8"/>
    <w:rsid w:val="00767551"/>
    <w:rsid w:val="00767806"/>
    <w:rsid w:val="00767F19"/>
    <w:rsid w:val="007703CC"/>
    <w:rsid w:val="00770654"/>
    <w:rsid w:val="00770670"/>
    <w:rsid w:val="00770B57"/>
    <w:rsid w:val="00770EC6"/>
    <w:rsid w:val="00770F67"/>
    <w:rsid w:val="007712DB"/>
    <w:rsid w:val="00771322"/>
    <w:rsid w:val="00771A8A"/>
    <w:rsid w:val="00771B4E"/>
    <w:rsid w:val="00771C22"/>
    <w:rsid w:val="00771E2C"/>
    <w:rsid w:val="0077220A"/>
    <w:rsid w:val="00772449"/>
    <w:rsid w:val="00772A31"/>
    <w:rsid w:val="0077386A"/>
    <w:rsid w:val="00773958"/>
    <w:rsid w:val="007745B7"/>
    <w:rsid w:val="007745D6"/>
    <w:rsid w:val="00774BEC"/>
    <w:rsid w:val="00774DCD"/>
    <w:rsid w:val="00774F63"/>
    <w:rsid w:val="00775647"/>
    <w:rsid w:val="0077571C"/>
    <w:rsid w:val="00775F72"/>
    <w:rsid w:val="0077634D"/>
    <w:rsid w:val="00776578"/>
    <w:rsid w:val="007767C2"/>
    <w:rsid w:val="00776A39"/>
    <w:rsid w:val="00776EA6"/>
    <w:rsid w:val="00776EB7"/>
    <w:rsid w:val="00777008"/>
    <w:rsid w:val="007770AC"/>
    <w:rsid w:val="00777B75"/>
    <w:rsid w:val="00777C5C"/>
    <w:rsid w:val="007803A1"/>
    <w:rsid w:val="00780A71"/>
    <w:rsid w:val="00781457"/>
    <w:rsid w:val="007817F8"/>
    <w:rsid w:val="007819CA"/>
    <w:rsid w:val="0078242D"/>
    <w:rsid w:val="00782917"/>
    <w:rsid w:val="00782AB8"/>
    <w:rsid w:val="00783A17"/>
    <w:rsid w:val="00783CC4"/>
    <w:rsid w:val="00783E1E"/>
    <w:rsid w:val="0078449B"/>
    <w:rsid w:val="00784715"/>
    <w:rsid w:val="00784ED2"/>
    <w:rsid w:val="007851B0"/>
    <w:rsid w:val="007853C1"/>
    <w:rsid w:val="007856DD"/>
    <w:rsid w:val="00785723"/>
    <w:rsid w:val="0078590E"/>
    <w:rsid w:val="00786879"/>
    <w:rsid w:val="00786BB3"/>
    <w:rsid w:val="00786D54"/>
    <w:rsid w:val="007872BC"/>
    <w:rsid w:val="00787A84"/>
    <w:rsid w:val="0079071B"/>
    <w:rsid w:val="007907D4"/>
    <w:rsid w:val="00791190"/>
    <w:rsid w:val="00791D69"/>
    <w:rsid w:val="00791EA0"/>
    <w:rsid w:val="00792105"/>
    <w:rsid w:val="007921CD"/>
    <w:rsid w:val="007922AB"/>
    <w:rsid w:val="007922D8"/>
    <w:rsid w:val="00792D04"/>
    <w:rsid w:val="0079303E"/>
    <w:rsid w:val="007931B3"/>
    <w:rsid w:val="0079368F"/>
    <w:rsid w:val="00793843"/>
    <w:rsid w:val="00793936"/>
    <w:rsid w:val="00793D5E"/>
    <w:rsid w:val="00793F59"/>
    <w:rsid w:val="007940B6"/>
    <w:rsid w:val="00794B93"/>
    <w:rsid w:val="007952F1"/>
    <w:rsid w:val="00795343"/>
    <w:rsid w:val="00795418"/>
    <w:rsid w:val="007958A8"/>
    <w:rsid w:val="00796B23"/>
    <w:rsid w:val="00796E14"/>
    <w:rsid w:val="00796FA2"/>
    <w:rsid w:val="00797D3D"/>
    <w:rsid w:val="00797EE9"/>
    <w:rsid w:val="007A0434"/>
    <w:rsid w:val="007A0E61"/>
    <w:rsid w:val="007A1177"/>
    <w:rsid w:val="007A1279"/>
    <w:rsid w:val="007A12CC"/>
    <w:rsid w:val="007A1CA7"/>
    <w:rsid w:val="007A2189"/>
    <w:rsid w:val="007A3385"/>
    <w:rsid w:val="007A3C05"/>
    <w:rsid w:val="007A3D60"/>
    <w:rsid w:val="007A3FA4"/>
    <w:rsid w:val="007A4BC0"/>
    <w:rsid w:val="007A4C8E"/>
    <w:rsid w:val="007A4F58"/>
    <w:rsid w:val="007A536C"/>
    <w:rsid w:val="007A5620"/>
    <w:rsid w:val="007A5789"/>
    <w:rsid w:val="007A659F"/>
    <w:rsid w:val="007A6608"/>
    <w:rsid w:val="007A6CE3"/>
    <w:rsid w:val="007A6D9F"/>
    <w:rsid w:val="007A6FD3"/>
    <w:rsid w:val="007A72B1"/>
    <w:rsid w:val="007A75DB"/>
    <w:rsid w:val="007A78CF"/>
    <w:rsid w:val="007A7BB9"/>
    <w:rsid w:val="007B0049"/>
    <w:rsid w:val="007B0147"/>
    <w:rsid w:val="007B087E"/>
    <w:rsid w:val="007B0B96"/>
    <w:rsid w:val="007B1049"/>
    <w:rsid w:val="007B116B"/>
    <w:rsid w:val="007B227E"/>
    <w:rsid w:val="007B22DF"/>
    <w:rsid w:val="007B25CA"/>
    <w:rsid w:val="007B2786"/>
    <w:rsid w:val="007B307B"/>
    <w:rsid w:val="007B3184"/>
    <w:rsid w:val="007B3E4F"/>
    <w:rsid w:val="007B4301"/>
    <w:rsid w:val="007B499D"/>
    <w:rsid w:val="007B49DC"/>
    <w:rsid w:val="007B4F94"/>
    <w:rsid w:val="007B51CB"/>
    <w:rsid w:val="007B524A"/>
    <w:rsid w:val="007B52A2"/>
    <w:rsid w:val="007B5A51"/>
    <w:rsid w:val="007B5FCB"/>
    <w:rsid w:val="007B7519"/>
    <w:rsid w:val="007C04DF"/>
    <w:rsid w:val="007C0CB6"/>
    <w:rsid w:val="007C1660"/>
    <w:rsid w:val="007C166A"/>
    <w:rsid w:val="007C177E"/>
    <w:rsid w:val="007C19D9"/>
    <w:rsid w:val="007C22FE"/>
    <w:rsid w:val="007C2B19"/>
    <w:rsid w:val="007C2BF1"/>
    <w:rsid w:val="007C2EDF"/>
    <w:rsid w:val="007C2F89"/>
    <w:rsid w:val="007C308D"/>
    <w:rsid w:val="007C30EE"/>
    <w:rsid w:val="007C34F1"/>
    <w:rsid w:val="007C43D6"/>
    <w:rsid w:val="007C4876"/>
    <w:rsid w:val="007C4BD0"/>
    <w:rsid w:val="007C4FD7"/>
    <w:rsid w:val="007C5028"/>
    <w:rsid w:val="007C5920"/>
    <w:rsid w:val="007C5F3B"/>
    <w:rsid w:val="007C6486"/>
    <w:rsid w:val="007C664D"/>
    <w:rsid w:val="007C6C46"/>
    <w:rsid w:val="007C6EF6"/>
    <w:rsid w:val="007C6FC2"/>
    <w:rsid w:val="007C7307"/>
    <w:rsid w:val="007D0074"/>
    <w:rsid w:val="007D0659"/>
    <w:rsid w:val="007D0798"/>
    <w:rsid w:val="007D12AC"/>
    <w:rsid w:val="007D142E"/>
    <w:rsid w:val="007D1A78"/>
    <w:rsid w:val="007D2AC9"/>
    <w:rsid w:val="007D2B63"/>
    <w:rsid w:val="007D4AFD"/>
    <w:rsid w:val="007D5405"/>
    <w:rsid w:val="007D562D"/>
    <w:rsid w:val="007D5663"/>
    <w:rsid w:val="007D56C2"/>
    <w:rsid w:val="007D58E1"/>
    <w:rsid w:val="007D5ACE"/>
    <w:rsid w:val="007D5C6B"/>
    <w:rsid w:val="007D5E98"/>
    <w:rsid w:val="007D6074"/>
    <w:rsid w:val="007D63DE"/>
    <w:rsid w:val="007D6A40"/>
    <w:rsid w:val="007D6B57"/>
    <w:rsid w:val="007D6F53"/>
    <w:rsid w:val="007D6F79"/>
    <w:rsid w:val="007D7167"/>
    <w:rsid w:val="007D75E8"/>
    <w:rsid w:val="007D7731"/>
    <w:rsid w:val="007D79D1"/>
    <w:rsid w:val="007D7B5B"/>
    <w:rsid w:val="007E03D6"/>
    <w:rsid w:val="007E092B"/>
    <w:rsid w:val="007E0B7D"/>
    <w:rsid w:val="007E0C1E"/>
    <w:rsid w:val="007E0C74"/>
    <w:rsid w:val="007E0D33"/>
    <w:rsid w:val="007E0F3B"/>
    <w:rsid w:val="007E115E"/>
    <w:rsid w:val="007E11BC"/>
    <w:rsid w:val="007E17F2"/>
    <w:rsid w:val="007E1B03"/>
    <w:rsid w:val="007E1F2B"/>
    <w:rsid w:val="007E2316"/>
    <w:rsid w:val="007E2373"/>
    <w:rsid w:val="007E271D"/>
    <w:rsid w:val="007E2C1D"/>
    <w:rsid w:val="007E2FF6"/>
    <w:rsid w:val="007E3272"/>
    <w:rsid w:val="007E35F8"/>
    <w:rsid w:val="007E3C31"/>
    <w:rsid w:val="007E42DA"/>
    <w:rsid w:val="007E49F8"/>
    <w:rsid w:val="007E4AFB"/>
    <w:rsid w:val="007E4B1E"/>
    <w:rsid w:val="007E5BE9"/>
    <w:rsid w:val="007E5D77"/>
    <w:rsid w:val="007E630C"/>
    <w:rsid w:val="007E63EC"/>
    <w:rsid w:val="007E64E7"/>
    <w:rsid w:val="007E695D"/>
    <w:rsid w:val="007E6C06"/>
    <w:rsid w:val="007E7298"/>
    <w:rsid w:val="007E747E"/>
    <w:rsid w:val="007E755D"/>
    <w:rsid w:val="007E7816"/>
    <w:rsid w:val="007E7E8F"/>
    <w:rsid w:val="007F0C6A"/>
    <w:rsid w:val="007F0DB6"/>
    <w:rsid w:val="007F0E1C"/>
    <w:rsid w:val="007F1311"/>
    <w:rsid w:val="007F1347"/>
    <w:rsid w:val="007F1B7D"/>
    <w:rsid w:val="007F1BC2"/>
    <w:rsid w:val="007F1C12"/>
    <w:rsid w:val="007F24E6"/>
    <w:rsid w:val="007F2596"/>
    <w:rsid w:val="007F286D"/>
    <w:rsid w:val="007F2B3E"/>
    <w:rsid w:val="007F2FB3"/>
    <w:rsid w:val="007F3E21"/>
    <w:rsid w:val="007F47FD"/>
    <w:rsid w:val="007F54D8"/>
    <w:rsid w:val="007F573A"/>
    <w:rsid w:val="007F5AC7"/>
    <w:rsid w:val="007F5CCC"/>
    <w:rsid w:val="007F63DA"/>
    <w:rsid w:val="007F6692"/>
    <w:rsid w:val="007F66F0"/>
    <w:rsid w:val="007F6D93"/>
    <w:rsid w:val="007F6FE9"/>
    <w:rsid w:val="007F71A2"/>
    <w:rsid w:val="007F76D8"/>
    <w:rsid w:val="007F7EE9"/>
    <w:rsid w:val="0080081A"/>
    <w:rsid w:val="00800911"/>
    <w:rsid w:val="00800B0C"/>
    <w:rsid w:val="00800BFF"/>
    <w:rsid w:val="00800F6B"/>
    <w:rsid w:val="008011E0"/>
    <w:rsid w:val="008012F8"/>
    <w:rsid w:val="008016B2"/>
    <w:rsid w:val="00801FF8"/>
    <w:rsid w:val="00802088"/>
    <w:rsid w:val="00802378"/>
    <w:rsid w:val="008023FE"/>
    <w:rsid w:val="008029FE"/>
    <w:rsid w:val="0080307D"/>
    <w:rsid w:val="00803284"/>
    <w:rsid w:val="008033F2"/>
    <w:rsid w:val="00803876"/>
    <w:rsid w:val="00804189"/>
    <w:rsid w:val="008043B3"/>
    <w:rsid w:val="008047A9"/>
    <w:rsid w:val="008049B5"/>
    <w:rsid w:val="008049F6"/>
    <w:rsid w:val="00804A3E"/>
    <w:rsid w:val="00804BF2"/>
    <w:rsid w:val="008056F0"/>
    <w:rsid w:val="00805B4D"/>
    <w:rsid w:val="00805D46"/>
    <w:rsid w:val="00805FC1"/>
    <w:rsid w:val="00805FDB"/>
    <w:rsid w:val="008067F9"/>
    <w:rsid w:val="008072BB"/>
    <w:rsid w:val="00807735"/>
    <w:rsid w:val="00810239"/>
    <w:rsid w:val="00810998"/>
    <w:rsid w:val="0081099B"/>
    <w:rsid w:val="00810C93"/>
    <w:rsid w:val="00810DD8"/>
    <w:rsid w:val="00811049"/>
    <w:rsid w:val="00811629"/>
    <w:rsid w:val="00811B5C"/>
    <w:rsid w:val="00811B60"/>
    <w:rsid w:val="00811BD5"/>
    <w:rsid w:val="008121B6"/>
    <w:rsid w:val="0081259E"/>
    <w:rsid w:val="0081282E"/>
    <w:rsid w:val="0081292C"/>
    <w:rsid w:val="0081327F"/>
    <w:rsid w:val="008135C7"/>
    <w:rsid w:val="00813E56"/>
    <w:rsid w:val="00813F3B"/>
    <w:rsid w:val="00814085"/>
    <w:rsid w:val="00814595"/>
    <w:rsid w:val="008145C5"/>
    <w:rsid w:val="008149F2"/>
    <w:rsid w:val="00814CF3"/>
    <w:rsid w:val="0081562E"/>
    <w:rsid w:val="00815757"/>
    <w:rsid w:val="00815B56"/>
    <w:rsid w:val="00816075"/>
    <w:rsid w:val="008161AE"/>
    <w:rsid w:val="00816614"/>
    <w:rsid w:val="008167E0"/>
    <w:rsid w:val="00816FB5"/>
    <w:rsid w:val="0081733B"/>
    <w:rsid w:val="008175A8"/>
    <w:rsid w:val="0081767B"/>
    <w:rsid w:val="008177DF"/>
    <w:rsid w:val="00817989"/>
    <w:rsid w:val="00817E07"/>
    <w:rsid w:val="00820A9D"/>
    <w:rsid w:val="00820C7E"/>
    <w:rsid w:val="00820EE0"/>
    <w:rsid w:val="00821048"/>
    <w:rsid w:val="008210E2"/>
    <w:rsid w:val="008210E4"/>
    <w:rsid w:val="0082161B"/>
    <w:rsid w:val="008216A4"/>
    <w:rsid w:val="00821C54"/>
    <w:rsid w:val="00821F34"/>
    <w:rsid w:val="008224EE"/>
    <w:rsid w:val="00822523"/>
    <w:rsid w:val="008227BC"/>
    <w:rsid w:val="00822EA4"/>
    <w:rsid w:val="0082343A"/>
    <w:rsid w:val="00823F3D"/>
    <w:rsid w:val="0082426E"/>
    <w:rsid w:val="00824416"/>
    <w:rsid w:val="008244C7"/>
    <w:rsid w:val="00824666"/>
    <w:rsid w:val="008246D5"/>
    <w:rsid w:val="0082481F"/>
    <w:rsid w:val="00824887"/>
    <w:rsid w:val="00824B0D"/>
    <w:rsid w:val="00824BCE"/>
    <w:rsid w:val="00824D2A"/>
    <w:rsid w:val="00825008"/>
    <w:rsid w:val="008258B1"/>
    <w:rsid w:val="0082599D"/>
    <w:rsid w:val="00825B0C"/>
    <w:rsid w:val="00826096"/>
    <w:rsid w:val="00826D90"/>
    <w:rsid w:val="00826F77"/>
    <w:rsid w:val="00827391"/>
    <w:rsid w:val="00827C06"/>
    <w:rsid w:val="00830CE8"/>
    <w:rsid w:val="00831686"/>
    <w:rsid w:val="008324F2"/>
    <w:rsid w:val="00832B82"/>
    <w:rsid w:val="00832E71"/>
    <w:rsid w:val="008335BB"/>
    <w:rsid w:val="0083376C"/>
    <w:rsid w:val="00833EA3"/>
    <w:rsid w:val="00833FB9"/>
    <w:rsid w:val="0083462B"/>
    <w:rsid w:val="0083494E"/>
    <w:rsid w:val="00834987"/>
    <w:rsid w:val="00834EE8"/>
    <w:rsid w:val="00835306"/>
    <w:rsid w:val="00835311"/>
    <w:rsid w:val="0083550D"/>
    <w:rsid w:val="00835769"/>
    <w:rsid w:val="008357DD"/>
    <w:rsid w:val="00835873"/>
    <w:rsid w:val="00836722"/>
    <w:rsid w:val="00836884"/>
    <w:rsid w:val="00836B84"/>
    <w:rsid w:val="00836CF3"/>
    <w:rsid w:val="00837170"/>
    <w:rsid w:val="00837358"/>
    <w:rsid w:val="00837C01"/>
    <w:rsid w:val="00837D11"/>
    <w:rsid w:val="00837DB9"/>
    <w:rsid w:val="008400AA"/>
    <w:rsid w:val="0084021B"/>
    <w:rsid w:val="00840341"/>
    <w:rsid w:val="00840377"/>
    <w:rsid w:val="008409CA"/>
    <w:rsid w:val="008410EF"/>
    <w:rsid w:val="008412D3"/>
    <w:rsid w:val="0084137F"/>
    <w:rsid w:val="008416E4"/>
    <w:rsid w:val="00841A27"/>
    <w:rsid w:val="00841CE5"/>
    <w:rsid w:val="00841ED4"/>
    <w:rsid w:val="00841F13"/>
    <w:rsid w:val="008426E7"/>
    <w:rsid w:val="0084291C"/>
    <w:rsid w:val="0084396F"/>
    <w:rsid w:val="008439D5"/>
    <w:rsid w:val="00843A8F"/>
    <w:rsid w:val="00843B76"/>
    <w:rsid w:val="00843D9C"/>
    <w:rsid w:val="00844140"/>
    <w:rsid w:val="00844240"/>
    <w:rsid w:val="00844B49"/>
    <w:rsid w:val="00844F43"/>
    <w:rsid w:val="00845294"/>
    <w:rsid w:val="00845859"/>
    <w:rsid w:val="0084596A"/>
    <w:rsid w:val="00845D3E"/>
    <w:rsid w:val="00845E22"/>
    <w:rsid w:val="00845FFD"/>
    <w:rsid w:val="008461BF"/>
    <w:rsid w:val="00846235"/>
    <w:rsid w:val="00846628"/>
    <w:rsid w:val="008466AA"/>
    <w:rsid w:val="00846892"/>
    <w:rsid w:val="008474F2"/>
    <w:rsid w:val="00847892"/>
    <w:rsid w:val="00847A20"/>
    <w:rsid w:val="00847C82"/>
    <w:rsid w:val="00850B43"/>
    <w:rsid w:val="00850D61"/>
    <w:rsid w:val="00850F68"/>
    <w:rsid w:val="008517B1"/>
    <w:rsid w:val="00851812"/>
    <w:rsid w:val="00851AB0"/>
    <w:rsid w:val="00851FDB"/>
    <w:rsid w:val="00851FEB"/>
    <w:rsid w:val="0085225E"/>
    <w:rsid w:val="00852598"/>
    <w:rsid w:val="00852877"/>
    <w:rsid w:val="008528FD"/>
    <w:rsid w:val="00852AC8"/>
    <w:rsid w:val="00852BE2"/>
    <w:rsid w:val="00852DDE"/>
    <w:rsid w:val="00853732"/>
    <w:rsid w:val="00854138"/>
    <w:rsid w:val="00854290"/>
    <w:rsid w:val="00854520"/>
    <w:rsid w:val="0085496C"/>
    <w:rsid w:val="00854EA5"/>
    <w:rsid w:val="00855413"/>
    <w:rsid w:val="00855733"/>
    <w:rsid w:val="0085643B"/>
    <w:rsid w:val="00856696"/>
    <w:rsid w:val="008566A6"/>
    <w:rsid w:val="00856BEF"/>
    <w:rsid w:val="00856CC8"/>
    <w:rsid w:val="008572C2"/>
    <w:rsid w:val="008572F7"/>
    <w:rsid w:val="008573BF"/>
    <w:rsid w:val="008575E1"/>
    <w:rsid w:val="00857F92"/>
    <w:rsid w:val="008602C5"/>
    <w:rsid w:val="0086031C"/>
    <w:rsid w:val="00860633"/>
    <w:rsid w:val="0086066E"/>
    <w:rsid w:val="008607C5"/>
    <w:rsid w:val="00860C96"/>
    <w:rsid w:val="00860F2E"/>
    <w:rsid w:val="00860FC4"/>
    <w:rsid w:val="00861088"/>
    <w:rsid w:val="00861160"/>
    <w:rsid w:val="00861862"/>
    <w:rsid w:val="00861BDF"/>
    <w:rsid w:val="00862D73"/>
    <w:rsid w:val="00863211"/>
    <w:rsid w:val="00863680"/>
    <w:rsid w:val="008639C0"/>
    <w:rsid w:val="00863A4E"/>
    <w:rsid w:val="00863BB1"/>
    <w:rsid w:val="00863FC1"/>
    <w:rsid w:val="008641B1"/>
    <w:rsid w:val="008642A7"/>
    <w:rsid w:val="00864314"/>
    <w:rsid w:val="0086498F"/>
    <w:rsid w:val="00864B4B"/>
    <w:rsid w:val="00864DEB"/>
    <w:rsid w:val="00864FE8"/>
    <w:rsid w:val="008660F0"/>
    <w:rsid w:val="00866C34"/>
    <w:rsid w:val="00867456"/>
    <w:rsid w:val="008678AB"/>
    <w:rsid w:val="00867A37"/>
    <w:rsid w:val="00870264"/>
    <w:rsid w:val="008704B9"/>
    <w:rsid w:val="008706FA"/>
    <w:rsid w:val="00870954"/>
    <w:rsid w:val="00870B03"/>
    <w:rsid w:val="00870CEC"/>
    <w:rsid w:val="00870D83"/>
    <w:rsid w:val="008710C3"/>
    <w:rsid w:val="008719DF"/>
    <w:rsid w:val="008723FA"/>
    <w:rsid w:val="008730CC"/>
    <w:rsid w:val="00873865"/>
    <w:rsid w:val="008739D2"/>
    <w:rsid w:val="00873B56"/>
    <w:rsid w:val="00874BF2"/>
    <w:rsid w:val="00875ADD"/>
    <w:rsid w:val="00875B50"/>
    <w:rsid w:val="00875B6A"/>
    <w:rsid w:val="008760F2"/>
    <w:rsid w:val="00876871"/>
    <w:rsid w:val="00876C5A"/>
    <w:rsid w:val="00877316"/>
    <w:rsid w:val="00877BA5"/>
    <w:rsid w:val="00880150"/>
    <w:rsid w:val="00880496"/>
    <w:rsid w:val="0088056F"/>
    <w:rsid w:val="0088059D"/>
    <w:rsid w:val="008805C2"/>
    <w:rsid w:val="00880635"/>
    <w:rsid w:val="00880904"/>
    <w:rsid w:val="00880BD5"/>
    <w:rsid w:val="00880CB2"/>
    <w:rsid w:val="00880CF4"/>
    <w:rsid w:val="00880EE3"/>
    <w:rsid w:val="0088125F"/>
    <w:rsid w:val="00881806"/>
    <w:rsid w:val="00882B4C"/>
    <w:rsid w:val="00882B9E"/>
    <w:rsid w:val="008831E2"/>
    <w:rsid w:val="008832E1"/>
    <w:rsid w:val="00883569"/>
    <w:rsid w:val="008835ED"/>
    <w:rsid w:val="00883A61"/>
    <w:rsid w:val="00883B94"/>
    <w:rsid w:val="00885363"/>
    <w:rsid w:val="008854D9"/>
    <w:rsid w:val="00885713"/>
    <w:rsid w:val="008859A1"/>
    <w:rsid w:val="00885BD5"/>
    <w:rsid w:val="008861C9"/>
    <w:rsid w:val="008866B0"/>
    <w:rsid w:val="008867DB"/>
    <w:rsid w:val="008872E6"/>
    <w:rsid w:val="0088769E"/>
    <w:rsid w:val="00887BB4"/>
    <w:rsid w:val="008910A7"/>
    <w:rsid w:val="008915C3"/>
    <w:rsid w:val="00892248"/>
    <w:rsid w:val="0089285C"/>
    <w:rsid w:val="00893015"/>
    <w:rsid w:val="00893263"/>
    <w:rsid w:val="00893675"/>
    <w:rsid w:val="00894A97"/>
    <w:rsid w:val="00894B44"/>
    <w:rsid w:val="008952FB"/>
    <w:rsid w:val="0089556E"/>
    <w:rsid w:val="00895A3E"/>
    <w:rsid w:val="00895A8F"/>
    <w:rsid w:val="00895F1F"/>
    <w:rsid w:val="00895FEA"/>
    <w:rsid w:val="008962B4"/>
    <w:rsid w:val="00896717"/>
    <w:rsid w:val="00896A2C"/>
    <w:rsid w:val="00896AF4"/>
    <w:rsid w:val="008971C5"/>
    <w:rsid w:val="00897350"/>
    <w:rsid w:val="008978B5"/>
    <w:rsid w:val="00897D4E"/>
    <w:rsid w:val="00897E8D"/>
    <w:rsid w:val="00897F5C"/>
    <w:rsid w:val="00897F89"/>
    <w:rsid w:val="00897F9E"/>
    <w:rsid w:val="008A039F"/>
    <w:rsid w:val="008A0438"/>
    <w:rsid w:val="008A0621"/>
    <w:rsid w:val="008A066E"/>
    <w:rsid w:val="008A0870"/>
    <w:rsid w:val="008A1248"/>
    <w:rsid w:val="008A1C0D"/>
    <w:rsid w:val="008A2164"/>
    <w:rsid w:val="008A2745"/>
    <w:rsid w:val="008A2764"/>
    <w:rsid w:val="008A2CE5"/>
    <w:rsid w:val="008A2EB8"/>
    <w:rsid w:val="008A2F54"/>
    <w:rsid w:val="008A310D"/>
    <w:rsid w:val="008A341A"/>
    <w:rsid w:val="008A37DD"/>
    <w:rsid w:val="008A3D93"/>
    <w:rsid w:val="008A4717"/>
    <w:rsid w:val="008A53F4"/>
    <w:rsid w:val="008A591B"/>
    <w:rsid w:val="008A5928"/>
    <w:rsid w:val="008A67B0"/>
    <w:rsid w:val="008A67D0"/>
    <w:rsid w:val="008A6846"/>
    <w:rsid w:val="008A68FE"/>
    <w:rsid w:val="008A6D02"/>
    <w:rsid w:val="008A6FF9"/>
    <w:rsid w:val="008A7033"/>
    <w:rsid w:val="008A75C8"/>
    <w:rsid w:val="008B0259"/>
    <w:rsid w:val="008B0578"/>
    <w:rsid w:val="008B0B12"/>
    <w:rsid w:val="008B0E06"/>
    <w:rsid w:val="008B0E0F"/>
    <w:rsid w:val="008B0EE7"/>
    <w:rsid w:val="008B0FCA"/>
    <w:rsid w:val="008B1024"/>
    <w:rsid w:val="008B1224"/>
    <w:rsid w:val="008B1719"/>
    <w:rsid w:val="008B1C16"/>
    <w:rsid w:val="008B203B"/>
    <w:rsid w:val="008B2BEA"/>
    <w:rsid w:val="008B2F23"/>
    <w:rsid w:val="008B3107"/>
    <w:rsid w:val="008B32CD"/>
    <w:rsid w:val="008B3430"/>
    <w:rsid w:val="008B3523"/>
    <w:rsid w:val="008B35D8"/>
    <w:rsid w:val="008B3798"/>
    <w:rsid w:val="008B40AE"/>
    <w:rsid w:val="008B4D95"/>
    <w:rsid w:val="008B551B"/>
    <w:rsid w:val="008B5760"/>
    <w:rsid w:val="008B5BB7"/>
    <w:rsid w:val="008B5EA8"/>
    <w:rsid w:val="008B5F6C"/>
    <w:rsid w:val="008B6725"/>
    <w:rsid w:val="008B67CE"/>
    <w:rsid w:val="008B70F6"/>
    <w:rsid w:val="008B7298"/>
    <w:rsid w:val="008B73D9"/>
    <w:rsid w:val="008B7421"/>
    <w:rsid w:val="008B7782"/>
    <w:rsid w:val="008B7AD6"/>
    <w:rsid w:val="008B7D54"/>
    <w:rsid w:val="008B7DF7"/>
    <w:rsid w:val="008C0245"/>
    <w:rsid w:val="008C0439"/>
    <w:rsid w:val="008C09DF"/>
    <w:rsid w:val="008C0B2C"/>
    <w:rsid w:val="008C0C58"/>
    <w:rsid w:val="008C0CE3"/>
    <w:rsid w:val="008C12F2"/>
    <w:rsid w:val="008C1E83"/>
    <w:rsid w:val="008C21D3"/>
    <w:rsid w:val="008C2BB8"/>
    <w:rsid w:val="008C2BF5"/>
    <w:rsid w:val="008C2D6A"/>
    <w:rsid w:val="008C31F3"/>
    <w:rsid w:val="008C3CF2"/>
    <w:rsid w:val="008C3E9C"/>
    <w:rsid w:val="008C3EF9"/>
    <w:rsid w:val="008C4150"/>
    <w:rsid w:val="008C4742"/>
    <w:rsid w:val="008C4CBA"/>
    <w:rsid w:val="008C4E2C"/>
    <w:rsid w:val="008C55E2"/>
    <w:rsid w:val="008C5C5C"/>
    <w:rsid w:val="008C616B"/>
    <w:rsid w:val="008C63D3"/>
    <w:rsid w:val="008C6648"/>
    <w:rsid w:val="008C6CC0"/>
    <w:rsid w:val="008C7A8E"/>
    <w:rsid w:val="008C7E75"/>
    <w:rsid w:val="008C7EEF"/>
    <w:rsid w:val="008D0A7E"/>
    <w:rsid w:val="008D0E1D"/>
    <w:rsid w:val="008D0E4A"/>
    <w:rsid w:val="008D18CE"/>
    <w:rsid w:val="008D2232"/>
    <w:rsid w:val="008D25AB"/>
    <w:rsid w:val="008D3283"/>
    <w:rsid w:val="008D32DC"/>
    <w:rsid w:val="008D34BB"/>
    <w:rsid w:val="008D3C2D"/>
    <w:rsid w:val="008D3F9B"/>
    <w:rsid w:val="008D427F"/>
    <w:rsid w:val="008D4738"/>
    <w:rsid w:val="008D4A09"/>
    <w:rsid w:val="008D4DEF"/>
    <w:rsid w:val="008D53B5"/>
    <w:rsid w:val="008D54EE"/>
    <w:rsid w:val="008D5723"/>
    <w:rsid w:val="008D5B50"/>
    <w:rsid w:val="008D5F21"/>
    <w:rsid w:val="008D5FFA"/>
    <w:rsid w:val="008D6089"/>
    <w:rsid w:val="008D6C31"/>
    <w:rsid w:val="008D6E34"/>
    <w:rsid w:val="008D73F2"/>
    <w:rsid w:val="008D7659"/>
    <w:rsid w:val="008D7BD0"/>
    <w:rsid w:val="008D7D7D"/>
    <w:rsid w:val="008E02BE"/>
    <w:rsid w:val="008E0B45"/>
    <w:rsid w:val="008E0D18"/>
    <w:rsid w:val="008E1615"/>
    <w:rsid w:val="008E1E8A"/>
    <w:rsid w:val="008E289E"/>
    <w:rsid w:val="008E2AA3"/>
    <w:rsid w:val="008E2DB5"/>
    <w:rsid w:val="008E2FF1"/>
    <w:rsid w:val="008E358C"/>
    <w:rsid w:val="008E426C"/>
    <w:rsid w:val="008E429C"/>
    <w:rsid w:val="008E432B"/>
    <w:rsid w:val="008E44EC"/>
    <w:rsid w:val="008E4604"/>
    <w:rsid w:val="008E4DDD"/>
    <w:rsid w:val="008E50EC"/>
    <w:rsid w:val="008E53DB"/>
    <w:rsid w:val="008E55C6"/>
    <w:rsid w:val="008E5B79"/>
    <w:rsid w:val="008E5D5B"/>
    <w:rsid w:val="008E5ECD"/>
    <w:rsid w:val="008E607C"/>
    <w:rsid w:val="008E60C6"/>
    <w:rsid w:val="008E6A54"/>
    <w:rsid w:val="008E6E50"/>
    <w:rsid w:val="008E6EB5"/>
    <w:rsid w:val="008E70C8"/>
    <w:rsid w:val="008E7348"/>
    <w:rsid w:val="008E758A"/>
    <w:rsid w:val="008E780F"/>
    <w:rsid w:val="008F010B"/>
    <w:rsid w:val="008F0218"/>
    <w:rsid w:val="008F036D"/>
    <w:rsid w:val="008F054C"/>
    <w:rsid w:val="008F0864"/>
    <w:rsid w:val="008F0AE0"/>
    <w:rsid w:val="008F1074"/>
    <w:rsid w:val="008F1277"/>
    <w:rsid w:val="008F1510"/>
    <w:rsid w:val="008F217F"/>
    <w:rsid w:val="008F21FB"/>
    <w:rsid w:val="008F2424"/>
    <w:rsid w:val="008F255D"/>
    <w:rsid w:val="008F2DD0"/>
    <w:rsid w:val="008F31BE"/>
    <w:rsid w:val="008F3BCD"/>
    <w:rsid w:val="008F3BE9"/>
    <w:rsid w:val="008F3C49"/>
    <w:rsid w:val="008F4757"/>
    <w:rsid w:val="008F497C"/>
    <w:rsid w:val="008F4F86"/>
    <w:rsid w:val="008F5205"/>
    <w:rsid w:val="008F5676"/>
    <w:rsid w:val="008F5925"/>
    <w:rsid w:val="008F5CE8"/>
    <w:rsid w:val="008F5CF7"/>
    <w:rsid w:val="008F606B"/>
    <w:rsid w:val="008F607C"/>
    <w:rsid w:val="008F657D"/>
    <w:rsid w:val="008F6DAB"/>
    <w:rsid w:val="008F7636"/>
    <w:rsid w:val="008F7674"/>
    <w:rsid w:val="008F76CA"/>
    <w:rsid w:val="008F79BF"/>
    <w:rsid w:val="00900136"/>
    <w:rsid w:val="009003EF"/>
    <w:rsid w:val="00900608"/>
    <w:rsid w:val="009009F7"/>
    <w:rsid w:val="00900A3F"/>
    <w:rsid w:val="00900B91"/>
    <w:rsid w:val="00900BBB"/>
    <w:rsid w:val="00900D47"/>
    <w:rsid w:val="009011B8"/>
    <w:rsid w:val="00901400"/>
    <w:rsid w:val="009016D9"/>
    <w:rsid w:val="00901760"/>
    <w:rsid w:val="009018AD"/>
    <w:rsid w:val="0090225A"/>
    <w:rsid w:val="009022B1"/>
    <w:rsid w:val="009023A8"/>
    <w:rsid w:val="00903436"/>
    <w:rsid w:val="00903535"/>
    <w:rsid w:val="00903977"/>
    <w:rsid w:val="00903A3B"/>
    <w:rsid w:val="00903AE1"/>
    <w:rsid w:val="0090421F"/>
    <w:rsid w:val="00904F48"/>
    <w:rsid w:val="009050AE"/>
    <w:rsid w:val="00905D2F"/>
    <w:rsid w:val="009062E1"/>
    <w:rsid w:val="00906661"/>
    <w:rsid w:val="00906E6B"/>
    <w:rsid w:val="0090749A"/>
    <w:rsid w:val="00907723"/>
    <w:rsid w:val="00907E3E"/>
    <w:rsid w:val="009105E5"/>
    <w:rsid w:val="0091063B"/>
    <w:rsid w:val="009108E7"/>
    <w:rsid w:val="00910A6F"/>
    <w:rsid w:val="00910CA7"/>
    <w:rsid w:val="00910F79"/>
    <w:rsid w:val="0091133E"/>
    <w:rsid w:val="009113F5"/>
    <w:rsid w:val="009116E4"/>
    <w:rsid w:val="00911886"/>
    <w:rsid w:val="00911F74"/>
    <w:rsid w:val="00911F96"/>
    <w:rsid w:val="0091212A"/>
    <w:rsid w:val="0091299F"/>
    <w:rsid w:val="00912B54"/>
    <w:rsid w:val="009130BC"/>
    <w:rsid w:val="00913125"/>
    <w:rsid w:val="00913141"/>
    <w:rsid w:val="0091368F"/>
    <w:rsid w:val="00913798"/>
    <w:rsid w:val="00913BD3"/>
    <w:rsid w:val="00914C8F"/>
    <w:rsid w:val="009150FD"/>
    <w:rsid w:val="0091545C"/>
    <w:rsid w:val="009163B1"/>
    <w:rsid w:val="009163D1"/>
    <w:rsid w:val="00917566"/>
    <w:rsid w:val="009175FB"/>
    <w:rsid w:val="00917C97"/>
    <w:rsid w:val="00917D42"/>
    <w:rsid w:val="009201B9"/>
    <w:rsid w:val="00920633"/>
    <w:rsid w:val="00920B67"/>
    <w:rsid w:val="00921103"/>
    <w:rsid w:val="0092117E"/>
    <w:rsid w:val="0092191F"/>
    <w:rsid w:val="00921B67"/>
    <w:rsid w:val="009221F1"/>
    <w:rsid w:val="009222F9"/>
    <w:rsid w:val="00922424"/>
    <w:rsid w:val="0092244B"/>
    <w:rsid w:val="00922696"/>
    <w:rsid w:val="009226F1"/>
    <w:rsid w:val="00922EBA"/>
    <w:rsid w:val="00923043"/>
    <w:rsid w:val="00923B01"/>
    <w:rsid w:val="00923E39"/>
    <w:rsid w:val="00923FCC"/>
    <w:rsid w:val="00924352"/>
    <w:rsid w:val="009247C4"/>
    <w:rsid w:val="00924B51"/>
    <w:rsid w:val="00925099"/>
    <w:rsid w:val="009255E9"/>
    <w:rsid w:val="009257AA"/>
    <w:rsid w:val="009264C3"/>
    <w:rsid w:val="00926A5E"/>
    <w:rsid w:val="00927B4D"/>
    <w:rsid w:val="00927D42"/>
    <w:rsid w:val="00930063"/>
    <w:rsid w:val="009305F0"/>
    <w:rsid w:val="00931A85"/>
    <w:rsid w:val="00932034"/>
    <w:rsid w:val="009321B4"/>
    <w:rsid w:val="00932246"/>
    <w:rsid w:val="00932644"/>
    <w:rsid w:val="00932CA8"/>
    <w:rsid w:val="00933FFE"/>
    <w:rsid w:val="009342B6"/>
    <w:rsid w:val="00934DB6"/>
    <w:rsid w:val="009351D8"/>
    <w:rsid w:val="009352BC"/>
    <w:rsid w:val="0093534F"/>
    <w:rsid w:val="0093573B"/>
    <w:rsid w:val="00935DD4"/>
    <w:rsid w:val="00935E22"/>
    <w:rsid w:val="009365FB"/>
    <w:rsid w:val="00936896"/>
    <w:rsid w:val="00936D09"/>
    <w:rsid w:val="00936DB8"/>
    <w:rsid w:val="009376CA"/>
    <w:rsid w:val="00937D41"/>
    <w:rsid w:val="00940E4C"/>
    <w:rsid w:val="00940F93"/>
    <w:rsid w:val="00941398"/>
    <w:rsid w:val="00941767"/>
    <w:rsid w:val="00941914"/>
    <w:rsid w:val="00941E6D"/>
    <w:rsid w:val="00941E80"/>
    <w:rsid w:val="00942415"/>
    <w:rsid w:val="009425BA"/>
    <w:rsid w:val="0094280D"/>
    <w:rsid w:val="00943BF6"/>
    <w:rsid w:val="00943C47"/>
    <w:rsid w:val="00944253"/>
    <w:rsid w:val="00944462"/>
    <w:rsid w:val="00944B82"/>
    <w:rsid w:val="00944F08"/>
    <w:rsid w:val="00944FFE"/>
    <w:rsid w:val="009450F9"/>
    <w:rsid w:val="00945439"/>
    <w:rsid w:val="009457CF"/>
    <w:rsid w:val="00945DDE"/>
    <w:rsid w:val="009468F7"/>
    <w:rsid w:val="0094743E"/>
    <w:rsid w:val="0094772D"/>
    <w:rsid w:val="00947977"/>
    <w:rsid w:val="00947F28"/>
    <w:rsid w:val="00947F94"/>
    <w:rsid w:val="009507F1"/>
    <w:rsid w:val="00950828"/>
    <w:rsid w:val="00950976"/>
    <w:rsid w:val="00950E17"/>
    <w:rsid w:val="00951768"/>
    <w:rsid w:val="00951785"/>
    <w:rsid w:val="009519D1"/>
    <w:rsid w:val="00951AEC"/>
    <w:rsid w:val="00951D4C"/>
    <w:rsid w:val="00951E29"/>
    <w:rsid w:val="00952B24"/>
    <w:rsid w:val="0095307A"/>
    <w:rsid w:val="009537BC"/>
    <w:rsid w:val="00953A23"/>
    <w:rsid w:val="00953DF6"/>
    <w:rsid w:val="00954140"/>
    <w:rsid w:val="00954EBD"/>
    <w:rsid w:val="00954F39"/>
    <w:rsid w:val="009558CD"/>
    <w:rsid w:val="00955CA1"/>
    <w:rsid w:val="00955E8F"/>
    <w:rsid w:val="00955F72"/>
    <w:rsid w:val="00956027"/>
    <w:rsid w:val="0095643B"/>
    <w:rsid w:val="00956482"/>
    <w:rsid w:val="009564D2"/>
    <w:rsid w:val="0095748F"/>
    <w:rsid w:val="0095780F"/>
    <w:rsid w:val="0095797E"/>
    <w:rsid w:val="009579B5"/>
    <w:rsid w:val="009603CA"/>
    <w:rsid w:val="00960625"/>
    <w:rsid w:val="00960CA9"/>
    <w:rsid w:val="00960DDA"/>
    <w:rsid w:val="009617AC"/>
    <w:rsid w:val="00961AD9"/>
    <w:rsid w:val="00961EFA"/>
    <w:rsid w:val="00961F6A"/>
    <w:rsid w:val="0096207A"/>
    <w:rsid w:val="00962324"/>
    <w:rsid w:val="00962640"/>
    <w:rsid w:val="00962D57"/>
    <w:rsid w:val="00962F55"/>
    <w:rsid w:val="00963252"/>
    <w:rsid w:val="0096440F"/>
    <w:rsid w:val="009648AD"/>
    <w:rsid w:val="00964993"/>
    <w:rsid w:val="00965DB4"/>
    <w:rsid w:val="00966676"/>
    <w:rsid w:val="0096672A"/>
    <w:rsid w:val="0096674A"/>
    <w:rsid w:val="00966785"/>
    <w:rsid w:val="00966BAE"/>
    <w:rsid w:val="00967093"/>
    <w:rsid w:val="009670A2"/>
    <w:rsid w:val="0096735C"/>
    <w:rsid w:val="009675A4"/>
    <w:rsid w:val="009675B3"/>
    <w:rsid w:val="00967772"/>
    <w:rsid w:val="009679BA"/>
    <w:rsid w:val="00967C41"/>
    <w:rsid w:val="00970105"/>
    <w:rsid w:val="00970382"/>
    <w:rsid w:val="00970B3E"/>
    <w:rsid w:val="00970D9B"/>
    <w:rsid w:val="00970FC1"/>
    <w:rsid w:val="00971D8B"/>
    <w:rsid w:val="009727E2"/>
    <w:rsid w:val="00972856"/>
    <w:rsid w:val="00972A34"/>
    <w:rsid w:val="00972CB2"/>
    <w:rsid w:val="00972D92"/>
    <w:rsid w:val="00972EE9"/>
    <w:rsid w:val="0097314F"/>
    <w:rsid w:val="0097343B"/>
    <w:rsid w:val="0097350D"/>
    <w:rsid w:val="0097371E"/>
    <w:rsid w:val="00973F18"/>
    <w:rsid w:val="00974038"/>
    <w:rsid w:val="0097424F"/>
    <w:rsid w:val="009745F1"/>
    <w:rsid w:val="0097483B"/>
    <w:rsid w:val="00974B2A"/>
    <w:rsid w:val="00974DED"/>
    <w:rsid w:val="00974E6D"/>
    <w:rsid w:val="009752E5"/>
    <w:rsid w:val="00975D0B"/>
    <w:rsid w:val="0097624B"/>
    <w:rsid w:val="009762A2"/>
    <w:rsid w:val="0097640A"/>
    <w:rsid w:val="009766A3"/>
    <w:rsid w:val="00976C44"/>
    <w:rsid w:val="00976ED3"/>
    <w:rsid w:val="00977235"/>
    <w:rsid w:val="0097793D"/>
    <w:rsid w:val="009804ED"/>
    <w:rsid w:val="0098082F"/>
    <w:rsid w:val="00980F20"/>
    <w:rsid w:val="009810C6"/>
    <w:rsid w:val="009813BB"/>
    <w:rsid w:val="009814F3"/>
    <w:rsid w:val="00981E41"/>
    <w:rsid w:val="009828AB"/>
    <w:rsid w:val="009835A8"/>
    <w:rsid w:val="0098365E"/>
    <w:rsid w:val="00983983"/>
    <w:rsid w:val="00983D53"/>
    <w:rsid w:val="00984097"/>
    <w:rsid w:val="00984173"/>
    <w:rsid w:val="009846DF"/>
    <w:rsid w:val="0098478D"/>
    <w:rsid w:val="009847E8"/>
    <w:rsid w:val="009848D9"/>
    <w:rsid w:val="00984A80"/>
    <w:rsid w:val="00984E87"/>
    <w:rsid w:val="0098505F"/>
    <w:rsid w:val="009851A0"/>
    <w:rsid w:val="00985242"/>
    <w:rsid w:val="00985290"/>
    <w:rsid w:val="00985D39"/>
    <w:rsid w:val="00985D5D"/>
    <w:rsid w:val="00985E57"/>
    <w:rsid w:val="009861D4"/>
    <w:rsid w:val="00986380"/>
    <w:rsid w:val="00986571"/>
    <w:rsid w:val="00986603"/>
    <w:rsid w:val="00986AB5"/>
    <w:rsid w:val="00986C63"/>
    <w:rsid w:val="00986D1E"/>
    <w:rsid w:val="009879B3"/>
    <w:rsid w:val="00987E72"/>
    <w:rsid w:val="00990288"/>
    <w:rsid w:val="00990985"/>
    <w:rsid w:val="009911F9"/>
    <w:rsid w:val="00991484"/>
    <w:rsid w:val="009916DC"/>
    <w:rsid w:val="00991C3C"/>
    <w:rsid w:val="00991DA9"/>
    <w:rsid w:val="00991DBE"/>
    <w:rsid w:val="00991DD4"/>
    <w:rsid w:val="00991E68"/>
    <w:rsid w:val="0099298E"/>
    <w:rsid w:val="00992C7E"/>
    <w:rsid w:val="00992F5A"/>
    <w:rsid w:val="00993299"/>
    <w:rsid w:val="00993C01"/>
    <w:rsid w:val="009942A4"/>
    <w:rsid w:val="0099442E"/>
    <w:rsid w:val="009946E1"/>
    <w:rsid w:val="0099470D"/>
    <w:rsid w:val="0099482D"/>
    <w:rsid w:val="00994FC4"/>
    <w:rsid w:val="009952FA"/>
    <w:rsid w:val="00996039"/>
    <w:rsid w:val="00996732"/>
    <w:rsid w:val="00996DAD"/>
    <w:rsid w:val="0099736C"/>
    <w:rsid w:val="00997B78"/>
    <w:rsid w:val="009A033C"/>
    <w:rsid w:val="009A0C64"/>
    <w:rsid w:val="009A0DF1"/>
    <w:rsid w:val="009A15A9"/>
    <w:rsid w:val="009A1A2F"/>
    <w:rsid w:val="009A1C57"/>
    <w:rsid w:val="009A280E"/>
    <w:rsid w:val="009A2A22"/>
    <w:rsid w:val="009A305C"/>
    <w:rsid w:val="009A3335"/>
    <w:rsid w:val="009A3AF6"/>
    <w:rsid w:val="009A3B70"/>
    <w:rsid w:val="009A3DFD"/>
    <w:rsid w:val="009A3F20"/>
    <w:rsid w:val="009A443F"/>
    <w:rsid w:val="009A4484"/>
    <w:rsid w:val="009A4A85"/>
    <w:rsid w:val="009A4E11"/>
    <w:rsid w:val="009A550E"/>
    <w:rsid w:val="009A5649"/>
    <w:rsid w:val="009A5657"/>
    <w:rsid w:val="009A5A6C"/>
    <w:rsid w:val="009A5AD9"/>
    <w:rsid w:val="009A5D73"/>
    <w:rsid w:val="009A6829"/>
    <w:rsid w:val="009A6B4A"/>
    <w:rsid w:val="009A6CE8"/>
    <w:rsid w:val="009A6D6A"/>
    <w:rsid w:val="009A758A"/>
    <w:rsid w:val="009B0402"/>
    <w:rsid w:val="009B0765"/>
    <w:rsid w:val="009B0DA8"/>
    <w:rsid w:val="009B1933"/>
    <w:rsid w:val="009B1B41"/>
    <w:rsid w:val="009B1DD6"/>
    <w:rsid w:val="009B2439"/>
    <w:rsid w:val="009B2508"/>
    <w:rsid w:val="009B267F"/>
    <w:rsid w:val="009B277D"/>
    <w:rsid w:val="009B377B"/>
    <w:rsid w:val="009B4601"/>
    <w:rsid w:val="009B49F5"/>
    <w:rsid w:val="009B51D8"/>
    <w:rsid w:val="009B52AF"/>
    <w:rsid w:val="009B57DD"/>
    <w:rsid w:val="009B5D14"/>
    <w:rsid w:val="009B5FBA"/>
    <w:rsid w:val="009B6051"/>
    <w:rsid w:val="009B69BE"/>
    <w:rsid w:val="009C004A"/>
    <w:rsid w:val="009C0160"/>
    <w:rsid w:val="009C03AB"/>
    <w:rsid w:val="009C1333"/>
    <w:rsid w:val="009C1362"/>
    <w:rsid w:val="009C15D3"/>
    <w:rsid w:val="009C19BC"/>
    <w:rsid w:val="009C1D27"/>
    <w:rsid w:val="009C1ED2"/>
    <w:rsid w:val="009C216D"/>
    <w:rsid w:val="009C2B65"/>
    <w:rsid w:val="009C2ECE"/>
    <w:rsid w:val="009C3519"/>
    <w:rsid w:val="009C38FD"/>
    <w:rsid w:val="009C3968"/>
    <w:rsid w:val="009C3ABA"/>
    <w:rsid w:val="009C3C17"/>
    <w:rsid w:val="009C451A"/>
    <w:rsid w:val="009C463A"/>
    <w:rsid w:val="009C52AA"/>
    <w:rsid w:val="009C531F"/>
    <w:rsid w:val="009C59A8"/>
    <w:rsid w:val="009C5BC7"/>
    <w:rsid w:val="009C5C98"/>
    <w:rsid w:val="009C676E"/>
    <w:rsid w:val="009C681A"/>
    <w:rsid w:val="009C6927"/>
    <w:rsid w:val="009C6E58"/>
    <w:rsid w:val="009C73F0"/>
    <w:rsid w:val="009C78CE"/>
    <w:rsid w:val="009C7930"/>
    <w:rsid w:val="009C7A5D"/>
    <w:rsid w:val="009C7D45"/>
    <w:rsid w:val="009D0580"/>
    <w:rsid w:val="009D0661"/>
    <w:rsid w:val="009D076B"/>
    <w:rsid w:val="009D0A0A"/>
    <w:rsid w:val="009D0E26"/>
    <w:rsid w:val="009D10E8"/>
    <w:rsid w:val="009D1405"/>
    <w:rsid w:val="009D1449"/>
    <w:rsid w:val="009D14A6"/>
    <w:rsid w:val="009D1D7A"/>
    <w:rsid w:val="009D1EFF"/>
    <w:rsid w:val="009D27FC"/>
    <w:rsid w:val="009D3094"/>
    <w:rsid w:val="009D3177"/>
    <w:rsid w:val="009D3608"/>
    <w:rsid w:val="009D373D"/>
    <w:rsid w:val="009D44E1"/>
    <w:rsid w:val="009D464B"/>
    <w:rsid w:val="009D46AB"/>
    <w:rsid w:val="009D53CC"/>
    <w:rsid w:val="009D5423"/>
    <w:rsid w:val="009D5567"/>
    <w:rsid w:val="009D5579"/>
    <w:rsid w:val="009D566B"/>
    <w:rsid w:val="009D569F"/>
    <w:rsid w:val="009D578F"/>
    <w:rsid w:val="009D57B5"/>
    <w:rsid w:val="009D57E3"/>
    <w:rsid w:val="009D57F0"/>
    <w:rsid w:val="009D5949"/>
    <w:rsid w:val="009D649E"/>
    <w:rsid w:val="009D65B6"/>
    <w:rsid w:val="009D6993"/>
    <w:rsid w:val="009D6ACF"/>
    <w:rsid w:val="009D6D51"/>
    <w:rsid w:val="009D6FA2"/>
    <w:rsid w:val="009D7344"/>
    <w:rsid w:val="009D7DD1"/>
    <w:rsid w:val="009E0302"/>
    <w:rsid w:val="009E0420"/>
    <w:rsid w:val="009E0679"/>
    <w:rsid w:val="009E11AD"/>
    <w:rsid w:val="009E1404"/>
    <w:rsid w:val="009E1ACB"/>
    <w:rsid w:val="009E2337"/>
    <w:rsid w:val="009E27B2"/>
    <w:rsid w:val="009E28FD"/>
    <w:rsid w:val="009E2B4F"/>
    <w:rsid w:val="009E323C"/>
    <w:rsid w:val="009E3279"/>
    <w:rsid w:val="009E35E4"/>
    <w:rsid w:val="009E3DC1"/>
    <w:rsid w:val="009E422A"/>
    <w:rsid w:val="009E4694"/>
    <w:rsid w:val="009E46F6"/>
    <w:rsid w:val="009E49A4"/>
    <w:rsid w:val="009E51C3"/>
    <w:rsid w:val="009E5455"/>
    <w:rsid w:val="009E55BE"/>
    <w:rsid w:val="009E5864"/>
    <w:rsid w:val="009E594F"/>
    <w:rsid w:val="009E5AF1"/>
    <w:rsid w:val="009E5BAE"/>
    <w:rsid w:val="009E6F8F"/>
    <w:rsid w:val="009E71EC"/>
    <w:rsid w:val="009E742D"/>
    <w:rsid w:val="009E7469"/>
    <w:rsid w:val="009F1303"/>
    <w:rsid w:val="009F1616"/>
    <w:rsid w:val="009F17BE"/>
    <w:rsid w:val="009F182A"/>
    <w:rsid w:val="009F28A4"/>
    <w:rsid w:val="009F2FD5"/>
    <w:rsid w:val="009F3337"/>
    <w:rsid w:val="009F3369"/>
    <w:rsid w:val="009F35D1"/>
    <w:rsid w:val="009F3608"/>
    <w:rsid w:val="009F36C8"/>
    <w:rsid w:val="009F3FD2"/>
    <w:rsid w:val="009F4304"/>
    <w:rsid w:val="009F4315"/>
    <w:rsid w:val="009F4FBE"/>
    <w:rsid w:val="009F548A"/>
    <w:rsid w:val="009F55FC"/>
    <w:rsid w:val="009F5B98"/>
    <w:rsid w:val="009F6CA4"/>
    <w:rsid w:val="009F6D0A"/>
    <w:rsid w:val="009F78D3"/>
    <w:rsid w:val="009F7B07"/>
    <w:rsid w:val="009F7B40"/>
    <w:rsid w:val="009F7E60"/>
    <w:rsid w:val="00A00131"/>
    <w:rsid w:val="00A00292"/>
    <w:rsid w:val="00A004ED"/>
    <w:rsid w:val="00A005F9"/>
    <w:rsid w:val="00A0088D"/>
    <w:rsid w:val="00A009B0"/>
    <w:rsid w:val="00A0181D"/>
    <w:rsid w:val="00A01CCF"/>
    <w:rsid w:val="00A021E9"/>
    <w:rsid w:val="00A02787"/>
    <w:rsid w:val="00A02E73"/>
    <w:rsid w:val="00A03D89"/>
    <w:rsid w:val="00A0422A"/>
    <w:rsid w:val="00A0450D"/>
    <w:rsid w:val="00A045D2"/>
    <w:rsid w:val="00A04C6F"/>
    <w:rsid w:val="00A053E6"/>
    <w:rsid w:val="00A06158"/>
    <w:rsid w:val="00A0654F"/>
    <w:rsid w:val="00A07A37"/>
    <w:rsid w:val="00A07D94"/>
    <w:rsid w:val="00A10573"/>
    <w:rsid w:val="00A10A3E"/>
    <w:rsid w:val="00A10A80"/>
    <w:rsid w:val="00A10E6B"/>
    <w:rsid w:val="00A11E71"/>
    <w:rsid w:val="00A12410"/>
    <w:rsid w:val="00A125A0"/>
    <w:rsid w:val="00A127DA"/>
    <w:rsid w:val="00A12A66"/>
    <w:rsid w:val="00A12FFE"/>
    <w:rsid w:val="00A13660"/>
    <w:rsid w:val="00A1368C"/>
    <w:rsid w:val="00A138CC"/>
    <w:rsid w:val="00A13E82"/>
    <w:rsid w:val="00A13E92"/>
    <w:rsid w:val="00A14734"/>
    <w:rsid w:val="00A14C1E"/>
    <w:rsid w:val="00A14F97"/>
    <w:rsid w:val="00A15A8F"/>
    <w:rsid w:val="00A15BD4"/>
    <w:rsid w:val="00A16910"/>
    <w:rsid w:val="00A169D7"/>
    <w:rsid w:val="00A17053"/>
    <w:rsid w:val="00A17326"/>
    <w:rsid w:val="00A173F7"/>
    <w:rsid w:val="00A17F17"/>
    <w:rsid w:val="00A200D4"/>
    <w:rsid w:val="00A203CE"/>
    <w:rsid w:val="00A208CF"/>
    <w:rsid w:val="00A20D6A"/>
    <w:rsid w:val="00A20F4B"/>
    <w:rsid w:val="00A2102B"/>
    <w:rsid w:val="00A214C1"/>
    <w:rsid w:val="00A21ACA"/>
    <w:rsid w:val="00A229A9"/>
    <w:rsid w:val="00A2354C"/>
    <w:rsid w:val="00A23A1A"/>
    <w:rsid w:val="00A240CB"/>
    <w:rsid w:val="00A24150"/>
    <w:rsid w:val="00A242DB"/>
    <w:rsid w:val="00A243C8"/>
    <w:rsid w:val="00A245E0"/>
    <w:rsid w:val="00A246B5"/>
    <w:rsid w:val="00A2477A"/>
    <w:rsid w:val="00A247B0"/>
    <w:rsid w:val="00A24853"/>
    <w:rsid w:val="00A24DA3"/>
    <w:rsid w:val="00A25619"/>
    <w:rsid w:val="00A25DA1"/>
    <w:rsid w:val="00A26A24"/>
    <w:rsid w:val="00A26D7F"/>
    <w:rsid w:val="00A271E5"/>
    <w:rsid w:val="00A2723A"/>
    <w:rsid w:val="00A27335"/>
    <w:rsid w:val="00A27615"/>
    <w:rsid w:val="00A277C9"/>
    <w:rsid w:val="00A30347"/>
    <w:rsid w:val="00A3066C"/>
    <w:rsid w:val="00A30A93"/>
    <w:rsid w:val="00A30B92"/>
    <w:rsid w:val="00A30E0C"/>
    <w:rsid w:val="00A3130F"/>
    <w:rsid w:val="00A31B76"/>
    <w:rsid w:val="00A321D4"/>
    <w:rsid w:val="00A32732"/>
    <w:rsid w:val="00A32AEA"/>
    <w:rsid w:val="00A32B13"/>
    <w:rsid w:val="00A32B24"/>
    <w:rsid w:val="00A334D4"/>
    <w:rsid w:val="00A33865"/>
    <w:rsid w:val="00A33B37"/>
    <w:rsid w:val="00A3438C"/>
    <w:rsid w:val="00A34405"/>
    <w:rsid w:val="00A347B1"/>
    <w:rsid w:val="00A34AA1"/>
    <w:rsid w:val="00A34C42"/>
    <w:rsid w:val="00A34CA9"/>
    <w:rsid w:val="00A34F0D"/>
    <w:rsid w:val="00A34FA3"/>
    <w:rsid w:val="00A351D7"/>
    <w:rsid w:val="00A35302"/>
    <w:rsid w:val="00A3530D"/>
    <w:rsid w:val="00A360EB"/>
    <w:rsid w:val="00A367E8"/>
    <w:rsid w:val="00A36A5B"/>
    <w:rsid w:val="00A36CAE"/>
    <w:rsid w:val="00A36FAD"/>
    <w:rsid w:val="00A371C7"/>
    <w:rsid w:val="00A40026"/>
    <w:rsid w:val="00A4020C"/>
    <w:rsid w:val="00A4110F"/>
    <w:rsid w:val="00A41912"/>
    <w:rsid w:val="00A41FF8"/>
    <w:rsid w:val="00A42EB9"/>
    <w:rsid w:val="00A44A7C"/>
    <w:rsid w:val="00A44B7D"/>
    <w:rsid w:val="00A4530B"/>
    <w:rsid w:val="00A458BD"/>
    <w:rsid w:val="00A459AB"/>
    <w:rsid w:val="00A45C23"/>
    <w:rsid w:val="00A45EC4"/>
    <w:rsid w:val="00A46185"/>
    <w:rsid w:val="00A4621D"/>
    <w:rsid w:val="00A46252"/>
    <w:rsid w:val="00A4626D"/>
    <w:rsid w:val="00A46EDD"/>
    <w:rsid w:val="00A46FAF"/>
    <w:rsid w:val="00A475C0"/>
    <w:rsid w:val="00A47854"/>
    <w:rsid w:val="00A47E6A"/>
    <w:rsid w:val="00A50A7C"/>
    <w:rsid w:val="00A50A7E"/>
    <w:rsid w:val="00A50B7B"/>
    <w:rsid w:val="00A5120B"/>
    <w:rsid w:val="00A51AB8"/>
    <w:rsid w:val="00A52212"/>
    <w:rsid w:val="00A52ADB"/>
    <w:rsid w:val="00A5348D"/>
    <w:rsid w:val="00A53C29"/>
    <w:rsid w:val="00A54130"/>
    <w:rsid w:val="00A54967"/>
    <w:rsid w:val="00A55249"/>
    <w:rsid w:val="00A553C4"/>
    <w:rsid w:val="00A553E8"/>
    <w:rsid w:val="00A55757"/>
    <w:rsid w:val="00A56432"/>
    <w:rsid w:val="00A56A8E"/>
    <w:rsid w:val="00A56ACE"/>
    <w:rsid w:val="00A56E2A"/>
    <w:rsid w:val="00A5718A"/>
    <w:rsid w:val="00A571CD"/>
    <w:rsid w:val="00A57933"/>
    <w:rsid w:val="00A57E12"/>
    <w:rsid w:val="00A601F1"/>
    <w:rsid w:val="00A606B8"/>
    <w:rsid w:val="00A609A4"/>
    <w:rsid w:val="00A60E57"/>
    <w:rsid w:val="00A60F26"/>
    <w:rsid w:val="00A61291"/>
    <w:rsid w:val="00A61833"/>
    <w:rsid w:val="00A61AFE"/>
    <w:rsid w:val="00A61F71"/>
    <w:rsid w:val="00A6219D"/>
    <w:rsid w:val="00A62CD5"/>
    <w:rsid w:val="00A63121"/>
    <w:rsid w:val="00A6356A"/>
    <w:rsid w:val="00A6361B"/>
    <w:rsid w:val="00A63720"/>
    <w:rsid w:val="00A63987"/>
    <w:rsid w:val="00A639EE"/>
    <w:rsid w:val="00A63E5D"/>
    <w:rsid w:val="00A64FE5"/>
    <w:rsid w:val="00A658C4"/>
    <w:rsid w:val="00A659F7"/>
    <w:rsid w:val="00A6689B"/>
    <w:rsid w:val="00A66A61"/>
    <w:rsid w:val="00A66CC7"/>
    <w:rsid w:val="00A66DDE"/>
    <w:rsid w:val="00A66FC3"/>
    <w:rsid w:val="00A67020"/>
    <w:rsid w:val="00A670A0"/>
    <w:rsid w:val="00A67B3F"/>
    <w:rsid w:val="00A67CE8"/>
    <w:rsid w:val="00A7050F"/>
    <w:rsid w:val="00A70D36"/>
    <w:rsid w:val="00A71450"/>
    <w:rsid w:val="00A717A2"/>
    <w:rsid w:val="00A718FC"/>
    <w:rsid w:val="00A71B1D"/>
    <w:rsid w:val="00A71ED2"/>
    <w:rsid w:val="00A725A2"/>
    <w:rsid w:val="00A72AA7"/>
    <w:rsid w:val="00A72B61"/>
    <w:rsid w:val="00A72EF1"/>
    <w:rsid w:val="00A73029"/>
    <w:rsid w:val="00A73415"/>
    <w:rsid w:val="00A7356F"/>
    <w:rsid w:val="00A73649"/>
    <w:rsid w:val="00A73EE8"/>
    <w:rsid w:val="00A74298"/>
    <w:rsid w:val="00A74767"/>
    <w:rsid w:val="00A748DE"/>
    <w:rsid w:val="00A74963"/>
    <w:rsid w:val="00A75A2C"/>
    <w:rsid w:val="00A75E93"/>
    <w:rsid w:val="00A76129"/>
    <w:rsid w:val="00A7664E"/>
    <w:rsid w:val="00A76EC1"/>
    <w:rsid w:val="00A76F6B"/>
    <w:rsid w:val="00A77040"/>
    <w:rsid w:val="00A771FE"/>
    <w:rsid w:val="00A77E1C"/>
    <w:rsid w:val="00A801C6"/>
    <w:rsid w:val="00A802AF"/>
    <w:rsid w:val="00A80855"/>
    <w:rsid w:val="00A80D45"/>
    <w:rsid w:val="00A80DBA"/>
    <w:rsid w:val="00A80FE5"/>
    <w:rsid w:val="00A8113D"/>
    <w:rsid w:val="00A81B57"/>
    <w:rsid w:val="00A81DDD"/>
    <w:rsid w:val="00A821F0"/>
    <w:rsid w:val="00A8221A"/>
    <w:rsid w:val="00A828DA"/>
    <w:rsid w:val="00A833A6"/>
    <w:rsid w:val="00A83DEA"/>
    <w:rsid w:val="00A8423A"/>
    <w:rsid w:val="00A84361"/>
    <w:rsid w:val="00A843A1"/>
    <w:rsid w:val="00A84CA7"/>
    <w:rsid w:val="00A84F4C"/>
    <w:rsid w:val="00A8533A"/>
    <w:rsid w:val="00A8564F"/>
    <w:rsid w:val="00A85F9B"/>
    <w:rsid w:val="00A860C4"/>
    <w:rsid w:val="00A8658E"/>
    <w:rsid w:val="00A86974"/>
    <w:rsid w:val="00A86D1A"/>
    <w:rsid w:val="00A86E4F"/>
    <w:rsid w:val="00A87701"/>
    <w:rsid w:val="00A9013B"/>
    <w:rsid w:val="00A90218"/>
    <w:rsid w:val="00A90422"/>
    <w:rsid w:val="00A912C7"/>
    <w:rsid w:val="00A91932"/>
    <w:rsid w:val="00A91A6C"/>
    <w:rsid w:val="00A91AF3"/>
    <w:rsid w:val="00A91AF7"/>
    <w:rsid w:val="00A930F8"/>
    <w:rsid w:val="00A931CB"/>
    <w:rsid w:val="00A93B4D"/>
    <w:rsid w:val="00A93D95"/>
    <w:rsid w:val="00A94C48"/>
    <w:rsid w:val="00A950C1"/>
    <w:rsid w:val="00A95182"/>
    <w:rsid w:val="00A952A8"/>
    <w:rsid w:val="00A955AC"/>
    <w:rsid w:val="00A95B9E"/>
    <w:rsid w:val="00A95C4D"/>
    <w:rsid w:val="00A95FB7"/>
    <w:rsid w:val="00A969B0"/>
    <w:rsid w:val="00A96A2B"/>
    <w:rsid w:val="00A96BFF"/>
    <w:rsid w:val="00A975F1"/>
    <w:rsid w:val="00A97C6D"/>
    <w:rsid w:val="00A97DCE"/>
    <w:rsid w:val="00AA0E60"/>
    <w:rsid w:val="00AA1083"/>
    <w:rsid w:val="00AA1772"/>
    <w:rsid w:val="00AA1A1A"/>
    <w:rsid w:val="00AA1E5D"/>
    <w:rsid w:val="00AA1F81"/>
    <w:rsid w:val="00AA2FD5"/>
    <w:rsid w:val="00AA3A9F"/>
    <w:rsid w:val="00AA3AFB"/>
    <w:rsid w:val="00AA42D6"/>
    <w:rsid w:val="00AA46B7"/>
    <w:rsid w:val="00AA4DE6"/>
    <w:rsid w:val="00AA4F1F"/>
    <w:rsid w:val="00AA5721"/>
    <w:rsid w:val="00AA58CD"/>
    <w:rsid w:val="00AA6264"/>
    <w:rsid w:val="00AA62E4"/>
    <w:rsid w:val="00AA633F"/>
    <w:rsid w:val="00AA64CD"/>
    <w:rsid w:val="00AA650F"/>
    <w:rsid w:val="00AA66F6"/>
    <w:rsid w:val="00AA67D5"/>
    <w:rsid w:val="00AA6D97"/>
    <w:rsid w:val="00AA6DC2"/>
    <w:rsid w:val="00AA6EE0"/>
    <w:rsid w:val="00AA7034"/>
    <w:rsid w:val="00AA73DF"/>
    <w:rsid w:val="00AA78E0"/>
    <w:rsid w:val="00AB0AD4"/>
    <w:rsid w:val="00AB0ED5"/>
    <w:rsid w:val="00AB1227"/>
    <w:rsid w:val="00AB12D1"/>
    <w:rsid w:val="00AB160B"/>
    <w:rsid w:val="00AB17F8"/>
    <w:rsid w:val="00AB201B"/>
    <w:rsid w:val="00AB2058"/>
    <w:rsid w:val="00AB20AC"/>
    <w:rsid w:val="00AB233F"/>
    <w:rsid w:val="00AB320F"/>
    <w:rsid w:val="00AB3374"/>
    <w:rsid w:val="00AB3469"/>
    <w:rsid w:val="00AB3513"/>
    <w:rsid w:val="00AB36BC"/>
    <w:rsid w:val="00AB3EB6"/>
    <w:rsid w:val="00AB48A6"/>
    <w:rsid w:val="00AB4C61"/>
    <w:rsid w:val="00AB4FF0"/>
    <w:rsid w:val="00AB501A"/>
    <w:rsid w:val="00AB54D5"/>
    <w:rsid w:val="00AB5AAE"/>
    <w:rsid w:val="00AB5B4E"/>
    <w:rsid w:val="00AB5BEF"/>
    <w:rsid w:val="00AB5FC4"/>
    <w:rsid w:val="00AB6283"/>
    <w:rsid w:val="00AB6A5F"/>
    <w:rsid w:val="00AB6A8C"/>
    <w:rsid w:val="00AB79BD"/>
    <w:rsid w:val="00AB79C4"/>
    <w:rsid w:val="00AB7B4D"/>
    <w:rsid w:val="00AC0592"/>
    <w:rsid w:val="00AC0878"/>
    <w:rsid w:val="00AC09F9"/>
    <w:rsid w:val="00AC0A71"/>
    <w:rsid w:val="00AC1486"/>
    <w:rsid w:val="00AC16A3"/>
    <w:rsid w:val="00AC1936"/>
    <w:rsid w:val="00AC193E"/>
    <w:rsid w:val="00AC1F13"/>
    <w:rsid w:val="00AC1FEC"/>
    <w:rsid w:val="00AC253D"/>
    <w:rsid w:val="00AC3593"/>
    <w:rsid w:val="00AC3732"/>
    <w:rsid w:val="00AC3D7D"/>
    <w:rsid w:val="00AC3E97"/>
    <w:rsid w:val="00AC43FB"/>
    <w:rsid w:val="00AC4640"/>
    <w:rsid w:val="00AC4A5F"/>
    <w:rsid w:val="00AC5048"/>
    <w:rsid w:val="00AC557B"/>
    <w:rsid w:val="00AC5CC5"/>
    <w:rsid w:val="00AC5D02"/>
    <w:rsid w:val="00AC6487"/>
    <w:rsid w:val="00AC6635"/>
    <w:rsid w:val="00AC6F63"/>
    <w:rsid w:val="00AC6F92"/>
    <w:rsid w:val="00AC706A"/>
    <w:rsid w:val="00AC7778"/>
    <w:rsid w:val="00AC797B"/>
    <w:rsid w:val="00AC7CD0"/>
    <w:rsid w:val="00AD019D"/>
    <w:rsid w:val="00AD0661"/>
    <w:rsid w:val="00AD0664"/>
    <w:rsid w:val="00AD06EB"/>
    <w:rsid w:val="00AD07B7"/>
    <w:rsid w:val="00AD07B8"/>
    <w:rsid w:val="00AD08E1"/>
    <w:rsid w:val="00AD09FC"/>
    <w:rsid w:val="00AD0DB6"/>
    <w:rsid w:val="00AD0F42"/>
    <w:rsid w:val="00AD1CCA"/>
    <w:rsid w:val="00AD1EAC"/>
    <w:rsid w:val="00AD2136"/>
    <w:rsid w:val="00AD2758"/>
    <w:rsid w:val="00AD281E"/>
    <w:rsid w:val="00AD2D56"/>
    <w:rsid w:val="00AD31E6"/>
    <w:rsid w:val="00AD3667"/>
    <w:rsid w:val="00AD3B6B"/>
    <w:rsid w:val="00AD4117"/>
    <w:rsid w:val="00AD4220"/>
    <w:rsid w:val="00AD44BC"/>
    <w:rsid w:val="00AD464B"/>
    <w:rsid w:val="00AD4A25"/>
    <w:rsid w:val="00AD4BAE"/>
    <w:rsid w:val="00AD4C8F"/>
    <w:rsid w:val="00AD5600"/>
    <w:rsid w:val="00AD56F6"/>
    <w:rsid w:val="00AD5959"/>
    <w:rsid w:val="00AD5C6E"/>
    <w:rsid w:val="00AD5D05"/>
    <w:rsid w:val="00AD5D3A"/>
    <w:rsid w:val="00AD67C7"/>
    <w:rsid w:val="00AD6ACE"/>
    <w:rsid w:val="00AD766C"/>
    <w:rsid w:val="00AE0207"/>
    <w:rsid w:val="00AE03CE"/>
    <w:rsid w:val="00AE0574"/>
    <w:rsid w:val="00AE113E"/>
    <w:rsid w:val="00AE18D3"/>
    <w:rsid w:val="00AE1AE0"/>
    <w:rsid w:val="00AE1ECB"/>
    <w:rsid w:val="00AE20D4"/>
    <w:rsid w:val="00AE211A"/>
    <w:rsid w:val="00AE26ED"/>
    <w:rsid w:val="00AE2A70"/>
    <w:rsid w:val="00AE3236"/>
    <w:rsid w:val="00AE33CB"/>
    <w:rsid w:val="00AE36A8"/>
    <w:rsid w:val="00AE3D54"/>
    <w:rsid w:val="00AE4092"/>
    <w:rsid w:val="00AE46DD"/>
    <w:rsid w:val="00AE46E9"/>
    <w:rsid w:val="00AE47A6"/>
    <w:rsid w:val="00AE4ACB"/>
    <w:rsid w:val="00AE4B5D"/>
    <w:rsid w:val="00AE4BF2"/>
    <w:rsid w:val="00AE4D05"/>
    <w:rsid w:val="00AE5348"/>
    <w:rsid w:val="00AE5943"/>
    <w:rsid w:val="00AE5D3D"/>
    <w:rsid w:val="00AE5F7A"/>
    <w:rsid w:val="00AE62B6"/>
    <w:rsid w:val="00AE6320"/>
    <w:rsid w:val="00AE65A5"/>
    <w:rsid w:val="00AE6CDC"/>
    <w:rsid w:val="00AE6E97"/>
    <w:rsid w:val="00AE7757"/>
    <w:rsid w:val="00AE78A6"/>
    <w:rsid w:val="00AE7A41"/>
    <w:rsid w:val="00AE7DDE"/>
    <w:rsid w:val="00AE7ED9"/>
    <w:rsid w:val="00AF0556"/>
    <w:rsid w:val="00AF05E2"/>
    <w:rsid w:val="00AF117D"/>
    <w:rsid w:val="00AF1C1B"/>
    <w:rsid w:val="00AF2843"/>
    <w:rsid w:val="00AF3144"/>
    <w:rsid w:val="00AF347F"/>
    <w:rsid w:val="00AF354E"/>
    <w:rsid w:val="00AF35BD"/>
    <w:rsid w:val="00AF3B17"/>
    <w:rsid w:val="00AF5791"/>
    <w:rsid w:val="00AF5962"/>
    <w:rsid w:val="00AF6047"/>
    <w:rsid w:val="00AF60C0"/>
    <w:rsid w:val="00AF613A"/>
    <w:rsid w:val="00AF6CCA"/>
    <w:rsid w:val="00AF7632"/>
    <w:rsid w:val="00AF7E23"/>
    <w:rsid w:val="00B004AF"/>
    <w:rsid w:val="00B00A4E"/>
    <w:rsid w:val="00B00C18"/>
    <w:rsid w:val="00B00C76"/>
    <w:rsid w:val="00B0103B"/>
    <w:rsid w:val="00B01391"/>
    <w:rsid w:val="00B0168E"/>
    <w:rsid w:val="00B01F32"/>
    <w:rsid w:val="00B020C6"/>
    <w:rsid w:val="00B02161"/>
    <w:rsid w:val="00B02400"/>
    <w:rsid w:val="00B026C9"/>
    <w:rsid w:val="00B028A7"/>
    <w:rsid w:val="00B0292F"/>
    <w:rsid w:val="00B02E9B"/>
    <w:rsid w:val="00B0338F"/>
    <w:rsid w:val="00B0378D"/>
    <w:rsid w:val="00B04557"/>
    <w:rsid w:val="00B04BE9"/>
    <w:rsid w:val="00B05174"/>
    <w:rsid w:val="00B05572"/>
    <w:rsid w:val="00B05B41"/>
    <w:rsid w:val="00B05C69"/>
    <w:rsid w:val="00B05CA0"/>
    <w:rsid w:val="00B05EB0"/>
    <w:rsid w:val="00B06085"/>
    <w:rsid w:val="00B060DA"/>
    <w:rsid w:val="00B06DB1"/>
    <w:rsid w:val="00B06DDE"/>
    <w:rsid w:val="00B06FF5"/>
    <w:rsid w:val="00B07346"/>
    <w:rsid w:val="00B077E4"/>
    <w:rsid w:val="00B0794A"/>
    <w:rsid w:val="00B07A0F"/>
    <w:rsid w:val="00B07BF2"/>
    <w:rsid w:val="00B07C05"/>
    <w:rsid w:val="00B100C4"/>
    <w:rsid w:val="00B11065"/>
    <w:rsid w:val="00B11225"/>
    <w:rsid w:val="00B11244"/>
    <w:rsid w:val="00B11A9A"/>
    <w:rsid w:val="00B11E5C"/>
    <w:rsid w:val="00B11FAC"/>
    <w:rsid w:val="00B12709"/>
    <w:rsid w:val="00B12C25"/>
    <w:rsid w:val="00B12CF2"/>
    <w:rsid w:val="00B1305F"/>
    <w:rsid w:val="00B130CC"/>
    <w:rsid w:val="00B13695"/>
    <w:rsid w:val="00B138DC"/>
    <w:rsid w:val="00B13B20"/>
    <w:rsid w:val="00B141FE"/>
    <w:rsid w:val="00B1461D"/>
    <w:rsid w:val="00B149E0"/>
    <w:rsid w:val="00B14F08"/>
    <w:rsid w:val="00B15DC5"/>
    <w:rsid w:val="00B16294"/>
    <w:rsid w:val="00B163A8"/>
    <w:rsid w:val="00B16A49"/>
    <w:rsid w:val="00B16DAA"/>
    <w:rsid w:val="00B17669"/>
    <w:rsid w:val="00B2016D"/>
    <w:rsid w:val="00B20206"/>
    <w:rsid w:val="00B20289"/>
    <w:rsid w:val="00B2034C"/>
    <w:rsid w:val="00B204CA"/>
    <w:rsid w:val="00B2131F"/>
    <w:rsid w:val="00B2178E"/>
    <w:rsid w:val="00B21C7C"/>
    <w:rsid w:val="00B21EB2"/>
    <w:rsid w:val="00B21FA5"/>
    <w:rsid w:val="00B2212E"/>
    <w:rsid w:val="00B22200"/>
    <w:rsid w:val="00B22CA9"/>
    <w:rsid w:val="00B234DE"/>
    <w:rsid w:val="00B23940"/>
    <w:rsid w:val="00B23A98"/>
    <w:rsid w:val="00B23C0A"/>
    <w:rsid w:val="00B23D17"/>
    <w:rsid w:val="00B24257"/>
    <w:rsid w:val="00B2491D"/>
    <w:rsid w:val="00B25108"/>
    <w:rsid w:val="00B256BB"/>
    <w:rsid w:val="00B256FB"/>
    <w:rsid w:val="00B25A60"/>
    <w:rsid w:val="00B25EB8"/>
    <w:rsid w:val="00B26967"/>
    <w:rsid w:val="00B269AF"/>
    <w:rsid w:val="00B269CF"/>
    <w:rsid w:val="00B26E72"/>
    <w:rsid w:val="00B26F6D"/>
    <w:rsid w:val="00B2725A"/>
    <w:rsid w:val="00B2765D"/>
    <w:rsid w:val="00B278BA"/>
    <w:rsid w:val="00B27D5D"/>
    <w:rsid w:val="00B27D92"/>
    <w:rsid w:val="00B27D93"/>
    <w:rsid w:val="00B27FE4"/>
    <w:rsid w:val="00B30392"/>
    <w:rsid w:val="00B30E3B"/>
    <w:rsid w:val="00B313EB"/>
    <w:rsid w:val="00B31426"/>
    <w:rsid w:val="00B321F1"/>
    <w:rsid w:val="00B3245F"/>
    <w:rsid w:val="00B32485"/>
    <w:rsid w:val="00B32566"/>
    <w:rsid w:val="00B325F0"/>
    <w:rsid w:val="00B32848"/>
    <w:rsid w:val="00B32B84"/>
    <w:rsid w:val="00B33452"/>
    <w:rsid w:val="00B339B4"/>
    <w:rsid w:val="00B33D44"/>
    <w:rsid w:val="00B34417"/>
    <w:rsid w:val="00B34427"/>
    <w:rsid w:val="00B34472"/>
    <w:rsid w:val="00B344B3"/>
    <w:rsid w:val="00B3457D"/>
    <w:rsid w:val="00B34A6A"/>
    <w:rsid w:val="00B34D74"/>
    <w:rsid w:val="00B35A45"/>
    <w:rsid w:val="00B35FC3"/>
    <w:rsid w:val="00B3612F"/>
    <w:rsid w:val="00B36760"/>
    <w:rsid w:val="00B368B0"/>
    <w:rsid w:val="00B36F75"/>
    <w:rsid w:val="00B37144"/>
    <w:rsid w:val="00B3742A"/>
    <w:rsid w:val="00B37A60"/>
    <w:rsid w:val="00B37B56"/>
    <w:rsid w:val="00B37B95"/>
    <w:rsid w:val="00B37D9C"/>
    <w:rsid w:val="00B37E86"/>
    <w:rsid w:val="00B402AD"/>
    <w:rsid w:val="00B404E0"/>
    <w:rsid w:val="00B4064C"/>
    <w:rsid w:val="00B408ED"/>
    <w:rsid w:val="00B40EFA"/>
    <w:rsid w:val="00B40F62"/>
    <w:rsid w:val="00B40F9B"/>
    <w:rsid w:val="00B41169"/>
    <w:rsid w:val="00B414AD"/>
    <w:rsid w:val="00B415C1"/>
    <w:rsid w:val="00B41A7F"/>
    <w:rsid w:val="00B42208"/>
    <w:rsid w:val="00B42212"/>
    <w:rsid w:val="00B426FE"/>
    <w:rsid w:val="00B42AC5"/>
    <w:rsid w:val="00B42F9B"/>
    <w:rsid w:val="00B4301F"/>
    <w:rsid w:val="00B43060"/>
    <w:rsid w:val="00B43185"/>
    <w:rsid w:val="00B4340B"/>
    <w:rsid w:val="00B436A0"/>
    <w:rsid w:val="00B439E2"/>
    <w:rsid w:val="00B439E4"/>
    <w:rsid w:val="00B43A26"/>
    <w:rsid w:val="00B44539"/>
    <w:rsid w:val="00B4453A"/>
    <w:rsid w:val="00B446AD"/>
    <w:rsid w:val="00B44D6D"/>
    <w:rsid w:val="00B44D90"/>
    <w:rsid w:val="00B44E35"/>
    <w:rsid w:val="00B453B5"/>
    <w:rsid w:val="00B455BC"/>
    <w:rsid w:val="00B45D3A"/>
    <w:rsid w:val="00B465C7"/>
    <w:rsid w:val="00B46938"/>
    <w:rsid w:val="00B46A91"/>
    <w:rsid w:val="00B47F62"/>
    <w:rsid w:val="00B502BB"/>
    <w:rsid w:val="00B51607"/>
    <w:rsid w:val="00B5189E"/>
    <w:rsid w:val="00B519BD"/>
    <w:rsid w:val="00B51F28"/>
    <w:rsid w:val="00B52197"/>
    <w:rsid w:val="00B522D3"/>
    <w:rsid w:val="00B52341"/>
    <w:rsid w:val="00B5264D"/>
    <w:rsid w:val="00B52C36"/>
    <w:rsid w:val="00B5302A"/>
    <w:rsid w:val="00B53637"/>
    <w:rsid w:val="00B538FA"/>
    <w:rsid w:val="00B54168"/>
    <w:rsid w:val="00B543FC"/>
    <w:rsid w:val="00B54664"/>
    <w:rsid w:val="00B5480A"/>
    <w:rsid w:val="00B54832"/>
    <w:rsid w:val="00B54A86"/>
    <w:rsid w:val="00B54BA1"/>
    <w:rsid w:val="00B55245"/>
    <w:rsid w:val="00B55645"/>
    <w:rsid w:val="00B55E8E"/>
    <w:rsid w:val="00B568A4"/>
    <w:rsid w:val="00B56AF5"/>
    <w:rsid w:val="00B56CF5"/>
    <w:rsid w:val="00B56E15"/>
    <w:rsid w:val="00B56F4A"/>
    <w:rsid w:val="00B60377"/>
    <w:rsid w:val="00B60830"/>
    <w:rsid w:val="00B60BEA"/>
    <w:rsid w:val="00B614D7"/>
    <w:rsid w:val="00B616D2"/>
    <w:rsid w:val="00B616DA"/>
    <w:rsid w:val="00B6177F"/>
    <w:rsid w:val="00B61E3F"/>
    <w:rsid w:val="00B62271"/>
    <w:rsid w:val="00B62A10"/>
    <w:rsid w:val="00B63203"/>
    <w:rsid w:val="00B63479"/>
    <w:rsid w:val="00B63DEA"/>
    <w:rsid w:val="00B63FDE"/>
    <w:rsid w:val="00B642A1"/>
    <w:rsid w:val="00B6443E"/>
    <w:rsid w:val="00B6470F"/>
    <w:rsid w:val="00B64A11"/>
    <w:rsid w:val="00B64A38"/>
    <w:rsid w:val="00B64D89"/>
    <w:rsid w:val="00B65F9B"/>
    <w:rsid w:val="00B6623E"/>
    <w:rsid w:val="00B66392"/>
    <w:rsid w:val="00B66575"/>
    <w:rsid w:val="00B66F2F"/>
    <w:rsid w:val="00B67333"/>
    <w:rsid w:val="00B67AF0"/>
    <w:rsid w:val="00B67B3E"/>
    <w:rsid w:val="00B7032F"/>
    <w:rsid w:val="00B706FA"/>
    <w:rsid w:val="00B707F1"/>
    <w:rsid w:val="00B70837"/>
    <w:rsid w:val="00B70941"/>
    <w:rsid w:val="00B71325"/>
    <w:rsid w:val="00B71338"/>
    <w:rsid w:val="00B7265C"/>
    <w:rsid w:val="00B72A2F"/>
    <w:rsid w:val="00B731BD"/>
    <w:rsid w:val="00B7386F"/>
    <w:rsid w:val="00B73A2C"/>
    <w:rsid w:val="00B740F2"/>
    <w:rsid w:val="00B74ADD"/>
    <w:rsid w:val="00B74BC8"/>
    <w:rsid w:val="00B74D1B"/>
    <w:rsid w:val="00B75623"/>
    <w:rsid w:val="00B75C1B"/>
    <w:rsid w:val="00B75C90"/>
    <w:rsid w:val="00B75F65"/>
    <w:rsid w:val="00B75FA2"/>
    <w:rsid w:val="00B7656C"/>
    <w:rsid w:val="00B766D9"/>
    <w:rsid w:val="00B766E9"/>
    <w:rsid w:val="00B7690C"/>
    <w:rsid w:val="00B76E19"/>
    <w:rsid w:val="00B76FC9"/>
    <w:rsid w:val="00B77178"/>
    <w:rsid w:val="00B77255"/>
    <w:rsid w:val="00B77460"/>
    <w:rsid w:val="00B77808"/>
    <w:rsid w:val="00B779BF"/>
    <w:rsid w:val="00B80558"/>
    <w:rsid w:val="00B80710"/>
    <w:rsid w:val="00B807C9"/>
    <w:rsid w:val="00B81D10"/>
    <w:rsid w:val="00B81E2C"/>
    <w:rsid w:val="00B82745"/>
    <w:rsid w:val="00B82DEE"/>
    <w:rsid w:val="00B82FB6"/>
    <w:rsid w:val="00B82FD5"/>
    <w:rsid w:val="00B8321B"/>
    <w:rsid w:val="00B832A5"/>
    <w:rsid w:val="00B839E8"/>
    <w:rsid w:val="00B83DA7"/>
    <w:rsid w:val="00B83F20"/>
    <w:rsid w:val="00B84411"/>
    <w:rsid w:val="00B8447E"/>
    <w:rsid w:val="00B848E9"/>
    <w:rsid w:val="00B84CF3"/>
    <w:rsid w:val="00B85062"/>
    <w:rsid w:val="00B857F9"/>
    <w:rsid w:val="00B85B41"/>
    <w:rsid w:val="00B85F3E"/>
    <w:rsid w:val="00B87A3A"/>
    <w:rsid w:val="00B87A86"/>
    <w:rsid w:val="00B87AB9"/>
    <w:rsid w:val="00B87B64"/>
    <w:rsid w:val="00B87C51"/>
    <w:rsid w:val="00B90184"/>
    <w:rsid w:val="00B90240"/>
    <w:rsid w:val="00B90FA8"/>
    <w:rsid w:val="00B91819"/>
    <w:rsid w:val="00B91A10"/>
    <w:rsid w:val="00B91D85"/>
    <w:rsid w:val="00B91DA8"/>
    <w:rsid w:val="00B9206E"/>
    <w:rsid w:val="00B92C9C"/>
    <w:rsid w:val="00B92DFA"/>
    <w:rsid w:val="00B931D0"/>
    <w:rsid w:val="00B931D2"/>
    <w:rsid w:val="00B93247"/>
    <w:rsid w:val="00B934B7"/>
    <w:rsid w:val="00B93791"/>
    <w:rsid w:val="00B93955"/>
    <w:rsid w:val="00B93CA4"/>
    <w:rsid w:val="00B94CFF"/>
    <w:rsid w:val="00B95384"/>
    <w:rsid w:val="00B956C7"/>
    <w:rsid w:val="00B95B45"/>
    <w:rsid w:val="00B95B6B"/>
    <w:rsid w:val="00B95D90"/>
    <w:rsid w:val="00B9612B"/>
    <w:rsid w:val="00B96568"/>
    <w:rsid w:val="00B9672B"/>
    <w:rsid w:val="00B96CB6"/>
    <w:rsid w:val="00B96F82"/>
    <w:rsid w:val="00B971A4"/>
    <w:rsid w:val="00B97278"/>
    <w:rsid w:val="00B97781"/>
    <w:rsid w:val="00B97CC2"/>
    <w:rsid w:val="00B97F4B"/>
    <w:rsid w:val="00BA0631"/>
    <w:rsid w:val="00BA0660"/>
    <w:rsid w:val="00BA087B"/>
    <w:rsid w:val="00BA0DA9"/>
    <w:rsid w:val="00BA0DD5"/>
    <w:rsid w:val="00BA118C"/>
    <w:rsid w:val="00BA18C5"/>
    <w:rsid w:val="00BA1BA5"/>
    <w:rsid w:val="00BA1C63"/>
    <w:rsid w:val="00BA1DE8"/>
    <w:rsid w:val="00BA1FF9"/>
    <w:rsid w:val="00BA23D6"/>
    <w:rsid w:val="00BA2AB8"/>
    <w:rsid w:val="00BA32B2"/>
    <w:rsid w:val="00BA35E1"/>
    <w:rsid w:val="00BA3933"/>
    <w:rsid w:val="00BA3BB8"/>
    <w:rsid w:val="00BA3BE0"/>
    <w:rsid w:val="00BA3E85"/>
    <w:rsid w:val="00BA4037"/>
    <w:rsid w:val="00BA4DC8"/>
    <w:rsid w:val="00BA4F12"/>
    <w:rsid w:val="00BA50D9"/>
    <w:rsid w:val="00BA5967"/>
    <w:rsid w:val="00BA5D39"/>
    <w:rsid w:val="00BA600B"/>
    <w:rsid w:val="00BA6DE9"/>
    <w:rsid w:val="00BA7326"/>
    <w:rsid w:val="00BA7828"/>
    <w:rsid w:val="00BA78B9"/>
    <w:rsid w:val="00BB09CB"/>
    <w:rsid w:val="00BB0DF8"/>
    <w:rsid w:val="00BB0FF3"/>
    <w:rsid w:val="00BB11C8"/>
    <w:rsid w:val="00BB1EAE"/>
    <w:rsid w:val="00BB2035"/>
    <w:rsid w:val="00BB2412"/>
    <w:rsid w:val="00BB248B"/>
    <w:rsid w:val="00BB25EA"/>
    <w:rsid w:val="00BB274D"/>
    <w:rsid w:val="00BB2E60"/>
    <w:rsid w:val="00BB2E78"/>
    <w:rsid w:val="00BB3097"/>
    <w:rsid w:val="00BB33A1"/>
    <w:rsid w:val="00BB34D4"/>
    <w:rsid w:val="00BB3605"/>
    <w:rsid w:val="00BB39AD"/>
    <w:rsid w:val="00BB3E37"/>
    <w:rsid w:val="00BB4C81"/>
    <w:rsid w:val="00BB5E11"/>
    <w:rsid w:val="00BB5F44"/>
    <w:rsid w:val="00BB63B4"/>
    <w:rsid w:val="00BB6616"/>
    <w:rsid w:val="00BB6641"/>
    <w:rsid w:val="00BB691E"/>
    <w:rsid w:val="00BB6999"/>
    <w:rsid w:val="00BB6F07"/>
    <w:rsid w:val="00BB75AD"/>
    <w:rsid w:val="00BB7856"/>
    <w:rsid w:val="00BB78AF"/>
    <w:rsid w:val="00BB7921"/>
    <w:rsid w:val="00BB7A9B"/>
    <w:rsid w:val="00BC041E"/>
    <w:rsid w:val="00BC04A5"/>
    <w:rsid w:val="00BC065B"/>
    <w:rsid w:val="00BC0714"/>
    <w:rsid w:val="00BC07B5"/>
    <w:rsid w:val="00BC087F"/>
    <w:rsid w:val="00BC11D4"/>
    <w:rsid w:val="00BC144C"/>
    <w:rsid w:val="00BC1D23"/>
    <w:rsid w:val="00BC2098"/>
    <w:rsid w:val="00BC21C4"/>
    <w:rsid w:val="00BC22B8"/>
    <w:rsid w:val="00BC24F8"/>
    <w:rsid w:val="00BC28CC"/>
    <w:rsid w:val="00BC28D1"/>
    <w:rsid w:val="00BC3045"/>
    <w:rsid w:val="00BC34F9"/>
    <w:rsid w:val="00BC350D"/>
    <w:rsid w:val="00BC37F4"/>
    <w:rsid w:val="00BC3A9D"/>
    <w:rsid w:val="00BC3F8C"/>
    <w:rsid w:val="00BC4435"/>
    <w:rsid w:val="00BC63AF"/>
    <w:rsid w:val="00BC6400"/>
    <w:rsid w:val="00BC677D"/>
    <w:rsid w:val="00BC68CE"/>
    <w:rsid w:val="00BC6C86"/>
    <w:rsid w:val="00BC6F87"/>
    <w:rsid w:val="00BC7246"/>
    <w:rsid w:val="00BC73C8"/>
    <w:rsid w:val="00BC7DDD"/>
    <w:rsid w:val="00BD017A"/>
    <w:rsid w:val="00BD0514"/>
    <w:rsid w:val="00BD0640"/>
    <w:rsid w:val="00BD06AD"/>
    <w:rsid w:val="00BD07D4"/>
    <w:rsid w:val="00BD0A42"/>
    <w:rsid w:val="00BD1482"/>
    <w:rsid w:val="00BD2322"/>
    <w:rsid w:val="00BD2906"/>
    <w:rsid w:val="00BD2CDA"/>
    <w:rsid w:val="00BD367D"/>
    <w:rsid w:val="00BD3866"/>
    <w:rsid w:val="00BD3875"/>
    <w:rsid w:val="00BD4387"/>
    <w:rsid w:val="00BD44F4"/>
    <w:rsid w:val="00BD4790"/>
    <w:rsid w:val="00BD4B19"/>
    <w:rsid w:val="00BD55A8"/>
    <w:rsid w:val="00BD59E8"/>
    <w:rsid w:val="00BD5EF7"/>
    <w:rsid w:val="00BD6479"/>
    <w:rsid w:val="00BD661D"/>
    <w:rsid w:val="00BD6D65"/>
    <w:rsid w:val="00BD6F24"/>
    <w:rsid w:val="00BD6FA7"/>
    <w:rsid w:val="00BE0EA2"/>
    <w:rsid w:val="00BE11DA"/>
    <w:rsid w:val="00BE150B"/>
    <w:rsid w:val="00BE1632"/>
    <w:rsid w:val="00BE1633"/>
    <w:rsid w:val="00BE2591"/>
    <w:rsid w:val="00BE26A8"/>
    <w:rsid w:val="00BE28D3"/>
    <w:rsid w:val="00BE29FD"/>
    <w:rsid w:val="00BE2D68"/>
    <w:rsid w:val="00BE3001"/>
    <w:rsid w:val="00BE308F"/>
    <w:rsid w:val="00BE375B"/>
    <w:rsid w:val="00BE395E"/>
    <w:rsid w:val="00BE3DB2"/>
    <w:rsid w:val="00BE3DEE"/>
    <w:rsid w:val="00BE4187"/>
    <w:rsid w:val="00BE4258"/>
    <w:rsid w:val="00BE45D6"/>
    <w:rsid w:val="00BE482E"/>
    <w:rsid w:val="00BE4889"/>
    <w:rsid w:val="00BE491C"/>
    <w:rsid w:val="00BE4DF6"/>
    <w:rsid w:val="00BE5F33"/>
    <w:rsid w:val="00BE6686"/>
    <w:rsid w:val="00BE6865"/>
    <w:rsid w:val="00BE68B5"/>
    <w:rsid w:val="00BE6990"/>
    <w:rsid w:val="00BE73D0"/>
    <w:rsid w:val="00BE752B"/>
    <w:rsid w:val="00BE796A"/>
    <w:rsid w:val="00BE7E90"/>
    <w:rsid w:val="00BF050B"/>
    <w:rsid w:val="00BF0909"/>
    <w:rsid w:val="00BF0931"/>
    <w:rsid w:val="00BF0B35"/>
    <w:rsid w:val="00BF10F9"/>
    <w:rsid w:val="00BF118A"/>
    <w:rsid w:val="00BF1DA8"/>
    <w:rsid w:val="00BF1E12"/>
    <w:rsid w:val="00BF1EAE"/>
    <w:rsid w:val="00BF23C3"/>
    <w:rsid w:val="00BF23D2"/>
    <w:rsid w:val="00BF2644"/>
    <w:rsid w:val="00BF26D7"/>
    <w:rsid w:val="00BF2EFC"/>
    <w:rsid w:val="00BF30A7"/>
    <w:rsid w:val="00BF31DE"/>
    <w:rsid w:val="00BF3542"/>
    <w:rsid w:val="00BF3836"/>
    <w:rsid w:val="00BF3B60"/>
    <w:rsid w:val="00BF3E1F"/>
    <w:rsid w:val="00BF3EEC"/>
    <w:rsid w:val="00BF4071"/>
    <w:rsid w:val="00BF407F"/>
    <w:rsid w:val="00BF455F"/>
    <w:rsid w:val="00BF5ACD"/>
    <w:rsid w:val="00BF5E28"/>
    <w:rsid w:val="00BF6101"/>
    <w:rsid w:val="00BF6B4F"/>
    <w:rsid w:val="00BF6F97"/>
    <w:rsid w:val="00C000D1"/>
    <w:rsid w:val="00C000F4"/>
    <w:rsid w:val="00C00291"/>
    <w:rsid w:val="00C011D1"/>
    <w:rsid w:val="00C011E7"/>
    <w:rsid w:val="00C01A85"/>
    <w:rsid w:val="00C0218B"/>
    <w:rsid w:val="00C024DB"/>
    <w:rsid w:val="00C0295F"/>
    <w:rsid w:val="00C02EDB"/>
    <w:rsid w:val="00C03791"/>
    <w:rsid w:val="00C03C18"/>
    <w:rsid w:val="00C03CC7"/>
    <w:rsid w:val="00C0461B"/>
    <w:rsid w:val="00C0462E"/>
    <w:rsid w:val="00C049E4"/>
    <w:rsid w:val="00C04C8E"/>
    <w:rsid w:val="00C04E94"/>
    <w:rsid w:val="00C05658"/>
    <w:rsid w:val="00C05865"/>
    <w:rsid w:val="00C058AD"/>
    <w:rsid w:val="00C05AA8"/>
    <w:rsid w:val="00C06365"/>
    <w:rsid w:val="00C063B5"/>
    <w:rsid w:val="00C06BE7"/>
    <w:rsid w:val="00C06C2E"/>
    <w:rsid w:val="00C06EEB"/>
    <w:rsid w:val="00C0709B"/>
    <w:rsid w:val="00C100EA"/>
    <w:rsid w:val="00C10416"/>
    <w:rsid w:val="00C105A9"/>
    <w:rsid w:val="00C10797"/>
    <w:rsid w:val="00C1112D"/>
    <w:rsid w:val="00C1124E"/>
    <w:rsid w:val="00C1145A"/>
    <w:rsid w:val="00C1154A"/>
    <w:rsid w:val="00C11C9A"/>
    <w:rsid w:val="00C11D11"/>
    <w:rsid w:val="00C125D9"/>
    <w:rsid w:val="00C12990"/>
    <w:rsid w:val="00C12F10"/>
    <w:rsid w:val="00C13086"/>
    <w:rsid w:val="00C13365"/>
    <w:rsid w:val="00C13628"/>
    <w:rsid w:val="00C13B25"/>
    <w:rsid w:val="00C1413D"/>
    <w:rsid w:val="00C1476B"/>
    <w:rsid w:val="00C15900"/>
    <w:rsid w:val="00C1606D"/>
    <w:rsid w:val="00C167AE"/>
    <w:rsid w:val="00C16C40"/>
    <w:rsid w:val="00C1795F"/>
    <w:rsid w:val="00C17BE2"/>
    <w:rsid w:val="00C17F98"/>
    <w:rsid w:val="00C2000C"/>
    <w:rsid w:val="00C2012C"/>
    <w:rsid w:val="00C20846"/>
    <w:rsid w:val="00C20ACE"/>
    <w:rsid w:val="00C20AD1"/>
    <w:rsid w:val="00C20AE2"/>
    <w:rsid w:val="00C20C72"/>
    <w:rsid w:val="00C2114B"/>
    <w:rsid w:val="00C216DD"/>
    <w:rsid w:val="00C21B1C"/>
    <w:rsid w:val="00C21C69"/>
    <w:rsid w:val="00C2245A"/>
    <w:rsid w:val="00C227FD"/>
    <w:rsid w:val="00C22A05"/>
    <w:rsid w:val="00C22BC0"/>
    <w:rsid w:val="00C22CDE"/>
    <w:rsid w:val="00C23048"/>
    <w:rsid w:val="00C233E9"/>
    <w:rsid w:val="00C23624"/>
    <w:rsid w:val="00C23804"/>
    <w:rsid w:val="00C23B4A"/>
    <w:rsid w:val="00C240B4"/>
    <w:rsid w:val="00C242EC"/>
    <w:rsid w:val="00C248E1"/>
    <w:rsid w:val="00C24A31"/>
    <w:rsid w:val="00C24F94"/>
    <w:rsid w:val="00C25529"/>
    <w:rsid w:val="00C25A92"/>
    <w:rsid w:val="00C25A9B"/>
    <w:rsid w:val="00C25AD1"/>
    <w:rsid w:val="00C262A0"/>
    <w:rsid w:val="00C26764"/>
    <w:rsid w:val="00C26B30"/>
    <w:rsid w:val="00C26BE6"/>
    <w:rsid w:val="00C2769E"/>
    <w:rsid w:val="00C278E8"/>
    <w:rsid w:val="00C30384"/>
    <w:rsid w:val="00C303B4"/>
    <w:rsid w:val="00C3063C"/>
    <w:rsid w:val="00C30FA4"/>
    <w:rsid w:val="00C312D9"/>
    <w:rsid w:val="00C31631"/>
    <w:rsid w:val="00C31776"/>
    <w:rsid w:val="00C31CAF"/>
    <w:rsid w:val="00C3295B"/>
    <w:rsid w:val="00C32A7E"/>
    <w:rsid w:val="00C32ED3"/>
    <w:rsid w:val="00C3363C"/>
    <w:rsid w:val="00C336E6"/>
    <w:rsid w:val="00C349D6"/>
    <w:rsid w:val="00C3593D"/>
    <w:rsid w:val="00C35A8A"/>
    <w:rsid w:val="00C35CAE"/>
    <w:rsid w:val="00C35D4C"/>
    <w:rsid w:val="00C35E64"/>
    <w:rsid w:val="00C36186"/>
    <w:rsid w:val="00C3640A"/>
    <w:rsid w:val="00C36797"/>
    <w:rsid w:val="00C3698D"/>
    <w:rsid w:val="00C37542"/>
    <w:rsid w:val="00C4010B"/>
    <w:rsid w:val="00C401BD"/>
    <w:rsid w:val="00C40B18"/>
    <w:rsid w:val="00C41666"/>
    <w:rsid w:val="00C41836"/>
    <w:rsid w:val="00C41D20"/>
    <w:rsid w:val="00C4233D"/>
    <w:rsid w:val="00C4277E"/>
    <w:rsid w:val="00C428D3"/>
    <w:rsid w:val="00C42CA3"/>
    <w:rsid w:val="00C42D22"/>
    <w:rsid w:val="00C42EFC"/>
    <w:rsid w:val="00C42F96"/>
    <w:rsid w:val="00C446EF"/>
    <w:rsid w:val="00C45DC2"/>
    <w:rsid w:val="00C45EEF"/>
    <w:rsid w:val="00C45F12"/>
    <w:rsid w:val="00C46535"/>
    <w:rsid w:val="00C4687D"/>
    <w:rsid w:val="00C469C8"/>
    <w:rsid w:val="00C46BA9"/>
    <w:rsid w:val="00C46DD7"/>
    <w:rsid w:val="00C47108"/>
    <w:rsid w:val="00C476E3"/>
    <w:rsid w:val="00C47910"/>
    <w:rsid w:val="00C47963"/>
    <w:rsid w:val="00C507FE"/>
    <w:rsid w:val="00C50EDE"/>
    <w:rsid w:val="00C51367"/>
    <w:rsid w:val="00C5144E"/>
    <w:rsid w:val="00C515DD"/>
    <w:rsid w:val="00C51973"/>
    <w:rsid w:val="00C51A74"/>
    <w:rsid w:val="00C51CFD"/>
    <w:rsid w:val="00C51E66"/>
    <w:rsid w:val="00C51E92"/>
    <w:rsid w:val="00C51FB8"/>
    <w:rsid w:val="00C52ABB"/>
    <w:rsid w:val="00C53114"/>
    <w:rsid w:val="00C54298"/>
    <w:rsid w:val="00C5482C"/>
    <w:rsid w:val="00C54DB6"/>
    <w:rsid w:val="00C55318"/>
    <w:rsid w:val="00C553DE"/>
    <w:rsid w:val="00C556F6"/>
    <w:rsid w:val="00C55F79"/>
    <w:rsid w:val="00C566AB"/>
    <w:rsid w:val="00C56790"/>
    <w:rsid w:val="00C5693A"/>
    <w:rsid w:val="00C56D3C"/>
    <w:rsid w:val="00C5734B"/>
    <w:rsid w:val="00C5775E"/>
    <w:rsid w:val="00C57E3C"/>
    <w:rsid w:val="00C60205"/>
    <w:rsid w:val="00C60360"/>
    <w:rsid w:val="00C606C7"/>
    <w:rsid w:val="00C60B00"/>
    <w:rsid w:val="00C61A0E"/>
    <w:rsid w:val="00C62767"/>
    <w:rsid w:val="00C62FED"/>
    <w:rsid w:val="00C6361E"/>
    <w:rsid w:val="00C639D2"/>
    <w:rsid w:val="00C643EA"/>
    <w:rsid w:val="00C64779"/>
    <w:rsid w:val="00C6498A"/>
    <w:rsid w:val="00C64A30"/>
    <w:rsid w:val="00C64C27"/>
    <w:rsid w:val="00C64CB7"/>
    <w:rsid w:val="00C653A8"/>
    <w:rsid w:val="00C657BF"/>
    <w:rsid w:val="00C65F0F"/>
    <w:rsid w:val="00C66024"/>
    <w:rsid w:val="00C664E1"/>
    <w:rsid w:val="00C66756"/>
    <w:rsid w:val="00C66B86"/>
    <w:rsid w:val="00C677E5"/>
    <w:rsid w:val="00C67820"/>
    <w:rsid w:val="00C67B20"/>
    <w:rsid w:val="00C707C3"/>
    <w:rsid w:val="00C707E5"/>
    <w:rsid w:val="00C70A8F"/>
    <w:rsid w:val="00C70AB8"/>
    <w:rsid w:val="00C70F74"/>
    <w:rsid w:val="00C714D7"/>
    <w:rsid w:val="00C716BF"/>
    <w:rsid w:val="00C71ADD"/>
    <w:rsid w:val="00C7203F"/>
    <w:rsid w:val="00C72528"/>
    <w:rsid w:val="00C72625"/>
    <w:rsid w:val="00C72A84"/>
    <w:rsid w:val="00C72ADC"/>
    <w:rsid w:val="00C73458"/>
    <w:rsid w:val="00C7389C"/>
    <w:rsid w:val="00C738AC"/>
    <w:rsid w:val="00C73AC7"/>
    <w:rsid w:val="00C742D5"/>
    <w:rsid w:val="00C74464"/>
    <w:rsid w:val="00C744F6"/>
    <w:rsid w:val="00C74726"/>
    <w:rsid w:val="00C74853"/>
    <w:rsid w:val="00C751A6"/>
    <w:rsid w:val="00C759BA"/>
    <w:rsid w:val="00C75E20"/>
    <w:rsid w:val="00C760B3"/>
    <w:rsid w:val="00C76503"/>
    <w:rsid w:val="00C7662E"/>
    <w:rsid w:val="00C7697F"/>
    <w:rsid w:val="00C7704C"/>
    <w:rsid w:val="00C770EB"/>
    <w:rsid w:val="00C77214"/>
    <w:rsid w:val="00C77470"/>
    <w:rsid w:val="00C77EDE"/>
    <w:rsid w:val="00C77F0E"/>
    <w:rsid w:val="00C80669"/>
    <w:rsid w:val="00C80693"/>
    <w:rsid w:val="00C8102A"/>
    <w:rsid w:val="00C81114"/>
    <w:rsid w:val="00C816C6"/>
    <w:rsid w:val="00C81895"/>
    <w:rsid w:val="00C82234"/>
    <w:rsid w:val="00C82503"/>
    <w:rsid w:val="00C83185"/>
    <w:rsid w:val="00C83256"/>
    <w:rsid w:val="00C833A5"/>
    <w:rsid w:val="00C836F9"/>
    <w:rsid w:val="00C83E0F"/>
    <w:rsid w:val="00C84598"/>
    <w:rsid w:val="00C84794"/>
    <w:rsid w:val="00C84B62"/>
    <w:rsid w:val="00C851D1"/>
    <w:rsid w:val="00C85861"/>
    <w:rsid w:val="00C85F4B"/>
    <w:rsid w:val="00C86295"/>
    <w:rsid w:val="00C866B8"/>
    <w:rsid w:val="00C869AB"/>
    <w:rsid w:val="00C86C9E"/>
    <w:rsid w:val="00C8755D"/>
    <w:rsid w:val="00C878C2"/>
    <w:rsid w:val="00C87CE7"/>
    <w:rsid w:val="00C87F3E"/>
    <w:rsid w:val="00C9061E"/>
    <w:rsid w:val="00C90767"/>
    <w:rsid w:val="00C90894"/>
    <w:rsid w:val="00C90B68"/>
    <w:rsid w:val="00C90C96"/>
    <w:rsid w:val="00C9183F"/>
    <w:rsid w:val="00C92250"/>
    <w:rsid w:val="00C924A7"/>
    <w:rsid w:val="00C925D6"/>
    <w:rsid w:val="00C928B0"/>
    <w:rsid w:val="00C92C0C"/>
    <w:rsid w:val="00C93AF4"/>
    <w:rsid w:val="00C93BE5"/>
    <w:rsid w:val="00C9431A"/>
    <w:rsid w:val="00C94635"/>
    <w:rsid w:val="00C947F6"/>
    <w:rsid w:val="00C9493E"/>
    <w:rsid w:val="00C9502B"/>
    <w:rsid w:val="00C9516A"/>
    <w:rsid w:val="00C952B5"/>
    <w:rsid w:val="00C96360"/>
    <w:rsid w:val="00C97064"/>
    <w:rsid w:val="00C971B7"/>
    <w:rsid w:val="00C9738E"/>
    <w:rsid w:val="00C979CE"/>
    <w:rsid w:val="00C97C52"/>
    <w:rsid w:val="00CA017D"/>
    <w:rsid w:val="00CA084A"/>
    <w:rsid w:val="00CA08BF"/>
    <w:rsid w:val="00CA0D09"/>
    <w:rsid w:val="00CA14C0"/>
    <w:rsid w:val="00CA1A74"/>
    <w:rsid w:val="00CA1B02"/>
    <w:rsid w:val="00CA2415"/>
    <w:rsid w:val="00CA25B6"/>
    <w:rsid w:val="00CA26E7"/>
    <w:rsid w:val="00CA2881"/>
    <w:rsid w:val="00CA351E"/>
    <w:rsid w:val="00CA3655"/>
    <w:rsid w:val="00CA3750"/>
    <w:rsid w:val="00CA3D2B"/>
    <w:rsid w:val="00CA3D66"/>
    <w:rsid w:val="00CA3E95"/>
    <w:rsid w:val="00CA437F"/>
    <w:rsid w:val="00CA440D"/>
    <w:rsid w:val="00CA4431"/>
    <w:rsid w:val="00CA4A04"/>
    <w:rsid w:val="00CA4CD3"/>
    <w:rsid w:val="00CA5206"/>
    <w:rsid w:val="00CA522A"/>
    <w:rsid w:val="00CA52BE"/>
    <w:rsid w:val="00CA5676"/>
    <w:rsid w:val="00CA5B15"/>
    <w:rsid w:val="00CA6072"/>
    <w:rsid w:val="00CA6127"/>
    <w:rsid w:val="00CA6740"/>
    <w:rsid w:val="00CA67BD"/>
    <w:rsid w:val="00CA7018"/>
    <w:rsid w:val="00CA7035"/>
    <w:rsid w:val="00CA73A4"/>
    <w:rsid w:val="00CA755B"/>
    <w:rsid w:val="00CA7843"/>
    <w:rsid w:val="00CB01FC"/>
    <w:rsid w:val="00CB029B"/>
    <w:rsid w:val="00CB0744"/>
    <w:rsid w:val="00CB0C44"/>
    <w:rsid w:val="00CB1BD7"/>
    <w:rsid w:val="00CB1C17"/>
    <w:rsid w:val="00CB1C2E"/>
    <w:rsid w:val="00CB1F5E"/>
    <w:rsid w:val="00CB20E0"/>
    <w:rsid w:val="00CB23C6"/>
    <w:rsid w:val="00CB23EB"/>
    <w:rsid w:val="00CB2433"/>
    <w:rsid w:val="00CB2977"/>
    <w:rsid w:val="00CB30E7"/>
    <w:rsid w:val="00CB3242"/>
    <w:rsid w:val="00CB3293"/>
    <w:rsid w:val="00CB33C3"/>
    <w:rsid w:val="00CB3415"/>
    <w:rsid w:val="00CB35DF"/>
    <w:rsid w:val="00CB3B55"/>
    <w:rsid w:val="00CB409C"/>
    <w:rsid w:val="00CB44A8"/>
    <w:rsid w:val="00CB44E9"/>
    <w:rsid w:val="00CB53E6"/>
    <w:rsid w:val="00CB5CCD"/>
    <w:rsid w:val="00CB5D99"/>
    <w:rsid w:val="00CB5F01"/>
    <w:rsid w:val="00CB62E8"/>
    <w:rsid w:val="00CB6DC4"/>
    <w:rsid w:val="00CB757B"/>
    <w:rsid w:val="00CB77F8"/>
    <w:rsid w:val="00CB7AC7"/>
    <w:rsid w:val="00CB7B65"/>
    <w:rsid w:val="00CB7EEE"/>
    <w:rsid w:val="00CB7F40"/>
    <w:rsid w:val="00CC021A"/>
    <w:rsid w:val="00CC0685"/>
    <w:rsid w:val="00CC08CC"/>
    <w:rsid w:val="00CC1811"/>
    <w:rsid w:val="00CC185F"/>
    <w:rsid w:val="00CC1864"/>
    <w:rsid w:val="00CC1A98"/>
    <w:rsid w:val="00CC1BD6"/>
    <w:rsid w:val="00CC1F05"/>
    <w:rsid w:val="00CC2095"/>
    <w:rsid w:val="00CC2118"/>
    <w:rsid w:val="00CC231B"/>
    <w:rsid w:val="00CC26C4"/>
    <w:rsid w:val="00CC297B"/>
    <w:rsid w:val="00CC2DEF"/>
    <w:rsid w:val="00CC2E21"/>
    <w:rsid w:val="00CC33F5"/>
    <w:rsid w:val="00CC364D"/>
    <w:rsid w:val="00CC3DDB"/>
    <w:rsid w:val="00CC46A6"/>
    <w:rsid w:val="00CC4778"/>
    <w:rsid w:val="00CC4968"/>
    <w:rsid w:val="00CC49F7"/>
    <w:rsid w:val="00CC4B1A"/>
    <w:rsid w:val="00CC5228"/>
    <w:rsid w:val="00CC5722"/>
    <w:rsid w:val="00CC5A5A"/>
    <w:rsid w:val="00CC5DFB"/>
    <w:rsid w:val="00CC6C61"/>
    <w:rsid w:val="00CC7016"/>
    <w:rsid w:val="00CC7472"/>
    <w:rsid w:val="00CC7555"/>
    <w:rsid w:val="00CC79FC"/>
    <w:rsid w:val="00CC7AC2"/>
    <w:rsid w:val="00CD0506"/>
    <w:rsid w:val="00CD0C1B"/>
    <w:rsid w:val="00CD1631"/>
    <w:rsid w:val="00CD2C79"/>
    <w:rsid w:val="00CD2FF8"/>
    <w:rsid w:val="00CD342C"/>
    <w:rsid w:val="00CD3CF5"/>
    <w:rsid w:val="00CD463F"/>
    <w:rsid w:val="00CD488E"/>
    <w:rsid w:val="00CD4D47"/>
    <w:rsid w:val="00CD4F0B"/>
    <w:rsid w:val="00CD53E9"/>
    <w:rsid w:val="00CD54BE"/>
    <w:rsid w:val="00CD56A7"/>
    <w:rsid w:val="00CD5767"/>
    <w:rsid w:val="00CD5D9C"/>
    <w:rsid w:val="00CD63C7"/>
    <w:rsid w:val="00CD65A9"/>
    <w:rsid w:val="00CD676E"/>
    <w:rsid w:val="00CD6BEB"/>
    <w:rsid w:val="00CD6C2F"/>
    <w:rsid w:val="00CD77AB"/>
    <w:rsid w:val="00CD77DC"/>
    <w:rsid w:val="00CD7837"/>
    <w:rsid w:val="00CD78A5"/>
    <w:rsid w:val="00CD7BEA"/>
    <w:rsid w:val="00CD7D4C"/>
    <w:rsid w:val="00CE1710"/>
    <w:rsid w:val="00CE191C"/>
    <w:rsid w:val="00CE1AAB"/>
    <w:rsid w:val="00CE1DD1"/>
    <w:rsid w:val="00CE26F9"/>
    <w:rsid w:val="00CE2C89"/>
    <w:rsid w:val="00CE31B3"/>
    <w:rsid w:val="00CE38E9"/>
    <w:rsid w:val="00CE3936"/>
    <w:rsid w:val="00CE3A31"/>
    <w:rsid w:val="00CE42FA"/>
    <w:rsid w:val="00CE45BE"/>
    <w:rsid w:val="00CE4AF4"/>
    <w:rsid w:val="00CE4D76"/>
    <w:rsid w:val="00CE51E1"/>
    <w:rsid w:val="00CE5265"/>
    <w:rsid w:val="00CE5524"/>
    <w:rsid w:val="00CE56DC"/>
    <w:rsid w:val="00CE5DD9"/>
    <w:rsid w:val="00CE67E4"/>
    <w:rsid w:val="00CE6B86"/>
    <w:rsid w:val="00CE6C0D"/>
    <w:rsid w:val="00CE71F4"/>
    <w:rsid w:val="00CE7437"/>
    <w:rsid w:val="00CE75AC"/>
    <w:rsid w:val="00CE7664"/>
    <w:rsid w:val="00CE7980"/>
    <w:rsid w:val="00CF00AA"/>
    <w:rsid w:val="00CF011A"/>
    <w:rsid w:val="00CF017A"/>
    <w:rsid w:val="00CF04E5"/>
    <w:rsid w:val="00CF0691"/>
    <w:rsid w:val="00CF0CC4"/>
    <w:rsid w:val="00CF12F5"/>
    <w:rsid w:val="00CF1514"/>
    <w:rsid w:val="00CF179A"/>
    <w:rsid w:val="00CF1849"/>
    <w:rsid w:val="00CF18DE"/>
    <w:rsid w:val="00CF1AA1"/>
    <w:rsid w:val="00CF1F54"/>
    <w:rsid w:val="00CF1FE6"/>
    <w:rsid w:val="00CF2164"/>
    <w:rsid w:val="00CF21D0"/>
    <w:rsid w:val="00CF27DC"/>
    <w:rsid w:val="00CF2A7A"/>
    <w:rsid w:val="00CF2DDB"/>
    <w:rsid w:val="00CF316B"/>
    <w:rsid w:val="00CF33AB"/>
    <w:rsid w:val="00CF347A"/>
    <w:rsid w:val="00CF3D70"/>
    <w:rsid w:val="00CF418D"/>
    <w:rsid w:val="00CF4313"/>
    <w:rsid w:val="00CF431D"/>
    <w:rsid w:val="00CF43DC"/>
    <w:rsid w:val="00CF4523"/>
    <w:rsid w:val="00CF459B"/>
    <w:rsid w:val="00CF506E"/>
    <w:rsid w:val="00CF61D9"/>
    <w:rsid w:val="00CF63D1"/>
    <w:rsid w:val="00CF6968"/>
    <w:rsid w:val="00CF6AF9"/>
    <w:rsid w:val="00CF6CE9"/>
    <w:rsid w:val="00CF7165"/>
    <w:rsid w:val="00CF7190"/>
    <w:rsid w:val="00CF7496"/>
    <w:rsid w:val="00CF77A5"/>
    <w:rsid w:val="00CF7850"/>
    <w:rsid w:val="00CF7E20"/>
    <w:rsid w:val="00CF7F16"/>
    <w:rsid w:val="00D0020C"/>
    <w:rsid w:val="00D00BBC"/>
    <w:rsid w:val="00D0124C"/>
    <w:rsid w:val="00D01681"/>
    <w:rsid w:val="00D01743"/>
    <w:rsid w:val="00D01B7A"/>
    <w:rsid w:val="00D0222E"/>
    <w:rsid w:val="00D02460"/>
    <w:rsid w:val="00D025C7"/>
    <w:rsid w:val="00D02972"/>
    <w:rsid w:val="00D02CD4"/>
    <w:rsid w:val="00D03175"/>
    <w:rsid w:val="00D03C0A"/>
    <w:rsid w:val="00D03E5D"/>
    <w:rsid w:val="00D03EAC"/>
    <w:rsid w:val="00D0405F"/>
    <w:rsid w:val="00D0416F"/>
    <w:rsid w:val="00D0434E"/>
    <w:rsid w:val="00D04751"/>
    <w:rsid w:val="00D047F2"/>
    <w:rsid w:val="00D0486F"/>
    <w:rsid w:val="00D04941"/>
    <w:rsid w:val="00D049E6"/>
    <w:rsid w:val="00D04D82"/>
    <w:rsid w:val="00D0522E"/>
    <w:rsid w:val="00D052A2"/>
    <w:rsid w:val="00D05382"/>
    <w:rsid w:val="00D0622F"/>
    <w:rsid w:val="00D06717"/>
    <w:rsid w:val="00D074E6"/>
    <w:rsid w:val="00D07C9D"/>
    <w:rsid w:val="00D100BD"/>
    <w:rsid w:val="00D10249"/>
    <w:rsid w:val="00D1084F"/>
    <w:rsid w:val="00D108ED"/>
    <w:rsid w:val="00D10D5E"/>
    <w:rsid w:val="00D10FB7"/>
    <w:rsid w:val="00D11436"/>
    <w:rsid w:val="00D11491"/>
    <w:rsid w:val="00D11B2B"/>
    <w:rsid w:val="00D13D82"/>
    <w:rsid w:val="00D140C7"/>
    <w:rsid w:val="00D1455C"/>
    <w:rsid w:val="00D14574"/>
    <w:rsid w:val="00D145CB"/>
    <w:rsid w:val="00D148E3"/>
    <w:rsid w:val="00D14E28"/>
    <w:rsid w:val="00D164DF"/>
    <w:rsid w:val="00D165DB"/>
    <w:rsid w:val="00D16D23"/>
    <w:rsid w:val="00D16E4E"/>
    <w:rsid w:val="00D16F47"/>
    <w:rsid w:val="00D17556"/>
    <w:rsid w:val="00D17A9D"/>
    <w:rsid w:val="00D17DF1"/>
    <w:rsid w:val="00D2020C"/>
    <w:rsid w:val="00D20927"/>
    <w:rsid w:val="00D20D20"/>
    <w:rsid w:val="00D21468"/>
    <w:rsid w:val="00D21875"/>
    <w:rsid w:val="00D218D6"/>
    <w:rsid w:val="00D2202A"/>
    <w:rsid w:val="00D22F8F"/>
    <w:rsid w:val="00D23498"/>
    <w:rsid w:val="00D23C01"/>
    <w:rsid w:val="00D23F00"/>
    <w:rsid w:val="00D2492C"/>
    <w:rsid w:val="00D24D17"/>
    <w:rsid w:val="00D2575B"/>
    <w:rsid w:val="00D2580A"/>
    <w:rsid w:val="00D25B96"/>
    <w:rsid w:val="00D25E43"/>
    <w:rsid w:val="00D2600E"/>
    <w:rsid w:val="00D26493"/>
    <w:rsid w:val="00D26EA2"/>
    <w:rsid w:val="00D26F54"/>
    <w:rsid w:val="00D27041"/>
    <w:rsid w:val="00D2766D"/>
    <w:rsid w:val="00D27671"/>
    <w:rsid w:val="00D276E7"/>
    <w:rsid w:val="00D27953"/>
    <w:rsid w:val="00D27B03"/>
    <w:rsid w:val="00D27C53"/>
    <w:rsid w:val="00D3002B"/>
    <w:rsid w:val="00D3045C"/>
    <w:rsid w:val="00D30599"/>
    <w:rsid w:val="00D309ED"/>
    <w:rsid w:val="00D309FE"/>
    <w:rsid w:val="00D30D42"/>
    <w:rsid w:val="00D318BC"/>
    <w:rsid w:val="00D31FD2"/>
    <w:rsid w:val="00D32521"/>
    <w:rsid w:val="00D32659"/>
    <w:rsid w:val="00D332BF"/>
    <w:rsid w:val="00D33541"/>
    <w:rsid w:val="00D34338"/>
    <w:rsid w:val="00D34548"/>
    <w:rsid w:val="00D3470F"/>
    <w:rsid w:val="00D34827"/>
    <w:rsid w:val="00D34BDF"/>
    <w:rsid w:val="00D3564E"/>
    <w:rsid w:val="00D35743"/>
    <w:rsid w:val="00D357EF"/>
    <w:rsid w:val="00D35B7E"/>
    <w:rsid w:val="00D361DC"/>
    <w:rsid w:val="00D36331"/>
    <w:rsid w:val="00D369D2"/>
    <w:rsid w:val="00D36ACD"/>
    <w:rsid w:val="00D36F4D"/>
    <w:rsid w:val="00D3726A"/>
    <w:rsid w:val="00D377A4"/>
    <w:rsid w:val="00D37816"/>
    <w:rsid w:val="00D40033"/>
    <w:rsid w:val="00D406CC"/>
    <w:rsid w:val="00D40836"/>
    <w:rsid w:val="00D40BF1"/>
    <w:rsid w:val="00D413FF"/>
    <w:rsid w:val="00D41481"/>
    <w:rsid w:val="00D41552"/>
    <w:rsid w:val="00D4165D"/>
    <w:rsid w:val="00D41797"/>
    <w:rsid w:val="00D417E0"/>
    <w:rsid w:val="00D41A1C"/>
    <w:rsid w:val="00D41D63"/>
    <w:rsid w:val="00D41EFE"/>
    <w:rsid w:val="00D421F6"/>
    <w:rsid w:val="00D42AA6"/>
    <w:rsid w:val="00D42B0D"/>
    <w:rsid w:val="00D43422"/>
    <w:rsid w:val="00D43543"/>
    <w:rsid w:val="00D436FC"/>
    <w:rsid w:val="00D43816"/>
    <w:rsid w:val="00D443D2"/>
    <w:rsid w:val="00D44ABB"/>
    <w:rsid w:val="00D456E6"/>
    <w:rsid w:val="00D46868"/>
    <w:rsid w:val="00D470DE"/>
    <w:rsid w:val="00D47113"/>
    <w:rsid w:val="00D47260"/>
    <w:rsid w:val="00D4761F"/>
    <w:rsid w:val="00D47E87"/>
    <w:rsid w:val="00D47FFA"/>
    <w:rsid w:val="00D50B1A"/>
    <w:rsid w:val="00D50B67"/>
    <w:rsid w:val="00D5101F"/>
    <w:rsid w:val="00D510DD"/>
    <w:rsid w:val="00D51C71"/>
    <w:rsid w:val="00D51CFD"/>
    <w:rsid w:val="00D51DD4"/>
    <w:rsid w:val="00D51FBF"/>
    <w:rsid w:val="00D5231A"/>
    <w:rsid w:val="00D525CE"/>
    <w:rsid w:val="00D5265F"/>
    <w:rsid w:val="00D5371D"/>
    <w:rsid w:val="00D539CA"/>
    <w:rsid w:val="00D53A15"/>
    <w:rsid w:val="00D53EC8"/>
    <w:rsid w:val="00D541D4"/>
    <w:rsid w:val="00D54C41"/>
    <w:rsid w:val="00D55142"/>
    <w:rsid w:val="00D55B3D"/>
    <w:rsid w:val="00D55DC5"/>
    <w:rsid w:val="00D55E9B"/>
    <w:rsid w:val="00D55F4D"/>
    <w:rsid w:val="00D565D8"/>
    <w:rsid w:val="00D569D4"/>
    <w:rsid w:val="00D56ABF"/>
    <w:rsid w:val="00D56B7D"/>
    <w:rsid w:val="00D56E46"/>
    <w:rsid w:val="00D56F59"/>
    <w:rsid w:val="00D570AC"/>
    <w:rsid w:val="00D574FB"/>
    <w:rsid w:val="00D60754"/>
    <w:rsid w:val="00D60D88"/>
    <w:rsid w:val="00D60F7D"/>
    <w:rsid w:val="00D615DE"/>
    <w:rsid w:val="00D62252"/>
    <w:rsid w:val="00D628CF"/>
    <w:rsid w:val="00D62ECB"/>
    <w:rsid w:val="00D63469"/>
    <w:rsid w:val="00D64158"/>
    <w:rsid w:val="00D642F3"/>
    <w:rsid w:val="00D64779"/>
    <w:rsid w:val="00D64AFF"/>
    <w:rsid w:val="00D64CA1"/>
    <w:rsid w:val="00D64ED6"/>
    <w:rsid w:val="00D650C8"/>
    <w:rsid w:val="00D651BC"/>
    <w:rsid w:val="00D6526C"/>
    <w:rsid w:val="00D652BA"/>
    <w:rsid w:val="00D6584C"/>
    <w:rsid w:val="00D65A4B"/>
    <w:rsid w:val="00D6642D"/>
    <w:rsid w:val="00D665FA"/>
    <w:rsid w:val="00D66819"/>
    <w:rsid w:val="00D66FCA"/>
    <w:rsid w:val="00D67E0D"/>
    <w:rsid w:val="00D700C6"/>
    <w:rsid w:val="00D70803"/>
    <w:rsid w:val="00D70E77"/>
    <w:rsid w:val="00D7108D"/>
    <w:rsid w:val="00D71C25"/>
    <w:rsid w:val="00D71CEE"/>
    <w:rsid w:val="00D72087"/>
    <w:rsid w:val="00D722C0"/>
    <w:rsid w:val="00D7237E"/>
    <w:rsid w:val="00D726D2"/>
    <w:rsid w:val="00D7280D"/>
    <w:rsid w:val="00D72906"/>
    <w:rsid w:val="00D72978"/>
    <w:rsid w:val="00D737A2"/>
    <w:rsid w:val="00D739A8"/>
    <w:rsid w:val="00D73D3D"/>
    <w:rsid w:val="00D7403F"/>
    <w:rsid w:val="00D7452B"/>
    <w:rsid w:val="00D745A0"/>
    <w:rsid w:val="00D74693"/>
    <w:rsid w:val="00D74DB1"/>
    <w:rsid w:val="00D75134"/>
    <w:rsid w:val="00D75572"/>
    <w:rsid w:val="00D755A0"/>
    <w:rsid w:val="00D756D8"/>
    <w:rsid w:val="00D75AAC"/>
    <w:rsid w:val="00D7651A"/>
    <w:rsid w:val="00D7696F"/>
    <w:rsid w:val="00D770A1"/>
    <w:rsid w:val="00D7737F"/>
    <w:rsid w:val="00D7778C"/>
    <w:rsid w:val="00D77A1C"/>
    <w:rsid w:val="00D80540"/>
    <w:rsid w:val="00D80CD7"/>
    <w:rsid w:val="00D812BC"/>
    <w:rsid w:val="00D8139E"/>
    <w:rsid w:val="00D81507"/>
    <w:rsid w:val="00D81558"/>
    <w:rsid w:val="00D81997"/>
    <w:rsid w:val="00D81AC4"/>
    <w:rsid w:val="00D82549"/>
    <w:rsid w:val="00D827E5"/>
    <w:rsid w:val="00D82A98"/>
    <w:rsid w:val="00D82B35"/>
    <w:rsid w:val="00D82BBA"/>
    <w:rsid w:val="00D83212"/>
    <w:rsid w:val="00D838DA"/>
    <w:rsid w:val="00D83E1E"/>
    <w:rsid w:val="00D83E45"/>
    <w:rsid w:val="00D8417B"/>
    <w:rsid w:val="00D84245"/>
    <w:rsid w:val="00D8470E"/>
    <w:rsid w:val="00D849AB"/>
    <w:rsid w:val="00D84ADA"/>
    <w:rsid w:val="00D84B2F"/>
    <w:rsid w:val="00D84EF9"/>
    <w:rsid w:val="00D85137"/>
    <w:rsid w:val="00D8606D"/>
    <w:rsid w:val="00D863E9"/>
    <w:rsid w:val="00D86899"/>
    <w:rsid w:val="00D86A2B"/>
    <w:rsid w:val="00D87345"/>
    <w:rsid w:val="00D87414"/>
    <w:rsid w:val="00D876FB"/>
    <w:rsid w:val="00D8779C"/>
    <w:rsid w:val="00D90195"/>
    <w:rsid w:val="00D901B5"/>
    <w:rsid w:val="00D9057D"/>
    <w:rsid w:val="00D90766"/>
    <w:rsid w:val="00D90827"/>
    <w:rsid w:val="00D90892"/>
    <w:rsid w:val="00D90979"/>
    <w:rsid w:val="00D91125"/>
    <w:rsid w:val="00D9122A"/>
    <w:rsid w:val="00D91C37"/>
    <w:rsid w:val="00D92443"/>
    <w:rsid w:val="00D92697"/>
    <w:rsid w:val="00D93069"/>
    <w:rsid w:val="00D9374C"/>
    <w:rsid w:val="00D93A68"/>
    <w:rsid w:val="00D93CB4"/>
    <w:rsid w:val="00D93E9E"/>
    <w:rsid w:val="00D93FEB"/>
    <w:rsid w:val="00D94286"/>
    <w:rsid w:val="00D948E4"/>
    <w:rsid w:val="00D9560E"/>
    <w:rsid w:val="00D95AAF"/>
    <w:rsid w:val="00D95C75"/>
    <w:rsid w:val="00D95DFE"/>
    <w:rsid w:val="00D969B1"/>
    <w:rsid w:val="00D9775D"/>
    <w:rsid w:val="00D9794F"/>
    <w:rsid w:val="00DA0FA8"/>
    <w:rsid w:val="00DA136A"/>
    <w:rsid w:val="00DA14FD"/>
    <w:rsid w:val="00DA1A41"/>
    <w:rsid w:val="00DA1E82"/>
    <w:rsid w:val="00DA20ED"/>
    <w:rsid w:val="00DA27C4"/>
    <w:rsid w:val="00DA284F"/>
    <w:rsid w:val="00DA2B34"/>
    <w:rsid w:val="00DA34D8"/>
    <w:rsid w:val="00DA3EB0"/>
    <w:rsid w:val="00DA3EDF"/>
    <w:rsid w:val="00DA40F0"/>
    <w:rsid w:val="00DA41C2"/>
    <w:rsid w:val="00DA4BC2"/>
    <w:rsid w:val="00DA4C2E"/>
    <w:rsid w:val="00DA5138"/>
    <w:rsid w:val="00DA52C5"/>
    <w:rsid w:val="00DA5668"/>
    <w:rsid w:val="00DA56AB"/>
    <w:rsid w:val="00DA58E0"/>
    <w:rsid w:val="00DA5910"/>
    <w:rsid w:val="00DA6203"/>
    <w:rsid w:val="00DA6351"/>
    <w:rsid w:val="00DA6475"/>
    <w:rsid w:val="00DA69C9"/>
    <w:rsid w:val="00DA7829"/>
    <w:rsid w:val="00DB0A87"/>
    <w:rsid w:val="00DB0C0E"/>
    <w:rsid w:val="00DB1666"/>
    <w:rsid w:val="00DB17A3"/>
    <w:rsid w:val="00DB2214"/>
    <w:rsid w:val="00DB227D"/>
    <w:rsid w:val="00DB2E33"/>
    <w:rsid w:val="00DB338C"/>
    <w:rsid w:val="00DB363A"/>
    <w:rsid w:val="00DB3678"/>
    <w:rsid w:val="00DB368D"/>
    <w:rsid w:val="00DB3F52"/>
    <w:rsid w:val="00DB3F75"/>
    <w:rsid w:val="00DB3FA3"/>
    <w:rsid w:val="00DB42D3"/>
    <w:rsid w:val="00DB51F2"/>
    <w:rsid w:val="00DB5346"/>
    <w:rsid w:val="00DB5551"/>
    <w:rsid w:val="00DB5E8B"/>
    <w:rsid w:val="00DB6074"/>
    <w:rsid w:val="00DB642E"/>
    <w:rsid w:val="00DB665F"/>
    <w:rsid w:val="00DB6F83"/>
    <w:rsid w:val="00DB7063"/>
    <w:rsid w:val="00DB70E6"/>
    <w:rsid w:val="00DB71BC"/>
    <w:rsid w:val="00DB76D0"/>
    <w:rsid w:val="00DB7853"/>
    <w:rsid w:val="00DC0243"/>
    <w:rsid w:val="00DC0D20"/>
    <w:rsid w:val="00DC111B"/>
    <w:rsid w:val="00DC1559"/>
    <w:rsid w:val="00DC156C"/>
    <w:rsid w:val="00DC1E52"/>
    <w:rsid w:val="00DC2088"/>
    <w:rsid w:val="00DC217C"/>
    <w:rsid w:val="00DC2381"/>
    <w:rsid w:val="00DC256E"/>
    <w:rsid w:val="00DC2616"/>
    <w:rsid w:val="00DC2D38"/>
    <w:rsid w:val="00DC314F"/>
    <w:rsid w:val="00DC35EF"/>
    <w:rsid w:val="00DC383A"/>
    <w:rsid w:val="00DC3AA6"/>
    <w:rsid w:val="00DC3CCC"/>
    <w:rsid w:val="00DC3DD4"/>
    <w:rsid w:val="00DC410A"/>
    <w:rsid w:val="00DC42BD"/>
    <w:rsid w:val="00DC44AE"/>
    <w:rsid w:val="00DC457A"/>
    <w:rsid w:val="00DC4BC3"/>
    <w:rsid w:val="00DC4C69"/>
    <w:rsid w:val="00DC59A9"/>
    <w:rsid w:val="00DC5A7C"/>
    <w:rsid w:val="00DC606E"/>
    <w:rsid w:val="00DC6628"/>
    <w:rsid w:val="00DC6B1D"/>
    <w:rsid w:val="00DC6BEF"/>
    <w:rsid w:val="00DC6D3A"/>
    <w:rsid w:val="00DC6FDF"/>
    <w:rsid w:val="00DC72AC"/>
    <w:rsid w:val="00DC7A83"/>
    <w:rsid w:val="00DC7F75"/>
    <w:rsid w:val="00DC7FB9"/>
    <w:rsid w:val="00DD013E"/>
    <w:rsid w:val="00DD12C9"/>
    <w:rsid w:val="00DD14E4"/>
    <w:rsid w:val="00DD1557"/>
    <w:rsid w:val="00DD1CBC"/>
    <w:rsid w:val="00DD1CC3"/>
    <w:rsid w:val="00DD27E8"/>
    <w:rsid w:val="00DD2A94"/>
    <w:rsid w:val="00DD2ACF"/>
    <w:rsid w:val="00DD2EF0"/>
    <w:rsid w:val="00DD2FA3"/>
    <w:rsid w:val="00DD315B"/>
    <w:rsid w:val="00DD31F2"/>
    <w:rsid w:val="00DD333C"/>
    <w:rsid w:val="00DD3591"/>
    <w:rsid w:val="00DD3A0A"/>
    <w:rsid w:val="00DD3CAD"/>
    <w:rsid w:val="00DD44D4"/>
    <w:rsid w:val="00DD4DAF"/>
    <w:rsid w:val="00DD5167"/>
    <w:rsid w:val="00DD61F0"/>
    <w:rsid w:val="00DD62EE"/>
    <w:rsid w:val="00DD69BD"/>
    <w:rsid w:val="00DD6B94"/>
    <w:rsid w:val="00DD6F12"/>
    <w:rsid w:val="00DD78A1"/>
    <w:rsid w:val="00DD79B8"/>
    <w:rsid w:val="00DD79FD"/>
    <w:rsid w:val="00DD7E6C"/>
    <w:rsid w:val="00DE00BD"/>
    <w:rsid w:val="00DE0260"/>
    <w:rsid w:val="00DE03C6"/>
    <w:rsid w:val="00DE0857"/>
    <w:rsid w:val="00DE0BF0"/>
    <w:rsid w:val="00DE16FB"/>
    <w:rsid w:val="00DE17F3"/>
    <w:rsid w:val="00DE1E72"/>
    <w:rsid w:val="00DE277D"/>
    <w:rsid w:val="00DE27DF"/>
    <w:rsid w:val="00DE2970"/>
    <w:rsid w:val="00DE2D21"/>
    <w:rsid w:val="00DE2DF1"/>
    <w:rsid w:val="00DE3155"/>
    <w:rsid w:val="00DE32BB"/>
    <w:rsid w:val="00DE34A9"/>
    <w:rsid w:val="00DE416A"/>
    <w:rsid w:val="00DE434D"/>
    <w:rsid w:val="00DE467B"/>
    <w:rsid w:val="00DE4805"/>
    <w:rsid w:val="00DE4815"/>
    <w:rsid w:val="00DE53CE"/>
    <w:rsid w:val="00DE5ACD"/>
    <w:rsid w:val="00DE5B0C"/>
    <w:rsid w:val="00DE5B6C"/>
    <w:rsid w:val="00DE62BA"/>
    <w:rsid w:val="00DE6322"/>
    <w:rsid w:val="00DE634B"/>
    <w:rsid w:val="00DE652C"/>
    <w:rsid w:val="00DE6C9D"/>
    <w:rsid w:val="00DE769A"/>
    <w:rsid w:val="00DE7906"/>
    <w:rsid w:val="00DE7B51"/>
    <w:rsid w:val="00DF00D2"/>
    <w:rsid w:val="00DF05E4"/>
    <w:rsid w:val="00DF0896"/>
    <w:rsid w:val="00DF0AEA"/>
    <w:rsid w:val="00DF0B38"/>
    <w:rsid w:val="00DF10AF"/>
    <w:rsid w:val="00DF10E2"/>
    <w:rsid w:val="00DF1523"/>
    <w:rsid w:val="00DF1615"/>
    <w:rsid w:val="00DF18B6"/>
    <w:rsid w:val="00DF1CDA"/>
    <w:rsid w:val="00DF1EAF"/>
    <w:rsid w:val="00DF2639"/>
    <w:rsid w:val="00DF270A"/>
    <w:rsid w:val="00DF2BE4"/>
    <w:rsid w:val="00DF2FAF"/>
    <w:rsid w:val="00DF2FD1"/>
    <w:rsid w:val="00DF357C"/>
    <w:rsid w:val="00DF3C15"/>
    <w:rsid w:val="00DF433F"/>
    <w:rsid w:val="00DF48A6"/>
    <w:rsid w:val="00DF48B6"/>
    <w:rsid w:val="00DF4A9C"/>
    <w:rsid w:val="00DF4B40"/>
    <w:rsid w:val="00DF4C15"/>
    <w:rsid w:val="00DF6555"/>
    <w:rsid w:val="00DF6DA2"/>
    <w:rsid w:val="00DF77F6"/>
    <w:rsid w:val="00DF7882"/>
    <w:rsid w:val="00DF79E9"/>
    <w:rsid w:val="00DF7E82"/>
    <w:rsid w:val="00E00198"/>
    <w:rsid w:val="00E00448"/>
    <w:rsid w:val="00E00594"/>
    <w:rsid w:val="00E0059F"/>
    <w:rsid w:val="00E008E1"/>
    <w:rsid w:val="00E009F7"/>
    <w:rsid w:val="00E00CD5"/>
    <w:rsid w:val="00E01470"/>
    <w:rsid w:val="00E02088"/>
    <w:rsid w:val="00E02603"/>
    <w:rsid w:val="00E0279A"/>
    <w:rsid w:val="00E028B6"/>
    <w:rsid w:val="00E029F4"/>
    <w:rsid w:val="00E031DE"/>
    <w:rsid w:val="00E03892"/>
    <w:rsid w:val="00E03A49"/>
    <w:rsid w:val="00E03C5C"/>
    <w:rsid w:val="00E03D3E"/>
    <w:rsid w:val="00E04068"/>
    <w:rsid w:val="00E042C5"/>
    <w:rsid w:val="00E043C9"/>
    <w:rsid w:val="00E04764"/>
    <w:rsid w:val="00E04E11"/>
    <w:rsid w:val="00E04FFF"/>
    <w:rsid w:val="00E0505B"/>
    <w:rsid w:val="00E05A25"/>
    <w:rsid w:val="00E05A9E"/>
    <w:rsid w:val="00E06145"/>
    <w:rsid w:val="00E06ADD"/>
    <w:rsid w:val="00E06B90"/>
    <w:rsid w:val="00E07314"/>
    <w:rsid w:val="00E0761B"/>
    <w:rsid w:val="00E10228"/>
    <w:rsid w:val="00E1029D"/>
    <w:rsid w:val="00E10315"/>
    <w:rsid w:val="00E10331"/>
    <w:rsid w:val="00E1043F"/>
    <w:rsid w:val="00E10C25"/>
    <w:rsid w:val="00E10EBD"/>
    <w:rsid w:val="00E110AC"/>
    <w:rsid w:val="00E1125A"/>
    <w:rsid w:val="00E126CD"/>
    <w:rsid w:val="00E12B18"/>
    <w:rsid w:val="00E12E86"/>
    <w:rsid w:val="00E134DB"/>
    <w:rsid w:val="00E13AB5"/>
    <w:rsid w:val="00E13FC2"/>
    <w:rsid w:val="00E14673"/>
    <w:rsid w:val="00E148B4"/>
    <w:rsid w:val="00E14C18"/>
    <w:rsid w:val="00E14E65"/>
    <w:rsid w:val="00E1553B"/>
    <w:rsid w:val="00E155DC"/>
    <w:rsid w:val="00E1587B"/>
    <w:rsid w:val="00E16192"/>
    <w:rsid w:val="00E169AD"/>
    <w:rsid w:val="00E16F7B"/>
    <w:rsid w:val="00E17487"/>
    <w:rsid w:val="00E17EA6"/>
    <w:rsid w:val="00E20030"/>
    <w:rsid w:val="00E20606"/>
    <w:rsid w:val="00E20610"/>
    <w:rsid w:val="00E207CF"/>
    <w:rsid w:val="00E20D02"/>
    <w:rsid w:val="00E20F4B"/>
    <w:rsid w:val="00E21525"/>
    <w:rsid w:val="00E216BE"/>
    <w:rsid w:val="00E21836"/>
    <w:rsid w:val="00E21ADF"/>
    <w:rsid w:val="00E21CC3"/>
    <w:rsid w:val="00E21EC5"/>
    <w:rsid w:val="00E220AB"/>
    <w:rsid w:val="00E2223B"/>
    <w:rsid w:val="00E23BC8"/>
    <w:rsid w:val="00E245C8"/>
    <w:rsid w:val="00E248C1"/>
    <w:rsid w:val="00E24CB1"/>
    <w:rsid w:val="00E24DE1"/>
    <w:rsid w:val="00E24FC5"/>
    <w:rsid w:val="00E250F6"/>
    <w:rsid w:val="00E25473"/>
    <w:rsid w:val="00E25CF5"/>
    <w:rsid w:val="00E26E05"/>
    <w:rsid w:val="00E2706E"/>
    <w:rsid w:val="00E278D9"/>
    <w:rsid w:val="00E279C9"/>
    <w:rsid w:val="00E27A01"/>
    <w:rsid w:val="00E3001A"/>
    <w:rsid w:val="00E30183"/>
    <w:rsid w:val="00E309D2"/>
    <w:rsid w:val="00E30F05"/>
    <w:rsid w:val="00E31980"/>
    <w:rsid w:val="00E31CF3"/>
    <w:rsid w:val="00E31D97"/>
    <w:rsid w:val="00E31E9F"/>
    <w:rsid w:val="00E31EAE"/>
    <w:rsid w:val="00E3231B"/>
    <w:rsid w:val="00E327F6"/>
    <w:rsid w:val="00E331B2"/>
    <w:rsid w:val="00E33882"/>
    <w:rsid w:val="00E33D9F"/>
    <w:rsid w:val="00E34393"/>
    <w:rsid w:val="00E352B6"/>
    <w:rsid w:val="00E35806"/>
    <w:rsid w:val="00E36AF8"/>
    <w:rsid w:val="00E379E1"/>
    <w:rsid w:val="00E37E9D"/>
    <w:rsid w:val="00E4008D"/>
    <w:rsid w:val="00E40132"/>
    <w:rsid w:val="00E40263"/>
    <w:rsid w:val="00E40279"/>
    <w:rsid w:val="00E40458"/>
    <w:rsid w:val="00E40F3B"/>
    <w:rsid w:val="00E413C0"/>
    <w:rsid w:val="00E417E0"/>
    <w:rsid w:val="00E423E1"/>
    <w:rsid w:val="00E42521"/>
    <w:rsid w:val="00E4275A"/>
    <w:rsid w:val="00E42973"/>
    <w:rsid w:val="00E42DC6"/>
    <w:rsid w:val="00E42E67"/>
    <w:rsid w:val="00E43AF2"/>
    <w:rsid w:val="00E43D45"/>
    <w:rsid w:val="00E43E98"/>
    <w:rsid w:val="00E4423E"/>
    <w:rsid w:val="00E44566"/>
    <w:rsid w:val="00E447EF"/>
    <w:rsid w:val="00E44BB5"/>
    <w:rsid w:val="00E44D8C"/>
    <w:rsid w:val="00E45047"/>
    <w:rsid w:val="00E45FFB"/>
    <w:rsid w:val="00E46918"/>
    <w:rsid w:val="00E469D6"/>
    <w:rsid w:val="00E46A8D"/>
    <w:rsid w:val="00E475C4"/>
    <w:rsid w:val="00E4772F"/>
    <w:rsid w:val="00E47773"/>
    <w:rsid w:val="00E479CB"/>
    <w:rsid w:val="00E5016B"/>
    <w:rsid w:val="00E502A8"/>
    <w:rsid w:val="00E503A9"/>
    <w:rsid w:val="00E5061A"/>
    <w:rsid w:val="00E508B5"/>
    <w:rsid w:val="00E50A45"/>
    <w:rsid w:val="00E51413"/>
    <w:rsid w:val="00E5149C"/>
    <w:rsid w:val="00E51963"/>
    <w:rsid w:val="00E51A56"/>
    <w:rsid w:val="00E51C20"/>
    <w:rsid w:val="00E525C6"/>
    <w:rsid w:val="00E52D56"/>
    <w:rsid w:val="00E5355A"/>
    <w:rsid w:val="00E54531"/>
    <w:rsid w:val="00E545A1"/>
    <w:rsid w:val="00E549BB"/>
    <w:rsid w:val="00E54A02"/>
    <w:rsid w:val="00E54FC6"/>
    <w:rsid w:val="00E55702"/>
    <w:rsid w:val="00E55DDB"/>
    <w:rsid w:val="00E56958"/>
    <w:rsid w:val="00E569D0"/>
    <w:rsid w:val="00E56CB0"/>
    <w:rsid w:val="00E56FD1"/>
    <w:rsid w:val="00E57170"/>
    <w:rsid w:val="00E571F8"/>
    <w:rsid w:val="00E57345"/>
    <w:rsid w:val="00E5754C"/>
    <w:rsid w:val="00E57750"/>
    <w:rsid w:val="00E60019"/>
    <w:rsid w:val="00E600C2"/>
    <w:rsid w:val="00E60397"/>
    <w:rsid w:val="00E6056E"/>
    <w:rsid w:val="00E60A36"/>
    <w:rsid w:val="00E60AFC"/>
    <w:rsid w:val="00E60D7C"/>
    <w:rsid w:val="00E612DE"/>
    <w:rsid w:val="00E6138F"/>
    <w:rsid w:val="00E6139C"/>
    <w:rsid w:val="00E614E5"/>
    <w:rsid w:val="00E615D3"/>
    <w:rsid w:val="00E61AE7"/>
    <w:rsid w:val="00E61B40"/>
    <w:rsid w:val="00E61C30"/>
    <w:rsid w:val="00E61DE8"/>
    <w:rsid w:val="00E62D60"/>
    <w:rsid w:val="00E63129"/>
    <w:rsid w:val="00E63155"/>
    <w:rsid w:val="00E638A3"/>
    <w:rsid w:val="00E643A0"/>
    <w:rsid w:val="00E647BB"/>
    <w:rsid w:val="00E65036"/>
    <w:rsid w:val="00E6552E"/>
    <w:rsid w:val="00E65542"/>
    <w:rsid w:val="00E65897"/>
    <w:rsid w:val="00E65A94"/>
    <w:rsid w:val="00E65C5D"/>
    <w:rsid w:val="00E65EE5"/>
    <w:rsid w:val="00E65F2C"/>
    <w:rsid w:val="00E66269"/>
    <w:rsid w:val="00E66297"/>
    <w:rsid w:val="00E666F7"/>
    <w:rsid w:val="00E667FF"/>
    <w:rsid w:val="00E668D9"/>
    <w:rsid w:val="00E669A2"/>
    <w:rsid w:val="00E66E56"/>
    <w:rsid w:val="00E67065"/>
    <w:rsid w:val="00E677A2"/>
    <w:rsid w:val="00E67E8A"/>
    <w:rsid w:val="00E701B7"/>
    <w:rsid w:val="00E705BF"/>
    <w:rsid w:val="00E709A9"/>
    <w:rsid w:val="00E70F37"/>
    <w:rsid w:val="00E717C8"/>
    <w:rsid w:val="00E71A4E"/>
    <w:rsid w:val="00E72388"/>
    <w:rsid w:val="00E72530"/>
    <w:rsid w:val="00E725C7"/>
    <w:rsid w:val="00E72C13"/>
    <w:rsid w:val="00E7322A"/>
    <w:rsid w:val="00E733BE"/>
    <w:rsid w:val="00E73554"/>
    <w:rsid w:val="00E73A9D"/>
    <w:rsid w:val="00E73B7E"/>
    <w:rsid w:val="00E73D03"/>
    <w:rsid w:val="00E74259"/>
    <w:rsid w:val="00E74581"/>
    <w:rsid w:val="00E74785"/>
    <w:rsid w:val="00E751B9"/>
    <w:rsid w:val="00E75EB5"/>
    <w:rsid w:val="00E76834"/>
    <w:rsid w:val="00E76F47"/>
    <w:rsid w:val="00E77195"/>
    <w:rsid w:val="00E804A7"/>
    <w:rsid w:val="00E8086D"/>
    <w:rsid w:val="00E812F0"/>
    <w:rsid w:val="00E81E94"/>
    <w:rsid w:val="00E81F64"/>
    <w:rsid w:val="00E81F9B"/>
    <w:rsid w:val="00E821FF"/>
    <w:rsid w:val="00E8227E"/>
    <w:rsid w:val="00E8264D"/>
    <w:rsid w:val="00E827E9"/>
    <w:rsid w:val="00E82BFC"/>
    <w:rsid w:val="00E82E6A"/>
    <w:rsid w:val="00E82EC2"/>
    <w:rsid w:val="00E834C2"/>
    <w:rsid w:val="00E83A16"/>
    <w:rsid w:val="00E83DEB"/>
    <w:rsid w:val="00E842D3"/>
    <w:rsid w:val="00E84E4C"/>
    <w:rsid w:val="00E854CC"/>
    <w:rsid w:val="00E86510"/>
    <w:rsid w:val="00E867D7"/>
    <w:rsid w:val="00E86A2E"/>
    <w:rsid w:val="00E86D45"/>
    <w:rsid w:val="00E874D3"/>
    <w:rsid w:val="00E875FF"/>
    <w:rsid w:val="00E90AB4"/>
    <w:rsid w:val="00E9119D"/>
    <w:rsid w:val="00E91A0F"/>
    <w:rsid w:val="00E91A77"/>
    <w:rsid w:val="00E91E0A"/>
    <w:rsid w:val="00E91F00"/>
    <w:rsid w:val="00E921D1"/>
    <w:rsid w:val="00E929E7"/>
    <w:rsid w:val="00E92C63"/>
    <w:rsid w:val="00E933F4"/>
    <w:rsid w:val="00E9355A"/>
    <w:rsid w:val="00E939D5"/>
    <w:rsid w:val="00E93AAF"/>
    <w:rsid w:val="00E93D7B"/>
    <w:rsid w:val="00E93E6D"/>
    <w:rsid w:val="00E94AB1"/>
    <w:rsid w:val="00E9514F"/>
    <w:rsid w:val="00E958F3"/>
    <w:rsid w:val="00E95985"/>
    <w:rsid w:val="00E96C1A"/>
    <w:rsid w:val="00E96C80"/>
    <w:rsid w:val="00E97643"/>
    <w:rsid w:val="00E97CAE"/>
    <w:rsid w:val="00E97F85"/>
    <w:rsid w:val="00EA0308"/>
    <w:rsid w:val="00EA19CE"/>
    <w:rsid w:val="00EA1C3D"/>
    <w:rsid w:val="00EA1EC9"/>
    <w:rsid w:val="00EA1FE2"/>
    <w:rsid w:val="00EA2393"/>
    <w:rsid w:val="00EA240E"/>
    <w:rsid w:val="00EA2A0C"/>
    <w:rsid w:val="00EA2ACE"/>
    <w:rsid w:val="00EA32C4"/>
    <w:rsid w:val="00EA36FA"/>
    <w:rsid w:val="00EA3731"/>
    <w:rsid w:val="00EA414B"/>
    <w:rsid w:val="00EA4692"/>
    <w:rsid w:val="00EA478F"/>
    <w:rsid w:val="00EA4B92"/>
    <w:rsid w:val="00EA4D32"/>
    <w:rsid w:val="00EA4E1D"/>
    <w:rsid w:val="00EA5237"/>
    <w:rsid w:val="00EA560F"/>
    <w:rsid w:val="00EA5818"/>
    <w:rsid w:val="00EA5ACA"/>
    <w:rsid w:val="00EA62B0"/>
    <w:rsid w:val="00EA659A"/>
    <w:rsid w:val="00EA678D"/>
    <w:rsid w:val="00EA6811"/>
    <w:rsid w:val="00EA68B5"/>
    <w:rsid w:val="00EA6E02"/>
    <w:rsid w:val="00EA7024"/>
    <w:rsid w:val="00EA7763"/>
    <w:rsid w:val="00EA7D74"/>
    <w:rsid w:val="00EB04E3"/>
    <w:rsid w:val="00EB06E6"/>
    <w:rsid w:val="00EB0934"/>
    <w:rsid w:val="00EB0B3D"/>
    <w:rsid w:val="00EB0F04"/>
    <w:rsid w:val="00EB1646"/>
    <w:rsid w:val="00EB1826"/>
    <w:rsid w:val="00EB1853"/>
    <w:rsid w:val="00EB1AAC"/>
    <w:rsid w:val="00EB1C05"/>
    <w:rsid w:val="00EB1C06"/>
    <w:rsid w:val="00EB1E22"/>
    <w:rsid w:val="00EB23E0"/>
    <w:rsid w:val="00EB260F"/>
    <w:rsid w:val="00EB27BE"/>
    <w:rsid w:val="00EB2F54"/>
    <w:rsid w:val="00EB314B"/>
    <w:rsid w:val="00EB3515"/>
    <w:rsid w:val="00EB3D95"/>
    <w:rsid w:val="00EB3EBC"/>
    <w:rsid w:val="00EB42DF"/>
    <w:rsid w:val="00EB45AF"/>
    <w:rsid w:val="00EB4616"/>
    <w:rsid w:val="00EB49DD"/>
    <w:rsid w:val="00EB51B9"/>
    <w:rsid w:val="00EB58C5"/>
    <w:rsid w:val="00EB637C"/>
    <w:rsid w:val="00EB6529"/>
    <w:rsid w:val="00EB6718"/>
    <w:rsid w:val="00EB6988"/>
    <w:rsid w:val="00EB7019"/>
    <w:rsid w:val="00EB70D9"/>
    <w:rsid w:val="00EB7531"/>
    <w:rsid w:val="00EB7F4F"/>
    <w:rsid w:val="00EC01A5"/>
    <w:rsid w:val="00EC03E9"/>
    <w:rsid w:val="00EC0840"/>
    <w:rsid w:val="00EC0E11"/>
    <w:rsid w:val="00EC1A9A"/>
    <w:rsid w:val="00EC1D9B"/>
    <w:rsid w:val="00EC2574"/>
    <w:rsid w:val="00EC27B0"/>
    <w:rsid w:val="00EC2896"/>
    <w:rsid w:val="00EC2B56"/>
    <w:rsid w:val="00EC422F"/>
    <w:rsid w:val="00EC435C"/>
    <w:rsid w:val="00EC480D"/>
    <w:rsid w:val="00EC56EF"/>
    <w:rsid w:val="00EC5912"/>
    <w:rsid w:val="00EC648D"/>
    <w:rsid w:val="00EC6A74"/>
    <w:rsid w:val="00EC798B"/>
    <w:rsid w:val="00ED0379"/>
    <w:rsid w:val="00ED05DE"/>
    <w:rsid w:val="00ED117B"/>
    <w:rsid w:val="00ED12E7"/>
    <w:rsid w:val="00ED2593"/>
    <w:rsid w:val="00ED28B1"/>
    <w:rsid w:val="00ED311B"/>
    <w:rsid w:val="00ED3D56"/>
    <w:rsid w:val="00ED3E8E"/>
    <w:rsid w:val="00ED3F8C"/>
    <w:rsid w:val="00ED49DA"/>
    <w:rsid w:val="00ED6500"/>
    <w:rsid w:val="00ED68A2"/>
    <w:rsid w:val="00ED6ED2"/>
    <w:rsid w:val="00ED727B"/>
    <w:rsid w:val="00ED7C0B"/>
    <w:rsid w:val="00ED7E02"/>
    <w:rsid w:val="00ED7E05"/>
    <w:rsid w:val="00EE00DE"/>
    <w:rsid w:val="00EE0248"/>
    <w:rsid w:val="00EE07B6"/>
    <w:rsid w:val="00EE088D"/>
    <w:rsid w:val="00EE0AC8"/>
    <w:rsid w:val="00EE1098"/>
    <w:rsid w:val="00EE1123"/>
    <w:rsid w:val="00EE1F2C"/>
    <w:rsid w:val="00EE21A1"/>
    <w:rsid w:val="00EE2425"/>
    <w:rsid w:val="00EE2675"/>
    <w:rsid w:val="00EE2BC9"/>
    <w:rsid w:val="00EE3309"/>
    <w:rsid w:val="00EE33D1"/>
    <w:rsid w:val="00EE34E5"/>
    <w:rsid w:val="00EE3704"/>
    <w:rsid w:val="00EE3845"/>
    <w:rsid w:val="00EE3A2C"/>
    <w:rsid w:val="00EE47DA"/>
    <w:rsid w:val="00EE4935"/>
    <w:rsid w:val="00EE4CDE"/>
    <w:rsid w:val="00EE518C"/>
    <w:rsid w:val="00EE5393"/>
    <w:rsid w:val="00EE561F"/>
    <w:rsid w:val="00EE5683"/>
    <w:rsid w:val="00EE5A93"/>
    <w:rsid w:val="00EE5EC4"/>
    <w:rsid w:val="00EE61E9"/>
    <w:rsid w:val="00EE6B5C"/>
    <w:rsid w:val="00EE7380"/>
    <w:rsid w:val="00EE77B3"/>
    <w:rsid w:val="00EE79A1"/>
    <w:rsid w:val="00EE7C9A"/>
    <w:rsid w:val="00EE7F09"/>
    <w:rsid w:val="00EE7F64"/>
    <w:rsid w:val="00EF00F6"/>
    <w:rsid w:val="00EF010D"/>
    <w:rsid w:val="00EF013C"/>
    <w:rsid w:val="00EF03F8"/>
    <w:rsid w:val="00EF16A2"/>
    <w:rsid w:val="00EF2768"/>
    <w:rsid w:val="00EF2AD3"/>
    <w:rsid w:val="00EF3153"/>
    <w:rsid w:val="00EF3571"/>
    <w:rsid w:val="00EF3955"/>
    <w:rsid w:val="00EF4576"/>
    <w:rsid w:val="00EF4720"/>
    <w:rsid w:val="00EF4975"/>
    <w:rsid w:val="00EF4C02"/>
    <w:rsid w:val="00EF503A"/>
    <w:rsid w:val="00EF539C"/>
    <w:rsid w:val="00EF53A0"/>
    <w:rsid w:val="00EF55B3"/>
    <w:rsid w:val="00EF5A6A"/>
    <w:rsid w:val="00EF5B0A"/>
    <w:rsid w:val="00EF5D1A"/>
    <w:rsid w:val="00EF5F06"/>
    <w:rsid w:val="00EF68C0"/>
    <w:rsid w:val="00EF6B8D"/>
    <w:rsid w:val="00EF6C17"/>
    <w:rsid w:val="00EF70C4"/>
    <w:rsid w:val="00EF74BA"/>
    <w:rsid w:val="00F006D1"/>
    <w:rsid w:val="00F0112F"/>
    <w:rsid w:val="00F01572"/>
    <w:rsid w:val="00F015AD"/>
    <w:rsid w:val="00F01720"/>
    <w:rsid w:val="00F01736"/>
    <w:rsid w:val="00F01EFA"/>
    <w:rsid w:val="00F0238F"/>
    <w:rsid w:val="00F02C39"/>
    <w:rsid w:val="00F0386A"/>
    <w:rsid w:val="00F038F6"/>
    <w:rsid w:val="00F03A37"/>
    <w:rsid w:val="00F045CA"/>
    <w:rsid w:val="00F045E8"/>
    <w:rsid w:val="00F046E3"/>
    <w:rsid w:val="00F04F5F"/>
    <w:rsid w:val="00F05010"/>
    <w:rsid w:val="00F05489"/>
    <w:rsid w:val="00F0571C"/>
    <w:rsid w:val="00F05BC5"/>
    <w:rsid w:val="00F06903"/>
    <w:rsid w:val="00F06E9B"/>
    <w:rsid w:val="00F06FA9"/>
    <w:rsid w:val="00F071D2"/>
    <w:rsid w:val="00F072D2"/>
    <w:rsid w:val="00F07371"/>
    <w:rsid w:val="00F07468"/>
    <w:rsid w:val="00F07785"/>
    <w:rsid w:val="00F07A18"/>
    <w:rsid w:val="00F103A4"/>
    <w:rsid w:val="00F10546"/>
    <w:rsid w:val="00F11DFA"/>
    <w:rsid w:val="00F1272D"/>
    <w:rsid w:val="00F12B2E"/>
    <w:rsid w:val="00F12F99"/>
    <w:rsid w:val="00F1327E"/>
    <w:rsid w:val="00F136B0"/>
    <w:rsid w:val="00F1377F"/>
    <w:rsid w:val="00F138AD"/>
    <w:rsid w:val="00F13A1A"/>
    <w:rsid w:val="00F13B97"/>
    <w:rsid w:val="00F13C66"/>
    <w:rsid w:val="00F142C1"/>
    <w:rsid w:val="00F14686"/>
    <w:rsid w:val="00F14DF1"/>
    <w:rsid w:val="00F154E1"/>
    <w:rsid w:val="00F1563F"/>
    <w:rsid w:val="00F15D3E"/>
    <w:rsid w:val="00F15DB5"/>
    <w:rsid w:val="00F15FD0"/>
    <w:rsid w:val="00F171A1"/>
    <w:rsid w:val="00F176FF"/>
    <w:rsid w:val="00F17C57"/>
    <w:rsid w:val="00F2082C"/>
    <w:rsid w:val="00F208A7"/>
    <w:rsid w:val="00F20B41"/>
    <w:rsid w:val="00F20B4C"/>
    <w:rsid w:val="00F20F3F"/>
    <w:rsid w:val="00F21671"/>
    <w:rsid w:val="00F21E4B"/>
    <w:rsid w:val="00F21F5A"/>
    <w:rsid w:val="00F22250"/>
    <w:rsid w:val="00F22351"/>
    <w:rsid w:val="00F22401"/>
    <w:rsid w:val="00F228CB"/>
    <w:rsid w:val="00F22A68"/>
    <w:rsid w:val="00F22AA9"/>
    <w:rsid w:val="00F22BB4"/>
    <w:rsid w:val="00F22C87"/>
    <w:rsid w:val="00F2394B"/>
    <w:rsid w:val="00F23A29"/>
    <w:rsid w:val="00F23D15"/>
    <w:rsid w:val="00F24DDD"/>
    <w:rsid w:val="00F255F3"/>
    <w:rsid w:val="00F25746"/>
    <w:rsid w:val="00F25794"/>
    <w:rsid w:val="00F25866"/>
    <w:rsid w:val="00F259B7"/>
    <w:rsid w:val="00F25B5A"/>
    <w:rsid w:val="00F25C35"/>
    <w:rsid w:val="00F2625F"/>
    <w:rsid w:val="00F263AB"/>
    <w:rsid w:val="00F26952"/>
    <w:rsid w:val="00F2706D"/>
    <w:rsid w:val="00F277D0"/>
    <w:rsid w:val="00F2781F"/>
    <w:rsid w:val="00F278A4"/>
    <w:rsid w:val="00F27A1D"/>
    <w:rsid w:val="00F27C21"/>
    <w:rsid w:val="00F30272"/>
    <w:rsid w:val="00F30437"/>
    <w:rsid w:val="00F31462"/>
    <w:rsid w:val="00F3163E"/>
    <w:rsid w:val="00F31AA4"/>
    <w:rsid w:val="00F31D11"/>
    <w:rsid w:val="00F3231D"/>
    <w:rsid w:val="00F33263"/>
    <w:rsid w:val="00F33365"/>
    <w:rsid w:val="00F33498"/>
    <w:rsid w:val="00F3360C"/>
    <w:rsid w:val="00F337B6"/>
    <w:rsid w:val="00F3395B"/>
    <w:rsid w:val="00F34047"/>
    <w:rsid w:val="00F34545"/>
    <w:rsid w:val="00F34546"/>
    <w:rsid w:val="00F3458F"/>
    <w:rsid w:val="00F3461B"/>
    <w:rsid w:val="00F34752"/>
    <w:rsid w:val="00F34DF5"/>
    <w:rsid w:val="00F350CF"/>
    <w:rsid w:val="00F358F6"/>
    <w:rsid w:val="00F362F8"/>
    <w:rsid w:val="00F36653"/>
    <w:rsid w:val="00F36A0C"/>
    <w:rsid w:val="00F36F66"/>
    <w:rsid w:val="00F370B4"/>
    <w:rsid w:val="00F370D4"/>
    <w:rsid w:val="00F37100"/>
    <w:rsid w:val="00F37391"/>
    <w:rsid w:val="00F373B5"/>
    <w:rsid w:val="00F37406"/>
    <w:rsid w:val="00F375BA"/>
    <w:rsid w:val="00F379D2"/>
    <w:rsid w:val="00F37A09"/>
    <w:rsid w:val="00F37A3F"/>
    <w:rsid w:val="00F37CFC"/>
    <w:rsid w:val="00F37F35"/>
    <w:rsid w:val="00F4007F"/>
    <w:rsid w:val="00F403EE"/>
    <w:rsid w:val="00F405F0"/>
    <w:rsid w:val="00F406FD"/>
    <w:rsid w:val="00F408A7"/>
    <w:rsid w:val="00F40AC7"/>
    <w:rsid w:val="00F41291"/>
    <w:rsid w:val="00F415BF"/>
    <w:rsid w:val="00F415DA"/>
    <w:rsid w:val="00F41A37"/>
    <w:rsid w:val="00F41BE5"/>
    <w:rsid w:val="00F41E49"/>
    <w:rsid w:val="00F42052"/>
    <w:rsid w:val="00F42366"/>
    <w:rsid w:val="00F425D0"/>
    <w:rsid w:val="00F42C58"/>
    <w:rsid w:val="00F42E1B"/>
    <w:rsid w:val="00F43230"/>
    <w:rsid w:val="00F43C4A"/>
    <w:rsid w:val="00F43D8B"/>
    <w:rsid w:val="00F440F7"/>
    <w:rsid w:val="00F441B2"/>
    <w:rsid w:val="00F4580A"/>
    <w:rsid w:val="00F459EB"/>
    <w:rsid w:val="00F45D15"/>
    <w:rsid w:val="00F45E0D"/>
    <w:rsid w:val="00F45EF1"/>
    <w:rsid w:val="00F464A0"/>
    <w:rsid w:val="00F467F4"/>
    <w:rsid w:val="00F46810"/>
    <w:rsid w:val="00F469FD"/>
    <w:rsid w:val="00F46B6F"/>
    <w:rsid w:val="00F46DA6"/>
    <w:rsid w:val="00F46F02"/>
    <w:rsid w:val="00F4783C"/>
    <w:rsid w:val="00F47CA7"/>
    <w:rsid w:val="00F47F9D"/>
    <w:rsid w:val="00F501A5"/>
    <w:rsid w:val="00F50CCC"/>
    <w:rsid w:val="00F511DD"/>
    <w:rsid w:val="00F5125D"/>
    <w:rsid w:val="00F51551"/>
    <w:rsid w:val="00F519AA"/>
    <w:rsid w:val="00F5232A"/>
    <w:rsid w:val="00F52663"/>
    <w:rsid w:val="00F52805"/>
    <w:rsid w:val="00F52968"/>
    <w:rsid w:val="00F52E2B"/>
    <w:rsid w:val="00F53191"/>
    <w:rsid w:val="00F53A43"/>
    <w:rsid w:val="00F53D4D"/>
    <w:rsid w:val="00F5495D"/>
    <w:rsid w:val="00F54D1A"/>
    <w:rsid w:val="00F54F48"/>
    <w:rsid w:val="00F554B8"/>
    <w:rsid w:val="00F55576"/>
    <w:rsid w:val="00F55CA7"/>
    <w:rsid w:val="00F55FC3"/>
    <w:rsid w:val="00F5634F"/>
    <w:rsid w:val="00F56F9E"/>
    <w:rsid w:val="00F57767"/>
    <w:rsid w:val="00F5776E"/>
    <w:rsid w:val="00F5783C"/>
    <w:rsid w:val="00F6054B"/>
    <w:rsid w:val="00F60D1A"/>
    <w:rsid w:val="00F60DEA"/>
    <w:rsid w:val="00F6125D"/>
    <w:rsid w:val="00F614F2"/>
    <w:rsid w:val="00F616B7"/>
    <w:rsid w:val="00F619C4"/>
    <w:rsid w:val="00F6280E"/>
    <w:rsid w:val="00F62A3F"/>
    <w:rsid w:val="00F62A5F"/>
    <w:rsid w:val="00F62CEB"/>
    <w:rsid w:val="00F62EDD"/>
    <w:rsid w:val="00F632C9"/>
    <w:rsid w:val="00F639C5"/>
    <w:rsid w:val="00F63A99"/>
    <w:rsid w:val="00F63AFE"/>
    <w:rsid w:val="00F64432"/>
    <w:rsid w:val="00F64B64"/>
    <w:rsid w:val="00F64E2C"/>
    <w:rsid w:val="00F6507A"/>
    <w:rsid w:val="00F653CC"/>
    <w:rsid w:val="00F65BC0"/>
    <w:rsid w:val="00F65F39"/>
    <w:rsid w:val="00F667F5"/>
    <w:rsid w:val="00F66FE2"/>
    <w:rsid w:val="00F67491"/>
    <w:rsid w:val="00F679BF"/>
    <w:rsid w:val="00F701AE"/>
    <w:rsid w:val="00F707EB"/>
    <w:rsid w:val="00F7096A"/>
    <w:rsid w:val="00F70BA8"/>
    <w:rsid w:val="00F72096"/>
    <w:rsid w:val="00F724EF"/>
    <w:rsid w:val="00F72724"/>
    <w:rsid w:val="00F736D4"/>
    <w:rsid w:val="00F73D28"/>
    <w:rsid w:val="00F73EC1"/>
    <w:rsid w:val="00F73FE3"/>
    <w:rsid w:val="00F74203"/>
    <w:rsid w:val="00F74B4F"/>
    <w:rsid w:val="00F74F6E"/>
    <w:rsid w:val="00F7577B"/>
    <w:rsid w:val="00F7584D"/>
    <w:rsid w:val="00F759D3"/>
    <w:rsid w:val="00F768A1"/>
    <w:rsid w:val="00F76ABC"/>
    <w:rsid w:val="00F775DE"/>
    <w:rsid w:val="00F779BC"/>
    <w:rsid w:val="00F77D70"/>
    <w:rsid w:val="00F800F9"/>
    <w:rsid w:val="00F80B25"/>
    <w:rsid w:val="00F81013"/>
    <w:rsid w:val="00F816A6"/>
    <w:rsid w:val="00F8194A"/>
    <w:rsid w:val="00F82684"/>
    <w:rsid w:val="00F827AA"/>
    <w:rsid w:val="00F82A02"/>
    <w:rsid w:val="00F82BBE"/>
    <w:rsid w:val="00F852C9"/>
    <w:rsid w:val="00F85690"/>
    <w:rsid w:val="00F85AEC"/>
    <w:rsid w:val="00F8606C"/>
    <w:rsid w:val="00F86084"/>
    <w:rsid w:val="00F87FAC"/>
    <w:rsid w:val="00F9001F"/>
    <w:rsid w:val="00F90426"/>
    <w:rsid w:val="00F90635"/>
    <w:rsid w:val="00F90A7B"/>
    <w:rsid w:val="00F90C42"/>
    <w:rsid w:val="00F90F1E"/>
    <w:rsid w:val="00F915B6"/>
    <w:rsid w:val="00F91D42"/>
    <w:rsid w:val="00F91EA0"/>
    <w:rsid w:val="00F91F2A"/>
    <w:rsid w:val="00F93113"/>
    <w:rsid w:val="00F93137"/>
    <w:rsid w:val="00F93520"/>
    <w:rsid w:val="00F93C27"/>
    <w:rsid w:val="00F93E31"/>
    <w:rsid w:val="00F94068"/>
    <w:rsid w:val="00F94079"/>
    <w:rsid w:val="00F94741"/>
    <w:rsid w:val="00F94971"/>
    <w:rsid w:val="00F94B0D"/>
    <w:rsid w:val="00F94D2F"/>
    <w:rsid w:val="00F94DC1"/>
    <w:rsid w:val="00F9514C"/>
    <w:rsid w:val="00F9548A"/>
    <w:rsid w:val="00F95A9B"/>
    <w:rsid w:val="00F95C18"/>
    <w:rsid w:val="00F96184"/>
    <w:rsid w:val="00F965AF"/>
    <w:rsid w:val="00F96C5F"/>
    <w:rsid w:val="00F96EE3"/>
    <w:rsid w:val="00F96FEA"/>
    <w:rsid w:val="00F9763C"/>
    <w:rsid w:val="00F97E59"/>
    <w:rsid w:val="00FA007E"/>
    <w:rsid w:val="00FA025D"/>
    <w:rsid w:val="00FA06A0"/>
    <w:rsid w:val="00FA0D62"/>
    <w:rsid w:val="00FA154E"/>
    <w:rsid w:val="00FA1E29"/>
    <w:rsid w:val="00FA23BD"/>
    <w:rsid w:val="00FA28DE"/>
    <w:rsid w:val="00FA32C4"/>
    <w:rsid w:val="00FA337A"/>
    <w:rsid w:val="00FA35BA"/>
    <w:rsid w:val="00FA3A18"/>
    <w:rsid w:val="00FA4669"/>
    <w:rsid w:val="00FA5943"/>
    <w:rsid w:val="00FA5BAD"/>
    <w:rsid w:val="00FA5CF8"/>
    <w:rsid w:val="00FA6338"/>
    <w:rsid w:val="00FA6826"/>
    <w:rsid w:val="00FA6947"/>
    <w:rsid w:val="00FA6CE3"/>
    <w:rsid w:val="00FA715A"/>
    <w:rsid w:val="00FA7332"/>
    <w:rsid w:val="00FA7795"/>
    <w:rsid w:val="00FA7C61"/>
    <w:rsid w:val="00FA7DAF"/>
    <w:rsid w:val="00FB03B7"/>
    <w:rsid w:val="00FB05E1"/>
    <w:rsid w:val="00FB06CC"/>
    <w:rsid w:val="00FB0BCA"/>
    <w:rsid w:val="00FB2595"/>
    <w:rsid w:val="00FB2785"/>
    <w:rsid w:val="00FB2BF0"/>
    <w:rsid w:val="00FB307B"/>
    <w:rsid w:val="00FB30DD"/>
    <w:rsid w:val="00FB3302"/>
    <w:rsid w:val="00FB3428"/>
    <w:rsid w:val="00FB38CB"/>
    <w:rsid w:val="00FB38F5"/>
    <w:rsid w:val="00FB4471"/>
    <w:rsid w:val="00FB4856"/>
    <w:rsid w:val="00FB4A28"/>
    <w:rsid w:val="00FB4B0D"/>
    <w:rsid w:val="00FB5254"/>
    <w:rsid w:val="00FB54CF"/>
    <w:rsid w:val="00FB557B"/>
    <w:rsid w:val="00FB55C6"/>
    <w:rsid w:val="00FB5B8D"/>
    <w:rsid w:val="00FB5CDE"/>
    <w:rsid w:val="00FB601E"/>
    <w:rsid w:val="00FB61EC"/>
    <w:rsid w:val="00FB6212"/>
    <w:rsid w:val="00FB6240"/>
    <w:rsid w:val="00FB6564"/>
    <w:rsid w:val="00FB66C6"/>
    <w:rsid w:val="00FB6C42"/>
    <w:rsid w:val="00FB6DCF"/>
    <w:rsid w:val="00FB6E64"/>
    <w:rsid w:val="00FB76EF"/>
    <w:rsid w:val="00FB7C63"/>
    <w:rsid w:val="00FB7D76"/>
    <w:rsid w:val="00FC0750"/>
    <w:rsid w:val="00FC076C"/>
    <w:rsid w:val="00FC08C1"/>
    <w:rsid w:val="00FC0BA8"/>
    <w:rsid w:val="00FC1253"/>
    <w:rsid w:val="00FC127F"/>
    <w:rsid w:val="00FC1299"/>
    <w:rsid w:val="00FC138A"/>
    <w:rsid w:val="00FC167D"/>
    <w:rsid w:val="00FC179D"/>
    <w:rsid w:val="00FC1C1C"/>
    <w:rsid w:val="00FC1E89"/>
    <w:rsid w:val="00FC24D1"/>
    <w:rsid w:val="00FC2772"/>
    <w:rsid w:val="00FC27E8"/>
    <w:rsid w:val="00FC2B44"/>
    <w:rsid w:val="00FC30A3"/>
    <w:rsid w:val="00FC3162"/>
    <w:rsid w:val="00FC3247"/>
    <w:rsid w:val="00FC3375"/>
    <w:rsid w:val="00FC3558"/>
    <w:rsid w:val="00FC535A"/>
    <w:rsid w:val="00FC53E5"/>
    <w:rsid w:val="00FC53E9"/>
    <w:rsid w:val="00FC5956"/>
    <w:rsid w:val="00FC5A0E"/>
    <w:rsid w:val="00FC5C68"/>
    <w:rsid w:val="00FC5E05"/>
    <w:rsid w:val="00FC622B"/>
    <w:rsid w:val="00FC6254"/>
    <w:rsid w:val="00FC7409"/>
    <w:rsid w:val="00FC7959"/>
    <w:rsid w:val="00FD0023"/>
    <w:rsid w:val="00FD026A"/>
    <w:rsid w:val="00FD0A07"/>
    <w:rsid w:val="00FD0A98"/>
    <w:rsid w:val="00FD0A9E"/>
    <w:rsid w:val="00FD0E22"/>
    <w:rsid w:val="00FD15F8"/>
    <w:rsid w:val="00FD169B"/>
    <w:rsid w:val="00FD1921"/>
    <w:rsid w:val="00FD1D5E"/>
    <w:rsid w:val="00FD1F2C"/>
    <w:rsid w:val="00FD205A"/>
    <w:rsid w:val="00FD24C1"/>
    <w:rsid w:val="00FD2687"/>
    <w:rsid w:val="00FD28E6"/>
    <w:rsid w:val="00FD2C0B"/>
    <w:rsid w:val="00FD2D8A"/>
    <w:rsid w:val="00FD2FB0"/>
    <w:rsid w:val="00FD32FB"/>
    <w:rsid w:val="00FD4352"/>
    <w:rsid w:val="00FD44F0"/>
    <w:rsid w:val="00FD4CFA"/>
    <w:rsid w:val="00FD4D84"/>
    <w:rsid w:val="00FD51E0"/>
    <w:rsid w:val="00FD53E9"/>
    <w:rsid w:val="00FD561E"/>
    <w:rsid w:val="00FD5839"/>
    <w:rsid w:val="00FD5E2E"/>
    <w:rsid w:val="00FD5EE4"/>
    <w:rsid w:val="00FD6198"/>
    <w:rsid w:val="00FD61DB"/>
    <w:rsid w:val="00FD6249"/>
    <w:rsid w:val="00FD62BD"/>
    <w:rsid w:val="00FD62EB"/>
    <w:rsid w:val="00FD65A4"/>
    <w:rsid w:val="00FD7402"/>
    <w:rsid w:val="00FD7B4E"/>
    <w:rsid w:val="00FE015F"/>
    <w:rsid w:val="00FE01D1"/>
    <w:rsid w:val="00FE06AD"/>
    <w:rsid w:val="00FE084A"/>
    <w:rsid w:val="00FE08D2"/>
    <w:rsid w:val="00FE0A4E"/>
    <w:rsid w:val="00FE14E5"/>
    <w:rsid w:val="00FE16AF"/>
    <w:rsid w:val="00FE2218"/>
    <w:rsid w:val="00FE25B5"/>
    <w:rsid w:val="00FE2DA1"/>
    <w:rsid w:val="00FE2E81"/>
    <w:rsid w:val="00FE2F94"/>
    <w:rsid w:val="00FE300E"/>
    <w:rsid w:val="00FE34F4"/>
    <w:rsid w:val="00FE3EA0"/>
    <w:rsid w:val="00FE3F8C"/>
    <w:rsid w:val="00FE414C"/>
    <w:rsid w:val="00FE420F"/>
    <w:rsid w:val="00FE45DC"/>
    <w:rsid w:val="00FE47DD"/>
    <w:rsid w:val="00FE4936"/>
    <w:rsid w:val="00FE4A05"/>
    <w:rsid w:val="00FE4E5D"/>
    <w:rsid w:val="00FE50CC"/>
    <w:rsid w:val="00FE5144"/>
    <w:rsid w:val="00FE53B6"/>
    <w:rsid w:val="00FE6D14"/>
    <w:rsid w:val="00FE793E"/>
    <w:rsid w:val="00FF060C"/>
    <w:rsid w:val="00FF087E"/>
    <w:rsid w:val="00FF0925"/>
    <w:rsid w:val="00FF17A4"/>
    <w:rsid w:val="00FF1A4A"/>
    <w:rsid w:val="00FF1C8E"/>
    <w:rsid w:val="00FF1EB9"/>
    <w:rsid w:val="00FF2871"/>
    <w:rsid w:val="00FF2BC3"/>
    <w:rsid w:val="00FF2D95"/>
    <w:rsid w:val="00FF2EDD"/>
    <w:rsid w:val="00FF3053"/>
    <w:rsid w:val="00FF3548"/>
    <w:rsid w:val="00FF38F2"/>
    <w:rsid w:val="00FF39A7"/>
    <w:rsid w:val="00FF3E34"/>
    <w:rsid w:val="00FF3F12"/>
    <w:rsid w:val="00FF458A"/>
    <w:rsid w:val="00FF487B"/>
    <w:rsid w:val="00FF541A"/>
    <w:rsid w:val="00FF5648"/>
    <w:rsid w:val="00FF57CD"/>
    <w:rsid w:val="00FF57EC"/>
    <w:rsid w:val="00FF5A92"/>
    <w:rsid w:val="00FF5BF4"/>
    <w:rsid w:val="00FF6320"/>
    <w:rsid w:val="00FF63EF"/>
    <w:rsid w:val="00FF6681"/>
    <w:rsid w:val="00FF6929"/>
    <w:rsid w:val="00FF6A57"/>
    <w:rsid w:val="00FF6AA6"/>
    <w:rsid w:val="00FF6B58"/>
    <w:rsid w:val="00FF70FE"/>
    <w:rsid w:val="00FF727B"/>
    <w:rsid w:val="00FF7375"/>
    <w:rsid w:val="00FF742F"/>
    <w:rsid w:val="00FF79FC"/>
    <w:rsid w:val="00FF7B16"/>
    <w:rsid w:val="00FF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70E"/>
  </w:style>
  <w:style w:type="paragraph" w:styleId="Heading1">
    <w:name w:val="heading 1"/>
    <w:basedOn w:val="Normal"/>
    <w:next w:val="Normal"/>
    <w:link w:val="Heading1Char"/>
    <w:uiPriority w:val="9"/>
    <w:qFormat/>
    <w:rsid w:val="00E12B18"/>
    <w:pPr>
      <w:keepNext/>
      <w:outlineLvl w:val="0"/>
    </w:pPr>
    <w:rPr>
      <w:rFonts w:eastAsiaTheme="majorEastAsia" w:cstheme="majorBidi"/>
      <w:b/>
      <w:bCs/>
      <w:i/>
      <w:color w:val="000000" w:themeColor="text1"/>
      <w:szCs w:val="28"/>
    </w:rPr>
  </w:style>
  <w:style w:type="paragraph" w:styleId="Heading2">
    <w:name w:val="heading 2"/>
    <w:basedOn w:val="Normal"/>
    <w:next w:val="Normal"/>
    <w:link w:val="Heading2Char"/>
    <w:autoRedefine/>
    <w:uiPriority w:val="9"/>
    <w:qFormat/>
    <w:rsid w:val="00D90195"/>
    <w:pPr>
      <w:jc w:val="left"/>
      <w:outlineLvl w:val="1"/>
    </w:pPr>
    <w:rPr>
      <w:b/>
    </w:rPr>
  </w:style>
  <w:style w:type="paragraph" w:styleId="Heading3">
    <w:name w:val="heading 3"/>
    <w:basedOn w:val="Normal"/>
    <w:next w:val="Normal"/>
    <w:link w:val="Heading3Char"/>
    <w:uiPriority w:val="99"/>
    <w:qFormat/>
    <w:rsid w:val="007B3E4F"/>
    <w:pPr>
      <w:numPr>
        <w:numId w:val="7"/>
      </w:numPr>
      <w:jc w:val="left"/>
      <w:outlineLvl w:val="2"/>
    </w:pPr>
    <w:rPr>
      <w:i/>
    </w:rPr>
  </w:style>
  <w:style w:type="paragraph" w:styleId="Heading4">
    <w:name w:val="heading 4"/>
    <w:basedOn w:val="Normal"/>
    <w:next w:val="Normal"/>
    <w:link w:val="Heading4Char"/>
    <w:uiPriority w:val="9"/>
    <w:semiHidden/>
    <w:unhideWhenUsed/>
    <w:qFormat/>
    <w:rsid w:val="00D825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25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254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254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25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25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nota pie Car Car,Texto nota pie Car Car Car Car Car Car,Texto nota pie Car Car Car Car Car,Texto nota pie Car Car Car Car Car Car Car,Texto nota pie Car Car Car,single space,footnote text,fn,FOOTNOTES,Geneva 9,Font: Geneva 9,ft,ADB"/>
    <w:basedOn w:val="Normal"/>
    <w:link w:val="FootnoteTextChar"/>
    <w:autoRedefine/>
    <w:uiPriority w:val="99"/>
    <w:unhideWhenUsed/>
    <w:rsid w:val="008F0AE0"/>
    <w:pPr>
      <w:jc w:val="left"/>
    </w:pPr>
    <w:rPr>
      <w:sz w:val="18"/>
      <w:szCs w:val="18"/>
    </w:rPr>
  </w:style>
  <w:style w:type="character" w:customStyle="1" w:styleId="FootnoteTextChar">
    <w:name w:val="Footnote Text Char"/>
    <w:aliases w:val="Texto nota pie Car Car Char,Texto nota pie Car Car Car Car Car Car Char,Texto nota pie Car Car Car Car Car Char,Texto nota pie Car Car Car Car Car Car Car Char,Texto nota pie Car Car Car Char,single space Char,footnote text Char"/>
    <w:basedOn w:val="DefaultParagraphFont"/>
    <w:link w:val="FootnoteText"/>
    <w:uiPriority w:val="99"/>
    <w:rsid w:val="008F0AE0"/>
    <w:rPr>
      <w:sz w:val="18"/>
      <w:szCs w:val="18"/>
    </w:rPr>
  </w:style>
  <w:style w:type="paragraph" w:styleId="Header">
    <w:name w:val="header"/>
    <w:basedOn w:val="Normal"/>
    <w:link w:val="HeaderChar"/>
    <w:uiPriority w:val="99"/>
    <w:unhideWhenUsed/>
    <w:rsid w:val="00D82549"/>
    <w:pPr>
      <w:tabs>
        <w:tab w:val="center" w:pos="4680"/>
        <w:tab w:val="right" w:pos="9360"/>
      </w:tabs>
    </w:pPr>
  </w:style>
  <w:style w:type="character" w:customStyle="1" w:styleId="HeaderChar">
    <w:name w:val="Header Char"/>
    <w:basedOn w:val="DefaultParagraphFont"/>
    <w:link w:val="Header"/>
    <w:uiPriority w:val="99"/>
    <w:rsid w:val="00D82549"/>
  </w:style>
  <w:style w:type="paragraph" w:styleId="Footer">
    <w:name w:val="footer"/>
    <w:basedOn w:val="Normal"/>
    <w:link w:val="FooterChar"/>
    <w:uiPriority w:val="99"/>
    <w:unhideWhenUsed/>
    <w:rsid w:val="00D82549"/>
    <w:pPr>
      <w:tabs>
        <w:tab w:val="center" w:pos="4680"/>
        <w:tab w:val="right" w:pos="9360"/>
      </w:tabs>
    </w:pPr>
  </w:style>
  <w:style w:type="character" w:customStyle="1" w:styleId="FooterChar">
    <w:name w:val="Footer Char"/>
    <w:basedOn w:val="DefaultParagraphFont"/>
    <w:link w:val="Footer"/>
    <w:uiPriority w:val="99"/>
    <w:rsid w:val="00D82549"/>
  </w:style>
  <w:style w:type="table" w:styleId="TableGrid">
    <w:name w:val="Table Grid"/>
    <w:basedOn w:val="TableNormal"/>
    <w:uiPriority w:val="39"/>
    <w:rsid w:val="00D82549"/>
    <w:rPr>
      <w:sz w:val="18"/>
    </w:rPr>
    <w:tblPr>
      <w:tblBorders>
        <w:top w:val="single" w:sz="4" w:space="0" w:color="auto"/>
        <w:bottom w:val="single" w:sz="4" w:space="0" w:color="auto"/>
        <w:insideH w:val="single" w:sz="4" w:space="0" w:color="auto"/>
      </w:tblBorders>
    </w:tblPr>
    <w:tcPr>
      <w:vAlign w:val="center"/>
    </w:tcPr>
    <w:tblStylePr w:type="firstRow">
      <w:rPr>
        <w:rFonts w:ascii="Book Antiqua" w:hAnsi="Book Antiqua"/>
        <w:b/>
        <w:sz w:val="18"/>
      </w:rPr>
      <w:tblPr/>
      <w:tcPr>
        <w:tcBorders>
          <w:top w:val="double" w:sz="4" w:space="0" w:color="auto"/>
          <w:bottom w:val="double" w:sz="4" w:space="0" w:color="auto"/>
        </w:tcBorders>
        <w:shd w:val="clear" w:color="auto" w:fill="BFBFBF" w:themeFill="background1" w:themeFillShade="BF"/>
      </w:tcPr>
    </w:tblStylePr>
    <w:tblStylePr w:type="firstCol">
      <w:pPr>
        <w:jc w:val="left"/>
      </w:pPr>
      <w:rPr>
        <w:rFonts w:ascii="Book Antiqua" w:hAnsi="Book Antiqua"/>
        <w:b/>
        <w:sz w:val="18"/>
      </w:rPr>
    </w:tblStylePr>
  </w:style>
  <w:style w:type="paragraph" w:styleId="ListParagraph">
    <w:name w:val="List Paragraph"/>
    <w:aliases w:val="Bullet Paragraph"/>
    <w:basedOn w:val="Normal"/>
    <w:link w:val="ListParagraphChar"/>
    <w:uiPriority w:val="34"/>
    <w:qFormat/>
    <w:rsid w:val="00D82549"/>
    <w:pPr>
      <w:contextualSpacing/>
    </w:pPr>
  </w:style>
  <w:style w:type="numbering" w:customStyle="1" w:styleId="StyleBulletedWingdingssymbolLeft225Hanging025">
    <w:name w:val="Style Bulleted Wingdings (symbol) Left:  2.25&quot; Hanging:  0.25&quot;"/>
    <w:basedOn w:val="NoList"/>
    <w:rsid w:val="00D82549"/>
    <w:pPr>
      <w:numPr>
        <w:numId w:val="1"/>
      </w:numPr>
    </w:pPr>
  </w:style>
  <w:style w:type="numbering" w:customStyle="1" w:styleId="StyleBulletedSymbolsymbolLeft225Hanging025">
    <w:name w:val="Style Bulleted Symbol (symbol) Left:  2.25&quot; Hanging:  0.25&quot;"/>
    <w:basedOn w:val="NoList"/>
    <w:rsid w:val="00D82549"/>
    <w:pPr>
      <w:numPr>
        <w:numId w:val="2"/>
      </w:numPr>
    </w:pPr>
  </w:style>
  <w:style w:type="numbering" w:customStyle="1" w:styleId="StyleBulletedWingdingssymbolLeft225Hanging0251">
    <w:name w:val="Style Bulleted Wingdings (symbol) Left:  2.25&quot; Hanging:  0.25&quot;1"/>
    <w:basedOn w:val="NoList"/>
    <w:rsid w:val="00D82549"/>
    <w:pPr>
      <w:numPr>
        <w:numId w:val="3"/>
      </w:numPr>
    </w:pPr>
  </w:style>
  <w:style w:type="character" w:customStyle="1" w:styleId="Heading1Char">
    <w:name w:val="Heading 1 Char"/>
    <w:basedOn w:val="DefaultParagraphFont"/>
    <w:link w:val="Heading1"/>
    <w:uiPriority w:val="9"/>
    <w:rsid w:val="00E12B18"/>
    <w:rPr>
      <w:rFonts w:eastAsiaTheme="majorEastAsia" w:cstheme="majorBidi"/>
      <w:b/>
      <w:bCs/>
      <w:i/>
      <w:color w:val="000000" w:themeColor="text1"/>
      <w:szCs w:val="28"/>
    </w:rPr>
  </w:style>
  <w:style w:type="character" w:customStyle="1" w:styleId="Heading2Char">
    <w:name w:val="Heading 2 Char"/>
    <w:basedOn w:val="DefaultParagraphFont"/>
    <w:link w:val="Heading2"/>
    <w:uiPriority w:val="9"/>
    <w:rsid w:val="00D90195"/>
    <w:rPr>
      <w:rFonts w:ascii="Book Antiqua" w:hAnsi="Book Antiqua"/>
      <w:b/>
    </w:rPr>
  </w:style>
  <w:style w:type="character" w:customStyle="1" w:styleId="Heading3Char">
    <w:name w:val="Heading 3 Char"/>
    <w:basedOn w:val="DefaultParagraphFont"/>
    <w:link w:val="Heading3"/>
    <w:uiPriority w:val="99"/>
    <w:rsid w:val="007B3E4F"/>
    <w:rPr>
      <w:i/>
    </w:rPr>
  </w:style>
  <w:style w:type="paragraph" w:styleId="NoSpacing">
    <w:name w:val="No Spacing"/>
    <w:uiPriority w:val="1"/>
    <w:qFormat/>
    <w:rsid w:val="00BA0660"/>
    <w:rPr>
      <w:b/>
      <w:sz w:val="24"/>
    </w:rPr>
  </w:style>
  <w:style w:type="numbering" w:customStyle="1" w:styleId="StyleBulletedWingdingssymbol">
    <w:name w:val="Style Bulleted Wingdings (symbol)"/>
    <w:basedOn w:val="NoList"/>
    <w:rsid w:val="00D82549"/>
    <w:pPr>
      <w:numPr>
        <w:numId w:val="4"/>
      </w:numPr>
    </w:pPr>
  </w:style>
  <w:style w:type="character" w:customStyle="1" w:styleId="Heading4Char">
    <w:name w:val="Heading 4 Char"/>
    <w:basedOn w:val="DefaultParagraphFont"/>
    <w:link w:val="Heading4"/>
    <w:uiPriority w:val="9"/>
    <w:semiHidden/>
    <w:rsid w:val="00D825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825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825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825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25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254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rsid w:val="007E2373"/>
    <w:pPr>
      <w:tabs>
        <w:tab w:val="right" w:leader="dot" w:pos="9360"/>
      </w:tabs>
      <w:suppressAutoHyphens/>
      <w:spacing w:before="480"/>
      <w:ind w:left="720" w:right="720" w:hanging="720"/>
      <w:jc w:val="left"/>
    </w:pPr>
    <w:rPr>
      <w:rFonts w:eastAsia="Times New Roman"/>
      <w:szCs w:val="20"/>
    </w:rPr>
  </w:style>
  <w:style w:type="paragraph" w:styleId="TOC2">
    <w:name w:val="toc 2"/>
    <w:basedOn w:val="Normal"/>
    <w:next w:val="Normal"/>
    <w:uiPriority w:val="39"/>
    <w:rsid w:val="007E2373"/>
    <w:pPr>
      <w:tabs>
        <w:tab w:val="right" w:leader="dot" w:pos="9360"/>
      </w:tabs>
      <w:suppressAutoHyphens/>
      <w:ind w:left="1440" w:right="720" w:hanging="720"/>
      <w:jc w:val="left"/>
    </w:pPr>
    <w:rPr>
      <w:rFonts w:eastAsia="Times New Roman"/>
      <w:szCs w:val="20"/>
    </w:rPr>
  </w:style>
  <w:style w:type="paragraph" w:styleId="TOC3">
    <w:name w:val="toc 3"/>
    <w:basedOn w:val="Normal"/>
    <w:next w:val="Normal"/>
    <w:uiPriority w:val="39"/>
    <w:rsid w:val="007E2373"/>
    <w:pPr>
      <w:tabs>
        <w:tab w:val="right" w:leader="dot" w:pos="9360"/>
      </w:tabs>
      <w:suppressAutoHyphens/>
      <w:ind w:left="2160" w:right="720" w:hanging="720"/>
      <w:jc w:val="left"/>
    </w:pPr>
    <w:rPr>
      <w:rFonts w:eastAsia="Times New Roman"/>
      <w:szCs w:val="20"/>
    </w:rPr>
  </w:style>
  <w:style w:type="paragraph" w:styleId="Caption">
    <w:name w:val="caption"/>
    <w:basedOn w:val="Normal"/>
    <w:next w:val="Normal"/>
    <w:uiPriority w:val="35"/>
    <w:unhideWhenUsed/>
    <w:qFormat/>
    <w:rsid w:val="00D82549"/>
    <w:pPr>
      <w:spacing w:after="200"/>
    </w:pPr>
    <w:rPr>
      <w:b/>
      <w:bCs/>
      <w:color w:val="4F81BD" w:themeColor="accent1"/>
      <w:sz w:val="18"/>
      <w:szCs w:val="18"/>
    </w:rPr>
  </w:style>
  <w:style w:type="paragraph" w:styleId="TableofFigures">
    <w:name w:val="table of figures"/>
    <w:basedOn w:val="Normal"/>
    <w:next w:val="Normal"/>
    <w:uiPriority w:val="99"/>
    <w:unhideWhenUsed/>
    <w:rsid w:val="00D82549"/>
    <w:pPr>
      <w:ind w:left="480" w:hanging="480"/>
      <w:jc w:val="left"/>
    </w:pPr>
    <w:rPr>
      <w:rFonts w:ascii="Times New Roman" w:eastAsia="Calibri" w:hAnsi="Times New Roman"/>
      <w:sz w:val="24"/>
      <w:szCs w:val="20"/>
    </w:rPr>
  </w:style>
  <w:style w:type="character" w:styleId="FootnoteReference">
    <w:name w:val="footnote reference"/>
    <w:aliases w:val="16 Point,Superscript 6 Point,ftref,footnote ref,referencia nota al pie,fr,Footnote text,(NECG) Footnote Reference,Footnote Reference Number,Ref,de nota al pie,Footnote Ref in FtNote, BVI fnr,BVI fnr,Char Char Char Char Car Char"/>
    <w:basedOn w:val="DefaultParagraphFont"/>
    <w:uiPriority w:val="99"/>
    <w:rsid w:val="00D82549"/>
    <w:rPr>
      <w:rFonts w:cs="Times New Roman"/>
      <w:vertAlign w:val="superscript"/>
    </w:rPr>
  </w:style>
  <w:style w:type="character" w:styleId="CommentReference">
    <w:name w:val="annotation reference"/>
    <w:basedOn w:val="DefaultParagraphFont"/>
    <w:uiPriority w:val="99"/>
    <w:rsid w:val="00D82549"/>
    <w:rPr>
      <w:sz w:val="16"/>
      <w:szCs w:val="16"/>
    </w:rPr>
  </w:style>
  <w:style w:type="paragraph" w:styleId="Title">
    <w:name w:val="Title"/>
    <w:aliases w:val="TitleTNW"/>
    <w:basedOn w:val="Normal"/>
    <w:next w:val="Normal"/>
    <w:link w:val="TitleChar"/>
    <w:uiPriority w:val="10"/>
    <w:qFormat/>
    <w:rsid w:val="00D825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TitleTNW Char"/>
    <w:basedOn w:val="DefaultParagraphFont"/>
    <w:link w:val="Title"/>
    <w:uiPriority w:val="10"/>
    <w:rsid w:val="00D82549"/>
    <w:rPr>
      <w:rFonts w:asciiTheme="majorHAnsi" w:eastAsiaTheme="majorEastAsia" w:hAnsiTheme="majorHAnsi" w:cstheme="majorBidi"/>
      <w:color w:val="17365D" w:themeColor="text2" w:themeShade="BF"/>
      <w:spacing w:val="5"/>
      <w:kern w:val="28"/>
      <w:sz w:val="52"/>
      <w:szCs w:val="52"/>
    </w:rPr>
  </w:style>
  <w:style w:type="paragraph" w:styleId="BodyText2">
    <w:name w:val="Body Text 2"/>
    <w:basedOn w:val="Normal"/>
    <w:link w:val="BodyText2Char"/>
    <w:uiPriority w:val="99"/>
    <w:rsid w:val="00D82549"/>
    <w:pPr>
      <w:spacing w:line="480" w:lineRule="auto"/>
      <w:jc w:val="left"/>
    </w:pPr>
    <w:rPr>
      <w:rFonts w:ascii="Times New Roman" w:eastAsia="Times New Roman" w:hAnsi="Times New Roman"/>
      <w:sz w:val="24"/>
      <w:szCs w:val="24"/>
      <w:lang w:val="en-GB" w:eastAsia="es-ES"/>
    </w:rPr>
  </w:style>
  <w:style w:type="character" w:customStyle="1" w:styleId="BodyText2Char">
    <w:name w:val="Body Text 2 Char"/>
    <w:basedOn w:val="DefaultParagraphFont"/>
    <w:link w:val="BodyText2"/>
    <w:uiPriority w:val="99"/>
    <w:rsid w:val="00D82549"/>
    <w:rPr>
      <w:rFonts w:ascii="Times New Roman" w:eastAsia="Times New Roman" w:hAnsi="Times New Roman"/>
      <w:sz w:val="24"/>
      <w:szCs w:val="24"/>
      <w:lang w:val="en-GB" w:eastAsia="es-ES"/>
    </w:rPr>
  </w:style>
  <w:style w:type="paragraph" w:styleId="BodyText3">
    <w:name w:val="Body Text 3"/>
    <w:basedOn w:val="Normal"/>
    <w:link w:val="BodyText3Char"/>
    <w:uiPriority w:val="99"/>
    <w:unhideWhenUsed/>
    <w:rsid w:val="00D82549"/>
    <w:pPr>
      <w:spacing w:line="276" w:lineRule="auto"/>
      <w:jc w:val="left"/>
    </w:pPr>
    <w:rPr>
      <w:rFonts w:ascii="Cambria" w:eastAsia="Calibri" w:hAnsi="Cambria"/>
      <w:sz w:val="16"/>
      <w:szCs w:val="16"/>
      <w:lang w:val="es-ES"/>
    </w:rPr>
  </w:style>
  <w:style w:type="character" w:customStyle="1" w:styleId="BodyText3Char">
    <w:name w:val="Body Text 3 Char"/>
    <w:basedOn w:val="DefaultParagraphFont"/>
    <w:link w:val="BodyText3"/>
    <w:uiPriority w:val="99"/>
    <w:rsid w:val="00D82549"/>
    <w:rPr>
      <w:rFonts w:ascii="Cambria" w:eastAsia="Calibri" w:hAnsi="Cambria"/>
      <w:sz w:val="16"/>
      <w:szCs w:val="16"/>
      <w:lang w:val="es-ES"/>
    </w:rPr>
  </w:style>
  <w:style w:type="character" w:styleId="Hyperlink">
    <w:name w:val="Hyperlink"/>
    <w:basedOn w:val="DefaultParagraphFont"/>
    <w:uiPriority w:val="99"/>
    <w:rsid w:val="00D82549"/>
    <w:rPr>
      <w:rFonts w:cs="Times New Roman"/>
      <w:color w:val="0000FF"/>
      <w:u w:val="single"/>
    </w:rPr>
  </w:style>
  <w:style w:type="character" w:styleId="Strong">
    <w:name w:val="Strong"/>
    <w:uiPriority w:val="22"/>
    <w:qFormat/>
    <w:rsid w:val="00D82549"/>
    <w:rPr>
      <w:b/>
      <w:bCs/>
    </w:rPr>
  </w:style>
  <w:style w:type="paragraph" w:styleId="PlainText">
    <w:name w:val="Plain Text"/>
    <w:basedOn w:val="Normal"/>
    <w:link w:val="PlainTextChar"/>
    <w:uiPriority w:val="99"/>
    <w:unhideWhenUsed/>
    <w:rsid w:val="00D82549"/>
    <w:pPr>
      <w:jc w:val="left"/>
    </w:pPr>
    <w:rPr>
      <w:rFonts w:ascii="Consolas" w:eastAsia="Calibri" w:hAnsi="Consolas"/>
      <w:sz w:val="21"/>
      <w:szCs w:val="21"/>
      <w:lang w:val="es-ES"/>
    </w:rPr>
  </w:style>
  <w:style w:type="character" w:customStyle="1" w:styleId="PlainTextChar">
    <w:name w:val="Plain Text Char"/>
    <w:basedOn w:val="DefaultParagraphFont"/>
    <w:link w:val="PlainText"/>
    <w:uiPriority w:val="99"/>
    <w:rsid w:val="00D82549"/>
    <w:rPr>
      <w:rFonts w:ascii="Consolas" w:eastAsia="Calibri" w:hAnsi="Consolas"/>
      <w:sz w:val="21"/>
      <w:szCs w:val="21"/>
      <w:lang w:val="es-ES"/>
    </w:rPr>
  </w:style>
  <w:style w:type="paragraph" w:styleId="NormalWeb">
    <w:name w:val="Normal (Web)"/>
    <w:basedOn w:val="Normal"/>
    <w:uiPriority w:val="99"/>
    <w:unhideWhenUsed/>
    <w:rsid w:val="00D82549"/>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82549"/>
    <w:rPr>
      <w:rFonts w:ascii="Tahoma" w:hAnsi="Tahoma" w:cs="Tahoma"/>
      <w:sz w:val="16"/>
      <w:szCs w:val="16"/>
    </w:rPr>
  </w:style>
  <w:style w:type="character" w:customStyle="1" w:styleId="BalloonTextChar">
    <w:name w:val="Balloon Text Char"/>
    <w:basedOn w:val="DefaultParagraphFont"/>
    <w:link w:val="BalloonText"/>
    <w:uiPriority w:val="99"/>
    <w:semiHidden/>
    <w:rsid w:val="00D82549"/>
    <w:rPr>
      <w:rFonts w:ascii="Tahoma" w:hAnsi="Tahoma" w:cs="Tahoma"/>
      <w:sz w:val="16"/>
      <w:szCs w:val="16"/>
    </w:rPr>
  </w:style>
  <w:style w:type="paragraph" w:styleId="TOCHeading">
    <w:name w:val="TOC Heading"/>
    <w:basedOn w:val="Heading1"/>
    <w:next w:val="Normal"/>
    <w:uiPriority w:val="39"/>
    <w:semiHidden/>
    <w:unhideWhenUsed/>
    <w:qFormat/>
    <w:rsid w:val="00D82549"/>
    <w:pPr>
      <w:spacing w:before="480"/>
      <w:outlineLvl w:val="9"/>
    </w:pPr>
    <w:rPr>
      <w:rFonts w:asciiTheme="majorHAnsi" w:hAnsiTheme="majorHAnsi"/>
      <w:color w:val="365F91" w:themeColor="accent1" w:themeShade="BF"/>
      <w:sz w:val="28"/>
    </w:rPr>
  </w:style>
  <w:style w:type="paragraph" w:customStyle="1" w:styleId="StyleHeading3Italic">
    <w:name w:val="Style Heading 3 + Italic"/>
    <w:basedOn w:val="Heading3"/>
    <w:next w:val="Normal"/>
    <w:rsid w:val="00D82549"/>
    <w:pPr>
      <w:numPr>
        <w:numId w:val="0"/>
      </w:numPr>
      <w:tabs>
        <w:tab w:val="left" w:pos="1080"/>
      </w:tabs>
      <w:spacing w:before="280" w:after="160"/>
    </w:pPr>
    <w:rPr>
      <w:rFonts w:ascii="Times New Roman" w:eastAsia="Times New Roman" w:hAnsi="Times New Roman"/>
      <w:b/>
      <w:iCs/>
      <w:sz w:val="24"/>
      <w:szCs w:val="26"/>
      <w:u w:val="single"/>
      <w:lang w:val="en-GB"/>
    </w:rPr>
  </w:style>
  <w:style w:type="paragraph" w:customStyle="1" w:styleId="titlecountry">
    <w:name w:val="titlecountry"/>
    <w:basedOn w:val="Title"/>
    <w:uiPriority w:val="99"/>
    <w:rsid w:val="00D82549"/>
    <w:pPr>
      <w:framePr w:w="7661" w:h="576" w:hRule="exact" w:wrap="around" w:vAnchor="text" w:hAnchor="margin" w:xAlign="center" w:y="1009"/>
      <w:pBdr>
        <w:bottom w:val="single" w:sz="8" w:space="4" w:color="309020"/>
      </w:pBdr>
      <w:spacing w:after="0"/>
    </w:pPr>
    <w:rPr>
      <w:rFonts w:ascii="Times New Roman" w:eastAsia="Calibri" w:hAnsi="Times New Roman"/>
      <w:b/>
      <w:caps/>
      <w:color w:val="auto"/>
      <w:kern w:val="0"/>
      <w:sz w:val="36"/>
      <w:szCs w:val="40"/>
      <w:lang w:val="en-GB"/>
    </w:rPr>
  </w:style>
  <w:style w:type="paragraph" w:customStyle="1" w:styleId="Listadefiguras">
    <w:name w:val="Lista de figuras"/>
    <w:basedOn w:val="Caption"/>
    <w:rsid w:val="00D82549"/>
  </w:style>
  <w:style w:type="paragraph" w:customStyle="1" w:styleId="Listoftables">
    <w:name w:val="List of tables"/>
    <w:basedOn w:val="Caption"/>
    <w:rsid w:val="00D82549"/>
    <w:rPr>
      <w:szCs w:val="24"/>
    </w:rPr>
  </w:style>
  <w:style w:type="paragraph" w:customStyle="1" w:styleId="EstiloTtulo112ptNegroJustificadoAntes">
    <w:name w:val="Estilo Título 1 + 12 pt Negro Justificado Antes"/>
    <w:aliases w:val="0 pto Después,..."/>
    <w:basedOn w:val="Heading1"/>
    <w:rsid w:val="00D82549"/>
    <w:pPr>
      <w:numPr>
        <w:numId w:val="5"/>
      </w:numPr>
    </w:pPr>
    <w:rPr>
      <w:rFonts w:ascii="Times New Roman" w:eastAsia="Times New Roman" w:hAnsi="Times New Roman" w:cs="Times New Roman"/>
      <w:color w:val="000000"/>
      <w:kern w:val="32"/>
      <w:sz w:val="24"/>
      <w:szCs w:val="20"/>
      <w:lang w:val="en-CA" w:eastAsia="es-ES"/>
    </w:rPr>
  </w:style>
  <w:style w:type="paragraph" w:customStyle="1" w:styleId="TABLES">
    <w:name w:val="TABLES"/>
    <w:basedOn w:val="Caption"/>
    <w:link w:val="TABLESChar"/>
    <w:rsid w:val="00D82549"/>
    <w:pPr>
      <w:spacing w:after="0"/>
    </w:pPr>
    <w:rPr>
      <w:rFonts w:eastAsia="Times New Roman"/>
      <w:color w:val="auto"/>
      <w:lang w:val="en-GB" w:bidi="en-US"/>
    </w:rPr>
  </w:style>
  <w:style w:type="paragraph" w:customStyle="1" w:styleId="Ttulo2Negro">
    <w:name w:val="Título 2 + Negro"/>
    <w:basedOn w:val="Normal"/>
    <w:rsid w:val="00D82549"/>
    <w:pPr>
      <w:numPr>
        <w:numId w:val="6"/>
      </w:numPr>
      <w:jc w:val="left"/>
    </w:pPr>
    <w:rPr>
      <w:rFonts w:ascii="Times New Roman" w:eastAsia="Times New Roman" w:hAnsi="Times New Roman"/>
      <w:sz w:val="24"/>
      <w:szCs w:val="24"/>
      <w:lang w:val="es-ES" w:eastAsia="es-ES"/>
    </w:rPr>
  </w:style>
  <w:style w:type="paragraph" w:customStyle="1" w:styleId="Listdefiguras">
    <w:name w:val="List de figuras"/>
    <w:basedOn w:val="Caption"/>
    <w:rsid w:val="00D82549"/>
    <w:rPr>
      <w:szCs w:val="24"/>
      <w:lang w:val="en-GB"/>
    </w:rPr>
  </w:style>
  <w:style w:type="character" w:customStyle="1" w:styleId="TABLESChar">
    <w:name w:val="TABLES Char"/>
    <w:basedOn w:val="DefaultParagraphFont"/>
    <w:link w:val="TABLES"/>
    <w:rsid w:val="00D82549"/>
    <w:rPr>
      <w:rFonts w:eastAsia="Times New Roman"/>
      <w:b/>
      <w:bCs/>
      <w:sz w:val="18"/>
      <w:szCs w:val="18"/>
      <w:lang w:val="en-GB" w:bidi="en-US"/>
    </w:rPr>
  </w:style>
  <w:style w:type="character" w:styleId="IntenseEmphasis">
    <w:name w:val="Intense Emphasis"/>
    <w:aliases w:val="Table heading"/>
    <w:uiPriority w:val="21"/>
    <w:qFormat/>
    <w:rsid w:val="000E1277"/>
    <w:rPr>
      <w:sz w:val="18"/>
      <w:szCs w:val="18"/>
    </w:rPr>
  </w:style>
  <w:style w:type="paragraph" w:styleId="CommentText">
    <w:name w:val="annotation text"/>
    <w:basedOn w:val="Normal"/>
    <w:link w:val="CommentTextChar"/>
    <w:uiPriority w:val="99"/>
    <w:semiHidden/>
    <w:unhideWhenUsed/>
    <w:rsid w:val="00C0295F"/>
    <w:pPr>
      <w:spacing w:after="20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C0295F"/>
    <w:rPr>
      <w:rFonts w:asciiTheme="minorHAnsi" w:eastAsiaTheme="minorEastAsia" w:hAnsiTheme="minorHAnsi" w:cstheme="minorBidi"/>
      <w:sz w:val="20"/>
      <w:szCs w:val="20"/>
    </w:rPr>
  </w:style>
  <w:style w:type="paragraph" w:customStyle="1" w:styleId="Default">
    <w:name w:val="Default"/>
    <w:rsid w:val="00260B53"/>
    <w:pPr>
      <w:autoSpaceDE w:val="0"/>
      <w:autoSpaceDN w:val="0"/>
      <w:adjustRightInd w:val="0"/>
      <w:jc w:val="left"/>
    </w:pPr>
    <w:rPr>
      <w:rFonts w:ascii="Georgia"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1B30EB"/>
    <w:pPr>
      <w:spacing w:after="0"/>
      <w:jc w:val="both"/>
    </w:pPr>
    <w:rPr>
      <w:rFonts w:ascii="Book Antiqua" w:eastAsiaTheme="minorHAnsi" w:hAnsi="Book Antiqua" w:cs="Times New Roman"/>
      <w:b/>
      <w:bCs/>
    </w:rPr>
  </w:style>
  <w:style w:type="character" w:customStyle="1" w:styleId="CommentSubjectChar">
    <w:name w:val="Comment Subject Char"/>
    <w:basedOn w:val="CommentTextChar"/>
    <w:link w:val="CommentSubject"/>
    <w:uiPriority w:val="99"/>
    <w:semiHidden/>
    <w:rsid w:val="001B30EB"/>
    <w:rPr>
      <w:rFonts w:asciiTheme="minorHAnsi" w:eastAsiaTheme="minorEastAsia" w:hAnsiTheme="minorHAnsi" w:cstheme="minorBidi"/>
      <w:b/>
      <w:bCs/>
      <w:sz w:val="20"/>
      <w:szCs w:val="20"/>
    </w:rPr>
  </w:style>
  <w:style w:type="character" w:customStyle="1" w:styleId="ListParagraphChar">
    <w:name w:val="List Paragraph Char"/>
    <w:aliases w:val="Bullet Paragraph Char"/>
    <w:basedOn w:val="DefaultParagraphFont"/>
    <w:link w:val="ListParagraph"/>
    <w:uiPriority w:val="34"/>
    <w:rsid w:val="000E4A11"/>
  </w:style>
  <w:style w:type="table" w:styleId="LightList-Accent1">
    <w:name w:val="Light List Accent 1"/>
    <w:basedOn w:val="TableNormal"/>
    <w:uiPriority w:val="61"/>
    <w:rsid w:val="00E614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msolistparagraph">
    <w:name w:val="x_msolistparagraph"/>
    <w:basedOn w:val="Normal"/>
    <w:rsid w:val="00A860C4"/>
    <w:pPr>
      <w:spacing w:before="100" w:beforeAutospacing="1" w:after="100" w:afterAutospacing="1"/>
      <w:jc w:val="left"/>
    </w:pPr>
    <w:rPr>
      <w:rFonts w:ascii="Times" w:hAnsi="Times"/>
      <w:sz w:val="20"/>
      <w:szCs w:val="20"/>
    </w:rPr>
  </w:style>
  <w:style w:type="paragraph" w:customStyle="1" w:styleId="Numberednormal">
    <w:name w:val="Numbered normal"/>
    <w:basedOn w:val="ListParagraph"/>
    <w:link w:val="NumberednormalChar"/>
    <w:qFormat/>
    <w:rsid w:val="00154F28"/>
    <w:pPr>
      <w:numPr>
        <w:numId w:val="15"/>
      </w:numPr>
      <w:ind w:left="0" w:firstLine="0"/>
    </w:pPr>
  </w:style>
  <w:style w:type="character" w:customStyle="1" w:styleId="NumberednormalChar">
    <w:name w:val="Numbered normal Char"/>
    <w:basedOn w:val="DefaultParagraphFont"/>
    <w:link w:val="Numberednormal"/>
    <w:rsid w:val="00154F28"/>
  </w:style>
  <w:style w:type="character" w:styleId="Emphasis">
    <w:name w:val="Emphasis"/>
    <w:basedOn w:val="DefaultParagraphFont"/>
    <w:uiPriority w:val="20"/>
    <w:qFormat/>
    <w:rsid w:val="00581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71266">
      <w:bodyDiv w:val="1"/>
      <w:marLeft w:val="0"/>
      <w:marRight w:val="0"/>
      <w:marTop w:val="0"/>
      <w:marBottom w:val="0"/>
      <w:divBdr>
        <w:top w:val="none" w:sz="0" w:space="0" w:color="auto"/>
        <w:left w:val="none" w:sz="0" w:space="0" w:color="auto"/>
        <w:bottom w:val="none" w:sz="0" w:space="0" w:color="auto"/>
        <w:right w:val="none" w:sz="0" w:space="0" w:color="auto"/>
      </w:divBdr>
    </w:div>
    <w:div w:id="419109847">
      <w:bodyDiv w:val="1"/>
      <w:marLeft w:val="0"/>
      <w:marRight w:val="0"/>
      <w:marTop w:val="0"/>
      <w:marBottom w:val="0"/>
      <w:divBdr>
        <w:top w:val="none" w:sz="0" w:space="0" w:color="auto"/>
        <w:left w:val="none" w:sz="0" w:space="0" w:color="auto"/>
        <w:bottom w:val="none" w:sz="0" w:space="0" w:color="auto"/>
        <w:right w:val="none" w:sz="0" w:space="0" w:color="auto"/>
      </w:divBdr>
    </w:div>
    <w:div w:id="1423918736">
      <w:bodyDiv w:val="1"/>
      <w:marLeft w:val="0"/>
      <w:marRight w:val="0"/>
      <w:marTop w:val="0"/>
      <w:marBottom w:val="0"/>
      <w:divBdr>
        <w:top w:val="none" w:sz="0" w:space="0" w:color="auto"/>
        <w:left w:val="none" w:sz="0" w:space="0" w:color="auto"/>
        <w:bottom w:val="none" w:sz="0" w:space="0" w:color="auto"/>
        <w:right w:val="none" w:sz="0" w:space="0" w:color="auto"/>
      </w:divBdr>
    </w:div>
    <w:div w:id="17551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AC0BF8-4C19-428F-A2C0-F5FDD784D1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76E9F75-EFC6-426B-9959-C0A6215B52D3}">
      <dgm:prSet phldrT="[Text]"/>
      <dgm:spPr>
        <a:solidFill>
          <a:srgbClr val="92D050"/>
        </a:solidFill>
      </dgm:spPr>
      <dgm:t>
        <a:bodyPr/>
        <a:lstStyle/>
        <a:p>
          <a:pPr algn="ctr"/>
          <a:r>
            <a:rPr lang="en-US"/>
            <a:t>MDTF </a:t>
          </a:r>
        </a:p>
        <a:p>
          <a:pPr algn="ctr"/>
          <a:r>
            <a:rPr lang="en-US"/>
            <a:t>(Administration and Program Management)</a:t>
          </a:r>
        </a:p>
      </dgm:t>
    </dgm:pt>
    <dgm:pt modelId="{695496CF-D12F-4600-91DA-35EE9EE68E20}" type="parTrans" cxnId="{61F21AC0-A853-44D8-8ADC-00FDF748A7D2}">
      <dgm:prSet/>
      <dgm:spPr/>
      <dgm:t>
        <a:bodyPr/>
        <a:lstStyle/>
        <a:p>
          <a:pPr algn="ctr"/>
          <a:endParaRPr lang="en-US"/>
        </a:p>
      </dgm:t>
    </dgm:pt>
    <dgm:pt modelId="{7C5670F2-BF62-4577-BF63-F738BEBA5F78}" type="sibTrans" cxnId="{61F21AC0-A853-44D8-8ADC-00FDF748A7D2}">
      <dgm:prSet/>
      <dgm:spPr/>
      <dgm:t>
        <a:bodyPr/>
        <a:lstStyle/>
        <a:p>
          <a:pPr algn="ctr"/>
          <a:endParaRPr lang="en-US"/>
        </a:p>
      </dgm:t>
    </dgm:pt>
    <dgm:pt modelId="{C95EA7AD-47C1-4224-ADFB-76D3AC2034DD}">
      <dgm:prSet/>
      <dgm:spPr>
        <a:solidFill>
          <a:srgbClr val="FFC000"/>
        </a:solidFill>
      </dgm:spPr>
      <dgm:t>
        <a:bodyPr/>
        <a:lstStyle/>
        <a:p>
          <a:pPr algn="ctr"/>
          <a:r>
            <a:rPr lang="en-US"/>
            <a:t>Pillar III</a:t>
          </a:r>
        </a:p>
        <a:p>
          <a:pPr algn="ctr"/>
          <a:r>
            <a:rPr lang="en-US"/>
            <a:t>(BE)</a:t>
          </a:r>
        </a:p>
      </dgm:t>
    </dgm:pt>
    <dgm:pt modelId="{10440E33-181F-4774-93AF-2F06FD787D44}" type="parTrans" cxnId="{42480EF3-11FF-451E-B263-C990B437C9D0}">
      <dgm:prSet/>
      <dgm:spPr/>
      <dgm:t>
        <a:bodyPr/>
        <a:lstStyle/>
        <a:p>
          <a:pPr algn="ctr"/>
          <a:endParaRPr lang="en-US"/>
        </a:p>
      </dgm:t>
    </dgm:pt>
    <dgm:pt modelId="{2AAD8B17-CF03-45BD-BB34-C9E06F4AA213}" type="sibTrans" cxnId="{42480EF3-11FF-451E-B263-C990B437C9D0}">
      <dgm:prSet/>
      <dgm:spPr/>
      <dgm:t>
        <a:bodyPr/>
        <a:lstStyle/>
        <a:p>
          <a:pPr algn="ctr"/>
          <a:endParaRPr lang="en-US"/>
        </a:p>
      </dgm:t>
    </dgm:pt>
    <dgm:pt modelId="{F9A08546-3A2E-423E-A939-E44FCA40BF7B}">
      <dgm:prSet/>
      <dgm:spPr>
        <a:solidFill>
          <a:srgbClr val="FFC000"/>
        </a:solidFill>
      </dgm:spPr>
      <dgm:t>
        <a:bodyPr/>
        <a:lstStyle/>
        <a:p>
          <a:pPr algn="ctr"/>
          <a:r>
            <a:rPr lang="en-US"/>
            <a:t>Pillar IV</a:t>
          </a:r>
        </a:p>
        <a:p>
          <a:pPr algn="ctr"/>
          <a:r>
            <a:rPr lang="en-US"/>
            <a:t>(RE)</a:t>
          </a:r>
        </a:p>
      </dgm:t>
    </dgm:pt>
    <dgm:pt modelId="{907626C0-1530-45E1-814B-5C6947654FE5}" type="parTrans" cxnId="{6DAE2BF5-D1B1-44B4-A662-A5E2B38F1113}">
      <dgm:prSet/>
      <dgm:spPr/>
      <dgm:t>
        <a:bodyPr/>
        <a:lstStyle/>
        <a:p>
          <a:pPr algn="ctr"/>
          <a:endParaRPr lang="en-US"/>
        </a:p>
      </dgm:t>
    </dgm:pt>
    <dgm:pt modelId="{C653ECBB-3B66-41B0-9EBE-FEC8D5571BAF}" type="sibTrans" cxnId="{6DAE2BF5-D1B1-44B4-A662-A5E2B38F1113}">
      <dgm:prSet/>
      <dgm:spPr/>
      <dgm:t>
        <a:bodyPr/>
        <a:lstStyle/>
        <a:p>
          <a:pPr algn="ctr"/>
          <a:endParaRPr lang="en-US"/>
        </a:p>
      </dgm:t>
    </dgm:pt>
    <dgm:pt modelId="{94FCC361-6BD3-4402-9115-AC9CD18FFD77}">
      <dgm:prSet/>
      <dgm:spPr>
        <a:solidFill>
          <a:srgbClr val="FFC000"/>
        </a:solidFill>
      </dgm:spPr>
      <dgm:t>
        <a:bodyPr/>
        <a:lstStyle/>
        <a:p>
          <a:pPr algn="ctr"/>
          <a:r>
            <a:rPr lang="en-US"/>
            <a:t>Pillar II</a:t>
          </a:r>
        </a:p>
        <a:p>
          <a:pPr algn="ctr"/>
          <a:r>
            <a:rPr lang="en-US"/>
            <a:t>(BE)</a:t>
          </a:r>
        </a:p>
      </dgm:t>
    </dgm:pt>
    <dgm:pt modelId="{C46BDC7B-B373-40A8-B418-0F7E64F14BB4}" type="parTrans" cxnId="{D8A2E594-70C0-46AC-AE63-42A8CE3766D1}">
      <dgm:prSet/>
      <dgm:spPr/>
      <dgm:t>
        <a:bodyPr/>
        <a:lstStyle/>
        <a:p>
          <a:pPr algn="ctr"/>
          <a:endParaRPr lang="en-US"/>
        </a:p>
      </dgm:t>
    </dgm:pt>
    <dgm:pt modelId="{DDA6DDEA-9EAB-486C-9463-4E7D9706903F}" type="sibTrans" cxnId="{D8A2E594-70C0-46AC-AE63-42A8CE3766D1}">
      <dgm:prSet/>
      <dgm:spPr/>
      <dgm:t>
        <a:bodyPr/>
        <a:lstStyle/>
        <a:p>
          <a:pPr algn="ctr"/>
          <a:endParaRPr lang="en-US"/>
        </a:p>
      </dgm:t>
    </dgm:pt>
    <dgm:pt modelId="{44701A01-D416-4538-9C86-84C801F740EA}">
      <dgm:prSet/>
      <dgm:spPr>
        <a:solidFill>
          <a:srgbClr val="FFC000"/>
        </a:solidFill>
      </dgm:spPr>
      <dgm:t>
        <a:bodyPr/>
        <a:lstStyle/>
        <a:p>
          <a:pPr algn="ctr"/>
          <a:r>
            <a:rPr lang="en-US"/>
            <a:t>Pillar I</a:t>
          </a:r>
        </a:p>
        <a:p>
          <a:pPr algn="ctr"/>
          <a:r>
            <a:rPr lang="en-US"/>
            <a:t>(BE)</a:t>
          </a:r>
        </a:p>
      </dgm:t>
    </dgm:pt>
    <dgm:pt modelId="{708B27E5-A8D0-43B9-88F7-84ECF0F8543C}" type="parTrans" cxnId="{427592F6-3F51-4F06-AE4A-D9C7C5C6006F}">
      <dgm:prSet/>
      <dgm:spPr/>
      <dgm:t>
        <a:bodyPr/>
        <a:lstStyle/>
        <a:p>
          <a:pPr algn="ctr"/>
          <a:endParaRPr lang="en-US"/>
        </a:p>
      </dgm:t>
    </dgm:pt>
    <dgm:pt modelId="{0086039B-AE40-4A9B-AA47-CBEC1AC1D2BE}" type="sibTrans" cxnId="{427592F6-3F51-4F06-AE4A-D9C7C5C6006F}">
      <dgm:prSet/>
      <dgm:spPr/>
      <dgm:t>
        <a:bodyPr/>
        <a:lstStyle/>
        <a:p>
          <a:pPr algn="ctr"/>
          <a:endParaRPr lang="en-US"/>
        </a:p>
      </dgm:t>
    </dgm:pt>
    <dgm:pt modelId="{97EC1C45-9718-4BFA-B3F1-D5E6AF938E99}">
      <dgm:prSet/>
      <dgm:spPr/>
      <dgm:t>
        <a:bodyPr/>
        <a:lstStyle/>
        <a:p>
          <a:pPr algn="ctr"/>
          <a:r>
            <a:rPr lang="en-US"/>
            <a:t>Integration of Donor-Funded Programs</a:t>
          </a:r>
        </a:p>
        <a:p>
          <a:pPr algn="ctr"/>
          <a:r>
            <a:rPr lang="en-US"/>
            <a:t> (Trustee Level Fund)</a:t>
          </a:r>
        </a:p>
      </dgm:t>
    </dgm:pt>
    <dgm:pt modelId="{69A1C9A1-5B38-4B4D-BA7A-1E146AD93B54}" type="parTrans" cxnId="{C53A815B-1B51-4A80-A706-D191EA5C2601}">
      <dgm:prSet/>
      <dgm:spPr/>
      <dgm:t>
        <a:bodyPr/>
        <a:lstStyle/>
        <a:p>
          <a:pPr algn="ctr"/>
          <a:endParaRPr lang="en-US"/>
        </a:p>
      </dgm:t>
    </dgm:pt>
    <dgm:pt modelId="{18A826CB-00A0-4138-B7C4-8B7640D950E7}" type="sibTrans" cxnId="{C53A815B-1B51-4A80-A706-D191EA5C2601}">
      <dgm:prSet/>
      <dgm:spPr/>
      <dgm:t>
        <a:bodyPr/>
        <a:lstStyle/>
        <a:p>
          <a:pPr algn="ctr"/>
          <a:endParaRPr lang="en-US"/>
        </a:p>
      </dgm:t>
    </dgm:pt>
    <dgm:pt modelId="{DDD7F3A9-FD1C-4931-9846-A4B1DFFB1E2D}">
      <dgm:prSet/>
      <dgm:spPr/>
      <dgm:t>
        <a:bodyPr/>
        <a:lstStyle/>
        <a:p>
          <a:r>
            <a:rPr lang="en-US"/>
            <a:t>Comprehensive Health Financing &amp; Institutional Assessments</a:t>
          </a:r>
        </a:p>
      </dgm:t>
    </dgm:pt>
    <dgm:pt modelId="{212F6C41-BC0A-44C5-A013-B99A1DE99137}" type="parTrans" cxnId="{B6031569-E743-4C52-BD7C-47F626C20023}">
      <dgm:prSet/>
      <dgm:spPr/>
      <dgm:t>
        <a:bodyPr/>
        <a:lstStyle/>
        <a:p>
          <a:endParaRPr lang="en-US"/>
        </a:p>
      </dgm:t>
    </dgm:pt>
    <dgm:pt modelId="{C46211A6-4281-458D-894E-EA74CA53C129}" type="sibTrans" cxnId="{B6031569-E743-4C52-BD7C-47F626C20023}">
      <dgm:prSet/>
      <dgm:spPr/>
      <dgm:t>
        <a:bodyPr/>
        <a:lstStyle/>
        <a:p>
          <a:endParaRPr lang="en-US"/>
        </a:p>
      </dgm:t>
    </dgm:pt>
    <dgm:pt modelId="{F393B521-5FBC-4D54-B8A5-21D86E5EDB83}">
      <dgm:prSet/>
      <dgm:spPr/>
      <dgm:t>
        <a:bodyPr/>
        <a:lstStyle/>
        <a:p>
          <a:r>
            <a:rPr lang="en-US"/>
            <a:t>Technical Assistance &amp; Capacity Building</a:t>
          </a:r>
        </a:p>
      </dgm:t>
    </dgm:pt>
    <dgm:pt modelId="{149A410A-8BA7-44D9-AE19-96C0AEC9864F}" type="parTrans" cxnId="{4FF7EB37-91C8-4635-BDAD-079564DA043C}">
      <dgm:prSet/>
      <dgm:spPr/>
      <dgm:t>
        <a:bodyPr/>
        <a:lstStyle/>
        <a:p>
          <a:endParaRPr lang="en-US"/>
        </a:p>
      </dgm:t>
    </dgm:pt>
    <dgm:pt modelId="{500A8928-6844-4365-878C-0655324D3607}" type="sibTrans" cxnId="{4FF7EB37-91C8-4635-BDAD-079564DA043C}">
      <dgm:prSet/>
      <dgm:spPr/>
      <dgm:t>
        <a:bodyPr/>
        <a:lstStyle/>
        <a:p>
          <a:endParaRPr lang="en-US"/>
        </a:p>
      </dgm:t>
    </dgm:pt>
    <dgm:pt modelId="{D0706E07-91CC-43B7-9D4F-96B327184DEF}">
      <dgm:prSet/>
      <dgm:spPr/>
      <dgm:t>
        <a:bodyPr/>
        <a:lstStyle/>
        <a:p>
          <a:r>
            <a:rPr lang="en-US"/>
            <a:t>Knowledge Generation &amp; Exchange Activities</a:t>
          </a:r>
        </a:p>
      </dgm:t>
    </dgm:pt>
    <dgm:pt modelId="{697E77EE-E2DE-4FE7-9D47-D4224EB042DB}" type="parTrans" cxnId="{15C279F8-2B78-49E6-A584-65EE5761FF18}">
      <dgm:prSet/>
      <dgm:spPr/>
      <dgm:t>
        <a:bodyPr/>
        <a:lstStyle/>
        <a:p>
          <a:endParaRPr lang="en-US"/>
        </a:p>
      </dgm:t>
    </dgm:pt>
    <dgm:pt modelId="{3F591F05-4955-45C9-A06A-9A8A006D8B0E}" type="sibTrans" cxnId="{15C279F8-2B78-49E6-A584-65EE5761FF18}">
      <dgm:prSet/>
      <dgm:spPr/>
      <dgm:t>
        <a:bodyPr/>
        <a:lstStyle/>
        <a:p>
          <a:endParaRPr lang="en-US"/>
        </a:p>
      </dgm:t>
    </dgm:pt>
    <dgm:pt modelId="{458A2EE8-69B3-4306-B101-EFFDF2468D0B}">
      <dgm:prSet/>
      <dgm:spPr/>
      <dgm:t>
        <a:bodyPr/>
        <a:lstStyle/>
        <a:p>
          <a:r>
            <a:rPr lang="en-US"/>
            <a:t>Piloting of Innovative Health Financing &amp; Service Delivery Integration Mechanisms</a:t>
          </a:r>
        </a:p>
      </dgm:t>
    </dgm:pt>
    <dgm:pt modelId="{D1A90CC9-61A8-40E8-A604-E9532910E421}" type="parTrans" cxnId="{0F6627C5-1334-44B9-942F-0ECD65B94120}">
      <dgm:prSet/>
      <dgm:spPr/>
      <dgm:t>
        <a:bodyPr/>
        <a:lstStyle/>
        <a:p>
          <a:endParaRPr lang="en-US"/>
        </a:p>
      </dgm:t>
    </dgm:pt>
    <dgm:pt modelId="{6D30B24A-10BF-43EB-B442-9BC772D5024A}" type="sibTrans" cxnId="{0F6627C5-1334-44B9-942F-0ECD65B94120}">
      <dgm:prSet/>
      <dgm:spPr/>
      <dgm:t>
        <a:bodyPr/>
        <a:lstStyle/>
        <a:p>
          <a:endParaRPr lang="en-US"/>
        </a:p>
      </dgm:t>
    </dgm:pt>
    <dgm:pt modelId="{EA557F53-E8F8-457F-B697-035DAAF7A56B}" type="pres">
      <dgm:prSet presAssocID="{C7AC0BF8-4C19-428F-A2C0-F5FDD784D126}" presName="hierChild1" presStyleCnt="0">
        <dgm:presLayoutVars>
          <dgm:orgChart val="1"/>
          <dgm:chPref val="1"/>
          <dgm:dir val="rev"/>
          <dgm:animOne val="branch"/>
          <dgm:animLvl val="lvl"/>
          <dgm:resizeHandles/>
        </dgm:presLayoutVars>
      </dgm:prSet>
      <dgm:spPr/>
      <dgm:t>
        <a:bodyPr/>
        <a:lstStyle/>
        <a:p>
          <a:endParaRPr lang="en-US"/>
        </a:p>
      </dgm:t>
    </dgm:pt>
    <dgm:pt modelId="{B7A948C4-E96E-414A-A157-10335471DE98}" type="pres">
      <dgm:prSet presAssocID="{97EC1C45-9718-4BFA-B3F1-D5E6AF938E99}" presName="hierRoot1" presStyleCnt="0">
        <dgm:presLayoutVars>
          <dgm:hierBranch/>
        </dgm:presLayoutVars>
      </dgm:prSet>
      <dgm:spPr/>
    </dgm:pt>
    <dgm:pt modelId="{85F9AB0D-0002-4B4E-9ECB-280E3CAAE9C1}" type="pres">
      <dgm:prSet presAssocID="{97EC1C45-9718-4BFA-B3F1-D5E6AF938E99}" presName="rootComposite1" presStyleCnt="0"/>
      <dgm:spPr/>
    </dgm:pt>
    <dgm:pt modelId="{7D1E081B-C606-4102-BBC9-19EFECC1A17E}" type="pres">
      <dgm:prSet presAssocID="{97EC1C45-9718-4BFA-B3F1-D5E6AF938E99}" presName="rootText1" presStyleLbl="node0" presStyleIdx="0" presStyleCnt="1" custScaleX="197818">
        <dgm:presLayoutVars>
          <dgm:chPref val="3"/>
        </dgm:presLayoutVars>
      </dgm:prSet>
      <dgm:spPr/>
      <dgm:t>
        <a:bodyPr/>
        <a:lstStyle/>
        <a:p>
          <a:endParaRPr lang="en-US"/>
        </a:p>
      </dgm:t>
    </dgm:pt>
    <dgm:pt modelId="{AF8616E7-72EB-45F0-9206-445826D96E69}" type="pres">
      <dgm:prSet presAssocID="{97EC1C45-9718-4BFA-B3F1-D5E6AF938E99}" presName="rootConnector1" presStyleLbl="node1" presStyleIdx="0" presStyleCnt="0"/>
      <dgm:spPr/>
      <dgm:t>
        <a:bodyPr/>
        <a:lstStyle/>
        <a:p>
          <a:endParaRPr lang="en-US"/>
        </a:p>
      </dgm:t>
    </dgm:pt>
    <dgm:pt modelId="{E1FD1B3A-E44F-49C2-93E1-6FCB84192960}" type="pres">
      <dgm:prSet presAssocID="{97EC1C45-9718-4BFA-B3F1-D5E6AF938E99}" presName="hierChild2" presStyleCnt="0"/>
      <dgm:spPr/>
    </dgm:pt>
    <dgm:pt modelId="{6CA26111-359C-465D-8FB5-8F98DC2107E2}" type="pres">
      <dgm:prSet presAssocID="{695496CF-D12F-4600-91DA-35EE9EE68E20}" presName="Name35" presStyleLbl="parChTrans1D2" presStyleIdx="0" presStyleCnt="1"/>
      <dgm:spPr/>
      <dgm:t>
        <a:bodyPr/>
        <a:lstStyle/>
        <a:p>
          <a:endParaRPr lang="en-US"/>
        </a:p>
      </dgm:t>
    </dgm:pt>
    <dgm:pt modelId="{1DE99F32-EAAF-42C4-BCED-3780090B1297}" type="pres">
      <dgm:prSet presAssocID="{A76E9F75-EFC6-426B-9959-C0A6215B52D3}" presName="hierRoot2" presStyleCnt="0">
        <dgm:presLayoutVars>
          <dgm:hierBranch/>
        </dgm:presLayoutVars>
      </dgm:prSet>
      <dgm:spPr/>
    </dgm:pt>
    <dgm:pt modelId="{1BC2998F-97C8-4C33-9778-F7EE4962D928}" type="pres">
      <dgm:prSet presAssocID="{A76E9F75-EFC6-426B-9959-C0A6215B52D3}" presName="rootComposite" presStyleCnt="0"/>
      <dgm:spPr/>
    </dgm:pt>
    <dgm:pt modelId="{1087BB45-3F94-4786-87F8-DCC9A38A1FEC}" type="pres">
      <dgm:prSet presAssocID="{A76E9F75-EFC6-426B-9959-C0A6215B52D3}" presName="rootText" presStyleLbl="node2" presStyleIdx="0" presStyleCnt="1" custScaleX="225047">
        <dgm:presLayoutVars>
          <dgm:chPref val="3"/>
        </dgm:presLayoutVars>
      </dgm:prSet>
      <dgm:spPr/>
      <dgm:t>
        <a:bodyPr/>
        <a:lstStyle/>
        <a:p>
          <a:endParaRPr lang="en-US"/>
        </a:p>
      </dgm:t>
    </dgm:pt>
    <dgm:pt modelId="{D9A7B822-0AC4-456B-A8FD-F9E6AE8652E5}" type="pres">
      <dgm:prSet presAssocID="{A76E9F75-EFC6-426B-9959-C0A6215B52D3}" presName="rootConnector" presStyleLbl="node2" presStyleIdx="0" presStyleCnt="1"/>
      <dgm:spPr/>
      <dgm:t>
        <a:bodyPr/>
        <a:lstStyle/>
        <a:p>
          <a:endParaRPr lang="en-US"/>
        </a:p>
      </dgm:t>
    </dgm:pt>
    <dgm:pt modelId="{7D3AA560-BB75-4691-A75D-28C75288B633}" type="pres">
      <dgm:prSet presAssocID="{A76E9F75-EFC6-426B-9959-C0A6215B52D3}" presName="hierChild4" presStyleCnt="0"/>
      <dgm:spPr/>
    </dgm:pt>
    <dgm:pt modelId="{8D64A671-58A8-4F85-AD86-452E503F587F}" type="pres">
      <dgm:prSet presAssocID="{907626C0-1530-45E1-814B-5C6947654FE5}" presName="Name35" presStyleLbl="parChTrans1D3" presStyleIdx="0" presStyleCnt="4"/>
      <dgm:spPr/>
      <dgm:t>
        <a:bodyPr/>
        <a:lstStyle/>
        <a:p>
          <a:endParaRPr lang="en-US"/>
        </a:p>
      </dgm:t>
    </dgm:pt>
    <dgm:pt modelId="{21256674-0FB9-474A-8A52-E885C6A9FAFC}" type="pres">
      <dgm:prSet presAssocID="{F9A08546-3A2E-423E-A939-E44FCA40BF7B}" presName="hierRoot2" presStyleCnt="0">
        <dgm:presLayoutVars>
          <dgm:hierBranch/>
        </dgm:presLayoutVars>
      </dgm:prSet>
      <dgm:spPr/>
    </dgm:pt>
    <dgm:pt modelId="{28F91E6D-C758-4196-AE90-4F4D1E2979D7}" type="pres">
      <dgm:prSet presAssocID="{F9A08546-3A2E-423E-A939-E44FCA40BF7B}" presName="rootComposite" presStyleCnt="0"/>
      <dgm:spPr/>
    </dgm:pt>
    <dgm:pt modelId="{9509DF21-4E2D-4301-BF40-1009DBB74762}" type="pres">
      <dgm:prSet presAssocID="{F9A08546-3A2E-423E-A939-E44FCA40BF7B}" presName="rootText" presStyleLbl="node3" presStyleIdx="0" presStyleCnt="4">
        <dgm:presLayoutVars>
          <dgm:chPref val="3"/>
        </dgm:presLayoutVars>
      </dgm:prSet>
      <dgm:spPr/>
      <dgm:t>
        <a:bodyPr/>
        <a:lstStyle/>
        <a:p>
          <a:endParaRPr lang="en-US"/>
        </a:p>
      </dgm:t>
    </dgm:pt>
    <dgm:pt modelId="{361B928B-1E61-4744-AB30-69BD6F67D623}" type="pres">
      <dgm:prSet presAssocID="{F9A08546-3A2E-423E-A939-E44FCA40BF7B}" presName="rootConnector" presStyleLbl="node3" presStyleIdx="0" presStyleCnt="4"/>
      <dgm:spPr/>
      <dgm:t>
        <a:bodyPr/>
        <a:lstStyle/>
        <a:p>
          <a:endParaRPr lang="en-US"/>
        </a:p>
      </dgm:t>
    </dgm:pt>
    <dgm:pt modelId="{7C835A91-2C52-4EA2-A687-EC119BE86E91}" type="pres">
      <dgm:prSet presAssocID="{F9A08546-3A2E-423E-A939-E44FCA40BF7B}" presName="hierChild4" presStyleCnt="0"/>
      <dgm:spPr/>
    </dgm:pt>
    <dgm:pt modelId="{65720D4E-6177-4868-8E47-C71C26DC0F5E}" type="pres">
      <dgm:prSet presAssocID="{D1A90CC9-61A8-40E8-A604-E9532910E421}" presName="Name35" presStyleLbl="parChTrans1D4" presStyleIdx="0" presStyleCnt="4"/>
      <dgm:spPr/>
      <dgm:t>
        <a:bodyPr/>
        <a:lstStyle/>
        <a:p>
          <a:endParaRPr lang="en-US"/>
        </a:p>
      </dgm:t>
    </dgm:pt>
    <dgm:pt modelId="{9BEC4E07-FA1F-4DD8-8E9A-1F13375C218C}" type="pres">
      <dgm:prSet presAssocID="{458A2EE8-69B3-4306-B101-EFFDF2468D0B}" presName="hierRoot2" presStyleCnt="0">
        <dgm:presLayoutVars>
          <dgm:hierBranch val="init"/>
        </dgm:presLayoutVars>
      </dgm:prSet>
      <dgm:spPr/>
    </dgm:pt>
    <dgm:pt modelId="{14A78140-322B-4B76-A2EE-8D35A47B237F}" type="pres">
      <dgm:prSet presAssocID="{458A2EE8-69B3-4306-B101-EFFDF2468D0B}" presName="rootComposite" presStyleCnt="0"/>
      <dgm:spPr/>
    </dgm:pt>
    <dgm:pt modelId="{377C41CD-E42F-4949-98FC-4CA3E8441E41}" type="pres">
      <dgm:prSet presAssocID="{458A2EE8-69B3-4306-B101-EFFDF2468D0B}" presName="rootText" presStyleLbl="node4" presStyleIdx="0" presStyleCnt="4">
        <dgm:presLayoutVars>
          <dgm:chPref val="3"/>
        </dgm:presLayoutVars>
      </dgm:prSet>
      <dgm:spPr/>
      <dgm:t>
        <a:bodyPr/>
        <a:lstStyle/>
        <a:p>
          <a:endParaRPr lang="en-US"/>
        </a:p>
      </dgm:t>
    </dgm:pt>
    <dgm:pt modelId="{9B6B4D30-9AAF-4F7B-B0E5-1AD64958FBB8}" type="pres">
      <dgm:prSet presAssocID="{458A2EE8-69B3-4306-B101-EFFDF2468D0B}" presName="rootConnector" presStyleLbl="node4" presStyleIdx="0" presStyleCnt="4"/>
      <dgm:spPr/>
      <dgm:t>
        <a:bodyPr/>
        <a:lstStyle/>
        <a:p>
          <a:endParaRPr lang="en-US"/>
        </a:p>
      </dgm:t>
    </dgm:pt>
    <dgm:pt modelId="{04D50D97-C022-45E8-878D-314AC32A265E}" type="pres">
      <dgm:prSet presAssocID="{458A2EE8-69B3-4306-B101-EFFDF2468D0B}" presName="hierChild4" presStyleCnt="0"/>
      <dgm:spPr/>
    </dgm:pt>
    <dgm:pt modelId="{B739D425-C83F-4C33-A1D7-4B14D4E46A66}" type="pres">
      <dgm:prSet presAssocID="{458A2EE8-69B3-4306-B101-EFFDF2468D0B}" presName="hierChild5" presStyleCnt="0"/>
      <dgm:spPr/>
    </dgm:pt>
    <dgm:pt modelId="{19EF6271-4AEB-4377-AA49-46BB70862C45}" type="pres">
      <dgm:prSet presAssocID="{F9A08546-3A2E-423E-A939-E44FCA40BF7B}" presName="hierChild5" presStyleCnt="0"/>
      <dgm:spPr/>
    </dgm:pt>
    <dgm:pt modelId="{88D0DB25-76A1-478C-9EA2-8E4D0E6BA4D6}" type="pres">
      <dgm:prSet presAssocID="{10440E33-181F-4774-93AF-2F06FD787D44}" presName="Name35" presStyleLbl="parChTrans1D3" presStyleIdx="1" presStyleCnt="4"/>
      <dgm:spPr/>
      <dgm:t>
        <a:bodyPr/>
        <a:lstStyle/>
        <a:p>
          <a:endParaRPr lang="en-US"/>
        </a:p>
      </dgm:t>
    </dgm:pt>
    <dgm:pt modelId="{0AC7B99A-0590-4BEE-9F1B-467EA6032034}" type="pres">
      <dgm:prSet presAssocID="{C95EA7AD-47C1-4224-ADFB-76D3AC2034DD}" presName="hierRoot2" presStyleCnt="0">
        <dgm:presLayoutVars>
          <dgm:hierBranch/>
        </dgm:presLayoutVars>
      </dgm:prSet>
      <dgm:spPr/>
    </dgm:pt>
    <dgm:pt modelId="{BA4D0EAA-04FD-40D1-BA41-1BBA68BE38C9}" type="pres">
      <dgm:prSet presAssocID="{C95EA7AD-47C1-4224-ADFB-76D3AC2034DD}" presName="rootComposite" presStyleCnt="0"/>
      <dgm:spPr/>
    </dgm:pt>
    <dgm:pt modelId="{2EB00C71-68F7-4F94-84F3-FE2A32799625}" type="pres">
      <dgm:prSet presAssocID="{C95EA7AD-47C1-4224-ADFB-76D3AC2034DD}" presName="rootText" presStyleLbl="node3" presStyleIdx="1" presStyleCnt="4">
        <dgm:presLayoutVars>
          <dgm:chPref val="3"/>
        </dgm:presLayoutVars>
      </dgm:prSet>
      <dgm:spPr/>
      <dgm:t>
        <a:bodyPr/>
        <a:lstStyle/>
        <a:p>
          <a:endParaRPr lang="en-US"/>
        </a:p>
      </dgm:t>
    </dgm:pt>
    <dgm:pt modelId="{A34E356A-A147-4406-9BE7-E508BBDBE136}" type="pres">
      <dgm:prSet presAssocID="{C95EA7AD-47C1-4224-ADFB-76D3AC2034DD}" presName="rootConnector" presStyleLbl="node3" presStyleIdx="1" presStyleCnt="4"/>
      <dgm:spPr/>
      <dgm:t>
        <a:bodyPr/>
        <a:lstStyle/>
        <a:p>
          <a:endParaRPr lang="en-US"/>
        </a:p>
      </dgm:t>
    </dgm:pt>
    <dgm:pt modelId="{0D5FB45F-26EF-490B-BE49-E4E586B83666}" type="pres">
      <dgm:prSet presAssocID="{C95EA7AD-47C1-4224-ADFB-76D3AC2034DD}" presName="hierChild4" presStyleCnt="0"/>
      <dgm:spPr/>
    </dgm:pt>
    <dgm:pt modelId="{97C30C21-1851-4E74-81E4-8D2140D40FAD}" type="pres">
      <dgm:prSet presAssocID="{697E77EE-E2DE-4FE7-9D47-D4224EB042DB}" presName="Name35" presStyleLbl="parChTrans1D4" presStyleIdx="1" presStyleCnt="4"/>
      <dgm:spPr/>
      <dgm:t>
        <a:bodyPr/>
        <a:lstStyle/>
        <a:p>
          <a:endParaRPr lang="en-US"/>
        </a:p>
      </dgm:t>
    </dgm:pt>
    <dgm:pt modelId="{BB71BA64-2B59-489E-ACF3-1D26B3D8A4E7}" type="pres">
      <dgm:prSet presAssocID="{D0706E07-91CC-43B7-9D4F-96B327184DEF}" presName="hierRoot2" presStyleCnt="0">
        <dgm:presLayoutVars>
          <dgm:hierBranch val="init"/>
        </dgm:presLayoutVars>
      </dgm:prSet>
      <dgm:spPr/>
    </dgm:pt>
    <dgm:pt modelId="{9E2F8F85-9137-483F-A7B1-2A26583ABEB5}" type="pres">
      <dgm:prSet presAssocID="{D0706E07-91CC-43B7-9D4F-96B327184DEF}" presName="rootComposite" presStyleCnt="0"/>
      <dgm:spPr/>
    </dgm:pt>
    <dgm:pt modelId="{2CF9D80D-AD92-48DD-82D0-93FFA605D22C}" type="pres">
      <dgm:prSet presAssocID="{D0706E07-91CC-43B7-9D4F-96B327184DEF}" presName="rootText" presStyleLbl="node4" presStyleIdx="1" presStyleCnt="4">
        <dgm:presLayoutVars>
          <dgm:chPref val="3"/>
        </dgm:presLayoutVars>
      </dgm:prSet>
      <dgm:spPr/>
      <dgm:t>
        <a:bodyPr/>
        <a:lstStyle/>
        <a:p>
          <a:endParaRPr lang="en-US"/>
        </a:p>
      </dgm:t>
    </dgm:pt>
    <dgm:pt modelId="{B1896AF3-9BB0-4B94-B27F-347ACE82BC5A}" type="pres">
      <dgm:prSet presAssocID="{D0706E07-91CC-43B7-9D4F-96B327184DEF}" presName="rootConnector" presStyleLbl="node4" presStyleIdx="1" presStyleCnt="4"/>
      <dgm:spPr/>
      <dgm:t>
        <a:bodyPr/>
        <a:lstStyle/>
        <a:p>
          <a:endParaRPr lang="en-US"/>
        </a:p>
      </dgm:t>
    </dgm:pt>
    <dgm:pt modelId="{59AD7D50-74F8-4F7D-8318-71234D6AE1E3}" type="pres">
      <dgm:prSet presAssocID="{D0706E07-91CC-43B7-9D4F-96B327184DEF}" presName="hierChild4" presStyleCnt="0"/>
      <dgm:spPr/>
    </dgm:pt>
    <dgm:pt modelId="{E30E9C25-5E32-4BBE-BFA4-0A98B1CA0B72}" type="pres">
      <dgm:prSet presAssocID="{D0706E07-91CC-43B7-9D4F-96B327184DEF}" presName="hierChild5" presStyleCnt="0"/>
      <dgm:spPr/>
    </dgm:pt>
    <dgm:pt modelId="{805842D1-1BC1-4062-8B9E-60EE4F14B457}" type="pres">
      <dgm:prSet presAssocID="{C95EA7AD-47C1-4224-ADFB-76D3AC2034DD}" presName="hierChild5" presStyleCnt="0"/>
      <dgm:spPr/>
    </dgm:pt>
    <dgm:pt modelId="{EC5254F1-577C-4E43-9FC3-A45D5FC6CE03}" type="pres">
      <dgm:prSet presAssocID="{C46BDC7B-B373-40A8-B418-0F7E64F14BB4}" presName="Name35" presStyleLbl="parChTrans1D3" presStyleIdx="2" presStyleCnt="4"/>
      <dgm:spPr/>
      <dgm:t>
        <a:bodyPr/>
        <a:lstStyle/>
        <a:p>
          <a:endParaRPr lang="en-US"/>
        </a:p>
      </dgm:t>
    </dgm:pt>
    <dgm:pt modelId="{9EDB13EC-2308-497B-AC60-B8D3D911625B}" type="pres">
      <dgm:prSet presAssocID="{94FCC361-6BD3-4402-9115-AC9CD18FFD77}" presName="hierRoot2" presStyleCnt="0">
        <dgm:presLayoutVars>
          <dgm:hierBranch/>
        </dgm:presLayoutVars>
      </dgm:prSet>
      <dgm:spPr/>
    </dgm:pt>
    <dgm:pt modelId="{61A2966F-B8EF-4CA6-BB51-0D496259C9B4}" type="pres">
      <dgm:prSet presAssocID="{94FCC361-6BD3-4402-9115-AC9CD18FFD77}" presName="rootComposite" presStyleCnt="0"/>
      <dgm:spPr/>
    </dgm:pt>
    <dgm:pt modelId="{2765EFE4-AD1E-4AC9-9924-C21C5E141015}" type="pres">
      <dgm:prSet presAssocID="{94FCC361-6BD3-4402-9115-AC9CD18FFD77}" presName="rootText" presStyleLbl="node3" presStyleIdx="2" presStyleCnt="4">
        <dgm:presLayoutVars>
          <dgm:chPref val="3"/>
        </dgm:presLayoutVars>
      </dgm:prSet>
      <dgm:spPr/>
      <dgm:t>
        <a:bodyPr/>
        <a:lstStyle/>
        <a:p>
          <a:endParaRPr lang="en-US"/>
        </a:p>
      </dgm:t>
    </dgm:pt>
    <dgm:pt modelId="{F1BFF0BF-FF9D-4AF5-ADAB-EC11FB91ABA4}" type="pres">
      <dgm:prSet presAssocID="{94FCC361-6BD3-4402-9115-AC9CD18FFD77}" presName="rootConnector" presStyleLbl="node3" presStyleIdx="2" presStyleCnt="4"/>
      <dgm:spPr/>
      <dgm:t>
        <a:bodyPr/>
        <a:lstStyle/>
        <a:p>
          <a:endParaRPr lang="en-US"/>
        </a:p>
      </dgm:t>
    </dgm:pt>
    <dgm:pt modelId="{5B777EEF-0FA1-4F7E-88E7-C2430685B532}" type="pres">
      <dgm:prSet presAssocID="{94FCC361-6BD3-4402-9115-AC9CD18FFD77}" presName="hierChild4" presStyleCnt="0"/>
      <dgm:spPr/>
    </dgm:pt>
    <dgm:pt modelId="{BBD7D63B-D10C-4FB2-8405-0B04B0158F41}" type="pres">
      <dgm:prSet presAssocID="{149A410A-8BA7-44D9-AE19-96C0AEC9864F}" presName="Name35" presStyleLbl="parChTrans1D4" presStyleIdx="2" presStyleCnt="4"/>
      <dgm:spPr/>
      <dgm:t>
        <a:bodyPr/>
        <a:lstStyle/>
        <a:p>
          <a:endParaRPr lang="en-US"/>
        </a:p>
      </dgm:t>
    </dgm:pt>
    <dgm:pt modelId="{5DCBCE94-F0E3-4ABF-82BD-1B1465EE8258}" type="pres">
      <dgm:prSet presAssocID="{F393B521-5FBC-4D54-B8A5-21D86E5EDB83}" presName="hierRoot2" presStyleCnt="0">
        <dgm:presLayoutVars>
          <dgm:hierBranch val="init"/>
        </dgm:presLayoutVars>
      </dgm:prSet>
      <dgm:spPr/>
    </dgm:pt>
    <dgm:pt modelId="{FDD27EE6-D08B-4FDD-8EEB-4269D786AD63}" type="pres">
      <dgm:prSet presAssocID="{F393B521-5FBC-4D54-B8A5-21D86E5EDB83}" presName="rootComposite" presStyleCnt="0"/>
      <dgm:spPr/>
    </dgm:pt>
    <dgm:pt modelId="{318F3BEC-3D4D-400A-872A-C64AE48EF393}" type="pres">
      <dgm:prSet presAssocID="{F393B521-5FBC-4D54-B8A5-21D86E5EDB83}" presName="rootText" presStyleLbl="node4" presStyleIdx="2" presStyleCnt="4">
        <dgm:presLayoutVars>
          <dgm:chPref val="3"/>
        </dgm:presLayoutVars>
      </dgm:prSet>
      <dgm:spPr/>
      <dgm:t>
        <a:bodyPr/>
        <a:lstStyle/>
        <a:p>
          <a:endParaRPr lang="en-US"/>
        </a:p>
      </dgm:t>
    </dgm:pt>
    <dgm:pt modelId="{D59B2EAD-3F2C-4EBA-A2FE-443AFF7DBC5B}" type="pres">
      <dgm:prSet presAssocID="{F393B521-5FBC-4D54-B8A5-21D86E5EDB83}" presName="rootConnector" presStyleLbl="node4" presStyleIdx="2" presStyleCnt="4"/>
      <dgm:spPr/>
      <dgm:t>
        <a:bodyPr/>
        <a:lstStyle/>
        <a:p>
          <a:endParaRPr lang="en-US"/>
        </a:p>
      </dgm:t>
    </dgm:pt>
    <dgm:pt modelId="{1D82DB9C-5AE3-49A7-AAD5-D1C66299E815}" type="pres">
      <dgm:prSet presAssocID="{F393B521-5FBC-4D54-B8A5-21D86E5EDB83}" presName="hierChild4" presStyleCnt="0"/>
      <dgm:spPr/>
    </dgm:pt>
    <dgm:pt modelId="{48B2B612-6DC3-4ECF-8D18-7BCF775F7A84}" type="pres">
      <dgm:prSet presAssocID="{F393B521-5FBC-4D54-B8A5-21D86E5EDB83}" presName="hierChild5" presStyleCnt="0"/>
      <dgm:spPr/>
    </dgm:pt>
    <dgm:pt modelId="{5BA6A9CF-6715-4778-9C8A-D8F1C0820E68}" type="pres">
      <dgm:prSet presAssocID="{94FCC361-6BD3-4402-9115-AC9CD18FFD77}" presName="hierChild5" presStyleCnt="0"/>
      <dgm:spPr/>
    </dgm:pt>
    <dgm:pt modelId="{975BA702-5C5A-4BF7-BE0C-C8192C6837F3}" type="pres">
      <dgm:prSet presAssocID="{708B27E5-A8D0-43B9-88F7-84ECF0F8543C}" presName="Name35" presStyleLbl="parChTrans1D3" presStyleIdx="3" presStyleCnt="4"/>
      <dgm:spPr/>
      <dgm:t>
        <a:bodyPr/>
        <a:lstStyle/>
        <a:p>
          <a:endParaRPr lang="en-US"/>
        </a:p>
      </dgm:t>
    </dgm:pt>
    <dgm:pt modelId="{222F3422-D8B4-44C2-AF9C-56D286A216C5}" type="pres">
      <dgm:prSet presAssocID="{44701A01-D416-4538-9C86-84C801F740EA}" presName="hierRoot2" presStyleCnt="0">
        <dgm:presLayoutVars>
          <dgm:hierBranch/>
        </dgm:presLayoutVars>
      </dgm:prSet>
      <dgm:spPr/>
    </dgm:pt>
    <dgm:pt modelId="{7D42F8D4-92EF-4940-9713-F3B37EDE08D0}" type="pres">
      <dgm:prSet presAssocID="{44701A01-D416-4538-9C86-84C801F740EA}" presName="rootComposite" presStyleCnt="0"/>
      <dgm:spPr/>
    </dgm:pt>
    <dgm:pt modelId="{F3B864C1-B21B-493F-89A0-D13A53F94FBA}" type="pres">
      <dgm:prSet presAssocID="{44701A01-D416-4538-9C86-84C801F740EA}" presName="rootText" presStyleLbl="node3" presStyleIdx="3" presStyleCnt="4">
        <dgm:presLayoutVars>
          <dgm:chPref val="3"/>
        </dgm:presLayoutVars>
      </dgm:prSet>
      <dgm:spPr/>
      <dgm:t>
        <a:bodyPr/>
        <a:lstStyle/>
        <a:p>
          <a:endParaRPr lang="en-US"/>
        </a:p>
      </dgm:t>
    </dgm:pt>
    <dgm:pt modelId="{582424BA-A0A7-44E5-9FB8-5F908CAF5F4F}" type="pres">
      <dgm:prSet presAssocID="{44701A01-D416-4538-9C86-84C801F740EA}" presName="rootConnector" presStyleLbl="node3" presStyleIdx="3" presStyleCnt="4"/>
      <dgm:spPr/>
      <dgm:t>
        <a:bodyPr/>
        <a:lstStyle/>
        <a:p>
          <a:endParaRPr lang="en-US"/>
        </a:p>
      </dgm:t>
    </dgm:pt>
    <dgm:pt modelId="{137A2142-89A9-4A9F-A189-C96E3307B9C6}" type="pres">
      <dgm:prSet presAssocID="{44701A01-D416-4538-9C86-84C801F740EA}" presName="hierChild4" presStyleCnt="0"/>
      <dgm:spPr/>
    </dgm:pt>
    <dgm:pt modelId="{A96F63E1-2A51-4A5C-B38E-30F19677086A}" type="pres">
      <dgm:prSet presAssocID="{212F6C41-BC0A-44C5-A013-B99A1DE99137}" presName="Name35" presStyleLbl="parChTrans1D4" presStyleIdx="3" presStyleCnt="4"/>
      <dgm:spPr/>
      <dgm:t>
        <a:bodyPr/>
        <a:lstStyle/>
        <a:p>
          <a:endParaRPr lang="en-US"/>
        </a:p>
      </dgm:t>
    </dgm:pt>
    <dgm:pt modelId="{23AC816E-1E88-4DF5-A474-4C768FE7B09E}" type="pres">
      <dgm:prSet presAssocID="{DDD7F3A9-FD1C-4931-9846-A4B1DFFB1E2D}" presName="hierRoot2" presStyleCnt="0">
        <dgm:presLayoutVars>
          <dgm:hierBranch val="init"/>
        </dgm:presLayoutVars>
      </dgm:prSet>
      <dgm:spPr/>
    </dgm:pt>
    <dgm:pt modelId="{50556BA6-9AC1-412B-8232-0FCC33D598C5}" type="pres">
      <dgm:prSet presAssocID="{DDD7F3A9-FD1C-4931-9846-A4B1DFFB1E2D}" presName="rootComposite" presStyleCnt="0"/>
      <dgm:spPr/>
    </dgm:pt>
    <dgm:pt modelId="{D234C4B1-D13D-4EDB-B085-43C552331F8D}" type="pres">
      <dgm:prSet presAssocID="{DDD7F3A9-FD1C-4931-9846-A4B1DFFB1E2D}" presName="rootText" presStyleLbl="node4" presStyleIdx="3" presStyleCnt="4">
        <dgm:presLayoutVars>
          <dgm:chPref val="3"/>
        </dgm:presLayoutVars>
      </dgm:prSet>
      <dgm:spPr/>
      <dgm:t>
        <a:bodyPr/>
        <a:lstStyle/>
        <a:p>
          <a:endParaRPr lang="en-US"/>
        </a:p>
      </dgm:t>
    </dgm:pt>
    <dgm:pt modelId="{FF3F21C1-3E18-475D-8B92-2E1B3D2CCC1F}" type="pres">
      <dgm:prSet presAssocID="{DDD7F3A9-FD1C-4931-9846-A4B1DFFB1E2D}" presName="rootConnector" presStyleLbl="node4" presStyleIdx="3" presStyleCnt="4"/>
      <dgm:spPr/>
      <dgm:t>
        <a:bodyPr/>
        <a:lstStyle/>
        <a:p>
          <a:endParaRPr lang="en-US"/>
        </a:p>
      </dgm:t>
    </dgm:pt>
    <dgm:pt modelId="{20F5FF4E-EA03-4E7A-8A5C-B417F4F3A945}" type="pres">
      <dgm:prSet presAssocID="{DDD7F3A9-FD1C-4931-9846-A4B1DFFB1E2D}" presName="hierChild4" presStyleCnt="0"/>
      <dgm:spPr/>
    </dgm:pt>
    <dgm:pt modelId="{77A0660E-0D87-4B63-9264-1353F5FBA19B}" type="pres">
      <dgm:prSet presAssocID="{DDD7F3A9-FD1C-4931-9846-A4B1DFFB1E2D}" presName="hierChild5" presStyleCnt="0"/>
      <dgm:spPr/>
    </dgm:pt>
    <dgm:pt modelId="{22A8CDAA-EBC9-4B4C-AD39-0687929EC3C6}" type="pres">
      <dgm:prSet presAssocID="{44701A01-D416-4538-9C86-84C801F740EA}" presName="hierChild5" presStyleCnt="0"/>
      <dgm:spPr/>
    </dgm:pt>
    <dgm:pt modelId="{2909E247-843A-49DB-92D6-F9AFCF8B39E3}" type="pres">
      <dgm:prSet presAssocID="{A76E9F75-EFC6-426B-9959-C0A6215B52D3}" presName="hierChild5" presStyleCnt="0"/>
      <dgm:spPr/>
    </dgm:pt>
    <dgm:pt modelId="{46780E71-2117-4ECF-A3BD-899D15FCDF4C}" type="pres">
      <dgm:prSet presAssocID="{97EC1C45-9718-4BFA-B3F1-D5E6AF938E99}" presName="hierChild3" presStyleCnt="0"/>
      <dgm:spPr/>
    </dgm:pt>
  </dgm:ptLst>
  <dgm:cxnLst>
    <dgm:cxn modelId="{1D9D8DE9-5B39-4205-8C45-9AB0F31A348D}" type="presOf" srcId="{D0706E07-91CC-43B7-9D4F-96B327184DEF}" destId="{2CF9D80D-AD92-48DD-82D0-93FFA605D22C}" srcOrd="0" destOrd="0" presId="urn:microsoft.com/office/officeart/2005/8/layout/orgChart1"/>
    <dgm:cxn modelId="{ECD0701B-7EF0-4C3B-89BF-F3A8B452A08F}" type="presOf" srcId="{458A2EE8-69B3-4306-B101-EFFDF2468D0B}" destId="{377C41CD-E42F-4949-98FC-4CA3E8441E41}" srcOrd="0" destOrd="0" presId="urn:microsoft.com/office/officeart/2005/8/layout/orgChart1"/>
    <dgm:cxn modelId="{C53A815B-1B51-4A80-A706-D191EA5C2601}" srcId="{C7AC0BF8-4C19-428F-A2C0-F5FDD784D126}" destId="{97EC1C45-9718-4BFA-B3F1-D5E6AF938E99}" srcOrd="0" destOrd="0" parTransId="{69A1C9A1-5B38-4B4D-BA7A-1E146AD93B54}" sibTransId="{18A826CB-00A0-4138-B7C4-8B7640D950E7}"/>
    <dgm:cxn modelId="{42480EF3-11FF-451E-B263-C990B437C9D0}" srcId="{A76E9F75-EFC6-426B-9959-C0A6215B52D3}" destId="{C95EA7AD-47C1-4224-ADFB-76D3AC2034DD}" srcOrd="1" destOrd="0" parTransId="{10440E33-181F-4774-93AF-2F06FD787D44}" sibTransId="{2AAD8B17-CF03-45BD-BB34-C9E06F4AA213}"/>
    <dgm:cxn modelId="{34ECFA7C-5631-4046-AC4F-262B4A699706}" type="presOf" srcId="{212F6C41-BC0A-44C5-A013-B99A1DE99137}" destId="{A96F63E1-2A51-4A5C-B38E-30F19677086A}" srcOrd="0" destOrd="0" presId="urn:microsoft.com/office/officeart/2005/8/layout/orgChart1"/>
    <dgm:cxn modelId="{1BFF5CB6-0FF2-4305-A532-630AE9F6881D}" type="presOf" srcId="{44701A01-D416-4538-9C86-84C801F740EA}" destId="{582424BA-A0A7-44E5-9FB8-5F908CAF5F4F}" srcOrd="1" destOrd="0" presId="urn:microsoft.com/office/officeart/2005/8/layout/orgChart1"/>
    <dgm:cxn modelId="{5825B794-6317-4C3A-AAA5-96CA4E22F602}" type="presOf" srcId="{10440E33-181F-4774-93AF-2F06FD787D44}" destId="{88D0DB25-76A1-478C-9EA2-8E4D0E6BA4D6}" srcOrd="0" destOrd="0" presId="urn:microsoft.com/office/officeart/2005/8/layout/orgChart1"/>
    <dgm:cxn modelId="{9A6BFFB6-E76E-4436-B489-F38AE61A04FC}" type="presOf" srcId="{907626C0-1530-45E1-814B-5C6947654FE5}" destId="{8D64A671-58A8-4F85-AD86-452E503F587F}" srcOrd="0" destOrd="0" presId="urn:microsoft.com/office/officeart/2005/8/layout/orgChart1"/>
    <dgm:cxn modelId="{6B26F838-997B-4142-A0DF-E19D6B0FE686}" type="presOf" srcId="{D0706E07-91CC-43B7-9D4F-96B327184DEF}" destId="{B1896AF3-9BB0-4B94-B27F-347ACE82BC5A}" srcOrd="1" destOrd="0" presId="urn:microsoft.com/office/officeart/2005/8/layout/orgChart1"/>
    <dgm:cxn modelId="{3BF4EBE0-3A41-4D0B-9FCC-7CF02F5A1C39}" type="presOf" srcId="{C46BDC7B-B373-40A8-B418-0F7E64F14BB4}" destId="{EC5254F1-577C-4E43-9FC3-A45D5FC6CE03}" srcOrd="0" destOrd="0" presId="urn:microsoft.com/office/officeart/2005/8/layout/orgChart1"/>
    <dgm:cxn modelId="{E1BE3AD8-F5BD-4332-BEF2-46E74EF5B213}" type="presOf" srcId="{149A410A-8BA7-44D9-AE19-96C0AEC9864F}" destId="{BBD7D63B-D10C-4FB2-8405-0B04B0158F41}" srcOrd="0" destOrd="0" presId="urn:microsoft.com/office/officeart/2005/8/layout/orgChart1"/>
    <dgm:cxn modelId="{31FCBC96-C409-485C-AC40-FBFFA2639F58}" type="presOf" srcId="{DDD7F3A9-FD1C-4931-9846-A4B1DFFB1E2D}" destId="{FF3F21C1-3E18-475D-8B92-2E1B3D2CCC1F}" srcOrd="1" destOrd="0" presId="urn:microsoft.com/office/officeart/2005/8/layout/orgChart1"/>
    <dgm:cxn modelId="{D5CC2688-661E-43D4-9416-C31AFB17D868}" type="presOf" srcId="{458A2EE8-69B3-4306-B101-EFFDF2468D0B}" destId="{9B6B4D30-9AAF-4F7B-B0E5-1AD64958FBB8}" srcOrd="1" destOrd="0" presId="urn:microsoft.com/office/officeart/2005/8/layout/orgChart1"/>
    <dgm:cxn modelId="{C5802167-1ED5-46EB-9D14-EF02F2659A68}" type="presOf" srcId="{A76E9F75-EFC6-426B-9959-C0A6215B52D3}" destId="{D9A7B822-0AC4-456B-A8FD-F9E6AE8652E5}" srcOrd="1" destOrd="0" presId="urn:microsoft.com/office/officeart/2005/8/layout/orgChart1"/>
    <dgm:cxn modelId="{1E6A57FE-3602-473F-B17A-0E5D12BAECD3}" type="presOf" srcId="{97EC1C45-9718-4BFA-B3F1-D5E6AF938E99}" destId="{7D1E081B-C606-4102-BBC9-19EFECC1A17E}" srcOrd="0" destOrd="0" presId="urn:microsoft.com/office/officeart/2005/8/layout/orgChart1"/>
    <dgm:cxn modelId="{F6571B27-4D68-4272-91F1-CBF0F196A303}" type="presOf" srcId="{C7AC0BF8-4C19-428F-A2C0-F5FDD784D126}" destId="{EA557F53-E8F8-457F-B697-035DAAF7A56B}" srcOrd="0" destOrd="0" presId="urn:microsoft.com/office/officeart/2005/8/layout/orgChart1"/>
    <dgm:cxn modelId="{8E28B121-7D6A-4DA5-BDC3-93F53F9EF37B}" type="presOf" srcId="{F393B521-5FBC-4D54-B8A5-21D86E5EDB83}" destId="{318F3BEC-3D4D-400A-872A-C64AE48EF393}" srcOrd="0" destOrd="0" presId="urn:microsoft.com/office/officeart/2005/8/layout/orgChart1"/>
    <dgm:cxn modelId="{6C1DDD09-DD70-48D8-8ACD-EF6221558E7E}" type="presOf" srcId="{D1A90CC9-61A8-40E8-A604-E9532910E421}" destId="{65720D4E-6177-4868-8E47-C71C26DC0F5E}" srcOrd="0" destOrd="0" presId="urn:microsoft.com/office/officeart/2005/8/layout/orgChart1"/>
    <dgm:cxn modelId="{7032EAB6-0E9C-4DC6-BF71-26C1377A9DAD}" type="presOf" srcId="{F9A08546-3A2E-423E-A939-E44FCA40BF7B}" destId="{9509DF21-4E2D-4301-BF40-1009DBB74762}" srcOrd="0" destOrd="0" presId="urn:microsoft.com/office/officeart/2005/8/layout/orgChart1"/>
    <dgm:cxn modelId="{6DAE2BF5-D1B1-44B4-A662-A5E2B38F1113}" srcId="{A76E9F75-EFC6-426B-9959-C0A6215B52D3}" destId="{F9A08546-3A2E-423E-A939-E44FCA40BF7B}" srcOrd="0" destOrd="0" parTransId="{907626C0-1530-45E1-814B-5C6947654FE5}" sibTransId="{C653ECBB-3B66-41B0-9EBE-FEC8D5571BAF}"/>
    <dgm:cxn modelId="{B6031569-E743-4C52-BD7C-47F626C20023}" srcId="{44701A01-D416-4538-9C86-84C801F740EA}" destId="{DDD7F3A9-FD1C-4931-9846-A4B1DFFB1E2D}" srcOrd="0" destOrd="0" parTransId="{212F6C41-BC0A-44C5-A013-B99A1DE99137}" sibTransId="{C46211A6-4281-458D-894E-EA74CA53C129}"/>
    <dgm:cxn modelId="{61F21AC0-A853-44D8-8ADC-00FDF748A7D2}" srcId="{97EC1C45-9718-4BFA-B3F1-D5E6AF938E99}" destId="{A76E9F75-EFC6-426B-9959-C0A6215B52D3}" srcOrd="0" destOrd="0" parTransId="{695496CF-D12F-4600-91DA-35EE9EE68E20}" sibTransId="{7C5670F2-BF62-4577-BF63-F738BEBA5F78}"/>
    <dgm:cxn modelId="{2747899C-A138-4785-A63E-CF561076AF48}" type="presOf" srcId="{F9A08546-3A2E-423E-A939-E44FCA40BF7B}" destId="{361B928B-1E61-4744-AB30-69BD6F67D623}" srcOrd="1" destOrd="0" presId="urn:microsoft.com/office/officeart/2005/8/layout/orgChart1"/>
    <dgm:cxn modelId="{427592F6-3F51-4F06-AE4A-D9C7C5C6006F}" srcId="{A76E9F75-EFC6-426B-9959-C0A6215B52D3}" destId="{44701A01-D416-4538-9C86-84C801F740EA}" srcOrd="3" destOrd="0" parTransId="{708B27E5-A8D0-43B9-88F7-84ECF0F8543C}" sibTransId="{0086039B-AE40-4A9B-AA47-CBEC1AC1D2BE}"/>
    <dgm:cxn modelId="{6B69A848-DA5C-4568-8283-1160B54CBDEB}" type="presOf" srcId="{94FCC361-6BD3-4402-9115-AC9CD18FFD77}" destId="{F1BFF0BF-FF9D-4AF5-ADAB-EC11FB91ABA4}" srcOrd="1" destOrd="0" presId="urn:microsoft.com/office/officeart/2005/8/layout/orgChart1"/>
    <dgm:cxn modelId="{C332E702-E6FE-4B29-ABEE-5E4408A4713E}" type="presOf" srcId="{94FCC361-6BD3-4402-9115-AC9CD18FFD77}" destId="{2765EFE4-AD1E-4AC9-9924-C21C5E141015}" srcOrd="0" destOrd="0" presId="urn:microsoft.com/office/officeart/2005/8/layout/orgChart1"/>
    <dgm:cxn modelId="{6DB32DBD-9E4B-4ADC-93A3-0C82362805C8}" type="presOf" srcId="{A76E9F75-EFC6-426B-9959-C0A6215B52D3}" destId="{1087BB45-3F94-4786-87F8-DCC9A38A1FEC}" srcOrd="0" destOrd="0" presId="urn:microsoft.com/office/officeart/2005/8/layout/orgChart1"/>
    <dgm:cxn modelId="{3D6F5A5D-B6D3-48F9-97C7-2A94AA37135B}" type="presOf" srcId="{97EC1C45-9718-4BFA-B3F1-D5E6AF938E99}" destId="{AF8616E7-72EB-45F0-9206-445826D96E69}" srcOrd="1" destOrd="0" presId="urn:microsoft.com/office/officeart/2005/8/layout/orgChart1"/>
    <dgm:cxn modelId="{BAE9B9AA-1669-46BF-B76E-A95C59947806}" type="presOf" srcId="{C95EA7AD-47C1-4224-ADFB-76D3AC2034DD}" destId="{A34E356A-A147-4406-9BE7-E508BBDBE136}" srcOrd="1" destOrd="0" presId="urn:microsoft.com/office/officeart/2005/8/layout/orgChart1"/>
    <dgm:cxn modelId="{15C279F8-2B78-49E6-A584-65EE5761FF18}" srcId="{C95EA7AD-47C1-4224-ADFB-76D3AC2034DD}" destId="{D0706E07-91CC-43B7-9D4F-96B327184DEF}" srcOrd="0" destOrd="0" parTransId="{697E77EE-E2DE-4FE7-9D47-D4224EB042DB}" sibTransId="{3F591F05-4955-45C9-A06A-9A8A006D8B0E}"/>
    <dgm:cxn modelId="{0F6627C5-1334-44B9-942F-0ECD65B94120}" srcId="{F9A08546-3A2E-423E-A939-E44FCA40BF7B}" destId="{458A2EE8-69B3-4306-B101-EFFDF2468D0B}" srcOrd="0" destOrd="0" parTransId="{D1A90CC9-61A8-40E8-A604-E9532910E421}" sibTransId="{6D30B24A-10BF-43EB-B442-9BC772D5024A}"/>
    <dgm:cxn modelId="{88AD34AD-2C16-458D-9E19-FA0E0B48A8DE}" type="presOf" srcId="{F393B521-5FBC-4D54-B8A5-21D86E5EDB83}" destId="{D59B2EAD-3F2C-4EBA-A2FE-443AFF7DBC5B}" srcOrd="1" destOrd="0" presId="urn:microsoft.com/office/officeart/2005/8/layout/orgChart1"/>
    <dgm:cxn modelId="{D8A2E594-70C0-46AC-AE63-42A8CE3766D1}" srcId="{A76E9F75-EFC6-426B-9959-C0A6215B52D3}" destId="{94FCC361-6BD3-4402-9115-AC9CD18FFD77}" srcOrd="2" destOrd="0" parTransId="{C46BDC7B-B373-40A8-B418-0F7E64F14BB4}" sibTransId="{DDA6DDEA-9EAB-486C-9463-4E7D9706903F}"/>
    <dgm:cxn modelId="{2BC0D8C0-D829-4898-9582-5A29D8067DC3}" type="presOf" srcId="{DDD7F3A9-FD1C-4931-9846-A4B1DFFB1E2D}" destId="{D234C4B1-D13D-4EDB-B085-43C552331F8D}" srcOrd="0" destOrd="0" presId="urn:microsoft.com/office/officeart/2005/8/layout/orgChart1"/>
    <dgm:cxn modelId="{C1F03F41-C438-40F3-9132-2544D8646EF7}" type="presOf" srcId="{695496CF-D12F-4600-91DA-35EE9EE68E20}" destId="{6CA26111-359C-465D-8FB5-8F98DC2107E2}" srcOrd="0" destOrd="0" presId="urn:microsoft.com/office/officeart/2005/8/layout/orgChart1"/>
    <dgm:cxn modelId="{F182C2A1-9CBF-4BFE-9D99-6615570CDA4F}" type="presOf" srcId="{C95EA7AD-47C1-4224-ADFB-76D3AC2034DD}" destId="{2EB00C71-68F7-4F94-84F3-FE2A32799625}" srcOrd="0" destOrd="0" presId="urn:microsoft.com/office/officeart/2005/8/layout/orgChart1"/>
    <dgm:cxn modelId="{568A9C93-F163-467B-A962-98A74A4F4ABE}" type="presOf" srcId="{708B27E5-A8D0-43B9-88F7-84ECF0F8543C}" destId="{975BA702-5C5A-4BF7-BE0C-C8192C6837F3}" srcOrd="0" destOrd="0" presId="urn:microsoft.com/office/officeart/2005/8/layout/orgChart1"/>
    <dgm:cxn modelId="{2E6A511E-2EA5-4FAA-B112-5FA2EF5AC554}" type="presOf" srcId="{44701A01-D416-4538-9C86-84C801F740EA}" destId="{F3B864C1-B21B-493F-89A0-D13A53F94FBA}" srcOrd="0" destOrd="0" presId="urn:microsoft.com/office/officeart/2005/8/layout/orgChart1"/>
    <dgm:cxn modelId="{4FF7EB37-91C8-4635-BDAD-079564DA043C}" srcId="{94FCC361-6BD3-4402-9115-AC9CD18FFD77}" destId="{F393B521-5FBC-4D54-B8A5-21D86E5EDB83}" srcOrd="0" destOrd="0" parTransId="{149A410A-8BA7-44D9-AE19-96C0AEC9864F}" sibTransId="{500A8928-6844-4365-878C-0655324D3607}"/>
    <dgm:cxn modelId="{EDACA1AE-80BD-404C-B5CB-84C9937CDEC2}" type="presOf" srcId="{697E77EE-E2DE-4FE7-9D47-D4224EB042DB}" destId="{97C30C21-1851-4E74-81E4-8D2140D40FAD}" srcOrd="0" destOrd="0" presId="urn:microsoft.com/office/officeart/2005/8/layout/orgChart1"/>
    <dgm:cxn modelId="{4B5AEEAC-4E64-4A16-ABA4-B736E4C9ACAC}" type="presParOf" srcId="{EA557F53-E8F8-457F-B697-035DAAF7A56B}" destId="{B7A948C4-E96E-414A-A157-10335471DE98}" srcOrd="0" destOrd="0" presId="urn:microsoft.com/office/officeart/2005/8/layout/orgChart1"/>
    <dgm:cxn modelId="{0B9D3EA1-C79C-4B56-9A28-109E6E44A32C}" type="presParOf" srcId="{B7A948C4-E96E-414A-A157-10335471DE98}" destId="{85F9AB0D-0002-4B4E-9ECB-280E3CAAE9C1}" srcOrd="0" destOrd="0" presId="urn:microsoft.com/office/officeart/2005/8/layout/orgChart1"/>
    <dgm:cxn modelId="{85CF7090-1E47-4AB2-AE0A-472552794C19}" type="presParOf" srcId="{85F9AB0D-0002-4B4E-9ECB-280E3CAAE9C1}" destId="{7D1E081B-C606-4102-BBC9-19EFECC1A17E}" srcOrd="0" destOrd="0" presId="urn:microsoft.com/office/officeart/2005/8/layout/orgChart1"/>
    <dgm:cxn modelId="{A7604313-25AA-400E-AF41-AF55BE99D413}" type="presParOf" srcId="{85F9AB0D-0002-4B4E-9ECB-280E3CAAE9C1}" destId="{AF8616E7-72EB-45F0-9206-445826D96E69}" srcOrd="1" destOrd="0" presId="urn:microsoft.com/office/officeart/2005/8/layout/orgChart1"/>
    <dgm:cxn modelId="{A9418EDB-4A8F-47C4-A4E4-F1F8EB4C39D0}" type="presParOf" srcId="{B7A948C4-E96E-414A-A157-10335471DE98}" destId="{E1FD1B3A-E44F-49C2-93E1-6FCB84192960}" srcOrd="1" destOrd="0" presId="urn:microsoft.com/office/officeart/2005/8/layout/orgChart1"/>
    <dgm:cxn modelId="{7E61D405-8202-4856-B3BB-B450C7148389}" type="presParOf" srcId="{E1FD1B3A-E44F-49C2-93E1-6FCB84192960}" destId="{6CA26111-359C-465D-8FB5-8F98DC2107E2}" srcOrd="0" destOrd="0" presId="urn:microsoft.com/office/officeart/2005/8/layout/orgChart1"/>
    <dgm:cxn modelId="{8D1A156A-0B3D-4277-970E-FAEA293BED7B}" type="presParOf" srcId="{E1FD1B3A-E44F-49C2-93E1-6FCB84192960}" destId="{1DE99F32-EAAF-42C4-BCED-3780090B1297}" srcOrd="1" destOrd="0" presId="urn:microsoft.com/office/officeart/2005/8/layout/orgChart1"/>
    <dgm:cxn modelId="{683507F8-875F-4BA9-9C60-A5B42EBFA6CF}" type="presParOf" srcId="{1DE99F32-EAAF-42C4-BCED-3780090B1297}" destId="{1BC2998F-97C8-4C33-9778-F7EE4962D928}" srcOrd="0" destOrd="0" presId="urn:microsoft.com/office/officeart/2005/8/layout/orgChart1"/>
    <dgm:cxn modelId="{36372E60-DF23-4750-9972-2DCA53798E16}" type="presParOf" srcId="{1BC2998F-97C8-4C33-9778-F7EE4962D928}" destId="{1087BB45-3F94-4786-87F8-DCC9A38A1FEC}" srcOrd="0" destOrd="0" presId="urn:microsoft.com/office/officeart/2005/8/layout/orgChart1"/>
    <dgm:cxn modelId="{1D596F10-5B5B-42A4-8D65-D98CA57DBDEF}" type="presParOf" srcId="{1BC2998F-97C8-4C33-9778-F7EE4962D928}" destId="{D9A7B822-0AC4-456B-A8FD-F9E6AE8652E5}" srcOrd="1" destOrd="0" presId="urn:microsoft.com/office/officeart/2005/8/layout/orgChart1"/>
    <dgm:cxn modelId="{5F013634-64C6-4DD7-B168-526F48263B96}" type="presParOf" srcId="{1DE99F32-EAAF-42C4-BCED-3780090B1297}" destId="{7D3AA560-BB75-4691-A75D-28C75288B633}" srcOrd="1" destOrd="0" presId="urn:microsoft.com/office/officeart/2005/8/layout/orgChart1"/>
    <dgm:cxn modelId="{CC6FED32-E888-4C43-875E-FF680AE36AED}" type="presParOf" srcId="{7D3AA560-BB75-4691-A75D-28C75288B633}" destId="{8D64A671-58A8-4F85-AD86-452E503F587F}" srcOrd="0" destOrd="0" presId="urn:microsoft.com/office/officeart/2005/8/layout/orgChart1"/>
    <dgm:cxn modelId="{0C0536A8-F046-418C-93E8-DB10A6C70371}" type="presParOf" srcId="{7D3AA560-BB75-4691-A75D-28C75288B633}" destId="{21256674-0FB9-474A-8A52-E885C6A9FAFC}" srcOrd="1" destOrd="0" presId="urn:microsoft.com/office/officeart/2005/8/layout/orgChart1"/>
    <dgm:cxn modelId="{702B1554-B82D-4E6E-B0F7-A01018C9D583}" type="presParOf" srcId="{21256674-0FB9-474A-8A52-E885C6A9FAFC}" destId="{28F91E6D-C758-4196-AE90-4F4D1E2979D7}" srcOrd="0" destOrd="0" presId="urn:microsoft.com/office/officeart/2005/8/layout/orgChart1"/>
    <dgm:cxn modelId="{B491E656-3F03-43B3-8D81-F164DB3C719E}" type="presParOf" srcId="{28F91E6D-C758-4196-AE90-4F4D1E2979D7}" destId="{9509DF21-4E2D-4301-BF40-1009DBB74762}" srcOrd="0" destOrd="0" presId="urn:microsoft.com/office/officeart/2005/8/layout/orgChart1"/>
    <dgm:cxn modelId="{278F0EE6-6788-47CD-BC2F-9BBC214B0B3E}" type="presParOf" srcId="{28F91E6D-C758-4196-AE90-4F4D1E2979D7}" destId="{361B928B-1E61-4744-AB30-69BD6F67D623}" srcOrd="1" destOrd="0" presId="urn:microsoft.com/office/officeart/2005/8/layout/orgChart1"/>
    <dgm:cxn modelId="{A5BF16E3-D750-4A08-A7DC-E5E3801112E4}" type="presParOf" srcId="{21256674-0FB9-474A-8A52-E885C6A9FAFC}" destId="{7C835A91-2C52-4EA2-A687-EC119BE86E91}" srcOrd="1" destOrd="0" presId="urn:microsoft.com/office/officeart/2005/8/layout/orgChart1"/>
    <dgm:cxn modelId="{E7BEFF0D-8850-4BD5-BC0E-BD0DEA78866F}" type="presParOf" srcId="{7C835A91-2C52-4EA2-A687-EC119BE86E91}" destId="{65720D4E-6177-4868-8E47-C71C26DC0F5E}" srcOrd="0" destOrd="0" presId="urn:microsoft.com/office/officeart/2005/8/layout/orgChart1"/>
    <dgm:cxn modelId="{AFF979F8-54E0-47E8-83F0-BE814C53F3F6}" type="presParOf" srcId="{7C835A91-2C52-4EA2-A687-EC119BE86E91}" destId="{9BEC4E07-FA1F-4DD8-8E9A-1F13375C218C}" srcOrd="1" destOrd="0" presId="urn:microsoft.com/office/officeart/2005/8/layout/orgChart1"/>
    <dgm:cxn modelId="{A31CFE8C-877C-4D1F-AE69-8578FCA7CA4E}" type="presParOf" srcId="{9BEC4E07-FA1F-4DD8-8E9A-1F13375C218C}" destId="{14A78140-322B-4B76-A2EE-8D35A47B237F}" srcOrd="0" destOrd="0" presId="urn:microsoft.com/office/officeart/2005/8/layout/orgChart1"/>
    <dgm:cxn modelId="{CF2AD61A-9269-4A73-BF28-E17C9D8AF7B1}" type="presParOf" srcId="{14A78140-322B-4B76-A2EE-8D35A47B237F}" destId="{377C41CD-E42F-4949-98FC-4CA3E8441E41}" srcOrd="0" destOrd="0" presId="urn:microsoft.com/office/officeart/2005/8/layout/orgChart1"/>
    <dgm:cxn modelId="{C029CEDD-EF93-4708-BD2F-08E20BA57C13}" type="presParOf" srcId="{14A78140-322B-4B76-A2EE-8D35A47B237F}" destId="{9B6B4D30-9AAF-4F7B-B0E5-1AD64958FBB8}" srcOrd="1" destOrd="0" presId="urn:microsoft.com/office/officeart/2005/8/layout/orgChart1"/>
    <dgm:cxn modelId="{B93D0D57-87B4-4EE1-9D02-D561DFC9E189}" type="presParOf" srcId="{9BEC4E07-FA1F-4DD8-8E9A-1F13375C218C}" destId="{04D50D97-C022-45E8-878D-314AC32A265E}" srcOrd="1" destOrd="0" presId="urn:microsoft.com/office/officeart/2005/8/layout/orgChart1"/>
    <dgm:cxn modelId="{23DE4C7C-72AB-44AC-8587-D8ED6F6C3A05}" type="presParOf" srcId="{9BEC4E07-FA1F-4DD8-8E9A-1F13375C218C}" destId="{B739D425-C83F-4C33-A1D7-4B14D4E46A66}" srcOrd="2" destOrd="0" presId="urn:microsoft.com/office/officeart/2005/8/layout/orgChart1"/>
    <dgm:cxn modelId="{E7850D82-E95A-4916-B2AC-66E0B88CFAA6}" type="presParOf" srcId="{21256674-0FB9-474A-8A52-E885C6A9FAFC}" destId="{19EF6271-4AEB-4377-AA49-46BB70862C45}" srcOrd="2" destOrd="0" presId="urn:microsoft.com/office/officeart/2005/8/layout/orgChart1"/>
    <dgm:cxn modelId="{A7B774EA-58A0-4D10-8725-3409E0790D33}" type="presParOf" srcId="{7D3AA560-BB75-4691-A75D-28C75288B633}" destId="{88D0DB25-76A1-478C-9EA2-8E4D0E6BA4D6}" srcOrd="2" destOrd="0" presId="urn:microsoft.com/office/officeart/2005/8/layout/orgChart1"/>
    <dgm:cxn modelId="{A52EE4AC-D48F-4441-B01D-C2795ABAD05F}" type="presParOf" srcId="{7D3AA560-BB75-4691-A75D-28C75288B633}" destId="{0AC7B99A-0590-4BEE-9F1B-467EA6032034}" srcOrd="3" destOrd="0" presId="urn:microsoft.com/office/officeart/2005/8/layout/orgChart1"/>
    <dgm:cxn modelId="{22457976-DA61-4AB5-9D9E-2EB0EA1B01DF}" type="presParOf" srcId="{0AC7B99A-0590-4BEE-9F1B-467EA6032034}" destId="{BA4D0EAA-04FD-40D1-BA41-1BBA68BE38C9}" srcOrd="0" destOrd="0" presId="urn:microsoft.com/office/officeart/2005/8/layout/orgChart1"/>
    <dgm:cxn modelId="{7A17D244-A147-49D1-8577-D382D05CF20B}" type="presParOf" srcId="{BA4D0EAA-04FD-40D1-BA41-1BBA68BE38C9}" destId="{2EB00C71-68F7-4F94-84F3-FE2A32799625}" srcOrd="0" destOrd="0" presId="urn:microsoft.com/office/officeart/2005/8/layout/orgChart1"/>
    <dgm:cxn modelId="{A7B17F93-EEBF-4C15-A4D0-108C1AD98955}" type="presParOf" srcId="{BA4D0EAA-04FD-40D1-BA41-1BBA68BE38C9}" destId="{A34E356A-A147-4406-9BE7-E508BBDBE136}" srcOrd="1" destOrd="0" presId="urn:microsoft.com/office/officeart/2005/8/layout/orgChart1"/>
    <dgm:cxn modelId="{F9CD9655-A30E-4198-B3A1-83197CEDC5D5}" type="presParOf" srcId="{0AC7B99A-0590-4BEE-9F1B-467EA6032034}" destId="{0D5FB45F-26EF-490B-BE49-E4E586B83666}" srcOrd="1" destOrd="0" presId="urn:microsoft.com/office/officeart/2005/8/layout/orgChart1"/>
    <dgm:cxn modelId="{918C06A3-AD2C-4C16-9B81-A089C04A5CAC}" type="presParOf" srcId="{0D5FB45F-26EF-490B-BE49-E4E586B83666}" destId="{97C30C21-1851-4E74-81E4-8D2140D40FAD}" srcOrd="0" destOrd="0" presId="urn:microsoft.com/office/officeart/2005/8/layout/orgChart1"/>
    <dgm:cxn modelId="{0530BB67-70D5-46ED-9F50-B0D413B5369D}" type="presParOf" srcId="{0D5FB45F-26EF-490B-BE49-E4E586B83666}" destId="{BB71BA64-2B59-489E-ACF3-1D26B3D8A4E7}" srcOrd="1" destOrd="0" presId="urn:microsoft.com/office/officeart/2005/8/layout/orgChart1"/>
    <dgm:cxn modelId="{1F7C0D1D-0318-4A33-9D3D-B523C2024CAA}" type="presParOf" srcId="{BB71BA64-2B59-489E-ACF3-1D26B3D8A4E7}" destId="{9E2F8F85-9137-483F-A7B1-2A26583ABEB5}" srcOrd="0" destOrd="0" presId="urn:microsoft.com/office/officeart/2005/8/layout/orgChart1"/>
    <dgm:cxn modelId="{4A441260-72ED-4AFC-B05E-C1137ACAA088}" type="presParOf" srcId="{9E2F8F85-9137-483F-A7B1-2A26583ABEB5}" destId="{2CF9D80D-AD92-48DD-82D0-93FFA605D22C}" srcOrd="0" destOrd="0" presId="urn:microsoft.com/office/officeart/2005/8/layout/orgChart1"/>
    <dgm:cxn modelId="{33DC30FB-6CE5-4E4F-8BEC-EA860E93A454}" type="presParOf" srcId="{9E2F8F85-9137-483F-A7B1-2A26583ABEB5}" destId="{B1896AF3-9BB0-4B94-B27F-347ACE82BC5A}" srcOrd="1" destOrd="0" presId="urn:microsoft.com/office/officeart/2005/8/layout/orgChart1"/>
    <dgm:cxn modelId="{E6F1B1CE-E079-49E4-B6CB-EDCBF746F7C8}" type="presParOf" srcId="{BB71BA64-2B59-489E-ACF3-1D26B3D8A4E7}" destId="{59AD7D50-74F8-4F7D-8318-71234D6AE1E3}" srcOrd="1" destOrd="0" presId="urn:microsoft.com/office/officeart/2005/8/layout/orgChart1"/>
    <dgm:cxn modelId="{395109B3-0A3C-4F0F-9FE4-6D7B06C3F5A9}" type="presParOf" srcId="{BB71BA64-2B59-489E-ACF3-1D26B3D8A4E7}" destId="{E30E9C25-5E32-4BBE-BFA4-0A98B1CA0B72}" srcOrd="2" destOrd="0" presId="urn:microsoft.com/office/officeart/2005/8/layout/orgChart1"/>
    <dgm:cxn modelId="{9821EC72-8541-4ABC-B790-284D83183F64}" type="presParOf" srcId="{0AC7B99A-0590-4BEE-9F1B-467EA6032034}" destId="{805842D1-1BC1-4062-8B9E-60EE4F14B457}" srcOrd="2" destOrd="0" presId="urn:microsoft.com/office/officeart/2005/8/layout/orgChart1"/>
    <dgm:cxn modelId="{1E8AD226-A54B-4A90-B7CB-97195BB8C804}" type="presParOf" srcId="{7D3AA560-BB75-4691-A75D-28C75288B633}" destId="{EC5254F1-577C-4E43-9FC3-A45D5FC6CE03}" srcOrd="4" destOrd="0" presId="urn:microsoft.com/office/officeart/2005/8/layout/orgChart1"/>
    <dgm:cxn modelId="{6E71351E-6CBD-4AEC-9815-278EAB7014A5}" type="presParOf" srcId="{7D3AA560-BB75-4691-A75D-28C75288B633}" destId="{9EDB13EC-2308-497B-AC60-B8D3D911625B}" srcOrd="5" destOrd="0" presId="urn:microsoft.com/office/officeart/2005/8/layout/orgChart1"/>
    <dgm:cxn modelId="{8FBBEA07-FA33-48F7-9727-01BC0EE005B4}" type="presParOf" srcId="{9EDB13EC-2308-497B-AC60-B8D3D911625B}" destId="{61A2966F-B8EF-4CA6-BB51-0D496259C9B4}" srcOrd="0" destOrd="0" presId="urn:microsoft.com/office/officeart/2005/8/layout/orgChart1"/>
    <dgm:cxn modelId="{CEA807C1-B58E-4FCA-8760-985C6C03BDD2}" type="presParOf" srcId="{61A2966F-B8EF-4CA6-BB51-0D496259C9B4}" destId="{2765EFE4-AD1E-4AC9-9924-C21C5E141015}" srcOrd="0" destOrd="0" presId="urn:microsoft.com/office/officeart/2005/8/layout/orgChart1"/>
    <dgm:cxn modelId="{F52FB1AB-1FA0-42D5-BD3E-3E2309B7BA41}" type="presParOf" srcId="{61A2966F-B8EF-4CA6-BB51-0D496259C9B4}" destId="{F1BFF0BF-FF9D-4AF5-ADAB-EC11FB91ABA4}" srcOrd="1" destOrd="0" presId="urn:microsoft.com/office/officeart/2005/8/layout/orgChart1"/>
    <dgm:cxn modelId="{2A5268BE-0FF3-4731-ABFD-3E1F45AF3C47}" type="presParOf" srcId="{9EDB13EC-2308-497B-AC60-B8D3D911625B}" destId="{5B777EEF-0FA1-4F7E-88E7-C2430685B532}" srcOrd="1" destOrd="0" presId="urn:microsoft.com/office/officeart/2005/8/layout/orgChart1"/>
    <dgm:cxn modelId="{6FE6BF29-0CB4-4D8F-8F79-6B502EC032A1}" type="presParOf" srcId="{5B777EEF-0FA1-4F7E-88E7-C2430685B532}" destId="{BBD7D63B-D10C-4FB2-8405-0B04B0158F41}" srcOrd="0" destOrd="0" presId="urn:microsoft.com/office/officeart/2005/8/layout/orgChart1"/>
    <dgm:cxn modelId="{4B45F064-642F-4E73-84EB-44006D9F01AD}" type="presParOf" srcId="{5B777EEF-0FA1-4F7E-88E7-C2430685B532}" destId="{5DCBCE94-F0E3-4ABF-82BD-1B1465EE8258}" srcOrd="1" destOrd="0" presId="urn:microsoft.com/office/officeart/2005/8/layout/orgChart1"/>
    <dgm:cxn modelId="{2E112854-7C7D-4DD4-A485-BB7F6D95B577}" type="presParOf" srcId="{5DCBCE94-F0E3-4ABF-82BD-1B1465EE8258}" destId="{FDD27EE6-D08B-4FDD-8EEB-4269D786AD63}" srcOrd="0" destOrd="0" presId="urn:microsoft.com/office/officeart/2005/8/layout/orgChart1"/>
    <dgm:cxn modelId="{C51A4A5D-EEDD-4E16-9ACA-E5349940A815}" type="presParOf" srcId="{FDD27EE6-D08B-4FDD-8EEB-4269D786AD63}" destId="{318F3BEC-3D4D-400A-872A-C64AE48EF393}" srcOrd="0" destOrd="0" presId="urn:microsoft.com/office/officeart/2005/8/layout/orgChart1"/>
    <dgm:cxn modelId="{18C04B47-68B6-4AF4-9227-9209B6203379}" type="presParOf" srcId="{FDD27EE6-D08B-4FDD-8EEB-4269D786AD63}" destId="{D59B2EAD-3F2C-4EBA-A2FE-443AFF7DBC5B}" srcOrd="1" destOrd="0" presId="urn:microsoft.com/office/officeart/2005/8/layout/orgChart1"/>
    <dgm:cxn modelId="{E3F39A76-AD38-45FE-9261-06155AE3A4FC}" type="presParOf" srcId="{5DCBCE94-F0E3-4ABF-82BD-1B1465EE8258}" destId="{1D82DB9C-5AE3-49A7-AAD5-D1C66299E815}" srcOrd="1" destOrd="0" presId="urn:microsoft.com/office/officeart/2005/8/layout/orgChart1"/>
    <dgm:cxn modelId="{9B52F748-463C-4483-BEC7-62E5C7EA80F4}" type="presParOf" srcId="{5DCBCE94-F0E3-4ABF-82BD-1B1465EE8258}" destId="{48B2B612-6DC3-4ECF-8D18-7BCF775F7A84}" srcOrd="2" destOrd="0" presId="urn:microsoft.com/office/officeart/2005/8/layout/orgChart1"/>
    <dgm:cxn modelId="{B8369673-EE0C-44AA-9750-9B181DD616B1}" type="presParOf" srcId="{9EDB13EC-2308-497B-AC60-B8D3D911625B}" destId="{5BA6A9CF-6715-4778-9C8A-D8F1C0820E68}" srcOrd="2" destOrd="0" presId="urn:microsoft.com/office/officeart/2005/8/layout/orgChart1"/>
    <dgm:cxn modelId="{C8EB02D4-F753-4B8F-9B66-03092D6C5227}" type="presParOf" srcId="{7D3AA560-BB75-4691-A75D-28C75288B633}" destId="{975BA702-5C5A-4BF7-BE0C-C8192C6837F3}" srcOrd="6" destOrd="0" presId="urn:microsoft.com/office/officeart/2005/8/layout/orgChart1"/>
    <dgm:cxn modelId="{57E66B9F-97CE-4C1B-BF9E-657733DA4FEF}" type="presParOf" srcId="{7D3AA560-BB75-4691-A75D-28C75288B633}" destId="{222F3422-D8B4-44C2-AF9C-56D286A216C5}" srcOrd="7" destOrd="0" presId="urn:microsoft.com/office/officeart/2005/8/layout/orgChart1"/>
    <dgm:cxn modelId="{42C9894C-1740-4D81-80CD-6E35C602716D}" type="presParOf" srcId="{222F3422-D8B4-44C2-AF9C-56D286A216C5}" destId="{7D42F8D4-92EF-4940-9713-F3B37EDE08D0}" srcOrd="0" destOrd="0" presId="urn:microsoft.com/office/officeart/2005/8/layout/orgChart1"/>
    <dgm:cxn modelId="{59C10427-F57E-43E4-ABF3-AB771901B174}" type="presParOf" srcId="{7D42F8D4-92EF-4940-9713-F3B37EDE08D0}" destId="{F3B864C1-B21B-493F-89A0-D13A53F94FBA}" srcOrd="0" destOrd="0" presId="urn:microsoft.com/office/officeart/2005/8/layout/orgChart1"/>
    <dgm:cxn modelId="{5C2764E0-07B5-46A8-B9D7-9EE9B8F97980}" type="presParOf" srcId="{7D42F8D4-92EF-4940-9713-F3B37EDE08D0}" destId="{582424BA-A0A7-44E5-9FB8-5F908CAF5F4F}" srcOrd="1" destOrd="0" presId="urn:microsoft.com/office/officeart/2005/8/layout/orgChart1"/>
    <dgm:cxn modelId="{E6F0CD51-83FD-4D91-A462-AC0B8CA5D4DC}" type="presParOf" srcId="{222F3422-D8B4-44C2-AF9C-56D286A216C5}" destId="{137A2142-89A9-4A9F-A189-C96E3307B9C6}" srcOrd="1" destOrd="0" presId="urn:microsoft.com/office/officeart/2005/8/layout/orgChart1"/>
    <dgm:cxn modelId="{E8FB97C1-5167-4989-A986-0D8C4FCCD336}" type="presParOf" srcId="{137A2142-89A9-4A9F-A189-C96E3307B9C6}" destId="{A96F63E1-2A51-4A5C-B38E-30F19677086A}" srcOrd="0" destOrd="0" presId="urn:microsoft.com/office/officeart/2005/8/layout/orgChart1"/>
    <dgm:cxn modelId="{FD1C4018-F43F-4193-A693-21438F6058CA}" type="presParOf" srcId="{137A2142-89A9-4A9F-A189-C96E3307B9C6}" destId="{23AC816E-1E88-4DF5-A474-4C768FE7B09E}" srcOrd="1" destOrd="0" presId="urn:microsoft.com/office/officeart/2005/8/layout/orgChart1"/>
    <dgm:cxn modelId="{0311A5D7-F01D-45F3-B592-DBA44B703234}" type="presParOf" srcId="{23AC816E-1E88-4DF5-A474-4C768FE7B09E}" destId="{50556BA6-9AC1-412B-8232-0FCC33D598C5}" srcOrd="0" destOrd="0" presId="urn:microsoft.com/office/officeart/2005/8/layout/orgChart1"/>
    <dgm:cxn modelId="{916E9AD1-6B87-4DD2-AE8A-A47D727516C6}" type="presParOf" srcId="{50556BA6-9AC1-412B-8232-0FCC33D598C5}" destId="{D234C4B1-D13D-4EDB-B085-43C552331F8D}" srcOrd="0" destOrd="0" presId="urn:microsoft.com/office/officeart/2005/8/layout/orgChart1"/>
    <dgm:cxn modelId="{E2EEF01A-792D-4343-81DC-149F75ADF390}" type="presParOf" srcId="{50556BA6-9AC1-412B-8232-0FCC33D598C5}" destId="{FF3F21C1-3E18-475D-8B92-2E1B3D2CCC1F}" srcOrd="1" destOrd="0" presId="urn:microsoft.com/office/officeart/2005/8/layout/orgChart1"/>
    <dgm:cxn modelId="{F1A620F6-0FBF-42E2-83B7-BB579D62488C}" type="presParOf" srcId="{23AC816E-1E88-4DF5-A474-4C768FE7B09E}" destId="{20F5FF4E-EA03-4E7A-8A5C-B417F4F3A945}" srcOrd="1" destOrd="0" presId="urn:microsoft.com/office/officeart/2005/8/layout/orgChart1"/>
    <dgm:cxn modelId="{4F2307A6-128A-4A25-B1FF-6D3718B27315}" type="presParOf" srcId="{23AC816E-1E88-4DF5-A474-4C768FE7B09E}" destId="{77A0660E-0D87-4B63-9264-1353F5FBA19B}" srcOrd="2" destOrd="0" presId="urn:microsoft.com/office/officeart/2005/8/layout/orgChart1"/>
    <dgm:cxn modelId="{1AE3B325-51E5-4B88-AC4E-69B1063348A5}" type="presParOf" srcId="{222F3422-D8B4-44C2-AF9C-56D286A216C5}" destId="{22A8CDAA-EBC9-4B4C-AD39-0687929EC3C6}" srcOrd="2" destOrd="0" presId="urn:microsoft.com/office/officeart/2005/8/layout/orgChart1"/>
    <dgm:cxn modelId="{9E37B5F0-771F-40B1-A3F8-206C65A26869}" type="presParOf" srcId="{1DE99F32-EAAF-42C4-BCED-3780090B1297}" destId="{2909E247-843A-49DB-92D6-F9AFCF8B39E3}" srcOrd="2" destOrd="0" presId="urn:microsoft.com/office/officeart/2005/8/layout/orgChart1"/>
    <dgm:cxn modelId="{7F99EEA2-FF3D-4FA6-B03D-B994BF6167DB}" type="presParOf" srcId="{B7A948C4-E96E-414A-A157-10335471DE98}" destId="{46780E71-2117-4ECF-A3BD-899D15FCDF4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F63E1-2A51-4A5C-B38E-30F19677086A}">
      <dsp:nvSpPr>
        <dsp:cNvPr id="0" name=""/>
        <dsp:cNvSpPr/>
      </dsp:nvSpPr>
      <dsp:spPr>
        <a:xfrm>
          <a:off x="483156" y="2185907"/>
          <a:ext cx="91440" cy="221068"/>
        </a:xfrm>
        <a:custGeom>
          <a:avLst/>
          <a:gdLst/>
          <a:ahLst/>
          <a:cxnLst/>
          <a:rect l="0" t="0" r="0" b="0"/>
          <a:pathLst>
            <a:path>
              <a:moveTo>
                <a:pt x="45720" y="0"/>
              </a:moveTo>
              <a:lnTo>
                <a:pt x="45720"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BA702-5C5A-4BF7-BE0C-C8192C6837F3}">
      <dsp:nvSpPr>
        <dsp:cNvPr id="0" name=""/>
        <dsp:cNvSpPr/>
      </dsp:nvSpPr>
      <dsp:spPr>
        <a:xfrm>
          <a:off x="528876" y="1438486"/>
          <a:ext cx="1910660" cy="221068"/>
        </a:xfrm>
        <a:custGeom>
          <a:avLst/>
          <a:gdLst/>
          <a:ahLst/>
          <a:cxnLst/>
          <a:rect l="0" t="0" r="0" b="0"/>
          <a:pathLst>
            <a:path>
              <a:moveTo>
                <a:pt x="1910660" y="0"/>
              </a:moveTo>
              <a:lnTo>
                <a:pt x="1910660" y="110534"/>
              </a:lnTo>
              <a:lnTo>
                <a:pt x="0" y="110534"/>
              </a:lnTo>
              <a:lnTo>
                <a:pt x="0"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D7D63B-D10C-4FB2-8405-0B04B0158F41}">
      <dsp:nvSpPr>
        <dsp:cNvPr id="0" name=""/>
        <dsp:cNvSpPr/>
      </dsp:nvSpPr>
      <dsp:spPr>
        <a:xfrm>
          <a:off x="1756930" y="2185907"/>
          <a:ext cx="91440" cy="221068"/>
        </a:xfrm>
        <a:custGeom>
          <a:avLst/>
          <a:gdLst/>
          <a:ahLst/>
          <a:cxnLst/>
          <a:rect l="0" t="0" r="0" b="0"/>
          <a:pathLst>
            <a:path>
              <a:moveTo>
                <a:pt x="45720" y="0"/>
              </a:moveTo>
              <a:lnTo>
                <a:pt x="45720"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254F1-577C-4E43-9FC3-A45D5FC6CE03}">
      <dsp:nvSpPr>
        <dsp:cNvPr id="0" name=""/>
        <dsp:cNvSpPr/>
      </dsp:nvSpPr>
      <dsp:spPr>
        <a:xfrm>
          <a:off x="1802650" y="1438486"/>
          <a:ext cx="636886" cy="221068"/>
        </a:xfrm>
        <a:custGeom>
          <a:avLst/>
          <a:gdLst/>
          <a:ahLst/>
          <a:cxnLst/>
          <a:rect l="0" t="0" r="0" b="0"/>
          <a:pathLst>
            <a:path>
              <a:moveTo>
                <a:pt x="636886" y="0"/>
              </a:moveTo>
              <a:lnTo>
                <a:pt x="636886" y="110534"/>
              </a:lnTo>
              <a:lnTo>
                <a:pt x="0" y="110534"/>
              </a:lnTo>
              <a:lnTo>
                <a:pt x="0"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30C21-1851-4E74-81E4-8D2140D40FAD}">
      <dsp:nvSpPr>
        <dsp:cNvPr id="0" name=""/>
        <dsp:cNvSpPr/>
      </dsp:nvSpPr>
      <dsp:spPr>
        <a:xfrm>
          <a:off x="3030704" y="2185907"/>
          <a:ext cx="91440" cy="221068"/>
        </a:xfrm>
        <a:custGeom>
          <a:avLst/>
          <a:gdLst/>
          <a:ahLst/>
          <a:cxnLst/>
          <a:rect l="0" t="0" r="0" b="0"/>
          <a:pathLst>
            <a:path>
              <a:moveTo>
                <a:pt x="45720" y="0"/>
              </a:moveTo>
              <a:lnTo>
                <a:pt x="45720"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0DB25-76A1-478C-9EA2-8E4D0E6BA4D6}">
      <dsp:nvSpPr>
        <dsp:cNvPr id="0" name=""/>
        <dsp:cNvSpPr/>
      </dsp:nvSpPr>
      <dsp:spPr>
        <a:xfrm>
          <a:off x="2439537" y="1438486"/>
          <a:ext cx="636886" cy="221068"/>
        </a:xfrm>
        <a:custGeom>
          <a:avLst/>
          <a:gdLst/>
          <a:ahLst/>
          <a:cxnLst/>
          <a:rect l="0" t="0" r="0" b="0"/>
          <a:pathLst>
            <a:path>
              <a:moveTo>
                <a:pt x="0" y="0"/>
              </a:moveTo>
              <a:lnTo>
                <a:pt x="0" y="110534"/>
              </a:lnTo>
              <a:lnTo>
                <a:pt x="636886" y="110534"/>
              </a:lnTo>
              <a:lnTo>
                <a:pt x="636886"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720D4E-6177-4868-8E47-C71C26DC0F5E}">
      <dsp:nvSpPr>
        <dsp:cNvPr id="0" name=""/>
        <dsp:cNvSpPr/>
      </dsp:nvSpPr>
      <dsp:spPr>
        <a:xfrm>
          <a:off x="4304478" y="2185907"/>
          <a:ext cx="91440" cy="221068"/>
        </a:xfrm>
        <a:custGeom>
          <a:avLst/>
          <a:gdLst/>
          <a:ahLst/>
          <a:cxnLst/>
          <a:rect l="0" t="0" r="0" b="0"/>
          <a:pathLst>
            <a:path>
              <a:moveTo>
                <a:pt x="45720" y="0"/>
              </a:moveTo>
              <a:lnTo>
                <a:pt x="45720"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64A671-58A8-4F85-AD86-452E503F587F}">
      <dsp:nvSpPr>
        <dsp:cNvPr id="0" name=""/>
        <dsp:cNvSpPr/>
      </dsp:nvSpPr>
      <dsp:spPr>
        <a:xfrm>
          <a:off x="2439537" y="1438486"/>
          <a:ext cx="1910660" cy="221068"/>
        </a:xfrm>
        <a:custGeom>
          <a:avLst/>
          <a:gdLst/>
          <a:ahLst/>
          <a:cxnLst/>
          <a:rect l="0" t="0" r="0" b="0"/>
          <a:pathLst>
            <a:path>
              <a:moveTo>
                <a:pt x="0" y="0"/>
              </a:moveTo>
              <a:lnTo>
                <a:pt x="0" y="110534"/>
              </a:lnTo>
              <a:lnTo>
                <a:pt x="1910660" y="110534"/>
              </a:lnTo>
              <a:lnTo>
                <a:pt x="1910660" y="2210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A26111-359C-465D-8FB5-8F98DC2107E2}">
      <dsp:nvSpPr>
        <dsp:cNvPr id="0" name=""/>
        <dsp:cNvSpPr/>
      </dsp:nvSpPr>
      <dsp:spPr>
        <a:xfrm>
          <a:off x="2393817" y="691065"/>
          <a:ext cx="91440" cy="221068"/>
        </a:xfrm>
        <a:custGeom>
          <a:avLst/>
          <a:gdLst/>
          <a:ahLst/>
          <a:cxnLst/>
          <a:rect l="0" t="0" r="0" b="0"/>
          <a:pathLst>
            <a:path>
              <a:moveTo>
                <a:pt x="45720" y="0"/>
              </a:moveTo>
              <a:lnTo>
                <a:pt x="45720" y="221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E081B-C606-4102-BBC9-19EFECC1A17E}">
      <dsp:nvSpPr>
        <dsp:cNvPr id="0" name=""/>
        <dsp:cNvSpPr/>
      </dsp:nvSpPr>
      <dsp:spPr>
        <a:xfrm>
          <a:off x="1398316" y="164713"/>
          <a:ext cx="2082441" cy="526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Integration of Donor-Funded Programs</a:t>
          </a:r>
        </a:p>
        <a:p>
          <a:pPr lvl="0" algn="ctr" defTabSz="355600">
            <a:lnSpc>
              <a:spcPct val="90000"/>
            </a:lnSpc>
            <a:spcBef>
              <a:spcPct val="0"/>
            </a:spcBef>
            <a:spcAft>
              <a:spcPct val="35000"/>
            </a:spcAft>
          </a:pPr>
          <a:r>
            <a:rPr lang="en-US" sz="800" kern="1200"/>
            <a:t> (Trustee Level Fund)</a:t>
          </a:r>
        </a:p>
      </dsp:txBody>
      <dsp:txXfrm>
        <a:off x="1398316" y="164713"/>
        <a:ext cx="2082441" cy="526352"/>
      </dsp:txXfrm>
    </dsp:sp>
    <dsp:sp modelId="{1087BB45-3F94-4786-87F8-DCC9A38A1FEC}">
      <dsp:nvSpPr>
        <dsp:cNvPr id="0" name=""/>
        <dsp:cNvSpPr/>
      </dsp:nvSpPr>
      <dsp:spPr>
        <a:xfrm>
          <a:off x="1254996" y="912134"/>
          <a:ext cx="2369082" cy="526352"/>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MDTF </a:t>
          </a:r>
        </a:p>
        <a:p>
          <a:pPr lvl="0" algn="ctr" defTabSz="355600">
            <a:lnSpc>
              <a:spcPct val="90000"/>
            </a:lnSpc>
            <a:spcBef>
              <a:spcPct val="0"/>
            </a:spcBef>
            <a:spcAft>
              <a:spcPct val="35000"/>
            </a:spcAft>
          </a:pPr>
          <a:r>
            <a:rPr lang="en-US" sz="800" kern="1200"/>
            <a:t>(Administration and Program Management)</a:t>
          </a:r>
        </a:p>
      </dsp:txBody>
      <dsp:txXfrm>
        <a:off x="1254996" y="912134"/>
        <a:ext cx="2369082" cy="526352"/>
      </dsp:txXfrm>
    </dsp:sp>
    <dsp:sp modelId="{9509DF21-4E2D-4301-BF40-1009DBB74762}">
      <dsp:nvSpPr>
        <dsp:cNvPr id="0" name=""/>
        <dsp:cNvSpPr/>
      </dsp:nvSpPr>
      <dsp:spPr>
        <a:xfrm>
          <a:off x="3823845" y="1659555"/>
          <a:ext cx="1052705" cy="52635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Pillar IV</a:t>
          </a:r>
        </a:p>
        <a:p>
          <a:pPr lvl="0" algn="ctr" defTabSz="355600">
            <a:lnSpc>
              <a:spcPct val="90000"/>
            </a:lnSpc>
            <a:spcBef>
              <a:spcPct val="0"/>
            </a:spcBef>
            <a:spcAft>
              <a:spcPct val="35000"/>
            </a:spcAft>
          </a:pPr>
          <a:r>
            <a:rPr lang="en-US" sz="800" kern="1200"/>
            <a:t>(RE)</a:t>
          </a:r>
        </a:p>
      </dsp:txBody>
      <dsp:txXfrm>
        <a:off x="3823845" y="1659555"/>
        <a:ext cx="1052705" cy="526352"/>
      </dsp:txXfrm>
    </dsp:sp>
    <dsp:sp modelId="{377C41CD-E42F-4949-98FC-4CA3E8441E41}">
      <dsp:nvSpPr>
        <dsp:cNvPr id="0" name=""/>
        <dsp:cNvSpPr/>
      </dsp:nvSpPr>
      <dsp:spPr>
        <a:xfrm>
          <a:off x="3823845" y="2406976"/>
          <a:ext cx="1052705" cy="526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Piloting of Innovative Health Financing &amp; Service Delivery Integration Mechanisms</a:t>
          </a:r>
        </a:p>
      </dsp:txBody>
      <dsp:txXfrm>
        <a:off x="3823845" y="2406976"/>
        <a:ext cx="1052705" cy="526352"/>
      </dsp:txXfrm>
    </dsp:sp>
    <dsp:sp modelId="{2EB00C71-68F7-4F94-84F3-FE2A32799625}">
      <dsp:nvSpPr>
        <dsp:cNvPr id="0" name=""/>
        <dsp:cNvSpPr/>
      </dsp:nvSpPr>
      <dsp:spPr>
        <a:xfrm>
          <a:off x="2550071" y="1659555"/>
          <a:ext cx="1052705" cy="52635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Pillar III</a:t>
          </a:r>
        </a:p>
        <a:p>
          <a:pPr lvl="0" algn="ctr" defTabSz="355600">
            <a:lnSpc>
              <a:spcPct val="90000"/>
            </a:lnSpc>
            <a:spcBef>
              <a:spcPct val="0"/>
            </a:spcBef>
            <a:spcAft>
              <a:spcPct val="35000"/>
            </a:spcAft>
          </a:pPr>
          <a:r>
            <a:rPr lang="en-US" sz="800" kern="1200"/>
            <a:t>(BE)</a:t>
          </a:r>
        </a:p>
      </dsp:txBody>
      <dsp:txXfrm>
        <a:off x="2550071" y="1659555"/>
        <a:ext cx="1052705" cy="526352"/>
      </dsp:txXfrm>
    </dsp:sp>
    <dsp:sp modelId="{2CF9D80D-AD92-48DD-82D0-93FFA605D22C}">
      <dsp:nvSpPr>
        <dsp:cNvPr id="0" name=""/>
        <dsp:cNvSpPr/>
      </dsp:nvSpPr>
      <dsp:spPr>
        <a:xfrm>
          <a:off x="2550071" y="2406976"/>
          <a:ext cx="1052705" cy="526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Knowledge Generation &amp; Exchange Activities</a:t>
          </a:r>
        </a:p>
      </dsp:txBody>
      <dsp:txXfrm>
        <a:off x="2550071" y="2406976"/>
        <a:ext cx="1052705" cy="526352"/>
      </dsp:txXfrm>
    </dsp:sp>
    <dsp:sp modelId="{2765EFE4-AD1E-4AC9-9924-C21C5E141015}">
      <dsp:nvSpPr>
        <dsp:cNvPr id="0" name=""/>
        <dsp:cNvSpPr/>
      </dsp:nvSpPr>
      <dsp:spPr>
        <a:xfrm>
          <a:off x="1276297" y="1659555"/>
          <a:ext cx="1052705" cy="52635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Pillar II</a:t>
          </a:r>
        </a:p>
        <a:p>
          <a:pPr lvl="0" algn="ctr" defTabSz="355600">
            <a:lnSpc>
              <a:spcPct val="90000"/>
            </a:lnSpc>
            <a:spcBef>
              <a:spcPct val="0"/>
            </a:spcBef>
            <a:spcAft>
              <a:spcPct val="35000"/>
            </a:spcAft>
          </a:pPr>
          <a:r>
            <a:rPr lang="en-US" sz="800" kern="1200"/>
            <a:t>(BE)</a:t>
          </a:r>
        </a:p>
      </dsp:txBody>
      <dsp:txXfrm>
        <a:off x="1276297" y="1659555"/>
        <a:ext cx="1052705" cy="526352"/>
      </dsp:txXfrm>
    </dsp:sp>
    <dsp:sp modelId="{318F3BEC-3D4D-400A-872A-C64AE48EF393}">
      <dsp:nvSpPr>
        <dsp:cNvPr id="0" name=""/>
        <dsp:cNvSpPr/>
      </dsp:nvSpPr>
      <dsp:spPr>
        <a:xfrm>
          <a:off x="1276297" y="2406976"/>
          <a:ext cx="1052705" cy="526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Technical Assistance &amp; Capacity Building</a:t>
          </a:r>
        </a:p>
      </dsp:txBody>
      <dsp:txXfrm>
        <a:off x="1276297" y="2406976"/>
        <a:ext cx="1052705" cy="526352"/>
      </dsp:txXfrm>
    </dsp:sp>
    <dsp:sp modelId="{F3B864C1-B21B-493F-89A0-D13A53F94FBA}">
      <dsp:nvSpPr>
        <dsp:cNvPr id="0" name=""/>
        <dsp:cNvSpPr/>
      </dsp:nvSpPr>
      <dsp:spPr>
        <a:xfrm>
          <a:off x="2523" y="1659555"/>
          <a:ext cx="1052705" cy="526352"/>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Pillar I</a:t>
          </a:r>
        </a:p>
        <a:p>
          <a:pPr lvl="0" algn="ctr" defTabSz="355600">
            <a:lnSpc>
              <a:spcPct val="90000"/>
            </a:lnSpc>
            <a:spcBef>
              <a:spcPct val="0"/>
            </a:spcBef>
            <a:spcAft>
              <a:spcPct val="35000"/>
            </a:spcAft>
          </a:pPr>
          <a:r>
            <a:rPr lang="en-US" sz="800" kern="1200"/>
            <a:t>(BE)</a:t>
          </a:r>
        </a:p>
      </dsp:txBody>
      <dsp:txXfrm>
        <a:off x="2523" y="1659555"/>
        <a:ext cx="1052705" cy="526352"/>
      </dsp:txXfrm>
    </dsp:sp>
    <dsp:sp modelId="{D234C4B1-D13D-4EDB-B085-43C552331F8D}">
      <dsp:nvSpPr>
        <dsp:cNvPr id="0" name=""/>
        <dsp:cNvSpPr/>
      </dsp:nvSpPr>
      <dsp:spPr>
        <a:xfrm>
          <a:off x="2523" y="2406976"/>
          <a:ext cx="1052705" cy="526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Comprehensive Health Financing &amp; Institutional Assessments</a:t>
          </a:r>
        </a:p>
      </dsp:txBody>
      <dsp:txXfrm>
        <a:off x="2523" y="2406976"/>
        <a:ext cx="1052705" cy="5263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0C4AB9-448F-411E-B6D3-6B42EF654B57}"/>
</file>

<file path=customXml/itemProps2.xml><?xml version="1.0" encoding="utf-8"?>
<ds:datastoreItem xmlns:ds="http://schemas.openxmlformats.org/officeDocument/2006/customXml" ds:itemID="{1D707F39-9F49-4530-ACF0-A24689D572D3}"/>
</file>

<file path=customXml/itemProps3.xml><?xml version="1.0" encoding="utf-8"?>
<ds:datastoreItem xmlns:ds="http://schemas.openxmlformats.org/officeDocument/2006/customXml" ds:itemID="{15D7D57E-92BB-4269-99E7-A3D64617109E}"/>
</file>

<file path=customXml/itemProps4.xml><?xml version="1.0" encoding="utf-8"?>
<ds:datastoreItem xmlns:ds="http://schemas.openxmlformats.org/officeDocument/2006/customXml" ds:itemID="{0833001C-DE5F-4F08-8C94-FD8C31028F35}"/>
</file>

<file path=docProps/app.xml><?xml version="1.0" encoding="utf-8"?>
<Properties xmlns="http://schemas.openxmlformats.org/officeDocument/2006/extended-properties" xmlns:vt="http://schemas.openxmlformats.org/officeDocument/2006/docPropsVTypes">
  <Template>Normal.dotm</Template>
  <TotalTime>0</TotalTime>
  <Pages>23</Pages>
  <Words>10468</Words>
  <Characters>59670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World Bank Multi-Donor Trust Fund for Integrating Donor Financed Health Programs Window 1</vt:lpstr>
    </vt:vector>
  </TitlesOfParts>
  <Company/>
  <LinksUpToDate>false</LinksUpToDate>
  <CharactersWithSpaces>69999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Bank Multi-Donor Trust Fund for Integrating Donor Financed Health Programs Window 1</dc:title>
  <dc:creator/>
  <cp:lastModifiedBy/>
  <cp:revision>1</cp:revision>
  <dcterms:created xsi:type="dcterms:W3CDTF">2017-06-13T01:02:00Z</dcterms:created>
  <dcterms:modified xsi:type="dcterms:W3CDTF">2017-06-13T01:02:00Z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fcabd649-b22e-4f8d-9c2b-852d821e8d34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1103400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