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E8ACE" w14:textId="1170162C" w:rsidR="00887FA3" w:rsidRPr="00031E7B" w:rsidRDefault="00DB6D0E" w:rsidP="00DB6D0E">
      <w:pPr>
        <w:pStyle w:val="Title"/>
        <w:spacing w:after="1440"/>
        <w:ind w:left="2694" w:right="-897"/>
      </w:pPr>
      <w:bookmarkStart w:id="0" w:name="_GoBack"/>
      <w:bookmarkEnd w:id="0"/>
      <w:r>
        <w:rPr>
          <w:lang w:val="en-AU" w:eastAsia="en-AU"/>
        </w:rPr>
        <w:drawing>
          <wp:anchor distT="0" distB="0" distL="114300" distR="114300" simplePos="0" relativeHeight="251780096" behindDoc="0" locked="0" layoutInCell="1" allowOverlap="1" wp14:anchorId="72DE0E0C" wp14:editId="223A7322">
            <wp:simplePos x="0" y="0"/>
            <wp:positionH relativeFrom="column">
              <wp:posOffset>-923925</wp:posOffset>
            </wp:positionH>
            <wp:positionV relativeFrom="paragraph">
              <wp:posOffset>300189</wp:posOffset>
            </wp:positionV>
            <wp:extent cx="7585544" cy="5064874"/>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Milne bay IMG_35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5544" cy="5064874"/>
                    </a:xfrm>
                    <a:prstGeom prst="rect">
                      <a:avLst/>
                    </a:prstGeom>
                  </pic:spPr>
                </pic:pic>
              </a:graphicData>
            </a:graphic>
            <wp14:sizeRelH relativeFrom="margin">
              <wp14:pctWidth>0</wp14:pctWidth>
            </wp14:sizeRelH>
            <wp14:sizeRelV relativeFrom="margin">
              <wp14:pctHeight>0</wp14:pctHeight>
            </wp14:sizeRelV>
          </wp:anchor>
        </w:drawing>
      </w:r>
      <w:r w:rsidR="003238BE" w:rsidRPr="00921A4C">
        <w:rPr>
          <w:lang w:val="en-AU" w:eastAsia="en-AU"/>
        </w:rPr>
        <w:drawing>
          <wp:anchor distT="0" distB="0" distL="114300" distR="114300" simplePos="0" relativeHeight="251658240" behindDoc="1" locked="0" layoutInCell="1" allowOverlap="1" wp14:anchorId="6CE3E26C" wp14:editId="7D724324">
            <wp:simplePos x="0" y="0"/>
            <wp:positionH relativeFrom="column">
              <wp:posOffset>-2806065</wp:posOffset>
            </wp:positionH>
            <wp:positionV relativeFrom="paragraph">
              <wp:posOffset>-967105</wp:posOffset>
            </wp:positionV>
            <wp:extent cx="18392604" cy="1080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Front.wmf"/>
                    <pic:cNvPicPr/>
                  </pic:nvPicPr>
                  <pic:blipFill>
                    <a:blip r:embed="rId10" cstate="print">
                      <a:extLst>
                        <a:ext uri="{28A0092B-C50C-407E-A947-70E740481C1C}">
                          <a14:useLocalDpi xmlns:a14="http://schemas.microsoft.com/office/drawing/2010/main"/>
                        </a:ext>
                      </a:extLst>
                    </a:blip>
                    <a:stretch>
                      <a:fillRect/>
                    </a:stretch>
                  </pic:blipFill>
                  <pic:spPr>
                    <a:xfrm>
                      <a:off x="0" y="0"/>
                      <a:ext cx="18392604" cy="10800000"/>
                    </a:xfrm>
                    <a:prstGeom prst="rect">
                      <a:avLst/>
                    </a:prstGeom>
                  </pic:spPr>
                </pic:pic>
              </a:graphicData>
            </a:graphic>
            <wp14:sizeRelH relativeFrom="page">
              <wp14:pctWidth>0</wp14:pctWidth>
            </wp14:sizeRelH>
            <wp14:sizeRelV relativeFrom="page">
              <wp14:pctHeight>0</wp14:pctHeight>
            </wp14:sizeRelV>
          </wp:anchor>
        </w:drawing>
      </w:r>
      <w:r w:rsidR="0088668D">
        <w:t>Working in decentralised</w:t>
      </w:r>
      <w:r w:rsidR="00B74369">
        <w:t xml:space="preserve"> </w:t>
      </w:r>
      <w:r w:rsidR="005649EE">
        <w:t xml:space="preserve">service </w:t>
      </w:r>
      <w:r w:rsidR="001A4270">
        <w:t xml:space="preserve">systems: </w:t>
      </w:r>
      <w:r w:rsidR="0088668D">
        <w:t xml:space="preserve">challenges and </w:t>
      </w:r>
      <w:r w:rsidR="00197A18">
        <w:t xml:space="preserve">choices </w:t>
      </w:r>
      <w:r w:rsidR="0088668D">
        <w:t>for the Australian aid program</w:t>
      </w:r>
    </w:p>
    <w:p w14:paraId="3F7BD3AB" w14:textId="6F15D020" w:rsidR="000D1659" w:rsidRDefault="00887FA3" w:rsidP="00DB6D0E">
      <w:pPr>
        <w:pStyle w:val="Subtitle"/>
        <w:ind w:left="2694" w:right="-624"/>
      </w:pPr>
      <w:r>
        <w:t>Office of Development Effectiveness</w:t>
      </w:r>
    </w:p>
    <w:p w14:paraId="3F5E12A9" w14:textId="4D83625B" w:rsidR="00284F00" w:rsidRDefault="00CD4AF2" w:rsidP="00284F00">
      <w:pPr>
        <w:pStyle w:val="Date"/>
        <w:ind w:left="2694" w:right="-624"/>
        <w:sectPr w:rsidR="00284F00" w:rsidSect="00E241C5">
          <w:headerReference w:type="even" r:id="rId11"/>
          <w:headerReference w:type="default" r:id="rId12"/>
          <w:footerReference w:type="even" r:id="rId13"/>
          <w:footerReference w:type="default" r:id="rId14"/>
          <w:headerReference w:type="first" r:id="rId15"/>
          <w:footerReference w:type="first" r:id="rId16"/>
          <w:endnotePr>
            <w:numFmt w:val="decimal"/>
          </w:endnotePr>
          <w:type w:val="oddPage"/>
          <w:pgSz w:w="11906" w:h="16838" w:code="9"/>
          <w:pgMar w:top="1418" w:right="1418" w:bottom="1134" w:left="1418" w:header="567" w:footer="567" w:gutter="0"/>
          <w:pgNumType w:fmt="lowerRoman"/>
          <w:cols w:space="720"/>
          <w:titlePg/>
        </w:sectPr>
      </w:pPr>
      <w:r>
        <w:t>January</w:t>
      </w:r>
      <w:r w:rsidR="002C0C9F">
        <w:t xml:space="preserve"> </w:t>
      </w:r>
      <w:r w:rsidR="00887FA3">
        <w:t>201</w:t>
      </w:r>
      <w:r>
        <w:t>5</w:t>
      </w:r>
    </w:p>
    <w:p w14:paraId="16FEC493" w14:textId="77777777" w:rsidR="00D75AC5" w:rsidRDefault="00D75AC5" w:rsidP="00D75AC5">
      <w:pPr>
        <w:pStyle w:val="ImprintText"/>
      </w:pPr>
      <w:r w:rsidRPr="002D0691">
        <w:lastRenderedPageBreak/>
        <w:t xml:space="preserve">© Commonwealth of </w:t>
      </w:r>
      <w:r w:rsidRPr="00C16F3E">
        <w:t xml:space="preserve">Australia </w:t>
      </w:r>
      <w:r w:rsidRPr="00B9479A">
        <w:t>2014</w:t>
      </w:r>
    </w:p>
    <w:p w14:paraId="46C7F373" w14:textId="3BC0A46C" w:rsidR="00E93D4F" w:rsidRDefault="00E93D4F" w:rsidP="00E93D4F">
      <w:pPr>
        <w:pStyle w:val="ImprintText"/>
        <w:rPr>
          <w:noProof/>
        </w:rPr>
      </w:pPr>
      <w:r w:rsidRPr="006D46DB">
        <w:rPr>
          <w:rStyle w:val="Strong"/>
        </w:rPr>
        <w:t>ISBN</w:t>
      </w:r>
      <w:r w:rsidRPr="00D0393C">
        <w:rPr>
          <w:noProof/>
        </w:rPr>
        <w:t xml:space="preserve"> </w:t>
      </w:r>
      <w:r w:rsidR="00C66F55">
        <w:rPr>
          <w:rFonts w:cs="Calibri"/>
          <w:color w:val="000000"/>
        </w:rPr>
        <w:t>978-1-74322-200-3 </w:t>
      </w:r>
      <w:r w:rsidRPr="008E7482">
        <w:rPr>
          <w:noProof/>
        </w:rPr>
        <w:t> </w:t>
      </w:r>
    </w:p>
    <w:p w14:paraId="7FD35785" w14:textId="3C25DB87" w:rsidR="00E93D4F" w:rsidRDefault="00E93D4F" w:rsidP="00E93D4F">
      <w:pPr>
        <w:pStyle w:val="ImprintText"/>
        <w:rPr>
          <w:noProof/>
        </w:rPr>
      </w:pPr>
      <w:r w:rsidRPr="0035342F">
        <w:rPr>
          <w:noProof/>
        </w:rPr>
        <w:t>With the exception of the Commonwealth Coat of Arms and where otherwise noted all material presented in this document is provided under a Creative Commons Attribution 3.0 Australia (</w:t>
      </w:r>
      <w:hyperlink r:id="rId17" w:history="1">
        <w:r w:rsidRPr="00F3023B">
          <w:rPr>
            <w:rStyle w:val="Hyperlink"/>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8" w:history="1">
        <w:r w:rsidRPr="00F3023B">
          <w:rPr>
            <w:rStyle w:val="Hyperlink"/>
            <w:noProof/>
          </w:rPr>
          <w:t>http://creativecommons.org/licenses/by/3.0/au/legalcode</w:t>
        </w:r>
      </w:hyperlink>
      <w:r w:rsidRPr="0035342F">
        <w:rPr>
          <w:noProof/>
        </w:rPr>
        <w:t xml:space="preserve">). The document must be attributed as </w:t>
      </w:r>
      <w:r w:rsidR="005340F7">
        <w:rPr>
          <w:noProof/>
        </w:rPr>
        <w:t>Working in decentralised service systems: challenges and choices for the Australian aid program</w:t>
      </w:r>
      <w:r w:rsidR="00197A18">
        <w:rPr>
          <w:rStyle w:val="Emphasis"/>
        </w:rPr>
        <w:t>s</w:t>
      </w:r>
      <w:r w:rsidR="00B92F54">
        <w:rPr>
          <w:rStyle w:val="Emphasis"/>
        </w:rPr>
        <w:t xml:space="preserve">, </w:t>
      </w:r>
      <w:r w:rsidR="00B92F54">
        <w:rPr>
          <w:noProof/>
        </w:rPr>
        <w:t>Office of Development Effectiveness, Canberra, 2014.</w:t>
      </w:r>
    </w:p>
    <w:p w14:paraId="69D173DD" w14:textId="77777777" w:rsidR="00E93D4F" w:rsidRDefault="00E93D4F" w:rsidP="00E93D4F">
      <w:pPr>
        <w:pStyle w:val="ImprintText"/>
      </w:pPr>
      <w:r>
        <w:t>Published by the Department of Foreign Affairs and Trade, Canberra</w:t>
      </w:r>
      <w:r w:rsidRPr="00C16F3E">
        <w:t xml:space="preserve">, </w:t>
      </w:r>
      <w:r w:rsidRPr="00E241C5">
        <w:t>2014</w:t>
      </w:r>
      <w:r w:rsidRPr="00C16F3E">
        <w:t>.</w:t>
      </w:r>
    </w:p>
    <w:p w14:paraId="2356CA84" w14:textId="77777777" w:rsidR="00E93D4F" w:rsidRDefault="00E93D4F" w:rsidP="00E93D4F">
      <w:pPr>
        <w:pStyle w:val="ImprintText"/>
      </w:pPr>
      <w:r>
        <w:t xml:space="preserve">This document is online at </w:t>
      </w:r>
      <w:hyperlink r:id="rId19" w:history="1">
        <w:r w:rsidRPr="00525F64">
          <w:rPr>
            <w:rStyle w:val="Hyperlink"/>
          </w:rPr>
          <w:t>www.ode.dfat.gov.au</w:t>
        </w:r>
      </w:hyperlink>
    </w:p>
    <w:p w14:paraId="53A3ECA3" w14:textId="77777777" w:rsidR="00E93D4F" w:rsidRPr="000E6E21" w:rsidRDefault="00E93D4F" w:rsidP="00E93D4F">
      <w:pPr>
        <w:pStyle w:val="ImprintText"/>
      </w:pPr>
      <w:r w:rsidRPr="004E78D0">
        <w:rPr>
          <w:rStyle w:val="Strong"/>
        </w:rPr>
        <w:t>Disclaimer</w:t>
      </w:r>
      <w:r w:rsidRPr="000E6E21">
        <w:t xml:space="preserve">: The views contained in this report do not necessarily represent those of the Australian Government. </w:t>
      </w:r>
    </w:p>
    <w:p w14:paraId="52BA1C61" w14:textId="77777777" w:rsidR="00E93D4F" w:rsidRDefault="00E93D4F" w:rsidP="00E93D4F">
      <w:pPr>
        <w:pStyle w:val="ImprintText"/>
      </w:pPr>
      <w:r>
        <w:t>For further information, contact:</w:t>
      </w:r>
    </w:p>
    <w:p w14:paraId="48DF960C" w14:textId="136395F3" w:rsidR="00E93D4F" w:rsidRPr="002D0691" w:rsidRDefault="00E93D4F" w:rsidP="00E93D4F">
      <w:pPr>
        <w:pStyle w:val="ImprintText"/>
      </w:pPr>
      <w:r>
        <w:t>Office of Development Effectiveness</w:t>
      </w:r>
      <w:r>
        <w:br/>
        <w:t xml:space="preserve">Department of Foreign Affairs and Trade </w:t>
      </w:r>
      <w:r>
        <w:br/>
        <w:t>GPO Box 887</w:t>
      </w:r>
      <w:r>
        <w:br/>
        <w:t>Canberra ACT 2601</w:t>
      </w:r>
      <w:r>
        <w:br/>
        <w:t>Phone</w:t>
      </w:r>
      <w:r>
        <w:tab/>
      </w:r>
      <w:r>
        <w:tab/>
        <w:t>(02) 6178 4000</w:t>
      </w:r>
      <w:r>
        <w:br/>
        <w:t>Facsimile</w:t>
      </w:r>
      <w:r>
        <w:tab/>
        <w:t>(02) 6178 6076</w:t>
      </w:r>
      <w:r>
        <w:br/>
        <w:t>Internet</w:t>
      </w:r>
      <w:r>
        <w:tab/>
      </w:r>
      <w:hyperlink r:id="rId20" w:history="1">
        <w:r w:rsidRPr="00F3023B">
          <w:rPr>
            <w:rStyle w:val="Hyperlink"/>
          </w:rPr>
          <w:t>www.ode.dfat.gov.au</w:t>
        </w:r>
      </w:hyperlink>
    </w:p>
    <w:p w14:paraId="448C17E9" w14:textId="77777777" w:rsidR="00D20FD9" w:rsidRDefault="00D20FD9" w:rsidP="00E93D4F">
      <w:pPr>
        <w:pStyle w:val="ImprintText"/>
      </w:pPr>
    </w:p>
    <w:p w14:paraId="4D7E1F68" w14:textId="4D02A346" w:rsidR="00D0393C" w:rsidRDefault="006406F5" w:rsidP="00E93D4F">
      <w:pPr>
        <w:pStyle w:val="ImprintText"/>
      </w:pPr>
      <w:r>
        <w:t>Authors:</w:t>
      </w:r>
    </w:p>
    <w:p w14:paraId="026DE54E" w14:textId="7B4E6284" w:rsidR="006406F5" w:rsidRDefault="006406F5" w:rsidP="00E93D4F">
      <w:pPr>
        <w:pStyle w:val="ImprintText"/>
      </w:pPr>
      <w:r>
        <w:t>Juliet Willetts, Helen Cheney, Karen Ovington, Keren Winterford</w:t>
      </w:r>
    </w:p>
    <w:p w14:paraId="7A87C9D8" w14:textId="77777777" w:rsidR="00ED51A5" w:rsidRDefault="00ED51A5" w:rsidP="00E93D4F">
      <w:pPr>
        <w:pStyle w:val="ImprintText"/>
      </w:pPr>
    </w:p>
    <w:p w14:paraId="222468D2" w14:textId="77777777" w:rsidR="00165127" w:rsidRDefault="00165127" w:rsidP="001D4D1F">
      <w:pPr>
        <w:pStyle w:val="ImprintText"/>
      </w:pPr>
    </w:p>
    <w:p w14:paraId="62CF8A5F" w14:textId="6E7C3ED3" w:rsidR="00DB6D0E" w:rsidRDefault="00DB6D0E" w:rsidP="00DB6D0E">
      <w:pPr>
        <w:pStyle w:val="Caption"/>
      </w:pPr>
      <w:r>
        <w:t xml:space="preserve">Cover </w:t>
      </w:r>
      <w:r w:rsidR="0051604C">
        <w:t>p</w:t>
      </w:r>
      <w:r>
        <w:t>hoto: Nurse working in Sidea hospital, Sidea, Milne Bay Province,</w:t>
      </w:r>
      <w:r w:rsidRPr="00382788">
        <w:t xml:space="preserve"> Papua New Guinea. </w:t>
      </w:r>
      <w:r w:rsidRPr="00382788">
        <w:rPr>
          <w:i/>
        </w:rPr>
        <w:t xml:space="preserve">Photo: </w:t>
      </w:r>
      <w:r>
        <w:rPr>
          <w:i/>
        </w:rPr>
        <w:t>Institute for Sustainable Futures,</w:t>
      </w:r>
      <w:r w:rsidRPr="0043439F">
        <w:t xml:space="preserve"> </w:t>
      </w:r>
      <w:r>
        <w:rPr>
          <w:i/>
        </w:rPr>
        <w:t>University of Technology Sydney</w:t>
      </w:r>
    </w:p>
    <w:p w14:paraId="67101B33" w14:textId="77777777" w:rsidR="00715EA4" w:rsidRPr="00BE3345" w:rsidRDefault="00D0393C" w:rsidP="00130BFF">
      <w:pPr>
        <w:pStyle w:val="BoxHeading"/>
      </w:pPr>
      <w:r w:rsidRPr="00BE3345">
        <w:t xml:space="preserve">Office of </w:t>
      </w:r>
      <w:r w:rsidR="00E92F8F" w:rsidRPr="00BE3345">
        <w:t>Development Effectiveness</w:t>
      </w:r>
    </w:p>
    <w:p w14:paraId="6FF059A7" w14:textId="77777777" w:rsidR="00E93D4F" w:rsidRPr="00BE3345" w:rsidRDefault="00E93D4F" w:rsidP="00BE3345">
      <w:pPr>
        <w:pStyle w:val="BoxText"/>
      </w:pPr>
      <w:r w:rsidRPr="00BE3345">
        <w:t xml:space="preserve">The Office of Development Effectiveness (ODE) at the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72AC4B9C" w14:textId="77777777" w:rsidR="00D0393C" w:rsidRPr="00BE3345" w:rsidRDefault="00E93D4F" w:rsidP="00BE3345">
      <w:pPr>
        <w:pStyle w:val="BoxText"/>
      </w:pPr>
      <w:r w:rsidRPr="00BE3345">
        <w:t xml:space="preserve">Visit ODE at </w:t>
      </w:r>
      <w:hyperlink r:id="rId21" w:history="1">
        <w:r w:rsidRPr="00BE3345">
          <w:rPr>
            <w:rStyle w:val="Hyperlink"/>
          </w:rPr>
          <w:t>www.ode.dfat.gov.au</w:t>
        </w:r>
      </w:hyperlink>
    </w:p>
    <w:p w14:paraId="56DD87E5" w14:textId="77777777" w:rsidR="00BE3345" w:rsidRPr="00BE3345" w:rsidRDefault="00BE3345" w:rsidP="00130BFF">
      <w:pPr>
        <w:pStyle w:val="BoxHeading"/>
      </w:pPr>
      <w:r w:rsidRPr="00BE3345">
        <w:t>Independent Evaluation Committee</w:t>
      </w:r>
    </w:p>
    <w:p w14:paraId="0BB34F82" w14:textId="77777777" w:rsidR="00BE3345" w:rsidRPr="00BE3345" w:rsidRDefault="00BE3345" w:rsidP="00BE3345">
      <w:pPr>
        <w:pStyle w:val="BoxText"/>
      </w:pPr>
      <w:r w:rsidRPr="00BE3345">
        <w:t xml:space="preserve">The Independent Evaluation Committee (IEC) was established in mid-2012 to strengthen the independence and credibility of the work of the </w:t>
      </w:r>
      <w:r>
        <w:t>ODE. It provides independent expert evaluation advice to improve ODE’s work in planning, commissioning, managing and delivering a high-quality evaluation program.</w:t>
      </w:r>
    </w:p>
    <w:p w14:paraId="78FDF69B" w14:textId="77777777" w:rsidR="00715EA4" w:rsidRDefault="00715EA4" w:rsidP="001D4D1F">
      <w:pPr>
        <w:pStyle w:val="ImprintText"/>
      </w:pPr>
    </w:p>
    <w:p w14:paraId="41EA83FB" w14:textId="77777777" w:rsidR="00715EA4" w:rsidRDefault="00715EA4" w:rsidP="001D4D1F">
      <w:pPr>
        <w:pStyle w:val="ImprintText"/>
        <w:sectPr w:rsidR="00715EA4" w:rsidSect="00E241C5">
          <w:endnotePr>
            <w:numFmt w:val="decimal"/>
          </w:endnotePr>
          <w:pgSz w:w="11906" w:h="16838" w:code="9"/>
          <w:pgMar w:top="1418" w:right="1418" w:bottom="1134" w:left="1418" w:header="567" w:footer="567" w:gutter="0"/>
          <w:pgNumType w:fmt="lowerRoman"/>
          <w:cols w:space="720"/>
          <w:titlePg/>
        </w:sectPr>
      </w:pPr>
    </w:p>
    <w:p w14:paraId="5CD60EC5" w14:textId="77777777" w:rsidR="00F94BBA" w:rsidRDefault="00F94BBA" w:rsidP="00D75AC5">
      <w:pPr>
        <w:pStyle w:val="SectionTitle"/>
      </w:pPr>
      <w:bookmarkStart w:id="1" w:name="_Toc381953317"/>
      <w:r>
        <w:lastRenderedPageBreak/>
        <w:t>Foreword</w:t>
      </w:r>
      <w:bookmarkEnd w:id="1"/>
    </w:p>
    <w:p w14:paraId="7F526FD0" w14:textId="77777777" w:rsidR="003D7EB2" w:rsidRDefault="003D7EB2" w:rsidP="003D7EB2">
      <w:pPr>
        <w:spacing w:line="276" w:lineRule="auto"/>
        <w:rPr>
          <w:szCs w:val="21"/>
        </w:rPr>
      </w:pPr>
      <w:r w:rsidRPr="007173B6">
        <w:rPr>
          <w:szCs w:val="21"/>
        </w:rPr>
        <w:t xml:space="preserve">Public services have been decentralised in most countries where Australia provides aid. </w:t>
      </w:r>
      <w:r>
        <w:rPr>
          <w:szCs w:val="21"/>
        </w:rPr>
        <w:t>This means Australia, like other donors, must be willing and able to engage effectively with developing country governments at all levels to improve service delivery. To ensure sustainable improvements, this engagement should carefully coordinate support for governance reforms with assistance to strengthen or expand service delivery systems.</w:t>
      </w:r>
    </w:p>
    <w:p w14:paraId="29EE3D70" w14:textId="77777777" w:rsidR="003D7EB2" w:rsidRDefault="003D7EB2" w:rsidP="003D7EB2">
      <w:pPr>
        <w:spacing w:line="276" w:lineRule="auto"/>
        <w:rPr>
          <w:szCs w:val="21"/>
        </w:rPr>
      </w:pPr>
      <w:r w:rsidRPr="007173B6">
        <w:rPr>
          <w:szCs w:val="21"/>
        </w:rPr>
        <w:t>As the World Bank has observed,</w:t>
      </w:r>
      <w:r>
        <w:rPr>
          <w:szCs w:val="21"/>
        </w:rPr>
        <w:t xml:space="preserve"> done well, </w:t>
      </w:r>
      <w:r w:rsidRPr="007173B6">
        <w:rPr>
          <w:szCs w:val="21"/>
        </w:rPr>
        <w:t>decentralisation</w:t>
      </w:r>
      <w:r>
        <w:rPr>
          <w:szCs w:val="21"/>
        </w:rPr>
        <w:t xml:space="preserve"> </w:t>
      </w:r>
      <w:r w:rsidRPr="007173B6">
        <w:rPr>
          <w:szCs w:val="21"/>
        </w:rPr>
        <w:t xml:space="preserve">can result in more efficient and effective services </w:t>
      </w:r>
      <w:r>
        <w:rPr>
          <w:szCs w:val="21"/>
        </w:rPr>
        <w:t>for communities. However, done poorly,</w:t>
      </w:r>
      <w:r w:rsidRPr="007173B6">
        <w:rPr>
          <w:szCs w:val="21"/>
        </w:rPr>
        <w:t xml:space="preserve"> or </w:t>
      </w:r>
      <w:r>
        <w:rPr>
          <w:szCs w:val="21"/>
        </w:rPr>
        <w:t xml:space="preserve">where the context is inappropriate, decentralisation may have negative effects. </w:t>
      </w:r>
    </w:p>
    <w:p w14:paraId="28C09CFD" w14:textId="77777777" w:rsidR="003D7EB2" w:rsidRDefault="003D7EB2" w:rsidP="003D7EB2">
      <w:pPr>
        <w:spacing w:line="276" w:lineRule="auto"/>
        <w:rPr>
          <w:szCs w:val="21"/>
        </w:rPr>
      </w:pPr>
      <w:r>
        <w:rPr>
          <w:szCs w:val="21"/>
        </w:rPr>
        <w:t>This evaluation builds on ODE’s 2009 evaluation of Australian aid for service delivery. It answers important questions about whether Australian aid has appropriately considered the role of subnational authorities, including specific issues identified in 2009. It assesses how well Australian aid has addressed the challenges of decentralisation, with a focus on the major sectors of education, health and infrastructure.</w:t>
      </w:r>
    </w:p>
    <w:p w14:paraId="1B774FFC" w14:textId="77777777" w:rsidR="003D7EB2" w:rsidRDefault="003D7EB2" w:rsidP="003D7EB2">
      <w:pPr>
        <w:spacing w:line="276" w:lineRule="auto"/>
        <w:rPr>
          <w:szCs w:val="21"/>
        </w:rPr>
      </w:pPr>
      <w:r>
        <w:rPr>
          <w:szCs w:val="21"/>
        </w:rPr>
        <w:t>This evaluation utilized a clear methodology, applied it consistently, and draws together a range of evidence to provide a balanced account of Australian aid performance. It concludes that Australian aid is beginning to respond to the challenges of supporting service delivery in decentralised contexts, but notes that results are mixed and there is room for further improvement.</w:t>
      </w:r>
    </w:p>
    <w:p w14:paraId="148B0005" w14:textId="77777777" w:rsidR="003D7EB2" w:rsidRDefault="003D7EB2" w:rsidP="003D7EB2">
      <w:pPr>
        <w:spacing w:line="276" w:lineRule="auto"/>
        <w:rPr>
          <w:szCs w:val="21"/>
        </w:rPr>
      </w:pPr>
      <w:r>
        <w:rPr>
          <w:szCs w:val="21"/>
        </w:rPr>
        <w:t>The evaluation suggests Australia needs to improve its country-level analysis, program planning and design to better address decentralisation. In particular, there is a need to carefully assess short-term service delivery needs against long-term structures and incentives for governments to achieve sustainable service delivery and meet sovereign responsibilities. Australia needs to get the right balance of engagement with different levels of government, and appropriately address both supply and demand aspects of service delivery, especially to improve equity.</w:t>
      </w:r>
    </w:p>
    <w:p w14:paraId="30CD97C9" w14:textId="77777777" w:rsidR="003D7EB2" w:rsidRDefault="003D7EB2" w:rsidP="003D7EB2">
      <w:pPr>
        <w:spacing w:line="276" w:lineRule="auto"/>
        <w:rPr>
          <w:szCs w:val="21"/>
        </w:rPr>
      </w:pPr>
      <w:r>
        <w:rPr>
          <w:szCs w:val="21"/>
        </w:rPr>
        <w:t>I am pleased to see the improvements in Australian aid approaches to decentralisation since 2009, and look forward to seeing further progress in response to the findings and recommendations of this evaluation.</w:t>
      </w:r>
    </w:p>
    <w:p w14:paraId="5A44D249" w14:textId="5304C278" w:rsidR="003D7EB2" w:rsidRDefault="003D7EB2" w:rsidP="003D7EB2">
      <w:pPr>
        <w:spacing w:line="276" w:lineRule="auto"/>
        <w:rPr>
          <w:noProof/>
          <w:szCs w:val="21"/>
        </w:rPr>
      </w:pPr>
    </w:p>
    <w:p w14:paraId="78A56575" w14:textId="77777777" w:rsidR="00D87471" w:rsidRDefault="00D87471" w:rsidP="003D7EB2">
      <w:pPr>
        <w:spacing w:line="276" w:lineRule="auto"/>
        <w:rPr>
          <w:szCs w:val="21"/>
        </w:rPr>
      </w:pPr>
    </w:p>
    <w:p w14:paraId="65CE2AA4" w14:textId="77777777" w:rsidR="003D7EB2" w:rsidRPr="00C6174D" w:rsidRDefault="003D7EB2" w:rsidP="003D7EB2">
      <w:pPr>
        <w:spacing w:line="276" w:lineRule="auto"/>
        <w:rPr>
          <w:szCs w:val="21"/>
        </w:rPr>
      </w:pPr>
      <w:r>
        <w:rPr>
          <w:szCs w:val="21"/>
        </w:rPr>
        <w:t>J</w:t>
      </w:r>
      <w:r w:rsidRPr="00C6174D">
        <w:rPr>
          <w:szCs w:val="21"/>
        </w:rPr>
        <w:t>im Adams</w:t>
      </w:r>
    </w:p>
    <w:p w14:paraId="3146B57D" w14:textId="77777777" w:rsidR="003D7EB2" w:rsidRPr="007173B6" w:rsidRDefault="003D7EB2" w:rsidP="003D7EB2">
      <w:pPr>
        <w:spacing w:line="276" w:lineRule="auto"/>
        <w:rPr>
          <w:szCs w:val="21"/>
        </w:rPr>
      </w:pPr>
      <w:r w:rsidRPr="00C6174D">
        <w:rPr>
          <w:szCs w:val="21"/>
        </w:rPr>
        <w:t>Chair, Independent Evaluation Committee</w:t>
      </w:r>
    </w:p>
    <w:p w14:paraId="63E5F59F" w14:textId="77777777" w:rsidR="00D20FD9" w:rsidRDefault="0048295D" w:rsidP="00640ECB">
      <w:pPr>
        <w:pStyle w:val="SectionTitle"/>
      </w:pPr>
      <w:bookmarkStart w:id="2" w:name="_Toc381953318"/>
      <w:r>
        <w:t>Contents</w:t>
      </w:r>
      <w:r w:rsidR="00C15DB3">
        <w:t xml:space="preserve"> </w:t>
      </w:r>
      <w:bookmarkEnd w:id="2"/>
    </w:p>
    <w:p w14:paraId="2021CE9B" w14:textId="77777777" w:rsidR="003B5F1B" w:rsidRDefault="00640ECB">
      <w:pPr>
        <w:pStyle w:val="TOC1"/>
        <w:rPr>
          <w:rFonts w:asciiTheme="minorHAnsi" w:eastAsiaTheme="minorEastAsia" w:hAnsiTheme="minorHAnsi" w:cstheme="minorBidi"/>
          <w:bCs w:val="0"/>
          <w:color w:val="auto"/>
          <w:sz w:val="22"/>
          <w:szCs w:val="22"/>
        </w:rPr>
      </w:pPr>
      <w:r>
        <w:fldChar w:fldCharType="begin"/>
      </w:r>
      <w:r>
        <w:instrText xml:space="preserve"> TOC \o "1-2" \h \z \u </w:instrText>
      </w:r>
      <w:r>
        <w:fldChar w:fldCharType="separate"/>
      </w:r>
      <w:hyperlink w:anchor="_Toc408831766" w:history="1">
        <w:r w:rsidR="003B5F1B" w:rsidRPr="00C669B0">
          <w:rPr>
            <w:rStyle w:val="Hyperlink"/>
          </w:rPr>
          <w:t>Executive summary</w:t>
        </w:r>
        <w:r w:rsidR="003B5F1B">
          <w:rPr>
            <w:webHidden/>
          </w:rPr>
          <w:tab/>
        </w:r>
        <w:r w:rsidR="003B5F1B">
          <w:rPr>
            <w:webHidden/>
          </w:rPr>
          <w:fldChar w:fldCharType="begin"/>
        </w:r>
        <w:r w:rsidR="003B5F1B">
          <w:rPr>
            <w:webHidden/>
          </w:rPr>
          <w:instrText xml:space="preserve"> PAGEREF _Toc408831766 \h </w:instrText>
        </w:r>
        <w:r w:rsidR="003B5F1B">
          <w:rPr>
            <w:webHidden/>
          </w:rPr>
        </w:r>
        <w:r w:rsidR="003B5F1B">
          <w:rPr>
            <w:webHidden/>
          </w:rPr>
          <w:fldChar w:fldCharType="separate"/>
        </w:r>
        <w:r w:rsidR="00D6764B">
          <w:rPr>
            <w:webHidden/>
          </w:rPr>
          <w:t>1</w:t>
        </w:r>
        <w:r w:rsidR="003B5F1B">
          <w:rPr>
            <w:webHidden/>
          </w:rPr>
          <w:fldChar w:fldCharType="end"/>
        </w:r>
      </w:hyperlink>
    </w:p>
    <w:p w14:paraId="4BFFE068" w14:textId="77777777" w:rsidR="003B5F1B" w:rsidRDefault="00770FF8">
      <w:pPr>
        <w:pStyle w:val="TOC1"/>
        <w:rPr>
          <w:rFonts w:asciiTheme="minorHAnsi" w:eastAsiaTheme="minorEastAsia" w:hAnsiTheme="minorHAnsi" w:cstheme="minorBidi"/>
          <w:bCs w:val="0"/>
          <w:color w:val="auto"/>
          <w:sz w:val="22"/>
          <w:szCs w:val="22"/>
        </w:rPr>
      </w:pPr>
      <w:hyperlink w:anchor="_Toc408831767" w:history="1">
        <w:r w:rsidR="003B5F1B" w:rsidRPr="00C669B0">
          <w:rPr>
            <w:rStyle w:val="Hyperlink"/>
          </w:rPr>
          <w:t>Management Response</w:t>
        </w:r>
        <w:r w:rsidR="003B5F1B">
          <w:rPr>
            <w:webHidden/>
          </w:rPr>
          <w:tab/>
        </w:r>
        <w:r w:rsidR="003B5F1B">
          <w:rPr>
            <w:webHidden/>
          </w:rPr>
          <w:fldChar w:fldCharType="begin"/>
        </w:r>
        <w:r w:rsidR="003B5F1B">
          <w:rPr>
            <w:webHidden/>
          </w:rPr>
          <w:instrText xml:space="preserve"> PAGEREF _Toc408831767 \h </w:instrText>
        </w:r>
        <w:r w:rsidR="003B5F1B">
          <w:rPr>
            <w:webHidden/>
          </w:rPr>
        </w:r>
        <w:r w:rsidR="003B5F1B">
          <w:rPr>
            <w:webHidden/>
          </w:rPr>
          <w:fldChar w:fldCharType="separate"/>
        </w:r>
        <w:r w:rsidR="00D6764B">
          <w:rPr>
            <w:webHidden/>
          </w:rPr>
          <w:t>5</w:t>
        </w:r>
        <w:r w:rsidR="003B5F1B">
          <w:rPr>
            <w:webHidden/>
          </w:rPr>
          <w:fldChar w:fldCharType="end"/>
        </w:r>
      </w:hyperlink>
    </w:p>
    <w:p w14:paraId="3250D64A" w14:textId="77777777" w:rsidR="003B5F1B" w:rsidRDefault="00770FF8">
      <w:pPr>
        <w:pStyle w:val="TOC1"/>
        <w:rPr>
          <w:rFonts w:asciiTheme="minorHAnsi" w:eastAsiaTheme="minorEastAsia" w:hAnsiTheme="minorHAnsi" w:cstheme="minorBidi"/>
          <w:bCs w:val="0"/>
          <w:color w:val="auto"/>
          <w:sz w:val="22"/>
          <w:szCs w:val="22"/>
        </w:rPr>
      </w:pPr>
      <w:hyperlink w:anchor="_Toc408831768" w:history="1">
        <w:r w:rsidR="003B5F1B" w:rsidRPr="00C669B0">
          <w:rPr>
            <w:rStyle w:val="Hyperlink"/>
          </w:rPr>
          <w:t>1</w:t>
        </w:r>
        <w:r w:rsidR="003B5F1B">
          <w:rPr>
            <w:rFonts w:asciiTheme="minorHAnsi" w:eastAsiaTheme="minorEastAsia" w:hAnsiTheme="minorHAnsi" w:cstheme="minorBidi"/>
            <w:bCs w:val="0"/>
            <w:color w:val="auto"/>
            <w:sz w:val="22"/>
            <w:szCs w:val="22"/>
          </w:rPr>
          <w:tab/>
        </w:r>
        <w:r w:rsidR="003B5F1B" w:rsidRPr="00C669B0">
          <w:rPr>
            <w:rStyle w:val="Hyperlink"/>
          </w:rPr>
          <w:t>Introduction</w:t>
        </w:r>
        <w:r w:rsidR="003B5F1B">
          <w:rPr>
            <w:webHidden/>
          </w:rPr>
          <w:tab/>
        </w:r>
        <w:r w:rsidR="003B5F1B">
          <w:rPr>
            <w:webHidden/>
          </w:rPr>
          <w:fldChar w:fldCharType="begin"/>
        </w:r>
        <w:r w:rsidR="003B5F1B">
          <w:rPr>
            <w:webHidden/>
          </w:rPr>
          <w:instrText xml:space="preserve"> PAGEREF _Toc408831768 \h </w:instrText>
        </w:r>
        <w:r w:rsidR="003B5F1B">
          <w:rPr>
            <w:webHidden/>
          </w:rPr>
        </w:r>
        <w:r w:rsidR="003B5F1B">
          <w:rPr>
            <w:webHidden/>
          </w:rPr>
          <w:fldChar w:fldCharType="separate"/>
        </w:r>
        <w:r w:rsidR="00D6764B">
          <w:rPr>
            <w:webHidden/>
          </w:rPr>
          <w:t>8</w:t>
        </w:r>
        <w:r w:rsidR="003B5F1B">
          <w:rPr>
            <w:webHidden/>
          </w:rPr>
          <w:fldChar w:fldCharType="end"/>
        </w:r>
      </w:hyperlink>
    </w:p>
    <w:p w14:paraId="6239ACEC" w14:textId="77777777" w:rsidR="003B5F1B" w:rsidRDefault="00770FF8">
      <w:pPr>
        <w:pStyle w:val="TOC2"/>
        <w:rPr>
          <w:rFonts w:asciiTheme="minorHAnsi" w:eastAsiaTheme="minorEastAsia" w:hAnsiTheme="minorHAnsi" w:cstheme="minorBidi"/>
          <w:noProof/>
          <w:sz w:val="22"/>
          <w:szCs w:val="22"/>
        </w:rPr>
      </w:pPr>
      <w:hyperlink w:anchor="_Toc408831769" w:history="1">
        <w:r w:rsidR="003B5F1B" w:rsidRPr="00C669B0">
          <w:rPr>
            <w:rStyle w:val="Hyperlink"/>
            <w:noProof/>
          </w:rPr>
          <w:t>1.1</w:t>
        </w:r>
        <w:r w:rsidR="003B5F1B">
          <w:rPr>
            <w:rFonts w:asciiTheme="minorHAnsi" w:eastAsiaTheme="minorEastAsia" w:hAnsiTheme="minorHAnsi" w:cstheme="minorBidi"/>
            <w:noProof/>
            <w:sz w:val="22"/>
            <w:szCs w:val="22"/>
          </w:rPr>
          <w:tab/>
        </w:r>
        <w:r w:rsidR="003B5F1B" w:rsidRPr="00C669B0">
          <w:rPr>
            <w:rStyle w:val="Hyperlink"/>
            <w:noProof/>
          </w:rPr>
          <w:t>Basic services and decentralisation</w:t>
        </w:r>
        <w:r w:rsidR="003B5F1B">
          <w:rPr>
            <w:noProof/>
            <w:webHidden/>
          </w:rPr>
          <w:tab/>
        </w:r>
        <w:r w:rsidR="003B5F1B">
          <w:rPr>
            <w:noProof/>
            <w:webHidden/>
          </w:rPr>
          <w:fldChar w:fldCharType="begin"/>
        </w:r>
        <w:r w:rsidR="003B5F1B">
          <w:rPr>
            <w:noProof/>
            <w:webHidden/>
          </w:rPr>
          <w:instrText xml:space="preserve"> PAGEREF _Toc408831769 \h </w:instrText>
        </w:r>
        <w:r w:rsidR="003B5F1B">
          <w:rPr>
            <w:noProof/>
            <w:webHidden/>
          </w:rPr>
        </w:r>
        <w:r w:rsidR="003B5F1B">
          <w:rPr>
            <w:noProof/>
            <w:webHidden/>
          </w:rPr>
          <w:fldChar w:fldCharType="separate"/>
        </w:r>
        <w:r w:rsidR="00D6764B">
          <w:rPr>
            <w:noProof/>
            <w:webHidden/>
          </w:rPr>
          <w:t>8</w:t>
        </w:r>
        <w:r w:rsidR="003B5F1B">
          <w:rPr>
            <w:noProof/>
            <w:webHidden/>
          </w:rPr>
          <w:fldChar w:fldCharType="end"/>
        </w:r>
      </w:hyperlink>
    </w:p>
    <w:p w14:paraId="59ABC3FB" w14:textId="77777777" w:rsidR="003B5F1B" w:rsidRDefault="00770FF8">
      <w:pPr>
        <w:pStyle w:val="TOC2"/>
        <w:rPr>
          <w:rFonts w:asciiTheme="minorHAnsi" w:eastAsiaTheme="minorEastAsia" w:hAnsiTheme="minorHAnsi" w:cstheme="minorBidi"/>
          <w:noProof/>
          <w:sz w:val="22"/>
          <w:szCs w:val="22"/>
        </w:rPr>
      </w:pPr>
      <w:hyperlink w:anchor="_Toc408831770" w:history="1">
        <w:r w:rsidR="003B5F1B" w:rsidRPr="00C669B0">
          <w:rPr>
            <w:rStyle w:val="Hyperlink"/>
            <w:noProof/>
          </w:rPr>
          <w:t>1.2</w:t>
        </w:r>
        <w:r w:rsidR="003B5F1B">
          <w:rPr>
            <w:rFonts w:asciiTheme="minorHAnsi" w:eastAsiaTheme="minorEastAsia" w:hAnsiTheme="minorHAnsi" w:cstheme="minorBidi"/>
            <w:noProof/>
            <w:sz w:val="22"/>
            <w:szCs w:val="22"/>
          </w:rPr>
          <w:tab/>
        </w:r>
        <w:r w:rsidR="003B5F1B" w:rsidRPr="00C669B0">
          <w:rPr>
            <w:rStyle w:val="Hyperlink"/>
            <w:noProof/>
          </w:rPr>
          <w:t>Supporting service systems in decentralised contexts</w:t>
        </w:r>
        <w:r w:rsidR="003B5F1B">
          <w:rPr>
            <w:noProof/>
            <w:webHidden/>
          </w:rPr>
          <w:tab/>
        </w:r>
        <w:r w:rsidR="003B5F1B">
          <w:rPr>
            <w:noProof/>
            <w:webHidden/>
          </w:rPr>
          <w:fldChar w:fldCharType="begin"/>
        </w:r>
        <w:r w:rsidR="003B5F1B">
          <w:rPr>
            <w:noProof/>
            <w:webHidden/>
          </w:rPr>
          <w:instrText xml:space="preserve"> PAGEREF _Toc408831770 \h </w:instrText>
        </w:r>
        <w:r w:rsidR="003B5F1B">
          <w:rPr>
            <w:noProof/>
            <w:webHidden/>
          </w:rPr>
        </w:r>
        <w:r w:rsidR="003B5F1B">
          <w:rPr>
            <w:noProof/>
            <w:webHidden/>
          </w:rPr>
          <w:fldChar w:fldCharType="separate"/>
        </w:r>
        <w:r w:rsidR="00D6764B">
          <w:rPr>
            <w:noProof/>
            <w:webHidden/>
          </w:rPr>
          <w:t>10</w:t>
        </w:r>
        <w:r w:rsidR="003B5F1B">
          <w:rPr>
            <w:noProof/>
            <w:webHidden/>
          </w:rPr>
          <w:fldChar w:fldCharType="end"/>
        </w:r>
      </w:hyperlink>
    </w:p>
    <w:p w14:paraId="2D8A63C1" w14:textId="77777777" w:rsidR="003B5F1B" w:rsidRDefault="00770FF8">
      <w:pPr>
        <w:pStyle w:val="TOC2"/>
        <w:rPr>
          <w:rFonts w:asciiTheme="minorHAnsi" w:eastAsiaTheme="minorEastAsia" w:hAnsiTheme="minorHAnsi" w:cstheme="minorBidi"/>
          <w:noProof/>
          <w:sz w:val="22"/>
          <w:szCs w:val="22"/>
        </w:rPr>
      </w:pPr>
      <w:hyperlink w:anchor="_Toc408831771" w:history="1">
        <w:r w:rsidR="003B5F1B" w:rsidRPr="00C669B0">
          <w:rPr>
            <w:rStyle w:val="Hyperlink"/>
            <w:noProof/>
          </w:rPr>
          <w:t>1.3</w:t>
        </w:r>
        <w:r w:rsidR="003B5F1B">
          <w:rPr>
            <w:rFonts w:asciiTheme="minorHAnsi" w:eastAsiaTheme="minorEastAsia" w:hAnsiTheme="minorHAnsi" w:cstheme="minorBidi"/>
            <w:noProof/>
            <w:sz w:val="22"/>
            <w:szCs w:val="22"/>
          </w:rPr>
          <w:tab/>
        </w:r>
        <w:r w:rsidR="003B5F1B" w:rsidRPr="00C669B0">
          <w:rPr>
            <w:rStyle w:val="Hyperlink"/>
            <w:noProof/>
          </w:rPr>
          <w:t>Policy context</w:t>
        </w:r>
        <w:r w:rsidR="003B5F1B">
          <w:rPr>
            <w:noProof/>
            <w:webHidden/>
          </w:rPr>
          <w:tab/>
        </w:r>
        <w:r w:rsidR="003B5F1B">
          <w:rPr>
            <w:noProof/>
            <w:webHidden/>
          </w:rPr>
          <w:fldChar w:fldCharType="begin"/>
        </w:r>
        <w:r w:rsidR="003B5F1B">
          <w:rPr>
            <w:noProof/>
            <w:webHidden/>
          </w:rPr>
          <w:instrText xml:space="preserve"> PAGEREF _Toc408831771 \h </w:instrText>
        </w:r>
        <w:r w:rsidR="003B5F1B">
          <w:rPr>
            <w:noProof/>
            <w:webHidden/>
          </w:rPr>
        </w:r>
        <w:r w:rsidR="003B5F1B">
          <w:rPr>
            <w:noProof/>
            <w:webHidden/>
          </w:rPr>
          <w:fldChar w:fldCharType="separate"/>
        </w:r>
        <w:r w:rsidR="00D6764B">
          <w:rPr>
            <w:noProof/>
            <w:webHidden/>
          </w:rPr>
          <w:t>11</w:t>
        </w:r>
        <w:r w:rsidR="003B5F1B">
          <w:rPr>
            <w:noProof/>
            <w:webHidden/>
          </w:rPr>
          <w:fldChar w:fldCharType="end"/>
        </w:r>
      </w:hyperlink>
    </w:p>
    <w:p w14:paraId="3121A859" w14:textId="77777777" w:rsidR="003B5F1B" w:rsidRDefault="00770FF8">
      <w:pPr>
        <w:pStyle w:val="TOC2"/>
        <w:rPr>
          <w:rFonts w:asciiTheme="minorHAnsi" w:eastAsiaTheme="minorEastAsia" w:hAnsiTheme="minorHAnsi" w:cstheme="minorBidi"/>
          <w:noProof/>
          <w:sz w:val="22"/>
          <w:szCs w:val="22"/>
        </w:rPr>
      </w:pPr>
      <w:hyperlink w:anchor="_Toc408831772" w:history="1">
        <w:r w:rsidR="003B5F1B" w:rsidRPr="00C669B0">
          <w:rPr>
            <w:rStyle w:val="Hyperlink"/>
            <w:noProof/>
          </w:rPr>
          <w:t xml:space="preserve">1.4 </w:t>
        </w:r>
        <w:r w:rsidR="003B5F1B">
          <w:rPr>
            <w:rFonts w:asciiTheme="minorHAnsi" w:eastAsiaTheme="minorEastAsia" w:hAnsiTheme="minorHAnsi" w:cstheme="minorBidi"/>
            <w:noProof/>
            <w:sz w:val="22"/>
            <w:szCs w:val="22"/>
          </w:rPr>
          <w:tab/>
        </w:r>
        <w:r w:rsidR="003B5F1B" w:rsidRPr="00C669B0">
          <w:rPr>
            <w:rStyle w:val="Hyperlink"/>
            <w:noProof/>
          </w:rPr>
          <w:t>About the evaluation</w:t>
        </w:r>
        <w:r w:rsidR="003B5F1B">
          <w:rPr>
            <w:noProof/>
            <w:webHidden/>
          </w:rPr>
          <w:tab/>
        </w:r>
        <w:r w:rsidR="003B5F1B">
          <w:rPr>
            <w:noProof/>
            <w:webHidden/>
          </w:rPr>
          <w:fldChar w:fldCharType="begin"/>
        </w:r>
        <w:r w:rsidR="003B5F1B">
          <w:rPr>
            <w:noProof/>
            <w:webHidden/>
          </w:rPr>
          <w:instrText xml:space="preserve"> PAGEREF _Toc408831772 \h </w:instrText>
        </w:r>
        <w:r w:rsidR="003B5F1B">
          <w:rPr>
            <w:noProof/>
            <w:webHidden/>
          </w:rPr>
        </w:r>
        <w:r w:rsidR="003B5F1B">
          <w:rPr>
            <w:noProof/>
            <w:webHidden/>
          </w:rPr>
          <w:fldChar w:fldCharType="separate"/>
        </w:r>
        <w:r w:rsidR="00D6764B">
          <w:rPr>
            <w:noProof/>
            <w:webHidden/>
          </w:rPr>
          <w:t>12</w:t>
        </w:r>
        <w:r w:rsidR="003B5F1B">
          <w:rPr>
            <w:noProof/>
            <w:webHidden/>
          </w:rPr>
          <w:fldChar w:fldCharType="end"/>
        </w:r>
      </w:hyperlink>
    </w:p>
    <w:p w14:paraId="734431E0" w14:textId="77777777" w:rsidR="003B5F1B" w:rsidRDefault="00770FF8">
      <w:pPr>
        <w:pStyle w:val="TOC1"/>
        <w:rPr>
          <w:rFonts w:asciiTheme="minorHAnsi" w:eastAsiaTheme="minorEastAsia" w:hAnsiTheme="minorHAnsi" w:cstheme="minorBidi"/>
          <w:bCs w:val="0"/>
          <w:color w:val="auto"/>
          <w:sz w:val="22"/>
          <w:szCs w:val="22"/>
        </w:rPr>
      </w:pPr>
      <w:hyperlink w:anchor="_Toc408831773" w:history="1">
        <w:r w:rsidR="003B5F1B" w:rsidRPr="00C669B0">
          <w:rPr>
            <w:rStyle w:val="Hyperlink"/>
          </w:rPr>
          <w:t>2</w:t>
        </w:r>
        <w:r w:rsidR="003B5F1B">
          <w:rPr>
            <w:rFonts w:asciiTheme="minorHAnsi" w:eastAsiaTheme="minorEastAsia" w:hAnsiTheme="minorHAnsi" w:cstheme="minorBidi"/>
            <w:bCs w:val="0"/>
            <w:color w:val="auto"/>
            <w:sz w:val="22"/>
            <w:szCs w:val="22"/>
          </w:rPr>
          <w:tab/>
        </w:r>
        <w:r w:rsidR="003B5F1B" w:rsidRPr="00C669B0">
          <w:rPr>
            <w:rStyle w:val="Hyperlink"/>
          </w:rPr>
          <w:t>Lessons from the health sector</w:t>
        </w:r>
        <w:r w:rsidR="003B5F1B">
          <w:rPr>
            <w:webHidden/>
          </w:rPr>
          <w:tab/>
        </w:r>
        <w:r w:rsidR="003B5F1B">
          <w:rPr>
            <w:webHidden/>
          </w:rPr>
          <w:fldChar w:fldCharType="begin"/>
        </w:r>
        <w:r w:rsidR="003B5F1B">
          <w:rPr>
            <w:webHidden/>
          </w:rPr>
          <w:instrText xml:space="preserve"> PAGEREF _Toc408831773 \h </w:instrText>
        </w:r>
        <w:r w:rsidR="003B5F1B">
          <w:rPr>
            <w:webHidden/>
          </w:rPr>
        </w:r>
        <w:r w:rsidR="003B5F1B">
          <w:rPr>
            <w:webHidden/>
          </w:rPr>
          <w:fldChar w:fldCharType="separate"/>
        </w:r>
        <w:r w:rsidR="00D6764B">
          <w:rPr>
            <w:webHidden/>
          </w:rPr>
          <w:t>17</w:t>
        </w:r>
        <w:r w:rsidR="003B5F1B">
          <w:rPr>
            <w:webHidden/>
          </w:rPr>
          <w:fldChar w:fldCharType="end"/>
        </w:r>
      </w:hyperlink>
    </w:p>
    <w:p w14:paraId="1A3A4C86" w14:textId="77777777" w:rsidR="003B5F1B" w:rsidRDefault="00770FF8">
      <w:pPr>
        <w:pStyle w:val="TOC2"/>
        <w:rPr>
          <w:rFonts w:asciiTheme="minorHAnsi" w:eastAsiaTheme="minorEastAsia" w:hAnsiTheme="minorHAnsi" w:cstheme="minorBidi"/>
          <w:noProof/>
          <w:sz w:val="22"/>
          <w:szCs w:val="22"/>
        </w:rPr>
      </w:pPr>
      <w:hyperlink w:anchor="_Toc408831774" w:history="1">
        <w:r w:rsidR="003B5F1B" w:rsidRPr="00C669B0">
          <w:rPr>
            <w:rStyle w:val="Hyperlink"/>
            <w:noProof/>
          </w:rPr>
          <w:t>2.1</w:t>
        </w:r>
        <w:r w:rsidR="003B5F1B">
          <w:rPr>
            <w:rFonts w:asciiTheme="minorHAnsi" w:eastAsiaTheme="minorEastAsia" w:hAnsiTheme="minorHAnsi" w:cstheme="minorBidi"/>
            <w:noProof/>
            <w:sz w:val="22"/>
            <w:szCs w:val="22"/>
          </w:rPr>
          <w:tab/>
        </w:r>
        <w:r w:rsidR="003B5F1B" w:rsidRPr="00C669B0">
          <w:rPr>
            <w:rStyle w:val="Hyperlink"/>
            <w:noProof/>
          </w:rPr>
          <w:t>Health services and decentralisation</w:t>
        </w:r>
        <w:r w:rsidR="003B5F1B">
          <w:rPr>
            <w:noProof/>
            <w:webHidden/>
          </w:rPr>
          <w:tab/>
        </w:r>
        <w:r w:rsidR="003B5F1B">
          <w:rPr>
            <w:noProof/>
            <w:webHidden/>
          </w:rPr>
          <w:fldChar w:fldCharType="begin"/>
        </w:r>
        <w:r w:rsidR="003B5F1B">
          <w:rPr>
            <w:noProof/>
            <w:webHidden/>
          </w:rPr>
          <w:instrText xml:space="preserve"> PAGEREF _Toc408831774 \h </w:instrText>
        </w:r>
        <w:r w:rsidR="003B5F1B">
          <w:rPr>
            <w:noProof/>
            <w:webHidden/>
          </w:rPr>
        </w:r>
        <w:r w:rsidR="003B5F1B">
          <w:rPr>
            <w:noProof/>
            <w:webHidden/>
          </w:rPr>
          <w:fldChar w:fldCharType="separate"/>
        </w:r>
        <w:r w:rsidR="00D6764B">
          <w:rPr>
            <w:noProof/>
            <w:webHidden/>
          </w:rPr>
          <w:t>17</w:t>
        </w:r>
        <w:r w:rsidR="003B5F1B">
          <w:rPr>
            <w:noProof/>
            <w:webHidden/>
          </w:rPr>
          <w:fldChar w:fldCharType="end"/>
        </w:r>
      </w:hyperlink>
    </w:p>
    <w:p w14:paraId="499664C1" w14:textId="77777777" w:rsidR="003B5F1B" w:rsidRDefault="00770FF8">
      <w:pPr>
        <w:pStyle w:val="TOC2"/>
        <w:rPr>
          <w:rFonts w:asciiTheme="minorHAnsi" w:eastAsiaTheme="minorEastAsia" w:hAnsiTheme="minorHAnsi" w:cstheme="minorBidi"/>
          <w:noProof/>
          <w:sz w:val="22"/>
          <w:szCs w:val="22"/>
        </w:rPr>
      </w:pPr>
      <w:hyperlink w:anchor="_Toc408831775" w:history="1">
        <w:r w:rsidR="003B5F1B" w:rsidRPr="00C669B0">
          <w:rPr>
            <w:rStyle w:val="Hyperlink"/>
            <w:noProof/>
          </w:rPr>
          <w:t>2.2</w:t>
        </w:r>
        <w:r w:rsidR="003B5F1B">
          <w:rPr>
            <w:rFonts w:asciiTheme="minorHAnsi" w:eastAsiaTheme="minorEastAsia" w:hAnsiTheme="minorHAnsi" w:cstheme="minorBidi"/>
            <w:noProof/>
            <w:sz w:val="22"/>
            <w:szCs w:val="22"/>
          </w:rPr>
          <w:tab/>
        </w:r>
        <w:r w:rsidR="003B5F1B" w:rsidRPr="00C669B0">
          <w:rPr>
            <w:rStyle w:val="Hyperlink"/>
            <w:noProof/>
          </w:rPr>
          <w:t>Australian health sector support</w:t>
        </w:r>
        <w:r w:rsidR="003B5F1B">
          <w:rPr>
            <w:noProof/>
            <w:webHidden/>
          </w:rPr>
          <w:tab/>
        </w:r>
        <w:r w:rsidR="003B5F1B">
          <w:rPr>
            <w:noProof/>
            <w:webHidden/>
          </w:rPr>
          <w:fldChar w:fldCharType="begin"/>
        </w:r>
        <w:r w:rsidR="003B5F1B">
          <w:rPr>
            <w:noProof/>
            <w:webHidden/>
          </w:rPr>
          <w:instrText xml:space="preserve"> PAGEREF _Toc408831775 \h </w:instrText>
        </w:r>
        <w:r w:rsidR="003B5F1B">
          <w:rPr>
            <w:noProof/>
            <w:webHidden/>
          </w:rPr>
        </w:r>
        <w:r w:rsidR="003B5F1B">
          <w:rPr>
            <w:noProof/>
            <w:webHidden/>
          </w:rPr>
          <w:fldChar w:fldCharType="separate"/>
        </w:r>
        <w:r w:rsidR="00D6764B">
          <w:rPr>
            <w:noProof/>
            <w:webHidden/>
          </w:rPr>
          <w:t>18</w:t>
        </w:r>
        <w:r w:rsidR="003B5F1B">
          <w:rPr>
            <w:noProof/>
            <w:webHidden/>
          </w:rPr>
          <w:fldChar w:fldCharType="end"/>
        </w:r>
      </w:hyperlink>
    </w:p>
    <w:p w14:paraId="29A4232C" w14:textId="77777777" w:rsidR="003B5F1B" w:rsidRDefault="00770FF8">
      <w:pPr>
        <w:pStyle w:val="TOC2"/>
        <w:rPr>
          <w:rFonts w:asciiTheme="minorHAnsi" w:eastAsiaTheme="minorEastAsia" w:hAnsiTheme="minorHAnsi" w:cstheme="minorBidi"/>
          <w:noProof/>
          <w:sz w:val="22"/>
          <w:szCs w:val="22"/>
        </w:rPr>
      </w:pPr>
      <w:hyperlink w:anchor="_Toc408831776" w:history="1">
        <w:r w:rsidR="003B5F1B" w:rsidRPr="00C669B0">
          <w:rPr>
            <w:rStyle w:val="Hyperlink"/>
            <w:noProof/>
          </w:rPr>
          <w:t>2.3</w:t>
        </w:r>
        <w:r w:rsidR="003B5F1B">
          <w:rPr>
            <w:rFonts w:asciiTheme="minorHAnsi" w:eastAsiaTheme="minorEastAsia" w:hAnsiTheme="minorHAnsi" w:cstheme="minorBidi"/>
            <w:noProof/>
            <w:sz w:val="22"/>
            <w:szCs w:val="22"/>
          </w:rPr>
          <w:tab/>
        </w:r>
        <w:r w:rsidR="003B5F1B" w:rsidRPr="00C669B0">
          <w:rPr>
            <w:rStyle w:val="Hyperlink"/>
            <w:noProof/>
          </w:rPr>
          <w:t>Maternal and neonatal health program, Indonesia</w:t>
        </w:r>
        <w:r w:rsidR="003B5F1B">
          <w:rPr>
            <w:noProof/>
            <w:webHidden/>
          </w:rPr>
          <w:tab/>
        </w:r>
        <w:r w:rsidR="003B5F1B">
          <w:rPr>
            <w:noProof/>
            <w:webHidden/>
          </w:rPr>
          <w:fldChar w:fldCharType="begin"/>
        </w:r>
        <w:r w:rsidR="003B5F1B">
          <w:rPr>
            <w:noProof/>
            <w:webHidden/>
          </w:rPr>
          <w:instrText xml:space="preserve"> PAGEREF _Toc408831776 \h </w:instrText>
        </w:r>
        <w:r w:rsidR="003B5F1B">
          <w:rPr>
            <w:noProof/>
            <w:webHidden/>
          </w:rPr>
        </w:r>
        <w:r w:rsidR="003B5F1B">
          <w:rPr>
            <w:noProof/>
            <w:webHidden/>
          </w:rPr>
          <w:fldChar w:fldCharType="separate"/>
        </w:r>
        <w:r w:rsidR="00D6764B">
          <w:rPr>
            <w:noProof/>
            <w:webHidden/>
          </w:rPr>
          <w:t>19</w:t>
        </w:r>
        <w:r w:rsidR="003B5F1B">
          <w:rPr>
            <w:noProof/>
            <w:webHidden/>
          </w:rPr>
          <w:fldChar w:fldCharType="end"/>
        </w:r>
      </w:hyperlink>
    </w:p>
    <w:p w14:paraId="18E60768" w14:textId="77777777" w:rsidR="003B5F1B" w:rsidRDefault="00770FF8">
      <w:pPr>
        <w:pStyle w:val="TOC2"/>
        <w:rPr>
          <w:rFonts w:asciiTheme="minorHAnsi" w:eastAsiaTheme="minorEastAsia" w:hAnsiTheme="minorHAnsi" w:cstheme="minorBidi"/>
          <w:noProof/>
          <w:sz w:val="22"/>
          <w:szCs w:val="22"/>
        </w:rPr>
      </w:pPr>
      <w:hyperlink w:anchor="_Toc408831777" w:history="1">
        <w:r w:rsidR="003B5F1B" w:rsidRPr="00C669B0">
          <w:rPr>
            <w:rStyle w:val="Hyperlink"/>
            <w:noProof/>
          </w:rPr>
          <w:t>2.4</w:t>
        </w:r>
        <w:r w:rsidR="003B5F1B">
          <w:rPr>
            <w:rFonts w:asciiTheme="minorHAnsi" w:eastAsiaTheme="minorEastAsia" w:hAnsiTheme="minorHAnsi" w:cstheme="minorBidi"/>
            <w:noProof/>
            <w:sz w:val="22"/>
            <w:szCs w:val="22"/>
          </w:rPr>
          <w:tab/>
        </w:r>
        <w:r w:rsidR="003B5F1B" w:rsidRPr="00C669B0">
          <w:rPr>
            <w:rStyle w:val="Hyperlink"/>
            <w:noProof/>
          </w:rPr>
          <w:t>Support to provincial health authorities in PNG</w:t>
        </w:r>
        <w:r w:rsidR="003B5F1B">
          <w:rPr>
            <w:noProof/>
            <w:webHidden/>
          </w:rPr>
          <w:tab/>
        </w:r>
        <w:r w:rsidR="003B5F1B">
          <w:rPr>
            <w:noProof/>
            <w:webHidden/>
          </w:rPr>
          <w:fldChar w:fldCharType="begin"/>
        </w:r>
        <w:r w:rsidR="003B5F1B">
          <w:rPr>
            <w:noProof/>
            <w:webHidden/>
          </w:rPr>
          <w:instrText xml:space="preserve"> PAGEREF _Toc408831777 \h </w:instrText>
        </w:r>
        <w:r w:rsidR="003B5F1B">
          <w:rPr>
            <w:noProof/>
            <w:webHidden/>
          </w:rPr>
        </w:r>
        <w:r w:rsidR="003B5F1B">
          <w:rPr>
            <w:noProof/>
            <w:webHidden/>
          </w:rPr>
          <w:fldChar w:fldCharType="separate"/>
        </w:r>
        <w:r w:rsidR="00D6764B">
          <w:rPr>
            <w:noProof/>
            <w:webHidden/>
          </w:rPr>
          <w:t>23</w:t>
        </w:r>
        <w:r w:rsidR="003B5F1B">
          <w:rPr>
            <w:noProof/>
            <w:webHidden/>
          </w:rPr>
          <w:fldChar w:fldCharType="end"/>
        </w:r>
      </w:hyperlink>
    </w:p>
    <w:p w14:paraId="4BB6F201" w14:textId="77777777" w:rsidR="003B5F1B" w:rsidRDefault="00770FF8">
      <w:pPr>
        <w:pStyle w:val="TOC1"/>
        <w:rPr>
          <w:rFonts w:asciiTheme="minorHAnsi" w:eastAsiaTheme="minorEastAsia" w:hAnsiTheme="minorHAnsi" w:cstheme="minorBidi"/>
          <w:bCs w:val="0"/>
          <w:color w:val="auto"/>
          <w:sz w:val="22"/>
          <w:szCs w:val="22"/>
        </w:rPr>
      </w:pPr>
      <w:hyperlink w:anchor="_Toc408831778" w:history="1">
        <w:r w:rsidR="003B5F1B" w:rsidRPr="00C669B0">
          <w:rPr>
            <w:rStyle w:val="Hyperlink"/>
          </w:rPr>
          <w:t>3</w:t>
        </w:r>
        <w:r w:rsidR="003B5F1B">
          <w:rPr>
            <w:rFonts w:asciiTheme="minorHAnsi" w:eastAsiaTheme="minorEastAsia" w:hAnsiTheme="minorHAnsi" w:cstheme="minorBidi"/>
            <w:bCs w:val="0"/>
            <w:color w:val="auto"/>
            <w:sz w:val="22"/>
            <w:szCs w:val="22"/>
          </w:rPr>
          <w:tab/>
        </w:r>
        <w:r w:rsidR="003B5F1B" w:rsidRPr="00C669B0">
          <w:rPr>
            <w:rStyle w:val="Hyperlink"/>
          </w:rPr>
          <w:t>Lessons from the education sector</w:t>
        </w:r>
        <w:r w:rsidR="003B5F1B">
          <w:rPr>
            <w:webHidden/>
          </w:rPr>
          <w:tab/>
        </w:r>
        <w:r w:rsidR="003B5F1B">
          <w:rPr>
            <w:webHidden/>
          </w:rPr>
          <w:fldChar w:fldCharType="begin"/>
        </w:r>
        <w:r w:rsidR="003B5F1B">
          <w:rPr>
            <w:webHidden/>
          </w:rPr>
          <w:instrText xml:space="preserve"> PAGEREF _Toc408831778 \h </w:instrText>
        </w:r>
        <w:r w:rsidR="003B5F1B">
          <w:rPr>
            <w:webHidden/>
          </w:rPr>
        </w:r>
        <w:r w:rsidR="003B5F1B">
          <w:rPr>
            <w:webHidden/>
          </w:rPr>
          <w:fldChar w:fldCharType="separate"/>
        </w:r>
        <w:r w:rsidR="00D6764B">
          <w:rPr>
            <w:webHidden/>
          </w:rPr>
          <w:t>28</w:t>
        </w:r>
        <w:r w:rsidR="003B5F1B">
          <w:rPr>
            <w:webHidden/>
          </w:rPr>
          <w:fldChar w:fldCharType="end"/>
        </w:r>
      </w:hyperlink>
    </w:p>
    <w:p w14:paraId="446EE64E" w14:textId="77777777" w:rsidR="003B5F1B" w:rsidRDefault="00770FF8">
      <w:pPr>
        <w:pStyle w:val="TOC2"/>
        <w:rPr>
          <w:rFonts w:asciiTheme="minorHAnsi" w:eastAsiaTheme="minorEastAsia" w:hAnsiTheme="minorHAnsi" w:cstheme="minorBidi"/>
          <w:noProof/>
          <w:sz w:val="22"/>
          <w:szCs w:val="22"/>
        </w:rPr>
      </w:pPr>
      <w:hyperlink w:anchor="_Toc408831779" w:history="1">
        <w:r w:rsidR="003B5F1B" w:rsidRPr="00C669B0">
          <w:rPr>
            <w:rStyle w:val="Hyperlink"/>
            <w:noProof/>
          </w:rPr>
          <w:t>3.1</w:t>
        </w:r>
        <w:r w:rsidR="003B5F1B">
          <w:rPr>
            <w:rFonts w:asciiTheme="minorHAnsi" w:eastAsiaTheme="minorEastAsia" w:hAnsiTheme="minorHAnsi" w:cstheme="minorBidi"/>
            <w:noProof/>
            <w:sz w:val="22"/>
            <w:szCs w:val="22"/>
          </w:rPr>
          <w:tab/>
        </w:r>
        <w:r w:rsidR="003B5F1B" w:rsidRPr="00C669B0">
          <w:rPr>
            <w:rStyle w:val="Hyperlink"/>
            <w:noProof/>
          </w:rPr>
          <w:t>Education service delivery and decentralisation</w:t>
        </w:r>
        <w:r w:rsidR="003B5F1B">
          <w:rPr>
            <w:noProof/>
            <w:webHidden/>
          </w:rPr>
          <w:tab/>
        </w:r>
        <w:r w:rsidR="003B5F1B">
          <w:rPr>
            <w:noProof/>
            <w:webHidden/>
          </w:rPr>
          <w:fldChar w:fldCharType="begin"/>
        </w:r>
        <w:r w:rsidR="003B5F1B">
          <w:rPr>
            <w:noProof/>
            <w:webHidden/>
          </w:rPr>
          <w:instrText xml:space="preserve"> PAGEREF _Toc408831779 \h </w:instrText>
        </w:r>
        <w:r w:rsidR="003B5F1B">
          <w:rPr>
            <w:noProof/>
            <w:webHidden/>
          </w:rPr>
        </w:r>
        <w:r w:rsidR="003B5F1B">
          <w:rPr>
            <w:noProof/>
            <w:webHidden/>
          </w:rPr>
          <w:fldChar w:fldCharType="separate"/>
        </w:r>
        <w:r w:rsidR="00D6764B">
          <w:rPr>
            <w:noProof/>
            <w:webHidden/>
          </w:rPr>
          <w:t>28</w:t>
        </w:r>
        <w:r w:rsidR="003B5F1B">
          <w:rPr>
            <w:noProof/>
            <w:webHidden/>
          </w:rPr>
          <w:fldChar w:fldCharType="end"/>
        </w:r>
      </w:hyperlink>
    </w:p>
    <w:p w14:paraId="6D862549" w14:textId="77777777" w:rsidR="003B5F1B" w:rsidRDefault="00770FF8">
      <w:pPr>
        <w:pStyle w:val="TOC2"/>
        <w:rPr>
          <w:rFonts w:asciiTheme="minorHAnsi" w:eastAsiaTheme="minorEastAsia" w:hAnsiTheme="minorHAnsi" w:cstheme="minorBidi"/>
          <w:noProof/>
          <w:sz w:val="22"/>
          <w:szCs w:val="22"/>
        </w:rPr>
      </w:pPr>
      <w:hyperlink w:anchor="_Toc408831780" w:history="1">
        <w:r w:rsidR="003B5F1B" w:rsidRPr="00C669B0">
          <w:rPr>
            <w:rStyle w:val="Hyperlink"/>
            <w:noProof/>
          </w:rPr>
          <w:t>3.2</w:t>
        </w:r>
        <w:r w:rsidR="003B5F1B">
          <w:rPr>
            <w:rFonts w:asciiTheme="minorHAnsi" w:eastAsiaTheme="minorEastAsia" w:hAnsiTheme="minorHAnsi" w:cstheme="minorBidi"/>
            <w:noProof/>
            <w:sz w:val="22"/>
            <w:szCs w:val="22"/>
          </w:rPr>
          <w:tab/>
        </w:r>
        <w:r w:rsidR="003B5F1B" w:rsidRPr="00C669B0">
          <w:rPr>
            <w:rStyle w:val="Hyperlink"/>
            <w:noProof/>
          </w:rPr>
          <w:t>Australian education sector support</w:t>
        </w:r>
        <w:r w:rsidR="003B5F1B">
          <w:rPr>
            <w:noProof/>
            <w:webHidden/>
          </w:rPr>
          <w:tab/>
        </w:r>
        <w:r w:rsidR="003B5F1B">
          <w:rPr>
            <w:noProof/>
            <w:webHidden/>
          </w:rPr>
          <w:fldChar w:fldCharType="begin"/>
        </w:r>
        <w:r w:rsidR="003B5F1B">
          <w:rPr>
            <w:noProof/>
            <w:webHidden/>
          </w:rPr>
          <w:instrText xml:space="preserve"> PAGEREF _Toc408831780 \h </w:instrText>
        </w:r>
        <w:r w:rsidR="003B5F1B">
          <w:rPr>
            <w:noProof/>
            <w:webHidden/>
          </w:rPr>
        </w:r>
        <w:r w:rsidR="003B5F1B">
          <w:rPr>
            <w:noProof/>
            <w:webHidden/>
          </w:rPr>
          <w:fldChar w:fldCharType="separate"/>
        </w:r>
        <w:r w:rsidR="00D6764B">
          <w:rPr>
            <w:noProof/>
            <w:webHidden/>
          </w:rPr>
          <w:t>29</w:t>
        </w:r>
        <w:r w:rsidR="003B5F1B">
          <w:rPr>
            <w:noProof/>
            <w:webHidden/>
          </w:rPr>
          <w:fldChar w:fldCharType="end"/>
        </w:r>
      </w:hyperlink>
    </w:p>
    <w:p w14:paraId="4E515163" w14:textId="77777777" w:rsidR="003B5F1B" w:rsidRDefault="00770FF8">
      <w:pPr>
        <w:pStyle w:val="TOC2"/>
        <w:rPr>
          <w:rFonts w:asciiTheme="minorHAnsi" w:eastAsiaTheme="minorEastAsia" w:hAnsiTheme="minorHAnsi" w:cstheme="minorBidi"/>
          <w:noProof/>
          <w:sz w:val="22"/>
          <w:szCs w:val="22"/>
        </w:rPr>
      </w:pPr>
      <w:hyperlink w:anchor="_Toc408831781" w:history="1">
        <w:r w:rsidR="003B5F1B" w:rsidRPr="00C669B0">
          <w:rPr>
            <w:rStyle w:val="Hyperlink"/>
            <w:noProof/>
          </w:rPr>
          <w:t>3.3</w:t>
        </w:r>
        <w:r w:rsidR="003B5F1B">
          <w:rPr>
            <w:rFonts w:asciiTheme="minorHAnsi" w:eastAsiaTheme="minorEastAsia" w:hAnsiTheme="minorHAnsi" w:cstheme="minorBidi"/>
            <w:noProof/>
            <w:sz w:val="22"/>
            <w:szCs w:val="22"/>
          </w:rPr>
          <w:tab/>
        </w:r>
        <w:r w:rsidR="003B5F1B" w:rsidRPr="00C669B0">
          <w:rPr>
            <w:rStyle w:val="Hyperlink"/>
            <w:noProof/>
          </w:rPr>
          <w:t>School infrastructure, PNG</w:t>
        </w:r>
        <w:r w:rsidR="003B5F1B">
          <w:rPr>
            <w:noProof/>
            <w:webHidden/>
          </w:rPr>
          <w:tab/>
        </w:r>
        <w:r w:rsidR="003B5F1B">
          <w:rPr>
            <w:noProof/>
            <w:webHidden/>
          </w:rPr>
          <w:fldChar w:fldCharType="begin"/>
        </w:r>
        <w:r w:rsidR="003B5F1B">
          <w:rPr>
            <w:noProof/>
            <w:webHidden/>
          </w:rPr>
          <w:instrText xml:space="preserve"> PAGEREF _Toc408831781 \h </w:instrText>
        </w:r>
        <w:r w:rsidR="003B5F1B">
          <w:rPr>
            <w:noProof/>
            <w:webHidden/>
          </w:rPr>
        </w:r>
        <w:r w:rsidR="003B5F1B">
          <w:rPr>
            <w:noProof/>
            <w:webHidden/>
          </w:rPr>
          <w:fldChar w:fldCharType="separate"/>
        </w:r>
        <w:r w:rsidR="00D6764B">
          <w:rPr>
            <w:noProof/>
            <w:webHidden/>
          </w:rPr>
          <w:t>30</w:t>
        </w:r>
        <w:r w:rsidR="003B5F1B">
          <w:rPr>
            <w:noProof/>
            <w:webHidden/>
          </w:rPr>
          <w:fldChar w:fldCharType="end"/>
        </w:r>
      </w:hyperlink>
    </w:p>
    <w:p w14:paraId="20AC2426" w14:textId="77777777" w:rsidR="003B5F1B" w:rsidRDefault="00770FF8">
      <w:pPr>
        <w:pStyle w:val="TOC2"/>
        <w:rPr>
          <w:rFonts w:asciiTheme="minorHAnsi" w:eastAsiaTheme="minorEastAsia" w:hAnsiTheme="minorHAnsi" w:cstheme="minorBidi"/>
          <w:noProof/>
          <w:sz w:val="22"/>
          <w:szCs w:val="22"/>
        </w:rPr>
      </w:pPr>
      <w:hyperlink w:anchor="_Toc408831782" w:history="1">
        <w:r w:rsidR="003B5F1B" w:rsidRPr="00C669B0">
          <w:rPr>
            <w:rStyle w:val="Hyperlink"/>
            <w:noProof/>
          </w:rPr>
          <w:t>3.4</w:t>
        </w:r>
        <w:r w:rsidR="003B5F1B">
          <w:rPr>
            <w:rFonts w:asciiTheme="minorHAnsi" w:eastAsiaTheme="minorEastAsia" w:hAnsiTheme="minorHAnsi" w:cstheme="minorBidi"/>
            <w:noProof/>
            <w:sz w:val="22"/>
            <w:szCs w:val="22"/>
          </w:rPr>
          <w:tab/>
        </w:r>
        <w:r w:rsidR="003B5F1B" w:rsidRPr="00C669B0">
          <w:rPr>
            <w:rStyle w:val="Hyperlink"/>
            <w:noProof/>
          </w:rPr>
          <w:t>Basic education in the Visayas, Philippines</w:t>
        </w:r>
        <w:r w:rsidR="003B5F1B">
          <w:rPr>
            <w:noProof/>
            <w:webHidden/>
          </w:rPr>
          <w:tab/>
        </w:r>
        <w:r w:rsidR="003B5F1B">
          <w:rPr>
            <w:noProof/>
            <w:webHidden/>
          </w:rPr>
          <w:fldChar w:fldCharType="begin"/>
        </w:r>
        <w:r w:rsidR="003B5F1B">
          <w:rPr>
            <w:noProof/>
            <w:webHidden/>
          </w:rPr>
          <w:instrText xml:space="preserve"> PAGEREF _Toc408831782 \h </w:instrText>
        </w:r>
        <w:r w:rsidR="003B5F1B">
          <w:rPr>
            <w:noProof/>
            <w:webHidden/>
          </w:rPr>
        </w:r>
        <w:r w:rsidR="003B5F1B">
          <w:rPr>
            <w:noProof/>
            <w:webHidden/>
          </w:rPr>
          <w:fldChar w:fldCharType="separate"/>
        </w:r>
        <w:r w:rsidR="00D6764B">
          <w:rPr>
            <w:noProof/>
            <w:webHidden/>
          </w:rPr>
          <w:t>36</w:t>
        </w:r>
        <w:r w:rsidR="003B5F1B">
          <w:rPr>
            <w:noProof/>
            <w:webHidden/>
          </w:rPr>
          <w:fldChar w:fldCharType="end"/>
        </w:r>
      </w:hyperlink>
    </w:p>
    <w:p w14:paraId="06F38FD6" w14:textId="77777777" w:rsidR="003B5F1B" w:rsidRDefault="00770FF8">
      <w:pPr>
        <w:pStyle w:val="TOC1"/>
        <w:rPr>
          <w:rFonts w:asciiTheme="minorHAnsi" w:eastAsiaTheme="minorEastAsia" w:hAnsiTheme="minorHAnsi" w:cstheme="minorBidi"/>
          <w:bCs w:val="0"/>
          <w:color w:val="auto"/>
          <w:sz w:val="22"/>
          <w:szCs w:val="22"/>
        </w:rPr>
      </w:pPr>
      <w:hyperlink w:anchor="_Toc408831783" w:history="1">
        <w:r w:rsidR="003B5F1B" w:rsidRPr="00C669B0">
          <w:rPr>
            <w:rStyle w:val="Hyperlink"/>
          </w:rPr>
          <w:t>4</w:t>
        </w:r>
        <w:r w:rsidR="003B5F1B">
          <w:rPr>
            <w:rFonts w:asciiTheme="minorHAnsi" w:eastAsiaTheme="minorEastAsia" w:hAnsiTheme="minorHAnsi" w:cstheme="minorBidi"/>
            <w:bCs w:val="0"/>
            <w:color w:val="auto"/>
            <w:sz w:val="22"/>
            <w:szCs w:val="22"/>
          </w:rPr>
          <w:tab/>
        </w:r>
        <w:r w:rsidR="003B5F1B" w:rsidRPr="00C669B0">
          <w:rPr>
            <w:rStyle w:val="Hyperlink"/>
          </w:rPr>
          <w:t>Lessons from the infrastructure sector</w:t>
        </w:r>
        <w:r w:rsidR="003B5F1B">
          <w:rPr>
            <w:webHidden/>
          </w:rPr>
          <w:tab/>
        </w:r>
        <w:r w:rsidR="003B5F1B">
          <w:rPr>
            <w:webHidden/>
          </w:rPr>
          <w:fldChar w:fldCharType="begin"/>
        </w:r>
        <w:r w:rsidR="003B5F1B">
          <w:rPr>
            <w:webHidden/>
          </w:rPr>
          <w:instrText xml:space="preserve"> PAGEREF _Toc408831783 \h </w:instrText>
        </w:r>
        <w:r w:rsidR="003B5F1B">
          <w:rPr>
            <w:webHidden/>
          </w:rPr>
        </w:r>
        <w:r w:rsidR="003B5F1B">
          <w:rPr>
            <w:webHidden/>
          </w:rPr>
          <w:fldChar w:fldCharType="separate"/>
        </w:r>
        <w:r w:rsidR="00D6764B">
          <w:rPr>
            <w:webHidden/>
          </w:rPr>
          <w:t>40</w:t>
        </w:r>
        <w:r w:rsidR="003B5F1B">
          <w:rPr>
            <w:webHidden/>
          </w:rPr>
          <w:fldChar w:fldCharType="end"/>
        </w:r>
      </w:hyperlink>
    </w:p>
    <w:p w14:paraId="48E1C9E7" w14:textId="77777777" w:rsidR="003B5F1B" w:rsidRDefault="00770FF8">
      <w:pPr>
        <w:pStyle w:val="TOC2"/>
        <w:rPr>
          <w:rFonts w:asciiTheme="minorHAnsi" w:eastAsiaTheme="minorEastAsia" w:hAnsiTheme="minorHAnsi" w:cstheme="minorBidi"/>
          <w:noProof/>
          <w:sz w:val="22"/>
          <w:szCs w:val="22"/>
        </w:rPr>
      </w:pPr>
      <w:hyperlink w:anchor="_Toc408831784" w:history="1">
        <w:r w:rsidR="003B5F1B" w:rsidRPr="00C669B0">
          <w:rPr>
            <w:rStyle w:val="Hyperlink"/>
            <w:noProof/>
          </w:rPr>
          <w:t>4.1</w:t>
        </w:r>
        <w:r w:rsidR="003B5F1B">
          <w:rPr>
            <w:rFonts w:asciiTheme="minorHAnsi" w:eastAsiaTheme="minorEastAsia" w:hAnsiTheme="minorHAnsi" w:cstheme="minorBidi"/>
            <w:noProof/>
            <w:sz w:val="22"/>
            <w:szCs w:val="22"/>
          </w:rPr>
          <w:tab/>
        </w:r>
        <w:r w:rsidR="003B5F1B" w:rsidRPr="00C669B0">
          <w:rPr>
            <w:rStyle w:val="Hyperlink"/>
            <w:noProof/>
          </w:rPr>
          <w:t>Infrastructure service delivery and decentralisation</w:t>
        </w:r>
        <w:r w:rsidR="003B5F1B">
          <w:rPr>
            <w:noProof/>
            <w:webHidden/>
          </w:rPr>
          <w:tab/>
        </w:r>
        <w:r w:rsidR="003B5F1B">
          <w:rPr>
            <w:noProof/>
            <w:webHidden/>
          </w:rPr>
          <w:fldChar w:fldCharType="begin"/>
        </w:r>
        <w:r w:rsidR="003B5F1B">
          <w:rPr>
            <w:noProof/>
            <w:webHidden/>
          </w:rPr>
          <w:instrText xml:space="preserve"> PAGEREF _Toc408831784 \h </w:instrText>
        </w:r>
        <w:r w:rsidR="003B5F1B">
          <w:rPr>
            <w:noProof/>
            <w:webHidden/>
          </w:rPr>
        </w:r>
        <w:r w:rsidR="003B5F1B">
          <w:rPr>
            <w:noProof/>
            <w:webHidden/>
          </w:rPr>
          <w:fldChar w:fldCharType="separate"/>
        </w:r>
        <w:r w:rsidR="00D6764B">
          <w:rPr>
            <w:noProof/>
            <w:webHidden/>
          </w:rPr>
          <w:t>40</w:t>
        </w:r>
        <w:r w:rsidR="003B5F1B">
          <w:rPr>
            <w:noProof/>
            <w:webHidden/>
          </w:rPr>
          <w:fldChar w:fldCharType="end"/>
        </w:r>
      </w:hyperlink>
    </w:p>
    <w:p w14:paraId="190B6F7F" w14:textId="77777777" w:rsidR="003B5F1B" w:rsidRDefault="00770FF8">
      <w:pPr>
        <w:pStyle w:val="TOC2"/>
        <w:rPr>
          <w:rFonts w:asciiTheme="minorHAnsi" w:eastAsiaTheme="minorEastAsia" w:hAnsiTheme="minorHAnsi" w:cstheme="minorBidi"/>
          <w:noProof/>
          <w:sz w:val="22"/>
          <w:szCs w:val="22"/>
        </w:rPr>
      </w:pPr>
      <w:hyperlink w:anchor="_Toc408831785" w:history="1">
        <w:r w:rsidR="003B5F1B" w:rsidRPr="00C669B0">
          <w:rPr>
            <w:rStyle w:val="Hyperlink"/>
            <w:noProof/>
          </w:rPr>
          <w:t>4.2</w:t>
        </w:r>
        <w:r w:rsidR="003B5F1B">
          <w:rPr>
            <w:rFonts w:asciiTheme="minorHAnsi" w:eastAsiaTheme="minorEastAsia" w:hAnsiTheme="minorHAnsi" w:cstheme="minorBidi"/>
            <w:noProof/>
            <w:sz w:val="22"/>
            <w:szCs w:val="22"/>
          </w:rPr>
          <w:tab/>
        </w:r>
        <w:r w:rsidR="003B5F1B" w:rsidRPr="00C669B0">
          <w:rPr>
            <w:rStyle w:val="Hyperlink"/>
            <w:noProof/>
          </w:rPr>
          <w:t>Australian infrastructure sector support</w:t>
        </w:r>
        <w:r w:rsidR="003B5F1B">
          <w:rPr>
            <w:noProof/>
            <w:webHidden/>
          </w:rPr>
          <w:tab/>
        </w:r>
        <w:r w:rsidR="003B5F1B">
          <w:rPr>
            <w:noProof/>
            <w:webHidden/>
          </w:rPr>
          <w:fldChar w:fldCharType="begin"/>
        </w:r>
        <w:r w:rsidR="003B5F1B">
          <w:rPr>
            <w:noProof/>
            <w:webHidden/>
          </w:rPr>
          <w:instrText xml:space="preserve"> PAGEREF _Toc408831785 \h </w:instrText>
        </w:r>
        <w:r w:rsidR="003B5F1B">
          <w:rPr>
            <w:noProof/>
            <w:webHidden/>
          </w:rPr>
        </w:r>
        <w:r w:rsidR="003B5F1B">
          <w:rPr>
            <w:noProof/>
            <w:webHidden/>
          </w:rPr>
          <w:fldChar w:fldCharType="separate"/>
        </w:r>
        <w:r w:rsidR="00D6764B">
          <w:rPr>
            <w:noProof/>
            <w:webHidden/>
          </w:rPr>
          <w:t>41</w:t>
        </w:r>
        <w:r w:rsidR="003B5F1B">
          <w:rPr>
            <w:noProof/>
            <w:webHidden/>
          </w:rPr>
          <w:fldChar w:fldCharType="end"/>
        </w:r>
      </w:hyperlink>
    </w:p>
    <w:p w14:paraId="66C12709" w14:textId="77777777" w:rsidR="003B5F1B" w:rsidRDefault="00770FF8">
      <w:pPr>
        <w:pStyle w:val="TOC2"/>
        <w:rPr>
          <w:rFonts w:asciiTheme="minorHAnsi" w:eastAsiaTheme="minorEastAsia" w:hAnsiTheme="minorHAnsi" w:cstheme="minorBidi"/>
          <w:noProof/>
          <w:sz w:val="22"/>
          <w:szCs w:val="22"/>
        </w:rPr>
      </w:pPr>
      <w:hyperlink w:anchor="_Toc408831786" w:history="1">
        <w:r w:rsidR="003B5F1B" w:rsidRPr="00C669B0">
          <w:rPr>
            <w:rStyle w:val="Hyperlink"/>
            <w:noProof/>
          </w:rPr>
          <w:t>4.3</w:t>
        </w:r>
        <w:r w:rsidR="003B5F1B">
          <w:rPr>
            <w:rFonts w:asciiTheme="minorHAnsi" w:eastAsiaTheme="minorEastAsia" w:hAnsiTheme="minorHAnsi" w:cstheme="minorBidi"/>
            <w:noProof/>
            <w:sz w:val="22"/>
            <w:szCs w:val="22"/>
          </w:rPr>
          <w:tab/>
        </w:r>
        <w:r w:rsidR="003B5F1B" w:rsidRPr="00C669B0">
          <w:rPr>
            <w:rStyle w:val="Hyperlink"/>
            <w:noProof/>
          </w:rPr>
          <w:t>Water and sanitation Hibah, Indonesia</w:t>
        </w:r>
        <w:r w:rsidR="003B5F1B">
          <w:rPr>
            <w:noProof/>
            <w:webHidden/>
          </w:rPr>
          <w:tab/>
        </w:r>
        <w:r w:rsidR="003B5F1B">
          <w:rPr>
            <w:noProof/>
            <w:webHidden/>
          </w:rPr>
          <w:fldChar w:fldCharType="begin"/>
        </w:r>
        <w:r w:rsidR="003B5F1B">
          <w:rPr>
            <w:noProof/>
            <w:webHidden/>
          </w:rPr>
          <w:instrText xml:space="preserve"> PAGEREF _Toc408831786 \h </w:instrText>
        </w:r>
        <w:r w:rsidR="003B5F1B">
          <w:rPr>
            <w:noProof/>
            <w:webHidden/>
          </w:rPr>
        </w:r>
        <w:r w:rsidR="003B5F1B">
          <w:rPr>
            <w:noProof/>
            <w:webHidden/>
          </w:rPr>
          <w:fldChar w:fldCharType="separate"/>
        </w:r>
        <w:r w:rsidR="00D6764B">
          <w:rPr>
            <w:noProof/>
            <w:webHidden/>
          </w:rPr>
          <w:t>42</w:t>
        </w:r>
        <w:r w:rsidR="003B5F1B">
          <w:rPr>
            <w:noProof/>
            <w:webHidden/>
          </w:rPr>
          <w:fldChar w:fldCharType="end"/>
        </w:r>
      </w:hyperlink>
    </w:p>
    <w:p w14:paraId="1B03848D" w14:textId="77777777" w:rsidR="003B5F1B" w:rsidRDefault="00770FF8">
      <w:pPr>
        <w:pStyle w:val="TOC2"/>
        <w:rPr>
          <w:rFonts w:asciiTheme="minorHAnsi" w:eastAsiaTheme="minorEastAsia" w:hAnsiTheme="minorHAnsi" w:cstheme="minorBidi"/>
          <w:noProof/>
          <w:sz w:val="22"/>
          <w:szCs w:val="22"/>
        </w:rPr>
      </w:pPr>
      <w:hyperlink w:anchor="_Toc408831787" w:history="1">
        <w:r w:rsidR="003B5F1B" w:rsidRPr="00C669B0">
          <w:rPr>
            <w:rStyle w:val="Hyperlink"/>
            <w:noProof/>
          </w:rPr>
          <w:t>4.4</w:t>
        </w:r>
        <w:r w:rsidR="003B5F1B">
          <w:rPr>
            <w:rFonts w:asciiTheme="minorHAnsi" w:eastAsiaTheme="minorEastAsia" w:hAnsiTheme="minorHAnsi" w:cstheme="minorBidi"/>
            <w:noProof/>
            <w:sz w:val="22"/>
            <w:szCs w:val="22"/>
          </w:rPr>
          <w:tab/>
        </w:r>
        <w:r w:rsidR="003B5F1B" w:rsidRPr="00C669B0">
          <w:rPr>
            <w:rStyle w:val="Hyperlink"/>
            <w:noProof/>
          </w:rPr>
          <w:t>Provincial roads management, the Philippines</w:t>
        </w:r>
        <w:r w:rsidR="003B5F1B">
          <w:rPr>
            <w:noProof/>
            <w:webHidden/>
          </w:rPr>
          <w:tab/>
        </w:r>
        <w:r w:rsidR="003B5F1B">
          <w:rPr>
            <w:noProof/>
            <w:webHidden/>
          </w:rPr>
          <w:fldChar w:fldCharType="begin"/>
        </w:r>
        <w:r w:rsidR="003B5F1B">
          <w:rPr>
            <w:noProof/>
            <w:webHidden/>
          </w:rPr>
          <w:instrText xml:space="preserve"> PAGEREF _Toc408831787 \h </w:instrText>
        </w:r>
        <w:r w:rsidR="003B5F1B">
          <w:rPr>
            <w:noProof/>
            <w:webHidden/>
          </w:rPr>
        </w:r>
        <w:r w:rsidR="003B5F1B">
          <w:rPr>
            <w:noProof/>
            <w:webHidden/>
          </w:rPr>
          <w:fldChar w:fldCharType="separate"/>
        </w:r>
        <w:r w:rsidR="00D6764B">
          <w:rPr>
            <w:noProof/>
            <w:webHidden/>
          </w:rPr>
          <w:t>47</w:t>
        </w:r>
        <w:r w:rsidR="003B5F1B">
          <w:rPr>
            <w:noProof/>
            <w:webHidden/>
          </w:rPr>
          <w:fldChar w:fldCharType="end"/>
        </w:r>
      </w:hyperlink>
    </w:p>
    <w:p w14:paraId="7100C77F" w14:textId="77777777" w:rsidR="003B5F1B" w:rsidRDefault="00770FF8">
      <w:pPr>
        <w:pStyle w:val="TOC1"/>
        <w:rPr>
          <w:rFonts w:asciiTheme="minorHAnsi" w:eastAsiaTheme="minorEastAsia" w:hAnsiTheme="minorHAnsi" w:cstheme="minorBidi"/>
          <w:bCs w:val="0"/>
          <w:color w:val="auto"/>
          <w:sz w:val="22"/>
          <w:szCs w:val="22"/>
        </w:rPr>
      </w:pPr>
      <w:hyperlink w:anchor="_Toc408831788" w:history="1">
        <w:r w:rsidR="003B5F1B" w:rsidRPr="00C669B0">
          <w:rPr>
            <w:rStyle w:val="Hyperlink"/>
          </w:rPr>
          <w:t>5</w:t>
        </w:r>
        <w:r w:rsidR="003B5F1B">
          <w:rPr>
            <w:rFonts w:asciiTheme="minorHAnsi" w:eastAsiaTheme="minorEastAsia" w:hAnsiTheme="minorHAnsi" w:cstheme="minorBidi"/>
            <w:bCs w:val="0"/>
            <w:color w:val="auto"/>
            <w:sz w:val="22"/>
            <w:szCs w:val="22"/>
          </w:rPr>
          <w:tab/>
        </w:r>
        <w:r w:rsidR="003B5F1B" w:rsidRPr="00C669B0">
          <w:rPr>
            <w:rStyle w:val="Hyperlink"/>
          </w:rPr>
          <w:t>Design and evaluation of sector programs</w:t>
        </w:r>
        <w:r w:rsidR="003B5F1B">
          <w:rPr>
            <w:webHidden/>
          </w:rPr>
          <w:tab/>
        </w:r>
        <w:r w:rsidR="003B5F1B">
          <w:rPr>
            <w:webHidden/>
          </w:rPr>
          <w:fldChar w:fldCharType="begin"/>
        </w:r>
        <w:r w:rsidR="003B5F1B">
          <w:rPr>
            <w:webHidden/>
          </w:rPr>
          <w:instrText xml:space="preserve"> PAGEREF _Toc408831788 \h </w:instrText>
        </w:r>
        <w:r w:rsidR="003B5F1B">
          <w:rPr>
            <w:webHidden/>
          </w:rPr>
        </w:r>
        <w:r w:rsidR="003B5F1B">
          <w:rPr>
            <w:webHidden/>
          </w:rPr>
          <w:fldChar w:fldCharType="separate"/>
        </w:r>
        <w:r w:rsidR="00D6764B">
          <w:rPr>
            <w:webHidden/>
          </w:rPr>
          <w:t>51</w:t>
        </w:r>
        <w:r w:rsidR="003B5F1B">
          <w:rPr>
            <w:webHidden/>
          </w:rPr>
          <w:fldChar w:fldCharType="end"/>
        </w:r>
      </w:hyperlink>
    </w:p>
    <w:p w14:paraId="45F24EC5" w14:textId="77777777" w:rsidR="003B5F1B" w:rsidRDefault="00770FF8">
      <w:pPr>
        <w:pStyle w:val="TOC2"/>
        <w:rPr>
          <w:rFonts w:asciiTheme="minorHAnsi" w:eastAsiaTheme="minorEastAsia" w:hAnsiTheme="minorHAnsi" w:cstheme="minorBidi"/>
          <w:noProof/>
          <w:sz w:val="22"/>
          <w:szCs w:val="22"/>
        </w:rPr>
      </w:pPr>
      <w:hyperlink w:anchor="_Toc408831789" w:history="1">
        <w:r w:rsidR="003B5F1B" w:rsidRPr="00C669B0">
          <w:rPr>
            <w:rStyle w:val="Hyperlink"/>
            <w:noProof/>
          </w:rPr>
          <w:t>5.1</w:t>
        </w:r>
        <w:r w:rsidR="003B5F1B">
          <w:rPr>
            <w:rFonts w:asciiTheme="minorHAnsi" w:eastAsiaTheme="minorEastAsia" w:hAnsiTheme="minorHAnsi" w:cstheme="minorBidi"/>
            <w:noProof/>
            <w:sz w:val="22"/>
            <w:szCs w:val="22"/>
          </w:rPr>
          <w:tab/>
        </w:r>
        <w:r w:rsidR="003B5F1B" w:rsidRPr="00C669B0">
          <w:rPr>
            <w:rStyle w:val="Hyperlink"/>
            <w:noProof/>
          </w:rPr>
          <w:t>Evidence of analysis of decentralisation in sector designs</w:t>
        </w:r>
        <w:r w:rsidR="003B5F1B">
          <w:rPr>
            <w:noProof/>
            <w:webHidden/>
          </w:rPr>
          <w:tab/>
        </w:r>
        <w:r w:rsidR="003B5F1B">
          <w:rPr>
            <w:noProof/>
            <w:webHidden/>
          </w:rPr>
          <w:fldChar w:fldCharType="begin"/>
        </w:r>
        <w:r w:rsidR="003B5F1B">
          <w:rPr>
            <w:noProof/>
            <w:webHidden/>
          </w:rPr>
          <w:instrText xml:space="preserve"> PAGEREF _Toc408831789 \h </w:instrText>
        </w:r>
        <w:r w:rsidR="003B5F1B">
          <w:rPr>
            <w:noProof/>
            <w:webHidden/>
          </w:rPr>
        </w:r>
        <w:r w:rsidR="003B5F1B">
          <w:rPr>
            <w:noProof/>
            <w:webHidden/>
          </w:rPr>
          <w:fldChar w:fldCharType="separate"/>
        </w:r>
        <w:r w:rsidR="00D6764B">
          <w:rPr>
            <w:noProof/>
            <w:webHidden/>
          </w:rPr>
          <w:t>52</w:t>
        </w:r>
        <w:r w:rsidR="003B5F1B">
          <w:rPr>
            <w:noProof/>
            <w:webHidden/>
          </w:rPr>
          <w:fldChar w:fldCharType="end"/>
        </w:r>
      </w:hyperlink>
    </w:p>
    <w:p w14:paraId="7BC4AA50" w14:textId="77777777" w:rsidR="003B5F1B" w:rsidRDefault="00770FF8">
      <w:pPr>
        <w:pStyle w:val="TOC2"/>
        <w:rPr>
          <w:rFonts w:asciiTheme="minorHAnsi" w:eastAsiaTheme="minorEastAsia" w:hAnsiTheme="minorHAnsi" w:cstheme="minorBidi"/>
          <w:noProof/>
          <w:sz w:val="22"/>
          <w:szCs w:val="22"/>
        </w:rPr>
      </w:pPr>
      <w:hyperlink w:anchor="_Toc408831790" w:history="1">
        <w:r w:rsidR="003B5F1B" w:rsidRPr="00C669B0">
          <w:rPr>
            <w:rStyle w:val="Hyperlink"/>
            <w:noProof/>
          </w:rPr>
          <w:t>5.2</w:t>
        </w:r>
        <w:r w:rsidR="003B5F1B">
          <w:rPr>
            <w:rFonts w:asciiTheme="minorHAnsi" w:eastAsiaTheme="minorEastAsia" w:hAnsiTheme="minorHAnsi" w:cstheme="minorBidi"/>
            <w:noProof/>
            <w:sz w:val="22"/>
            <w:szCs w:val="22"/>
          </w:rPr>
          <w:tab/>
        </w:r>
        <w:r w:rsidR="003B5F1B" w:rsidRPr="00C669B0">
          <w:rPr>
            <w:rStyle w:val="Hyperlink"/>
            <w:noProof/>
          </w:rPr>
          <w:t>Evidence of analysis of decentralisation in sector evaluations</w:t>
        </w:r>
        <w:r w:rsidR="003B5F1B">
          <w:rPr>
            <w:noProof/>
            <w:webHidden/>
          </w:rPr>
          <w:tab/>
        </w:r>
        <w:r w:rsidR="003B5F1B">
          <w:rPr>
            <w:noProof/>
            <w:webHidden/>
          </w:rPr>
          <w:fldChar w:fldCharType="begin"/>
        </w:r>
        <w:r w:rsidR="003B5F1B">
          <w:rPr>
            <w:noProof/>
            <w:webHidden/>
          </w:rPr>
          <w:instrText xml:space="preserve"> PAGEREF _Toc408831790 \h </w:instrText>
        </w:r>
        <w:r w:rsidR="003B5F1B">
          <w:rPr>
            <w:noProof/>
            <w:webHidden/>
          </w:rPr>
        </w:r>
        <w:r w:rsidR="003B5F1B">
          <w:rPr>
            <w:noProof/>
            <w:webHidden/>
          </w:rPr>
          <w:fldChar w:fldCharType="separate"/>
        </w:r>
        <w:r w:rsidR="00D6764B">
          <w:rPr>
            <w:noProof/>
            <w:webHidden/>
          </w:rPr>
          <w:t>58</w:t>
        </w:r>
        <w:r w:rsidR="003B5F1B">
          <w:rPr>
            <w:noProof/>
            <w:webHidden/>
          </w:rPr>
          <w:fldChar w:fldCharType="end"/>
        </w:r>
      </w:hyperlink>
    </w:p>
    <w:p w14:paraId="42C6BB98" w14:textId="77777777" w:rsidR="003B5F1B" w:rsidRDefault="00770FF8">
      <w:pPr>
        <w:pStyle w:val="TOC2"/>
        <w:rPr>
          <w:rFonts w:asciiTheme="minorHAnsi" w:eastAsiaTheme="minorEastAsia" w:hAnsiTheme="minorHAnsi" w:cstheme="minorBidi"/>
          <w:noProof/>
          <w:sz w:val="22"/>
          <w:szCs w:val="22"/>
        </w:rPr>
      </w:pPr>
      <w:hyperlink w:anchor="_Toc408831791" w:history="1">
        <w:r w:rsidR="003B5F1B" w:rsidRPr="00C669B0">
          <w:rPr>
            <w:rStyle w:val="Hyperlink"/>
            <w:noProof/>
          </w:rPr>
          <w:t>5.3</w:t>
        </w:r>
        <w:r w:rsidR="003B5F1B">
          <w:rPr>
            <w:rFonts w:asciiTheme="minorHAnsi" w:eastAsiaTheme="minorEastAsia" w:hAnsiTheme="minorHAnsi" w:cstheme="minorBidi"/>
            <w:noProof/>
            <w:sz w:val="22"/>
            <w:szCs w:val="22"/>
          </w:rPr>
          <w:tab/>
        </w:r>
        <w:r w:rsidR="003B5F1B" w:rsidRPr="00C669B0">
          <w:rPr>
            <w:rStyle w:val="Hyperlink"/>
            <w:noProof/>
          </w:rPr>
          <w:t>Performance assessment frameworks</w:t>
        </w:r>
        <w:r w:rsidR="003B5F1B">
          <w:rPr>
            <w:noProof/>
            <w:webHidden/>
          </w:rPr>
          <w:tab/>
        </w:r>
        <w:r w:rsidR="003B5F1B">
          <w:rPr>
            <w:noProof/>
            <w:webHidden/>
          </w:rPr>
          <w:fldChar w:fldCharType="begin"/>
        </w:r>
        <w:r w:rsidR="003B5F1B">
          <w:rPr>
            <w:noProof/>
            <w:webHidden/>
          </w:rPr>
          <w:instrText xml:space="preserve"> PAGEREF _Toc408831791 \h </w:instrText>
        </w:r>
        <w:r w:rsidR="003B5F1B">
          <w:rPr>
            <w:noProof/>
            <w:webHidden/>
          </w:rPr>
        </w:r>
        <w:r w:rsidR="003B5F1B">
          <w:rPr>
            <w:noProof/>
            <w:webHidden/>
          </w:rPr>
          <w:fldChar w:fldCharType="separate"/>
        </w:r>
        <w:r w:rsidR="00D6764B">
          <w:rPr>
            <w:noProof/>
            <w:webHidden/>
          </w:rPr>
          <w:t>61</w:t>
        </w:r>
        <w:r w:rsidR="003B5F1B">
          <w:rPr>
            <w:noProof/>
            <w:webHidden/>
          </w:rPr>
          <w:fldChar w:fldCharType="end"/>
        </w:r>
      </w:hyperlink>
    </w:p>
    <w:p w14:paraId="5D178BDC" w14:textId="77777777" w:rsidR="003B5F1B" w:rsidRDefault="00770FF8">
      <w:pPr>
        <w:pStyle w:val="TOC1"/>
        <w:rPr>
          <w:rFonts w:asciiTheme="minorHAnsi" w:eastAsiaTheme="minorEastAsia" w:hAnsiTheme="minorHAnsi" w:cstheme="minorBidi"/>
          <w:bCs w:val="0"/>
          <w:color w:val="auto"/>
          <w:sz w:val="22"/>
          <w:szCs w:val="22"/>
        </w:rPr>
      </w:pPr>
      <w:hyperlink w:anchor="_Toc408831792" w:history="1">
        <w:r w:rsidR="003B5F1B" w:rsidRPr="00C669B0">
          <w:rPr>
            <w:rStyle w:val="Hyperlink"/>
          </w:rPr>
          <w:t>6</w:t>
        </w:r>
        <w:r w:rsidR="003B5F1B">
          <w:rPr>
            <w:rFonts w:asciiTheme="minorHAnsi" w:eastAsiaTheme="minorEastAsia" w:hAnsiTheme="minorHAnsi" w:cstheme="minorBidi"/>
            <w:bCs w:val="0"/>
            <w:color w:val="auto"/>
            <w:sz w:val="22"/>
            <w:szCs w:val="22"/>
          </w:rPr>
          <w:tab/>
        </w:r>
        <w:r w:rsidR="003B5F1B" w:rsidRPr="00C669B0">
          <w:rPr>
            <w:rStyle w:val="Hyperlink"/>
          </w:rPr>
          <w:t>Strategy for service delivery</w:t>
        </w:r>
        <w:r w:rsidR="003B5F1B">
          <w:rPr>
            <w:webHidden/>
          </w:rPr>
          <w:tab/>
        </w:r>
        <w:r w:rsidR="003B5F1B">
          <w:rPr>
            <w:webHidden/>
          </w:rPr>
          <w:fldChar w:fldCharType="begin"/>
        </w:r>
        <w:r w:rsidR="003B5F1B">
          <w:rPr>
            <w:webHidden/>
          </w:rPr>
          <w:instrText xml:space="preserve"> PAGEREF _Toc408831792 \h </w:instrText>
        </w:r>
        <w:r w:rsidR="003B5F1B">
          <w:rPr>
            <w:webHidden/>
          </w:rPr>
        </w:r>
        <w:r w:rsidR="003B5F1B">
          <w:rPr>
            <w:webHidden/>
          </w:rPr>
          <w:fldChar w:fldCharType="separate"/>
        </w:r>
        <w:r w:rsidR="00D6764B">
          <w:rPr>
            <w:webHidden/>
          </w:rPr>
          <w:t>63</w:t>
        </w:r>
        <w:r w:rsidR="003B5F1B">
          <w:rPr>
            <w:webHidden/>
          </w:rPr>
          <w:fldChar w:fldCharType="end"/>
        </w:r>
      </w:hyperlink>
    </w:p>
    <w:p w14:paraId="6B5D685C" w14:textId="77777777" w:rsidR="003B5F1B" w:rsidRDefault="00770FF8">
      <w:pPr>
        <w:pStyle w:val="TOC2"/>
        <w:rPr>
          <w:rFonts w:asciiTheme="minorHAnsi" w:eastAsiaTheme="minorEastAsia" w:hAnsiTheme="minorHAnsi" w:cstheme="minorBidi"/>
          <w:noProof/>
          <w:sz w:val="22"/>
          <w:szCs w:val="22"/>
        </w:rPr>
      </w:pPr>
      <w:hyperlink w:anchor="_Toc408831793" w:history="1">
        <w:r w:rsidR="003B5F1B" w:rsidRPr="00C669B0">
          <w:rPr>
            <w:rStyle w:val="Hyperlink"/>
            <w:noProof/>
          </w:rPr>
          <w:t>6.1</w:t>
        </w:r>
        <w:r w:rsidR="003B5F1B">
          <w:rPr>
            <w:rFonts w:asciiTheme="minorHAnsi" w:eastAsiaTheme="minorEastAsia" w:hAnsiTheme="minorHAnsi" w:cstheme="minorBidi"/>
            <w:noProof/>
            <w:sz w:val="22"/>
            <w:szCs w:val="22"/>
          </w:rPr>
          <w:tab/>
        </w:r>
        <w:r w:rsidR="003B5F1B" w:rsidRPr="00C669B0">
          <w:rPr>
            <w:rStyle w:val="Hyperlink"/>
            <w:noProof/>
          </w:rPr>
          <w:t>Review of thematic strategies</w:t>
        </w:r>
        <w:r w:rsidR="003B5F1B">
          <w:rPr>
            <w:noProof/>
            <w:webHidden/>
          </w:rPr>
          <w:tab/>
        </w:r>
        <w:r w:rsidR="003B5F1B">
          <w:rPr>
            <w:noProof/>
            <w:webHidden/>
          </w:rPr>
          <w:fldChar w:fldCharType="begin"/>
        </w:r>
        <w:r w:rsidR="003B5F1B">
          <w:rPr>
            <w:noProof/>
            <w:webHidden/>
          </w:rPr>
          <w:instrText xml:space="preserve"> PAGEREF _Toc408831793 \h </w:instrText>
        </w:r>
        <w:r w:rsidR="003B5F1B">
          <w:rPr>
            <w:noProof/>
            <w:webHidden/>
          </w:rPr>
        </w:r>
        <w:r w:rsidR="003B5F1B">
          <w:rPr>
            <w:noProof/>
            <w:webHidden/>
          </w:rPr>
          <w:fldChar w:fldCharType="separate"/>
        </w:r>
        <w:r w:rsidR="00D6764B">
          <w:rPr>
            <w:noProof/>
            <w:webHidden/>
          </w:rPr>
          <w:t>64</w:t>
        </w:r>
        <w:r w:rsidR="003B5F1B">
          <w:rPr>
            <w:noProof/>
            <w:webHidden/>
          </w:rPr>
          <w:fldChar w:fldCharType="end"/>
        </w:r>
      </w:hyperlink>
    </w:p>
    <w:p w14:paraId="797991C5" w14:textId="77777777" w:rsidR="003B5F1B" w:rsidRDefault="00770FF8">
      <w:pPr>
        <w:pStyle w:val="TOC2"/>
        <w:rPr>
          <w:rFonts w:asciiTheme="minorHAnsi" w:eastAsiaTheme="minorEastAsia" w:hAnsiTheme="minorHAnsi" w:cstheme="minorBidi"/>
          <w:noProof/>
          <w:sz w:val="22"/>
          <w:szCs w:val="22"/>
        </w:rPr>
      </w:pPr>
      <w:hyperlink w:anchor="_Toc408831794" w:history="1">
        <w:r w:rsidR="003B5F1B" w:rsidRPr="00C669B0">
          <w:rPr>
            <w:rStyle w:val="Hyperlink"/>
            <w:noProof/>
          </w:rPr>
          <w:t>6.2</w:t>
        </w:r>
        <w:r w:rsidR="003B5F1B">
          <w:rPr>
            <w:rFonts w:asciiTheme="minorHAnsi" w:eastAsiaTheme="minorEastAsia" w:hAnsiTheme="minorHAnsi" w:cstheme="minorBidi"/>
            <w:noProof/>
            <w:sz w:val="22"/>
            <w:szCs w:val="22"/>
          </w:rPr>
          <w:tab/>
        </w:r>
        <w:r w:rsidR="003B5F1B" w:rsidRPr="00C669B0">
          <w:rPr>
            <w:rStyle w:val="Hyperlink"/>
            <w:noProof/>
          </w:rPr>
          <w:t>Review of country program strategies</w:t>
        </w:r>
        <w:r w:rsidR="003B5F1B">
          <w:rPr>
            <w:noProof/>
            <w:webHidden/>
          </w:rPr>
          <w:tab/>
        </w:r>
        <w:r w:rsidR="003B5F1B">
          <w:rPr>
            <w:noProof/>
            <w:webHidden/>
          </w:rPr>
          <w:fldChar w:fldCharType="begin"/>
        </w:r>
        <w:r w:rsidR="003B5F1B">
          <w:rPr>
            <w:noProof/>
            <w:webHidden/>
          </w:rPr>
          <w:instrText xml:space="preserve"> PAGEREF _Toc408831794 \h </w:instrText>
        </w:r>
        <w:r w:rsidR="003B5F1B">
          <w:rPr>
            <w:noProof/>
            <w:webHidden/>
          </w:rPr>
        </w:r>
        <w:r w:rsidR="003B5F1B">
          <w:rPr>
            <w:noProof/>
            <w:webHidden/>
          </w:rPr>
          <w:fldChar w:fldCharType="separate"/>
        </w:r>
        <w:r w:rsidR="00D6764B">
          <w:rPr>
            <w:noProof/>
            <w:webHidden/>
          </w:rPr>
          <w:t>67</w:t>
        </w:r>
        <w:r w:rsidR="003B5F1B">
          <w:rPr>
            <w:noProof/>
            <w:webHidden/>
          </w:rPr>
          <w:fldChar w:fldCharType="end"/>
        </w:r>
      </w:hyperlink>
    </w:p>
    <w:p w14:paraId="47DA389D" w14:textId="77777777" w:rsidR="003B5F1B" w:rsidRDefault="00770FF8">
      <w:pPr>
        <w:pStyle w:val="TOC2"/>
        <w:rPr>
          <w:rFonts w:asciiTheme="minorHAnsi" w:eastAsiaTheme="minorEastAsia" w:hAnsiTheme="minorHAnsi" w:cstheme="minorBidi"/>
          <w:noProof/>
          <w:sz w:val="22"/>
          <w:szCs w:val="22"/>
        </w:rPr>
      </w:pPr>
      <w:hyperlink w:anchor="_Toc408831795" w:history="1">
        <w:r w:rsidR="003B5F1B" w:rsidRPr="00C669B0">
          <w:rPr>
            <w:rStyle w:val="Hyperlink"/>
            <w:noProof/>
          </w:rPr>
          <w:t>6.3</w:t>
        </w:r>
        <w:r w:rsidR="003B5F1B">
          <w:rPr>
            <w:rFonts w:asciiTheme="minorHAnsi" w:eastAsiaTheme="minorEastAsia" w:hAnsiTheme="minorHAnsi" w:cstheme="minorBidi"/>
            <w:noProof/>
            <w:sz w:val="22"/>
            <w:szCs w:val="22"/>
          </w:rPr>
          <w:tab/>
        </w:r>
        <w:r w:rsidR="003B5F1B" w:rsidRPr="00C669B0">
          <w:rPr>
            <w:rStyle w:val="Hyperlink"/>
            <w:noProof/>
          </w:rPr>
          <w:t>Review of sector delivery strategies</w:t>
        </w:r>
        <w:r w:rsidR="003B5F1B">
          <w:rPr>
            <w:noProof/>
            <w:webHidden/>
          </w:rPr>
          <w:tab/>
        </w:r>
        <w:r w:rsidR="003B5F1B">
          <w:rPr>
            <w:noProof/>
            <w:webHidden/>
          </w:rPr>
          <w:fldChar w:fldCharType="begin"/>
        </w:r>
        <w:r w:rsidR="003B5F1B">
          <w:rPr>
            <w:noProof/>
            <w:webHidden/>
          </w:rPr>
          <w:instrText xml:space="preserve"> PAGEREF _Toc408831795 \h </w:instrText>
        </w:r>
        <w:r w:rsidR="003B5F1B">
          <w:rPr>
            <w:noProof/>
            <w:webHidden/>
          </w:rPr>
        </w:r>
        <w:r w:rsidR="003B5F1B">
          <w:rPr>
            <w:noProof/>
            <w:webHidden/>
          </w:rPr>
          <w:fldChar w:fldCharType="separate"/>
        </w:r>
        <w:r w:rsidR="00D6764B">
          <w:rPr>
            <w:noProof/>
            <w:webHidden/>
          </w:rPr>
          <w:t>69</w:t>
        </w:r>
        <w:r w:rsidR="003B5F1B">
          <w:rPr>
            <w:noProof/>
            <w:webHidden/>
          </w:rPr>
          <w:fldChar w:fldCharType="end"/>
        </w:r>
      </w:hyperlink>
    </w:p>
    <w:p w14:paraId="19BAB73A" w14:textId="77777777" w:rsidR="003B5F1B" w:rsidRDefault="00770FF8">
      <w:pPr>
        <w:pStyle w:val="TOC1"/>
        <w:rPr>
          <w:rFonts w:asciiTheme="minorHAnsi" w:eastAsiaTheme="minorEastAsia" w:hAnsiTheme="minorHAnsi" w:cstheme="minorBidi"/>
          <w:bCs w:val="0"/>
          <w:color w:val="auto"/>
          <w:sz w:val="22"/>
          <w:szCs w:val="22"/>
        </w:rPr>
      </w:pPr>
      <w:hyperlink w:anchor="_Toc408831796" w:history="1">
        <w:r w:rsidR="003B5F1B" w:rsidRPr="00C669B0">
          <w:rPr>
            <w:rStyle w:val="Hyperlink"/>
          </w:rPr>
          <w:t>7</w:t>
        </w:r>
        <w:r w:rsidR="003B5F1B">
          <w:rPr>
            <w:rFonts w:asciiTheme="minorHAnsi" w:eastAsiaTheme="minorEastAsia" w:hAnsiTheme="minorHAnsi" w:cstheme="minorBidi"/>
            <w:bCs w:val="0"/>
            <w:color w:val="auto"/>
            <w:sz w:val="22"/>
            <w:szCs w:val="22"/>
          </w:rPr>
          <w:tab/>
        </w:r>
        <w:r w:rsidR="003B5F1B" w:rsidRPr="00C669B0">
          <w:rPr>
            <w:rStyle w:val="Hyperlink"/>
          </w:rPr>
          <w:t>Organisational support</w:t>
        </w:r>
        <w:r w:rsidR="003B5F1B">
          <w:rPr>
            <w:webHidden/>
          </w:rPr>
          <w:tab/>
        </w:r>
        <w:r w:rsidR="003B5F1B">
          <w:rPr>
            <w:webHidden/>
          </w:rPr>
          <w:fldChar w:fldCharType="begin"/>
        </w:r>
        <w:r w:rsidR="003B5F1B">
          <w:rPr>
            <w:webHidden/>
          </w:rPr>
          <w:instrText xml:space="preserve"> PAGEREF _Toc408831796 \h </w:instrText>
        </w:r>
        <w:r w:rsidR="003B5F1B">
          <w:rPr>
            <w:webHidden/>
          </w:rPr>
        </w:r>
        <w:r w:rsidR="003B5F1B">
          <w:rPr>
            <w:webHidden/>
          </w:rPr>
          <w:fldChar w:fldCharType="separate"/>
        </w:r>
        <w:r w:rsidR="00D6764B">
          <w:rPr>
            <w:webHidden/>
          </w:rPr>
          <w:t>71</w:t>
        </w:r>
        <w:r w:rsidR="003B5F1B">
          <w:rPr>
            <w:webHidden/>
          </w:rPr>
          <w:fldChar w:fldCharType="end"/>
        </w:r>
      </w:hyperlink>
    </w:p>
    <w:p w14:paraId="2B13FDE5" w14:textId="77777777" w:rsidR="003B5F1B" w:rsidRDefault="00770FF8">
      <w:pPr>
        <w:pStyle w:val="TOC2"/>
        <w:rPr>
          <w:rFonts w:asciiTheme="minorHAnsi" w:eastAsiaTheme="minorEastAsia" w:hAnsiTheme="minorHAnsi" w:cstheme="minorBidi"/>
          <w:noProof/>
          <w:sz w:val="22"/>
          <w:szCs w:val="22"/>
        </w:rPr>
      </w:pPr>
      <w:hyperlink w:anchor="_Toc408831797" w:history="1">
        <w:r w:rsidR="003B5F1B" w:rsidRPr="00C669B0">
          <w:rPr>
            <w:rStyle w:val="Hyperlink"/>
            <w:noProof/>
          </w:rPr>
          <w:t>7.1</w:t>
        </w:r>
        <w:r w:rsidR="003B5F1B">
          <w:rPr>
            <w:rFonts w:asciiTheme="minorHAnsi" w:eastAsiaTheme="minorEastAsia" w:hAnsiTheme="minorHAnsi" w:cstheme="minorBidi"/>
            <w:noProof/>
            <w:sz w:val="22"/>
            <w:szCs w:val="22"/>
          </w:rPr>
          <w:tab/>
        </w:r>
        <w:r w:rsidR="003B5F1B" w:rsidRPr="00C669B0">
          <w:rPr>
            <w:rStyle w:val="Hyperlink"/>
            <w:noProof/>
          </w:rPr>
          <w:t>Support for program staff to work in decentralised contexts</w:t>
        </w:r>
        <w:r w:rsidR="003B5F1B">
          <w:rPr>
            <w:noProof/>
            <w:webHidden/>
          </w:rPr>
          <w:tab/>
        </w:r>
        <w:r w:rsidR="003B5F1B">
          <w:rPr>
            <w:noProof/>
            <w:webHidden/>
          </w:rPr>
          <w:fldChar w:fldCharType="begin"/>
        </w:r>
        <w:r w:rsidR="003B5F1B">
          <w:rPr>
            <w:noProof/>
            <w:webHidden/>
          </w:rPr>
          <w:instrText xml:space="preserve"> PAGEREF _Toc408831797 \h </w:instrText>
        </w:r>
        <w:r w:rsidR="003B5F1B">
          <w:rPr>
            <w:noProof/>
            <w:webHidden/>
          </w:rPr>
        </w:r>
        <w:r w:rsidR="003B5F1B">
          <w:rPr>
            <w:noProof/>
            <w:webHidden/>
          </w:rPr>
          <w:fldChar w:fldCharType="separate"/>
        </w:r>
        <w:r w:rsidR="00D6764B">
          <w:rPr>
            <w:noProof/>
            <w:webHidden/>
          </w:rPr>
          <w:t>72</w:t>
        </w:r>
        <w:r w:rsidR="003B5F1B">
          <w:rPr>
            <w:noProof/>
            <w:webHidden/>
          </w:rPr>
          <w:fldChar w:fldCharType="end"/>
        </w:r>
      </w:hyperlink>
    </w:p>
    <w:p w14:paraId="38FFFB28" w14:textId="77777777" w:rsidR="003B5F1B" w:rsidRDefault="00770FF8">
      <w:pPr>
        <w:pStyle w:val="TOC2"/>
        <w:rPr>
          <w:rFonts w:asciiTheme="minorHAnsi" w:eastAsiaTheme="minorEastAsia" w:hAnsiTheme="minorHAnsi" w:cstheme="minorBidi"/>
          <w:noProof/>
          <w:sz w:val="22"/>
          <w:szCs w:val="22"/>
        </w:rPr>
      </w:pPr>
      <w:hyperlink w:anchor="_Toc408831798" w:history="1">
        <w:r w:rsidR="003B5F1B" w:rsidRPr="00C669B0">
          <w:rPr>
            <w:rStyle w:val="Hyperlink"/>
            <w:noProof/>
          </w:rPr>
          <w:t>7.2</w:t>
        </w:r>
        <w:r w:rsidR="003B5F1B">
          <w:rPr>
            <w:rFonts w:asciiTheme="minorHAnsi" w:eastAsiaTheme="minorEastAsia" w:hAnsiTheme="minorHAnsi" w:cstheme="minorBidi"/>
            <w:noProof/>
            <w:sz w:val="22"/>
            <w:szCs w:val="22"/>
          </w:rPr>
          <w:tab/>
        </w:r>
        <w:r w:rsidR="003B5F1B" w:rsidRPr="00C669B0">
          <w:rPr>
            <w:rStyle w:val="Hyperlink"/>
            <w:noProof/>
          </w:rPr>
          <w:t>Integrating governance in sector programs</w:t>
        </w:r>
        <w:r w:rsidR="003B5F1B">
          <w:rPr>
            <w:noProof/>
            <w:webHidden/>
          </w:rPr>
          <w:tab/>
        </w:r>
        <w:r w:rsidR="003B5F1B">
          <w:rPr>
            <w:noProof/>
            <w:webHidden/>
          </w:rPr>
          <w:fldChar w:fldCharType="begin"/>
        </w:r>
        <w:r w:rsidR="003B5F1B">
          <w:rPr>
            <w:noProof/>
            <w:webHidden/>
          </w:rPr>
          <w:instrText xml:space="preserve"> PAGEREF _Toc408831798 \h </w:instrText>
        </w:r>
        <w:r w:rsidR="003B5F1B">
          <w:rPr>
            <w:noProof/>
            <w:webHidden/>
          </w:rPr>
        </w:r>
        <w:r w:rsidR="003B5F1B">
          <w:rPr>
            <w:noProof/>
            <w:webHidden/>
          </w:rPr>
          <w:fldChar w:fldCharType="separate"/>
        </w:r>
        <w:r w:rsidR="00D6764B">
          <w:rPr>
            <w:noProof/>
            <w:webHidden/>
          </w:rPr>
          <w:t>72</w:t>
        </w:r>
        <w:r w:rsidR="003B5F1B">
          <w:rPr>
            <w:noProof/>
            <w:webHidden/>
          </w:rPr>
          <w:fldChar w:fldCharType="end"/>
        </w:r>
      </w:hyperlink>
    </w:p>
    <w:p w14:paraId="4F52F383" w14:textId="77777777" w:rsidR="003B5F1B" w:rsidRDefault="00770FF8">
      <w:pPr>
        <w:pStyle w:val="TOC2"/>
        <w:rPr>
          <w:rFonts w:asciiTheme="minorHAnsi" w:eastAsiaTheme="minorEastAsia" w:hAnsiTheme="minorHAnsi" w:cstheme="minorBidi"/>
          <w:noProof/>
          <w:sz w:val="22"/>
          <w:szCs w:val="22"/>
        </w:rPr>
      </w:pPr>
      <w:hyperlink w:anchor="_Toc408831799" w:history="1">
        <w:r w:rsidR="003B5F1B" w:rsidRPr="00C669B0">
          <w:rPr>
            <w:rStyle w:val="Hyperlink"/>
            <w:noProof/>
          </w:rPr>
          <w:t>7.3</w:t>
        </w:r>
        <w:r w:rsidR="003B5F1B">
          <w:rPr>
            <w:rFonts w:asciiTheme="minorHAnsi" w:eastAsiaTheme="minorEastAsia" w:hAnsiTheme="minorHAnsi" w:cstheme="minorBidi"/>
            <w:noProof/>
            <w:sz w:val="22"/>
            <w:szCs w:val="22"/>
          </w:rPr>
          <w:tab/>
        </w:r>
        <w:r w:rsidR="003B5F1B" w:rsidRPr="00C669B0">
          <w:rPr>
            <w:rStyle w:val="Hyperlink"/>
            <w:noProof/>
          </w:rPr>
          <w:t>Interaction across sectors and levels of the aid program</w:t>
        </w:r>
        <w:r w:rsidR="003B5F1B">
          <w:rPr>
            <w:noProof/>
            <w:webHidden/>
          </w:rPr>
          <w:tab/>
        </w:r>
        <w:r w:rsidR="003B5F1B">
          <w:rPr>
            <w:noProof/>
            <w:webHidden/>
          </w:rPr>
          <w:fldChar w:fldCharType="begin"/>
        </w:r>
        <w:r w:rsidR="003B5F1B">
          <w:rPr>
            <w:noProof/>
            <w:webHidden/>
          </w:rPr>
          <w:instrText xml:space="preserve"> PAGEREF _Toc408831799 \h </w:instrText>
        </w:r>
        <w:r w:rsidR="003B5F1B">
          <w:rPr>
            <w:noProof/>
            <w:webHidden/>
          </w:rPr>
        </w:r>
        <w:r w:rsidR="003B5F1B">
          <w:rPr>
            <w:noProof/>
            <w:webHidden/>
          </w:rPr>
          <w:fldChar w:fldCharType="separate"/>
        </w:r>
        <w:r w:rsidR="00D6764B">
          <w:rPr>
            <w:noProof/>
            <w:webHidden/>
          </w:rPr>
          <w:t>76</w:t>
        </w:r>
        <w:r w:rsidR="003B5F1B">
          <w:rPr>
            <w:noProof/>
            <w:webHidden/>
          </w:rPr>
          <w:fldChar w:fldCharType="end"/>
        </w:r>
      </w:hyperlink>
    </w:p>
    <w:p w14:paraId="3C54DB75" w14:textId="77777777" w:rsidR="003B5F1B" w:rsidRDefault="00770FF8">
      <w:pPr>
        <w:pStyle w:val="TOC1"/>
        <w:rPr>
          <w:rFonts w:asciiTheme="minorHAnsi" w:eastAsiaTheme="minorEastAsia" w:hAnsiTheme="minorHAnsi" w:cstheme="minorBidi"/>
          <w:bCs w:val="0"/>
          <w:color w:val="auto"/>
          <w:sz w:val="22"/>
          <w:szCs w:val="22"/>
        </w:rPr>
      </w:pPr>
      <w:hyperlink w:anchor="_Toc408831800" w:history="1">
        <w:r w:rsidR="003B5F1B" w:rsidRPr="00C669B0">
          <w:rPr>
            <w:rStyle w:val="Hyperlink"/>
          </w:rPr>
          <w:t>8</w:t>
        </w:r>
        <w:r w:rsidR="003B5F1B">
          <w:rPr>
            <w:rFonts w:asciiTheme="minorHAnsi" w:eastAsiaTheme="minorEastAsia" w:hAnsiTheme="minorHAnsi" w:cstheme="minorBidi"/>
            <w:bCs w:val="0"/>
            <w:color w:val="auto"/>
            <w:sz w:val="22"/>
            <w:szCs w:val="22"/>
          </w:rPr>
          <w:tab/>
        </w:r>
        <w:r w:rsidR="003B5F1B" w:rsidRPr="00C669B0">
          <w:rPr>
            <w:rStyle w:val="Hyperlink"/>
          </w:rPr>
          <w:t>Conclusion</w:t>
        </w:r>
        <w:r w:rsidR="003B5F1B">
          <w:rPr>
            <w:webHidden/>
          </w:rPr>
          <w:tab/>
        </w:r>
        <w:r w:rsidR="003B5F1B">
          <w:rPr>
            <w:webHidden/>
          </w:rPr>
          <w:fldChar w:fldCharType="begin"/>
        </w:r>
        <w:r w:rsidR="003B5F1B">
          <w:rPr>
            <w:webHidden/>
          </w:rPr>
          <w:instrText xml:space="preserve"> PAGEREF _Toc408831800 \h </w:instrText>
        </w:r>
        <w:r w:rsidR="003B5F1B">
          <w:rPr>
            <w:webHidden/>
          </w:rPr>
        </w:r>
        <w:r w:rsidR="003B5F1B">
          <w:rPr>
            <w:webHidden/>
          </w:rPr>
          <w:fldChar w:fldCharType="separate"/>
        </w:r>
        <w:r w:rsidR="00D6764B">
          <w:rPr>
            <w:webHidden/>
          </w:rPr>
          <w:t>85</w:t>
        </w:r>
        <w:r w:rsidR="003B5F1B">
          <w:rPr>
            <w:webHidden/>
          </w:rPr>
          <w:fldChar w:fldCharType="end"/>
        </w:r>
      </w:hyperlink>
    </w:p>
    <w:p w14:paraId="1E73DC71" w14:textId="77777777" w:rsidR="003B5F1B" w:rsidRDefault="00770FF8">
      <w:pPr>
        <w:pStyle w:val="TOC1"/>
        <w:tabs>
          <w:tab w:val="left" w:pos="1440"/>
        </w:tabs>
        <w:rPr>
          <w:rFonts w:asciiTheme="minorHAnsi" w:eastAsiaTheme="minorEastAsia" w:hAnsiTheme="minorHAnsi" w:cstheme="minorBidi"/>
          <w:bCs w:val="0"/>
          <w:color w:val="auto"/>
          <w:sz w:val="22"/>
          <w:szCs w:val="22"/>
        </w:rPr>
      </w:pPr>
      <w:hyperlink w:anchor="_Toc408831801" w:history="1">
        <w:r w:rsidR="003B5F1B" w:rsidRPr="00C669B0">
          <w:rPr>
            <w:rStyle w:val="Hyperlink"/>
          </w:rPr>
          <w:t>Appendix 1</w:t>
        </w:r>
        <w:r w:rsidR="003B5F1B">
          <w:rPr>
            <w:rFonts w:asciiTheme="minorHAnsi" w:eastAsiaTheme="minorEastAsia" w:hAnsiTheme="minorHAnsi" w:cstheme="minorBidi"/>
            <w:bCs w:val="0"/>
            <w:color w:val="auto"/>
            <w:sz w:val="22"/>
            <w:szCs w:val="22"/>
          </w:rPr>
          <w:tab/>
        </w:r>
        <w:r w:rsidR="003B5F1B" w:rsidRPr="00C669B0">
          <w:rPr>
            <w:rStyle w:val="Hyperlink"/>
          </w:rPr>
          <w:t>Policy context</w:t>
        </w:r>
        <w:r w:rsidR="003B5F1B">
          <w:rPr>
            <w:webHidden/>
          </w:rPr>
          <w:tab/>
        </w:r>
        <w:r w:rsidR="003B5F1B">
          <w:rPr>
            <w:webHidden/>
          </w:rPr>
          <w:fldChar w:fldCharType="begin"/>
        </w:r>
        <w:r w:rsidR="003B5F1B">
          <w:rPr>
            <w:webHidden/>
          </w:rPr>
          <w:instrText xml:space="preserve"> PAGEREF _Toc408831801 \h </w:instrText>
        </w:r>
        <w:r w:rsidR="003B5F1B">
          <w:rPr>
            <w:webHidden/>
          </w:rPr>
        </w:r>
        <w:r w:rsidR="003B5F1B">
          <w:rPr>
            <w:webHidden/>
          </w:rPr>
          <w:fldChar w:fldCharType="separate"/>
        </w:r>
        <w:r w:rsidR="00D6764B">
          <w:rPr>
            <w:webHidden/>
          </w:rPr>
          <w:t>88</w:t>
        </w:r>
        <w:r w:rsidR="003B5F1B">
          <w:rPr>
            <w:webHidden/>
          </w:rPr>
          <w:fldChar w:fldCharType="end"/>
        </w:r>
      </w:hyperlink>
    </w:p>
    <w:p w14:paraId="5DDC92B9" w14:textId="77777777" w:rsidR="003B5F1B" w:rsidRDefault="00770FF8">
      <w:pPr>
        <w:pStyle w:val="TOC1"/>
        <w:tabs>
          <w:tab w:val="left" w:pos="1440"/>
        </w:tabs>
        <w:rPr>
          <w:rFonts w:asciiTheme="minorHAnsi" w:eastAsiaTheme="minorEastAsia" w:hAnsiTheme="minorHAnsi" w:cstheme="minorBidi"/>
          <w:bCs w:val="0"/>
          <w:color w:val="auto"/>
          <w:sz w:val="22"/>
          <w:szCs w:val="22"/>
        </w:rPr>
      </w:pPr>
      <w:hyperlink w:anchor="_Toc408831802" w:history="1">
        <w:r w:rsidR="003B5F1B" w:rsidRPr="00C669B0">
          <w:rPr>
            <w:rStyle w:val="Hyperlink"/>
          </w:rPr>
          <w:t>Appendix 2</w:t>
        </w:r>
        <w:r w:rsidR="003B5F1B">
          <w:rPr>
            <w:rFonts w:asciiTheme="minorHAnsi" w:eastAsiaTheme="minorEastAsia" w:hAnsiTheme="minorHAnsi" w:cstheme="minorBidi"/>
            <w:bCs w:val="0"/>
            <w:color w:val="auto"/>
            <w:sz w:val="22"/>
            <w:szCs w:val="22"/>
          </w:rPr>
          <w:tab/>
        </w:r>
        <w:r w:rsidR="003B5F1B" w:rsidRPr="00C669B0">
          <w:rPr>
            <w:rStyle w:val="Hyperlink"/>
          </w:rPr>
          <w:t>Evaluation design and methods</w:t>
        </w:r>
        <w:r w:rsidR="003B5F1B">
          <w:rPr>
            <w:webHidden/>
          </w:rPr>
          <w:tab/>
        </w:r>
        <w:r w:rsidR="003B5F1B">
          <w:rPr>
            <w:webHidden/>
          </w:rPr>
          <w:fldChar w:fldCharType="begin"/>
        </w:r>
        <w:r w:rsidR="003B5F1B">
          <w:rPr>
            <w:webHidden/>
          </w:rPr>
          <w:instrText xml:space="preserve"> PAGEREF _Toc408831802 \h </w:instrText>
        </w:r>
        <w:r w:rsidR="003B5F1B">
          <w:rPr>
            <w:webHidden/>
          </w:rPr>
        </w:r>
        <w:r w:rsidR="003B5F1B">
          <w:rPr>
            <w:webHidden/>
          </w:rPr>
          <w:fldChar w:fldCharType="separate"/>
        </w:r>
        <w:r w:rsidR="00D6764B">
          <w:rPr>
            <w:webHidden/>
          </w:rPr>
          <w:t>91</w:t>
        </w:r>
        <w:r w:rsidR="003B5F1B">
          <w:rPr>
            <w:webHidden/>
          </w:rPr>
          <w:fldChar w:fldCharType="end"/>
        </w:r>
      </w:hyperlink>
    </w:p>
    <w:p w14:paraId="71F59B78" w14:textId="77777777" w:rsidR="003B5F1B" w:rsidRDefault="00770FF8">
      <w:pPr>
        <w:pStyle w:val="TOC1"/>
        <w:tabs>
          <w:tab w:val="left" w:pos="1440"/>
        </w:tabs>
        <w:rPr>
          <w:rFonts w:asciiTheme="minorHAnsi" w:eastAsiaTheme="minorEastAsia" w:hAnsiTheme="minorHAnsi" w:cstheme="minorBidi"/>
          <w:bCs w:val="0"/>
          <w:color w:val="auto"/>
          <w:sz w:val="22"/>
          <w:szCs w:val="22"/>
        </w:rPr>
      </w:pPr>
      <w:hyperlink w:anchor="_Toc408831803" w:history="1">
        <w:r w:rsidR="003B5F1B" w:rsidRPr="00C669B0">
          <w:rPr>
            <w:rStyle w:val="Hyperlink"/>
          </w:rPr>
          <w:t>Appendix 3</w:t>
        </w:r>
        <w:r w:rsidR="003B5F1B">
          <w:rPr>
            <w:rFonts w:asciiTheme="minorHAnsi" w:eastAsiaTheme="minorEastAsia" w:hAnsiTheme="minorHAnsi" w:cstheme="minorBidi"/>
            <w:bCs w:val="0"/>
            <w:color w:val="auto"/>
            <w:sz w:val="22"/>
            <w:szCs w:val="22"/>
          </w:rPr>
          <w:tab/>
        </w:r>
        <w:r w:rsidR="003B5F1B" w:rsidRPr="00C669B0">
          <w:rPr>
            <w:rStyle w:val="Hyperlink"/>
          </w:rPr>
          <w:t>Review of country strategies</w:t>
        </w:r>
        <w:r w:rsidR="003B5F1B">
          <w:rPr>
            <w:webHidden/>
          </w:rPr>
          <w:tab/>
        </w:r>
        <w:r w:rsidR="003B5F1B">
          <w:rPr>
            <w:webHidden/>
          </w:rPr>
          <w:fldChar w:fldCharType="begin"/>
        </w:r>
        <w:r w:rsidR="003B5F1B">
          <w:rPr>
            <w:webHidden/>
          </w:rPr>
          <w:instrText xml:space="preserve"> PAGEREF _Toc408831803 \h </w:instrText>
        </w:r>
        <w:r w:rsidR="003B5F1B">
          <w:rPr>
            <w:webHidden/>
          </w:rPr>
        </w:r>
        <w:r w:rsidR="003B5F1B">
          <w:rPr>
            <w:webHidden/>
          </w:rPr>
          <w:fldChar w:fldCharType="separate"/>
        </w:r>
        <w:r w:rsidR="00D6764B">
          <w:rPr>
            <w:webHidden/>
          </w:rPr>
          <w:t>110</w:t>
        </w:r>
        <w:r w:rsidR="003B5F1B">
          <w:rPr>
            <w:webHidden/>
          </w:rPr>
          <w:fldChar w:fldCharType="end"/>
        </w:r>
      </w:hyperlink>
    </w:p>
    <w:p w14:paraId="765A49BE" w14:textId="77777777" w:rsidR="003B5F1B" w:rsidRDefault="00770FF8">
      <w:pPr>
        <w:pStyle w:val="TOC1"/>
        <w:rPr>
          <w:rFonts w:asciiTheme="minorHAnsi" w:eastAsiaTheme="minorEastAsia" w:hAnsiTheme="minorHAnsi" w:cstheme="minorBidi"/>
          <w:bCs w:val="0"/>
          <w:color w:val="auto"/>
          <w:sz w:val="22"/>
          <w:szCs w:val="22"/>
        </w:rPr>
      </w:pPr>
      <w:hyperlink w:anchor="_Toc408831804" w:history="1">
        <w:r w:rsidR="003B5F1B" w:rsidRPr="00C669B0">
          <w:rPr>
            <w:rStyle w:val="Hyperlink"/>
          </w:rPr>
          <w:t>Acronyms and abbreviations</w:t>
        </w:r>
        <w:r w:rsidR="003B5F1B">
          <w:rPr>
            <w:webHidden/>
          </w:rPr>
          <w:tab/>
        </w:r>
        <w:r w:rsidR="003B5F1B">
          <w:rPr>
            <w:webHidden/>
          </w:rPr>
          <w:fldChar w:fldCharType="begin"/>
        </w:r>
        <w:r w:rsidR="003B5F1B">
          <w:rPr>
            <w:webHidden/>
          </w:rPr>
          <w:instrText xml:space="preserve"> PAGEREF _Toc408831804 \h </w:instrText>
        </w:r>
        <w:r w:rsidR="003B5F1B">
          <w:rPr>
            <w:webHidden/>
          </w:rPr>
        </w:r>
        <w:r w:rsidR="003B5F1B">
          <w:rPr>
            <w:webHidden/>
          </w:rPr>
          <w:fldChar w:fldCharType="separate"/>
        </w:r>
        <w:r w:rsidR="00D6764B">
          <w:rPr>
            <w:webHidden/>
          </w:rPr>
          <w:t>114</w:t>
        </w:r>
        <w:r w:rsidR="003B5F1B">
          <w:rPr>
            <w:webHidden/>
          </w:rPr>
          <w:fldChar w:fldCharType="end"/>
        </w:r>
      </w:hyperlink>
    </w:p>
    <w:p w14:paraId="00CC07AC" w14:textId="77777777" w:rsidR="003B5F1B" w:rsidRDefault="00770FF8">
      <w:pPr>
        <w:pStyle w:val="TOC1"/>
        <w:rPr>
          <w:rFonts w:asciiTheme="minorHAnsi" w:eastAsiaTheme="minorEastAsia" w:hAnsiTheme="minorHAnsi" w:cstheme="minorBidi"/>
          <w:bCs w:val="0"/>
          <w:color w:val="auto"/>
          <w:sz w:val="22"/>
          <w:szCs w:val="22"/>
        </w:rPr>
      </w:pPr>
      <w:hyperlink w:anchor="_Toc408831805" w:history="1">
        <w:r w:rsidR="003B5F1B" w:rsidRPr="00C669B0">
          <w:rPr>
            <w:rStyle w:val="Hyperlink"/>
          </w:rPr>
          <w:t>References</w:t>
        </w:r>
        <w:r w:rsidR="003B5F1B">
          <w:rPr>
            <w:webHidden/>
          </w:rPr>
          <w:tab/>
        </w:r>
        <w:r w:rsidR="003B5F1B">
          <w:rPr>
            <w:webHidden/>
          </w:rPr>
          <w:fldChar w:fldCharType="begin"/>
        </w:r>
        <w:r w:rsidR="003B5F1B">
          <w:rPr>
            <w:webHidden/>
          </w:rPr>
          <w:instrText xml:space="preserve"> PAGEREF _Toc408831805 \h </w:instrText>
        </w:r>
        <w:r w:rsidR="003B5F1B">
          <w:rPr>
            <w:webHidden/>
          </w:rPr>
        </w:r>
        <w:r w:rsidR="003B5F1B">
          <w:rPr>
            <w:webHidden/>
          </w:rPr>
          <w:fldChar w:fldCharType="separate"/>
        </w:r>
        <w:r w:rsidR="00D6764B">
          <w:rPr>
            <w:webHidden/>
          </w:rPr>
          <w:t>115</w:t>
        </w:r>
        <w:r w:rsidR="003B5F1B">
          <w:rPr>
            <w:webHidden/>
          </w:rPr>
          <w:fldChar w:fldCharType="end"/>
        </w:r>
      </w:hyperlink>
    </w:p>
    <w:p w14:paraId="7207FC4D" w14:textId="77777777" w:rsidR="00D20FD9" w:rsidRDefault="00640ECB" w:rsidP="006068DE">
      <w:r>
        <w:fldChar w:fldCharType="end"/>
      </w:r>
    </w:p>
    <w:p w14:paraId="376704DE" w14:textId="77777777" w:rsidR="00E92F8F" w:rsidRDefault="00E92F8F" w:rsidP="008F3AA8"/>
    <w:p w14:paraId="06328BE6" w14:textId="77777777" w:rsidR="00E92F8F" w:rsidRDefault="00E92F8F" w:rsidP="008F3AA8"/>
    <w:p w14:paraId="5C2DA276" w14:textId="77777777" w:rsidR="00795B53" w:rsidRDefault="00795B53">
      <w:pPr>
        <w:sectPr w:rsidR="00795B53" w:rsidSect="00E241C5">
          <w:headerReference w:type="even" r:id="rId22"/>
          <w:headerReference w:type="default" r:id="rId23"/>
          <w:footerReference w:type="even" r:id="rId24"/>
          <w:footerReference w:type="default" r:id="rId25"/>
          <w:headerReference w:type="first" r:id="rId26"/>
          <w:footerReference w:type="first" r:id="rId27"/>
          <w:endnotePr>
            <w:numFmt w:val="decimal"/>
          </w:endnotePr>
          <w:type w:val="oddPage"/>
          <w:pgSz w:w="11906" w:h="16838" w:code="9"/>
          <w:pgMar w:top="1418" w:right="1418" w:bottom="1134" w:left="1418" w:header="567" w:footer="567" w:gutter="0"/>
          <w:pgNumType w:fmt="lowerRoman"/>
          <w:cols w:space="720"/>
          <w:titlePg/>
        </w:sectPr>
      </w:pPr>
    </w:p>
    <w:p w14:paraId="5DBE73A3" w14:textId="77777777" w:rsidR="00D20FD9" w:rsidRDefault="00795B53" w:rsidP="00D75AC5">
      <w:pPr>
        <w:pStyle w:val="SectionTitle"/>
      </w:pPr>
      <w:bookmarkStart w:id="3" w:name="_Toc381953319"/>
      <w:r>
        <w:t>Acknowledgments</w:t>
      </w:r>
      <w:bookmarkEnd w:id="3"/>
    </w:p>
    <w:p w14:paraId="6E672E32" w14:textId="53FD2BC4" w:rsidR="0043439F" w:rsidRDefault="0043439F" w:rsidP="0043439F">
      <w:r>
        <w:t>This evaluation was conducted by the Institute for Sustainable Futures, University of Technology Sydney (Juliet Willetts, Keren Winterford, Michael Paddon, Anna Gero and Sally Asker). The work was commissioned by the Office of Development Effectiveness (ODE) and managed by Karen Ovington with direction and oversight provided by Helen Cheney, and additional support from David Slattery</w:t>
      </w:r>
      <w:r w:rsidR="002F7446">
        <w:t xml:space="preserve">, </w:t>
      </w:r>
      <w:r>
        <w:t>Amy Williams</w:t>
      </w:r>
      <w:r w:rsidR="002F7446">
        <w:t xml:space="preserve"> and Farida Fleming</w:t>
      </w:r>
      <w:r>
        <w:t xml:space="preserve">. </w:t>
      </w:r>
    </w:p>
    <w:p w14:paraId="07642948" w14:textId="77777777" w:rsidR="0043439F" w:rsidRDefault="0043439F" w:rsidP="0043439F">
      <w:r>
        <w:t xml:space="preserve">The evaluation was undertaken from December 2012 to April 2014. The field work, research and analysis were largely completed before the announcement of the integration of AusAID with the Department of Foreign Affairs and Trade (DFAT). Any references to AusAID in the report relate to the former agency; however, to the extent possible, the report has been modified to reflect the new, integrated DFAT. </w:t>
      </w:r>
    </w:p>
    <w:p w14:paraId="28905F0A" w14:textId="62C92A4E" w:rsidR="0043439F" w:rsidRPr="006068DE" w:rsidRDefault="0043439F" w:rsidP="0043439F">
      <w:r>
        <w:t>The evaluation team would like to thank the governments of Indonesia, PNG and Philippines local project management staff, project participants, project implementing partners, and DFAT staff in Canberra, Indonesia, P</w:t>
      </w:r>
      <w:r w:rsidR="002D79C7">
        <w:t xml:space="preserve">apua </w:t>
      </w:r>
      <w:r>
        <w:t>N</w:t>
      </w:r>
      <w:r w:rsidR="002D79C7">
        <w:t xml:space="preserve">ew </w:t>
      </w:r>
      <w:r>
        <w:t>G</w:t>
      </w:r>
      <w:r w:rsidR="002D79C7">
        <w:t>uinea</w:t>
      </w:r>
      <w:r>
        <w:t xml:space="preserve"> and Philippines for their collaboration and cooperation throughout the evaluation process. Local consultants from Kemitraan Partnership in Indonesia and Institute of Governance, De La Salle University in Philippines are thanked for their contributions. The team would also like to thank DFAT governance advisers, performance and quality staff and other DFAT staff, who generously provided information and input on early drafts. Finally, Anthony Land, the independent technical appraiser, is thanked for his many valuable insights.</w:t>
      </w:r>
    </w:p>
    <w:p w14:paraId="459AB8BB" w14:textId="77777777" w:rsidR="0019576E" w:rsidRDefault="0019576E" w:rsidP="0019576E">
      <w:pPr>
        <w:rPr>
          <w:highlight w:val="yellow"/>
        </w:rPr>
      </w:pPr>
    </w:p>
    <w:p w14:paraId="5BADBD51" w14:textId="77777777" w:rsidR="00BE3345" w:rsidRDefault="00BE3345" w:rsidP="0019576E">
      <w:pPr>
        <w:rPr>
          <w:highlight w:val="yellow"/>
        </w:rPr>
        <w:sectPr w:rsidR="00BE3345" w:rsidSect="00E241C5">
          <w:footerReference w:type="first" r:id="rId28"/>
          <w:endnotePr>
            <w:numFmt w:val="decimal"/>
          </w:endnotePr>
          <w:pgSz w:w="11906" w:h="16838" w:code="9"/>
          <w:pgMar w:top="1418" w:right="1418" w:bottom="1134" w:left="1418" w:header="567" w:footer="567" w:gutter="0"/>
          <w:pgNumType w:fmt="lowerRoman"/>
          <w:cols w:space="720"/>
          <w:titlePg/>
        </w:sectPr>
      </w:pPr>
    </w:p>
    <w:bookmarkStart w:id="4" w:name="_Toc408831766"/>
    <w:bookmarkStart w:id="5" w:name="_Toc381953320"/>
    <w:p w14:paraId="3344AF08" w14:textId="2E88B49C" w:rsidR="00D20FD9" w:rsidRDefault="008E3E05" w:rsidP="00C66F55">
      <w:pPr>
        <w:pStyle w:val="Heading1"/>
      </w:pPr>
      <w:r>
        <w:rPr>
          <w:noProof/>
        </w:rPr>
        <mc:AlternateContent>
          <mc:Choice Requires="wps">
            <w:drawing>
              <wp:anchor distT="0" distB="0" distL="114300" distR="114300" simplePos="0" relativeHeight="251728896" behindDoc="1" locked="0" layoutInCell="1" allowOverlap="1" wp14:anchorId="2386AA4D" wp14:editId="35AC43DE">
                <wp:simplePos x="0" y="0"/>
                <wp:positionH relativeFrom="page">
                  <wp:posOffset>-9525</wp:posOffset>
                </wp:positionH>
                <wp:positionV relativeFrom="paragraph">
                  <wp:posOffset>-315926</wp:posOffset>
                </wp:positionV>
                <wp:extent cx="7610400" cy="1468800"/>
                <wp:effectExtent l="0" t="0" r="0" b="0"/>
                <wp:wrapNone/>
                <wp:docPr id="1" name="Rectangle 1"/>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5pt;margin-top:-24.9pt;width:599.25pt;height:115.6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wilQIAAIYFAAAOAAAAZHJzL2Uyb0RvYy54bWysVMFu2zAMvQ/YPwi6r7YDN02DOkXQosOA&#10;oi3aDj0rshQbkEVNUuJkXz9Kst2uK3YYloMimuQj+UTy4vLQKbIX1rWgK1qc5JQIzaFu9bai359v&#10;viwocZ7pminQoqJH4ejl6vOni94sxQwaULWwBEG0W/amoo33ZplljjeiY+4EjNColGA75lG026y2&#10;rEf0TmWzPJ9nPdjaWODCOfx6nZR0FfGlFNzfS+mEJ6qimJuPp43nJpzZ6oItt5aZpuVDGuwfsuhY&#10;qzHoBHXNPCM72/4B1bXcggPpTzh0GUjZchFrwGqK/F01Tw0zItaC5Dgz0eT+Hyy/2z9Y0tb4dpRo&#10;1uETPSJpTG+VIEWgpzduiVZP5sEOksNrqPUgbRf+sQpyiJQeJ0rFwROOH8/mRV7myDxHXVHOFwsU&#10;ECd7dTfW+a8COhIuFbUYPlLJ9rfOJ9PRJERzoNr6plUqCna7uVKW7Bm+bzEry8V8QP/NTOlgrCG4&#10;JcTwJQulpWLizR+VCHZKPwqJnGD6s5hJ7EYxxWGcC+2LpGpYLVL40xx/Y/TQv8EjVhoBA7LE+BP2&#10;ADBaJpARO2U52AdXEZt5cs7/llhynjxiZNB+cu5aDfYjAIVVDZGT/UhSoiawtIH6iB1jIY2SM/ym&#10;xXe7Zc4/MIuzg2+N+8Df4yEV9BWF4UZJA/bnR9+DPbY0ainpcRYr6n7smBWUqG8am/28KMswvFEo&#10;T89mKNi3ms1bjd51VxDaATeP4fEa7L0ar9JC94JrYx2iooppjrEryr0dhSufdgQuHi7W62iGA2uY&#10;v9VPhgfwwGroy+fDC7NmaF6PfX8H49yy5bseTrbBU8N650G2scFfeR34xmGPjTMsprBN3srR6nV9&#10;rn4BAAD//wMAUEsDBBQABgAIAAAAIQDpeiOe3gAAAAsBAAAPAAAAZHJzL2Rvd25yZXYueG1sTI/N&#10;TsMwEITvSLyDtUjcWiflLw1xKlQJDpE4tKV3N17iCHsdYrcNb8/2BKfd1Yxmv6lWk3fihGPsAynI&#10;5xkIpDaYnjoFH7vXWQEiJk1Gu0Co4AcjrOrrq0qXJpxpg6dt6gSHUCy1ApvSUEoZW4tex3kYkFj7&#10;DKPXic+xk2bUZw73Ti6y7FF63RN/sHrAtcX2a3v0CpoC7b57b9z03exyub57C3tcKHV7M708g0g4&#10;pT8zXPAZHWpmOoQjmSicgln+wE6e90uucDHkyydud+CtYE3Wlfzfof4FAAD//wMAUEsBAi0AFAAG&#10;AAgAAAAhALaDOJL+AAAA4QEAABMAAAAAAAAAAAAAAAAAAAAAAFtDb250ZW50X1R5cGVzXS54bWxQ&#10;SwECLQAUAAYACAAAACEAOP0h/9YAAACUAQAACwAAAAAAAAAAAAAAAAAvAQAAX3JlbHMvLnJlbHNQ&#10;SwECLQAUAAYACAAAACEAtbo8IpUCAACGBQAADgAAAAAAAAAAAAAAAAAuAgAAZHJzL2Uyb0RvYy54&#10;bWxQSwECLQAUAAYACAAAACEA6Xojnt4AAAALAQAADwAAAAAAAAAAAAAAAADvBAAAZHJzL2Rvd25y&#10;ZXYueG1sUEsFBgAAAAAEAAQA8wAAAPoFAAAAAA==&#10;" fillcolor="#124486" stroked="f" strokeweight="2pt">
                <w10:wrap anchorx="page"/>
              </v:rect>
            </w:pict>
          </mc:Fallback>
        </mc:AlternateContent>
      </w:r>
      <w:r w:rsidR="00197A18">
        <w:t>Executive s</w:t>
      </w:r>
      <w:r w:rsidR="0048295D">
        <w:t>ummary</w:t>
      </w:r>
      <w:bookmarkEnd w:id="4"/>
      <w:r w:rsidR="00976D59">
        <w:t xml:space="preserve"> </w:t>
      </w:r>
      <w:bookmarkEnd w:id="5"/>
    </w:p>
    <w:p w14:paraId="5244F9B7" w14:textId="253ECE89" w:rsidR="006406F5" w:rsidRDefault="006406F5" w:rsidP="006406F5">
      <w:r>
        <w:rPr>
          <w:szCs w:val="21"/>
        </w:rPr>
        <w:t>The</w:t>
      </w:r>
      <w:r w:rsidRPr="00A97BCA">
        <w:rPr>
          <w:szCs w:val="21"/>
        </w:rPr>
        <w:t xml:space="preserve"> </w:t>
      </w:r>
      <w:r w:rsidR="00FB3A40">
        <w:rPr>
          <w:szCs w:val="21"/>
        </w:rPr>
        <w:t>Australian</w:t>
      </w:r>
      <w:r w:rsidR="00FB3A40" w:rsidRPr="00A97BCA">
        <w:rPr>
          <w:szCs w:val="21"/>
        </w:rPr>
        <w:t xml:space="preserve"> </w:t>
      </w:r>
      <w:r w:rsidRPr="00A97BCA">
        <w:rPr>
          <w:szCs w:val="21"/>
        </w:rPr>
        <w:t>aid program support</w:t>
      </w:r>
      <w:r>
        <w:rPr>
          <w:szCs w:val="21"/>
        </w:rPr>
        <w:t>s</w:t>
      </w:r>
      <w:r w:rsidRPr="00A97BCA">
        <w:rPr>
          <w:szCs w:val="21"/>
        </w:rPr>
        <w:t xml:space="preserve"> partner governments to provide basic services</w:t>
      </w:r>
      <w:r>
        <w:rPr>
          <w:szCs w:val="21"/>
        </w:rPr>
        <w:t xml:space="preserve"> for human development</w:t>
      </w:r>
      <w:r w:rsidRPr="00A97BCA">
        <w:rPr>
          <w:szCs w:val="21"/>
        </w:rPr>
        <w:t xml:space="preserve">. </w:t>
      </w:r>
      <w:r>
        <w:rPr>
          <w:szCs w:val="21"/>
        </w:rPr>
        <w:t>I</w:t>
      </w:r>
      <w:r w:rsidRPr="00A97BCA">
        <w:rPr>
          <w:szCs w:val="21"/>
        </w:rPr>
        <w:t xml:space="preserve">n 2014-2015, </w:t>
      </w:r>
      <w:r>
        <w:rPr>
          <w:szCs w:val="21"/>
        </w:rPr>
        <w:t>close to half t</w:t>
      </w:r>
      <w:r w:rsidRPr="00A97BCA">
        <w:rPr>
          <w:szCs w:val="21"/>
        </w:rPr>
        <w:t xml:space="preserve">he aid </w:t>
      </w:r>
      <w:r>
        <w:rPr>
          <w:szCs w:val="21"/>
        </w:rPr>
        <w:t xml:space="preserve">budget </w:t>
      </w:r>
      <w:r w:rsidRPr="00A97BCA">
        <w:rPr>
          <w:szCs w:val="21"/>
        </w:rPr>
        <w:t xml:space="preserve">will </w:t>
      </w:r>
      <w:r>
        <w:rPr>
          <w:szCs w:val="21"/>
        </w:rPr>
        <w:t xml:space="preserve">be </w:t>
      </w:r>
      <w:r w:rsidRPr="00A97BCA">
        <w:rPr>
          <w:szCs w:val="21"/>
        </w:rPr>
        <w:t>spen</w:t>
      </w:r>
      <w:r>
        <w:rPr>
          <w:szCs w:val="21"/>
        </w:rPr>
        <w:t>t</w:t>
      </w:r>
      <w:r w:rsidRPr="00A97BCA">
        <w:rPr>
          <w:szCs w:val="21"/>
        </w:rPr>
        <w:t xml:space="preserve"> on education</w:t>
      </w:r>
      <w:r>
        <w:rPr>
          <w:szCs w:val="21"/>
        </w:rPr>
        <w:t xml:space="preserve"> (</w:t>
      </w:r>
      <w:r w:rsidRPr="00A97BCA">
        <w:rPr>
          <w:szCs w:val="21"/>
        </w:rPr>
        <w:t>23 per cent</w:t>
      </w:r>
      <w:r>
        <w:rPr>
          <w:szCs w:val="21"/>
        </w:rPr>
        <w:t>)</w:t>
      </w:r>
      <w:r w:rsidRPr="00A97BCA">
        <w:rPr>
          <w:szCs w:val="21"/>
        </w:rPr>
        <w:t xml:space="preserve">, health </w:t>
      </w:r>
      <w:r>
        <w:rPr>
          <w:szCs w:val="21"/>
        </w:rPr>
        <w:t>(</w:t>
      </w:r>
      <w:r w:rsidRPr="00A97BCA">
        <w:rPr>
          <w:szCs w:val="21"/>
        </w:rPr>
        <w:t>16 per cent</w:t>
      </w:r>
      <w:r>
        <w:rPr>
          <w:szCs w:val="21"/>
        </w:rPr>
        <w:t>)</w:t>
      </w:r>
      <w:r w:rsidRPr="00A97BCA">
        <w:rPr>
          <w:szCs w:val="21"/>
        </w:rPr>
        <w:t xml:space="preserve"> and </w:t>
      </w:r>
      <w:r>
        <w:rPr>
          <w:szCs w:val="21"/>
        </w:rPr>
        <w:t>infrastructure</w:t>
      </w:r>
      <w:r w:rsidRPr="002550D8">
        <w:rPr>
          <w:szCs w:val="21"/>
        </w:rPr>
        <w:t xml:space="preserve"> </w:t>
      </w:r>
      <w:r>
        <w:rPr>
          <w:szCs w:val="21"/>
        </w:rPr>
        <w:t>(</w:t>
      </w:r>
      <w:r w:rsidRPr="00A97BCA">
        <w:rPr>
          <w:szCs w:val="21"/>
        </w:rPr>
        <w:t>ten per cent</w:t>
      </w:r>
      <w:r>
        <w:rPr>
          <w:szCs w:val="21"/>
        </w:rPr>
        <w:t>).</w:t>
      </w:r>
      <w:r>
        <w:t xml:space="preserve"> Australia needs to protect these aid investments so that improvements in service systems are sustained into the future, and are replicated within and across partner countries. </w:t>
      </w:r>
    </w:p>
    <w:p w14:paraId="3B2CC0DD" w14:textId="5AC8A2ED" w:rsidR="006406F5" w:rsidRDefault="006406F5" w:rsidP="006406F5">
      <w:pPr>
        <w:rPr>
          <w:szCs w:val="21"/>
        </w:rPr>
      </w:pPr>
      <w:r>
        <w:rPr>
          <w:szCs w:val="21"/>
        </w:rPr>
        <w:t xml:space="preserve">In many of Australia’s partner countries, responsibilities for basic services have been transferred from the central government to lower levels of government; a process known as decentralisation. Working strategically within decentralised contexts is critical to providing successful </w:t>
      </w:r>
      <w:r w:rsidR="00FB3A40">
        <w:rPr>
          <w:szCs w:val="21"/>
        </w:rPr>
        <w:t xml:space="preserve">Australian </w:t>
      </w:r>
      <w:r>
        <w:rPr>
          <w:szCs w:val="21"/>
        </w:rPr>
        <w:t xml:space="preserve">aid. Decentralisation processes in most countries are complex and contested. They are affected by power dynamics between levels of government, and capacity and/or resource limitations at all levels. To support the development of </w:t>
      </w:r>
      <w:r w:rsidRPr="009170A8">
        <w:rPr>
          <w:szCs w:val="21"/>
        </w:rPr>
        <w:t>sustainable</w:t>
      </w:r>
      <w:r>
        <w:rPr>
          <w:szCs w:val="21"/>
        </w:rPr>
        <w:t xml:space="preserve"> service systems, Australia must navigate the competing interests that exist within and between different parts of government, the private sector and civil society. Australia also needs to ensure coherence between its own governance programs that support decentralisation and sector programs that support service systems.</w:t>
      </w:r>
    </w:p>
    <w:p w14:paraId="210A2335" w14:textId="108C1F0F" w:rsidR="006406F5" w:rsidRDefault="006406F5" w:rsidP="006406F5">
      <w:pPr>
        <w:spacing w:before="0" w:after="0" w:line="276" w:lineRule="auto"/>
      </w:pPr>
      <w:r>
        <w:t>This evaluation</w:t>
      </w:r>
      <w:r w:rsidRPr="009170A8">
        <w:t xml:space="preserve"> </w:t>
      </w:r>
      <w:r w:rsidR="008B68CE">
        <w:t>(conducted between December 2012 and April 2014)</w:t>
      </w:r>
      <w:r>
        <w:t xml:space="preserve"> examined Australia’s support for service systems in decentralised contexts. It </w:t>
      </w:r>
      <w:r w:rsidRPr="009170A8">
        <w:t>focuse</w:t>
      </w:r>
      <w:r>
        <w:t>d</w:t>
      </w:r>
      <w:r w:rsidRPr="009170A8">
        <w:t xml:space="preserve"> on </w:t>
      </w:r>
      <w:r>
        <w:t xml:space="preserve">three sectors: </w:t>
      </w:r>
      <w:r w:rsidRPr="009170A8">
        <w:t>health, education and infrastructure (water and sanitation services and roads)</w:t>
      </w:r>
      <w:r>
        <w:t>. Six</w:t>
      </w:r>
      <w:r w:rsidRPr="009170A8">
        <w:t xml:space="preserve"> countries </w:t>
      </w:r>
      <w:r>
        <w:t xml:space="preserve">– </w:t>
      </w:r>
      <w:r w:rsidRPr="009170A8">
        <w:t>Indonesia, Papua New Gui</w:t>
      </w:r>
      <w:r>
        <w:t>nea (PNG), the Philippines, Solomon Islands, Vietnam and Bangladesh –</w:t>
      </w:r>
      <w:r w:rsidRPr="009170A8">
        <w:t xml:space="preserve"> </w:t>
      </w:r>
      <w:r>
        <w:t>were selected, with the first t</w:t>
      </w:r>
      <w:r w:rsidRPr="009170A8">
        <w:t>hree examined in more depth through fieldwor</w:t>
      </w:r>
      <w:r>
        <w:t>k. The evaluation also drew on international literature, donor evaluations, staff consultation and organisational documents.</w:t>
      </w:r>
      <w:r w:rsidR="00693EB8">
        <w:t xml:space="preserve"> T</w:t>
      </w:r>
      <w:r w:rsidR="00AC558C">
        <w:t>his executive summary will focus on the overall assessment and findings related to the</w:t>
      </w:r>
      <w:r w:rsidRPr="007D4735">
        <w:t xml:space="preserve"> </w:t>
      </w:r>
      <w:r>
        <w:t>main</w:t>
      </w:r>
      <w:r w:rsidR="00AC558C">
        <w:t xml:space="preserve"> evaluation question, summarised in Table 1.  This is followed by more specific findings and recommendations related to each of the sub-questions for this evaluation.   </w:t>
      </w:r>
    </w:p>
    <w:p w14:paraId="1CF57BF4" w14:textId="77777777" w:rsidR="006406F5" w:rsidRPr="00C962EA" w:rsidRDefault="006406F5" w:rsidP="006406F5">
      <w:pPr>
        <w:pStyle w:val="Heading3"/>
        <w:ind w:left="0" w:firstLine="0"/>
      </w:pPr>
      <w:r w:rsidRPr="00C962EA">
        <w:t>How effective is Australian support for service delivery in decentralised contexts and how can it be improved?</w:t>
      </w:r>
    </w:p>
    <w:p w14:paraId="10A0EF00" w14:textId="30509DE3" w:rsidR="006406F5" w:rsidRDefault="006406F5" w:rsidP="006406F5">
      <w:pPr>
        <w:pStyle w:val="NormalBeforeBullet"/>
      </w:pPr>
      <w:r>
        <w:t xml:space="preserve">The Australian aid program has recognised, and begun to address, the challenges of working with partner governments to improve services in decentralised systems. In particular, efforts are being made to engage with a larger range of stakeholders and to work in low-capacity subnational settings. Australian aid has also started to focus on broader governance arrangements which are critical in service systems. </w:t>
      </w:r>
    </w:p>
    <w:p w14:paraId="64443417" w14:textId="3C52732A" w:rsidR="00AC558C" w:rsidRDefault="006406F5" w:rsidP="006406F5">
      <w:r>
        <w:t xml:space="preserve">The evaluation identified many examples where positive results have been achieved, </w:t>
      </w:r>
      <w:r w:rsidR="005757EF">
        <w:t>such as</w:t>
      </w:r>
      <w:r>
        <w:t xml:space="preserve"> a significant reduction of maternal deaths in target districts in Indonesia, increased rates of school building construction in PNG (including in remote areas) and stronger school-based management in the Philippines. The evaluation also identified </w:t>
      </w:r>
      <w:r w:rsidR="00143258">
        <w:t>how</w:t>
      </w:r>
      <w:r>
        <w:t xml:space="preserve"> Australian investments could be more effective.  </w:t>
      </w:r>
    </w:p>
    <w:p w14:paraId="7B963008" w14:textId="77777777" w:rsidR="006406F5" w:rsidRDefault="006406F5" w:rsidP="006406F5">
      <w:pPr>
        <w:pStyle w:val="TableName"/>
      </w:pPr>
      <w:r>
        <w:t>Table 1</w:t>
      </w:r>
      <w:r>
        <w:tab/>
        <w:t xml:space="preserve">Assessment of Australian support against six evaluation criteria </w:t>
      </w:r>
    </w:p>
    <w:tbl>
      <w:tblPr>
        <w:tblStyle w:val="TableGrid"/>
        <w:tblW w:w="9180" w:type="dxa"/>
        <w:tblLook w:val="04A0" w:firstRow="1" w:lastRow="0" w:firstColumn="1" w:lastColumn="0" w:noHBand="0" w:noVBand="1"/>
      </w:tblPr>
      <w:tblGrid>
        <w:gridCol w:w="1526"/>
        <w:gridCol w:w="1843"/>
        <w:gridCol w:w="5811"/>
      </w:tblGrid>
      <w:tr w:rsidR="006406F5" w14:paraId="105EF431" w14:textId="77777777" w:rsidTr="00FE37CC">
        <w:trPr>
          <w:cnfStyle w:val="100000000000" w:firstRow="1" w:lastRow="0" w:firstColumn="0" w:lastColumn="0" w:oddVBand="0" w:evenVBand="0" w:oddHBand="0" w:evenHBand="0" w:firstRowFirstColumn="0" w:firstRowLastColumn="0" w:lastRowFirstColumn="0" w:lastRowLastColumn="0"/>
        </w:trPr>
        <w:tc>
          <w:tcPr>
            <w:tcW w:w="1526" w:type="dxa"/>
          </w:tcPr>
          <w:p w14:paraId="4BBD96F8" w14:textId="77777777" w:rsidR="006406F5" w:rsidRPr="00E0736D" w:rsidRDefault="006406F5" w:rsidP="006406F5">
            <w:pPr>
              <w:rPr>
                <w:color w:val="FFFFFF" w:themeColor="background1"/>
              </w:rPr>
            </w:pPr>
            <w:r w:rsidRPr="00E0736D">
              <w:rPr>
                <w:color w:val="FFFFFF" w:themeColor="background1"/>
              </w:rPr>
              <w:t>Criteria</w:t>
            </w:r>
          </w:p>
        </w:tc>
        <w:tc>
          <w:tcPr>
            <w:tcW w:w="1843" w:type="dxa"/>
          </w:tcPr>
          <w:p w14:paraId="43558FDF" w14:textId="77777777" w:rsidR="006406F5" w:rsidRPr="00E0736D" w:rsidRDefault="006406F5" w:rsidP="006406F5">
            <w:pPr>
              <w:rPr>
                <w:color w:val="FFFFFF" w:themeColor="background1"/>
              </w:rPr>
            </w:pPr>
            <w:r w:rsidRPr="00E0736D">
              <w:rPr>
                <w:color w:val="FFFFFF" w:themeColor="background1"/>
              </w:rPr>
              <w:t>Assessment</w:t>
            </w:r>
          </w:p>
        </w:tc>
        <w:tc>
          <w:tcPr>
            <w:tcW w:w="5811" w:type="dxa"/>
          </w:tcPr>
          <w:p w14:paraId="447D2771" w14:textId="77777777" w:rsidR="006406F5" w:rsidRPr="00E0736D" w:rsidRDefault="006406F5" w:rsidP="006406F5">
            <w:pPr>
              <w:rPr>
                <w:color w:val="FFFFFF" w:themeColor="background1"/>
              </w:rPr>
            </w:pPr>
            <w:r w:rsidRPr="00E0736D">
              <w:rPr>
                <w:color w:val="FFFFFF" w:themeColor="background1"/>
              </w:rPr>
              <w:t>Finding</w:t>
            </w:r>
          </w:p>
        </w:tc>
      </w:tr>
      <w:tr w:rsidR="006406F5" w14:paraId="1AFD8551" w14:textId="77777777" w:rsidTr="00FE37CC">
        <w:tc>
          <w:tcPr>
            <w:tcW w:w="1526" w:type="dxa"/>
          </w:tcPr>
          <w:p w14:paraId="25CAC2FC" w14:textId="77777777" w:rsidR="006406F5" w:rsidRDefault="006406F5" w:rsidP="006406F5">
            <w:r>
              <w:t>Analysis and learning</w:t>
            </w:r>
          </w:p>
        </w:tc>
        <w:tc>
          <w:tcPr>
            <w:tcW w:w="1843" w:type="dxa"/>
          </w:tcPr>
          <w:p w14:paraId="6EA70673" w14:textId="77777777" w:rsidR="006406F5" w:rsidRDefault="006406F5" w:rsidP="006406F5">
            <w:pPr>
              <w:ind w:left="34"/>
            </w:pPr>
            <w:r>
              <w:t>Improving but currently insufficient</w:t>
            </w:r>
          </w:p>
        </w:tc>
        <w:tc>
          <w:tcPr>
            <w:tcW w:w="5811" w:type="dxa"/>
          </w:tcPr>
          <w:p w14:paraId="18AF5FDE" w14:textId="77777777" w:rsidR="006406F5" w:rsidRDefault="006406F5" w:rsidP="006406F5">
            <w:r>
              <w:t>Analysis</w:t>
            </w:r>
            <w:r w:rsidRPr="00921A4C">
              <w:t xml:space="preserve"> </w:t>
            </w:r>
            <w:r>
              <w:t>and learning of decentralisation issues needs to be more systematic and detailed. Appropriate contextual analysis at subnational level is often missing</w:t>
            </w:r>
            <w:r w:rsidRPr="00B166F2">
              <w:t xml:space="preserve"> </w:t>
            </w:r>
          </w:p>
        </w:tc>
      </w:tr>
      <w:tr w:rsidR="006406F5" w14:paraId="1F421E02" w14:textId="77777777" w:rsidTr="00FE37CC">
        <w:tc>
          <w:tcPr>
            <w:tcW w:w="1526" w:type="dxa"/>
          </w:tcPr>
          <w:p w14:paraId="0AF03AB6" w14:textId="77777777" w:rsidR="006406F5" w:rsidRDefault="006406F5" w:rsidP="006406F5">
            <w:r>
              <w:t>Alignment and relevance</w:t>
            </w:r>
          </w:p>
        </w:tc>
        <w:tc>
          <w:tcPr>
            <w:tcW w:w="1843" w:type="dxa"/>
          </w:tcPr>
          <w:p w14:paraId="3D091A21" w14:textId="77777777" w:rsidR="006406F5" w:rsidRDefault="006406F5" w:rsidP="006406F5">
            <w:r>
              <w:t>Mostly appropriate</w:t>
            </w:r>
          </w:p>
        </w:tc>
        <w:tc>
          <w:tcPr>
            <w:tcW w:w="5811" w:type="dxa"/>
          </w:tcPr>
          <w:p w14:paraId="213C3ECE" w14:textId="77777777" w:rsidR="006406F5" w:rsidRDefault="006406F5" w:rsidP="006406F5">
            <w:r>
              <w:t xml:space="preserve">Australian assistance is aligned and relevant to national-level priorities but alignment and relevance to subnational priorities is variable. </w:t>
            </w:r>
          </w:p>
        </w:tc>
      </w:tr>
      <w:tr w:rsidR="006406F5" w14:paraId="66D2480D" w14:textId="77777777" w:rsidTr="00FE37CC">
        <w:tc>
          <w:tcPr>
            <w:tcW w:w="1526" w:type="dxa"/>
          </w:tcPr>
          <w:p w14:paraId="4685FCE8" w14:textId="77777777" w:rsidR="006406F5" w:rsidRDefault="006406F5" w:rsidP="006406F5">
            <w:r>
              <w:t>Balance of engagement</w:t>
            </w:r>
          </w:p>
        </w:tc>
        <w:tc>
          <w:tcPr>
            <w:tcW w:w="1843" w:type="dxa"/>
          </w:tcPr>
          <w:p w14:paraId="1D442361" w14:textId="77777777" w:rsidR="006406F5" w:rsidRDefault="006406F5" w:rsidP="006406F5">
            <w:r>
              <w:t>Varied, mostly not appropriate</w:t>
            </w:r>
          </w:p>
        </w:tc>
        <w:tc>
          <w:tcPr>
            <w:tcW w:w="5811" w:type="dxa"/>
          </w:tcPr>
          <w:p w14:paraId="5A0E0492" w14:textId="77777777" w:rsidR="006406F5" w:rsidRDefault="006406F5" w:rsidP="006406F5">
            <w:r>
              <w:t>Staff recognised the need to engage concurrently at both national and subnational levels, but in practice this is often not achieved. A better balance of engagement across sectoral ministries, central ministries, elected leaders, local administrations, communities and civil society is needed.</w:t>
            </w:r>
          </w:p>
        </w:tc>
      </w:tr>
      <w:tr w:rsidR="006406F5" w14:paraId="3A83C75F" w14:textId="77777777" w:rsidTr="00FE37CC">
        <w:tc>
          <w:tcPr>
            <w:tcW w:w="1526" w:type="dxa"/>
          </w:tcPr>
          <w:p w14:paraId="2C2313F5" w14:textId="77777777" w:rsidR="006406F5" w:rsidRDefault="006406F5" w:rsidP="006406F5">
            <w:r>
              <w:t>Sustainability</w:t>
            </w:r>
          </w:p>
        </w:tc>
        <w:tc>
          <w:tcPr>
            <w:tcW w:w="1843" w:type="dxa"/>
          </w:tcPr>
          <w:p w14:paraId="58C173CC" w14:textId="77777777" w:rsidR="006406F5" w:rsidRDefault="006406F5" w:rsidP="006406F5">
            <w:r>
              <w:t>Varied success</w:t>
            </w:r>
          </w:p>
        </w:tc>
        <w:tc>
          <w:tcPr>
            <w:tcW w:w="5811" w:type="dxa"/>
          </w:tcPr>
          <w:p w14:paraId="10843221" w14:textId="77777777" w:rsidR="006406F5" w:rsidRDefault="006406F5" w:rsidP="006406F5">
            <w:r>
              <w:t xml:space="preserve">Limited ownership at local levels of government mean it is likely that some gains made through aid support will be lost over time. Good practice examples of facilitating local ownership and effective capacity building could be built upon and replicated. </w:t>
            </w:r>
          </w:p>
        </w:tc>
      </w:tr>
      <w:tr w:rsidR="006406F5" w14:paraId="74F193DE" w14:textId="77777777" w:rsidTr="00FE37CC">
        <w:tc>
          <w:tcPr>
            <w:tcW w:w="1526" w:type="dxa"/>
          </w:tcPr>
          <w:p w14:paraId="6C8467DE" w14:textId="77777777" w:rsidR="006406F5" w:rsidRDefault="006406F5" w:rsidP="006406F5">
            <w:r>
              <w:t>Equity</w:t>
            </w:r>
          </w:p>
        </w:tc>
        <w:tc>
          <w:tcPr>
            <w:tcW w:w="1843" w:type="dxa"/>
          </w:tcPr>
          <w:p w14:paraId="2E91A01E" w14:textId="77777777" w:rsidR="006406F5" w:rsidRDefault="006406F5" w:rsidP="006406F5">
            <w:r>
              <w:t xml:space="preserve">Sufficient regarding poverty. Insufficient regarding gender. </w:t>
            </w:r>
          </w:p>
        </w:tc>
        <w:tc>
          <w:tcPr>
            <w:tcW w:w="5811" w:type="dxa"/>
          </w:tcPr>
          <w:p w14:paraId="23B86B1A" w14:textId="77777777" w:rsidR="006406F5" w:rsidRDefault="006406F5" w:rsidP="006406F5">
            <w:r>
              <w:t xml:space="preserve">Well targeted in terms of poverty. Insufficient attention is given to service needs of different groups including women and marginalised people </w:t>
            </w:r>
          </w:p>
        </w:tc>
      </w:tr>
      <w:tr w:rsidR="006406F5" w14:paraId="6ADA40C4" w14:textId="77777777" w:rsidTr="00FE37CC">
        <w:tc>
          <w:tcPr>
            <w:tcW w:w="1526" w:type="dxa"/>
          </w:tcPr>
          <w:p w14:paraId="72C29A2A" w14:textId="77777777" w:rsidR="006406F5" w:rsidRDefault="006406F5" w:rsidP="006406F5">
            <w:r>
              <w:t>Coherence</w:t>
            </w:r>
          </w:p>
        </w:tc>
        <w:tc>
          <w:tcPr>
            <w:tcW w:w="1843" w:type="dxa"/>
          </w:tcPr>
          <w:p w14:paraId="2EA13A77" w14:textId="77777777" w:rsidR="006406F5" w:rsidRDefault="006406F5" w:rsidP="006406F5">
            <w:r>
              <w:t>Improving but currently insufficient</w:t>
            </w:r>
          </w:p>
        </w:tc>
        <w:tc>
          <w:tcPr>
            <w:tcW w:w="5811" w:type="dxa"/>
          </w:tcPr>
          <w:p w14:paraId="7A4CAEC9" w14:textId="77777777" w:rsidR="006406F5" w:rsidRDefault="006406F5" w:rsidP="006406F5">
            <w:r>
              <w:t>Lack of coherence within country programs and at the subnational level. A stronger focus on governance aspects of sector support could improve coherence. Strategic coordination is needed across the aid program.</w:t>
            </w:r>
          </w:p>
        </w:tc>
      </w:tr>
    </w:tbl>
    <w:p w14:paraId="51F380AF" w14:textId="77777777" w:rsidR="006406F5" w:rsidRDefault="006406F5" w:rsidP="006406F5"/>
    <w:p w14:paraId="4F71E820" w14:textId="6F3EC44A" w:rsidR="00AC558C" w:rsidRPr="00AC558C" w:rsidRDefault="00AC558C" w:rsidP="00AC558C">
      <w:pPr>
        <w:pStyle w:val="Heading3"/>
      </w:pPr>
      <w:r>
        <w:t>Findings and recommendations to improve program effectiveness</w:t>
      </w:r>
    </w:p>
    <w:p w14:paraId="2D3E8F64" w14:textId="77777777" w:rsidR="006406F5" w:rsidRPr="00C962EA" w:rsidRDefault="006406F5" w:rsidP="006406F5">
      <w:pPr>
        <w:pStyle w:val="BodyText"/>
        <w:rPr>
          <w:b/>
          <w:color w:val="auto"/>
          <w:sz w:val="22"/>
          <w:szCs w:val="28"/>
        </w:rPr>
      </w:pPr>
      <w:r w:rsidRPr="00C962EA">
        <w:rPr>
          <w:rFonts w:ascii="Arial" w:hAnsi="Arial"/>
          <w:b/>
          <w:bCs/>
          <w:color w:val="auto"/>
          <w:sz w:val="22"/>
          <w:szCs w:val="28"/>
        </w:rPr>
        <w:t xml:space="preserve">What key implementation lessons and good practice would improve sectoral programming in decentralised contexts? </w:t>
      </w:r>
    </w:p>
    <w:p w14:paraId="540FAD85" w14:textId="49AC1153" w:rsidR="006406F5" w:rsidRDefault="00FC6CD4" w:rsidP="006406F5">
      <w:r>
        <w:t>Program</w:t>
      </w:r>
      <w:r w:rsidR="00481C97">
        <w:t>s</w:t>
      </w:r>
      <w:r>
        <w:t xml:space="preserve"> need to choose s</w:t>
      </w:r>
      <w:r w:rsidR="006406F5">
        <w:t>trategic entry points for Australian aid across service systems. The</w:t>
      </w:r>
      <w:r>
        <w:t>y also need to consider the</w:t>
      </w:r>
      <w:r w:rsidR="006406F5">
        <w:t xml:space="preserve"> resource implications of working across subnational locations </w:t>
      </w:r>
      <w:r w:rsidR="006406F5" w:rsidRPr="00FC7213">
        <w:t xml:space="preserve">and </w:t>
      </w:r>
      <w:r w:rsidR="006406F5">
        <w:t xml:space="preserve">the </w:t>
      </w:r>
      <w:r w:rsidR="006406F5" w:rsidRPr="00FC7213">
        <w:t xml:space="preserve">potential to </w:t>
      </w:r>
      <w:r w:rsidR="006406F5">
        <w:t>apply</w:t>
      </w:r>
      <w:r w:rsidR="006406F5" w:rsidRPr="00FC7213">
        <w:t xml:space="preserve"> learning </w:t>
      </w:r>
      <w:r w:rsidR="006406F5">
        <w:t>to other places.</w:t>
      </w:r>
    </w:p>
    <w:p w14:paraId="78809803" w14:textId="77777777" w:rsidR="006406F5" w:rsidRDefault="006406F5" w:rsidP="006406F5">
      <w:pPr>
        <w:pStyle w:val="NormalBeforeBullet"/>
      </w:pPr>
      <w:r>
        <w:t xml:space="preserve">Strategies to improve engagement at the </w:t>
      </w:r>
      <w:r w:rsidRPr="00717286">
        <w:rPr>
          <w:b/>
        </w:rPr>
        <w:t>national</w:t>
      </w:r>
      <w:r>
        <w:rPr>
          <w:b/>
        </w:rPr>
        <w:t xml:space="preserve"> </w:t>
      </w:r>
      <w:r w:rsidRPr="00147351">
        <w:t>level</w:t>
      </w:r>
      <w:r w:rsidRPr="00E241C5">
        <w:t xml:space="preserve"> </w:t>
      </w:r>
      <w:r>
        <w:t>include:</w:t>
      </w:r>
    </w:p>
    <w:p w14:paraId="78549CFA" w14:textId="77777777" w:rsidR="006406F5" w:rsidRDefault="006406F5" w:rsidP="006406F5">
      <w:pPr>
        <w:pStyle w:val="Bullet"/>
      </w:pPr>
      <w:r>
        <w:t xml:space="preserve">using examples of approaches that have been shown to work at local levels to influence national governments in the design of larger-scale systems </w:t>
      </w:r>
    </w:p>
    <w:p w14:paraId="6117269E" w14:textId="77777777" w:rsidR="006406F5" w:rsidRDefault="006406F5" w:rsidP="006406F5">
      <w:pPr>
        <w:pStyle w:val="BulletLast"/>
      </w:pPr>
      <w:r>
        <w:t xml:space="preserve">assisting different parts of partner governments to align </w:t>
      </w:r>
    </w:p>
    <w:p w14:paraId="503168B8" w14:textId="77777777" w:rsidR="006406F5" w:rsidRDefault="006406F5" w:rsidP="006406F5">
      <w:pPr>
        <w:pStyle w:val="Bullet"/>
      </w:pPr>
      <w:r>
        <w:t>identifying governance as a cross cutting issue in country-level strategies</w:t>
      </w:r>
    </w:p>
    <w:p w14:paraId="01850E58" w14:textId="77777777" w:rsidR="006406F5" w:rsidRDefault="006406F5" w:rsidP="006406F5">
      <w:pPr>
        <w:pStyle w:val="BulletLast"/>
        <w:numPr>
          <w:ilvl w:val="0"/>
          <w:numId w:val="0"/>
        </w:numPr>
        <w:ind w:left="284" w:hanging="284"/>
      </w:pPr>
      <w:r>
        <w:t xml:space="preserve">Strategies to improve engagement at the </w:t>
      </w:r>
      <w:r w:rsidRPr="00CD3332">
        <w:rPr>
          <w:b/>
        </w:rPr>
        <w:t>subnational</w:t>
      </w:r>
      <w:r w:rsidRPr="00E241C5">
        <w:t xml:space="preserve"> </w:t>
      </w:r>
      <w:r>
        <w:t xml:space="preserve">level include: </w:t>
      </w:r>
    </w:p>
    <w:p w14:paraId="68840282" w14:textId="77777777" w:rsidR="006406F5" w:rsidRDefault="006406F5" w:rsidP="006406F5">
      <w:pPr>
        <w:pStyle w:val="Bullet"/>
      </w:pPr>
      <w:r>
        <w:t>consulting with subnational authorities during design</w:t>
      </w:r>
    </w:p>
    <w:p w14:paraId="2B612C71" w14:textId="77777777" w:rsidR="006406F5" w:rsidRDefault="006406F5" w:rsidP="006406F5">
      <w:pPr>
        <w:pStyle w:val="Bullet"/>
      </w:pPr>
      <w:r>
        <w:t xml:space="preserve">using incentives to improve performance </w:t>
      </w:r>
    </w:p>
    <w:p w14:paraId="49F2A99E" w14:textId="77777777" w:rsidR="006406F5" w:rsidRDefault="006406F5" w:rsidP="006406F5">
      <w:pPr>
        <w:pStyle w:val="Bullet"/>
      </w:pPr>
      <w:r>
        <w:t>capitalising on local leadership, at the same time as recognising the risk of changes in leadership</w:t>
      </w:r>
    </w:p>
    <w:p w14:paraId="7D61DF92" w14:textId="77777777" w:rsidR="006406F5" w:rsidRDefault="006406F5" w:rsidP="006406F5">
      <w:pPr>
        <w:pStyle w:val="Bullet"/>
      </w:pPr>
      <w:r>
        <w:t xml:space="preserve">locating aid program staff at middle levels of government </w:t>
      </w:r>
    </w:p>
    <w:p w14:paraId="2ECAE7B0" w14:textId="77777777" w:rsidR="006406F5" w:rsidRDefault="006406F5" w:rsidP="006406F5">
      <w:pPr>
        <w:pStyle w:val="BulletLast"/>
      </w:pPr>
      <w:r>
        <w:t>building capacity for financial management at the subnational level where there is high fiduciary risk.</w:t>
      </w:r>
    </w:p>
    <w:p w14:paraId="39272A52" w14:textId="77777777" w:rsidR="006406F5" w:rsidRDefault="006406F5" w:rsidP="006406F5">
      <w:pPr>
        <w:pStyle w:val="RecommendationName"/>
      </w:pPr>
      <w:r w:rsidRPr="005B76CB">
        <w:t>Recommendation</w:t>
      </w:r>
      <w:r>
        <w:t xml:space="preserve"> 1</w:t>
      </w:r>
    </w:p>
    <w:p w14:paraId="2E8F6E65" w14:textId="4B3FCEE8" w:rsidR="006406F5" w:rsidRDefault="006406F5" w:rsidP="006406F5">
      <w:pPr>
        <w:pStyle w:val="RecommendationText"/>
      </w:pPr>
      <w:r>
        <w:t>DFAT should continue to trial new programming strategies in decentralised contexts, using the</w:t>
      </w:r>
      <w:r w:rsidRPr="004E2E85">
        <w:t xml:space="preserve"> </w:t>
      </w:r>
      <w:r>
        <w:t xml:space="preserve">practice notes developed in this evaluation, </w:t>
      </w:r>
      <w:r w:rsidR="00FC6CD4">
        <w:t>together</w:t>
      </w:r>
      <w:r>
        <w:t xml:space="preserve"> with </w:t>
      </w:r>
      <w:r w:rsidR="00FC6CD4">
        <w:t>mandatory program management requirements (value for money, risk, monitoring)</w:t>
      </w:r>
      <w:r>
        <w:t xml:space="preserve">.  </w:t>
      </w:r>
    </w:p>
    <w:p w14:paraId="4F8AF407" w14:textId="77777777" w:rsidR="006406F5" w:rsidRPr="00AF7268" w:rsidRDefault="006406F5" w:rsidP="006406F5">
      <w:pPr>
        <w:pStyle w:val="Heading5"/>
        <w:rPr>
          <w:b/>
          <w:szCs w:val="28"/>
        </w:rPr>
      </w:pPr>
      <w:r w:rsidRPr="00AF7268">
        <w:rPr>
          <w:b/>
          <w:i w:val="0"/>
          <w:iCs w:val="0"/>
          <w:szCs w:val="28"/>
        </w:rPr>
        <w:t xml:space="preserve">Are decentralisation processes and the role of subnational government appropriately taken into account in sectoral designs and evaluations? </w:t>
      </w:r>
    </w:p>
    <w:p w14:paraId="20C09A7E" w14:textId="77777777" w:rsidR="006406F5" w:rsidRDefault="006406F5" w:rsidP="006406F5">
      <w:pPr>
        <w:pStyle w:val="NormalBeforeBullet"/>
      </w:pPr>
      <w:r>
        <w:t>The evaluation found that design and evaluation documents from the six countries have variable coverage of key issues concerning decentralis</w:t>
      </w:r>
      <w:r w:rsidRPr="00197A18">
        <w:t>ation and subnational roles in service delivery, with evaluations showing greater coverage. Designs</w:t>
      </w:r>
      <w:r>
        <w:t xml:space="preserve"> give limited justification for choices about: </w:t>
      </w:r>
    </w:p>
    <w:p w14:paraId="17F3A779" w14:textId="77777777" w:rsidR="006406F5" w:rsidRDefault="006406F5" w:rsidP="006406F5">
      <w:pPr>
        <w:pStyle w:val="Bullet"/>
      </w:pPr>
      <w:r>
        <w:t>engaging different parts of government</w:t>
      </w:r>
    </w:p>
    <w:p w14:paraId="796C7C4F" w14:textId="77777777" w:rsidR="006406F5" w:rsidRDefault="006406F5" w:rsidP="006406F5">
      <w:pPr>
        <w:pStyle w:val="Bullet"/>
      </w:pPr>
      <w:r>
        <w:t>selected subnational locations</w:t>
      </w:r>
    </w:p>
    <w:p w14:paraId="51E9DB1C" w14:textId="77777777" w:rsidR="006406F5" w:rsidRDefault="006406F5" w:rsidP="006406F5">
      <w:pPr>
        <w:pStyle w:val="BulletLast"/>
      </w:pPr>
      <w:r>
        <w:t xml:space="preserve">aid delivery modalities. </w:t>
      </w:r>
    </w:p>
    <w:p w14:paraId="1387971E" w14:textId="77777777" w:rsidR="006406F5" w:rsidRDefault="006406F5" w:rsidP="006406F5">
      <w:pPr>
        <w:pStyle w:val="Bullet"/>
        <w:numPr>
          <w:ilvl w:val="0"/>
          <w:numId w:val="0"/>
        </w:numPr>
      </w:pPr>
      <w:r>
        <w:t>Designs also have limited focus on the demand side of service delivery. Gender and equity concerns are usually touched upon, but there are inadequate capacity assessments and related activities designed for subnational authorities to address this area.</w:t>
      </w:r>
    </w:p>
    <w:p w14:paraId="53BD1A7C" w14:textId="77777777" w:rsidR="006406F5" w:rsidRPr="00FC7B2C" w:rsidRDefault="006406F5" w:rsidP="006406F5">
      <w:pPr>
        <w:pStyle w:val="RecommendationName"/>
      </w:pPr>
      <w:r w:rsidRPr="00FC7B2C">
        <w:t xml:space="preserve">Recommendation </w:t>
      </w:r>
      <w:r>
        <w:t>2</w:t>
      </w:r>
    </w:p>
    <w:p w14:paraId="18ADF6EB" w14:textId="69F17B29" w:rsidR="006406F5" w:rsidRDefault="006406F5" w:rsidP="006406F5">
      <w:pPr>
        <w:pStyle w:val="RecommendationText"/>
      </w:pPr>
      <w:r>
        <w:t xml:space="preserve">The design, monitoring and evaluation of sectoral programs in decentralised contexts </w:t>
      </w:r>
      <w:r w:rsidR="006757E9">
        <w:t xml:space="preserve">needs to consistently address decentralisation, for example through the </w:t>
      </w:r>
      <w:r>
        <w:t>following</w:t>
      </w:r>
    </w:p>
    <w:p w14:paraId="64E6501D" w14:textId="031F7DF1" w:rsidR="006406F5" w:rsidRDefault="006406F5" w:rsidP="006406F5">
      <w:pPr>
        <w:pStyle w:val="RecommendationSub"/>
      </w:pPr>
      <w:r>
        <w:t xml:space="preserve">i </w:t>
      </w:r>
      <w:r>
        <w:tab/>
        <w:t xml:space="preserve">a checklist </w:t>
      </w:r>
      <w:r w:rsidRPr="00FC7B2C">
        <w:t xml:space="preserve">of key issues for service </w:t>
      </w:r>
      <w:r w:rsidR="006757E9">
        <w:t>systems</w:t>
      </w:r>
      <w:r w:rsidR="006757E9" w:rsidRPr="00FC7B2C">
        <w:t xml:space="preserve"> </w:t>
      </w:r>
      <w:r w:rsidRPr="00FC7B2C">
        <w:t>in decentralised contexts</w:t>
      </w:r>
    </w:p>
    <w:p w14:paraId="729C51F5" w14:textId="77777777" w:rsidR="006406F5" w:rsidRDefault="006406F5" w:rsidP="006406F5">
      <w:pPr>
        <w:pStyle w:val="RecommendationSub"/>
      </w:pPr>
      <w:r>
        <w:t>ii</w:t>
      </w:r>
      <w:r>
        <w:tab/>
        <w:t>personnel with governance and local expertise to</w:t>
      </w:r>
      <w:r w:rsidDel="00D16FAF">
        <w:t xml:space="preserve"> </w:t>
      </w:r>
      <w:r>
        <w:t xml:space="preserve">review key program documents and provide input to design and evaluation teams </w:t>
      </w:r>
    </w:p>
    <w:p w14:paraId="720113A5" w14:textId="6A2F2B57" w:rsidR="006406F5" w:rsidRDefault="006406F5" w:rsidP="006406F5">
      <w:pPr>
        <w:pStyle w:val="RecommendationSub"/>
      </w:pPr>
      <w:r>
        <w:t>iii</w:t>
      </w:r>
      <w:r>
        <w:tab/>
        <w:t>management</w:t>
      </w:r>
      <w:r w:rsidR="006757E9">
        <w:t xml:space="preserve"> at post</w:t>
      </w:r>
      <w:r>
        <w:t xml:space="preserve"> to ensure sufficient </w:t>
      </w:r>
      <w:r w:rsidRPr="00516D95">
        <w:t>information</w:t>
      </w:r>
      <w:r>
        <w:t xml:space="preserve"> on subnational perspectives is made available (through fieldwork or other sources) to program staff and evaluation teams of sectoral programs</w:t>
      </w:r>
    </w:p>
    <w:p w14:paraId="2E5B9382" w14:textId="77777777" w:rsidR="006406F5" w:rsidRDefault="006406F5" w:rsidP="006406F5">
      <w:pPr>
        <w:pStyle w:val="RecommendationSub"/>
      </w:pPr>
      <w:r>
        <w:t>iv</w:t>
      </w:r>
      <w:r>
        <w:tab/>
        <w:t>key program d</w:t>
      </w:r>
      <w:r w:rsidRPr="00DE3CD6">
        <w:t xml:space="preserve">ocuments </w:t>
      </w:r>
      <w:r>
        <w:t>that</w:t>
      </w:r>
      <w:r w:rsidRPr="00DE3CD6">
        <w:t xml:space="preserve"> outline, where appropriate, </w:t>
      </w:r>
      <w:r>
        <w:t>the relevant issues, components and levels</w:t>
      </w:r>
      <w:r w:rsidRPr="00DE3CD6">
        <w:t xml:space="preserve"> </w:t>
      </w:r>
      <w:r>
        <w:t xml:space="preserve">of partner governments. </w:t>
      </w:r>
    </w:p>
    <w:p w14:paraId="0A36B1BB" w14:textId="77777777" w:rsidR="006406F5" w:rsidRPr="00AF7268" w:rsidRDefault="006406F5" w:rsidP="006406F5">
      <w:pPr>
        <w:pStyle w:val="Heading5"/>
        <w:spacing w:before="240"/>
        <w:rPr>
          <w:b/>
          <w:szCs w:val="28"/>
        </w:rPr>
      </w:pPr>
      <w:r w:rsidRPr="00AF7268">
        <w:rPr>
          <w:b/>
          <w:i w:val="0"/>
          <w:iCs w:val="0"/>
          <w:szCs w:val="28"/>
        </w:rPr>
        <w:t xml:space="preserve">Are decentralisation processes and the role of subnational government in service delivery appropriately taken into account in Australian aid policy and strategy? </w:t>
      </w:r>
    </w:p>
    <w:p w14:paraId="6F4CFBB1" w14:textId="1ED18E1F" w:rsidR="006406F5" w:rsidRDefault="006406F5" w:rsidP="006406F5">
      <w:r>
        <w:t xml:space="preserve">The evaluation found that strategy and policy guidance documents provide uneven analysis of decentralisation issues. Thematic strategy documents do not provide an adequate coverage of relevant issues and country strategies are variable in their coverage. </w:t>
      </w:r>
      <w:r w:rsidRPr="00CE3EBD">
        <w:t>Sector delivery strategies</w:t>
      </w:r>
      <w:r>
        <w:t xml:space="preserve"> (now sector investment plans) provide an appropria</w:t>
      </w:r>
      <w:r w:rsidR="00FC6CD4">
        <w:t>te level of relevant analysis. In relation to decentralisation t</w:t>
      </w:r>
      <w:r>
        <w:t xml:space="preserve">hese are critical documents where the analysis of various options, risks and choices related to decentralisation can be presented. </w:t>
      </w:r>
    </w:p>
    <w:p w14:paraId="7760AE4F" w14:textId="75224504" w:rsidR="006406F5" w:rsidRDefault="006406F5" w:rsidP="006406F5">
      <w:r>
        <w:t>Policy guidance documents that support the preparation of country and delivery strategies refer to ‘partner governments’ in an oversimplified way that does not reflect the wider range of sector agencies and subnational levels that comprise government systems. Focus at the national level tends to be concentrated on public financial management and risk management to the exclusion of broader public sector capabilities. The guidance does not prompt an examination of the different parts and capacities of a partner government in a decentralised context. Such prompts are necessary given the complexity of the issues and the number of choices that need to be made for effective programming.</w:t>
      </w:r>
    </w:p>
    <w:p w14:paraId="530BF406" w14:textId="77777777" w:rsidR="006406F5" w:rsidRDefault="006406F5" w:rsidP="006406F5">
      <w:pPr>
        <w:pStyle w:val="RecommendationName"/>
      </w:pPr>
      <w:r>
        <w:t>Recommendation 3</w:t>
      </w:r>
    </w:p>
    <w:p w14:paraId="0C9D769B" w14:textId="77777777" w:rsidR="006406F5" w:rsidRPr="00844338" w:rsidRDefault="006406F5" w:rsidP="006406F5">
      <w:pPr>
        <w:pStyle w:val="RecommendationText"/>
      </w:pPr>
      <w:r w:rsidRPr="00FB4494">
        <w:t xml:space="preserve">As DFAT </w:t>
      </w:r>
      <w:r>
        <w:t xml:space="preserve">updates key strategy </w:t>
      </w:r>
      <w:r w:rsidRPr="00FB4494">
        <w:t>and guidance documents</w:t>
      </w:r>
      <w:r>
        <w:t>,</w:t>
      </w:r>
      <w:r w:rsidRPr="00FB4494">
        <w:t xml:space="preserve"> decentralisation and subnational roles</w:t>
      </w:r>
      <w:r>
        <w:t xml:space="preserve"> should be considered</w:t>
      </w:r>
      <w:r w:rsidRPr="00FB4494">
        <w:t xml:space="preserve"> and staff </w:t>
      </w:r>
      <w:r>
        <w:t xml:space="preserve">referred </w:t>
      </w:r>
      <w:r w:rsidRPr="00FB4494">
        <w:t xml:space="preserve">to relevant resources, including </w:t>
      </w:r>
      <w:r>
        <w:t xml:space="preserve">the </w:t>
      </w:r>
      <w:r w:rsidRPr="00FB4494">
        <w:t xml:space="preserve">practice notes </w:t>
      </w:r>
      <w:r>
        <w:t xml:space="preserve">developed </w:t>
      </w:r>
      <w:r w:rsidRPr="00FB4494">
        <w:t xml:space="preserve">in this evaluation. </w:t>
      </w:r>
      <w:r>
        <w:t xml:space="preserve">In particular, DFAT should </w:t>
      </w:r>
      <w:r w:rsidRPr="00844338">
        <w:t xml:space="preserve">expand </w:t>
      </w:r>
      <w:r>
        <w:t>the</w:t>
      </w:r>
      <w:r w:rsidRPr="00844338">
        <w:t xml:space="preserve"> </w:t>
      </w:r>
      <w:r>
        <w:t xml:space="preserve">‘working in partner systems’ </w:t>
      </w:r>
      <w:r w:rsidRPr="00844338">
        <w:t xml:space="preserve">guidance and assessment tools beyond public financial management </w:t>
      </w:r>
      <w:r>
        <w:t xml:space="preserve">and risk management </w:t>
      </w:r>
      <w:r w:rsidRPr="00844338">
        <w:t>concerns</w:t>
      </w:r>
      <w:r>
        <w:t>, to include broader public sector capabilities such as human resources, monitoring and evaluation and sector-specific technical expertise</w:t>
      </w:r>
      <w:r w:rsidRPr="00844338">
        <w:t>.</w:t>
      </w:r>
    </w:p>
    <w:p w14:paraId="0FDBC56B" w14:textId="350C2835" w:rsidR="006406F5" w:rsidRPr="00E0736D" w:rsidRDefault="006406F5" w:rsidP="006406F5">
      <w:pPr>
        <w:pStyle w:val="Heading5"/>
        <w:spacing w:before="240"/>
        <w:rPr>
          <w:b/>
          <w:i w:val="0"/>
          <w:szCs w:val="28"/>
        </w:rPr>
      </w:pPr>
      <w:r>
        <w:rPr>
          <w:b/>
          <w:i w:val="0"/>
          <w:szCs w:val="28"/>
        </w:rPr>
        <w:t xml:space="preserve">Does the organisation </w:t>
      </w:r>
      <w:r w:rsidRPr="00E0736D">
        <w:rPr>
          <w:b/>
          <w:i w:val="0"/>
          <w:szCs w:val="28"/>
        </w:rPr>
        <w:t xml:space="preserve">support </w:t>
      </w:r>
      <w:r>
        <w:rPr>
          <w:b/>
          <w:i w:val="0"/>
          <w:szCs w:val="28"/>
        </w:rPr>
        <w:t xml:space="preserve">sector staff </w:t>
      </w:r>
      <w:r w:rsidRPr="00E0736D">
        <w:rPr>
          <w:b/>
          <w:i w:val="0"/>
          <w:szCs w:val="28"/>
        </w:rPr>
        <w:t>sufficiently to take decentralisation into account in sectoral programming?</w:t>
      </w:r>
    </w:p>
    <w:p w14:paraId="6CF3BC3C" w14:textId="2E9E8991" w:rsidR="0091555A" w:rsidRPr="0091555A" w:rsidRDefault="006406F5" w:rsidP="00FD7E38">
      <w:r>
        <w:t>A reasonable level of support is provided to staff by policy, strategies and through other learning opp</w:t>
      </w:r>
      <w:r w:rsidR="00FC6CD4">
        <w:t>ortunities. Program staff valued o</w:t>
      </w:r>
      <w:r>
        <w:t xml:space="preserve">n-the-job learning from advisers and colleagues (especially local staff with an understanding of local norms, culture and politics) </w:t>
      </w:r>
      <w:r w:rsidR="00FC6CD4">
        <w:t>as</w:t>
      </w:r>
      <w:r>
        <w:t xml:space="preserve"> important sourc</w:t>
      </w:r>
      <w:r w:rsidR="00FC6CD4">
        <w:t>es of knowledge</w:t>
      </w:r>
      <w:r>
        <w:t xml:space="preserve">. Program staff </w:t>
      </w:r>
      <w:r w:rsidR="00FC6CD4">
        <w:t xml:space="preserve">also </w:t>
      </w:r>
      <w:r>
        <w:t>valued</w:t>
      </w:r>
      <w:r w:rsidR="00FC6CD4">
        <w:t xml:space="preserve"> formal training in governance and working in partner systems.</w:t>
      </w:r>
    </w:p>
    <w:p w14:paraId="03FC0A6F" w14:textId="77777777" w:rsidR="006406F5" w:rsidRPr="00AF7268" w:rsidRDefault="006406F5" w:rsidP="006406F5">
      <w:pPr>
        <w:pStyle w:val="Heading5"/>
        <w:spacing w:before="240"/>
        <w:rPr>
          <w:b/>
          <w:szCs w:val="28"/>
        </w:rPr>
      </w:pPr>
      <w:r w:rsidRPr="00AF7268">
        <w:rPr>
          <w:b/>
          <w:i w:val="0"/>
          <w:szCs w:val="28"/>
        </w:rPr>
        <w:t>What is the level of interaction between service delivery and governance sectors, and how could such interaction be optimised to best support service delivery outcomes in decentralised contexts?</w:t>
      </w:r>
    </w:p>
    <w:p w14:paraId="77290309" w14:textId="77777777" w:rsidR="006406F5" w:rsidRDefault="006406F5" w:rsidP="006406F5">
      <w:r>
        <w:t xml:space="preserve">Where it exists, interaction between governance and other sectors offers valuable cross-fertilisation of ideas and sharing of resources. The integration of governance issues in service delivery programming is supported by governance advisers, governance programs and processes such as peer reviews, monitoring and annual reviews. It is likely that promoting cross-sector learning and improved knowledge management concerning decentralisation will be more effective if seen as the responsibility of senior level country program management rather than governance programs. </w:t>
      </w:r>
    </w:p>
    <w:p w14:paraId="7B6671BE" w14:textId="4D1BF4BF" w:rsidR="006406F5" w:rsidRDefault="006406F5" w:rsidP="006406F5">
      <w:pPr>
        <w:pStyle w:val="RecommendationName"/>
      </w:pPr>
      <w:r>
        <w:t xml:space="preserve">Recommendation </w:t>
      </w:r>
      <w:r w:rsidR="006757E9">
        <w:t>4</w:t>
      </w:r>
    </w:p>
    <w:p w14:paraId="2426816F" w14:textId="77777777" w:rsidR="006406F5" w:rsidRDefault="006406F5" w:rsidP="006406F5">
      <w:pPr>
        <w:pStyle w:val="RecommendationText"/>
        <w:spacing w:after="60"/>
      </w:pPr>
      <w:r>
        <w:t xml:space="preserve">DFAT should foster specific governance capability in areas related to decentralisation and subnational levels, in particular: </w:t>
      </w:r>
    </w:p>
    <w:p w14:paraId="74403917" w14:textId="77777777" w:rsidR="006406F5" w:rsidRPr="00197A18" w:rsidRDefault="006406F5" w:rsidP="006406F5">
      <w:pPr>
        <w:pStyle w:val="RecommendationSub"/>
        <w:spacing w:after="60"/>
      </w:pPr>
      <w:r>
        <w:t>i</w:t>
      </w:r>
      <w:r>
        <w:tab/>
        <w:t xml:space="preserve">incentives and mechanisms to </w:t>
      </w:r>
      <w:r w:rsidRPr="00197A18">
        <w:t>support governance and service delivery sector areas to work more strongly with one another</w:t>
      </w:r>
    </w:p>
    <w:p w14:paraId="5EDB2948" w14:textId="77777777" w:rsidR="006406F5" w:rsidRPr="00197A18" w:rsidRDefault="006406F5" w:rsidP="006406F5">
      <w:pPr>
        <w:pStyle w:val="RecommendationSub"/>
        <w:spacing w:after="60"/>
      </w:pPr>
      <w:r>
        <w:t>ii</w:t>
      </w:r>
      <w:r>
        <w:tab/>
      </w:r>
      <w:r w:rsidRPr="00197A18">
        <w:t>skills</w:t>
      </w:r>
      <w:r>
        <w:t xml:space="preserve"> and </w:t>
      </w:r>
      <w:r w:rsidRPr="00197A18">
        <w:t>knowledge</w:t>
      </w:r>
      <w:r>
        <w:t xml:space="preserve"> of</w:t>
      </w:r>
      <w:r w:rsidRPr="00197A18">
        <w:t>/resources</w:t>
      </w:r>
      <w:r>
        <w:t xml:space="preserve"> available to</w:t>
      </w:r>
      <w:r w:rsidRPr="00197A18">
        <w:t xml:space="preserve"> governance staff to communicate </w:t>
      </w:r>
      <w:r>
        <w:t xml:space="preserve">with </w:t>
      </w:r>
      <w:r w:rsidRPr="00197A18">
        <w:t>and support sector staff</w:t>
      </w:r>
    </w:p>
    <w:p w14:paraId="18CB87A6" w14:textId="4489331B" w:rsidR="006406F5" w:rsidRDefault="006406F5" w:rsidP="006406F5">
      <w:pPr>
        <w:pStyle w:val="RecommendationSub"/>
      </w:pPr>
      <w:r>
        <w:t>iii</w:t>
      </w:r>
      <w:r>
        <w:tab/>
      </w:r>
      <w:r w:rsidRPr="00197A18">
        <w:t xml:space="preserve">sector staff knowledge </w:t>
      </w:r>
      <w:r>
        <w:t>of</w:t>
      </w:r>
      <w:r w:rsidRPr="00197A18">
        <w:t xml:space="preserve"> gover</w:t>
      </w:r>
      <w:r>
        <w:t xml:space="preserve">nance and decentralisation </w:t>
      </w:r>
    </w:p>
    <w:p w14:paraId="665CFE0E" w14:textId="3581AB2A" w:rsidR="006757E9" w:rsidRDefault="006757E9" w:rsidP="006406F5">
      <w:pPr>
        <w:pStyle w:val="RecommendationSub"/>
      </w:pPr>
      <w:r>
        <w:t>V</w:t>
      </w:r>
      <w:r>
        <w:tab/>
      </w:r>
      <w:r w:rsidRPr="006757E9">
        <w:t xml:space="preserve">formal training opportunities and resources for on-the-job learning, </w:t>
      </w:r>
      <w:r w:rsidR="00140BDD">
        <w:t>that</w:t>
      </w:r>
      <w:r w:rsidR="00FD7E38">
        <w:t xml:space="preserve"> </w:t>
      </w:r>
      <w:r w:rsidR="00140BDD">
        <w:t xml:space="preserve">build </w:t>
      </w:r>
      <w:r w:rsidRPr="006757E9">
        <w:t>governance</w:t>
      </w:r>
      <w:r w:rsidR="00140BDD">
        <w:t xml:space="preserve"> and decentralisation knowledge of </w:t>
      </w:r>
      <w:r w:rsidRPr="006757E9">
        <w:t>sector</w:t>
      </w:r>
      <w:r w:rsidR="00140BDD">
        <w:t xml:space="preserve"> staff</w:t>
      </w:r>
      <w:r w:rsidRPr="006757E9">
        <w:t>.</w:t>
      </w:r>
    </w:p>
    <w:p w14:paraId="531FB2A3" w14:textId="77777777" w:rsidR="006406F5" w:rsidRDefault="006406F5" w:rsidP="006406F5"/>
    <w:bookmarkStart w:id="6" w:name="_Toc408831767"/>
    <w:p w14:paraId="7D5AC715" w14:textId="3F352D6E" w:rsidR="00C66F55" w:rsidRPr="00425ABB" w:rsidRDefault="00C66F55" w:rsidP="00425ABB">
      <w:pPr>
        <w:pStyle w:val="Heading1"/>
      </w:pPr>
      <w:r w:rsidRPr="00425ABB">
        <w:rPr>
          <w:noProof/>
        </w:rPr>
        <mc:AlternateContent>
          <mc:Choice Requires="wps">
            <w:drawing>
              <wp:anchor distT="0" distB="0" distL="114300" distR="114300" simplePos="0" relativeHeight="251810816" behindDoc="1" locked="0" layoutInCell="1" allowOverlap="1" wp14:anchorId="309CEBAD" wp14:editId="6D8D2EA5">
                <wp:simplePos x="0" y="0"/>
                <wp:positionH relativeFrom="page">
                  <wp:posOffset>-21027</wp:posOffset>
                </wp:positionH>
                <wp:positionV relativeFrom="paragraph">
                  <wp:posOffset>-215900</wp:posOffset>
                </wp:positionV>
                <wp:extent cx="7610400" cy="1468800"/>
                <wp:effectExtent l="0" t="0" r="0" b="0"/>
                <wp:wrapNone/>
                <wp:docPr id="22" name="Rectangle 22"/>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65pt;margin-top:-17pt;width:599.25pt;height:115.6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i8lwIAAIgFAAAOAAAAZHJzL2Uyb0RvYy54bWysVE1v2zAMvQ/YfxB0X/2BNE2DOkXQosOA&#10;oi3aDj0rshQbkEVNUuJkv36UZLtdV+wwLAdFFMlH8pnkxeWhU2QvrGtBV7Q4ySkRmkPd6m1Fvz/f&#10;fFlQ4jzTNVOgRUWPwtHL1edPF71ZihIaULWwBEG0W/amoo33ZplljjeiY+4EjNColGA75lG026y2&#10;rEf0TmVlns+zHmxtLHDhHL5eJyVdRXwpBff3Ujrhiaoo5ubjaeO5CWe2umDLrWWmafmQBvuHLDrW&#10;agw6QV0zz8jOtn9AdS234ED6Ew5dBlK2XMQasJoif1fNU8OMiLUgOc5MNLn/B8vv9g+WtHVFy5IS&#10;zTr8Ro/IGtNbJQi+IUG9cUu0ezIPdpAcXkO1B2m78I91kEMk9TiRKg6ecHw8mxf5LEfuOeqK2Xyx&#10;QAFxsld3Y53/KqAj4VJRi/EjmWx/63wyHU1CNAeqrW9apaJgt5srZcme4RcuytlsMR/QfzNTOhhr&#10;CG4JMbxkobRUTLz5oxLBTulHIZEVTL+MmcR+FFMcxrnQvkiqhtUihT/N8TdGDx0cPGKlETAgS4w/&#10;YQ8Ao2UCGbFTloN9cBWxnSfn/G+JJefJI0YG7SfnrtVgPwJQWNUQOdmPJCVqAksbqI/YMxbSMDnD&#10;b1r8brfM+QdmcXrwW+NG8Pd4SAV9RWG4UdKA/fnRe7DHpkYtJT1OY0Xdjx2zghL1TWO7nxezWRjf&#10;KMxOz0oU7FvN5q1G77orCO2Au8fweA32Xo1XaaF7wcWxDlFRxTTH2BXl3o7ClU9bAlcPF+t1NMOR&#10;Nczf6ifDA3hgNfTl8+GFWTM0r8e+v4NxctnyXQ8n2+CpYb3zINvY4K+8DnzjuMfGGVZT2Cdv5Wj1&#10;ukBXvwAAAP//AwBQSwMEFAAGAAgAAAAhAGK+PfHfAAAACwEAAA8AAABkcnMvZG93bnJldi54bWxM&#10;j0tPwzAQhO9I/Adrkbi1zoNHG+JUqBIcInGgpXc3XuKIeB1itw3/ns0JTrurGc1+U24m14szjqHz&#10;pCBdJiCQGm86ahV87F8WKxAhajK694QKfjDAprq+KnVh/IXe8byLreAQCoVWYGMcCilDY9HpsPQD&#10;EmuffnQ68jm20oz6wuGul1mSPEinO+IPVg+4tdh87U5OQb1Ce2jf6n76rvep3Oav/oCZUrc30/MT&#10;iIhT/DPDjM/oUDHT0Z/IBNErWOQ5O+d5x51mQ7q+z0AceVs/5iCrUv7vUP0CAAD//wMAUEsBAi0A&#10;FAAGAAgAAAAhALaDOJL+AAAA4QEAABMAAAAAAAAAAAAAAAAAAAAAAFtDb250ZW50X1R5cGVzXS54&#10;bWxQSwECLQAUAAYACAAAACEAOP0h/9YAAACUAQAACwAAAAAAAAAAAAAAAAAvAQAAX3JlbHMvLnJl&#10;bHNQSwECLQAUAAYACAAAACEA5qMovJcCAACIBQAADgAAAAAAAAAAAAAAAAAuAgAAZHJzL2Uyb0Rv&#10;Yy54bWxQSwECLQAUAAYACAAAACEAYr498d8AAAALAQAADwAAAAAAAAAAAAAAAADxBAAAZHJzL2Rv&#10;d25yZXYueG1sUEsFBgAAAAAEAAQA8wAAAP0FAAAAAA==&#10;" fillcolor="#124486" stroked="f" strokeweight="2pt">
                <w10:wrap anchorx="page"/>
              </v:rect>
            </w:pict>
          </mc:Fallback>
        </mc:AlternateContent>
      </w:r>
      <w:r w:rsidRPr="00425ABB">
        <w:t>Management Response</w:t>
      </w:r>
      <w:bookmarkEnd w:id="6"/>
    </w:p>
    <w:p w14:paraId="6D66146F" w14:textId="77777777" w:rsidR="00C66F55" w:rsidRPr="00425ABB" w:rsidRDefault="00C66F55" w:rsidP="00425ABB">
      <w:r w:rsidRPr="00425ABB">
        <w:t xml:space="preserve">DFAT welcomes the findings of this evaluation on working in decentralised service systems. As the evaluation notes, in many of Australia’s partner countries, responsibilities for the delivery of basic services have been decentralised. The evaluation therefore emphasises the importance of addressing decentralisation and subnational levels of government in Australia’s development programming. The report also notes that decentralisation processes are often complex and contested, and there is no conclusive evidence about whether decentralisation has improved the various dimensions of service delivery. It is therefore critical for Australia’s aid program to work strategically and flexibly within these different decentralised contexts. </w:t>
      </w:r>
    </w:p>
    <w:p w14:paraId="43AC30A8" w14:textId="34A7A4B5" w:rsidR="00C66F55" w:rsidRPr="00425ABB" w:rsidRDefault="00C66F55" w:rsidP="00425ABB">
      <w:pPr>
        <w:rPr>
          <w:rFonts w:cs="Arial"/>
          <w:color w:val="000000"/>
        </w:rPr>
      </w:pPr>
      <w:r w:rsidRPr="00425ABB">
        <w:t xml:space="preserve">DFAT agrees, or agrees in principle, with all four recommendations of the evaluation. However, since the release of this evaluation, DFAT’s new aid policy framework has given greater emphasis to an integrated approach to political, economic and social analysis within specific country contexts, and established a new requirement that such analysis underpin </w:t>
      </w:r>
      <w:r w:rsidRPr="00425ABB">
        <w:rPr>
          <w:i/>
        </w:rPr>
        <w:t>all</w:t>
      </w:r>
      <w:r w:rsidRPr="00425ABB">
        <w:t xml:space="preserve"> our programming decisions. To that end, DFAT proposes to address decentralisation issues </w:t>
      </w:r>
      <w:r w:rsidRPr="00425ABB">
        <w:rPr>
          <w:i/>
        </w:rPr>
        <w:t>as part of</w:t>
      </w:r>
      <w:r w:rsidRPr="00425ABB">
        <w:t xml:space="preserve"> the existing analytical and programming processes outlined in the new Aid Programming Guide, related aid thematic strategies and guidance notes. </w:t>
      </w:r>
    </w:p>
    <w:p w14:paraId="2DC60735" w14:textId="1E668128" w:rsidR="00C66F55" w:rsidRPr="00425ABB" w:rsidRDefault="00C66F55" w:rsidP="00425ABB">
      <w:pPr>
        <w:rPr>
          <w:rFonts w:cs="Franklin Gothic Book"/>
        </w:rPr>
      </w:pPr>
      <w:r w:rsidRPr="00425ABB">
        <w:rPr>
          <w:rFonts w:cs="Franklin Gothic Book"/>
        </w:rPr>
        <w:t xml:space="preserve">The evaluation’s recommendations and DFAT’s management response to them are listed in Table </w:t>
      </w:r>
      <w:r w:rsidR="001C3C29">
        <w:rPr>
          <w:rFonts w:cs="Franklin Gothic Book"/>
        </w:rPr>
        <w:t>2</w:t>
      </w:r>
      <w:r w:rsidRPr="00425ABB">
        <w:rPr>
          <w:rFonts w:cs="Franklin Gothic Book"/>
        </w:rPr>
        <w:t xml:space="preserve">. </w:t>
      </w:r>
    </w:p>
    <w:p w14:paraId="647D8ED0" w14:textId="73A6B924" w:rsidR="001C3C29" w:rsidRDefault="001C3C29" w:rsidP="001C3C29">
      <w:pPr>
        <w:pStyle w:val="TableName"/>
      </w:pPr>
      <w:r>
        <w:t>Table 2</w:t>
      </w:r>
      <w:r>
        <w:tab/>
        <w:t>DFAT’s management response to recommendations to improve program effectiveness in decentralised contexts</w:t>
      </w:r>
    </w:p>
    <w:tbl>
      <w:tblPr>
        <w:tblStyle w:val="TableGrid"/>
        <w:tblW w:w="5000" w:type="pct"/>
        <w:tblLook w:val="04A0" w:firstRow="1" w:lastRow="0" w:firstColumn="1" w:lastColumn="0" w:noHBand="0" w:noVBand="1"/>
      </w:tblPr>
      <w:tblGrid>
        <w:gridCol w:w="3192"/>
        <w:gridCol w:w="1229"/>
        <w:gridCol w:w="4821"/>
      </w:tblGrid>
      <w:tr w:rsidR="001C3C29" w:rsidRPr="003B5F1B" w14:paraId="34186C81" w14:textId="77777777" w:rsidTr="001C3C29">
        <w:trPr>
          <w:cnfStyle w:val="100000000000" w:firstRow="1" w:lastRow="0" w:firstColumn="0" w:lastColumn="0" w:oddVBand="0" w:evenVBand="0" w:oddHBand="0" w:evenHBand="0" w:firstRowFirstColumn="0" w:firstRowLastColumn="0" w:lastRowFirstColumn="0" w:lastRowLastColumn="0"/>
          <w:tblHeader/>
        </w:trPr>
        <w:tc>
          <w:tcPr>
            <w:tcW w:w="1727" w:type="pct"/>
          </w:tcPr>
          <w:p w14:paraId="648926D6" w14:textId="77777777" w:rsidR="001C3C29" w:rsidRPr="003B5F1B" w:rsidRDefault="001C3C29" w:rsidP="00425ABB">
            <w:pPr>
              <w:tabs>
                <w:tab w:val="left" w:pos="566"/>
                <w:tab w:val="center" w:pos="2398"/>
              </w:tabs>
              <w:jc w:val="both"/>
              <w:rPr>
                <w:rFonts w:cs="Franklin Gothic Book"/>
                <w:b/>
                <w:color w:val="FFFFFF" w:themeColor="background1"/>
                <w:szCs w:val="21"/>
              </w:rPr>
            </w:pPr>
            <w:r w:rsidRPr="003B5F1B">
              <w:rPr>
                <w:rFonts w:cs="Franklin Gothic Book"/>
                <w:b/>
                <w:color w:val="FFFFFF" w:themeColor="background1"/>
                <w:szCs w:val="21"/>
              </w:rPr>
              <w:t>Recommendation</w:t>
            </w:r>
          </w:p>
        </w:tc>
        <w:tc>
          <w:tcPr>
            <w:tcW w:w="665" w:type="pct"/>
          </w:tcPr>
          <w:p w14:paraId="5765C273" w14:textId="75E191A3" w:rsidR="001C3C29" w:rsidRPr="003B5F1B" w:rsidRDefault="001C3C29" w:rsidP="00425ABB">
            <w:pPr>
              <w:tabs>
                <w:tab w:val="left" w:pos="566"/>
                <w:tab w:val="center" w:pos="2398"/>
              </w:tabs>
              <w:jc w:val="both"/>
              <w:rPr>
                <w:rFonts w:cs="Franklin Gothic Book"/>
                <w:b/>
                <w:color w:val="FFFFFF" w:themeColor="background1"/>
                <w:szCs w:val="21"/>
              </w:rPr>
            </w:pPr>
            <w:r w:rsidRPr="003B5F1B">
              <w:rPr>
                <w:rFonts w:cs="Franklin Gothic Book"/>
                <w:b/>
                <w:color w:val="FFFFFF" w:themeColor="background1"/>
                <w:szCs w:val="21"/>
              </w:rPr>
              <w:t>Response</w:t>
            </w:r>
          </w:p>
        </w:tc>
        <w:tc>
          <w:tcPr>
            <w:tcW w:w="2608" w:type="pct"/>
          </w:tcPr>
          <w:p w14:paraId="7CA3D467" w14:textId="699D0E94" w:rsidR="001C3C29" w:rsidRPr="003B5F1B" w:rsidRDefault="001C3C29" w:rsidP="00425ABB">
            <w:pPr>
              <w:tabs>
                <w:tab w:val="left" w:pos="566"/>
                <w:tab w:val="center" w:pos="2398"/>
              </w:tabs>
              <w:jc w:val="both"/>
              <w:rPr>
                <w:rFonts w:cs="Franklin Gothic Book"/>
                <w:b/>
                <w:color w:val="FFFFFF" w:themeColor="background1"/>
                <w:szCs w:val="21"/>
              </w:rPr>
            </w:pPr>
            <w:r w:rsidRPr="003B5F1B">
              <w:rPr>
                <w:rFonts w:cs="Franklin Gothic Book"/>
                <w:b/>
                <w:color w:val="FFFFFF" w:themeColor="background1"/>
                <w:szCs w:val="21"/>
              </w:rPr>
              <w:t>Details</w:t>
            </w:r>
          </w:p>
        </w:tc>
      </w:tr>
      <w:tr w:rsidR="00C66F55" w:rsidRPr="003B5F1B" w14:paraId="2406EF18" w14:textId="77777777" w:rsidTr="001C3C29">
        <w:trPr>
          <w:trHeight w:val="614"/>
        </w:trPr>
        <w:tc>
          <w:tcPr>
            <w:tcW w:w="1727" w:type="pct"/>
          </w:tcPr>
          <w:p w14:paraId="280758B9" w14:textId="77777777" w:rsidR="00C66F55" w:rsidRPr="003B5F1B" w:rsidRDefault="00C66F55" w:rsidP="003B5F1B">
            <w:pPr>
              <w:tabs>
                <w:tab w:val="left" w:pos="566"/>
                <w:tab w:val="center" w:pos="2398"/>
              </w:tabs>
              <w:rPr>
                <w:rFonts w:cs="Franklin Gothic Book"/>
                <w:szCs w:val="21"/>
              </w:rPr>
            </w:pPr>
            <w:r w:rsidRPr="003B5F1B">
              <w:rPr>
                <w:rFonts w:cs="Franklin Gothic Book"/>
                <w:b/>
                <w:szCs w:val="21"/>
              </w:rPr>
              <w:t>Recommendation 1</w:t>
            </w:r>
            <w:r w:rsidRPr="003B5F1B">
              <w:rPr>
                <w:rFonts w:cs="Franklin Gothic Book"/>
                <w:szCs w:val="21"/>
              </w:rPr>
              <w:t xml:space="preserve">: DFAT should continue to trial new programming strategies in decentralised contexts, using the practice notes developed in this evaluation, together with mandatory program management requirements (value for money, risk, monitoring).  </w:t>
            </w:r>
          </w:p>
        </w:tc>
        <w:tc>
          <w:tcPr>
            <w:tcW w:w="665" w:type="pct"/>
          </w:tcPr>
          <w:p w14:paraId="3CE36C1A" w14:textId="77777777" w:rsidR="00C66F55" w:rsidRPr="003B5F1B" w:rsidRDefault="00C66F55" w:rsidP="003B5F1B">
            <w:pPr>
              <w:rPr>
                <w:rFonts w:cs="Franklin Gothic Book"/>
                <w:szCs w:val="21"/>
              </w:rPr>
            </w:pPr>
            <w:r w:rsidRPr="003B5F1B">
              <w:rPr>
                <w:rFonts w:cs="Franklin Gothic Book"/>
                <w:szCs w:val="21"/>
              </w:rPr>
              <w:t>Agree in principle</w:t>
            </w:r>
          </w:p>
        </w:tc>
        <w:tc>
          <w:tcPr>
            <w:tcW w:w="2608" w:type="pct"/>
          </w:tcPr>
          <w:p w14:paraId="7BB6F271" w14:textId="77777777" w:rsidR="00C66F55" w:rsidRPr="003B5F1B" w:rsidRDefault="00C66F55" w:rsidP="003B5F1B">
            <w:pPr>
              <w:rPr>
                <w:rFonts w:cs="Franklin Gothic Book"/>
                <w:i/>
                <w:szCs w:val="21"/>
              </w:rPr>
            </w:pPr>
            <w:r w:rsidRPr="003B5F1B">
              <w:rPr>
                <w:rFonts w:cs="Franklin Gothic Book"/>
                <w:szCs w:val="21"/>
              </w:rPr>
              <w:t>DFAT will continue to trial new programming strategies in decentralised contexts. Specific programming decisions will be informed by analysis of context and operate in accordance with relevant mandatory program requirements set out in the Aid Programming Guide.</w:t>
            </w:r>
          </w:p>
          <w:p w14:paraId="347FC074" w14:textId="77777777" w:rsidR="00C66F55" w:rsidRPr="003B5F1B" w:rsidRDefault="00C66F55" w:rsidP="003B5F1B">
            <w:pPr>
              <w:rPr>
                <w:rFonts w:cs="Franklin Gothic Book"/>
                <w:szCs w:val="21"/>
              </w:rPr>
            </w:pPr>
            <w:r w:rsidRPr="003B5F1B">
              <w:rPr>
                <w:rFonts w:cs="Franklin Gothic Book"/>
                <w:szCs w:val="21"/>
              </w:rPr>
              <w:t xml:space="preserve">However, rather than introducing additional practice notes, DFAT will consider incorporating the key analytical questions outlined in the evaluation’s draft practice notes into its existing guidance materials, such as the </w:t>
            </w:r>
            <w:r w:rsidRPr="003B5F1B">
              <w:rPr>
                <w:rFonts w:cs="Franklin Gothic Book"/>
                <w:i/>
                <w:szCs w:val="21"/>
              </w:rPr>
              <w:t>Analysis for AIPs: tools and techniques, Good Practice Note</w:t>
            </w:r>
            <w:r w:rsidRPr="003B5F1B">
              <w:rPr>
                <w:rFonts w:cs="Franklin Gothic Book"/>
                <w:szCs w:val="21"/>
              </w:rPr>
              <w:t xml:space="preserve">. </w:t>
            </w:r>
          </w:p>
        </w:tc>
      </w:tr>
      <w:tr w:rsidR="00C66F55" w:rsidRPr="003B5F1B" w14:paraId="33C49C78" w14:textId="77777777" w:rsidTr="001C3C29">
        <w:trPr>
          <w:trHeight w:val="4442"/>
        </w:trPr>
        <w:tc>
          <w:tcPr>
            <w:tcW w:w="1727" w:type="pct"/>
          </w:tcPr>
          <w:p w14:paraId="390F341A" w14:textId="77777777" w:rsidR="00C66F55" w:rsidRPr="003B5F1B" w:rsidRDefault="00C66F55" w:rsidP="003B5F1B">
            <w:pPr>
              <w:rPr>
                <w:rFonts w:cs="Franklin Gothic Book"/>
                <w:szCs w:val="21"/>
              </w:rPr>
            </w:pPr>
            <w:r w:rsidRPr="003B5F1B">
              <w:rPr>
                <w:rFonts w:cs="Franklin Gothic Book"/>
                <w:b/>
                <w:szCs w:val="21"/>
              </w:rPr>
              <w:t xml:space="preserve">Recommendation 2: </w:t>
            </w:r>
            <w:r w:rsidRPr="003B5F1B">
              <w:rPr>
                <w:rFonts w:cs="Franklin Gothic Book"/>
                <w:szCs w:val="21"/>
              </w:rPr>
              <w:t>Program managers should consistently address decentralisation in designing, monitoring and evaluating aid in decentralised contexts. Checklists, expert advice (e.g. on draft strategies, designs and evaluations), and improved access to country-specific information and analysis, may help to improve how aid managers think about and respond to decentralisation.</w:t>
            </w:r>
          </w:p>
        </w:tc>
        <w:tc>
          <w:tcPr>
            <w:tcW w:w="665" w:type="pct"/>
          </w:tcPr>
          <w:p w14:paraId="174E8EC2" w14:textId="77777777" w:rsidR="00C66F55" w:rsidRPr="003B5F1B" w:rsidRDefault="00C66F55" w:rsidP="003B5F1B">
            <w:pPr>
              <w:rPr>
                <w:rFonts w:cs="Franklin Gothic Book"/>
                <w:szCs w:val="21"/>
              </w:rPr>
            </w:pPr>
            <w:r w:rsidRPr="003B5F1B">
              <w:rPr>
                <w:rFonts w:cs="Franklin Gothic Book"/>
                <w:szCs w:val="21"/>
              </w:rPr>
              <w:t xml:space="preserve">Agree </w:t>
            </w:r>
          </w:p>
        </w:tc>
        <w:tc>
          <w:tcPr>
            <w:tcW w:w="2608" w:type="pct"/>
          </w:tcPr>
          <w:p w14:paraId="3BC75CA1" w14:textId="77777777" w:rsidR="00C66F55" w:rsidRPr="003B5F1B" w:rsidRDefault="00C66F55" w:rsidP="003B5F1B">
            <w:pPr>
              <w:rPr>
                <w:szCs w:val="21"/>
              </w:rPr>
            </w:pPr>
            <w:r w:rsidRPr="003B5F1B">
              <w:rPr>
                <w:szCs w:val="21"/>
              </w:rPr>
              <w:t xml:space="preserve">DFAT program managers will address decentralisation issues throughout the aid management cycle (as part of broader programming decisions, informed by country-specific analysis). </w:t>
            </w:r>
          </w:p>
          <w:p w14:paraId="6A395025" w14:textId="77777777" w:rsidR="00C66F55" w:rsidRPr="003B5F1B" w:rsidRDefault="00C66F55" w:rsidP="003B5F1B">
            <w:pPr>
              <w:rPr>
                <w:szCs w:val="21"/>
              </w:rPr>
            </w:pPr>
            <w:r w:rsidRPr="003B5F1B">
              <w:rPr>
                <w:szCs w:val="21"/>
              </w:rPr>
              <w:t>In terms of access to advice, DFAT has two Aid Advisory Services Standing Offers that can provide advice on decentralisation (9.3 Governance Reforms and Decentralisation and 13.1 Public Financial Management and Decentralisation). DFAT’s Development Policy Division (DPD) will continue to work with country teams to promote and share country-specific information and analysis, whether generated by DFAT or externally sourced.</w:t>
            </w:r>
          </w:p>
        </w:tc>
      </w:tr>
      <w:tr w:rsidR="00C66F55" w:rsidRPr="003B5F1B" w14:paraId="1B198D0F" w14:textId="77777777" w:rsidTr="003B5F1B">
        <w:trPr>
          <w:trHeight w:val="241"/>
        </w:trPr>
        <w:tc>
          <w:tcPr>
            <w:tcW w:w="1727" w:type="pct"/>
          </w:tcPr>
          <w:p w14:paraId="18B37932" w14:textId="77777777" w:rsidR="00C66F55" w:rsidRPr="003B5F1B" w:rsidRDefault="00C66F55" w:rsidP="003B5F1B">
            <w:pPr>
              <w:rPr>
                <w:rFonts w:cs="Franklin Gothic Book"/>
                <w:szCs w:val="21"/>
              </w:rPr>
            </w:pPr>
            <w:r w:rsidRPr="003B5F1B">
              <w:rPr>
                <w:rFonts w:cs="Franklin Gothic Book"/>
                <w:b/>
                <w:szCs w:val="21"/>
              </w:rPr>
              <w:t xml:space="preserve">Recommendation 3: </w:t>
            </w:r>
            <w:r w:rsidRPr="003B5F1B">
              <w:rPr>
                <w:rFonts w:cs="Franklin Gothic Book"/>
                <w:szCs w:val="21"/>
              </w:rPr>
              <w:t>DFAT should carefully consider how decentralisation and subnational roles are addressed when updating key strategy and guidance documents, and referring staff to relevant resources (including the practice notes developed in this evaluation). In particular, DFAT should expand the ‘working in partner systems’ guidance and assessment tools beyond public financial management and risk management concerns, to include broader public sector capabilities such as human resources, monitoring and evaluation and sector-specific technical expertise</w:t>
            </w:r>
          </w:p>
        </w:tc>
        <w:tc>
          <w:tcPr>
            <w:tcW w:w="665" w:type="pct"/>
          </w:tcPr>
          <w:p w14:paraId="383D1F39" w14:textId="77777777" w:rsidR="00C66F55" w:rsidRPr="003B5F1B" w:rsidRDefault="00C66F55" w:rsidP="003B5F1B">
            <w:pPr>
              <w:rPr>
                <w:rFonts w:cs="Franklin Gothic Book"/>
                <w:szCs w:val="21"/>
              </w:rPr>
            </w:pPr>
            <w:r w:rsidRPr="003B5F1B">
              <w:rPr>
                <w:rFonts w:cs="Franklin Gothic Book"/>
                <w:szCs w:val="21"/>
              </w:rPr>
              <w:t>Agree in principle</w:t>
            </w:r>
          </w:p>
        </w:tc>
        <w:tc>
          <w:tcPr>
            <w:tcW w:w="2608" w:type="pct"/>
          </w:tcPr>
          <w:p w14:paraId="1BE3A00E" w14:textId="77777777" w:rsidR="00C66F55" w:rsidRPr="003B5F1B" w:rsidRDefault="00C66F55" w:rsidP="003B5F1B">
            <w:pPr>
              <w:rPr>
                <w:rFonts w:cs="Franklin Gothic Book"/>
                <w:szCs w:val="21"/>
              </w:rPr>
            </w:pPr>
            <w:r w:rsidRPr="003B5F1B">
              <w:rPr>
                <w:rFonts w:cs="Franklin Gothic Book"/>
                <w:szCs w:val="21"/>
              </w:rPr>
              <w:t xml:space="preserve">DFAT will consider how decentralisation and subnational roles are addressed when updating key strategy and guidance documents. As resourcing permits the Governance, Growth and Fragility Branch, and the Public Financial Management Advisory Services Section and the Aid Management and Performance Branch will consider expanding the ‘working in partner systems’ guidance and assessment tools to include broader public sector capabilities, with monitoring and evaluation a priority area. </w:t>
            </w:r>
          </w:p>
          <w:p w14:paraId="783818BA" w14:textId="77777777" w:rsidR="00C66F55" w:rsidRPr="003B5F1B" w:rsidRDefault="00C66F55" w:rsidP="003B5F1B">
            <w:pPr>
              <w:rPr>
                <w:rFonts w:cs="Franklin Gothic Book"/>
                <w:szCs w:val="21"/>
              </w:rPr>
            </w:pPr>
            <w:r w:rsidRPr="003B5F1B">
              <w:rPr>
                <w:rFonts w:cs="Franklin Gothic Book"/>
                <w:szCs w:val="21"/>
              </w:rPr>
              <w:t>DFAT (Principle Governance Specialist) is engaging with the ‘</w:t>
            </w:r>
            <w:r w:rsidRPr="003B5F1B">
              <w:rPr>
                <w:rFonts w:cs="Arial"/>
                <w:color w:val="000000"/>
                <w:szCs w:val="21"/>
              </w:rPr>
              <w:t xml:space="preserve">Indicators of the Strength of Public Management Systems (ISPMS) initiative’, a multi-stakeholder effort coordinated by the World Bank to develop international consensus around a comprehensive set of cross-national performance indicators for governance and public management systems.  The ISPMS may help inform DFAT guidance around decentralisation and subnational roles. </w:t>
            </w:r>
            <w:r w:rsidRPr="003B5F1B">
              <w:rPr>
                <w:rFonts w:cs="Franklin Gothic Book"/>
                <w:szCs w:val="21"/>
              </w:rPr>
              <w:t xml:space="preserve">The Governance Performance Assessment Framework also provides guidance on </w:t>
            </w:r>
            <w:r w:rsidRPr="003B5F1B">
              <w:rPr>
                <w:rFonts w:cstheme="minorHAnsi"/>
                <w:szCs w:val="21"/>
              </w:rPr>
              <w:t xml:space="preserve">a range of indicators and evaluative questions on how to monitor and measure a governance approach across all sectors. DFAT (DPD) will update the Governance Performance Assessment Framework in 2015 and will consider how to better address issues relating to decentralised service delivery as part of that process. </w:t>
            </w:r>
          </w:p>
        </w:tc>
      </w:tr>
      <w:tr w:rsidR="00C66F55" w:rsidRPr="003B5F1B" w14:paraId="462938CD" w14:textId="77777777" w:rsidTr="001C3C29">
        <w:trPr>
          <w:trHeight w:val="3109"/>
        </w:trPr>
        <w:tc>
          <w:tcPr>
            <w:tcW w:w="1727" w:type="pct"/>
          </w:tcPr>
          <w:p w14:paraId="3E454B18" w14:textId="77777777" w:rsidR="00C66F55" w:rsidRPr="003B5F1B" w:rsidRDefault="00C66F55" w:rsidP="003B5F1B">
            <w:pPr>
              <w:rPr>
                <w:rFonts w:cs="Franklin Gothic Book"/>
                <w:szCs w:val="21"/>
              </w:rPr>
            </w:pPr>
            <w:r w:rsidRPr="003B5F1B">
              <w:rPr>
                <w:rFonts w:cs="Franklin Gothic Book"/>
                <w:b/>
                <w:szCs w:val="21"/>
              </w:rPr>
              <w:t xml:space="preserve">Recommendation 4: </w:t>
            </w:r>
            <w:r w:rsidRPr="003B5F1B">
              <w:rPr>
                <w:rFonts w:cs="Franklin Gothic Book"/>
                <w:szCs w:val="21"/>
              </w:rPr>
              <w:t>DFAT should foster specific governance capability in areas related to decentralisation and subnational levels of government, including through:</w:t>
            </w:r>
          </w:p>
          <w:p w14:paraId="035EBEF9" w14:textId="77777777" w:rsidR="00C66F55" w:rsidRPr="003B5F1B" w:rsidRDefault="00C66F55" w:rsidP="003B5F1B">
            <w:pPr>
              <w:pStyle w:val="ListParagraph"/>
              <w:numPr>
                <w:ilvl w:val="0"/>
                <w:numId w:val="42"/>
              </w:numPr>
              <w:spacing w:after="0" w:line="240" w:lineRule="auto"/>
              <w:contextualSpacing w:val="0"/>
              <w:rPr>
                <w:rFonts w:ascii="Franklin Gothic Book" w:hAnsi="Franklin Gothic Book" w:cs="Franklin Gothic Book"/>
                <w:sz w:val="21"/>
                <w:szCs w:val="21"/>
              </w:rPr>
            </w:pPr>
            <w:r w:rsidRPr="003B5F1B">
              <w:rPr>
                <w:rFonts w:ascii="Franklin Gothic Book" w:hAnsi="Franklin Gothic Book" w:cs="Franklin Gothic Book"/>
                <w:sz w:val="21"/>
                <w:szCs w:val="21"/>
              </w:rPr>
              <w:t>incentives and mechanisms to enable collaboration between governance and service delivery sector managers</w:t>
            </w:r>
          </w:p>
          <w:p w14:paraId="64D11578" w14:textId="77777777" w:rsidR="00C66F55" w:rsidRPr="003B5F1B" w:rsidRDefault="00C66F55" w:rsidP="003B5F1B">
            <w:pPr>
              <w:pStyle w:val="ListParagraph"/>
              <w:numPr>
                <w:ilvl w:val="0"/>
                <w:numId w:val="42"/>
              </w:numPr>
              <w:spacing w:after="0" w:line="240" w:lineRule="auto"/>
              <w:contextualSpacing w:val="0"/>
              <w:rPr>
                <w:rFonts w:ascii="Franklin Gothic Book" w:hAnsi="Franklin Gothic Book" w:cs="Franklin Gothic Book"/>
                <w:sz w:val="21"/>
                <w:szCs w:val="21"/>
              </w:rPr>
            </w:pPr>
            <w:r w:rsidRPr="003B5F1B">
              <w:rPr>
                <w:rFonts w:ascii="Franklin Gothic Book" w:hAnsi="Franklin Gothic Book" w:cs="Franklin Gothic Book"/>
                <w:sz w:val="21"/>
                <w:szCs w:val="21"/>
              </w:rPr>
              <w:t>skills, knowledge and resources for governance staff to support sector staff</w:t>
            </w:r>
          </w:p>
          <w:p w14:paraId="44319394" w14:textId="77777777" w:rsidR="00C66F55" w:rsidRPr="003B5F1B" w:rsidRDefault="00C66F55" w:rsidP="003B5F1B">
            <w:pPr>
              <w:pStyle w:val="ListParagraph"/>
              <w:numPr>
                <w:ilvl w:val="0"/>
                <w:numId w:val="42"/>
              </w:numPr>
              <w:spacing w:after="0" w:line="240" w:lineRule="auto"/>
              <w:contextualSpacing w:val="0"/>
              <w:rPr>
                <w:rFonts w:ascii="Franklin Gothic Book" w:hAnsi="Franklin Gothic Book" w:cs="Franklin Gothic Book"/>
                <w:sz w:val="21"/>
                <w:szCs w:val="21"/>
              </w:rPr>
            </w:pPr>
            <w:proofErr w:type="gramStart"/>
            <w:r w:rsidRPr="003B5F1B">
              <w:rPr>
                <w:rFonts w:ascii="Franklin Gothic Book" w:hAnsi="Franklin Gothic Book" w:cs="Franklin Gothic Book"/>
                <w:sz w:val="21"/>
                <w:szCs w:val="21"/>
              </w:rPr>
              <w:t>opportunities</w:t>
            </w:r>
            <w:proofErr w:type="gramEnd"/>
            <w:r w:rsidRPr="003B5F1B">
              <w:rPr>
                <w:rFonts w:ascii="Franklin Gothic Book" w:hAnsi="Franklin Gothic Book" w:cs="Franklin Gothic Book"/>
                <w:sz w:val="21"/>
                <w:szCs w:val="21"/>
              </w:rPr>
              <w:t xml:space="preserve"> for sector staff to improve their knowledge of governance and decentralisation, including formal training opportunities and resources for on-the-job learning.</w:t>
            </w:r>
          </w:p>
        </w:tc>
        <w:tc>
          <w:tcPr>
            <w:tcW w:w="665" w:type="pct"/>
          </w:tcPr>
          <w:p w14:paraId="3CF77FB0" w14:textId="77777777" w:rsidR="00C66F55" w:rsidRPr="003B5F1B" w:rsidRDefault="00C66F55" w:rsidP="003B5F1B">
            <w:pPr>
              <w:rPr>
                <w:rFonts w:cs="Franklin Gothic Book"/>
                <w:szCs w:val="21"/>
              </w:rPr>
            </w:pPr>
            <w:r w:rsidRPr="003B5F1B">
              <w:rPr>
                <w:rFonts w:cs="Franklin Gothic Book"/>
                <w:szCs w:val="21"/>
              </w:rPr>
              <w:t xml:space="preserve">Agree </w:t>
            </w:r>
          </w:p>
        </w:tc>
        <w:tc>
          <w:tcPr>
            <w:tcW w:w="2608" w:type="pct"/>
          </w:tcPr>
          <w:p w14:paraId="241E22A5" w14:textId="529BA62C" w:rsidR="00C66F55" w:rsidRPr="003B5F1B" w:rsidRDefault="00C66F55" w:rsidP="003B5F1B">
            <w:pPr>
              <w:rPr>
                <w:szCs w:val="21"/>
              </w:rPr>
            </w:pPr>
            <w:r w:rsidRPr="003B5F1B">
              <w:rPr>
                <w:szCs w:val="21"/>
              </w:rPr>
              <w:t xml:space="preserve">DFAT will endeavour to build and retain in-house expertise on governance, including in relation to decentralisation, and to support service delivery program managers in Canberra and at Posts. </w:t>
            </w:r>
          </w:p>
          <w:p w14:paraId="03F8A83F" w14:textId="3842D601" w:rsidR="00C66F55" w:rsidRPr="003B5F1B" w:rsidRDefault="00C66F55" w:rsidP="003B5F1B">
            <w:pPr>
              <w:rPr>
                <w:szCs w:val="21"/>
              </w:rPr>
            </w:pPr>
            <w:r w:rsidRPr="003B5F1B">
              <w:rPr>
                <w:szCs w:val="21"/>
              </w:rPr>
              <w:t xml:space="preserve">Promoting collaboration between governance and service delivery teams remains an important aspect of the work of the Development Policy Division. For example, a recent (October 2014) staff workshop was specifically designed to promote collaboration between DFAT governance and service delivery teams in the Asian geographic areas, with approximately half the participants drawn from governance and half from sector service delivery programs. </w:t>
            </w:r>
          </w:p>
          <w:p w14:paraId="755B2F0F" w14:textId="4F1319CF" w:rsidR="00C66F55" w:rsidRPr="003B5F1B" w:rsidRDefault="00C66F55" w:rsidP="00D52450">
            <w:pPr>
              <w:rPr>
                <w:szCs w:val="21"/>
              </w:rPr>
            </w:pPr>
            <w:r w:rsidRPr="003B5F1B">
              <w:rPr>
                <w:szCs w:val="21"/>
              </w:rPr>
              <w:t>The Governance, Growth and Fragility Branch will also continue to deliver core governance-related training to support DFAT staff. For example, political economy analysis training (referenced positively in the evaluation</w:t>
            </w:r>
            <w:r w:rsidR="00D52450">
              <w:rPr>
                <w:szCs w:val="21"/>
              </w:rPr>
              <w:t>:</w:t>
            </w:r>
            <w:r w:rsidRPr="003B5F1B">
              <w:rPr>
                <w:szCs w:val="21"/>
              </w:rPr>
              <w:t xml:space="preserve"> p</w:t>
            </w:r>
            <w:r w:rsidR="00D52450">
              <w:rPr>
                <w:szCs w:val="21"/>
              </w:rPr>
              <w:t>p75–</w:t>
            </w:r>
            <w:r w:rsidR="00DD77F2">
              <w:rPr>
                <w:szCs w:val="21"/>
              </w:rPr>
              <w:t>7</w:t>
            </w:r>
            <w:r w:rsidR="00D52450">
              <w:rPr>
                <w:szCs w:val="21"/>
              </w:rPr>
              <w:t>6</w:t>
            </w:r>
            <w:r w:rsidRPr="003B5F1B">
              <w:rPr>
                <w:szCs w:val="21"/>
              </w:rPr>
              <w:t xml:space="preserve">) is ongoing. This training includes a focus on understanding how systems of governance, including those relating to decentralisation and subnational levels of government, function within particular country contexts. In 2014, this training was delivered to DFAT staff in Canberra and at country posts, tailored specifically to address both country (e.g. Timor-Leste, Solomon Islands) and sector/service delivery (e.g. education, health) challenges and priorities. The Branch is also developing a new introductory ‘governance and fragility’ training package for DFAT staff, which will commence in 2015. </w:t>
            </w:r>
          </w:p>
        </w:tc>
      </w:tr>
    </w:tbl>
    <w:p w14:paraId="3674EF1C" w14:textId="77777777" w:rsidR="00C66F55" w:rsidRDefault="00C66F55" w:rsidP="00C66F55">
      <w:pPr>
        <w:rPr>
          <w:rFonts w:ascii="Arial" w:hAnsi="Arial" w:cs="Franklin Gothic Book"/>
          <w:sz w:val="22"/>
          <w:szCs w:val="21"/>
        </w:rPr>
      </w:pPr>
    </w:p>
    <w:p w14:paraId="3A43A1A0" w14:textId="77777777" w:rsidR="00C66F55" w:rsidRPr="002C4619" w:rsidRDefault="00C66F55" w:rsidP="00C66F55">
      <w:pPr>
        <w:rPr>
          <w:rFonts w:ascii="Arial" w:hAnsi="Arial" w:cs="Franklin Gothic Book"/>
          <w:sz w:val="22"/>
          <w:szCs w:val="21"/>
        </w:rPr>
      </w:pPr>
    </w:p>
    <w:p w14:paraId="4F9C5B27" w14:textId="77777777" w:rsidR="00C66F55" w:rsidRPr="002C4619" w:rsidRDefault="00C66F55" w:rsidP="00C66F55">
      <w:pPr>
        <w:rPr>
          <w:rFonts w:ascii="Arial" w:hAnsi="Arial" w:cs="Franklin Gothic Book"/>
          <w:sz w:val="22"/>
          <w:szCs w:val="21"/>
        </w:rPr>
      </w:pPr>
    </w:p>
    <w:p w14:paraId="3C61D3D1" w14:textId="77777777" w:rsidR="00C66F55" w:rsidRPr="002C4619" w:rsidRDefault="00C66F55" w:rsidP="00C66F55">
      <w:pPr>
        <w:rPr>
          <w:rFonts w:ascii="Arial" w:hAnsi="Arial" w:cs="Franklin Gothic Book"/>
          <w:sz w:val="22"/>
          <w:szCs w:val="21"/>
        </w:rPr>
      </w:pPr>
    </w:p>
    <w:p w14:paraId="1007BAF1" w14:textId="77777777" w:rsidR="00C66F55" w:rsidRPr="002C4619" w:rsidRDefault="00C66F55" w:rsidP="00C66F55">
      <w:pPr>
        <w:rPr>
          <w:rFonts w:ascii="Arial" w:hAnsi="Arial" w:cs="Franklin Gothic Book"/>
          <w:sz w:val="22"/>
          <w:szCs w:val="21"/>
        </w:rPr>
      </w:pPr>
    </w:p>
    <w:p w14:paraId="11BDD8F4" w14:textId="77777777" w:rsidR="00C66F55" w:rsidRPr="002C4619" w:rsidRDefault="00C66F55" w:rsidP="00C66F55">
      <w:pPr>
        <w:tabs>
          <w:tab w:val="left" w:pos="2865"/>
        </w:tabs>
        <w:rPr>
          <w:rFonts w:ascii="Arial" w:hAnsi="Arial" w:cs="Franklin Gothic Book"/>
          <w:sz w:val="22"/>
          <w:szCs w:val="21"/>
        </w:rPr>
      </w:pPr>
      <w:r>
        <w:rPr>
          <w:rFonts w:ascii="Arial" w:hAnsi="Arial" w:cs="Franklin Gothic Book"/>
          <w:sz w:val="22"/>
          <w:szCs w:val="21"/>
        </w:rPr>
        <w:tab/>
      </w:r>
    </w:p>
    <w:bookmarkStart w:id="7" w:name="_Toc381953322"/>
    <w:bookmarkStart w:id="8" w:name="_Toc408831768"/>
    <w:p w14:paraId="6E0B4106" w14:textId="14A7B481" w:rsidR="00D20FD9" w:rsidRDefault="008E3E05" w:rsidP="00921A4C">
      <w:pPr>
        <w:pStyle w:val="Heading1"/>
        <w:numPr>
          <w:ilvl w:val="0"/>
          <w:numId w:val="30"/>
        </w:numPr>
        <w:ind w:left="426"/>
      </w:pPr>
      <w:r>
        <w:rPr>
          <w:noProof/>
        </w:rPr>
        <mc:AlternateContent>
          <mc:Choice Requires="wps">
            <w:drawing>
              <wp:anchor distT="0" distB="0" distL="114300" distR="114300" simplePos="0" relativeHeight="251730944" behindDoc="1" locked="0" layoutInCell="1" allowOverlap="1" wp14:anchorId="681F741E" wp14:editId="142A931E">
                <wp:simplePos x="0" y="0"/>
                <wp:positionH relativeFrom="page">
                  <wp:posOffset>-9525</wp:posOffset>
                </wp:positionH>
                <wp:positionV relativeFrom="paragraph">
                  <wp:posOffset>-368438</wp:posOffset>
                </wp:positionV>
                <wp:extent cx="7610400" cy="1468800"/>
                <wp:effectExtent l="0" t="0" r="0" b="0"/>
                <wp:wrapNone/>
                <wp:docPr id="2" name="Rectangle 2"/>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5pt;margin-top:-29pt;width:599.25pt;height:115.6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D5lgIAAIYFAAAOAAAAZHJzL2Uyb0RvYy54bWysVE1v2zAMvQ/YfxB0X/2BNE2DOkXQosOA&#10;oi3aDj0rshQbkEVNUuJkv36UZLtdV+wwLAdFFMlH8pnkxeWhU2QvrGtBV7Q4ySkRmkPd6m1Fvz/f&#10;fFlQ4jzTNVOgRUWPwtHL1edPF71ZihIaULWwBEG0W/amoo33ZplljjeiY+4EjNColGA75lG026y2&#10;rEf0TmVlns+zHmxtLHDhHL5eJyVdRXwpBff3Ujrhiaoo5ubjaeO5CWe2umDLrWWmafmQBvuHLDrW&#10;agw6QV0zz8jOtn9AdS234ED6Ew5dBlK2XMQasJoif1fNU8OMiLUgOc5MNLn/B8vv9g+WtHVFS0o0&#10;6/ATPSJpTG+VIGWgpzduiVZP5sEOksNrqPUgbRf+sQpyiJQeJ0rFwROOj2fzIp/lyDxHXTGbLxYo&#10;IE726m6s818FdCRcKmoxfKSS7W+dT6ajSYjmQLX1TatUFOx2c6Us2TP8vkU5my3mA/pvZkoHYw3B&#10;LSGGlyyUloqJN39UItgp/SgkcoLplzGT2I1iisM4F9oXSdWwWqTwpzn+xuihf4NHrDQCBmSJ8Sfs&#10;AWC0TCAjdspysA+uIjbz5Jz/LbHkPHnEyKD95Ny1GuxHAAqrGiIn+5GkRE1gaQP1ETvGQholZ/hN&#10;i9/tljn/wCzODn5r3Af+Hg+poK8oDDdKGrA/P3oP9tjSqKWkx1msqPuxY1ZQor5pbPbzYjYLwxuF&#10;2elZiYJ9q9m81ehddwWhHXDzGB6vwd6r8SotdC+4NtYhKqqY5hi7otzbUbjyaUfg4uFivY5mOLCG&#10;+Vv9ZHgAD6yGvnw+vDBrhub12Pd3MM4tW77r4WQbPDWsdx5kGxv8ldeBbxz22DjDYgrb5K0crV7X&#10;5+oXAAAA//8DAFBLAwQUAAYACAAAACEAIOuI098AAAALAQAADwAAAGRycy9kb3ducmV2LnhtbEyP&#10;QU/DMAyF70j8h8hI3La0q8ZK13RCk+BQiQMbu2eNaao1Tmmyrfx7vBOc/Cw/PX+v3EyuFxccQ+dJ&#10;QTpPQCA13nTUKvjcv85yECFqMrr3hAp+MMCmur8rdWH8lT7wsout4BAKhVZgYxwKKUNj0ekw9wMS&#10;37786HTkdWylGfWVw10vF0nyJJ3uiD9YPeDWYnPanZ2COkd7aN/rfvqu96ncZm/+gAulHh+mlzWI&#10;iFP8M8MNn9GhYqajP5MJolcwS5fs5LnMudPNkD6vWB1ZrbIMZFXK/x2qXwAAAP//AwBQSwECLQAU&#10;AAYACAAAACEAtoM4kv4AAADhAQAAEwAAAAAAAAAAAAAAAAAAAAAAW0NvbnRlbnRfVHlwZXNdLnht&#10;bFBLAQItABQABgAIAAAAIQA4/SH/1gAAAJQBAAALAAAAAAAAAAAAAAAAAC8BAABfcmVscy8ucmVs&#10;c1BLAQItABQABgAIAAAAIQDcgVD5lgIAAIYFAAAOAAAAAAAAAAAAAAAAAC4CAABkcnMvZTJvRG9j&#10;LnhtbFBLAQItABQABgAIAAAAIQAg64jT3wAAAAsBAAAPAAAAAAAAAAAAAAAAAPAEAABkcnMvZG93&#10;bnJldi54bWxQSwUGAAAAAAQABADzAAAA/AUAAAAA&#10;" fillcolor="#124486" stroked="f" strokeweight="2pt">
                <w10:wrap anchorx="page"/>
              </v:rect>
            </w:pict>
          </mc:Fallback>
        </mc:AlternateContent>
      </w:r>
      <w:bookmarkEnd w:id="7"/>
      <w:r w:rsidR="00197A18">
        <w:t>Introduction</w:t>
      </w:r>
      <w:bookmarkEnd w:id="8"/>
      <w:r w:rsidR="004E3C43" w:rsidRPr="004E3C43">
        <w:rPr>
          <w:noProof/>
        </w:rPr>
        <w:t xml:space="preserve"> </w:t>
      </w:r>
    </w:p>
    <w:p w14:paraId="40CA6B08" w14:textId="07047ABE" w:rsidR="007F064A" w:rsidRPr="008879AD" w:rsidRDefault="007F064A" w:rsidP="007F064A">
      <w:pPr>
        <w:pStyle w:val="Heading2"/>
        <w:spacing w:before="360" w:after="240" w:line="288" w:lineRule="auto"/>
        <w:ind w:left="0" w:firstLine="0"/>
      </w:pPr>
      <w:bookmarkStart w:id="9" w:name="_Toc382563840"/>
      <w:bookmarkStart w:id="10" w:name="_Ref382569132"/>
      <w:bookmarkStart w:id="11" w:name="_Ref382575299"/>
      <w:bookmarkStart w:id="12" w:name="_Ref382575509"/>
      <w:bookmarkStart w:id="13" w:name="_Ref382595427"/>
      <w:bookmarkStart w:id="14" w:name="_Toc382595794"/>
      <w:bookmarkStart w:id="15" w:name="_Toc408831769"/>
      <w:bookmarkStart w:id="16" w:name="_Toc371086148"/>
      <w:bookmarkStart w:id="17" w:name="_Toc382563848"/>
      <w:bookmarkStart w:id="18" w:name="_Toc382595802"/>
      <w:r>
        <w:t>1.1</w:t>
      </w:r>
      <w:r>
        <w:tab/>
        <w:t xml:space="preserve">Basic services and </w:t>
      </w:r>
      <w:bookmarkEnd w:id="9"/>
      <w:bookmarkEnd w:id="10"/>
      <w:bookmarkEnd w:id="11"/>
      <w:bookmarkEnd w:id="12"/>
      <w:bookmarkEnd w:id="13"/>
      <w:bookmarkEnd w:id="14"/>
      <w:r w:rsidR="00977AAA">
        <w:t>decentralisation</w:t>
      </w:r>
      <w:bookmarkEnd w:id="15"/>
    </w:p>
    <w:p w14:paraId="378E3D32" w14:textId="4A904140" w:rsidR="0091555A" w:rsidRDefault="007F064A" w:rsidP="00977AAA">
      <w:r>
        <w:t>Basic services are essential for meeting globally agreed social and economic development goals</w:t>
      </w:r>
      <w:r w:rsidR="00546631">
        <w:t>.</w:t>
      </w:r>
      <w:r>
        <w:rPr>
          <w:rStyle w:val="EndnoteReference"/>
        </w:rPr>
        <w:endnoteReference w:id="1"/>
      </w:r>
      <w:r>
        <w:t xml:space="preserve"> </w:t>
      </w:r>
      <w:r w:rsidR="005649EE">
        <w:rPr>
          <w:szCs w:val="21"/>
        </w:rPr>
        <w:t>A key</w:t>
      </w:r>
      <w:r w:rsidR="005649EE" w:rsidRPr="00A97BCA">
        <w:rPr>
          <w:szCs w:val="21"/>
        </w:rPr>
        <w:t xml:space="preserve"> priority of the </w:t>
      </w:r>
      <w:r w:rsidR="005649EE">
        <w:rPr>
          <w:szCs w:val="21"/>
        </w:rPr>
        <w:t xml:space="preserve">Australian </w:t>
      </w:r>
      <w:r w:rsidR="005649EE" w:rsidRPr="00A97BCA">
        <w:rPr>
          <w:szCs w:val="21"/>
        </w:rPr>
        <w:t xml:space="preserve">aid program is to support partner </w:t>
      </w:r>
      <w:r w:rsidR="0036168A">
        <w:rPr>
          <w:szCs w:val="21"/>
        </w:rPr>
        <w:t xml:space="preserve">countries </w:t>
      </w:r>
      <w:r w:rsidR="005649EE" w:rsidRPr="00A97BCA">
        <w:rPr>
          <w:szCs w:val="21"/>
        </w:rPr>
        <w:t xml:space="preserve">to provide </w:t>
      </w:r>
      <w:r w:rsidR="005649EE">
        <w:rPr>
          <w:szCs w:val="21"/>
        </w:rPr>
        <w:t>such</w:t>
      </w:r>
      <w:r w:rsidR="00977AAA">
        <w:rPr>
          <w:szCs w:val="21"/>
        </w:rPr>
        <w:t xml:space="preserve"> services. </w:t>
      </w:r>
      <w:r w:rsidR="0091555A">
        <w:t xml:space="preserve">Decentralisation offers the potential to improve services. </w:t>
      </w:r>
      <w:r w:rsidR="0091555A" w:rsidRPr="0091555A">
        <w:rPr>
          <w:szCs w:val="21"/>
        </w:rPr>
        <w:t>Decentralisation involves a ‘transfer of authority to plan, make decisions or manage public functions from the national level to any organisation or agency at the subnational level.’  For a more detailed definition and explanation, see Appendix 1.</w:t>
      </w:r>
      <w:r w:rsidR="00977AAA">
        <w:t xml:space="preserve"> </w:t>
      </w:r>
    </w:p>
    <w:p w14:paraId="3C88706C" w14:textId="66CE8187" w:rsidR="00977AAA" w:rsidRDefault="00977AAA" w:rsidP="00977AAA">
      <w:r>
        <w:t>It is proposed that local governments are more likely to understand service needs and be held accountable for services.</w:t>
      </w:r>
      <w:r>
        <w:rPr>
          <w:rStyle w:val="EndnoteReference"/>
        </w:rPr>
        <w:endnoteReference w:id="2"/>
      </w:r>
      <w:r>
        <w:t xml:space="preserve"> In line with this thinking, over the last two decades many donors have supported decentralisation as a means to improve governance and social development.</w:t>
      </w:r>
      <w:r>
        <w:rPr>
          <w:rStyle w:val="EndnoteReference"/>
        </w:rPr>
        <w:endnoteReference w:id="3"/>
      </w:r>
      <w:r>
        <w:t xml:space="preserve"> </w:t>
      </w:r>
    </w:p>
    <w:p w14:paraId="1D0D3E24" w14:textId="77777777" w:rsidR="00977AAA" w:rsidRPr="00B474B5" w:rsidRDefault="00977AAA" w:rsidP="00977AAA">
      <w:pPr>
        <w:pStyle w:val="BoxQuote"/>
      </w:pPr>
      <w:r w:rsidRPr="00B474B5">
        <w:t>Decentralisation is usually motivated by the need to share political and economic power, not to improve service delivery</w:t>
      </w:r>
      <w:r>
        <w:t>.</w:t>
      </w:r>
      <w:r w:rsidRPr="00B474B5">
        <w:t xml:space="preserve"> </w:t>
      </w:r>
    </w:p>
    <w:p w14:paraId="576A1DFC" w14:textId="7A8CE6F1" w:rsidR="00977AAA" w:rsidRPr="00977AAA" w:rsidRDefault="00977AAA" w:rsidP="00977AAA">
      <w:pPr>
        <w:pStyle w:val="BoxQuoteSource"/>
      </w:pPr>
      <w:r w:rsidRPr="00911537">
        <w:t>S</w:t>
      </w:r>
      <w:r>
        <w:t xml:space="preserve">wiss </w:t>
      </w:r>
      <w:r w:rsidRPr="00911537">
        <w:t>D</w:t>
      </w:r>
      <w:r>
        <w:t xml:space="preserve">evelopment </w:t>
      </w:r>
      <w:r w:rsidRPr="00911537">
        <w:t>C</w:t>
      </w:r>
      <w:r>
        <w:t>ooperation agency</w:t>
      </w:r>
      <w:r w:rsidRPr="00911537">
        <w:t xml:space="preserve">, </w:t>
      </w:r>
      <w:r w:rsidRPr="001435F3">
        <w:rPr>
          <w:i/>
        </w:rPr>
        <w:t>Decentralisation processes in developing and transition countries: evidence-based lessons learnt</w:t>
      </w:r>
      <w:r>
        <w:rPr>
          <w:i/>
        </w:rPr>
        <w:t xml:space="preserve">, </w:t>
      </w:r>
      <w:r w:rsidRPr="001435F3">
        <w:t>Switzerland,</w:t>
      </w:r>
      <w:r>
        <w:rPr>
          <w:i/>
        </w:rPr>
        <w:t xml:space="preserve"> 2011</w:t>
      </w:r>
    </w:p>
    <w:p w14:paraId="55F1E91A" w14:textId="3399D995" w:rsidR="00977AAA" w:rsidRPr="00977AAA" w:rsidRDefault="00977AAA" w:rsidP="007D38B4">
      <w:r>
        <w:t xml:space="preserve">However, it is critical to understand that the main motivation for decentralisation reform is related to political power sharing rather than the effective administration of </w:t>
      </w:r>
      <w:r w:rsidRPr="007D38B4">
        <w:rPr>
          <w:sz w:val="22"/>
        </w:rPr>
        <w:t>services.</w:t>
      </w:r>
      <w:r w:rsidRPr="007D38B4">
        <w:rPr>
          <w:rStyle w:val="EndnoteReference"/>
          <w:sz w:val="22"/>
        </w:rPr>
        <w:endnoteReference w:id="4"/>
      </w:r>
      <w:r w:rsidRPr="007D38B4">
        <w:rPr>
          <w:sz w:val="22"/>
        </w:rPr>
        <w:t xml:space="preserve"> </w:t>
      </w:r>
      <w:r w:rsidRPr="00FD7E38">
        <w:t>Predicted</w:t>
      </w:r>
      <w:r w:rsidRPr="007D38B4">
        <w:rPr>
          <w:sz w:val="22"/>
        </w:rPr>
        <w:t xml:space="preserve"> </w:t>
      </w:r>
      <w:r w:rsidRPr="005B37AF">
        <w:t>improvements in service delivery efficiency, effectiveness and equity have</w:t>
      </w:r>
      <w:r>
        <w:t xml:space="preserve"> not necessarily been achieved as a result of decentralisation. In some cases, decentralisation has exacerbated inequalities between the rich and the poor because of differing abilities to access local resources or administer services in different subnational locations.</w:t>
      </w:r>
      <w:r>
        <w:rPr>
          <w:rStyle w:val="EndnoteReference"/>
        </w:rPr>
        <w:endnoteReference w:id="5"/>
      </w:r>
      <w:r>
        <w:t xml:space="preserve"> T</w:t>
      </w:r>
      <w:r w:rsidRPr="005140F5">
        <w:t>here is no conclusive evidence about whether decentralisation has improved, or worsened, service delivery.</w:t>
      </w:r>
      <w:r>
        <w:rPr>
          <w:rStyle w:val="FootnoteReference"/>
        </w:rPr>
        <w:footnoteReference w:id="1"/>
      </w:r>
    </w:p>
    <w:p w14:paraId="28946019" w14:textId="6EF16716" w:rsidR="007F064A" w:rsidRPr="00501C92" w:rsidRDefault="007F064A" w:rsidP="00501C92">
      <w:pPr>
        <w:pStyle w:val="Heading3"/>
      </w:pPr>
      <w:r w:rsidRPr="00501C92">
        <w:t>Basic services</w:t>
      </w:r>
    </w:p>
    <w:p w14:paraId="5F375E65" w14:textId="77777777" w:rsidR="007F064A" w:rsidRDefault="007F064A" w:rsidP="007F064A">
      <w:pPr>
        <w:pStyle w:val="NormalBeforeBullet"/>
      </w:pPr>
      <w:r>
        <w:t>There is not always agreement on which services are defined as ‘basic services’</w:t>
      </w:r>
      <w:r w:rsidR="000301E6">
        <w:t>,</w:t>
      </w:r>
      <w:r w:rsidR="00921A4C">
        <w:rPr>
          <w:rStyle w:val="FootnoteReference"/>
        </w:rPr>
        <w:footnoteReference w:id="2"/>
      </w:r>
      <w:r w:rsidR="00921A4C">
        <w:t xml:space="preserve"> </w:t>
      </w:r>
      <w:r>
        <w:t xml:space="preserve">however, education and health are generally included, as well as certain forms of infrastructure. </w:t>
      </w:r>
    </w:p>
    <w:p w14:paraId="6A2D352F" w14:textId="77777777" w:rsidR="007F064A" w:rsidRDefault="007F064A" w:rsidP="007F064A">
      <w:pPr>
        <w:pStyle w:val="NormalBeforeBullet"/>
      </w:pPr>
      <w:r w:rsidRPr="00DE4B55">
        <w:rPr>
          <w:b/>
        </w:rPr>
        <w:t>Health services</w:t>
      </w:r>
      <w:r w:rsidRPr="00E718BE">
        <w:t>:</w:t>
      </w:r>
      <w:r>
        <w:t xml:space="preserve"> Health services are of three types:</w:t>
      </w:r>
    </w:p>
    <w:p w14:paraId="635E4CE0" w14:textId="77777777" w:rsidR="007F064A" w:rsidRDefault="007F064A" w:rsidP="007F064A">
      <w:pPr>
        <w:pStyle w:val="Bullet"/>
      </w:pPr>
      <w:r>
        <w:t>clinical services (doctors and nurses)</w:t>
      </w:r>
    </w:p>
    <w:p w14:paraId="33B8106E" w14:textId="5B15EFEB" w:rsidR="007F064A" w:rsidRDefault="007F064A" w:rsidP="007F064A">
      <w:pPr>
        <w:pStyle w:val="Bullet"/>
      </w:pPr>
      <w:r>
        <w:t>population-oriented outreach services</w:t>
      </w:r>
      <w:r w:rsidR="003334AF">
        <w:t xml:space="preserve"> (e.g. </w:t>
      </w:r>
      <w:r>
        <w:t>immunisation, disease control and vitamin A supplementation</w:t>
      </w:r>
      <w:r w:rsidR="003334AF">
        <w:t>)</w:t>
      </w:r>
    </w:p>
    <w:p w14:paraId="375B2ABF" w14:textId="77777777" w:rsidR="007F064A" w:rsidRDefault="007F064A" w:rsidP="007F064A">
      <w:pPr>
        <w:pStyle w:val="BulletLast"/>
      </w:pPr>
      <w:r>
        <w:t>information and social support</w:t>
      </w:r>
      <w:r w:rsidR="00546631">
        <w:t xml:space="preserve"> (e.g. for </w:t>
      </w:r>
      <w:r>
        <w:t>breastfeeding or safe sex</w:t>
      </w:r>
      <w:r w:rsidR="00546631">
        <w:t>)</w:t>
      </w:r>
      <w:r>
        <w:t>.</w:t>
      </w:r>
      <w:r w:rsidRPr="001435F3">
        <w:rPr>
          <w:rStyle w:val="EndnoteReference"/>
          <w:sz w:val="20"/>
        </w:rPr>
        <w:endnoteReference w:id="6"/>
      </w:r>
      <w:r w:rsidRPr="001435F3">
        <w:rPr>
          <w:sz w:val="20"/>
        </w:rPr>
        <w:t xml:space="preserve"> </w:t>
      </w:r>
    </w:p>
    <w:p w14:paraId="3F83B29C" w14:textId="77777777" w:rsidR="007F064A" w:rsidRDefault="007F064A" w:rsidP="007F064A">
      <w:r>
        <w:t>Service providers include public and private hospitals and health centres. The wider health system encompasses health policy, human resources, infrastructure, procurement systems for medicines, medical equipment and supplies, and information and financing systems.</w:t>
      </w:r>
    </w:p>
    <w:p w14:paraId="3A67E09E" w14:textId="2934C9D2" w:rsidR="007F064A" w:rsidRDefault="007F064A" w:rsidP="007F064A">
      <w:r w:rsidRPr="002E0F24">
        <w:rPr>
          <w:b/>
        </w:rPr>
        <w:t>Education services</w:t>
      </w:r>
      <w:r w:rsidRPr="00E718BE">
        <w:t>:</w:t>
      </w:r>
      <w:r>
        <w:t xml:space="preserve"> Education service delivery is usually focused on universal access to primary education. Service delivery requires school infrastructure (</w:t>
      </w:r>
      <w:r w:rsidR="003334AF">
        <w:t>e.g.</w:t>
      </w:r>
      <w:r w:rsidR="00B74369">
        <w:t xml:space="preserve"> </w:t>
      </w:r>
      <w:r>
        <w:t>buildings, teaching materials) and its management and maintenance, teachers and their training and development, and wider systems of curriculum, testing, quality assurance and performance monitoring.</w:t>
      </w:r>
    </w:p>
    <w:p w14:paraId="3E20CDFD" w14:textId="77777777" w:rsidR="007F064A" w:rsidRDefault="007F064A" w:rsidP="007F064A">
      <w:r w:rsidRPr="002B6438">
        <w:rPr>
          <w:b/>
        </w:rPr>
        <w:t>Infrastructure services</w:t>
      </w:r>
      <w:r>
        <w:t xml:space="preserve">: Infrastructure services include a range of systems that provide communities with basic amenities. For example, safe water supply and sanitation for households and communities involve infrastructure in the form of pipes, facilities and treatment systems. Roads constitute another basic service that provides communities with access to markets and to other basic services. All infrastructure provision requires ongoing management and maintenance. </w:t>
      </w:r>
    </w:p>
    <w:p w14:paraId="0B8B2C6B" w14:textId="7A63CDAF" w:rsidR="007F064A" w:rsidRDefault="007F064A" w:rsidP="00FD7E38">
      <w:pPr>
        <w:spacing w:before="0" w:after="0" w:line="240" w:lineRule="auto"/>
      </w:pPr>
      <w:r>
        <w:t xml:space="preserve">For each type of service, a complex system of service delivery and accountability is </w:t>
      </w:r>
      <w:r w:rsidR="00BC2C6E">
        <w:t>necessary</w:t>
      </w:r>
      <w:r>
        <w:t>. This system includes:</w:t>
      </w:r>
      <w:r>
        <w:rPr>
          <w:rStyle w:val="EndnoteReference"/>
        </w:rPr>
        <w:endnoteReference w:id="7"/>
      </w:r>
    </w:p>
    <w:p w14:paraId="7533BF9D" w14:textId="692F39C1" w:rsidR="007F064A" w:rsidRDefault="007F064A" w:rsidP="007F064A">
      <w:pPr>
        <w:pStyle w:val="Bullet"/>
      </w:pPr>
      <w:r>
        <w:t xml:space="preserve">policy makers (elected and non-elected): </w:t>
      </w:r>
      <w:r w:rsidR="00C23E5C">
        <w:t xml:space="preserve">who </w:t>
      </w:r>
      <w:r>
        <w:t>decide the level and quality of services offered</w:t>
      </w:r>
    </w:p>
    <w:p w14:paraId="5D4AD375" w14:textId="77777777" w:rsidR="007F064A" w:rsidRDefault="007F064A" w:rsidP="007F064A">
      <w:pPr>
        <w:pStyle w:val="Bullet"/>
      </w:pPr>
      <w:r>
        <w:t>service providers: in the form of organisations (public, private and civil society) and frontline individual providers (</w:t>
      </w:r>
      <w:r w:rsidR="00546631">
        <w:t>e.g. </w:t>
      </w:r>
      <w:r>
        <w:t xml:space="preserve">teachers, nurses, engineers) </w:t>
      </w:r>
    </w:p>
    <w:p w14:paraId="1A9F1F39" w14:textId="77777777" w:rsidR="007F064A" w:rsidRDefault="007F064A" w:rsidP="007F064A">
      <w:pPr>
        <w:pStyle w:val="BulletLast"/>
      </w:pPr>
      <w:r>
        <w:t>citizens</w:t>
      </w:r>
      <w:r w:rsidR="00546631">
        <w:t>:</w:t>
      </w:r>
      <w:r>
        <w:t xml:space="preserve"> who are users of services and constituents of policy makers.</w:t>
      </w:r>
    </w:p>
    <w:p w14:paraId="393B68CF" w14:textId="77777777" w:rsidR="00AF7268" w:rsidRDefault="00AF7268" w:rsidP="00AF7268">
      <w:r>
        <w:rPr>
          <w:noProof/>
        </w:rPr>
        <w:drawing>
          <wp:inline distT="0" distB="0" distL="0" distR="0" wp14:anchorId="5EF28E69" wp14:editId="1A4E2D09">
            <wp:extent cx="5728996" cy="3712865"/>
            <wp:effectExtent l="0" t="0" r="508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8.JPG"/>
                    <pic:cNvPicPr/>
                  </pic:nvPicPr>
                  <pic:blipFill rotWithShape="1">
                    <a:blip r:embed="rId29" cstate="print">
                      <a:extLst>
                        <a:ext uri="{28A0092B-C50C-407E-A947-70E740481C1C}">
                          <a14:useLocalDpi xmlns:a14="http://schemas.microsoft.com/office/drawing/2010/main"/>
                        </a:ext>
                      </a:extLst>
                    </a:blip>
                    <a:srcRect t="2928"/>
                    <a:stretch/>
                  </pic:blipFill>
                  <pic:spPr bwMode="auto">
                    <a:xfrm>
                      <a:off x="0" y="0"/>
                      <a:ext cx="5731510" cy="3714494"/>
                    </a:xfrm>
                    <a:prstGeom prst="rect">
                      <a:avLst/>
                    </a:prstGeom>
                    <a:ln>
                      <a:noFill/>
                    </a:ln>
                    <a:extLst>
                      <a:ext uri="{53640926-AAD7-44D8-BBD7-CCE9431645EC}">
                        <a14:shadowObscured xmlns:a14="http://schemas.microsoft.com/office/drawing/2010/main"/>
                      </a:ext>
                    </a:extLst>
                  </pic:spPr>
                </pic:pic>
              </a:graphicData>
            </a:graphic>
          </wp:inline>
        </w:drawing>
      </w:r>
    </w:p>
    <w:p w14:paraId="37309C8D" w14:textId="2F83E7C3" w:rsidR="00AF7268" w:rsidRDefault="00AF7268" w:rsidP="007D38B4">
      <w:pPr>
        <w:pStyle w:val="Caption"/>
      </w:pPr>
      <w:r>
        <w:t>Classroom in Milne Bay</w:t>
      </w:r>
      <w:r w:rsidR="00BE6CD9">
        <w:t xml:space="preserve"> Province</w:t>
      </w:r>
      <w:r>
        <w:t xml:space="preserve">, Papua New Guinea. </w:t>
      </w:r>
      <w:r w:rsidRPr="007D38B4">
        <w:rPr>
          <w:i/>
        </w:rPr>
        <w:t xml:space="preserve">Photo: </w:t>
      </w:r>
      <w:r w:rsidR="00DB6D0E" w:rsidRPr="007D38B4">
        <w:rPr>
          <w:i/>
        </w:rPr>
        <w:t>Institute for Sustainable Futures, University of Technology Sydney</w:t>
      </w:r>
      <w:r w:rsidR="0051604C">
        <w:rPr>
          <w:i/>
        </w:rPr>
        <w:t xml:space="preserve"> (ISF, UTS)</w:t>
      </w:r>
    </w:p>
    <w:p w14:paraId="657DA0E0" w14:textId="15AE3705" w:rsidR="007F064A" w:rsidRDefault="007F064A" w:rsidP="00C615DC">
      <w:pPr>
        <w:pStyle w:val="Heading2"/>
      </w:pPr>
      <w:bookmarkStart w:id="19" w:name="_Toc408831770"/>
      <w:r>
        <w:t>1.2</w:t>
      </w:r>
      <w:r>
        <w:tab/>
      </w:r>
      <w:bookmarkStart w:id="20" w:name="_Toc372300871"/>
      <w:bookmarkStart w:id="21" w:name="_Toc382563841"/>
      <w:bookmarkStart w:id="22" w:name="_Toc382595795"/>
      <w:r w:rsidR="00977AAA">
        <w:t>S</w:t>
      </w:r>
      <w:r w:rsidR="00140BDD">
        <w:t>upporting s</w:t>
      </w:r>
      <w:r w:rsidR="00977AAA">
        <w:t>ervice systems</w:t>
      </w:r>
      <w:r>
        <w:t xml:space="preserve"> </w:t>
      </w:r>
      <w:r w:rsidR="00140BDD">
        <w:t xml:space="preserve">in </w:t>
      </w:r>
      <w:r>
        <w:t>decentralis</w:t>
      </w:r>
      <w:r w:rsidR="00140BDD">
        <w:t>ed contexts</w:t>
      </w:r>
      <w:bookmarkEnd w:id="20"/>
      <w:bookmarkEnd w:id="21"/>
      <w:bookmarkEnd w:id="22"/>
      <w:bookmarkEnd w:id="19"/>
    </w:p>
    <w:p w14:paraId="6A0CD583" w14:textId="0034B843" w:rsidR="007F064A" w:rsidRDefault="007F064A" w:rsidP="007F064A">
      <w:pPr>
        <w:pStyle w:val="NormalBeforeBullet"/>
      </w:pPr>
      <w:r>
        <w:t xml:space="preserve">Decentralisation arrangements are embedded in the legislation of most of Australia’s partner countries. Aid program managers </w:t>
      </w:r>
      <w:r w:rsidR="00546631">
        <w:t xml:space="preserve">therefore </w:t>
      </w:r>
      <w:r>
        <w:t xml:space="preserve">need to consider the opportunities and challenges when assisting </w:t>
      </w:r>
      <w:r w:rsidR="00546631">
        <w:t xml:space="preserve">decentralised </w:t>
      </w:r>
      <w:r>
        <w:t>partner governments with sector programs through policy</w:t>
      </w:r>
      <w:r w:rsidR="00C23E5C">
        <w:t xml:space="preserve"> and </w:t>
      </w:r>
      <w:r>
        <w:t>regulatory reform, system strengthening (advisory support and capacity building) and gap filling (direct service delivery).</w:t>
      </w:r>
    </w:p>
    <w:p w14:paraId="0967FFF3" w14:textId="77777777" w:rsidR="007F064A" w:rsidRDefault="007F064A" w:rsidP="007F064A">
      <w:pPr>
        <w:pStyle w:val="NormalBeforeBullet"/>
      </w:pPr>
      <w:r>
        <w:t>A number of key challenges to delivering services in such contexts are noted below.</w:t>
      </w:r>
    </w:p>
    <w:p w14:paraId="75D2BC54" w14:textId="77777777" w:rsidR="007F064A" w:rsidRPr="00F302B9" w:rsidRDefault="007F064A" w:rsidP="007F064A">
      <w:pPr>
        <w:pStyle w:val="Bullet"/>
      </w:pPr>
      <w:r>
        <w:t>There may be d</w:t>
      </w:r>
      <w:r w:rsidRPr="0066785B">
        <w:t xml:space="preserve">istributed responsibilities across </w:t>
      </w:r>
      <w:r>
        <w:t xml:space="preserve">different parts of </w:t>
      </w:r>
      <w:r w:rsidRPr="0066785B">
        <w:t>national and subnational government</w:t>
      </w:r>
      <w:r>
        <w:t xml:space="preserve"> and authorities</w:t>
      </w:r>
      <w:r w:rsidRPr="0066785B">
        <w:t>.</w:t>
      </w:r>
      <w:r>
        <w:t xml:space="preserve"> For example, while responsibility for service delivery may lie with subnational agencies, central agencies</w:t>
      </w:r>
      <w:r w:rsidDel="00BA76D2">
        <w:t xml:space="preserve"> </w:t>
      </w:r>
      <w:r>
        <w:t>often retain authority for hiring, firing and promoting staff,</w:t>
      </w:r>
      <w:r>
        <w:rPr>
          <w:rStyle w:val="EndnoteReference"/>
        </w:rPr>
        <w:endnoteReference w:id="8"/>
      </w:r>
      <w:r>
        <w:t xml:space="preserve"> and line agencies </w:t>
      </w:r>
      <w:r w:rsidRPr="00BA5CA5">
        <w:t xml:space="preserve">often retain </w:t>
      </w:r>
      <w:r>
        <w:t>responsibil</w:t>
      </w:r>
      <w:r w:rsidRPr="00BA5CA5">
        <w:t xml:space="preserve">ity </w:t>
      </w:r>
      <w:r>
        <w:t>for sector policies. Priorities at national and subnational levels may also differ.</w:t>
      </w:r>
      <w:r>
        <w:rPr>
          <w:rStyle w:val="EndnoteReference"/>
        </w:rPr>
        <w:endnoteReference w:id="9"/>
      </w:r>
      <w:r>
        <w:t xml:space="preserve"> Program managers</w:t>
      </w:r>
      <w:r w:rsidRPr="00F302B9">
        <w:t xml:space="preserve"> must therefore make choices and trade-offs in deciding on an appropriate </w:t>
      </w:r>
      <w:r>
        <w:t>degree</w:t>
      </w:r>
      <w:r w:rsidRPr="00F302B9">
        <w:t xml:space="preserve"> of </w:t>
      </w:r>
      <w:r>
        <w:t>alignment and engagement at different levels.</w:t>
      </w:r>
    </w:p>
    <w:p w14:paraId="308FE56B" w14:textId="560CED4D" w:rsidR="007F064A" w:rsidRPr="003F0BC9" w:rsidRDefault="007F064A" w:rsidP="007F064A">
      <w:pPr>
        <w:pStyle w:val="Bullet"/>
      </w:pPr>
      <w:r w:rsidRPr="005B37AF">
        <w:t>Roles and responsibilities across tiers of government are often unclear</w:t>
      </w:r>
      <w:r>
        <w:t xml:space="preserve"> or not well understood. These problems may be </w:t>
      </w:r>
      <w:r w:rsidRPr="005B37AF">
        <w:t xml:space="preserve">overlaid with political factors, complex financial flows and poor financial management, particularly at </w:t>
      </w:r>
      <w:r>
        <w:t xml:space="preserve">the </w:t>
      </w:r>
      <w:r w:rsidRPr="005B37AF">
        <w:t xml:space="preserve">subnational level. </w:t>
      </w:r>
      <w:r>
        <w:t>At times, subnational governments are given unfunded mandates and funding may flow directly to local members of parliament. These arrangements can further</w:t>
      </w:r>
      <w:r w:rsidRPr="00A94BFF">
        <w:t xml:space="preserve"> complicat</w:t>
      </w:r>
      <w:r>
        <w:t>e the operation of a decentralis</w:t>
      </w:r>
      <w:r w:rsidRPr="00A94BFF">
        <w:t>ed system</w:t>
      </w:r>
      <w:r w:rsidR="00BC2C6E">
        <w:t xml:space="preserve"> of service delivery</w:t>
      </w:r>
      <w:r>
        <w:t xml:space="preserve">. </w:t>
      </w:r>
    </w:p>
    <w:p w14:paraId="1B60F9F0" w14:textId="77777777" w:rsidR="007F064A" w:rsidRPr="005B37AF" w:rsidRDefault="007F064A" w:rsidP="007F064A">
      <w:pPr>
        <w:pStyle w:val="Bullet"/>
      </w:pPr>
      <w:r w:rsidRPr="005B37AF">
        <w:t xml:space="preserve">Decentralisation usually happens unevenly, </w:t>
      </w:r>
      <w:r>
        <w:t xml:space="preserve">in the context of </w:t>
      </w:r>
      <w:r w:rsidRPr="005B37AF">
        <w:t xml:space="preserve">stronger and weaker </w:t>
      </w:r>
      <w:r>
        <w:t>jurisdictions</w:t>
      </w:r>
      <w:r w:rsidRPr="005B37AF">
        <w:t xml:space="preserve">. This presents </w:t>
      </w:r>
      <w:r>
        <w:t>difficult</w:t>
      </w:r>
      <w:r w:rsidRPr="005B37AF">
        <w:t xml:space="preserve"> choices </w:t>
      </w:r>
      <w:r>
        <w:t>to donors when deciding how to</w:t>
      </w:r>
      <w:r w:rsidRPr="005B37AF">
        <w:t xml:space="preserve"> target assistance</w:t>
      </w:r>
      <w:r>
        <w:t>, as higher levels of poverty are more likely to be in poorly performing areas that present higher levels of risk</w:t>
      </w:r>
      <w:r w:rsidR="00B25863">
        <w:t xml:space="preserve"> (for both corruption and results)</w:t>
      </w:r>
      <w:r>
        <w:t xml:space="preserve"> to donors</w:t>
      </w:r>
      <w:r w:rsidRPr="005B37AF">
        <w:t>.</w:t>
      </w:r>
    </w:p>
    <w:p w14:paraId="72612B46" w14:textId="77777777" w:rsidR="007F064A" w:rsidRPr="0066785B" w:rsidRDefault="007F064A" w:rsidP="007F064A">
      <w:pPr>
        <w:pStyle w:val="Bullet"/>
      </w:pPr>
      <w:r>
        <w:t>D</w:t>
      </w:r>
      <w:r w:rsidRPr="0066785B">
        <w:t xml:space="preserve">ecentralisation </w:t>
      </w:r>
      <w:r>
        <w:t>may</w:t>
      </w:r>
      <w:r w:rsidRPr="0066785B">
        <w:t xml:space="preserve"> lead to greater local accountability for services</w:t>
      </w:r>
      <w:r>
        <w:t>. O</w:t>
      </w:r>
      <w:r w:rsidRPr="0066785B">
        <w:t>ften</w:t>
      </w:r>
      <w:r>
        <w:t>, however, this</w:t>
      </w:r>
      <w:r w:rsidRPr="0066785B">
        <w:t xml:space="preserve"> </w:t>
      </w:r>
      <w:r>
        <w:t>does not happen, and so there is a need to address the ‘demand side’—the voice and role of citizens in service systems. Donors must therefore consider not only government roles, but also how such accountability relations with citizens can be improved, and what balance of attention should be given to this area.</w:t>
      </w:r>
    </w:p>
    <w:p w14:paraId="14C61A63" w14:textId="77777777" w:rsidR="007F064A" w:rsidRDefault="007F064A" w:rsidP="007F064A">
      <w:pPr>
        <w:pStyle w:val="Bullet"/>
      </w:pPr>
      <w:r>
        <w:t>Limited</w:t>
      </w:r>
      <w:r w:rsidRPr="0066785B">
        <w:t xml:space="preserve"> capac</w:t>
      </w:r>
      <w:r>
        <w:t xml:space="preserve">ity (government, civil society, private sector) at the </w:t>
      </w:r>
      <w:r w:rsidRPr="0066785B">
        <w:t xml:space="preserve">subnational level </w:t>
      </w:r>
      <w:r>
        <w:t>ha</w:t>
      </w:r>
      <w:r w:rsidRPr="0066785B">
        <w:t xml:space="preserve">s major implications for </w:t>
      </w:r>
      <w:r>
        <w:t xml:space="preserve">the </w:t>
      </w:r>
      <w:r w:rsidRPr="0066785B">
        <w:t xml:space="preserve">sustainability </w:t>
      </w:r>
      <w:r>
        <w:t>of</w:t>
      </w:r>
      <w:r w:rsidRPr="0066785B">
        <w:t xml:space="preserve"> </w:t>
      </w:r>
      <w:r>
        <w:t xml:space="preserve">improved services achieved through development assistance. </w:t>
      </w:r>
      <w:r w:rsidR="00B41326">
        <w:t xml:space="preserve">For example, </w:t>
      </w:r>
      <w:r w:rsidR="00542B0C">
        <w:t>support for</w:t>
      </w:r>
      <w:r w:rsidR="00B41326">
        <w:t xml:space="preserve"> </w:t>
      </w:r>
      <w:r w:rsidR="00542B0C">
        <w:t xml:space="preserve">a </w:t>
      </w:r>
      <w:r w:rsidR="00B41326">
        <w:t>local private sector may req</w:t>
      </w:r>
      <w:r w:rsidR="00542B0C">
        <w:t>uire</w:t>
      </w:r>
      <w:r w:rsidR="00B41326">
        <w:t xml:space="preserve"> </w:t>
      </w:r>
      <w:r w:rsidR="00542B0C">
        <w:t xml:space="preserve">training and accreditation for companies, as well as </w:t>
      </w:r>
      <w:r w:rsidR="00B41326">
        <w:t xml:space="preserve">increased capacity of subnational authorities for </w:t>
      </w:r>
      <w:r w:rsidR="00542B0C">
        <w:t>contracting and oversight.</w:t>
      </w:r>
      <w:r w:rsidR="00B41326">
        <w:t xml:space="preserve"> </w:t>
      </w:r>
      <w:r>
        <w:t xml:space="preserve">Donors may need to </w:t>
      </w:r>
      <w:r w:rsidR="00B41326">
        <w:t>provide</w:t>
      </w:r>
      <w:r>
        <w:t xml:space="preserve"> assistance over long timeframes, and select aid modalities that provide flexible support to meet needs as they change over time. </w:t>
      </w:r>
    </w:p>
    <w:p w14:paraId="0EEF087B" w14:textId="77777777" w:rsidR="007F064A" w:rsidRPr="00F302B9" w:rsidRDefault="007F064A" w:rsidP="007F064A">
      <w:pPr>
        <w:pStyle w:val="BulletLast"/>
      </w:pPr>
      <w:r>
        <w:t>Different types of reform within a country may lead to contradictions. Decentralisation reform is often resisted by those who stand to lose power and authority at the national level. Some types of sector reform may recentralise certain functions, and can work against decentralisation.</w:t>
      </w:r>
      <w:r w:rsidRPr="00006A2B">
        <w:rPr>
          <w:rStyle w:val="BodyTextChar"/>
          <w:vertAlign w:val="superscript"/>
        </w:rPr>
        <w:endnoteReference w:id="10"/>
      </w:r>
      <w:r>
        <w:rPr>
          <w:rStyle w:val="BodyTextChar"/>
          <w:vertAlign w:val="superscript"/>
        </w:rPr>
        <w:t xml:space="preserve"> </w:t>
      </w:r>
      <w:r w:rsidRPr="006A583A">
        <w:t>Sector-wide approaches and</w:t>
      </w:r>
      <w:r>
        <w:t xml:space="preserve"> sector budget support have</w:t>
      </w:r>
      <w:r w:rsidRPr="006A583A">
        <w:t xml:space="preserve"> been criticised </w:t>
      </w:r>
      <w:r>
        <w:t>in this respect.</w:t>
      </w:r>
      <w:r>
        <w:rPr>
          <w:rStyle w:val="EndnoteReference"/>
        </w:rPr>
        <w:endnoteReference w:id="11"/>
      </w:r>
      <w:r>
        <w:t xml:space="preserve"> Donors must be alert to these tensions, and consider how best to contribute in a given sector. .</w:t>
      </w:r>
    </w:p>
    <w:p w14:paraId="03251939" w14:textId="77777777" w:rsidR="007F064A" w:rsidRDefault="007F064A" w:rsidP="007F064A">
      <w:pPr>
        <w:ind w:right="-2"/>
      </w:pPr>
      <w:r w:rsidRPr="00DB3D35">
        <w:t>The above challenges are not sector</w:t>
      </w:r>
      <w:r>
        <w:t xml:space="preserve"> </w:t>
      </w:r>
      <w:r w:rsidRPr="00DB3D35">
        <w:t xml:space="preserve">specific. </w:t>
      </w:r>
      <w:r>
        <w:t>D</w:t>
      </w:r>
      <w:r w:rsidRPr="00DB3D35">
        <w:t xml:space="preserve">onors </w:t>
      </w:r>
      <w:r>
        <w:t xml:space="preserve">should </w:t>
      </w:r>
      <w:r w:rsidRPr="00DB3D35">
        <w:t xml:space="preserve">consider </w:t>
      </w:r>
      <w:r>
        <w:t xml:space="preserve">the need for </w:t>
      </w:r>
      <w:r w:rsidRPr="00DB3D35">
        <w:t xml:space="preserve">a strategic framework </w:t>
      </w:r>
      <w:r>
        <w:t>to</w:t>
      </w:r>
      <w:r w:rsidRPr="00DB3D35">
        <w:t xml:space="preserve"> provid</w:t>
      </w:r>
      <w:r>
        <w:t>e support</w:t>
      </w:r>
      <w:r w:rsidRPr="00DB3D35">
        <w:t xml:space="preserve"> within and across sectors within a </w:t>
      </w:r>
      <w:r>
        <w:t>given decentralised</w:t>
      </w:r>
      <w:r w:rsidRPr="00DB3D35">
        <w:t xml:space="preserve"> country context</w:t>
      </w:r>
      <w:r>
        <w:t>, a</w:t>
      </w:r>
      <w:r w:rsidRPr="00DB3D35">
        <w:t>s has been recommended elsewhere.</w:t>
      </w:r>
      <w:r w:rsidRPr="00DB3D35">
        <w:rPr>
          <w:rStyle w:val="EndnoteReference"/>
        </w:rPr>
        <w:endnoteReference w:id="12"/>
      </w:r>
      <w:r w:rsidRPr="00DB3D35">
        <w:t xml:space="preserve"> The</w:t>
      </w:r>
      <w:r>
        <w:t xml:space="preserve"> </w:t>
      </w:r>
      <w:r w:rsidRPr="00DB3D35">
        <w:t>specific considerations for different sectors are described in the chapters on health, education and in</w:t>
      </w:r>
      <w:r>
        <w:t>frastructure (Chapters 2, 3 and 4</w:t>
      </w:r>
      <w:r w:rsidRPr="00DB3D35">
        <w:t>).</w:t>
      </w:r>
    </w:p>
    <w:p w14:paraId="41455E92" w14:textId="77777777" w:rsidR="007F064A" w:rsidRDefault="00C43897" w:rsidP="00C615DC">
      <w:pPr>
        <w:pStyle w:val="Heading2"/>
      </w:pPr>
      <w:bookmarkStart w:id="23" w:name="_Ref371969771"/>
      <w:bookmarkStart w:id="24" w:name="_Toc382563844"/>
      <w:bookmarkStart w:id="25" w:name="_Toc382595798"/>
      <w:bookmarkStart w:id="26" w:name="_Toc408831771"/>
      <w:r>
        <w:t>1.3</w:t>
      </w:r>
      <w:r>
        <w:tab/>
      </w:r>
      <w:r w:rsidR="007F064A" w:rsidRPr="00E65B71">
        <w:t>Policy context</w:t>
      </w:r>
      <w:bookmarkEnd w:id="23"/>
      <w:bookmarkEnd w:id="24"/>
      <w:bookmarkEnd w:id="25"/>
      <w:bookmarkEnd w:id="26"/>
      <w:r w:rsidR="007F064A" w:rsidRPr="00E65B71">
        <w:t xml:space="preserve"> </w:t>
      </w:r>
    </w:p>
    <w:p w14:paraId="1D49F018" w14:textId="77777777" w:rsidR="007F064A" w:rsidRPr="006F7D36" w:rsidRDefault="007F064A" w:rsidP="007F064A">
      <w:r>
        <w:t>The international and Australian policy contexts are summarised below, with more detail presented in Appendix 1.</w:t>
      </w:r>
    </w:p>
    <w:p w14:paraId="388C8629" w14:textId="77777777" w:rsidR="007F064A" w:rsidRDefault="007F064A" w:rsidP="00C615DC">
      <w:pPr>
        <w:pStyle w:val="Heading3"/>
      </w:pPr>
      <w:bookmarkStart w:id="27" w:name="_Toc372300868"/>
      <w:bookmarkStart w:id="28" w:name="_Toc372300867"/>
      <w:r>
        <w:t>International trends in development policy</w:t>
      </w:r>
      <w:bookmarkEnd w:id="27"/>
      <w:r>
        <w:t xml:space="preserve"> </w:t>
      </w:r>
    </w:p>
    <w:p w14:paraId="0203AAA4" w14:textId="77777777" w:rsidR="007F064A" w:rsidRDefault="007F064A" w:rsidP="007F064A">
      <w:r>
        <w:t>T</w:t>
      </w:r>
      <w:r w:rsidRPr="00151B2C">
        <w:t xml:space="preserve">he broader context of international aid </w:t>
      </w:r>
      <w:r>
        <w:t>policy is</w:t>
      </w:r>
      <w:r w:rsidRPr="00151B2C">
        <w:t xml:space="preserve"> an important backdrop to th</w:t>
      </w:r>
      <w:r>
        <w:t>is</w:t>
      </w:r>
      <w:r w:rsidRPr="00151B2C">
        <w:t xml:space="preserve"> evaluation. The Paris Declar</w:t>
      </w:r>
      <w:r>
        <w:t>ation</w:t>
      </w:r>
      <w:r w:rsidRPr="00151B2C">
        <w:t xml:space="preserve"> </w:t>
      </w:r>
      <w:r>
        <w:t>(</w:t>
      </w:r>
      <w:r w:rsidRPr="00151B2C">
        <w:t>2005</w:t>
      </w:r>
      <w:r>
        <w:t xml:space="preserve">), </w:t>
      </w:r>
      <w:r w:rsidRPr="00151B2C">
        <w:t>Accra Agenda for Action (2008)</w:t>
      </w:r>
      <w:r>
        <w:t xml:space="preserve">, and </w:t>
      </w:r>
      <w:r w:rsidRPr="00151B2C">
        <w:t>Busan Partnership for Effective Development Cooperation (2011) all recognise the need for donors to strengthen developing countr</w:t>
      </w:r>
      <w:r>
        <w:t>ies’</w:t>
      </w:r>
      <w:r w:rsidRPr="00151B2C">
        <w:t xml:space="preserve"> ownership and design of their own development. Alignment to</w:t>
      </w:r>
      <w:r>
        <w:t>,</w:t>
      </w:r>
      <w:r w:rsidRPr="00151B2C">
        <w:t xml:space="preserve"> and greater use of</w:t>
      </w:r>
      <w:r>
        <w:t>,</w:t>
      </w:r>
      <w:r w:rsidRPr="00151B2C">
        <w:t xml:space="preserve"> country systems for aid delivery </w:t>
      </w:r>
      <w:r>
        <w:t>are</w:t>
      </w:r>
      <w:r w:rsidRPr="00151B2C">
        <w:t xml:space="preserve"> core aspect</w:t>
      </w:r>
      <w:r>
        <w:t>s</w:t>
      </w:r>
      <w:r w:rsidRPr="00151B2C">
        <w:t xml:space="preserve"> of this agenda</w:t>
      </w:r>
      <w:r>
        <w:t xml:space="preserve">. The critical role of subnational authorities has been identified more recently: </w:t>
      </w:r>
    </w:p>
    <w:p w14:paraId="61B5FD97" w14:textId="77777777" w:rsidR="007F064A" w:rsidRDefault="007F064A" w:rsidP="007F064A">
      <w:pPr>
        <w:pStyle w:val="Quote"/>
      </w:pPr>
      <w:r>
        <w:t>T</w:t>
      </w:r>
      <w:r w:rsidRPr="00006A2B">
        <w:t>he importance of subnational governments as actors in the development process and as active partners in development assistance has increased</w:t>
      </w:r>
      <w:r>
        <w:t xml:space="preserve"> [and] </w:t>
      </w:r>
      <w:r w:rsidRPr="00006A2B">
        <w:t>the original notion of ownership has broadened beyond traditional national actors to include other stakeholders in recipient countries, including subnational governments and citizens</w:t>
      </w:r>
      <w:r>
        <w:t>.</w:t>
      </w:r>
      <w:r>
        <w:rPr>
          <w:rStyle w:val="EndnoteReference"/>
        </w:rPr>
        <w:endnoteReference w:id="13"/>
      </w:r>
      <w:r>
        <w:t xml:space="preserve"> </w:t>
      </w:r>
    </w:p>
    <w:p w14:paraId="1DCE638D" w14:textId="77777777" w:rsidR="007F064A" w:rsidRPr="00E65B71" w:rsidRDefault="00BC49C8" w:rsidP="007F064A">
      <w:r>
        <w:t xml:space="preserve">The international </w:t>
      </w:r>
      <w:r w:rsidR="007F064A" w:rsidRPr="00151B2C">
        <w:t xml:space="preserve">focus on ‘results’ </w:t>
      </w:r>
      <w:r w:rsidR="007F064A">
        <w:t>is also critical.</w:t>
      </w:r>
      <w:r w:rsidR="007F064A" w:rsidRPr="00151B2C">
        <w:t xml:space="preserve"> </w:t>
      </w:r>
      <w:r w:rsidR="007F064A">
        <w:t xml:space="preserve">An important consideration for this evaluation was whether the drive for immediate, tangible </w:t>
      </w:r>
      <w:r w:rsidR="00271C79">
        <w:t xml:space="preserve">service delivery </w:t>
      </w:r>
      <w:r w:rsidR="007F064A">
        <w:t>outcomes may compromise other elements of aid effectiveness such as longer-term</w:t>
      </w:r>
      <w:r w:rsidR="007F064A" w:rsidRPr="00151B2C">
        <w:t xml:space="preserve"> </w:t>
      </w:r>
      <w:r w:rsidR="007F064A">
        <w:t xml:space="preserve">efforts towards </w:t>
      </w:r>
      <w:r w:rsidR="007F064A" w:rsidRPr="00151B2C">
        <w:t>capacity building</w:t>
      </w:r>
      <w:r w:rsidR="007F064A">
        <w:t>,</w:t>
      </w:r>
      <w:r w:rsidR="007F064A" w:rsidRPr="00151B2C">
        <w:t xml:space="preserve"> institutional reform and political engagement. </w:t>
      </w:r>
    </w:p>
    <w:p w14:paraId="11CDCC9A" w14:textId="77777777" w:rsidR="007F064A" w:rsidRPr="006F7D36" w:rsidRDefault="007F064A" w:rsidP="00C615DC">
      <w:pPr>
        <w:pStyle w:val="Heading3"/>
      </w:pPr>
      <w:r w:rsidRPr="006F7D36">
        <w:t xml:space="preserve">Relevant trends in Australian </w:t>
      </w:r>
      <w:bookmarkEnd w:id="28"/>
      <w:r w:rsidRPr="006F7D36">
        <w:t xml:space="preserve">policy context </w:t>
      </w:r>
    </w:p>
    <w:p w14:paraId="1F2EE226" w14:textId="33F63D28" w:rsidR="007F064A" w:rsidRDefault="007F064A" w:rsidP="007F064A">
      <w:r>
        <w:t xml:space="preserve">Traditionally, Australia’s aid program has mostly engaged with partner governments at the national level. Over the last decade, greater priority has being given to engaging at a local level and directing resources closer to where services are delivered. </w:t>
      </w:r>
      <w:r w:rsidRPr="0036236E">
        <w:t>This evolution in</w:t>
      </w:r>
      <w:r>
        <w:t xml:space="preserve"> the aid program’s approach reflects commitments to aid effectiveness.</w:t>
      </w:r>
      <w:r>
        <w:rPr>
          <w:rStyle w:val="EndnoteReference"/>
        </w:rPr>
        <w:endnoteReference w:id="14"/>
      </w:r>
      <w:r w:rsidR="00B74369">
        <w:t xml:space="preserve"> </w:t>
      </w:r>
      <w:r>
        <w:t xml:space="preserve">It is particularly important in countries where the lower levels of government are responsible for basic services, however, engaging these levels of government can be challenging. </w:t>
      </w:r>
    </w:p>
    <w:p w14:paraId="64A69A1A" w14:textId="77777777" w:rsidR="007F064A" w:rsidRDefault="007F064A" w:rsidP="007F064A">
      <w:pPr>
        <w:spacing w:after="120"/>
      </w:pPr>
      <w:r>
        <w:t xml:space="preserve">The Australian national policy context has been shaped by a series of major audits and reforms. The relevant issues from recent reforms are: </w:t>
      </w:r>
    </w:p>
    <w:p w14:paraId="6672D087" w14:textId="3FC0208E" w:rsidR="007F064A" w:rsidRDefault="007F064A" w:rsidP="007F064A">
      <w:pPr>
        <w:spacing w:after="120"/>
        <w:rPr>
          <w:highlight w:val="yellow"/>
        </w:rPr>
      </w:pPr>
      <w:r w:rsidRPr="003125E3">
        <w:rPr>
          <w:b/>
          <w:i/>
        </w:rPr>
        <w:t>Increased use and support of partner systems:</w:t>
      </w:r>
      <w:r>
        <w:t xml:space="preserve"> </w:t>
      </w:r>
      <w:r w:rsidRPr="00B45E3A">
        <w:t>The Australian aid white paper in 2006 recognised that aid programs that are driven by partner countries were likely to be more sustainable.</w:t>
      </w:r>
      <w:r w:rsidRPr="00B45E3A">
        <w:rPr>
          <w:rStyle w:val="EndnoteReference"/>
        </w:rPr>
        <w:endnoteReference w:id="15"/>
      </w:r>
      <w:r w:rsidRPr="00B45E3A">
        <w:t xml:space="preserve"> </w:t>
      </w:r>
      <w:r w:rsidR="00355BD2">
        <w:t>R</w:t>
      </w:r>
      <w:r w:rsidRPr="00B45E3A">
        <w:t xml:space="preserve">eviews by the </w:t>
      </w:r>
      <w:r>
        <w:t xml:space="preserve">OECD </w:t>
      </w:r>
      <w:r w:rsidRPr="00B45E3A">
        <w:t>Development Assistance Committee and Australian National Audit office advocated policy development to guide the use of such systems</w:t>
      </w:r>
      <w:r w:rsidR="00BC49C8">
        <w:t>,</w:t>
      </w:r>
      <w:r w:rsidRPr="00B45E3A">
        <w:rPr>
          <w:rStyle w:val="EndnoteReference"/>
        </w:rPr>
        <w:endnoteReference w:id="16"/>
      </w:r>
      <w:r w:rsidRPr="00B45E3A">
        <w:t xml:space="preserve"> as well as use of partner government systems for design, management, expenditure, monitoring and reporting.</w:t>
      </w:r>
      <w:r w:rsidRPr="00B45E3A">
        <w:rPr>
          <w:rStyle w:val="EndnoteReference"/>
        </w:rPr>
        <w:endnoteReference w:id="17"/>
      </w:r>
      <w:r w:rsidRPr="00B45E3A">
        <w:t xml:space="preserve"> </w:t>
      </w:r>
    </w:p>
    <w:p w14:paraId="5DB6B943" w14:textId="4BCFA4D5" w:rsidR="007F064A" w:rsidRDefault="007F064A" w:rsidP="007F064A">
      <w:pPr>
        <w:spacing w:after="120"/>
      </w:pPr>
      <w:r w:rsidRPr="00B45E3A">
        <w:rPr>
          <w:b/>
          <w:i/>
          <w:iCs/>
        </w:rPr>
        <w:t>Increased investment in service</w:t>
      </w:r>
      <w:r w:rsidR="00BC2C6E">
        <w:rPr>
          <w:b/>
          <w:i/>
          <w:iCs/>
        </w:rPr>
        <w:t>s</w:t>
      </w:r>
      <w:r w:rsidRPr="00B45E3A">
        <w:rPr>
          <w:b/>
          <w:i/>
          <w:iCs/>
        </w:rPr>
        <w:t>:</w:t>
      </w:r>
      <w:r w:rsidR="00B74369">
        <w:rPr>
          <w:b/>
          <w:i/>
          <w:iCs/>
        </w:rPr>
        <w:t xml:space="preserve"> </w:t>
      </w:r>
      <w:r>
        <w:t>There has been increased s</w:t>
      </w:r>
      <w:r w:rsidRPr="003E7041">
        <w:t>upport for service delivery</w:t>
      </w:r>
      <w:r>
        <w:t xml:space="preserve"> in health, education and infrastructure.</w:t>
      </w:r>
      <w:r>
        <w:rPr>
          <w:rStyle w:val="EndnoteReference"/>
        </w:rPr>
        <w:endnoteReference w:id="18"/>
      </w:r>
      <w:r w:rsidR="0036168A">
        <w:rPr>
          <w:szCs w:val="21"/>
        </w:rPr>
        <w:t xml:space="preserve"> For example, i</w:t>
      </w:r>
      <w:r w:rsidR="0036168A" w:rsidRPr="00A97BCA">
        <w:rPr>
          <w:szCs w:val="21"/>
        </w:rPr>
        <w:t>n 2014</w:t>
      </w:r>
      <w:r w:rsidR="00DB6D0E">
        <w:rPr>
          <w:szCs w:val="21"/>
        </w:rPr>
        <w:t>–</w:t>
      </w:r>
      <w:r w:rsidR="0036168A" w:rsidRPr="00A97BCA">
        <w:rPr>
          <w:szCs w:val="21"/>
        </w:rPr>
        <w:t>15, the main areas of support are in education, health and infrastructure</w:t>
      </w:r>
      <w:r w:rsidR="00DB6D0E">
        <w:rPr>
          <w:szCs w:val="21"/>
        </w:rPr>
        <w:t>:</w:t>
      </w:r>
      <w:r w:rsidR="0036168A" w:rsidRPr="00A97BCA">
        <w:rPr>
          <w:szCs w:val="21"/>
        </w:rPr>
        <w:t xml:space="preserve"> 23 per cent of </w:t>
      </w:r>
      <w:r w:rsidR="00DB6D0E">
        <w:rPr>
          <w:szCs w:val="21"/>
        </w:rPr>
        <w:t>Australian aid</w:t>
      </w:r>
      <w:r w:rsidR="00DB6D0E" w:rsidRPr="00A97BCA">
        <w:rPr>
          <w:szCs w:val="21"/>
        </w:rPr>
        <w:t xml:space="preserve"> </w:t>
      </w:r>
      <w:r w:rsidR="0036168A" w:rsidRPr="00A97BCA">
        <w:rPr>
          <w:szCs w:val="21"/>
        </w:rPr>
        <w:t>funding on education (</w:t>
      </w:r>
      <w:r w:rsidR="00DB6D0E">
        <w:rPr>
          <w:szCs w:val="21"/>
        </w:rPr>
        <w:t>$</w:t>
      </w:r>
      <w:r w:rsidR="00DB6D0E" w:rsidRPr="00A97BCA">
        <w:rPr>
          <w:szCs w:val="21"/>
        </w:rPr>
        <w:t>1105</w:t>
      </w:r>
      <w:r w:rsidR="0036168A" w:rsidRPr="00A97BCA">
        <w:rPr>
          <w:szCs w:val="21"/>
        </w:rPr>
        <w:t>.8</w:t>
      </w:r>
      <w:r w:rsidR="00B74369">
        <w:rPr>
          <w:szCs w:val="21"/>
        </w:rPr>
        <w:t xml:space="preserve"> </w:t>
      </w:r>
      <w:r w:rsidR="0036168A" w:rsidRPr="00A97BCA">
        <w:rPr>
          <w:szCs w:val="21"/>
        </w:rPr>
        <w:t>million), 16 per cent on health (</w:t>
      </w:r>
      <w:r w:rsidR="00DB6D0E">
        <w:rPr>
          <w:szCs w:val="21"/>
        </w:rPr>
        <w:t>$</w:t>
      </w:r>
      <w:r w:rsidR="0036168A" w:rsidRPr="00A97BCA">
        <w:rPr>
          <w:szCs w:val="21"/>
        </w:rPr>
        <w:t>784.7</w:t>
      </w:r>
      <w:r w:rsidR="00B74369">
        <w:rPr>
          <w:szCs w:val="21"/>
        </w:rPr>
        <w:t xml:space="preserve"> </w:t>
      </w:r>
      <w:r w:rsidR="0036168A" w:rsidRPr="00A97BCA">
        <w:rPr>
          <w:szCs w:val="21"/>
        </w:rPr>
        <w:t xml:space="preserve">million) and </w:t>
      </w:r>
      <w:r w:rsidR="00DB6D0E">
        <w:rPr>
          <w:szCs w:val="21"/>
        </w:rPr>
        <w:t>10 </w:t>
      </w:r>
      <w:r w:rsidR="0036168A" w:rsidRPr="00A97BCA">
        <w:rPr>
          <w:szCs w:val="21"/>
        </w:rPr>
        <w:t>per cent on infrastructure (</w:t>
      </w:r>
      <w:r w:rsidR="00DB6D0E">
        <w:rPr>
          <w:szCs w:val="21"/>
        </w:rPr>
        <w:t>$</w:t>
      </w:r>
      <w:r w:rsidR="0036168A" w:rsidRPr="00A97BCA">
        <w:rPr>
          <w:szCs w:val="21"/>
        </w:rPr>
        <w:t>530.3 million).</w:t>
      </w:r>
      <w:r w:rsidR="0036168A">
        <w:rPr>
          <w:rStyle w:val="EndnoteReference"/>
          <w:szCs w:val="21"/>
        </w:rPr>
        <w:endnoteReference w:id="19"/>
      </w:r>
      <w:r w:rsidR="0036168A">
        <w:rPr>
          <w:szCs w:val="21"/>
        </w:rPr>
        <w:t xml:space="preserve"> </w:t>
      </w:r>
      <w:r w:rsidR="0036168A">
        <w:t>Australia’s</w:t>
      </w:r>
      <w:r>
        <w:t xml:space="preserve"> </w:t>
      </w:r>
      <w:r w:rsidRPr="003E7041">
        <w:t xml:space="preserve">investment is accompanied by recognition of the importance of governance to </w:t>
      </w:r>
      <w:r>
        <w:t xml:space="preserve">help </w:t>
      </w:r>
      <w:r w:rsidRPr="003E7041">
        <w:t xml:space="preserve">secure sustainable improvements in service </w:t>
      </w:r>
      <w:r>
        <w:t>systems.</w:t>
      </w:r>
      <w:r w:rsidR="0036168A">
        <w:t xml:space="preserve"> </w:t>
      </w:r>
    </w:p>
    <w:p w14:paraId="45EE2099" w14:textId="77777777" w:rsidR="007F064A" w:rsidRDefault="007F064A" w:rsidP="007F064A">
      <w:pPr>
        <w:spacing w:after="120"/>
      </w:pPr>
      <w:r w:rsidRPr="00B45E3A">
        <w:rPr>
          <w:b/>
          <w:i/>
          <w:iCs/>
        </w:rPr>
        <w:t>Increased aid program coherence:</w:t>
      </w:r>
      <w:r>
        <w:rPr>
          <w:i/>
          <w:iCs/>
        </w:rPr>
        <w:t xml:space="preserve"> </w:t>
      </w:r>
      <w:r w:rsidRPr="003E7041">
        <w:t xml:space="preserve">The need to improve coherence and exploit synergies </w:t>
      </w:r>
      <w:r>
        <w:t>in</w:t>
      </w:r>
      <w:r w:rsidRPr="003E7041">
        <w:t xml:space="preserve"> areas such as civil society, governance, and gender</w:t>
      </w:r>
      <w:r>
        <w:t xml:space="preserve">, was noted by the </w:t>
      </w:r>
      <w:r w:rsidR="00636F11">
        <w:t>i</w:t>
      </w:r>
      <w:r>
        <w:t>ndependent review of aid effectiveness</w:t>
      </w:r>
      <w:r w:rsidRPr="003E7041">
        <w:t xml:space="preserve">. </w:t>
      </w:r>
      <w:r>
        <w:t>Since then, the aid architecture has been reviewed</w:t>
      </w:r>
      <w:r w:rsidRPr="00B45E3A">
        <w:t xml:space="preserve"> </w:t>
      </w:r>
      <w:r w:rsidRPr="003E7041">
        <w:t xml:space="preserve">to clarify </w:t>
      </w:r>
      <w:r>
        <w:t xml:space="preserve">policy and strategy </w:t>
      </w:r>
      <w:r w:rsidRPr="003E7041">
        <w:t>definitions and structures to improve coherence</w:t>
      </w:r>
      <w:r>
        <w:t>, and there have been moves to integrate governance initiatives into sectoral program areas.</w:t>
      </w:r>
      <w:r>
        <w:rPr>
          <w:rStyle w:val="EndnoteReference"/>
        </w:rPr>
        <w:endnoteReference w:id="20"/>
      </w:r>
    </w:p>
    <w:p w14:paraId="5B655E94" w14:textId="77777777" w:rsidR="007F064A" w:rsidRDefault="007F064A" w:rsidP="007F064A">
      <w:r w:rsidRPr="00B45E3A">
        <w:rPr>
          <w:b/>
          <w:i/>
        </w:rPr>
        <w:t>Increased staff knowledge of partner countries, and staff specialisation</w:t>
      </w:r>
      <w:r>
        <w:rPr>
          <w:i/>
        </w:rPr>
        <w:t>:</w:t>
      </w:r>
      <w:r>
        <w:t xml:space="preserve"> The 2006 white paper stressed the need to strengthen the analysis of development issues through deeper knowledge of partner countries. </w:t>
      </w:r>
      <w:r w:rsidR="00BC2C6E">
        <w:t xml:space="preserve">The above three issues all </w:t>
      </w:r>
      <w:r>
        <w:t>ha</w:t>
      </w:r>
      <w:r w:rsidR="00BC2C6E">
        <w:t>ve</w:t>
      </w:r>
      <w:r>
        <w:t xml:space="preserve"> important human resource dimension</w:t>
      </w:r>
      <w:r w:rsidR="00BC2C6E">
        <w:t>s</w:t>
      </w:r>
      <w:r>
        <w:t xml:space="preserve">, including the roles of sector specialists and aid management/policy professionals. </w:t>
      </w:r>
      <w:r w:rsidR="00BC2C6E">
        <w:t>To date, c</w:t>
      </w:r>
      <w:r>
        <w:t xml:space="preserve">ompetencies for specialisation in health and education are strongly sector specific </w:t>
      </w:r>
      <w:r w:rsidR="00ED0653">
        <w:t xml:space="preserve">and there is </w:t>
      </w:r>
      <w:r w:rsidR="00BC2C6E">
        <w:t xml:space="preserve">potential for increased </w:t>
      </w:r>
      <w:r>
        <w:t xml:space="preserve">focus on governance </w:t>
      </w:r>
      <w:r w:rsidR="00ED0653">
        <w:t xml:space="preserve">experience, knowledge and </w:t>
      </w:r>
      <w:r>
        <w:t>skills</w:t>
      </w:r>
      <w:r w:rsidR="00FB3250">
        <w:t xml:space="preserve"> within requirements for specialist positions</w:t>
      </w:r>
      <w:r>
        <w:t xml:space="preserve">. </w:t>
      </w:r>
    </w:p>
    <w:p w14:paraId="5AEA3B2A" w14:textId="77777777" w:rsidR="007F064A" w:rsidRDefault="007F064A" w:rsidP="007F064A">
      <w:pPr>
        <w:pStyle w:val="Heading2"/>
        <w:spacing w:before="240" w:after="240" w:line="288" w:lineRule="auto"/>
        <w:ind w:left="0" w:firstLine="0"/>
      </w:pPr>
      <w:bookmarkStart w:id="29" w:name="_Toc382563842"/>
      <w:bookmarkStart w:id="30" w:name="_Toc382595796"/>
      <w:bookmarkStart w:id="31" w:name="_Toc408831772"/>
      <w:r>
        <w:t>1.</w:t>
      </w:r>
      <w:r w:rsidR="00C43897">
        <w:t>4</w:t>
      </w:r>
      <w:r>
        <w:t xml:space="preserve"> </w:t>
      </w:r>
      <w:r>
        <w:tab/>
        <w:t>About the evaluation</w:t>
      </w:r>
      <w:bookmarkEnd w:id="29"/>
      <w:bookmarkEnd w:id="30"/>
      <w:bookmarkEnd w:id="31"/>
    </w:p>
    <w:p w14:paraId="66ECAD92" w14:textId="05A2F294" w:rsidR="007F064A" w:rsidRDefault="007F064A" w:rsidP="007F064A">
      <w:pPr>
        <w:ind w:right="-144"/>
      </w:pPr>
      <w:r>
        <w:t>This</w:t>
      </w:r>
      <w:r w:rsidRPr="00FA7F2D">
        <w:t xml:space="preserve"> evaluation</w:t>
      </w:r>
      <w:r>
        <w:t>, which</w:t>
      </w:r>
      <w:r w:rsidRPr="00FA7F2D">
        <w:t xml:space="preserve"> </w:t>
      </w:r>
      <w:r>
        <w:t xml:space="preserve">took place </w:t>
      </w:r>
      <w:r w:rsidR="008B68CE">
        <w:t>between December 2012 and April 201</w:t>
      </w:r>
      <w:r>
        <w:t xml:space="preserve">4, </w:t>
      </w:r>
      <w:r w:rsidRPr="00FA7F2D">
        <w:t xml:space="preserve">builds on </w:t>
      </w:r>
      <w:r>
        <w:t>a previous Office of Development Effectiveness (ODE) evaluation of Australian support for service delivery, published in 2009.</w:t>
      </w:r>
      <w:r w:rsidRPr="002C796C">
        <w:rPr>
          <w:rStyle w:val="EndnoteReference"/>
        </w:rPr>
        <w:endnoteReference w:id="21"/>
      </w:r>
      <w:r w:rsidRPr="002C796C">
        <w:rPr>
          <w:vertAlign w:val="superscript"/>
        </w:rPr>
        <w:t xml:space="preserve"> </w:t>
      </w:r>
      <w:r>
        <w:t xml:space="preserve">The previous evaluation highlighted the challenges present in decentralised contexts, including the need for greater recognition and focus on subnational government, and issues concerning local </w:t>
      </w:r>
      <w:r w:rsidR="00660D55">
        <w:t>capacity</w:t>
      </w:r>
      <w:r>
        <w:t xml:space="preserve"> to sustain services. The difficulties associated with division of responsibilities and priorities between central and subnational governments and the need for greater flexibility in working in such contexts, were also noted.</w:t>
      </w:r>
      <w:r>
        <w:rPr>
          <w:rStyle w:val="EndnoteReference"/>
        </w:rPr>
        <w:endnoteReference w:id="22"/>
      </w:r>
      <w:r>
        <w:t xml:space="preserve"> This evaluation explores these and other issues further, and examines how Australian support is changing to meet the complex challenges associated with decentralised contexts.</w:t>
      </w:r>
    </w:p>
    <w:p w14:paraId="20CBA8C9" w14:textId="77777777" w:rsidR="007F064A" w:rsidRPr="00E903F2" w:rsidRDefault="007F064A" w:rsidP="007F064A">
      <w:pPr>
        <w:pStyle w:val="NormalBeforeBullet"/>
      </w:pPr>
      <w:r>
        <w:t>T</w:t>
      </w:r>
      <w:r w:rsidRPr="00E903F2">
        <w:t xml:space="preserve">he </w:t>
      </w:r>
      <w:r>
        <w:t>aims</w:t>
      </w:r>
      <w:r w:rsidRPr="00E903F2">
        <w:t xml:space="preserve"> of th</w:t>
      </w:r>
      <w:r>
        <w:t>is</w:t>
      </w:r>
      <w:r w:rsidRPr="00E903F2">
        <w:t xml:space="preserve"> evaluation </w:t>
      </w:r>
      <w:r>
        <w:t>are</w:t>
      </w:r>
      <w:r w:rsidRPr="00E903F2">
        <w:t xml:space="preserve"> to:</w:t>
      </w:r>
    </w:p>
    <w:p w14:paraId="4016EC54" w14:textId="77777777" w:rsidR="007F064A" w:rsidRPr="00E903F2" w:rsidRDefault="007F064A" w:rsidP="007F064A">
      <w:pPr>
        <w:pStyle w:val="Bullet"/>
      </w:pPr>
      <w:r w:rsidRPr="00E903F2">
        <w:t>a</w:t>
      </w:r>
      <w:r>
        <w:t>ssess the extent to which health, education and infrastructure</w:t>
      </w:r>
      <w:r w:rsidRPr="00E903F2">
        <w:t xml:space="preserve"> programs have appropriately taken into account the role played by subnational authorities </w:t>
      </w:r>
    </w:p>
    <w:p w14:paraId="4A752D07" w14:textId="77777777" w:rsidR="007F064A" w:rsidRPr="00E903F2" w:rsidRDefault="007F064A" w:rsidP="007F064A">
      <w:pPr>
        <w:pStyle w:val="BulletLast"/>
      </w:pPr>
      <w:r w:rsidRPr="00E903F2">
        <w:t xml:space="preserve">provide a stronger evidence base for the design and management of </w:t>
      </w:r>
      <w:r>
        <w:t xml:space="preserve">such </w:t>
      </w:r>
      <w:r w:rsidRPr="00E903F2">
        <w:t>programs in contexts where subnational authorities have significant roles in service delivery.</w:t>
      </w:r>
    </w:p>
    <w:p w14:paraId="0F9CCC6E" w14:textId="77777777" w:rsidR="00C23E5C" w:rsidRDefault="00C23E5C" w:rsidP="00C23E5C">
      <w:bookmarkStart w:id="32" w:name="_Ref371587666"/>
      <w:bookmarkStart w:id="33" w:name="_Toc382563843"/>
      <w:bookmarkStart w:id="34" w:name="_Toc382595797"/>
      <w:r w:rsidRPr="00E903F2">
        <w:t xml:space="preserve">In </w:t>
      </w:r>
      <w:r>
        <w:t>many partner</w:t>
      </w:r>
      <w:r w:rsidRPr="00E903F2">
        <w:t xml:space="preserve"> countries </w:t>
      </w:r>
      <w:r>
        <w:t>receiving</w:t>
      </w:r>
      <w:r w:rsidRPr="00E903F2">
        <w:t xml:space="preserve"> </w:t>
      </w:r>
      <w:r>
        <w:t>Australian</w:t>
      </w:r>
      <w:r w:rsidRPr="00E903F2">
        <w:t xml:space="preserve"> aid</w:t>
      </w:r>
      <w:r>
        <w:t>, subnational authorities, rather</w:t>
      </w:r>
      <w:r w:rsidRPr="00E903F2">
        <w:t xml:space="preserve"> than national government</w:t>
      </w:r>
      <w:r>
        <w:t>s, play a key role in</w:t>
      </w:r>
      <w:r w:rsidRPr="00E903F2">
        <w:t xml:space="preserve"> </w:t>
      </w:r>
      <w:r>
        <w:t>service systems, alongside private and civil society actors. This evaluation aims to inform effective investment within these contexts.</w:t>
      </w:r>
    </w:p>
    <w:p w14:paraId="0C4D4F92" w14:textId="77777777" w:rsidR="007F064A" w:rsidRDefault="007F064A" w:rsidP="007F064A">
      <w:pPr>
        <w:pStyle w:val="Heading3"/>
        <w:spacing w:before="240"/>
      </w:pPr>
      <w:r>
        <w:t>Rationale for the evaluation</w:t>
      </w:r>
      <w:bookmarkEnd w:id="32"/>
      <w:bookmarkEnd w:id="33"/>
      <w:bookmarkEnd w:id="34"/>
    </w:p>
    <w:p w14:paraId="455D4B5D" w14:textId="135A56B6" w:rsidR="006E7FEC" w:rsidRDefault="007F064A" w:rsidP="006E7FEC">
      <w:r w:rsidRPr="00656D5E">
        <w:t xml:space="preserve">The Australian </w:t>
      </w:r>
      <w:r>
        <w:t>G</w:t>
      </w:r>
      <w:r w:rsidRPr="00656D5E">
        <w:t>overnment invests significant</w:t>
      </w:r>
      <w:r>
        <w:t xml:space="preserve"> aid </w:t>
      </w:r>
      <w:r w:rsidRPr="00656D5E">
        <w:t xml:space="preserve">resources </w:t>
      </w:r>
      <w:r>
        <w:t>in</w:t>
      </w:r>
      <w:r w:rsidRPr="00656D5E">
        <w:t xml:space="preserve"> support</w:t>
      </w:r>
      <w:r>
        <w:t>ing partner governments to</w:t>
      </w:r>
      <w:r w:rsidRPr="00656D5E">
        <w:t xml:space="preserve"> improve service</w:t>
      </w:r>
      <w:r>
        <w:t xml:space="preserve"> systems</w:t>
      </w:r>
      <w:r w:rsidRPr="00656D5E">
        <w:t xml:space="preserve">, particularly in health, education and basic infrastructure. </w:t>
      </w:r>
      <w:r w:rsidR="005B4166">
        <w:t>P</w:t>
      </w:r>
      <w:r w:rsidRPr="00656D5E">
        <w:t>riorit</w:t>
      </w:r>
      <w:r>
        <w:t>y</w:t>
      </w:r>
      <w:r w:rsidRPr="00656D5E">
        <w:t xml:space="preserve"> </w:t>
      </w:r>
      <w:r w:rsidR="005B4166">
        <w:t>has been</w:t>
      </w:r>
      <w:r w:rsidR="001B2951">
        <w:t xml:space="preserve"> </w:t>
      </w:r>
      <w:r w:rsidR="005B4166">
        <w:t xml:space="preserve">given to </w:t>
      </w:r>
      <w:r w:rsidRPr="00656D5E">
        <w:t>sector program</w:t>
      </w:r>
      <w:r>
        <w:t>s that address basic service systems</w:t>
      </w:r>
      <w:r w:rsidRPr="00656D5E">
        <w:t>.</w:t>
      </w:r>
      <w:r w:rsidR="00921A4C">
        <w:rPr>
          <w:rStyle w:val="FootnoteReference"/>
        </w:rPr>
        <w:footnoteReference w:id="3"/>
      </w:r>
      <w:r>
        <w:t xml:space="preserve"> In </w:t>
      </w:r>
      <w:r w:rsidRPr="00656D5E">
        <w:t>201</w:t>
      </w:r>
      <w:r w:rsidR="005B4166">
        <w:t>3</w:t>
      </w:r>
      <w:r w:rsidR="00C23E5C">
        <w:rPr>
          <w:rFonts w:ascii="Trebuchet MS" w:hAnsi="Trebuchet MS"/>
        </w:rPr>
        <w:t>–</w:t>
      </w:r>
      <w:r w:rsidRPr="00656D5E">
        <w:t>1</w:t>
      </w:r>
      <w:r w:rsidR="005B4166">
        <w:t>4</w:t>
      </w:r>
      <w:r w:rsidR="008952E3">
        <w:t>,</w:t>
      </w:r>
      <w:r>
        <w:t xml:space="preserve"> s</w:t>
      </w:r>
      <w:r w:rsidRPr="00656D5E">
        <w:t xml:space="preserve">pending </w:t>
      </w:r>
      <w:r w:rsidR="006E7FEC">
        <w:t>for</w:t>
      </w:r>
      <w:r>
        <w:t xml:space="preserve"> the strategic goal of ‘saving lives’ was expected to </w:t>
      </w:r>
      <w:r w:rsidR="006E7FEC">
        <w:t>comprise</w:t>
      </w:r>
      <w:r w:rsidRPr="00656D5E">
        <w:t xml:space="preserve"> 1</w:t>
      </w:r>
      <w:r w:rsidR="005B4166">
        <w:t>9</w:t>
      </w:r>
      <w:r>
        <w:t> </w:t>
      </w:r>
      <w:r w:rsidRPr="00656D5E">
        <w:t xml:space="preserve">per cent of total </w:t>
      </w:r>
      <w:r>
        <w:t>assistance</w:t>
      </w:r>
      <w:r w:rsidRPr="00656D5E">
        <w:t xml:space="preserve">. </w:t>
      </w:r>
      <w:r w:rsidRPr="0071742B">
        <w:t xml:space="preserve">This included programs focused on increasing access to </w:t>
      </w:r>
      <w:r w:rsidR="00FB3250">
        <w:t>education</w:t>
      </w:r>
      <w:r w:rsidRPr="0071742B">
        <w:t xml:space="preserve">, health services </w:t>
      </w:r>
      <w:r>
        <w:t>(</w:t>
      </w:r>
      <w:r w:rsidRPr="0071742B">
        <w:t>particularly for women and children</w:t>
      </w:r>
      <w:r>
        <w:t>),</w:t>
      </w:r>
      <w:r w:rsidRPr="0071742B">
        <w:t xml:space="preserve"> safe water and sanitation.</w:t>
      </w:r>
      <w:r w:rsidRPr="00501C92">
        <w:t xml:space="preserve"> </w:t>
      </w:r>
      <w:r w:rsidR="00316BE6" w:rsidRPr="00C615DC">
        <w:t>The strategic goal of ‘effective governance’ was expected to comprise 16</w:t>
      </w:r>
      <w:r w:rsidR="002C0C9F">
        <w:t> </w:t>
      </w:r>
      <w:r w:rsidR="00316BE6" w:rsidRPr="00C615DC">
        <w:t xml:space="preserve">per cent of total assistance. This </w:t>
      </w:r>
      <w:r w:rsidR="00316BE6" w:rsidRPr="00501C92">
        <w:t xml:space="preserve">included </w:t>
      </w:r>
      <w:r w:rsidR="00316BE6">
        <w:t>programs for improving governance to deliver better services.</w:t>
      </w:r>
      <w:r w:rsidR="00C23E5C">
        <w:t xml:space="preserve"> </w:t>
      </w:r>
      <w:r w:rsidR="00316BE6">
        <w:t>S</w:t>
      </w:r>
      <w:r>
        <w:t>pending on</w:t>
      </w:r>
      <w:r w:rsidRPr="00656D5E">
        <w:t xml:space="preserve"> </w:t>
      </w:r>
      <w:r>
        <w:t>‘p</w:t>
      </w:r>
      <w:r w:rsidRPr="00656D5E">
        <w:t>romoting opportunities for all</w:t>
      </w:r>
      <w:r>
        <w:t>’, including education services, was expected to</w:t>
      </w:r>
      <w:r w:rsidRPr="00656D5E">
        <w:t xml:space="preserve"> account for 2</w:t>
      </w:r>
      <w:r w:rsidR="005B4166">
        <w:t>2</w:t>
      </w:r>
      <w:r>
        <w:t> </w:t>
      </w:r>
      <w:r w:rsidRPr="00656D5E">
        <w:t xml:space="preserve">per cent of total </w:t>
      </w:r>
      <w:r>
        <w:t>Australian assistance</w:t>
      </w:r>
      <w:r w:rsidRPr="00656D5E">
        <w:t>.</w:t>
      </w:r>
      <w:r w:rsidR="008952E3" w:rsidRPr="00151B2C">
        <w:rPr>
          <w:rStyle w:val="EndnoteReference"/>
          <w:szCs w:val="24"/>
        </w:rPr>
        <w:endnoteReference w:id="23"/>
      </w:r>
      <w:bookmarkStart w:id="35" w:name="_Toc369778964"/>
      <w:bookmarkStart w:id="36" w:name="_Toc382563845"/>
      <w:bookmarkStart w:id="37" w:name="_Toc382595799"/>
    </w:p>
    <w:p w14:paraId="24DB3369" w14:textId="27211836" w:rsidR="007F064A" w:rsidRPr="007D4735" w:rsidRDefault="007F064A" w:rsidP="006E7FEC">
      <w:pPr>
        <w:pStyle w:val="Heading3"/>
      </w:pPr>
      <w:r>
        <w:t>Evaluation approach</w:t>
      </w:r>
      <w:bookmarkEnd w:id="35"/>
      <w:r>
        <w:t xml:space="preserve"> and design</w:t>
      </w:r>
      <w:bookmarkEnd w:id="36"/>
      <w:bookmarkEnd w:id="37"/>
    </w:p>
    <w:p w14:paraId="08500E87" w14:textId="77777777" w:rsidR="007F064A" w:rsidRDefault="007F064A" w:rsidP="007F064A">
      <w:r w:rsidRPr="00CD15BE">
        <w:t xml:space="preserve">This evaluation </w:t>
      </w:r>
      <w:r>
        <w:t>focuses on</w:t>
      </w:r>
      <w:r w:rsidRPr="00CD15BE">
        <w:t xml:space="preserve"> support to </w:t>
      </w:r>
      <w:r>
        <w:t xml:space="preserve">improve </w:t>
      </w:r>
      <w:r w:rsidRPr="00CD15BE">
        <w:t>health, education and in</w:t>
      </w:r>
      <w:r>
        <w:t>fra</w:t>
      </w:r>
      <w:r w:rsidRPr="00CD15BE">
        <w:t>structure</w:t>
      </w:r>
      <w:r w:rsidRPr="001440B8">
        <w:t xml:space="preserve"> </w:t>
      </w:r>
      <w:r w:rsidRPr="00CD15BE">
        <w:t>service</w:t>
      </w:r>
      <w:r>
        <w:t>s</w:t>
      </w:r>
      <w:r w:rsidRPr="00CD15BE">
        <w:t>.</w:t>
      </w:r>
      <w:r w:rsidR="00921A4C" w:rsidRPr="00A87CC4">
        <w:rPr>
          <w:rStyle w:val="FootnoteReference"/>
          <w:szCs w:val="24"/>
        </w:rPr>
        <w:footnoteReference w:id="4"/>
      </w:r>
      <w:r w:rsidR="00921A4C" w:rsidRPr="00CD15BE">
        <w:t xml:space="preserve"> </w:t>
      </w:r>
      <w:r w:rsidRPr="00CD15BE">
        <w:t xml:space="preserve">Governance programs </w:t>
      </w:r>
      <w:r>
        <w:t>are not a major focus</w:t>
      </w:r>
      <w:r w:rsidR="00501C92">
        <w:t>; t</w:t>
      </w:r>
      <w:r>
        <w:t>hey are considered in terms of</w:t>
      </w:r>
      <w:r w:rsidR="00FB3250">
        <w:t xml:space="preserve"> </w:t>
      </w:r>
      <w:r>
        <w:t>the way they operate alongside and in relation to other</w:t>
      </w:r>
      <w:r w:rsidRPr="00CD15BE">
        <w:t xml:space="preserve"> sector</w:t>
      </w:r>
      <w:r>
        <w:t xml:space="preserve">s. </w:t>
      </w:r>
      <w:r w:rsidRPr="00CD15BE">
        <w:t xml:space="preserve">The </w:t>
      </w:r>
      <w:r>
        <w:t>evaluation</w:t>
      </w:r>
      <w:r w:rsidRPr="00CD15BE">
        <w:t xml:space="preserve"> approach incorporat</w:t>
      </w:r>
      <w:r>
        <w:t>es</w:t>
      </w:r>
      <w:r w:rsidRPr="00CD15BE">
        <w:t xml:space="preserve"> </w:t>
      </w:r>
      <w:r>
        <w:t>a range</w:t>
      </w:r>
      <w:r w:rsidRPr="00CD15BE">
        <w:t xml:space="preserve"> of perspective</w:t>
      </w:r>
      <w:r>
        <w:t>s</w:t>
      </w:r>
      <w:r w:rsidRPr="00CD15BE">
        <w:t xml:space="preserve"> </w:t>
      </w:r>
      <w:r>
        <w:t>and involved aid program staff in key decisions concerning fieldwork</w:t>
      </w:r>
      <w:r w:rsidRPr="00CD15BE">
        <w:t xml:space="preserve"> </w:t>
      </w:r>
      <w:r>
        <w:t xml:space="preserve">and in review roles. </w:t>
      </w:r>
    </w:p>
    <w:p w14:paraId="0249FA2F" w14:textId="16811B27" w:rsidR="007F064A" w:rsidRDefault="007F064A" w:rsidP="00501C92">
      <w:r>
        <w:t>T</w:t>
      </w:r>
      <w:r w:rsidRPr="00CD15BE">
        <w:t>he evaluation t</w:t>
      </w:r>
      <w:r>
        <w:t>a</w:t>
      </w:r>
      <w:r w:rsidRPr="00CD15BE">
        <w:t>k</w:t>
      </w:r>
      <w:r>
        <w:t>es</w:t>
      </w:r>
      <w:r w:rsidRPr="00CD15BE">
        <w:t xml:space="preserve"> a ‘systems approach’ </w:t>
      </w:r>
      <w:r>
        <w:t>that seeks to capture the</w:t>
      </w:r>
      <w:r w:rsidRPr="00CD15BE">
        <w:t xml:space="preserve"> different parts of partner governments and other actors involved </w:t>
      </w:r>
      <w:r>
        <w:t xml:space="preserve">in </w:t>
      </w:r>
      <w:r w:rsidRPr="00CD15BE">
        <w:t>service delivery chains</w:t>
      </w:r>
      <w:r w:rsidR="00F749A4">
        <w:t xml:space="preserve"> in decentralised contexts (see Figure </w:t>
      </w:r>
      <w:r w:rsidR="00277A53">
        <w:t>1</w:t>
      </w:r>
      <w:r w:rsidR="00F749A4">
        <w:t>)</w:t>
      </w:r>
      <w:r>
        <w:t>. It examines both the supply and demand side of service delivery</w:t>
      </w:r>
      <w:r w:rsidRPr="00CD15BE">
        <w:t xml:space="preserve">. </w:t>
      </w:r>
    </w:p>
    <w:p w14:paraId="6B0F85D5" w14:textId="77777777" w:rsidR="007F064A" w:rsidRDefault="007F064A" w:rsidP="00C615DC">
      <w:pPr>
        <w:pStyle w:val="NormalBeforeBullet"/>
        <w:rPr>
          <w:rFonts w:eastAsia="Calibri"/>
        </w:rPr>
      </w:pPr>
      <w:r>
        <w:rPr>
          <w:b/>
        </w:rPr>
        <w:t>The s</w:t>
      </w:r>
      <w:r w:rsidRPr="00837455">
        <w:rPr>
          <w:b/>
        </w:rPr>
        <w:t>upply</w:t>
      </w:r>
      <w:r>
        <w:rPr>
          <w:b/>
        </w:rPr>
        <w:t xml:space="preserve"> </w:t>
      </w:r>
      <w:r w:rsidRPr="00837455">
        <w:rPr>
          <w:b/>
        </w:rPr>
        <w:t>side</w:t>
      </w:r>
      <w:r>
        <w:t xml:space="preserve"> of service delivery in decentralised contexts includes:</w:t>
      </w:r>
      <w:r w:rsidRPr="00CD15BE">
        <w:rPr>
          <w:rFonts w:eastAsia="Calibri"/>
        </w:rPr>
        <w:t xml:space="preserve"> </w:t>
      </w:r>
    </w:p>
    <w:p w14:paraId="4D8E3564" w14:textId="77777777" w:rsidR="007F064A" w:rsidRPr="001440B8" w:rsidRDefault="007F064A" w:rsidP="00501C92">
      <w:pPr>
        <w:pStyle w:val="Bullet"/>
        <w:rPr>
          <w:rFonts w:eastAsia="Calibri"/>
        </w:rPr>
      </w:pPr>
      <w:r w:rsidRPr="00501C92">
        <w:rPr>
          <w:rFonts w:eastAsia="Calibri"/>
        </w:rPr>
        <w:t>political</w:t>
      </w:r>
      <w:r w:rsidRPr="001440B8">
        <w:rPr>
          <w:rFonts w:eastAsia="Calibri"/>
        </w:rPr>
        <w:t xml:space="preserve"> decentralisation (of power and authority)</w:t>
      </w:r>
    </w:p>
    <w:p w14:paraId="63A31538" w14:textId="77777777" w:rsidR="007F064A" w:rsidRDefault="007F064A" w:rsidP="007F064A">
      <w:pPr>
        <w:pStyle w:val="Bullet"/>
      </w:pPr>
      <w:r w:rsidRPr="001440B8">
        <w:rPr>
          <w:rFonts w:eastAsia="Calibri"/>
        </w:rPr>
        <w:t>administrative decentralisation (of responsibilities</w:t>
      </w:r>
      <w:r w:rsidRPr="00CD15BE">
        <w:t xml:space="preserve"> </w:t>
      </w:r>
      <w:r>
        <w:t>for service delivery)</w:t>
      </w:r>
    </w:p>
    <w:p w14:paraId="0271E1A9" w14:textId="77777777" w:rsidR="007F064A" w:rsidRDefault="007F064A" w:rsidP="007F064A">
      <w:pPr>
        <w:pStyle w:val="Bullet"/>
      </w:pPr>
      <w:r>
        <w:t>fiscal decentralisation (of resources)</w:t>
      </w:r>
    </w:p>
    <w:p w14:paraId="65EABB7A" w14:textId="77777777" w:rsidR="00BE6E18" w:rsidRPr="00BE6E18" w:rsidRDefault="007F064A" w:rsidP="00C615DC">
      <w:pPr>
        <w:pStyle w:val="BulletLast"/>
        <w:rPr>
          <w:rFonts w:eastAsia="Calibri"/>
          <w:b/>
        </w:rPr>
      </w:pPr>
      <w:r w:rsidRPr="00105AE6">
        <w:t xml:space="preserve">divestment or market decentralisation (involving transfer of functions to </w:t>
      </w:r>
      <w:r w:rsidR="006F4490">
        <w:t xml:space="preserve">the </w:t>
      </w:r>
      <w:r w:rsidRPr="00105AE6">
        <w:t>private</w:t>
      </w:r>
      <w:r w:rsidR="006F4490">
        <w:t xml:space="preserve"> sector</w:t>
      </w:r>
      <w:r w:rsidRPr="00105AE6">
        <w:t xml:space="preserve"> or non-government organisations)</w:t>
      </w:r>
      <w:r w:rsidRPr="00D534A7">
        <w:t>.</w:t>
      </w:r>
      <w:bookmarkStart w:id="38" w:name="_Toc348028968"/>
      <w:bookmarkStart w:id="39" w:name="_Toc348518865"/>
      <w:bookmarkStart w:id="40" w:name="_Toc348522366"/>
    </w:p>
    <w:p w14:paraId="7927222B" w14:textId="77777777" w:rsidR="007F064A" w:rsidRDefault="007F064A" w:rsidP="00C615DC">
      <w:pPr>
        <w:pStyle w:val="NormalBeforeBullet"/>
        <w:rPr>
          <w:rFonts w:eastAsia="Calibri"/>
        </w:rPr>
      </w:pPr>
      <w:r>
        <w:rPr>
          <w:rFonts w:eastAsia="Calibri"/>
          <w:b/>
        </w:rPr>
        <w:t>The d</w:t>
      </w:r>
      <w:r w:rsidRPr="00AB1338">
        <w:rPr>
          <w:rFonts w:eastAsia="Calibri"/>
          <w:b/>
        </w:rPr>
        <w:t>emand</w:t>
      </w:r>
      <w:r>
        <w:rPr>
          <w:rFonts w:eastAsia="Calibri"/>
          <w:b/>
        </w:rPr>
        <w:t xml:space="preserve"> </w:t>
      </w:r>
      <w:r w:rsidRPr="00AB1338">
        <w:rPr>
          <w:rFonts w:eastAsia="Calibri"/>
          <w:b/>
        </w:rPr>
        <w:t>side</w:t>
      </w:r>
      <w:r w:rsidRPr="007D4735">
        <w:rPr>
          <w:rFonts w:eastAsia="Calibri"/>
        </w:rPr>
        <w:t xml:space="preserve"> of </w:t>
      </w:r>
      <w:bookmarkEnd w:id="38"/>
      <w:bookmarkEnd w:id="39"/>
      <w:bookmarkEnd w:id="40"/>
      <w:r>
        <w:rPr>
          <w:rFonts w:eastAsia="Calibri"/>
        </w:rPr>
        <w:t>service delivery includes:</w:t>
      </w:r>
      <w:r w:rsidRPr="007D4735">
        <w:rPr>
          <w:rFonts w:eastAsia="Calibri"/>
        </w:rPr>
        <w:t xml:space="preserve"> </w:t>
      </w:r>
    </w:p>
    <w:p w14:paraId="6D56BD36" w14:textId="77777777" w:rsidR="007F064A" w:rsidRPr="001440B8" w:rsidRDefault="007F064A" w:rsidP="007F064A">
      <w:pPr>
        <w:pStyle w:val="Bullet"/>
        <w:rPr>
          <w:rFonts w:eastAsia="Calibri"/>
        </w:rPr>
      </w:pPr>
      <w:r w:rsidRPr="001440B8">
        <w:rPr>
          <w:rFonts w:eastAsia="Calibri"/>
        </w:rPr>
        <w:t>mechanisms for citizen</w:t>
      </w:r>
      <w:r w:rsidR="00BE6E18">
        <w:rPr>
          <w:rFonts w:eastAsia="Calibri"/>
        </w:rPr>
        <w:t xml:space="preserve"> or community</w:t>
      </w:r>
      <w:r w:rsidRPr="001440B8">
        <w:rPr>
          <w:rFonts w:eastAsia="Calibri"/>
        </w:rPr>
        <w:t xml:space="preserve"> participation, voice and influence</w:t>
      </w:r>
    </w:p>
    <w:p w14:paraId="33A5A88B" w14:textId="77777777" w:rsidR="007F064A" w:rsidRPr="00D534A7" w:rsidRDefault="00BE6E18" w:rsidP="007F064A">
      <w:pPr>
        <w:pStyle w:val="Bullet"/>
      </w:pPr>
      <w:r>
        <w:rPr>
          <w:rFonts w:eastAsia="Calibri"/>
        </w:rPr>
        <w:t>citizen or community’s</w:t>
      </w:r>
      <w:r w:rsidR="007F064A" w:rsidRPr="001440B8">
        <w:rPr>
          <w:rFonts w:eastAsia="Calibri"/>
        </w:rPr>
        <w:t xml:space="preserve"> access to information to support accountability and transparency</w:t>
      </w:r>
    </w:p>
    <w:p w14:paraId="0413E91F" w14:textId="475334B8" w:rsidR="00F749A4" w:rsidRDefault="007F064A" w:rsidP="00F749A4">
      <w:pPr>
        <w:pStyle w:val="Bullet"/>
      </w:pPr>
      <w:r w:rsidRPr="001440B8">
        <w:rPr>
          <w:rFonts w:eastAsia="Calibri"/>
        </w:rPr>
        <w:t xml:space="preserve">the capacity of citizens </w:t>
      </w:r>
      <w:r w:rsidR="00BE6E18">
        <w:rPr>
          <w:rFonts w:eastAsia="Calibri"/>
        </w:rPr>
        <w:t xml:space="preserve">or community </w:t>
      </w:r>
      <w:r w:rsidRPr="001440B8">
        <w:rPr>
          <w:rFonts w:eastAsia="Calibri"/>
        </w:rPr>
        <w:t>to be active in the mechanisms available to them to participate, including social inclusion concerns about gender equity and marginalised groups.</w:t>
      </w:r>
    </w:p>
    <w:p w14:paraId="5E1A5986" w14:textId="77777777" w:rsidR="00F749A4" w:rsidRDefault="00F749A4" w:rsidP="00F749A4">
      <w:pPr>
        <w:pStyle w:val="Bullet"/>
        <w:numPr>
          <w:ilvl w:val="0"/>
          <w:numId w:val="0"/>
        </w:numPr>
      </w:pPr>
    </w:p>
    <w:p w14:paraId="66BFE0B1" w14:textId="12F88377" w:rsidR="00A26312" w:rsidRDefault="00A26312" w:rsidP="00F749A4">
      <w:pPr>
        <w:pStyle w:val="Bullet"/>
        <w:numPr>
          <w:ilvl w:val="0"/>
          <w:numId w:val="0"/>
        </w:numPr>
      </w:pPr>
    </w:p>
    <w:p w14:paraId="6A1BD245" w14:textId="77777777" w:rsidR="00A26312" w:rsidRDefault="00A26312" w:rsidP="00F749A4">
      <w:pPr>
        <w:pStyle w:val="Bullet"/>
        <w:numPr>
          <w:ilvl w:val="0"/>
          <w:numId w:val="0"/>
        </w:numPr>
      </w:pPr>
    </w:p>
    <w:p w14:paraId="485E9774" w14:textId="77777777" w:rsidR="00A26312" w:rsidRDefault="00A26312" w:rsidP="00F749A4">
      <w:pPr>
        <w:pStyle w:val="Bullet"/>
        <w:numPr>
          <w:ilvl w:val="0"/>
          <w:numId w:val="0"/>
        </w:numPr>
      </w:pPr>
    </w:p>
    <w:p w14:paraId="6FE516AD" w14:textId="77777777" w:rsidR="00A26312" w:rsidRDefault="00A26312" w:rsidP="00F749A4">
      <w:pPr>
        <w:pStyle w:val="Bullet"/>
        <w:numPr>
          <w:ilvl w:val="0"/>
          <w:numId w:val="0"/>
        </w:numPr>
      </w:pPr>
    </w:p>
    <w:p w14:paraId="42A3ED5F" w14:textId="6288CEF0" w:rsidR="00A26312" w:rsidRDefault="00A26312" w:rsidP="00F749A4">
      <w:pPr>
        <w:pStyle w:val="Bullet"/>
        <w:numPr>
          <w:ilvl w:val="0"/>
          <w:numId w:val="0"/>
        </w:numPr>
      </w:pPr>
    </w:p>
    <w:p w14:paraId="25D63F63" w14:textId="77777777" w:rsidR="00A26312" w:rsidRDefault="00A26312" w:rsidP="00F749A4">
      <w:pPr>
        <w:pStyle w:val="Bullet"/>
        <w:numPr>
          <w:ilvl w:val="0"/>
          <w:numId w:val="0"/>
        </w:numPr>
      </w:pPr>
    </w:p>
    <w:p w14:paraId="274A85B1" w14:textId="77777777" w:rsidR="00A26312" w:rsidRDefault="00A26312" w:rsidP="00F749A4">
      <w:pPr>
        <w:pStyle w:val="Bullet"/>
        <w:numPr>
          <w:ilvl w:val="0"/>
          <w:numId w:val="0"/>
        </w:numPr>
      </w:pPr>
    </w:p>
    <w:p w14:paraId="70F7B123" w14:textId="77777777" w:rsidR="00A26312" w:rsidRDefault="00A26312" w:rsidP="00F749A4">
      <w:pPr>
        <w:pStyle w:val="Bullet"/>
        <w:numPr>
          <w:ilvl w:val="0"/>
          <w:numId w:val="0"/>
        </w:numPr>
      </w:pPr>
    </w:p>
    <w:p w14:paraId="695383BF" w14:textId="77777777" w:rsidR="00A26312" w:rsidRDefault="00A26312" w:rsidP="00F749A4">
      <w:pPr>
        <w:pStyle w:val="Bullet"/>
        <w:numPr>
          <w:ilvl w:val="0"/>
          <w:numId w:val="0"/>
        </w:numPr>
      </w:pPr>
    </w:p>
    <w:p w14:paraId="43F23624" w14:textId="77777777" w:rsidR="00A26312" w:rsidRDefault="00A26312" w:rsidP="00F749A4">
      <w:pPr>
        <w:pStyle w:val="Bullet"/>
        <w:numPr>
          <w:ilvl w:val="0"/>
          <w:numId w:val="0"/>
        </w:numPr>
      </w:pPr>
    </w:p>
    <w:p w14:paraId="3E13D14E" w14:textId="77777777" w:rsidR="00A26312" w:rsidRDefault="00A26312" w:rsidP="00F749A4">
      <w:pPr>
        <w:pStyle w:val="Bullet"/>
        <w:numPr>
          <w:ilvl w:val="0"/>
          <w:numId w:val="0"/>
        </w:numPr>
      </w:pPr>
    </w:p>
    <w:p w14:paraId="19516917" w14:textId="504D4CAB" w:rsidR="00A26312" w:rsidRDefault="00A26312" w:rsidP="00F749A4">
      <w:pPr>
        <w:pStyle w:val="Bullet"/>
        <w:numPr>
          <w:ilvl w:val="0"/>
          <w:numId w:val="0"/>
        </w:numPr>
      </w:pPr>
    </w:p>
    <w:p w14:paraId="63396355" w14:textId="2E7CE675" w:rsidR="00A26312" w:rsidRDefault="00A26312" w:rsidP="00F749A4">
      <w:pPr>
        <w:pStyle w:val="Bullet"/>
        <w:numPr>
          <w:ilvl w:val="0"/>
          <w:numId w:val="0"/>
        </w:numPr>
      </w:pPr>
    </w:p>
    <w:p w14:paraId="2BA494C3" w14:textId="77777777" w:rsidR="00A26312" w:rsidRDefault="00A26312" w:rsidP="00F749A4">
      <w:pPr>
        <w:pStyle w:val="Bullet"/>
        <w:numPr>
          <w:ilvl w:val="0"/>
          <w:numId w:val="0"/>
        </w:numPr>
      </w:pPr>
    </w:p>
    <w:p w14:paraId="63EBD15B" w14:textId="08A1D11A" w:rsidR="00A26312" w:rsidRDefault="00A26312" w:rsidP="00F749A4">
      <w:pPr>
        <w:pStyle w:val="Bullet"/>
        <w:numPr>
          <w:ilvl w:val="0"/>
          <w:numId w:val="0"/>
        </w:numPr>
      </w:pPr>
    </w:p>
    <w:p w14:paraId="33E94BFD" w14:textId="2D66F307" w:rsidR="00F749A4" w:rsidRDefault="00277A53" w:rsidP="00277A53">
      <w:pPr>
        <w:pStyle w:val="FigureName"/>
      </w:pPr>
      <w:r w:rsidRPr="00B66B5B">
        <w:t xml:space="preserve">Figure 1. </w:t>
      </w:r>
      <w:r w:rsidR="00C079DC" w:rsidRPr="00B66B5B">
        <w:t>Supply and demand sides of service systems</w:t>
      </w:r>
      <w:r w:rsidRPr="00B66B5B">
        <w:t xml:space="preserve">  </w:t>
      </w:r>
    </w:p>
    <w:p w14:paraId="4BD2ECCD" w14:textId="449E79AF" w:rsidR="00277A53" w:rsidRPr="00277A53" w:rsidRDefault="00277A53" w:rsidP="00277A53">
      <w:r>
        <w:rPr>
          <w:noProof/>
        </w:rPr>
        <w:drawing>
          <wp:inline distT="0" distB="0" distL="0" distR="0" wp14:anchorId="0EAF1767" wp14:editId="1691243C">
            <wp:extent cx="5730240" cy="5401056"/>
            <wp:effectExtent l="0" t="0" r="381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065_AusAid_Diagrams_Diagram3.jpg"/>
                    <pic:cNvPicPr/>
                  </pic:nvPicPr>
                  <pic:blipFill>
                    <a:blip r:embed="rId30">
                      <a:extLst>
                        <a:ext uri="{28A0092B-C50C-407E-A947-70E740481C1C}">
                          <a14:useLocalDpi xmlns:a14="http://schemas.microsoft.com/office/drawing/2010/main" val="0"/>
                        </a:ext>
                      </a:extLst>
                    </a:blip>
                    <a:stretch>
                      <a:fillRect/>
                    </a:stretch>
                  </pic:blipFill>
                  <pic:spPr>
                    <a:xfrm>
                      <a:off x="0" y="0"/>
                      <a:ext cx="5730240" cy="5401056"/>
                    </a:xfrm>
                    <a:prstGeom prst="rect">
                      <a:avLst/>
                    </a:prstGeom>
                  </pic:spPr>
                </pic:pic>
              </a:graphicData>
            </a:graphic>
          </wp:inline>
        </w:drawing>
      </w:r>
    </w:p>
    <w:p w14:paraId="27E6D70E" w14:textId="42DF8792" w:rsidR="007F064A" w:rsidRDefault="007F064A" w:rsidP="007F064A">
      <w:pPr>
        <w:pStyle w:val="Heading3"/>
        <w:spacing w:before="240"/>
      </w:pPr>
      <w:bookmarkStart w:id="41" w:name="_Ref371622193"/>
      <w:bookmarkStart w:id="42" w:name="_Ref371622880"/>
      <w:bookmarkStart w:id="43" w:name="_Ref371623430"/>
      <w:bookmarkStart w:id="44" w:name="_Toc382563846"/>
      <w:bookmarkStart w:id="45" w:name="_Toc382595800"/>
      <w:r>
        <w:t>Evaluation criteria</w:t>
      </w:r>
      <w:bookmarkEnd w:id="41"/>
      <w:bookmarkEnd w:id="42"/>
      <w:bookmarkEnd w:id="43"/>
      <w:bookmarkEnd w:id="44"/>
      <w:bookmarkEnd w:id="45"/>
    </w:p>
    <w:p w14:paraId="5DD4F80B" w14:textId="1D1805BE" w:rsidR="007F064A" w:rsidRPr="008879AD" w:rsidRDefault="007F064A" w:rsidP="007F064A">
      <w:pPr>
        <w:pStyle w:val="NormalBeforeBullet"/>
      </w:pPr>
      <w:r w:rsidRPr="008879AD">
        <w:t>The overarching evaluation</w:t>
      </w:r>
      <w:r>
        <w:t xml:space="preserve"> </w:t>
      </w:r>
      <w:r w:rsidRPr="008879AD">
        <w:t xml:space="preserve">question is: </w:t>
      </w:r>
    </w:p>
    <w:p w14:paraId="4E3CB488" w14:textId="77777777" w:rsidR="007F064A" w:rsidRPr="001E49BC" w:rsidRDefault="007F064A" w:rsidP="007F064A">
      <w:pPr>
        <w:pStyle w:val="BulletLast"/>
        <w:rPr>
          <w:b/>
        </w:rPr>
      </w:pPr>
      <w:r w:rsidRPr="001E49BC">
        <w:rPr>
          <w:b/>
        </w:rPr>
        <w:t>How effective is Australian support for service delivery in decentralised contexts and how can it be improved?</w:t>
      </w:r>
    </w:p>
    <w:p w14:paraId="09E6ACE3" w14:textId="63FC6CCD" w:rsidR="007F064A" w:rsidRPr="008879AD" w:rsidRDefault="007F064A" w:rsidP="007F064A">
      <w:pPr>
        <w:pStyle w:val="NormalBeforeBullet"/>
      </w:pPr>
      <w:r w:rsidRPr="008879AD">
        <w:t>A number of sub</w:t>
      </w:r>
      <w:r w:rsidR="00FC1069">
        <w:t xml:space="preserve"> </w:t>
      </w:r>
      <w:r w:rsidR="00F50C5F">
        <w:t>questions</w:t>
      </w:r>
      <w:r w:rsidRPr="008879AD">
        <w:t xml:space="preserve"> were developed to assist in answering this question:</w:t>
      </w:r>
    </w:p>
    <w:p w14:paraId="71832E05" w14:textId="77777777" w:rsidR="007F064A" w:rsidRPr="008879AD" w:rsidRDefault="007F064A" w:rsidP="007F064A">
      <w:pPr>
        <w:pStyle w:val="Bullet"/>
      </w:pPr>
      <w:r w:rsidRPr="008879AD">
        <w:t xml:space="preserve">What key </w:t>
      </w:r>
      <w:r w:rsidRPr="008879AD">
        <w:rPr>
          <w:b/>
        </w:rPr>
        <w:t>implementation</w:t>
      </w:r>
      <w:r w:rsidRPr="008879AD">
        <w:t xml:space="preserve"> lessons and good practice (drawn from sectoral, including governance, programs) would improve sectoral programming in decentralised contexts? </w:t>
      </w:r>
    </w:p>
    <w:p w14:paraId="50896070" w14:textId="77777777" w:rsidR="007F064A" w:rsidRPr="008879AD" w:rsidRDefault="007F064A" w:rsidP="007F064A">
      <w:pPr>
        <w:pStyle w:val="Bullet"/>
      </w:pPr>
      <w:r w:rsidRPr="008879AD">
        <w:t xml:space="preserve">Are decentralisation processes and the role of subnational government appropriately taken into account in sectoral </w:t>
      </w:r>
      <w:r w:rsidRPr="008879AD">
        <w:rPr>
          <w:b/>
        </w:rPr>
        <w:t>designs and evaluations</w:t>
      </w:r>
      <w:r w:rsidRPr="008879AD">
        <w:t xml:space="preserve"> in health, education and infrastructure?</w:t>
      </w:r>
    </w:p>
    <w:p w14:paraId="414594CF" w14:textId="77777777" w:rsidR="007F064A" w:rsidRPr="008879AD" w:rsidRDefault="007F064A" w:rsidP="007F064A">
      <w:pPr>
        <w:pStyle w:val="Bullet"/>
      </w:pPr>
      <w:r w:rsidRPr="008879AD">
        <w:t xml:space="preserve">Are decentralisation processes and the role of subnational government in service delivery appropriately taken into account in Australian aid </w:t>
      </w:r>
      <w:r w:rsidRPr="008879AD">
        <w:rPr>
          <w:b/>
        </w:rPr>
        <w:t>policy and strategy</w:t>
      </w:r>
      <w:r w:rsidRPr="008879AD">
        <w:t xml:space="preserve">? </w:t>
      </w:r>
    </w:p>
    <w:p w14:paraId="256AA729" w14:textId="77777777" w:rsidR="007F064A" w:rsidRPr="005C7654" w:rsidRDefault="007F064A" w:rsidP="005C7654">
      <w:pPr>
        <w:pStyle w:val="Bullet"/>
      </w:pPr>
      <w:r w:rsidRPr="00C268CF">
        <w:rPr>
          <w:rStyle w:val="IntenseEmphasis"/>
          <w:b w:val="0"/>
          <w:bCs w:val="0"/>
          <w:i w:val="0"/>
          <w:iCs w:val="0"/>
          <w:color w:val="auto"/>
        </w:rPr>
        <w:t>Are sectoral staff sufficiently supported organisationally to take decentralisation into account in sectoral programming?</w:t>
      </w:r>
    </w:p>
    <w:p w14:paraId="079BA132" w14:textId="77777777" w:rsidR="007F064A" w:rsidRPr="008879AD" w:rsidRDefault="007F064A" w:rsidP="007F064A">
      <w:pPr>
        <w:pStyle w:val="BulletLast"/>
      </w:pPr>
      <w:r w:rsidRPr="008879AD">
        <w:t xml:space="preserve">What is the level of </w:t>
      </w:r>
      <w:r w:rsidRPr="008879AD">
        <w:rPr>
          <w:b/>
        </w:rPr>
        <w:t>interaction</w:t>
      </w:r>
      <w:r w:rsidRPr="008879AD">
        <w:t xml:space="preserve"> between </w:t>
      </w:r>
      <w:r>
        <w:t xml:space="preserve">sector </w:t>
      </w:r>
      <w:r w:rsidRPr="008879AD">
        <w:t>support and governance support, and how could such interaction be optimised to best support service delivery outcomes in decentralised contexts?</w:t>
      </w:r>
    </w:p>
    <w:p w14:paraId="7883B1B5" w14:textId="77777777" w:rsidR="007F064A" w:rsidRDefault="007F064A" w:rsidP="00C615DC">
      <w:pPr>
        <w:pStyle w:val="NormalBeforeBullet"/>
      </w:pPr>
      <w:r>
        <w:t>Six evaluation criteria</w:t>
      </w:r>
      <w:r w:rsidR="00B17CEE">
        <w:rPr>
          <w:rStyle w:val="FootnoteReference"/>
        </w:rPr>
        <w:footnoteReference w:id="5"/>
      </w:r>
      <w:r w:rsidR="00B17CEE">
        <w:t xml:space="preserve"> </w:t>
      </w:r>
      <w:r>
        <w:t>are used to clarify the meaning of effective of aid support. Effective aid support would involve:</w:t>
      </w:r>
    </w:p>
    <w:p w14:paraId="6F4575F2" w14:textId="77777777" w:rsidR="005C7654" w:rsidRDefault="00501C92" w:rsidP="00C615DC">
      <w:pPr>
        <w:pStyle w:val="Bullet"/>
      </w:pPr>
      <w:r>
        <w:rPr>
          <w:b/>
        </w:rPr>
        <w:t xml:space="preserve">sufficient </w:t>
      </w:r>
      <w:r w:rsidR="007F064A">
        <w:rPr>
          <w:b/>
        </w:rPr>
        <w:t>a</w:t>
      </w:r>
      <w:r w:rsidR="007F064A" w:rsidRPr="00710021">
        <w:rPr>
          <w:b/>
        </w:rPr>
        <w:t>nalysis and learning</w:t>
      </w:r>
      <w:r w:rsidR="00FB3250">
        <w:t>,</w:t>
      </w:r>
      <w:r w:rsidR="007F064A">
        <w:t xml:space="preserve"> including the use of sound evidence and knowledge of the decentralised context to inform strategy and programming</w:t>
      </w:r>
    </w:p>
    <w:p w14:paraId="56CAB53B" w14:textId="77777777" w:rsidR="007F064A" w:rsidRDefault="00501C92" w:rsidP="00C615DC">
      <w:pPr>
        <w:pStyle w:val="Bullet"/>
      </w:pPr>
      <w:r>
        <w:rPr>
          <w:b/>
        </w:rPr>
        <w:t xml:space="preserve">appropriate </w:t>
      </w:r>
      <w:r w:rsidR="007F064A">
        <w:rPr>
          <w:b/>
        </w:rPr>
        <w:t>a</w:t>
      </w:r>
      <w:r w:rsidR="007F064A" w:rsidRPr="00710021">
        <w:rPr>
          <w:b/>
        </w:rPr>
        <w:t>lignment and relevance</w:t>
      </w:r>
      <w:r w:rsidR="007F064A">
        <w:t xml:space="preserve"> with the priorities and policies of partner government</w:t>
      </w:r>
      <w:r w:rsidR="00FB3250">
        <w:t>s</w:t>
      </w:r>
      <w:r w:rsidR="007F064A">
        <w:t xml:space="preserve"> at the national </w:t>
      </w:r>
      <w:r w:rsidR="007F064A" w:rsidRPr="00756D9E">
        <w:rPr>
          <w:i/>
        </w:rPr>
        <w:t>and</w:t>
      </w:r>
      <w:r w:rsidR="007F064A">
        <w:t xml:space="preserve"> subnational levels</w:t>
      </w:r>
    </w:p>
    <w:p w14:paraId="39977D10" w14:textId="77777777" w:rsidR="007F064A" w:rsidRDefault="00501C92" w:rsidP="00C615DC">
      <w:pPr>
        <w:pStyle w:val="Bullet"/>
      </w:pPr>
      <w:r>
        <w:rPr>
          <w:b/>
        </w:rPr>
        <w:t>a</w:t>
      </w:r>
      <w:r w:rsidRPr="00C615DC">
        <w:rPr>
          <w:b/>
        </w:rPr>
        <w:t xml:space="preserve">n </w:t>
      </w:r>
      <w:r w:rsidR="007F064A" w:rsidRPr="00C615DC">
        <w:rPr>
          <w:b/>
        </w:rPr>
        <w:t>appropriate balance</w:t>
      </w:r>
      <w:r w:rsidR="007F064A">
        <w:t xml:space="preserve"> </w:t>
      </w:r>
      <w:r w:rsidR="00FB3250">
        <w:t>between</w:t>
      </w:r>
      <w:r w:rsidR="007F064A">
        <w:t>:</w:t>
      </w:r>
      <w:r w:rsidR="00B17CEE">
        <w:rPr>
          <w:rStyle w:val="FootnoteReference"/>
        </w:rPr>
        <w:footnoteReference w:id="6"/>
      </w:r>
      <w:r w:rsidR="00B17CEE">
        <w:t xml:space="preserve"> </w:t>
      </w:r>
    </w:p>
    <w:p w14:paraId="03A5A67C" w14:textId="1B5FC0D6" w:rsidR="007F064A" w:rsidRDefault="007F064A" w:rsidP="00C615DC">
      <w:pPr>
        <w:pStyle w:val="Dash"/>
      </w:pPr>
      <w:r>
        <w:t>national and subnational levels</w:t>
      </w:r>
      <w:r>
        <w:rPr>
          <w:rStyle w:val="EndnoteReference"/>
        </w:rPr>
        <w:endnoteReference w:id="24"/>
      </w:r>
      <w:r>
        <w:t>,including strengthening subnational institutions</w:t>
      </w:r>
      <w:r>
        <w:rPr>
          <w:rStyle w:val="EndnoteReference"/>
        </w:rPr>
        <w:endnoteReference w:id="25"/>
      </w:r>
    </w:p>
    <w:p w14:paraId="04F08418" w14:textId="545D55A4" w:rsidR="007F064A" w:rsidRDefault="007F064A" w:rsidP="00C615DC">
      <w:pPr>
        <w:pStyle w:val="Dash"/>
      </w:pPr>
      <w:r>
        <w:t>line ministries and central ministries</w:t>
      </w:r>
      <w:r w:rsidRPr="00267170">
        <w:t xml:space="preserve"> </w:t>
      </w:r>
      <w:r>
        <w:t xml:space="preserve">and </w:t>
      </w:r>
      <w:r w:rsidR="00560B6D">
        <w:t>cross-cutting</w:t>
      </w:r>
      <w:r>
        <w:t xml:space="preserve"> reforms (</w:t>
      </w:r>
      <w:r w:rsidR="00D2236B">
        <w:t>e.g. </w:t>
      </w:r>
      <w:r>
        <w:t>around civil service management, human resource management, public financial management and local government),</w:t>
      </w:r>
      <w:r>
        <w:rPr>
          <w:rStyle w:val="EndnoteReference"/>
        </w:rPr>
        <w:endnoteReference w:id="26"/>
      </w:r>
      <w:r>
        <w:t xml:space="preserve"> as ties between these parts of government are often weak</w:t>
      </w:r>
      <w:r>
        <w:rPr>
          <w:rStyle w:val="EndnoteReference"/>
        </w:rPr>
        <w:endnoteReference w:id="27"/>
      </w:r>
    </w:p>
    <w:p w14:paraId="1A08442B" w14:textId="77777777" w:rsidR="007F064A" w:rsidRDefault="007F064A" w:rsidP="00C615DC">
      <w:pPr>
        <w:pStyle w:val="Dash"/>
      </w:pPr>
      <w:r>
        <w:t>local government (and elected leaders) and local line agencies</w:t>
      </w:r>
    </w:p>
    <w:p w14:paraId="4A2BE8FB" w14:textId="77777777" w:rsidR="007F064A" w:rsidRDefault="007F064A" w:rsidP="00C615DC">
      <w:pPr>
        <w:pStyle w:val="DashLast"/>
      </w:pPr>
      <w:r>
        <w:t xml:space="preserve">the demand and supply sides of service delivery (see above) </w:t>
      </w:r>
    </w:p>
    <w:p w14:paraId="1195CA57" w14:textId="3ABBB8E5" w:rsidR="007F064A" w:rsidRDefault="00501C92" w:rsidP="00C615DC">
      <w:pPr>
        <w:pStyle w:val="Bullet"/>
      </w:pPr>
      <w:r>
        <w:rPr>
          <w:b/>
        </w:rPr>
        <w:t xml:space="preserve">appropriate </w:t>
      </w:r>
      <w:r w:rsidR="007F064A">
        <w:rPr>
          <w:b/>
        </w:rPr>
        <w:t>consideration of s</w:t>
      </w:r>
      <w:r w:rsidR="007F064A" w:rsidRPr="00710021">
        <w:rPr>
          <w:b/>
        </w:rPr>
        <w:t>ustainab</w:t>
      </w:r>
      <w:r w:rsidR="007F064A">
        <w:rPr>
          <w:b/>
        </w:rPr>
        <w:t>ility</w:t>
      </w:r>
      <w:r w:rsidR="007F064A">
        <w:t>: ownership and strengthened capacity of partner government (particularly at the subnational level)</w:t>
      </w:r>
    </w:p>
    <w:p w14:paraId="3A802753" w14:textId="77777777" w:rsidR="007F064A" w:rsidRDefault="00501C92" w:rsidP="00C615DC">
      <w:pPr>
        <w:pStyle w:val="Bullet"/>
      </w:pPr>
      <w:r>
        <w:rPr>
          <w:b/>
        </w:rPr>
        <w:t>e</w:t>
      </w:r>
      <w:r w:rsidRPr="00710021">
        <w:rPr>
          <w:b/>
        </w:rPr>
        <w:t>quit</w:t>
      </w:r>
      <w:r>
        <w:rPr>
          <w:b/>
        </w:rPr>
        <w:t>able</w:t>
      </w:r>
      <w:r>
        <w:t xml:space="preserve"> </w:t>
      </w:r>
      <w:r w:rsidR="007F064A" w:rsidRPr="00660D55">
        <w:rPr>
          <w:b/>
        </w:rPr>
        <w:t>targeting</w:t>
      </w:r>
      <w:r w:rsidR="007F064A">
        <w:t xml:space="preserve"> of the poorest and of groups such as women, children, minorities and people living with disability</w:t>
      </w:r>
    </w:p>
    <w:p w14:paraId="61716C13" w14:textId="77777777" w:rsidR="007F064A" w:rsidRDefault="00501C92" w:rsidP="00C615DC">
      <w:pPr>
        <w:pStyle w:val="Bullet"/>
      </w:pPr>
      <w:r>
        <w:rPr>
          <w:b/>
        </w:rPr>
        <w:t xml:space="preserve">sufficient </w:t>
      </w:r>
      <w:r w:rsidR="007F064A">
        <w:rPr>
          <w:b/>
        </w:rPr>
        <w:t>c</w:t>
      </w:r>
      <w:r w:rsidR="007F064A" w:rsidRPr="00710021">
        <w:rPr>
          <w:b/>
        </w:rPr>
        <w:t>oherence</w:t>
      </w:r>
      <w:r w:rsidR="007F064A">
        <w:t xml:space="preserve"> of organisation and programming across:</w:t>
      </w:r>
    </w:p>
    <w:p w14:paraId="574BF555" w14:textId="77777777" w:rsidR="007F064A" w:rsidRPr="00501C92" w:rsidRDefault="007F064A" w:rsidP="00C615DC">
      <w:pPr>
        <w:pStyle w:val="Dash"/>
      </w:pPr>
      <w:r w:rsidRPr="00501C92">
        <w:t>the aid investment plan (</w:t>
      </w:r>
      <w:r w:rsidR="005C7654" w:rsidRPr="00501C92">
        <w:t xml:space="preserve">and whole of program </w:t>
      </w:r>
      <w:r w:rsidRPr="00501C92">
        <w:t>governance</w:t>
      </w:r>
      <w:r w:rsidR="005C7654" w:rsidRPr="00501C92">
        <w:t xml:space="preserve"> issues</w:t>
      </w:r>
      <w:r w:rsidRPr="00501C92">
        <w:t>)</w:t>
      </w:r>
    </w:p>
    <w:p w14:paraId="180FB551" w14:textId="77777777" w:rsidR="007F064A" w:rsidRDefault="007F064A" w:rsidP="00C615DC">
      <w:pPr>
        <w:pStyle w:val="Dash"/>
      </w:pPr>
      <w:r>
        <w:t>within sector portfolios</w:t>
      </w:r>
    </w:p>
    <w:p w14:paraId="2DABAC6F" w14:textId="0D5B3FC0" w:rsidR="007F064A" w:rsidRDefault="007F064A" w:rsidP="00C615DC">
      <w:pPr>
        <w:pStyle w:val="Dash"/>
      </w:pPr>
      <w:r>
        <w:t>within</w:t>
      </w:r>
      <w:r w:rsidR="00C23E5C">
        <w:t xml:space="preserve"> </w:t>
      </w:r>
      <w:r w:rsidR="00501C92">
        <w:t xml:space="preserve">and across </w:t>
      </w:r>
      <w:r>
        <w:t>subnational locations</w:t>
      </w:r>
      <w:r w:rsidR="00270486" w:rsidRPr="00270486">
        <w:t xml:space="preserve"> </w:t>
      </w:r>
    </w:p>
    <w:p w14:paraId="2E02E728" w14:textId="77777777" w:rsidR="007F064A" w:rsidRDefault="007F064A" w:rsidP="00C615DC">
      <w:pPr>
        <w:pStyle w:val="Dash"/>
      </w:pPr>
      <w:r>
        <w:t>within organisational guidance materials</w:t>
      </w:r>
    </w:p>
    <w:p w14:paraId="406AB249" w14:textId="77777777" w:rsidR="007F064A" w:rsidRDefault="007F064A" w:rsidP="00C615DC">
      <w:pPr>
        <w:pStyle w:val="DashLastSpace"/>
      </w:pPr>
      <w:r>
        <w:t>Canberra</w:t>
      </w:r>
      <w:r w:rsidR="00270486">
        <w:t xml:space="preserve"> and</w:t>
      </w:r>
      <w:r>
        <w:t xml:space="preserve"> Post. </w:t>
      </w:r>
    </w:p>
    <w:p w14:paraId="584682AB" w14:textId="77777777" w:rsidR="007F064A" w:rsidRDefault="007F064A" w:rsidP="00C615DC">
      <w:pPr>
        <w:pStyle w:val="Heading3"/>
      </w:pPr>
      <w:r>
        <w:t>Evaluation methods</w:t>
      </w:r>
    </w:p>
    <w:p w14:paraId="0C3AD63A" w14:textId="628F9E60" w:rsidR="007F064A" w:rsidRPr="00BA36EF" w:rsidRDefault="00C43897" w:rsidP="007F064A">
      <w:pPr>
        <w:rPr>
          <w:szCs w:val="21"/>
        </w:rPr>
      </w:pPr>
      <w:r>
        <w:t>The evaluation focuses on the six countries to which Australia has provided most development aid in</w:t>
      </w:r>
      <w:r>
        <w:rPr>
          <w:szCs w:val="21"/>
        </w:rPr>
        <w:t xml:space="preserve"> health, education and infrastructure</w:t>
      </w:r>
      <w:r>
        <w:t>. These six countries all have some level of decentralisation of service delivery responsibilities to subnational authorities</w:t>
      </w:r>
      <w:r w:rsidRPr="00950B4D">
        <w:t xml:space="preserve"> </w:t>
      </w:r>
      <w:r>
        <w:t xml:space="preserve">in these sectors. </w:t>
      </w:r>
      <w:r w:rsidR="007F064A" w:rsidRPr="00A43FF7">
        <w:t>A mixed methods approach was taken</w:t>
      </w:r>
      <w:r w:rsidR="007F064A">
        <w:t xml:space="preserve">, comprising </w:t>
      </w:r>
      <w:r w:rsidR="00C268CF">
        <w:t xml:space="preserve">in-depth inquiry in Indonesia, </w:t>
      </w:r>
      <w:r w:rsidR="00C23E5C">
        <w:t>Papua New Guinea (</w:t>
      </w:r>
      <w:r w:rsidR="00C268CF">
        <w:t>PNG</w:t>
      </w:r>
      <w:r w:rsidR="00C23E5C">
        <w:t>)</w:t>
      </w:r>
      <w:r w:rsidR="00C268CF">
        <w:t xml:space="preserve"> and the Philippines and </w:t>
      </w:r>
      <w:r w:rsidR="007F064A">
        <w:t>a desk-based document review. A short summary of methods is outlined below with detailed information presented in Appendix 2.</w:t>
      </w:r>
    </w:p>
    <w:p w14:paraId="48393820" w14:textId="1E84DF9C" w:rsidR="007F064A" w:rsidRPr="00564236" w:rsidRDefault="007F064A" w:rsidP="007F064A">
      <w:r w:rsidRPr="000F5F1C">
        <w:rPr>
          <w:b/>
        </w:rPr>
        <w:t xml:space="preserve">In-depth </w:t>
      </w:r>
      <w:r>
        <w:rPr>
          <w:b/>
        </w:rPr>
        <w:t>inquiry</w:t>
      </w:r>
      <w:r w:rsidRPr="000F5F1C">
        <w:rPr>
          <w:b/>
        </w:rPr>
        <w:t>:</w:t>
      </w:r>
      <w:r>
        <w:t xml:space="preserve"> We selected </w:t>
      </w:r>
      <w:r w:rsidRPr="00762175">
        <w:t xml:space="preserve">Indonesia and PNG </w:t>
      </w:r>
      <w:r w:rsidR="009E2CC1">
        <w:t>for fieldwork</w:t>
      </w:r>
      <w:r>
        <w:t xml:space="preserve"> </w:t>
      </w:r>
      <w:r w:rsidR="00BB1BA3">
        <w:t xml:space="preserve">because of </w:t>
      </w:r>
      <w:r w:rsidR="009E2CC1">
        <w:t>substantial</w:t>
      </w:r>
      <w:r w:rsidR="00BB1BA3">
        <w:t xml:space="preserve"> Australian</w:t>
      </w:r>
      <w:r w:rsidRPr="00762175">
        <w:t xml:space="preserve"> investment</w:t>
      </w:r>
      <w:r w:rsidR="00BB1BA3">
        <w:t>s</w:t>
      </w:r>
      <w:r w:rsidRPr="00762175">
        <w:t xml:space="preserve"> in</w:t>
      </w:r>
      <w:r>
        <w:t xml:space="preserve"> sector programs</w:t>
      </w:r>
      <w:r w:rsidR="00BB1BA3">
        <w:t xml:space="preserve"> in these countries</w:t>
      </w:r>
      <w:r w:rsidRPr="00762175">
        <w:t xml:space="preserve">. Both </w:t>
      </w:r>
      <w:r>
        <w:t>countries have</w:t>
      </w:r>
      <w:r w:rsidRPr="00762175">
        <w:t xml:space="preserve"> decentralised frameworks </w:t>
      </w:r>
      <w:r>
        <w:t>where subnational government has responsibility</w:t>
      </w:r>
      <w:r w:rsidRPr="00762175">
        <w:t xml:space="preserve"> for health, education and some infrastructure</w:t>
      </w:r>
      <w:r>
        <w:t>.</w:t>
      </w:r>
      <w:r>
        <w:rPr>
          <w:rStyle w:val="EndnoteReference"/>
        </w:rPr>
        <w:endnoteReference w:id="28"/>
      </w:r>
      <w:r>
        <w:t xml:space="preserve"> The </w:t>
      </w:r>
      <w:r w:rsidRPr="00762175">
        <w:t>Philippines</w:t>
      </w:r>
      <w:r>
        <w:t xml:space="preserve"> was included to provide lessons from a country program that has operated over a long period in a decentralised context. Across the three countries, 440 interviews were conducted with a wide range of stakeholders from national and subnational level</w:t>
      </w:r>
      <w:r w:rsidR="00C23E5C">
        <w:t>s</w:t>
      </w:r>
      <w:r>
        <w:t>. Interview transcripts were analysed against the key evaluation questions and criteria,</w:t>
      </w:r>
      <w:r w:rsidDel="00AC78D0">
        <w:t xml:space="preserve"> </w:t>
      </w:r>
      <w:r>
        <w:t xml:space="preserve">with the assistance of qualitative software. Interview quotes have been used in this report to illustrate points in the text, and are not necessarily representative of a broader perspective unless otherwise indicated. Six sector initiatives from the fieldwork were chosen for deeper analysis and profiling. </w:t>
      </w:r>
    </w:p>
    <w:p w14:paraId="562B0149" w14:textId="741492BA" w:rsidR="007F064A" w:rsidRDefault="007F064A" w:rsidP="007F064A">
      <w:r w:rsidRPr="000F5F1C">
        <w:rPr>
          <w:b/>
        </w:rPr>
        <w:t>Document review:</w:t>
      </w:r>
      <w:r>
        <w:t xml:space="preserve"> A framework to consider key aspects of service delivery in decentralised contexts was applied to a selection of strategy and program documents.</w:t>
      </w:r>
      <w:r w:rsidR="004078BD">
        <w:rPr>
          <w:rStyle w:val="FootnoteReference"/>
        </w:rPr>
        <w:footnoteReference w:id="7"/>
      </w:r>
      <w:r w:rsidR="004078BD">
        <w:t xml:space="preserve"> </w:t>
      </w:r>
      <w:r>
        <w:t xml:space="preserve">The </w:t>
      </w:r>
      <w:r w:rsidR="00DD0285">
        <w:t xml:space="preserve">document review covered the six </w:t>
      </w:r>
      <w:r w:rsidR="001575E0">
        <w:t xml:space="preserve">countries, </w:t>
      </w:r>
      <w:r w:rsidR="001575E0">
        <w:rPr>
          <w:szCs w:val="21"/>
        </w:rPr>
        <w:t xml:space="preserve">the fieldwork countries and three others, </w:t>
      </w:r>
      <w:r w:rsidR="008C125D">
        <w:t xml:space="preserve">which have received most </w:t>
      </w:r>
      <w:r>
        <w:t>Australia</w:t>
      </w:r>
      <w:r w:rsidR="00184CA5">
        <w:t>n</w:t>
      </w:r>
      <w:r>
        <w:t xml:space="preserve"> </w:t>
      </w:r>
      <w:r w:rsidR="005A63D0">
        <w:t>support for</w:t>
      </w:r>
      <w:r>
        <w:rPr>
          <w:szCs w:val="21"/>
        </w:rPr>
        <w:t xml:space="preserve"> health, education and infrastructure</w:t>
      </w:r>
      <w:r>
        <w:t>. All six countries all have some level of decentralisation of service delivery responsibilities to subnational authorities</w:t>
      </w:r>
      <w:r w:rsidRPr="00950B4D">
        <w:t xml:space="preserve"> </w:t>
      </w:r>
      <w:r>
        <w:t>in these sectors. Literature, including past donor evaluations and documentation on decentralisation and service delivery</w:t>
      </w:r>
      <w:r w:rsidR="00270486">
        <w:t>, was reviewed</w:t>
      </w:r>
      <w:r>
        <w:t xml:space="preserve"> to ensure this evaluation built on existing knowledge.</w:t>
      </w:r>
    </w:p>
    <w:p w14:paraId="4ADD294E" w14:textId="77777777" w:rsidR="007F064A" w:rsidRDefault="007F064A" w:rsidP="007F064A">
      <w:pPr>
        <w:pStyle w:val="Heading3"/>
        <w:spacing w:before="240"/>
      </w:pPr>
      <w:r>
        <w:t>About this document</w:t>
      </w:r>
      <w:r w:rsidRPr="00E903F2">
        <w:t xml:space="preserve"> </w:t>
      </w:r>
    </w:p>
    <w:p w14:paraId="218682BC" w14:textId="29136DC0" w:rsidR="007F064A" w:rsidRDefault="007F064A" w:rsidP="007F064A">
      <w:r w:rsidRPr="00E903F2">
        <w:t>Th</w:t>
      </w:r>
      <w:r>
        <w:t>is</w:t>
      </w:r>
      <w:r w:rsidRPr="00E903F2">
        <w:t xml:space="preserve"> evaluation is intended to be of use to </w:t>
      </w:r>
      <w:r>
        <w:t xml:space="preserve">aid program </w:t>
      </w:r>
      <w:r w:rsidRPr="00E903F2">
        <w:t xml:space="preserve">staff </w:t>
      </w:r>
      <w:r w:rsidR="00C43897">
        <w:t>who</w:t>
      </w:r>
      <w:r w:rsidR="00C43897" w:rsidRPr="00E903F2">
        <w:t xml:space="preserve"> </w:t>
      </w:r>
      <w:r w:rsidRPr="00E903F2">
        <w:t>develop and review strategies and programs in decentralised contexts</w:t>
      </w:r>
      <w:r>
        <w:t>, including sectoral areas</w:t>
      </w:r>
      <w:r w:rsidRPr="00E903F2">
        <w:t>.</w:t>
      </w:r>
      <w:r>
        <w:t xml:space="preserve"> This evaluation </w:t>
      </w:r>
      <w:r w:rsidR="00C43897">
        <w:t xml:space="preserve">is </w:t>
      </w:r>
      <w:r>
        <w:t>relevan</w:t>
      </w:r>
      <w:r w:rsidR="00C43897">
        <w:t>t</w:t>
      </w:r>
      <w:r>
        <w:t xml:space="preserve"> for decision</w:t>
      </w:r>
      <w:r w:rsidR="00C43897">
        <w:t>-</w:t>
      </w:r>
      <w:r>
        <w:t xml:space="preserve">making on new investments and mechanisms to support whole-of-aid-program coherence. It presents useful findings for technical and policy staff as well as country programs. </w:t>
      </w:r>
      <w:r w:rsidRPr="00E903F2">
        <w:t xml:space="preserve">Representatives from these areas were involved in the evaluation through an </w:t>
      </w:r>
      <w:r>
        <w:t>a</w:t>
      </w:r>
      <w:r w:rsidRPr="00E903F2">
        <w:t xml:space="preserve">dvisory and </w:t>
      </w:r>
      <w:r>
        <w:t>l</w:t>
      </w:r>
      <w:r w:rsidRPr="00E903F2">
        <w:t xml:space="preserve">earning </w:t>
      </w:r>
      <w:r>
        <w:t>g</w:t>
      </w:r>
      <w:r w:rsidRPr="00E903F2">
        <w:t>roup</w:t>
      </w:r>
      <w:r w:rsidR="00C23E5C">
        <w:t>. This group</w:t>
      </w:r>
      <w:r w:rsidRPr="00E903F2">
        <w:t xml:space="preserve"> </w:t>
      </w:r>
      <w:r>
        <w:t>gave input</w:t>
      </w:r>
      <w:r w:rsidRPr="00E903F2">
        <w:t xml:space="preserve"> at key points </w:t>
      </w:r>
      <w:r>
        <w:t>to ensure the issues of our key audience were addressed</w:t>
      </w:r>
      <w:r w:rsidRPr="00E903F2">
        <w:t>.</w:t>
      </w:r>
      <w:r>
        <w:t xml:space="preserve"> </w:t>
      </w:r>
      <w:r w:rsidRPr="00E903F2">
        <w:t>Finally, this evaluation will also be of interest to partner governments and development partners in multilateral donor arrangements and facilities who are engaging with the same challenges.</w:t>
      </w:r>
    </w:p>
    <w:bookmarkStart w:id="46" w:name="_Toc408831773"/>
    <w:p w14:paraId="29D305AC" w14:textId="77777777" w:rsidR="00AF6A11" w:rsidRDefault="00AF6A11" w:rsidP="00921A4C">
      <w:pPr>
        <w:pStyle w:val="Heading1"/>
        <w:ind w:left="709" w:hanging="709"/>
      </w:pPr>
      <w:r>
        <w:rPr>
          <w:noProof/>
        </w:rPr>
        <mc:AlternateContent>
          <mc:Choice Requires="wps">
            <w:drawing>
              <wp:anchor distT="0" distB="0" distL="114300" distR="114300" simplePos="0" relativeHeight="251763712" behindDoc="1" locked="0" layoutInCell="1" allowOverlap="1" wp14:anchorId="0E45B200" wp14:editId="3547E180">
                <wp:simplePos x="0" y="0"/>
                <wp:positionH relativeFrom="page">
                  <wp:posOffset>0</wp:posOffset>
                </wp:positionH>
                <wp:positionV relativeFrom="paragraph">
                  <wp:posOffset>-417720</wp:posOffset>
                </wp:positionV>
                <wp:extent cx="7610400" cy="1468800"/>
                <wp:effectExtent l="0" t="0" r="0" b="0"/>
                <wp:wrapNone/>
                <wp:docPr id="3" name="Rectangle 3"/>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32.9pt;width:599.25pt;height:115.6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QGlgIAAIYFAAAOAAAAZHJzL2Uyb0RvYy54bWysVMFu2zAMvQ/YPwi6r7ZTN8uCOkXQosOA&#10;oi3aDj0rshQbkEVNUuJkXz9Kst2uK3YYloMiiuQj+Uzy/OLQKbIX1rWgK1qc5JQIzaFu9bai35+u&#10;Py0ocZ7pminQoqJH4ejF6uOH894sxQwaULWwBEG0W/amoo33ZplljjeiY+4EjNColGA75lG026y2&#10;rEf0TmWzPJ9nPdjaWODCOXy9Skq6ivhSCu7vpHTCE1VRzM3H08ZzE85sdc6WW8tM0/IhDfYPWXSs&#10;1Rh0grpinpGdbf+A6lpuwYH0Jxy6DKRsuYg1YDVF/qaax4YZEWtBcpyZaHL/D5bf7u8taeuKnlKi&#10;WYef6AFJY3qrBDkN9PTGLdHq0dzbQXJ4DbUepO3CP1ZBDpHS40SpOHjC8fHzvMjLHJnnqCvK+WKB&#10;AuJkL+7GOv9VQEfCpaIWw0cq2f7G+WQ6moRoDlRbX7dKRcFuN5fKkj3D71vMynIxH9B/M1M6GGsI&#10;bgkxvGShtFRMvPmjEsFO6QchkRNMfxYzid0opjiMc6F9kVQNq0UKf5bjb4we+jd4xEojYECWGH/C&#10;HgBGywQyYqcsB/vgKmIzT8753xJLzpNHjAzaT85dq8G+B6CwqiFysh9JStQEljZQH7FjLKRRcoZf&#10;t/jdbpjz98zi7OC3xn3g7/CQCvqKwnCjpAH78733YI8tjVpKepzFirofO2YFJeqbxmb/UpRlGN4o&#10;lGefZyjY15rNa43edZcQ2gE3j+HxGuy9Gq/SQveMa2MdoqKKaY6xK8q9HYVLn3YELh4u1utohgNr&#10;mL/Rj4YH8MBq6MunwzOzZmhej31/C+PcsuWbHk62wVPDeudBtrHBX3gd+MZhj40zLKawTV7L0epl&#10;fa5+AQAA//8DAFBLAwQUAAYACAAAACEAYHgdv90AAAAJAQAADwAAAGRycy9kb3ducmV2LnhtbEyP&#10;wU7DMAyG70i8Q+RJ3La0Q61KaTqhSXCoxIGN3bPGtNUSpzTZVt4e7wQ3W7/1+/uqzeysuOAUBk8K&#10;0lUCAqn1ZqBOwef+dVmACFGT0dYTKvjBAJv6/q7SpfFX+sDLLnaCSyiUWkEf41hKGdoenQ4rPyJx&#10;9uUnpyOvUyfNpK9c7qxcJ0kunR6IP/R6xG2P7Wl3dgqaAvtD997Y+bvZp3L7+OYPuFbqYTG/PIOI&#10;OMe/Y7jhMzrUzHT0ZzJBWAUsEhUs84wFbnH6VGQgjjzlWQayruR/g/oXAAD//wMAUEsBAi0AFAAG&#10;AAgAAAAhALaDOJL+AAAA4QEAABMAAAAAAAAAAAAAAAAAAAAAAFtDb250ZW50X1R5cGVzXS54bWxQ&#10;SwECLQAUAAYACAAAACEAOP0h/9YAAACUAQAACwAAAAAAAAAAAAAAAAAvAQAAX3JlbHMvLnJlbHNQ&#10;SwECLQAUAAYACAAAACEAxGqkBpYCAACGBQAADgAAAAAAAAAAAAAAAAAuAgAAZHJzL2Uyb0RvYy54&#10;bWxQSwECLQAUAAYACAAAACEAYHgdv90AAAAJAQAADwAAAAAAAAAAAAAAAADwBAAAZHJzL2Rvd25y&#10;ZXYueG1sUEsFBgAAAAAEAAQA8wAAAPoFAAAAAA==&#10;" fillcolor="#124486" stroked="f" strokeweight="2pt">
                <w10:wrap anchorx="page"/>
              </v:rect>
            </w:pict>
          </mc:Fallback>
        </mc:AlternateContent>
      </w:r>
      <w:r>
        <w:t>2</w:t>
      </w:r>
      <w:r>
        <w:tab/>
        <w:t xml:space="preserve">Lessons from </w:t>
      </w:r>
      <w:r w:rsidR="00621EBF">
        <w:t xml:space="preserve">the </w:t>
      </w:r>
      <w:r>
        <w:t>health sector</w:t>
      </w:r>
      <w:bookmarkEnd w:id="46"/>
      <w:r>
        <w:t xml:space="preserve"> </w:t>
      </w:r>
    </w:p>
    <w:bookmarkEnd w:id="16"/>
    <w:bookmarkEnd w:id="17"/>
    <w:bookmarkEnd w:id="18"/>
    <w:p w14:paraId="1F8D5467" w14:textId="77777777" w:rsidR="00AF6A11" w:rsidRPr="005A520B" w:rsidRDefault="00AF6A11" w:rsidP="005A520B">
      <w:pPr>
        <w:pStyle w:val="BoxHeading"/>
        <w:rPr>
          <w:rStyle w:val="IntenseEmphasis"/>
          <w:b/>
          <w:bCs/>
          <w:i w:val="0"/>
          <w:iCs w:val="0"/>
          <w:color w:val="auto"/>
        </w:rPr>
      </w:pPr>
      <w:r>
        <w:rPr>
          <w:rStyle w:val="IntenseEmphasis"/>
          <w:b/>
          <w:bCs/>
          <w:i w:val="0"/>
          <w:iCs w:val="0"/>
          <w:color w:val="auto"/>
        </w:rPr>
        <w:t>Evaluation question</w:t>
      </w:r>
    </w:p>
    <w:p w14:paraId="0BEBC0BF" w14:textId="77777777" w:rsidR="00AF6A11" w:rsidRPr="00AF6A11" w:rsidRDefault="00AF6A11" w:rsidP="00AF6A11">
      <w:pPr>
        <w:pStyle w:val="BoxBullet"/>
        <w:spacing w:after="0"/>
        <w:rPr>
          <w:rStyle w:val="IntenseEmphasis"/>
          <w:b w:val="0"/>
          <w:bCs w:val="0"/>
          <w:i w:val="0"/>
          <w:iCs w:val="0"/>
          <w:color w:val="auto"/>
        </w:rPr>
      </w:pPr>
      <w:r w:rsidRPr="00486F53">
        <w:rPr>
          <w:rStyle w:val="IntenseEmphasis"/>
          <w:b w:val="0"/>
          <w:bCs w:val="0"/>
          <w:i w:val="0"/>
          <w:iCs w:val="0"/>
          <w:color w:val="auto"/>
        </w:rPr>
        <w:t>What key implementation lessons and good practice would improve sectoral programming in decentralised contexts?</w:t>
      </w:r>
    </w:p>
    <w:p w14:paraId="6E4E243E" w14:textId="77777777" w:rsidR="00AF6A11" w:rsidRPr="00AF6A11" w:rsidRDefault="00AF6A11" w:rsidP="00AF6A11">
      <w:pPr>
        <w:pStyle w:val="BodyText"/>
        <w:spacing w:after="0"/>
      </w:pPr>
    </w:p>
    <w:p w14:paraId="46D15BF4" w14:textId="77777777" w:rsidR="00AF6A11" w:rsidRDefault="00AF6A11" w:rsidP="00AF6A11">
      <w:pPr>
        <w:pStyle w:val="BoxHeading"/>
        <w:spacing w:before="0"/>
      </w:pPr>
      <w:r>
        <w:t>Key findings</w:t>
      </w:r>
    </w:p>
    <w:p w14:paraId="68C17C2D" w14:textId="77777777" w:rsidR="0072237B" w:rsidRDefault="00C268CF" w:rsidP="005A520B">
      <w:pPr>
        <w:pStyle w:val="BoxBullet"/>
      </w:pPr>
      <w:r>
        <w:t>Some A</w:t>
      </w:r>
      <w:r w:rsidR="00AF6A11">
        <w:t>ustralian health support has shifted to increase subnational engagement, but it can be challenging to achieve effective and sustainable outcomes in subnational contexts</w:t>
      </w:r>
      <w:r w:rsidR="00660D55">
        <w:t xml:space="preserve">. </w:t>
      </w:r>
    </w:p>
    <w:p w14:paraId="61C5B0B3" w14:textId="5CDFB375" w:rsidR="00AF6A11" w:rsidRDefault="00660D55" w:rsidP="005A520B">
      <w:pPr>
        <w:pStyle w:val="BoxBullet"/>
      </w:pPr>
      <w:r>
        <w:t>Developing sound service system</w:t>
      </w:r>
      <w:r w:rsidR="006F4490">
        <w:t>s at local</w:t>
      </w:r>
      <w:r w:rsidR="00E403DE">
        <w:t xml:space="preserve"> level</w:t>
      </w:r>
      <w:r w:rsidR="001D12F4">
        <w:t>s</w:t>
      </w:r>
      <w:r>
        <w:t xml:space="preserve"> requires well-resourced and </w:t>
      </w:r>
      <w:r w:rsidR="00E403DE">
        <w:t xml:space="preserve">well-thought-out support. </w:t>
      </w:r>
      <w:r>
        <w:t xml:space="preserve">Building </w:t>
      </w:r>
      <w:r w:rsidR="00E403DE">
        <w:t>local</w:t>
      </w:r>
      <w:r w:rsidR="0072237B">
        <w:t>-</w:t>
      </w:r>
      <w:r w:rsidR="00E403DE">
        <w:t xml:space="preserve">level government </w:t>
      </w:r>
      <w:r>
        <w:t>capacity often requires working from a low base, and hence long</w:t>
      </w:r>
      <w:r w:rsidR="00907005">
        <w:t>er</w:t>
      </w:r>
      <w:r>
        <w:t xml:space="preserve"> timeframes are required to build and consolidate </w:t>
      </w:r>
      <w:r w:rsidR="00E403DE">
        <w:t>capacity</w:t>
      </w:r>
      <w:r>
        <w:t xml:space="preserve">. Equally, sustained ownership by local authorities cannot be assumed and </w:t>
      </w:r>
      <w:r w:rsidR="00E403DE">
        <w:t xml:space="preserve">programs are vulnerable to </w:t>
      </w:r>
      <w:r>
        <w:t xml:space="preserve">changes in </w:t>
      </w:r>
      <w:r w:rsidR="00E403DE">
        <w:t>local</w:t>
      </w:r>
      <w:r w:rsidR="00F52639">
        <w:t>ly elected</w:t>
      </w:r>
      <w:r w:rsidR="00E403DE">
        <w:t xml:space="preserve"> </w:t>
      </w:r>
      <w:r>
        <w:t xml:space="preserve">leadership </w:t>
      </w:r>
      <w:r w:rsidR="00C23E5C">
        <w:t xml:space="preserve">which </w:t>
      </w:r>
      <w:r w:rsidR="00907005">
        <w:t>may then</w:t>
      </w:r>
      <w:r>
        <w:t xml:space="preserve"> affect</w:t>
      </w:r>
      <w:r w:rsidR="00907005">
        <w:t xml:space="preserve"> ownership and</w:t>
      </w:r>
      <w:r>
        <w:t xml:space="preserve"> results</w:t>
      </w:r>
      <w:r w:rsidR="00AF6A11">
        <w:t>.</w:t>
      </w:r>
    </w:p>
    <w:p w14:paraId="7818A182" w14:textId="0CF476D5" w:rsidR="00AF6A11" w:rsidRDefault="00AF6A11" w:rsidP="000158DC">
      <w:pPr>
        <w:pStyle w:val="BoxBullet"/>
      </w:pPr>
      <w:r>
        <w:t xml:space="preserve">There are critical aid choices about which subnational level at which to engage </w:t>
      </w:r>
      <w:r w:rsidR="00A86C60">
        <w:t>(</w:t>
      </w:r>
      <w:r>
        <w:t>provincial, district or service provider</w:t>
      </w:r>
      <w:r w:rsidR="00A86C60">
        <w:t>)</w:t>
      </w:r>
      <w:r w:rsidR="00E403DE">
        <w:t xml:space="preserve"> </w:t>
      </w:r>
      <w:r>
        <w:t>to achieve sustained change. Working at the district level provide</w:t>
      </w:r>
      <w:r w:rsidR="0099106E">
        <w:t>s the</w:t>
      </w:r>
      <w:r>
        <w:t xml:space="preserve"> opportunity to engage directly with actual service delivery. It also provides opportunities to work meaningfully </w:t>
      </w:r>
      <w:r w:rsidR="00C268CF">
        <w:t>with citizens and civil society organisations</w:t>
      </w:r>
      <w:r>
        <w:t xml:space="preserve">, </w:t>
      </w:r>
      <w:r w:rsidR="00A86C60">
        <w:t>to achieve</w:t>
      </w:r>
      <w:r w:rsidR="0099106E">
        <w:t xml:space="preserve"> positive </w:t>
      </w:r>
      <w:r>
        <w:t>result</w:t>
      </w:r>
      <w:r w:rsidR="0099106E">
        <w:t>s</w:t>
      </w:r>
      <w:r>
        <w:t xml:space="preserve"> </w:t>
      </w:r>
      <w:r w:rsidR="00EA579F">
        <w:t>in</w:t>
      </w:r>
      <w:r>
        <w:t xml:space="preserve"> service provider account</w:t>
      </w:r>
      <w:r w:rsidR="00EA579F">
        <w:t>ability</w:t>
      </w:r>
      <w:r>
        <w:t xml:space="preserve">. </w:t>
      </w:r>
    </w:p>
    <w:p w14:paraId="63F8FA4D" w14:textId="77777777" w:rsidR="00EA579F" w:rsidRDefault="00AF6A11" w:rsidP="009435A6">
      <w:pPr>
        <w:pStyle w:val="BoxBullet"/>
      </w:pPr>
      <w:r>
        <w:t>Maintaining national-level engagement</w:t>
      </w:r>
      <w:r w:rsidR="00EA579F">
        <w:t xml:space="preserve"> </w:t>
      </w:r>
      <w:r>
        <w:t>is</w:t>
      </w:r>
      <w:r w:rsidR="00EB40F1">
        <w:t xml:space="preserve"> </w:t>
      </w:r>
      <w:r>
        <w:t xml:space="preserve">important </w:t>
      </w:r>
      <w:r w:rsidR="00EA579F">
        <w:t>to compl</w:t>
      </w:r>
      <w:r w:rsidR="00E403DE">
        <w:t>e</w:t>
      </w:r>
      <w:r w:rsidR="00EA579F">
        <w:t>ment e</w:t>
      </w:r>
      <w:r>
        <w:t>ngagement at the subnational level.</w:t>
      </w:r>
      <w:r w:rsidRPr="000158DC">
        <w:t xml:space="preserve"> </w:t>
      </w:r>
      <w:r>
        <w:t>Failure to do so may miss opportunities to engage in policy dialogue</w:t>
      </w:r>
      <w:r w:rsidR="00EA579F">
        <w:t>, influence decisions and replicate good practice</w:t>
      </w:r>
      <w:r w:rsidR="00E403DE">
        <w:t xml:space="preserve"> and</w:t>
      </w:r>
      <w:r w:rsidR="00EA579F">
        <w:t xml:space="preserve"> to</w:t>
      </w:r>
      <w:r>
        <w:t xml:space="preserve"> capitalise on knowledge generated through </w:t>
      </w:r>
      <w:r w:rsidR="00EA579F">
        <w:t xml:space="preserve">subnational </w:t>
      </w:r>
      <w:r>
        <w:t>engagement</w:t>
      </w:r>
      <w:r w:rsidR="00EA579F">
        <w:t>.</w:t>
      </w:r>
      <w:r w:rsidR="00EB40F1">
        <w:t xml:space="preserve"> </w:t>
      </w:r>
    </w:p>
    <w:p w14:paraId="61A74266" w14:textId="3337154A" w:rsidR="00761A8D" w:rsidRDefault="00AF6A11" w:rsidP="009435A6">
      <w:pPr>
        <w:pStyle w:val="BoxBullet"/>
      </w:pPr>
      <w:r>
        <w:t>Improve</w:t>
      </w:r>
      <w:r w:rsidR="00EA579F">
        <w:t>d</w:t>
      </w:r>
      <w:r>
        <w:t xml:space="preserve"> coherence across governance and health sector programs was demonstrated, especially in P</w:t>
      </w:r>
      <w:r w:rsidR="00C23E5C">
        <w:t xml:space="preserve">apua </w:t>
      </w:r>
      <w:r>
        <w:t>N</w:t>
      </w:r>
      <w:r w:rsidR="00C23E5C">
        <w:t xml:space="preserve">ew </w:t>
      </w:r>
      <w:r>
        <w:t>G</w:t>
      </w:r>
      <w:r w:rsidR="00C23E5C">
        <w:t>uinea</w:t>
      </w:r>
      <w:r w:rsidR="00A86C60">
        <w:t>.</w:t>
      </w:r>
      <w:r>
        <w:t xml:space="preserve"> </w:t>
      </w:r>
      <w:r w:rsidR="00907005">
        <w:t>Communication was evident</w:t>
      </w:r>
      <w:r w:rsidR="00A86C60">
        <w:t xml:space="preserve"> (including at design phase) </w:t>
      </w:r>
      <w:r>
        <w:t xml:space="preserve">to ensure </w:t>
      </w:r>
      <w:r w:rsidR="00F52639">
        <w:t xml:space="preserve">there were </w:t>
      </w:r>
      <w:r>
        <w:t xml:space="preserve">benefits </w:t>
      </w:r>
      <w:r w:rsidR="00F52639">
        <w:t xml:space="preserve">for both </w:t>
      </w:r>
      <w:r>
        <w:t>programs</w:t>
      </w:r>
      <w:r w:rsidR="00907005">
        <w:t xml:space="preserve"> and c</w:t>
      </w:r>
      <w:r>
        <w:t>oordination at the subnational level</w:t>
      </w:r>
      <w:r w:rsidR="00907005">
        <w:t>.</w:t>
      </w:r>
    </w:p>
    <w:p w14:paraId="68AB2881" w14:textId="77777777" w:rsidR="00AF6A11" w:rsidRDefault="00907005" w:rsidP="009435A6">
      <w:pPr>
        <w:pStyle w:val="BoxBullet"/>
      </w:pPr>
      <w:r>
        <w:t>The r</w:t>
      </w:r>
      <w:r w:rsidRPr="00E403DE">
        <w:t xml:space="preserve">esource </w:t>
      </w:r>
      <w:r>
        <w:t xml:space="preserve">implications </w:t>
      </w:r>
      <w:r w:rsidR="00761A8D">
        <w:t xml:space="preserve">for subnational programming and program coherence is primarily related to </w:t>
      </w:r>
      <w:r>
        <w:t>staff time for communication and cross</w:t>
      </w:r>
      <w:r w:rsidR="00F50C5F">
        <w:t>-</w:t>
      </w:r>
      <w:r>
        <w:t>program coordination, maintaining a local presence and local engagement.</w:t>
      </w:r>
    </w:p>
    <w:p w14:paraId="093DDAD2" w14:textId="77777777" w:rsidR="00516D95" w:rsidRDefault="00516D95" w:rsidP="00C43897"/>
    <w:p w14:paraId="25006ABB" w14:textId="4E706ED1" w:rsidR="00AF6A11" w:rsidRDefault="00AF6A11" w:rsidP="00C43897">
      <w:r>
        <w:t xml:space="preserve">The chapter has four sections: </w:t>
      </w:r>
      <w:r w:rsidR="00C43897">
        <w:t>health services and decentralisation</w:t>
      </w:r>
      <w:r w:rsidR="00B74369">
        <w:t xml:space="preserve"> </w:t>
      </w:r>
      <w:r>
        <w:t xml:space="preserve">(Section 2.1); </w:t>
      </w:r>
      <w:r w:rsidR="00B474B5">
        <w:t xml:space="preserve">Australian </w:t>
      </w:r>
      <w:r w:rsidR="00C43897">
        <w:t>health</w:t>
      </w:r>
      <w:r w:rsidR="00B474B5">
        <w:t xml:space="preserve"> sector support</w:t>
      </w:r>
      <w:r w:rsidR="00C43897">
        <w:t xml:space="preserve"> </w:t>
      </w:r>
      <w:r>
        <w:t xml:space="preserve">(Section 2.2); and two </w:t>
      </w:r>
      <w:r w:rsidR="00CC5E93">
        <w:t>profiles</w:t>
      </w:r>
      <w:r>
        <w:t xml:space="preserve"> based on in-country fieldwork—a maternal and neonatal health program in Indonesia (Section 2.3) and support to provincial health authorities in </w:t>
      </w:r>
      <w:r w:rsidR="00C23E5C">
        <w:t>Papua New Guinea</w:t>
      </w:r>
      <w:r w:rsidR="00C23E5C" w:rsidDel="00C23E5C">
        <w:t xml:space="preserve"> </w:t>
      </w:r>
      <w:r>
        <w:t>(</w:t>
      </w:r>
      <w:r w:rsidR="00C23E5C">
        <w:t xml:space="preserve">PNG; </w:t>
      </w:r>
      <w:r>
        <w:t>Section 2.4)</w:t>
      </w:r>
      <w:r w:rsidR="002C0C9F">
        <w:t>.</w:t>
      </w:r>
    </w:p>
    <w:p w14:paraId="1C0B4381" w14:textId="77777777" w:rsidR="00AF6A11" w:rsidRDefault="00AF6A11" w:rsidP="00DE3CD6">
      <w:pPr>
        <w:pStyle w:val="Heading2"/>
        <w:numPr>
          <w:ilvl w:val="1"/>
          <w:numId w:val="31"/>
        </w:numPr>
        <w:spacing w:before="360" w:after="240" w:line="288" w:lineRule="auto"/>
      </w:pPr>
      <w:bookmarkStart w:id="47" w:name="_Toc370253571"/>
      <w:bookmarkStart w:id="48" w:name="_Toc371086149"/>
      <w:bookmarkStart w:id="49" w:name="_Toc382563849"/>
      <w:bookmarkStart w:id="50" w:name="_Toc382595803"/>
      <w:bookmarkStart w:id="51" w:name="_Toc408831774"/>
      <w:r>
        <w:t>Health service</w:t>
      </w:r>
      <w:r w:rsidR="00A86C60">
        <w:t>s</w:t>
      </w:r>
      <w:r>
        <w:t xml:space="preserve"> and decentralisation</w:t>
      </w:r>
      <w:bookmarkEnd w:id="47"/>
      <w:bookmarkEnd w:id="48"/>
      <w:bookmarkEnd w:id="49"/>
      <w:bookmarkEnd w:id="50"/>
      <w:bookmarkEnd w:id="51"/>
      <w:r>
        <w:t xml:space="preserve"> </w:t>
      </w:r>
    </w:p>
    <w:p w14:paraId="77296ED9" w14:textId="77777777" w:rsidR="005C218A" w:rsidRDefault="00AF6A11" w:rsidP="00C615DC">
      <w:pPr>
        <w:pStyle w:val="NormalBeforeBullet"/>
      </w:pPr>
      <w:r>
        <w:t>In the health sector in decentralised contexts, central government usually remains responsible for:</w:t>
      </w:r>
    </w:p>
    <w:p w14:paraId="0B8E6383" w14:textId="77777777" w:rsidR="005C218A" w:rsidRDefault="00AF6A11" w:rsidP="009D2EAB">
      <w:pPr>
        <w:pStyle w:val="Bullet"/>
      </w:pPr>
      <w:r>
        <w:t>setting parameters for priority national programs such as family planning and immunisation</w:t>
      </w:r>
    </w:p>
    <w:p w14:paraId="708C429F" w14:textId="32B526A2" w:rsidR="005C218A" w:rsidRDefault="00AF6A11" w:rsidP="009D2EAB">
      <w:pPr>
        <w:pStyle w:val="Bullet"/>
      </w:pPr>
      <w:r>
        <w:t>sector financing arrangements (</w:t>
      </w:r>
      <w:r w:rsidR="00D2236B">
        <w:t>e.g. </w:t>
      </w:r>
      <w:r>
        <w:t>taxation-based or insurance-based systems)</w:t>
      </w:r>
    </w:p>
    <w:p w14:paraId="4FE4CA24" w14:textId="77777777" w:rsidR="005C218A" w:rsidRDefault="00AF6A11" w:rsidP="009D2EAB">
      <w:pPr>
        <w:pStyle w:val="Bullet"/>
      </w:pPr>
      <w:r>
        <w:t>how funds are transferred to subnational level to ensure equity</w:t>
      </w:r>
    </w:p>
    <w:p w14:paraId="172BB500" w14:textId="77777777" w:rsidR="00AF6A11" w:rsidRDefault="00AF6A11" w:rsidP="00C615DC">
      <w:pPr>
        <w:pStyle w:val="BulletLast"/>
      </w:pPr>
      <w:r>
        <w:t>standard setting, for example around functions such as the licensing of health professionals, registration and quality control of drugs and the design of clinical care protocols.</w:t>
      </w:r>
      <w:r>
        <w:rPr>
          <w:rStyle w:val="EndnoteReference"/>
        </w:rPr>
        <w:endnoteReference w:id="29"/>
      </w:r>
      <w:r>
        <w:t xml:space="preserve"> The subnational level is often responsible for service delivery mechanisms, setting user charges or other cost-recovery mechanisms, and planning expenditure allocations.</w:t>
      </w:r>
      <w:r>
        <w:rPr>
          <w:rStyle w:val="EndnoteReference"/>
        </w:rPr>
        <w:endnoteReference w:id="30"/>
      </w:r>
    </w:p>
    <w:p w14:paraId="02CB8663" w14:textId="77777777" w:rsidR="00AF6A11" w:rsidRDefault="005C218A" w:rsidP="00C615DC">
      <w:pPr>
        <w:pStyle w:val="NormalBeforeBullet"/>
      </w:pPr>
      <w:r>
        <w:t>The</w:t>
      </w:r>
      <w:r w:rsidR="00AF6A11">
        <w:t xml:space="preserve"> challenges</w:t>
      </w:r>
      <w:r w:rsidR="00AF6A11" w:rsidRPr="00A266ED">
        <w:t xml:space="preserve"> </w:t>
      </w:r>
      <w:r w:rsidR="00AF6A11">
        <w:t xml:space="preserve">mentioned in Section 1.2 </w:t>
      </w:r>
      <w:r w:rsidR="00AF6A11" w:rsidRPr="00A266ED">
        <w:t xml:space="preserve">concerning service delivery in decentralised contexts </w:t>
      </w:r>
      <w:r>
        <w:t>are generally relevant to the</w:t>
      </w:r>
      <w:r w:rsidR="00AF6A11" w:rsidRPr="00A266ED">
        <w:t xml:space="preserve"> health </w:t>
      </w:r>
      <w:r>
        <w:t>sector</w:t>
      </w:r>
      <w:r w:rsidR="00AF6A11" w:rsidRPr="00A266ED">
        <w:t>.</w:t>
      </w:r>
      <w:r w:rsidR="00AF6A11">
        <w:t xml:space="preserve"> Some specific additional points are as follows. </w:t>
      </w:r>
    </w:p>
    <w:p w14:paraId="54EF3F15" w14:textId="77777777" w:rsidR="00CB0894" w:rsidRDefault="005C218A" w:rsidP="009D2EAB">
      <w:pPr>
        <w:pStyle w:val="Bullet"/>
      </w:pPr>
      <w:r>
        <w:t>C</w:t>
      </w:r>
      <w:r w:rsidR="00AF6A11" w:rsidRPr="00BD03FE">
        <w:t xml:space="preserve">ontrol of </w:t>
      </w:r>
      <w:r w:rsidR="00AF6A11">
        <w:t>large-scale national health</w:t>
      </w:r>
      <w:r w:rsidR="00AF6A11" w:rsidRPr="00BD03FE">
        <w:t xml:space="preserve"> programs usually remain at </w:t>
      </w:r>
      <w:r w:rsidR="00AF6A11">
        <w:t xml:space="preserve">the </w:t>
      </w:r>
      <w:r w:rsidR="00AF6A11" w:rsidRPr="00BD03FE">
        <w:t>central level</w:t>
      </w:r>
      <w:r w:rsidR="00AF6A11">
        <w:t>, and can work against decentralisation</w:t>
      </w:r>
      <w:r w:rsidR="00AF6A11" w:rsidRPr="00BD03FE">
        <w:t>. For example</w:t>
      </w:r>
      <w:r w:rsidR="00AF6A11">
        <w:t>,</w:t>
      </w:r>
      <w:r w:rsidR="00AF6A11" w:rsidRPr="00BD03FE">
        <w:t xml:space="preserve"> in Indonesia the national health ministry and national AIDS commission are the main recipients of global grants.</w:t>
      </w:r>
      <w:r w:rsidR="00847680" w:rsidRPr="00BD03FE">
        <w:rPr>
          <w:rStyle w:val="EndnoteReference"/>
          <w:bCs/>
        </w:rPr>
        <w:endnoteReference w:id="31"/>
      </w:r>
      <w:r w:rsidR="00847680">
        <w:t xml:space="preserve"> </w:t>
      </w:r>
      <w:r w:rsidR="00AF6A11">
        <w:t>S</w:t>
      </w:r>
      <w:r w:rsidR="00FC7B4D">
        <w:t>ince s</w:t>
      </w:r>
      <w:r w:rsidR="00AF6A11">
        <w:t>uch programs can undermine local priorities and planning</w:t>
      </w:r>
      <w:r w:rsidR="00FC7B4D">
        <w:t>,</w:t>
      </w:r>
      <w:r w:rsidR="00AF6A11">
        <w:t xml:space="preserve"> </w:t>
      </w:r>
      <w:r w:rsidR="00FC7B4D">
        <w:t>they</w:t>
      </w:r>
      <w:r w:rsidR="00AF6A11">
        <w:t xml:space="preserve"> have been </w:t>
      </w:r>
      <w:r w:rsidR="00FC7B4D">
        <w:t>considered to have</w:t>
      </w:r>
      <w:r w:rsidR="00AF6A11">
        <w:t xml:space="preserve"> unsustainable</w:t>
      </w:r>
      <w:r w:rsidR="00FC7B4D">
        <w:t xml:space="preserve"> outcomes</w:t>
      </w:r>
      <w:r w:rsidR="00AF6A11">
        <w:t>.</w:t>
      </w:r>
      <w:r w:rsidR="00AF6A11">
        <w:rPr>
          <w:rStyle w:val="EndnoteReference"/>
          <w:bCs/>
        </w:rPr>
        <w:endnoteReference w:id="32"/>
      </w:r>
      <w:r w:rsidR="00AF6A11">
        <w:t xml:space="preserve"> </w:t>
      </w:r>
    </w:p>
    <w:p w14:paraId="7953EE88" w14:textId="4375A2BD" w:rsidR="00CB0894" w:rsidRPr="00CB0894" w:rsidRDefault="005C218A" w:rsidP="009D2EAB">
      <w:pPr>
        <w:pStyle w:val="Bullet"/>
      </w:pPr>
      <w:r>
        <w:t>A</w:t>
      </w:r>
      <w:r w:rsidR="00AF6A11">
        <w:t xml:space="preserve"> key issue in </w:t>
      </w:r>
      <w:r w:rsidR="00AF6A11" w:rsidRPr="005C218A">
        <w:rPr>
          <w:bCs/>
        </w:rPr>
        <w:t>the health sector is severe shortage of personnel, particularly in subnational locations.</w:t>
      </w:r>
      <w:r w:rsidR="00AF6A11">
        <w:rPr>
          <w:rStyle w:val="EndnoteReference"/>
          <w:bCs/>
        </w:rPr>
        <w:endnoteReference w:id="33"/>
      </w:r>
      <w:r w:rsidR="00AF6A11" w:rsidRPr="005C218A">
        <w:rPr>
          <w:bCs/>
        </w:rPr>
        <w:t xml:space="preserve"> </w:t>
      </w:r>
    </w:p>
    <w:p w14:paraId="23F2C973" w14:textId="358CD861" w:rsidR="00CB0894" w:rsidRPr="00CB0894" w:rsidRDefault="005C218A" w:rsidP="009D2EAB">
      <w:pPr>
        <w:pStyle w:val="Bullet"/>
      </w:pPr>
      <w:r>
        <w:rPr>
          <w:bCs/>
        </w:rPr>
        <w:t>H</w:t>
      </w:r>
      <w:r w:rsidR="00AF6A11" w:rsidRPr="005C218A">
        <w:rPr>
          <w:bCs/>
        </w:rPr>
        <w:t>ealth services may not be prioritised by government at the local level. This means that service</w:t>
      </w:r>
      <w:r w:rsidR="008B3437">
        <w:rPr>
          <w:bCs/>
        </w:rPr>
        <w:t>s are reduced</w:t>
      </w:r>
      <w:r w:rsidR="00AF6A11" w:rsidRPr="005C218A">
        <w:rPr>
          <w:bCs/>
        </w:rPr>
        <w:t xml:space="preserve"> where funding transfers from the central to the local level take the form of untied grants. For example, decentralisation led to the cessation of family planning services in some local government areas in the Philippines.</w:t>
      </w:r>
      <w:r w:rsidR="00AF6A11">
        <w:rPr>
          <w:rStyle w:val="EndnoteReference"/>
          <w:bCs/>
        </w:rPr>
        <w:endnoteReference w:id="34"/>
      </w:r>
      <w:r w:rsidR="00AF6A11" w:rsidRPr="005C218A">
        <w:rPr>
          <w:bCs/>
        </w:rPr>
        <w:t xml:space="preserve"> </w:t>
      </w:r>
      <w:r w:rsidR="008B3437">
        <w:rPr>
          <w:bCs/>
        </w:rPr>
        <w:t>I</w:t>
      </w:r>
      <w:r w:rsidR="00AF6A11" w:rsidRPr="005C218A">
        <w:rPr>
          <w:bCs/>
        </w:rPr>
        <w:t xml:space="preserve">n India and China spending on health care under decentralisation declined due </w:t>
      </w:r>
      <w:r w:rsidR="00FC7B4D">
        <w:rPr>
          <w:bCs/>
        </w:rPr>
        <w:t xml:space="preserve">in part </w:t>
      </w:r>
      <w:r w:rsidR="00AF6A11" w:rsidRPr="005C218A">
        <w:rPr>
          <w:bCs/>
        </w:rPr>
        <w:t>to a lack of prioritisation and</w:t>
      </w:r>
      <w:r w:rsidR="00FC7B4D">
        <w:rPr>
          <w:bCs/>
        </w:rPr>
        <w:t xml:space="preserve"> also</w:t>
      </w:r>
      <w:r w:rsidR="00AF6A11" w:rsidRPr="005C218A">
        <w:rPr>
          <w:bCs/>
        </w:rPr>
        <w:t xml:space="preserve"> inadequate transfer of funds from the central level.</w:t>
      </w:r>
      <w:r w:rsidR="00AF6A11">
        <w:rPr>
          <w:rStyle w:val="EndnoteReference"/>
          <w:bCs/>
        </w:rPr>
        <w:endnoteReference w:id="35"/>
      </w:r>
      <w:r w:rsidR="00AF6A11" w:rsidRPr="005C218A">
        <w:rPr>
          <w:bCs/>
        </w:rPr>
        <w:t xml:space="preserve"> </w:t>
      </w:r>
    </w:p>
    <w:p w14:paraId="342705F0" w14:textId="77777777" w:rsidR="00AF6A11" w:rsidRPr="006F4490" w:rsidRDefault="005C218A" w:rsidP="00921A4C">
      <w:pPr>
        <w:pStyle w:val="BulletLast"/>
      </w:pPr>
      <w:r>
        <w:rPr>
          <w:bCs/>
        </w:rPr>
        <w:t>A</w:t>
      </w:r>
      <w:r w:rsidR="00AF6A11">
        <w:t xml:space="preserve"> range of issues related to financing are important. The financing of local-level health care is challenging. Taxation-based funding tends to be insufficient, private health insurance excludes the poorest, and user fees can reduce access unless they are tightly controlled.</w:t>
      </w:r>
      <w:r w:rsidR="00AF6A11">
        <w:rPr>
          <w:rStyle w:val="EndnoteReference"/>
        </w:rPr>
        <w:endnoteReference w:id="36"/>
      </w:r>
      <w:r w:rsidR="00AF6A11">
        <w:t xml:space="preserve"> </w:t>
      </w:r>
      <w:r w:rsidR="00AF6A11" w:rsidRPr="005C218A">
        <w:rPr>
          <w:bCs/>
        </w:rPr>
        <w:t>Health sector procurement at the local level offers opportunities for corruption and leakage of funds,</w:t>
      </w:r>
      <w:r w:rsidR="00AF6A11">
        <w:rPr>
          <w:rStyle w:val="EndnoteReference"/>
          <w:bCs/>
        </w:rPr>
        <w:endnoteReference w:id="37"/>
      </w:r>
      <w:r w:rsidR="00AF6A11" w:rsidRPr="005C218A">
        <w:rPr>
          <w:bCs/>
        </w:rPr>
        <w:t xml:space="preserve"> as can other areas of the health service chain</w:t>
      </w:r>
      <w:r w:rsidR="00AF6A11">
        <w:t>. E</w:t>
      </w:r>
      <w:r w:rsidR="00AF6A11" w:rsidRPr="005C218A">
        <w:rPr>
          <w:bCs/>
        </w:rPr>
        <w:t>xpenditure at the local level may be directed towards high-profile, vote-winning curative health care centres and hospitals rather than more cost-effective preventive programs and services needed by local populations.</w:t>
      </w:r>
      <w:r w:rsidR="00AF6A11">
        <w:rPr>
          <w:rStyle w:val="EndnoteReference"/>
          <w:bCs/>
        </w:rPr>
        <w:endnoteReference w:id="38"/>
      </w:r>
      <w:r w:rsidR="00AF6A11" w:rsidRPr="005C218A">
        <w:rPr>
          <w:bCs/>
        </w:rPr>
        <w:t xml:space="preserve"> </w:t>
      </w:r>
    </w:p>
    <w:p w14:paraId="581B94C3" w14:textId="7755CA37" w:rsidR="00921A4C" w:rsidRPr="00921A4C" w:rsidRDefault="00D158FA" w:rsidP="00921A4C">
      <w:r>
        <w:rPr>
          <w:bCs/>
        </w:rPr>
        <w:t>An effective role for</w:t>
      </w:r>
      <w:r w:rsidR="006F4490">
        <w:rPr>
          <w:bCs/>
        </w:rPr>
        <w:t xml:space="preserve"> </w:t>
      </w:r>
      <w:r w:rsidR="00761A8D">
        <w:rPr>
          <w:bCs/>
        </w:rPr>
        <w:t xml:space="preserve">the </w:t>
      </w:r>
      <w:r w:rsidR="006F4490">
        <w:rPr>
          <w:bCs/>
        </w:rPr>
        <w:t>private sector in health systems</w:t>
      </w:r>
      <w:r>
        <w:rPr>
          <w:bCs/>
        </w:rPr>
        <w:t xml:space="preserve"> relies on </w:t>
      </w:r>
      <w:r w:rsidR="00761A8D">
        <w:rPr>
          <w:bCs/>
        </w:rPr>
        <w:t xml:space="preserve">the </w:t>
      </w:r>
      <w:r>
        <w:rPr>
          <w:bCs/>
        </w:rPr>
        <w:t>capacity for stewardship at both national and subnational level</w:t>
      </w:r>
      <w:r w:rsidR="00761A8D">
        <w:rPr>
          <w:bCs/>
        </w:rPr>
        <w:t>s</w:t>
      </w:r>
      <w:r>
        <w:rPr>
          <w:bCs/>
        </w:rPr>
        <w:t>. F</w:t>
      </w:r>
      <w:r w:rsidR="006F4490">
        <w:rPr>
          <w:bCs/>
        </w:rPr>
        <w:t>or example</w:t>
      </w:r>
      <w:r w:rsidR="008B3437">
        <w:rPr>
          <w:bCs/>
        </w:rPr>
        <w:t>,</w:t>
      </w:r>
      <w:r w:rsidR="006F4490">
        <w:rPr>
          <w:bCs/>
        </w:rPr>
        <w:t xml:space="preserve"> </w:t>
      </w:r>
      <w:r w:rsidR="00761A8D">
        <w:rPr>
          <w:bCs/>
        </w:rPr>
        <w:t xml:space="preserve">in </w:t>
      </w:r>
      <w:r w:rsidR="006F4490">
        <w:rPr>
          <w:bCs/>
        </w:rPr>
        <w:t xml:space="preserve">PNG </w:t>
      </w:r>
      <w:r>
        <w:rPr>
          <w:bCs/>
        </w:rPr>
        <w:t xml:space="preserve">there are </w:t>
      </w:r>
      <w:r w:rsidR="006F4490">
        <w:rPr>
          <w:bCs/>
        </w:rPr>
        <w:t xml:space="preserve">deficiencies in </w:t>
      </w:r>
      <w:r w:rsidR="00761A8D">
        <w:rPr>
          <w:bCs/>
        </w:rPr>
        <w:t xml:space="preserve">the </w:t>
      </w:r>
      <w:r w:rsidR="006F4490">
        <w:rPr>
          <w:bCs/>
        </w:rPr>
        <w:t>regulatory and governance environment for private health sector</w:t>
      </w:r>
      <w:r w:rsidR="00761A8D">
        <w:rPr>
          <w:bCs/>
        </w:rPr>
        <w:t>,</w:t>
      </w:r>
      <w:r>
        <w:rPr>
          <w:bCs/>
        </w:rPr>
        <w:t xml:space="preserve"> as well as </w:t>
      </w:r>
      <w:r w:rsidR="00761A8D">
        <w:rPr>
          <w:bCs/>
        </w:rPr>
        <w:t>low</w:t>
      </w:r>
      <w:r>
        <w:rPr>
          <w:bCs/>
        </w:rPr>
        <w:t xml:space="preserve"> capacity </w:t>
      </w:r>
      <w:r w:rsidR="00761A8D">
        <w:rPr>
          <w:bCs/>
        </w:rPr>
        <w:t>for</w:t>
      </w:r>
      <w:r>
        <w:rPr>
          <w:bCs/>
        </w:rPr>
        <w:t xml:space="preserve"> provincial and district health offices to engage in partnerships that contribute to the current limited private sector role</w:t>
      </w:r>
      <w:r w:rsidR="006F4490">
        <w:rPr>
          <w:bCs/>
        </w:rPr>
        <w:t>.</w:t>
      </w:r>
      <w:r>
        <w:rPr>
          <w:rStyle w:val="EndnoteReference"/>
          <w:bCs/>
        </w:rPr>
        <w:endnoteReference w:id="39"/>
      </w:r>
      <w:r w:rsidR="006F4490">
        <w:rPr>
          <w:bCs/>
        </w:rPr>
        <w:t xml:space="preserve"> </w:t>
      </w:r>
    </w:p>
    <w:p w14:paraId="3526EF1B" w14:textId="77777777" w:rsidR="00AF6A11" w:rsidRDefault="00AF6A11" w:rsidP="00921A4C">
      <w:pPr>
        <w:pStyle w:val="Heading2"/>
      </w:pPr>
      <w:bookmarkStart w:id="52" w:name="_Toc371086150"/>
      <w:bookmarkStart w:id="53" w:name="_Toc382563850"/>
      <w:bookmarkStart w:id="54" w:name="_Toc382595804"/>
      <w:bookmarkStart w:id="55" w:name="_Toc408831775"/>
      <w:r>
        <w:t>2.2</w:t>
      </w:r>
      <w:r>
        <w:tab/>
        <w:t>Australian health sector support</w:t>
      </w:r>
      <w:bookmarkEnd w:id="52"/>
      <w:bookmarkEnd w:id="53"/>
      <w:bookmarkEnd w:id="54"/>
      <w:bookmarkEnd w:id="55"/>
    </w:p>
    <w:p w14:paraId="31AFB8B9" w14:textId="77777777" w:rsidR="00AF6A11" w:rsidRDefault="002C6D12" w:rsidP="005A520B">
      <w:r>
        <w:t>The</w:t>
      </w:r>
      <w:r w:rsidR="00AF6A11">
        <w:t xml:space="preserve"> health thematic strategy</w:t>
      </w:r>
      <w:r>
        <w:t xml:space="preserve"> </w:t>
      </w:r>
      <w:r w:rsidR="00AF6A11">
        <w:t xml:space="preserve">recognises good health as a fundamental human right </w:t>
      </w:r>
      <w:r w:rsidR="00FC7B4D">
        <w:t>which can help</w:t>
      </w:r>
      <w:r w:rsidR="00AF6A11">
        <w:t xml:space="preserve"> to achiev</w:t>
      </w:r>
      <w:r w:rsidR="00FC7B4D">
        <w:t>e</w:t>
      </w:r>
      <w:r w:rsidR="00AF6A11">
        <w:t xml:space="preserve"> other development goals </w:t>
      </w:r>
      <w:r w:rsidR="00FC7B4D">
        <w:t>including</w:t>
      </w:r>
      <w:r w:rsidR="00AF6A11">
        <w:t xml:space="preserve"> economic growth. </w:t>
      </w:r>
      <w:r w:rsidR="00AF6A11" w:rsidRPr="00B8623F">
        <w:t xml:space="preserve">Australian assistance </w:t>
      </w:r>
      <w:r>
        <w:t xml:space="preserve">has </w:t>
      </w:r>
      <w:r w:rsidR="00AF6A11">
        <w:t>prioritise</w:t>
      </w:r>
      <w:r>
        <w:t>d</w:t>
      </w:r>
      <w:r w:rsidR="00AF6A11">
        <w:t xml:space="preserve"> health systems and services and their responsiveness to poor and vulnerable citizens.</w:t>
      </w:r>
      <w:r w:rsidR="00AF6A11">
        <w:rPr>
          <w:rStyle w:val="EndnoteReference"/>
        </w:rPr>
        <w:endnoteReference w:id="40"/>
      </w:r>
      <w:r w:rsidR="00AF6A11" w:rsidRPr="00541B80">
        <w:t xml:space="preserve"> </w:t>
      </w:r>
      <w:r w:rsidR="00AF6A11">
        <w:t xml:space="preserve">The health strategy </w:t>
      </w:r>
      <w:r>
        <w:t>contained some</w:t>
      </w:r>
      <w:r w:rsidR="00AF6A11">
        <w:t xml:space="preserve"> coverage and guidance with respect to decentralisation</w:t>
      </w:r>
      <w:r>
        <w:t xml:space="preserve"> (see</w:t>
      </w:r>
      <w:r w:rsidR="00C43897">
        <w:t xml:space="preserve"> Section </w:t>
      </w:r>
      <w:r>
        <w:t>6.1)</w:t>
      </w:r>
      <w:r w:rsidR="00AF6A11">
        <w:t>.</w:t>
      </w:r>
    </w:p>
    <w:p w14:paraId="3D4E69D9" w14:textId="61F78042" w:rsidR="009D2EAB" w:rsidRDefault="009D2EAB" w:rsidP="009D2EAB">
      <w:r>
        <w:t xml:space="preserve">The </w:t>
      </w:r>
      <w:r w:rsidR="00C43897">
        <w:t xml:space="preserve">Australian aid </w:t>
      </w:r>
      <w:r>
        <w:t>budget estimate for 2013–14 fo</w:t>
      </w:r>
      <w:r w:rsidR="00316F6F">
        <w:t>r health sector support is $763</w:t>
      </w:r>
      <w:r w:rsidR="00B74369">
        <w:t xml:space="preserve"> </w:t>
      </w:r>
      <w:r>
        <w:t>million. Of this, $380.3</w:t>
      </w:r>
      <w:r w:rsidR="00C43897">
        <w:t> </w:t>
      </w:r>
      <w:r>
        <w:t>million was allocated to bilateral programs; $301.4</w:t>
      </w:r>
      <w:r w:rsidR="00C43897">
        <w:t> </w:t>
      </w:r>
      <w:r>
        <w:t xml:space="preserve">million </w:t>
      </w:r>
      <w:r w:rsidR="00C43897">
        <w:t>to</w:t>
      </w:r>
      <w:r>
        <w:t xml:space="preserve"> global programs; $64.9</w:t>
      </w:r>
      <w:r w:rsidR="00C43897">
        <w:t> </w:t>
      </w:r>
      <w:r>
        <w:t xml:space="preserve">million </w:t>
      </w:r>
      <w:r w:rsidR="00C43897">
        <w:t xml:space="preserve">to </w:t>
      </w:r>
      <w:r>
        <w:t>regional programs and $16.7</w:t>
      </w:r>
      <w:r w:rsidR="00C43897">
        <w:t> </w:t>
      </w:r>
      <w:r>
        <w:t xml:space="preserve">million </w:t>
      </w:r>
      <w:r w:rsidR="00C43897">
        <w:t xml:space="preserve">to </w:t>
      </w:r>
      <w:r>
        <w:t>other government departments. Some of the headline results arising from existing investments during 2012–13 were 2</w:t>
      </w:r>
      <w:r w:rsidR="00C43897">
        <w:t> </w:t>
      </w:r>
      <w:r>
        <w:t>768</w:t>
      </w:r>
      <w:r w:rsidR="00C43897">
        <w:t> </w:t>
      </w:r>
      <w:r>
        <w:t>628 children vaccinated against childhood diseases and 304</w:t>
      </w:r>
      <w:r w:rsidR="00C43897">
        <w:t> </w:t>
      </w:r>
      <w:r>
        <w:t>934 women giving birth attended by a skilled birth attendant.</w:t>
      </w:r>
    </w:p>
    <w:p w14:paraId="043F7F1B" w14:textId="7FFA55E4" w:rsidR="009D2EAB" w:rsidRDefault="009D2EAB" w:rsidP="009D2EAB">
      <w:r>
        <w:t>This evaluation did not comprehensively evaluate the whole health sector portfolio. We focused on service delivery-focused programs, which were generally bilateral programs. Across the top six spending countries in the health sector, the majority of such bilateral programs were implemented by managing contractors.</w:t>
      </w:r>
      <w:r w:rsidR="00BE7094">
        <w:t xml:space="preserve"> </w:t>
      </w:r>
    </w:p>
    <w:p w14:paraId="12FBD70C" w14:textId="2FFDA1D1" w:rsidR="00AF6A11" w:rsidRPr="00302D4B" w:rsidRDefault="002C6D12" w:rsidP="00C615DC">
      <w:pPr>
        <w:pStyle w:val="NormalBeforeBullet"/>
        <w:rPr>
          <w:i/>
        </w:rPr>
      </w:pPr>
      <w:r>
        <w:t>T</w:t>
      </w:r>
      <w:r w:rsidR="00AF6A11" w:rsidRPr="007260F6">
        <w:t>his evaluation</w:t>
      </w:r>
      <w:r>
        <w:t xml:space="preserve"> </w:t>
      </w:r>
      <w:r w:rsidR="00AF6A11" w:rsidRPr="007260F6">
        <w:t xml:space="preserve">found </w:t>
      </w:r>
      <w:r>
        <w:t xml:space="preserve">some </w:t>
      </w:r>
      <w:r w:rsidR="00AF6A11" w:rsidRPr="007260F6">
        <w:t xml:space="preserve">evidence </w:t>
      </w:r>
      <w:r>
        <w:t>that</w:t>
      </w:r>
      <w:r w:rsidR="00AF6A11" w:rsidRPr="007260F6">
        <w:t xml:space="preserve"> decentralisation </w:t>
      </w:r>
      <w:r>
        <w:t>and</w:t>
      </w:r>
      <w:r w:rsidR="00AF6A11" w:rsidRPr="007260F6">
        <w:t xml:space="preserve"> a focus on governance and local</w:t>
      </w:r>
      <w:r w:rsidR="00F50C5F">
        <w:t>-level</w:t>
      </w:r>
      <w:r w:rsidR="00AF6A11" w:rsidRPr="007260F6">
        <w:t xml:space="preserve"> engagement</w:t>
      </w:r>
      <w:r w:rsidR="009D2EAB">
        <w:t xml:space="preserve"> were considered</w:t>
      </w:r>
      <w:r w:rsidR="00AF6A11" w:rsidRPr="007260F6">
        <w:t>.</w:t>
      </w:r>
      <w:r w:rsidR="00AF6A11">
        <w:t xml:space="preserve"> For example</w:t>
      </w:r>
      <w:r w:rsidR="008B3437">
        <w:t>,</w:t>
      </w:r>
      <w:r w:rsidR="00AF6A11">
        <w:t xml:space="preserve"> in</w:t>
      </w:r>
      <w:r w:rsidR="00AF6A11" w:rsidRPr="007260F6">
        <w:t xml:space="preserve"> PNG staff reported</w:t>
      </w:r>
      <w:r w:rsidR="00AF6A11">
        <w:t xml:space="preserve"> that</w:t>
      </w:r>
      <w:r w:rsidR="00AF6A11" w:rsidRPr="007260F6">
        <w:t xml:space="preserve"> </w:t>
      </w:r>
      <w:r w:rsidR="00AF6A11">
        <w:rPr>
          <w:i/>
        </w:rPr>
        <w:t>‘</w:t>
      </w:r>
      <w:r w:rsidR="00AF6A11" w:rsidRPr="007260F6">
        <w:rPr>
          <w:i/>
        </w:rPr>
        <w:t>we work with the governance strategy</w:t>
      </w:r>
      <w:r w:rsidR="00AF6A11">
        <w:rPr>
          <w:i/>
        </w:rPr>
        <w:t>—</w:t>
      </w:r>
      <w:r w:rsidR="00AF6A11" w:rsidRPr="007260F6">
        <w:rPr>
          <w:i/>
        </w:rPr>
        <w:t xml:space="preserve">as health requires both the supply and demand side </w:t>
      </w:r>
      <w:r w:rsidR="00AF6A11">
        <w:rPr>
          <w:i/>
        </w:rPr>
        <w:t>[</w:t>
      </w:r>
      <w:r w:rsidR="00AF6A11" w:rsidRPr="007260F6">
        <w:rPr>
          <w:i/>
        </w:rPr>
        <w:t>and</w:t>
      </w:r>
      <w:r w:rsidR="00AF6A11">
        <w:rPr>
          <w:i/>
        </w:rPr>
        <w:t>]</w:t>
      </w:r>
      <w:r w:rsidR="00AF6A11" w:rsidRPr="007260F6">
        <w:rPr>
          <w:i/>
        </w:rPr>
        <w:t xml:space="preserve"> … better governance is needed for the sy</w:t>
      </w:r>
      <w:r w:rsidR="00AF6A11">
        <w:rPr>
          <w:i/>
        </w:rPr>
        <w:t>stem to function</w:t>
      </w:r>
      <w:r w:rsidR="00D2236B">
        <w:rPr>
          <w:i/>
        </w:rPr>
        <w:t>.’</w:t>
      </w:r>
      <w:r w:rsidR="00AF6A11" w:rsidRPr="007260F6">
        <w:t xml:space="preserve"> </w:t>
      </w:r>
      <w:r>
        <w:t>This was verified by a p</w:t>
      </w:r>
      <w:r w:rsidR="00AF6A11" w:rsidRPr="007260F6">
        <w:t>rovincial representative</w:t>
      </w:r>
      <w:r w:rsidR="00066EE8">
        <w:t>:</w:t>
      </w:r>
    </w:p>
    <w:p w14:paraId="6275AF97" w14:textId="367ADF85" w:rsidR="00AF6A11" w:rsidRDefault="00076DF5" w:rsidP="005A520B">
      <w:pPr>
        <w:pStyle w:val="Quote"/>
      </w:pPr>
      <w:r>
        <w:t xml:space="preserve">Health </w:t>
      </w:r>
      <w:r w:rsidR="00AF6A11" w:rsidRPr="007260F6">
        <w:t>talk to us about almost everything</w:t>
      </w:r>
      <w:r w:rsidR="008B3437">
        <w:t>. O</w:t>
      </w:r>
      <w:r w:rsidR="00AF6A11" w:rsidRPr="007260F6">
        <w:t>t</w:t>
      </w:r>
      <w:r w:rsidR="00AF6A11">
        <w:t>her sectors are yet to come in [but we need]</w:t>
      </w:r>
      <w:r w:rsidR="00AF6A11" w:rsidRPr="007260F6">
        <w:t xml:space="preserve"> to get the sectors to have a think about what they would find useful and task us</w:t>
      </w:r>
      <w:r w:rsidR="00AF6A11">
        <w:t>. T</w:t>
      </w:r>
      <w:r w:rsidR="00AF6A11" w:rsidRPr="007260F6">
        <w:t xml:space="preserve">he </w:t>
      </w:r>
      <w:r w:rsidR="00AF6A11">
        <w:t xml:space="preserve">[other] </w:t>
      </w:r>
      <w:r w:rsidR="00AF6A11" w:rsidRPr="007260F6">
        <w:t>sectors don’t think about us as part of their team</w:t>
      </w:r>
      <w:r w:rsidR="00AF6A11">
        <w:t>.</w:t>
      </w:r>
      <w:r w:rsidR="00D2236B">
        <w:t>’</w:t>
      </w:r>
      <w:r w:rsidR="00AF6A11">
        <w:t xml:space="preserve"> </w:t>
      </w:r>
    </w:p>
    <w:p w14:paraId="57DE1197" w14:textId="77777777" w:rsidR="00AF6A11" w:rsidRDefault="00AF6A11" w:rsidP="005A520B">
      <w:r>
        <w:t>H</w:t>
      </w:r>
      <w:r w:rsidRPr="007260F6">
        <w:t xml:space="preserve">ealth staff in Indonesia </w:t>
      </w:r>
      <w:r>
        <w:t xml:space="preserve">also </w:t>
      </w:r>
      <w:r w:rsidRPr="007260F6">
        <w:t xml:space="preserve">reported that they were </w:t>
      </w:r>
      <w:r>
        <w:rPr>
          <w:i/>
        </w:rPr>
        <w:t>‘</w:t>
      </w:r>
      <w:r w:rsidRPr="007260F6">
        <w:rPr>
          <w:i/>
        </w:rPr>
        <w:t>looking into demand side m</w:t>
      </w:r>
      <w:r>
        <w:rPr>
          <w:i/>
        </w:rPr>
        <w:t>ore now … and how do you make local government</w:t>
      </w:r>
      <w:r w:rsidRPr="007260F6">
        <w:rPr>
          <w:i/>
        </w:rPr>
        <w:t xml:space="preserve"> more accountable</w:t>
      </w:r>
      <w:r>
        <w:rPr>
          <w:i/>
        </w:rPr>
        <w:t>’</w:t>
      </w:r>
      <w:r w:rsidRPr="007260F6">
        <w:t xml:space="preserve"> </w:t>
      </w:r>
      <w:r>
        <w:t>and that they would be focusing further on this area.</w:t>
      </w:r>
    </w:p>
    <w:p w14:paraId="7D55B09C" w14:textId="77777777" w:rsidR="00AF6A11" w:rsidRPr="007260F6" w:rsidRDefault="00AF6A11" w:rsidP="005A520B">
      <w:r>
        <w:t xml:space="preserve">The </w:t>
      </w:r>
      <w:r w:rsidR="00CC5E93">
        <w:t>profiles</w:t>
      </w:r>
      <w:r>
        <w:t xml:space="preserve"> in Sections 2.3 and 2.4 </w:t>
      </w:r>
      <w:r w:rsidR="00066EE8">
        <w:t>show</w:t>
      </w:r>
      <w:r>
        <w:t xml:space="preserve"> change</w:t>
      </w:r>
      <w:r w:rsidR="00FC7B4D">
        <w:t>s to</w:t>
      </w:r>
      <w:r w:rsidR="003B57E0">
        <w:t>ward</w:t>
      </w:r>
      <w:r w:rsidR="00F50C5F">
        <w:t>s</w:t>
      </w:r>
      <w:r w:rsidR="003B57E0">
        <w:t xml:space="preserve"> greater consideration of decentralisation and</w:t>
      </w:r>
      <w:r w:rsidR="00FC7B4D">
        <w:t xml:space="preserve"> local</w:t>
      </w:r>
      <w:r w:rsidR="00F50C5F">
        <w:t>-</w:t>
      </w:r>
      <w:r w:rsidR="00FC7B4D">
        <w:t>level governance</w:t>
      </w:r>
      <w:r>
        <w:t xml:space="preserve">. </w:t>
      </w:r>
    </w:p>
    <w:p w14:paraId="5B6539F2" w14:textId="77777777" w:rsidR="00AF6A11" w:rsidRDefault="00AF6A11" w:rsidP="005A520B">
      <w:pPr>
        <w:pStyle w:val="Heading2"/>
        <w:spacing w:before="360" w:after="240" w:line="288" w:lineRule="auto"/>
        <w:ind w:left="0" w:firstLine="0"/>
      </w:pPr>
      <w:bookmarkStart w:id="56" w:name="_Toc371086151"/>
      <w:bookmarkStart w:id="57" w:name="_Ref371622165"/>
      <w:bookmarkStart w:id="58" w:name="_Ref371622444"/>
      <w:bookmarkStart w:id="59" w:name="_Toc382563851"/>
      <w:bookmarkStart w:id="60" w:name="_Toc382595805"/>
      <w:bookmarkStart w:id="61" w:name="_Toc408831776"/>
      <w:r>
        <w:t>2.3</w:t>
      </w:r>
      <w:r>
        <w:tab/>
      </w:r>
      <w:r w:rsidR="00621EBF">
        <w:t>Maternal and neonatal health program, Indonesia</w:t>
      </w:r>
      <w:bookmarkEnd w:id="56"/>
      <w:bookmarkEnd w:id="57"/>
      <w:bookmarkEnd w:id="58"/>
      <w:bookmarkEnd w:id="59"/>
      <w:bookmarkEnd w:id="60"/>
      <w:bookmarkEnd w:id="61"/>
    </w:p>
    <w:p w14:paraId="556CDAB2" w14:textId="77777777" w:rsidR="00AF6A11" w:rsidRPr="00F94F9E" w:rsidRDefault="00AF6A11" w:rsidP="005A520B">
      <w:pPr>
        <w:pStyle w:val="BoxQuote"/>
        <w:rPr>
          <w:color w:val="215868" w:themeColor="accent5" w:themeShade="80"/>
        </w:rPr>
      </w:pPr>
      <w:r w:rsidRPr="00F94F9E">
        <w:rPr>
          <w:color w:val="215868" w:themeColor="accent5" w:themeShade="80"/>
        </w:rPr>
        <w:t>We appreciate AIPMNH—it is a neat and tidy work scheme with good ethics of partnership.</w:t>
      </w:r>
    </w:p>
    <w:p w14:paraId="4C0EBA13" w14:textId="77777777" w:rsidR="00AF6A11" w:rsidRPr="00F94F9E" w:rsidRDefault="00F73E4F" w:rsidP="00B9479A">
      <w:pPr>
        <w:pStyle w:val="BoxQuoteSource"/>
        <w:rPr>
          <w:color w:val="215868" w:themeColor="accent5" w:themeShade="80"/>
        </w:rPr>
      </w:pPr>
      <w:r w:rsidRPr="00F94F9E">
        <w:rPr>
          <w:color w:val="215868" w:themeColor="accent5" w:themeShade="80"/>
        </w:rPr>
        <w:t>D</w:t>
      </w:r>
      <w:r w:rsidR="00AF6A11" w:rsidRPr="00F94F9E">
        <w:rPr>
          <w:color w:val="215868" w:themeColor="accent5" w:themeShade="80"/>
        </w:rPr>
        <w:t>istrict planning agency</w:t>
      </w:r>
      <w:r w:rsidRPr="00F94F9E">
        <w:rPr>
          <w:color w:val="215868" w:themeColor="accent5" w:themeShade="80"/>
        </w:rPr>
        <w:t>, staff interview</w:t>
      </w:r>
      <w:r w:rsidR="00AF6A11" w:rsidRPr="00F94F9E">
        <w:rPr>
          <w:color w:val="215868" w:themeColor="accent5" w:themeShade="80"/>
        </w:rPr>
        <w:t>.</w:t>
      </w:r>
    </w:p>
    <w:p w14:paraId="6C055BD1" w14:textId="77777777" w:rsidR="00AF6A11" w:rsidRPr="00B557AE" w:rsidRDefault="00AF6A11" w:rsidP="00197A18">
      <w:pPr>
        <w:pStyle w:val="Heading3"/>
      </w:pPr>
      <w:bookmarkStart w:id="62" w:name="_Toc371086152"/>
      <w:bookmarkStart w:id="63" w:name="_Toc372300913"/>
      <w:bookmarkStart w:id="64" w:name="_Toc382563852"/>
      <w:bookmarkStart w:id="65" w:name="_Toc382595806"/>
      <w:r>
        <w:t xml:space="preserve">Background </w:t>
      </w:r>
      <w:r w:rsidR="00A47E5C">
        <w:t xml:space="preserve">on </w:t>
      </w:r>
      <w:r>
        <w:t>d</w:t>
      </w:r>
      <w:r w:rsidRPr="00B557AE">
        <w:t>ecentralisation in the Indonesian health sector</w:t>
      </w:r>
      <w:bookmarkEnd w:id="62"/>
      <w:bookmarkEnd w:id="63"/>
      <w:bookmarkEnd w:id="64"/>
      <w:bookmarkEnd w:id="65"/>
    </w:p>
    <w:p w14:paraId="24A056DD" w14:textId="77777777" w:rsidR="00AF6A11" w:rsidRPr="00B557AE" w:rsidRDefault="00AF6A11" w:rsidP="005A520B">
      <w:r>
        <w:t xml:space="preserve">Indonesia’s rapid decentralisation resulted in shared responsibilities for health service delivery across national, provincial and district levels. </w:t>
      </w:r>
      <w:r w:rsidR="00066EE8">
        <w:t>P</w:t>
      </w:r>
      <w:r w:rsidRPr="00B557AE">
        <w:t xml:space="preserve">olicy, planning and </w:t>
      </w:r>
      <w:r w:rsidR="00066EE8">
        <w:t>responsibilities</w:t>
      </w:r>
      <w:r w:rsidR="00066EE8" w:rsidRPr="00B557AE">
        <w:t xml:space="preserve"> </w:t>
      </w:r>
      <w:r w:rsidRPr="00B557AE">
        <w:t xml:space="preserve">between the three levels of government </w:t>
      </w:r>
      <w:r w:rsidR="00066EE8">
        <w:t xml:space="preserve">are not always linked or clear. </w:t>
      </w:r>
      <w:r>
        <w:t>Financial mechanisms are complex</w:t>
      </w:r>
      <w:r w:rsidR="00066EE8">
        <w:t xml:space="preserve">, </w:t>
      </w:r>
      <w:r w:rsidRPr="00B557AE">
        <w:t>a</w:t>
      </w:r>
      <w:r>
        <w:t xml:space="preserve">n </w:t>
      </w:r>
      <w:r w:rsidRPr="00B557AE">
        <w:t>admin</w:t>
      </w:r>
      <w:r>
        <w:t>istrative burden at the local level</w:t>
      </w:r>
      <w:r w:rsidRPr="00B557AE">
        <w:rPr>
          <w:rStyle w:val="EndnoteReference"/>
        </w:rPr>
        <w:endnoteReference w:id="41"/>
      </w:r>
      <w:r>
        <w:t xml:space="preserve"> and </w:t>
      </w:r>
      <w:r w:rsidR="00066EE8">
        <w:t>have</w:t>
      </w:r>
      <w:r>
        <w:t xml:space="preserve"> low rates of expenditure.</w:t>
      </w:r>
      <w:r w:rsidRPr="00B557AE">
        <w:rPr>
          <w:rStyle w:val="EndnoteReference"/>
        </w:rPr>
        <w:endnoteReference w:id="42"/>
      </w:r>
      <w:r w:rsidRPr="00B557AE">
        <w:t xml:space="preserve"> </w:t>
      </w:r>
      <w:r>
        <w:t>Service delivery varies from province to province. For example, e</w:t>
      </w:r>
      <w:r w:rsidRPr="00B557AE">
        <w:t>ast</w:t>
      </w:r>
      <w:r>
        <w:t>ern</w:t>
      </w:r>
      <w:r w:rsidRPr="00B557AE">
        <w:t xml:space="preserve"> Indonesia is reported to be worse than</w:t>
      </w:r>
      <w:r>
        <w:t xml:space="preserve"> elsewhere</w:t>
      </w:r>
      <w:r w:rsidR="00066EE8">
        <w:t>, with i</w:t>
      </w:r>
      <w:r>
        <w:t xml:space="preserve">ssues </w:t>
      </w:r>
      <w:r w:rsidR="00066EE8">
        <w:t xml:space="preserve">of </w:t>
      </w:r>
      <w:r>
        <w:t>shortages and low capacity in the health workforce, dysfunctional referral systems, and weak management and governance.</w:t>
      </w:r>
      <w:r w:rsidRPr="00B557AE">
        <w:rPr>
          <w:rStyle w:val="EndnoteReference"/>
        </w:rPr>
        <w:endnoteReference w:id="43"/>
      </w:r>
    </w:p>
    <w:p w14:paraId="36313287" w14:textId="312CF247" w:rsidR="00AF6A11" w:rsidRPr="00B557AE" w:rsidRDefault="00355BD2" w:rsidP="00197A18">
      <w:pPr>
        <w:pStyle w:val="Heading3"/>
      </w:pPr>
      <w:r>
        <w:t>T</w:t>
      </w:r>
      <w:r w:rsidR="00A47E5C">
        <w:t xml:space="preserve">he </w:t>
      </w:r>
      <w:r w:rsidR="00066EE8">
        <w:t>Australia-Indonesia Partnership</w:t>
      </w:r>
      <w:r w:rsidR="00302D4B">
        <w:t xml:space="preserve"> for Maternal and Neonatal Health</w:t>
      </w:r>
    </w:p>
    <w:p w14:paraId="186C4182" w14:textId="29868F74" w:rsidR="00AF6A11" w:rsidRDefault="00AF6A11" w:rsidP="005A520B">
      <w:r>
        <w:t xml:space="preserve">The goal of the </w:t>
      </w:r>
      <w:r w:rsidRPr="00B557AE">
        <w:t>Australia</w:t>
      </w:r>
      <w:r>
        <w:t>–</w:t>
      </w:r>
      <w:r w:rsidRPr="00B557AE">
        <w:t>Indo</w:t>
      </w:r>
      <w:r>
        <w:t>nesia Partnership for Maternal and Neonatal Health (AIP</w:t>
      </w:r>
      <w:r w:rsidRPr="00B557AE">
        <w:t xml:space="preserve">MNH) </w:t>
      </w:r>
      <w:r>
        <w:t>is</w:t>
      </w:r>
      <w:r w:rsidRPr="00B557AE">
        <w:t xml:space="preserve"> to improve maternal and neonatal health and contribute to reaching the relevant M</w:t>
      </w:r>
      <w:r w:rsidR="00C43897">
        <w:t>ille</w:t>
      </w:r>
      <w:r w:rsidR="00B474B5">
        <w:t>n</w:t>
      </w:r>
      <w:r w:rsidR="00C43897">
        <w:t xml:space="preserve">nium </w:t>
      </w:r>
      <w:r w:rsidRPr="00B557AE">
        <w:t>D</w:t>
      </w:r>
      <w:r w:rsidR="00C43897">
        <w:t xml:space="preserve">evelopment </w:t>
      </w:r>
      <w:r w:rsidRPr="00B557AE">
        <w:t>G</w:t>
      </w:r>
      <w:r w:rsidR="00C43897">
        <w:t>oal</w:t>
      </w:r>
      <w:r w:rsidRPr="00B557AE">
        <w:t>s</w:t>
      </w:r>
      <w:r w:rsidR="00C43897">
        <w:t xml:space="preserve"> (MDGs)</w:t>
      </w:r>
      <w:r w:rsidRPr="00B557AE">
        <w:t>.</w:t>
      </w:r>
      <w:r w:rsidRPr="00B557AE">
        <w:rPr>
          <w:rStyle w:val="EndnoteReference"/>
        </w:rPr>
        <w:endnoteReference w:id="44"/>
      </w:r>
      <w:r w:rsidRPr="00B557AE">
        <w:t xml:space="preserve"> A long</w:t>
      </w:r>
      <w:r>
        <w:t>-</w:t>
      </w:r>
      <w:r w:rsidRPr="00B557AE">
        <w:t xml:space="preserve">term outlook was taken, with </w:t>
      </w:r>
      <w:r>
        <w:t xml:space="preserve">the </w:t>
      </w:r>
      <w:r w:rsidRPr="00B557AE">
        <w:t>10</w:t>
      </w:r>
      <w:r>
        <w:t>-</w:t>
      </w:r>
      <w:r w:rsidRPr="00B557AE">
        <w:t>yea</w:t>
      </w:r>
      <w:r>
        <w:t xml:space="preserve">r objective defined </w:t>
      </w:r>
      <w:r w:rsidRPr="00DF0F6E">
        <w:t>as</w:t>
      </w:r>
      <w:r>
        <w:t xml:space="preserve"> </w:t>
      </w:r>
      <w:r>
        <w:rPr>
          <w:i/>
        </w:rPr>
        <w:t>‘</w:t>
      </w:r>
      <w:r w:rsidRPr="00B557AE">
        <w:rPr>
          <w:i/>
        </w:rPr>
        <w:t>selected provincial and district governments can effectively manage national, local and donor resources to progressively achieve MDG targets for maternal and child health</w:t>
      </w:r>
      <w:r w:rsidRPr="00B557AE">
        <w:t>.</w:t>
      </w:r>
      <w:r>
        <w:t>’</w:t>
      </w:r>
      <w:r w:rsidRPr="00B557AE">
        <w:rPr>
          <w:rStyle w:val="EndnoteReference"/>
        </w:rPr>
        <w:endnoteReference w:id="45"/>
      </w:r>
      <w:r>
        <w:t xml:space="preserve"> The initiative involved an investment of $68.6 million up to </w:t>
      </w:r>
      <w:r w:rsidR="00C43897">
        <w:t xml:space="preserve">the </w:t>
      </w:r>
      <w:r>
        <w:t>end of 2013.</w:t>
      </w:r>
      <w:r w:rsidRPr="00B557AE">
        <w:rPr>
          <w:rStyle w:val="EndnoteReference"/>
        </w:rPr>
        <w:endnoteReference w:id="46"/>
      </w:r>
      <w:r>
        <w:t xml:space="preserve"> It aims to support a ‘</w:t>
      </w:r>
      <w:r w:rsidRPr="00DF0F6E">
        <w:rPr>
          <w:i/>
        </w:rPr>
        <w:t xml:space="preserve">progressive move to increasing use of </w:t>
      </w:r>
      <w:r>
        <w:rPr>
          <w:i/>
        </w:rPr>
        <w:t xml:space="preserve">Indonesian Government </w:t>
      </w:r>
      <w:r w:rsidRPr="00DF0F6E">
        <w:rPr>
          <w:i/>
        </w:rPr>
        <w:t>systems</w:t>
      </w:r>
      <w:r>
        <w:t>’</w:t>
      </w:r>
      <w:r w:rsidRPr="00B557AE">
        <w:rPr>
          <w:rStyle w:val="EndnoteReference"/>
        </w:rPr>
        <w:endnoteReference w:id="47"/>
      </w:r>
      <w:r>
        <w:t xml:space="preserve"> and works in partnership with a range of government agencies in 14 districts in Nusa Tengarra Timur province in </w:t>
      </w:r>
      <w:r w:rsidR="00066EE8">
        <w:t>e</w:t>
      </w:r>
      <w:r>
        <w:t xml:space="preserve">ast Indonesia. Since 2008, the program has achieved significant outcomes. Maternal deaths in target districts dropped from 186 in 2009 to 125 in 2012, and the percentage of births that took place in a facility </w:t>
      </w:r>
      <w:r w:rsidR="008F1E4F">
        <w:t>increased</w:t>
      </w:r>
      <w:r>
        <w:t xml:space="preserve"> from 42 per cent in 2009 to 72 per cent in 2012. Local governments have </w:t>
      </w:r>
      <w:r w:rsidR="00A938B7">
        <w:t xml:space="preserve">allocated </w:t>
      </w:r>
      <w:r w:rsidR="00BA18EF">
        <w:t>proportionally</w:t>
      </w:r>
      <w:r w:rsidR="00A938B7">
        <w:t xml:space="preserve"> more funding to </w:t>
      </w:r>
      <w:r>
        <w:t xml:space="preserve">health, with 11 of the 14 target districts increasing their budget allocations </w:t>
      </w:r>
      <w:r w:rsidR="00BA18EF">
        <w:t>to</w:t>
      </w:r>
      <w:r>
        <w:t xml:space="preserve"> </w:t>
      </w:r>
      <w:r w:rsidRPr="00881C4D">
        <w:t>11 to 20</w:t>
      </w:r>
      <w:r>
        <w:t> per cent</w:t>
      </w:r>
      <w:r w:rsidRPr="00881C4D">
        <w:t xml:space="preserve"> of the total district budget, </w:t>
      </w:r>
      <w:r w:rsidR="00BA18EF">
        <w:t>exceeding</w:t>
      </w:r>
      <w:r w:rsidRPr="00881C4D">
        <w:t xml:space="preserve"> of the national target of 10</w:t>
      </w:r>
      <w:r>
        <w:t> </w:t>
      </w:r>
      <w:r w:rsidRPr="00881C4D">
        <w:t>per cent.</w:t>
      </w:r>
      <w:r>
        <w:rPr>
          <w:rStyle w:val="EndnoteReference"/>
        </w:rPr>
        <w:endnoteReference w:id="48"/>
      </w:r>
    </w:p>
    <w:p w14:paraId="0C19D140" w14:textId="77777777" w:rsidR="00AF6A11" w:rsidRPr="00B557AE" w:rsidRDefault="00AF6A11" w:rsidP="005A520B">
      <w:r w:rsidRPr="00B557AE">
        <w:t>Implementation is led by a managing contr</w:t>
      </w:r>
      <w:r w:rsidRPr="003E23F3">
        <w:t>a</w:t>
      </w:r>
      <w:r w:rsidRPr="00B557AE">
        <w:t xml:space="preserve">ctor, </w:t>
      </w:r>
      <w:r>
        <w:t>with some staff</w:t>
      </w:r>
      <w:r w:rsidRPr="00B557AE">
        <w:t xml:space="preserve"> placed </w:t>
      </w:r>
      <w:r>
        <w:t>in</w:t>
      </w:r>
      <w:r w:rsidRPr="00B557AE">
        <w:t xml:space="preserve"> </w:t>
      </w:r>
      <w:r>
        <w:t>local government health offices</w:t>
      </w:r>
      <w:r w:rsidRPr="00B557AE">
        <w:t>. The initiative works across villages</w:t>
      </w:r>
      <w:r w:rsidRPr="003E23F3">
        <w:t xml:space="preserve">, </w:t>
      </w:r>
      <w:r w:rsidRPr="00DF0F6E">
        <w:t>health centres and hospitals.</w:t>
      </w:r>
      <w:r w:rsidRPr="00DF0F6E">
        <w:rPr>
          <w:rStyle w:val="EndnoteReference"/>
        </w:rPr>
        <w:endnoteReference w:id="49"/>
      </w:r>
      <w:r>
        <w:t xml:space="preserve"> </w:t>
      </w:r>
      <w:r w:rsidRPr="00B557AE">
        <w:t>Wi</w:t>
      </w:r>
      <w:r>
        <w:t>thin the wider context of the aid program</w:t>
      </w:r>
      <w:r w:rsidRPr="00B557AE">
        <w:t xml:space="preserve">’s health portfolio, </w:t>
      </w:r>
      <w:r>
        <w:t xml:space="preserve">the more recent Australia–Indonesia Partnership for Health System Strengthening has been able to </w:t>
      </w:r>
      <w:r w:rsidR="003B57E0">
        <w:t xml:space="preserve">take advantage of </w:t>
      </w:r>
      <w:r>
        <w:t>key relationships and activities supported through AIPMNH.</w:t>
      </w:r>
      <w:r w:rsidRPr="00B557AE">
        <w:rPr>
          <w:rStyle w:val="EndnoteReference"/>
        </w:rPr>
        <w:endnoteReference w:id="50"/>
      </w:r>
      <w:r w:rsidRPr="00B557AE">
        <w:t xml:space="preserve"> </w:t>
      </w:r>
    </w:p>
    <w:p w14:paraId="557D407E" w14:textId="523C636A" w:rsidR="00AF6A11" w:rsidRDefault="00AF6A11" w:rsidP="005A520B">
      <w:r w:rsidRPr="00B557AE">
        <w:t>The eviden</w:t>
      </w:r>
      <w:r>
        <w:t xml:space="preserve">ce base underpinning the design of the initiative was strong, particularly </w:t>
      </w:r>
      <w:r w:rsidR="008B3437">
        <w:t>for</w:t>
      </w:r>
      <w:r>
        <w:t xml:space="preserve"> the subnational level. This</w:t>
      </w:r>
      <w:r w:rsidRPr="00B557AE">
        <w:t xml:space="preserve"> demonstrates one of the potential benefits </w:t>
      </w:r>
      <w:r w:rsidR="006408ED">
        <w:t>choosing a</w:t>
      </w:r>
      <w:r w:rsidRPr="00B557AE">
        <w:t xml:space="preserve"> single subnational location. The initiative provides detailed analysis of the subnational contex</w:t>
      </w:r>
      <w:r>
        <w:t>t of the chosen province,</w:t>
      </w:r>
      <w:r w:rsidRPr="00B557AE">
        <w:t xml:space="preserve"> </w:t>
      </w:r>
      <w:r>
        <w:t>including</w:t>
      </w:r>
      <w:r w:rsidRPr="00B557AE">
        <w:t xml:space="preserve"> discussion of the links between current decentralisation reforms and </w:t>
      </w:r>
      <w:r>
        <w:t xml:space="preserve">health </w:t>
      </w:r>
      <w:r w:rsidRPr="00B557AE">
        <w:t>sector reforms.</w:t>
      </w:r>
      <w:r w:rsidRPr="00AD0570">
        <w:rPr>
          <w:rStyle w:val="EndnoteReference"/>
        </w:rPr>
        <w:t xml:space="preserve"> </w:t>
      </w:r>
      <w:r w:rsidRPr="00B557AE">
        <w:rPr>
          <w:rStyle w:val="EndnoteReference"/>
        </w:rPr>
        <w:endnoteReference w:id="51"/>
      </w:r>
      <w:r w:rsidRPr="00B557AE">
        <w:t xml:space="preserve"> In addition, a </w:t>
      </w:r>
      <w:r w:rsidR="006408ED">
        <w:t>solid</w:t>
      </w:r>
      <w:r w:rsidR="006408ED" w:rsidRPr="00B557AE">
        <w:t xml:space="preserve"> </w:t>
      </w:r>
      <w:r w:rsidRPr="00B557AE">
        <w:t xml:space="preserve">assessment </w:t>
      </w:r>
      <w:r>
        <w:t>was</w:t>
      </w:r>
      <w:r w:rsidRPr="00B557AE">
        <w:t xml:space="preserve"> made of the </w:t>
      </w:r>
      <w:r w:rsidRPr="00BC7EBD">
        <w:t>demand side of health services, including</w:t>
      </w:r>
      <w:r w:rsidRPr="00BC7EBD">
        <w:rPr>
          <w:i/>
        </w:rPr>
        <w:t xml:space="preserve"> </w:t>
      </w:r>
      <w:r>
        <w:rPr>
          <w:i/>
        </w:rPr>
        <w:t>‘</w:t>
      </w:r>
      <w:r w:rsidRPr="00BC7EBD">
        <w:rPr>
          <w:i/>
        </w:rPr>
        <w:t>community reluctance to use services and lack of accountability to service users</w:t>
      </w:r>
      <w:r w:rsidR="00D2236B">
        <w:rPr>
          <w:i/>
        </w:rPr>
        <w:t>.’</w:t>
      </w:r>
      <w:r w:rsidRPr="00B557AE">
        <w:rPr>
          <w:rStyle w:val="EndnoteReference"/>
        </w:rPr>
        <w:endnoteReference w:id="52"/>
      </w:r>
      <w:r w:rsidRPr="00B557AE">
        <w:t xml:space="preserve"> </w:t>
      </w:r>
      <w:r w:rsidRPr="00813F36">
        <w:t>The design documents d</w:t>
      </w:r>
      <w:r>
        <w:t>o not con</w:t>
      </w:r>
      <w:r w:rsidRPr="00813F36">
        <w:t xml:space="preserve">tain </w:t>
      </w:r>
      <w:r w:rsidR="006408ED">
        <w:t>much</w:t>
      </w:r>
      <w:r w:rsidR="006408ED" w:rsidRPr="00813F36">
        <w:t xml:space="preserve"> </w:t>
      </w:r>
      <w:r w:rsidRPr="00813F36">
        <w:t xml:space="preserve">reference to international literature, however the independent progress review draws on such literature and provides a positive assessment of </w:t>
      </w:r>
      <w:r>
        <w:t xml:space="preserve">the </w:t>
      </w:r>
      <w:r w:rsidRPr="00813F36">
        <w:t>approaches laid out in the design.</w:t>
      </w:r>
      <w:r w:rsidRPr="00813F36">
        <w:rPr>
          <w:rStyle w:val="EndnoteReference"/>
        </w:rPr>
        <w:endnoteReference w:id="53"/>
      </w:r>
      <w:r w:rsidRPr="00813F36">
        <w:t xml:space="preserve"> </w:t>
      </w:r>
      <w:bookmarkStart w:id="66" w:name="_Toc371086155"/>
    </w:p>
    <w:p w14:paraId="411FFD1C" w14:textId="77777777" w:rsidR="00AF6A11" w:rsidRPr="00813F36" w:rsidRDefault="00AF6A11" w:rsidP="00197A18">
      <w:pPr>
        <w:pStyle w:val="Heading3"/>
      </w:pPr>
      <w:bookmarkStart w:id="67" w:name="_Toc372300916"/>
      <w:bookmarkStart w:id="68" w:name="_Toc382563855"/>
      <w:bookmarkStart w:id="69" w:name="_Toc382595809"/>
      <w:r>
        <w:t>Alignment and relevance to national and subnational levels</w:t>
      </w:r>
      <w:bookmarkEnd w:id="66"/>
      <w:bookmarkEnd w:id="67"/>
      <w:bookmarkEnd w:id="68"/>
      <w:bookmarkEnd w:id="69"/>
    </w:p>
    <w:p w14:paraId="033E0520" w14:textId="71BEAE66" w:rsidR="00AF6A11" w:rsidRDefault="00AF6A11" w:rsidP="005A520B">
      <w:r>
        <w:t>AIP</w:t>
      </w:r>
      <w:r w:rsidRPr="002F0671">
        <w:t>MNH has strong alignment with both national and subnational agendas</w:t>
      </w:r>
      <w:r w:rsidR="006408ED">
        <w:t xml:space="preserve"> and</w:t>
      </w:r>
      <w:r w:rsidRPr="00813F36">
        <w:t xml:space="preserve"> to national priorities, particularly MDGs 4 and 5</w:t>
      </w:r>
      <w:r>
        <w:t>,</w:t>
      </w:r>
      <w:r w:rsidRPr="00813F36">
        <w:t xml:space="preserve"> as well as </w:t>
      </w:r>
      <w:r>
        <w:t xml:space="preserve">the Indonesian Government’s </w:t>
      </w:r>
      <w:r w:rsidRPr="00813F36">
        <w:t>medium</w:t>
      </w:r>
      <w:r>
        <w:t>-</w:t>
      </w:r>
      <w:r w:rsidRPr="00813F36">
        <w:t>term development plan and the Natio</w:t>
      </w:r>
      <w:r>
        <w:t>nal Making Pregnancy Safer</w:t>
      </w:r>
      <w:r w:rsidRPr="00813F36">
        <w:t xml:space="preserve"> Strategy (2001</w:t>
      </w:r>
      <w:r>
        <w:t>–</w:t>
      </w:r>
      <w:r w:rsidRPr="00813F36">
        <w:t>10).</w:t>
      </w:r>
      <w:r w:rsidRPr="00CE4A0B">
        <w:rPr>
          <w:rStyle w:val="EndnoteReference"/>
        </w:rPr>
        <w:t xml:space="preserve"> </w:t>
      </w:r>
      <w:r w:rsidRPr="00813F36">
        <w:rPr>
          <w:rStyle w:val="EndnoteReference"/>
        </w:rPr>
        <w:endnoteReference w:id="54"/>
      </w:r>
      <w:r>
        <w:t xml:space="preserve"> </w:t>
      </w:r>
      <w:r w:rsidR="00C43897">
        <w:t xml:space="preserve">Nusa Tengarra Timur province </w:t>
      </w:r>
      <w:r>
        <w:t>is</w:t>
      </w:r>
      <w:r w:rsidRPr="00813F36">
        <w:t xml:space="preserve"> behind on achiev</w:t>
      </w:r>
      <w:r w:rsidR="008B3437">
        <w:t>ing</w:t>
      </w:r>
      <w:r w:rsidRPr="00813F36">
        <w:t xml:space="preserve"> the </w:t>
      </w:r>
      <w:r>
        <w:t>minimum health standards</w:t>
      </w:r>
      <w:r w:rsidRPr="00813F36">
        <w:t xml:space="preserve"> </w:t>
      </w:r>
      <w:r>
        <w:t>compared to</w:t>
      </w:r>
      <w:r w:rsidRPr="00813F36">
        <w:t xml:space="preserve"> the rest of Indonesia and ha</w:t>
      </w:r>
      <w:r>
        <w:t>s</w:t>
      </w:r>
      <w:r w:rsidRPr="00813F36">
        <w:t xml:space="preserve"> lower government revenues, higher rates of povert</w:t>
      </w:r>
      <w:r>
        <w:t>y, and poorer health indicators. This</w:t>
      </w:r>
      <w:r w:rsidRPr="00813F36">
        <w:t xml:space="preserve"> means that Australian support is highly relevant to the chosen subnational context. A particular strength is </w:t>
      </w:r>
      <w:r>
        <w:t>AIP</w:t>
      </w:r>
      <w:r w:rsidRPr="00813F36">
        <w:t>MNH’s use of existing district government recruitment, budgeting and planning processes.</w:t>
      </w:r>
      <w:r w:rsidRPr="005140F5">
        <w:rPr>
          <w:rStyle w:val="EndnoteReference"/>
          <w:sz w:val="22"/>
          <w:szCs w:val="22"/>
        </w:rPr>
        <w:endnoteReference w:id="55"/>
      </w:r>
    </w:p>
    <w:p w14:paraId="7D5749F4" w14:textId="77777777" w:rsidR="00AF6A11" w:rsidRDefault="006408ED" w:rsidP="00197A18">
      <w:pPr>
        <w:pStyle w:val="Heading3"/>
      </w:pPr>
      <w:bookmarkStart w:id="70" w:name="_Toc371086156"/>
      <w:bookmarkStart w:id="71" w:name="_Toc372300917"/>
      <w:bookmarkStart w:id="72" w:name="_Toc382563856"/>
      <w:bookmarkStart w:id="73" w:name="_Toc382595810"/>
      <w:r>
        <w:t>E</w:t>
      </w:r>
      <w:r w:rsidR="00AF6A11">
        <w:t>ngagement across different parts of government</w:t>
      </w:r>
      <w:bookmarkEnd w:id="70"/>
      <w:bookmarkEnd w:id="71"/>
      <w:bookmarkEnd w:id="72"/>
      <w:bookmarkEnd w:id="73"/>
      <w:r>
        <w:t xml:space="preserve"> and </w:t>
      </w:r>
      <w:r w:rsidR="00302D4B">
        <w:t xml:space="preserve">with </w:t>
      </w:r>
      <w:r>
        <w:t>community</w:t>
      </w:r>
    </w:p>
    <w:p w14:paraId="18BD11BA" w14:textId="6F778531" w:rsidR="00AF6A11" w:rsidRPr="00813F36" w:rsidRDefault="00AF6A11" w:rsidP="005A520B">
      <w:r>
        <w:t>AIP</w:t>
      </w:r>
      <w:r w:rsidRPr="002F0671">
        <w:t xml:space="preserve">MNH has not always achieved a good balance </w:t>
      </w:r>
      <w:r>
        <w:t>in its</w:t>
      </w:r>
      <w:r w:rsidRPr="002F0671">
        <w:t xml:space="preserve"> engagement with different parts of government.</w:t>
      </w:r>
      <w:r w:rsidRPr="00813F36">
        <w:t xml:space="preserve"> </w:t>
      </w:r>
      <w:r w:rsidRPr="00890224">
        <w:t>Participants reported a lack of engagement at the national level. This engagement was intended in the design, but was not implemented</w:t>
      </w:r>
      <w:r>
        <w:t xml:space="preserve"> due to inadequate resourcing</w:t>
      </w:r>
      <w:r w:rsidRPr="00890224">
        <w:t>. The</w:t>
      </w:r>
      <w:r w:rsidRPr="00813F36">
        <w:t xml:space="preserve"> missed opportunity for policy</w:t>
      </w:r>
      <w:r>
        <w:t>-</w:t>
      </w:r>
      <w:r w:rsidRPr="00813F36">
        <w:t>level dialogue</w:t>
      </w:r>
      <w:r w:rsidR="003B57E0">
        <w:t xml:space="preserve"> at national level</w:t>
      </w:r>
      <w:r w:rsidRPr="00813F36">
        <w:t xml:space="preserve"> is noted </w:t>
      </w:r>
      <w:r>
        <w:t xml:space="preserve">in </w:t>
      </w:r>
      <w:r w:rsidR="006408ED">
        <w:t xml:space="preserve">two </w:t>
      </w:r>
      <w:r>
        <w:t xml:space="preserve">reviews </w:t>
      </w:r>
      <w:r w:rsidR="006408ED">
        <w:t>(</w:t>
      </w:r>
      <w:r w:rsidRPr="00813F36">
        <w:t xml:space="preserve">2010 </w:t>
      </w:r>
      <w:r>
        <w:t xml:space="preserve">and </w:t>
      </w:r>
      <w:r w:rsidRPr="00813F36">
        <w:t>2012</w:t>
      </w:r>
      <w:r w:rsidR="006408ED">
        <w:t>)</w:t>
      </w:r>
      <w:r w:rsidRPr="00813F36">
        <w:t xml:space="preserve">. The </w:t>
      </w:r>
      <w:r w:rsidR="003B57E0">
        <w:t>2010 review</w:t>
      </w:r>
      <w:r w:rsidR="003B57E0" w:rsidRPr="00813F36">
        <w:t xml:space="preserve"> </w:t>
      </w:r>
      <w:r w:rsidRPr="00813F36">
        <w:t xml:space="preserve">notes </w:t>
      </w:r>
      <w:r>
        <w:t>‘</w:t>
      </w:r>
      <w:r w:rsidRPr="003E23F3">
        <w:rPr>
          <w:i/>
        </w:rPr>
        <w:t>inconsistent involvement of the most senior Government of Indonesia officials’</w:t>
      </w:r>
      <w:r w:rsidRPr="00813F36">
        <w:t xml:space="preserve"> and need for </w:t>
      </w:r>
      <w:r>
        <w:t>‘</w:t>
      </w:r>
      <w:r w:rsidRPr="003E23F3">
        <w:rPr>
          <w:i/>
        </w:rPr>
        <w:t>a more robust policy dialogue’</w:t>
      </w:r>
      <w:r w:rsidRPr="00813F36">
        <w:rPr>
          <w:rStyle w:val="EndnoteReference"/>
        </w:rPr>
        <w:endnoteReference w:id="56"/>
      </w:r>
      <w:r w:rsidRPr="00813F36">
        <w:t xml:space="preserve"> and that </w:t>
      </w:r>
      <w:r w:rsidRPr="003E23F3">
        <w:rPr>
          <w:i/>
        </w:rPr>
        <w:t>‘currently, there is little or no policy dialogue by AusAID, making it extremely difficult for there to be any systematic improvement to government systems.</w:t>
      </w:r>
      <w:r>
        <w:t>’</w:t>
      </w:r>
      <w:r w:rsidRPr="00813F36">
        <w:rPr>
          <w:rStyle w:val="EndnoteReference"/>
        </w:rPr>
        <w:endnoteReference w:id="57"/>
      </w:r>
      <w:r w:rsidRPr="00813F36">
        <w:t xml:space="preserve"> The </w:t>
      </w:r>
      <w:r w:rsidR="003B57E0">
        <w:t>2012</w:t>
      </w:r>
      <w:r w:rsidRPr="00813F36">
        <w:t xml:space="preserve"> </w:t>
      </w:r>
      <w:r>
        <w:t xml:space="preserve">review </w:t>
      </w:r>
      <w:r w:rsidRPr="00813F36">
        <w:t>repeats this</w:t>
      </w:r>
      <w:r>
        <w:t xml:space="preserve"> </w:t>
      </w:r>
      <w:r w:rsidRPr="00813F36">
        <w:t>message</w:t>
      </w:r>
      <w:r>
        <w:t>.</w:t>
      </w:r>
      <w:r w:rsidRPr="00813F36">
        <w:rPr>
          <w:rStyle w:val="EndnoteReference"/>
        </w:rPr>
        <w:endnoteReference w:id="58"/>
      </w:r>
      <w:r w:rsidRPr="00813F36">
        <w:t xml:space="preserve"> </w:t>
      </w:r>
    </w:p>
    <w:p w14:paraId="285DCF55" w14:textId="4ECCA3C6" w:rsidR="00AF6A11" w:rsidRDefault="00F94F9E" w:rsidP="005A520B">
      <w:r>
        <w:rPr>
          <w:noProof/>
        </w:rPr>
        <mc:AlternateContent>
          <mc:Choice Requires="wps">
            <w:drawing>
              <wp:anchor distT="0" distB="0" distL="114300" distR="114300" simplePos="0" relativeHeight="251782144" behindDoc="1" locked="0" layoutInCell="1" allowOverlap="1" wp14:anchorId="34FC5B85" wp14:editId="7D039411">
                <wp:simplePos x="0" y="0"/>
                <wp:positionH relativeFrom="column">
                  <wp:posOffset>3395980</wp:posOffset>
                </wp:positionH>
                <wp:positionV relativeFrom="paragraph">
                  <wp:posOffset>1119505</wp:posOffset>
                </wp:positionV>
                <wp:extent cx="2374265" cy="1304925"/>
                <wp:effectExtent l="0" t="0" r="0" b="9525"/>
                <wp:wrapTight wrapText="bothSides">
                  <wp:wrapPolygon edited="0">
                    <wp:start x="0" y="0"/>
                    <wp:lineTo x="0" y="21442"/>
                    <wp:lineTo x="21361" y="21442"/>
                    <wp:lineTo x="2136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04925"/>
                        </a:xfrm>
                        <a:prstGeom prst="rect">
                          <a:avLst/>
                        </a:prstGeom>
                        <a:solidFill>
                          <a:srgbClr val="FFFFFF"/>
                        </a:solidFill>
                        <a:ln w="9525">
                          <a:noFill/>
                          <a:miter lim="800000"/>
                          <a:headEnd/>
                          <a:tailEnd/>
                        </a:ln>
                      </wps:spPr>
                      <wps:txbx>
                        <w:txbxContent>
                          <w:p w14:paraId="669702B8" w14:textId="2CC799A0" w:rsidR="00CD4AF2" w:rsidRPr="00F94F9E" w:rsidRDefault="00CD4AF2" w:rsidP="00F749A4">
                            <w:pPr>
                              <w:pStyle w:val="BoxQuote"/>
                              <w:rPr>
                                <w:color w:val="215868" w:themeColor="accent5" w:themeShade="80"/>
                                <w:sz w:val="18"/>
                              </w:rPr>
                            </w:pPr>
                            <w:r w:rsidRPr="00F94F9E">
                              <w:rPr>
                                <w:color w:val="215868" w:themeColor="accent5" w:themeShade="80"/>
                              </w:rPr>
                              <w:t>Before [this program] we just worked and did not seek to excel, now we feel we have improved and complaints are like an indicator that we have to work better.</w:t>
                            </w:r>
                          </w:p>
                          <w:p w14:paraId="4A5030F3" w14:textId="77777777" w:rsidR="00CD4AF2" w:rsidRPr="00F94F9E" w:rsidRDefault="00CD4AF2" w:rsidP="00F749A4">
                            <w:pPr>
                              <w:pStyle w:val="BoxQuoteSource"/>
                              <w:rPr>
                                <w:color w:val="215868" w:themeColor="accent5" w:themeShade="80"/>
                              </w:rPr>
                            </w:pPr>
                            <w:r w:rsidRPr="00F94F9E">
                              <w:rPr>
                                <w:color w:val="215868" w:themeColor="accent5" w:themeShade="80"/>
                              </w:rPr>
                              <w:t>Local health service, east Indonesia, staff interview.</w:t>
                            </w:r>
                          </w:p>
                          <w:p w14:paraId="2B83FD88" w14:textId="420AA0CC" w:rsidR="00CD4AF2" w:rsidRDefault="00CD4AF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7.4pt;margin-top:88.15pt;width:186.95pt;height:102.75pt;z-index:-251534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pVIgIAAB4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suvKTFM&#10;45CexBDIexhIEfnprS/R7dGiYxjwGeecevX2AfgPTwxsOmZ24s456DvBGqxvGiOzi9ARx0eQuv8M&#10;DaZh+wAJaGidjuQhHQTRcU7H82xiKRwfi9n1vLhaUMLRNp3l82WxSDlY+RJunQ8fBWgShYo6HH6C&#10;Z4cHH2I5rHxxidk8KNlspVJJcbt6oxw5MFyUbTon9N/clCF9RZcLzB2jDMT4tENaBlxkJXVFb/J4&#10;YjgrIx0fTJPkwKQaZaxEmRM/kZKRnDDUAzpG0mpojsiUg3Fh8YOh0IH7RUmPy1pR/3PPnKBEfTLI&#10;9nI6n8ftTsp8cV2g4i4t9aWFGY5QFQ2UjOImpB8xdnSHU2ll4uu1klOtuISJxtOHiVt+qSev12+9&#10;fgYAAP//AwBQSwMEFAAGAAgAAAAhAI1MTRDfAAAACwEAAA8AAABkcnMvZG93bnJldi54bWxMj81O&#10;hEAQhO8mvsOkTby5A4suiAwbY0I04bSrDzBA8xOYHsLMsvj2tic9VqpS9VV23MwkVlzcYElBuAtA&#10;INW2GahT8PVZPCQgnNfU6MkSKvhGB8f89ibTaWOvdML17DvBJeRSraD3fk6ldHWPRrudnZHYa+1i&#10;tGe5dLJZ9JXLzST3QXCQRg/EC72e8a3HejxfjIKPsi7afWna1Y+hGctT9V60sVL3d9vrCwiPm/8L&#10;wy8+o0POTJW9UOPEpOApemR0z0Z8iEBw4jlIYhCVgigJE5B5Jv9/yH8AAAD//wMAUEsBAi0AFAAG&#10;AAgAAAAhALaDOJL+AAAA4QEAABMAAAAAAAAAAAAAAAAAAAAAAFtDb250ZW50X1R5cGVzXS54bWxQ&#10;SwECLQAUAAYACAAAACEAOP0h/9YAAACUAQAACwAAAAAAAAAAAAAAAAAvAQAAX3JlbHMvLnJlbHNQ&#10;SwECLQAUAAYACAAAACEAVWL6VSICAAAeBAAADgAAAAAAAAAAAAAAAAAuAgAAZHJzL2Uyb0RvYy54&#10;bWxQSwECLQAUAAYACAAAACEAjUxNEN8AAAALAQAADwAAAAAAAAAAAAAAAAB8BAAAZHJzL2Rvd25y&#10;ZXYueG1sUEsFBgAAAAAEAAQA8wAAAIgFAAAAAA==&#10;" stroked="f">
                <v:textbox>
                  <w:txbxContent>
                    <w:p w14:paraId="669702B8" w14:textId="2CC799A0" w:rsidR="00CD4AF2" w:rsidRPr="00F94F9E" w:rsidRDefault="00CD4AF2" w:rsidP="00F749A4">
                      <w:pPr>
                        <w:pStyle w:val="BoxQuote"/>
                        <w:rPr>
                          <w:color w:val="215868" w:themeColor="accent5" w:themeShade="80"/>
                          <w:sz w:val="18"/>
                        </w:rPr>
                      </w:pPr>
                      <w:r w:rsidRPr="00F94F9E">
                        <w:rPr>
                          <w:color w:val="215868" w:themeColor="accent5" w:themeShade="80"/>
                        </w:rPr>
                        <w:t>Before [this program] we just worked and did not seek to excel, now we feel we have improved and complaints are like an indicator that we have to work better.</w:t>
                      </w:r>
                    </w:p>
                    <w:p w14:paraId="4A5030F3" w14:textId="77777777" w:rsidR="00CD4AF2" w:rsidRPr="00F94F9E" w:rsidRDefault="00CD4AF2" w:rsidP="00F749A4">
                      <w:pPr>
                        <w:pStyle w:val="BoxQuoteSource"/>
                        <w:rPr>
                          <w:color w:val="215868" w:themeColor="accent5" w:themeShade="80"/>
                        </w:rPr>
                      </w:pPr>
                      <w:r w:rsidRPr="00F94F9E">
                        <w:rPr>
                          <w:color w:val="215868" w:themeColor="accent5" w:themeShade="80"/>
                        </w:rPr>
                        <w:t>Local health service, east Indonesia, staff interview.</w:t>
                      </w:r>
                    </w:p>
                    <w:p w14:paraId="2B83FD88" w14:textId="420AA0CC" w:rsidR="00CD4AF2" w:rsidRDefault="00CD4AF2"/>
                  </w:txbxContent>
                </v:textbox>
                <w10:wrap type="tight"/>
              </v:shape>
            </w:pict>
          </mc:Fallback>
        </mc:AlternateContent>
      </w:r>
      <w:r w:rsidR="00AF6A11" w:rsidRPr="00813F36">
        <w:t xml:space="preserve">The balance of engagement across different local agencies </w:t>
      </w:r>
      <w:r w:rsidR="00AF6A11" w:rsidRPr="00881C4D">
        <w:t>has been put forward as a strength of the program</w:t>
      </w:r>
      <w:r w:rsidR="00AF6A11" w:rsidRPr="00813F36">
        <w:t>, and was reported</w:t>
      </w:r>
      <w:r w:rsidR="00AF6A11">
        <w:t>ly also facilitated by the local planning agency</w:t>
      </w:r>
      <w:r w:rsidR="00AF6A11" w:rsidRPr="00813F36">
        <w:t>.</w:t>
      </w:r>
      <w:r w:rsidR="00AF6A11" w:rsidRPr="00813F36">
        <w:rPr>
          <w:rStyle w:val="EndnoteReference"/>
        </w:rPr>
        <w:endnoteReference w:id="59"/>
      </w:r>
      <w:r w:rsidR="00AF6A11" w:rsidRPr="00813F36">
        <w:t xml:space="preserve"> Engagement </w:t>
      </w:r>
      <w:r w:rsidR="00AF6A11">
        <w:t xml:space="preserve">with </w:t>
      </w:r>
      <w:r w:rsidR="00AF6A11" w:rsidRPr="00813F36">
        <w:t xml:space="preserve">both political leaders and local authorities was </w:t>
      </w:r>
      <w:r w:rsidR="00AF6A11">
        <w:t xml:space="preserve">also </w:t>
      </w:r>
      <w:r w:rsidR="00AF6A11" w:rsidRPr="00813F36">
        <w:t>reported to be constructive. For example</w:t>
      </w:r>
      <w:r w:rsidR="00AF6A11">
        <w:t>,</w:t>
      </w:r>
      <w:r w:rsidR="00AF6A11" w:rsidRPr="00813F36">
        <w:t xml:space="preserve"> </w:t>
      </w:r>
      <w:r w:rsidR="00AF6A11">
        <w:t xml:space="preserve">a </w:t>
      </w:r>
      <w:r w:rsidR="00AF6A11" w:rsidRPr="00813F36">
        <w:t>local stakeholder mentioned how issues</w:t>
      </w:r>
      <w:r w:rsidR="00AF6A11">
        <w:t xml:space="preserve"> were resolved with support ‘</w:t>
      </w:r>
      <w:r w:rsidR="00AF6A11" w:rsidRPr="003E23F3">
        <w:rPr>
          <w:i/>
        </w:rPr>
        <w:t>from local government and from the legislators</w:t>
      </w:r>
      <w:r w:rsidR="00D2236B">
        <w:rPr>
          <w:i/>
        </w:rPr>
        <w:t>.’</w:t>
      </w:r>
      <w:r w:rsidR="00AF6A11" w:rsidRPr="00813F36">
        <w:t xml:space="preserve"> However</w:t>
      </w:r>
      <w:r w:rsidR="00AF6A11">
        <w:t>,</w:t>
      </w:r>
      <w:r w:rsidR="00AF6A11" w:rsidRPr="00813F36">
        <w:t xml:space="preserve"> existing gaps in communication between authorities and the leadership </w:t>
      </w:r>
      <w:r w:rsidR="00AF6A11">
        <w:t>have been</w:t>
      </w:r>
      <w:r w:rsidR="00AF6A11" w:rsidRPr="00813F36">
        <w:t xml:space="preserve"> difficult to overcome. This is re</w:t>
      </w:r>
      <w:r w:rsidR="00AF6A11">
        <w:t xml:space="preserve">flected in one district leader </w:t>
      </w:r>
      <w:r w:rsidR="00AF6A11" w:rsidRPr="00813F36">
        <w:t>comment</w:t>
      </w:r>
      <w:r w:rsidR="00AF6A11">
        <w:t>ing</w:t>
      </w:r>
      <w:r w:rsidR="00AF6A11" w:rsidRPr="00813F36">
        <w:t xml:space="preserve"> that </w:t>
      </w:r>
      <w:r w:rsidR="00AF6A11" w:rsidRPr="003E23F3">
        <w:rPr>
          <w:i/>
        </w:rPr>
        <w:t>‘[</w:t>
      </w:r>
      <w:r w:rsidR="00AF6A11">
        <w:rPr>
          <w:i/>
        </w:rPr>
        <w:t>t</w:t>
      </w:r>
      <w:r w:rsidR="00AF6A11" w:rsidRPr="003E23F3">
        <w:rPr>
          <w:i/>
        </w:rPr>
        <w:t>he Australian aid program] doesn’t give me enough information about their health program</w:t>
      </w:r>
      <w:r w:rsidR="00D2236B">
        <w:rPr>
          <w:i/>
        </w:rPr>
        <w:t>.’</w:t>
      </w:r>
      <w:r w:rsidR="00AF6A11" w:rsidRPr="00813F36">
        <w:t xml:space="preserve"> </w:t>
      </w:r>
    </w:p>
    <w:p w14:paraId="31E7C3A6" w14:textId="0D09DF6A" w:rsidR="00AF6A11" w:rsidRDefault="00AF6A11" w:rsidP="005A520B">
      <w:pPr>
        <w:rPr>
          <w:noProof/>
        </w:rPr>
      </w:pPr>
      <w:r>
        <w:t>AIP</w:t>
      </w:r>
      <w:r w:rsidRPr="00072629">
        <w:t xml:space="preserve">MNH had good engagement </w:t>
      </w:r>
      <w:r w:rsidR="006408ED">
        <w:t>with the local community</w:t>
      </w:r>
      <w:r w:rsidR="00CB0894">
        <w:t xml:space="preserve"> in terms of demand-side engagement with service users</w:t>
      </w:r>
      <w:r w:rsidR="006408ED">
        <w:t>, more</w:t>
      </w:r>
      <w:r w:rsidRPr="00813F36">
        <w:t xml:space="preserve"> than is visible in other </w:t>
      </w:r>
      <w:r w:rsidR="00CC5E93">
        <w:t>profiles</w:t>
      </w:r>
      <w:r w:rsidRPr="00813F36">
        <w:t xml:space="preserve">. Local health staff </w:t>
      </w:r>
      <w:r>
        <w:t>reported becoming</w:t>
      </w:r>
      <w:r w:rsidRPr="00813F36">
        <w:t xml:space="preserve"> </w:t>
      </w:r>
      <w:r>
        <w:t>more accountable to communities</w:t>
      </w:r>
      <w:r w:rsidRPr="00813F36">
        <w:t xml:space="preserve"> and mention</w:t>
      </w:r>
      <w:r>
        <w:t>ed</w:t>
      </w:r>
      <w:r w:rsidRPr="00813F36">
        <w:t xml:space="preserve"> the use of a community survey</w:t>
      </w:r>
      <w:r w:rsidRPr="00813F36">
        <w:rPr>
          <w:i/>
        </w:rPr>
        <w:t xml:space="preserve">: </w:t>
      </w:r>
      <w:r>
        <w:rPr>
          <w:i/>
        </w:rPr>
        <w:t>‘</w:t>
      </w:r>
      <w:r w:rsidRPr="00813F36">
        <w:rPr>
          <w:i/>
        </w:rPr>
        <w:t>There is a satisfaction index survey conducted by the public that is helpful</w:t>
      </w:r>
      <w:r w:rsidR="00D2236B">
        <w:rPr>
          <w:i/>
        </w:rPr>
        <w:t>.’</w:t>
      </w:r>
      <w:r w:rsidRPr="00813F36">
        <w:rPr>
          <w:i/>
        </w:rPr>
        <w:t xml:space="preserve"> </w:t>
      </w:r>
      <w:r w:rsidRPr="00072629">
        <w:t>AIPM</w:t>
      </w:r>
      <w:r w:rsidRPr="00813F36">
        <w:t>NH also establishe</w:t>
      </w:r>
      <w:r>
        <w:t>d</w:t>
      </w:r>
      <w:r w:rsidRPr="00813F36">
        <w:t xml:space="preserve"> a </w:t>
      </w:r>
      <w:r>
        <w:t>b</w:t>
      </w:r>
      <w:r w:rsidRPr="00813F36">
        <w:t xml:space="preserve">oard made up of community members to act as </w:t>
      </w:r>
      <w:r>
        <w:t xml:space="preserve">an </w:t>
      </w:r>
      <w:r w:rsidRPr="00813F36">
        <w:t xml:space="preserve">intermediary between </w:t>
      </w:r>
      <w:r>
        <w:t xml:space="preserve">the </w:t>
      </w:r>
      <w:r w:rsidRPr="00813F36">
        <w:t>community and health centres. In one health centre</w:t>
      </w:r>
      <w:r>
        <w:t>,</w:t>
      </w:r>
      <w:r w:rsidRPr="00813F36">
        <w:t xml:space="preserve"> </w:t>
      </w:r>
      <w:r>
        <w:t>AIPMNH actively supported</w:t>
      </w:r>
      <w:r w:rsidRPr="00813F36">
        <w:t xml:space="preserve"> local accountability:</w:t>
      </w:r>
      <w:r>
        <w:rPr>
          <w:i/>
        </w:rPr>
        <w:t xml:space="preserve"> ‘T</w:t>
      </w:r>
      <w:r w:rsidRPr="00813F36">
        <w:rPr>
          <w:i/>
        </w:rPr>
        <w:t>he demand side is to increase citizen participation</w:t>
      </w:r>
      <w:r w:rsidR="008B3437">
        <w:rPr>
          <w:i/>
        </w:rPr>
        <w:t>. B</w:t>
      </w:r>
      <w:r w:rsidRPr="00813F36">
        <w:rPr>
          <w:i/>
        </w:rPr>
        <w:t>efore</w:t>
      </w:r>
      <w:r w:rsidR="008B3437">
        <w:rPr>
          <w:i/>
        </w:rPr>
        <w:t>,</w:t>
      </w:r>
      <w:r w:rsidRPr="00813F36">
        <w:rPr>
          <w:i/>
        </w:rPr>
        <w:t xml:space="preserve"> services were driven by central government so people didn’t ne</w:t>
      </w:r>
      <w:r>
        <w:rPr>
          <w:i/>
        </w:rPr>
        <w:t>ed to think about how to engage,</w:t>
      </w:r>
      <w:r w:rsidRPr="00813F36">
        <w:rPr>
          <w:i/>
        </w:rPr>
        <w:t xml:space="preserve"> </w:t>
      </w:r>
      <w:r>
        <w:rPr>
          <w:i/>
        </w:rPr>
        <w:t xml:space="preserve">[whereas current reform] </w:t>
      </w:r>
      <w:r w:rsidRPr="00813F36">
        <w:rPr>
          <w:i/>
        </w:rPr>
        <w:t xml:space="preserve">seeks to bring </w:t>
      </w:r>
      <w:r>
        <w:rPr>
          <w:i/>
        </w:rPr>
        <w:t xml:space="preserve">the </w:t>
      </w:r>
      <w:r w:rsidRPr="00813F36">
        <w:rPr>
          <w:i/>
        </w:rPr>
        <w:t>community in to improve quality.</w:t>
      </w:r>
      <w:r>
        <w:rPr>
          <w:i/>
        </w:rPr>
        <w:t>’</w:t>
      </w:r>
      <w:r w:rsidRPr="003E7CB7">
        <w:rPr>
          <w:noProof/>
        </w:rPr>
        <w:t xml:space="preserve"> </w:t>
      </w:r>
    </w:p>
    <w:p w14:paraId="00272AF8" w14:textId="704AEA25" w:rsidR="004E510E" w:rsidRDefault="004E510E" w:rsidP="001204DD">
      <w:bookmarkStart w:id="74" w:name="_Toc371086158"/>
      <w:bookmarkStart w:id="75" w:name="_Toc372300919"/>
      <w:bookmarkStart w:id="76" w:name="_Toc382563858"/>
      <w:bookmarkStart w:id="77" w:name="_Toc382595812"/>
      <w:r>
        <w:rPr>
          <w:noProof/>
        </w:rPr>
        <w:drawing>
          <wp:inline distT="0" distB="0" distL="0" distR="0" wp14:anchorId="4F807672" wp14:editId="38094B78">
            <wp:extent cx="5731510" cy="3822279"/>
            <wp:effectExtent l="0" t="0" r="2540" b="6985"/>
            <wp:docPr id="18" name="Picture 18" descr="C:\Users\020106\AppData\Local\Microsoft\Windows\Temporary Internet Files\Content.Outlook\6A51OLQZ\Photo 1 AIPMNH NTT mid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0106\AppData\Local\Microsoft\Windows\Temporary Internet Files\Content.Outlook\6A51OLQZ\Photo 1 AIPMNH NTT midwife.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731510" cy="3822279"/>
                    </a:xfrm>
                    <a:prstGeom prst="rect">
                      <a:avLst/>
                    </a:prstGeom>
                    <a:noFill/>
                    <a:ln>
                      <a:noFill/>
                    </a:ln>
                  </pic:spPr>
                </pic:pic>
              </a:graphicData>
            </a:graphic>
          </wp:inline>
        </w:drawing>
      </w:r>
    </w:p>
    <w:p w14:paraId="4B87F856" w14:textId="50EB9AD1" w:rsidR="004E510E" w:rsidRDefault="004E510E" w:rsidP="001204DD">
      <w:pPr>
        <w:pStyle w:val="Caption"/>
      </w:pPr>
      <w:r>
        <w:t xml:space="preserve">Midwife at Tuabatan village, Timor Tengah Utara, Nusa Tenggara Timur, Indonesia. </w:t>
      </w:r>
      <w:r w:rsidRPr="004E510E">
        <w:rPr>
          <w:i/>
        </w:rPr>
        <w:t>Photo: DFAT</w:t>
      </w:r>
    </w:p>
    <w:p w14:paraId="3CCE8BC5" w14:textId="77777777" w:rsidR="00AF6A11" w:rsidRPr="00813F36" w:rsidRDefault="005C3EF8" w:rsidP="00197A18">
      <w:pPr>
        <w:pStyle w:val="Heading3"/>
      </w:pPr>
      <w:r>
        <w:t>S</w:t>
      </w:r>
      <w:r w:rsidR="00AF6A11">
        <w:t>ustainability through o</w:t>
      </w:r>
      <w:r w:rsidR="00AF6A11" w:rsidRPr="00813F36">
        <w:t>wnership and capacity building</w:t>
      </w:r>
      <w:bookmarkEnd w:id="74"/>
      <w:bookmarkEnd w:id="75"/>
      <w:bookmarkEnd w:id="76"/>
      <w:bookmarkEnd w:id="77"/>
    </w:p>
    <w:p w14:paraId="5AD4E107" w14:textId="77777777" w:rsidR="00AF6A11" w:rsidRPr="00813F36" w:rsidRDefault="00AF6A11" w:rsidP="005A520B">
      <w:r w:rsidRPr="00813F36">
        <w:t xml:space="preserve">Sustainability </w:t>
      </w:r>
      <w:r>
        <w:t xml:space="preserve">is </w:t>
      </w:r>
      <w:r w:rsidRPr="00813F36">
        <w:t xml:space="preserve">described in the design document as ‘built in’ through </w:t>
      </w:r>
      <w:r>
        <w:t xml:space="preserve">a </w:t>
      </w:r>
      <w:r w:rsidRPr="00813F36">
        <w:t>partnership approach, however</w:t>
      </w:r>
      <w:r w:rsidR="005C3EF8">
        <w:t>,</w:t>
      </w:r>
      <w:r w:rsidR="00846B7F">
        <w:t xml:space="preserve"> there are mixed results</w:t>
      </w:r>
      <w:r w:rsidRPr="00813F36">
        <w:t>. On the positive side, there is evidence of local commitment (e.g.</w:t>
      </w:r>
      <w:r>
        <w:t> </w:t>
      </w:r>
      <w:r w:rsidRPr="00813F36">
        <w:t>new regulations about births at health centres), local parliaments agreeing to provide financial resources (</w:t>
      </w:r>
      <w:r>
        <w:t>e.g. </w:t>
      </w:r>
      <w:r w:rsidRPr="00813F36">
        <w:t>an incentive payment to medical personnel and budgets for transport) and strong trust and engagement between local government and the program.</w:t>
      </w:r>
      <w:r w:rsidRPr="00813F36">
        <w:rPr>
          <w:rStyle w:val="EndnoteReference"/>
        </w:rPr>
        <w:endnoteReference w:id="60"/>
      </w:r>
      <w:r w:rsidRPr="00813F36">
        <w:t xml:space="preserve"> </w:t>
      </w:r>
    </w:p>
    <w:p w14:paraId="33C9A8EE" w14:textId="6667FB48" w:rsidR="00AF6A11" w:rsidRDefault="005C3EF8" w:rsidP="005A520B">
      <w:r>
        <w:t>At the same time</w:t>
      </w:r>
      <w:r w:rsidR="00AF6A11" w:rsidRPr="00813F36">
        <w:t>, concerns have also been raised</w:t>
      </w:r>
      <w:r w:rsidR="00AF6A11">
        <w:t xml:space="preserve"> in reviews about lack of an exit strategy</w:t>
      </w:r>
      <w:r w:rsidR="00AF6A11" w:rsidRPr="00813F36">
        <w:rPr>
          <w:rStyle w:val="EndnoteReference"/>
        </w:rPr>
        <w:endnoteReference w:id="61"/>
      </w:r>
      <w:r w:rsidR="00AF6A11">
        <w:t xml:space="preserve"> and that ‘</w:t>
      </w:r>
      <w:r w:rsidR="00AF6A11" w:rsidRPr="00825AE2">
        <w:rPr>
          <w:i/>
        </w:rPr>
        <w:t>current gains might not be sustained</w:t>
      </w:r>
      <w:r w:rsidR="00D2236B">
        <w:rPr>
          <w:i/>
        </w:rPr>
        <w:t>.’</w:t>
      </w:r>
      <w:r w:rsidR="00AF6A11" w:rsidRPr="00825AE2">
        <w:rPr>
          <w:rStyle w:val="EndnoteReference"/>
          <w:i/>
        </w:rPr>
        <w:endnoteReference w:id="62"/>
      </w:r>
      <w:r w:rsidR="00AF6A11" w:rsidRPr="00825AE2">
        <w:rPr>
          <w:i/>
        </w:rPr>
        <w:t xml:space="preserve"> </w:t>
      </w:r>
      <w:r w:rsidR="00AF6A11">
        <w:t>S</w:t>
      </w:r>
      <w:r w:rsidR="00AF6A11" w:rsidRPr="00813F36">
        <w:t>ustainability of capacity</w:t>
      </w:r>
      <w:r w:rsidR="00AF6A11">
        <w:t>-</w:t>
      </w:r>
      <w:r w:rsidR="00AF6A11" w:rsidRPr="00813F36">
        <w:t>building outcomes is</w:t>
      </w:r>
      <w:r w:rsidR="00FC3FE1">
        <w:t xml:space="preserve"> seen as</w:t>
      </w:r>
      <w:r w:rsidR="00AF6A11" w:rsidRPr="00813F36">
        <w:t xml:space="preserve"> important </w:t>
      </w:r>
      <w:r w:rsidR="00AF6A11">
        <w:t>but</w:t>
      </w:r>
      <w:r w:rsidR="00AF6A11" w:rsidRPr="00813F36">
        <w:t xml:space="preserve"> </w:t>
      </w:r>
      <w:r w:rsidR="00FC3FE1">
        <w:t>does not</w:t>
      </w:r>
      <w:r w:rsidR="00AF6A11" w:rsidRPr="00813F36">
        <w:t xml:space="preserve"> appear </w:t>
      </w:r>
      <w:r w:rsidR="00FC3FE1">
        <w:t>to have been</w:t>
      </w:r>
      <w:r w:rsidR="00AF6A11">
        <w:t xml:space="preserve"> well monitored.</w:t>
      </w:r>
      <w:r w:rsidR="00AF6A11" w:rsidRPr="00813F36">
        <w:rPr>
          <w:rStyle w:val="EndnoteReference"/>
        </w:rPr>
        <w:endnoteReference w:id="63"/>
      </w:r>
      <w:r w:rsidR="00AF6A11" w:rsidRPr="00813F36">
        <w:t xml:space="preserve"> </w:t>
      </w:r>
      <w:r w:rsidR="00AF6A11">
        <w:t>The low capacity at the subnational level is a challenge to sustainability and requires long timeframes</w:t>
      </w:r>
      <w:r w:rsidR="00AF6A11" w:rsidRPr="00813F36">
        <w:t xml:space="preserve">: </w:t>
      </w:r>
      <w:r w:rsidR="00AF6A11">
        <w:t>‘</w:t>
      </w:r>
      <w:r w:rsidR="00AF6A11">
        <w:rPr>
          <w:i/>
        </w:rPr>
        <w:t>T</w:t>
      </w:r>
      <w:r w:rsidR="00AF6A11" w:rsidRPr="00825AE2">
        <w:rPr>
          <w:i/>
        </w:rPr>
        <w:t>he strategy is over</w:t>
      </w:r>
      <w:r w:rsidR="00AF6A11">
        <w:rPr>
          <w:i/>
        </w:rPr>
        <w:t>-</w:t>
      </w:r>
      <w:r w:rsidR="00AF6A11" w:rsidRPr="00825AE2">
        <w:rPr>
          <w:i/>
        </w:rPr>
        <w:t>reliant on government processes and systems that are poorly developed and in need of strengthening over the longer</w:t>
      </w:r>
      <w:r w:rsidR="00AF6A11">
        <w:rPr>
          <w:i/>
        </w:rPr>
        <w:t xml:space="preserve"> </w:t>
      </w:r>
      <w:r w:rsidR="00AF6A11" w:rsidRPr="00825AE2">
        <w:rPr>
          <w:i/>
        </w:rPr>
        <w:t>term</w:t>
      </w:r>
      <w:r w:rsidR="00AF6A11" w:rsidRPr="00813F36">
        <w:t>.</w:t>
      </w:r>
      <w:r w:rsidR="00AF6A11">
        <w:t>’</w:t>
      </w:r>
      <w:r w:rsidR="00AF6A11" w:rsidRPr="00813F36">
        <w:rPr>
          <w:rStyle w:val="EndnoteReference"/>
        </w:rPr>
        <w:endnoteReference w:id="64"/>
      </w:r>
      <w:r w:rsidR="00B74369">
        <w:t xml:space="preserve"> </w:t>
      </w:r>
      <w:r w:rsidR="00AF6A11" w:rsidRPr="00813F36">
        <w:t>T</w:t>
      </w:r>
      <w:r w:rsidR="00AF6A11">
        <w:t xml:space="preserve">he </w:t>
      </w:r>
      <w:r w:rsidR="00AF6A11" w:rsidRPr="00813F36">
        <w:t xml:space="preserve">challenges of </w:t>
      </w:r>
      <w:r w:rsidR="00AF6A11">
        <w:t xml:space="preserve">high </w:t>
      </w:r>
      <w:r w:rsidR="00AF6A11" w:rsidRPr="00813F36">
        <w:t>staff turn</w:t>
      </w:r>
      <w:r w:rsidR="00AF6A11">
        <w:t>over</w:t>
      </w:r>
      <w:r w:rsidR="00AF6A11" w:rsidRPr="00813F36">
        <w:t xml:space="preserve"> </w:t>
      </w:r>
      <w:r w:rsidR="00AF6A11">
        <w:t>exacerbate the problem</w:t>
      </w:r>
      <w:r w:rsidR="00AF6A11" w:rsidRPr="00813F36">
        <w:t xml:space="preserve">: </w:t>
      </w:r>
      <w:r w:rsidR="00AF6A11">
        <w:t>‘</w:t>
      </w:r>
      <w:r w:rsidR="00AF6A11">
        <w:rPr>
          <w:i/>
        </w:rPr>
        <w:t>T</w:t>
      </w:r>
      <w:r w:rsidR="00AF6A11" w:rsidRPr="00D45F92">
        <w:rPr>
          <w:i/>
        </w:rPr>
        <w:t xml:space="preserve">he largest threat to </w:t>
      </w:r>
      <w:r w:rsidR="00967288">
        <w:rPr>
          <w:noProof/>
        </w:rPr>
        <mc:AlternateContent>
          <mc:Choice Requires="wps">
            <w:drawing>
              <wp:anchor distT="0" distB="0" distL="114300" distR="114300" simplePos="0" relativeHeight="251784192" behindDoc="1" locked="0" layoutInCell="1" allowOverlap="1" wp14:anchorId="0FE622E7" wp14:editId="3E1FD3BF">
                <wp:simplePos x="0" y="0"/>
                <wp:positionH relativeFrom="column">
                  <wp:posOffset>3505200</wp:posOffset>
                </wp:positionH>
                <wp:positionV relativeFrom="paragraph">
                  <wp:posOffset>-38100</wp:posOffset>
                </wp:positionV>
                <wp:extent cx="2374265" cy="1047750"/>
                <wp:effectExtent l="0" t="0" r="0" b="0"/>
                <wp:wrapTight wrapText="bothSides">
                  <wp:wrapPolygon edited="0">
                    <wp:start x="0" y="0"/>
                    <wp:lineTo x="0" y="21207"/>
                    <wp:lineTo x="21361" y="21207"/>
                    <wp:lineTo x="21361"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47750"/>
                        </a:xfrm>
                        <a:prstGeom prst="rect">
                          <a:avLst/>
                        </a:prstGeom>
                        <a:solidFill>
                          <a:srgbClr val="FFFFFF"/>
                        </a:solidFill>
                        <a:ln w="9525">
                          <a:noFill/>
                          <a:miter lim="800000"/>
                          <a:headEnd/>
                          <a:tailEnd/>
                        </a:ln>
                      </wps:spPr>
                      <wps:txbx>
                        <w:txbxContent>
                          <w:p w14:paraId="21A09AD9" w14:textId="77777777" w:rsidR="00CD4AF2" w:rsidRPr="00F94F9E" w:rsidRDefault="00CD4AF2" w:rsidP="00F749A4">
                            <w:pPr>
                              <w:pStyle w:val="BoxQuote"/>
                              <w:rPr>
                                <w:color w:val="215868" w:themeColor="accent5" w:themeShade="80"/>
                                <w:sz w:val="18"/>
                              </w:rPr>
                            </w:pPr>
                            <w:r w:rsidRPr="00F94F9E">
                              <w:rPr>
                                <w:color w:val="215868" w:themeColor="accent5" w:themeShade="80"/>
                              </w:rPr>
                              <w:t>To achieve the goals requires a long term—at least five more years required</w:t>
                            </w:r>
                            <w:r w:rsidRPr="00F94F9E">
                              <w:rPr>
                                <w:color w:val="215868" w:themeColor="accent5" w:themeShade="80"/>
                                <w:sz w:val="18"/>
                              </w:rPr>
                              <w:t>.</w:t>
                            </w:r>
                          </w:p>
                          <w:p w14:paraId="29614A14" w14:textId="48D8A4BA" w:rsidR="00CD4AF2" w:rsidRPr="00F94F9E" w:rsidRDefault="00CD4AF2" w:rsidP="00F749A4">
                            <w:pPr>
                              <w:pStyle w:val="BoxQuoteSource"/>
                              <w:rPr>
                                <w:color w:val="215868" w:themeColor="accent5" w:themeShade="80"/>
                              </w:rPr>
                            </w:pPr>
                            <w:r w:rsidRPr="00F94F9E">
                              <w:rPr>
                                <w:color w:val="215868" w:themeColor="accent5" w:themeShade="80"/>
                              </w:rPr>
                              <w:t>District health, east Indonesia,         staff interview</w:t>
                            </w:r>
                          </w:p>
                          <w:p w14:paraId="181BF36A" w14:textId="77777777" w:rsidR="00CD4AF2" w:rsidRDefault="00CD4AF2" w:rsidP="00F749A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76pt;margin-top:-3pt;width:186.95pt;height:82.5pt;z-index:-251532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h+JAIAACQEAAAOAAAAZHJzL2Uyb0RvYy54bWysU21v2yAQ/j5p/wHxfbHjJU1rxam6dJkm&#10;dS9Sux+AMbbRgGNAYme/fgdO06j7No0PiOOOh7vnnlvfjlqRg3BegqnofJZTIgyHRpquoj+edu+u&#10;KfGBmYYpMKKiR+Hp7ebtm/VgS1FAD6oRjiCI8eVgK9qHYMss87wXmvkZWGHQ2YLTLKDpuqxxbEB0&#10;rbIiz6+yAVxjHXDhPd7eT066SfhtK3j41rZeBKIqirmFtLu013HPNmtWdo7ZXvJTGuwfstBMGvz0&#10;DHXPAiN7J/+C0pI78NCGGQedQdtKLlINWM08f1XNY8+sSLUgOd6eafL/D5Z/PXx3RDYVLVaUGKax&#10;R09iDOQDjKSI9AzWlxj1aDEujHiNbU6levsA/KcnBrY9M524cw6GXrAG05vHl9nF0wnHR5B6+AIN&#10;fsP2ARLQ2DoduUM2CKJjm47n1sRUOF4W71eL4mpJCUffPF+sVsvUvIyVz8+t8+GTAE3ioaIOe5/g&#10;2eHBh5gOK59D4m8elGx2UqlkuK7eKkcODHWySytV8CpMGTJU9GZZLBOygfg+SUjLgDpWUlf0Oo9r&#10;Ulak46NpUkhgUk1nzESZEz+RkomcMNZj6kQiL3JXQ3NEwhxMssUxw0MP7jclA0q2ov7XnjlBifps&#10;kPSb+WIRNZ6MxXJVoOEuPfWlhxmOUBUNlEzHbUhzEekwcIfNaWWi7SWTU8ooxcTmaWyi1i/tFPUy&#10;3Js/AAAA//8DAFBLAwQUAAYACAAAACEAbb/g9d4AAAAKAQAADwAAAGRycy9kb3ducmV2LnhtbEyP&#10;3UrEMBBG7wXfIYzg3W66ha62Nl1EKAq92tUHSJvpD20mpcl269s7XunVMMzhm/Plp81OYsXFD44U&#10;HPYRCKTGmYE6BV+f5e4ZhA+ajJ4coYJv9HAq7u9ynRl3ozOul9AJDiGfaQV9CHMmpW96tNrv3YzE&#10;t9YtVgdel06aRd843E4yjqKjtHog/tDrGd96bMbL1Sr4qJqyjSvbrmE82LE61+9l+6TU48P2+gIi&#10;4Bb+YPjVZ3Uo2Kl2VzJeTAqSJOYuQcHuyJOBNE5SEDWTSRqBLHL5v0LxAwAA//8DAFBLAQItABQA&#10;BgAIAAAAIQC2gziS/gAAAOEBAAATAAAAAAAAAAAAAAAAAAAAAABbQ29udGVudF9UeXBlc10ueG1s&#10;UEsBAi0AFAAGAAgAAAAhADj9If/WAAAAlAEAAAsAAAAAAAAAAAAAAAAALwEAAF9yZWxzLy5yZWxz&#10;UEsBAi0AFAAGAAgAAAAhAJajmH4kAgAAJAQAAA4AAAAAAAAAAAAAAAAALgIAAGRycy9lMm9Eb2Mu&#10;eG1sUEsBAi0AFAAGAAgAAAAhAG2/4PXeAAAACgEAAA8AAAAAAAAAAAAAAAAAfgQAAGRycy9kb3du&#10;cmV2LnhtbFBLBQYAAAAABAAEAPMAAACJBQAAAAA=&#10;" stroked="f">
                <v:textbox>
                  <w:txbxContent>
                    <w:p w14:paraId="21A09AD9" w14:textId="77777777" w:rsidR="00CD4AF2" w:rsidRPr="00F94F9E" w:rsidRDefault="00CD4AF2" w:rsidP="00F749A4">
                      <w:pPr>
                        <w:pStyle w:val="BoxQuote"/>
                        <w:rPr>
                          <w:color w:val="215868" w:themeColor="accent5" w:themeShade="80"/>
                          <w:sz w:val="18"/>
                        </w:rPr>
                      </w:pPr>
                      <w:r w:rsidRPr="00F94F9E">
                        <w:rPr>
                          <w:color w:val="215868" w:themeColor="accent5" w:themeShade="80"/>
                        </w:rPr>
                        <w:t>To achieve the goals requires a long term—at least five more years required</w:t>
                      </w:r>
                      <w:r w:rsidRPr="00F94F9E">
                        <w:rPr>
                          <w:color w:val="215868" w:themeColor="accent5" w:themeShade="80"/>
                          <w:sz w:val="18"/>
                        </w:rPr>
                        <w:t>.</w:t>
                      </w:r>
                    </w:p>
                    <w:p w14:paraId="29614A14" w14:textId="48D8A4BA" w:rsidR="00CD4AF2" w:rsidRPr="00F94F9E" w:rsidRDefault="00CD4AF2" w:rsidP="00F749A4">
                      <w:pPr>
                        <w:pStyle w:val="BoxQuoteSource"/>
                        <w:rPr>
                          <w:color w:val="215868" w:themeColor="accent5" w:themeShade="80"/>
                        </w:rPr>
                      </w:pPr>
                      <w:r w:rsidRPr="00F94F9E">
                        <w:rPr>
                          <w:color w:val="215868" w:themeColor="accent5" w:themeShade="80"/>
                        </w:rPr>
                        <w:t>District health, east Indonesia,         staff interview</w:t>
                      </w:r>
                    </w:p>
                    <w:p w14:paraId="181BF36A" w14:textId="77777777" w:rsidR="00CD4AF2" w:rsidRDefault="00CD4AF2" w:rsidP="00F749A4"/>
                  </w:txbxContent>
                </v:textbox>
                <w10:wrap type="tight"/>
              </v:shape>
            </w:pict>
          </mc:Fallback>
        </mc:AlternateContent>
      </w:r>
      <w:r w:rsidR="00AF6A11" w:rsidRPr="00D45F92">
        <w:rPr>
          <w:i/>
        </w:rPr>
        <w:t xml:space="preserve">sustainability is staff turnover of health workers at </w:t>
      </w:r>
      <w:r w:rsidR="00AF6A11">
        <w:rPr>
          <w:i/>
        </w:rPr>
        <w:t>[the health centre]</w:t>
      </w:r>
      <w:r w:rsidR="00AF6A11" w:rsidRPr="00D45F92">
        <w:rPr>
          <w:i/>
        </w:rPr>
        <w:t xml:space="preserve"> and hospital level.</w:t>
      </w:r>
      <w:r w:rsidR="00AF6A11">
        <w:rPr>
          <w:i/>
        </w:rPr>
        <w:t>’</w:t>
      </w:r>
      <w:r w:rsidR="00AF6A11" w:rsidRPr="00D45F92">
        <w:rPr>
          <w:rStyle w:val="EndnoteReference"/>
          <w:i/>
        </w:rPr>
        <w:endnoteReference w:id="65"/>
      </w:r>
      <w:r w:rsidR="00AF6A11" w:rsidRPr="00813F36">
        <w:t xml:space="preserve"> A local government representative </w:t>
      </w:r>
      <w:r w:rsidR="00AF6A11">
        <w:t xml:space="preserve">interviewee </w:t>
      </w:r>
      <w:r w:rsidR="00AF6A11" w:rsidRPr="00813F36">
        <w:t xml:space="preserve">also noted that </w:t>
      </w:r>
      <w:r w:rsidR="00AF6A11">
        <w:rPr>
          <w:i/>
        </w:rPr>
        <w:t>‘w</w:t>
      </w:r>
      <w:r w:rsidR="00AF6A11" w:rsidRPr="00813F36">
        <w:rPr>
          <w:i/>
        </w:rPr>
        <w:t>e are worried about what will happen if AIPMNH ends in June.</w:t>
      </w:r>
      <w:r w:rsidR="00AF6A11">
        <w:rPr>
          <w:i/>
        </w:rPr>
        <w:t>’</w:t>
      </w:r>
      <w:r w:rsidR="00AF6A11" w:rsidRPr="00813F36">
        <w:rPr>
          <w:i/>
        </w:rPr>
        <w:t xml:space="preserve"> </w:t>
      </w:r>
      <w:r w:rsidR="00AF6A11" w:rsidRPr="00813F36">
        <w:t xml:space="preserve">One final concern </w:t>
      </w:r>
      <w:r w:rsidR="00FC3FE1">
        <w:t>on</w:t>
      </w:r>
      <w:r w:rsidR="00AF6A11" w:rsidRPr="00813F36">
        <w:t xml:space="preserve"> sustainability relates to a lack of e</w:t>
      </w:r>
      <w:r w:rsidR="00AF6A11">
        <w:t>ngagement at the provincial level</w:t>
      </w:r>
      <w:r w:rsidR="00AF6A11" w:rsidRPr="00813F36">
        <w:t xml:space="preserve">. A program staff </w:t>
      </w:r>
      <w:r w:rsidR="00AF6A11">
        <w:t xml:space="preserve">member </w:t>
      </w:r>
      <w:r w:rsidR="00AF6A11" w:rsidRPr="00813F36">
        <w:t xml:space="preserve">noted that </w:t>
      </w:r>
      <w:r w:rsidR="00AF6A11">
        <w:rPr>
          <w:i/>
        </w:rPr>
        <w:t xml:space="preserve">‘[we] </w:t>
      </w:r>
      <w:r w:rsidR="00AF6A11" w:rsidRPr="00813F36">
        <w:rPr>
          <w:i/>
        </w:rPr>
        <w:t xml:space="preserve">need to be realistic about what </w:t>
      </w:r>
      <w:r w:rsidR="00AF6A11">
        <w:rPr>
          <w:i/>
        </w:rPr>
        <w:t xml:space="preserve">the </w:t>
      </w:r>
      <w:r w:rsidR="00AF6A11" w:rsidRPr="00813F36">
        <w:rPr>
          <w:i/>
        </w:rPr>
        <w:t>province is actually going to do. We have become a de</w:t>
      </w:r>
      <w:r w:rsidR="00AF6A11">
        <w:rPr>
          <w:i/>
        </w:rPr>
        <w:t xml:space="preserve"> </w:t>
      </w:r>
      <w:r w:rsidR="00AF6A11" w:rsidRPr="00813F36">
        <w:rPr>
          <w:i/>
        </w:rPr>
        <w:t xml:space="preserve">facto health office in NTT </w:t>
      </w:r>
      <w:r w:rsidR="00A47E5C" w:rsidRPr="001204DD">
        <w:t>[Nusa Teng</w:t>
      </w:r>
      <w:r w:rsidR="0087016B" w:rsidRPr="001204DD">
        <w:t>ga</w:t>
      </w:r>
      <w:r w:rsidR="00A47E5C" w:rsidRPr="001204DD">
        <w:t>ra Timur province]</w:t>
      </w:r>
      <w:r w:rsidR="00A47E5C">
        <w:t xml:space="preserve"> </w:t>
      </w:r>
      <w:r w:rsidR="00AF6A11" w:rsidRPr="00813F36">
        <w:rPr>
          <w:i/>
        </w:rPr>
        <w:t>which wasn’t our intention but districts want our help.</w:t>
      </w:r>
      <w:r w:rsidR="00AF6A11">
        <w:rPr>
          <w:i/>
        </w:rPr>
        <w:t>’</w:t>
      </w:r>
      <w:r w:rsidR="00AF6A11" w:rsidRPr="00813F36">
        <w:t xml:space="preserve"> A recent report </w:t>
      </w:r>
      <w:r w:rsidR="00FC3FE1">
        <w:t xml:space="preserve">also </w:t>
      </w:r>
      <w:r w:rsidR="00AF6A11" w:rsidRPr="00813F36">
        <w:t xml:space="preserve">reflects on this: </w:t>
      </w:r>
      <w:r w:rsidR="00AF6A11">
        <w:t>‘</w:t>
      </w:r>
      <w:r w:rsidR="00AF6A11" w:rsidRPr="00D45F92">
        <w:rPr>
          <w:i/>
        </w:rPr>
        <w:t>The program design did not budget for</w:t>
      </w:r>
      <w:r w:rsidR="00AF6A11">
        <w:rPr>
          <w:i/>
        </w:rPr>
        <w:t xml:space="preserve"> capacity building of the provincial health office</w:t>
      </w:r>
      <w:r w:rsidR="00AF6A11" w:rsidRPr="00D45F92">
        <w:rPr>
          <w:i/>
        </w:rPr>
        <w:t xml:space="preserve"> in any meaningful or strategic way, so any gains on this front have been haphazard at best, which impacts on sustainability</w:t>
      </w:r>
      <w:r w:rsidR="00D2236B">
        <w:t>.’</w:t>
      </w:r>
      <w:r w:rsidR="00AF6A11" w:rsidRPr="00813F36">
        <w:rPr>
          <w:rStyle w:val="EndnoteReference"/>
        </w:rPr>
        <w:endnoteReference w:id="66"/>
      </w:r>
    </w:p>
    <w:p w14:paraId="16972B86" w14:textId="77777777" w:rsidR="00AF6A11" w:rsidRPr="00813F36" w:rsidRDefault="00FC3FE1" w:rsidP="00197A18">
      <w:pPr>
        <w:pStyle w:val="Heading3"/>
      </w:pPr>
      <w:bookmarkStart w:id="78" w:name="_Toc371086159"/>
      <w:bookmarkStart w:id="79" w:name="_Toc372300920"/>
      <w:bookmarkStart w:id="80" w:name="_Toc382563859"/>
      <w:bookmarkStart w:id="81" w:name="_Toc382595813"/>
      <w:r>
        <w:t>E</w:t>
      </w:r>
      <w:r w:rsidR="00AF6A11" w:rsidRPr="00813F36">
        <w:t>quity and gender</w:t>
      </w:r>
      <w:bookmarkEnd w:id="78"/>
      <w:bookmarkEnd w:id="79"/>
      <w:bookmarkEnd w:id="80"/>
      <w:bookmarkEnd w:id="81"/>
      <w:r w:rsidR="00AF6A11" w:rsidRPr="00813F36">
        <w:t xml:space="preserve"> </w:t>
      </w:r>
    </w:p>
    <w:p w14:paraId="406D6103" w14:textId="19545525" w:rsidR="00AF6A11" w:rsidRPr="00813F36" w:rsidRDefault="00AF6A11" w:rsidP="005A520B">
      <w:r w:rsidRPr="00813F36">
        <w:t>The subnational location was chosen on the basis of equity concerns</w:t>
      </w:r>
      <w:r>
        <w:t>:</w:t>
      </w:r>
      <w:r w:rsidRPr="00813F36">
        <w:t xml:space="preserve"> </w:t>
      </w:r>
      <w:r>
        <w:t>‘</w:t>
      </w:r>
      <w:r w:rsidRPr="003E23F3">
        <w:rPr>
          <w:i/>
        </w:rPr>
        <w:t xml:space="preserve">Using assessment criteria including distribution of wealth quintiles, total fertility rate, human development index, infant mortality rate, contraceptive prevalence and prevalence for stunting, NTT continues to rank among the </w:t>
      </w:r>
      <w:r>
        <w:rPr>
          <w:i/>
        </w:rPr>
        <w:t>10</w:t>
      </w:r>
      <w:r w:rsidRPr="003E23F3">
        <w:rPr>
          <w:i/>
        </w:rPr>
        <w:t xml:space="preserve"> worst provinces</w:t>
      </w:r>
      <w:r w:rsidR="00D2236B">
        <w:rPr>
          <w:i/>
        </w:rPr>
        <w:t>.’</w:t>
      </w:r>
      <w:r w:rsidRPr="00813F36">
        <w:rPr>
          <w:rStyle w:val="EndnoteReference"/>
        </w:rPr>
        <w:endnoteReference w:id="67"/>
      </w:r>
      <w:r w:rsidRPr="00813F36">
        <w:t xml:space="preserve"> </w:t>
      </w:r>
      <w:r>
        <w:t>Staff reported that AIPMNH also meets the needs of marginalised groups such as unmarried women and the very poor, and some health centres have ramps for people with a disability</w:t>
      </w:r>
      <w:r w:rsidRPr="00813F36">
        <w:t xml:space="preserve">. </w:t>
      </w:r>
    </w:p>
    <w:p w14:paraId="3F2F85CF" w14:textId="3B0CDD3A" w:rsidR="00AF6A11" w:rsidRPr="00813F36" w:rsidRDefault="00AF6A11" w:rsidP="005A520B">
      <w:r>
        <w:t>AIP</w:t>
      </w:r>
      <w:r w:rsidRPr="00813F36">
        <w:t xml:space="preserve">MNH </w:t>
      </w:r>
      <w:r>
        <w:t>has</w:t>
      </w:r>
      <w:r w:rsidRPr="00813F36">
        <w:t xml:space="preserve"> resulted in significant outcomes concerning women’s maternal mortality: </w:t>
      </w:r>
      <w:r>
        <w:t>‘</w:t>
      </w:r>
      <w:r w:rsidRPr="00FA1DB3">
        <w:rPr>
          <w:i/>
        </w:rPr>
        <w:t>When you look at the AIPMNH program overall in 14 districts, the decrease has been 38</w:t>
      </w:r>
      <w:r>
        <w:rPr>
          <w:i/>
        </w:rPr>
        <w:t> per cent</w:t>
      </w:r>
      <w:r w:rsidRPr="00813F36">
        <w:t>.</w:t>
      </w:r>
      <w:r>
        <w:t>’</w:t>
      </w:r>
      <w:r w:rsidRPr="00813F36">
        <w:rPr>
          <w:rStyle w:val="EndnoteReference"/>
        </w:rPr>
        <w:endnoteReference w:id="68"/>
      </w:r>
      <w:r w:rsidRPr="00813F36">
        <w:t xml:space="preserve"> However</w:t>
      </w:r>
      <w:r>
        <w:t>,</w:t>
      </w:r>
      <w:r w:rsidRPr="00813F36">
        <w:t xml:space="preserve"> whil</w:t>
      </w:r>
      <w:r>
        <w:t>e</w:t>
      </w:r>
      <w:r w:rsidRPr="00813F36">
        <w:t xml:space="preserve"> the program is focused on women’s health</w:t>
      </w:r>
      <w:r>
        <w:t>—</w:t>
      </w:r>
      <w:r w:rsidRPr="00813F36">
        <w:t>particularly pregnant women</w:t>
      </w:r>
      <w:r>
        <w:t>—</w:t>
      </w:r>
      <w:r w:rsidRPr="00813F36">
        <w:t>consideration of broader gender concerns has been limited, and gender outcomes have not be</w:t>
      </w:r>
      <w:r>
        <w:t>en</w:t>
      </w:r>
      <w:r w:rsidRPr="00813F36">
        <w:t xml:space="preserve"> monitored.</w:t>
      </w:r>
      <w:r w:rsidRPr="00813F36">
        <w:rPr>
          <w:rStyle w:val="EndnoteReference"/>
        </w:rPr>
        <w:endnoteReference w:id="69"/>
      </w:r>
      <w:r>
        <w:t xml:space="preserve"> A recent</w:t>
      </w:r>
      <w:r w:rsidRPr="00813F36">
        <w:t xml:space="preserve"> review noted that current approaches (which align with current male-dominated culture) potentially take away women’s agency and that </w:t>
      </w:r>
      <w:r>
        <w:t>‘</w:t>
      </w:r>
      <w:r w:rsidRPr="00FA1DB3">
        <w:rPr>
          <w:i/>
        </w:rPr>
        <w:t>there are pressing gender issues that affect maternal health, notably a woman’s right to act in her own best interest and to be able to decide independently to seek care</w:t>
      </w:r>
      <w:r w:rsidR="00D2236B">
        <w:rPr>
          <w:i/>
        </w:rPr>
        <w:t>.’</w:t>
      </w:r>
      <w:r w:rsidRPr="00813F36">
        <w:rPr>
          <w:rStyle w:val="EndnoteReference"/>
        </w:rPr>
        <w:endnoteReference w:id="70"/>
      </w:r>
    </w:p>
    <w:p w14:paraId="1D2D2840" w14:textId="6456DC97" w:rsidR="00AF6A11" w:rsidRDefault="00AF6A11" w:rsidP="005A520B">
      <w:r>
        <w:t>Our f</w:t>
      </w:r>
      <w:r w:rsidRPr="00813F36">
        <w:t xml:space="preserve">ieldwork also revealed a lack of attention to women’s reproductive rights, </w:t>
      </w:r>
      <w:r>
        <w:t>in line with a recent</w:t>
      </w:r>
      <w:r w:rsidRPr="00813F36">
        <w:t xml:space="preserve"> report:</w:t>
      </w:r>
      <w:r>
        <w:t xml:space="preserve"> </w:t>
      </w:r>
      <w:r w:rsidRPr="003E23F3">
        <w:rPr>
          <w:i/>
        </w:rPr>
        <w:t>‘</w:t>
      </w:r>
      <w:r>
        <w:rPr>
          <w:i/>
        </w:rPr>
        <w:t>M</w:t>
      </w:r>
      <w:r w:rsidRPr="003E23F3">
        <w:rPr>
          <w:i/>
        </w:rPr>
        <w:t>ost women living in rural NTT villages are severely constrained in making and implementing informed decisions regarding their reproductive health</w:t>
      </w:r>
      <w:r w:rsidR="00D2236B">
        <w:rPr>
          <w:i/>
        </w:rPr>
        <w:t>.’</w:t>
      </w:r>
      <w:r w:rsidRPr="00813F36">
        <w:rPr>
          <w:rStyle w:val="EndnoteReference"/>
        </w:rPr>
        <w:endnoteReference w:id="71"/>
      </w:r>
      <w:r w:rsidRPr="00813F36">
        <w:t xml:space="preserve"> </w:t>
      </w:r>
      <w:r w:rsidR="00247755">
        <w:t>A</w:t>
      </w:r>
      <w:r>
        <w:t xml:space="preserve"> </w:t>
      </w:r>
      <w:r w:rsidRPr="00813F36">
        <w:t>commitment to include this</w:t>
      </w:r>
      <w:r>
        <w:t>,</w:t>
      </w:r>
      <w:r w:rsidRPr="00813F36">
        <w:t xml:space="preserve"> and other gender issues such as maternal and neonatal health and nutrition</w:t>
      </w:r>
      <w:r>
        <w:t>,</w:t>
      </w:r>
      <w:r w:rsidRPr="00813F36">
        <w:t xml:space="preserve"> in future phases</w:t>
      </w:r>
      <w:r>
        <w:t xml:space="preserve"> of the initiative</w:t>
      </w:r>
      <w:r w:rsidR="00247755">
        <w:t xml:space="preserve"> has been made</w:t>
      </w:r>
      <w:r w:rsidRPr="00813F36">
        <w:t>.</w:t>
      </w:r>
      <w:r w:rsidRPr="00813F36">
        <w:rPr>
          <w:rStyle w:val="EndnoteReference"/>
        </w:rPr>
        <w:endnoteReference w:id="72"/>
      </w:r>
      <w:r w:rsidRPr="00813F36">
        <w:t xml:space="preserve"> </w:t>
      </w:r>
    </w:p>
    <w:p w14:paraId="686DCEC1" w14:textId="77777777" w:rsidR="00AF6A11" w:rsidRPr="00813F36" w:rsidRDefault="00AF6A11" w:rsidP="00197A18">
      <w:pPr>
        <w:pStyle w:val="Heading3"/>
      </w:pPr>
      <w:bookmarkStart w:id="82" w:name="_Toc371086160"/>
      <w:bookmarkStart w:id="83" w:name="_Toc372300921"/>
      <w:bookmarkStart w:id="84" w:name="_Toc382563860"/>
      <w:bookmarkStart w:id="85" w:name="_Toc382595814"/>
      <w:r w:rsidRPr="00813F36">
        <w:t>Complement</w:t>
      </w:r>
      <w:r w:rsidR="00DD3BCC">
        <w:t xml:space="preserve">ing </w:t>
      </w:r>
      <w:r w:rsidRPr="00813F36">
        <w:t>other initiatives</w:t>
      </w:r>
      <w:bookmarkEnd w:id="82"/>
      <w:bookmarkEnd w:id="83"/>
      <w:bookmarkEnd w:id="84"/>
      <w:bookmarkEnd w:id="85"/>
    </w:p>
    <w:p w14:paraId="57A1A218" w14:textId="4A15B1B2" w:rsidR="00AF6A11" w:rsidRPr="00B9161A" w:rsidRDefault="00AF6A11" w:rsidP="003E23F3">
      <w:pPr>
        <w:ind w:right="-150"/>
      </w:pPr>
      <w:r>
        <w:t>C</w:t>
      </w:r>
      <w:r w:rsidRPr="00813F36">
        <w:t xml:space="preserve">oordination </w:t>
      </w:r>
      <w:r>
        <w:t>w</w:t>
      </w:r>
      <w:r w:rsidRPr="00813F36">
        <w:t xml:space="preserve">as envisaged between </w:t>
      </w:r>
      <w:r w:rsidR="00B77C31">
        <w:t>e</w:t>
      </w:r>
      <w:r>
        <w:t>ast Indonesian</w:t>
      </w:r>
      <w:r w:rsidRPr="004C77E8">
        <w:t xml:space="preserve"> </w:t>
      </w:r>
      <w:r w:rsidRPr="00813F36">
        <w:t>program</w:t>
      </w:r>
      <w:r>
        <w:t xml:space="preserve">s, however, this has not succeeded in practice. </w:t>
      </w:r>
      <w:r w:rsidR="00B77C31">
        <w:t>The evaluation</w:t>
      </w:r>
      <w:r w:rsidR="00B77C31" w:rsidRPr="00813F36">
        <w:t xml:space="preserve"> </w:t>
      </w:r>
      <w:r w:rsidRPr="00813F36">
        <w:t xml:space="preserve">found informal relationships between </w:t>
      </w:r>
      <w:r>
        <w:t>AIP</w:t>
      </w:r>
      <w:r w:rsidRPr="00813F36">
        <w:t xml:space="preserve">MNH and other programs </w:t>
      </w:r>
      <w:r w:rsidR="00B77C31">
        <w:t>rather than</w:t>
      </w:r>
      <w:r w:rsidRPr="00813F36">
        <w:t xml:space="preserve"> strategic</w:t>
      </w:r>
      <w:r w:rsidR="00B77C31">
        <w:t xml:space="preserve"> and</w:t>
      </w:r>
      <w:r w:rsidRPr="00813F36">
        <w:t xml:space="preserve"> intentional</w:t>
      </w:r>
      <w:r w:rsidR="00B77C31">
        <w:t xml:space="preserve"> arrangements</w:t>
      </w:r>
      <w:r>
        <w:t>. A review noted that</w:t>
      </w:r>
      <w:r w:rsidRPr="00813F36">
        <w:t xml:space="preserve"> </w:t>
      </w:r>
      <w:r>
        <w:t>‘</w:t>
      </w:r>
      <w:r w:rsidRPr="003E23F3">
        <w:rPr>
          <w:i/>
        </w:rPr>
        <w:t>it would be beneficial for an ongoing process that promotes identification of the strategic inter-sectoral opportunities between the programs in a more structured way</w:t>
      </w:r>
      <w:r w:rsidRPr="00813F36">
        <w:t>.</w:t>
      </w:r>
      <w:r>
        <w:t>’</w:t>
      </w:r>
      <w:r w:rsidRPr="00813F36">
        <w:rPr>
          <w:rStyle w:val="EndnoteReference"/>
        </w:rPr>
        <w:endnoteReference w:id="73"/>
      </w:r>
      <w:r>
        <w:t xml:space="preserve"> Aid program</w:t>
      </w:r>
      <w:r w:rsidRPr="00813F36">
        <w:t xml:space="preserve"> health staff in Jakarta noted </w:t>
      </w:r>
      <w:r>
        <w:t xml:space="preserve">a </w:t>
      </w:r>
      <w:r w:rsidRPr="00813F36">
        <w:t xml:space="preserve">lack of coordination and sharing of lessons: </w:t>
      </w:r>
      <w:r>
        <w:t>‘[</w:t>
      </w:r>
      <w:r>
        <w:rPr>
          <w:i/>
        </w:rPr>
        <w:t>W</w:t>
      </w:r>
      <w:r w:rsidRPr="003E23F3">
        <w:rPr>
          <w:i/>
        </w:rPr>
        <w:t>e] haven’t reflected on common threads present in our programs, reports, personnel</w:t>
      </w:r>
      <w:r>
        <w:rPr>
          <w:i/>
        </w:rPr>
        <w:t xml:space="preserve">, </w:t>
      </w:r>
      <w:r w:rsidRPr="003E23F3">
        <w:rPr>
          <w:i/>
        </w:rPr>
        <w:t>because we are operating in silos</w:t>
      </w:r>
      <w:r>
        <w:t>’ and ‘</w:t>
      </w:r>
      <w:r w:rsidRPr="003E23F3">
        <w:rPr>
          <w:i/>
        </w:rPr>
        <w:t>More joining the better</w:t>
      </w:r>
      <w:r>
        <w:rPr>
          <w:i/>
        </w:rPr>
        <w:t>.</w:t>
      </w:r>
      <w:r w:rsidRPr="003E23F3">
        <w:rPr>
          <w:i/>
        </w:rPr>
        <w:t xml:space="preserve"> [We are] currently doing this randomly</w:t>
      </w:r>
      <w:r w:rsidR="00D2236B">
        <w:rPr>
          <w:i/>
        </w:rPr>
        <w:t>.’</w:t>
      </w:r>
      <w:r w:rsidRPr="00813F36">
        <w:t xml:space="preserve"> </w:t>
      </w:r>
    </w:p>
    <w:p w14:paraId="6ED466B5" w14:textId="77777777" w:rsidR="00AF6A11" w:rsidRPr="00813F36" w:rsidRDefault="00AF6A11" w:rsidP="005A520B">
      <w:r w:rsidRPr="001B3C67">
        <w:t xml:space="preserve">During this evaluation, complications in the relationship between AIPMNH and </w:t>
      </w:r>
      <w:r>
        <w:t xml:space="preserve">the </w:t>
      </w:r>
      <w:r w:rsidRPr="003E23F3">
        <w:t>Australia</w:t>
      </w:r>
      <w:r>
        <w:t>–</w:t>
      </w:r>
      <w:r w:rsidRPr="003E23F3">
        <w:t>Indonesia Partnership for Decentralisation</w:t>
      </w:r>
      <w:r>
        <w:rPr>
          <w:i/>
        </w:rPr>
        <w:t xml:space="preserve"> </w:t>
      </w:r>
      <w:r>
        <w:t xml:space="preserve">(AIPD) </w:t>
      </w:r>
      <w:r w:rsidRPr="001B3C67">
        <w:t>were noted. A progress review of AIPMNH recommended that AIPD undertake governance activities</w:t>
      </w:r>
      <w:r>
        <w:t>,</w:t>
      </w:r>
      <w:r w:rsidRPr="001B3C67">
        <w:t xml:space="preserve"> which AIPMNH had started. The review argued that the public financial management issues AIPMNH was attempting to address </w:t>
      </w:r>
      <w:r w:rsidRPr="00BC7EBD">
        <w:t>‘</w:t>
      </w:r>
      <w:r w:rsidRPr="003E23F3">
        <w:rPr>
          <w:i/>
        </w:rPr>
        <w:t>cannot be [solved] without widespread public financial management reform’</w:t>
      </w:r>
      <w:r w:rsidRPr="001B3C67">
        <w:t xml:space="preserve"> and should not be the focus of a sector program such as AIPMNH.</w:t>
      </w:r>
      <w:r>
        <w:t xml:space="preserve"> However, program staff reported that AIPD did not have a mandate to work on various areas that were arising as concerns (e.g.</w:t>
      </w:r>
      <w:r w:rsidR="00A47E5C">
        <w:t> </w:t>
      </w:r>
      <w:r>
        <w:t>procurement) for AIPMNH.</w:t>
      </w:r>
    </w:p>
    <w:p w14:paraId="65750E7C" w14:textId="77777777" w:rsidR="00AF6A11" w:rsidRPr="00813F36" w:rsidRDefault="00621EBF" w:rsidP="00DE3CD6">
      <w:pPr>
        <w:pStyle w:val="Heading2"/>
        <w:numPr>
          <w:ilvl w:val="1"/>
          <w:numId w:val="32"/>
        </w:numPr>
        <w:spacing w:before="360" w:after="240" w:line="288" w:lineRule="auto"/>
      </w:pPr>
      <w:bookmarkStart w:id="86" w:name="_Toc371086161"/>
      <w:bookmarkStart w:id="87" w:name="_Ref371622175"/>
      <w:bookmarkStart w:id="88" w:name="_Ref371622451"/>
      <w:bookmarkStart w:id="89" w:name="_Toc382563861"/>
      <w:bookmarkStart w:id="90" w:name="_Toc382595815"/>
      <w:bookmarkStart w:id="91" w:name="_Toc408831777"/>
      <w:r>
        <w:t>Support to p</w:t>
      </w:r>
      <w:r w:rsidRPr="00813F36">
        <w:t xml:space="preserve">rovincial </w:t>
      </w:r>
      <w:r>
        <w:t>health authorities in</w:t>
      </w:r>
      <w:r w:rsidRPr="00813F36">
        <w:t xml:space="preserve"> PNG</w:t>
      </w:r>
      <w:bookmarkEnd w:id="86"/>
      <w:bookmarkEnd w:id="87"/>
      <w:bookmarkEnd w:id="88"/>
      <w:bookmarkEnd w:id="89"/>
      <w:bookmarkEnd w:id="90"/>
      <w:bookmarkEnd w:id="91"/>
    </w:p>
    <w:p w14:paraId="56B99811" w14:textId="77777777" w:rsidR="00AF6A11" w:rsidRPr="00F94F9E" w:rsidRDefault="00AF6A11" w:rsidP="005A520B">
      <w:pPr>
        <w:pStyle w:val="BoxQuote"/>
        <w:rPr>
          <w:color w:val="215868" w:themeColor="accent5" w:themeShade="80"/>
        </w:rPr>
      </w:pPr>
      <w:r w:rsidRPr="00F94F9E">
        <w:rPr>
          <w:color w:val="215868" w:themeColor="accent5" w:themeShade="80"/>
        </w:rPr>
        <w:t>We have a better chance of ownership if we get to decide what we do.</w:t>
      </w:r>
    </w:p>
    <w:p w14:paraId="290BA908" w14:textId="77777777" w:rsidR="00AF6A11" w:rsidRPr="00F94F9E" w:rsidRDefault="00AF6A11" w:rsidP="003E23F3">
      <w:pPr>
        <w:pStyle w:val="BoxQuoteSource"/>
        <w:rPr>
          <w:color w:val="215868" w:themeColor="accent5" w:themeShade="80"/>
        </w:rPr>
      </w:pPr>
      <w:r w:rsidRPr="00F94F9E">
        <w:rPr>
          <w:color w:val="215868" w:themeColor="accent5" w:themeShade="80"/>
        </w:rPr>
        <w:t>Provincial Health Authority</w:t>
      </w:r>
      <w:r w:rsidR="009D6F65" w:rsidRPr="00F94F9E">
        <w:rPr>
          <w:color w:val="215868" w:themeColor="accent5" w:themeShade="80"/>
        </w:rPr>
        <w:t>,</w:t>
      </w:r>
      <w:r w:rsidRPr="00F94F9E">
        <w:rPr>
          <w:color w:val="215868" w:themeColor="accent5" w:themeShade="80"/>
        </w:rPr>
        <w:t>PNG</w:t>
      </w:r>
      <w:r w:rsidR="009D6F65" w:rsidRPr="00F94F9E">
        <w:rPr>
          <w:color w:val="215868" w:themeColor="accent5" w:themeShade="80"/>
        </w:rPr>
        <w:t>,</w:t>
      </w:r>
      <w:r w:rsidR="00B77C31" w:rsidRPr="00F94F9E">
        <w:rPr>
          <w:color w:val="215868" w:themeColor="accent5" w:themeShade="80"/>
        </w:rPr>
        <w:t xml:space="preserve"> interview</w:t>
      </w:r>
      <w:r w:rsidRPr="00F94F9E">
        <w:rPr>
          <w:color w:val="215868" w:themeColor="accent5" w:themeShade="80"/>
        </w:rPr>
        <w:t>.</w:t>
      </w:r>
    </w:p>
    <w:p w14:paraId="3F605E1D" w14:textId="77777777" w:rsidR="00AF6A11" w:rsidRPr="007B1538" w:rsidRDefault="00AF6A11" w:rsidP="00197A18">
      <w:pPr>
        <w:pStyle w:val="Heading3"/>
      </w:pPr>
      <w:bookmarkStart w:id="92" w:name="_Toc371086162"/>
      <w:bookmarkStart w:id="93" w:name="_Toc372300923"/>
      <w:bookmarkStart w:id="94" w:name="_Toc382563862"/>
      <w:bookmarkStart w:id="95" w:name="_Toc382595816"/>
      <w:r w:rsidRPr="0063069E">
        <w:t>Background on decentralisation in the PNG health sector</w:t>
      </w:r>
      <w:bookmarkEnd w:id="92"/>
      <w:bookmarkEnd w:id="93"/>
      <w:bookmarkEnd w:id="94"/>
      <w:bookmarkEnd w:id="95"/>
    </w:p>
    <w:p w14:paraId="6F075FF0" w14:textId="1345D6DA" w:rsidR="00AF6A11" w:rsidRDefault="00AF6A11" w:rsidP="005A520B">
      <w:r>
        <w:t>Health services in PNG are delivered by government and church institutions</w:t>
      </w:r>
      <w:r w:rsidRPr="00AB17E4">
        <w:rPr>
          <w:rStyle w:val="EndnoteReference"/>
        </w:rPr>
        <w:endnoteReference w:id="74"/>
      </w:r>
      <w:r>
        <w:t xml:space="preserve"> with responsibilities shared across national, provincial and local levels.</w:t>
      </w:r>
      <w:r w:rsidR="00610727">
        <w:rPr>
          <w:rStyle w:val="FootnoteReference"/>
        </w:rPr>
        <w:footnoteReference w:id="8"/>
      </w:r>
      <w:r>
        <w:t xml:space="preserve"> Significant responsibility for health delivery lies at the provincial level. </w:t>
      </w:r>
      <w:r w:rsidRPr="00AB17E4">
        <w:t xml:space="preserve">Provinces </w:t>
      </w:r>
      <w:r>
        <w:t>manage the primary health care system including hospitals and some 3300 rural health centres.</w:t>
      </w:r>
      <w:r w:rsidRPr="00AB17E4">
        <w:rPr>
          <w:rStyle w:val="EndnoteReference"/>
        </w:rPr>
        <w:endnoteReference w:id="75"/>
      </w:r>
      <w:r>
        <w:t xml:space="preserve"> The </w:t>
      </w:r>
      <w:r w:rsidR="002C0C9F">
        <w:t>n</w:t>
      </w:r>
      <w:r w:rsidR="002C0C9F" w:rsidRPr="00AB17E4">
        <w:t xml:space="preserve">ational </w:t>
      </w:r>
      <w:r w:rsidRPr="00AB17E4">
        <w:t>Department of Health</w:t>
      </w:r>
      <w:r w:rsidRPr="00AA5860">
        <w:t xml:space="preserve"> </w:t>
      </w:r>
      <w:r>
        <w:t>funds</w:t>
      </w:r>
      <w:r w:rsidRPr="00AB17E4">
        <w:t xml:space="preserve"> nat</w:t>
      </w:r>
      <w:r>
        <w:t>ional and provincial hospitals, is responsible for drug procurement and distribution</w:t>
      </w:r>
      <w:r w:rsidRPr="00AB17E4">
        <w:t>, set</w:t>
      </w:r>
      <w:r>
        <w:t>s</w:t>
      </w:r>
      <w:r w:rsidRPr="00AB17E4">
        <w:t xml:space="preserve"> and maintain</w:t>
      </w:r>
      <w:r>
        <w:t>s</w:t>
      </w:r>
      <w:r w:rsidRPr="00AB17E4">
        <w:t xml:space="preserve"> minimum medical standards</w:t>
      </w:r>
      <w:r w:rsidRPr="00AB17E4">
        <w:rPr>
          <w:rStyle w:val="EndnoteReference"/>
        </w:rPr>
        <w:endnoteReference w:id="76"/>
      </w:r>
      <w:r>
        <w:t xml:space="preserve"> and looks after tertiary training and salary systems.</w:t>
      </w:r>
      <w:r w:rsidRPr="00D70965">
        <w:t xml:space="preserve"> </w:t>
      </w:r>
      <w:r>
        <w:t xml:space="preserve">The responsibility for providing new rural health infrastructure is unclear, though increasingly this is seen as the domain of members of parliament </w:t>
      </w:r>
      <w:r w:rsidR="00B74369">
        <w:t xml:space="preserve">using </w:t>
      </w:r>
      <w:r>
        <w:t>their constituency funds. PNG’s local-level governments have minimal formal responsibilities for health.</w:t>
      </w:r>
    </w:p>
    <w:p w14:paraId="08F87F7D" w14:textId="77777777" w:rsidR="00A47E5C" w:rsidRDefault="00AF6A11" w:rsidP="00C615DC">
      <w:pPr>
        <w:pStyle w:val="NormalBeforeBullet"/>
      </w:pPr>
      <w:r>
        <w:t>Service delivery is undermined by poor-quality intergovernmental coordination, short-term and politicised leadership, and pervasive corruption in public administration.</w:t>
      </w:r>
      <w:r>
        <w:rPr>
          <w:rStyle w:val="EndnoteReference"/>
        </w:rPr>
        <w:endnoteReference w:id="77"/>
      </w:r>
      <w:r>
        <w:t xml:space="preserve"> Several interviewees highlighted these challenges, noting: </w:t>
      </w:r>
    </w:p>
    <w:p w14:paraId="403F9748" w14:textId="0FD09686" w:rsidR="00A47E5C" w:rsidRDefault="00AF6A11" w:rsidP="00C615DC">
      <w:pPr>
        <w:pStyle w:val="Bullet"/>
      </w:pPr>
      <w:r>
        <w:t>the tendency for central departments to maintain control (</w:t>
      </w:r>
      <w:r w:rsidR="00B74369">
        <w:t xml:space="preserve">e.g. </w:t>
      </w:r>
      <w:r>
        <w:t>over human resources, finances, appointment of provincial treasurers)</w:t>
      </w:r>
    </w:p>
    <w:p w14:paraId="629B79D3" w14:textId="77777777" w:rsidR="00A47E5C" w:rsidRDefault="00AF6A11" w:rsidP="00C615DC">
      <w:pPr>
        <w:pStyle w:val="Bullet"/>
      </w:pPr>
      <w:r>
        <w:t>inadequate funds reaching district and provincial levels</w:t>
      </w:r>
    </w:p>
    <w:p w14:paraId="019D773C" w14:textId="77777777" w:rsidR="00AF6A11" w:rsidRDefault="00AF6A11" w:rsidP="00C615DC">
      <w:pPr>
        <w:pStyle w:val="BulletLast"/>
      </w:pPr>
      <w:r>
        <w:t>political interference, particularly at the provincial level where funds are provided to members of parliament rather than to the administrative authorities; and inadequate capacity at the district level.</w:t>
      </w:r>
    </w:p>
    <w:p w14:paraId="10F3FBA3" w14:textId="7448AC49" w:rsidR="00AF6A11" w:rsidRDefault="00AF6A11" w:rsidP="005A520B">
      <w:r w:rsidRPr="00AB17E4">
        <w:t xml:space="preserve">The </w:t>
      </w:r>
      <w:r>
        <w:t>current</w:t>
      </w:r>
      <w:r w:rsidRPr="00AB17E4">
        <w:t xml:space="preserve"> Natio</w:t>
      </w:r>
      <w:r>
        <w:t>nal Health Plan 2011–20 includes new provincial health authorities (PHAs)</w:t>
      </w:r>
      <w:r w:rsidR="00610727">
        <w:rPr>
          <w:rStyle w:val="FootnoteReference"/>
        </w:rPr>
        <w:footnoteReference w:id="9"/>
      </w:r>
      <w:r w:rsidR="00610727">
        <w:t xml:space="preserve"> </w:t>
      </w:r>
      <w:r>
        <w:t xml:space="preserve">to help overcome the lack of coordination between </w:t>
      </w:r>
      <w:r w:rsidR="00A47E5C">
        <w:t xml:space="preserve">the </w:t>
      </w:r>
      <w:r w:rsidR="002C0C9F">
        <w:t>n</w:t>
      </w:r>
      <w:r w:rsidR="00A47E5C" w:rsidRPr="00AB17E4">
        <w:t>ational Department of Health</w:t>
      </w:r>
      <w:r>
        <w:t>, provinces, districts and non-state actors. PHAs</w:t>
      </w:r>
      <w:r w:rsidRPr="00AB17E4">
        <w:t xml:space="preserve"> </w:t>
      </w:r>
      <w:r>
        <w:t>will have responsibility for</w:t>
      </w:r>
      <w:r w:rsidRPr="00AB17E4">
        <w:t xml:space="preserve"> all health services</w:t>
      </w:r>
      <w:r>
        <w:t xml:space="preserve"> within the province. It is not yet clear whether the initiative will move beyond the current three provinces (</w:t>
      </w:r>
      <w:r w:rsidRPr="00813F36">
        <w:t xml:space="preserve">Milne Bay, Eastern Highlands </w:t>
      </w:r>
      <w:r w:rsidR="00481044" w:rsidRPr="00813F36">
        <w:t>and Western</w:t>
      </w:r>
      <w:r w:rsidRPr="00813F36">
        <w:t xml:space="preserve"> Highlands</w:t>
      </w:r>
      <w:r>
        <w:t xml:space="preserve">). </w:t>
      </w:r>
    </w:p>
    <w:p w14:paraId="7B095096" w14:textId="77777777" w:rsidR="00AF6A11" w:rsidRPr="00813F36" w:rsidRDefault="00AF6A11" w:rsidP="003E23F3">
      <w:pPr>
        <w:pStyle w:val="Heading3"/>
        <w:spacing w:before="240"/>
      </w:pPr>
      <w:bookmarkStart w:id="96" w:name="_Toc371086163"/>
      <w:bookmarkStart w:id="97" w:name="_Toc372300924"/>
      <w:bookmarkStart w:id="98" w:name="_Toc382563863"/>
      <w:bookmarkStart w:id="99" w:name="_Toc382595817"/>
      <w:r>
        <w:t>Background on</w:t>
      </w:r>
      <w:r w:rsidRPr="00813F36">
        <w:t xml:space="preserve"> </w:t>
      </w:r>
      <w:r>
        <w:t xml:space="preserve">Australian </w:t>
      </w:r>
      <w:r w:rsidRPr="00813F36">
        <w:t>support</w:t>
      </w:r>
      <w:r>
        <w:t xml:space="preserve"> to provincial health authorities</w:t>
      </w:r>
      <w:bookmarkEnd w:id="96"/>
      <w:bookmarkEnd w:id="97"/>
      <w:bookmarkEnd w:id="98"/>
      <w:bookmarkEnd w:id="99"/>
    </w:p>
    <w:p w14:paraId="2F6594EC" w14:textId="502B4F72" w:rsidR="00AF6A11" w:rsidRPr="00813F36" w:rsidRDefault="00AF6A11" w:rsidP="005A520B">
      <w:r w:rsidRPr="00813F36">
        <w:t>Aus</w:t>
      </w:r>
      <w:r>
        <w:t>tralia uses nine health and governance programs</w:t>
      </w:r>
      <w:r w:rsidR="00B17CEE" w:rsidRPr="00813F36">
        <w:rPr>
          <w:rStyle w:val="FootnoteReference"/>
        </w:rPr>
        <w:footnoteReference w:id="10"/>
      </w:r>
      <w:r w:rsidR="00B17CEE">
        <w:t xml:space="preserve"> </w:t>
      </w:r>
      <w:r>
        <w:t>to</w:t>
      </w:r>
      <w:r w:rsidRPr="00813F36">
        <w:t xml:space="preserve"> support </w:t>
      </w:r>
      <w:r>
        <w:t>the</w:t>
      </w:r>
      <w:r w:rsidRPr="00813F36">
        <w:t xml:space="preserve"> </w:t>
      </w:r>
      <w:r>
        <w:t>three pilot</w:t>
      </w:r>
      <w:r w:rsidRPr="00813F36">
        <w:t xml:space="preserve"> PHAs</w:t>
      </w:r>
      <w:r>
        <w:t>.</w:t>
      </w:r>
      <w:r w:rsidR="00B17CEE">
        <w:rPr>
          <w:rStyle w:val="FootnoteReference"/>
        </w:rPr>
        <w:footnoteReference w:id="11"/>
      </w:r>
      <w:r w:rsidR="00B17CEE" w:rsidRPr="00813F36">
        <w:t xml:space="preserve"> </w:t>
      </w:r>
      <w:r w:rsidRPr="00813F36">
        <w:t>The goal is to support the PHAs as a vehicle to reform public health service delivery</w:t>
      </w:r>
      <w:r>
        <w:t xml:space="preserve"> by developing</w:t>
      </w:r>
      <w:r w:rsidRPr="00813F36">
        <w:t xml:space="preserve"> capacity to manage, deliver and monitor a minimum package of health services.</w:t>
      </w:r>
      <w:r w:rsidRPr="00813F36">
        <w:rPr>
          <w:rStyle w:val="EndnoteReference"/>
        </w:rPr>
        <w:endnoteReference w:id="78"/>
      </w:r>
      <w:r>
        <w:t xml:space="preserve"> </w:t>
      </w:r>
      <w:r w:rsidR="00913166">
        <w:t>F</w:t>
      </w:r>
      <w:r w:rsidRPr="00813F36">
        <w:t xml:space="preserve">unding to </w:t>
      </w:r>
      <w:r>
        <w:t xml:space="preserve">support PHAs is </w:t>
      </w:r>
      <w:r w:rsidR="00913166">
        <w:t>estimated to be about $220</w:t>
      </w:r>
      <w:r w:rsidR="00B74369">
        <w:t> </w:t>
      </w:r>
      <w:r w:rsidR="00913166">
        <w:t>million</w:t>
      </w:r>
      <w:r>
        <w:t>. O</w:t>
      </w:r>
      <w:r w:rsidRPr="00813F36">
        <w:t xml:space="preserve">ne of the </w:t>
      </w:r>
      <w:r>
        <w:t>key programs—</w:t>
      </w:r>
      <w:r w:rsidRPr="00813F36">
        <w:t>the Health Capacity Development Program</w:t>
      </w:r>
      <w:r>
        <w:t xml:space="preserve"> (HCDP)—has funding of $60 million, targeted </w:t>
      </w:r>
      <w:r w:rsidR="00B74369">
        <w:t xml:space="preserve">at </w:t>
      </w:r>
      <w:r>
        <w:t>the subnational level.</w:t>
      </w:r>
      <w:r w:rsidRPr="00813F36">
        <w:rPr>
          <w:rStyle w:val="EndnoteReference"/>
        </w:rPr>
        <w:endnoteReference w:id="79"/>
      </w:r>
      <w:r w:rsidRPr="00813F36">
        <w:t xml:space="preserve"> </w:t>
      </w:r>
    </w:p>
    <w:p w14:paraId="670EFEB8" w14:textId="77777777" w:rsidR="005B4B1A" w:rsidRDefault="00AF6A11" w:rsidP="00C615DC">
      <w:pPr>
        <w:pStyle w:val="NormalBeforeBullet"/>
      </w:pPr>
      <w:r w:rsidRPr="00813F36">
        <w:t xml:space="preserve">Australia’s partnership agreements for each </w:t>
      </w:r>
      <w:r>
        <w:t xml:space="preserve">PHA </w:t>
      </w:r>
      <w:r w:rsidRPr="00813F36">
        <w:t>were based on independent capa</w:t>
      </w:r>
      <w:r>
        <w:t>city diagnostics, which identified</w:t>
      </w:r>
      <w:r w:rsidRPr="00813F36">
        <w:t xml:space="preserve"> entry points to strengthen service delivery.</w:t>
      </w:r>
      <w:r w:rsidRPr="00813F36">
        <w:rPr>
          <w:rStyle w:val="EndnoteReference"/>
        </w:rPr>
        <w:endnoteReference w:id="80"/>
      </w:r>
      <w:r w:rsidRPr="00813F36">
        <w:t xml:space="preserve"> </w:t>
      </w:r>
      <w:r>
        <w:t>The aid program supports</w:t>
      </w:r>
      <w:r w:rsidRPr="00813F36">
        <w:t>:</w:t>
      </w:r>
      <w:r w:rsidRPr="00813F36">
        <w:rPr>
          <w:rStyle w:val="EndnoteReference"/>
        </w:rPr>
        <w:endnoteReference w:id="81"/>
      </w:r>
      <w:r>
        <w:t xml:space="preserve"> </w:t>
      </w:r>
    </w:p>
    <w:p w14:paraId="454EC2A4" w14:textId="2893AE2B" w:rsidR="005B4B1A" w:rsidRPr="005B4B1A" w:rsidRDefault="00AF6A11" w:rsidP="00C615DC">
      <w:pPr>
        <w:pStyle w:val="Bullet"/>
      </w:pPr>
      <w:r w:rsidRPr="005B4B1A">
        <w:t xml:space="preserve">planning and budget preparation at the </w:t>
      </w:r>
      <w:r w:rsidR="002A7465" w:rsidRPr="005B4B1A">
        <w:t xml:space="preserve">national and </w:t>
      </w:r>
      <w:r w:rsidRPr="005B4B1A">
        <w:t>subnational level</w:t>
      </w:r>
      <w:r w:rsidR="00B74369">
        <w:t>s</w:t>
      </w:r>
    </w:p>
    <w:p w14:paraId="798DF9B2" w14:textId="77777777" w:rsidR="005B4B1A" w:rsidRPr="005B4B1A" w:rsidRDefault="00AF6A11" w:rsidP="00C615DC">
      <w:pPr>
        <w:pStyle w:val="Bullet"/>
        <w:rPr>
          <w:szCs w:val="22"/>
        </w:rPr>
      </w:pPr>
      <w:r w:rsidRPr="005B4B1A">
        <w:t>joint annual assessment of institutional, organisational and health service delivery</w:t>
      </w:r>
    </w:p>
    <w:p w14:paraId="56B125FD" w14:textId="77777777" w:rsidR="005B4B1A" w:rsidRPr="005B4B1A" w:rsidRDefault="00AF6A11" w:rsidP="00C615DC">
      <w:pPr>
        <w:pStyle w:val="Bullet"/>
        <w:rPr>
          <w:szCs w:val="22"/>
        </w:rPr>
      </w:pPr>
      <w:r w:rsidRPr="005B4B1A">
        <w:t>longer-term in-province advisory assistance to strengthen provincial and district capacity to plan, budget, spend, monitor and report on total health funding</w:t>
      </w:r>
    </w:p>
    <w:p w14:paraId="650B2C5B" w14:textId="77777777" w:rsidR="005B4B1A" w:rsidRPr="005B4B1A" w:rsidRDefault="00AF6A11" w:rsidP="00C615DC">
      <w:pPr>
        <w:pStyle w:val="Bullet"/>
        <w:rPr>
          <w:szCs w:val="22"/>
        </w:rPr>
      </w:pPr>
      <w:r w:rsidRPr="005B4B1A">
        <w:t xml:space="preserve">advisers based at the </w:t>
      </w:r>
      <w:r w:rsidR="002C0C9F">
        <w:t>n</w:t>
      </w:r>
      <w:r w:rsidR="00A47E5C" w:rsidRPr="00AB17E4">
        <w:t xml:space="preserve">ational Department of Health </w:t>
      </w:r>
      <w:r w:rsidRPr="005B4B1A">
        <w:t>with expertise in mentoring, change management, leadership, health financing, accounting, and human resources management</w:t>
      </w:r>
    </w:p>
    <w:p w14:paraId="78B189E7" w14:textId="77777777" w:rsidR="00AF6A11" w:rsidRPr="00C24DBD" w:rsidRDefault="00AF6A11" w:rsidP="00C615DC">
      <w:pPr>
        <w:pStyle w:val="BulletLast"/>
      </w:pPr>
      <w:r w:rsidRPr="005B4B1A">
        <w:t xml:space="preserve">financing and procurement of goods and </w:t>
      </w:r>
      <w:r w:rsidRPr="00A47E5C">
        <w:t>services</w:t>
      </w:r>
      <w:r w:rsidRPr="005B4B1A">
        <w:t xml:space="preserve">. </w:t>
      </w:r>
    </w:p>
    <w:p w14:paraId="1BFED87D" w14:textId="4B80CE72" w:rsidR="00DB6D0E" w:rsidRDefault="00AF6A11" w:rsidP="00C962EA">
      <w:pPr>
        <w:rPr>
          <w:noProof/>
        </w:rPr>
      </w:pPr>
      <w:r>
        <w:t>Significant analysis of the subnational level and decentralised context was provided in the HCDP design. The design responds to evidence from previous reviews that pointed to a need to shift the focus of technical assistance to the subnational level with a strengthened focus on service delivery.</w:t>
      </w:r>
      <w:r>
        <w:rPr>
          <w:rStyle w:val="EndnoteReference"/>
        </w:rPr>
        <w:endnoteReference w:id="82"/>
      </w:r>
      <w:r>
        <w:t xml:space="preserve"> </w:t>
      </w:r>
      <w:r w:rsidR="005B4B1A">
        <w:t>A</w:t>
      </w:r>
      <w:r>
        <w:t xml:space="preserve"> more recent review of the PHAs raises questions as to whether adequate analysis was undertaken of the national-level agencies and their role. This review describes significant deficiencies in preparation and support from the national level for the three pilot PHAs.</w:t>
      </w:r>
      <w:r>
        <w:rPr>
          <w:rStyle w:val="EndnoteReference"/>
        </w:rPr>
        <w:endnoteReference w:id="83"/>
      </w:r>
    </w:p>
    <w:p w14:paraId="63303948" w14:textId="77777777" w:rsidR="00C962EA" w:rsidRDefault="00C962EA" w:rsidP="00C962EA">
      <w:r>
        <w:rPr>
          <w:noProof/>
        </w:rPr>
        <w:drawing>
          <wp:inline distT="0" distB="0" distL="0" distR="0" wp14:anchorId="7B9E8A3F" wp14:editId="2EFC315F">
            <wp:extent cx="5719259" cy="3148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4.JPG"/>
                    <pic:cNvPicPr/>
                  </pic:nvPicPr>
                  <pic:blipFill rotWithShape="1">
                    <a:blip r:embed="rId32" cstate="print">
                      <a:extLst>
                        <a:ext uri="{28A0092B-C50C-407E-A947-70E740481C1C}">
                          <a14:useLocalDpi xmlns:a14="http://schemas.microsoft.com/office/drawing/2010/main"/>
                        </a:ext>
                      </a:extLst>
                    </a:blip>
                    <a:srcRect t="10457" b="7081"/>
                    <a:stretch/>
                  </pic:blipFill>
                  <pic:spPr bwMode="auto">
                    <a:xfrm>
                      <a:off x="0" y="0"/>
                      <a:ext cx="5731510" cy="3155462"/>
                    </a:xfrm>
                    <a:prstGeom prst="rect">
                      <a:avLst/>
                    </a:prstGeom>
                    <a:ln>
                      <a:noFill/>
                    </a:ln>
                    <a:extLst>
                      <a:ext uri="{53640926-AAD7-44D8-BBD7-CCE9431645EC}">
                        <a14:shadowObscured xmlns:a14="http://schemas.microsoft.com/office/drawing/2010/main"/>
                      </a:ext>
                    </a:extLst>
                  </pic:spPr>
                </pic:pic>
              </a:graphicData>
            </a:graphic>
          </wp:inline>
        </w:drawing>
      </w:r>
    </w:p>
    <w:p w14:paraId="4C127851" w14:textId="26B03C5D" w:rsidR="00C962EA" w:rsidRDefault="00913166" w:rsidP="00C962EA">
      <w:pPr>
        <w:pStyle w:val="Caption"/>
      </w:pPr>
      <w:r>
        <w:t>In</w:t>
      </w:r>
      <w:r w:rsidR="00C962EA">
        <w:t xml:space="preserve"> </w:t>
      </w:r>
      <w:r>
        <w:t xml:space="preserve">Mul Baiyer District, </w:t>
      </w:r>
      <w:r w:rsidR="00C962EA">
        <w:t xml:space="preserve">Western Highlands </w:t>
      </w:r>
      <w:r>
        <w:t>Province,</w:t>
      </w:r>
      <w:r w:rsidR="00C962EA">
        <w:t xml:space="preserve"> Papua New Guinea. </w:t>
      </w:r>
      <w:r w:rsidR="00C962EA" w:rsidRPr="003B7EFB">
        <w:rPr>
          <w:i/>
        </w:rPr>
        <w:t xml:space="preserve">Photo: </w:t>
      </w:r>
      <w:r w:rsidR="007F4BE5">
        <w:rPr>
          <w:i/>
        </w:rPr>
        <w:t>ISF</w:t>
      </w:r>
      <w:r w:rsidR="00C962EA">
        <w:t xml:space="preserve">, </w:t>
      </w:r>
      <w:r w:rsidR="00C962EA">
        <w:rPr>
          <w:i/>
        </w:rPr>
        <w:t>UTS</w:t>
      </w:r>
    </w:p>
    <w:p w14:paraId="19782CB8" w14:textId="77777777" w:rsidR="00AF6A11" w:rsidRDefault="00803C90" w:rsidP="00197A18">
      <w:pPr>
        <w:pStyle w:val="Heading3"/>
      </w:pPr>
      <w:bookmarkStart w:id="100" w:name="_Toc371086165"/>
      <w:bookmarkStart w:id="101" w:name="_Toc372300926"/>
      <w:bookmarkStart w:id="102" w:name="_Toc382563865"/>
      <w:bookmarkStart w:id="103" w:name="_Toc382595819"/>
      <w:r>
        <w:t>National and subnational a</w:t>
      </w:r>
      <w:r w:rsidR="00AF6A11">
        <w:t xml:space="preserve">lignment and relevance </w:t>
      </w:r>
      <w:bookmarkEnd w:id="100"/>
      <w:bookmarkEnd w:id="101"/>
      <w:bookmarkEnd w:id="102"/>
      <w:bookmarkEnd w:id="103"/>
    </w:p>
    <w:p w14:paraId="325845FE" w14:textId="53009E03" w:rsidR="00AF6A11" w:rsidRDefault="005B4B1A" w:rsidP="005A520B">
      <w:pPr>
        <w:rPr>
          <w:i/>
        </w:rPr>
      </w:pPr>
      <w:r>
        <w:t>Australian s</w:t>
      </w:r>
      <w:r w:rsidR="00AF6A11">
        <w:t xml:space="preserve">upport </w:t>
      </w:r>
      <w:r w:rsidR="00C50B76">
        <w:t xml:space="preserve">is </w:t>
      </w:r>
      <w:r w:rsidR="00AF6A11">
        <w:t>PHAs strong</w:t>
      </w:r>
      <w:r w:rsidR="00C50B76">
        <w:t>ly</w:t>
      </w:r>
      <w:r w:rsidR="00AF6A11">
        <w:t xml:space="preserve"> a</w:t>
      </w:r>
      <w:r w:rsidR="00AF6A11" w:rsidRPr="001F51BD">
        <w:t>lign</w:t>
      </w:r>
      <w:r w:rsidR="00C50B76">
        <w:t>ed</w:t>
      </w:r>
      <w:r w:rsidR="00AF6A11" w:rsidRPr="001F51BD">
        <w:t xml:space="preserve"> and relevan</w:t>
      </w:r>
      <w:r w:rsidR="00C50B76">
        <w:t xml:space="preserve">t </w:t>
      </w:r>
      <w:r w:rsidR="00AF6A11">
        <w:t xml:space="preserve">to national and subnational priorities, though shifting subnational priorities </w:t>
      </w:r>
      <w:r w:rsidR="00C50B76">
        <w:t>is</w:t>
      </w:r>
      <w:r w:rsidR="00AF6A11">
        <w:t xml:space="preserve"> challenging. At the national level, Australia’s support contributes to PNG’s </w:t>
      </w:r>
      <w:r w:rsidR="00AF6A11" w:rsidRPr="001F51BD">
        <w:t>Natio</w:t>
      </w:r>
      <w:r w:rsidR="00AF6A11">
        <w:t>nal Health Plan 2011–20 and the HCDP approach aims to ‘</w:t>
      </w:r>
      <w:r w:rsidR="00AF6A11" w:rsidRPr="001F51BD">
        <w:rPr>
          <w:i/>
        </w:rPr>
        <w:t xml:space="preserve">reinforce GoPNG </w:t>
      </w:r>
      <w:r w:rsidR="00A47E5C">
        <w:rPr>
          <w:i/>
        </w:rPr>
        <w:t xml:space="preserve">[PNG Government] </w:t>
      </w:r>
      <w:r w:rsidR="00AF6A11" w:rsidRPr="001F51BD">
        <w:rPr>
          <w:i/>
        </w:rPr>
        <w:t xml:space="preserve">holistic strategies rather than develop ad hoc activities. It will minimise the use of parallel systems limiting them to agreed areas where </w:t>
      </w:r>
      <w:r w:rsidR="00967288">
        <w:rPr>
          <w:noProof/>
        </w:rPr>
        <mc:AlternateContent>
          <mc:Choice Requires="wps">
            <w:drawing>
              <wp:anchor distT="0" distB="0" distL="114300" distR="114300" simplePos="0" relativeHeight="251786240" behindDoc="1" locked="0" layoutInCell="1" allowOverlap="1" wp14:anchorId="79CDB01E" wp14:editId="59BAAAAF">
                <wp:simplePos x="0" y="0"/>
                <wp:positionH relativeFrom="column">
                  <wp:posOffset>3333750</wp:posOffset>
                </wp:positionH>
                <wp:positionV relativeFrom="paragraph">
                  <wp:posOffset>447675</wp:posOffset>
                </wp:positionV>
                <wp:extent cx="2374265" cy="1171575"/>
                <wp:effectExtent l="0" t="0" r="0" b="9525"/>
                <wp:wrapTight wrapText="bothSides">
                  <wp:wrapPolygon edited="0">
                    <wp:start x="0" y="0"/>
                    <wp:lineTo x="0" y="21424"/>
                    <wp:lineTo x="21361" y="21424"/>
                    <wp:lineTo x="21361"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71575"/>
                        </a:xfrm>
                        <a:prstGeom prst="rect">
                          <a:avLst/>
                        </a:prstGeom>
                        <a:solidFill>
                          <a:srgbClr val="FFFFFF"/>
                        </a:solidFill>
                        <a:ln w="9525">
                          <a:noFill/>
                          <a:miter lim="800000"/>
                          <a:headEnd/>
                          <a:tailEnd/>
                        </a:ln>
                      </wps:spPr>
                      <wps:txbx>
                        <w:txbxContent>
                          <w:p w14:paraId="6F9B7828" w14:textId="77777777" w:rsidR="00CD4AF2" w:rsidRPr="00F94F9E" w:rsidRDefault="00CD4AF2" w:rsidP="00967288">
                            <w:pPr>
                              <w:pStyle w:val="BoxQuote"/>
                              <w:pBdr>
                                <w:left w:val="single" w:sz="4" w:space="1" w:color="007FAD"/>
                              </w:pBdr>
                              <w:rPr>
                                <w:color w:val="215868" w:themeColor="accent5" w:themeShade="80"/>
                                <w:sz w:val="18"/>
                              </w:rPr>
                            </w:pPr>
                            <w:r w:rsidRPr="00F94F9E">
                              <w:rPr>
                                <w:color w:val="215868" w:themeColor="accent5" w:themeShade="80"/>
                              </w:rPr>
                              <w:t>[The Australian aid program is] not seen as a donor program but seems to be integrated into government departments.</w:t>
                            </w:r>
                          </w:p>
                          <w:p w14:paraId="5811FD5F" w14:textId="42AF6B2B" w:rsidR="00CD4AF2" w:rsidRPr="00F94F9E" w:rsidRDefault="00CD4AF2" w:rsidP="00967288">
                            <w:pPr>
                              <w:pStyle w:val="BoxQuote"/>
                              <w:pBdr>
                                <w:left w:val="single" w:sz="4" w:space="1" w:color="007FAD"/>
                              </w:pBdr>
                              <w:jc w:val="right"/>
                              <w:rPr>
                                <w:i w:val="0"/>
                                <w:color w:val="215868" w:themeColor="accent5" w:themeShade="80"/>
                                <w:sz w:val="18"/>
                              </w:rPr>
                            </w:pPr>
                            <w:r w:rsidRPr="00F94F9E">
                              <w:rPr>
                                <w:i w:val="0"/>
                                <w:color w:val="215868" w:themeColor="accent5" w:themeShade="80"/>
                              </w:rPr>
                              <w:t>National Department of Health, PNG, staff interview</w:t>
                            </w:r>
                          </w:p>
                          <w:p w14:paraId="453213F5" w14:textId="77777777" w:rsidR="00CD4AF2" w:rsidRDefault="00CD4AF2" w:rsidP="009672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62.5pt;margin-top:35.25pt;width:186.95pt;height:92.25pt;z-index:-251530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jZJAIAACQEAAAOAAAAZHJzL2Uyb0RvYy54bWysU9uO2yAQfa/Uf0C8N47deLOx4qy22aaq&#10;tL1Iu/0AjHGMCgwFEnv79R1wNpu2b1V5QAwzczhzZljfjFqRo3BegqlpPptTIgyHVpp9Tb897t5c&#10;U+IDMy1TYERNn4SnN5vXr9aDrUQBPahWOIIgxleDrWkfgq2yzPNeaOZnYIVBZwdOs4Cm22etYwOi&#10;a5UV8/lVNoBrrQMuvMfbu8lJNwm/6wQPX7rOi0BUTZFbSLtLexP3bLNm1d4x20t+osH+gYVm0uCj&#10;Z6g7Fhg5OPkXlJbcgYcuzDjoDLpOcpFqwGry+R/VPPTMilQLiuPtWSb//2D55+NXR2Rb02JFiWEa&#10;e/QoxkDewUiKKM9gfYVRDxbjwojX2OZUqrf3wL97YmDbM7MXt87B0AvWIr08ZmYXqROOjyDN8Ala&#10;fIYdAiSgsXM6aodqEETHNj2dWxOpcLws3i4XxVVJCUdfni/zclmmN1j1nG6dDx8EaBIPNXXY+wTP&#10;jvc+RDqseg6Jr3lQst1JpZLh9s1WOXJkOCe7tE7ov4UpQ4aarsqiTMgGYn4aIS0DzrGSuqbX87hi&#10;OquiHO9Nm86BSTWdkYkyJ32iJJM4YWzGqRMxN2rXQPuEgjmYxha/GR56cD8pGXBka+p/HJgTlKiP&#10;BkVf5YtFnPFkLMplgYa79DSXHmY4QtU0UDIdtyH9i0jbwC02p5NJthcmJ8o4iknN07eJs35pp6iX&#10;z735BQAA//8DAFBLAwQUAAYACAAAACEAOt40VN4AAAAKAQAADwAAAGRycy9kb3ducmV2LnhtbEyP&#10;zU7DMBCE70i8g7VI3KjTSKFpiFMhpAiknFp4ACfe/CjxOordNLw9ywmOoxnNfJOfNjuJFRc/OFKw&#10;30UgkBpnBuoUfH2WTykIHzQZPTlCBd/o4VTc3+U6M+5GZ1wvoRNcQj7TCvoQ5kxK3/Rotd+5GYm9&#10;1i1WB5ZLJ82ib1xuJxlH0bO0eiBe6PWMbz024+VqFXxUTdnGlW3XMO7tWJ3r97I9KPX4sL2+gAi4&#10;hb8w/OIzOhTMVLsrGS8mBUmc8Jeg4BAlIDiQHtMjiFpBnLAji1z+v1D8AAAA//8DAFBLAQItABQA&#10;BgAIAAAAIQC2gziS/gAAAOEBAAATAAAAAAAAAAAAAAAAAAAAAABbQ29udGVudF9UeXBlc10ueG1s&#10;UEsBAi0AFAAGAAgAAAAhADj9If/WAAAAlAEAAAsAAAAAAAAAAAAAAAAALwEAAF9yZWxzLy5yZWxz&#10;UEsBAi0AFAAGAAgAAAAhAPoieNkkAgAAJAQAAA4AAAAAAAAAAAAAAAAALgIAAGRycy9lMm9Eb2Mu&#10;eG1sUEsBAi0AFAAGAAgAAAAhADreNFTeAAAACgEAAA8AAAAAAAAAAAAAAAAAfgQAAGRycy9kb3du&#10;cmV2LnhtbFBLBQYAAAAABAAEAPMAAACJBQAAAAA=&#10;" stroked="f">
                <v:textbox>
                  <w:txbxContent>
                    <w:p w14:paraId="6F9B7828" w14:textId="77777777" w:rsidR="00CD4AF2" w:rsidRPr="00F94F9E" w:rsidRDefault="00CD4AF2" w:rsidP="00967288">
                      <w:pPr>
                        <w:pStyle w:val="BoxQuote"/>
                        <w:pBdr>
                          <w:left w:val="single" w:sz="4" w:space="1" w:color="007FAD"/>
                        </w:pBdr>
                        <w:rPr>
                          <w:color w:val="215868" w:themeColor="accent5" w:themeShade="80"/>
                          <w:sz w:val="18"/>
                        </w:rPr>
                      </w:pPr>
                      <w:r w:rsidRPr="00F94F9E">
                        <w:rPr>
                          <w:color w:val="215868" w:themeColor="accent5" w:themeShade="80"/>
                        </w:rPr>
                        <w:t>[The Australian aid program is] not seen as a donor program but seems to be integrated into government departments.</w:t>
                      </w:r>
                    </w:p>
                    <w:p w14:paraId="5811FD5F" w14:textId="42AF6B2B" w:rsidR="00CD4AF2" w:rsidRPr="00F94F9E" w:rsidRDefault="00CD4AF2" w:rsidP="00967288">
                      <w:pPr>
                        <w:pStyle w:val="BoxQuote"/>
                        <w:pBdr>
                          <w:left w:val="single" w:sz="4" w:space="1" w:color="007FAD"/>
                        </w:pBdr>
                        <w:jc w:val="right"/>
                        <w:rPr>
                          <w:i w:val="0"/>
                          <w:color w:val="215868" w:themeColor="accent5" w:themeShade="80"/>
                          <w:sz w:val="18"/>
                        </w:rPr>
                      </w:pPr>
                      <w:r w:rsidRPr="00F94F9E">
                        <w:rPr>
                          <w:i w:val="0"/>
                          <w:color w:val="215868" w:themeColor="accent5" w:themeShade="80"/>
                        </w:rPr>
                        <w:t>National Department of Health, PNG, staff interview</w:t>
                      </w:r>
                    </w:p>
                    <w:p w14:paraId="453213F5" w14:textId="77777777" w:rsidR="00CD4AF2" w:rsidRDefault="00CD4AF2" w:rsidP="00967288"/>
                  </w:txbxContent>
                </v:textbox>
                <w10:wrap type="tight"/>
              </v:shape>
            </w:pict>
          </mc:Fallback>
        </mc:AlternateContent>
      </w:r>
      <w:r w:rsidR="00AF6A11" w:rsidRPr="001F51BD">
        <w:rPr>
          <w:i/>
        </w:rPr>
        <w:t>there are genuine capacity gaps and/or high fiduciary and development risks of using GoPNG systems</w:t>
      </w:r>
      <w:r w:rsidR="00AF6A11">
        <w:rPr>
          <w:i/>
        </w:rPr>
        <w:t>.’</w:t>
      </w:r>
      <w:r w:rsidR="00AF6A11" w:rsidRPr="003E23F3">
        <w:rPr>
          <w:rStyle w:val="EndnoteReference"/>
        </w:rPr>
        <w:endnoteReference w:id="84"/>
      </w:r>
      <w:r w:rsidR="00AF6A11" w:rsidRPr="00BC556F">
        <w:rPr>
          <w:i/>
        </w:rPr>
        <w:t xml:space="preserve"> </w:t>
      </w:r>
      <w:r w:rsidR="00AF6A11">
        <w:t xml:space="preserve">The PHAs themselves are a national initiative. National counterparts </w:t>
      </w:r>
      <w:r w:rsidR="00C50B76">
        <w:t>were</w:t>
      </w:r>
      <w:r w:rsidR="00AF6A11">
        <w:t xml:space="preserve"> appreciat</w:t>
      </w:r>
      <w:r w:rsidR="00C50B76">
        <w:t>ive</w:t>
      </w:r>
      <w:r w:rsidR="00AF6A11">
        <w:t xml:space="preserve"> of the aid program’s approach</w:t>
      </w:r>
      <w:r w:rsidR="00AF6A11">
        <w:rPr>
          <w:i/>
        </w:rPr>
        <w:t>: ‘[Australia]</w:t>
      </w:r>
      <w:r w:rsidR="00AF6A11" w:rsidRPr="001F51BD">
        <w:rPr>
          <w:i/>
        </w:rPr>
        <w:t xml:space="preserve"> is a very good partner, it has flexibility to align with the GoPNG whereas other donors are more fixed. </w:t>
      </w:r>
      <w:r w:rsidR="00AF6A11">
        <w:rPr>
          <w:i/>
        </w:rPr>
        <w:t>[The Australian aid program]</w:t>
      </w:r>
      <w:r w:rsidR="00AF6A11" w:rsidRPr="001F51BD">
        <w:rPr>
          <w:i/>
        </w:rPr>
        <w:t xml:space="preserve"> is very supportive, incorporates local knowledge</w:t>
      </w:r>
      <w:r w:rsidR="00D2236B">
        <w:rPr>
          <w:i/>
        </w:rPr>
        <w:t>.’</w:t>
      </w:r>
    </w:p>
    <w:p w14:paraId="68E7F149" w14:textId="54CABBE7" w:rsidR="00AF6A11" w:rsidRDefault="00AF6A11" w:rsidP="005A520B">
      <w:r>
        <w:t>At the subnational level, PHAs are under way in the three pilot provinces and Australian support is targeted to them.</w:t>
      </w:r>
      <w:r>
        <w:rPr>
          <w:rStyle w:val="EndnoteReference"/>
        </w:rPr>
        <w:endnoteReference w:id="85"/>
      </w:r>
      <w:r>
        <w:t xml:space="preserve"> </w:t>
      </w:r>
      <w:r w:rsidR="00424B0F">
        <w:t xml:space="preserve">Yet, </w:t>
      </w:r>
      <w:r w:rsidR="005C69F9">
        <w:t>local</w:t>
      </w:r>
      <w:r>
        <w:t xml:space="preserve"> </w:t>
      </w:r>
      <w:r w:rsidR="00424B0F">
        <w:t xml:space="preserve">commitment to </w:t>
      </w:r>
      <w:r w:rsidR="005C69F9">
        <w:t>establish</w:t>
      </w:r>
      <w:r>
        <w:t xml:space="preserve"> effective </w:t>
      </w:r>
      <w:r w:rsidR="00424B0F">
        <w:t xml:space="preserve">subnational </w:t>
      </w:r>
      <w:r>
        <w:t>working arrangements for PHAs is variable. Lack of leadership from governors and provincial and district administrators</w:t>
      </w:r>
      <w:r w:rsidRPr="00CF21F6">
        <w:t xml:space="preserve"> </w:t>
      </w:r>
      <w:r>
        <w:t>was revealed in the recent review of PHAs.</w:t>
      </w:r>
      <w:r>
        <w:rPr>
          <w:rStyle w:val="EndnoteReference"/>
        </w:rPr>
        <w:endnoteReference w:id="86"/>
      </w:r>
      <w:r>
        <w:t xml:space="preserve"> </w:t>
      </w:r>
      <w:r w:rsidR="00424B0F">
        <w:t>The two new</w:t>
      </w:r>
      <w:r>
        <w:t xml:space="preserve"> </w:t>
      </w:r>
      <w:r w:rsidR="00697295">
        <w:t xml:space="preserve">provincial </w:t>
      </w:r>
      <w:r>
        <w:t xml:space="preserve">governors </w:t>
      </w:r>
      <w:r w:rsidR="00424B0F">
        <w:t xml:space="preserve">were seen to </w:t>
      </w:r>
      <w:r>
        <w:t xml:space="preserve">pose a threat to </w:t>
      </w:r>
      <w:r w:rsidR="00424B0F">
        <w:t xml:space="preserve">the </w:t>
      </w:r>
      <w:r>
        <w:t xml:space="preserve">continuation with the PHA and </w:t>
      </w:r>
      <w:r w:rsidR="00424B0F">
        <w:t>the risk of</w:t>
      </w:r>
      <w:r>
        <w:t xml:space="preserve"> </w:t>
      </w:r>
      <w:r w:rsidR="00424B0F">
        <w:t>reverting back</w:t>
      </w:r>
      <w:r>
        <w:t xml:space="preserve"> to previous arrangements.</w:t>
      </w:r>
      <w:r>
        <w:rPr>
          <w:rStyle w:val="EndnoteReference"/>
        </w:rPr>
        <w:endnoteReference w:id="87"/>
      </w:r>
      <w:r>
        <w:t xml:space="preserve"> In addition, during fieldwork interviews, officials at both the provincial and district levels were seen to prioritise roads ahead of health. Australian support has been set up to</w:t>
      </w:r>
      <w:r w:rsidR="00F34334">
        <w:t xml:space="preserve"> ensure a fixed percentage of funds is spent on health</w:t>
      </w:r>
      <w:r w:rsidR="00AD124F">
        <w:t xml:space="preserve"> and also to</w:t>
      </w:r>
      <w:r>
        <w:t xml:space="preserve"> allow flexible use of funding </w:t>
      </w:r>
      <w:r w:rsidR="00CE08DA">
        <w:t xml:space="preserve">for health </w:t>
      </w:r>
      <w:r>
        <w:t>and to allocate grants in a responsive way, and to increase allocations to provinces that are performing well.</w:t>
      </w:r>
      <w:r w:rsidRPr="00CF21F6">
        <w:t xml:space="preserve"> </w:t>
      </w:r>
      <w:r>
        <w:t>This is one way to support alignment and relevance.</w:t>
      </w:r>
    </w:p>
    <w:p w14:paraId="25206A78" w14:textId="77777777" w:rsidR="00AF6A11" w:rsidRDefault="00E8373D" w:rsidP="00197A18">
      <w:pPr>
        <w:pStyle w:val="Heading3"/>
      </w:pPr>
      <w:bookmarkStart w:id="104" w:name="_Toc371086166"/>
      <w:bookmarkStart w:id="105" w:name="_Toc372300927"/>
      <w:bookmarkStart w:id="106" w:name="_Toc382563866"/>
      <w:bookmarkStart w:id="107" w:name="_Toc382595820"/>
      <w:r>
        <w:t>E</w:t>
      </w:r>
      <w:r w:rsidR="00AF6A11">
        <w:t>ngagement across different parts of partner government</w:t>
      </w:r>
      <w:bookmarkEnd w:id="104"/>
      <w:bookmarkEnd w:id="105"/>
      <w:bookmarkEnd w:id="106"/>
      <w:bookmarkEnd w:id="107"/>
      <w:r>
        <w:t xml:space="preserve"> and </w:t>
      </w:r>
      <w:r w:rsidR="00DB050E">
        <w:t xml:space="preserve">with </w:t>
      </w:r>
      <w:r>
        <w:t>community</w:t>
      </w:r>
    </w:p>
    <w:p w14:paraId="67A1351D" w14:textId="2EC58745" w:rsidR="00AF6A11" w:rsidRDefault="00967288" w:rsidP="00BC556F">
      <w:r>
        <w:rPr>
          <w:noProof/>
        </w:rPr>
        <mc:AlternateContent>
          <mc:Choice Requires="wps">
            <w:drawing>
              <wp:anchor distT="0" distB="0" distL="114300" distR="114300" simplePos="0" relativeHeight="251788288" behindDoc="1" locked="0" layoutInCell="1" allowOverlap="1" wp14:anchorId="47E1F6BF" wp14:editId="2066863C">
                <wp:simplePos x="0" y="0"/>
                <wp:positionH relativeFrom="column">
                  <wp:posOffset>3333750</wp:posOffset>
                </wp:positionH>
                <wp:positionV relativeFrom="paragraph">
                  <wp:posOffset>19050</wp:posOffset>
                </wp:positionV>
                <wp:extent cx="2374265" cy="1514475"/>
                <wp:effectExtent l="0" t="0" r="0" b="9525"/>
                <wp:wrapTight wrapText="bothSides">
                  <wp:wrapPolygon edited="0">
                    <wp:start x="0" y="0"/>
                    <wp:lineTo x="0" y="21464"/>
                    <wp:lineTo x="21361" y="21464"/>
                    <wp:lineTo x="21361"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14475"/>
                        </a:xfrm>
                        <a:prstGeom prst="rect">
                          <a:avLst/>
                        </a:prstGeom>
                        <a:solidFill>
                          <a:srgbClr val="FFFFFF"/>
                        </a:solidFill>
                        <a:ln w="9525">
                          <a:noFill/>
                          <a:miter lim="800000"/>
                          <a:headEnd/>
                          <a:tailEnd/>
                        </a:ln>
                      </wps:spPr>
                      <wps:txbx>
                        <w:txbxContent>
                          <w:p w14:paraId="424E25C1" w14:textId="34491FD6" w:rsidR="00CD4AF2" w:rsidRPr="00F94F9E" w:rsidRDefault="00CD4AF2" w:rsidP="00967288">
                            <w:pPr>
                              <w:pStyle w:val="BoxQuote"/>
                              <w:rPr>
                                <w:color w:val="215868" w:themeColor="accent5" w:themeShade="80"/>
                              </w:rPr>
                            </w:pPr>
                            <w:r w:rsidRPr="00F94F9E">
                              <w:rPr>
                                <w:color w:val="215868" w:themeColor="accent5" w:themeShade="80"/>
                              </w:rPr>
                              <w:t>I see AusAID support over the years and I value this … having the policies is great but these policies need to be stronger at subnational levels and AusAID could come in with more technical advice.</w:t>
                            </w:r>
                          </w:p>
                          <w:p w14:paraId="5266E264" w14:textId="4B0B4557" w:rsidR="00CD4AF2" w:rsidRPr="00F94F9E" w:rsidRDefault="00CD4AF2" w:rsidP="00967288">
                            <w:pPr>
                              <w:pStyle w:val="BoxQuote"/>
                              <w:jc w:val="right"/>
                              <w:rPr>
                                <w:i w:val="0"/>
                                <w:color w:val="215868" w:themeColor="accent5" w:themeShade="80"/>
                                <w:sz w:val="18"/>
                              </w:rPr>
                            </w:pPr>
                            <w:r w:rsidRPr="00F94F9E">
                              <w:rPr>
                                <w:i w:val="0"/>
                                <w:color w:val="215868" w:themeColor="accent5" w:themeShade="80"/>
                              </w:rPr>
                              <w:t>National Department of Health, PNG, staff interview</w:t>
                            </w:r>
                          </w:p>
                          <w:p w14:paraId="500808AB" w14:textId="77777777" w:rsidR="00CD4AF2" w:rsidRDefault="00CD4AF2" w:rsidP="009672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62.5pt;margin-top:1.5pt;width:186.95pt;height:119.25pt;z-index:-251528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iZIwIAACQEAAAOAAAAZHJzL2Uyb0RvYy54bWysU9tu2zAMfR+wfxD0vjhxk16MOEWXLsOA&#10;7gK0+wBalmNhkuhJSuzs60vJaZptb8P0IIgieXR4SC1vB6PZXjqv0JZ8NplyJq3AWtltyb8/bd5d&#10;c+YD2Bo0Wlnyg/T8dvX2zbLvCplji7qWjhGI9UXflbwNoSuyzItWGvAT7KQlZ4POQCDTbbPaQU/o&#10;Rmf5dHqZ9ejqzqGQ3tPt/ejkq4TfNFKEr03jZWC65MQtpN2lvYp7tlpCsXXQtUocacA/sDCgLD16&#10;grqHAGzn1F9QRgmHHpswEWgybBolZKqBqplN/6jmsYVOplpIHN+dZPL/D1Z82X9zTNUlvyB5LBjq&#10;0ZMcAnuPA8ujPH3nC4p67CguDHRNbU6l+u4BxQ/PLK5bsFt55xz2rYSa6M1iZnaWOuL4CFL1n7Gm&#10;Z2AXMAENjTNRO1KDETrxOJxaE6kIuswvrub55YIzQb7ZYjafXy3SG1C8pHfOh48SDYuHkjvqfYKH&#10;/YMPkQ4ULyHxNY9a1RuldTLctlprx/ZAc7JJ64j+W5i2rC/5zSJfJGSLMT+NkFGB5lgrU/LraVwx&#10;HYooxwdbp3MApcczMdH2qE+UZBQnDNUwdiLmRu0qrA8kmMNxbOmb0aFF94uznka25P7nDpzkTH+y&#10;JPoNqRJnPBnzxVVOhjv3VOcesIKgSh44G4/rkP5FpG3xjprTqCTbK5MjZRrFpObx28RZP7dT1Ovn&#10;Xj0DAAD//wMAUEsDBBQABgAIAAAAIQAom7w23gAAAAkBAAAPAAAAZHJzL2Rvd25yZXYueG1sTI/N&#10;ToRAEITvJr7DpE28uQMoK4sMG2NCNOG0qw8wQPMTmB7CzLL49rYnPVU61an6KjtuZhIrLm6wpCDc&#10;BSCQatsM1Cn4+iweEhDOa2r0ZAkVfKODY357k+m0sVc64Xr2neAQcqlW0Hs/p1K6ukej3c7OSOy1&#10;djHa87l0sln0lcPNJKMg2EujB+KGXs/41mM9ni9GwUdZF21Umnb1Y2jG8lS9F+2zUvd32+sLCI+b&#10;/3uGX3xGh5yZKnuhxolJQRzFvMUreGRhPzkkBxCVgugpjEHmmfy/IP8BAAD//wMAUEsBAi0AFAAG&#10;AAgAAAAhALaDOJL+AAAA4QEAABMAAAAAAAAAAAAAAAAAAAAAAFtDb250ZW50X1R5cGVzXS54bWxQ&#10;SwECLQAUAAYACAAAACEAOP0h/9YAAACUAQAACwAAAAAAAAAAAAAAAAAvAQAAX3JlbHMvLnJlbHNQ&#10;SwECLQAUAAYACAAAACEAO0WomSMCAAAkBAAADgAAAAAAAAAAAAAAAAAuAgAAZHJzL2Uyb0RvYy54&#10;bWxQSwECLQAUAAYACAAAACEAKJu8Nt4AAAAJAQAADwAAAAAAAAAAAAAAAAB9BAAAZHJzL2Rvd25y&#10;ZXYueG1sUEsFBgAAAAAEAAQA8wAAAIgFAAAAAA==&#10;" stroked="f">
                <v:textbox>
                  <w:txbxContent>
                    <w:p w14:paraId="424E25C1" w14:textId="34491FD6" w:rsidR="00CD4AF2" w:rsidRPr="00F94F9E" w:rsidRDefault="00CD4AF2" w:rsidP="00967288">
                      <w:pPr>
                        <w:pStyle w:val="BoxQuote"/>
                        <w:rPr>
                          <w:color w:val="215868" w:themeColor="accent5" w:themeShade="80"/>
                        </w:rPr>
                      </w:pPr>
                      <w:r w:rsidRPr="00F94F9E">
                        <w:rPr>
                          <w:color w:val="215868" w:themeColor="accent5" w:themeShade="80"/>
                        </w:rPr>
                        <w:t>I see AusAID support over the years and I value this … having the policies is great but these policies need to be stronger at subnational levels and AusAID could come in with more technical advice.</w:t>
                      </w:r>
                    </w:p>
                    <w:p w14:paraId="5266E264" w14:textId="4B0B4557" w:rsidR="00CD4AF2" w:rsidRPr="00F94F9E" w:rsidRDefault="00CD4AF2" w:rsidP="00967288">
                      <w:pPr>
                        <w:pStyle w:val="BoxQuote"/>
                        <w:jc w:val="right"/>
                        <w:rPr>
                          <w:i w:val="0"/>
                          <w:color w:val="215868" w:themeColor="accent5" w:themeShade="80"/>
                          <w:sz w:val="18"/>
                        </w:rPr>
                      </w:pPr>
                      <w:r w:rsidRPr="00F94F9E">
                        <w:rPr>
                          <w:i w:val="0"/>
                          <w:color w:val="215868" w:themeColor="accent5" w:themeShade="80"/>
                        </w:rPr>
                        <w:t>National Department of Health, PNG, staff interview</w:t>
                      </w:r>
                    </w:p>
                    <w:p w14:paraId="500808AB" w14:textId="77777777" w:rsidR="00CD4AF2" w:rsidRDefault="00CD4AF2" w:rsidP="00967288"/>
                  </w:txbxContent>
                </v:textbox>
                <w10:wrap type="tight"/>
              </v:shape>
            </w:pict>
          </mc:Fallback>
        </mc:AlternateContent>
      </w:r>
      <w:r w:rsidR="00AF6A11" w:rsidRPr="003E23F3">
        <w:t>The balance of engagement between national and subnational level</w:t>
      </w:r>
      <w:r w:rsidR="002A7465">
        <w:t>s</w:t>
      </w:r>
      <w:r w:rsidR="00AF6A11" w:rsidRPr="003E23F3">
        <w:t xml:space="preserve"> has changed significantly towards a much stronger focus on </w:t>
      </w:r>
      <w:r w:rsidR="00AF6A11">
        <w:t xml:space="preserve">the </w:t>
      </w:r>
      <w:r w:rsidR="00AF6A11" w:rsidRPr="003E23F3">
        <w:t>subnational level. In</w:t>
      </w:r>
      <w:r w:rsidR="00AF6A11" w:rsidRPr="00265A8F">
        <w:t xml:space="preserve"> taking up a focus on PHAs, </w:t>
      </w:r>
      <w:r w:rsidR="00AF6A11">
        <w:t>staff</w:t>
      </w:r>
      <w:r w:rsidR="00AF6A11" w:rsidRPr="00265A8F">
        <w:t xml:space="preserve"> </w:t>
      </w:r>
      <w:r w:rsidR="00AF6A11">
        <w:t>reported that the</w:t>
      </w:r>
      <w:r w:rsidR="00AF6A11" w:rsidRPr="00265A8F">
        <w:t xml:space="preserve"> subnational level</w:t>
      </w:r>
      <w:r w:rsidR="00AF6A11">
        <w:t xml:space="preserve"> now receives about 80–85 per cent of </w:t>
      </w:r>
      <w:r w:rsidR="00AD124F">
        <w:t xml:space="preserve">health program </w:t>
      </w:r>
      <w:r w:rsidR="00AF6A11">
        <w:t>funding</w:t>
      </w:r>
      <w:r w:rsidR="00AF6A11" w:rsidRPr="00265A8F">
        <w:t>.</w:t>
      </w:r>
      <w:r w:rsidR="00AF6A11">
        <w:t xml:space="preserve"> This is a major shift, and likely will help address PNG Government perceptions that the aid program focuses too strongly at the national level.</w:t>
      </w:r>
    </w:p>
    <w:p w14:paraId="46982BE7" w14:textId="01C3B387" w:rsidR="00AF6A11" w:rsidRPr="00622753" w:rsidRDefault="00AF6A11" w:rsidP="005A520B">
      <w:pPr>
        <w:rPr>
          <w:highlight w:val="yellow"/>
        </w:rPr>
      </w:pPr>
      <w:r>
        <w:t>In terms of balance between sector and central agencies, a recent review noted that there was insufficient engagement with central agencies: ‘</w:t>
      </w:r>
      <w:r>
        <w:rPr>
          <w:i/>
        </w:rPr>
        <w:t>M</w:t>
      </w:r>
      <w:r w:rsidRPr="00BD7AF4">
        <w:rPr>
          <w:i/>
        </w:rPr>
        <w:t>ore work is required to effectively engage with central agencies in 2012</w:t>
      </w:r>
      <w:r w:rsidR="00D2236B">
        <w:t>.’</w:t>
      </w:r>
      <w:r>
        <w:rPr>
          <w:rStyle w:val="EndnoteReference"/>
        </w:rPr>
        <w:endnoteReference w:id="88"/>
      </w:r>
      <w:r>
        <w:t xml:space="preserve"> The Milne Bay agreement also notes the challenge of ensuring engagement of central agencies towards resolving</w:t>
      </w:r>
      <w:r w:rsidRPr="00622753">
        <w:t xml:space="preserve"> PHA policy conflicts, financing and staffing and improving accountability</w:t>
      </w:r>
      <w:r>
        <w:t>. It proposes that t</w:t>
      </w:r>
      <w:r w:rsidRPr="00622753">
        <w:t>he Economic and Public Sector Program</w:t>
      </w:r>
      <w:r>
        <w:t xml:space="preserve"> address this area</w:t>
      </w:r>
      <w:r w:rsidR="00E8373D">
        <w:t xml:space="preserve"> (see </w:t>
      </w:r>
      <w:r w:rsidR="009A6512">
        <w:t>A</w:t>
      </w:r>
      <w:r w:rsidR="00E8373D">
        <w:t>ppendix 2)</w:t>
      </w:r>
      <w:r>
        <w:t>.</w:t>
      </w:r>
    </w:p>
    <w:p w14:paraId="56D90A78" w14:textId="77777777" w:rsidR="00AF6A11" w:rsidRPr="00622753" w:rsidRDefault="00AF6A11" w:rsidP="005A520B">
      <w:r w:rsidRPr="00622753">
        <w:t>Australian support</w:t>
      </w:r>
      <w:r>
        <w:t xml:space="preserve"> </w:t>
      </w:r>
      <w:r w:rsidR="00E8373D">
        <w:t>aims to</w:t>
      </w:r>
      <w:r>
        <w:t xml:space="preserve"> find a good balance between engaging with political leaders and administrators at the subnational level. One of the health service agreements’ guiding principles is that ‘</w:t>
      </w:r>
      <w:r>
        <w:rPr>
          <w:i/>
        </w:rPr>
        <w:t>l</w:t>
      </w:r>
      <w:r w:rsidRPr="00BD7AF4">
        <w:rPr>
          <w:i/>
        </w:rPr>
        <w:t>eadership will come from both politicians and senior public servants using their powers and authority to guide, direct and manage</w:t>
      </w:r>
      <w:r>
        <w:t>.’ An interviewee in one subnational location indicated that the aid program has now made funds available where members of parliament have demonstrated a commitment to the health sector and that PHA has attracted significant attention from members of parliament</w:t>
      </w:r>
      <w:r w:rsidR="00E8373D">
        <w:t xml:space="preserve"> in that province</w:t>
      </w:r>
      <w:r>
        <w:t>.</w:t>
      </w:r>
    </w:p>
    <w:p w14:paraId="5F73775B" w14:textId="45A9B070" w:rsidR="00AF6A11" w:rsidRDefault="00AF6A11" w:rsidP="005A520B">
      <w:r>
        <w:t>Within the PHA service agreements (</w:t>
      </w:r>
      <w:r w:rsidR="00D2236B">
        <w:t>e.g. </w:t>
      </w:r>
      <w:r>
        <w:t xml:space="preserve">for Milne Bay) there is some mention of </w:t>
      </w:r>
      <w:r w:rsidR="00E8373D">
        <w:t>local</w:t>
      </w:r>
      <w:r>
        <w:t xml:space="preserve"> engagement in the form of ‘community mobilisation’ strategies, however the agreements contain no discussion of how citizens hold service providers to account. The approach to achieve</w:t>
      </w:r>
      <w:r w:rsidRPr="00217BD9">
        <w:t xml:space="preserve"> balance </w:t>
      </w:r>
      <w:r>
        <w:t xml:space="preserve">across the </w:t>
      </w:r>
      <w:r w:rsidRPr="00217BD9">
        <w:t>demand and supply</w:t>
      </w:r>
      <w:r>
        <w:t xml:space="preserve"> sides of service delivery</w:t>
      </w:r>
      <w:r w:rsidRPr="00217BD9">
        <w:t xml:space="preserve"> </w:t>
      </w:r>
      <w:r>
        <w:t xml:space="preserve">appears to be to address the demand side through other governance programs (e.g. Strongim Pipol Strongim Nesen and Churches Partnership Program). This is discussed </w:t>
      </w:r>
      <w:r w:rsidR="00E8373D">
        <w:t xml:space="preserve">further </w:t>
      </w:r>
      <w:r>
        <w:t>below.</w:t>
      </w:r>
    </w:p>
    <w:p w14:paraId="6BB6CF1F" w14:textId="77777777" w:rsidR="00AF6A11" w:rsidRDefault="00E8373D" w:rsidP="00197A18">
      <w:pPr>
        <w:pStyle w:val="Heading3"/>
      </w:pPr>
      <w:bookmarkStart w:id="108" w:name="_Toc371086168"/>
      <w:bookmarkStart w:id="109" w:name="_Toc372300929"/>
      <w:bookmarkStart w:id="110" w:name="_Toc382563868"/>
      <w:bookmarkStart w:id="111" w:name="_Toc382595822"/>
      <w:r>
        <w:t>S</w:t>
      </w:r>
      <w:r w:rsidR="00AF6A11">
        <w:t>ustainability through o</w:t>
      </w:r>
      <w:r w:rsidR="00AF6A11" w:rsidRPr="00813F36">
        <w:t>wnership and capacity building</w:t>
      </w:r>
      <w:bookmarkEnd w:id="108"/>
      <w:bookmarkEnd w:id="109"/>
      <w:bookmarkEnd w:id="110"/>
      <w:bookmarkEnd w:id="111"/>
    </w:p>
    <w:p w14:paraId="5F34DC22" w14:textId="41C93797" w:rsidR="00AF6A11" w:rsidRDefault="00AF6A11" w:rsidP="005A520B">
      <w:r>
        <w:t>The documented strategy for sustainability appears sound, but remains to be tested. It gives attention to ownership (through working in partnership), alignment with PNG Government planning and reporting processes, and coordination in the form of a single-capacity development plan. It provides for reduced reliance on long-term advisers, greater emphasis on national in-line positions,</w:t>
      </w:r>
      <w:r w:rsidR="00F25930">
        <w:rPr>
          <w:rStyle w:val="FootnoteReference"/>
        </w:rPr>
        <w:footnoteReference w:id="12"/>
      </w:r>
      <w:r w:rsidR="00F25930">
        <w:t xml:space="preserve"> </w:t>
      </w:r>
      <w:r>
        <w:t>strategies for procurement functions, emphasis on peer learning and mutual accountability for results.</w:t>
      </w:r>
      <w:r>
        <w:rPr>
          <w:rStyle w:val="EndnoteReference"/>
        </w:rPr>
        <w:endnoteReference w:id="89"/>
      </w:r>
      <w:r>
        <w:t xml:space="preserve"> D</w:t>
      </w:r>
      <w:r w:rsidRPr="008E3CE9">
        <w:t>ecision-making about activities lies with subnational partne</w:t>
      </w:r>
      <w:r>
        <w:t>rs. For example, one provincial officer reported</w:t>
      </w:r>
      <w:r w:rsidRPr="008E3CE9">
        <w:t>:</w:t>
      </w:r>
      <w:r>
        <w:t xml:space="preserve"> </w:t>
      </w:r>
    </w:p>
    <w:p w14:paraId="09EDF892" w14:textId="77777777" w:rsidR="00AF6A11" w:rsidRDefault="00AF6A11" w:rsidP="005A520B">
      <w:pPr>
        <w:pStyle w:val="Quote"/>
      </w:pPr>
      <w:r w:rsidRPr="008E3CE9">
        <w:t xml:space="preserve">This </w:t>
      </w:r>
      <w:r w:rsidRPr="000F2485">
        <w:t xml:space="preserve">PHA agreement </w:t>
      </w:r>
      <w:r w:rsidRPr="008E3CE9">
        <w:t>is quite significant as it has monitoring frameworks attached to it and this is the first year we have identified and chosen projects ourselves. We have a better chance of ownership if we get to decide what we do</w:t>
      </w:r>
      <w:r w:rsidRPr="00594DF6">
        <w:t>.</w:t>
      </w:r>
      <w:r>
        <w:rPr>
          <w:rStyle w:val="EndnoteReference"/>
        </w:rPr>
        <w:endnoteReference w:id="90"/>
      </w:r>
      <w:r>
        <w:t xml:space="preserve"> </w:t>
      </w:r>
    </w:p>
    <w:p w14:paraId="0965A1F4" w14:textId="232D8173" w:rsidR="00AF6A11" w:rsidRDefault="00AF6A11" w:rsidP="005A520B">
      <w:r>
        <w:t>Also, HCDP ‘</w:t>
      </w:r>
      <w:r w:rsidRPr="003E23F3">
        <w:rPr>
          <w:i/>
        </w:rPr>
        <w:t>integrate[s] their support within PNG-led programs to strengthen capacity development</w:t>
      </w:r>
      <w:r w:rsidR="00D2236B">
        <w:rPr>
          <w:i/>
        </w:rPr>
        <w:t>.’</w:t>
      </w:r>
      <w:r>
        <w:rPr>
          <w:rStyle w:val="EndnoteReference"/>
        </w:rPr>
        <w:endnoteReference w:id="91"/>
      </w:r>
      <w:r>
        <w:t xml:space="preserve"> </w:t>
      </w:r>
    </w:p>
    <w:p w14:paraId="1B02C7DD" w14:textId="23CBEEF2" w:rsidR="00AF6A11" w:rsidRDefault="00AF6A11" w:rsidP="005A520B">
      <w:r>
        <w:t>These measures will be critical considering the challenging environment in which the support to PHAs takes place. As mentioned earlier, a recent review identified many issues related to a lack of leadership at all levels, a lack of political</w:t>
      </w:r>
      <w:r w:rsidRPr="000F2485">
        <w:t xml:space="preserve"> </w:t>
      </w:r>
      <w:r>
        <w:t xml:space="preserve">support worsened by changes in </w:t>
      </w:r>
      <w:r w:rsidR="00E8373D">
        <w:t xml:space="preserve">elected </w:t>
      </w:r>
      <w:r>
        <w:t>leaders, insufficient planning, insufficient support to provinces from the national level, and inadequate advocacy for and awareness of PHAs.</w:t>
      </w:r>
      <w:r>
        <w:rPr>
          <w:rStyle w:val="EndnoteReference"/>
        </w:rPr>
        <w:endnoteReference w:id="92"/>
      </w:r>
      <w:r>
        <w:t xml:space="preserve"> Staff may need </w:t>
      </w:r>
      <w:r w:rsidR="00B74369">
        <w:t xml:space="preserve">to </w:t>
      </w:r>
      <w:r>
        <w:t xml:space="preserve">rethink the proposed strategies for implementation and sustainability and consider how to address these systemic issues </w:t>
      </w:r>
      <w:r w:rsidR="00B74369">
        <w:t xml:space="preserve">which </w:t>
      </w:r>
      <w:r>
        <w:t>could undermine PHAs.</w:t>
      </w:r>
    </w:p>
    <w:p w14:paraId="54BA21EE" w14:textId="77777777" w:rsidR="00AF6A11" w:rsidRDefault="00E8373D" w:rsidP="005A520B">
      <w:r>
        <w:t>Australia’s support for PHAs is justified, g</w:t>
      </w:r>
      <w:r w:rsidR="00AF6A11">
        <w:t>iven their critical role</w:t>
      </w:r>
      <w:r>
        <w:t xml:space="preserve">. </w:t>
      </w:r>
      <w:r w:rsidR="00AF6A11">
        <w:t xml:space="preserve">However, the challenges in addressing the problems surrounding their establishment does pose potential risks for achieving effective outcomes and points to the need for </w:t>
      </w:r>
      <w:r w:rsidR="00ED5B6F">
        <w:t xml:space="preserve">rigorous </w:t>
      </w:r>
      <w:r w:rsidR="00AF6A11">
        <w:t>monitoring.</w:t>
      </w:r>
    </w:p>
    <w:p w14:paraId="03B48D98" w14:textId="77777777" w:rsidR="00AF6A11" w:rsidRPr="00813F36" w:rsidRDefault="00ED5B6F" w:rsidP="00197A18">
      <w:pPr>
        <w:pStyle w:val="Heading3"/>
      </w:pPr>
      <w:bookmarkStart w:id="112" w:name="_Toc371086169"/>
      <w:bookmarkStart w:id="113" w:name="_Toc372300930"/>
      <w:bookmarkStart w:id="114" w:name="_Toc382563869"/>
      <w:bookmarkStart w:id="115" w:name="_Toc382595823"/>
      <w:r>
        <w:t>E</w:t>
      </w:r>
      <w:r w:rsidR="00AF6A11" w:rsidRPr="00813F36">
        <w:t>quity and gender</w:t>
      </w:r>
      <w:bookmarkEnd w:id="112"/>
      <w:bookmarkEnd w:id="113"/>
      <w:bookmarkEnd w:id="114"/>
      <w:bookmarkEnd w:id="115"/>
      <w:r w:rsidR="00AF6A11" w:rsidRPr="00813F36">
        <w:t xml:space="preserve"> </w:t>
      </w:r>
    </w:p>
    <w:p w14:paraId="40A8A36F" w14:textId="77777777" w:rsidR="00AF6A11" w:rsidRDefault="00AF6A11" w:rsidP="005A520B">
      <w:r>
        <w:t>The three pilot PHA provinces were self-selected as pilots, on the basis of interest and commitment rather than poverty. However, these provinces include seven of the 20 ‘high poverty’ districts in PNG.</w:t>
      </w:r>
      <w:r>
        <w:rPr>
          <w:rStyle w:val="EndnoteReference"/>
        </w:rPr>
        <w:endnoteReference w:id="93"/>
      </w:r>
      <w:r>
        <w:t xml:space="preserve"> During our fieldwork, there was frequent mention of a lack of accurate data on which to base funding decisions concerning target locations. </w:t>
      </w:r>
    </w:p>
    <w:p w14:paraId="2092C167" w14:textId="2B332719" w:rsidR="00AF6A11" w:rsidRPr="00E7283F" w:rsidRDefault="00AF6A11" w:rsidP="005A520B">
      <w:r>
        <w:t xml:space="preserve">The HCDP has clear strategies that focus on gender equality. One promotes maternal health through provincial support for maternal care and family planning. A second </w:t>
      </w:r>
      <w:r w:rsidRPr="00CE3626">
        <w:t>increase</w:t>
      </w:r>
      <w:r>
        <w:t>s</w:t>
      </w:r>
      <w:r w:rsidRPr="00CE3626">
        <w:t xml:space="preserve"> women’s role in the </w:t>
      </w:r>
      <w:r w:rsidRPr="004866AA">
        <w:rPr>
          <w:b/>
        </w:rPr>
        <w:t>h</w:t>
      </w:r>
      <w:r w:rsidRPr="00CE3626">
        <w:t>ealth workforce</w:t>
      </w:r>
      <w:r>
        <w:t xml:space="preserve"> through recruitment and representation of women on decision-making bodies such </w:t>
      </w:r>
      <w:r w:rsidR="004866AA">
        <w:t>as the PHA boards.</w:t>
      </w:r>
      <w:r w:rsidR="004866AA">
        <w:rPr>
          <w:rStyle w:val="FootnoteReference"/>
        </w:rPr>
        <w:footnoteReference w:id="13"/>
      </w:r>
      <w:r w:rsidR="004866AA">
        <w:t xml:space="preserve"> Finally, sex-disaggregated data is used to inform</w:t>
      </w:r>
      <w:r w:rsidR="004866AA" w:rsidRPr="00CE3626">
        <w:t xml:space="preserve"> </w:t>
      </w:r>
      <w:r w:rsidR="004866AA">
        <w:t>efforts to increase accessibility of health services and ensure gender responsive budgeting.</w:t>
      </w:r>
      <w:r w:rsidR="004866AA">
        <w:rPr>
          <w:rStyle w:val="EndnoteReference"/>
        </w:rPr>
        <w:endnoteReference w:id="94"/>
      </w:r>
      <w:r w:rsidR="004866AA">
        <w:t xml:space="preserve"> The design does</w:t>
      </w:r>
      <w:r w:rsidR="008B68CE">
        <w:t xml:space="preserve"> not</w:t>
      </w:r>
      <w:r w:rsidR="004866AA">
        <w:t xml:space="preserve"> detail how these strategies would be implemented and reviewed.</w:t>
      </w:r>
    </w:p>
    <w:p w14:paraId="39124B5C" w14:textId="77777777" w:rsidR="00AF6A11" w:rsidRDefault="00AF6A11" w:rsidP="00197A18">
      <w:pPr>
        <w:pStyle w:val="Heading3"/>
      </w:pPr>
      <w:bookmarkStart w:id="116" w:name="_Toc371086170"/>
      <w:bookmarkStart w:id="117" w:name="_Toc372300931"/>
      <w:bookmarkStart w:id="118" w:name="_Toc382563870"/>
      <w:bookmarkStart w:id="119" w:name="_Toc382595824"/>
      <w:r>
        <w:t>Complement</w:t>
      </w:r>
      <w:r w:rsidR="00ED5B6F">
        <w:t xml:space="preserve">ing </w:t>
      </w:r>
      <w:r>
        <w:t>other initiatives</w:t>
      </w:r>
      <w:bookmarkEnd w:id="116"/>
      <w:bookmarkEnd w:id="117"/>
      <w:bookmarkEnd w:id="118"/>
      <w:bookmarkEnd w:id="119"/>
    </w:p>
    <w:p w14:paraId="0DE1D214" w14:textId="1669BA9D" w:rsidR="00AF6A11" w:rsidRDefault="00AF6A11" w:rsidP="005A520B">
      <w:r>
        <w:t>Program documentation considers integration</w:t>
      </w:r>
      <w:r w:rsidR="00ED5B6F">
        <w:t xml:space="preserve"> of Australian support</w:t>
      </w:r>
      <w:r>
        <w:t>, particularly between health sector and governance programs. Aid program staff envisage</w:t>
      </w:r>
      <w:r w:rsidR="00ED5B6F">
        <w:t>d</w:t>
      </w:r>
      <w:r>
        <w:t xml:space="preserve"> this being facilitated within the subnational strategy. However, it is less clear how </w:t>
      </w:r>
      <w:r w:rsidRPr="00BB15DE">
        <w:t xml:space="preserve">such activities delivered through different programs </w:t>
      </w:r>
      <w:r>
        <w:t>would be</w:t>
      </w:r>
      <w:r w:rsidRPr="00BB15DE">
        <w:t xml:space="preserve"> ‘joined up</w:t>
      </w:r>
      <w:r w:rsidR="00D2236B">
        <w:t>.’</w:t>
      </w:r>
      <w:r>
        <w:t xml:space="preserve"> For example,</w:t>
      </w:r>
      <w:r w:rsidRPr="00BB15DE">
        <w:t xml:space="preserve"> </w:t>
      </w:r>
      <w:r>
        <w:t>it is not clear how</w:t>
      </w:r>
      <w:r w:rsidRPr="00BB15DE">
        <w:t xml:space="preserve"> efforts on the supply</w:t>
      </w:r>
      <w:r>
        <w:t xml:space="preserve"> </w:t>
      </w:r>
      <w:r w:rsidRPr="00BB15DE">
        <w:t>side (concerning PHAs) and demand</w:t>
      </w:r>
      <w:r>
        <w:t xml:space="preserve"> </w:t>
      </w:r>
      <w:r w:rsidRPr="00BB15DE">
        <w:t>side</w:t>
      </w:r>
      <w:r>
        <w:t xml:space="preserve"> reinforce one another, or how efforts with central agencies and work with sector agencies and provincial administrations are to be coordinated. </w:t>
      </w:r>
      <w:r w:rsidR="00ED5B6F">
        <w:t>F</w:t>
      </w:r>
      <w:r>
        <w:t>ieldwork</w:t>
      </w:r>
      <w:r w:rsidR="00ED5B6F">
        <w:t xml:space="preserve"> for this evaluation</w:t>
      </w:r>
      <w:r>
        <w:t xml:space="preserve"> indicated that the aid program needs to consider </w:t>
      </w:r>
      <w:r w:rsidR="00ED5B6F">
        <w:t xml:space="preserve">more carefully </w:t>
      </w:r>
      <w:r>
        <w:t>how to support coordination at subnational level. Government stakeholders at both national and subnational levels reported coordination of aid programs at provincial level to be a ‘</w:t>
      </w:r>
      <w:r w:rsidRPr="00BD7AF4">
        <w:rPr>
          <w:i/>
        </w:rPr>
        <w:t>major issue</w:t>
      </w:r>
      <w:r>
        <w:t>’ and that there was ‘</w:t>
      </w:r>
      <w:r w:rsidRPr="00BD7AF4">
        <w:rPr>
          <w:i/>
        </w:rPr>
        <w:t>no coordination at the frontline</w:t>
      </w:r>
      <w:r w:rsidR="00D2236B">
        <w:t>.’</w:t>
      </w:r>
      <w:r>
        <w:t xml:space="preserve"> </w:t>
      </w:r>
    </w:p>
    <w:bookmarkStart w:id="120" w:name="_Toc408831778"/>
    <w:bookmarkStart w:id="121" w:name="_Toc371105417"/>
    <w:bookmarkStart w:id="122" w:name="_Toc382563872"/>
    <w:bookmarkStart w:id="123" w:name="_Toc382595826"/>
    <w:p w14:paraId="6D30531C" w14:textId="77777777" w:rsidR="00AF6A11" w:rsidRDefault="00AF6A11" w:rsidP="00921A4C">
      <w:pPr>
        <w:pStyle w:val="Heading1"/>
        <w:ind w:left="709" w:hanging="709"/>
      </w:pPr>
      <w:r>
        <w:rPr>
          <w:noProof/>
        </w:rPr>
        <mc:AlternateContent>
          <mc:Choice Requires="wps">
            <w:drawing>
              <wp:anchor distT="0" distB="0" distL="114300" distR="114300" simplePos="0" relativeHeight="251764736" behindDoc="1" locked="0" layoutInCell="1" allowOverlap="1" wp14:anchorId="44E834E2" wp14:editId="1B419127">
                <wp:simplePos x="0" y="0"/>
                <wp:positionH relativeFrom="page">
                  <wp:posOffset>-9525</wp:posOffset>
                </wp:positionH>
                <wp:positionV relativeFrom="paragraph">
                  <wp:posOffset>-278691</wp:posOffset>
                </wp:positionV>
                <wp:extent cx="7610400" cy="1468800"/>
                <wp:effectExtent l="0" t="0" r="0" b="0"/>
                <wp:wrapNone/>
                <wp:docPr id="4" name="Rectangle 4"/>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 o:spid="_x0000_s1026" style="position:absolute;margin-left:-.75pt;margin-top:-21.95pt;width:599.25pt;height:115.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mUlQIAAIYFAAAOAAAAZHJzL2Uyb0RvYy54bWysVMFu2zAMvQ/YPwi6r7YDN02DOkXQosOA&#10;oi3aDj0rshQbkEVNUuJkXz9Kst2uK3YYloMiiuQj+Uzy4vLQKbIX1rWgK1qc5JQIzaFu9bai359v&#10;viwocZ7pminQoqJH4ejl6vOni94sxQwaULWwBEG0W/amoo33ZplljjeiY+4EjNColGA75lG026y2&#10;rEf0TmWzPJ9nPdjaWODCOXy9Tkq6ivhSCu7vpXTCE1VRzM3H08ZzE85sdcGWW8tM0/IhDfYPWXSs&#10;1Rh0grpmnpGdbf+A6lpuwYH0Jxy6DKRsuYg1YDVF/q6ap4YZEWtBcpyZaHL/D5bf7R8saeuKlpRo&#10;1uEnekTSmN4qQcpAT2/cEq2ezIMdJIfXUOtB2i78YxXkECk9TpSKgyccH8/mRV7myDxHXVHOFwsU&#10;ECd7dTfW+a8COhIuFbUYPlLJ9rfOJ9PRJERzoNr6plUqCna7uVKW7Bl+32JWlov5gP6bmdLBWENw&#10;S4jhJQulpWLizR+VCHZKPwqJnGD6s5hJ7EYxxWGcC+2LpGpYLVL40xx/Y/TQv8EjVhoBA7LE+BP2&#10;ADBaJpARO2U52AdXEZt5cs7/llhynjxiZNB+cu5aDfYjAIVVDZGT/UhSoiawtIH6iB1jIY2SM/ym&#10;xe92y5x/YBZnB7817gN/j4dU0FcUhhslDdifH70He2xp1FLS4yxW1P3YMSsoUd80Nvt5UZZheKNQ&#10;np7NULBvNZu3Gr3rriC0A24ew+M12Hs1XqWF7gXXxjpERRXTHGNXlHs7Clc+7QhcPFys19EMB9Yw&#10;f6ufDA/ggdXQl8+HF2bN0Lwe+/4Oxrlly3c9nGyDp4b1zoNsY4O/8jrwjcMeG2dYTGGbvJWj1ev6&#10;XP0CAAD//wMAUEsDBBQABgAIAAAAIQBf2qPE4AAAAAsBAAAPAAAAZHJzL2Rvd25yZXYueG1sTI/N&#10;TsMwEITvlXgHa5G4tU76Q9MQp0KV4BCJAy29u/ESR8TrELtteHu2JzjtrmY0+02xHV0nLjiE1pOC&#10;dJaAQKq9aalR8HF4mWYgQtRkdOcJFfxggG15Nyl0bvyV3vGyj43gEAq5VmBj7HMpQ23R6TDzPRJr&#10;n35wOvI5NNIM+srhrpPzJHmUTrfEH6zucWex/tqfnYIqQ3ts3qpu/K4OqdwtXv0R50o93I/PTyAi&#10;jvHPDDd8RoeSmU7+TCaITsE0XbGT53KxAXEzpJs1tzvxlq2XIMtC/u9Q/gIAAP//AwBQSwECLQAU&#10;AAYACAAAACEAtoM4kv4AAADhAQAAEwAAAAAAAAAAAAAAAAAAAAAAW0NvbnRlbnRfVHlwZXNdLnht&#10;bFBLAQItABQABgAIAAAAIQA4/SH/1gAAAJQBAAALAAAAAAAAAAAAAAAAAC8BAABfcmVscy8ucmVs&#10;c1BLAQItABQABgAIAAAAIQBP8fmUlQIAAIYFAAAOAAAAAAAAAAAAAAAAAC4CAABkcnMvZTJvRG9j&#10;LnhtbFBLAQItABQABgAIAAAAIQBf2qPE4AAAAAsBAAAPAAAAAAAAAAAAAAAAAO8EAABkcnMvZG93&#10;bnJldi54bWxQSwUGAAAAAAQABADzAAAA/AUAAAAA&#10;" fillcolor="#124486" stroked="f" strokeweight="2pt">
                <w10:wrap anchorx="page"/>
              </v:rect>
            </w:pict>
          </mc:Fallback>
        </mc:AlternateContent>
      </w:r>
      <w:r>
        <w:t>3</w:t>
      </w:r>
      <w:r>
        <w:tab/>
        <w:t xml:space="preserve">Lessons from </w:t>
      </w:r>
      <w:r w:rsidR="00621EBF">
        <w:t xml:space="preserve">the </w:t>
      </w:r>
      <w:r>
        <w:t>education sector</w:t>
      </w:r>
      <w:bookmarkEnd w:id="120"/>
      <w:r>
        <w:t xml:space="preserve"> </w:t>
      </w:r>
    </w:p>
    <w:p w14:paraId="71F144B1" w14:textId="77777777" w:rsidR="00AF6A11" w:rsidRPr="005A520B" w:rsidRDefault="00AF6A11" w:rsidP="005A520B">
      <w:pPr>
        <w:pStyle w:val="BoxHeading"/>
        <w:rPr>
          <w:rStyle w:val="IntenseEmphasis"/>
          <w:b/>
          <w:bCs/>
          <w:i w:val="0"/>
          <w:iCs w:val="0"/>
          <w:color w:val="auto"/>
        </w:rPr>
      </w:pPr>
      <w:r>
        <w:rPr>
          <w:rStyle w:val="IntenseEmphasis"/>
          <w:b/>
          <w:bCs/>
          <w:i w:val="0"/>
          <w:iCs w:val="0"/>
          <w:color w:val="auto"/>
        </w:rPr>
        <w:t>Evaluation question</w:t>
      </w:r>
    </w:p>
    <w:p w14:paraId="4FE52D51" w14:textId="77777777" w:rsidR="00AF6A11" w:rsidRPr="003E23F3" w:rsidRDefault="00AF6A11" w:rsidP="003E23F3">
      <w:pPr>
        <w:pStyle w:val="BoxBullet"/>
        <w:spacing w:after="0"/>
        <w:rPr>
          <w:rStyle w:val="IntenseEmphasis"/>
          <w:b w:val="0"/>
          <w:bCs w:val="0"/>
          <w:i w:val="0"/>
          <w:iCs w:val="0"/>
          <w:color w:val="auto"/>
        </w:rPr>
      </w:pPr>
      <w:r w:rsidRPr="00486F53">
        <w:rPr>
          <w:rStyle w:val="IntenseEmphasis"/>
          <w:b w:val="0"/>
          <w:bCs w:val="0"/>
          <w:i w:val="0"/>
          <w:iCs w:val="0"/>
          <w:color w:val="auto"/>
        </w:rPr>
        <w:t>What key implementation lessons and good practice would improve sectoral programming in decentralised cont</w:t>
      </w:r>
      <w:r w:rsidRPr="00D85971">
        <w:rPr>
          <w:rStyle w:val="IntenseEmphasis"/>
          <w:b w:val="0"/>
          <w:bCs w:val="0"/>
          <w:i w:val="0"/>
          <w:iCs w:val="0"/>
          <w:color w:val="auto"/>
        </w:rPr>
        <w:t>exts?</w:t>
      </w:r>
    </w:p>
    <w:p w14:paraId="26084F60" w14:textId="77777777" w:rsidR="00AF6A11" w:rsidRPr="00B9479A" w:rsidRDefault="00AF6A11" w:rsidP="00EB40F1">
      <w:pPr>
        <w:spacing w:before="0" w:after="0"/>
        <w:rPr>
          <w:rStyle w:val="IntenseEmphasis"/>
          <w:b w:val="0"/>
          <w:bCs w:val="0"/>
          <w:i w:val="0"/>
          <w:iCs w:val="0"/>
          <w:color w:val="auto"/>
        </w:rPr>
      </w:pPr>
    </w:p>
    <w:p w14:paraId="27D9CC46" w14:textId="77777777" w:rsidR="00AF6A11" w:rsidRPr="00885AD2" w:rsidRDefault="00AF6A11" w:rsidP="00B9479A">
      <w:pPr>
        <w:pStyle w:val="BoxHeading"/>
        <w:spacing w:before="0"/>
      </w:pPr>
      <w:r w:rsidRPr="00885AD2">
        <w:t>Key findings</w:t>
      </w:r>
    </w:p>
    <w:p w14:paraId="697E6E52" w14:textId="7128D65C" w:rsidR="00AF6A11" w:rsidRDefault="00AF6A11" w:rsidP="00AE2162">
      <w:pPr>
        <w:pStyle w:val="BoxBullet"/>
      </w:pPr>
      <w:r w:rsidRPr="00885AD2">
        <w:t xml:space="preserve">Australian education support </w:t>
      </w:r>
      <w:r w:rsidR="00FD28BB">
        <w:t>does not always</w:t>
      </w:r>
      <w:r w:rsidRPr="00885AD2">
        <w:t xml:space="preserve"> consider decentralisation and subnational roles</w:t>
      </w:r>
      <w:r w:rsidR="00FD28BB">
        <w:t xml:space="preserve">. </w:t>
      </w:r>
      <w:r w:rsidR="00CF6CEF">
        <w:t>A</w:t>
      </w:r>
      <w:r w:rsidR="00FD28BB">
        <w:t xml:space="preserve"> </w:t>
      </w:r>
      <w:r w:rsidRPr="00885AD2">
        <w:t>positive example</w:t>
      </w:r>
      <w:r w:rsidR="00FD28BB">
        <w:t xml:space="preserve"> </w:t>
      </w:r>
      <w:r w:rsidR="00CF6CEF">
        <w:t xml:space="preserve">is </w:t>
      </w:r>
      <w:r>
        <w:t>the emergence of a stronger focus</w:t>
      </w:r>
      <w:r w:rsidRPr="00885AD2">
        <w:t xml:space="preserve"> </w:t>
      </w:r>
      <w:r w:rsidR="00CF6CEF">
        <w:t xml:space="preserve">on these aspects </w:t>
      </w:r>
      <w:r w:rsidRPr="00885AD2">
        <w:t xml:space="preserve">in </w:t>
      </w:r>
      <w:r>
        <w:t>the Philippines</w:t>
      </w:r>
      <w:r w:rsidRPr="00885AD2">
        <w:t xml:space="preserve">, </w:t>
      </w:r>
      <w:r w:rsidR="00CF6CEF">
        <w:t>however</w:t>
      </w:r>
      <w:r w:rsidR="009A6512">
        <w:t xml:space="preserve">, </w:t>
      </w:r>
      <w:r w:rsidRPr="00885AD2">
        <w:t>programs in P</w:t>
      </w:r>
      <w:r w:rsidR="00B74369">
        <w:t>apua New Guinea (PNG)</w:t>
      </w:r>
      <w:r w:rsidRPr="00885AD2">
        <w:t xml:space="preserve"> and Indonesia </w:t>
      </w:r>
      <w:r w:rsidR="00CF6CEF">
        <w:t xml:space="preserve">had </w:t>
      </w:r>
      <w:r w:rsidR="00FD28BB">
        <w:t>more</w:t>
      </w:r>
      <w:r w:rsidR="00FD28BB" w:rsidRPr="00885AD2">
        <w:t xml:space="preserve"> </w:t>
      </w:r>
      <w:r w:rsidRPr="00885AD2">
        <w:t>limited engagement with subnational government.</w:t>
      </w:r>
      <w:r>
        <w:t xml:space="preserve"> </w:t>
      </w:r>
    </w:p>
    <w:p w14:paraId="325B3846" w14:textId="17C23B64" w:rsidR="00AF6A11" w:rsidRDefault="00AF6A11" w:rsidP="0091463B">
      <w:pPr>
        <w:pStyle w:val="BoxBullet"/>
      </w:pPr>
      <w:r>
        <w:t>In some cases, systems are developed and used to deliver support in parallel to existing systems (</w:t>
      </w:r>
      <w:r w:rsidR="00D2236B">
        <w:t>e.g. </w:t>
      </w:r>
      <w:r>
        <w:t xml:space="preserve">through a private contractor). </w:t>
      </w:r>
      <w:r w:rsidRPr="00885AD2">
        <w:t xml:space="preserve">Reasons for choosing to use parallel systems </w:t>
      </w:r>
      <w:r w:rsidR="00FD28BB">
        <w:t>relate to the</w:t>
      </w:r>
      <w:r w:rsidRPr="00885AD2">
        <w:t xml:space="preserve"> assessment of fiduciary risks (PNG) and </w:t>
      </w:r>
      <w:r w:rsidR="00FD28BB">
        <w:t xml:space="preserve">to </w:t>
      </w:r>
      <w:r w:rsidRPr="00885AD2">
        <w:t>avoid the complexity of layers and actors (Indonesia)</w:t>
      </w:r>
      <w:r>
        <w:t>.</w:t>
      </w:r>
    </w:p>
    <w:p w14:paraId="708AB243" w14:textId="77777777" w:rsidR="00AF6A11" w:rsidRDefault="00FD28BB" w:rsidP="0091463B">
      <w:pPr>
        <w:pStyle w:val="BoxBullet"/>
      </w:pPr>
      <w:r>
        <w:t>T</w:t>
      </w:r>
      <w:r w:rsidR="00AF6A11">
        <w:t>he use of parallel systems does not help to build local capacity</w:t>
      </w:r>
      <w:r w:rsidR="00AF6A11" w:rsidRPr="00415579">
        <w:t xml:space="preserve"> </w:t>
      </w:r>
      <w:r w:rsidR="00AF6A11">
        <w:t xml:space="preserve">in subnational partner systems, and thus can affect sustainability. </w:t>
      </w:r>
      <w:r w:rsidR="00AF6A11" w:rsidRPr="00885AD2">
        <w:t xml:space="preserve">The risks of </w:t>
      </w:r>
      <w:r>
        <w:t>limited</w:t>
      </w:r>
      <w:r w:rsidR="00AF6A11" w:rsidRPr="00885AD2">
        <w:t xml:space="preserve"> subnational engagement include </w:t>
      </w:r>
      <w:r w:rsidR="00D20648">
        <w:t xml:space="preserve">the </w:t>
      </w:r>
      <w:r w:rsidR="00AF6A11" w:rsidRPr="00885AD2">
        <w:t xml:space="preserve">deterioration of </w:t>
      </w:r>
      <w:r w:rsidR="00D20648">
        <w:t xml:space="preserve">aid funded </w:t>
      </w:r>
      <w:r w:rsidR="00AF6A11" w:rsidRPr="00885AD2">
        <w:t>school infrastructure due to lack of maintenance by local government, and continued lack of capacity to plan and budget for this area.</w:t>
      </w:r>
    </w:p>
    <w:p w14:paraId="13E5B691" w14:textId="77777777" w:rsidR="00D20648" w:rsidRDefault="00D20648" w:rsidP="00AE2162">
      <w:pPr>
        <w:pStyle w:val="BoxBullet"/>
      </w:pPr>
      <w:r>
        <w:t xml:space="preserve">There have been missed opportunities for innovation and capacity building within existing programs. </w:t>
      </w:r>
    </w:p>
    <w:p w14:paraId="6E99A6D3" w14:textId="77777777" w:rsidR="00AF6A11" w:rsidRDefault="00AF6A11" w:rsidP="00AE2162">
      <w:pPr>
        <w:pStyle w:val="BoxBullet"/>
      </w:pPr>
      <w:r>
        <w:t xml:space="preserve">Effective support at the subnational level is possible, including </w:t>
      </w:r>
      <w:r w:rsidR="00D20648">
        <w:t xml:space="preserve">with </w:t>
      </w:r>
      <w:r>
        <w:t xml:space="preserve">ongoing national engagement to enable </w:t>
      </w:r>
      <w:r w:rsidR="00D20648">
        <w:t>replication of good practice,</w:t>
      </w:r>
      <w:r>
        <w:t xml:space="preserve"> as demonstrated in the Philippines.</w:t>
      </w:r>
    </w:p>
    <w:p w14:paraId="17A1D7CD" w14:textId="116D34C3" w:rsidR="00AF6A11" w:rsidRDefault="00D20648" w:rsidP="009833AF">
      <w:pPr>
        <w:pStyle w:val="BoxBullet"/>
      </w:pPr>
      <w:r>
        <w:t>E</w:t>
      </w:r>
      <w:r w:rsidR="00AF6A11">
        <w:t xml:space="preserve">ducation and governance programs </w:t>
      </w:r>
      <w:r>
        <w:t>have complementary aims i</w:t>
      </w:r>
      <w:r w:rsidR="00AF6A11">
        <w:t xml:space="preserve">n both PNG and the Philippines, though the former could be more strategic. </w:t>
      </w:r>
    </w:p>
    <w:bookmarkEnd w:id="121"/>
    <w:bookmarkEnd w:id="122"/>
    <w:bookmarkEnd w:id="123"/>
    <w:p w14:paraId="36E0A3B9" w14:textId="77777777" w:rsidR="00516D95" w:rsidRDefault="00516D95" w:rsidP="00AE2162"/>
    <w:p w14:paraId="62F5B849" w14:textId="77777777" w:rsidR="00AF6A11" w:rsidRDefault="00AF6A11" w:rsidP="00AE2162">
      <w:r>
        <w:t>The chapter has four sections</w:t>
      </w:r>
      <w:r w:rsidR="00A47E5C">
        <w:t>:</w:t>
      </w:r>
      <w:r>
        <w:t xml:space="preserve"> </w:t>
      </w:r>
      <w:r w:rsidR="00A47E5C">
        <w:t xml:space="preserve">education service delivery and decentralisation </w:t>
      </w:r>
      <w:r>
        <w:t xml:space="preserve">(Section 3.1); Australian education </w:t>
      </w:r>
      <w:r w:rsidR="00A47E5C">
        <w:t>sector</w:t>
      </w:r>
      <w:r>
        <w:t xml:space="preserve"> </w:t>
      </w:r>
      <w:r w:rsidR="00A47E5C">
        <w:t xml:space="preserve">support </w:t>
      </w:r>
      <w:r>
        <w:t xml:space="preserve">(Section 3.2); and two </w:t>
      </w:r>
      <w:r w:rsidR="00CC5E93">
        <w:t>profiles</w:t>
      </w:r>
      <w:r>
        <w:t xml:space="preserve"> based on in-country fieldwork—a service provision facility in PNG (Section 3.3) and an education program in Philippines (Section 3.4).</w:t>
      </w:r>
    </w:p>
    <w:p w14:paraId="07ABBEAF" w14:textId="77777777" w:rsidR="00AF6A11" w:rsidRDefault="00AF6A11" w:rsidP="00AE2162">
      <w:pPr>
        <w:pStyle w:val="Heading2"/>
        <w:spacing w:before="360" w:after="240" w:line="288" w:lineRule="auto"/>
        <w:ind w:left="0" w:firstLine="0"/>
      </w:pPr>
      <w:bookmarkStart w:id="124" w:name="_Toc370253572"/>
      <w:bookmarkStart w:id="125" w:name="_Toc371105418"/>
      <w:bookmarkStart w:id="126" w:name="_Toc382563873"/>
      <w:bookmarkStart w:id="127" w:name="_Toc382595827"/>
      <w:bookmarkStart w:id="128" w:name="_Toc408831779"/>
      <w:r>
        <w:t>3.1</w:t>
      </w:r>
      <w:r>
        <w:tab/>
        <w:t>Education service delivery and decentralisation</w:t>
      </w:r>
      <w:bookmarkEnd w:id="124"/>
      <w:bookmarkEnd w:id="125"/>
      <w:bookmarkEnd w:id="126"/>
      <w:bookmarkEnd w:id="127"/>
      <w:bookmarkEnd w:id="128"/>
      <w:r>
        <w:t xml:space="preserve"> </w:t>
      </w:r>
    </w:p>
    <w:p w14:paraId="62BF0435" w14:textId="77777777" w:rsidR="00AF6A11" w:rsidRDefault="00AF6A11" w:rsidP="00AE2162">
      <w:r>
        <w:t xml:space="preserve">In the education sector, </w:t>
      </w:r>
      <w:r w:rsidRPr="00F9730C">
        <w:t xml:space="preserve">central governments </w:t>
      </w:r>
      <w:r>
        <w:t xml:space="preserve">typically </w:t>
      </w:r>
      <w:r w:rsidRPr="00F9730C">
        <w:t xml:space="preserve">retain responsibility for policy, standard setting, regulation, supervision, </w:t>
      </w:r>
      <w:r>
        <w:t>and</w:t>
      </w:r>
      <w:r w:rsidRPr="00F9730C">
        <w:t xml:space="preserve"> decisions related to the national curriculum content, instruction time, teachers’ salaries and resource allocation</w:t>
      </w:r>
      <w:r>
        <w:t>. Subnational levels are often involved in school management and governance, as well as performance monitoring.</w:t>
      </w:r>
      <w:r>
        <w:rPr>
          <w:rStyle w:val="EndnoteReference"/>
        </w:rPr>
        <w:endnoteReference w:id="95"/>
      </w:r>
    </w:p>
    <w:p w14:paraId="55114DC7" w14:textId="77777777" w:rsidR="00AF6A11" w:rsidRDefault="00AF6A11" w:rsidP="00C615DC">
      <w:pPr>
        <w:pStyle w:val="NormalBeforeBullet"/>
      </w:pPr>
      <w:r>
        <w:t>T</w:t>
      </w:r>
      <w:r w:rsidRPr="00B86701">
        <w:t xml:space="preserve">he </w:t>
      </w:r>
      <w:r w:rsidRPr="00350771">
        <w:t>challenges mentioned in Section</w:t>
      </w:r>
      <w:r>
        <w:t> </w:t>
      </w:r>
      <w:r w:rsidRPr="00350771">
        <w:t xml:space="preserve">1.2 concerning service delivery in decentralised contexts </w:t>
      </w:r>
      <w:r w:rsidR="00D20648">
        <w:t xml:space="preserve">apply to </w:t>
      </w:r>
      <w:r w:rsidRPr="00350771">
        <w:t xml:space="preserve">education service delivery. There are </w:t>
      </w:r>
      <w:r w:rsidR="00D20648">
        <w:t>additional challenges</w:t>
      </w:r>
      <w:r w:rsidRPr="007B60FD">
        <w:t xml:space="preserve"> particular to the education sector</w:t>
      </w:r>
      <w:r w:rsidR="00D20648">
        <w:t>:</w:t>
      </w:r>
      <w:r>
        <w:t xml:space="preserve"> </w:t>
      </w:r>
    </w:p>
    <w:p w14:paraId="13E1B40C" w14:textId="258DD09E" w:rsidR="00AF6A11" w:rsidRDefault="00D20648" w:rsidP="00CF6CEF">
      <w:pPr>
        <w:pStyle w:val="Bullet"/>
      </w:pPr>
      <w:r>
        <w:t>M</w:t>
      </w:r>
      <w:r w:rsidR="00AF6A11">
        <w:t>otivated, qualified teachers are the most critical component of quality education, and teachers’ salaries form the largest part of the education budget.</w:t>
      </w:r>
      <w:r w:rsidR="00AF6A11">
        <w:rPr>
          <w:rStyle w:val="EndnoteReference"/>
        </w:rPr>
        <w:endnoteReference w:id="96"/>
      </w:r>
      <w:r w:rsidR="00AF6A11">
        <w:t xml:space="preserve"> This raises important questions in a decentralised context </w:t>
      </w:r>
      <w:r w:rsidR="00B74369">
        <w:t>about</w:t>
      </w:r>
      <w:r w:rsidR="00AF6A11">
        <w:t xml:space="preserve"> how resources for salaries are allocated. Human resource management therefore becomes a central consideration and in many contexts requires engagement with central agencies. </w:t>
      </w:r>
    </w:p>
    <w:p w14:paraId="54C4E149" w14:textId="77777777" w:rsidR="00AF6A11" w:rsidRDefault="00CF6CEF" w:rsidP="00CF6CEF">
      <w:pPr>
        <w:pStyle w:val="Bullet"/>
      </w:pPr>
      <w:r>
        <w:t>A</w:t>
      </w:r>
      <w:r w:rsidR="00AF6A11">
        <w:t xml:space="preserve"> large share of funds must be spent at the local and school levels, involving a very large number of locations. This underlines the importance of donors using existing financing systems rather than parallel systems which are neither practical nor sustainable.</w:t>
      </w:r>
      <w:r w:rsidR="00AF6A11">
        <w:rPr>
          <w:rStyle w:val="EndnoteReference"/>
        </w:rPr>
        <w:endnoteReference w:id="97"/>
      </w:r>
      <w:r w:rsidR="00AF6A11">
        <w:t xml:space="preserve"> </w:t>
      </w:r>
    </w:p>
    <w:p w14:paraId="20039ED0" w14:textId="77777777" w:rsidR="00AF6A11" w:rsidRDefault="00CF6CEF" w:rsidP="00CF6CEF">
      <w:pPr>
        <w:pStyle w:val="Bullet"/>
      </w:pPr>
      <w:r>
        <w:t>S</w:t>
      </w:r>
      <w:r w:rsidR="00AF6A11">
        <w:t>chool funding, which often supports fee-free schooling, is a recurrent cost, and requires planning and budgeting at the subnational level. However, due to central government fears that local authorities may not prioritise school funding, in some contexts such funding remains centrally managed. This becomes a vicious cycle where subnational level authorities are side-lined and do not have incentives for taking over this responsibility.</w:t>
      </w:r>
      <w:r w:rsidR="00AF6A11">
        <w:rPr>
          <w:rStyle w:val="EndnoteReference"/>
        </w:rPr>
        <w:endnoteReference w:id="98"/>
      </w:r>
      <w:r w:rsidR="00AF6A11">
        <w:t xml:space="preserve"> </w:t>
      </w:r>
    </w:p>
    <w:p w14:paraId="45F05D9D" w14:textId="77777777" w:rsidR="00AF6A11" w:rsidRDefault="00CF6CEF" w:rsidP="00CF6CEF">
      <w:pPr>
        <w:pStyle w:val="Bullet"/>
      </w:pPr>
      <w:r>
        <w:t>S</w:t>
      </w:r>
      <w:r w:rsidR="00AF6A11">
        <w:t xml:space="preserve">chool infrastructure requires ongoing management and maintenance, and is usually a shared responsibility between schools and local government. However, if local government ownership is low, </w:t>
      </w:r>
      <w:r w:rsidR="00D20648">
        <w:t>there are often</w:t>
      </w:r>
      <w:r w:rsidR="00AF6A11">
        <w:t xml:space="preserve"> inadequate pla</w:t>
      </w:r>
      <w:r w:rsidR="00D20648">
        <w:t>ns</w:t>
      </w:r>
      <w:r w:rsidR="00AF6A11">
        <w:t xml:space="preserve"> </w:t>
      </w:r>
      <w:r w:rsidR="00D20648">
        <w:t>and</w:t>
      </w:r>
      <w:r w:rsidR="00AF6A11">
        <w:t xml:space="preserve"> budg</w:t>
      </w:r>
      <w:r w:rsidR="00D20648">
        <w:t>ets</w:t>
      </w:r>
      <w:r w:rsidR="00F5473E">
        <w:t xml:space="preserve"> for this work</w:t>
      </w:r>
      <w:r w:rsidR="00AF6A11">
        <w:t>.</w:t>
      </w:r>
      <w:r w:rsidR="00AF6A11">
        <w:rPr>
          <w:rStyle w:val="EndnoteReference"/>
        </w:rPr>
        <w:endnoteReference w:id="99"/>
      </w:r>
      <w:r w:rsidR="00AF6A11">
        <w:t xml:space="preserve"> </w:t>
      </w:r>
    </w:p>
    <w:p w14:paraId="314437E3" w14:textId="77777777" w:rsidR="00AF6A11" w:rsidRDefault="00CF6CEF" w:rsidP="00CF6CEF">
      <w:pPr>
        <w:pStyle w:val="Bullet"/>
      </w:pPr>
      <w:r>
        <w:t>A</w:t>
      </w:r>
      <w:r w:rsidR="00AF6A11">
        <w:t xml:space="preserve"> focus on school-based management as a mechanism to increase accountability between schools and the communities they serve </w:t>
      </w:r>
      <w:r w:rsidR="00D20648">
        <w:t>is seen</w:t>
      </w:r>
      <w:r w:rsidR="00AF6A11">
        <w:t xml:space="preserve"> as an approach that responds to decentralisation. In some locations, it has assisted with resource allocation, hiring of additional teachers outside the civil service, better teacher attendance rates and improved learning environment and learning outcomes.</w:t>
      </w:r>
      <w:r w:rsidR="00AF6A11">
        <w:rPr>
          <w:rStyle w:val="EndnoteReference"/>
        </w:rPr>
        <w:endnoteReference w:id="100"/>
      </w:r>
      <w:bookmarkStart w:id="129" w:name="_Toc371105419"/>
      <w:bookmarkStart w:id="130" w:name="_Toc382563874"/>
      <w:bookmarkStart w:id="131" w:name="_Toc382595828"/>
      <w:r w:rsidR="00AF6A11">
        <w:t xml:space="preserve"> </w:t>
      </w:r>
    </w:p>
    <w:p w14:paraId="2120CFDD" w14:textId="77777777" w:rsidR="00AF6A11" w:rsidRDefault="00AF6A11" w:rsidP="00AE2162">
      <w:pPr>
        <w:pStyle w:val="Heading2"/>
      </w:pPr>
      <w:bookmarkStart w:id="132" w:name="_Toc408831780"/>
      <w:r>
        <w:t>3.2</w:t>
      </w:r>
      <w:r>
        <w:tab/>
        <w:t>Australian education sector support</w:t>
      </w:r>
      <w:bookmarkEnd w:id="129"/>
      <w:bookmarkEnd w:id="130"/>
      <w:bookmarkEnd w:id="131"/>
      <w:bookmarkEnd w:id="132"/>
    </w:p>
    <w:p w14:paraId="7997A2E4" w14:textId="1048579F" w:rsidR="00AF6A11" w:rsidRPr="00276B0B" w:rsidRDefault="00AF7268" w:rsidP="00AE2162">
      <w:r>
        <w:rPr>
          <w:szCs w:val="21"/>
        </w:rPr>
        <w:t>Education forms a significant part of the Australian aid program</w:t>
      </w:r>
      <w:r w:rsidR="00B74369">
        <w:rPr>
          <w:szCs w:val="21"/>
        </w:rPr>
        <w:t>.</w:t>
      </w:r>
      <w:r>
        <w:rPr>
          <w:szCs w:val="21"/>
        </w:rPr>
        <w:t xml:space="preserve"> In</w:t>
      </w:r>
      <w:r w:rsidRPr="00A97BCA">
        <w:rPr>
          <w:szCs w:val="21"/>
        </w:rPr>
        <w:t xml:space="preserve"> 2014-2015, </w:t>
      </w:r>
      <w:r>
        <w:rPr>
          <w:szCs w:val="21"/>
        </w:rPr>
        <w:t>23</w:t>
      </w:r>
      <w:r w:rsidR="00B74369">
        <w:rPr>
          <w:szCs w:val="21"/>
        </w:rPr>
        <w:t> </w:t>
      </w:r>
      <w:r>
        <w:rPr>
          <w:szCs w:val="21"/>
        </w:rPr>
        <w:t>per cent of aid program</w:t>
      </w:r>
      <w:r w:rsidRPr="00A97BCA">
        <w:rPr>
          <w:szCs w:val="21"/>
        </w:rPr>
        <w:t xml:space="preserve"> funding </w:t>
      </w:r>
      <w:r>
        <w:rPr>
          <w:szCs w:val="21"/>
        </w:rPr>
        <w:t xml:space="preserve">will be </w:t>
      </w:r>
      <w:r w:rsidRPr="00A97BCA">
        <w:rPr>
          <w:szCs w:val="21"/>
        </w:rPr>
        <w:t>o</w:t>
      </w:r>
      <w:r>
        <w:rPr>
          <w:szCs w:val="21"/>
        </w:rPr>
        <w:t>n education (</w:t>
      </w:r>
      <w:r w:rsidR="00B74369">
        <w:rPr>
          <w:szCs w:val="21"/>
        </w:rPr>
        <w:t>$</w:t>
      </w:r>
      <w:r>
        <w:rPr>
          <w:szCs w:val="21"/>
        </w:rPr>
        <w:t>1105.8 million)</w:t>
      </w:r>
      <w:r w:rsidRPr="00A97BCA">
        <w:rPr>
          <w:szCs w:val="21"/>
        </w:rPr>
        <w:t>.</w:t>
      </w:r>
      <w:r>
        <w:rPr>
          <w:rStyle w:val="EndnoteReference"/>
          <w:szCs w:val="21"/>
        </w:rPr>
        <w:endnoteReference w:id="101"/>
      </w:r>
      <w:r>
        <w:t xml:space="preserve"> </w:t>
      </w:r>
      <w:r w:rsidR="00F5473E">
        <w:t>T</w:t>
      </w:r>
      <w:r>
        <w:t>he</w:t>
      </w:r>
      <w:r w:rsidR="00AF6A11">
        <w:t xml:space="preserve"> education thematic strategy</w:t>
      </w:r>
      <w:r w:rsidR="00F5473E">
        <w:t xml:space="preserve"> </w:t>
      </w:r>
      <w:r w:rsidR="00AF6A11">
        <w:t>recognises the international commitment to universal primary education. It focuses on improving access to basic education and learning outcomes. It also commits to driving development through better governance, recognising the role of partner governments to support quality education. This strategy only gave partial consideration to decentralisation and its implications for education service delivery. It was the weakest among the sector strategies in this regard</w:t>
      </w:r>
      <w:r w:rsidR="00F5473E">
        <w:t xml:space="preserve"> (see </w:t>
      </w:r>
      <w:r w:rsidR="00A47E5C">
        <w:t>Section </w:t>
      </w:r>
      <w:r w:rsidR="00F5473E">
        <w:t>6.1)</w:t>
      </w:r>
      <w:r w:rsidR="00AF6A11">
        <w:t>.</w:t>
      </w:r>
      <w:r w:rsidR="00AF6A11" w:rsidRPr="00554508">
        <w:t xml:space="preserve">This evaluation found that education sector staff </w:t>
      </w:r>
      <w:r w:rsidR="00AF6A11">
        <w:t>appreciated</w:t>
      </w:r>
      <w:r w:rsidR="00AF6A11" w:rsidRPr="00554508">
        <w:t xml:space="preserve"> the need to e</w:t>
      </w:r>
      <w:r w:rsidR="00AF6A11">
        <w:t>ngage with decentralisation</w:t>
      </w:r>
      <w:r w:rsidR="00F5473E">
        <w:t>,</w:t>
      </w:r>
      <w:r w:rsidR="00AF6A11">
        <w:t xml:space="preserve"> subnational levels</w:t>
      </w:r>
      <w:r w:rsidR="00F5473E">
        <w:t xml:space="preserve"> and </w:t>
      </w:r>
      <w:r w:rsidR="00AF6A11">
        <w:t xml:space="preserve">governance. For example, </w:t>
      </w:r>
      <w:r w:rsidR="00F5473E">
        <w:t xml:space="preserve">in the Philippines </w:t>
      </w:r>
      <w:r w:rsidR="00AF6A11">
        <w:t>a staff member said</w:t>
      </w:r>
      <w:r w:rsidR="00AF6A11" w:rsidRPr="0029693F">
        <w:rPr>
          <w:i/>
        </w:rPr>
        <w:t xml:space="preserve"> </w:t>
      </w:r>
      <w:r w:rsidR="00AF6A11" w:rsidRPr="003E23F3">
        <w:t>that</w:t>
      </w:r>
      <w:r w:rsidR="00AF6A11">
        <w:rPr>
          <w:i/>
        </w:rPr>
        <w:t xml:space="preserve"> ‘you can’t move unless we change governance … everything is a process towards readiness for decentralisation in education.’</w:t>
      </w:r>
      <w:r w:rsidR="00AF6A11">
        <w:t xml:space="preserve"> In Indonesia, education staff also spoke of the importance of aligning with partner government priorities: </w:t>
      </w:r>
      <w:r w:rsidR="00AF6A11">
        <w:rPr>
          <w:i/>
        </w:rPr>
        <w:t>‘[The] bulk of [Australian aid program] funds goes on budget [support] … so flow of funds cannot contradict national government decentralisation goals</w:t>
      </w:r>
      <w:r w:rsidR="00B74369">
        <w:rPr>
          <w:i/>
        </w:rPr>
        <w:t>. W</w:t>
      </w:r>
      <w:r w:rsidR="00AF6A11">
        <w:rPr>
          <w:i/>
        </w:rPr>
        <w:t>e are supposed to be supporting better governance. We have to understand the systems and the context, this is fundamental</w:t>
      </w:r>
      <w:r w:rsidR="00D2236B">
        <w:rPr>
          <w:i/>
        </w:rPr>
        <w:t>.’</w:t>
      </w:r>
      <w:r w:rsidR="00AF6A11">
        <w:t xml:space="preserve"> </w:t>
      </w:r>
    </w:p>
    <w:p w14:paraId="4950F094" w14:textId="77777777" w:rsidR="00AF6A11" w:rsidRDefault="00AF6A11" w:rsidP="00AE2162">
      <w:r>
        <w:t xml:space="preserve">In the Philippines, </w:t>
      </w:r>
      <w:r w:rsidRPr="00276B0B">
        <w:t xml:space="preserve">significant progress has been made, as is clear from the </w:t>
      </w:r>
      <w:r w:rsidR="00CC5E93">
        <w:t>profile</w:t>
      </w:r>
      <w:r w:rsidRPr="00276B0B">
        <w:t xml:space="preserve"> (Section</w:t>
      </w:r>
      <w:r>
        <w:t> 3.4</w:t>
      </w:r>
      <w:r w:rsidRPr="00276B0B">
        <w:t xml:space="preserve">). </w:t>
      </w:r>
      <w:r>
        <w:t>I</w:t>
      </w:r>
      <w:r w:rsidRPr="00276B0B">
        <w:t xml:space="preserve">n Indonesia, however, implementation was found to be difficult. </w:t>
      </w:r>
      <w:r w:rsidR="00F5473E">
        <w:t>In relation to partner government assessments and b</w:t>
      </w:r>
      <w:r w:rsidRPr="00276B0B">
        <w:t>ecause of the</w:t>
      </w:r>
      <w:r>
        <w:t xml:space="preserve"> number of local authorities, staff reported that it was </w:t>
      </w:r>
      <w:r>
        <w:rPr>
          <w:i/>
        </w:rPr>
        <w:t xml:space="preserve">‘easier and safer to do it at the national government level.’ </w:t>
      </w:r>
      <w:r>
        <w:t xml:space="preserve">The term ‘safer’ reflects the high fiduciary risk that may exist at the subnational level. PNG education program staff also spoke of the difficulty of working at the subnational level. Previously, the PNG Government was focused on the national system and so was reluctant to have different approaches in individual provinces. Hence, the aid program chose to align with the </w:t>
      </w:r>
      <w:r w:rsidR="00F5473E">
        <w:t xml:space="preserve">national </w:t>
      </w:r>
      <w:r>
        <w:t xml:space="preserve">government. Another problem was the lack of data at the subnational level for </w:t>
      </w:r>
      <w:r w:rsidR="00F5473E">
        <w:t>choosing where to work</w:t>
      </w:r>
      <w:r>
        <w:t xml:space="preserve"> and the costs involved in data collection to fill this gap. </w:t>
      </w:r>
    </w:p>
    <w:p w14:paraId="412A2FF6" w14:textId="77777777" w:rsidR="00AF6A11" w:rsidRPr="00554508" w:rsidRDefault="00AF6A11" w:rsidP="00AE2162">
      <w:r>
        <w:t xml:space="preserve">The two </w:t>
      </w:r>
      <w:r w:rsidR="00CC5E93">
        <w:t>profiles</w:t>
      </w:r>
      <w:r>
        <w:t xml:space="preserve"> below were chosen as examples of how Australian support has addressed decentralisation and engagement at the subnational level. </w:t>
      </w:r>
    </w:p>
    <w:p w14:paraId="0A7ED42D" w14:textId="77777777" w:rsidR="00AF6A11" w:rsidRDefault="00AF6A11" w:rsidP="00AE2162">
      <w:pPr>
        <w:pStyle w:val="Heading2"/>
        <w:spacing w:before="360" w:after="240" w:line="288" w:lineRule="auto"/>
        <w:ind w:left="0" w:firstLine="0"/>
      </w:pPr>
      <w:bookmarkStart w:id="133" w:name="_Toc371105420"/>
      <w:bookmarkStart w:id="134" w:name="_Ref371622798"/>
      <w:bookmarkStart w:id="135" w:name="_Toc382563875"/>
      <w:bookmarkStart w:id="136" w:name="_Toc382595829"/>
      <w:bookmarkStart w:id="137" w:name="_Toc408831781"/>
      <w:r>
        <w:t>3.3</w:t>
      </w:r>
      <w:r>
        <w:tab/>
      </w:r>
      <w:r w:rsidR="00621EBF">
        <w:t>School infrastructure,</w:t>
      </w:r>
      <w:r w:rsidR="00621EBF" w:rsidRPr="002871DA">
        <w:t xml:space="preserve"> PNG</w:t>
      </w:r>
      <w:bookmarkEnd w:id="133"/>
      <w:bookmarkEnd w:id="134"/>
      <w:bookmarkEnd w:id="135"/>
      <w:bookmarkEnd w:id="136"/>
      <w:bookmarkEnd w:id="137"/>
    </w:p>
    <w:p w14:paraId="3E9E73BA" w14:textId="77777777" w:rsidR="006103DB" w:rsidRPr="00F94F9E" w:rsidRDefault="00AF6A11" w:rsidP="006103DB">
      <w:pPr>
        <w:pStyle w:val="BoxQuote"/>
        <w:rPr>
          <w:color w:val="215868" w:themeColor="accent5" w:themeShade="80"/>
        </w:rPr>
      </w:pPr>
      <w:r w:rsidRPr="00F94F9E">
        <w:rPr>
          <w:color w:val="215868" w:themeColor="accent5" w:themeShade="80"/>
        </w:rPr>
        <w:t>To deliver school infrastructure providing support for the design, contracting and construction of basic and secondary education facilities</w:t>
      </w:r>
      <w:r w:rsidR="006103DB" w:rsidRPr="00F94F9E">
        <w:rPr>
          <w:color w:val="215868" w:themeColor="accent5" w:themeShade="80"/>
        </w:rPr>
        <w:t>.</w:t>
      </w:r>
    </w:p>
    <w:p w14:paraId="5FCA74F2" w14:textId="77777777" w:rsidR="006103DB" w:rsidRPr="00F94F9E" w:rsidRDefault="00516D95" w:rsidP="00516D95">
      <w:pPr>
        <w:pStyle w:val="BoxQuoteSource"/>
        <w:rPr>
          <w:color w:val="215868" w:themeColor="accent5" w:themeShade="80"/>
        </w:rPr>
      </w:pPr>
      <w:r w:rsidRPr="00F94F9E">
        <w:rPr>
          <w:color w:val="215868" w:themeColor="accent5" w:themeShade="80"/>
        </w:rPr>
        <w:t>Australian Agency for International Development,</w:t>
      </w:r>
      <w:r w:rsidRPr="00F94F9E" w:rsidDel="00AC1467">
        <w:rPr>
          <w:rFonts w:cs="Cambria"/>
          <w:color w:val="215868" w:themeColor="accent5" w:themeShade="80"/>
          <w:szCs w:val="16"/>
        </w:rPr>
        <w:t xml:space="preserve"> </w:t>
      </w:r>
      <w:r w:rsidR="006103DB" w:rsidRPr="00F94F9E">
        <w:rPr>
          <w:i/>
          <w:color w:val="215868" w:themeColor="accent5" w:themeShade="80"/>
        </w:rPr>
        <w:t>Australian support for basic and secondary education 2010–15, Delivery Strategy,</w:t>
      </w:r>
      <w:r w:rsidRPr="00F94F9E">
        <w:rPr>
          <w:color w:val="215868" w:themeColor="accent5" w:themeShade="80"/>
        </w:rPr>
        <w:t xml:space="preserve"> AusAID, Canberra,</w:t>
      </w:r>
      <w:r w:rsidR="006103DB" w:rsidRPr="00F94F9E">
        <w:rPr>
          <w:color w:val="215868" w:themeColor="accent5" w:themeShade="80"/>
        </w:rPr>
        <w:t xml:space="preserve"> 2010.</w:t>
      </w:r>
    </w:p>
    <w:p w14:paraId="74F5419A" w14:textId="77777777" w:rsidR="00AF6A11" w:rsidRDefault="00A47E5C" w:rsidP="00AE2162">
      <w:pPr>
        <w:pStyle w:val="Heading3"/>
      </w:pPr>
      <w:bookmarkStart w:id="138" w:name="_Toc371105421"/>
      <w:bookmarkStart w:id="139" w:name="_Toc372300937"/>
      <w:bookmarkStart w:id="140" w:name="_Toc382563876"/>
      <w:bookmarkStart w:id="141" w:name="_Toc382595830"/>
      <w:r>
        <w:t>Background on d</w:t>
      </w:r>
      <w:r w:rsidR="00AF6A11" w:rsidRPr="00BA38E7">
        <w:t>ecentralisation in the PNG education sector</w:t>
      </w:r>
      <w:bookmarkEnd w:id="138"/>
      <w:bookmarkEnd w:id="139"/>
      <w:bookmarkEnd w:id="140"/>
      <w:bookmarkEnd w:id="141"/>
    </w:p>
    <w:p w14:paraId="7FE29B0A" w14:textId="16799139" w:rsidR="00AF6A11" w:rsidRDefault="00AF6A11" w:rsidP="00AE2162">
      <w:r>
        <w:t>In the PNG education sector, provincial and local governments assumed formal responsibility for elementary, primary and many aspects of secondary education in 1996.</w:t>
      </w:r>
      <w:r w:rsidR="00847680">
        <w:rPr>
          <w:rStyle w:val="FootnoteReference"/>
        </w:rPr>
        <w:footnoteReference w:id="14"/>
      </w:r>
      <w:r w:rsidR="00847680">
        <w:t xml:space="preserve"> </w:t>
      </w:r>
      <w:r>
        <w:t xml:space="preserve">The national government is responsible for policy, regulatory and curriculum development across the sector, and for national textbook procurement. It is responsible for the system of </w:t>
      </w:r>
      <w:r w:rsidR="0040650C">
        <w:t>s</w:t>
      </w:r>
      <w:r>
        <w:t xml:space="preserve">chool </w:t>
      </w:r>
      <w:r w:rsidR="0040650C">
        <w:t xml:space="preserve">operating grants </w:t>
      </w:r>
      <w:r>
        <w:t xml:space="preserve">and management of national high schools and tertiary institutions. Teachers sit outside the provincial government workforce structures, (though provinces undertake some critical human resource functions for teachers). The national level has key teacher human resource and payroll responsibilities. The national level also has school inspectors in all provinces (though there is a concurrent provincial responsibility to also undertake school inspections). Provincial-level governments manage and maintain provincial high schools, and manage primary and elementary schools. The provincial </w:t>
      </w:r>
      <w:r w:rsidR="0040650C">
        <w:t>e</w:t>
      </w:r>
      <w:r>
        <w:t xml:space="preserve">ducation </w:t>
      </w:r>
      <w:r w:rsidR="0040650C">
        <w:t>f</w:t>
      </w:r>
      <w:r>
        <w:t xml:space="preserve">unction </w:t>
      </w:r>
      <w:r w:rsidR="0040650C">
        <w:t>g</w:t>
      </w:r>
      <w:r>
        <w:t>rant is expected to supplement the national subsidy through either direct payment or in-kind support for schools. Local government’s role is to maintain primary and elementary school</w:t>
      </w:r>
      <w:r w:rsidR="006103DB">
        <w:t xml:space="preserve"> building</w:t>
      </w:r>
      <w:r>
        <w:t>s, though in practice this function now seems to rest with the schools themselves using national and provincial subsidies.</w:t>
      </w:r>
      <w:r>
        <w:rPr>
          <w:rStyle w:val="EndnoteReference"/>
        </w:rPr>
        <w:endnoteReference w:id="102"/>
      </w:r>
      <w:r>
        <w:t xml:space="preserve"> Accordingly, education in PNG’s provinces does not fit within a ‘neat’ decentralised model</w:t>
      </w:r>
      <w:r w:rsidR="00F5473E">
        <w:t>. T</w:t>
      </w:r>
      <w:r>
        <w:t>his may in part influence Australia’s decision to limit direct and flexible support to provinces.</w:t>
      </w:r>
      <w:r w:rsidDel="002E3F48">
        <w:t xml:space="preserve"> </w:t>
      </w:r>
    </w:p>
    <w:p w14:paraId="3362D6A1" w14:textId="7B53AAB9" w:rsidR="00AF6A11" w:rsidRDefault="0040650C" w:rsidP="00AE2162">
      <w:r>
        <w:t>There is a</w:t>
      </w:r>
      <w:r w:rsidR="00AF6A11">
        <w:t xml:space="preserve"> system of intergovernmental accountability, including a mechanism that obliges provinces to expend education function grants on a set of priority areas.</w:t>
      </w:r>
      <w:r w:rsidR="00AF6A11">
        <w:rPr>
          <w:rStyle w:val="EndnoteReference"/>
        </w:rPr>
        <w:endnoteReference w:id="103"/>
      </w:r>
      <w:r w:rsidR="00AF6A11">
        <w:t xml:space="preserve"> However, in practice, the roles of each level are not well understood, leading to inefficiencies and communication gaps.</w:t>
      </w:r>
      <w:r w:rsidR="00AF6A11">
        <w:rPr>
          <w:rStyle w:val="EndnoteReference"/>
        </w:rPr>
        <w:endnoteReference w:id="104"/>
      </w:r>
      <w:r w:rsidR="00AF6A11">
        <w:t xml:space="preserve"> During our fieldwork, a provincial administrator noted that </w:t>
      </w:r>
      <w:r w:rsidR="00AF6A11" w:rsidRPr="003E23F3">
        <w:rPr>
          <w:i/>
        </w:rPr>
        <w:t>‘[a] lot of provinces are dissatisfied with the way things are done in Port Moresby. There is total indifference to us there … they say one thing, do another, and nobody is listening.</w:t>
      </w:r>
      <w:r w:rsidR="00AF6A11">
        <w:t>’ Similarly, a district education official said that ‘</w:t>
      </w:r>
      <w:r w:rsidR="00AF6A11" w:rsidRPr="003E23F3">
        <w:rPr>
          <w:i/>
        </w:rPr>
        <w:t>people at the provincial level can preach that they are assisting, but they are not</w:t>
      </w:r>
      <w:r>
        <w:rPr>
          <w:i/>
        </w:rPr>
        <w:t>.</w:t>
      </w:r>
      <w:r w:rsidR="00AF6A11" w:rsidRPr="003E23F3">
        <w:rPr>
          <w:i/>
        </w:rPr>
        <w:t xml:space="preserve"> I’ve been here for 14</w:t>
      </w:r>
      <w:r w:rsidR="00AF6A11">
        <w:rPr>
          <w:i/>
        </w:rPr>
        <w:t> </w:t>
      </w:r>
      <w:r w:rsidR="00AF6A11" w:rsidRPr="003E23F3">
        <w:rPr>
          <w:i/>
        </w:rPr>
        <w:t>years and never seen provincial government assisting us.’</w:t>
      </w:r>
      <w:r w:rsidR="00AF6A11">
        <w:t xml:space="preserve"> </w:t>
      </w:r>
    </w:p>
    <w:p w14:paraId="71D0AC09" w14:textId="53C97FE7" w:rsidR="00AF6A11" w:rsidRPr="00E61FEC" w:rsidRDefault="00AF6A11" w:rsidP="00AE2162">
      <w:r w:rsidRPr="005140F5">
        <w:rPr>
          <w:rFonts w:cs="Cambria"/>
        </w:rPr>
        <w:t xml:space="preserve">The financing </w:t>
      </w:r>
      <w:r w:rsidR="004C435A">
        <w:rPr>
          <w:rFonts w:cs="Cambria"/>
        </w:rPr>
        <w:t>arrangements</w:t>
      </w:r>
      <w:r w:rsidR="004C435A" w:rsidRPr="005140F5">
        <w:rPr>
          <w:rFonts w:cs="Cambria"/>
        </w:rPr>
        <w:t xml:space="preserve"> </w:t>
      </w:r>
      <w:r w:rsidR="004C435A">
        <w:rPr>
          <w:rFonts w:cs="Cambria"/>
        </w:rPr>
        <w:t>are</w:t>
      </w:r>
      <w:r w:rsidRPr="005140F5">
        <w:rPr>
          <w:rFonts w:cs="Cambria"/>
        </w:rPr>
        <w:t xml:space="preserve"> complex and fragmented, with delays and low levels of expenditure. The risk of corruption is present across all levels of government. In 2010</w:t>
      </w:r>
      <w:r>
        <w:rPr>
          <w:rFonts w:cs="Cambria"/>
        </w:rPr>
        <w:t>,</w:t>
      </w:r>
      <w:r w:rsidRPr="005140F5">
        <w:rPr>
          <w:rFonts w:cs="Cambria"/>
        </w:rPr>
        <w:t xml:space="preserve"> fee-free education was introduced, increasing demand for infrastructure and teachers. During our fieldwork</w:t>
      </w:r>
      <w:r>
        <w:rPr>
          <w:rFonts w:cs="Cambria"/>
        </w:rPr>
        <w:t>,</w:t>
      </w:r>
      <w:r w:rsidRPr="005140F5">
        <w:rPr>
          <w:rFonts w:cs="Cambria"/>
        </w:rPr>
        <w:t xml:space="preserve"> it was apparent that the national </w:t>
      </w:r>
      <w:r>
        <w:rPr>
          <w:rFonts w:cs="Cambria"/>
        </w:rPr>
        <w:t>D</w:t>
      </w:r>
      <w:r w:rsidRPr="005140F5">
        <w:rPr>
          <w:rFonts w:cs="Cambria"/>
        </w:rPr>
        <w:t>epartment</w:t>
      </w:r>
      <w:r>
        <w:rPr>
          <w:rFonts w:cs="Cambria"/>
        </w:rPr>
        <w:t xml:space="preserve"> of Education</w:t>
      </w:r>
      <w:r w:rsidRPr="005140F5">
        <w:rPr>
          <w:rFonts w:cs="Cambria"/>
        </w:rPr>
        <w:t xml:space="preserve"> has been unwilling to take the lead </w:t>
      </w:r>
      <w:r w:rsidR="0040650C">
        <w:rPr>
          <w:rFonts w:cs="Cambria"/>
        </w:rPr>
        <w:t>i</w:t>
      </w:r>
      <w:r w:rsidRPr="005140F5">
        <w:rPr>
          <w:rFonts w:cs="Cambria"/>
        </w:rPr>
        <w:t>n responding to this demand</w:t>
      </w:r>
      <w:r w:rsidR="004C435A">
        <w:rPr>
          <w:rFonts w:cs="Cambria"/>
        </w:rPr>
        <w:t>. T</w:t>
      </w:r>
      <w:r w:rsidRPr="005140F5">
        <w:rPr>
          <w:rFonts w:cs="Cambria"/>
        </w:rPr>
        <w:t xml:space="preserve">he responsibility nominally lies with provincial and local government, but there is insufficient ownership at those levels. PNG has no systematic mechanism that provides or earmarks funds for provincial education infrastructure. </w:t>
      </w:r>
      <w:r w:rsidR="004C435A">
        <w:rPr>
          <w:rFonts w:cs="Cambria"/>
        </w:rPr>
        <w:t>In</w:t>
      </w:r>
      <w:r w:rsidR="004C435A" w:rsidRPr="005140F5">
        <w:rPr>
          <w:rFonts w:cs="Cambria"/>
        </w:rPr>
        <w:t xml:space="preserve"> </w:t>
      </w:r>
      <w:r w:rsidRPr="005140F5">
        <w:rPr>
          <w:rFonts w:cs="Cambria"/>
        </w:rPr>
        <w:t>recent years</w:t>
      </w:r>
      <w:r>
        <w:rPr>
          <w:rFonts w:cs="Cambria"/>
        </w:rPr>
        <w:t>,</w:t>
      </w:r>
      <w:r w:rsidRPr="005140F5">
        <w:rPr>
          <w:rFonts w:cs="Cambria"/>
        </w:rPr>
        <w:t xml:space="preserve"> it appears that school infrastructure is expected to be met through the ever-increasing system of constituency funding</w:t>
      </w:r>
      <w:r>
        <w:rPr>
          <w:rFonts w:cs="Cambria"/>
        </w:rPr>
        <w:t xml:space="preserve"> for local members of parliament</w:t>
      </w:r>
      <w:r w:rsidR="004C435A">
        <w:rPr>
          <w:rFonts w:cs="Cambria"/>
        </w:rPr>
        <w:t xml:space="preserve">. This further </w:t>
      </w:r>
      <w:r w:rsidRPr="005140F5">
        <w:rPr>
          <w:rFonts w:cs="Cambria"/>
        </w:rPr>
        <w:t>complicates responsibilities at subnational level because this often operates outside provincial government systems.</w:t>
      </w:r>
    </w:p>
    <w:p w14:paraId="6D64D565" w14:textId="77777777" w:rsidR="00AF6A11" w:rsidRDefault="00AF6A11" w:rsidP="00AE2162">
      <w:pPr>
        <w:pStyle w:val="Heading3"/>
      </w:pPr>
      <w:bookmarkStart w:id="142" w:name="_Toc371105422"/>
      <w:bookmarkStart w:id="143" w:name="_Toc372300938"/>
      <w:bookmarkStart w:id="144" w:name="_Toc382563877"/>
      <w:bookmarkStart w:id="145" w:name="_Toc382595831"/>
      <w:r>
        <w:t>Background on</w:t>
      </w:r>
      <w:r w:rsidRPr="00BA38E7">
        <w:t xml:space="preserve"> </w:t>
      </w:r>
      <w:r>
        <w:t>support to school infrastructure and</w:t>
      </w:r>
      <w:r w:rsidRPr="00BA38E7">
        <w:t xml:space="preserve"> policy context</w:t>
      </w:r>
      <w:bookmarkEnd w:id="142"/>
      <w:bookmarkEnd w:id="143"/>
      <w:bookmarkEnd w:id="144"/>
      <w:bookmarkEnd w:id="145"/>
    </w:p>
    <w:p w14:paraId="505B74E8" w14:textId="421F8E4C" w:rsidR="004C435A" w:rsidRDefault="00AF6A11" w:rsidP="00C615DC">
      <w:pPr>
        <w:pStyle w:val="NormalBeforeBullet"/>
      </w:pPr>
      <w:r>
        <w:t xml:space="preserve">Providing school infrastructure is one aspect of Australian support for the education sector. It is of interest to this evaluation since infrastructure is clearly defined as a subnational responsibility. The </w:t>
      </w:r>
      <w:r w:rsidR="0040650C">
        <w:t xml:space="preserve">PNG </w:t>
      </w:r>
      <w:r>
        <w:t xml:space="preserve">Education Delivery Strategy 2010–15 notes three main modalities: </w:t>
      </w:r>
    </w:p>
    <w:p w14:paraId="5FA0D3CD" w14:textId="77777777" w:rsidR="004C435A" w:rsidRDefault="00AF6A11" w:rsidP="00C615DC">
      <w:pPr>
        <w:pStyle w:val="Bullet"/>
      </w:pPr>
      <w:r>
        <w:t>direct financial support</w:t>
      </w:r>
    </w:p>
    <w:p w14:paraId="37EA526A" w14:textId="77777777" w:rsidR="004C435A" w:rsidRDefault="00AF6A11" w:rsidP="00C615DC">
      <w:pPr>
        <w:pStyle w:val="Bullet"/>
      </w:pPr>
      <w:r>
        <w:t>specialised services provision, now called service provision facility (SPF)</w:t>
      </w:r>
    </w:p>
    <w:p w14:paraId="33687869" w14:textId="77777777" w:rsidR="00114F69" w:rsidRDefault="00AF6A11" w:rsidP="00C615DC">
      <w:pPr>
        <w:pStyle w:val="BulletLast"/>
      </w:pPr>
      <w:r>
        <w:t xml:space="preserve">capacity </w:t>
      </w:r>
      <w:r w:rsidRPr="006103DB">
        <w:t>development</w:t>
      </w:r>
      <w:r>
        <w:t xml:space="preserve">. </w:t>
      </w:r>
    </w:p>
    <w:p w14:paraId="49E02E0F" w14:textId="77777777" w:rsidR="00AF6A11" w:rsidRDefault="00AF6A11">
      <w:r>
        <w:t>Infrastructure provision lies within the SPF modality. SPF operate</w:t>
      </w:r>
      <w:r w:rsidR="004C435A">
        <w:t>s</w:t>
      </w:r>
      <w:r>
        <w:t xml:space="preserve"> at the provincial level, with coordination at the national level, </w:t>
      </w:r>
      <w:r w:rsidR="004C435A">
        <w:t>while</w:t>
      </w:r>
      <w:r>
        <w:t xml:space="preserve"> the two other modalities had a national engagement and focus only.</w:t>
      </w:r>
    </w:p>
    <w:p w14:paraId="3853CE17" w14:textId="6D294FA3" w:rsidR="00AF6A11" w:rsidRDefault="00AF6A11" w:rsidP="00AE2162">
      <w:r>
        <w:t>The delivery strategy indicated that an external procurement specialist would provide support where the PNG Government lacks capacity to deliver new infrastructure.</w:t>
      </w:r>
      <w:r>
        <w:rPr>
          <w:rStyle w:val="EndnoteReference"/>
        </w:rPr>
        <w:endnoteReference w:id="105"/>
      </w:r>
      <w:r>
        <w:t xml:space="preserve"> The </w:t>
      </w:r>
      <w:r w:rsidRPr="0095436F">
        <w:t>goal</w:t>
      </w:r>
      <w:r>
        <w:t xml:space="preserve"> was</w:t>
      </w:r>
      <w:r w:rsidRPr="0095436F">
        <w:t xml:space="preserve"> </w:t>
      </w:r>
      <w:r>
        <w:t>‘</w:t>
      </w:r>
      <w:r>
        <w:rPr>
          <w:i/>
        </w:rPr>
        <w:t>t</w:t>
      </w:r>
      <w:r w:rsidRPr="00832707">
        <w:rPr>
          <w:i/>
        </w:rPr>
        <w:t>o deliver school infrastructure providing support for the design, contracting and construction of basic and secondary education facilities (classrooms, teacher houses, dormitories and other facilities)</w:t>
      </w:r>
      <w:r>
        <w:rPr>
          <w:i/>
        </w:rPr>
        <w:t>.</w:t>
      </w:r>
      <w:r>
        <w:t>’</w:t>
      </w:r>
      <w:r w:rsidRPr="0095436F">
        <w:rPr>
          <w:rStyle w:val="EndnoteReference"/>
        </w:rPr>
        <w:endnoteReference w:id="106"/>
      </w:r>
      <w:r w:rsidR="00114F69">
        <w:t xml:space="preserve"> </w:t>
      </w:r>
      <w:r>
        <w:t xml:space="preserve">In line with this, a private contractor directly provides and installs ‘kit’ schools. The indicative budget for school infrastructure </w:t>
      </w:r>
      <w:r w:rsidR="004C435A">
        <w:t xml:space="preserve">rose </w:t>
      </w:r>
      <w:r>
        <w:t>from $13 million in 2010–11 to almost $25 million per year in 2013–14 and 2014–15.</w:t>
      </w:r>
      <w:r w:rsidR="00610727" w:rsidRPr="00891A5F">
        <w:rPr>
          <w:vertAlign w:val="superscript"/>
        </w:rPr>
        <w:footnoteReference w:id="15"/>
      </w:r>
      <w:r w:rsidR="00610727" w:rsidRPr="00891A5F">
        <w:rPr>
          <w:vertAlign w:val="superscript"/>
        </w:rPr>
        <w:t xml:space="preserve"> </w:t>
      </w:r>
      <w:r>
        <w:t xml:space="preserve">In 2010, </w:t>
      </w:r>
      <w:r w:rsidRPr="00170995">
        <w:t>school infrastructure</w:t>
      </w:r>
      <w:r>
        <w:t xml:space="preserve"> expenditure comprised 28.9 per cent of education sector support.</w:t>
      </w:r>
      <w:r>
        <w:rPr>
          <w:rStyle w:val="EndnoteReference"/>
        </w:rPr>
        <w:endnoteReference w:id="107"/>
      </w:r>
      <w:r>
        <w:t xml:space="preserve"> Staff reported </w:t>
      </w:r>
      <w:r w:rsidR="004C435A">
        <w:t>during fieldwork that</w:t>
      </w:r>
      <w:r>
        <w:t xml:space="preserve"> 20</w:t>
      </w:r>
      <w:r w:rsidR="0040650C">
        <w:t> </w:t>
      </w:r>
      <w:r>
        <w:t>schools in 20</w:t>
      </w:r>
      <w:r w:rsidR="0040650C">
        <w:t> </w:t>
      </w:r>
      <w:r>
        <w:t xml:space="preserve">provinces (400 </w:t>
      </w:r>
      <w:r w:rsidR="00F548EA">
        <w:t xml:space="preserve">in </w:t>
      </w:r>
      <w:r>
        <w:t>total) are under construction.</w:t>
      </w:r>
    </w:p>
    <w:p w14:paraId="02161DA1" w14:textId="393AE2B5" w:rsidR="00AF6A11" w:rsidRDefault="00AF6A11" w:rsidP="00AE2162">
      <w:r>
        <w:t xml:space="preserve">The </w:t>
      </w:r>
      <w:r w:rsidR="0040650C">
        <w:t xml:space="preserve">education delivery strategy </w:t>
      </w:r>
      <w:r>
        <w:t xml:space="preserve">appears to provide the main framework and basis for support to school infrastructure. There is no </w:t>
      </w:r>
      <w:r w:rsidR="004C435A">
        <w:t xml:space="preserve">separate </w:t>
      </w:r>
      <w:r>
        <w:t xml:space="preserve">design document, which means our ability to review the evidence </w:t>
      </w:r>
      <w:r w:rsidR="004C435A">
        <w:t xml:space="preserve">on this component </w:t>
      </w:r>
      <w:r>
        <w:t>was limited. The strategy does speak about the political, administrative, capacity, financing, public financial and management constraints related to the process of decentralisation.</w:t>
      </w:r>
      <w:r>
        <w:rPr>
          <w:rStyle w:val="EndnoteReference"/>
          <w:rFonts w:ascii="Arial Narrow" w:hAnsi="Arial Narrow" w:cs="Arial Narrow"/>
        </w:rPr>
        <w:endnoteReference w:id="108"/>
      </w:r>
    </w:p>
    <w:p w14:paraId="257B51BA" w14:textId="77777777" w:rsidR="00AF6A11" w:rsidRDefault="00AF6A11" w:rsidP="00AE2162">
      <w:r>
        <w:t xml:space="preserve">The aid program’s decision to use external contractors rather than go through PNG Government systems was based on the following reasoning: </w:t>
      </w:r>
    </w:p>
    <w:p w14:paraId="06FB14CF" w14:textId="77777777" w:rsidR="00AF6A11" w:rsidRDefault="00AF6A11" w:rsidP="00AE2162">
      <w:pPr>
        <w:pStyle w:val="Quote"/>
        <w:rPr>
          <w:rFonts w:ascii="Arial Narrow" w:hAnsi="Arial Narrow" w:cs="Arial Narrow"/>
          <w:sz w:val="22"/>
          <w:szCs w:val="22"/>
        </w:rPr>
      </w:pPr>
      <w:r w:rsidRPr="00461836">
        <w:t>While the</w:t>
      </w:r>
      <w:r>
        <w:t>re are strong arguments to move</w:t>
      </w:r>
      <w:r w:rsidRPr="00461836">
        <w:t xml:space="preserve"> aggressively to the use of government systems, with the requisite safeguards, there are still areas where the fiduciary risk is too great at present. This is due to low capacity in key areas such as large</w:t>
      </w:r>
      <w:r>
        <w:t>-</w:t>
      </w:r>
      <w:r w:rsidRPr="00461836">
        <w:t>scale procurement and the ad</w:t>
      </w:r>
      <w:r>
        <w:t>ministration of human resources</w:t>
      </w:r>
      <w:r>
        <w:rPr>
          <w:rFonts w:ascii="Arial Narrow" w:hAnsi="Arial Narrow" w:cs="Arial Narrow"/>
          <w:sz w:val="22"/>
          <w:szCs w:val="22"/>
        </w:rPr>
        <w:t>.</w:t>
      </w:r>
      <w:r>
        <w:rPr>
          <w:rStyle w:val="EndnoteReference"/>
          <w:rFonts w:ascii="Arial Narrow" w:hAnsi="Arial Narrow" w:cs="Arial Narrow"/>
          <w:sz w:val="22"/>
        </w:rPr>
        <w:endnoteReference w:id="109"/>
      </w:r>
      <w:r>
        <w:rPr>
          <w:rFonts w:ascii="Arial Narrow" w:hAnsi="Arial Narrow" w:cs="Arial Narrow"/>
          <w:sz w:val="22"/>
          <w:szCs w:val="22"/>
        </w:rPr>
        <w:t xml:space="preserve"> </w:t>
      </w:r>
    </w:p>
    <w:p w14:paraId="6959F135" w14:textId="532C7469" w:rsidR="00AF6A11" w:rsidRPr="00812B6D" w:rsidRDefault="00803C90" w:rsidP="00AE2162">
      <w:r>
        <w:t>A previous review of Australia’s school infrastructure support recommended that provincial roles in infrastructure provision be clarified</w:t>
      </w:r>
      <w:r w:rsidR="00AF440F">
        <w:rPr>
          <w:rFonts w:cs="Arial"/>
        </w:rPr>
        <w:t>.</w:t>
      </w:r>
      <w:r>
        <w:rPr>
          <w:rStyle w:val="EndnoteReference"/>
          <w:rFonts w:cs="Arial"/>
        </w:rPr>
        <w:endnoteReference w:id="110"/>
      </w:r>
      <w:r>
        <w:rPr>
          <w:rFonts w:cs="Arial"/>
        </w:rPr>
        <w:t xml:space="preserve"> </w:t>
      </w:r>
      <w:r w:rsidR="00F548EA">
        <w:t>This, and other lessons from the report, does</w:t>
      </w:r>
      <w:r>
        <w:t xml:space="preserve"> not appear to be part of the current support.</w:t>
      </w:r>
      <w:r w:rsidR="00B74369">
        <w:t xml:space="preserve"> </w:t>
      </w:r>
    </w:p>
    <w:p w14:paraId="1C177A82" w14:textId="2425A985" w:rsidR="0036168A" w:rsidRDefault="0036168A" w:rsidP="001204DD">
      <w:bookmarkStart w:id="146" w:name="_Toc371000094"/>
      <w:bookmarkStart w:id="147" w:name="_Toc371105424"/>
      <w:bookmarkStart w:id="148" w:name="_Toc372300940"/>
      <w:bookmarkStart w:id="149" w:name="_Toc382563879"/>
      <w:bookmarkStart w:id="150" w:name="_Toc382595833"/>
      <w:r w:rsidRPr="00E0736D">
        <w:rPr>
          <w:noProof/>
        </w:rPr>
        <w:drawing>
          <wp:inline distT="0" distB="0" distL="0" distR="0" wp14:anchorId="259651B1" wp14:editId="26BEC3EB">
            <wp:extent cx="4879974" cy="3657600"/>
            <wp:effectExtent l="0" t="0" r="0" b="0"/>
            <wp:docPr id="19" name="Picture 19" descr="C:\Users\020106\AppData\Local\Microsoft\Windows\Temporary Internet Files\Content.Outlook\6A51OLQZ\DFAT Aid school building kit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0106\AppData\Local\Microsoft\Windows\Temporary Internet Files\Content.Outlook\6A51OLQZ\DFAT Aid school building kit P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7880" cy="3656031"/>
                    </a:xfrm>
                    <a:prstGeom prst="rect">
                      <a:avLst/>
                    </a:prstGeom>
                    <a:noFill/>
                    <a:ln>
                      <a:noFill/>
                    </a:ln>
                  </pic:spPr>
                </pic:pic>
              </a:graphicData>
            </a:graphic>
          </wp:inline>
        </w:drawing>
      </w:r>
    </w:p>
    <w:p w14:paraId="334DC692" w14:textId="7ECDFB8E" w:rsidR="0036168A" w:rsidRDefault="0087016B" w:rsidP="001204DD">
      <w:pPr>
        <w:pStyle w:val="Caption"/>
        <w:rPr>
          <w:i/>
        </w:rPr>
      </w:pPr>
      <w:r>
        <w:t>Double classroom</w:t>
      </w:r>
      <w:r w:rsidR="00BE6CD9">
        <w:t xml:space="preserve"> provided by DFAT </w:t>
      </w:r>
      <w:r>
        <w:t xml:space="preserve">as part of </w:t>
      </w:r>
      <w:r w:rsidR="0040650C">
        <w:t xml:space="preserve">an </w:t>
      </w:r>
      <w:r>
        <w:t>infrastructure kit for</w:t>
      </w:r>
      <w:r w:rsidR="00BE6CD9">
        <w:t xml:space="preserve"> primary school</w:t>
      </w:r>
      <w:r>
        <w:t>s</w:t>
      </w:r>
      <w:r w:rsidR="00BE6CD9">
        <w:t>, Milne Bay P</w:t>
      </w:r>
      <w:r w:rsidR="0036168A">
        <w:t>rovince, PNG.</w:t>
      </w:r>
      <w:r w:rsidR="00B74369">
        <w:t xml:space="preserve"> </w:t>
      </w:r>
      <w:r w:rsidR="00BE6CD9" w:rsidRPr="009A42DE">
        <w:rPr>
          <w:i/>
        </w:rPr>
        <w:t>Photo: DFAT</w:t>
      </w:r>
    </w:p>
    <w:p w14:paraId="714894A3" w14:textId="77777777" w:rsidR="004E510E" w:rsidRDefault="0036168A" w:rsidP="001204DD">
      <w:r>
        <w:rPr>
          <w:noProof/>
        </w:rPr>
        <w:drawing>
          <wp:inline distT="0" distB="0" distL="0" distR="0" wp14:anchorId="0788BFDC" wp14:editId="610DD4E9">
            <wp:extent cx="4876800" cy="3655222"/>
            <wp:effectExtent l="0" t="0" r="0" b="2540"/>
            <wp:docPr id="21" name="Picture 21" descr="C:\Users\020106\AppData\Local\Microsoft\Windows\Temporary Internet Files\Content.Outlook\6A51OLQZ\existing school building 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0106\AppData\Local\Microsoft\Windows\Temporary Internet Files\Content.Outlook\6A51OLQZ\existing school building P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1172" cy="3680984"/>
                    </a:xfrm>
                    <a:prstGeom prst="rect">
                      <a:avLst/>
                    </a:prstGeom>
                    <a:noFill/>
                    <a:ln>
                      <a:noFill/>
                    </a:ln>
                  </pic:spPr>
                </pic:pic>
              </a:graphicData>
            </a:graphic>
          </wp:inline>
        </w:drawing>
      </w:r>
      <w:r w:rsidR="00BE6CD9" w:rsidRPr="00BE6CD9">
        <w:t xml:space="preserve"> </w:t>
      </w:r>
    </w:p>
    <w:p w14:paraId="61E9C686" w14:textId="23866EA4" w:rsidR="0036168A" w:rsidRDefault="00BE6CD9" w:rsidP="001204DD">
      <w:pPr>
        <w:pStyle w:val="Caption"/>
      </w:pPr>
      <w:r>
        <w:t>Old building</w:t>
      </w:r>
      <w:r w:rsidR="0087016B">
        <w:t xml:space="preserve"> housing two </w:t>
      </w:r>
      <w:r w:rsidR="0040650C">
        <w:t xml:space="preserve">primary school </w:t>
      </w:r>
      <w:r w:rsidR="0087016B">
        <w:t>classrooms</w:t>
      </w:r>
      <w:r w:rsidR="0036168A">
        <w:t xml:space="preserve">, Milne Bay </w:t>
      </w:r>
      <w:r>
        <w:t>P</w:t>
      </w:r>
      <w:r w:rsidR="0036168A">
        <w:t>rovince, P</w:t>
      </w:r>
      <w:r w:rsidR="0040650C">
        <w:t xml:space="preserve">apua </w:t>
      </w:r>
      <w:r w:rsidR="0036168A">
        <w:t>N</w:t>
      </w:r>
      <w:r w:rsidR="0040650C">
        <w:t xml:space="preserve">ew </w:t>
      </w:r>
      <w:r w:rsidR="0036168A">
        <w:t>G</w:t>
      </w:r>
      <w:r w:rsidR="0040650C">
        <w:t>uinea</w:t>
      </w:r>
      <w:r w:rsidR="0036168A">
        <w:t>.</w:t>
      </w:r>
      <w:r w:rsidR="00B74369">
        <w:t xml:space="preserve"> </w:t>
      </w:r>
      <w:r w:rsidRPr="00BE6CD9">
        <w:rPr>
          <w:i/>
        </w:rPr>
        <w:t>Photo: DFAT</w:t>
      </w:r>
    </w:p>
    <w:p w14:paraId="185163F5" w14:textId="77777777" w:rsidR="00AF6A11" w:rsidRPr="007F07BA" w:rsidRDefault="00803C90" w:rsidP="00AE2162">
      <w:pPr>
        <w:pStyle w:val="Heading3"/>
      </w:pPr>
      <w:r>
        <w:t>National and subnational a</w:t>
      </w:r>
      <w:r w:rsidR="00AF6A11">
        <w:t xml:space="preserve">lignment and relevance </w:t>
      </w:r>
      <w:bookmarkEnd w:id="146"/>
      <w:bookmarkEnd w:id="147"/>
      <w:bookmarkEnd w:id="148"/>
      <w:bookmarkEnd w:id="149"/>
      <w:bookmarkEnd w:id="150"/>
    </w:p>
    <w:p w14:paraId="05747B8F" w14:textId="61EB0373" w:rsidR="00AF6A11" w:rsidRDefault="00AF6A11" w:rsidP="00AE2162">
      <w:r>
        <w:t>Support to school infrastructure aligns with national government priorities and plans.</w:t>
      </w:r>
      <w:r w:rsidR="00F25930">
        <w:rPr>
          <w:rStyle w:val="FootnoteReference"/>
          <w:rFonts w:ascii="Arial Narrow" w:hAnsi="Arial Narrow" w:cs="Arial Narrow"/>
        </w:rPr>
        <w:footnoteReference w:id="16"/>
      </w:r>
      <w:r w:rsidR="00F25930">
        <w:t xml:space="preserve"> </w:t>
      </w:r>
      <w:r>
        <w:t xml:space="preserve">Although </w:t>
      </w:r>
      <w:r w:rsidR="00803C90">
        <w:t xml:space="preserve">the </w:t>
      </w:r>
      <w:r>
        <w:t xml:space="preserve">need for schools in all provinces is evident, </w:t>
      </w:r>
      <w:r w:rsidR="00902BA9">
        <w:t>this</w:t>
      </w:r>
      <w:r w:rsidR="00803C90">
        <w:t xml:space="preserve"> was not always a high priority for </w:t>
      </w:r>
      <w:r>
        <w:t xml:space="preserve">provincial government. Our fieldwork indicated that provinces tended to prioritise roads and other areas ahead of education. In the current support, 20 school kits were provided to each province, based on the valid argument that there is a need across the country. This </w:t>
      </w:r>
      <w:r w:rsidR="00902BA9">
        <w:t>approach</w:t>
      </w:r>
      <w:r>
        <w:t xml:space="preserve">, however, does not </w:t>
      </w:r>
      <w:r w:rsidR="00902BA9">
        <w:t xml:space="preserve">necessarily </w:t>
      </w:r>
      <w:r>
        <w:t xml:space="preserve">ensure </w:t>
      </w:r>
      <w:r w:rsidR="00902BA9">
        <w:t xml:space="preserve">the aid program is </w:t>
      </w:r>
      <w:r>
        <w:t>alig</w:t>
      </w:r>
      <w:r w:rsidR="00902BA9">
        <w:t>ned</w:t>
      </w:r>
      <w:r>
        <w:t xml:space="preserve"> and relevan</w:t>
      </w:r>
      <w:r w:rsidR="00902BA9">
        <w:t>t</w:t>
      </w:r>
      <w:r>
        <w:t xml:space="preserve"> in chosen subnational locations. For example, some provinces were interested and became involved (e.g. Milne Bay) while others were reported to have never responded to letters offering free schools. </w:t>
      </w:r>
    </w:p>
    <w:p w14:paraId="60B4D059" w14:textId="77777777" w:rsidR="00AF6A11" w:rsidRDefault="00902BA9" w:rsidP="00AE2162">
      <w:pPr>
        <w:pStyle w:val="Heading3"/>
      </w:pPr>
      <w:bookmarkStart w:id="151" w:name="_Toc371105425"/>
      <w:bookmarkStart w:id="152" w:name="_Toc372300941"/>
      <w:bookmarkStart w:id="153" w:name="_Toc382563880"/>
      <w:bookmarkStart w:id="154" w:name="_Toc382595834"/>
      <w:r>
        <w:t>E</w:t>
      </w:r>
      <w:r w:rsidR="00AF6A11">
        <w:t>ngagement across different parts of partner government</w:t>
      </w:r>
      <w:bookmarkEnd w:id="151"/>
      <w:bookmarkEnd w:id="152"/>
      <w:bookmarkEnd w:id="153"/>
      <w:bookmarkEnd w:id="154"/>
      <w:r>
        <w:t xml:space="preserve"> and </w:t>
      </w:r>
      <w:r w:rsidR="00AF440F">
        <w:t xml:space="preserve">with </w:t>
      </w:r>
      <w:r>
        <w:t>community</w:t>
      </w:r>
    </w:p>
    <w:p w14:paraId="13A9D767" w14:textId="77777777" w:rsidR="00AF6A11" w:rsidRDefault="00AF6A11" w:rsidP="00AE2162">
      <w:r>
        <w:t xml:space="preserve">The engagement between the national and subnational levels appeared </w:t>
      </w:r>
      <w:r w:rsidR="00DC0BD9">
        <w:t>uneven</w:t>
      </w:r>
      <w:r>
        <w:t>. During fieldwork, participants reported that the aid program</w:t>
      </w:r>
      <w:r w:rsidRPr="000C5779">
        <w:t xml:space="preserve"> had</w:t>
      </w:r>
      <w:r>
        <w:t xml:space="preserve"> facilitated discussions at the national level on school infrastructure needs, and internal documentation notes the development of an infrastructure selection process. </w:t>
      </w:r>
    </w:p>
    <w:p w14:paraId="75B94190" w14:textId="77777777" w:rsidR="00AF6A11" w:rsidRDefault="00AF6A11" w:rsidP="00AE2162">
      <w:r>
        <w:t xml:space="preserve">Meeting the aspirations of the delivery strategy to engage at subnational level </w:t>
      </w:r>
      <w:r w:rsidR="00DC0BD9">
        <w:t xml:space="preserve">has </w:t>
      </w:r>
      <w:r>
        <w:t xml:space="preserve">proved difficult. The delivery strategy recognised the role of subnational government: </w:t>
      </w:r>
    </w:p>
    <w:p w14:paraId="5F152586" w14:textId="774F5CF8" w:rsidR="00AF6A11" w:rsidRDefault="00AF6A11" w:rsidP="00AE2162">
      <w:pPr>
        <w:pStyle w:val="Quote"/>
      </w:pPr>
      <w:r w:rsidRPr="00BD56F2">
        <w:t>In education and other sectors, a key lesson learned is the need to work more proactively with subnational administrations, and to specifically target capacity</w:t>
      </w:r>
      <w:r>
        <w:t>-</w:t>
      </w:r>
      <w:r w:rsidRPr="00BD56F2">
        <w:t>building activities to sub</w:t>
      </w:r>
      <w:r>
        <w:t>national</w:t>
      </w:r>
      <w:r w:rsidRPr="00BD56F2">
        <w:t xml:space="preserve"> roles and responsibilities</w:t>
      </w:r>
      <w:r w:rsidR="00D2236B">
        <w:t>.’</w:t>
      </w:r>
      <w:r>
        <w:rPr>
          <w:rStyle w:val="EndnoteReference"/>
          <w:rFonts w:ascii="Arial Narrow" w:hAnsi="Arial Narrow" w:cs="Arial Narrow"/>
        </w:rPr>
        <w:endnoteReference w:id="111"/>
      </w:r>
      <w:r>
        <w:t xml:space="preserve"> </w:t>
      </w:r>
    </w:p>
    <w:p w14:paraId="494D7B64" w14:textId="77777777" w:rsidR="00AF6A11" w:rsidRDefault="00AF6A11" w:rsidP="003E23F3">
      <w:r>
        <w:t>It also noted that</w:t>
      </w:r>
      <w:r>
        <w:rPr>
          <w:rFonts w:ascii="Arial Narrow" w:hAnsi="Arial Narrow" w:cs="Arial Narrow"/>
          <w:sz w:val="22"/>
          <w:szCs w:val="22"/>
        </w:rPr>
        <w:t xml:space="preserve"> </w:t>
      </w:r>
      <w:r w:rsidRPr="007B60FD">
        <w:rPr>
          <w:rFonts w:ascii="Arial Narrow" w:hAnsi="Arial Narrow" w:cs="Arial Narrow"/>
          <w:i/>
          <w:sz w:val="22"/>
          <w:szCs w:val="22"/>
        </w:rPr>
        <w:t>‘</w:t>
      </w:r>
      <w:r w:rsidRPr="007B60FD">
        <w:rPr>
          <w:i/>
        </w:rPr>
        <w:t xml:space="preserve">there is a requirement that the [SPF] support </w:t>
      </w:r>
      <w:r w:rsidR="00DC0BD9">
        <w:rPr>
          <w:i/>
        </w:rPr>
        <w:t>…</w:t>
      </w:r>
      <w:r w:rsidR="00DC0BD9" w:rsidRPr="007B60FD">
        <w:rPr>
          <w:i/>
        </w:rPr>
        <w:t xml:space="preserve"> </w:t>
      </w:r>
      <w:r w:rsidRPr="007B60FD">
        <w:rPr>
          <w:i/>
        </w:rPr>
        <w:t xml:space="preserve">would </w:t>
      </w:r>
      <w:r w:rsidR="00DC0BD9">
        <w:rPr>
          <w:i/>
        </w:rPr>
        <w:t>…</w:t>
      </w:r>
      <w:r w:rsidR="00DC0BD9" w:rsidRPr="007B60FD">
        <w:rPr>
          <w:i/>
        </w:rPr>
        <w:t xml:space="preserve"> </w:t>
      </w:r>
      <w:r w:rsidRPr="007B60FD">
        <w:rPr>
          <w:i/>
        </w:rPr>
        <w:t>strengthen GoPNG government and church delivery systems as part of its services.</w:t>
      </w:r>
      <w:r w:rsidRPr="007B60FD">
        <w:rPr>
          <w:rStyle w:val="EndnoteReference"/>
          <w:i/>
        </w:rPr>
        <w:endnoteReference w:id="112"/>
      </w:r>
      <w:r>
        <w:t xml:space="preserve"> </w:t>
      </w:r>
    </w:p>
    <w:p w14:paraId="3C8392E1" w14:textId="4AA81312" w:rsidR="00AF6A11" w:rsidRDefault="00D56B77" w:rsidP="00AE2162">
      <w:r>
        <w:rPr>
          <w:noProof/>
        </w:rPr>
        <mc:AlternateContent>
          <mc:Choice Requires="wps">
            <w:drawing>
              <wp:anchor distT="0" distB="0" distL="114300" distR="114300" simplePos="0" relativeHeight="251790336" behindDoc="1" locked="0" layoutInCell="1" allowOverlap="1" wp14:anchorId="646B8158" wp14:editId="04173455">
                <wp:simplePos x="0" y="0"/>
                <wp:positionH relativeFrom="column">
                  <wp:posOffset>3381375</wp:posOffset>
                </wp:positionH>
                <wp:positionV relativeFrom="paragraph">
                  <wp:posOffset>1151890</wp:posOffset>
                </wp:positionV>
                <wp:extent cx="2374265" cy="1524000"/>
                <wp:effectExtent l="0" t="0" r="0" b="0"/>
                <wp:wrapTight wrapText="bothSides">
                  <wp:wrapPolygon edited="0">
                    <wp:start x="0" y="0"/>
                    <wp:lineTo x="0" y="21330"/>
                    <wp:lineTo x="21361" y="21330"/>
                    <wp:lineTo x="21361"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24000"/>
                        </a:xfrm>
                        <a:prstGeom prst="rect">
                          <a:avLst/>
                        </a:prstGeom>
                        <a:solidFill>
                          <a:srgbClr val="FFFFFF"/>
                        </a:solidFill>
                        <a:ln w="9525">
                          <a:noFill/>
                          <a:miter lim="800000"/>
                          <a:headEnd/>
                          <a:tailEnd/>
                        </a:ln>
                      </wps:spPr>
                      <wps:txbx>
                        <w:txbxContent>
                          <w:p w14:paraId="390F7279" w14:textId="77777777" w:rsidR="00CD4AF2" w:rsidRPr="00F94F9E" w:rsidRDefault="00CD4AF2" w:rsidP="00D56B77">
                            <w:pPr>
                              <w:pStyle w:val="BoxQuote"/>
                              <w:rPr>
                                <w:color w:val="215868" w:themeColor="accent5" w:themeShade="80"/>
                                <w:sz w:val="18"/>
                              </w:rPr>
                            </w:pPr>
                            <w:r w:rsidRPr="00F94F9E">
                              <w:rPr>
                                <w:color w:val="215868" w:themeColor="accent5" w:themeShade="80"/>
                              </w:rPr>
                              <w:t>[Working at subnational level is] built in to the strategy but the absence of an implementation plan for school development, at subnational level or otherwise made the Australian aid program’s work quite hard.</w:t>
                            </w:r>
                          </w:p>
                          <w:p w14:paraId="209BDFF5" w14:textId="77777777" w:rsidR="00CD4AF2" w:rsidRPr="00F94F9E" w:rsidRDefault="00CD4AF2" w:rsidP="00D56B77">
                            <w:pPr>
                              <w:pStyle w:val="BoxQuote"/>
                              <w:jc w:val="right"/>
                              <w:rPr>
                                <w:i w:val="0"/>
                                <w:color w:val="215868" w:themeColor="accent5" w:themeShade="80"/>
                              </w:rPr>
                            </w:pPr>
                            <w:r w:rsidRPr="00F94F9E">
                              <w:rPr>
                                <w:i w:val="0"/>
                                <w:color w:val="215868" w:themeColor="accent5" w:themeShade="80"/>
                              </w:rPr>
                              <w:t xml:space="preserve">Australian aid program, </w:t>
                            </w:r>
                          </w:p>
                          <w:p w14:paraId="2BDB8AFE" w14:textId="1FA52F99" w:rsidR="00CD4AF2" w:rsidRPr="00F94F9E" w:rsidRDefault="00CD4AF2" w:rsidP="00D56B77">
                            <w:pPr>
                              <w:pStyle w:val="BoxQuote"/>
                              <w:jc w:val="right"/>
                              <w:rPr>
                                <w:i w:val="0"/>
                                <w:color w:val="215868" w:themeColor="accent5" w:themeShade="80"/>
                                <w:sz w:val="18"/>
                              </w:rPr>
                            </w:pPr>
                            <w:r w:rsidRPr="00F94F9E">
                              <w:rPr>
                                <w:i w:val="0"/>
                                <w:color w:val="215868" w:themeColor="accent5" w:themeShade="80"/>
                              </w:rPr>
                              <w:t>staff interview</w:t>
                            </w:r>
                          </w:p>
                          <w:p w14:paraId="207000BA" w14:textId="77777777" w:rsidR="00CD4AF2" w:rsidRDefault="00CD4AF2" w:rsidP="00D56B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66.25pt;margin-top:90.7pt;width:186.95pt;height:120pt;z-index:-251526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fJQIAACQEAAAOAAAAZHJzL2Uyb0RvYy54bWysU9uO2yAQfa/Uf0C8N3a8zl6sOKtttqkq&#10;bS/Sbj8AYxyjAkOBxE6/vgNO0mj7VtUPFsMMhzPnDMv7USuyF85LMDWdz3JKhOHQSrOt6feXzbtb&#10;SnxgpmUKjKjpQXh6v3r7ZjnYShTQg2qFIwhifDXYmvYh2CrLPO+FZn4GVhhMduA0Cxi6bdY6NiC6&#10;VlmR59fZAK61DrjwHncfpyRdJfyuEzx87TovAlE1RW4h/V36N/GfrZas2jpme8mPNNg/sNBMGrz0&#10;DPXIAiM7J/+C0pI78NCFGQedQddJLlIP2M08f9XNc8+sSL2gON6eZfL/D5Z/2X9zRLY1vZpTYphG&#10;j17EGMh7GEkR5Rmsr7Dq2WJdGHEbbU6tevsE/IcnBtY9M1vx4BwMvWAt0pvHk9nF0QnHR5Bm+Awt&#10;XsN2ARLQ2DkdtUM1CKKjTYezNZEKx83i6qYsrheUcMzNF0WZ58m8jFWn49b58FGAJnFRU4feJ3i2&#10;f/Ih0mHVqSTe5kHJdiOVSoHbNmvlyJ7hnGzSlzp4VaYMGWp6tygWCdlAPJ9GSMuAc6ykruktUpvI&#10;sSrK8cG0qSQwqaY1MlHmqE+UZBInjM2YnChPsjfQHlAwB9PY4jPDRQ/uFyUDjmxN/c8dc4IS9cmg&#10;6HfzsowznoJycVNg4C4zzWWGGY5QNQ2UTMt1SO8iymHgAc3pZJItujgxOVLGUUxqHp9NnPXLOFX9&#10;edyr3wAAAP//AwBQSwMEFAAGAAgAAAAhAECRIN/fAAAACwEAAA8AAABkcnMvZG93bnJldi54bWxM&#10;j81OwzAQhO9IvIO1SNyok9CWEuJUCCkCKacWHsCJNz9KvI5iNw1vz3KC2+7OaPab7LjaUSw4+96R&#10;gngTgUCqnempVfD1WTwcQPigyejRESr4Rg/H/PYm06lxVzrhcg6t4BDyqVbQhTClUvq6Q6v9xk1I&#10;rDVutjrwOrfSzPrK4XaUSRTtpdU98YdOT/jWYT2cL1bBR1kXTVLaZglDbIfyVL0XzZNS93fr6wuI&#10;gGv4M8MvPqNDzkyVu5DxYlSwe0x2bGXhEG9BsOM52vNQKdgmfJF5Jv93yH8AAAD//wMAUEsBAi0A&#10;FAAGAAgAAAAhALaDOJL+AAAA4QEAABMAAAAAAAAAAAAAAAAAAAAAAFtDb250ZW50X1R5cGVzXS54&#10;bWxQSwECLQAUAAYACAAAACEAOP0h/9YAAACUAQAACwAAAAAAAAAAAAAAAAAvAQAAX3JlbHMvLnJl&#10;bHNQSwECLQAUAAYACAAAACEAppP4XyUCAAAkBAAADgAAAAAAAAAAAAAAAAAuAgAAZHJzL2Uyb0Rv&#10;Yy54bWxQSwECLQAUAAYACAAAACEAQJEg398AAAALAQAADwAAAAAAAAAAAAAAAAB/BAAAZHJzL2Rv&#10;d25yZXYueG1sUEsFBgAAAAAEAAQA8wAAAIsFAAAAAA==&#10;" stroked="f">
                <v:textbox>
                  <w:txbxContent>
                    <w:p w14:paraId="390F7279" w14:textId="77777777" w:rsidR="00CD4AF2" w:rsidRPr="00F94F9E" w:rsidRDefault="00CD4AF2" w:rsidP="00D56B77">
                      <w:pPr>
                        <w:pStyle w:val="BoxQuote"/>
                        <w:rPr>
                          <w:color w:val="215868" w:themeColor="accent5" w:themeShade="80"/>
                          <w:sz w:val="18"/>
                        </w:rPr>
                      </w:pPr>
                      <w:r w:rsidRPr="00F94F9E">
                        <w:rPr>
                          <w:color w:val="215868" w:themeColor="accent5" w:themeShade="80"/>
                        </w:rPr>
                        <w:t>[Working at subnational level is] built in to the strategy but the absence of an implementation plan for school development, at subnational level or otherwise made the Australian aid program’s work quite hard.</w:t>
                      </w:r>
                    </w:p>
                    <w:p w14:paraId="209BDFF5" w14:textId="77777777" w:rsidR="00CD4AF2" w:rsidRPr="00F94F9E" w:rsidRDefault="00CD4AF2" w:rsidP="00D56B77">
                      <w:pPr>
                        <w:pStyle w:val="BoxQuote"/>
                        <w:jc w:val="right"/>
                        <w:rPr>
                          <w:i w:val="0"/>
                          <w:color w:val="215868" w:themeColor="accent5" w:themeShade="80"/>
                        </w:rPr>
                      </w:pPr>
                      <w:r w:rsidRPr="00F94F9E">
                        <w:rPr>
                          <w:i w:val="0"/>
                          <w:color w:val="215868" w:themeColor="accent5" w:themeShade="80"/>
                        </w:rPr>
                        <w:t xml:space="preserve">Australian aid program, </w:t>
                      </w:r>
                    </w:p>
                    <w:p w14:paraId="2BDB8AFE" w14:textId="1FA52F99" w:rsidR="00CD4AF2" w:rsidRPr="00F94F9E" w:rsidRDefault="00CD4AF2" w:rsidP="00D56B77">
                      <w:pPr>
                        <w:pStyle w:val="BoxQuote"/>
                        <w:jc w:val="right"/>
                        <w:rPr>
                          <w:i w:val="0"/>
                          <w:color w:val="215868" w:themeColor="accent5" w:themeShade="80"/>
                          <w:sz w:val="18"/>
                        </w:rPr>
                      </w:pPr>
                      <w:r w:rsidRPr="00F94F9E">
                        <w:rPr>
                          <w:i w:val="0"/>
                          <w:color w:val="215868" w:themeColor="accent5" w:themeShade="80"/>
                        </w:rPr>
                        <w:t>staff interview</w:t>
                      </w:r>
                    </w:p>
                    <w:p w14:paraId="207000BA" w14:textId="77777777" w:rsidR="00CD4AF2" w:rsidRDefault="00CD4AF2" w:rsidP="00D56B77"/>
                  </w:txbxContent>
                </v:textbox>
                <w10:wrap type="tight"/>
              </v:shape>
            </w:pict>
          </mc:Fallback>
        </mc:AlternateContent>
      </w:r>
      <w:r w:rsidR="00AF6A11">
        <w:t xml:space="preserve">However, subnational engagement and targeted capacity building around planning and undertaking new works has not been part of the support. One program staff </w:t>
      </w:r>
      <w:r w:rsidR="00E75C22">
        <w:t xml:space="preserve">member </w:t>
      </w:r>
      <w:r w:rsidR="00AF6A11">
        <w:t>commented that it has been difficult to work at the subnational level in this sector. In general, the role of provincial government in the current approach to supplying school infrastructure is limited to ‘consultation’ around selection of schools.</w:t>
      </w:r>
      <w:r w:rsidR="0069137D">
        <w:t xml:space="preserve"> Local </w:t>
      </w:r>
      <w:r w:rsidR="00AF6A11">
        <w:t xml:space="preserve">provincial education officials mentioned </w:t>
      </w:r>
      <w:r w:rsidR="0069137D">
        <w:t xml:space="preserve">to us </w:t>
      </w:r>
      <w:r w:rsidR="00AF6A11">
        <w:t>that they had set up a selection committee to select schools. Interviews with program staff noted that ‘</w:t>
      </w:r>
      <w:r w:rsidR="00AF6A11" w:rsidRPr="00253800">
        <w:rPr>
          <w:i/>
        </w:rPr>
        <w:t>provincial departments supply names of schools that need support and each province has 20 sets of facilities</w:t>
      </w:r>
      <w:r w:rsidR="00AF6A11">
        <w:rPr>
          <w:i/>
        </w:rPr>
        <w:t>.</w:t>
      </w:r>
      <w:r w:rsidR="00AF6A11">
        <w:t>’ In this same province, school staff noted the importance of the aid program provincial-level staff member who had resolved issues, including complaints about the contractor. This latter example demonstrates the beneficial role played by aid program provincial representatives</w:t>
      </w:r>
      <w:r w:rsidR="00ED5383">
        <w:t xml:space="preserve"> </w:t>
      </w:r>
      <w:r w:rsidR="009D6F65">
        <w:t>at the site of service delivery</w:t>
      </w:r>
      <w:r w:rsidR="00AF6A11">
        <w:t xml:space="preserve">, </w:t>
      </w:r>
      <w:r w:rsidR="0069137D">
        <w:t xml:space="preserve">and </w:t>
      </w:r>
      <w:r w:rsidR="009D1E8C">
        <w:t xml:space="preserve">gives some indication of </w:t>
      </w:r>
      <w:r w:rsidR="0069137D">
        <w:t>the need for more formal</w:t>
      </w:r>
      <w:r w:rsidR="00AF6A11">
        <w:t xml:space="preserve"> subnational engagement</w:t>
      </w:r>
      <w:r w:rsidR="009D6F65">
        <w:t xml:space="preserve"> with relevant authorities</w:t>
      </w:r>
      <w:r w:rsidR="00AF6A11">
        <w:t>.</w:t>
      </w:r>
      <w:bookmarkStart w:id="155" w:name="_Toc371000096"/>
      <w:bookmarkStart w:id="156" w:name="_Toc371105426"/>
      <w:bookmarkStart w:id="157" w:name="_Toc372300942"/>
      <w:bookmarkStart w:id="158" w:name="_Toc382563881"/>
      <w:bookmarkStart w:id="159" w:name="_Toc382595835"/>
      <w:bookmarkStart w:id="160" w:name="_Toc371000097"/>
    </w:p>
    <w:bookmarkEnd w:id="155"/>
    <w:bookmarkEnd w:id="156"/>
    <w:bookmarkEnd w:id="157"/>
    <w:bookmarkEnd w:id="158"/>
    <w:bookmarkEnd w:id="159"/>
    <w:p w14:paraId="66C6C28B" w14:textId="77BCE98A" w:rsidR="00AF6A11" w:rsidRDefault="0066733A" w:rsidP="00AE2162">
      <w:r>
        <w:t>There is limited community</w:t>
      </w:r>
      <w:r w:rsidR="00AF6A11">
        <w:t xml:space="preserve"> engagement in the current approach. A</w:t>
      </w:r>
      <w:r>
        <w:t>n earlier</w:t>
      </w:r>
      <w:r w:rsidR="00AF6A11">
        <w:t xml:space="preserve"> review of school infrastructure notes the risks of providing kit buildings</w:t>
      </w:r>
      <w:r w:rsidR="00AF6A11" w:rsidRPr="00253800">
        <w:t xml:space="preserve">: </w:t>
      </w:r>
      <w:r w:rsidR="00AF6A11">
        <w:t>‘</w:t>
      </w:r>
      <w:r w:rsidR="00AF6A11">
        <w:rPr>
          <w:i/>
        </w:rPr>
        <w:t>T</w:t>
      </w:r>
      <w:r w:rsidR="00AF6A11" w:rsidRPr="00253800">
        <w:rPr>
          <w:i/>
        </w:rPr>
        <w:t xml:space="preserve">here is a danger that the provision of kit sets will undermine the message of the original BEDP </w:t>
      </w:r>
      <w:r w:rsidR="00AF6A11" w:rsidRPr="005F339E">
        <w:rPr>
          <w:i/>
        </w:rPr>
        <w:t>[</w:t>
      </w:r>
      <w:r w:rsidR="00AF6A11" w:rsidRPr="003E23F3">
        <w:rPr>
          <w:rFonts w:eastAsia="Calibri"/>
          <w:i/>
        </w:rPr>
        <w:t>Basic Education Development</w:t>
      </w:r>
      <w:r w:rsidR="0040650C">
        <w:rPr>
          <w:rFonts w:eastAsia="Calibri"/>
          <w:i/>
        </w:rPr>
        <w:t xml:space="preserve"> Project</w:t>
      </w:r>
      <w:r w:rsidR="00AF6A11" w:rsidRPr="003E23F3">
        <w:rPr>
          <w:rFonts w:eastAsia="Calibri"/>
          <w:i/>
        </w:rPr>
        <w:t>]</w:t>
      </w:r>
      <w:r w:rsidR="00AF6A11">
        <w:rPr>
          <w:rFonts w:eastAsia="Calibri"/>
        </w:rPr>
        <w:t xml:space="preserve"> </w:t>
      </w:r>
      <w:r w:rsidR="00AF6A11" w:rsidRPr="00253800">
        <w:rPr>
          <w:i/>
        </w:rPr>
        <w:t>approach, namely that communities should take their share of responsibility for school buildings</w:t>
      </w:r>
      <w:r w:rsidR="00AF6A11" w:rsidRPr="00253800">
        <w:t>.</w:t>
      </w:r>
      <w:r w:rsidR="00AF6A11">
        <w:t>’</w:t>
      </w:r>
      <w:r w:rsidR="00AF6A11" w:rsidRPr="00253800">
        <w:rPr>
          <w:rStyle w:val="EndnoteReference"/>
        </w:rPr>
        <w:endnoteReference w:id="113"/>
      </w:r>
      <w:r w:rsidR="00AF6A11" w:rsidRPr="00253800">
        <w:t xml:space="preserve"> Further, the </w:t>
      </w:r>
      <w:r w:rsidR="00AF6A11">
        <w:t>review emphasised</w:t>
      </w:r>
      <w:r w:rsidR="00AF6A11" w:rsidRPr="00253800">
        <w:t xml:space="preserve"> that </w:t>
      </w:r>
      <w:r w:rsidR="00AF6A11">
        <w:t>‘</w:t>
      </w:r>
      <w:r w:rsidR="00AF6A11" w:rsidRPr="00253800">
        <w:rPr>
          <w:i/>
        </w:rPr>
        <w:t xml:space="preserve">the original question of how communities and provincial authorities will work together to build and maintain schools is still an essential one </w:t>
      </w:r>
      <w:r w:rsidR="00AF6A11">
        <w:rPr>
          <w:i/>
        </w:rPr>
        <w:t>…</w:t>
      </w:r>
      <w:r w:rsidR="00AF6A11" w:rsidRPr="00253800">
        <w:rPr>
          <w:i/>
        </w:rPr>
        <w:t xml:space="preserve"> and one to which</w:t>
      </w:r>
      <w:r w:rsidRPr="00253800">
        <w:rPr>
          <w:i/>
        </w:rPr>
        <w:t xml:space="preserve"> </w:t>
      </w:r>
      <w:r>
        <w:rPr>
          <w:i/>
        </w:rPr>
        <w:t xml:space="preserve">[Australia] </w:t>
      </w:r>
      <w:r w:rsidR="00AF6A11" w:rsidRPr="00253800">
        <w:rPr>
          <w:i/>
        </w:rPr>
        <w:t>and the D</w:t>
      </w:r>
      <w:r w:rsidR="00AF6A11">
        <w:rPr>
          <w:i/>
        </w:rPr>
        <w:t>o</w:t>
      </w:r>
      <w:r w:rsidR="00AF6A11" w:rsidRPr="00253800">
        <w:rPr>
          <w:i/>
        </w:rPr>
        <w:t xml:space="preserve">E </w:t>
      </w:r>
      <w:r w:rsidR="006103DB" w:rsidRPr="006103DB">
        <w:rPr>
          <w:i/>
        </w:rPr>
        <w:t>[</w:t>
      </w:r>
      <w:r w:rsidR="006103DB" w:rsidRPr="00C615DC">
        <w:rPr>
          <w:rFonts w:cs="Cambria"/>
          <w:i/>
        </w:rPr>
        <w:t xml:space="preserve">Department of Education] </w:t>
      </w:r>
      <w:r w:rsidR="00AF6A11" w:rsidRPr="00253800">
        <w:rPr>
          <w:i/>
        </w:rPr>
        <w:t>will need to return</w:t>
      </w:r>
      <w:r w:rsidR="00AF6A11" w:rsidRPr="00253800">
        <w:t>.</w:t>
      </w:r>
      <w:r w:rsidR="00AF6A11">
        <w:t>’</w:t>
      </w:r>
      <w:r w:rsidR="00AF6A11" w:rsidRPr="00253800">
        <w:rPr>
          <w:rStyle w:val="EndnoteReference"/>
        </w:rPr>
        <w:endnoteReference w:id="114"/>
      </w:r>
      <w:r w:rsidR="00AF6A11">
        <w:t xml:space="preserve"> </w:t>
      </w:r>
      <w:r>
        <w:t>This evaluation suggests</w:t>
      </w:r>
      <w:r w:rsidR="00AF6A11">
        <w:t xml:space="preserve"> that more work is needed to ensure appropriate demand-side engagement. Governance programs</w:t>
      </w:r>
      <w:r w:rsidR="00610727">
        <w:rPr>
          <w:rStyle w:val="FootnoteReference"/>
        </w:rPr>
        <w:footnoteReference w:id="17"/>
      </w:r>
      <w:r w:rsidR="00610727">
        <w:t xml:space="preserve"> </w:t>
      </w:r>
      <w:r w:rsidR="00AF6A11">
        <w:t>were reported to have some focus on the demand side of education but it was unclear how these linked to school infrastructure provision.</w:t>
      </w:r>
    </w:p>
    <w:p w14:paraId="72224867" w14:textId="77777777" w:rsidR="00AF6A11" w:rsidRPr="00813F36" w:rsidRDefault="0066733A" w:rsidP="00AE2162">
      <w:pPr>
        <w:pStyle w:val="Heading3"/>
      </w:pPr>
      <w:bookmarkStart w:id="161" w:name="_Toc371105427"/>
      <w:bookmarkStart w:id="162" w:name="_Toc372300943"/>
      <w:bookmarkStart w:id="163" w:name="_Toc382563882"/>
      <w:bookmarkStart w:id="164" w:name="_Toc382595836"/>
      <w:r>
        <w:t>S</w:t>
      </w:r>
      <w:r w:rsidR="00AF6A11">
        <w:t>ustainability through o</w:t>
      </w:r>
      <w:r w:rsidR="00AF6A11" w:rsidRPr="00813F36">
        <w:t>wnership and capacity building</w:t>
      </w:r>
      <w:bookmarkEnd w:id="160"/>
      <w:bookmarkEnd w:id="161"/>
      <w:bookmarkEnd w:id="162"/>
      <w:bookmarkEnd w:id="163"/>
      <w:bookmarkEnd w:id="164"/>
    </w:p>
    <w:p w14:paraId="28408590" w14:textId="77777777" w:rsidR="00AF6A11" w:rsidRDefault="00AF6A11" w:rsidP="00AE2162">
      <w:pPr>
        <w:rPr>
          <w:i/>
        </w:rPr>
      </w:pPr>
      <w:r>
        <w:t>This evaluation found potential for a lack of ownership of school infrastructure at the school, district and provincial levels, which is likely to lead to a deterioration of the facilities. The technical design reportedly took account of this issue.</w:t>
      </w:r>
      <w:r w:rsidRPr="00E21237">
        <w:t xml:space="preserve"> </w:t>
      </w:r>
      <w:r>
        <w:t>Program staff indicated that even with no maintenance, the buildings were designed to last 30 years.</w:t>
      </w:r>
      <w:r w:rsidR="00610727">
        <w:rPr>
          <w:rStyle w:val="FootnoteReference"/>
        </w:rPr>
        <w:footnoteReference w:id="18"/>
      </w:r>
      <w:r w:rsidR="00610727">
        <w:t xml:space="preserve"> </w:t>
      </w:r>
      <w:r>
        <w:t>Overall, however, it did not seem that heed had been taken of the broader sustainability risks pointed out in the delivery strategy:</w:t>
      </w:r>
      <w:r w:rsidRPr="00E21237">
        <w:rPr>
          <w:i/>
        </w:rPr>
        <w:t xml:space="preserve"> </w:t>
      </w:r>
    </w:p>
    <w:p w14:paraId="4E50BFC0" w14:textId="77777777" w:rsidR="00AF6A11" w:rsidRDefault="00AF6A11" w:rsidP="00AE2162">
      <w:pPr>
        <w:pStyle w:val="Quote"/>
      </w:pPr>
      <w:r w:rsidRPr="009A7674">
        <w:t xml:space="preserve">Lessons from past Australian support to education, indicates that direct provision of services through project support has a poor track record in managing sustainability risks, demonstrated for example through lack of national funding </w:t>
      </w:r>
      <w:r>
        <w:t>for some key recurrent costs (teaching, materials).</w:t>
      </w:r>
      <w:r>
        <w:rPr>
          <w:rStyle w:val="EndnoteReference"/>
        </w:rPr>
        <w:endnoteReference w:id="115"/>
      </w:r>
      <w:r>
        <w:t xml:space="preserve"> </w:t>
      </w:r>
    </w:p>
    <w:p w14:paraId="43A6BC9F" w14:textId="08361EC4" w:rsidR="00AF6A11" w:rsidRDefault="00AF6A11" w:rsidP="00AE2162">
      <w:pPr>
        <w:pStyle w:val="Quote"/>
      </w:pPr>
      <w:r w:rsidRPr="00BB1353">
        <w:t>D</w:t>
      </w:r>
      <w:r>
        <w:t>o</w:t>
      </w:r>
      <w:r w:rsidRPr="00BB1353">
        <w:t>E does not provide funds or resources to ensure the maintenance and upkeep of the existing and the new school facilities a</w:t>
      </w:r>
      <w:r w:rsidRPr="00AE2162">
        <w:t>n</w:t>
      </w:r>
      <w:r w:rsidRPr="00BB1353">
        <w:t xml:space="preserve">d buildings funded by </w:t>
      </w:r>
      <w:r>
        <w:t>[the Australian aid program]</w:t>
      </w:r>
      <w:r w:rsidRPr="00BB1353">
        <w:t>. This leads to gradual breakdown and decay of buildings, reduced opportunities for students to attend and deterioration of basic education learning facilities</w:t>
      </w:r>
      <w:r>
        <w:t>.</w:t>
      </w:r>
      <w:r>
        <w:rPr>
          <w:rStyle w:val="EndnoteReference"/>
        </w:rPr>
        <w:endnoteReference w:id="116"/>
      </w:r>
      <w:r>
        <w:t xml:space="preserve"> </w:t>
      </w:r>
    </w:p>
    <w:p w14:paraId="6E9EF0FB" w14:textId="4FD57AF6" w:rsidR="00AF6A11" w:rsidRDefault="00F94F9E" w:rsidP="00AE2162">
      <w:r>
        <w:rPr>
          <w:noProof/>
        </w:rPr>
        <mc:AlternateContent>
          <mc:Choice Requires="wps">
            <w:drawing>
              <wp:anchor distT="0" distB="0" distL="114300" distR="114300" simplePos="0" relativeHeight="251792384" behindDoc="1" locked="0" layoutInCell="1" allowOverlap="1" wp14:anchorId="5C9FC1F4" wp14:editId="4BDB1319">
                <wp:simplePos x="0" y="0"/>
                <wp:positionH relativeFrom="column">
                  <wp:posOffset>3381375</wp:posOffset>
                </wp:positionH>
                <wp:positionV relativeFrom="paragraph">
                  <wp:posOffset>444500</wp:posOffset>
                </wp:positionV>
                <wp:extent cx="2374265" cy="1609725"/>
                <wp:effectExtent l="0" t="0" r="0" b="9525"/>
                <wp:wrapTight wrapText="bothSides">
                  <wp:wrapPolygon edited="0">
                    <wp:start x="0" y="0"/>
                    <wp:lineTo x="0" y="21472"/>
                    <wp:lineTo x="21361" y="21472"/>
                    <wp:lineTo x="21361"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09725"/>
                        </a:xfrm>
                        <a:prstGeom prst="rect">
                          <a:avLst/>
                        </a:prstGeom>
                        <a:solidFill>
                          <a:srgbClr val="FFFFFF"/>
                        </a:solidFill>
                        <a:ln w="9525">
                          <a:noFill/>
                          <a:miter lim="800000"/>
                          <a:headEnd/>
                          <a:tailEnd/>
                        </a:ln>
                      </wps:spPr>
                      <wps:txbx>
                        <w:txbxContent>
                          <w:p w14:paraId="3D469E7A" w14:textId="4CBFFC6B" w:rsidR="00CD4AF2" w:rsidRPr="00F94F9E" w:rsidRDefault="00CD4AF2" w:rsidP="00D56B77">
                            <w:pPr>
                              <w:pStyle w:val="BoxQuote"/>
                              <w:rPr>
                                <w:color w:val="215868" w:themeColor="accent5" w:themeShade="80"/>
                                <w:sz w:val="18"/>
                              </w:rPr>
                            </w:pPr>
                            <w:r w:rsidRPr="00F94F9E">
                              <w:rPr>
                                <w:color w:val="215868" w:themeColor="accent5" w:themeShade="80"/>
                              </w:rPr>
                              <w:t>[Australian support to] education seems remote to us. We can see the benefit, but we want to be involved. I feel like a spectator … I don’t want to be negative [but] we need some feeling of involvement and ownership.</w:t>
                            </w:r>
                          </w:p>
                          <w:p w14:paraId="352A62B5" w14:textId="5A437EBD" w:rsidR="00CD4AF2" w:rsidRPr="00F94F9E" w:rsidRDefault="00CD4AF2" w:rsidP="00D56B77">
                            <w:pPr>
                              <w:pStyle w:val="BoxQuote"/>
                              <w:jc w:val="right"/>
                              <w:rPr>
                                <w:i w:val="0"/>
                                <w:color w:val="215868" w:themeColor="accent5" w:themeShade="80"/>
                                <w:sz w:val="18"/>
                              </w:rPr>
                            </w:pPr>
                            <w:r w:rsidRPr="00F94F9E">
                              <w:rPr>
                                <w:i w:val="0"/>
                                <w:color w:val="215868" w:themeColor="accent5" w:themeShade="80"/>
                              </w:rPr>
                              <w:t>Provincial administrator, PNG, interview</w:t>
                            </w:r>
                          </w:p>
                          <w:p w14:paraId="36197D91" w14:textId="77777777" w:rsidR="00CD4AF2" w:rsidRDefault="00CD4AF2" w:rsidP="00D56B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66.25pt;margin-top:35pt;width:186.95pt;height:126.75pt;z-index:-251524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65JA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SooMUzj&#10;jJ7EEMh7GEgR6emtL9Hr0aJfGPAZx5xa9fYB+A9PDGw6ZnbizjnoO8EaLG8aI7OL0BHHR5C6/wwN&#10;pmH7AAloaJ2O3CEbBNFxTMfzaGIpHB+Lq+tZsZhTwtE2XeTL62KecrDyJdw6Hz4K0CQKFXU4+wTP&#10;Dg8+xHJY+eISs3lQstlKpZLidvVGOXJguCfbdE7ov7kpQ/qKLueYO0YZiPFphbQMuMdK6ore5PHE&#10;cFZGOj6YJsmBSTXKWIkyJ34iJSM5YaiHNInUWOSuhuaIhDkY1xa/GQoduF+U9LiyFfU/98wJStQn&#10;g6Qvp7NZ3PGkzObXBSru0lJfWpjhCFXRQMkobkL6F2NjdzicVibaXis5lYyrmNg8fZu465d68nr9&#10;3OtnAAAA//8DAFBLAwQUAAYACAAAACEAbcBZzN8AAAAKAQAADwAAAGRycy9kb3ducmV2LnhtbEyP&#10;y07DMBBF90j8gzWV2FG7CWkhjVMhpAikrFr4ACeePJTYjmI3DX/PsILlaI7uPTc7rWZkC86+d1bC&#10;biuAoa2d7m0r4euzeHwG5oOyWo3OooRv9HDK7+8ylWp3s2dcLqFlFGJ9qiR0IUwp577u0Ci/dRNa&#10;+jVuNirQObdcz+pG4WbkkRB7blRvqaFTE751WA+Xq5HwUdZFE5WmWcKwM0N5rt6L5iDlw2Z9PQIL&#10;uIY/GH71SR1ycqrc1WrPRglJHCWESjgI2kTAi9g/AaskxFGcAM8z/n9C/gMAAP//AwBQSwECLQAU&#10;AAYACAAAACEAtoM4kv4AAADhAQAAEwAAAAAAAAAAAAAAAAAAAAAAW0NvbnRlbnRfVHlwZXNdLnht&#10;bFBLAQItABQABgAIAAAAIQA4/SH/1gAAAJQBAAALAAAAAAAAAAAAAAAAAC8BAABfcmVscy8ucmVs&#10;c1BLAQItABQABgAIAAAAIQDhxi65JAIAACQEAAAOAAAAAAAAAAAAAAAAAC4CAABkcnMvZTJvRG9j&#10;LnhtbFBLAQItABQABgAIAAAAIQBtwFnM3wAAAAoBAAAPAAAAAAAAAAAAAAAAAH4EAABkcnMvZG93&#10;bnJldi54bWxQSwUGAAAAAAQABADzAAAAigUAAAAA&#10;" stroked="f">
                <v:textbox>
                  <w:txbxContent>
                    <w:p w14:paraId="3D469E7A" w14:textId="4CBFFC6B" w:rsidR="00CD4AF2" w:rsidRPr="00F94F9E" w:rsidRDefault="00CD4AF2" w:rsidP="00D56B77">
                      <w:pPr>
                        <w:pStyle w:val="BoxQuote"/>
                        <w:rPr>
                          <w:color w:val="215868" w:themeColor="accent5" w:themeShade="80"/>
                          <w:sz w:val="18"/>
                        </w:rPr>
                      </w:pPr>
                      <w:r w:rsidRPr="00F94F9E">
                        <w:rPr>
                          <w:color w:val="215868" w:themeColor="accent5" w:themeShade="80"/>
                        </w:rPr>
                        <w:t>[Australian support to] education seems remote to us. We can see the benefit, but we want to be involved. I feel like a spectator … I don’t want to be negative [but] we need some feeling of involvement and ownership.</w:t>
                      </w:r>
                    </w:p>
                    <w:p w14:paraId="352A62B5" w14:textId="5A437EBD" w:rsidR="00CD4AF2" w:rsidRPr="00F94F9E" w:rsidRDefault="00CD4AF2" w:rsidP="00D56B77">
                      <w:pPr>
                        <w:pStyle w:val="BoxQuote"/>
                        <w:jc w:val="right"/>
                        <w:rPr>
                          <w:i w:val="0"/>
                          <w:color w:val="215868" w:themeColor="accent5" w:themeShade="80"/>
                          <w:sz w:val="18"/>
                        </w:rPr>
                      </w:pPr>
                      <w:r w:rsidRPr="00F94F9E">
                        <w:rPr>
                          <w:i w:val="0"/>
                          <w:color w:val="215868" w:themeColor="accent5" w:themeShade="80"/>
                        </w:rPr>
                        <w:t>Provincial administrator, PNG, interview</w:t>
                      </w:r>
                    </w:p>
                    <w:p w14:paraId="36197D91" w14:textId="77777777" w:rsidR="00CD4AF2" w:rsidRDefault="00CD4AF2" w:rsidP="00D56B77"/>
                  </w:txbxContent>
                </v:textbox>
                <w10:wrap type="tight"/>
              </v:shape>
            </w:pict>
          </mc:Fallback>
        </mc:AlternateContent>
      </w:r>
      <w:r w:rsidR="00AF6A11">
        <w:t>Rather, staff reported making an explicit decision to provide school infrastructure directly through an external provider, having weighed up the risks of this and other approaches.</w:t>
      </w:r>
    </w:p>
    <w:p w14:paraId="28F1442A" w14:textId="7AD4C6A4" w:rsidR="00AF6A11" w:rsidRDefault="00AF6A11" w:rsidP="00AE2162">
      <w:r>
        <w:t>In one province we visited, there were arrangements in place for maintenance and interviews revealed they had recently developed a policy for asset maintenance. Australia had assisted this through a governance program,</w:t>
      </w:r>
      <w:r w:rsidR="00847680">
        <w:rPr>
          <w:rStyle w:val="FootnoteReference"/>
        </w:rPr>
        <w:footnoteReference w:id="19"/>
      </w:r>
      <w:r w:rsidR="00847680">
        <w:t xml:space="preserve"> </w:t>
      </w:r>
      <w:r>
        <w:t xml:space="preserve">demonstrating that linkage between aid programs is evident in some locations and is providing benefits. </w:t>
      </w:r>
    </w:p>
    <w:p w14:paraId="4AD0B5E1" w14:textId="6FA2BB3F" w:rsidR="00AF6A11" w:rsidRDefault="00AF6A11" w:rsidP="00AE2162">
      <w:r>
        <w:t xml:space="preserve">Lack of ownership at the provincial level was reported during fieldwork by </w:t>
      </w:r>
      <w:r w:rsidR="00ED5383">
        <w:t>the same</w:t>
      </w:r>
      <w:r>
        <w:t xml:space="preserve"> provincial administrator who noted the difference between Australia’s approaches in education and health: </w:t>
      </w:r>
    </w:p>
    <w:p w14:paraId="43DE628A" w14:textId="77777777" w:rsidR="00AF6A11" w:rsidRDefault="00AF6A11" w:rsidP="00AE2162">
      <w:pPr>
        <w:pStyle w:val="Quote"/>
      </w:pPr>
      <w:r w:rsidRPr="004D1F29">
        <w:t>In health</w:t>
      </w:r>
      <w:r w:rsidR="00A14962">
        <w:t>,</w:t>
      </w:r>
      <w:r w:rsidRPr="004D1F29">
        <w:t xml:space="preserve"> we have</w:t>
      </w:r>
      <w:r w:rsidRPr="00AE2162">
        <w:t xml:space="preserve"> tried but in education we haven’t tried to get our provincial people involved. They [Australian</w:t>
      </w:r>
      <w:r>
        <w:t xml:space="preserve"> </w:t>
      </w:r>
      <w:r w:rsidRPr="00932106">
        <w:t>educa</w:t>
      </w:r>
      <w:r>
        <w:t>tion</w:t>
      </w:r>
      <w:r w:rsidR="0066733A">
        <w:t xml:space="preserve"> program</w:t>
      </w:r>
      <w:r>
        <w:t>] work outside our system. [The Australian aid program]</w:t>
      </w:r>
      <w:r w:rsidRPr="00932106">
        <w:t xml:space="preserve"> get contractors from outside of the province who don’t understand the place so you feel distance from what you’re doing.</w:t>
      </w:r>
    </w:p>
    <w:p w14:paraId="45770DE4" w14:textId="77777777" w:rsidR="00AF6A11" w:rsidRDefault="00AF6A11" w:rsidP="00AE2162">
      <w:r>
        <w:t>Members of one of the provincial assemblies also asked for greater government ownership and empowerment</w:t>
      </w:r>
      <w:r w:rsidRPr="00932106">
        <w:t xml:space="preserve">: </w:t>
      </w:r>
      <w:r>
        <w:t>‘</w:t>
      </w:r>
      <w:r>
        <w:rPr>
          <w:i/>
        </w:rPr>
        <w:t>W</w:t>
      </w:r>
      <w:r w:rsidRPr="00932106">
        <w:rPr>
          <w:i/>
        </w:rPr>
        <w:t>e shou</w:t>
      </w:r>
      <w:r>
        <w:rPr>
          <w:i/>
        </w:rPr>
        <w:t>ld make some empowerment for local</w:t>
      </w:r>
      <w:r w:rsidR="006103DB">
        <w:rPr>
          <w:i/>
        </w:rPr>
        <w:t>-l</w:t>
      </w:r>
      <w:r>
        <w:rPr>
          <w:i/>
        </w:rPr>
        <w:t>evel government</w:t>
      </w:r>
      <w:r w:rsidRPr="00932106">
        <w:rPr>
          <w:i/>
        </w:rPr>
        <w:t>s</w:t>
      </w:r>
      <w:r w:rsidRPr="00932106">
        <w:t>.</w:t>
      </w:r>
      <w:r>
        <w:t>’</w:t>
      </w:r>
      <w:r w:rsidRPr="00932106">
        <w:t xml:space="preserve"> These</w:t>
      </w:r>
      <w:r>
        <w:t xml:space="preserve"> officials voiced a desire for stronger engagement at district and local level: ‘</w:t>
      </w:r>
      <w:r>
        <w:rPr>
          <w:i/>
        </w:rPr>
        <w:t>W</w:t>
      </w:r>
      <w:r w:rsidRPr="00932106">
        <w:rPr>
          <w:i/>
        </w:rPr>
        <w:t>e need to think about delivering the needs of the people and this is best understood through the local</w:t>
      </w:r>
      <w:r w:rsidR="006103DB">
        <w:rPr>
          <w:i/>
        </w:rPr>
        <w:t>-</w:t>
      </w:r>
      <w:r w:rsidRPr="00932106">
        <w:rPr>
          <w:i/>
        </w:rPr>
        <w:t>level government</w:t>
      </w:r>
      <w:r>
        <w:t>.’</w:t>
      </w:r>
    </w:p>
    <w:p w14:paraId="035CC1CB" w14:textId="77777777" w:rsidR="00AF6A11" w:rsidRDefault="002212D3" w:rsidP="00AE2162">
      <w:pPr>
        <w:pStyle w:val="Heading3"/>
      </w:pPr>
      <w:bookmarkStart w:id="165" w:name="_Toc371105428"/>
      <w:bookmarkStart w:id="166" w:name="_Toc372300944"/>
      <w:bookmarkStart w:id="167" w:name="_Toc382563883"/>
      <w:bookmarkStart w:id="168" w:name="_Toc382595837"/>
      <w:r>
        <w:t>E</w:t>
      </w:r>
      <w:r w:rsidR="00AF6A11" w:rsidRPr="00BA38E7">
        <w:t>quity and gender</w:t>
      </w:r>
      <w:bookmarkEnd w:id="165"/>
      <w:bookmarkEnd w:id="166"/>
      <w:bookmarkEnd w:id="167"/>
      <w:bookmarkEnd w:id="168"/>
      <w:r w:rsidR="00AF6A11" w:rsidRPr="00BA38E7">
        <w:t xml:space="preserve"> </w:t>
      </w:r>
    </w:p>
    <w:p w14:paraId="188333AF" w14:textId="77777777" w:rsidR="00AF6A11" w:rsidRDefault="00AF6A11" w:rsidP="00AE2162">
      <w:r>
        <w:t>Support for school infrastructure was provided equally across the provinces. This was justified by aid program staff at the national level in terms of the high need across the country, and the lack of available data to allow a more informed decision: ‘</w:t>
      </w:r>
      <w:r w:rsidRPr="00D96DED">
        <w:rPr>
          <w:i/>
        </w:rPr>
        <w:t>[</w:t>
      </w:r>
      <w:r>
        <w:rPr>
          <w:i/>
        </w:rPr>
        <w:t>T</w:t>
      </w:r>
      <w:r w:rsidRPr="00D96DED">
        <w:rPr>
          <w:i/>
        </w:rPr>
        <w:t xml:space="preserve">he] level of need in infrastructure across the country is so high that equally across provinces is as good </w:t>
      </w:r>
      <w:r>
        <w:rPr>
          <w:i/>
        </w:rPr>
        <w:t xml:space="preserve">[an approach] </w:t>
      </w:r>
      <w:r w:rsidRPr="00D96DED">
        <w:rPr>
          <w:i/>
        </w:rPr>
        <w:t>as any</w:t>
      </w:r>
      <w:r>
        <w:t xml:space="preserve">.’ It is not clear whether </w:t>
      </w:r>
      <w:r w:rsidR="002212D3">
        <w:t xml:space="preserve">subsequent </w:t>
      </w:r>
      <w:r>
        <w:t>provincial decisions in selecting school</w:t>
      </w:r>
      <w:r w:rsidR="002212D3">
        <w:t xml:space="preserve"> locations</w:t>
      </w:r>
      <w:r>
        <w:t xml:space="preserve"> included an emphasis on poverty or equity. </w:t>
      </w:r>
    </w:p>
    <w:p w14:paraId="7C62771E" w14:textId="77777777" w:rsidR="00AF6A11" w:rsidRDefault="002212D3" w:rsidP="00AE2162">
      <w:r>
        <w:t>The evaluation</w:t>
      </w:r>
      <w:r w:rsidR="00AF6A11">
        <w:t xml:space="preserve"> fieldwork indicated that the construction of ablution blocks had contributed to girls’ attendance at school. In relation to people with a disability, the delivery strategy commits to taking their needs into account in the design of school infrastructure: ‘</w:t>
      </w:r>
      <w:r w:rsidR="00AF6A11" w:rsidRPr="00A92D1F">
        <w:rPr>
          <w:i/>
        </w:rPr>
        <w:t>Care will be taken to address the physical and educational needs of male and female students with disabilities, including in the design of classrooms and improving access to basic services</w:t>
      </w:r>
      <w:r w:rsidR="00AF6A11">
        <w:t>.’</w:t>
      </w:r>
      <w:r w:rsidR="00AF6A11">
        <w:rPr>
          <w:rStyle w:val="EndnoteReference"/>
        </w:rPr>
        <w:endnoteReference w:id="117"/>
      </w:r>
      <w:r w:rsidR="00AF6A11">
        <w:t xml:space="preserve"> </w:t>
      </w:r>
    </w:p>
    <w:p w14:paraId="6880C317" w14:textId="77777777" w:rsidR="00AF6A11" w:rsidRDefault="00AF6A11" w:rsidP="00AE2162">
      <w:pPr>
        <w:pStyle w:val="Heading3"/>
      </w:pPr>
      <w:bookmarkStart w:id="169" w:name="_Toc371105429"/>
      <w:bookmarkStart w:id="170" w:name="_Toc372300945"/>
      <w:bookmarkStart w:id="171" w:name="_Toc382563884"/>
      <w:bookmarkStart w:id="172" w:name="_Toc382595838"/>
      <w:r w:rsidRPr="00BA38E7">
        <w:t>Complement</w:t>
      </w:r>
      <w:r w:rsidR="002212D3">
        <w:t>ing</w:t>
      </w:r>
      <w:r w:rsidRPr="00BA38E7">
        <w:t xml:space="preserve"> other initiatives</w:t>
      </w:r>
      <w:bookmarkEnd w:id="169"/>
      <w:bookmarkEnd w:id="170"/>
      <w:bookmarkEnd w:id="171"/>
      <w:bookmarkEnd w:id="172"/>
    </w:p>
    <w:p w14:paraId="2EC939AD" w14:textId="77777777" w:rsidR="00AF6A11" w:rsidRDefault="00AF6A11" w:rsidP="00AE2162">
      <w:r>
        <w:t>The education delivery strategy goes some way towards supporting complementarity between different initiatives within the education sector, but does not make clear the links between the three main support modalities. The strategy mentions links with governance programs, but without clarity about the practicalities of linking or specific subnational locations where this is envisaged.</w:t>
      </w:r>
    </w:p>
    <w:p w14:paraId="78B66009" w14:textId="77777777" w:rsidR="00AF6A11" w:rsidRDefault="00AF6A11" w:rsidP="00AE2162">
      <w:r>
        <w:t xml:space="preserve">It appeared that engagement of subnational aid program staff has already proved beneficial for the education programs in the manner described in the delivery strategy: </w:t>
      </w:r>
    </w:p>
    <w:p w14:paraId="078F3056" w14:textId="77777777" w:rsidR="00AF6A11" w:rsidRDefault="006103DB" w:rsidP="00AE2162">
      <w:pPr>
        <w:pStyle w:val="Quote"/>
        <w:rPr>
          <w:rFonts w:ascii="Arial Narrow" w:hAnsi="Arial Narrow" w:cs="Arial Narrow"/>
        </w:rPr>
      </w:pPr>
      <w:r>
        <w:t>O</w:t>
      </w:r>
      <w:r w:rsidR="00AF6A11" w:rsidRPr="00416970">
        <w:t>fficers co-located in the provincial administrations of five provinces have frequent interactions with the education divisions in the provinces and will be increasingly relied upon to provide regular feedback on the education issues, challenges and developments in the education sector</w:t>
      </w:r>
      <w:r w:rsidR="00AF6A11">
        <w:rPr>
          <w:rFonts w:ascii="Arial Narrow" w:hAnsi="Arial Narrow" w:cs="Arial Narrow"/>
        </w:rPr>
        <w:t>.</w:t>
      </w:r>
      <w:r w:rsidR="00AF6A11">
        <w:rPr>
          <w:rStyle w:val="EndnoteReference"/>
          <w:rFonts w:ascii="Arial Narrow" w:hAnsi="Arial Narrow" w:cs="Arial Narrow"/>
        </w:rPr>
        <w:endnoteReference w:id="118"/>
      </w:r>
      <w:r w:rsidR="00AF6A11">
        <w:rPr>
          <w:rFonts w:ascii="Arial Narrow" w:hAnsi="Arial Narrow" w:cs="Arial Narrow"/>
        </w:rPr>
        <w:t xml:space="preserve"> </w:t>
      </w:r>
    </w:p>
    <w:p w14:paraId="1B3DF87C" w14:textId="77777777" w:rsidR="00AF6A11" w:rsidRDefault="00AF6A11" w:rsidP="00AE2162">
      <w:r>
        <w:t xml:space="preserve">Our </w:t>
      </w:r>
      <w:r w:rsidRPr="00416970">
        <w:t xml:space="preserve">fieldwork </w:t>
      </w:r>
      <w:r>
        <w:t>confirmed this by revealing that one of the recipient schools appreciated the role of the aid program</w:t>
      </w:r>
      <w:r w:rsidRPr="00416970">
        <w:t xml:space="preserve"> officer</w:t>
      </w:r>
      <w:r>
        <w:t>.</w:t>
      </w:r>
    </w:p>
    <w:p w14:paraId="33726B17" w14:textId="77777777" w:rsidR="003E23F3" w:rsidRPr="003E23F3" w:rsidRDefault="00AF6A11" w:rsidP="003E23F3">
      <w:pPr>
        <w:pStyle w:val="Heading3"/>
      </w:pPr>
      <w:r w:rsidRPr="003E23F3">
        <w:t>Indonesia education program</w:t>
      </w:r>
      <w:r w:rsidR="003E23F3" w:rsidRPr="003E23F3">
        <w:t xml:space="preserve">. </w:t>
      </w:r>
    </w:p>
    <w:p w14:paraId="4783141E" w14:textId="57BD084A" w:rsidR="009B0C9F" w:rsidRDefault="00AF6A11" w:rsidP="0058476B">
      <w:r w:rsidRPr="003E23F3">
        <w:t xml:space="preserve">During our fieldwork, we engaged with Australia’s Education Partnership with Indonesia, particularly with the component related to school infrastructure and school systems quality. This program is </w:t>
      </w:r>
      <w:r w:rsidR="00FA1368">
        <w:t>somewhat</w:t>
      </w:r>
      <w:r w:rsidRPr="003E23F3">
        <w:t xml:space="preserve"> similar to the one described for PNG. It involves strong national engagement with the education line ministry, and the extensive use of private contractors who engage at school level. The chosen approach is influenced by national line ministry policy on directly funding schools</w:t>
      </w:r>
      <w:r w:rsidR="00FA1368">
        <w:t xml:space="preserve"> and</w:t>
      </w:r>
      <w:r w:rsidRPr="003E23F3">
        <w:t xml:space="preserve"> bypassing subnational government</w:t>
      </w:r>
      <w:r w:rsidR="00FA1368">
        <w:t xml:space="preserve">. This </w:t>
      </w:r>
      <w:r w:rsidRPr="003E23F3">
        <w:t xml:space="preserve">represents a typical contradiction found in decentralised contexts between national agencies and those at local level. The program uses parallel systems for monitoring </w:t>
      </w:r>
      <w:r w:rsidR="00FA1368" w:rsidRPr="003E23F3">
        <w:t xml:space="preserve">quality </w:t>
      </w:r>
      <w:r w:rsidR="002B69E4">
        <w:t xml:space="preserve">that is </w:t>
      </w:r>
      <w:r w:rsidRPr="003E23F3">
        <w:t>outside of government systems, and implemented by the school systems quality program. The program appeared to have limited leadership roles and engagement at the subnational level, which seems inappropriate given their responsibility for school infrastructure and its maintenance. For instance, at the subnational level one interviewee noted that: ‘</w:t>
      </w:r>
      <w:r w:rsidR="006103DB" w:rsidRPr="00C615DC">
        <w:rPr>
          <w:i/>
        </w:rPr>
        <w:t>A</w:t>
      </w:r>
      <w:r w:rsidRPr="006103DB">
        <w:rPr>
          <w:i/>
        </w:rPr>
        <w:t>ll</w:t>
      </w:r>
      <w:r w:rsidRPr="009D6F65">
        <w:rPr>
          <w:i/>
        </w:rPr>
        <w:t xml:space="preserve"> [is]</w:t>
      </w:r>
      <w:r w:rsidR="006103DB">
        <w:rPr>
          <w:i/>
        </w:rPr>
        <w:t xml:space="preserve"> </w:t>
      </w:r>
      <w:r w:rsidRPr="009D6F65">
        <w:rPr>
          <w:i/>
        </w:rPr>
        <w:t>determined in Jakarta and local governments don’t know what’s going on—schools get built and local governments don’t know about it</w:t>
      </w:r>
      <w:r w:rsidRPr="003E23F3">
        <w:t xml:space="preserve">.’ </w:t>
      </w:r>
    </w:p>
    <w:p w14:paraId="0AA796AC" w14:textId="64F92069" w:rsidR="00AF6A11" w:rsidRDefault="00AF6A11" w:rsidP="0058476B">
      <w:r w:rsidRPr="003E23F3">
        <w:t xml:space="preserve">This approach </w:t>
      </w:r>
      <w:r w:rsidR="009B0C9F">
        <w:t>appears</w:t>
      </w:r>
      <w:r w:rsidR="009B0C9F" w:rsidRPr="003E23F3">
        <w:t xml:space="preserve"> </w:t>
      </w:r>
      <w:r w:rsidRPr="003E23F3">
        <w:t>inconsistent with the thrust of the Indonesia country strategy which includes consideration of decentralisation.</w:t>
      </w:r>
      <w:r w:rsidR="009B0C9F">
        <w:t xml:space="preserve"> I</w:t>
      </w:r>
      <w:r w:rsidRPr="003E23F3">
        <w:t>t is also inconsistent with evidence in the education design document, which highlights learning from past programs in Indonesia including issues of poor district capacity in school construction and maintenance: ‘in a decentralised system, capacity</w:t>
      </w:r>
      <w:r w:rsidR="00F50C5F">
        <w:t>-</w:t>
      </w:r>
      <w:r w:rsidRPr="003E23F3">
        <w:t>building activities need[s] to work at the central and sub</w:t>
      </w:r>
      <w:r w:rsidR="00F50C5F">
        <w:t>national</w:t>
      </w:r>
      <w:r w:rsidRPr="003E23F3">
        <w:t xml:space="preserve"> levels</w:t>
      </w:r>
      <w:r w:rsidR="00D2236B">
        <w:t>.’</w:t>
      </w:r>
      <w:r w:rsidRPr="009D6F65">
        <w:rPr>
          <w:vertAlign w:val="superscript"/>
        </w:rPr>
        <w:endnoteReference w:id="119"/>
      </w:r>
      <w:r w:rsidRPr="003E23F3">
        <w:t xml:space="preserve"> However, it is also the result of inherent tensions in the decentralised context </w:t>
      </w:r>
      <w:r w:rsidR="0040650C">
        <w:t>which</w:t>
      </w:r>
      <w:r w:rsidR="0040650C" w:rsidRPr="003E23F3">
        <w:t xml:space="preserve"> </w:t>
      </w:r>
      <w:r w:rsidRPr="003E23F3">
        <w:t>donors must navigate.</w:t>
      </w:r>
      <w:r w:rsidR="00BE7094">
        <w:t xml:space="preserve"> </w:t>
      </w:r>
    </w:p>
    <w:p w14:paraId="1AC4F317" w14:textId="6FE2B903" w:rsidR="000D1659" w:rsidRDefault="000D1659" w:rsidP="0058476B">
      <w:r>
        <w:rPr>
          <w:noProof/>
        </w:rPr>
        <w:drawing>
          <wp:inline distT="0" distB="0" distL="0" distR="0" wp14:anchorId="566B189F" wp14:editId="40E6542C">
            <wp:extent cx="5724938" cy="3768918"/>
            <wp:effectExtent l="0" t="0" r="9525" b="3175"/>
            <wp:docPr id="23" name="Picture 23" descr="C:\Users\020106\Dropbox\AusAID ODE Aid Choices in Decentralised Contexts\Working\In Country Indonesia\Photos\NTB Team\IMGP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0106\Dropbox\AusAID ODE Aid Choices in Decentralised Contexts\Working\In Country Indonesia\Photos\NTB Team\IMGP3042.JP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t="8704" b="3519"/>
                    <a:stretch/>
                  </pic:blipFill>
                  <pic:spPr bwMode="auto">
                    <a:xfrm>
                      <a:off x="0" y="0"/>
                      <a:ext cx="5731510" cy="3773245"/>
                    </a:xfrm>
                    <a:prstGeom prst="rect">
                      <a:avLst/>
                    </a:prstGeom>
                    <a:noFill/>
                    <a:ln>
                      <a:noFill/>
                    </a:ln>
                    <a:extLst>
                      <a:ext uri="{53640926-AAD7-44D8-BBD7-CCE9431645EC}">
                        <a14:shadowObscured xmlns:a14="http://schemas.microsoft.com/office/drawing/2010/main"/>
                      </a:ext>
                    </a:extLst>
                  </pic:spPr>
                </pic:pic>
              </a:graphicData>
            </a:graphic>
          </wp:inline>
        </w:drawing>
      </w:r>
    </w:p>
    <w:p w14:paraId="0B8641AC" w14:textId="62022027" w:rsidR="007F4BE5" w:rsidRPr="003E23F3" w:rsidRDefault="00913166" w:rsidP="001204DD">
      <w:pPr>
        <w:pStyle w:val="Caption"/>
      </w:pPr>
      <w:r>
        <w:t xml:space="preserve">Teachers, Lombok Tengah, </w:t>
      </w:r>
      <w:r w:rsidR="009A42DE">
        <w:t>Lombok</w:t>
      </w:r>
      <w:r w:rsidR="007F4BE5">
        <w:t xml:space="preserve">, Indonesia. </w:t>
      </w:r>
      <w:r w:rsidR="007F4BE5" w:rsidRPr="007F4BE5">
        <w:rPr>
          <w:i/>
        </w:rPr>
        <w:t>Photo: ISF, UTS</w:t>
      </w:r>
    </w:p>
    <w:p w14:paraId="5A4BFACE" w14:textId="77777777" w:rsidR="00AF6A11" w:rsidRDefault="00AF6A11" w:rsidP="00AE2162">
      <w:pPr>
        <w:pStyle w:val="Heading2"/>
        <w:spacing w:before="360" w:after="240" w:line="288" w:lineRule="auto"/>
        <w:ind w:left="0" w:firstLine="0"/>
      </w:pPr>
      <w:bookmarkStart w:id="173" w:name="_Toc371105430"/>
      <w:bookmarkStart w:id="174" w:name="_Ref371622811"/>
      <w:bookmarkStart w:id="175" w:name="_Ref371623011"/>
      <w:bookmarkStart w:id="176" w:name="_Toc382563885"/>
      <w:bookmarkStart w:id="177" w:name="_Toc382595839"/>
      <w:bookmarkStart w:id="178" w:name="_Toc408831782"/>
      <w:r>
        <w:t>3.4</w:t>
      </w:r>
      <w:r>
        <w:tab/>
      </w:r>
      <w:r w:rsidR="00621EBF">
        <w:t>Basic education in the Visayas, Philippines</w:t>
      </w:r>
      <w:bookmarkEnd w:id="173"/>
      <w:bookmarkEnd w:id="174"/>
      <w:bookmarkEnd w:id="175"/>
      <w:bookmarkEnd w:id="176"/>
      <w:bookmarkEnd w:id="177"/>
      <w:bookmarkEnd w:id="178"/>
    </w:p>
    <w:p w14:paraId="2FE1A520" w14:textId="77777777" w:rsidR="006103DB" w:rsidRPr="00F94F9E" w:rsidRDefault="00AF6A11" w:rsidP="00AE2162">
      <w:pPr>
        <w:pStyle w:val="BoxQuote"/>
        <w:rPr>
          <w:rStyle w:val="IntenseEmphasis"/>
          <w:i/>
          <w:color w:val="215868" w:themeColor="accent5" w:themeShade="80"/>
        </w:rPr>
      </w:pPr>
      <w:r w:rsidRPr="00F94F9E">
        <w:rPr>
          <w:color w:val="215868" w:themeColor="accent5" w:themeShade="80"/>
        </w:rPr>
        <w:t>STRIVE has built systems ownership through active stakeholders’ participation in systems development, and integration of changes with local management structures</w:t>
      </w:r>
      <w:r w:rsidRPr="00F94F9E">
        <w:rPr>
          <w:rStyle w:val="IntenseEmphasis"/>
          <w:i/>
          <w:color w:val="215868" w:themeColor="accent5" w:themeShade="80"/>
        </w:rPr>
        <w:t>.</w:t>
      </w:r>
      <w:bookmarkStart w:id="179" w:name="_Toc371105431"/>
    </w:p>
    <w:p w14:paraId="7E8892DD" w14:textId="164FE2F9" w:rsidR="00AF6A11" w:rsidRPr="003E23F3" w:rsidRDefault="006103DB" w:rsidP="00C615DC">
      <w:pPr>
        <w:pStyle w:val="BoxQuoteSource"/>
      </w:pPr>
      <w:r w:rsidRPr="00F94F9E">
        <w:rPr>
          <w:color w:val="215868" w:themeColor="accent5" w:themeShade="80"/>
        </w:rPr>
        <w:t xml:space="preserve">Australian Agency for International Development, </w:t>
      </w:r>
      <w:r w:rsidRPr="00F94F9E">
        <w:rPr>
          <w:i/>
          <w:color w:val="215868" w:themeColor="accent5" w:themeShade="80"/>
        </w:rPr>
        <w:t xml:space="preserve">STRIVE in support of </w:t>
      </w:r>
      <w:r w:rsidR="00094FBB" w:rsidRPr="00F94F9E">
        <w:rPr>
          <w:i/>
          <w:color w:val="215868" w:themeColor="accent5" w:themeShade="80"/>
        </w:rPr>
        <w:t>BESRA</w:t>
      </w:r>
      <w:r w:rsidRPr="00F94F9E">
        <w:rPr>
          <w:i/>
          <w:color w:val="215868" w:themeColor="accent5" w:themeShade="80"/>
        </w:rPr>
        <w:t xml:space="preserve">: </w:t>
      </w:r>
      <w:r w:rsidR="00D56B77" w:rsidRPr="00F94F9E">
        <w:rPr>
          <w:i/>
          <w:color w:val="215868" w:themeColor="accent5" w:themeShade="80"/>
        </w:rPr>
        <w:t xml:space="preserve">                             </w:t>
      </w:r>
      <w:r w:rsidRPr="00F94F9E">
        <w:rPr>
          <w:i/>
          <w:color w:val="215868" w:themeColor="accent5" w:themeShade="80"/>
        </w:rPr>
        <w:t>independent completion report,</w:t>
      </w:r>
      <w:r w:rsidRPr="00F94F9E">
        <w:rPr>
          <w:color w:val="215868" w:themeColor="accent5" w:themeShade="80"/>
        </w:rPr>
        <w:t xml:space="preserve"> AusAID, Canberra, 2011, p.6.</w:t>
      </w:r>
    </w:p>
    <w:p w14:paraId="58772B1C" w14:textId="77777777" w:rsidR="00AF6A11" w:rsidRPr="005140F5" w:rsidRDefault="00AF6A11" w:rsidP="00AE2162">
      <w:pPr>
        <w:jc w:val="right"/>
        <w:rPr>
          <w:rFonts w:cs="Arial"/>
          <w:color w:val="004351"/>
        </w:rPr>
      </w:pPr>
    </w:p>
    <w:p w14:paraId="6EBDB0B4" w14:textId="77777777" w:rsidR="00AF6A11" w:rsidRDefault="006103DB" w:rsidP="003E23F3">
      <w:pPr>
        <w:pStyle w:val="Heading3"/>
        <w:spacing w:before="240"/>
      </w:pPr>
      <w:bookmarkStart w:id="180" w:name="_Toc372300947"/>
      <w:bookmarkStart w:id="181" w:name="_Toc382563886"/>
      <w:bookmarkStart w:id="182" w:name="_Toc382595840"/>
      <w:r w:rsidRPr="00CB592D">
        <w:rPr>
          <w:bCs w:val="0"/>
        </w:rPr>
        <w:t xml:space="preserve">Background </w:t>
      </w:r>
      <w:r>
        <w:rPr>
          <w:bCs w:val="0"/>
        </w:rPr>
        <w:t>on d</w:t>
      </w:r>
      <w:r w:rsidR="00AF6A11">
        <w:t>ecentralisation in the Philippines education sector</w:t>
      </w:r>
      <w:bookmarkEnd w:id="179"/>
      <w:bookmarkEnd w:id="180"/>
      <w:bookmarkEnd w:id="181"/>
      <w:bookmarkEnd w:id="182"/>
    </w:p>
    <w:p w14:paraId="7E30D9EE" w14:textId="445D42CC" w:rsidR="00AF6A11" w:rsidRDefault="00AF6A11" w:rsidP="00AE2162">
      <w:r>
        <w:t>In the Philippines, the</w:t>
      </w:r>
      <w:r w:rsidRPr="00610C34">
        <w:t xml:space="preserve"> Basic Education Sector Reform Agenda (BESRA) </w:t>
      </w:r>
      <w:r>
        <w:t>and subsequent Department of Education (DepEd) orders have shifted education towards a decentralised operating structure.</w:t>
      </w:r>
      <w:r>
        <w:rPr>
          <w:rStyle w:val="EndnoteReference"/>
        </w:rPr>
        <w:endnoteReference w:id="120"/>
      </w:r>
      <w:r>
        <w:t xml:space="preserve"> Service delivery, including facilitation of community participation, is undertaken primarily under the auspices of school-based m</w:t>
      </w:r>
      <w:r w:rsidRPr="00610C34">
        <w:t>anagement.</w:t>
      </w:r>
      <w:r w:rsidRPr="00610C34">
        <w:rPr>
          <w:rStyle w:val="EndnoteReference"/>
        </w:rPr>
        <w:endnoteReference w:id="121"/>
      </w:r>
      <w:r>
        <w:t xml:space="preserve"> The education sector is ‘deconcentrated’ through regions and the divisions of the </w:t>
      </w:r>
      <w:r w:rsidR="0040650C">
        <w:t>DepEd</w:t>
      </w:r>
      <w:r>
        <w:t xml:space="preserve">, not through actual decentralisation of responsibilities to local government. In other words, subnational education </w:t>
      </w:r>
      <w:r w:rsidR="00913166">
        <w:t>staff belongs</w:t>
      </w:r>
      <w:r>
        <w:t xml:space="preserve"> to a national department rather than to a decentralised tier of government. However, local governments do have a place on school boards. In 2010, the DepEd was ‘</w:t>
      </w:r>
      <w:r w:rsidRPr="004E6FC5">
        <w:rPr>
          <w:i/>
        </w:rPr>
        <w:t>ill-prepared to shift to decentralised education management as their organisation structure and functions were not appropriate and information management was unreliable</w:t>
      </w:r>
      <w:r>
        <w:t>.’</w:t>
      </w:r>
      <w:r w:rsidRPr="004E6FC5">
        <w:rPr>
          <w:rStyle w:val="EndnoteReference"/>
        </w:rPr>
        <w:endnoteReference w:id="122"/>
      </w:r>
      <w:r>
        <w:t xml:space="preserve"> </w:t>
      </w:r>
      <w:r w:rsidR="00B77283">
        <w:t>A</w:t>
      </w:r>
      <w:r>
        <w:t>id program</w:t>
      </w:r>
      <w:r w:rsidRPr="00737BEB">
        <w:t xml:space="preserve"> staff</w:t>
      </w:r>
      <w:r w:rsidR="00B77283">
        <w:t xml:space="preserve"> </w:t>
      </w:r>
      <w:r>
        <w:t>report</w:t>
      </w:r>
      <w:r w:rsidR="00B77283">
        <w:t>ed</w:t>
      </w:r>
      <w:r>
        <w:t xml:space="preserve"> that</w:t>
      </w:r>
      <w:r w:rsidRPr="00737BEB">
        <w:t xml:space="preserve"> the challenge is the large bureaucracy (across 17 regions) and </w:t>
      </w:r>
      <w:r>
        <w:t xml:space="preserve">an </w:t>
      </w:r>
      <w:r w:rsidRPr="00737BEB">
        <w:t xml:space="preserve">inadequate capacity to communicate with </w:t>
      </w:r>
      <w:r>
        <w:t xml:space="preserve">authorities at the </w:t>
      </w:r>
      <w:r w:rsidRPr="00737BEB">
        <w:t>subnational level.</w:t>
      </w:r>
      <w:r>
        <w:t xml:space="preserve"> </w:t>
      </w:r>
      <w:r w:rsidR="00B77283">
        <w:t>They</w:t>
      </w:r>
      <w:r>
        <w:t xml:space="preserve"> also reported</w:t>
      </w:r>
      <w:r w:rsidR="00B77283">
        <w:t xml:space="preserve"> </w:t>
      </w:r>
      <w:r w:rsidRPr="00737BEB">
        <w:t>that there is a strong vision and change agen</w:t>
      </w:r>
      <w:r>
        <w:t>da active at the national level, which is making a difference</w:t>
      </w:r>
      <w:r w:rsidRPr="00737BEB">
        <w:t xml:space="preserve">. </w:t>
      </w:r>
    </w:p>
    <w:p w14:paraId="33257912" w14:textId="77777777" w:rsidR="00CB592D" w:rsidRDefault="00CB592D" w:rsidP="00CB592D">
      <w:r w:rsidRPr="00921A4C">
        <w:t xml:space="preserve">An important distinction to note is that in </w:t>
      </w:r>
      <w:r w:rsidR="00E73954">
        <w:t xml:space="preserve">the </w:t>
      </w:r>
      <w:r w:rsidRPr="00921A4C">
        <w:t>Philippines decentralisation of the education sector is through deconcentration only, and hence many of the power dynamics present in other countries (such as Indonesia and PNG described above) are not at play</w:t>
      </w:r>
      <w:r w:rsidR="00E73954">
        <w:t>.</w:t>
      </w:r>
      <w:r w:rsidRPr="00921A4C">
        <w:t xml:space="preserve"> </w:t>
      </w:r>
      <w:r w:rsidR="00E73954">
        <w:t>Instead, t</w:t>
      </w:r>
      <w:r w:rsidRPr="00921A4C">
        <w:t xml:space="preserve">he national department is </w:t>
      </w:r>
      <w:r w:rsidR="00E73954">
        <w:t xml:space="preserve">more easily </w:t>
      </w:r>
      <w:r w:rsidRPr="00921A4C">
        <w:t>able to exert influence on its departments at subnational level.</w:t>
      </w:r>
      <w:bookmarkStart w:id="183" w:name="_Toc371105432"/>
      <w:bookmarkStart w:id="184" w:name="_Toc372300948"/>
      <w:bookmarkStart w:id="185" w:name="_Toc382563887"/>
      <w:bookmarkStart w:id="186" w:name="_Toc382595841"/>
    </w:p>
    <w:p w14:paraId="3FA279E3" w14:textId="77777777" w:rsidR="00AF6A11" w:rsidRPr="00CB592D" w:rsidRDefault="00AF6A11" w:rsidP="00CB592D">
      <w:pPr>
        <w:rPr>
          <w:rFonts w:ascii="Arial" w:hAnsi="Arial" w:cs="Arial"/>
          <w:bCs/>
          <w:color w:val="007FAD"/>
          <w:sz w:val="24"/>
          <w:szCs w:val="26"/>
        </w:rPr>
      </w:pPr>
      <w:r w:rsidRPr="00CB592D">
        <w:rPr>
          <w:rFonts w:ascii="Arial" w:hAnsi="Arial" w:cs="Arial"/>
          <w:bCs/>
          <w:color w:val="007FAD"/>
          <w:sz w:val="24"/>
          <w:szCs w:val="26"/>
        </w:rPr>
        <w:t>Background on the initiative and policy context</w:t>
      </w:r>
      <w:bookmarkEnd w:id="183"/>
      <w:bookmarkEnd w:id="184"/>
      <w:bookmarkEnd w:id="185"/>
      <w:bookmarkEnd w:id="186"/>
    </w:p>
    <w:p w14:paraId="572AC4D7" w14:textId="48D8601B" w:rsidR="00AF6A11" w:rsidRPr="007021A6" w:rsidRDefault="00AF6A11" w:rsidP="00AE2162">
      <w:r>
        <w:t xml:space="preserve">BESRA was supported by a national initiative: </w:t>
      </w:r>
      <w:r w:rsidRPr="007021A6">
        <w:t xml:space="preserve">Strengthening the Implementation of Basic Education in Selected Provinces in the Visayas </w:t>
      </w:r>
      <w:r>
        <w:t>(</w:t>
      </w:r>
      <w:r w:rsidRPr="007021A6">
        <w:t>STRIVE</w:t>
      </w:r>
      <w:r>
        <w:t xml:space="preserve">). </w:t>
      </w:r>
      <w:r w:rsidRPr="003559F5">
        <w:t>T</w:t>
      </w:r>
      <w:r>
        <w:t>he goal of STRIVE was to improve the quality of and access to</w:t>
      </w:r>
      <w:r w:rsidRPr="003559F5">
        <w:t xml:space="preserve"> basic education</w:t>
      </w:r>
      <w:r w:rsidRPr="00DE3865">
        <w:t xml:space="preserve"> </w:t>
      </w:r>
      <w:r>
        <w:t>and it focused on education management and learning support systems.</w:t>
      </w:r>
      <w:r w:rsidRPr="007021A6">
        <w:rPr>
          <w:rStyle w:val="EndnoteReference"/>
        </w:rPr>
        <w:endnoteReference w:id="123"/>
      </w:r>
      <w:r>
        <w:t xml:space="preserve"> </w:t>
      </w:r>
      <w:r w:rsidR="00B87839">
        <w:t xml:space="preserve">The </w:t>
      </w:r>
      <w:r w:rsidR="00CE555A">
        <w:t xml:space="preserve">strong subnational </w:t>
      </w:r>
      <w:r w:rsidR="00B87839">
        <w:t xml:space="preserve">engagement </w:t>
      </w:r>
      <w:r w:rsidR="00CE555A">
        <w:t>within</w:t>
      </w:r>
      <w:r w:rsidR="00B87839">
        <w:t xml:space="preserve"> </w:t>
      </w:r>
      <w:r>
        <w:t xml:space="preserve">STRIVE </w:t>
      </w:r>
      <w:r w:rsidR="00B87839">
        <w:t>was intended to influence national systems that had proven hard to change</w:t>
      </w:r>
      <w:r w:rsidR="00B87839" w:rsidRPr="005140F5">
        <w:rPr>
          <w:rFonts w:eastAsia="Cambria"/>
        </w:rPr>
        <w:t>.</w:t>
      </w:r>
      <w:r w:rsidR="00B87839" w:rsidRPr="005140F5">
        <w:rPr>
          <w:rStyle w:val="EndnoteReference"/>
          <w:rFonts w:eastAsia="Cambria"/>
          <w:sz w:val="22"/>
          <w:szCs w:val="22"/>
          <w:lang w:eastAsia="en-US"/>
        </w:rPr>
        <w:endnoteReference w:id="124"/>
      </w:r>
      <w:r w:rsidR="00B74369">
        <w:t xml:space="preserve"> </w:t>
      </w:r>
    </w:p>
    <w:p w14:paraId="1ECE61F8" w14:textId="2FEBB70A" w:rsidR="00AF6A11" w:rsidRDefault="00AF6A11" w:rsidP="00AE2162">
      <w:r>
        <w:t xml:space="preserve">STRIVE’s first phase focused on leadership and management, and out-of-school children. STRIVE’s second phase focused on school-based management, human resource </w:t>
      </w:r>
      <w:r w:rsidRPr="003559F5">
        <w:t xml:space="preserve">development </w:t>
      </w:r>
      <w:r w:rsidRPr="007F309C">
        <w:t>(</w:t>
      </w:r>
      <w:r w:rsidRPr="005140F5">
        <w:rPr>
          <w:rFonts w:eastAsia="Cambria"/>
        </w:rPr>
        <w:t xml:space="preserve">specifically for </w:t>
      </w:r>
      <w:r>
        <w:t>in-service education and t</w:t>
      </w:r>
      <w:r w:rsidRPr="007F309C">
        <w:t xml:space="preserve">raining), and </w:t>
      </w:r>
      <w:r w:rsidRPr="005140F5">
        <w:rPr>
          <w:rFonts w:eastAsia="Cambria"/>
        </w:rPr>
        <w:t>learning resource materials.</w:t>
      </w:r>
      <w:r w:rsidRPr="005140F5">
        <w:rPr>
          <w:rStyle w:val="EndnoteReference"/>
          <w:rFonts w:eastAsia="Cambria"/>
          <w:sz w:val="22"/>
          <w:szCs w:val="22"/>
        </w:rPr>
        <w:endnoteReference w:id="125"/>
      </w:r>
      <w:r>
        <w:rPr>
          <w:rFonts w:eastAsia="Cambria"/>
          <w:sz w:val="22"/>
          <w:szCs w:val="22"/>
        </w:rPr>
        <w:t xml:space="preserve"> </w:t>
      </w:r>
      <w:r w:rsidRPr="005140F5">
        <w:rPr>
          <w:rFonts w:eastAsia="Cambria"/>
        </w:rPr>
        <w:t>The initiative also focused on change management and systems for reform</w:t>
      </w:r>
      <w:r>
        <w:rPr>
          <w:rFonts w:eastAsia="Cambria"/>
        </w:rPr>
        <w:t>, including</w:t>
      </w:r>
      <w:r w:rsidRPr="005140F5">
        <w:rPr>
          <w:rFonts w:eastAsia="Cambria"/>
        </w:rPr>
        <w:t xml:space="preserve"> ‘</w:t>
      </w:r>
      <w:r>
        <w:rPr>
          <w:rFonts w:eastAsia="Cambria"/>
          <w:i/>
        </w:rPr>
        <w:t>q</w:t>
      </w:r>
      <w:r w:rsidRPr="005140F5">
        <w:rPr>
          <w:rFonts w:eastAsia="Cambria"/>
          <w:i/>
        </w:rPr>
        <w:t>uality assurance, monitoring and evaluation and improving access and equity</w:t>
      </w:r>
      <w:r w:rsidR="00D2236B">
        <w:rPr>
          <w:rFonts w:eastAsia="Cambria"/>
        </w:rPr>
        <w:t>.’</w:t>
      </w:r>
      <w:r w:rsidRPr="007021A6">
        <w:rPr>
          <w:rStyle w:val="EndnoteReference"/>
        </w:rPr>
        <w:endnoteReference w:id="126"/>
      </w:r>
      <w:r w:rsidRPr="005140F5">
        <w:rPr>
          <w:rFonts w:eastAsia="Cambria"/>
          <w:sz w:val="22"/>
          <w:szCs w:val="22"/>
        </w:rPr>
        <w:t xml:space="preserve"> </w:t>
      </w:r>
    </w:p>
    <w:p w14:paraId="6E913637" w14:textId="77777777" w:rsidR="00AF6A11" w:rsidRPr="007D1766" w:rsidRDefault="00AF6A11" w:rsidP="00AE2162">
      <w:pPr>
        <w:rPr>
          <w:rFonts w:cs="Arial"/>
        </w:rPr>
      </w:pPr>
      <w:r>
        <w:t xml:space="preserve">The evidence </w:t>
      </w:r>
      <w:r w:rsidR="00681444">
        <w:t>for</w:t>
      </w:r>
      <w:r>
        <w:t xml:space="preserve"> the design rested on previous Australian education programs in the Philippines as well as efforts by multilateral banks.</w:t>
      </w:r>
      <w:r w:rsidRPr="000B3617">
        <w:rPr>
          <w:rStyle w:val="EndnoteReference"/>
        </w:rPr>
        <w:endnoteReference w:id="127"/>
      </w:r>
      <w:r>
        <w:t xml:space="preserve"> The school-based management reforms align with approaches outlined in international literature.</w:t>
      </w:r>
      <w:r w:rsidRPr="000B3617">
        <w:rPr>
          <w:rStyle w:val="EndnoteReference"/>
          <w:rFonts w:cs="Arial"/>
        </w:rPr>
        <w:endnoteReference w:id="128"/>
      </w:r>
      <w:r>
        <w:rPr>
          <w:rFonts w:cs="Arial"/>
        </w:rPr>
        <w:t xml:space="preserve"> The design for STRIVE 1 included some analysis of deconcentration within the education sector, and the design for STRIVE 2 follows up with a response to sector reforms, but does not specifically examine issues and priorities at the subnational level or the demand side of service delivery. Subsequent studies were undertaken to fill knowledge gaps, including an examination of DepEd capacity to implement school-based management</w:t>
      </w:r>
      <w:r>
        <w:t>.</w:t>
      </w:r>
      <w:r w:rsidRPr="000B3617">
        <w:rPr>
          <w:rStyle w:val="EndnoteReference"/>
        </w:rPr>
        <w:endnoteReference w:id="129"/>
      </w:r>
      <w:r>
        <w:t xml:space="preserve"> </w:t>
      </w:r>
    </w:p>
    <w:p w14:paraId="53D9D4FD" w14:textId="77777777" w:rsidR="00AF6A11" w:rsidRDefault="00AF6A11" w:rsidP="00AE2162">
      <w:pPr>
        <w:pStyle w:val="Heading3"/>
      </w:pPr>
      <w:bookmarkStart w:id="187" w:name="_Toc371105434"/>
      <w:bookmarkStart w:id="188" w:name="_Toc372300950"/>
      <w:bookmarkStart w:id="189" w:name="_Toc382563889"/>
      <w:bookmarkStart w:id="190" w:name="_Toc382595843"/>
      <w:r>
        <w:t>Alignment and relevance to national and subnational levels</w:t>
      </w:r>
      <w:bookmarkEnd w:id="187"/>
      <w:bookmarkEnd w:id="188"/>
      <w:bookmarkEnd w:id="189"/>
      <w:bookmarkEnd w:id="190"/>
    </w:p>
    <w:p w14:paraId="66CCD53C" w14:textId="32F81C9C" w:rsidR="00AF6A11" w:rsidRPr="00C03F43" w:rsidRDefault="00D56B77" w:rsidP="00AE2162">
      <w:r>
        <w:rPr>
          <w:noProof/>
        </w:rPr>
        <mc:AlternateContent>
          <mc:Choice Requires="wps">
            <w:drawing>
              <wp:anchor distT="0" distB="0" distL="114300" distR="114300" simplePos="0" relativeHeight="251794432" behindDoc="1" locked="0" layoutInCell="1" allowOverlap="1" wp14:anchorId="03CE8B42" wp14:editId="18E4A30D">
                <wp:simplePos x="0" y="0"/>
                <wp:positionH relativeFrom="column">
                  <wp:posOffset>3381375</wp:posOffset>
                </wp:positionH>
                <wp:positionV relativeFrom="paragraph">
                  <wp:posOffset>593725</wp:posOffset>
                </wp:positionV>
                <wp:extent cx="2362200" cy="1981200"/>
                <wp:effectExtent l="0" t="0" r="0" b="0"/>
                <wp:wrapTight wrapText="bothSides">
                  <wp:wrapPolygon edited="0">
                    <wp:start x="0" y="0"/>
                    <wp:lineTo x="0" y="21392"/>
                    <wp:lineTo x="21426" y="21392"/>
                    <wp:lineTo x="21426"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981200"/>
                        </a:xfrm>
                        <a:prstGeom prst="rect">
                          <a:avLst/>
                        </a:prstGeom>
                        <a:solidFill>
                          <a:srgbClr val="FFFFFF"/>
                        </a:solidFill>
                        <a:ln w="9525">
                          <a:noFill/>
                          <a:miter lim="800000"/>
                          <a:headEnd/>
                          <a:tailEnd/>
                        </a:ln>
                      </wps:spPr>
                      <wps:txbx>
                        <w:txbxContent>
                          <w:p w14:paraId="6302BF1E" w14:textId="7658B8F7" w:rsidR="00CD4AF2" w:rsidRPr="00F94F9E" w:rsidRDefault="00CD4AF2" w:rsidP="00D56B77">
                            <w:pPr>
                              <w:pStyle w:val="BoxQuote"/>
                              <w:rPr>
                                <w:color w:val="215868" w:themeColor="accent5" w:themeShade="80"/>
                                <w:sz w:val="18"/>
                              </w:rPr>
                            </w:pPr>
                            <w:r w:rsidRPr="00F94F9E">
                              <w:rPr>
                                <w:color w:val="215868" w:themeColor="accent5" w:themeShade="80"/>
                              </w:rPr>
                              <w:t>Working at subnational level … has demonstrated that achievement of our objectives is far more certain. In part, this is a matter of scale but it is also a question of the degree to which regions are more prepared than is national office to change structures and processes, be innovative and respond quickly to new ideas.</w:t>
                            </w:r>
                          </w:p>
                          <w:p w14:paraId="7B6AC21A" w14:textId="1D9CCEA4" w:rsidR="00CD4AF2" w:rsidRPr="00D56B77" w:rsidRDefault="00CD4AF2" w:rsidP="00D56B77">
                            <w:pPr>
                              <w:pStyle w:val="BoxQuote"/>
                              <w:jc w:val="right"/>
                              <w:rPr>
                                <w:i w:val="0"/>
                                <w:sz w:val="18"/>
                              </w:rPr>
                            </w:pPr>
                            <w:r w:rsidRPr="00F94F9E">
                              <w:rPr>
                                <w:i w:val="0"/>
                                <w:color w:val="215868" w:themeColor="accent5" w:themeShade="80"/>
                              </w:rPr>
                              <w:t>AusAID, Philippines Strategy Program: performance report, 2011, p.19</w:t>
                            </w:r>
                          </w:p>
                          <w:p w14:paraId="49A56857" w14:textId="77777777" w:rsidR="00CD4AF2" w:rsidRDefault="00CD4AF2" w:rsidP="00D56B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6.25pt;margin-top:46.75pt;width:186pt;height:15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I9IwIAACQEAAAOAAAAZHJzL2Uyb0RvYy54bWysU9tu2zAMfR+wfxD0vjh2LkuMOEWXLsOA&#10;7gK0+wBZlmNhkqhJSuzu60fJaZptb8P0IJAieUQekpubQStyEs5LMBXNJ1NKhOHQSHOo6LfH/ZsV&#10;JT4w0zAFRlT0SXh6s339atPbUhTQgWqEIwhifNnbinYh2DLLPO+EZn4CVhg0tuA0C6i6Q9Y41iO6&#10;VlkxnS6zHlxjHXDhPb7ejUa6TfhtK3j40rZeBKIqirmFdLt01/HOthtWHhyzneTnNNg/ZKGZNPjp&#10;BeqOBUaOTv4FpSV34KENEw46g7aVXKQasJp8+kc1Dx2zItWC5Hh7ocn/P1j++fTVEdlUdDajxDCN&#10;PXoUQyDvYCBFpKe3vkSvB4t+YcBnbHMq1dt74N89MbDrmDmIW+eg7wRrML08RmZXoSOOjyB1/wka&#10;/IYdAySgoXU6codsEETHNj1dWhNT4fhYzJYF9psSjrZ8vcqjEv9g5XO4dT58EKBJFCrqsPcJnp3u&#10;fRhdn13ibx6UbPZSqaS4Q71TjpwYzsk+nTP6b27KkL6i60WxSMgGYjxCs1LLgHOspK7oahpPDGdl&#10;pOO9aZIcmFSjjEkrc+YnUjKSE4Z6SJ1YxtjIXQ3NExLmYBxbXDMUOnA/KelxZCvqfxyZE5SojwZJ&#10;X+fzeZzxpMwXbwtU3LWlvrYwwxGqooGSUdyFtBcxbQO32JxWJtpeMjmnjKOYiD+vTZz1az15vSz3&#10;9hcAAAD//wMAUEsDBBQABgAIAAAAIQBdMrzG3gAAAAoBAAAPAAAAZHJzL2Rvd25yZXYueG1sTI/B&#10;TsMwDIbvSLxDZCQuiKVszUZL0wmQQFw39gBp47UVjVM12dq9PebETrblT78/F9vZ9eKMY+g8aXha&#10;JCCQam87ajQcvj8en0GEaMia3hNquGCAbXl7U5jc+ol2eN7HRnAIhdxoaGMccilD3aIzYeEHJN4d&#10;/ehM5HFspB3NxOGul8skWUtnOuILrRnwvcX6Z39yGo5f04PKpuozHja7dP1muk3lL1rf382vLyAi&#10;zvEfhj99VoeSnSp/IhtEr0GtlopRDdmKKwNZknJTaUgTpUCWhbx+ofwFAAD//wMAUEsBAi0AFAAG&#10;AAgAAAAhALaDOJL+AAAA4QEAABMAAAAAAAAAAAAAAAAAAAAAAFtDb250ZW50X1R5cGVzXS54bWxQ&#10;SwECLQAUAAYACAAAACEAOP0h/9YAAACUAQAACwAAAAAAAAAAAAAAAAAvAQAAX3JlbHMvLnJlbHNQ&#10;SwECLQAUAAYACAAAACEAIBeiPSMCAAAkBAAADgAAAAAAAAAAAAAAAAAuAgAAZHJzL2Uyb0RvYy54&#10;bWxQSwECLQAUAAYACAAAACEAXTK8xt4AAAAKAQAADwAAAAAAAAAAAAAAAAB9BAAAZHJzL2Rvd25y&#10;ZXYueG1sUEsFBgAAAAAEAAQA8wAAAIgFAAAAAA==&#10;" stroked="f">
                <v:textbox>
                  <w:txbxContent>
                    <w:p w14:paraId="6302BF1E" w14:textId="7658B8F7" w:rsidR="00CD4AF2" w:rsidRPr="00F94F9E" w:rsidRDefault="00CD4AF2" w:rsidP="00D56B77">
                      <w:pPr>
                        <w:pStyle w:val="BoxQuote"/>
                        <w:rPr>
                          <w:color w:val="215868" w:themeColor="accent5" w:themeShade="80"/>
                          <w:sz w:val="18"/>
                        </w:rPr>
                      </w:pPr>
                      <w:r w:rsidRPr="00F94F9E">
                        <w:rPr>
                          <w:color w:val="215868" w:themeColor="accent5" w:themeShade="80"/>
                        </w:rPr>
                        <w:t>Working at subnational level … has demonstrated that achievement of our objectives is far more certain. In part, this is a matter of scale but it is also a question of the degree to which regions are more prepared than is national office to change structures and processes, be innovative and respond quickly to new ideas.</w:t>
                      </w:r>
                    </w:p>
                    <w:p w14:paraId="7B6AC21A" w14:textId="1D9CCEA4" w:rsidR="00CD4AF2" w:rsidRPr="00D56B77" w:rsidRDefault="00CD4AF2" w:rsidP="00D56B77">
                      <w:pPr>
                        <w:pStyle w:val="BoxQuote"/>
                        <w:jc w:val="right"/>
                        <w:rPr>
                          <w:i w:val="0"/>
                          <w:sz w:val="18"/>
                        </w:rPr>
                      </w:pPr>
                      <w:r w:rsidRPr="00F94F9E">
                        <w:rPr>
                          <w:i w:val="0"/>
                          <w:color w:val="215868" w:themeColor="accent5" w:themeShade="80"/>
                        </w:rPr>
                        <w:t>AusAID, Philippines Strategy Program: performance report, 2011, p.19</w:t>
                      </w:r>
                    </w:p>
                    <w:p w14:paraId="49A56857" w14:textId="77777777" w:rsidR="00CD4AF2" w:rsidRDefault="00CD4AF2" w:rsidP="00D56B77"/>
                  </w:txbxContent>
                </v:textbox>
                <w10:wrap type="tight"/>
              </v:shape>
            </w:pict>
          </mc:Fallback>
        </mc:AlternateContent>
      </w:r>
      <w:r w:rsidR="00AF6A11">
        <w:t>As mentioned earlier, the education sector is deconcentrated in the Philippines</w:t>
      </w:r>
      <w:r w:rsidR="006103DB">
        <w:t>,</w:t>
      </w:r>
      <w:r w:rsidR="00AF6A11">
        <w:t xml:space="preserve"> rather than fully decentralised</w:t>
      </w:r>
      <w:r w:rsidR="0003036B">
        <w:t>. H</w:t>
      </w:r>
      <w:r w:rsidR="00AF6A11">
        <w:t>ence</w:t>
      </w:r>
      <w:r w:rsidR="006103DB">
        <w:t>,</w:t>
      </w:r>
      <w:r w:rsidR="00AF6A11">
        <w:t xml:space="preserve"> questions about alignment and relevance to multiple levels of government are less important than for other </w:t>
      </w:r>
      <w:r w:rsidR="00CC5E93">
        <w:t>profiles</w:t>
      </w:r>
      <w:r w:rsidR="00AF6A11">
        <w:t xml:space="preserve"> presented in this report. The key stakeholder </w:t>
      </w:r>
      <w:r w:rsidR="0003036B">
        <w:t>for</w:t>
      </w:r>
      <w:r w:rsidR="00AF6A11">
        <w:t xml:space="preserve"> the Australian aid program was the national department. STRIVE used partner systems and was characterised as a DepEd project supported by the aid program and the managing contractor:</w:t>
      </w:r>
      <w:r w:rsidR="00AF6A11" w:rsidRPr="001A4A90">
        <w:t xml:space="preserve"> </w:t>
      </w:r>
      <w:r w:rsidR="00AF6A11">
        <w:t>‘</w:t>
      </w:r>
      <w:r w:rsidR="00AF6A11" w:rsidRPr="00D80F72">
        <w:rPr>
          <w:i/>
        </w:rPr>
        <w:t>STRIVE has worked from the inside to use and develop DepEd systems</w:t>
      </w:r>
      <w:r w:rsidR="00AF6A11">
        <w:rPr>
          <w:i/>
        </w:rPr>
        <w:t>.</w:t>
      </w:r>
      <w:r w:rsidR="00AF6A11">
        <w:t>’</w:t>
      </w:r>
      <w:r w:rsidR="00AF6A11" w:rsidRPr="001A4A90">
        <w:rPr>
          <w:rStyle w:val="EndnoteReference"/>
        </w:rPr>
        <w:endnoteReference w:id="130"/>
      </w:r>
      <w:r w:rsidR="00AF6A11">
        <w:t xml:space="preserve"> </w:t>
      </w:r>
    </w:p>
    <w:p w14:paraId="5B1D4B24" w14:textId="77777777" w:rsidR="00AF6A11" w:rsidRDefault="00AF6A11" w:rsidP="00AE2162">
      <w:r>
        <w:t>The program demonstrated alignment and relevance to the national level agenda. A</w:t>
      </w:r>
      <w:r w:rsidRPr="00750135">
        <w:t xml:space="preserve"> review confirm</w:t>
      </w:r>
      <w:r>
        <w:t>ed</w:t>
      </w:r>
      <w:r w:rsidRPr="00750135">
        <w:t xml:space="preserve"> that</w:t>
      </w:r>
      <w:r>
        <w:t xml:space="preserve"> STRIVE was</w:t>
      </w:r>
      <w:r w:rsidRPr="00750135">
        <w:t xml:space="preserve"> </w:t>
      </w:r>
      <w:r>
        <w:t>‘</w:t>
      </w:r>
      <w:r w:rsidRPr="009A5D3D">
        <w:rPr>
          <w:i/>
        </w:rPr>
        <w:t xml:space="preserve">consistent with GoP </w:t>
      </w:r>
      <w:r w:rsidR="006103DB">
        <w:rPr>
          <w:i/>
        </w:rPr>
        <w:t xml:space="preserve">[Philippines Government] </w:t>
      </w:r>
      <w:r w:rsidRPr="009A5D3D">
        <w:rPr>
          <w:i/>
        </w:rPr>
        <w:t>policies at design and has remained relevant despite a range of planning, policy and legislative changes during implementation</w:t>
      </w:r>
      <w:r w:rsidRPr="00750135">
        <w:t>.</w:t>
      </w:r>
      <w:r>
        <w:t>’</w:t>
      </w:r>
      <w:r w:rsidRPr="00750135">
        <w:rPr>
          <w:rStyle w:val="EndnoteReference"/>
          <w:rFonts w:cs="Arial"/>
        </w:rPr>
        <w:endnoteReference w:id="131"/>
      </w:r>
      <w:r>
        <w:t xml:space="preserve"> </w:t>
      </w:r>
      <w:r w:rsidR="00637B68">
        <w:t>After a change in national leadership, i</w:t>
      </w:r>
      <w:r>
        <w:t xml:space="preserve">t appears that </w:t>
      </w:r>
      <w:r w:rsidRPr="00577429">
        <w:t xml:space="preserve">STRIVE </w:t>
      </w:r>
      <w:r>
        <w:t>was successfully realigned to adjust its focus towards restructuring of regional offices and a stronger governance focus</w:t>
      </w:r>
      <w:r w:rsidRPr="00577429">
        <w:rPr>
          <w:sz w:val="20"/>
        </w:rPr>
        <w:t>.</w:t>
      </w:r>
      <w:r w:rsidRPr="00577429">
        <w:rPr>
          <w:rStyle w:val="EndnoteReference"/>
          <w:sz w:val="20"/>
        </w:rPr>
        <w:endnoteReference w:id="132"/>
      </w:r>
      <w:r w:rsidRPr="0000767B">
        <w:t xml:space="preserve"> </w:t>
      </w:r>
    </w:p>
    <w:p w14:paraId="0DD896F2" w14:textId="77777777" w:rsidR="00AF6A11" w:rsidRDefault="00AF6A11" w:rsidP="00AE2162">
      <w:r>
        <w:t>While STRIVE was influenced strongly by the national government agenda, the program has also been relevant and aligned to needs at the subnational administrative levels (regional and divisional levels).</w:t>
      </w:r>
    </w:p>
    <w:p w14:paraId="5808ECEA" w14:textId="399562B2" w:rsidR="00AF6A11" w:rsidRDefault="00637B68" w:rsidP="00AE2162">
      <w:pPr>
        <w:pStyle w:val="Heading3"/>
      </w:pPr>
      <w:bookmarkStart w:id="191" w:name="_Toc371105435"/>
      <w:bookmarkStart w:id="192" w:name="_Toc372300951"/>
      <w:bookmarkStart w:id="193" w:name="_Toc382563890"/>
      <w:bookmarkStart w:id="194" w:name="_Toc382595844"/>
      <w:r>
        <w:t>E</w:t>
      </w:r>
      <w:r w:rsidR="00AF6A11">
        <w:t>ngagement across different parts of partner government</w:t>
      </w:r>
      <w:bookmarkEnd w:id="191"/>
      <w:bookmarkEnd w:id="192"/>
      <w:bookmarkEnd w:id="193"/>
      <w:bookmarkEnd w:id="194"/>
      <w:r>
        <w:t xml:space="preserve"> and community</w:t>
      </w:r>
    </w:p>
    <w:p w14:paraId="6975A5F2" w14:textId="30D52C94" w:rsidR="00AF6A11" w:rsidRDefault="00AF6A11" w:rsidP="00AE2162">
      <w:r>
        <w:t xml:space="preserve">STRIVE worked with the </w:t>
      </w:r>
      <w:r w:rsidRPr="007021A6">
        <w:t xml:space="preserve">DepEd central office, </w:t>
      </w:r>
      <w:r>
        <w:t>three r</w:t>
      </w:r>
      <w:r w:rsidRPr="007021A6">
        <w:t>egional offices</w:t>
      </w:r>
      <w:r w:rsidR="00610727">
        <w:rPr>
          <w:rStyle w:val="FootnoteReference"/>
        </w:rPr>
        <w:footnoteReference w:id="20"/>
      </w:r>
      <w:r w:rsidR="00610727" w:rsidRPr="007021A6">
        <w:t xml:space="preserve"> </w:t>
      </w:r>
      <w:r>
        <w:t>and four school divisions.</w:t>
      </w:r>
      <w:r w:rsidR="00610727" w:rsidRPr="007021A6">
        <w:rPr>
          <w:rStyle w:val="FootnoteReference"/>
        </w:rPr>
        <w:footnoteReference w:id="21"/>
      </w:r>
      <w:r w:rsidR="00610727">
        <w:t xml:space="preserve"> </w:t>
      </w:r>
      <w:r>
        <w:t>A</w:t>
      </w:r>
      <w:r w:rsidRPr="00577429">
        <w:t xml:space="preserve">t </w:t>
      </w:r>
      <w:r>
        <w:t xml:space="preserve">the </w:t>
      </w:r>
      <w:r w:rsidRPr="00577429">
        <w:t>national level</w:t>
      </w:r>
      <w:r>
        <w:t>,</w:t>
      </w:r>
      <w:r w:rsidRPr="00577429">
        <w:t xml:space="preserve"> management guidance and support</w:t>
      </w:r>
      <w:r w:rsidR="00667730">
        <w:t xml:space="preserve"> by</w:t>
      </w:r>
      <w:r w:rsidRPr="00577429">
        <w:t xml:space="preserve"> </w:t>
      </w:r>
      <w:r w:rsidR="00667730">
        <w:t xml:space="preserve">DepEd </w:t>
      </w:r>
      <w:r w:rsidRPr="00577429">
        <w:t xml:space="preserve">central units </w:t>
      </w:r>
      <w:r>
        <w:t xml:space="preserve">was provided </w:t>
      </w:r>
      <w:r w:rsidR="00667730">
        <w:t>through</w:t>
      </w:r>
      <w:r w:rsidRPr="00577429">
        <w:t xml:space="preserve"> a </w:t>
      </w:r>
      <w:r w:rsidR="00637B68">
        <w:t xml:space="preserve">national </w:t>
      </w:r>
      <w:r w:rsidRPr="00577429">
        <w:t>committee.</w:t>
      </w:r>
      <w:r w:rsidRPr="00577429">
        <w:rPr>
          <w:rStyle w:val="EndnoteReference"/>
        </w:rPr>
        <w:endnoteReference w:id="133"/>
      </w:r>
      <w:r w:rsidRPr="00577429">
        <w:t xml:space="preserve"> </w:t>
      </w:r>
      <w:r>
        <w:t>Engagement at the subnational level was reported to have empowered government staff in regions and divisions.</w:t>
      </w:r>
      <w:r w:rsidRPr="002D4E9B">
        <w:rPr>
          <w:rStyle w:val="EndnoteReference"/>
        </w:rPr>
        <w:endnoteReference w:id="134"/>
      </w:r>
      <w:r>
        <w:t xml:space="preserve"> A review confirms </w:t>
      </w:r>
      <w:r w:rsidR="00ED51A5">
        <w:t>this:</w:t>
      </w:r>
      <w:r>
        <w:t xml:space="preserve"> ‘</w:t>
      </w:r>
      <w:r>
        <w:rPr>
          <w:i/>
        </w:rPr>
        <w:t>T</w:t>
      </w:r>
      <w:r w:rsidRPr="00760702">
        <w:rPr>
          <w:i/>
        </w:rPr>
        <w:t>he systems are there; they are ours; we are using them; we cannot lose that. Also, our relationships have changed because of the restructuring.</w:t>
      </w:r>
      <w:r>
        <w:rPr>
          <w:i/>
        </w:rPr>
        <w:t xml:space="preserve"> </w:t>
      </w:r>
      <w:r w:rsidRPr="00760702">
        <w:rPr>
          <w:i/>
        </w:rPr>
        <w:t>We do not belong to different divisions now; we work as a team</w:t>
      </w:r>
      <w:r>
        <w:t>.</w:t>
      </w:r>
      <w:r>
        <w:rPr>
          <w:rStyle w:val="EndnoteReference"/>
        </w:rPr>
        <w:t>’</w:t>
      </w:r>
      <w:r w:rsidRPr="002D4E9B">
        <w:rPr>
          <w:rStyle w:val="EndnoteReference"/>
        </w:rPr>
        <w:endnoteReference w:id="135"/>
      </w:r>
      <w:r>
        <w:t xml:space="preserve"> </w:t>
      </w:r>
    </w:p>
    <w:p w14:paraId="616C260E" w14:textId="77777777" w:rsidR="00AF6A11" w:rsidRDefault="00AF6A11" w:rsidP="00AE2162">
      <w:r>
        <w:t>STRIVE did not have a strong focus on the demand side of service delivery.</w:t>
      </w:r>
    </w:p>
    <w:p w14:paraId="0CFCCB91" w14:textId="77777777" w:rsidR="00AF6A11" w:rsidRPr="00813F36" w:rsidRDefault="00637B68" w:rsidP="003E23F3">
      <w:pPr>
        <w:pStyle w:val="Heading3"/>
        <w:spacing w:before="240"/>
      </w:pPr>
      <w:bookmarkStart w:id="195" w:name="_Toc371105437"/>
      <w:bookmarkStart w:id="196" w:name="_Toc372300953"/>
      <w:bookmarkStart w:id="197" w:name="_Toc382563892"/>
      <w:bookmarkStart w:id="198" w:name="_Toc382595846"/>
      <w:r>
        <w:t>S</w:t>
      </w:r>
      <w:r w:rsidR="00AF6A11">
        <w:t>ustainability through o</w:t>
      </w:r>
      <w:r w:rsidR="00AF6A11" w:rsidRPr="00813F36">
        <w:t>wnership and capacity building</w:t>
      </w:r>
      <w:bookmarkEnd w:id="195"/>
      <w:bookmarkEnd w:id="196"/>
      <w:bookmarkEnd w:id="197"/>
      <w:bookmarkEnd w:id="198"/>
    </w:p>
    <w:p w14:paraId="591A4367" w14:textId="77777777" w:rsidR="00AF6A11" w:rsidRDefault="00AF6A11" w:rsidP="00AE2162">
      <w:r>
        <w:t xml:space="preserve">STRIVE was perceived to have developed strong ownership within the structures of </w:t>
      </w:r>
      <w:r w:rsidR="004478BD">
        <w:t xml:space="preserve">the </w:t>
      </w:r>
      <w:r>
        <w:t>DepEd at central, regional and divisional levels.</w:t>
      </w:r>
      <w:r w:rsidR="00610727">
        <w:rPr>
          <w:rStyle w:val="FootnoteReference"/>
        </w:rPr>
        <w:footnoteReference w:id="22"/>
      </w:r>
      <w:r w:rsidR="00610727">
        <w:t xml:space="preserve"> </w:t>
      </w:r>
      <w:r w:rsidR="004478BD">
        <w:t>The</w:t>
      </w:r>
      <w:r>
        <w:t xml:space="preserve"> approach to ownership</w:t>
      </w:r>
      <w:r w:rsidR="004478BD">
        <w:t xml:space="preserve"> was described by an aid program interviewee</w:t>
      </w:r>
      <w:r>
        <w:t>: ‘</w:t>
      </w:r>
      <w:r w:rsidRPr="00760702">
        <w:rPr>
          <w:i/>
        </w:rPr>
        <w:t>We let them take the lead in the reform agenda. They allow us to provide input into policy, processes, structures</w:t>
      </w:r>
      <w:r>
        <w:rPr>
          <w:i/>
        </w:rPr>
        <w:t>.</w:t>
      </w:r>
      <w:r>
        <w:t>’</w:t>
      </w:r>
    </w:p>
    <w:p w14:paraId="5F98BC6E" w14:textId="77777777" w:rsidR="00AF6A11" w:rsidRDefault="00AF6A11" w:rsidP="00AE2162">
      <w:r w:rsidRPr="007277C2">
        <w:t xml:space="preserve">The main sustainability objective of </w:t>
      </w:r>
      <w:r>
        <w:t>the program</w:t>
      </w:r>
      <w:r w:rsidRPr="007277C2">
        <w:t xml:space="preserve"> was </w:t>
      </w:r>
      <w:r>
        <w:t>‘</w:t>
      </w:r>
      <w:r w:rsidRPr="00CE2603">
        <w:rPr>
          <w:i/>
        </w:rPr>
        <w:t>to provide the environment that will enable the STRIVE sites to continue utili</w:t>
      </w:r>
      <w:r>
        <w:rPr>
          <w:i/>
        </w:rPr>
        <w:t>s</w:t>
      </w:r>
      <w:r w:rsidRPr="00CE2603">
        <w:rPr>
          <w:i/>
        </w:rPr>
        <w:t>ing and replicating the outputs of STRIVE in the Visayas, and for central office to take on the recommendations from the development work as inputs to BESRA work</w:t>
      </w:r>
      <w:r w:rsidRPr="007277C2">
        <w:t>.</w:t>
      </w:r>
      <w:r>
        <w:t>’</w:t>
      </w:r>
      <w:r w:rsidRPr="007277C2">
        <w:rPr>
          <w:rStyle w:val="EndnoteReference"/>
          <w:rFonts w:ascii="Calibri" w:hAnsi="Calibri"/>
        </w:rPr>
        <w:endnoteReference w:id="136"/>
      </w:r>
      <w:r>
        <w:t xml:space="preserve"> A range of strategies </w:t>
      </w:r>
      <w:r w:rsidR="003B1C3D">
        <w:t xml:space="preserve">was </w:t>
      </w:r>
      <w:r>
        <w:t>used to achieve this. Participation, partnership and training were integral components, with attention to matching training with needs. Efforts to improve organisational functioning used existing structures. For example, program</w:t>
      </w:r>
      <w:r w:rsidR="003B1C3D">
        <w:t>s were monitored</w:t>
      </w:r>
      <w:r>
        <w:t xml:space="preserve"> by regional and divisional supervisors as part of their normal roles.</w:t>
      </w:r>
      <w:r w:rsidRPr="003C28AB">
        <w:rPr>
          <w:rStyle w:val="EndnoteReference"/>
          <w:rFonts w:ascii="Calibri" w:hAnsi="Calibri"/>
        </w:rPr>
        <w:endnoteReference w:id="137"/>
      </w:r>
      <w:r>
        <w:t xml:space="preserve"> </w:t>
      </w:r>
    </w:p>
    <w:p w14:paraId="0181A507" w14:textId="77777777" w:rsidR="00AF6A11" w:rsidRDefault="00AF6A11" w:rsidP="00AE2162">
      <w:r>
        <w:t xml:space="preserve">The program lobbied for counterpart contributions </w:t>
      </w:r>
      <w:r w:rsidRPr="007277C2">
        <w:t xml:space="preserve">to ensure tangible evidence of ownership </w:t>
      </w:r>
      <w:r>
        <w:t>and</w:t>
      </w:r>
      <w:r w:rsidRPr="007277C2">
        <w:t xml:space="preserve"> commitment</w:t>
      </w:r>
      <w:r>
        <w:t>. For example: ‘</w:t>
      </w:r>
      <w:r w:rsidRPr="00DD2203">
        <w:rPr>
          <w:i/>
        </w:rPr>
        <w:t>Approximately 218 personnel across the pilot schools, divisions, district, regions and central office were given dedicated part-time or full</w:t>
      </w:r>
      <w:r>
        <w:rPr>
          <w:i/>
        </w:rPr>
        <w:t>-</w:t>
      </w:r>
      <w:r w:rsidRPr="00DD2203">
        <w:rPr>
          <w:i/>
        </w:rPr>
        <w:t>time release for commitment to the project.</w:t>
      </w:r>
      <w:r>
        <w:t>’</w:t>
      </w:r>
      <w:r w:rsidRPr="007277C2">
        <w:rPr>
          <w:rStyle w:val="EndnoteReference"/>
          <w:rFonts w:ascii="Calibri" w:hAnsi="Calibri"/>
        </w:rPr>
        <w:t xml:space="preserve"> </w:t>
      </w:r>
      <w:r w:rsidRPr="003C28AB">
        <w:rPr>
          <w:rStyle w:val="EndnoteReference"/>
          <w:rFonts w:ascii="Calibri" w:hAnsi="Calibri"/>
        </w:rPr>
        <w:endnoteReference w:id="138"/>
      </w:r>
      <w:r w:rsidRPr="003C28AB">
        <w:rPr>
          <w:rFonts w:ascii="Calibri" w:hAnsi="Calibri"/>
          <w:sz w:val="22"/>
          <w:szCs w:val="22"/>
        </w:rPr>
        <w:t xml:space="preserve"> </w:t>
      </w:r>
      <w:r w:rsidRPr="0088551D">
        <w:t xml:space="preserve">In addition, pilot regions allocated </w:t>
      </w:r>
      <w:r>
        <w:t>funds to ensure ongoing impact</w:t>
      </w:r>
      <w:r w:rsidRPr="0088551D">
        <w:t xml:space="preserve">: </w:t>
      </w:r>
      <w:r>
        <w:t>‘</w:t>
      </w:r>
      <w:r>
        <w:rPr>
          <w:i/>
        </w:rPr>
        <w:t>T</w:t>
      </w:r>
      <w:r w:rsidRPr="0088551D">
        <w:rPr>
          <w:i/>
        </w:rPr>
        <w:t>he pilot regi</w:t>
      </w:r>
      <w:r>
        <w:rPr>
          <w:i/>
        </w:rPr>
        <w:t>ons have budgeted in their [plans]</w:t>
      </w:r>
      <w:r w:rsidRPr="0088551D">
        <w:rPr>
          <w:i/>
        </w:rPr>
        <w:t xml:space="preserve"> for the cascading work required to ensure that all </w:t>
      </w:r>
      <w:r>
        <w:rPr>
          <w:i/>
        </w:rPr>
        <w:t>d</w:t>
      </w:r>
      <w:r w:rsidRPr="0088551D">
        <w:rPr>
          <w:i/>
        </w:rPr>
        <w:t>ivisions, districts and schools receive the necessary training to implement the systems developed with STRIVE support</w:t>
      </w:r>
      <w:r w:rsidRPr="0088551D">
        <w:t>.</w:t>
      </w:r>
      <w:r>
        <w:t>’</w:t>
      </w:r>
      <w:r w:rsidRPr="0088551D">
        <w:rPr>
          <w:vertAlign w:val="superscript"/>
        </w:rPr>
        <w:endnoteReference w:id="139"/>
      </w:r>
      <w:r>
        <w:t xml:space="preserve"> </w:t>
      </w:r>
    </w:p>
    <w:p w14:paraId="65A4A195" w14:textId="3C15A188" w:rsidR="00AF6A11" w:rsidRDefault="00AF6A11" w:rsidP="00AE2162">
      <w:pPr>
        <w:rPr>
          <w:rFonts w:cs="Arial"/>
        </w:rPr>
      </w:pPr>
      <w:r w:rsidRPr="003E23F3">
        <w:t>At one stage</w:t>
      </w:r>
      <w:r>
        <w:t>,</w:t>
      </w:r>
      <w:r w:rsidRPr="003E23F3">
        <w:t xml:space="preserve"> there was concern about uptake at the national level. Two reports raised questions about the role of the central office:</w:t>
      </w:r>
      <w:r w:rsidRPr="00E2410F">
        <w:rPr>
          <w:rStyle w:val="BodyTextChar"/>
          <w:rFonts w:ascii="Franklin Gothic Book" w:hAnsi="Franklin Gothic Book"/>
        </w:rPr>
        <w:t xml:space="preserve"> </w:t>
      </w:r>
      <w:r w:rsidRPr="00E2410F">
        <w:rPr>
          <w:rStyle w:val="BodyTextChar"/>
          <w:rFonts w:ascii="Franklin Gothic Book" w:hAnsi="Franklin Gothic Book"/>
          <w:i/>
        </w:rPr>
        <w:t>‘There are serious concerns, however, as to the degree to which organisational learning is taking place at central level’</w:t>
      </w:r>
      <w:r w:rsidRPr="00813C05">
        <w:rPr>
          <w:rStyle w:val="EndnoteReference"/>
        </w:rPr>
        <w:endnoteReference w:id="140"/>
      </w:r>
      <w:r w:rsidRPr="00813C05">
        <w:t xml:space="preserve"> </w:t>
      </w:r>
      <w:r w:rsidRPr="00E2410F">
        <w:rPr>
          <w:rStyle w:val="BodyTextChar"/>
          <w:rFonts w:ascii="Franklin Gothic Book" w:hAnsi="Franklin Gothic Book"/>
        </w:rPr>
        <w:t xml:space="preserve">and </w:t>
      </w:r>
      <w:r w:rsidRPr="00E2410F">
        <w:rPr>
          <w:rStyle w:val="BodyTextChar"/>
          <w:rFonts w:ascii="Franklin Gothic Book" w:hAnsi="Franklin Gothic Book"/>
          <w:i/>
        </w:rPr>
        <w:t>‘DepEd central office does not have the capacity to manage the rollout after STRIVE technical assistance ends in April.’</w:t>
      </w:r>
      <w:r w:rsidRPr="00813C05">
        <w:rPr>
          <w:rFonts w:cs="Arial"/>
        </w:rPr>
        <w:t xml:space="preserve"> </w:t>
      </w:r>
      <w:r w:rsidRPr="00813C05">
        <w:rPr>
          <w:rStyle w:val="EndnoteReference"/>
          <w:rFonts w:cs="Arial"/>
        </w:rPr>
        <w:endnoteReference w:id="141"/>
      </w:r>
      <w:r w:rsidRPr="00813C05">
        <w:rPr>
          <w:rFonts w:cs="Arial"/>
        </w:rPr>
        <w:t xml:space="preserve"> However</w:t>
      </w:r>
      <w:r>
        <w:rPr>
          <w:rFonts w:cs="Arial"/>
        </w:rPr>
        <w:t>,</w:t>
      </w:r>
      <w:r w:rsidRPr="00813C05">
        <w:rPr>
          <w:rFonts w:cs="Arial"/>
        </w:rPr>
        <w:t xml:space="preserve"> aid program staff during this evaluation reported that these issues were addressed by the current admini</w:t>
      </w:r>
      <w:r w:rsidRPr="001963F1">
        <w:rPr>
          <w:rFonts w:cs="Arial"/>
        </w:rPr>
        <w:t>stration and that almost all STRIVE outcomes have been nationally implemented.</w:t>
      </w:r>
      <w:r>
        <w:rPr>
          <w:rFonts w:cs="Arial"/>
        </w:rPr>
        <w:t xml:space="preserve"> </w:t>
      </w:r>
    </w:p>
    <w:p w14:paraId="77D7B921" w14:textId="77777777" w:rsidR="00AF6A11" w:rsidRDefault="00AF6A11" w:rsidP="00AE2162">
      <w:r w:rsidRPr="00D11004">
        <w:t xml:space="preserve">In addition, </w:t>
      </w:r>
      <w:r>
        <w:t>concerns have been raised</w:t>
      </w:r>
      <w:r w:rsidRPr="00D11004">
        <w:t xml:space="preserve"> about capacity at </w:t>
      </w:r>
      <w:r>
        <w:t xml:space="preserve">the </w:t>
      </w:r>
      <w:r w:rsidRPr="00D11004">
        <w:t xml:space="preserve">district level: </w:t>
      </w:r>
    </w:p>
    <w:p w14:paraId="29E610CA" w14:textId="386EAD24" w:rsidR="00AF6A11" w:rsidRPr="00CE2603" w:rsidRDefault="00AF6A11" w:rsidP="00AE2162">
      <w:pPr>
        <w:pStyle w:val="Quote"/>
      </w:pPr>
      <w:r w:rsidRPr="00D11004">
        <w:t xml:space="preserve">Despite positive developments in STRIVE, the ICR </w:t>
      </w:r>
      <w:r>
        <w:t xml:space="preserve">[independent completion report] </w:t>
      </w:r>
      <w:r w:rsidRPr="00D11004">
        <w:t xml:space="preserve">team observed that the leadership and support for </w:t>
      </w:r>
      <w:r>
        <w:t>SBM [</w:t>
      </w:r>
      <w:r w:rsidRPr="003E23F3">
        <w:t xml:space="preserve">school-based management] </w:t>
      </w:r>
      <w:r w:rsidRPr="00D11004">
        <w:t xml:space="preserve">and </w:t>
      </w:r>
      <w:r>
        <w:t>school improvement plans</w:t>
      </w:r>
      <w:r w:rsidRPr="00D11004">
        <w:t xml:space="preserve"> is weakest at the district supervisor level. Staff working at this level requires motivation, commitment and resources if they are to perform this function effectively. </w:t>
      </w:r>
      <w:r w:rsidR="004478BD">
        <w:t>G</w:t>
      </w:r>
      <w:r w:rsidRPr="00D11004">
        <w:t>reater attention needs to be given to this level in follow-on activities in support of SBM</w:t>
      </w:r>
      <w:r>
        <w:t>.</w:t>
      </w:r>
      <w:r w:rsidRPr="00D11004">
        <w:rPr>
          <w:rStyle w:val="EndnoteReference"/>
        </w:rPr>
        <w:endnoteReference w:id="142"/>
      </w:r>
      <w:r w:rsidR="00B74369">
        <w:t xml:space="preserve"> </w:t>
      </w:r>
    </w:p>
    <w:p w14:paraId="7A1EDB23" w14:textId="77777777" w:rsidR="00AF6A11" w:rsidRDefault="004478BD" w:rsidP="003E23F3">
      <w:pPr>
        <w:pStyle w:val="Heading3"/>
        <w:spacing w:before="240"/>
      </w:pPr>
      <w:bookmarkStart w:id="199" w:name="_Toc371105438"/>
      <w:bookmarkStart w:id="200" w:name="_Toc372300954"/>
      <w:bookmarkStart w:id="201" w:name="_Toc382563893"/>
      <w:bookmarkStart w:id="202" w:name="_Toc382595847"/>
      <w:r>
        <w:t>E</w:t>
      </w:r>
      <w:r w:rsidR="00AF6A11" w:rsidRPr="00BA38E7">
        <w:t>quity and gender</w:t>
      </w:r>
      <w:bookmarkEnd w:id="199"/>
      <w:bookmarkEnd w:id="200"/>
      <w:bookmarkEnd w:id="201"/>
      <w:bookmarkEnd w:id="202"/>
      <w:r w:rsidR="00AF6A11" w:rsidRPr="00BA38E7">
        <w:t xml:space="preserve"> </w:t>
      </w:r>
    </w:p>
    <w:p w14:paraId="0CC9D20B" w14:textId="7BE1433D" w:rsidR="00AF6A11" w:rsidRDefault="00D56B77" w:rsidP="00AE2162">
      <w:r>
        <w:rPr>
          <w:noProof/>
        </w:rPr>
        <mc:AlternateContent>
          <mc:Choice Requires="wps">
            <w:drawing>
              <wp:anchor distT="0" distB="0" distL="114300" distR="114300" simplePos="0" relativeHeight="251796480" behindDoc="1" locked="0" layoutInCell="1" allowOverlap="1" wp14:anchorId="2DEA5166" wp14:editId="164FACA3">
                <wp:simplePos x="0" y="0"/>
                <wp:positionH relativeFrom="column">
                  <wp:posOffset>3486150</wp:posOffset>
                </wp:positionH>
                <wp:positionV relativeFrom="paragraph">
                  <wp:posOffset>1168400</wp:posOffset>
                </wp:positionV>
                <wp:extent cx="2362200" cy="1981200"/>
                <wp:effectExtent l="0" t="0" r="0" b="0"/>
                <wp:wrapTight wrapText="bothSides">
                  <wp:wrapPolygon edited="0">
                    <wp:start x="0" y="0"/>
                    <wp:lineTo x="0" y="21392"/>
                    <wp:lineTo x="21426" y="21392"/>
                    <wp:lineTo x="21426"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981200"/>
                        </a:xfrm>
                        <a:prstGeom prst="rect">
                          <a:avLst/>
                        </a:prstGeom>
                        <a:solidFill>
                          <a:srgbClr val="FFFFFF"/>
                        </a:solidFill>
                        <a:ln w="9525">
                          <a:noFill/>
                          <a:miter lim="800000"/>
                          <a:headEnd/>
                          <a:tailEnd/>
                        </a:ln>
                      </wps:spPr>
                      <wps:txbx>
                        <w:txbxContent>
                          <w:p w14:paraId="41BA6334" w14:textId="32ED1213" w:rsidR="00CD4AF2" w:rsidRPr="00F94F9E" w:rsidRDefault="00CD4AF2" w:rsidP="00D56B77">
                            <w:pPr>
                              <w:pStyle w:val="BoxQuote"/>
                              <w:rPr>
                                <w:color w:val="215868" w:themeColor="accent5" w:themeShade="80"/>
                                <w:sz w:val="18"/>
                              </w:rPr>
                            </w:pPr>
                            <w:r w:rsidRPr="00F94F9E">
                              <w:rPr>
                                <w:color w:val="215868" w:themeColor="accent5" w:themeShade="80"/>
                              </w:rPr>
                              <w:t>The DepEd is reported as having an ‘inconsistent’ record in mainstreaming gender. This appears to result from limited understanding among the current DepEd senior management of gender mainstreaming and of the nature of a gender-aware organisation.</w:t>
                            </w:r>
                          </w:p>
                          <w:p w14:paraId="6504BF40" w14:textId="77777777" w:rsidR="00CD4AF2" w:rsidRPr="00F94F9E" w:rsidRDefault="00CD4AF2" w:rsidP="00D56B77">
                            <w:pPr>
                              <w:pStyle w:val="BoxQuote"/>
                              <w:jc w:val="right"/>
                              <w:rPr>
                                <w:i w:val="0"/>
                                <w:color w:val="215868" w:themeColor="accent5" w:themeShade="80"/>
                              </w:rPr>
                            </w:pPr>
                            <w:r w:rsidRPr="00F94F9E">
                              <w:rPr>
                                <w:color w:val="215868" w:themeColor="accent5" w:themeShade="80"/>
                              </w:rPr>
                              <w:t xml:space="preserve">AusAID, </w:t>
                            </w:r>
                            <w:r w:rsidRPr="00F94F9E">
                              <w:rPr>
                                <w:i w:val="0"/>
                                <w:color w:val="215868" w:themeColor="accent5" w:themeShade="80"/>
                              </w:rPr>
                              <w:t xml:space="preserve">STRIVE in support of BESRA: independent completion report, </w:t>
                            </w:r>
                          </w:p>
                          <w:p w14:paraId="13F9776C" w14:textId="0229EC12" w:rsidR="00CD4AF2" w:rsidRPr="00F94F9E" w:rsidRDefault="00CD4AF2" w:rsidP="00D56B77">
                            <w:pPr>
                              <w:pStyle w:val="BoxQuote"/>
                              <w:jc w:val="right"/>
                              <w:rPr>
                                <w:color w:val="215868" w:themeColor="accent5" w:themeShade="80"/>
                              </w:rPr>
                            </w:pPr>
                            <w:r w:rsidRPr="00F94F9E">
                              <w:rPr>
                                <w:i w:val="0"/>
                                <w:color w:val="215868" w:themeColor="accent5" w:themeShade="80"/>
                              </w:rPr>
                              <w:t>2011</w:t>
                            </w:r>
                            <w:r w:rsidRPr="00F94F9E">
                              <w:rPr>
                                <w:color w:val="215868" w:themeColor="accent5" w:themeShade="80"/>
                              </w:rPr>
                              <w:t>, p.iii</w:t>
                            </w:r>
                            <w:r w:rsidRPr="00F94F9E">
                              <w:rPr>
                                <w:i w:val="0"/>
                                <w:color w:val="215868" w:themeColor="accent5" w:themeShade="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4.5pt;margin-top:92pt;width:186pt;height:15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9BIwIAACQ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Kp6NWMEsM0&#10;9uhJDIG8h4EUkZ7e+hK9Hi36hQGfsc2pVG8fgP/wxMCmY2Yn7pyDvhOswfTyGJldhI44PoLU/Wdo&#10;8Bu2D5CAhtbpyB2yQRAd23Q8tyamwvGxuLousN+UcLTly0UelfgHK1/CrfPhowBNolBRh71P8Ozw&#10;4MPo+uISf/OgZLOVSiXF7eqNcuTAcE626ZzQf3NThvQVXc6LeUI2EOMRmpVaBpxjJXVFF9N4Yjgr&#10;Ix0fTJPkwKQaZUxamRM/kZKRnDDUQ+rETYyN3NXQHJEwB+PY4pqh0IH7RUmPI1tR/3PPnKBEfTJI&#10;+jKfzeKMJ2U2vylQcZeW+tLCDEeoigZKRnET0l7EtA3cYXNamWh7zeSUMo5iIv60NnHWL/Xk9brc&#10;62cAAAD//wMAUEsDBBQABgAIAAAAIQDbgbmp3wAAAAsBAAAPAAAAZHJzL2Rvd25yZXYueG1sTI/d&#10;ToNAEIXvTXyHzZh4Y+zShtKCLI2aaLztzwMMMAUiO0vYbaFv73ild2dyTs58J9/NtldXGn3n2MBy&#10;EYEirlzdcWPgdPx43oLyAbnG3jEZuJGHXXF/l2NWu4n3dD2ERkkJ+wwNtCEMmda+asmiX7iBWLyz&#10;Gy0GOcdG1yNOUm57vYqiRFvsWD60ONB7S9X34WINnL+mp3U6lZ/htNnHyRt2m9LdjHl8mF9fQAWa&#10;w18YfvEFHQphKt2Fa696A+s4lS1BjG0sQhLpaimiNBCnSQS6yPX/DcUPAAAA//8DAFBLAQItABQA&#10;BgAIAAAAIQC2gziS/gAAAOEBAAATAAAAAAAAAAAAAAAAAAAAAABbQ29udGVudF9UeXBlc10ueG1s&#10;UEsBAi0AFAAGAAgAAAAhADj9If/WAAAAlAEAAAsAAAAAAAAAAAAAAAAALwEAAF9yZWxzLy5yZWxz&#10;UEsBAi0AFAAGAAgAAAAhAC9Dz0EjAgAAJAQAAA4AAAAAAAAAAAAAAAAALgIAAGRycy9lMm9Eb2Mu&#10;eG1sUEsBAi0AFAAGAAgAAAAhANuBuanfAAAACwEAAA8AAAAAAAAAAAAAAAAAfQQAAGRycy9kb3du&#10;cmV2LnhtbFBLBQYAAAAABAAEAPMAAACJBQAAAAA=&#10;" stroked="f">
                <v:textbox>
                  <w:txbxContent>
                    <w:p w14:paraId="41BA6334" w14:textId="32ED1213" w:rsidR="00CD4AF2" w:rsidRPr="00F94F9E" w:rsidRDefault="00CD4AF2" w:rsidP="00D56B77">
                      <w:pPr>
                        <w:pStyle w:val="BoxQuote"/>
                        <w:rPr>
                          <w:color w:val="215868" w:themeColor="accent5" w:themeShade="80"/>
                          <w:sz w:val="18"/>
                        </w:rPr>
                      </w:pPr>
                      <w:r w:rsidRPr="00F94F9E">
                        <w:rPr>
                          <w:color w:val="215868" w:themeColor="accent5" w:themeShade="80"/>
                        </w:rPr>
                        <w:t>The DepEd is reported as having an ‘inconsistent’ record in mainstreaming gender. This appears to result from limited understanding among the current DepEd senior management of gender mainstreaming and of the nature of a gender-aware organisation.</w:t>
                      </w:r>
                    </w:p>
                    <w:p w14:paraId="6504BF40" w14:textId="77777777" w:rsidR="00CD4AF2" w:rsidRPr="00F94F9E" w:rsidRDefault="00CD4AF2" w:rsidP="00D56B77">
                      <w:pPr>
                        <w:pStyle w:val="BoxQuote"/>
                        <w:jc w:val="right"/>
                        <w:rPr>
                          <w:i w:val="0"/>
                          <w:color w:val="215868" w:themeColor="accent5" w:themeShade="80"/>
                        </w:rPr>
                      </w:pPr>
                      <w:r w:rsidRPr="00F94F9E">
                        <w:rPr>
                          <w:color w:val="215868" w:themeColor="accent5" w:themeShade="80"/>
                        </w:rPr>
                        <w:t xml:space="preserve">AusAID, </w:t>
                      </w:r>
                      <w:r w:rsidRPr="00F94F9E">
                        <w:rPr>
                          <w:i w:val="0"/>
                          <w:color w:val="215868" w:themeColor="accent5" w:themeShade="80"/>
                        </w:rPr>
                        <w:t xml:space="preserve">STRIVE in support of BESRA: independent completion report, </w:t>
                      </w:r>
                    </w:p>
                    <w:p w14:paraId="13F9776C" w14:textId="0229EC12" w:rsidR="00CD4AF2" w:rsidRPr="00F94F9E" w:rsidRDefault="00CD4AF2" w:rsidP="00D56B77">
                      <w:pPr>
                        <w:pStyle w:val="BoxQuote"/>
                        <w:jc w:val="right"/>
                        <w:rPr>
                          <w:color w:val="215868" w:themeColor="accent5" w:themeShade="80"/>
                        </w:rPr>
                      </w:pPr>
                      <w:r w:rsidRPr="00F94F9E">
                        <w:rPr>
                          <w:i w:val="0"/>
                          <w:color w:val="215868" w:themeColor="accent5" w:themeShade="80"/>
                        </w:rPr>
                        <w:t>2011</w:t>
                      </w:r>
                      <w:r w:rsidRPr="00F94F9E">
                        <w:rPr>
                          <w:color w:val="215868" w:themeColor="accent5" w:themeShade="80"/>
                        </w:rPr>
                        <w:t>, p.iii</w:t>
                      </w:r>
                      <w:r w:rsidRPr="00F94F9E">
                        <w:rPr>
                          <w:i w:val="0"/>
                          <w:color w:val="215868" w:themeColor="accent5" w:themeShade="80"/>
                        </w:rPr>
                        <w:t xml:space="preserve"> </w:t>
                      </w:r>
                    </w:p>
                  </w:txbxContent>
                </v:textbox>
                <w10:wrap type="tight"/>
              </v:shape>
            </w:pict>
          </mc:Fallback>
        </mc:AlternateContent>
      </w:r>
      <w:r w:rsidR="00AF6A11" w:rsidRPr="00AE2162">
        <w:t>Within design documentation</w:t>
      </w:r>
      <w:r w:rsidR="00AF6A11">
        <w:t>,</w:t>
      </w:r>
      <w:r w:rsidR="00AF6A11" w:rsidRPr="00AE2162">
        <w:t xml:space="preserve"> analysis of poverty and equity at program locations</w:t>
      </w:r>
      <w:r w:rsidR="004478BD">
        <w:t xml:space="preserve"> is minimal</w:t>
      </w:r>
      <w:r w:rsidR="00AF6A11" w:rsidRPr="00AE2162">
        <w:t>. The design does provide a general statement that locations were chosen based on indicators of poverty and low levels of basic education.</w:t>
      </w:r>
      <w:r w:rsidR="00AF6A11" w:rsidRPr="003E23F3">
        <w:rPr>
          <w:vertAlign w:val="superscript"/>
        </w:rPr>
        <w:endnoteReference w:id="143"/>
      </w:r>
      <w:r w:rsidR="00AF6A11" w:rsidRPr="003E23F3">
        <w:rPr>
          <w:vertAlign w:val="superscript"/>
        </w:rPr>
        <w:t xml:space="preserve"> </w:t>
      </w:r>
      <w:r w:rsidR="00AF6A11" w:rsidRPr="00AE2162">
        <w:t>However</w:t>
      </w:r>
      <w:r w:rsidR="00AF6A11">
        <w:t>,</w:t>
      </w:r>
      <w:r w:rsidR="00AF6A11" w:rsidRPr="00AE2162">
        <w:t xml:space="preserve"> </w:t>
      </w:r>
      <w:r w:rsidR="004478BD">
        <w:t>further analyses</w:t>
      </w:r>
      <w:r w:rsidR="004478BD" w:rsidRPr="00AE2162">
        <w:t xml:space="preserve"> </w:t>
      </w:r>
      <w:r w:rsidR="004478BD">
        <w:t>used to</w:t>
      </w:r>
      <w:r w:rsidR="004478BD" w:rsidRPr="00AE2162">
        <w:t xml:space="preserve"> </w:t>
      </w:r>
      <w:r w:rsidR="005D0EE9">
        <w:t>identify appropriate</w:t>
      </w:r>
      <w:r w:rsidR="004478BD" w:rsidRPr="00AE2162">
        <w:t xml:space="preserve"> subnational locations </w:t>
      </w:r>
      <w:r w:rsidR="005A0529">
        <w:t>are</w:t>
      </w:r>
      <w:r w:rsidR="00AF6A11" w:rsidRPr="00AE2162">
        <w:t xml:space="preserve"> no</w:t>
      </w:r>
      <w:r w:rsidR="004478BD">
        <w:t>t</w:t>
      </w:r>
      <w:r w:rsidR="00AF6A11" w:rsidRPr="00AE2162">
        <w:t xml:space="preserve"> mention</w:t>
      </w:r>
      <w:r w:rsidR="004478BD">
        <w:t>ed</w:t>
      </w:r>
      <w:r w:rsidR="00AF6A11" w:rsidRPr="00AE2162">
        <w:t xml:space="preserve">. Later documentation such as the independent completion report does not make any specific reference to poverty. </w:t>
      </w:r>
      <w:r w:rsidR="00AF6A11">
        <w:t>T</w:t>
      </w:r>
      <w:r w:rsidR="00AF6A11" w:rsidRPr="00AE2162">
        <w:t>here is also no mention of specific disadvantaged groups or of addressing the needs of children with a disability.</w:t>
      </w:r>
    </w:p>
    <w:p w14:paraId="0DA0E820" w14:textId="70E77E32" w:rsidR="00AF6A11" w:rsidRPr="00971351" w:rsidRDefault="00AF6A11" w:rsidP="003E23F3">
      <w:pPr>
        <w:ind w:right="-150"/>
      </w:pPr>
      <w:r>
        <w:t>C</w:t>
      </w:r>
      <w:r w:rsidRPr="00932A27">
        <w:t xml:space="preserve">onsideration of </w:t>
      </w:r>
      <w:r>
        <w:t>gender within project implementation is limited, and the initiative scored 3 out of 6 (</w:t>
      </w:r>
      <w:r w:rsidRPr="003E23F3">
        <w:rPr>
          <w:i/>
        </w:rPr>
        <w:t>inadequate</w:t>
      </w:r>
      <w:r>
        <w:t>) for gender equality in the independent completion report. Some efforts were made,</w:t>
      </w:r>
      <w:r w:rsidRPr="003735A0">
        <w:rPr>
          <w:rStyle w:val="EndnoteReference"/>
        </w:rPr>
        <w:t xml:space="preserve"> </w:t>
      </w:r>
      <w:r w:rsidRPr="00971351">
        <w:rPr>
          <w:rStyle w:val="EndnoteReference"/>
        </w:rPr>
        <w:endnoteReference w:id="144"/>
      </w:r>
      <w:r>
        <w:t xml:space="preserve"> however</w:t>
      </w:r>
      <w:r w:rsidR="00646F6F">
        <w:t>,</w:t>
      </w:r>
      <w:r>
        <w:t xml:space="preserve"> the capacity of the DepEd to prioritise gender was described as a barrier to promote gender equality considerations. There was a reported ‘</w:t>
      </w:r>
      <w:r w:rsidRPr="003735A0">
        <w:rPr>
          <w:i/>
        </w:rPr>
        <w:t>lack of a definitive and well-institutionali</w:t>
      </w:r>
      <w:r>
        <w:rPr>
          <w:i/>
        </w:rPr>
        <w:t>s</w:t>
      </w:r>
      <w:r w:rsidRPr="003735A0">
        <w:rPr>
          <w:i/>
        </w:rPr>
        <w:t xml:space="preserve">ed GAD </w:t>
      </w:r>
      <w:r>
        <w:rPr>
          <w:i/>
        </w:rPr>
        <w:t xml:space="preserve">[gender and development] </w:t>
      </w:r>
      <w:r w:rsidRPr="003735A0">
        <w:rPr>
          <w:i/>
        </w:rPr>
        <w:t>policy and a lack of direction in gender budget initiatives for the department</w:t>
      </w:r>
      <w:r w:rsidRPr="003735A0">
        <w:t>.</w:t>
      </w:r>
      <w:r>
        <w:t>’</w:t>
      </w:r>
      <w:r w:rsidRPr="003735A0">
        <w:rPr>
          <w:rStyle w:val="EndnoteReference"/>
        </w:rPr>
        <w:endnoteReference w:id="145"/>
      </w:r>
      <w:r>
        <w:t xml:space="preserve"> </w:t>
      </w:r>
      <w:r w:rsidRPr="003735A0">
        <w:t>This review also note</w:t>
      </w:r>
      <w:r>
        <w:t>s</w:t>
      </w:r>
      <w:r w:rsidRPr="003735A0">
        <w:t xml:space="preserve"> that sex-disaggregated data was collected, but that </w:t>
      </w:r>
      <w:r>
        <w:rPr>
          <w:i/>
        </w:rPr>
        <w:t>‘</w:t>
      </w:r>
      <w:r w:rsidRPr="00DD2203">
        <w:rPr>
          <w:i/>
        </w:rPr>
        <w:t>there is little evidence that this data has been analysed and used to design interventions that could improve gender equality and learning outcomes.</w:t>
      </w:r>
      <w:r>
        <w:rPr>
          <w:i/>
        </w:rPr>
        <w:t>’</w:t>
      </w:r>
      <w:r w:rsidRPr="003735A0">
        <w:rPr>
          <w:rStyle w:val="EndnoteReference"/>
        </w:rPr>
        <w:endnoteReference w:id="146"/>
      </w:r>
      <w:r>
        <w:t xml:space="preserve"> </w:t>
      </w:r>
      <w:r w:rsidRPr="00032B1C">
        <w:t xml:space="preserve">There was evidence of small-scale actions to support gender equality, for </w:t>
      </w:r>
      <w:r>
        <w:t>example</w:t>
      </w:r>
      <w:r w:rsidRPr="00032B1C">
        <w:t xml:space="preserve"> empowerment of women within one element of school</w:t>
      </w:r>
      <w:r>
        <w:t>-</w:t>
      </w:r>
      <w:r w:rsidRPr="00032B1C">
        <w:t xml:space="preserve">based management in </w:t>
      </w:r>
      <w:r>
        <w:t>some</w:t>
      </w:r>
      <w:r w:rsidRPr="00032B1C">
        <w:t xml:space="preserve"> pilot schools</w:t>
      </w:r>
      <w:r>
        <w:t>,</w:t>
      </w:r>
      <w:r w:rsidRPr="00971351">
        <w:rPr>
          <w:rStyle w:val="EndnoteReference"/>
          <w:rFonts w:ascii="Calibri" w:hAnsi="Calibri"/>
          <w:sz w:val="20"/>
        </w:rPr>
        <w:endnoteReference w:id="147"/>
      </w:r>
      <w:r>
        <w:t xml:space="preserve"> and since women occupy many roles within DepEd, 71 per cent of participants in project activities were women.</w:t>
      </w:r>
      <w:r w:rsidRPr="00032B1C">
        <w:rPr>
          <w:rStyle w:val="EndnoteReference"/>
        </w:rPr>
        <w:t xml:space="preserve"> </w:t>
      </w:r>
      <w:r w:rsidRPr="00971351">
        <w:rPr>
          <w:rStyle w:val="EndnoteReference"/>
        </w:rPr>
        <w:endnoteReference w:id="148"/>
      </w:r>
      <w:r>
        <w:t xml:space="preserve"> However, overall the report described the result against gender as ‘</w:t>
      </w:r>
      <w:r w:rsidRPr="003E23F3">
        <w:rPr>
          <w:i/>
        </w:rPr>
        <w:t>disappointing’</w:t>
      </w:r>
      <w:r w:rsidRPr="00971351">
        <w:rPr>
          <w:rStyle w:val="EndnoteReference"/>
        </w:rPr>
        <w:endnoteReference w:id="149"/>
      </w:r>
      <w:r>
        <w:t xml:space="preserve"> and noted limited awareness among teachers of gender issues</w:t>
      </w:r>
      <w:r w:rsidRPr="00971351">
        <w:t>.</w:t>
      </w:r>
      <w:r w:rsidRPr="00971351">
        <w:rPr>
          <w:rStyle w:val="EndnoteReference"/>
        </w:rPr>
        <w:endnoteReference w:id="150"/>
      </w:r>
      <w:r w:rsidRPr="00971351">
        <w:t xml:space="preserve"> </w:t>
      </w:r>
    </w:p>
    <w:p w14:paraId="70F5DE40" w14:textId="77777777" w:rsidR="00AF6A11" w:rsidRDefault="00AF6A11" w:rsidP="003E23F3">
      <w:pPr>
        <w:pStyle w:val="Heading3"/>
        <w:spacing w:before="240"/>
      </w:pPr>
      <w:bookmarkStart w:id="203" w:name="_Toc371105439"/>
      <w:bookmarkStart w:id="204" w:name="_Toc372300955"/>
      <w:bookmarkStart w:id="205" w:name="_Toc382563894"/>
      <w:bookmarkStart w:id="206" w:name="_Toc382595848"/>
      <w:r>
        <w:t>Complem</w:t>
      </w:r>
      <w:r w:rsidR="006E27C9">
        <w:t>enting</w:t>
      </w:r>
      <w:r>
        <w:t xml:space="preserve"> other initiatives</w:t>
      </w:r>
      <w:bookmarkEnd w:id="203"/>
      <w:bookmarkEnd w:id="204"/>
      <w:bookmarkEnd w:id="205"/>
      <w:bookmarkEnd w:id="206"/>
    </w:p>
    <w:p w14:paraId="235C3A28" w14:textId="3829CEB4" w:rsidR="00AF6A11" w:rsidRDefault="00AF6A11">
      <w:pPr>
        <w:spacing w:after="120"/>
      </w:pPr>
      <w:r w:rsidRPr="00166D78">
        <w:t xml:space="preserve">Australian </w:t>
      </w:r>
      <w:r>
        <w:t>support for</w:t>
      </w:r>
      <w:r w:rsidRPr="00166D78">
        <w:t xml:space="preserve"> the education sector is increasingly viewed as a ‘program’ by DepEd and other stakeholders.</w:t>
      </w:r>
      <w:r w:rsidRPr="00166D78">
        <w:rPr>
          <w:rStyle w:val="EndnoteReference"/>
        </w:rPr>
        <w:endnoteReference w:id="151"/>
      </w:r>
      <w:r w:rsidRPr="00166D78">
        <w:t xml:space="preserve"> Other initiatives</w:t>
      </w:r>
      <w:r w:rsidR="006E27C9">
        <w:t xml:space="preserve"> seen as part of this program</w:t>
      </w:r>
      <w:r w:rsidRPr="00166D78">
        <w:t xml:space="preserve"> include the Support to Philippine Education Reform Trust Fund</w:t>
      </w:r>
      <w:r>
        <w:t xml:space="preserve">, </w:t>
      </w:r>
      <w:r w:rsidRPr="00166D78">
        <w:t>the Education Performance Incentive Fund and specific project funding in Basic Education Assistance to Mindanao.</w:t>
      </w:r>
      <w:r w:rsidRPr="00166D78">
        <w:rPr>
          <w:rStyle w:val="EndnoteReference"/>
        </w:rPr>
        <w:endnoteReference w:id="152"/>
      </w:r>
      <w:r>
        <w:t xml:space="preserve"> </w:t>
      </w:r>
      <w:r w:rsidRPr="00166D78">
        <w:t xml:space="preserve">The STRIVE completion report notes that the initiative is part of </w:t>
      </w:r>
      <w:r w:rsidRPr="006D7535">
        <w:t>a</w:t>
      </w:r>
      <w:r w:rsidRPr="00813C05">
        <w:rPr>
          <w:rStyle w:val="BodyTextChar"/>
          <w:rFonts w:ascii="Franklin Gothic Book" w:hAnsi="Franklin Gothic Book"/>
        </w:rPr>
        <w:t xml:space="preserve"> ‘</w:t>
      </w:r>
      <w:r w:rsidRPr="00813C05">
        <w:rPr>
          <w:rStyle w:val="BodyTextChar"/>
          <w:rFonts w:ascii="Franklin Gothic Book" w:hAnsi="Franklin Gothic Book"/>
          <w:i/>
        </w:rPr>
        <w:t>move towards strategic system-wide engagement in policy development and implementation and scale</w:t>
      </w:r>
      <w:r>
        <w:rPr>
          <w:rStyle w:val="BodyTextChar"/>
          <w:rFonts w:ascii="Franklin Gothic Book" w:hAnsi="Franklin Gothic Book"/>
          <w:i/>
        </w:rPr>
        <w:t>-</w:t>
      </w:r>
      <w:r w:rsidRPr="00813C05">
        <w:rPr>
          <w:rStyle w:val="BodyTextChar"/>
          <w:rFonts w:ascii="Franklin Gothic Book" w:hAnsi="Franklin Gothic Book"/>
          <w:i/>
        </w:rPr>
        <w:t>up</w:t>
      </w:r>
      <w:r w:rsidR="00D2236B">
        <w:rPr>
          <w:rStyle w:val="BodyTextChar"/>
          <w:rFonts w:ascii="Franklin Gothic Book" w:hAnsi="Franklin Gothic Book"/>
          <w:i/>
        </w:rPr>
        <w:t>.’</w:t>
      </w:r>
      <w:r w:rsidRPr="00813C05">
        <w:rPr>
          <w:rStyle w:val="BodyTextChar"/>
          <w:rFonts w:ascii="Franklin Gothic Book" w:hAnsi="Franklin Gothic Book"/>
          <w:vertAlign w:val="superscript"/>
        </w:rPr>
        <w:endnoteReference w:id="153"/>
      </w:r>
      <w:bookmarkStart w:id="207" w:name="_Toc371105440"/>
      <w:bookmarkStart w:id="208" w:name="_Toc382563895"/>
      <w:bookmarkStart w:id="209" w:name="_Toc382595849"/>
    </w:p>
    <w:bookmarkStart w:id="210" w:name="_Toc408831783"/>
    <w:bookmarkEnd w:id="207"/>
    <w:bookmarkEnd w:id="208"/>
    <w:bookmarkEnd w:id="209"/>
    <w:p w14:paraId="242FE294" w14:textId="77777777" w:rsidR="00AF6A11" w:rsidRDefault="00AF6A11" w:rsidP="00921A4C">
      <w:pPr>
        <w:pStyle w:val="Heading1"/>
        <w:ind w:left="709" w:hanging="709"/>
      </w:pPr>
      <w:r>
        <w:rPr>
          <w:noProof/>
        </w:rPr>
        <mc:AlternateContent>
          <mc:Choice Requires="wps">
            <w:drawing>
              <wp:anchor distT="0" distB="0" distL="114300" distR="114300" simplePos="0" relativeHeight="251765760" behindDoc="1" locked="0" layoutInCell="1" allowOverlap="1" wp14:anchorId="18FF721D" wp14:editId="1AC97052">
                <wp:simplePos x="0" y="0"/>
                <wp:positionH relativeFrom="page">
                  <wp:posOffset>-9525</wp:posOffset>
                </wp:positionH>
                <wp:positionV relativeFrom="paragraph">
                  <wp:posOffset>-277495</wp:posOffset>
                </wp:positionV>
                <wp:extent cx="7610400" cy="1468800"/>
                <wp:effectExtent l="0" t="0" r="0" b="0"/>
                <wp:wrapNone/>
                <wp:docPr id="6" name="Rectangle 6"/>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75pt;margin-top:-21.85pt;width:599.25pt;height:115.6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wkwIAAIYFAAAOAAAAZHJzL2Uyb0RvYy54bWysVE1v2zAMvQ/YfxB0X20HbpoFdYqgRYcB&#10;RVu0HXpWZCk2IIsapXzt14+SHbdrix2G5aCIIvlIPpM8v9h3hm0V+hZsxYuTnDNlJdStXVf8x9P1&#10;lxlnPghbCwNWVfygPL9YfP50vnNzNYEGTK2QEYj1852reBOCm2eZl43qhD8BpywpNWAnAom4zmoU&#10;O0LvTDbJ82m2A6wdglTe0+tVr+SLhK+1kuFOa68CMxWn3EI6MZ2reGaLczFfo3BNK4c0xD9k0YnW&#10;UtAR6koEwTbYvoPqWongQYcTCV0GWrdSpRqomiJ/U81jI5xKtRA53o00+f8HK2+398jauuJTzqzo&#10;6BM9EGnCro1i00jPzvk5WT26exwkT9dY615jF/+pCrZPlB5GStU+MEmPZ9MiL3NiXpKuKKezGQmE&#10;k724O/Thm4KOxUvFkcInKsX2xofe9GgSo3kwbX3dGpMEXK8uDbKtoO9bTMpylnIm9D/MjI3GFqJb&#10;jxhfslhaX0y6hYNR0c7YB6WJE0p/kjJJ3ajGOEJKZUPRqxpRqz78aU6/obbRI1WaACOypvgj9gAQ&#10;O/09dp/lYB9dVWrm0Tn/W2K98+iRIoMNo3PXWsCPAAxVNUTu7Y8k9dREllZQH6hjEPpR8k5et/Td&#10;boQP9wJpduhb0z4Id3RoA7uKw3DjrAH89dF7tKeWJi1nO5rFivufG4GKM/PdUrN/LcoyDm8SytOz&#10;CQn4WrN6rbGb7hJiO9DmcTJdo30wx6tG6J5pbSxjVFIJKyl2xWXAo3AZ+h1Bi0eq5TKZ0cA6EW7s&#10;o5MRPLIa+/Jp/yzQDc0bqO9v4Ti3Yv6mh3vb6GlhuQmg29TgL7wOfNOwp8YZFlPcJq/lZPWyPhe/&#10;AQAA//8DAFBLAwQUAAYACAAAACEA9iamnOAAAAALAQAADwAAAGRycy9kb3ducmV2LnhtbEyPQU/D&#10;MAyF70j8h8hI3La0G6ylNJ3QJDhU4sDG7lljmorGKU22lX+Pd2In23pPz98r15PrxQnH0HlSkM4T&#10;EEiNNx21Cj53r7McRIiajO49oYJfDLCubm9KXRh/pg88bWMrOIRCoRXYGIdCytBYdDrM/YDE2pcf&#10;nY58jq00oz5zuOvlIklW0umO+IPVA24sNt/bo1NQ52j37XvdTz/1LpWb5Zvf40Kp+7vp5RlExCn+&#10;m+GCz+hQMdPBH8kE0SuYpY/s5PmwzEBcDOlTxu0OvOXZCmRVyusO1R8AAAD//wMAUEsBAi0AFAAG&#10;AAgAAAAhALaDOJL+AAAA4QEAABMAAAAAAAAAAAAAAAAAAAAAAFtDb250ZW50X1R5cGVzXS54bWxQ&#10;SwECLQAUAAYACAAAACEAOP0h/9YAAACUAQAACwAAAAAAAAAAAAAAAAAvAQAAX3JlbHMvLnJlbHNQ&#10;SwECLQAUAAYACAAAACEAPiFhsJMCAACGBQAADgAAAAAAAAAAAAAAAAAuAgAAZHJzL2Uyb0RvYy54&#10;bWxQSwECLQAUAAYACAAAACEA9iamnOAAAAALAQAADwAAAAAAAAAAAAAAAADtBAAAZHJzL2Rvd25y&#10;ZXYueG1sUEsFBgAAAAAEAAQA8wAAAPoFAAAAAA==&#10;" fillcolor="#124486" stroked="f" strokeweight="2pt">
                <w10:wrap anchorx="page"/>
              </v:rect>
            </w:pict>
          </mc:Fallback>
        </mc:AlternateContent>
      </w:r>
      <w:r>
        <w:t>4</w:t>
      </w:r>
      <w:r>
        <w:tab/>
        <w:t xml:space="preserve">Lessons from </w:t>
      </w:r>
      <w:r w:rsidR="00621EBF">
        <w:t xml:space="preserve">the </w:t>
      </w:r>
      <w:r>
        <w:t>infrastructure sector</w:t>
      </w:r>
      <w:bookmarkEnd w:id="210"/>
      <w:r>
        <w:t xml:space="preserve"> </w:t>
      </w:r>
    </w:p>
    <w:p w14:paraId="5C141DA2" w14:textId="77777777" w:rsidR="00AF6A11" w:rsidRPr="003E23F3" w:rsidRDefault="00AF6A11" w:rsidP="00AE2162">
      <w:pPr>
        <w:pStyle w:val="BoxHeading"/>
        <w:rPr>
          <w:rStyle w:val="IntenseEmphasis"/>
          <w:b/>
          <w:bCs/>
          <w:i w:val="0"/>
          <w:iCs w:val="0"/>
          <w:color w:val="auto"/>
        </w:rPr>
      </w:pPr>
      <w:r w:rsidRPr="00113869">
        <w:rPr>
          <w:rStyle w:val="IntenseEmphasis"/>
          <w:b/>
          <w:bCs/>
          <w:i w:val="0"/>
          <w:iCs w:val="0"/>
          <w:color w:val="auto"/>
        </w:rPr>
        <w:t>Evaluation question</w:t>
      </w:r>
    </w:p>
    <w:p w14:paraId="0AC1AFD7" w14:textId="77777777" w:rsidR="00AF6A11" w:rsidRPr="003E23F3" w:rsidRDefault="00AF6A11" w:rsidP="003E23F3">
      <w:pPr>
        <w:pStyle w:val="BoxBullet"/>
        <w:spacing w:after="0"/>
        <w:rPr>
          <w:rStyle w:val="IntenseEmphasis"/>
          <w:b w:val="0"/>
          <w:bCs w:val="0"/>
          <w:i w:val="0"/>
          <w:iCs w:val="0"/>
          <w:color w:val="auto"/>
        </w:rPr>
      </w:pPr>
      <w:r w:rsidRPr="00113869">
        <w:rPr>
          <w:rStyle w:val="IntenseEmphasis"/>
          <w:b w:val="0"/>
          <w:bCs w:val="0"/>
          <w:i w:val="0"/>
          <w:iCs w:val="0"/>
          <w:color w:val="auto"/>
        </w:rPr>
        <w:t>What key implementation lessons and good practice would improve sectoral programming in decentralised contexts?</w:t>
      </w:r>
    </w:p>
    <w:p w14:paraId="4383725E" w14:textId="77777777" w:rsidR="00AF6A11" w:rsidRPr="00AE2162" w:rsidRDefault="00AF6A11" w:rsidP="003E23F3">
      <w:pPr>
        <w:spacing w:after="0"/>
        <w:rPr>
          <w:b/>
          <w:bCs/>
          <w:i/>
          <w:iCs/>
        </w:rPr>
      </w:pPr>
    </w:p>
    <w:p w14:paraId="24C760E2" w14:textId="77777777" w:rsidR="00AF6A11" w:rsidRDefault="00AF6A11" w:rsidP="003E23F3">
      <w:pPr>
        <w:pStyle w:val="BoxHeading"/>
        <w:spacing w:before="0"/>
      </w:pPr>
      <w:r>
        <w:t>Key findings</w:t>
      </w:r>
    </w:p>
    <w:p w14:paraId="0FDC84B0" w14:textId="77777777" w:rsidR="00AF6A11" w:rsidRPr="0022469E" w:rsidRDefault="00AF6A11" w:rsidP="00AE2162">
      <w:pPr>
        <w:pStyle w:val="BoxBullet"/>
      </w:pPr>
      <w:r w:rsidRPr="0022469E">
        <w:t xml:space="preserve">Australian </w:t>
      </w:r>
      <w:r w:rsidR="00977859" w:rsidRPr="0022469E">
        <w:t>support</w:t>
      </w:r>
      <w:r w:rsidR="00977859">
        <w:t xml:space="preserve"> to</w:t>
      </w:r>
      <w:r w:rsidR="00977859" w:rsidRPr="0022469E">
        <w:t xml:space="preserve"> </w:t>
      </w:r>
      <w:r w:rsidRPr="0022469E">
        <w:t xml:space="preserve">infrastructure </w:t>
      </w:r>
      <w:r>
        <w:t>provid</w:t>
      </w:r>
      <w:r w:rsidRPr="0022469E">
        <w:t xml:space="preserve">es examples of working in innovative ways at </w:t>
      </w:r>
      <w:r>
        <w:t xml:space="preserve">the </w:t>
      </w:r>
      <w:r w:rsidRPr="0022469E">
        <w:t xml:space="preserve">subnational level, including demand-led </w:t>
      </w:r>
      <w:r>
        <w:t xml:space="preserve">approaches and </w:t>
      </w:r>
      <w:r w:rsidR="00977859">
        <w:t xml:space="preserve">the </w:t>
      </w:r>
      <w:r>
        <w:t xml:space="preserve">use of </w:t>
      </w:r>
      <w:r w:rsidRPr="0022469E">
        <w:t xml:space="preserve">incentives </w:t>
      </w:r>
      <w:r>
        <w:t xml:space="preserve">to </w:t>
      </w:r>
      <w:r w:rsidR="00977859">
        <w:t xml:space="preserve">improve the effectiveness of </w:t>
      </w:r>
      <w:r>
        <w:t>decentralised governance structures.</w:t>
      </w:r>
    </w:p>
    <w:p w14:paraId="19DB0B76" w14:textId="77777777" w:rsidR="00AF6A11" w:rsidRDefault="00B52AD8" w:rsidP="00AE2162">
      <w:pPr>
        <w:pStyle w:val="BoxBullet"/>
      </w:pPr>
      <w:r>
        <w:t>The</w:t>
      </w:r>
      <w:r w:rsidR="00AF6A11">
        <w:t xml:space="preserve"> </w:t>
      </w:r>
      <w:r>
        <w:t>Philippines</w:t>
      </w:r>
      <w:r w:rsidRPr="0022469E">
        <w:t xml:space="preserve"> </w:t>
      </w:r>
      <w:r w:rsidR="00AF6A11" w:rsidRPr="0022469E">
        <w:t xml:space="preserve">infrastructure </w:t>
      </w:r>
      <w:r>
        <w:t xml:space="preserve">profile </w:t>
      </w:r>
      <w:r w:rsidR="00AF6A11" w:rsidRPr="0022469E">
        <w:t xml:space="preserve">demonstrates </w:t>
      </w:r>
      <w:r w:rsidR="00AF6A11">
        <w:t xml:space="preserve">the </w:t>
      </w:r>
      <w:r w:rsidR="00AF6A11" w:rsidRPr="0022469E">
        <w:t xml:space="preserve">potential for </w:t>
      </w:r>
      <w:r w:rsidR="00977859">
        <w:t xml:space="preserve">more effective </w:t>
      </w:r>
      <w:r w:rsidR="00AF6A11" w:rsidRPr="0022469E">
        <w:t xml:space="preserve">governance </w:t>
      </w:r>
      <w:r>
        <w:t>within</w:t>
      </w:r>
      <w:r w:rsidR="00977859">
        <w:t xml:space="preserve"> </w:t>
      </w:r>
      <w:r w:rsidR="00AF6A11" w:rsidRPr="0022469E">
        <w:t>infrastructure</w:t>
      </w:r>
      <w:r w:rsidR="00977859">
        <w:t xml:space="preserve"> programming</w:t>
      </w:r>
      <w:r w:rsidR="00AF6A11" w:rsidRPr="0022469E">
        <w:t>.</w:t>
      </w:r>
    </w:p>
    <w:p w14:paraId="03537833" w14:textId="08CDF95C" w:rsidR="00AF6A11" w:rsidRDefault="00977859" w:rsidP="00AE2162">
      <w:pPr>
        <w:pStyle w:val="BoxBullet"/>
      </w:pPr>
      <w:r>
        <w:t xml:space="preserve">The Indonesian </w:t>
      </w:r>
      <w:r w:rsidR="00AF6A11">
        <w:t xml:space="preserve">water and sanitation </w:t>
      </w:r>
      <w:r w:rsidR="00B93922">
        <w:t>profile</w:t>
      </w:r>
      <w:r>
        <w:t xml:space="preserve"> </w:t>
      </w:r>
      <w:r w:rsidR="00AF6A11">
        <w:t xml:space="preserve">demonstrates the </w:t>
      </w:r>
      <w:r w:rsidR="00B52AD8">
        <w:t xml:space="preserve">potential for building on existing partner government mechanisms to </w:t>
      </w:r>
      <w:r w:rsidR="00AF6A11">
        <w:t>suppor</w:t>
      </w:r>
      <w:r w:rsidR="00B52AD8">
        <w:t xml:space="preserve">t effective </w:t>
      </w:r>
      <w:r w:rsidR="00AF6A11">
        <w:t xml:space="preserve">service delivery at the local level. The demand-driven approach means that the local governments involved were inherently motivated. </w:t>
      </w:r>
      <w:r w:rsidR="0072237B">
        <w:t>Poverty is t</w:t>
      </w:r>
      <w:r w:rsidR="00B52AD8">
        <w:t>arget</w:t>
      </w:r>
      <w:r w:rsidR="0072237B">
        <w:t>ed</w:t>
      </w:r>
      <w:r w:rsidR="00B52AD8">
        <w:t xml:space="preserve"> by the requirement that </w:t>
      </w:r>
      <w:r w:rsidR="00AF6A11">
        <w:t>fund</w:t>
      </w:r>
      <w:r w:rsidR="00B52AD8">
        <w:t>s</w:t>
      </w:r>
      <w:r w:rsidR="00AF6A11">
        <w:t xml:space="preserve"> </w:t>
      </w:r>
      <w:r w:rsidR="00B52AD8">
        <w:t xml:space="preserve">must </w:t>
      </w:r>
      <w:r w:rsidR="00AF6A11">
        <w:t xml:space="preserve">support access </w:t>
      </w:r>
      <w:r w:rsidR="00DA485D">
        <w:t xml:space="preserve">to services for </w:t>
      </w:r>
      <w:r w:rsidR="00AF6A11">
        <w:t xml:space="preserve">low-income and poor households. </w:t>
      </w:r>
    </w:p>
    <w:p w14:paraId="3436F732" w14:textId="77777777" w:rsidR="00B52AD8" w:rsidRDefault="00AF6A11" w:rsidP="00CD6E87">
      <w:pPr>
        <w:pStyle w:val="BoxBullet"/>
      </w:pPr>
      <w:r>
        <w:t>In the Philippines road program, t</w:t>
      </w:r>
      <w:r w:rsidRPr="0022469E">
        <w:t>he</w:t>
      </w:r>
      <w:r w:rsidR="00977859">
        <w:t>re were</w:t>
      </w:r>
      <w:r w:rsidRPr="0022469E">
        <w:t xml:space="preserve"> challenges concerning weak subnational financial management and questions of who should carry risks.</w:t>
      </w:r>
      <w:r>
        <w:t xml:space="preserve"> The contractor avoided risk by bypassing both provincial and national engagement in the work, which undermined the capacity building and use of performance incentives. </w:t>
      </w:r>
      <w:r w:rsidR="00977859">
        <w:t>A program</w:t>
      </w:r>
      <w:r>
        <w:t xml:space="preserve"> review highlighted where implementation had diverged from the design, and </w:t>
      </w:r>
      <w:r w:rsidR="00B52AD8">
        <w:t>Australia</w:t>
      </w:r>
      <w:r>
        <w:t xml:space="preserve"> was able to </w:t>
      </w:r>
      <w:r w:rsidR="00B52AD8">
        <w:t xml:space="preserve">take back </w:t>
      </w:r>
      <w:r>
        <w:t xml:space="preserve">responsibility for the initiative and consider how to </w:t>
      </w:r>
      <w:r w:rsidR="00B52AD8">
        <w:t xml:space="preserve">better </w:t>
      </w:r>
      <w:r>
        <w:t>share risks with a future contractor.</w:t>
      </w:r>
      <w:r w:rsidR="00977859">
        <w:t xml:space="preserve"> </w:t>
      </w:r>
    </w:p>
    <w:p w14:paraId="3BB61B9F" w14:textId="77777777" w:rsidR="00AF6A11" w:rsidRPr="0022469E" w:rsidRDefault="00B52AD8" w:rsidP="00CD6E87">
      <w:pPr>
        <w:pStyle w:val="BoxBullet"/>
      </w:pPr>
      <w:r>
        <w:t>Both p</w:t>
      </w:r>
      <w:r w:rsidR="00037302">
        <w:t xml:space="preserve">rofiles show that </w:t>
      </w:r>
      <w:r w:rsidR="00AF6A11" w:rsidRPr="0022469E">
        <w:t xml:space="preserve">sustainability through ownership and leadership at both </w:t>
      </w:r>
      <w:r w:rsidR="00AF6A11">
        <w:t xml:space="preserve">the </w:t>
      </w:r>
      <w:r w:rsidR="00AF6A11" w:rsidRPr="0022469E">
        <w:t>national and subnational level</w:t>
      </w:r>
      <w:r w:rsidR="00AF6A11">
        <w:t>s</w:t>
      </w:r>
      <w:r w:rsidR="00037302">
        <w:t xml:space="preserve"> is challenging.</w:t>
      </w:r>
      <w:r w:rsidR="00AF6A11">
        <w:t xml:space="preserve"> The </w:t>
      </w:r>
      <w:r w:rsidR="00037302">
        <w:t>limited</w:t>
      </w:r>
      <w:r w:rsidR="00AF6A11">
        <w:t xml:space="preserve"> subnational government capacity to sustain new services</w:t>
      </w:r>
      <w:r w:rsidR="00037302">
        <w:t xml:space="preserve"> is as an area that needs further attention.</w:t>
      </w:r>
    </w:p>
    <w:p w14:paraId="544E872A" w14:textId="77777777" w:rsidR="00516D95" w:rsidRDefault="00516D95" w:rsidP="00AE2162"/>
    <w:p w14:paraId="63A43F61" w14:textId="60E3FEB5" w:rsidR="00AF6A11" w:rsidRDefault="00AF6A11" w:rsidP="00AE2162">
      <w:r>
        <w:t>The chapter has four sections</w:t>
      </w:r>
      <w:r w:rsidR="00A14962">
        <w:t>:</w:t>
      </w:r>
      <w:r>
        <w:t xml:space="preserve"> </w:t>
      </w:r>
      <w:r w:rsidR="00A14962">
        <w:t>infrastructure service delivery and decentralisation</w:t>
      </w:r>
      <w:r w:rsidR="00A14962" w:rsidDel="00A14962">
        <w:t xml:space="preserve"> </w:t>
      </w:r>
      <w:r>
        <w:t xml:space="preserve">(Section 4.1); Australian infrastructure </w:t>
      </w:r>
      <w:r w:rsidR="00A14962">
        <w:t xml:space="preserve">sector </w:t>
      </w:r>
      <w:r>
        <w:t xml:space="preserve">support (Section 4.2); and two </w:t>
      </w:r>
      <w:r w:rsidR="00CC5E93">
        <w:t>profiles</w:t>
      </w:r>
      <w:r>
        <w:t xml:space="preserve"> based on in-country fieldwork</w:t>
      </w:r>
      <w:r w:rsidR="00DA485D">
        <w:rPr>
          <w:rFonts w:ascii="Trebuchet MS" w:hAnsi="Trebuchet MS"/>
        </w:rPr>
        <w:t>—</w:t>
      </w:r>
      <w:r>
        <w:t>a maternal and neonatal health program in Indonesia (Section 4.3) and support to provincial health authorities in PNG (Section 4.4).</w:t>
      </w:r>
    </w:p>
    <w:p w14:paraId="2F20665F" w14:textId="77777777" w:rsidR="00AF6A11" w:rsidRDefault="00AF6A11" w:rsidP="00AE2162">
      <w:pPr>
        <w:pStyle w:val="Heading2"/>
        <w:spacing w:before="360" w:after="240" w:line="288" w:lineRule="auto"/>
        <w:ind w:left="0" w:firstLine="0"/>
      </w:pPr>
      <w:bookmarkStart w:id="211" w:name="_Toc371187626"/>
      <w:bookmarkStart w:id="212" w:name="_Toc382563897"/>
      <w:bookmarkStart w:id="213" w:name="_Toc382595851"/>
      <w:bookmarkStart w:id="214" w:name="_Toc408831784"/>
      <w:r>
        <w:t>4.1</w:t>
      </w:r>
      <w:r>
        <w:tab/>
        <w:t>Infrastructure service delivery and decentralisation</w:t>
      </w:r>
      <w:bookmarkEnd w:id="211"/>
      <w:bookmarkEnd w:id="212"/>
      <w:bookmarkEnd w:id="213"/>
      <w:bookmarkEnd w:id="214"/>
    </w:p>
    <w:p w14:paraId="09042734" w14:textId="77777777" w:rsidR="00AF6A11" w:rsidRDefault="00AF6A11" w:rsidP="00AE2162">
      <w:r>
        <w:t>I</w:t>
      </w:r>
      <w:r w:rsidRPr="00ED3417">
        <w:t>n decentral</w:t>
      </w:r>
      <w:r>
        <w:t>ised contexts,</w:t>
      </w:r>
      <w:r w:rsidRPr="00ED3417">
        <w:t xml:space="preserve"> </w:t>
      </w:r>
      <w:r>
        <w:t>r</w:t>
      </w:r>
      <w:r w:rsidRPr="00ED3417">
        <w:t xml:space="preserve">esponsibility for </w:t>
      </w:r>
      <w:r w:rsidRPr="001204DD">
        <w:t>water and sanitation</w:t>
      </w:r>
      <w:r w:rsidRPr="00ED3417">
        <w:t xml:space="preserve"> services usually lies with local government</w:t>
      </w:r>
      <w:r>
        <w:t xml:space="preserve">, sometimes with functions </w:t>
      </w:r>
      <w:r w:rsidRPr="00ED3417">
        <w:t>contracted out to private sector or non</w:t>
      </w:r>
      <w:r>
        <w:t>-government</w:t>
      </w:r>
      <w:r w:rsidRPr="00ED3417">
        <w:t xml:space="preserve"> organisations</w:t>
      </w:r>
      <w:r>
        <w:t xml:space="preserve"> (NGOs)</w:t>
      </w:r>
      <w:r w:rsidRPr="00ED3417">
        <w:t>. In many countries, community management structures are formally recognised as service providers.</w:t>
      </w:r>
      <w:r>
        <w:rPr>
          <w:rStyle w:val="EndnoteReference"/>
        </w:rPr>
        <w:endnoteReference w:id="154"/>
      </w:r>
      <w:r w:rsidRPr="00ED3417">
        <w:t xml:space="preserve"> </w:t>
      </w:r>
      <w:r>
        <w:t>Beyond the challenges common to service del</w:t>
      </w:r>
      <w:r w:rsidR="00B93922">
        <w:t>ivery described in Section 1.2,</w:t>
      </w:r>
      <w:r>
        <w:t xml:space="preserve"> three other points </w:t>
      </w:r>
      <w:r w:rsidR="000A17BD">
        <w:t xml:space="preserve">below </w:t>
      </w:r>
      <w:r>
        <w:t>are important</w:t>
      </w:r>
      <w:r w:rsidR="000A17BD">
        <w:t xml:space="preserve"> regarding water supply, sanitation and roads respectively</w:t>
      </w:r>
      <w:r>
        <w:t xml:space="preserve">. </w:t>
      </w:r>
    </w:p>
    <w:p w14:paraId="7F609D73" w14:textId="1297C083" w:rsidR="00AF6A11" w:rsidRDefault="000A17BD" w:rsidP="00B93922">
      <w:pPr>
        <w:pStyle w:val="Bullet"/>
      </w:pPr>
      <w:r>
        <w:t>W</w:t>
      </w:r>
      <w:r w:rsidR="00B93922">
        <w:t>ater supply infrastructure</w:t>
      </w:r>
      <w:r w:rsidR="00AF6A11">
        <w:t xml:space="preserve"> </w:t>
      </w:r>
      <w:r>
        <w:t xml:space="preserve">concerns in relation to decentralisation </w:t>
      </w:r>
      <w:r w:rsidR="00AF6A11">
        <w:t xml:space="preserve">have </w:t>
      </w:r>
      <w:r w:rsidR="00DA485D">
        <w:t xml:space="preserve">been </w:t>
      </w:r>
      <w:r w:rsidR="00AF6A11">
        <w:t xml:space="preserve">predominantly </w:t>
      </w:r>
      <w:r w:rsidR="00DA485D">
        <w:t>around</w:t>
      </w:r>
      <w:r w:rsidR="00AF6A11">
        <w:t xml:space="preserve"> </w:t>
      </w:r>
      <w:r>
        <w:t xml:space="preserve">clarifying </w:t>
      </w:r>
      <w:r w:rsidR="00AF6A11">
        <w:t xml:space="preserve">responsibility </w:t>
      </w:r>
      <w:r>
        <w:t xml:space="preserve">within levels of government </w:t>
      </w:r>
      <w:r w:rsidR="00AF6A11">
        <w:t xml:space="preserve">for </w:t>
      </w:r>
      <w:r>
        <w:t xml:space="preserve">building </w:t>
      </w:r>
      <w:r w:rsidR="00AF6A11">
        <w:t>new water systems</w:t>
      </w:r>
      <w:r w:rsidR="00402C5C">
        <w:t>.</w:t>
      </w:r>
      <w:r w:rsidR="00B93922">
        <w:t xml:space="preserve"> </w:t>
      </w:r>
      <w:r w:rsidR="00AF6A11">
        <w:t>Less attention has been given to responsibility and capacity for support to maintenance and management of existing systems</w:t>
      </w:r>
      <w:r w:rsidR="00DA485D">
        <w:t>,</w:t>
      </w:r>
      <w:r w:rsidR="00AF6A11">
        <w:t xml:space="preserve"> severe</w:t>
      </w:r>
      <w:r w:rsidR="00DA485D">
        <w:t>ly affecting</w:t>
      </w:r>
      <w:r w:rsidR="00AF6A11">
        <w:t xml:space="preserve"> sustainability of service outcomes.</w:t>
      </w:r>
      <w:r w:rsidR="00AF6A11">
        <w:rPr>
          <w:rStyle w:val="EndnoteReference"/>
        </w:rPr>
        <w:endnoteReference w:id="155"/>
      </w:r>
      <w:r w:rsidR="00AF6A11">
        <w:t xml:space="preserve"> </w:t>
      </w:r>
    </w:p>
    <w:p w14:paraId="38854162" w14:textId="489F8947" w:rsidR="00B93922" w:rsidRDefault="00037302" w:rsidP="00AE2162">
      <w:pPr>
        <w:pStyle w:val="Bullet"/>
      </w:pPr>
      <w:r>
        <w:t>S</w:t>
      </w:r>
      <w:r w:rsidR="00AF6A11">
        <w:t>anitation services have been overlooked due to a focus on safe water supply, and responsibility for sanitation is frequently fragmented across different agencies</w:t>
      </w:r>
      <w:r w:rsidR="00DA485D">
        <w:t xml:space="preserve"> such as</w:t>
      </w:r>
      <w:r w:rsidR="00AF6A11">
        <w:t xml:space="preserve"> health, public works and environment. In many countries, there is a lack of policy, regulation and governance, and local governments rarely prioritise this sector. In rural areas, </w:t>
      </w:r>
      <w:r w:rsidR="00DA485D">
        <w:t xml:space="preserve">it is increasingly considered that </w:t>
      </w:r>
      <w:r w:rsidR="00AF6A11">
        <w:t>sanitation services are a private investment and that the role of subnational government is to facilitate behaviour change, support product markets and monitor progress.</w:t>
      </w:r>
    </w:p>
    <w:p w14:paraId="6B2A2923" w14:textId="56C72DF6" w:rsidR="00AF6A11" w:rsidRDefault="00AF6A11" w:rsidP="001204DD">
      <w:pPr>
        <w:pStyle w:val="BulletLast"/>
      </w:pPr>
      <w:r>
        <w:t xml:space="preserve">Responsibility within the </w:t>
      </w:r>
      <w:r w:rsidRPr="003E23F3">
        <w:t>transport sector</w:t>
      </w:r>
      <w:r>
        <w:t xml:space="preserve"> is often shared between national and subnational levels of government. A key issue for this sector in decentralised contexts is that the bulk of the required expenditure on transport is for maintenance.</w:t>
      </w:r>
      <w:r>
        <w:rPr>
          <w:rStyle w:val="EndnoteReference"/>
        </w:rPr>
        <w:endnoteReference w:id="156"/>
      </w:r>
      <w:r>
        <w:t xml:space="preserve"> Ongoing dependence at the subnational level on national funds often results in insufficient funds for road maintenance. Further, limited institutional capacity at the subnational level often undermines planning</w:t>
      </w:r>
      <w:r w:rsidR="00DA485D">
        <w:t xml:space="preserve"> and</w:t>
      </w:r>
      <w:r>
        <w:t xml:space="preserve"> budgeting and </w:t>
      </w:r>
      <w:r w:rsidR="00DA485D">
        <w:t xml:space="preserve">leads to </w:t>
      </w:r>
      <w:r>
        <w:t xml:space="preserve">the common approach of ‘contracting out’ road maintenance. Lastly, decentralisation laws may not provide adequate detail regarding where responsibility lies for transport infrastructure services. </w:t>
      </w:r>
    </w:p>
    <w:p w14:paraId="4B790A11" w14:textId="77777777" w:rsidR="00AF6A11" w:rsidRDefault="00AF6A11" w:rsidP="000A17BD">
      <w:pPr>
        <w:pStyle w:val="Bullet"/>
        <w:numPr>
          <w:ilvl w:val="0"/>
          <w:numId w:val="0"/>
        </w:numPr>
      </w:pPr>
      <w:r>
        <w:t xml:space="preserve">One last </w:t>
      </w:r>
      <w:r w:rsidR="000A17BD">
        <w:t>matter</w:t>
      </w:r>
      <w:r>
        <w:t xml:space="preserve"> </w:t>
      </w:r>
      <w:r w:rsidR="000A17BD">
        <w:t xml:space="preserve">concerning various types of infrastructure and decentralisation </w:t>
      </w:r>
      <w:r>
        <w:t>is that in some Melanesian countries, such as PNG, there is increasing expectation that infrastructure be facilitated through use of constituency funds from members of parliament</w:t>
      </w:r>
      <w:r w:rsidR="00037302">
        <w:t xml:space="preserve">. This presents </w:t>
      </w:r>
      <w:r>
        <w:t xml:space="preserve">issues around politicisation of these funds, lack of coordination with subnational authorities and potential for low-quality implementation due to low public works skills and capacity. </w:t>
      </w:r>
      <w:bookmarkStart w:id="215" w:name="_Toc371187627"/>
      <w:bookmarkStart w:id="216" w:name="_Toc382563898"/>
      <w:bookmarkStart w:id="217" w:name="_Toc382595852"/>
    </w:p>
    <w:p w14:paraId="7D840CCF" w14:textId="77777777" w:rsidR="00AF6A11" w:rsidRDefault="00AF6A11" w:rsidP="00EF6BCF">
      <w:pPr>
        <w:pStyle w:val="Heading2"/>
        <w:spacing w:before="360" w:after="240" w:line="288" w:lineRule="auto"/>
        <w:ind w:left="0" w:firstLine="0"/>
      </w:pPr>
      <w:bookmarkStart w:id="218" w:name="_Toc408831785"/>
      <w:r>
        <w:t>4.2</w:t>
      </w:r>
      <w:r>
        <w:tab/>
        <w:t>Australian infrastructure sector support</w:t>
      </w:r>
      <w:bookmarkEnd w:id="215"/>
      <w:bookmarkEnd w:id="216"/>
      <w:bookmarkEnd w:id="217"/>
      <w:bookmarkEnd w:id="218"/>
    </w:p>
    <w:p w14:paraId="4DEC4AD9" w14:textId="4B163482" w:rsidR="00AF6A11" w:rsidRDefault="00AF6A11" w:rsidP="00EF6BCF">
      <w:r>
        <w:t xml:space="preserve">Australian assistance in the infrastructure sector is guided by two thematic strategies. </w:t>
      </w:r>
      <w:r w:rsidR="00037302">
        <w:t>The</w:t>
      </w:r>
      <w:r w:rsidRPr="00096744">
        <w:t xml:space="preserve"> </w:t>
      </w:r>
      <w:r w:rsidR="00037302">
        <w:t>aid program</w:t>
      </w:r>
      <w:r w:rsidR="00DA485D">
        <w:t>’s</w:t>
      </w:r>
      <w:r w:rsidR="00037302">
        <w:t xml:space="preserve"> </w:t>
      </w:r>
      <w:r>
        <w:t>water, sanitation and hygiene (</w:t>
      </w:r>
      <w:r w:rsidRPr="00096744">
        <w:t>WASH</w:t>
      </w:r>
      <w:r>
        <w:t>)</w:t>
      </w:r>
      <w:r w:rsidRPr="00096744">
        <w:t xml:space="preserve"> strategy, demonstrate</w:t>
      </w:r>
      <w:r>
        <w:t>s</w:t>
      </w:r>
      <w:r w:rsidRPr="00096744">
        <w:t xml:space="preserve"> relatively good coverage of issues in relation to supporting service delivery in decentralised contexts. It focus</w:t>
      </w:r>
      <w:r>
        <w:t>es</w:t>
      </w:r>
      <w:r w:rsidRPr="00096744">
        <w:t xml:space="preserve"> on access to safe water and </w:t>
      </w:r>
      <w:r w:rsidRPr="00E05F9F">
        <w:t>basic sanitation, improved hygiene behaviour and creating sustainable services through better</w:t>
      </w:r>
      <w:r>
        <w:t xml:space="preserve"> governance.</w:t>
      </w:r>
      <w:r w:rsidRPr="00096744">
        <w:rPr>
          <w:rStyle w:val="EndnoteReference"/>
          <w:szCs w:val="24"/>
        </w:rPr>
        <w:endnoteReference w:id="157"/>
      </w:r>
      <w:r>
        <w:t xml:space="preserve"> Australia’s support for roads is viewed as a catalyst for economic development, and the key focus is on maintenance and preservation of existing infrastructure</w:t>
      </w:r>
      <w:r w:rsidRPr="005A0DDC">
        <w:t>.</w:t>
      </w:r>
      <w:r>
        <w:rPr>
          <w:rStyle w:val="EndnoteReference"/>
        </w:rPr>
        <w:endnoteReference w:id="158"/>
      </w:r>
      <w:r>
        <w:t xml:space="preserve"> T</w:t>
      </w:r>
      <w:r w:rsidRPr="00DF4BE8">
        <w:t xml:space="preserve">his strategy has had a mixed influence </w:t>
      </w:r>
      <w:r>
        <w:t xml:space="preserve">on </w:t>
      </w:r>
      <w:r w:rsidRPr="00DF4BE8">
        <w:t>how projects address decentralisation and the role of subnational governments</w:t>
      </w:r>
      <w:r w:rsidR="00037302">
        <w:t xml:space="preserve"> (see </w:t>
      </w:r>
      <w:r w:rsidR="003B1C3D">
        <w:t>Section </w:t>
      </w:r>
      <w:r w:rsidR="00037302">
        <w:t>6.1)</w:t>
      </w:r>
      <w:r>
        <w:t>.</w:t>
      </w:r>
    </w:p>
    <w:p w14:paraId="7D00452A" w14:textId="573B73EA" w:rsidR="00AF6A11" w:rsidRPr="00AF7268" w:rsidRDefault="00AF7268" w:rsidP="00EF6BCF">
      <w:r>
        <w:rPr>
          <w:szCs w:val="21"/>
        </w:rPr>
        <w:t>I</w:t>
      </w:r>
      <w:r w:rsidRPr="00A97BCA">
        <w:rPr>
          <w:szCs w:val="21"/>
        </w:rPr>
        <w:t>n 2014</w:t>
      </w:r>
      <w:r w:rsidR="00DA485D">
        <w:rPr>
          <w:rFonts w:ascii="Trebuchet MS" w:hAnsi="Trebuchet MS"/>
          <w:szCs w:val="21"/>
        </w:rPr>
        <w:t>–</w:t>
      </w:r>
      <w:r w:rsidRPr="00A97BCA">
        <w:rPr>
          <w:szCs w:val="21"/>
        </w:rPr>
        <w:t>15</w:t>
      </w:r>
      <w:r w:rsidR="00DA485D">
        <w:rPr>
          <w:szCs w:val="21"/>
        </w:rPr>
        <w:t>,</w:t>
      </w:r>
      <w:r w:rsidRPr="00A97BCA">
        <w:rPr>
          <w:szCs w:val="21"/>
        </w:rPr>
        <w:t xml:space="preserve"> </w:t>
      </w:r>
      <w:r>
        <w:rPr>
          <w:szCs w:val="21"/>
        </w:rPr>
        <w:t xml:space="preserve">the </w:t>
      </w:r>
      <w:r w:rsidRPr="00A97BCA">
        <w:rPr>
          <w:szCs w:val="21"/>
        </w:rPr>
        <w:t>Australia</w:t>
      </w:r>
      <w:r>
        <w:rPr>
          <w:szCs w:val="21"/>
        </w:rPr>
        <w:t>n</w:t>
      </w:r>
      <w:r w:rsidRPr="00A97BCA">
        <w:rPr>
          <w:szCs w:val="21"/>
        </w:rPr>
        <w:t xml:space="preserve"> aid program will spend </w:t>
      </w:r>
      <w:r w:rsidR="00DA485D">
        <w:rPr>
          <w:szCs w:val="21"/>
        </w:rPr>
        <w:t>10 </w:t>
      </w:r>
      <w:r w:rsidRPr="00A97BCA">
        <w:rPr>
          <w:szCs w:val="21"/>
        </w:rPr>
        <w:t xml:space="preserve">per cent </w:t>
      </w:r>
      <w:r>
        <w:rPr>
          <w:szCs w:val="21"/>
        </w:rPr>
        <w:t xml:space="preserve">of its funding </w:t>
      </w:r>
      <w:r w:rsidRPr="00A97BCA">
        <w:rPr>
          <w:szCs w:val="21"/>
        </w:rPr>
        <w:t>on infrastructure (</w:t>
      </w:r>
      <w:r w:rsidR="00DA485D">
        <w:rPr>
          <w:szCs w:val="21"/>
        </w:rPr>
        <w:t>$</w:t>
      </w:r>
      <w:r w:rsidRPr="00A97BCA">
        <w:rPr>
          <w:szCs w:val="21"/>
        </w:rPr>
        <w:t>530.3</w:t>
      </w:r>
      <w:r w:rsidR="00DA485D">
        <w:rPr>
          <w:szCs w:val="21"/>
        </w:rPr>
        <w:t> </w:t>
      </w:r>
      <w:r w:rsidRPr="00A97BCA">
        <w:rPr>
          <w:szCs w:val="21"/>
        </w:rPr>
        <w:t>million).</w:t>
      </w:r>
      <w:r>
        <w:rPr>
          <w:rStyle w:val="EndnoteReference"/>
          <w:szCs w:val="21"/>
        </w:rPr>
        <w:endnoteReference w:id="159"/>
      </w:r>
      <w:r>
        <w:t xml:space="preserve"> </w:t>
      </w:r>
      <w:r w:rsidR="00AF6A11">
        <w:t xml:space="preserve">Investments in water and sanitation infrastructure </w:t>
      </w:r>
      <w:r w:rsidR="00AF6A11" w:rsidRPr="00682F54">
        <w:t>are</w:t>
      </w:r>
      <w:r w:rsidR="00AF6A11">
        <w:t xml:space="preserve"> implemented</w:t>
      </w:r>
      <w:r w:rsidR="00AF6A11" w:rsidRPr="00682F54">
        <w:t xml:space="preserve"> </w:t>
      </w:r>
      <w:r w:rsidR="00AF6A11">
        <w:t>through</w:t>
      </w:r>
      <w:r w:rsidR="00AF6A11" w:rsidRPr="00682F54">
        <w:t xml:space="preserve"> multilateral organisations, </w:t>
      </w:r>
      <w:r w:rsidR="00982665">
        <w:t xml:space="preserve">the private sector, </w:t>
      </w:r>
      <w:r w:rsidR="00AF6A11" w:rsidRPr="00682F54">
        <w:t xml:space="preserve">civil society </w:t>
      </w:r>
      <w:r w:rsidR="00AF6A11" w:rsidRPr="00C87E10">
        <w:t>organisations, bilateral programs (</w:t>
      </w:r>
      <w:r w:rsidR="00AF6A11">
        <w:t>e.g. </w:t>
      </w:r>
      <w:r w:rsidR="00AF6A11" w:rsidRPr="00C87E10">
        <w:t>in Indonesia, East Timor and Vietnam) and regional programs. Australia’s global engagement help</w:t>
      </w:r>
      <w:r w:rsidR="00AF6A11">
        <w:t>s</w:t>
      </w:r>
      <w:r w:rsidR="00AF6A11" w:rsidRPr="00C87E10">
        <w:t xml:space="preserve"> </w:t>
      </w:r>
      <w:r w:rsidR="00AF6A11">
        <w:t>it</w:t>
      </w:r>
      <w:r w:rsidR="00AF6A11" w:rsidRPr="00C87E10">
        <w:t xml:space="preserve"> to influence global policy on WASH, and</w:t>
      </w:r>
      <w:r w:rsidR="00AF6A11">
        <w:t xml:space="preserve"> to</w:t>
      </w:r>
      <w:r w:rsidR="00AF6A11" w:rsidRPr="00C87E10">
        <w:t xml:space="preserve"> build knowledge to improve the effectivenes</w:t>
      </w:r>
      <w:r w:rsidR="00AF6A11">
        <w:t>s and delivery of WASH services. Results in 2012–13 included 2 257 </w:t>
      </w:r>
      <w:r w:rsidR="009E2C87">
        <w:t xml:space="preserve">000 </w:t>
      </w:r>
      <w:r w:rsidR="00AF6A11">
        <w:t>people with increased access to safe water, and 1 910 </w:t>
      </w:r>
      <w:r w:rsidR="009E2C87">
        <w:t>000</w:t>
      </w:r>
      <w:r w:rsidR="00AF6A11">
        <w:t xml:space="preserve"> with access to sanitation. Investment in infrastructure has increased over recent years, and in 201</w:t>
      </w:r>
      <w:r w:rsidR="009E2C87">
        <w:t>3</w:t>
      </w:r>
      <w:r w:rsidR="00AF6A11">
        <w:t>–1</w:t>
      </w:r>
      <w:r w:rsidR="009E2C87">
        <w:t>4</w:t>
      </w:r>
      <w:r w:rsidR="00AF6A11">
        <w:t xml:space="preserve"> </w:t>
      </w:r>
      <w:r w:rsidR="009E2C87">
        <w:t xml:space="preserve">is expected to total </w:t>
      </w:r>
      <w:r w:rsidR="00AF6A11">
        <w:t xml:space="preserve">7 per cent of overseas development assistance. </w:t>
      </w:r>
      <w:r w:rsidR="00AF6A11" w:rsidRPr="00FA0E58">
        <w:t>In 201</w:t>
      </w:r>
      <w:r w:rsidR="009E2C87">
        <w:t>2</w:t>
      </w:r>
      <w:r w:rsidR="00AF6A11">
        <w:t>–</w:t>
      </w:r>
      <w:r w:rsidR="00AF6A11" w:rsidRPr="00FA0E58">
        <w:t>1</w:t>
      </w:r>
      <w:r w:rsidR="009E2C87">
        <w:t>3</w:t>
      </w:r>
      <w:r w:rsidR="00AF6A11" w:rsidRPr="00FA0E58">
        <w:t>, 4</w:t>
      </w:r>
      <w:r w:rsidR="009E2C87">
        <w:t>400</w:t>
      </w:r>
      <w:r w:rsidR="00AF6A11">
        <w:t> kilometres</w:t>
      </w:r>
      <w:r w:rsidR="00AF6A11" w:rsidRPr="00FA0E58">
        <w:t xml:space="preserve"> of national roads were rehabilitated</w:t>
      </w:r>
      <w:r w:rsidR="00AF6A11">
        <w:t>,</w:t>
      </w:r>
      <w:r w:rsidR="00AF6A11" w:rsidRPr="00FA0E58">
        <w:t xml:space="preserve"> maintained or constructed</w:t>
      </w:r>
      <w:r w:rsidR="00AF6A11">
        <w:t xml:space="preserve"> as a result of Australian aid</w:t>
      </w:r>
      <w:r w:rsidR="003B1C3D">
        <w:t>.</w:t>
      </w:r>
      <w:r w:rsidR="009E2C87">
        <w:rPr>
          <w:rStyle w:val="EndnoteReference"/>
        </w:rPr>
        <w:endnoteReference w:id="160"/>
      </w:r>
    </w:p>
    <w:p w14:paraId="0E6A5066" w14:textId="77777777" w:rsidR="00AF6A11" w:rsidRDefault="00AF6A11" w:rsidP="00EF6BCF">
      <w:r>
        <w:t xml:space="preserve">As with the health and education sectors, infrastructure support has evolved in recent years. Some key large-scale initiatives (such as the Indonesia infrastructure facility which covers both water and sanitation infrastructure as well as roads) have a strong governance focus. </w:t>
      </w:r>
      <w:r w:rsidR="00982665">
        <w:t>Moreover</w:t>
      </w:r>
      <w:r w:rsidR="003B1C3D">
        <w:t>,</w:t>
      </w:r>
      <w:r w:rsidR="00982665">
        <w:t xml:space="preserve"> d</w:t>
      </w:r>
      <w:r>
        <w:t>uring fieldwork in Indonesia, it was clear that staff were aware of the issues associated with decentralised contexts, such as poor asset management, lack of local ownership, and tensions between national and subnational authorities.</w:t>
      </w:r>
      <w:bookmarkStart w:id="219" w:name="_Toc370253573"/>
      <w:r>
        <w:t xml:space="preserve"> </w:t>
      </w:r>
      <w:bookmarkEnd w:id="219"/>
    </w:p>
    <w:p w14:paraId="1F9B2183" w14:textId="728649E3" w:rsidR="00982665" w:rsidRDefault="00AF6A11" w:rsidP="00982665">
      <w:r>
        <w:t xml:space="preserve">The Transport Sector Support Program in PNG was also </w:t>
      </w:r>
      <w:r w:rsidR="004D6008">
        <w:t>discussed during</w:t>
      </w:r>
      <w:r>
        <w:t xml:space="preserve"> our fieldwork, </w:t>
      </w:r>
      <w:r w:rsidR="00DA485D">
        <w:t xml:space="preserve">and </w:t>
      </w:r>
      <w:r>
        <w:t xml:space="preserve">aid program staff </w:t>
      </w:r>
      <w:r w:rsidR="004D6008">
        <w:t>considered options for</w:t>
      </w:r>
      <w:r>
        <w:t xml:space="preserve"> future subnational engagement. </w:t>
      </w:r>
      <w:r w:rsidR="004D6008">
        <w:t>While t</w:t>
      </w:r>
      <w:r>
        <w:t>his program focused on national</w:t>
      </w:r>
      <w:r w:rsidR="004D6008">
        <w:t xml:space="preserve"> roads,</w:t>
      </w:r>
      <w:r>
        <w:t xml:space="preserve"> </w:t>
      </w:r>
      <w:r w:rsidR="004D6008">
        <w:t>interviewees were keen</w:t>
      </w:r>
      <w:r>
        <w:t xml:space="preserve"> to ‘</w:t>
      </w:r>
      <w:r w:rsidRPr="00096744">
        <w:rPr>
          <w:i/>
        </w:rPr>
        <w:t>look at what can be done for provincial roads</w:t>
      </w:r>
      <w:r>
        <w:t>’ and suggest</w:t>
      </w:r>
      <w:r w:rsidR="003E31A7">
        <w:t>ed</w:t>
      </w:r>
      <w:r>
        <w:t xml:space="preserve"> that an ‘</w:t>
      </w:r>
      <w:r w:rsidRPr="00096744">
        <w:rPr>
          <w:i/>
        </w:rPr>
        <w:t>outputs-based model and incentive scheme</w:t>
      </w:r>
      <w:r>
        <w:t>’</w:t>
      </w:r>
      <w:r w:rsidRPr="00096744">
        <w:t xml:space="preserve"> would be needed. They pointed out the lack of capacity and associated risks: </w:t>
      </w:r>
      <w:r w:rsidRPr="00096744">
        <w:rPr>
          <w:i/>
        </w:rPr>
        <w:t>‘[</w:t>
      </w:r>
      <w:r>
        <w:rPr>
          <w:i/>
        </w:rPr>
        <w:t>P</w:t>
      </w:r>
      <w:r w:rsidRPr="00096744">
        <w:rPr>
          <w:i/>
        </w:rPr>
        <w:t>rovincial</w:t>
      </w:r>
      <w:r>
        <w:rPr>
          <w:i/>
        </w:rPr>
        <w:t>-</w:t>
      </w:r>
      <w:r w:rsidRPr="00096744">
        <w:rPr>
          <w:i/>
        </w:rPr>
        <w:t>level</w:t>
      </w:r>
      <w:r>
        <w:rPr>
          <w:i/>
        </w:rPr>
        <w:t xml:space="preserve"> organisations</w:t>
      </w:r>
      <w:r w:rsidRPr="00096744">
        <w:rPr>
          <w:i/>
        </w:rPr>
        <w:t>] don’t have the people or systems etc. to manage funds whereas the works department at a national level do, and they do know what they are doing</w:t>
      </w:r>
      <w:r>
        <w:t>’</w:t>
      </w:r>
      <w:r w:rsidRPr="00096744">
        <w:t xml:space="preserve"> and </w:t>
      </w:r>
      <w:r>
        <w:rPr>
          <w:i/>
        </w:rPr>
        <w:t>‘</w:t>
      </w:r>
      <w:r w:rsidRPr="00096744">
        <w:rPr>
          <w:i/>
        </w:rPr>
        <w:t>it would be extremely high risk plying money into the provincial government</w:t>
      </w:r>
      <w:r w:rsidR="00D2236B">
        <w:rPr>
          <w:i/>
        </w:rPr>
        <w:t>.’</w:t>
      </w:r>
      <w:r>
        <w:t xml:space="preserve"> </w:t>
      </w:r>
      <w:r w:rsidR="003E31A7">
        <w:t>These are issues addressed in the profiles presented below.</w:t>
      </w:r>
      <w:r w:rsidR="00982665" w:rsidRPr="00982665">
        <w:t xml:space="preserve"> </w:t>
      </w:r>
    </w:p>
    <w:p w14:paraId="1D616ADF" w14:textId="24CD8014" w:rsidR="00982665" w:rsidRDefault="00982665" w:rsidP="00982665">
      <w:r>
        <w:t xml:space="preserve">The two profiles were chosen </w:t>
      </w:r>
      <w:r w:rsidR="003E31A7">
        <w:t>to</w:t>
      </w:r>
      <w:r>
        <w:t xml:space="preserve"> provide insight into </w:t>
      </w:r>
      <w:r w:rsidR="004D6008">
        <w:t xml:space="preserve">the </w:t>
      </w:r>
      <w:r w:rsidR="003E31A7">
        <w:t>support</w:t>
      </w:r>
      <w:r w:rsidR="004D6008">
        <w:t xml:space="preserve"> Australia </w:t>
      </w:r>
      <w:r w:rsidR="003E31A7">
        <w:t>provides for</w:t>
      </w:r>
      <w:r>
        <w:t xml:space="preserve"> subnational governments</w:t>
      </w:r>
      <w:r w:rsidR="003E31A7">
        <w:t xml:space="preserve"> and local service systems</w:t>
      </w:r>
      <w:r>
        <w:t xml:space="preserve">. </w:t>
      </w:r>
    </w:p>
    <w:p w14:paraId="39639CB7" w14:textId="77777777" w:rsidR="00AF6A11" w:rsidRDefault="00AF6A11" w:rsidP="00EF6BCF">
      <w:pPr>
        <w:pStyle w:val="Heading2"/>
        <w:spacing w:before="360" w:after="240" w:line="288" w:lineRule="auto"/>
        <w:ind w:left="0" w:firstLine="0"/>
      </w:pPr>
      <w:bookmarkStart w:id="220" w:name="_Toc371187628"/>
      <w:bookmarkStart w:id="221" w:name="_Ref371623402"/>
      <w:bookmarkStart w:id="222" w:name="_Toc382563899"/>
      <w:bookmarkStart w:id="223" w:name="_Toc382595853"/>
      <w:bookmarkStart w:id="224" w:name="_Toc408831786"/>
      <w:r>
        <w:t>4.3</w:t>
      </w:r>
      <w:r>
        <w:tab/>
      </w:r>
      <w:r w:rsidR="00621EBF">
        <w:t>Water and sanitation Hibah, Indonesia</w:t>
      </w:r>
      <w:bookmarkEnd w:id="220"/>
      <w:bookmarkEnd w:id="221"/>
      <w:bookmarkEnd w:id="222"/>
      <w:bookmarkEnd w:id="223"/>
      <w:bookmarkEnd w:id="224"/>
    </w:p>
    <w:p w14:paraId="3D7FECC6" w14:textId="77777777" w:rsidR="00AF6A11" w:rsidRPr="00F94F9E" w:rsidRDefault="00AF6A11" w:rsidP="00EF6BCF">
      <w:pPr>
        <w:pStyle w:val="BoxQuote"/>
        <w:rPr>
          <w:color w:val="215868" w:themeColor="accent5" w:themeShade="80"/>
        </w:rPr>
      </w:pPr>
      <w:r w:rsidRPr="00F94F9E">
        <w:rPr>
          <w:color w:val="215868" w:themeColor="accent5" w:themeShade="80"/>
        </w:rPr>
        <w:t>Decentralisation has been an opportunity, to develop new systems that incentivise ownership and service delivery through different types of funding arrangements.</w:t>
      </w:r>
    </w:p>
    <w:p w14:paraId="6FAB4F07" w14:textId="77777777" w:rsidR="00AF6A11" w:rsidRPr="00F94F9E" w:rsidRDefault="000A17BD" w:rsidP="003E23F3">
      <w:pPr>
        <w:pStyle w:val="BoxQuoteSource"/>
        <w:rPr>
          <w:color w:val="215868" w:themeColor="accent5" w:themeShade="80"/>
        </w:rPr>
      </w:pPr>
      <w:r w:rsidRPr="00F94F9E">
        <w:rPr>
          <w:color w:val="215868" w:themeColor="accent5" w:themeShade="80"/>
        </w:rPr>
        <w:t xml:space="preserve">Program contractor, Indonesia, </w:t>
      </w:r>
      <w:r w:rsidR="00AF6A11" w:rsidRPr="00F94F9E">
        <w:rPr>
          <w:color w:val="215868" w:themeColor="accent5" w:themeShade="80"/>
        </w:rPr>
        <w:t>staff</w:t>
      </w:r>
      <w:r w:rsidRPr="00F94F9E">
        <w:rPr>
          <w:color w:val="215868" w:themeColor="accent5" w:themeShade="80"/>
        </w:rPr>
        <w:t xml:space="preserve"> interview</w:t>
      </w:r>
    </w:p>
    <w:p w14:paraId="1A03BD5A" w14:textId="77777777" w:rsidR="00AF6A11" w:rsidRDefault="00516D95" w:rsidP="00AE2162">
      <w:pPr>
        <w:pStyle w:val="Heading3"/>
      </w:pPr>
      <w:bookmarkStart w:id="225" w:name="_Toc371187629"/>
      <w:bookmarkStart w:id="226" w:name="_Toc372300961"/>
      <w:bookmarkStart w:id="227" w:name="_Toc382563900"/>
      <w:bookmarkStart w:id="228" w:name="_Toc382595854"/>
      <w:r w:rsidRPr="00C518BF">
        <w:t>Backgro</w:t>
      </w:r>
      <w:r>
        <w:t>und on d</w:t>
      </w:r>
      <w:r w:rsidR="00AF6A11">
        <w:t>ecentralisation in the Indonesian WASH sector</w:t>
      </w:r>
      <w:bookmarkEnd w:id="225"/>
      <w:bookmarkEnd w:id="226"/>
      <w:bookmarkEnd w:id="227"/>
      <w:bookmarkEnd w:id="228"/>
    </w:p>
    <w:p w14:paraId="1C83D846" w14:textId="24462147" w:rsidR="00AF6A11" w:rsidRPr="008D2CE5" w:rsidRDefault="00AF6A11" w:rsidP="00EF6BCF">
      <w:pPr>
        <w:rPr>
          <w:rFonts w:eastAsia="Calibri"/>
        </w:rPr>
      </w:pPr>
      <w:r>
        <w:t xml:space="preserve">In Indonesia, </w:t>
      </w:r>
      <w:r w:rsidRPr="007F67B6">
        <w:rPr>
          <w:rFonts w:eastAsia="Calibri"/>
          <w:lang w:eastAsia="en-US"/>
        </w:rPr>
        <w:t>district government</w:t>
      </w:r>
      <w:r>
        <w:rPr>
          <w:rFonts w:eastAsia="Calibri"/>
          <w:lang w:eastAsia="en-US"/>
        </w:rPr>
        <w:t xml:space="preserve">s </w:t>
      </w:r>
      <w:r w:rsidR="003D3293">
        <w:rPr>
          <w:rFonts w:eastAsia="Calibri"/>
          <w:lang w:eastAsia="en-US"/>
        </w:rPr>
        <w:t>are</w:t>
      </w:r>
      <w:r w:rsidR="003D3293">
        <w:t xml:space="preserve"> </w:t>
      </w:r>
      <w:r>
        <w:rPr>
          <w:rFonts w:eastAsia="Calibri"/>
          <w:lang w:eastAsia="en-US"/>
        </w:rPr>
        <w:t>r</w:t>
      </w:r>
      <w:r w:rsidRPr="007F67B6">
        <w:rPr>
          <w:rFonts w:eastAsia="Calibri"/>
          <w:lang w:eastAsia="en-US"/>
        </w:rPr>
        <w:t>esponsib</w:t>
      </w:r>
      <w:r w:rsidR="003D3293">
        <w:rPr>
          <w:rFonts w:eastAsia="Calibri"/>
          <w:lang w:eastAsia="en-US"/>
        </w:rPr>
        <w:t>le</w:t>
      </w:r>
      <w:r w:rsidRPr="007F67B6">
        <w:rPr>
          <w:rFonts w:eastAsia="Calibri"/>
          <w:lang w:eastAsia="en-US"/>
        </w:rPr>
        <w:t xml:space="preserve"> for water supply and sanitation</w:t>
      </w:r>
      <w:r>
        <w:t>.</w:t>
      </w:r>
      <w:r w:rsidR="00610727">
        <w:rPr>
          <w:rStyle w:val="FootnoteReference"/>
        </w:rPr>
        <w:footnoteReference w:id="23"/>
      </w:r>
      <w:r w:rsidR="00610727">
        <w:rPr>
          <w:rFonts w:eastAsia="Calibri"/>
          <w:lang w:eastAsia="en-US"/>
        </w:rPr>
        <w:t xml:space="preserve"> </w:t>
      </w:r>
      <w:r>
        <w:rPr>
          <w:rFonts w:eastAsia="Calibri"/>
          <w:lang w:eastAsia="en-US"/>
        </w:rPr>
        <w:t>Ambitious goals have been set by the Ministry of Public Works (MoPW),</w:t>
      </w:r>
      <w:r w:rsidR="00610727">
        <w:rPr>
          <w:rStyle w:val="FootnoteReference"/>
          <w:rFonts w:eastAsia="Calibri"/>
          <w:lang w:eastAsia="en-US"/>
        </w:rPr>
        <w:footnoteReference w:id="24"/>
      </w:r>
      <w:r w:rsidR="00610727">
        <w:rPr>
          <w:rFonts w:eastAsia="Calibri"/>
          <w:lang w:eastAsia="en-US"/>
        </w:rPr>
        <w:t xml:space="preserve"> </w:t>
      </w:r>
      <w:r>
        <w:rPr>
          <w:rFonts w:eastAsia="Calibri"/>
          <w:lang w:eastAsia="en-US"/>
        </w:rPr>
        <w:t>but the investment and operational performance of water utilities is</w:t>
      </w:r>
      <w:r w:rsidRPr="00341B88">
        <w:rPr>
          <w:rFonts w:eastAsia="Calibri"/>
          <w:lang w:eastAsia="en-US"/>
        </w:rPr>
        <w:t xml:space="preserve"> </w:t>
      </w:r>
      <w:r>
        <w:rPr>
          <w:rFonts w:eastAsia="Calibri"/>
          <w:lang w:eastAsia="en-US"/>
        </w:rPr>
        <w:t>poor.</w:t>
      </w:r>
      <w:r w:rsidRPr="007F67B6">
        <w:rPr>
          <w:rFonts w:ascii="Calibri" w:eastAsia="Calibri" w:hAnsi="Calibri" w:cs="Calibri"/>
          <w:sz w:val="22"/>
          <w:szCs w:val="22"/>
          <w:vertAlign w:val="superscript"/>
          <w:lang w:eastAsia="en-US"/>
        </w:rPr>
        <w:endnoteReference w:id="161"/>
      </w:r>
      <w:r>
        <w:rPr>
          <w:rFonts w:ascii="Calibri" w:eastAsia="Calibri" w:hAnsi="Calibri" w:cs="Calibri"/>
          <w:sz w:val="22"/>
          <w:szCs w:val="22"/>
          <w:lang w:eastAsia="en-US"/>
        </w:rPr>
        <w:t xml:space="preserve"> </w:t>
      </w:r>
      <w:r>
        <w:rPr>
          <w:rFonts w:eastAsia="Calibri"/>
        </w:rPr>
        <w:t>L</w:t>
      </w:r>
      <w:r w:rsidRPr="004654E4">
        <w:rPr>
          <w:rFonts w:eastAsia="Calibri"/>
        </w:rPr>
        <w:t>egislation excludes central government from imple</w:t>
      </w:r>
      <w:r>
        <w:rPr>
          <w:rFonts w:eastAsia="Calibri"/>
        </w:rPr>
        <w:t xml:space="preserve">menting projects in water and sanitation, but </w:t>
      </w:r>
      <w:r w:rsidRPr="004654E4">
        <w:rPr>
          <w:rFonts w:eastAsia="Calibri"/>
        </w:rPr>
        <w:t>district governments have been reluctant to invest.</w:t>
      </w:r>
      <w:r w:rsidRPr="004654E4">
        <w:rPr>
          <w:rFonts w:eastAsia="Calibri"/>
          <w:vertAlign w:val="superscript"/>
        </w:rPr>
        <w:endnoteReference w:id="162"/>
      </w:r>
      <w:r w:rsidRPr="004654E4">
        <w:rPr>
          <w:rFonts w:eastAsia="Calibri"/>
        </w:rPr>
        <w:t xml:space="preserve"> </w:t>
      </w:r>
      <w:r>
        <w:rPr>
          <w:rFonts w:eastAsia="Calibri"/>
        </w:rPr>
        <w:t xml:space="preserve">The result has been a reported loss in service delivery: </w:t>
      </w:r>
      <w:r>
        <w:rPr>
          <w:i/>
        </w:rPr>
        <w:t>‘F</w:t>
      </w:r>
      <w:r w:rsidRPr="002B2182">
        <w:rPr>
          <w:i/>
        </w:rPr>
        <w:t>or water, there has been a notable decline in service delivery</w:t>
      </w:r>
      <w:r>
        <w:rPr>
          <w:i/>
        </w:rPr>
        <w:t>’</w:t>
      </w:r>
      <w:r w:rsidRPr="002B2182">
        <w:rPr>
          <w:i/>
        </w:rPr>
        <w:t xml:space="preserve"> </w:t>
      </w:r>
      <w:r w:rsidRPr="00714594">
        <w:t xml:space="preserve">and </w:t>
      </w:r>
      <w:r>
        <w:rPr>
          <w:i/>
        </w:rPr>
        <w:t>‘</w:t>
      </w:r>
      <w:r w:rsidRPr="002B2182">
        <w:rPr>
          <w:i/>
        </w:rPr>
        <w:t>only 11 cities have sewerage.</w:t>
      </w:r>
      <w:r>
        <w:rPr>
          <w:i/>
        </w:rPr>
        <w:t>’</w:t>
      </w:r>
      <w:r>
        <w:rPr>
          <w:rFonts w:ascii="Calibri" w:hAnsi="Calibri" w:cs="Calibri"/>
          <w:i/>
        </w:rPr>
        <w:t xml:space="preserve"> </w:t>
      </w:r>
    </w:p>
    <w:p w14:paraId="090CC036" w14:textId="77777777" w:rsidR="00AF6A11" w:rsidRDefault="00AF6A11" w:rsidP="00FA381C">
      <w:pPr>
        <w:rPr>
          <w:rFonts w:eastAsia="Calibri"/>
          <w:lang w:eastAsia="en-US"/>
        </w:rPr>
      </w:pPr>
      <w:r>
        <w:rPr>
          <w:rFonts w:eastAsia="Calibri"/>
          <w:lang w:eastAsia="en-US"/>
        </w:rPr>
        <w:t>The sector is complex; r</w:t>
      </w:r>
      <w:r w:rsidRPr="0041720C">
        <w:rPr>
          <w:rFonts w:eastAsia="Calibri"/>
          <w:lang w:eastAsia="en-US"/>
        </w:rPr>
        <w:t xml:space="preserve">oles are distributed across MoPW (technical agency), Ministry of Health (water quality), </w:t>
      </w:r>
      <w:r>
        <w:rPr>
          <w:rFonts w:eastAsia="Calibri"/>
          <w:lang w:eastAsia="en-US"/>
        </w:rPr>
        <w:t xml:space="preserve">the </w:t>
      </w:r>
      <w:r w:rsidRPr="0041720C">
        <w:rPr>
          <w:rFonts w:eastAsia="Calibri"/>
          <w:lang w:eastAsia="en-US"/>
        </w:rPr>
        <w:t>Ministry of Home Affairs (</w:t>
      </w:r>
      <w:r>
        <w:rPr>
          <w:rFonts w:eastAsia="Calibri"/>
          <w:lang w:eastAsia="en-US"/>
        </w:rPr>
        <w:t>MoHA</w:t>
      </w:r>
      <w:r w:rsidR="003E31A7">
        <w:rPr>
          <w:rFonts w:eastAsia="Calibri"/>
          <w:lang w:eastAsia="en-US"/>
        </w:rPr>
        <w:t>)</w:t>
      </w:r>
      <w:r>
        <w:rPr>
          <w:rFonts w:eastAsia="Calibri"/>
          <w:lang w:eastAsia="en-US"/>
        </w:rPr>
        <w:t xml:space="preserve">; </w:t>
      </w:r>
      <w:r w:rsidRPr="0041720C">
        <w:rPr>
          <w:rFonts w:eastAsia="Calibri"/>
          <w:lang w:eastAsia="en-US"/>
        </w:rPr>
        <w:t>administrati</w:t>
      </w:r>
      <w:r>
        <w:rPr>
          <w:rFonts w:eastAsia="Calibri"/>
          <w:lang w:eastAsia="en-US"/>
        </w:rPr>
        <w:t>on</w:t>
      </w:r>
      <w:r w:rsidRPr="0041720C">
        <w:rPr>
          <w:rFonts w:eastAsia="Calibri"/>
          <w:lang w:eastAsia="en-US"/>
        </w:rPr>
        <w:t>, utility organisation structures</w:t>
      </w:r>
      <w:r>
        <w:rPr>
          <w:rFonts w:eastAsia="Calibri"/>
          <w:lang w:eastAsia="en-US"/>
        </w:rPr>
        <w:t>,</w:t>
      </w:r>
      <w:r w:rsidRPr="0041720C">
        <w:rPr>
          <w:rFonts w:eastAsia="Calibri"/>
          <w:lang w:eastAsia="en-US"/>
        </w:rPr>
        <w:t xml:space="preserve"> tariff guidelines, Bappenas (planning)</w:t>
      </w:r>
      <w:r>
        <w:rPr>
          <w:rFonts w:eastAsia="Calibri"/>
          <w:lang w:eastAsia="en-US"/>
        </w:rPr>
        <w:t xml:space="preserve"> and the Ministry of</w:t>
      </w:r>
      <w:r w:rsidRPr="0041720C">
        <w:rPr>
          <w:rFonts w:eastAsia="Calibri"/>
          <w:lang w:eastAsia="en-US"/>
        </w:rPr>
        <w:t xml:space="preserve"> Finance (</w:t>
      </w:r>
      <w:r>
        <w:rPr>
          <w:rFonts w:eastAsia="Calibri"/>
          <w:lang w:eastAsia="en-US"/>
        </w:rPr>
        <w:t>MoF</w:t>
      </w:r>
      <w:r w:rsidR="003E31A7">
        <w:rPr>
          <w:rFonts w:eastAsia="Calibri"/>
          <w:lang w:eastAsia="en-US"/>
        </w:rPr>
        <w:t>)</w:t>
      </w:r>
      <w:r>
        <w:rPr>
          <w:rFonts w:eastAsia="Calibri"/>
          <w:lang w:eastAsia="en-US"/>
        </w:rPr>
        <w:t>; financing.</w:t>
      </w:r>
      <w:r w:rsidRPr="0041720C">
        <w:rPr>
          <w:rFonts w:eastAsia="Calibri"/>
          <w:vertAlign w:val="superscript"/>
          <w:lang w:eastAsia="en-US"/>
        </w:rPr>
        <w:endnoteReference w:id="163"/>
      </w:r>
    </w:p>
    <w:p w14:paraId="493695BC" w14:textId="31775FA9" w:rsidR="00AF6A11" w:rsidRDefault="00AF6A11" w:rsidP="00EF6BCF">
      <w:r>
        <w:rPr>
          <w:rFonts w:eastAsia="Calibri"/>
        </w:rPr>
        <w:t>Service provision is uneven</w:t>
      </w:r>
      <w:r w:rsidRPr="004654E4">
        <w:rPr>
          <w:rFonts w:eastAsia="Calibri"/>
        </w:rPr>
        <w:t xml:space="preserve"> </w:t>
      </w:r>
      <w:r>
        <w:rPr>
          <w:rFonts w:eastAsia="Calibri"/>
        </w:rPr>
        <w:t>and</w:t>
      </w:r>
      <w:r w:rsidRPr="004654E4">
        <w:rPr>
          <w:rFonts w:eastAsia="Calibri"/>
        </w:rPr>
        <w:t xml:space="preserve"> </w:t>
      </w:r>
      <w:r w:rsidR="008A0022">
        <w:rPr>
          <w:rFonts w:eastAsia="Calibri"/>
        </w:rPr>
        <w:t xml:space="preserve">higher capacity, </w:t>
      </w:r>
      <w:r>
        <w:rPr>
          <w:rFonts w:eastAsia="Calibri"/>
        </w:rPr>
        <w:t xml:space="preserve">more responsive districts </w:t>
      </w:r>
      <w:r w:rsidRPr="004654E4">
        <w:rPr>
          <w:rFonts w:eastAsia="Calibri"/>
        </w:rPr>
        <w:t>perform better</w:t>
      </w:r>
      <w:r>
        <w:rPr>
          <w:rFonts w:eastAsia="Calibri"/>
        </w:rPr>
        <w:t>.</w:t>
      </w:r>
      <w:r w:rsidRPr="004654E4">
        <w:rPr>
          <w:rFonts w:eastAsia="Calibri"/>
        </w:rPr>
        <w:t xml:space="preserve"> </w:t>
      </w:r>
      <w:r>
        <w:t>In addition, tensions between the different levels of government are evident. During our fieldwork, sector stakeholders reported ‘</w:t>
      </w:r>
      <w:r w:rsidRPr="004654E4">
        <w:rPr>
          <w:i/>
        </w:rPr>
        <w:t>central government still acts as a gate-keeper. Local government feel that central government take away any choices they have</w:t>
      </w:r>
      <w:r w:rsidR="00D2236B">
        <w:t>.’</w:t>
      </w:r>
      <w:r>
        <w:t xml:space="preserve"> As one stakeholder put it: ‘</w:t>
      </w:r>
      <w:r>
        <w:rPr>
          <w:i/>
        </w:rPr>
        <w:t>T</w:t>
      </w:r>
      <w:r w:rsidRPr="000905DD">
        <w:rPr>
          <w:i/>
        </w:rPr>
        <w:t xml:space="preserve">here is still </w:t>
      </w:r>
      <w:r>
        <w:rPr>
          <w:i/>
        </w:rPr>
        <w:t xml:space="preserve">an </w:t>
      </w:r>
      <w:r w:rsidRPr="000905DD">
        <w:rPr>
          <w:i/>
        </w:rPr>
        <w:t>institutional reluctance to decentralise</w:t>
      </w:r>
      <w:r>
        <w:rPr>
          <w:i/>
        </w:rPr>
        <w:t>.</w:t>
      </w:r>
      <w:r>
        <w:t>’</w:t>
      </w:r>
    </w:p>
    <w:p w14:paraId="4E1B1707" w14:textId="77777777" w:rsidR="00AF6A11" w:rsidRDefault="00AF6A11" w:rsidP="00AE2162">
      <w:pPr>
        <w:pStyle w:val="Heading3"/>
      </w:pPr>
      <w:bookmarkStart w:id="229" w:name="_Toc371187630"/>
      <w:bookmarkStart w:id="230" w:name="_Toc372300962"/>
      <w:bookmarkStart w:id="231" w:name="_Toc382563901"/>
      <w:bookmarkStart w:id="232" w:name="_Toc382595855"/>
      <w:r w:rsidRPr="00C518BF">
        <w:t>Backgro</w:t>
      </w:r>
      <w:r>
        <w:t>und on the initiative and</w:t>
      </w:r>
      <w:r w:rsidRPr="00C518BF">
        <w:t xml:space="preserve"> policy context</w:t>
      </w:r>
      <w:bookmarkEnd w:id="229"/>
      <w:bookmarkEnd w:id="230"/>
      <w:bookmarkEnd w:id="231"/>
      <w:bookmarkEnd w:id="232"/>
    </w:p>
    <w:p w14:paraId="004F3732" w14:textId="77777777" w:rsidR="00DC69F4" w:rsidRDefault="00AF6A11" w:rsidP="00921A4C">
      <w:pPr>
        <w:pStyle w:val="NormalBeforeBullet"/>
      </w:pPr>
      <w:r>
        <w:t>The Water and Sanitation Hibah (the ‘</w:t>
      </w:r>
      <w:r w:rsidR="003E23F3">
        <w:t>H</w:t>
      </w:r>
      <w:r>
        <w:t>ibah’</w:t>
      </w:r>
      <w:r w:rsidR="00610727">
        <w:rPr>
          <w:rStyle w:val="FootnoteReference"/>
        </w:rPr>
        <w:footnoteReference w:id="25"/>
      </w:r>
      <w:r w:rsidR="00610727">
        <w:t>)</w:t>
      </w:r>
      <w:r>
        <w:t xml:space="preserve"> focuses on water supply and sanitation connections for poor urban households. The initiative aims to:</w:t>
      </w:r>
      <w:r>
        <w:rPr>
          <w:rStyle w:val="EndnoteReference"/>
        </w:rPr>
        <w:endnoteReference w:id="164"/>
      </w:r>
      <w:r>
        <w:t xml:space="preserve"> </w:t>
      </w:r>
    </w:p>
    <w:p w14:paraId="7A052FDC" w14:textId="77777777" w:rsidR="00DC69F4" w:rsidRDefault="00AF6A11" w:rsidP="00921A4C">
      <w:pPr>
        <w:pStyle w:val="Bullet"/>
      </w:pPr>
      <w:r>
        <w:t>expand and improve service delivery</w:t>
      </w:r>
    </w:p>
    <w:p w14:paraId="3409FBB1" w14:textId="77777777" w:rsidR="00DC69F4" w:rsidRDefault="00AF6A11" w:rsidP="00921A4C">
      <w:pPr>
        <w:pStyle w:val="Bullet"/>
      </w:pPr>
      <w:r>
        <w:t>increase local government investment</w:t>
      </w:r>
    </w:p>
    <w:p w14:paraId="7E098565" w14:textId="77777777" w:rsidR="00DC69F4" w:rsidRDefault="00AF6A11" w:rsidP="00921A4C">
      <w:pPr>
        <w:pStyle w:val="BulletLast"/>
      </w:pPr>
      <w:r>
        <w:t xml:space="preserve">improve sustainability through </w:t>
      </w:r>
      <w:r w:rsidRPr="00921A4C">
        <w:t>sector</w:t>
      </w:r>
      <w:r>
        <w:t xml:space="preserve"> reform and improved local-level governance. </w:t>
      </w:r>
    </w:p>
    <w:p w14:paraId="4E4F7A90" w14:textId="77777777" w:rsidR="00AF6A11" w:rsidRPr="005E32CC" w:rsidRDefault="00AF6A11" w:rsidP="00EF6BCF">
      <w:r>
        <w:t xml:space="preserve">An initial phase in 2009–11 ($20 million) reached 77 000 households with water and 5000 with sewerage, working with 35 </w:t>
      </w:r>
      <w:r w:rsidR="00DC69F4">
        <w:t xml:space="preserve">different </w:t>
      </w:r>
      <w:r>
        <w:t xml:space="preserve">local governments. A second phase in 2011–14 ($95 million) aims to reach a further 250 000 </w:t>
      </w:r>
      <w:r w:rsidRPr="00341B88">
        <w:t xml:space="preserve">households with water </w:t>
      </w:r>
      <w:r>
        <w:t xml:space="preserve">and 9000 </w:t>
      </w:r>
      <w:r w:rsidRPr="00341B88">
        <w:t>with sewerage</w:t>
      </w:r>
      <w:r>
        <w:t>,</w:t>
      </w:r>
      <w:r w:rsidRPr="00341B88">
        <w:t xml:space="preserve"> </w:t>
      </w:r>
      <w:r>
        <w:t>working with 95 local governments. The initiative uses an innovative output-based approach to incentivise local governments to invest in their utilities.</w:t>
      </w:r>
      <w:r>
        <w:rPr>
          <w:rStyle w:val="EndnoteReference"/>
        </w:rPr>
        <w:endnoteReference w:id="165"/>
      </w:r>
      <w:r>
        <w:t xml:space="preserve"> </w:t>
      </w:r>
      <w:r>
        <w:rPr>
          <w:rFonts w:eastAsia="Calibri"/>
        </w:rPr>
        <w:t xml:space="preserve">Installations are paid for by the district and then reimbursed. The aid program provides </w:t>
      </w:r>
      <w:r>
        <w:t>support to the Hibah via MoPW and MoF by a managing contractor</w:t>
      </w:r>
      <w:r w:rsidR="00DC69F4">
        <w:t>,</w:t>
      </w:r>
      <w:r>
        <w:t xml:space="preserve"> the Indonesia Infrastructure Initiative (IndII).</w:t>
      </w:r>
      <w:r>
        <w:rPr>
          <w:rStyle w:val="EndnoteReference"/>
        </w:rPr>
        <w:endnoteReference w:id="166"/>
      </w:r>
      <w:r>
        <w:t xml:space="preserve"> The initiative partially uses partner systems ‘</w:t>
      </w:r>
      <w:r w:rsidRPr="00D246F8">
        <w:rPr>
          <w:i/>
        </w:rPr>
        <w:t>until MoPW has the necessary financial and human resourc</w:t>
      </w:r>
      <w:r>
        <w:rPr>
          <w:i/>
        </w:rPr>
        <w:t xml:space="preserve">e </w:t>
      </w:r>
      <w:r w:rsidR="00DC69F4">
        <w:rPr>
          <w:i/>
        </w:rPr>
        <w:t xml:space="preserve">to </w:t>
      </w:r>
      <w:r>
        <w:rPr>
          <w:i/>
        </w:rPr>
        <w:t>adequately supervise the Hibah program an</w:t>
      </w:r>
      <w:r w:rsidRPr="00D246F8">
        <w:rPr>
          <w:i/>
        </w:rPr>
        <w:t xml:space="preserve"> external program of assistance through the IndII Facility will be required</w:t>
      </w:r>
      <w:r>
        <w:t>.</w:t>
      </w:r>
      <w:r w:rsidRPr="00060D48">
        <w:rPr>
          <w:rFonts w:ascii="Calibri" w:eastAsia="Calibri" w:hAnsi="Calibri"/>
          <w:sz w:val="22"/>
          <w:szCs w:val="22"/>
          <w:vertAlign w:val="superscript"/>
          <w:lang w:eastAsia="en-US"/>
        </w:rPr>
        <w:endnoteReference w:id="167"/>
      </w:r>
      <w:r w:rsidRPr="00F65628">
        <w:t xml:space="preserve"> </w:t>
      </w:r>
    </w:p>
    <w:p w14:paraId="5A1DBE5A" w14:textId="77777777" w:rsidR="00DC69F4" w:rsidRDefault="00AF6A11" w:rsidP="00C615DC">
      <w:pPr>
        <w:pStyle w:val="NormalBeforeBullet"/>
      </w:pPr>
      <w:r>
        <w:t xml:space="preserve">In general, the initiative is based on sound evidence concerning decentralisation. Key areas covered well in the two relevant design documents were: </w:t>
      </w:r>
    </w:p>
    <w:p w14:paraId="421C6CF2" w14:textId="77777777" w:rsidR="00DC69F4" w:rsidRDefault="00AF6A11" w:rsidP="008A0022">
      <w:pPr>
        <w:pStyle w:val="Bullet"/>
      </w:pPr>
      <w:r>
        <w:t>recognition of roles defined by decentralisation legislation</w:t>
      </w:r>
    </w:p>
    <w:p w14:paraId="578C491E" w14:textId="77777777" w:rsidR="00DC69F4" w:rsidRDefault="00AF6A11" w:rsidP="008A0022">
      <w:pPr>
        <w:pStyle w:val="Bullet"/>
      </w:pPr>
      <w:r>
        <w:t>analysis of decentralisation reform and its implications</w:t>
      </w:r>
    </w:p>
    <w:p w14:paraId="3BDDEF7F" w14:textId="77777777" w:rsidR="00DC69F4" w:rsidRDefault="00AF6A11" w:rsidP="008A0022">
      <w:pPr>
        <w:pStyle w:val="Bullet"/>
      </w:pPr>
      <w:r>
        <w:t>newly emerging mechanisms for fiscal transfer to local governments</w:t>
      </w:r>
    </w:p>
    <w:p w14:paraId="4C39AEAE" w14:textId="77777777" w:rsidR="00DC69F4" w:rsidRDefault="00516D95" w:rsidP="00516D95">
      <w:pPr>
        <w:pStyle w:val="BulletLast"/>
      </w:pPr>
      <w:r>
        <w:t>t</w:t>
      </w:r>
      <w:r w:rsidR="00AF6A11">
        <w:t xml:space="preserve">he need for incentives for local governments to invest in </w:t>
      </w:r>
      <w:r w:rsidR="00AF6A11" w:rsidRPr="00516D95">
        <w:t>service</w:t>
      </w:r>
      <w:r w:rsidR="00AF6A11">
        <w:t xml:space="preserve"> delivery. </w:t>
      </w:r>
    </w:p>
    <w:p w14:paraId="5BC1E142" w14:textId="4B9D9915" w:rsidR="007F4BE5" w:rsidRDefault="00AF6A11" w:rsidP="007F4BE5">
      <w:pPr>
        <w:rPr>
          <w:rFonts w:ascii="Calibri" w:eastAsia="Calibri" w:hAnsi="Calibri"/>
          <w:sz w:val="22"/>
          <w:szCs w:val="22"/>
          <w:lang w:eastAsia="en-US"/>
        </w:rPr>
      </w:pPr>
      <w:r>
        <w:t>We found weaknesses in the evidence base in two areas: subnational capacity and the demand side. There was little examination of local government-owned water c</w:t>
      </w:r>
      <w:r w:rsidRPr="00785409">
        <w:t>ompany</w:t>
      </w:r>
      <w:r>
        <w:t xml:space="preserve"> (PDAM) or local government capacity to manage services in the long term, aside from the information on the financial status of PDAMs. </w:t>
      </w:r>
      <w:r w:rsidR="00C936C7">
        <w:t>Issues of</w:t>
      </w:r>
      <w:r w:rsidRPr="00DC69F4">
        <w:rPr>
          <w:rFonts w:eastAsia="Calibri"/>
        </w:rPr>
        <w:t xml:space="preserve"> </w:t>
      </w:r>
      <w:r w:rsidR="00DC69F4">
        <w:rPr>
          <w:rFonts w:eastAsia="Calibri"/>
        </w:rPr>
        <w:t>accountability</w:t>
      </w:r>
      <w:r w:rsidR="00C936C7">
        <w:rPr>
          <w:rFonts w:eastAsia="Calibri"/>
        </w:rPr>
        <w:t>,</w:t>
      </w:r>
      <w:r w:rsidR="00DC69F4">
        <w:rPr>
          <w:rFonts w:eastAsia="Calibri"/>
        </w:rPr>
        <w:t xml:space="preserve"> </w:t>
      </w:r>
      <w:r w:rsidR="00C936C7">
        <w:rPr>
          <w:rFonts w:eastAsia="Calibri"/>
        </w:rPr>
        <w:t>par</w:t>
      </w:r>
      <w:r w:rsidR="008A0022">
        <w:rPr>
          <w:rFonts w:eastAsia="Calibri"/>
        </w:rPr>
        <w:t>ticipation</w:t>
      </w:r>
      <w:r w:rsidR="00C936C7" w:rsidRPr="00DC69F4">
        <w:rPr>
          <w:rFonts w:eastAsia="Calibri"/>
        </w:rPr>
        <w:t xml:space="preserve"> </w:t>
      </w:r>
      <w:r w:rsidRPr="00DC69F4">
        <w:rPr>
          <w:rFonts w:eastAsia="Calibri"/>
        </w:rPr>
        <w:t>and capacity at the subnational level</w:t>
      </w:r>
      <w:r w:rsidR="00C936C7">
        <w:rPr>
          <w:rFonts w:eastAsia="Calibri"/>
        </w:rPr>
        <w:t xml:space="preserve"> were not </w:t>
      </w:r>
      <w:r w:rsidR="007F4BE5">
        <w:rPr>
          <w:rFonts w:eastAsia="Calibri"/>
        </w:rPr>
        <w:t>addressed</w:t>
      </w:r>
      <w:r w:rsidR="007F4BE5" w:rsidRPr="00DC69F4">
        <w:rPr>
          <w:rFonts w:ascii="Calibri" w:eastAsia="Calibri" w:hAnsi="Calibri"/>
          <w:sz w:val="22"/>
          <w:szCs w:val="22"/>
          <w:lang w:eastAsia="en-US"/>
        </w:rPr>
        <w:t>.</w:t>
      </w:r>
      <w:r w:rsidR="007F4BE5">
        <w:rPr>
          <w:rStyle w:val="EndnoteReference"/>
          <w:rFonts w:ascii="Calibri" w:eastAsia="Calibri" w:hAnsi="Calibri"/>
          <w:sz w:val="22"/>
          <w:lang w:eastAsia="en-US"/>
        </w:rPr>
        <w:endnoteReference w:id="168"/>
      </w:r>
    </w:p>
    <w:p w14:paraId="032B785A" w14:textId="77777777" w:rsidR="00AF6A11" w:rsidRPr="00813F36" w:rsidRDefault="00C936C7" w:rsidP="00AE2162">
      <w:pPr>
        <w:pStyle w:val="Heading3"/>
      </w:pPr>
      <w:bookmarkStart w:id="233" w:name="_Toc371187632"/>
      <w:bookmarkStart w:id="234" w:name="_Toc372300964"/>
      <w:bookmarkStart w:id="235" w:name="_Toc382563903"/>
      <w:bookmarkStart w:id="236" w:name="_Toc382595857"/>
      <w:r>
        <w:t>National and subnational a</w:t>
      </w:r>
      <w:r w:rsidR="00AF6A11">
        <w:t xml:space="preserve">lignment and relevance </w:t>
      </w:r>
      <w:bookmarkEnd w:id="233"/>
      <w:bookmarkEnd w:id="234"/>
      <w:bookmarkEnd w:id="235"/>
      <w:bookmarkEnd w:id="236"/>
    </w:p>
    <w:p w14:paraId="0A0E3B51" w14:textId="27D0D743" w:rsidR="00516D95" w:rsidRPr="00D56B77" w:rsidRDefault="00C46939" w:rsidP="00D56B77">
      <w:r>
        <w:rPr>
          <w:noProof/>
        </w:rPr>
        <mc:AlternateContent>
          <mc:Choice Requires="wps">
            <w:drawing>
              <wp:anchor distT="0" distB="0" distL="114300" distR="114300" simplePos="0" relativeHeight="251798528" behindDoc="1" locked="0" layoutInCell="1" allowOverlap="1" wp14:anchorId="26EB32E4" wp14:editId="529F7769">
                <wp:simplePos x="0" y="0"/>
                <wp:positionH relativeFrom="column">
                  <wp:posOffset>-85725</wp:posOffset>
                </wp:positionH>
                <wp:positionV relativeFrom="paragraph">
                  <wp:posOffset>970280</wp:posOffset>
                </wp:positionV>
                <wp:extent cx="5886450" cy="857250"/>
                <wp:effectExtent l="0" t="0" r="0" b="0"/>
                <wp:wrapTight wrapText="bothSides">
                  <wp:wrapPolygon edited="0">
                    <wp:start x="0" y="0"/>
                    <wp:lineTo x="0" y="21120"/>
                    <wp:lineTo x="21530" y="21120"/>
                    <wp:lineTo x="21530"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57250"/>
                        </a:xfrm>
                        <a:prstGeom prst="rect">
                          <a:avLst/>
                        </a:prstGeom>
                        <a:solidFill>
                          <a:srgbClr val="FFFFFF"/>
                        </a:solidFill>
                        <a:ln w="9525">
                          <a:noFill/>
                          <a:miter lim="800000"/>
                          <a:headEnd/>
                          <a:tailEnd/>
                        </a:ln>
                      </wps:spPr>
                      <wps:txbx>
                        <w:txbxContent>
                          <w:p w14:paraId="310CED6C" w14:textId="188E9678" w:rsidR="00CD4AF2" w:rsidRPr="00F94F9E" w:rsidRDefault="00CD4AF2" w:rsidP="00D56B77">
                            <w:pPr>
                              <w:pStyle w:val="BoxQuote"/>
                              <w:rPr>
                                <w:color w:val="215868" w:themeColor="accent5" w:themeShade="80"/>
                                <w:sz w:val="18"/>
                              </w:rPr>
                            </w:pPr>
                            <w:r w:rsidRPr="00F94F9E">
                              <w:rPr>
                                <w:color w:val="215868" w:themeColor="accent5" w:themeShade="80"/>
                              </w:rPr>
                              <w:t>Participation is voluntary and competitive, and there is keen interest on the part of local governments and [utilities] despite stringent eligibility conditions.</w:t>
                            </w:r>
                          </w:p>
                          <w:p w14:paraId="24F725BD" w14:textId="7808668C" w:rsidR="00CD4AF2" w:rsidRPr="00F94F9E" w:rsidRDefault="00CD4AF2" w:rsidP="00D56B77">
                            <w:pPr>
                              <w:pStyle w:val="BoxQuote"/>
                              <w:jc w:val="right"/>
                              <w:rPr>
                                <w:color w:val="215868" w:themeColor="accent5" w:themeShade="80"/>
                              </w:rPr>
                            </w:pPr>
                            <w:r w:rsidRPr="00F94F9E">
                              <w:rPr>
                                <w:rFonts w:cs="Cambria"/>
                                <w:i w:val="0"/>
                                <w:color w:val="215868" w:themeColor="accent5" w:themeShade="80"/>
                                <w:szCs w:val="17"/>
                              </w:rPr>
                              <w:t>W</w:t>
                            </w:r>
                            <w:r w:rsidRPr="00F94F9E">
                              <w:rPr>
                                <w:i w:val="0"/>
                                <w:color w:val="215868" w:themeColor="accent5" w:themeShade="80"/>
                              </w:rPr>
                              <w:t>ater and Sanitation Initiative design summary and implementation document, AusAID, Canberra,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75pt;margin-top:76.4pt;width:463.5pt;height:6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MZIQIAACMEAAAOAAAAZHJzL2Uyb0RvYy54bWysU9tu2zAMfR+wfxD0vjjJ4i414hRdugwD&#10;ugvQ7gNoWY6FSaInKbGzry8lp2m2vQ3Tg0CK5NHRIbW6GYxmB+m8Qlvy2WTKmbQCa2V3Jf/+uH2z&#10;5MwHsDVotLLkR+n5zfr1q1XfFXKOLepaOkYg1hd9V/I2hK7IMi9aacBPsJOWgg06A4Fct8tqBz2h&#10;G53Np9OrrEdXdw6F9J5O78YgXyf8ppEifG0aLwPTJSduIe0u7VXcs/UKip2DrlXiRAP+gYUBZenS&#10;M9QdBGB7p/6CMko49NiEiUCTYdMoIdMb6DWz6R+veWihk+ktJI7vzjL5/wcrvhy+Oabqkr/NObNg&#10;qEePcgjsPQ5sHuXpO19Q1kNHeWGgY2pzeqrv7lH88MzipgW7k7fOYd9KqIneLFZmF6Ujjo8gVf8Z&#10;a7oG9gET0NA4E7UjNRihU5uO59ZEKoIO8+XyapFTSFBsmb+bkx2vgOK5unM+fJRoWDRK7qj1CR0O&#10;9z6Mqc8p8TKPWtVbpXVy3K7aaMcOQGOyTeuE/luatqwv+XU+zxOyxVhP0FAYFWiMtTJEbhpXLIci&#10;qvHB1skOoPRoE2ltT/JERUZtwlANqRHLWBulq7A+kl4Ox6mlX0ZGi+4XZz1NbMn9zz04yZn+ZEnz&#10;69liEUc8OQuSiBx3GakuI2AFQZU8cDaam5C+RaRt8ZZ606gk2wuTE2WaxCT86dfEUb/0U9bL314/&#10;AQAA//8DAFBLAwQUAAYACAAAACEAeWWB2t4AAAALAQAADwAAAGRycy9kb3ducmV2LnhtbEyPwU7D&#10;MBBE70j8g7VIXFDrNJAmDXEqQAJxbekHOPE2iYjXUew26d+zcCnHnXmanSm2s+3FGUffOVKwWkYg&#10;kGpnOmoUHL7eFxkIHzQZ3TtCBRf0sC1vbwqdGzfRDs/70AgOIZ9rBW0IQy6lr1u02i/dgMTe0Y1W&#10;Bz7HRppRTxxuexlH0Vpa3RF/aPWAby3W3/uTVXD8nB6SzVR9hEO6e1q/6i6t3EWp+7v55RlEwDlc&#10;Yfitz9Wh5E6VO5HxolewWD0mjLKRxLyBic2fUimIszQDWRby/4byBwAA//8DAFBLAQItABQABgAI&#10;AAAAIQC2gziS/gAAAOEBAAATAAAAAAAAAAAAAAAAAAAAAABbQ29udGVudF9UeXBlc10ueG1sUEsB&#10;Ai0AFAAGAAgAAAAhADj9If/WAAAAlAEAAAsAAAAAAAAAAAAAAAAALwEAAF9yZWxzLy5yZWxzUEsB&#10;Ai0AFAAGAAgAAAAhAC9bcxkhAgAAIwQAAA4AAAAAAAAAAAAAAAAALgIAAGRycy9lMm9Eb2MueG1s&#10;UEsBAi0AFAAGAAgAAAAhAHllgdreAAAACwEAAA8AAAAAAAAAAAAAAAAAewQAAGRycy9kb3ducmV2&#10;LnhtbFBLBQYAAAAABAAEAPMAAACGBQAAAAA=&#10;" stroked="f">
                <v:textbox>
                  <w:txbxContent>
                    <w:p w14:paraId="310CED6C" w14:textId="188E9678" w:rsidR="00CD4AF2" w:rsidRPr="00F94F9E" w:rsidRDefault="00CD4AF2" w:rsidP="00D56B77">
                      <w:pPr>
                        <w:pStyle w:val="BoxQuote"/>
                        <w:rPr>
                          <w:color w:val="215868" w:themeColor="accent5" w:themeShade="80"/>
                          <w:sz w:val="18"/>
                        </w:rPr>
                      </w:pPr>
                      <w:r w:rsidRPr="00F94F9E">
                        <w:rPr>
                          <w:color w:val="215868" w:themeColor="accent5" w:themeShade="80"/>
                        </w:rPr>
                        <w:t>Participation is voluntary and competitive, and there is keen interest on the part of local governments and [utilities] despite stringent eligibility conditions.</w:t>
                      </w:r>
                    </w:p>
                    <w:p w14:paraId="24F725BD" w14:textId="7808668C" w:rsidR="00CD4AF2" w:rsidRPr="00F94F9E" w:rsidRDefault="00CD4AF2" w:rsidP="00D56B77">
                      <w:pPr>
                        <w:pStyle w:val="BoxQuote"/>
                        <w:jc w:val="right"/>
                        <w:rPr>
                          <w:color w:val="215868" w:themeColor="accent5" w:themeShade="80"/>
                        </w:rPr>
                      </w:pPr>
                      <w:r w:rsidRPr="00F94F9E">
                        <w:rPr>
                          <w:rFonts w:cs="Cambria"/>
                          <w:i w:val="0"/>
                          <w:color w:val="215868" w:themeColor="accent5" w:themeShade="80"/>
                          <w:szCs w:val="17"/>
                        </w:rPr>
                        <w:t>W</w:t>
                      </w:r>
                      <w:r w:rsidRPr="00F94F9E">
                        <w:rPr>
                          <w:i w:val="0"/>
                          <w:color w:val="215868" w:themeColor="accent5" w:themeShade="80"/>
                        </w:rPr>
                        <w:t>ater and Sanitation Initiative design summary and implementation document, AusAID, Canberra, 2009</w:t>
                      </w:r>
                    </w:p>
                  </w:txbxContent>
                </v:textbox>
                <w10:wrap type="tight"/>
              </v:shape>
            </w:pict>
          </mc:Fallback>
        </mc:AlternateContent>
      </w:r>
      <w:r w:rsidR="00AF6A11">
        <w:t>The Hibah is aligned and relevant at both the national and subnational levels. N</w:t>
      </w:r>
      <w:r w:rsidR="00AF6A11" w:rsidRPr="00F65628">
        <w:t xml:space="preserve">ational </w:t>
      </w:r>
      <w:r w:rsidR="00AF6A11">
        <w:t>government departments are strongly involved, including MoPW, MoF and BAPPENAS.</w:t>
      </w:r>
      <w:r w:rsidR="00AF6A11">
        <w:rPr>
          <w:rStyle w:val="EndnoteReference"/>
        </w:rPr>
        <w:endnoteReference w:id="169"/>
      </w:r>
      <w:r w:rsidR="00AF6A11">
        <w:t xml:space="preserve"> The Hibah is aligned with national priorities to meet the MDGs and addresses key decentralisation challenges.</w:t>
      </w:r>
      <w:r w:rsidR="00610727">
        <w:rPr>
          <w:rStyle w:val="FootnoteReference"/>
        </w:rPr>
        <w:footnoteReference w:id="26"/>
      </w:r>
      <w:r w:rsidR="00610727">
        <w:t xml:space="preserve"> </w:t>
      </w:r>
      <w:r w:rsidR="00AF6A11">
        <w:t>During our fieldwork MoPW explained that ‘</w:t>
      </w:r>
      <w:r w:rsidR="00AF6A11">
        <w:rPr>
          <w:i/>
        </w:rPr>
        <w:t>w</w:t>
      </w:r>
      <w:r w:rsidR="00AF6A11" w:rsidRPr="009908E1">
        <w:rPr>
          <w:i/>
        </w:rPr>
        <w:t>e see [</w:t>
      </w:r>
      <w:r w:rsidR="00AF6A11">
        <w:rPr>
          <w:i/>
        </w:rPr>
        <w:t xml:space="preserve">the </w:t>
      </w:r>
      <w:r w:rsidR="00AF6A11" w:rsidRPr="009908E1">
        <w:rPr>
          <w:i/>
        </w:rPr>
        <w:t>Hibah] as a good process for decentralisation. All proposals come from</w:t>
      </w:r>
      <w:r w:rsidR="00AF6A11">
        <w:rPr>
          <w:i/>
        </w:rPr>
        <w:t xml:space="preserve"> the local government not from national</w:t>
      </w:r>
      <w:r w:rsidR="00D2236B">
        <w:rPr>
          <w:i/>
        </w:rPr>
        <w:t>.’</w:t>
      </w:r>
    </w:p>
    <w:p w14:paraId="3F2550DA" w14:textId="77777777" w:rsidR="00C46939" w:rsidRDefault="00C46939">
      <w:pPr>
        <w:spacing w:before="0" w:after="0" w:line="240" w:lineRule="auto"/>
        <w:rPr>
          <w:rFonts w:eastAsia="Calibri"/>
          <w:lang w:eastAsia="en-US"/>
        </w:rPr>
      </w:pPr>
      <w:r>
        <w:rPr>
          <w:rFonts w:eastAsia="Calibri"/>
          <w:lang w:eastAsia="en-US"/>
        </w:rPr>
        <w:br w:type="page"/>
      </w:r>
    </w:p>
    <w:p w14:paraId="5F06400E" w14:textId="600B2D2C" w:rsidR="00AF6A11" w:rsidRDefault="00AF6A11" w:rsidP="00EF6BCF">
      <w:pPr>
        <w:rPr>
          <w:i/>
          <w:lang w:eastAsia="en-US"/>
        </w:rPr>
      </w:pPr>
      <w:r>
        <w:rPr>
          <w:rFonts w:eastAsia="Calibri"/>
          <w:lang w:eastAsia="en-US"/>
        </w:rPr>
        <w:t>Involvement of subnational government is demand driven.</w:t>
      </w:r>
      <w:r w:rsidRPr="00060D48">
        <w:rPr>
          <w:rFonts w:eastAsia="Calibri"/>
          <w:vertAlign w:val="superscript"/>
          <w:lang w:eastAsia="en-US"/>
        </w:rPr>
        <w:endnoteReference w:id="170"/>
      </w:r>
      <w:r>
        <w:rPr>
          <w:rFonts w:eastAsia="Calibri"/>
          <w:lang w:eastAsia="en-US"/>
        </w:rPr>
        <w:t xml:space="preserve"> This approach ensures relevance and alignment at the subnational level.</w:t>
      </w:r>
      <w:r w:rsidR="00610727">
        <w:rPr>
          <w:rStyle w:val="FootnoteReference"/>
          <w:rFonts w:eastAsia="Calibri"/>
          <w:lang w:eastAsia="en-US"/>
        </w:rPr>
        <w:footnoteReference w:id="27"/>
      </w:r>
      <w:r w:rsidR="00610727">
        <w:rPr>
          <w:rFonts w:eastAsia="Calibri"/>
          <w:lang w:eastAsia="en-US"/>
        </w:rPr>
        <w:t xml:space="preserve"> </w:t>
      </w:r>
      <w:r>
        <w:rPr>
          <w:rFonts w:eastAsia="Calibri"/>
        </w:rPr>
        <w:t xml:space="preserve">Interviewees at the national level reported there was initial scepticism by local governments: </w:t>
      </w:r>
      <w:r>
        <w:rPr>
          <w:i/>
          <w:lang w:eastAsia="en-US"/>
        </w:rPr>
        <w:t>‘</w:t>
      </w:r>
      <w:r>
        <w:rPr>
          <w:rFonts w:eastAsia="Calibri"/>
          <w:i/>
        </w:rPr>
        <w:t>Most sceptical were the local government</w:t>
      </w:r>
      <w:r w:rsidRPr="00FC436B">
        <w:rPr>
          <w:rFonts w:eastAsia="Calibri"/>
          <w:i/>
        </w:rPr>
        <w:t>s</w:t>
      </w:r>
      <w:r>
        <w:rPr>
          <w:rFonts w:eastAsia="Calibri"/>
          <w:i/>
        </w:rPr>
        <w:t>—</w:t>
      </w:r>
      <w:r w:rsidRPr="00FC436B">
        <w:rPr>
          <w:rFonts w:eastAsia="Calibri"/>
          <w:i/>
        </w:rPr>
        <w:t>they weren’t sure they’d get approval from parliament or mayors. Usually they see money first rather than use their own</w:t>
      </w:r>
      <w:r>
        <w:rPr>
          <w:rFonts w:eastAsia="Calibri"/>
          <w:i/>
        </w:rPr>
        <w:t>.</w:t>
      </w:r>
      <w:r>
        <w:rPr>
          <w:rFonts w:eastAsia="Calibri"/>
        </w:rPr>
        <w:t>’</w:t>
      </w:r>
      <w:r>
        <w:rPr>
          <w:i/>
          <w:lang w:eastAsia="en-US"/>
        </w:rPr>
        <w:t xml:space="preserve"> </w:t>
      </w:r>
      <w:r>
        <w:rPr>
          <w:rFonts w:eastAsia="Calibri"/>
        </w:rPr>
        <w:t>There were challenges in letting local governments know of the program, but despite this the program has been over-subscribed.</w:t>
      </w:r>
      <w:r>
        <w:rPr>
          <w:i/>
          <w:lang w:eastAsia="en-US"/>
        </w:rPr>
        <w:t xml:space="preserve"> </w:t>
      </w:r>
    </w:p>
    <w:p w14:paraId="0DD44AAE" w14:textId="77777777" w:rsidR="00AF6A11" w:rsidRDefault="00912945" w:rsidP="00AE2162">
      <w:pPr>
        <w:pStyle w:val="Heading3"/>
      </w:pPr>
      <w:bookmarkStart w:id="237" w:name="_Toc371187633"/>
      <w:bookmarkStart w:id="238" w:name="_Toc372300965"/>
      <w:bookmarkStart w:id="239" w:name="_Toc382563904"/>
      <w:bookmarkStart w:id="240" w:name="_Toc382595858"/>
      <w:r>
        <w:t>E</w:t>
      </w:r>
      <w:r w:rsidR="00AF6A11">
        <w:t>ngagement across different parts of partner government</w:t>
      </w:r>
      <w:bookmarkEnd w:id="237"/>
      <w:bookmarkEnd w:id="238"/>
      <w:bookmarkEnd w:id="239"/>
      <w:bookmarkEnd w:id="240"/>
      <w:r>
        <w:t xml:space="preserve"> and </w:t>
      </w:r>
      <w:r w:rsidR="008A0022">
        <w:t xml:space="preserve">with </w:t>
      </w:r>
      <w:r>
        <w:t>community</w:t>
      </w:r>
    </w:p>
    <w:p w14:paraId="2441B6C6" w14:textId="69E6261E" w:rsidR="00AF6A11" w:rsidRDefault="00627A4D" w:rsidP="00EF6BCF">
      <w:pPr>
        <w:rPr>
          <w:noProof/>
        </w:rPr>
      </w:pPr>
      <w:r>
        <w:rPr>
          <w:noProof/>
        </w:rPr>
        <mc:AlternateContent>
          <mc:Choice Requires="wps">
            <w:drawing>
              <wp:anchor distT="0" distB="0" distL="114300" distR="114300" simplePos="0" relativeHeight="251802624" behindDoc="1" locked="0" layoutInCell="1" allowOverlap="1" wp14:anchorId="667F7793" wp14:editId="789A40EE">
                <wp:simplePos x="0" y="0"/>
                <wp:positionH relativeFrom="column">
                  <wp:posOffset>3343275</wp:posOffset>
                </wp:positionH>
                <wp:positionV relativeFrom="paragraph">
                  <wp:posOffset>1483995</wp:posOffset>
                </wp:positionV>
                <wp:extent cx="2362200" cy="2562225"/>
                <wp:effectExtent l="0" t="0" r="0" b="9525"/>
                <wp:wrapTight wrapText="bothSides">
                  <wp:wrapPolygon edited="0">
                    <wp:start x="0" y="0"/>
                    <wp:lineTo x="0" y="21520"/>
                    <wp:lineTo x="21426" y="21520"/>
                    <wp:lineTo x="21426"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562225"/>
                        </a:xfrm>
                        <a:prstGeom prst="rect">
                          <a:avLst/>
                        </a:prstGeom>
                        <a:solidFill>
                          <a:srgbClr val="FFFFFF"/>
                        </a:solidFill>
                        <a:ln w="9525">
                          <a:noFill/>
                          <a:miter lim="800000"/>
                          <a:headEnd/>
                          <a:tailEnd/>
                        </a:ln>
                      </wps:spPr>
                      <wps:txbx>
                        <w:txbxContent>
                          <w:p w14:paraId="46F29E48" w14:textId="08EA9C3C" w:rsidR="00CD4AF2" w:rsidRPr="00F94F9E" w:rsidRDefault="00CD4AF2" w:rsidP="00627A4D">
                            <w:pPr>
                              <w:pStyle w:val="BoxQuote"/>
                              <w:rPr>
                                <w:color w:val="215868" w:themeColor="accent5" w:themeShade="80"/>
                              </w:rPr>
                            </w:pPr>
                            <w:r w:rsidRPr="00F94F9E">
                              <w:rPr>
                                <w:color w:val="215868" w:themeColor="accent5" w:themeShade="80"/>
                              </w:rPr>
                              <w:t>Fragmentation at the local government level is [caused by] multiple sources of funding. This causes a lack of consolidated programming. To what extent can we consider strong cross-sectoral linkages at the central level? The program has strong linkages with MoF and MoPW, but it would be good to involve MoHA which would have a good flow-on effect to the LGs [local governments].</w:t>
                            </w:r>
                          </w:p>
                          <w:p w14:paraId="559DA336" w14:textId="03D48E35" w:rsidR="00CD4AF2" w:rsidRPr="00F94F9E" w:rsidRDefault="00CD4AF2" w:rsidP="00627A4D">
                            <w:pPr>
                              <w:pStyle w:val="BoxQuote"/>
                              <w:jc w:val="right"/>
                              <w:rPr>
                                <w:color w:val="215868" w:themeColor="accent5" w:themeShade="80"/>
                              </w:rPr>
                            </w:pPr>
                            <w:r w:rsidRPr="00F94F9E">
                              <w:rPr>
                                <w:color w:val="215868" w:themeColor="accent5" w:themeShade="80"/>
                              </w:rPr>
                              <w:t>Concept peer review minutes for next phase design, AusAID, Canberra, 2011, p.5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3.25pt;margin-top:116.85pt;width:186pt;height:201.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haIgIAACQEAAAOAAAAZHJzL2Uyb0RvYy54bWysU81u2zAMvg/YOwi6L07cpG2MOEWXLsOA&#10;7gdo9wC0LMfCJNGTlNjd05eS0zTbbsN0EEiR/Eh+pFY3g9HsIJ1XaEs+m0w5k1Zgreyu5N8ft++u&#10;OfMBbA0arSz5k/T8Zv32zarvCplji7qWjhGI9UXflbwNoSuyzItWGvAT7KQlY4POQCDV7bLaQU/o&#10;Rmf5dHqZ9ejqzqGQ3tPr3Wjk64TfNFKEr03jZWC65FRbSLdLdxXvbL2CYuega5U4lgH/UIUBZSnp&#10;CeoOArC9U39BGSUcemzCRKDJsGmUkKkH6mY2/aObhxY6mXohcnx3osn/P1jx5fDNMVWX/OKKMwuG&#10;ZvQoh8De48DySE/f+YK8HjryCwM905hTq767R/HDM4ubFuxO3jqHfSuhpvJmMTI7Cx1xfASp+s9Y&#10;UxrYB0xAQ+NM5I7YYIROY3o6jSaWIugxv7jMad6cCbLlC1LyRcoBxUt453z4KNGwKJTc0ewTPBzu&#10;fYjlQPHiErN51KreKq2T4nbVRjt2ANqTbTpH9N/ctGV9yZcLyh2jLMb4tEJGBdpjrUzJr6fxxHAo&#10;Ih0fbJ3kAEqPMlWi7ZGfSMlIThiqIU1iGWMjdxXWT0SYw3Ft6ZuR0KL7xVlPK1ty/3MPTnKmP1ki&#10;fTmbz+OOJ2W+uMpJceeW6twCVhBUyQNno7gJ6V+Mjd3ScBqVaHut5FgyrWJi8/ht4q6f68nr9XOv&#10;nwEAAP//AwBQSwMEFAAGAAgAAAAhAE0sHcPgAAAACwEAAA8AAABkcnMvZG93bnJldi54bWxMj91O&#10;g0AQRu9NfIfNNPHG2EWQnyJDoyYab1v7AAtsgZSdJey20Ld3vLKXM3PyzfmK7WIGcdGT6y0hPK8D&#10;EJpq2/TUIhx+Pp8yEM4ratRgSSNctYNteX9XqLyxM+30Ze9bwSHkcoXQeT/mUrq600a5tR018e1o&#10;J6M8j1Mrm0nNHG4GGQZBIo3qiT90atQfna5P+7NBOH7Pj/Fmrr78Id29JO+qTyt7RXxYLW+vILxe&#10;/D8Mf/qsDiU7VfZMjRMDQhwmMaMIYRSlIJjINhlvKoQkSkOQZSFvO5S/AAAA//8DAFBLAQItABQA&#10;BgAIAAAAIQC2gziS/gAAAOEBAAATAAAAAAAAAAAAAAAAAAAAAABbQ29udGVudF9UeXBlc10ueG1s&#10;UEsBAi0AFAAGAAgAAAAhADj9If/WAAAAlAEAAAsAAAAAAAAAAAAAAAAALwEAAF9yZWxzLy5yZWxz&#10;UEsBAi0AFAAGAAgAAAAhAEiHWFoiAgAAJAQAAA4AAAAAAAAAAAAAAAAALgIAAGRycy9lMm9Eb2Mu&#10;eG1sUEsBAi0AFAAGAAgAAAAhAE0sHcPgAAAACwEAAA8AAAAAAAAAAAAAAAAAfAQAAGRycy9kb3du&#10;cmV2LnhtbFBLBQYAAAAABAAEAPMAAACJBQAAAAA=&#10;" stroked="f">
                <v:textbox>
                  <w:txbxContent>
                    <w:p w14:paraId="46F29E48" w14:textId="08EA9C3C" w:rsidR="00CD4AF2" w:rsidRPr="00F94F9E" w:rsidRDefault="00CD4AF2" w:rsidP="00627A4D">
                      <w:pPr>
                        <w:pStyle w:val="BoxQuote"/>
                        <w:rPr>
                          <w:color w:val="215868" w:themeColor="accent5" w:themeShade="80"/>
                        </w:rPr>
                      </w:pPr>
                      <w:r w:rsidRPr="00F94F9E">
                        <w:rPr>
                          <w:color w:val="215868" w:themeColor="accent5" w:themeShade="80"/>
                        </w:rPr>
                        <w:t>Fragmentation at the local government level is [caused by] multiple sources of funding. This causes a lack of consolidated programming. To what extent can we consider strong cross-sectoral linkages at the central level? The program has strong linkages with MoF and MoPW, but it would be good to involve MoHA which would have a good flow-on effect to the LGs [local governments].</w:t>
                      </w:r>
                    </w:p>
                    <w:p w14:paraId="559DA336" w14:textId="03D48E35" w:rsidR="00CD4AF2" w:rsidRPr="00F94F9E" w:rsidRDefault="00CD4AF2" w:rsidP="00627A4D">
                      <w:pPr>
                        <w:pStyle w:val="BoxQuote"/>
                        <w:jc w:val="right"/>
                        <w:rPr>
                          <w:color w:val="215868" w:themeColor="accent5" w:themeShade="80"/>
                        </w:rPr>
                      </w:pPr>
                      <w:r w:rsidRPr="00F94F9E">
                        <w:rPr>
                          <w:color w:val="215868" w:themeColor="accent5" w:themeShade="80"/>
                        </w:rPr>
                        <w:t>Concept peer review minutes for next phase design, AusAID, Canberra, 2011, p.5</w:t>
                      </w:r>
                    </w:p>
                  </w:txbxContent>
                </v:textbox>
                <w10:wrap type="tight"/>
              </v:shape>
            </w:pict>
          </mc:Fallback>
        </mc:AlternateContent>
      </w:r>
      <w:r w:rsidR="00AF6A11">
        <w:t>The balance of engagement across national and subnational levels was assessed by this evaluation to be appropriate, with the caveat that it is not clear whether the initiative is meeting capacity needs at the subnational level. The main support that is provided at the subnational level concerns the grant mechanism itself rather than broader capacity building.</w:t>
      </w:r>
      <w:r w:rsidR="00AF6A11" w:rsidRPr="00233C98">
        <w:rPr>
          <w:rFonts w:ascii="Calibri" w:eastAsia="Calibri" w:hAnsi="Calibri"/>
          <w:sz w:val="22"/>
          <w:szCs w:val="22"/>
          <w:vertAlign w:val="superscript"/>
          <w:lang w:eastAsia="en-US"/>
        </w:rPr>
        <w:t xml:space="preserve"> </w:t>
      </w:r>
      <w:r w:rsidR="00AF6A11" w:rsidRPr="00060D48">
        <w:rPr>
          <w:rFonts w:ascii="Calibri" w:eastAsia="Calibri" w:hAnsi="Calibri"/>
          <w:sz w:val="22"/>
          <w:szCs w:val="22"/>
          <w:vertAlign w:val="superscript"/>
          <w:lang w:eastAsia="en-US"/>
        </w:rPr>
        <w:endnoteReference w:id="171"/>
      </w:r>
      <w:r w:rsidR="00AF6A11">
        <w:t xml:space="preserve"> In addition, with the shift to the new phase of the Hibah in 2012, there has been national level resistance to multiyear budgets because they would require the national government to relinquish some control. As one stakeholder put it: ‘</w:t>
      </w:r>
      <w:r w:rsidR="00AF6A11">
        <w:rPr>
          <w:i/>
        </w:rPr>
        <w:t>C</w:t>
      </w:r>
      <w:r w:rsidR="00AF6A11" w:rsidRPr="009F4E62">
        <w:rPr>
          <w:i/>
        </w:rPr>
        <w:t>entral government do</w:t>
      </w:r>
      <w:r w:rsidR="007F0878">
        <w:rPr>
          <w:i/>
        </w:rPr>
        <w:t>es</w:t>
      </w:r>
      <w:r w:rsidR="00AF6A11" w:rsidRPr="009F4E62">
        <w:rPr>
          <w:i/>
        </w:rPr>
        <w:t>n’t want their budgets affected.</w:t>
      </w:r>
      <w:r w:rsidR="00AF6A11">
        <w:t xml:space="preserve">’ Multiyear budgets are a key feature to enable local governments to plan in advance for better </w:t>
      </w:r>
      <w:r w:rsidR="00AF6A11" w:rsidRPr="009F4E62">
        <w:t>implementation.</w:t>
      </w:r>
      <w:r w:rsidR="00AF6A11" w:rsidRPr="009F4E62">
        <w:rPr>
          <w:rFonts w:ascii="Calibri" w:eastAsia="Calibri" w:hAnsi="Calibri"/>
          <w:sz w:val="22"/>
          <w:szCs w:val="22"/>
          <w:vertAlign w:val="superscript"/>
          <w:lang w:eastAsia="en-US"/>
        </w:rPr>
        <w:endnoteReference w:id="172"/>
      </w:r>
      <w:r w:rsidR="00AF6A11" w:rsidRPr="00907FF1">
        <w:rPr>
          <w:noProof/>
        </w:rPr>
        <w:t xml:space="preserve"> </w:t>
      </w:r>
    </w:p>
    <w:p w14:paraId="300C40E9" w14:textId="158FAFF8" w:rsidR="00D56B77" w:rsidRPr="00627A4D" w:rsidRDefault="00AF6A11" w:rsidP="00627A4D">
      <w:pPr>
        <w:rPr>
          <w:rFonts w:eastAsia="Calibri"/>
        </w:rPr>
      </w:pPr>
      <w:r>
        <w:t>The balance of engagement with other central agencies may not be appropriate, as engagement with MoHA appeared limited. MoH</w:t>
      </w:r>
      <w:r w:rsidRPr="00263CD8">
        <w:t xml:space="preserve">A are </w:t>
      </w:r>
      <w:r w:rsidRPr="00263CD8">
        <w:rPr>
          <w:lang w:eastAsia="en-US"/>
        </w:rPr>
        <w:t>responsible for local government</w:t>
      </w:r>
      <w:r>
        <w:rPr>
          <w:rFonts w:eastAsia="Calibri"/>
        </w:rPr>
        <w:t>,</w:t>
      </w:r>
      <w:r>
        <w:t xml:space="preserve"> and they ‘</w:t>
      </w:r>
      <w:r w:rsidRPr="00263CD8">
        <w:rPr>
          <w:rFonts w:eastAsia="Calibri"/>
          <w:i/>
        </w:rPr>
        <w:t>have the formal authority with respect to change of the nontechnical</w:t>
      </w:r>
      <w:r w:rsidRPr="00263CD8">
        <w:rPr>
          <w:rFonts w:ascii="Calibri" w:eastAsia="Calibri" w:hAnsi="Calibri"/>
          <w:i/>
          <w:sz w:val="22"/>
          <w:szCs w:val="22"/>
          <w:lang w:eastAsia="en-US"/>
        </w:rPr>
        <w:t xml:space="preserve"> </w:t>
      </w:r>
      <w:r w:rsidRPr="00263CD8">
        <w:rPr>
          <w:rFonts w:eastAsia="Calibri"/>
          <w:i/>
          <w:lang w:eastAsia="en-US"/>
        </w:rPr>
        <w:t>systems of PDAMs</w:t>
      </w:r>
      <w:r w:rsidR="00D2236B">
        <w:rPr>
          <w:rFonts w:eastAsia="Calibri"/>
          <w:lang w:eastAsia="en-US"/>
        </w:rPr>
        <w:t>.’</w:t>
      </w:r>
      <w:r w:rsidRPr="0032788A">
        <w:rPr>
          <w:rFonts w:eastAsia="Calibri"/>
          <w:vertAlign w:val="superscript"/>
          <w:lang w:eastAsia="en-US"/>
        </w:rPr>
        <w:t xml:space="preserve"> </w:t>
      </w:r>
      <w:r w:rsidRPr="00060D48">
        <w:rPr>
          <w:rFonts w:eastAsia="Calibri"/>
          <w:vertAlign w:val="superscript"/>
          <w:lang w:eastAsia="en-US"/>
        </w:rPr>
        <w:endnoteReference w:id="173"/>
      </w:r>
      <w:r>
        <w:rPr>
          <w:rFonts w:eastAsia="Calibri"/>
          <w:vertAlign w:val="superscript"/>
          <w:lang w:eastAsia="en-US"/>
        </w:rPr>
        <w:t xml:space="preserve"> </w:t>
      </w:r>
      <w:r>
        <w:t xml:space="preserve">MoHA are responsible for laws concerning tariff setting. Under current </w:t>
      </w:r>
      <w:r w:rsidRPr="00060D48">
        <w:rPr>
          <w:rFonts w:eastAsia="Calibri"/>
          <w:lang w:eastAsia="en-US"/>
        </w:rPr>
        <w:t>tariffs</w:t>
      </w:r>
      <w:r>
        <w:rPr>
          <w:rFonts w:eastAsia="Calibri"/>
          <w:lang w:eastAsia="en-US"/>
        </w:rPr>
        <w:t>,</w:t>
      </w:r>
      <w:r w:rsidRPr="00060D48">
        <w:rPr>
          <w:rFonts w:eastAsia="Calibri"/>
          <w:lang w:eastAsia="en-US"/>
        </w:rPr>
        <w:t xml:space="preserve"> few utilities recover their cos</w:t>
      </w:r>
      <w:r>
        <w:rPr>
          <w:rFonts w:eastAsia="Calibri"/>
          <w:lang w:eastAsia="en-US"/>
        </w:rPr>
        <w:t>ts.</w:t>
      </w:r>
      <w:r w:rsidRPr="00060D48">
        <w:rPr>
          <w:rFonts w:eastAsia="Calibri"/>
          <w:vertAlign w:val="superscript"/>
          <w:lang w:eastAsia="en-US"/>
        </w:rPr>
        <w:endnoteReference w:id="174"/>
      </w:r>
      <w:r>
        <w:t xml:space="preserve"> The need for e</w:t>
      </w:r>
      <w:r>
        <w:rPr>
          <w:rFonts w:eastAsia="Calibri"/>
        </w:rPr>
        <w:t>ngagement with MoHA</w:t>
      </w:r>
      <w:r w:rsidRPr="00C222F4">
        <w:rPr>
          <w:rFonts w:eastAsia="Calibri"/>
        </w:rPr>
        <w:t xml:space="preserve"> was raised </w:t>
      </w:r>
      <w:r>
        <w:rPr>
          <w:rFonts w:eastAsia="Calibri"/>
        </w:rPr>
        <w:t>in an internal</w:t>
      </w:r>
      <w:r w:rsidRPr="00C222F4">
        <w:rPr>
          <w:rFonts w:eastAsia="Calibri"/>
        </w:rPr>
        <w:t xml:space="preserve"> peer review</w:t>
      </w:r>
      <w:r w:rsidRPr="00C222F4">
        <w:rPr>
          <w:rFonts w:eastAsia="Calibri"/>
          <w:vertAlign w:val="superscript"/>
        </w:rPr>
        <w:endnoteReference w:id="175"/>
      </w:r>
      <w:r>
        <w:rPr>
          <w:rFonts w:eastAsia="Calibri"/>
        </w:rPr>
        <w:t xml:space="preserve"> with a response that the initiative would look ‘</w:t>
      </w:r>
      <w:r w:rsidRPr="00B9479A">
        <w:rPr>
          <w:rFonts w:eastAsia="Calibri"/>
          <w:i/>
        </w:rPr>
        <w:t xml:space="preserve">to </w:t>
      </w:r>
      <w:r w:rsidRPr="00B9479A">
        <w:rPr>
          <w:i/>
          <w:lang w:eastAsia="en-US"/>
        </w:rPr>
        <w:t>increase the participation of MoHA in activities</w:t>
      </w:r>
      <w:r w:rsidRPr="00B9479A">
        <w:rPr>
          <w:rFonts w:eastAsia="Calibri"/>
          <w:i/>
        </w:rPr>
        <w:t>.</w:t>
      </w:r>
      <w:r>
        <w:rPr>
          <w:rFonts w:ascii="Calibri" w:eastAsia="Calibri" w:hAnsi="Calibri"/>
          <w:sz w:val="22"/>
          <w:szCs w:val="22"/>
          <w:lang w:eastAsia="en-US"/>
        </w:rPr>
        <w:t>’</w:t>
      </w:r>
      <w:r w:rsidRPr="00060D48">
        <w:rPr>
          <w:rFonts w:ascii="Calibri" w:eastAsia="Calibri" w:hAnsi="Calibri"/>
          <w:sz w:val="22"/>
          <w:szCs w:val="22"/>
          <w:vertAlign w:val="superscript"/>
          <w:lang w:eastAsia="en-US"/>
        </w:rPr>
        <w:endnoteReference w:id="176"/>
      </w:r>
      <w:r>
        <w:rPr>
          <w:rFonts w:ascii="Calibri" w:eastAsia="Calibri" w:hAnsi="Calibri"/>
          <w:sz w:val="22"/>
          <w:szCs w:val="22"/>
          <w:lang w:eastAsia="en-US"/>
        </w:rPr>
        <w:t xml:space="preserve"> </w:t>
      </w:r>
      <w:r>
        <w:rPr>
          <w:rFonts w:eastAsia="Calibri"/>
        </w:rPr>
        <w:t>Our</w:t>
      </w:r>
      <w:r w:rsidRPr="00C222F4">
        <w:rPr>
          <w:rFonts w:eastAsia="Calibri"/>
        </w:rPr>
        <w:t xml:space="preserve"> evaluation </w:t>
      </w:r>
      <w:r>
        <w:rPr>
          <w:rFonts w:eastAsia="Calibri"/>
        </w:rPr>
        <w:t xml:space="preserve">was unable </w:t>
      </w:r>
      <w:r w:rsidRPr="00C222F4">
        <w:rPr>
          <w:rFonts w:eastAsia="Calibri"/>
        </w:rPr>
        <w:t>to veri</w:t>
      </w:r>
      <w:r>
        <w:rPr>
          <w:rFonts w:eastAsia="Calibri"/>
        </w:rPr>
        <w:t>fy if this was followed through</w:t>
      </w:r>
      <w:r w:rsidR="008A0022">
        <w:rPr>
          <w:rFonts w:eastAsia="Calibri"/>
        </w:rPr>
        <w:t xml:space="preserve"> </w:t>
      </w:r>
      <w:r w:rsidR="00CB592D">
        <w:rPr>
          <w:rFonts w:eastAsia="Calibri"/>
        </w:rPr>
        <w:t xml:space="preserve">however </w:t>
      </w:r>
      <w:r w:rsidR="008A0022">
        <w:rPr>
          <w:rFonts w:eastAsia="Calibri"/>
        </w:rPr>
        <w:t xml:space="preserve">an aid program staff placed in MoHA for another program may </w:t>
      </w:r>
      <w:r w:rsidR="000447E7">
        <w:rPr>
          <w:rFonts w:eastAsia="Calibri"/>
        </w:rPr>
        <w:t>facilitate this engagement.</w:t>
      </w:r>
      <w:r w:rsidR="000447E7">
        <w:rPr>
          <w:rStyle w:val="FootnoteReference"/>
          <w:rFonts w:eastAsia="Calibri"/>
        </w:rPr>
        <w:footnoteReference w:id="28"/>
      </w:r>
      <w:r w:rsidR="000447E7">
        <w:rPr>
          <w:rFonts w:eastAsia="Calibri"/>
        </w:rPr>
        <w:t xml:space="preserve"> One program staff member noted that</w:t>
      </w:r>
      <w:r w:rsidR="000447E7" w:rsidRPr="00060D48">
        <w:rPr>
          <w:rFonts w:ascii="Calibri" w:eastAsia="Calibri" w:hAnsi="Calibri"/>
          <w:sz w:val="22"/>
          <w:szCs w:val="22"/>
          <w:lang w:eastAsia="en-US"/>
        </w:rPr>
        <w:t xml:space="preserve"> </w:t>
      </w:r>
      <w:r w:rsidR="000447E7">
        <w:rPr>
          <w:i/>
          <w:lang w:eastAsia="en-US"/>
        </w:rPr>
        <w:t>‘</w:t>
      </w:r>
      <w:r w:rsidR="000447E7" w:rsidRPr="00EF2CD5">
        <w:rPr>
          <w:rFonts w:eastAsia="Calibri"/>
          <w:i/>
        </w:rPr>
        <w:t>[</w:t>
      </w:r>
      <w:r w:rsidR="000447E7">
        <w:rPr>
          <w:rFonts w:eastAsia="Calibri"/>
          <w:i/>
        </w:rPr>
        <w:t>h</w:t>
      </w:r>
      <w:r w:rsidR="000447E7" w:rsidRPr="00EF2CD5">
        <w:rPr>
          <w:rFonts w:eastAsia="Calibri"/>
          <w:i/>
        </w:rPr>
        <w:t xml:space="preserve">aving] </w:t>
      </w:r>
      <w:r w:rsidR="000447E7" w:rsidRPr="00EF2CD5">
        <w:rPr>
          <w:i/>
          <w:lang w:eastAsia="en-US"/>
        </w:rPr>
        <w:t>lots of players has slowed down t</w:t>
      </w:r>
      <w:r w:rsidR="000447E7" w:rsidRPr="00EF2CD5">
        <w:rPr>
          <w:rFonts w:eastAsia="Calibri"/>
          <w:i/>
        </w:rPr>
        <w:t>he process due to negotiations.</w:t>
      </w:r>
      <w:r w:rsidR="000447E7">
        <w:rPr>
          <w:rFonts w:eastAsia="Calibri"/>
          <w:i/>
        </w:rPr>
        <w:t>’</w:t>
      </w:r>
    </w:p>
    <w:p w14:paraId="3DEA1121" w14:textId="445E7CEF" w:rsidR="00AF6A11" w:rsidRDefault="00627A4D" w:rsidP="00EF6BCF">
      <w:pPr>
        <w:rPr>
          <w:rFonts w:ascii="Calibri" w:eastAsia="Calibri" w:hAnsi="Calibri"/>
          <w:sz w:val="22"/>
          <w:szCs w:val="22"/>
          <w:lang w:eastAsia="en-US"/>
        </w:rPr>
      </w:pPr>
      <w:r>
        <w:rPr>
          <w:noProof/>
        </w:rPr>
        <mc:AlternateContent>
          <mc:Choice Requires="wps">
            <w:drawing>
              <wp:anchor distT="0" distB="0" distL="114300" distR="114300" simplePos="0" relativeHeight="251800576" behindDoc="1" locked="0" layoutInCell="1" allowOverlap="1" wp14:anchorId="60E53800" wp14:editId="66BFBA1F">
                <wp:simplePos x="0" y="0"/>
                <wp:positionH relativeFrom="column">
                  <wp:posOffset>3343275</wp:posOffset>
                </wp:positionH>
                <wp:positionV relativeFrom="paragraph">
                  <wp:posOffset>180975</wp:posOffset>
                </wp:positionV>
                <wp:extent cx="2362200" cy="1762125"/>
                <wp:effectExtent l="0" t="0" r="0" b="9525"/>
                <wp:wrapTight wrapText="bothSides">
                  <wp:wrapPolygon edited="0">
                    <wp:start x="0" y="0"/>
                    <wp:lineTo x="0" y="21483"/>
                    <wp:lineTo x="21426" y="21483"/>
                    <wp:lineTo x="21426"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762125"/>
                        </a:xfrm>
                        <a:prstGeom prst="rect">
                          <a:avLst/>
                        </a:prstGeom>
                        <a:solidFill>
                          <a:srgbClr val="FFFFFF"/>
                        </a:solidFill>
                        <a:ln w="9525">
                          <a:noFill/>
                          <a:miter lim="800000"/>
                          <a:headEnd/>
                          <a:tailEnd/>
                        </a:ln>
                      </wps:spPr>
                      <wps:txbx>
                        <w:txbxContent>
                          <w:p w14:paraId="1478FCDD" w14:textId="72DA1ECC" w:rsidR="00CD4AF2" w:rsidRPr="00F94F9E" w:rsidRDefault="00CD4AF2" w:rsidP="00D56B77">
                            <w:pPr>
                              <w:pStyle w:val="BoxQuote"/>
                              <w:rPr>
                                <w:color w:val="215868" w:themeColor="accent5" w:themeShade="80"/>
                                <w:sz w:val="18"/>
                              </w:rPr>
                            </w:pPr>
                            <w:r w:rsidRPr="00F94F9E">
                              <w:rPr>
                                <w:color w:val="215868" w:themeColor="accent5" w:themeShade="80"/>
                              </w:rPr>
                              <w:t>WASH used to be the lowest priority—it was cut off from the political process. So if we make it political, work with champions and mayors, this helped to speed up achievements. They share their stories and then get re-elected due to the success—so it has political value.</w:t>
                            </w:r>
                          </w:p>
                          <w:p w14:paraId="00896B1A" w14:textId="176F342B" w:rsidR="00CD4AF2" w:rsidRPr="00F94F9E" w:rsidRDefault="00CD4AF2" w:rsidP="00D56B77">
                            <w:pPr>
                              <w:pStyle w:val="BoxQuote"/>
                              <w:jc w:val="right"/>
                              <w:rPr>
                                <w:i w:val="0"/>
                                <w:color w:val="215868" w:themeColor="accent5" w:themeShade="80"/>
                              </w:rPr>
                            </w:pPr>
                            <w:r w:rsidRPr="00F94F9E">
                              <w:rPr>
                                <w:i w:val="0"/>
                                <w:color w:val="215868" w:themeColor="accent5" w:themeShade="80"/>
                              </w:rPr>
                              <w:t>Program contractor, Indonesia,         staff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3.25pt;margin-top:14.25pt;width:186pt;height:138.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vAIwIAACUEAAAOAAAAZHJzL2Uyb0RvYy54bWysU81u2zAMvg/YOwi6L47dJG2NOEWXLsOA&#10;7gdo9wCMLMfCZFGTlNjd05eS0zTbbsN0EEiR/Eh+pJY3Q6fZQTqv0FQ8n0w5k0Zgrcyu4t8fN++u&#10;OPMBTA0ajaz4k/T8ZvX2zbK3pSywRV1LxwjE+LK3FW9DsGWWedHKDvwErTRkbNB1EEh1u6x20BN6&#10;p7NiOl1kPbraOhTSe3q9G418lfCbRorwtWm8DExXnGoL6Xbp3sY7Wy2h3DmwrRLHMuAfquhAGUp6&#10;grqDAGzv1F9QnRIOPTZhIrDLsGmUkKkH6iaf/tHNQwtWpl6IHG9PNPn/Byu+HL45puqKXyw4M9DR&#10;jB7lENh7HFgR6emtL8nrwZJfGOiZxpxa9fYexQ/PDK5bMDt56xz2rYSaystjZHYWOuL4CLLtP2NN&#10;aWAfMAENjesid8QGI3Qa09NpNLEUQY/FxaKgeXMmyJZfLoq8mKccUL6EW+fDR4kdi0LFHc0+wcPh&#10;3odYDpQvLjGbR63qjdI6KW63XWvHDkB7sknniP6bmzasr/j1nHLHKIMxPq1QpwLtsVZdxa+m8cRw&#10;KCMdH0yd5ABKjzJVos2Rn0jJSE4YtkOaRJ6CI3lbrJ+IMYfj3tI/I6FF94uznna24v7nHpzkTH8y&#10;xPp1PpvFJU/KbH5ZkOLOLdtzCxhBUBUPnI3iOqSPMXZ2S9NpVOLttZJjzbSLic7jv4nLfq4nr9ff&#10;vXoGAAD//wMAUEsDBBQABgAIAAAAIQAvrOK83gAAAAoBAAAPAAAAZHJzL2Rvd25yZXYueG1sTI/B&#10;TsMwDIbvSLxD5ElcEEsptOtK0wmQQFw39gBp47XVGqdqsrV7e7wTO9mWP/3+XGxm24szjr5zpOB5&#10;GYFAqp3pqFGw//16ykD4oMno3hEquKCHTXl/V+jcuIm2eN6FRnAI+VwraEMYcil93aLVfukGJN4d&#10;3Gh14HFspBn1xOG2l3EUpdLqjvhCqwf8bLE+7k5WweFnekzWU/Ud9qvta/qhu1XlLko9LOb3NxAB&#10;5/APw1Wf1aFkp8qdyHjRK0jiNGFUQZxxZSBbX5tKwUuURiDLQt6+UP4BAAD//wMAUEsBAi0AFAAG&#10;AAgAAAAhALaDOJL+AAAA4QEAABMAAAAAAAAAAAAAAAAAAAAAAFtDb250ZW50X1R5cGVzXS54bWxQ&#10;SwECLQAUAAYACAAAACEAOP0h/9YAAACUAQAACwAAAAAAAAAAAAAAAAAvAQAAX3JlbHMvLnJlbHNQ&#10;SwECLQAUAAYACAAAACEAGYprwCMCAAAlBAAADgAAAAAAAAAAAAAAAAAuAgAAZHJzL2Uyb0RvYy54&#10;bWxQSwECLQAUAAYACAAAACEAL6zivN4AAAAKAQAADwAAAAAAAAAAAAAAAAB9BAAAZHJzL2Rvd25y&#10;ZXYueG1sUEsFBgAAAAAEAAQA8wAAAIgFAAAAAA==&#10;" stroked="f">
                <v:textbox>
                  <w:txbxContent>
                    <w:p w14:paraId="1478FCDD" w14:textId="72DA1ECC" w:rsidR="00CD4AF2" w:rsidRPr="00F94F9E" w:rsidRDefault="00CD4AF2" w:rsidP="00D56B77">
                      <w:pPr>
                        <w:pStyle w:val="BoxQuote"/>
                        <w:rPr>
                          <w:color w:val="215868" w:themeColor="accent5" w:themeShade="80"/>
                          <w:sz w:val="18"/>
                        </w:rPr>
                      </w:pPr>
                      <w:r w:rsidRPr="00F94F9E">
                        <w:rPr>
                          <w:color w:val="215868" w:themeColor="accent5" w:themeShade="80"/>
                        </w:rPr>
                        <w:t>WASH used to be the lowest priority—it was cut off from the political process. So if we make it political, work with champions and mayors, this helped to speed up achievements. They share their stories and then get re-elected due to the success—so it has political value.</w:t>
                      </w:r>
                    </w:p>
                    <w:p w14:paraId="00896B1A" w14:textId="176F342B" w:rsidR="00CD4AF2" w:rsidRPr="00F94F9E" w:rsidRDefault="00CD4AF2" w:rsidP="00D56B77">
                      <w:pPr>
                        <w:pStyle w:val="BoxQuote"/>
                        <w:jc w:val="right"/>
                        <w:rPr>
                          <w:i w:val="0"/>
                          <w:color w:val="215868" w:themeColor="accent5" w:themeShade="80"/>
                        </w:rPr>
                      </w:pPr>
                      <w:r w:rsidRPr="00F94F9E">
                        <w:rPr>
                          <w:i w:val="0"/>
                          <w:color w:val="215868" w:themeColor="accent5" w:themeShade="80"/>
                        </w:rPr>
                        <w:t>Program contractor, Indonesia,         staff interview</w:t>
                      </w:r>
                    </w:p>
                  </w:txbxContent>
                </v:textbox>
                <w10:wrap type="tight"/>
              </v:shape>
            </w:pict>
          </mc:Fallback>
        </mc:AlternateContent>
      </w:r>
      <w:r w:rsidR="008A0022">
        <w:rPr>
          <w:rFonts w:eastAsia="Calibri"/>
          <w:lang w:eastAsia="en-US"/>
        </w:rPr>
        <w:t xml:space="preserve">The </w:t>
      </w:r>
      <w:r w:rsidR="00912945">
        <w:rPr>
          <w:rFonts w:eastAsia="Calibri"/>
          <w:lang w:eastAsia="en-US"/>
        </w:rPr>
        <w:t>Hibah had si</w:t>
      </w:r>
      <w:r w:rsidR="008A0022">
        <w:rPr>
          <w:rFonts w:eastAsia="Calibri"/>
          <w:lang w:eastAsia="en-US"/>
        </w:rPr>
        <w:t>gnificant success in striking a</w:t>
      </w:r>
      <w:r w:rsidR="00AF6A11">
        <w:rPr>
          <w:rFonts w:eastAsia="Calibri"/>
          <w:lang w:eastAsia="en-US"/>
        </w:rPr>
        <w:t xml:space="preserve"> balance</w:t>
      </w:r>
      <w:r w:rsidR="00912945">
        <w:rPr>
          <w:rFonts w:eastAsia="Calibri"/>
          <w:lang w:eastAsia="en-US"/>
        </w:rPr>
        <w:t>d</w:t>
      </w:r>
      <w:r w:rsidR="00AF6A11">
        <w:rPr>
          <w:rFonts w:eastAsia="Calibri"/>
          <w:lang w:eastAsia="en-US"/>
        </w:rPr>
        <w:t xml:space="preserve"> engagement with political leaders and local administration. Local leaders are important to development of services, as mentioned by a local agency in </w:t>
      </w:r>
      <w:r w:rsidR="00034526">
        <w:rPr>
          <w:rFonts w:eastAsia="Calibri"/>
          <w:lang w:eastAsia="en-US"/>
        </w:rPr>
        <w:t>e</w:t>
      </w:r>
      <w:r w:rsidR="00AF6A11">
        <w:rPr>
          <w:rFonts w:eastAsia="Calibri"/>
          <w:lang w:eastAsia="en-US"/>
        </w:rPr>
        <w:t>ast Indonesia</w:t>
      </w:r>
      <w:r w:rsidR="00AF6A11" w:rsidRPr="00060D48">
        <w:rPr>
          <w:rFonts w:ascii="Calibri" w:eastAsia="Calibri" w:hAnsi="Calibri"/>
          <w:sz w:val="22"/>
          <w:szCs w:val="22"/>
          <w:lang w:eastAsia="en-US"/>
        </w:rPr>
        <w:t xml:space="preserve">: </w:t>
      </w:r>
      <w:r w:rsidR="00AF6A11">
        <w:rPr>
          <w:lang w:eastAsia="en-US"/>
        </w:rPr>
        <w:t>‘</w:t>
      </w:r>
      <w:r w:rsidR="00AF6A11" w:rsidRPr="0081083E">
        <w:rPr>
          <w:i/>
          <w:lang w:eastAsia="en-US"/>
        </w:rPr>
        <w:t xml:space="preserve">My responsibility is limited to </w:t>
      </w:r>
      <w:r w:rsidR="00AF6A11">
        <w:rPr>
          <w:i/>
          <w:lang w:eastAsia="en-US"/>
        </w:rPr>
        <w:t>…</w:t>
      </w:r>
      <w:r w:rsidR="00AF6A11" w:rsidRPr="0081083E">
        <w:rPr>
          <w:i/>
          <w:lang w:eastAsia="en-US"/>
        </w:rPr>
        <w:t xml:space="preserve"> forward</w:t>
      </w:r>
      <w:r w:rsidR="00AF6A11">
        <w:rPr>
          <w:i/>
          <w:lang w:eastAsia="en-US"/>
        </w:rPr>
        <w:t xml:space="preserve"> [inputs]</w:t>
      </w:r>
      <w:r w:rsidR="00AF6A11" w:rsidRPr="0081083E">
        <w:rPr>
          <w:i/>
          <w:lang w:eastAsia="en-US"/>
        </w:rPr>
        <w:t xml:space="preserve"> to Bupati who are the decision</w:t>
      </w:r>
      <w:r w:rsidR="00AF6A11">
        <w:rPr>
          <w:i/>
          <w:lang w:eastAsia="en-US"/>
        </w:rPr>
        <w:t>-</w:t>
      </w:r>
      <w:r w:rsidR="00AF6A11" w:rsidRPr="0081083E">
        <w:rPr>
          <w:i/>
          <w:lang w:eastAsia="en-US"/>
        </w:rPr>
        <w:t>making. Water utility tariffs, Bupati set these too</w:t>
      </w:r>
      <w:r w:rsidR="00AF6A11">
        <w:rPr>
          <w:i/>
          <w:lang w:eastAsia="en-US"/>
        </w:rPr>
        <w:t>.</w:t>
      </w:r>
      <w:r w:rsidR="00AF6A11">
        <w:rPr>
          <w:lang w:eastAsia="en-US"/>
        </w:rPr>
        <w:t>’</w:t>
      </w:r>
      <w:r w:rsidR="00AF6A11" w:rsidRPr="0081083E">
        <w:rPr>
          <w:lang w:eastAsia="en-US"/>
        </w:rPr>
        <w:t xml:space="preserve"> </w:t>
      </w:r>
      <w:r w:rsidR="00AF6A11">
        <w:rPr>
          <w:lang w:eastAsia="en-US"/>
        </w:rPr>
        <w:t xml:space="preserve">At the national level, a managing contractor staff member reported: </w:t>
      </w:r>
      <w:r w:rsidR="00AF6A11">
        <w:rPr>
          <w:rFonts w:eastAsia="Calibri"/>
        </w:rPr>
        <w:t>‘</w:t>
      </w:r>
      <w:r w:rsidR="00AF6A11" w:rsidRPr="008814F3">
        <w:rPr>
          <w:i/>
          <w:lang w:eastAsia="en-US"/>
        </w:rPr>
        <w:t>The Hibah program</w:t>
      </w:r>
      <w:r w:rsidR="00034526">
        <w:rPr>
          <w:i/>
          <w:lang w:eastAsia="en-US"/>
        </w:rPr>
        <w:t xml:space="preserve"> </w:t>
      </w:r>
      <w:r w:rsidR="00AF6A11" w:rsidRPr="008814F3">
        <w:rPr>
          <w:i/>
          <w:lang w:eastAsia="en-US"/>
        </w:rPr>
        <w:t>… aligns incentives for everything. Local government sees there are votes in this</w:t>
      </w:r>
      <w:r w:rsidR="00AF6A11">
        <w:rPr>
          <w:i/>
          <w:lang w:eastAsia="en-US"/>
        </w:rPr>
        <w:t xml:space="preserve">’ </w:t>
      </w:r>
      <w:r w:rsidR="00AF6A11" w:rsidRPr="008814F3">
        <w:rPr>
          <w:lang w:eastAsia="en-US"/>
        </w:rPr>
        <w:t>and</w:t>
      </w:r>
      <w:r w:rsidR="00AF6A11" w:rsidRPr="008814F3">
        <w:rPr>
          <w:i/>
          <w:lang w:eastAsia="en-US"/>
        </w:rPr>
        <w:t xml:space="preserve"> </w:t>
      </w:r>
      <w:r w:rsidR="00AF6A11">
        <w:rPr>
          <w:i/>
          <w:lang w:eastAsia="en-US"/>
        </w:rPr>
        <w:t>‘</w:t>
      </w:r>
      <w:r w:rsidR="00AF6A11" w:rsidRPr="0082547F">
        <w:rPr>
          <w:i/>
          <w:lang w:eastAsia="en-US"/>
        </w:rPr>
        <w:t>We a</w:t>
      </w:r>
      <w:r w:rsidR="00AF6A11" w:rsidRPr="0082547F">
        <w:rPr>
          <w:rFonts w:eastAsia="Calibri"/>
          <w:i/>
        </w:rPr>
        <w:t>lso work with the media, with Mo</w:t>
      </w:r>
      <w:r w:rsidR="00AF6A11" w:rsidRPr="0082547F">
        <w:rPr>
          <w:i/>
          <w:lang w:eastAsia="en-US"/>
        </w:rPr>
        <w:t>HA</w:t>
      </w:r>
      <w:r w:rsidR="00AF6A11">
        <w:rPr>
          <w:i/>
          <w:lang w:eastAsia="en-US"/>
        </w:rPr>
        <w:t>—</w:t>
      </w:r>
      <w:r w:rsidR="00AF6A11" w:rsidRPr="0082547F">
        <w:rPr>
          <w:i/>
          <w:lang w:eastAsia="en-US"/>
        </w:rPr>
        <w:t>explicitly recognise these achievements and the political value behind it</w:t>
      </w:r>
      <w:r w:rsidR="00AF6A11" w:rsidRPr="0082547F">
        <w:rPr>
          <w:rFonts w:eastAsia="Calibri"/>
          <w:i/>
        </w:rPr>
        <w:t>.</w:t>
      </w:r>
      <w:r w:rsidR="00AF6A11">
        <w:rPr>
          <w:i/>
          <w:lang w:eastAsia="en-US"/>
        </w:rPr>
        <w:t>’</w:t>
      </w:r>
      <w:r w:rsidR="00AF6A11" w:rsidRPr="0082547F">
        <w:rPr>
          <w:i/>
          <w:lang w:eastAsia="en-US"/>
        </w:rPr>
        <w:t xml:space="preserve"> </w:t>
      </w:r>
    </w:p>
    <w:p w14:paraId="579FF0E2" w14:textId="4D1D6A76" w:rsidR="00AF6A11" w:rsidRPr="00233C98" w:rsidRDefault="00034526" w:rsidP="00EF6BCF">
      <w:pPr>
        <w:rPr>
          <w:rFonts w:eastAsia="Calibri"/>
        </w:rPr>
      </w:pPr>
      <w:r>
        <w:rPr>
          <w:rFonts w:eastAsia="Calibri"/>
        </w:rPr>
        <w:t>E</w:t>
      </w:r>
      <w:r w:rsidR="00AF6A11">
        <w:rPr>
          <w:rFonts w:eastAsia="Calibri"/>
        </w:rPr>
        <w:t>ngagement was</w:t>
      </w:r>
      <w:r w:rsidR="00AF6A11" w:rsidRPr="00EE53B3">
        <w:rPr>
          <w:rFonts w:eastAsia="Calibri"/>
        </w:rPr>
        <w:t xml:space="preserve"> weighted towards the supply</w:t>
      </w:r>
      <w:r w:rsidR="00AF6A11">
        <w:rPr>
          <w:rFonts w:eastAsia="Calibri"/>
        </w:rPr>
        <w:t xml:space="preserve"> </w:t>
      </w:r>
      <w:r w:rsidR="00AF6A11" w:rsidRPr="00EE53B3">
        <w:rPr>
          <w:rFonts w:eastAsia="Calibri"/>
        </w:rPr>
        <w:t>side</w:t>
      </w:r>
      <w:r>
        <w:rPr>
          <w:rFonts w:eastAsia="Calibri"/>
        </w:rPr>
        <w:t xml:space="preserve"> with more </w:t>
      </w:r>
      <w:r w:rsidR="00AF6A11" w:rsidRPr="00EE53B3">
        <w:rPr>
          <w:rFonts w:eastAsia="Calibri"/>
        </w:rPr>
        <w:t xml:space="preserve">limited focus </w:t>
      </w:r>
      <w:r>
        <w:rPr>
          <w:rFonts w:eastAsia="Calibri"/>
        </w:rPr>
        <w:t>to</w:t>
      </w:r>
      <w:r w:rsidR="00AF6A11" w:rsidRPr="00EE53B3">
        <w:rPr>
          <w:rFonts w:eastAsia="Calibri"/>
        </w:rPr>
        <w:t xml:space="preserve"> the demand side</w:t>
      </w:r>
      <w:r w:rsidR="00AF6A11">
        <w:rPr>
          <w:rFonts w:eastAsia="Calibri"/>
        </w:rPr>
        <w:t xml:space="preserve">. During implementation, baseline assessments were undertaken to understand which members of the population were interested to connect and </w:t>
      </w:r>
      <w:r>
        <w:rPr>
          <w:rFonts w:eastAsia="Calibri"/>
        </w:rPr>
        <w:t>to</w:t>
      </w:r>
      <w:r w:rsidR="00AF6A11">
        <w:rPr>
          <w:rFonts w:eastAsia="Calibri"/>
        </w:rPr>
        <w:t xml:space="preserve"> verif</w:t>
      </w:r>
      <w:r>
        <w:rPr>
          <w:rFonts w:eastAsia="Calibri"/>
        </w:rPr>
        <w:t>y</w:t>
      </w:r>
      <w:r w:rsidR="00AF6A11">
        <w:rPr>
          <w:rFonts w:eastAsia="Calibri"/>
        </w:rPr>
        <w:t xml:space="preserve"> connections.</w:t>
      </w:r>
      <w:r w:rsidR="00785A85">
        <w:rPr>
          <w:rStyle w:val="FootnoteReference"/>
          <w:rFonts w:eastAsia="Calibri"/>
        </w:rPr>
        <w:footnoteReference w:id="29"/>
      </w:r>
      <w:r w:rsidR="00785A85">
        <w:rPr>
          <w:rFonts w:eastAsia="Calibri"/>
        </w:rPr>
        <w:t xml:space="preserve"> </w:t>
      </w:r>
      <w:r w:rsidR="00AF6A11">
        <w:rPr>
          <w:rFonts w:eastAsia="Calibri"/>
        </w:rPr>
        <w:t>The following issues are not addressed</w:t>
      </w:r>
      <w:r>
        <w:rPr>
          <w:rFonts w:eastAsia="Calibri"/>
        </w:rPr>
        <w:t xml:space="preserve"> in design or implementation</w:t>
      </w:r>
      <w:r w:rsidR="00AF6A11">
        <w:rPr>
          <w:rFonts w:eastAsia="Calibri"/>
        </w:rPr>
        <w:t>: the availability of service agreements, customer complaint mechanisms, expected service levels, participation in tariff setting and potential mechanisms to raise demand for better service delivery through citizen voice and pressure on local government.</w:t>
      </w:r>
      <w:r w:rsidR="00785A85">
        <w:rPr>
          <w:rStyle w:val="FootnoteReference"/>
          <w:rFonts w:eastAsia="Calibri"/>
        </w:rPr>
        <w:footnoteReference w:id="30"/>
      </w:r>
      <w:r w:rsidR="00785A85">
        <w:rPr>
          <w:rFonts w:eastAsia="Calibri"/>
        </w:rPr>
        <w:t xml:space="preserve"> </w:t>
      </w:r>
      <w:r w:rsidR="00AF6A11">
        <w:rPr>
          <w:rFonts w:eastAsia="Calibri"/>
        </w:rPr>
        <w:t xml:space="preserve">In addition, </w:t>
      </w:r>
      <w:r>
        <w:rPr>
          <w:rFonts w:eastAsia="Calibri"/>
        </w:rPr>
        <w:t>limited demand</w:t>
      </w:r>
      <w:r w:rsidR="003D3293">
        <w:rPr>
          <w:rFonts w:eastAsia="Calibri"/>
        </w:rPr>
        <w:t>-</w:t>
      </w:r>
      <w:r>
        <w:rPr>
          <w:rFonts w:eastAsia="Calibri"/>
        </w:rPr>
        <w:t xml:space="preserve">side </w:t>
      </w:r>
      <w:r w:rsidR="00AF6A11">
        <w:rPr>
          <w:rFonts w:eastAsia="Calibri"/>
        </w:rPr>
        <w:t xml:space="preserve">knowledge </w:t>
      </w:r>
      <w:r>
        <w:rPr>
          <w:rFonts w:eastAsia="Calibri"/>
        </w:rPr>
        <w:t xml:space="preserve">of </w:t>
      </w:r>
      <w:r w:rsidR="00AF6A11">
        <w:rPr>
          <w:rFonts w:eastAsia="Calibri"/>
        </w:rPr>
        <w:t xml:space="preserve">sanitation </w:t>
      </w:r>
      <w:r w:rsidR="00AF6A11" w:rsidRPr="00EE53B3">
        <w:rPr>
          <w:rFonts w:eastAsia="Calibri"/>
        </w:rPr>
        <w:t>contributed to challenges. D</w:t>
      </w:r>
      <w:r w:rsidR="00AF6A11" w:rsidRPr="00EE53B3">
        <w:rPr>
          <w:lang w:eastAsia="en-US"/>
        </w:rPr>
        <w:t>emand for connections was found to be lower</w:t>
      </w:r>
      <w:r w:rsidR="00AF6A11">
        <w:rPr>
          <w:lang w:eastAsia="en-US"/>
        </w:rPr>
        <w:t xml:space="preserve"> than expected and this led to </w:t>
      </w:r>
      <w:r w:rsidR="00AF6A11" w:rsidRPr="00EE53B3">
        <w:rPr>
          <w:lang w:eastAsia="en-US"/>
        </w:rPr>
        <w:t xml:space="preserve">reallocation of funds </w:t>
      </w:r>
      <w:r w:rsidR="00AF6A11">
        <w:rPr>
          <w:lang w:eastAsia="en-US"/>
        </w:rPr>
        <w:t>to water.</w:t>
      </w:r>
    </w:p>
    <w:p w14:paraId="2DE8FC66" w14:textId="77777777" w:rsidR="00AF6A11" w:rsidRDefault="00034526" w:rsidP="00AE2162">
      <w:pPr>
        <w:pStyle w:val="Heading3"/>
      </w:pPr>
      <w:bookmarkStart w:id="241" w:name="_Toc371187635"/>
      <w:bookmarkStart w:id="242" w:name="_Toc372300967"/>
      <w:bookmarkStart w:id="243" w:name="_Toc382563906"/>
      <w:bookmarkStart w:id="244" w:name="_Toc382595860"/>
      <w:r>
        <w:t>S</w:t>
      </w:r>
      <w:r w:rsidR="00AF6A11">
        <w:t>ustainability through o</w:t>
      </w:r>
      <w:r w:rsidR="00AF6A11" w:rsidRPr="00813F36">
        <w:t>wnership and capacity building</w:t>
      </w:r>
      <w:bookmarkEnd w:id="241"/>
      <w:bookmarkEnd w:id="242"/>
      <w:bookmarkEnd w:id="243"/>
      <w:bookmarkEnd w:id="244"/>
    </w:p>
    <w:p w14:paraId="3AABF5E5" w14:textId="7EA8DFEA" w:rsidR="007537FF" w:rsidRDefault="007537FF" w:rsidP="007537FF">
      <w:pPr>
        <w:rPr>
          <w:noProof/>
        </w:rPr>
      </w:pPr>
      <w:r>
        <w:rPr>
          <w:noProof/>
        </w:rPr>
        <mc:AlternateContent>
          <mc:Choice Requires="wps">
            <w:drawing>
              <wp:anchor distT="0" distB="0" distL="114300" distR="114300" simplePos="0" relativeHeight="251804672" behindDoc="1" locked="0" layoutInCell="1" allowOverlap="1" wp14:anchorId="7B6F273F" wp14:editId="3789B27C">
                <wp:simplePos x="0" y="0"/>
                <wp:positionH relativeFrom="column">
                  <wp:posOffset>3343275</wp:posOffset>
                </wp:positionH>
                <wp:positionV relativeFrom="paragraph">
                  <wp:posOffset>1512570</wp:posOffset>
                </wp:positionV>
                <wp:extent cx="2362200" cy="1466850"/>
                <wp:effectExtent l="0" t="0" r="0" b="0"/>
                <wp:wrapTight wrapText="bothSides">
                  <wp:wrapPolygon edited="0">
                    <wp:start x="0" y="0"/>
                    <wp:lineTo x="0" y="21319"/>
                    <wp:lineTo x="21426" y="21319"/>
                    <wp:lineTo x="21426"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66850"/>
                        </a:xfrm>
                        <a:prstGeom prst="rect">
                          <a:avLst/>
                        </a:prstGeom>
                        <a:solidFill>
                          <a:srgbClr val="FFFFFF"/>
                        </a:solidFill>
                        <a:ln w="9525">
                          <a:noFill/>
                          <a:miter lim="800000"/>
                          <a:headEnd/>
                          <a:tailEnd/>
                        </a:ln>
                      </wps:spPr>
                      <wps:txbx>
                        <w:txbxContent>
                          <w:p w14:paraId="1DDBB974" w14:textId="08A05F4E" w:rsidR="00CD4AF2" w:rsidRPr="00F94F9E" w:rsidRDefault="00CD4AF2" w:rsidP="007537FF">
                            <w:pPr>
                              <w:pStyle w:val="BoxQuote"/>
                              <w:rPr>
                                <w:color w:val="215868" w:themeColor="accent5" w:themeShade="80"/>
                                <w:sz w:val="18"/>
                              </w:rPr>
                            </w:pPr>
                            <w:r w:rsidRPr="00F94F9E">
                              <w:rPr>
                                <w:color w:val="215868" w:themeColor="accent5" w:themeShade="80"/>
                              </w:rPr>
                              <w:t>The water Hibah design required local government to invest equity into the PDAM equal to or greater than the grant. While most local government invested funds to equal the grant, some invested in excess.</w:t>
                            </w:r>
                          </w:p>
                          <w:p w14:paraId="116664B2" w14:textId="6DF47948" w:rsidR="00CD4AF2" w:rsidRPr="00F94F9E" w:rsidRDefault="00CD4AF2" w:rsidP="007537FF">
                            <w:pPr>
                              <w:pStyle w:val="BoxQuote"/>
                              <w:jc w:val="right"/>
                              <w:rPr>
                                <w:i w:val="0"/>
                                <w:color w:val="215868" w:themeColor="accent5" w:themeShade="80"/>
                              </w:rPr>
                            </w:pPr>
                            <w:r w:rsidRPr="00F94F9E">
                              <w:rPr>
                                <w:i w:val="0"/>
                                <w:color w:val="215868" w:themeColor="accent5" w:themeShade="80"/>
                              </w:rPr>
                              <w:t xml:space="preserve">Concept </w:t>
                            </w:r>
                            <w:r w:rsidRPr="00F94F9E">
                              <w:rPr>
                                <w:color w:val="215868" w:themeColor="accent5" w:themeShade="80"/>
                              </w:rPr>
                              <w:t>peer review minutes, AusAID, Canberra, September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3.25pt;margin-top:119.1pt;width:186pt;height:11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G7JAIAACUEAAAOAAAAZHJzL2Uyb0RvYy54bWysU21v2yAQ/j5p/wHxfXHsJllqxam6dJkm&#10;dS9Sux+AMY7RgGNAYme/fgdO06j7VpUPiOOOh7vnuVvdDFqRg3BegqloPplSIgyHRppdRX89bj8s&#10;KfGBmYYpMKKiR+Hpzfr9u1VvS1FAB6oRjiCI8WVvK9qFYMss87wTmvkJWGHQ2YLTLKDpdlnjWI/o&#10;WmXFdLrIenCNdcCF93h7NzrpOuG3reDhR9t6EYiqKOYW0u7SXsc9W69YuXPMdpKf0mCvyEIzafDT&#10;M9QdC4zsnfwPSkvuwEMbJhx0Bm0ruUg1YDX59EU1Dx2zItWC5Hh7psm/HSz/fvjpiGwqeoVKGaZR&#10;o0cxBPIJBlJEenrrS4x6sBgXBrxGmVOp3t4D/+2JgU3HzE7cOgd9J1iD6eXxZXbxdMTxEaTuv0GD&#10;37B9gAQ0tE5H7pANgugo0/EsTUyF42VxtShQb0o4+vLZYrGcJ/EyVj49t86HLwI0iYeKOtQ+wbPD&#10;vQ8xHVY+hcTfPCjZbKVSyXC7eqMcOTDsk21aqYIXYcqQvqLX82KekA3E96mFtAzYx0rqii6ncY2d&#10;Fen4bJoUEphU4xkzUebET6RkJCcM9ZCUyBN7kbwamiMy5mDsW5wzPHTg/lLSY89W1P/ZMycoUV8N&#10;sn6dz2axyZMxm38s0HCXnvrSwwxHqIoGSsbjJqTBiHwYuEV1Wpl4e87klDP2YqLzNDex2S/tFPU8&#10;3et/AAAA//8DAFBLAwQUAAYACAAAACEA3pK8bd8AAAALAQAADwAAAGRycy9kb3ducmV2LnhtbEyP&#10;wU6DQBCG7ya+w2ZMvBi7uBYKyNCoicZrax9ggCkQ2V3Cbgt9e9eTPc7Ml3++v9guehBnnlxvDcLT&#10;KgLBprZNb1qEw/fHYwrCeTINDdYwwoUdbMvbm4Lyxs5mx+e9b0UIMS4nhM77MZfS1R1rcis7sgm3&#10;o500+TBOrWwmmkO4HqSKokRq6k340NHI7x3XP/uTRjh+zQ9xNlef/rDZrZM36jeVvSDe3y2vLyA8&#10;L/4fhj/9oA5lcKrsyTRODAixSuKAIqjnVIEIRJqlYVMhrJNMgSwLed2h/AUAAP//AwBQSwECLQAU&#10;AAYACAAAACEAtoM4kv4AAADhAQAAEwAAAAAAAAAAAAAAAAAAAAAAW0NvbnRlbnRfVHlwZXNdLnht&#10;bFBLAQItABQABgAIAAAAIQA4/SH/1gAAAJQBAAALAAAAAAAAAAAAAAAAAC8BAABfcmVscy8ucmVs&#10;c1BLAQItABQABgAIAAAAIQD9EaG7JAIAACUEAAAOAAAAAAAAAAAAAAAAAC4CAABkcnMvZTJvRG9j&#10;LnhtbFBLAQItABQABgAIAAAAIQDekrxt3wAAAAsBAAAPAAAAAAAAAAAAAAAAAH4EAABkcnMvZG93&#10;bnJldi54bWxQSwUGAAAAAAQABADzAAAAigUAAAAA&#10;" stroked="f">
                <v:textbox>
                  <w:txbxContent>
                    <w:p w14:paraId="1DDBB974" w14:textId="08A05F4E" w:rsidR="00CD4AF2" w:rsidRPr="00F94F9E" w:rsidRDefault="00CD4AF2" w:rsidP="007537FF">
                      <w:pPr>
                        <w:pStyle w:val="BoxQuote"/>
                        <w:rPr>
                          <w:color w:val="215868" w:themeColor="accent5" w:themeShade="80"/>
                          <w:sz w:val="18"/>
                        </w:rPr>
                      </w:pPr>
                      <w:r w:rsidRPr="00F94F9E">
                        <w:rPr>
                          <w:color w:val="215868" w:themeColor="accent5" w:themeShade="80"/>
                        </w:rPr>
                        <w:t>The water Hibah design required local government to invest equity into the PDAM equal to or greater than the grant. While most local government invested funds to equal the grant, some invested in excess.</w:t>
                      </w:r>
                    </w:p>
                    <w:p w14:paraId="116664B2" w14:textId="6DF47948" w:rsidR="00CD4AF2" w:rsidRPr="00F94F9E" w:rsidRDefault="00CD4AF2" w:rsidP="007537FF">
                      <w:pPr>
                        <w:pStyle w:val="BoxQuote"/>
                        <w:jc w:val="right"/>
                        <w:rPr>
                          <w:i w:val="0"/>
                          <w:color w:val="215868" w:themeColor="accent5" w:themeShade="80"/>
                        </w:rPr>
                      </w:pPr>
                      <w:r w:rsidRPr="00F94F9E">
                        <w:rPr>
                          <w:i w:val="0"/>
                          <w:color w:val="215868" w:themeColor="accent5" w:themeShade="80"/>
                        </w:rPr>
                        <w:t xml:space="preserve">Concept </w:t>
                      </w:r>
                      <w:r w:rsidRPr="00F94F9E">
                        <w:rPr>
                          <w:color w:val="215868" w:themeColor="accent5" w:themeShade="80"/>
                        </w:rPr>
                        <w:t>peer review minutes, AusAID, Canberra, September 2011</w:t>
                      </w:r>
                    </w:p>
                  </w:txbxContent>
                </v:textbox>
                <w10:wrap type="tight"/>
              </v:shape>
            </w:pict>
          </mc:Fallback>
        </mc:AlternateContent>
      </w:r>
      <w:r w:rsidR="00AF6A11">
        <w:t>Ownership of the Hibah initiative at the national level is strong. For example, there are examples of government investments</w:t>
      </w:r>
      <w:r w:rsidR="00AF6A11" w:rsidRPr="00144D11">
        <w:t xml:space="preserve">: </w:t>
      </w:r>
      <w:r w:rsidR="00AF6A11">
        <w:t>‘</w:t>
      </w:r>
      <w:r w:rsidR="00AF6A11" w:rsidRPr="00144D11">
        <w:rPr>
          <w:i/>
        </w:rPr>
        <w:t xml:space="preserve">DGSH </w:t>
      </w:r>
      <w:r w:rsidR="00AF6A11">
        <w:rPr>
          <w:i/>
        </w:rPr>
        <w:t xml:space="preserve">[Director </w:t>
      </w:r>
      <w:r w:rsidR="00AF6A11" w:rsidRPr="00B9479A">
        <w:rPr>
          <w:i/>
        </w:rPr>
        <w:t>General of Human Settlements]</w:t>
      </w:r>
      <w:r w:rsidR="00AF6A11" w:rsidRPr="00144D11">
        <w:rPr>
          <w:i/>
        </w:rPr>
        <w:t xml:space="preserve"> has established a full staffed CPMU </w:t>
      </w:r>
      <w:r w:rsidR="00AF6A11">
        <w:rPr>
          <w:i/>
        </w:rPr>
        <w:t>[</w:t>
      </w:r>
      <w:r w:rsidR="00AF6A11" w:rsidRPr="00B9479A">
        <w:rPr>
          <w:i/>
        </w:rPr>
        <w:t>Central Project Management Unit</w:t>
      </w:r>
      <w:r w:rsidR="00AF6A11">
        <w:rPr>
          <w:i/>
        </w:rPr>
        <w:t>]</w:t>
      </w:r>
      <w:r w:rsidR="00AF6A11" w:rsidRPr="00B9479A">
        <w:rPr>
          <w:i/>
        </w:rPr>
        <w:t xml:space="preserve"> </w:t>
      </w:r>
      <w:r w:rsidR="00AF6A11" w:rsidRPr="00144D11">
        <w:rPr>
          <w:i/>
        </w:rPr>
        <w:t xml:space="preserve">to manage the water </w:t>
      </w:r>
      <w:r w:rsidR="00AF6A11">
        <w:rPr>
          <w:i/>
        </w:rPr>
        <w:t>h</w:t>
      </w:r>
      <w:r w:rsidR="00AF6A11" w:rsidRPr="00144D11">
        <w:rPr>
          <w:i/>
        </w:rPr>
        <w:t xml:space="preserve">ibah and </w:t>
      </w:r>
      <w:r w:rsidR="00AF6A11">
        <w:rPr>
          <w:i/>
        </w:rPr>
        <w:t xml:space="preserve">is </w:t>
      </w:r>
      <w:r w:rsidR="00AF6A11" w:rsidRPr="00144D11">
        <w:rPr>
          <w:i/>
        </w:rPr>
        <w:t>using its own resources and funding to administer the program</w:t>
      </w:r>
      <w:r w:rsidR="00AF6A11" w:rsidRPr="00144D11">
        <w:t>.</w:t>
      </w:r>
      <w:r w:rsidR="00AF6A11">
        <w:t>’ Ownership at the subnational level is also strong. The self-selection of local governments ensures ownership. IndII staff explained: ‘</w:t>
      </w:r>
      <w:r w:rsidR="00AF6A11" w:rsidRPr="008C11F0">
        <w:rPr>
          <w:i/>
        </w:rPr>
        <w:t xml:space="preserve">Hibah </w:t>
      </w:r>
      <w:r w:rsidR="00AF6A11">
        <w:rPr>
          <w:i/>
        </w:rPr>
        <w:t>[…]</w:t>
      </w:r>
      <w:r w:rsidR="00AF6A11" w:rsidRPr="008C11F0">
        <w:rPr>
          <w:i/>
        </w:rPr>
        <w:t xml:space="preserve"> give</w:t>
      </w:r>
      <w:r w:rsidR="00AF6A11">
        <w:rPr>
          <w:i/>
        </w:rPr>
        <w:t>[s]</w:t>
      </w:r>
      <w:r w:rsidR="00AF6A11" w:rsidRPr="008C11F0">
        <w:rPr>
          <w:i/>
        </w:rPr>
        <w:t xml:space="preserve"> local </w:t>
      </w:r>
      <w:r w:rsidR="00AF6A11">
        <w:rPr>
          <w:i/>
        </w:rPr>
        <w:t>government</w:t>
      </w:r>
      <w:r w:rsidR="00AF6A11" w:rsidRPr="008C11F0">
        <w:rPr>
          <w:i/>
        </w:rPr>
        <w:t xml:space="preserve"> a sense of ownership. Local government decide how it works</w:t>
      </w:r>
      <w:r w:rsidR="00AF6A11">
        <w:rPr>
          <w:i/>
        </w:rPr>
        <w:t>.</w:t>
      </w:r>
      <w:r w:rsidR="00AF6A11">
        <w:t>’ Local governments invest in the initiative: ‘</w:t>
      </w:r>
      <w:r w:rsidR="00AF6A11" w:rsidRPr="0082547F">
        <w:rPr>
          <w:i/>
        </w:rPr>
        <w:t>The water hibah grant is sized to provide approximately 40</w:t>
      </w:r>
      <w:r w:rsidR="00AF6A11">
        <w:rPr>
          <w:i/>
        </w:rPr>
        <w:t> per cent</w:t>
      </w:r>
      <w:r w:rsidR="00AF6A11" w:rsidRPr="0082547F">
        <w:rPr>
          <w:i/>
        </w:rPr>
        <w:t xml:space="preserve"> of the full cost of development of new connections. It represents about 65</w:t>
      </w:r>
      <w:r w:rsidR="00AF6A11">
        <w:rPr>
          <w:i/>
        </w:rPr>
        <w:t> per cent</w:t>
      </w:r>
      <w:r w:rsidR="00AF6A11" w:rsidRPr="0082547F">
        <w:rPr>
          <w:i/>
        </w:rPr>
        <w:t xml:space="preserve"> of the marginal cost of extending the network</w:t>
      </w:r>
      <w:r w:rsidR="00AF6A11">
        <w:rPr>
          <w:i/>
        </w:rPr>
        <w:t xml:space="preserve"> f</w:t>
      </w:r>
      <w:r w:rsidR="00AF6A11" w:rsidRPr="0082547F">
        <w:rPr>
          <w:i/>
        </w:rPr>
        <w:t>or new connections.</w:t>
      </w:r>
      <w:r w:rsidR="00AF6A11">
        <w:rPr>
          <w:i/>
        </w:rPr>
        <w:t>’</w:t>
      </w:r>
      <w:r w:rsidR="00AF6A11">
        <w:rPr>
          <w:rStyle w:val="EndnoteReference"/>
        </w:rPr>
        <w:endnoteReference w:id="177"/>
      </w:r>
      <w:r w:rsidR="00AF6A11">
        <w:rPr>
          <w:i/>
        </w:rPr>
        <w:t xml:space="preserve"> </w:t>
      </w:r>
      <w:r w:rsidR="00AF6A11">
        <w:t xml:space="preserve">However, some investment may have come from PDAMs rather than local governments: </w:t>
      </w:r>
      <w:r w:rsidR="00AF6A11">
        <w:rPr>
          <w:i/>
        </w:rPr>
        <w:t>‘T</w:t>
      </w:r>
      <w:r w:rsidR="00AF6A11" w:rsidRPr="0082547F">
        <w:rPr>
          <w:i/>
        </w:rPr>
        <w:t>he first phase o</w:t>
      </w:r>
      <w:r w:rsidR="00AF6A11">
        <w:rPr>
          <w:i/>
        </w:rPr>
        <w:t>f</w:t>
      </w:r>
      <w:r w:rsidR="00B9479A">
        <w:rPr>
          <w:i/>
        </w:rPr>
        <w:t xml:space="preserve"> the H</w:t>
      </w:r>
      <w:r w:rsidR="00AF6A11" w:rsidRPr="0082547F">
        <w:rPr>
          <w:i/>
        </w:rPr>
        <w:t>ibah was so successful because PDAMs were strong</w:t>
      </w:r>
      <w:r w:rsidR="00AF6A11">
        <w:rPr>
          <w:i/>
        </w:rPr>
        <w:t>—</w:t>
      </w:r>
      <w:r w:rsidR="00AF6A11" w:rsidRPr="0082547F">
        <w:rPr>
          <w:i/>
        </w:rPr>
        <w:t xml:space="preserve">they had budgets and could move </w:t>
      </w:r>
      <w:r w:rsidR="00AF6A11">
        <w:rPr>
          <w:i/>
        </w:rPr>
        <w:t>before the local government</w:t>
      </w:r>
      <w:r w:rsidR="00AF6A11" w:rsidRPr="0082547F">
        <w:rPr>
          <w:i/>
        </w:rPr>
        <w:t>s could provide money. More than half was pre-invested by the PDAMs.</w:t>
      </w:r>
      <w:r w:rsidR="00AF6A11">
        <w:rPr>
          <w:i/>
        </w:rPr>
        <w:t>’</w:t>
      </w:r>
      <w:r w:rsidR="00AF6A11">
        <w:rPr>
          <w:rStyle w:val="EndnoteReference"/>
        </w:rPr>
        <w:endnoteReference w:id="178"/>
      </w:r>
      <w:r w:rsidR="00AF6A11">
        <w:t xml:space="preserve"> To receive the grant, local governments are required to enact a local regulation that sets out the equity investment to PDAM, and this is an important step forward.</w:t>
      </w:r>
      <w:r w:rsidR="00AF6A11" w:rsidRPr="00233C98">
        <w:rPr>
          <w:noProof/>
        </w:rPr>
        <w:t xml:space="preserve"> </w:t>
      </w:r>
    </w:p>
    <w:p w14:paraId="70F14D2F" w14:textId="6CD9E812" w:rsidR="00AF6A11" w:rsidRDefault="008156F0" w:rsidP="007537FF">
      <w:r>
        <w:t>S</w:t>
      </w:r>
      <w:r w:rsidR="00AF6A11">
        <w:t>ustainability of the Hibah has been positively assessed.</w:t>
      </w:r>
      <w:r w:rsidR="00785A85">
        <w:rPr>
          <w:rStyle w:val="FootnoteReference"/>
        </w:rPr>
        <w:footnoteReference w:id="31"/>
      </w:r>
      <w:r w:rsidR="00785A85">
        <w:t xml:space="preserve"> </w:t>
      </w:r>
      <w:r w:rsidR="00AF6A11">
        <w:t>However</w:t>
      </w:r>
      <w:r w:rsidR="003D3293">
        <w:t>,</w:t>
      </w:r>
      <w:r w:rsidR="00AF6A11">
        <w:t xml:space="preserve"> questions have been raised about whether the Hibah has provided sufficient capacity-building support at the local level to ensure sustained services.</w:t>
      </w:r>
      <w:r w:rsidR="00AF6A11">
        <w:rPr>
          <w:rStyle w:val="EndnoteReference"/>
        </w:rPr>
        <w:endnoteReference w:id="179"/>
      </w:r>
      <w:r w:rsidR="00AF6A11">
        <w:t xml:space="preserve"> In phase 2: ‘</w:t>
      </w:r>
      <w:r w:rsidR="00AF6A11">
        <w:rPr>
          <w:i/>
        </w:rPr>
        <w:t>Weaker local government</w:t>
      </w:r>
      <w:r w:rsidR="00AF6A11" w:rsidRPr="0082547F">
        <w:rPr>
          <w:i/>
        </w:rPr>
        <w:t xml:space="preserve">s and PDAMs will be a challenge. The main design feature that will allow us to </w:t>
      </w:r>
      <w:r w:rsidR="008A0022">
        <w:rPr>
          <w:i/>
        </w:rPr>
        <w:t>[work successfully with weaker local governments]</w:t>
      </w:r>
      <w:r w:rsidR="00AF6A11" w:rsidRPr="0082547F">
        <w:rPr>
          <w:i/>
        </w:rPr>
        <w:t xml:space="preserve"> is the three year program</w:t>
      </w:r>
      <w:r w:rsidR="00AF6A11">
        <w:t>.’</w:t>
      </w:r>
      <w:r w:rsidR="00AF6A11">
        <w:rPr>
          <w:rStyle w:val="EndnoteReference"/>
        </w:rPr>
        <w:endnoteReference w:id="180"/>
      </w:r>
      <w:r w:rsidR="00AF6A11">
        <w:t xml:space="preserve"> The challenges to sustaining services </w:t>
      </w:r>
      <w:r>
        <w:t>raised in interviews were</w:t>
      </w:r>
      <w:r w:rsidR="00AF6A11">
        <w:t xml:space="preserve">: </w:t>
      </w:r>
    </w:p>
    <w:p w14:paraId="742B0493" w14:textId="77777777" w:rsidR="00AF6A11" w:rsidRDefault="00AF6A11" w:rsidP="00EF6BCF">
      <w:pPr>
        <w:pStyle w:val="Bullet"/>
      </w:pPr>
      <w:r>
        <w:t>lack of commitment of local leaders: ‘</w:t>
      </w:r>
      <w:r>
        <w:rPr>
          <w:i/>
        </w:rPr>
        <w:t>C</w:t>
      </w:r>
      <w:r w:rsidRPr="00B9479A">
        <w:rPr>
          <w:i/>
        </w:rPr>
        <w:t>ommitment of local leaders influences success. If local leaders commit, they will have a good [utility]. This is a challenge as some provinces have less commitment.’</w:t>
      </w:r>
    </w:p>
    <w:p w14:paraId="315B6906" w14:textId="77777777" w:rsidR="00AF6A11" w:rsidRDefault="00AF6A11" w:rsidP="00EF6BCF">
      <w:pPr>
        <w:pStyle w:val="Bullet"/>
      </w:pPr>
      <w:r>
        <w:t xml:space="preserve">lack of local investment in </w:t>
      </w:r>
      <w:r w:rsidRPr="00DE0427">
        <w:t xml:space="preserve">services </w:t>
      </w:r>
      <w:r>
        <w:t xml:space="preserve">(reliance on central </w:t>
      </w:r>
      <w:r w:rsidRPr="00DE0427">
        <w:t xml:space="preserve">government </w:t>
      </w:r>
      <w:r>
        <w:t>investment): ‘</w:t>
      </w:r>
      <w:r w:rsidRPr="00B9479A">
        <w:rPr>
          <w:i/>
        </w:rPr>
        <w:t>There is reliance on the centre to bring investment down</w:t>
      </w:r>
      <w:r w:rsidR="008156F0">
        <w:rPr>
          <w:i/>
        </w:rPr>
        <w:t>’</w:t>
      </w:r>
      <w:r w:rsidRPr="00B9479A">
        <w:rPr>
          <w:i/>
        </w:rPr>
        <w:t xml:space="preserve"> </w:t>
      </w:r>
      <w:r w:rsidR="00CB592D" w:rsidRPr="00CB592D">
        <w:t>and</w:t>
      </w:r>
      <w:r w:rsidR="00CB592D">
        <w:rPr>
          <w:i/>
        </w:rPr>
        <w:t xml:space="preserve"> </w:t>
      </w:r>
      <w:r>
        <w:t>‘</w:t>
      </w:r>
      <w:r w:rsidRPr="00B9479A">
        <w:rPr>
          <w:i/>
        </w:rPr>
        <w:t>things are built by central government but local government must operate them—but no ownership for maintenance—they still look to central government.</w:t>
      </w:r>
      <w:r>
        <w:t xml:space="preserve">’ </w:t>
      </w:r>
    </w:p>
    <w:p w14:paraId="1AD8DB21" w14:textId="57566D16" w:rsidR="00AF6A11" w:rsidRDefault="00AF6A11" w:rsidP="00EF6BCF">
      <w:pPr>
        <w:pStyle w:val="BulletLast"/>
      </w:pPr>
      <w:r>
        <w:t>inadequate asset management, and funds for operation and maintenance: ‘</w:t>
      </w:r>
      <w:r w:rsidRPr="00B9479A">
        <w:rPr>
          <w:i/>
        </w:rPr>
        <w:t>Maintenance and operations are the responsibility of PDAMs. It’s a local responsibility to charge tariffs etc. In [some locations], tariffs might be too low to develop the system. In addition to national funds, the district should contribute’</w:t>
      </w:r>
      <w:r w:rsidR="008156F0" w:rsidRPr="008156F0">
        <w:rPr>
          <w:i/>
        </w:rPr>
        <w:t xml:space="preserve"> </w:t>
      </w:r>
      <w:r w:rsidR="008156F0">
        <w:rPr>
          <w:i/>
        </w:rPr>
        <w:t>and ‘</w:t>
      </w:r>
      <w:r w:rsidR="00CB592D">
        <w:rPr>
          <w:i/>
        </w:rPr>
        <w:t>a</w:t>
      </w:r>
      <w:r w:rsidR="008156F0" w:rsidRPr="00B9479A">
        <w:rPr>
          <w:i/>
        </w:rPr>
        <w:t>sset management is a problem—no sense of ownership</w:t>
      </w:r>
      <w:r w:rsidR="00636F11">
        <w:rPr>
          <w:i/>
        </w:rPr>
        <w:t>.</w:t>
      </w:r>
      <w:r w:rsidR="008156F0" w:rsidRPr="00B9479A">
        <w:rPr>
          <w:i/>
        </w:rPr>
        <w:t>’</w:t>
      </w:r>
    </w:p>
    <w:p w14:paraId="0C5B5390" w14:textId="3AD96FF9" w:rsidR="00AF6A11" w:rsidRDefault="00AF6A11" w:rsidP="00EF6BCF">
      <w:r>
        <w:t xml:space="preserve">Actions to address sustainability </w:t>
      </w:r>
      <w:r w:rsidR="008156F0">
        <w:t xml:space="preserve">were </w:t>
      </w:r>
      <w:r>
        <w:t xml:space="preserve">expected to be rolled out in 2013, and the issue </w:t>
      </w:r>
      <w:r w:rsidR="008156F0">
        <w:t>to be</w:t>
      </w:r>
      <w:r>
        <w:t xml:space="preserve"> given prominence:</w:t>
      </w:r>
      <w:r w:rsidRPr="000F77A3">
        <w:t xml:space="preserve"> </w:t>
      </w:r>
      <w:r>
        <w:t>‘</w:t>
      </w:r>
      <w:r w:rsidRPr="00B9479A">
        <w:rPr>
          <w:i/>
        </w:rPr>
        <w:t xml:space="preserve">Sustainability aspects are not so strong. This can be addressed in the design. Operations and maintenance has not really been addressed at all. We need to think of things such as: are we addressing this at the LG </w:t>
      </w:r>
      <w:r w:rsidR="008814C6">
        <w:rPr>
          <w:i/>
        </w:rPr>
        <w:t xml:space="preserve">[local government] </w:t>
      </w:r>
      <w:r w:rsidRPr="00B9479A">
        <w:rPr>
          <w:i/>
        </w:rPr>
        <w:t>or PDAM level? Do they have a skilled workforce?’</w:t>
      </w:r>
      <w:r>
        <w:rPr>
          <w:rStyle w:val="EndnoteReference"/>
        </w:rPr>
        <w:endnoteReference w:id="181"/>
      </w:r>
      <w:r>
        <w:t xml:space="preserve"> It is </w:t>
      </w:r>
      <w:r w:rsidRPr="00DE0427">
        <w:t xml:space="preserve">not </w:t>
      </w:r>
      <w:r>
        <w:t>clear if or how these aspects have been taken up in phase 2.</w:t>
      </w:r>
    </w:p>
    <w:p w14:paraId="26A1753C" w14:textId="77777777" w:rsidR="00AF6A11" w:rsidRDefault="008156F0" w:rsidP="00AE2162">
      <w:pPr>
        <w:pStyle w:val="Heading3"/>
        <w:rPr>
          <w:rFonts w:eastAsia="Calibri"/>
        </w:rPr>
      </w:pPr>
      <w:bookmarkStart w:id="245" w:name="_Toc371187636"/>
      <w:bookmarkStart w:id="246" w:name="_Toc372300968"/>
      <w:bookmarkStart w:id="247" w:name="_Toc382563907"/>
      <w:bookmarkStart w:id="248" w:name="_Toc382595861"/>
      <w:r>
        <w:rPr>
          <w:rFonts w:eastAsia="Calibri"/>
        </w:rPr>
        <w:t>E</w:t>
      </w:r>
      <w:r w:rsidR="00AF6A11">
        <w:rPr>
          <w:rFonts w:eastAsia="Calibri"/>
        </w:rPr>
        <w:t>quity and gender</w:t>
      </w:r>
      <w:bookmarkEnd w:id="245"/>
      <w:bookmarkEnd w:id="246"/>
      <w:bookmarkEnd w:id="247"/>
      <w:bookmarkEnd w:id="248"/>
    </w:p>
    <w:p w14:paraId="1B1B41EF" w14:textId="77777777" w:rsidR="00AF6A11" w:rsidRPr="00FC46BB" w:rsidRDefault="00AF6A11" w:rsidP="00EF6BCF">
      <w:r>
        <w:t>The Hibah was targeted at low-income and poor households.</w:t>
      </w:r>
      <w:r w:rsidRPr="00FC46BB">
        <w:rPr>
          <w:rStyle w:val="EndnoteReference"/>
        </w:rPr>
        <w:t xml:space="preserve"> </w:t>
      </w:r>
      <w:r w:rsidR="00785A85">
        <w:rPr>
          <w:rStyle w:val="FootnoteReference"/>
        </w:rPr>
        <w:footnoteReference w:id="32"/>
      </w:r>
      <w:r w:rsidR="00785A85">
        <w:rPr>
          <w:rStyle w:val="FootnoteReference"/>
        </w:rPr>
        <w:t xml:space="preserve"> </w:t>
      </w:r>
      <w:r>
        <w:t>MoPW made this clear and pointed to the value of this focus:</w:t>
      </w:r>
      <w:r w:rsidRPr="004E65B2">
        <w:t xml:space="preserve"> </w:t>
      </w:r>
      <w:r>
        <w:t>‘</w:t>
      </w:r>
      <w:r w:rsidRPr="00B9479A">
        <w:rPr>
          <w:i/>
        </w:rPr>
        <w:t>The problem is in making connections for the poor who cannot afford it … local governments don’t have a budget to look after the poor.’</w:t>
      </w:r>
      <w:r>
        <w:t xml:space="preserve"> Aid program staff also noted that ‘</w:t>
      </w:r>
      <w:r>
        <w:rPr>
          <w:i/>
        </w:rPr>
        <w:t>p</w:t>
      </w:r>
      <w:r w:rsidRPr="00B9479A">
        <w:rPr>
          <w:i/>
        </w:rPr>
        <w:t>re-program, local governments were less willing to invest in the lowest tariff tier [based on a] belief that poor people won’t pay their bills. But now they are seeing the benefits.</w:t>
      </w:r>
      <w:r>
        <w:t>’ Governments in poorer areas may have difficulty in implementing the initiative. Staff commented that local governments in the eastern islands, where poverty is higher, are weaker. A government staff member from that location also noted that ‘</w:t>
      </w:r>
      <w:r>
        <w:rPr>
          <w:i/>
        </w:rPr>
        <w:t>w</w:t>
      </w:r>
      <w:r w:rsidRPr="00B9479A">
        <w:rPr>
          <w:i/>
        </w:rPr>
        <w:t>e did not meet the requirements for this. They might approve it for [us] in the future though</w:t>
      </w:r>
      <w:r>
        <w:rPr>
          <w:i/>
        </w:rPr>
        <w:t>—</w:t>
      </w:r>
      <w:r w:rsidRPr="00B9479A">
        <w:rPr>
          <w:i/>
        </w:rPr>
        <w:t xml:space="preserve">the </w:t>
      </w:r>
      <w:r>
        <w:rPr>
          <w:i/>
        </w:rPr>
        <w:t>m</w:t>
      </w:r>
      <w:r w:rsidRPr="00B9479A">
        <w:rPr>
          <w:i/>
        </w:rPr>
        <w:t>ayor has agreed to propose this.’</w:t>
      </w:r>
    </w:p>
    <w:p w14:paraId="7FBD3E12" w14:textId="77777777" w:rsidR="00AF6A11" w:rsidRDefault="00AF6A11" w:rsidP="00EF6BCF">
      <w:r>
        <w:t>In terms of gender equality, there were no specific indicators, however the initiative expected to benefit women and girls, and had collected but not analysed data about households</w:t>
      </w:r>
      <w:r w:rsidRPr="00FB5D5B">
        <w:t xml:space="preserve"> </w:t>
      </w:r>
      <w:r>
        <w:t>headed by females.</w:t>
      </w:r>
      <w:r>
        <w:rPr>
          <w:rStyle w:val="EndnoteReference"/>
        </w:rPr>
        <w:endnoteReference w:id="182"/>
      </w:r>
      <w:r>
        <w:t xml:space="preserve"> Quality at implementation rep</w:t>
      </w:r>
      <w:r w:rsidRPr="00EF6BCF">
        <w:t>o</w:t>
      </w:r>
      <w:r>
        <w:t>rts noted the need for a gender action plan (2011, score 5/6), analysis of female-headed households (2012, score 4/6) and the need for aid program staff to devote attention to this area with the contractor (2013, score 4/6). Overall, attention to gender equality could be improved,</w:t>
      </w:r>
      <w:r>
        <w:rPr>
          <w:rStyle w:val="EndnoteReference"/>
        </w:rPr>
        <w:endnoteReference w:id="183"/>
      </w:r>
      <w:r>
        <w:t xml:space="preserve"> and there is a need to work </w:t>
      </w:r>
      <w:r>
        <w:rPr>
          <w:i/>
        </w:rPr>
        <w:t>‘with local governments</w:t>
      </w:r>
      <w:r w:rsidRPr="00DE0427">
        <w:rPr>
          <w:i/>
        </w:rPr>
        <w:t xml:space="preserve"> to ensure their decision-making about community infrastructure (such as public toilets) have considered the interests of the whole community, especially women, elderly and people with disabilities.</w:t>
      </w:r>
      <w:r>
        <w:rPr>
          <w:i/>
        </w:rPr>
        <w:t>’</w:t>
      </w:r>
      <w:r w:rsidRPr="00DE0427">
        <w:rPr>
          <w:rStyle w:val="EndnoteReference"/>
          <w:i/>
        </w:rPr>
        <w:endnoteReference w:id="184"/>
      </w:r>
      <w:r>
        <w:t xml:space="preserve"> </w:t>
      </w:r>
    </w:p>
    <w:p w14:paraId="1A0326FC" w14:textId="77777777" w:rsidR="00AF6A11" w:rsidRDefault="00AF6A11" w:rsidP="00AE2162">
      <w:pPr>
        <w:pStyle w:val="Heading3"/>
      </w:pPr>
      <w:bookmarkStart w:id="249" w:name="_Toc371187637"/>
      <w:bookmarkStart w:id="250" w:name="_Toc372300969"/>
      <w:bookmarkStart w:id="251" w:name="_Toc382563908"/>
      <w:bookmarkStart w:id="252" w:name="_Toc382595862"/>
      <w:r>
        <w:t>Complement</w:t>
      </w:r>
      <w:r w:rsidR="00F73E4F">
        <w:t>ing</w:t>
      </w:r>
      <w:r>
        <w:t xml:space="preserve"> other initiatives</w:t>
      </w:r>
      <w:bookmarkEnd w:id="249"/>
      <w:bookmarkEnd w:id="250"/>
      <w:bookmarkEnd w:id="251"/>
      <w:bookmarkEnd w:id="252"/>
    </w:p>
    <w:p w14:paraId="05FB6180" w14:textId="77777777" w:rsidR="00AF6A11" w:rsidRDefault="00AF6A11" w:rsidP="00EF6BCF">
      <w:r>
        <w:t>The Hibah was linked to some other IndII activities (e.g. the ‘20 PDAMs’ initiative which sought to build capacity within PDAMs) but was not well linked to other initiatives. This issue was raised during peer review for the next phase, including the need for linkage to governance programs.</w:t>
      </w:r>
      <w:r>
        <w:rPr>
          <w:rStyle w:val="EndnoteReference"/>
        </w:rPr>
        <w:endnoteReference w:id="185"/>
      </w:r>
      <w:r>
        <w:t xml:space="preserve"> In addition, another WASH sector program, PAMSIMAS, has quite a different approach to the Hibah, and during fieldwork this was raised </w:t>
      </w:r>
      <w:r w:rsidR="00F73E4F">
        <w:t xml:space="preserve">as </w:t>
      </w:r>
      <w:r>
        <w:t xml:space="preserve">an issue: </w:t>
      </w:r>
      <w:r>
        <w:rPr>
          <w:i/>
        </w:rPr>
        <w:t>‘</w:t>
      </w:r>
      <w:r w:rsidRPr="00321795">
        <w:rPr>
          <w:i/>
        </w:rPr>
        <w:t>PAMSIMAS</w:t>
      </w:r>
      <w:r w:rsidDel="00ED5800">
        <w:rPr>
          <w:i/>
        </w:rPr>
        <w:t xml:space="preserve"> </w:t>
      </w:r>
      <w:r w:rsidRPr="008724B1">
        <w:rPr>
          <w:i/>
        </w:rPr>
        <w:t xml:space="preserve">is </w:t>
      </w:r>
      <w:r>
        <w:rPr>
          <w:i/>
        </w:rPr>
        <w:t>…</w:t>
      </w:r>
      <w:r w:rsidRPr="008724B1">
        <w:rPr>
          <w:i/>
        </w:rPr>
        <w:t xml:space="preserve"> a centralised program</w:t>
      </w:r>
      <w:r>
        <w:rPr>
          <w:i/>
        </w:rPr>
        <w:t>,</w:t>
      </w:r>
      <w:r w:rsidRPr="008724B1">
        <w:rPr>
          <w:i/>
        </w:rPr>
        <w:t xml:space="preserve"> it is putting funds into a centralised fund for services t</w:t>
      </w:r>
      <w:r>
        <w:rPr>
          <w:i/>
        </w:rPr>
        <w:t xml:space="preserve">hat are the responsibility of local government. </w:t>
      </w:r>
      <w:r w:rsidRPr="00C93C4D">
        <w:rPr>
          <w:i/>
        </w:rPr>
        <w:t>PAMSIMAS</w:t>
      </w:r>
      <w:r w:rsidDel="00ED5800">
        <w:rPr>
          <w:i/>
        </w:rPr>
        <w:t xml:space="preserve"> </w:t>
      </w:r>
      <w:r>
        <w:rPr>
          <w:i/>
        </w:rPr>
        <w:t>sidesteps local government</w:t>
      </w:r>
      <w:r w:rsidRPr="008724B1">
        <w:rPr>
          <w:i/>
        </w:rPr>
        <w:t>. That’s the issue</w:t>
      </w:r>
      <w:r>
        <w:rPr>
          <w:i/>
        </w:rPr>
        <w:t xml:space="preserve">.’ </w:t>
      </w:r>
      <w:r w:rsidRPr="00DB77BC">
        <w:t xml:space="preserve">and </w:t>
      </w:r>
      <w:r>
        <w:rPr>
          <w:i/>
        </w:rPr>
        <w:t xml:space="preserve">‘PAMSIMAS uses new systems; Hibah uses existing systems. [The Hibah is] staying out of PAMSIMAS locations. Twenty years down the track, which system will survive? At what point will central government pull out of local government? Central government can’t keep funding local government.’ </w:t>
      </w:r>
      <w:r>
        <w:t xml:space="preserve">The difference in program approaches demonstrates the challenges in </w:t>
      </w:r>
      <w:r w:rsidR="00F73E4F">
        <w:t xml:space="preserve">achieving </w:t>
      </w:r>
      <w:r>
        <w:t>coherence when working in decentralised contexts.</w:t>
      </w:r>
    </w:p>
    <w:p w14:paraId="17D817B6" w14:textId="77777777" w:rsidR="00AF6A11" w:rsidRPr="00826C1E" w:rsidRDefault="00AF6A11" w:rsidP="00EF6BCF">
      <w:pPr>
        <w:pStyle w:val="Heading2"/>
        <w:spacing w:before="360" w:after="240" w:line="288" w:lineRule="auto"/>
        <w:ind w:left="0" w:firstLine="0"/>
      </w:pPr>
      <w:bookmarkStart w:id="253" w:name="_Toc371187638"/>
      <w:bookmarkStart w:id="254" w:name="_Ref371623418"/>
      <w:bookmarkStart w:id="255" w:name="_Toc382563909"/>
      <w:bookmarkStart w:id="256" w:name="_Toc382595863"/>
      <w:bookmarkStart w:id="257" w:name="_Toc408831787"/>
      <w:r>
        <w:t>4.4</w:t>
      </w:r>
      <w:r>
        <w:tab/>
      </w:r>
      <w:r w:rsidR="00621EBF">
        <w:t>Provincial roads management, the Philippines</w:t>
      </w:r>
      <w:bookmarkEnd w:id="253"/>
      <w:bookmarkEnd w:id="254"/>
      <w:bookmarkEnd w:id="255"/>
      <w:bookmarkEnd w:id="256"/>
      <w:bookmarkEnd w:id="257"/>
    </w:p>
    <w:p w14:paraId="58125B09" w14:textId="77777777" w:rsidR="00AF6A11" w:rsidRPr="00F94F9E" w:rsidRDefault="00AF6A11" w:rsidP="00EF6BCF">
      <w:pPr>
        <w:pStyle w:val="BoxQuote"/>
        <w:rPr>
          <w:color w:val="215868" w:themeColor="accent5" w:themeShade="80"/>
        </w:rPr>
      </w:pPr>
      <w:r w:rsidRPr="00F94F9E">
        <w:rPr>
          <w:color w:val="215868" w:themeColor="accent5" w:themeShade="80"/>
        </w:rPr>
        <w:t>PRMF is not a typical roads program. It encourages provincial governments to invest in and change the way they do road maintenance and make local government more accountable in providing basic services. PRMF uses a substantial suite of incentives to encourage reform.</w:t>
      </w:r>
    </w:p>
    <w:p w14:paraId="533B51C5" w14:textId="77777777" w:rsidR="00516D95" w:rsidRPr="00F94F9E" w:rsidRDefault="00516D95" w:rsidP="00C615DC">
      <w:pPr>
        <w:pStyle w:val="BoxQuoteSource"/>
        <w:rPr>
          <w:color w:val="215868" w:themeColor="accent5" w:themeShade="80"/>
        </w:rPr>
      </w:pPr>
      <w:r w:rsidRPr="00F94F9E">
        <w:rPr>
          <w:rFonts w:cs="Cambria"/>
          <w:color w:val="215868" w:themeColor="accent5" w:themeShade="80"/>
          <w:szCs w:val="17"/>
        </w:rPr>
        <w:t>Australian Agency for International Development,</w:t>
      </w:r>
      <w:r w:rsidRPr="00F94F9E">
        <w:rPr>
          <w:i/>
          <w:color w:val="215868" w:themeColor="accent5" w:themeShade="80"/>
        </w:rPr>
        <w:t xml:space="preserve"> 2007–11 Philippines strategy program performance report,</w:t>
      </w:r>
      <w:r w:rsidRPr="00F94F9E">
        <w:rPr>
          <w:color w:val="215868" w:themeColor="accent5" w:themeShade="80"/>
        </w:rPr>
        <w:t xml:space="preserve"> AusAID, Canberra, 2011, p.10</w:t>
      </w:r>
    </w:p>
    <w:p w14:paraId="25BCC2D1" w14:textId="77777777" w:rsidR="00AF6A11" w:rsidRPr="007B1538" w:rsidRDefault="00AF6A11" w:rsidP="00AE2162">
      <w:pPr>
        <w:pStyle w:val="Heading3"/>
      </w:pPr>
      <w:bookmarkStart w:id="258" w:name="_Toc371187639"/>
      <w:bookmarkStart w:id="259" w:name="_Toc372300971"/>
      <w:bookmarkStart w:id="260" w:name="_Toc382563910"/>
      <w:bookmarkStart w:id="261" w:name="_Toc382595864"/>
      <w:r>
        <w:t>Decentralisation in the Philippines roads sector</w:t>
      </w:r>
      <w:bookmarkEnd w:id="258"/>
      <w:bookmarkEnd w:id="259"/>
      <w:bookmarkEnd w:id="260"/>
      <w:bookmarkEnd w:id="261"/>
    </w:p>
    <w:p w14:paraId="558A9401" w14:textId="3EA1FDB6" w:rsidR="00AF6A11" w:rsidRPr="005045B8" w:rsidRDefault="00AF6A11" w:rsidP="00EF6BCF">
      <w:r w:rsidRPr="00B71AEC">
        <w:t xml:space="preserve">Responsibility for health, local roads, social welfare services, provincial infrastructure and a number of </w:t>
      </w:r>
      <w:r>
        <w:t xml:space="preserve">other </w:t>
      </w:r>
      <w:r w:rsidRPr="00B71AEC">
        <w:t>services was devolved</w:t>
      </w:r>
      <w:r>
        <w:t xml:space="preserve"> in the Philippines in 1991</w:t>
      </w:r>
      <w:r w:rsidRPr="00B71AEC">
        <w:t>.</w:t>
      </w:r>
      <w:r w:rsidRPr="00B71AEC">
        <w:rPr>
          <w:rStyle w:val="EndnoteReference"/>
        </w:rPr>
        <w:endnoteReference w:id="186"/>
      </w:r>
      <w:r>
        <w:t xml:space="preserve"> </w:t>
      </w:r>
      <w:r w:rsidRPr="00B71AEC">
        <w:t>The two largest sectoral areas of expenditure by provincial governments are typically health and roads.</w:t>
      </w:r>
      <w:r>
        <w:t xml:space="preserve"> O</w:t>
      </w:r>
      <w:r w:rsidRPr="00B71AEC">
        <w:t>ver 85</w:t>
      </w:r>
      <w:r>
        <w:t> per cent</w:t>
      </w:r>
      <w:r w:rsidRPr="00B71AEC">
        <w:t xml:space="preserve"> </w:t>
      </w:r>
      <w:r>
        <w:t xml:space="preserve">of the road network </w:t>
      </w:r>
      <w:r w:rsidRPr="00B71AEC">
        <w:t xml:space="preserve">falls under the jurisdiction of provinces and cities, municipalities and barangays. The national </w:t>
      </w:r>
      <w:r>
        <w:t>government</w:t>
      </w:r>
      <w:r w:rsidRPr="00B71AEC">
        <w:t xml:space="preserve"> is involved in policy setting </w:t>
      </w:r>
      <w:r>
        <w:t>but</w:t>
      </w:r>
      <w:r w:rsidRPr="00B71AEC">
        <w:t xml:space="preserve"> such policies </w:t>
      </w:r>
      <w:r>
        <w:t>‘</w:t>
      </w:r>
      <w:r w:rsidRPr="00B71AEC">
        <w:rPr>
          <w:i/>
        </w:rPr>
        <w:t>are often not well implemented at the local government level</w:t>
      </w:r>
      <w:r>
        <w:rPr>
          <w:i/>
        </w:rPr>
        <w:t xml:space="preserve"> …</w:t>
      </w:r>
      <w:r w:rsidRPr="00B71AEC">
        <w:rPr>
          <w:i/>
        </w:rPr>
        <w:t xml:space="preserve"> In many provinces the guidelines are poorly understood or followed and a gap remains between the objective and the reality</w:t>
      </w:r>
      <w:r w:rsidRPr="00B71AEC">
        <w:t>.</w:t>
      </w:r>
      <w:r>
        <w:t>’</w:t>
      </w:r>
      <w:r w:rsidRPr="00B71AEC">
        <w:rPr>
          <w:rStyle w:val="EndnoteReference"/>
        </w:rPr>
        <w:endnoteReference w:id="187"/>
      </w:r>
      <w:r>
        <w:rPr>
          <w:b/>
        </w:rPr>
        <w:t xml:space="preserve"> </w:t>
      </w:r>
      <w:r>
        <w:t>There has been</w:t>
      </w:r>
      <w:r w:rsidRPr="002B6EC1">
        <w:t xml:space="preserve"> a progressive deterioration of provincial roads due to </w:t>
      </w:r>
      <w:r>
        <w:t xml:space="preserve">the low priority given to them and </w:t>
      </w:r>
      <w:r w:rsidRPr="002B6EC1">
        <w:t xml:space="preserve">limited budget at </w:t>
      </w:r>
      <w:r>
        <w:t xml:space="preserve">the </w:t>
      </w:r>
      <w:r w:rsidRPr="002B6EC1">
        <w:t>national and provincial level</w:t>
      </w:r>
      <w:r>
        <w:t>s</w:t>
      </w:r>
      <w:r w:rsidRPr="002B6EC1">
        <w:t xml:space="preserve"> to </w:t>
      </w:r>
      <w:r>
        <w:t>rehabilitate and maintain roads:</w:t>
      </w:r>
      <w:r w:rsidRPr="002B6EC1">
        <w:t xml:space="preserve"> </w:t>
      </w:r>
      <w:r>
        <w:rPr>
          <w:i/>
        </w:rPr>
        <w:t>‘O</w:t>
      </w:r>
      <w:r w:rsidRPr="002B6EC1">
        <w:rPr>
          <w:i/>
        </w:rPr>
        <w:t>n average</w:t>
      </w:r>
      <w:r w:rsidR="003D3293">
        <w:rPr>
          <w:i/>
        </w:rPr>
        <w:t>,</w:t>
      </w:r>
      <w:r w:rsidRPr="002B6EC1">
        <w:rPr>
          <w:i/>
        </w:rPr>
        <w:t xml:space="preserve"> a road is </w:t>
      </w:r>
      <w:r>
        <w:rPr>
          <w:i/>
        </w:rPr>
        <w:t>“maintained” once every 8 years.</w:t>
      </w:r>
      <w:r>
        <w:t>’</w:t>
      </w:r>
      <w:r w:rsidRPr="002B6EC1">
        <w:rPr>
          <w:rStyle w:val="EndnoteReference"/>
        </w:rPr>
        <w:endnoteReference w:id="188"/>
      </w:r>
      <w:r w:rsidRPr="002B6EC1">
        <w:t xml:space="preserve"> Performance is variable across provinces and unpredictable funding from national </w:t>
      </w:r>
      <w:r>
        <w:t>government</w:t>
      </w:r>
      <w:r w:rsidRPr="002B6EC1">
        <w:t xml:space="preserve"> affects capacity for planning and budgeting</w:t>
      </w:r>
      <w:r>
        <w:t>.</w:t>
      </w:r>
    </w:p>
    <w:p w14:paraId="405CE087" w14:textId="77777777" w:rsidR="006929C2" w:rsidRDefault="00AF6A11" w:rsidP="00C615DC">
      <w:pPr>
        <w:pStyle w:val="NormalBeforeBullet"/>
      </w:pPr>
      <w:r w:rsidRPr="002B6EC1">
        <w:t xml:space="preserve">Three main constraints exist at </w:t>
      </w:r>
      <w:r>
        <w:t xml:space="preserve">the </w:t>
      </w:r>
      <w:r w:rsidRPr="002B6EC1">
        <w:t>subnational level</w:t>
      </w:r>
      <w:r w:rsidR="00516D95">
        <w:t>. These are:</w:t>
      </w:r>
    </w:p>
    <w:p w14:paraId="461E5FAD" w14:textId="77777777" w:rsidR="006929C2" w:rsidRDefault="00CB592D" w:rsidP="00CB592D">
      <w:pPr>
        <w:pStyle w:val="Bullet"/>
      </w:pPr>
      <w:r>
        <w:t>l</w:t>
      </w:r>
      <w:r w:rsidR="00AF6A11" w:rsidRPr="002B6EC1">
        <w:t>ack of authority for revenue raising through taxes</w:t>
      </w:r>
      <w:r w:rsidR="00AF6A11">
        <w:t>,</w:t>
      </w:r>
      <w:r w:rsidR="00AF6A11" w:rsidRPr="002B6EC1">
        <w:t xml:space="preserve"> and </w:t>
      </w:r>
      <w:r w:rsidR="00AF6A11">
        <w:t xml:space="preserve">a </w:t>
      </w:r>
      <w:r w:rsidR="00AF6A11" w:rsidRPr="002B6EC1">
        <w:t xml:space="preserve">lack of political will </w:t>
      </w:r>
      <w:r w:rsidR="00AF6A11">
        <w:t>to support</w:t>
      </w:r>
      <w:r w:rsidR="00AF6A11" w:rsidRPr="002B6EC1">
        <w:t xml:space="preserve"> </w:t>
      </w:r>
      <w:r w:rsidR="00AF6A11">
        <w:t xml:space="preserve">local </w:t>
      </w:r>
      <w:r w:rsidR="00AF6A11" w:rsidRPr="002B6EC1">
        <w:t>revenue raising</w:t>
      </w:r>
    </w:p>
    <w:p w14:paraId="16495860" w14:textId="77777777" w:rsidR="006929C2" w:rsidRDefault="00AF6A11" w:rsidP="00CB592D">
      <w:pPr>
        <w:pStyle w:val="Bullet"/>
      </w:pPr>
      <w:r w:rsidRPr="002B6EC1">
        <w:t>weak accountability and civil society engagement</w:t>
      </w:r>
    </w:p>
    <w:p w14:paraId="16D01D44" w14:textId="77777777" w:rsidR="00AF6A11" w:rsidRPr="002B6EC1" w:rsidRDefault="00AF6A11" w:rsidP="00CB592D">
      <w:pPr>
        <w:pStyle w:val="Bullet"/>
      </w:pPr>
      <w:r w:rsidRPr="002B6EC1">
        <w:t>lack of capacity in technical</w:t>
      </w:r>
      <w:r>
        <w:t xml:space="preserve"> aspects of road maintenance</w:t>
      </w:r>
      <w:r w:rsidRPr="002B6EC1">
        <w:t xml:space="preserve">, planning and budgeting, monitoring, financial management </w:t>
      </w:r>
      <w:r>
        <w:t xml:space="preserve">and </w:t>
      </w:r>
      <w:r w:rsidRPr="002B6EC1">
        <w:t xml:space="preserve">human resources. </w:t>
      </w:r>
    </w:p>
    <w:p w14:paraId="48FF6AA2" w14:textId="77777777" w:rsidR="00AF6A11" w:rsidRDefault="00AF6A11" w:rsidP="00AE2162">
      <w:pPr>
        <w:pStyle w:val="Heading3"/>
      </w:pPr>
      <w:bookmarkStart w:id="262" w:name="_Toc371187640"/>
      <w:bookmarkStart w:id="263" w:name="_Toc372300972"/>
      <w:bookmarkStart w:id="264" w:name="_Toc382563911"/>
      <w:bookmarkStart w:id="265" w:name="_Toc382595865"/>
      <w:r>
        <w:t>Background on the initiative</w:t>
      </w:r>
      <w:r w:rsidRPr="00DD6BC1">
        <w:t xml:space="preserve"> </w:t>
      </w:r>
      <w:r>
        <w:t>and policy context</w:t>
      </w:r>
      <w:bookmarkEnd w:id="262"/>
      <w:bookmarkEnd w:id="263"/>
      <w:bookmarkEnd w:id="264"/>
      <w:bookmarkEnd w:id="265"/>
    </w:p>
    <w:p w14:paraId="09AA93C9" w14:textId="77777777" w:rsidR="00AF6A11" w:rsidRPr="00D638AE" w:rsidRDefault="00AF6A11" w:rsidP="00EF6BCF">
      <w:r w:rsidRPr="00134254">
        <w:t>The Philippines Provincial Road Management Facility (PRMF) was designed in 2008 as</w:t>
      </w:r>
      <w:r>
        <w:t xml:space="preserve"> a five-</w:t>
      </w:r>
      <w:r w:rsidRPr="00134254">
        <w:t xml:space="preserve">year program, with provision for extension for a further </w:t>
      </w:r>
      <w:r>
        <w:t>five</w:t>
      </w:r>
      <w:r w:rsidRPr="00134254">
        <w:t xml:space="preserve"> years since </w:t>
      </w:r>
      <w:r>
        <w:t>‘</w:t>
      </w:r>
      <w:r w:rsidRPr="00134254">
        <w:rPr>
          <w:i/>
        </w:rPr>
        <w:t>the institutional reform process required is likely to require at least 10</w:t>
      </w:r>
      <w:r>
        <w:rPr>
          <w:i/>
        </w:rPr>
        <w:t> </w:t>
      </w:r>
      <w:r w:rsidRPr="00134254">
        <w:rPr>
          <w:i/>
        </w:rPr>
        <w:t>years to achieve the targeted changes</w:t>
      </w:r>
      <w:r w:rsidRPr="00134254">
        <w:t>.</w:t>
      </w:r>
      <w:r>
        <w:t>’</w:t>
      </w:r>
      <w:r w:rsidRPr="00B9479A">
        <w:rPr>
          <w:rStyle w:val="EndnoteReference"/>
          <w:szCs w:val="21"/>
        </w:rPr>
        <w:endnoteReference w:id="189"/>
      </w:r>
      <w:r w:rsidRPr="00134254">
        <w:t xml:space="preserve"> </w:t>
      </w:r>
      <w:r>
        <w:t>Funding for the initiative was approximately $94.5 million.</w:t>
      </w:r>
      <w:r w:rsidRPr="005261F8">
        <w:rPr>
          <w:rStyle w:val="EndnoteReference"/>
        </w:rPr>
        <w:t xml:space="preserve"> </w:t>
      </w:r>
      <w:r w:rsidRPr="00583074">
        <w:rPr>
          <w:rStyle w:val="EndnoteReference"/>
        </w:rPr>
        <w:endnoteReference w:id="190"/>
      </w:r>
      <w:r>
        <w:t xml:space="preserve"> </w:t>
      </w:r>
      <w:r w:rsidRPr="00134254">
        <w:t>The pr</w:t>
      </w:r>
      <w:r>
        <w:t>ogram was designed within the aid program</w:t>
      </w:r>
      <w:r w:rsidRPr="00134254">
        <w:t xml:space="preserve">’s governance </w:t>
      </w:r>
      <w:r>
        <w:t xml:space="preserve">sector, </w:t>
      </w:r>
      <w:r w:rsidRPr="00134254">
        <w:t>which is a point of difference with other case studies. The program intended to use roads as an entry point for provincial governance reform</w:t>
      </w:r>
      <w:r w:rsidRPr="005140F5">
        <w:t xml:space="preserve"> </w:t>
      </w:r>
      <w:r w:rsidRPr="00134254">
        <w:t xml:space="preserve">since </w:t>
      </w:r>
      <w:r>
        <w:rPr>
          <w:i/>
        </w:rPr>
        <w:t>‘</w:t>
      </w:r>
      <w:r w:rsidRPr="005140F5">
        <w:rPr>
          <w:i/>
        </w:rPr>
        <w:t>road sector planning reflects the wider challenges for improving public administration and governance across all development sectors at the provincial level.</w:t>
      </w:r>
      <w:r w:rsidRPr="005140F5">
        <w:t>’</w:t>
      </w:r>
      <w:r w:rsidRPr="005140F5">
        <w:rPr>
          <w:rStyle w:val="EndnoteReference"/>
          <w:szCs w:val="21"/>
        </w:rPr>
        <w:t xml:space="preserve"> </w:t>
      </w:r>
      <w:r w:rsidRPr="005140F5">
        <w:rPr>
          <w:rStyle w:val="EndnoteReference"/>
          <w:szCs w:val="21"/>
        </w:rPr>
        <w:endnoteReference w:id="191"/>
      </w:r>
      <w:r w:rsidRPr="005140F5">
        <w:t xml:space="preserve"> </w:t>
      </w:r>
    </w:p>
    <w:p w14:paraId="6FF42BB5" w14:textId="0E0A12F2" w:rsidR="003B1C3D" w:rsidRDefault="00AF6A11" w:rsidP="00C615DC">
      <w:pPr>
        <w:pStyle w:val="NormalBeforeBullet"/>
        <w:rPr>
          <w:bCs/>
          <w:iCs/>
        </w:rPr>
      </w:pPr>
      <w:r w:rsidRPr="00583074">
        <w:t>The PRMF</w:t>
      </w:r>
      <w:r>
        <w:t>’s</w:t>
      </w:r>
      <w:r w:rsidRPr="00583074">
        <w:t xml:space="preserve"> goal is </w:t>
      </w:r>
      <w:r>
        <w:t>‘</w:t>
      </w:r>
      <w:r w:rsidRPr="00583074">
        <w:t>increased economic growth and improved public access to infrastructure and services in the southern Philippines</w:t>
      </w:r>
      <w:r w:rsidR="00D2236B">
        <w:t>.’</w:t>
      </w:r>
      <w:r>
        <w:t xml:space="preserve"> There are</w:t>
      </w:r>
      <w:r w:rsidRPr="00B71AEC">
        <w:t xml:space="preserve"> </w:t>
      </w:r>
      <w:r>
        <w:t>t</w:t>
      </w:r>
      <w:r w:rsidRPr="00583074">
        <w:t>wo objectives:</w:t>
      </w:r>
      <w:r>
        <w:rPr>
          <w:rStyle w:val="EndnoteReference"/>
          <w:bCs/>
          <w:iCs/>
        </w:rPr>
        <w:t xml:space="preserve"> </w:t>
      </w:r>
    </w:p>
    <w:p w14:paraId="053DA69C" w14:textId="77777777" w:rsidR="003B1C3D" w:rsidRDefault="00AF6A11" w:rsidP="00C615DC">
      <w:pPr>
        <w:pStyle w:val="Bullet"/>
      </w:pPr>
      <w:r w:rsidRPr="005140F5">
        <w:t xml:space="preserve">improve the sustainable </w:t>
      </w:r>
      <w:r>
        <w:t>Philippines Government</w:t>
      </w:r>
      <w:r w:rsidRPr="005140F5">
        <w:t xml:space="preserve"> provision, management and maintenance of a core network of provincial roads in targeted provinces</w:t>
      </w:r>
    </w:p>
    <w:p w14:paraId="292D58DC" w14:textId="23B1B83B" w:rsidR="003B1C3D" w:rsidRDefault="00BC7E0A" w:rsidP="00C615DC">
      <w:pPr>
        <w:pStyle w:val="BulletLast"/>
      </w:pPr>
      <w:r>
        <w:rPr>
          <w:noProof/>
        </w:rPr>
        <mc:AlternateContent>
          <mc:Choice Requires="wps">
            <w:drawing>
              <wp:anchor distT="0" distB="0" distL="114300" distR="114300" simplePos="0" relativeHeight="251806720" behindDoc="1" locked="0" layoutInCell="1" allowOverlap="1" wp14:anchorId="79A26951" wp14:editId="069F92C3">
                <wp:simplePos x="0" y="0"/>
                <wp:positionH relativeFrom="column">
                  <wp:posOffset>3429000</wp:posOffset>
                </wp:positionH>
                <wp:positionV relativeFrom="paragraph">
                  <wp:posOffset>452120</wp:posOffset>
                </wp:positionV>
                <wp:extent cx="2362200" cy="1295400"/>
                <wp:effectExtent l="0" t="0" r="0" b="0"/>
                <wp:wrapTight wrapText="bothSides">
                  <wp:wrapPolygon edited="0">
                    <wp:start x="0" y="0"/>
                    <wp:lineTo x="0" y="21282"/>
                    <wp:lineTo x="21426" y="21282"/>
                    <wp:lineTo x="21426"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295400"/>
                        </a:xfrm>
                        <a:prstGeom prst="rect">
                          <a:avLst/>
                        </a:prstGeom>
                        <a:solidFill>
                          <a:srgbClr val="FFFFFF"/>
                        </a:solidFill>
                        <a:ln w="9525">
                          <a:noFill/>
                          <a:miter lim="800000"/>
                          <a:headEnd/>
                          <a:tailEnd/>
                        </a:ln>
                      </wps:spPr>
                      <wps:txbx>
                        <w:txbxContent>
                          <w:p w14:paraId="17261E75" w14:textId="21EC947C" w:rsidR="00CD4AF2" w:rsidRPr="00F94F9E" w:rsidRDefault="00CD4AF2" w:rsidP="007537FF">
                            <w:pPr>
                              <w:pStyle w:val="BoxQuote"/>
                              <w:rPr>
                                <w:color w:val="215868" w:themeColor="accent5" w:themeShade="80"/>
                                <w:sz w:val="18"/>
                              </w:rPr>
                            </w:pPr>
                            <w:r w:rsidRPr="00F94F9E">
                              <w:rPr>
                                <w:color w:val="215868" w:themeColor="accent5" w:themeShade="80"/>
                              </w:rPr>
                              <w:t>Management of funds will only be given to provinces that have acceptable project development and financial management procedures and capacities.</w:t>
                            </w:r>
                          </w:p>
                          <w:p w14:paraId="2C6B3816" w14:textId="02224978" w:rsidR="00CD4AF2" w:rsidRPr="00F94F9E" w:rsidRDefault="00CD4AF2" w:rsidP="007537FF">
                            <w:pPr>
                              <w:pStyle w:val="BoxQuote"/>
                              <w:jc w:val="right"/>
                              <w:rPr>
                                <w:i w:val="0"/>
                                <w:color w:val="215868" w:themeColor="accent5" w:themeShade="80"/>
                              </w:rPr>
                            </w:pPr>
                            <w:r w:rsidRPr="00F94F9E">
                              <w:rPr>
                                <w:i w:val="0"/>
                                <w:color w:val="215868" w:themeColor="accent5" w:themeShade="80"/>
                              </w:rPr>
                              <w:t>PRMF Design; p.9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0pt;margin-top:35.6pt;width:186pt;height:10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jIwIAACUEAAAOAAAAZHJzL2Uyb0RvYy54bWysU81u2zAMvg/YOwi6L07cpGuMOEWXLsOA&#10;7gdo9wC0LMfCJNGTlNjZ05eS0yzbbsN0EEiR/ER+JFe3g9HsIJ1XaEs+m0w5k1Zgreyu5N+etm9u&#10;OPMBbA0arSz5UXp+u379atV3hcyxRV1LxwjE+qLvSt6G0BVZ5kUrDfgJdtKSsUFnIJDqdlntoCd0&#10;o7N8Or3OenR151BI7+n1fjTydcJvGinCl6bxMjBdcsotpNulu4p3tl5BsXPQtUqc0oB/yMKAsvTp&#10;GeoeArC9U39BGSUcemzCRKDJsGmUkKkGqmY2/aOaxxY6mWohcnx3psn/P1jx+fDVMVWX/GrJmQVD&#10;PXqSQ2DvcGB5pKfvfEFejx35hYGeqc2pVN89oPjumcVNC3Yn75zDvpVQU3qzGJldhI44PoJU/Ses&#10;6RvYB0xAQ+NM5I7YYIRObTqeWxNTEfSYX13n1G/OBNlm+XIxJyX+AcVLeOd8+CDRsCiU3FHvEzwc&#10;HnwYXV9c4m8etaq3SuukuF210Y4dgOZkm84J/Tc3bVlf8uUiXyRkizGeoKEwKtAca2VKfjONJ4ZD&#10;Eel4b+skB1B6lClpbU/8REpGcsJQDakTszPvFdZHYszhOLe0ZyS06H5y1tPMltz/2IOTnOmPllhf&#10;zubzOORJmS/e5qS4S0t1aQErCKrkgbNR3IS0GDFvi3fUnUYl3mIbx0xOOdMsJuZPexOH/VJPXr+2&#10;e/0MAAD//wMAUEsDBBQABgAIAAAAIQCzIenW3wAAAAoBAAAPAAAAZHJzL2Rvd25yZXYueG1sTI/B&#10;TsMwEETvSPyDtUhcEHViNQ0N2VSABOLa0g/YxNskIraj2G3Sv8ec4Dg7o9k35W4xg7jw5HtnEdJV&#10;AoJt43RvW4Tj1/vjEwgfyGoanGWEK3vYVbc3JRXazXbPl0NoRSyxviCELoSxkNI3HRvyKzeyjd7J&#10;TYZClFMr9URzLDeDVEmykYZ6Gz90NPJbx8334WwQTp/zQ7ad649wzPfrzSv1ee2uiPd3y8sziMBL&#10;+AvDL35Ehyoy1e5stRcDQrZO4paAkKcKRAxsUxUPNYLKMwWyKuX/CdUPAAAA//8DAFBLAQItABQA&#10;BgAIAAAAIQC2gziS/gAAAOEBAAATAAAAAAAAAAAAAAAAAAAAAABbQ29udGVudF9UeXBlc10ueG1s&#10;UEsBAi0AFAAGAAgAAAAhADj9If/WAAAAlAEAAAsAAAAAAAAAAAAAAAAALwEAAF9yZWxzLy5yZWxz&#10;UEsBAi0AFAAGAAgAAAAhALH5IuMjAgAAJQQAAA4AAAAAAAAAAAAAAAAALgIAAGRycy9lMm9Eb2Mu&#10;eG1sUEsBAi0AFAAGAAgAAAAhALMh6dbfAAAACgEAAA8AAAAAAAAAAAAAAAAAfQQAAGRycy9kb3du&#10;cmV2LnhtbFBLBQYAAAAABAAEAPMAAACJBQAAAAA=&#10;" stroked="f">
                <v:textbox>
                  <w:txbxContent>
                    <w:p w14:paraId="17261E75" w14:textId="21EC947C" w:rsidR="00CD4AF2" w:rsidRPr="00F94F9E" w:rsidRDefault="00CD4AF2" w:rsidP="007537FF">
                      <w:pPr>
                        <w:pStyle w:val="BoxQuote"/>
                        <w:rPr>
                          <w:color w:val="215868" w:themeColor="accent5" w:themeShade="80"/>
                          <w:sz w:val="18"/>
                        </w:rPr>
                      </w:pPr>
                      <w:r w:rsidRPr="00F94F9E">
                        <w:rPr>
                          <w:color w:val="215868" w:themeColor="accent5" w:themeShade="80"/>
                        </w:rPr>
                        <w:t>Management of funds will only be given to provinces that have acceptable project development and financial management procedures and capacities.</w:t>
                      </w:r>
                    </w:p>
                    <w:p w14:paraId="2C6B3816" w14:textId="02224978" w:rsidR="00CD4AF2" w:rsidRPr="00F94F9E" w:rsidRDefault="00CD4AF2" w:rsidP="007537FF">
                      <w:pPr>
                        <w:pStyle w:val="BoxQuote"/>
                        <w:jc w:val="right"/>
                        <w:rPr>
                          <w:i w:val="0"/>
                          <w:color w:val="215868" w:themeColor="accent5" w:themeShade="80"/>
                        </w:rPr>
                      </w:pPr>
                      <w:r w:rsidRPr="00F94F9E">
                        <w:rPr>
                          <w:i w:val="0"/>
                          <w:color w:val="215868" w:themeColor="accent5" w:themeShade="80"/>
                        </w:rPr>
                        <w:t>PRMF Design; p.9</w:t>
                      </w:r>
                    </w:p>
                  </w:txbxContent>
                </v:textbox>
                <w10:wrap type="tight"/>
              </v:shape>
            </w:pict>
          </mc:Fallback>
        </mc:AlternateContent>
      </w:r>
      <w:r w:rsidR="00AF6A11" w:rsidRPr="005140F5">
        <w:t>s</w:t>
      </w:r>
      <w:r w:rsidR="00AF6A11" w:rsidRPr="005045B8">
        <w:t>trengthen provincial institutional capacity and governance systems related to the provision and maintenance of provincial roads.</w:t>
      </w:r>
      <w:r w:rsidR="00AF6A11">
        <w:t xml:space="preserve"> </w:t>
      </w:r>
    </w:p>
    <w:p w14:paraId="4BB6AD83" w14:textId="36DEFD8C" w:rsidR="00AF6A11" w:rsidRDefault="00AF6A11" w:rsidP="00EF6BCF">
      <w:pPr>
        <w:rPr>
          <w:szCs w:val="21"/>
        </w:rPr>
      </w:pPr>
      <w:r>
        <w:rPr>
          <w:szCs w:val="21"/>
        </w:rPr>
        <w:t>The initiative worked in</w:t>
      </w:r>
      <w:r w:rsidR="007F0878">
        <w:rPr>
          <w:szCs w:val="21"/>
        </w:rPr>
        <w:t xml:space="preserve">itially across seven provinces with </w:t>
      </w:r>
      <w:r w:rsidR="00A14FBB">
        <w:rPr>
          <w:szCs w:val="21"/>
        </w:rPr>
        <w:t xml:space="preserve">three more provinces included </w:t>
      </w:r>
      <w:r>
        <w:rPr>
          <w:szCs w:val="21"/>
        </w:rPr>
        <w:t>later.</w:t>
      </w:r>
      <w:r w:rsidRPr="005140F5">
        <w:rPr>
          <w:szCs w:val="21"/>
        </w:rPr>
        <w:t xml:space="preserve"> </w:t>
      </w:r>
      <w:r>
        <w:rPr>
          <w:szCs w:val="21"/>
        </w:rPr>
        <w:t>A</w:t>
      </w:r>
      <w:r w:rsidRPr="00D428EE">
        <w:rPr>
          <w:szCs w:val="21"/>
        </w:rPr>
        <w:t>nnual incentive grants were offered based on provincial performance criteria.</w:t>
      </w:r>
      <w:r w:rsidRPr="00D428EE">
        <w:rPr>
          <w:rStyle w:val="EndnoteReference"/>
          <w:szCs w:val="21"/>
        </w:rPr>
        <w:endnoteReference w:id="192"/>
      </w:r>
      <w:r w:rsidRPr="00D428EE">
        <w:rPr>
          <w:szCs w:val="21"/>
        </w:rPr>
        <w:t xml:space="preserve"> The financing approach was through an Im</w:t>
      </w:r>
      <w:r>
        <w:rPr>
          <w:szCs w:val="21"/>
        </w:rPr>
        <w:t>pr</w:t>
      </w:r>
      <w:r w:rsidRPr="00D428EE">
        <w:rPr>
          <w:szCs w:val="21"/>
        </w:rPr>
        <w:t>est Account managed through the managing contractor.</w:t>
      </w:r>
      <w:r w:rsidRPr="00D428EE">
        <w:rPr>
          <w:rStyle w:val="EndnoteReference"/>
          <w:szCs w:val="21"/>
        </w:rPr>
        <w:endnoteReference w:id="193"/>
      </w:r>
      <w:r>
        <w:rPr>
          <w:szCs w:val="21"/>
        </w:rPr>
        <w:t xml:space="preserve"> F</w:t>
      </w:r>
      <w:r w:rsidRPr="00D428EE">
        <w:rPr>
          <w:szCs w:val="21"/>
        </w:rPr>
        <w:t xml:space="preserve">or a number of reasons, </w:t>
      </w:r>
      <w:r w:rsidR="006929C2">
        <w:rPr>
          <w:szCs w:val="21"/>
        </w:rPr>
        <w:t xml:space="preserve">however, </w:t>
      </w:r>
      <w:r w:rsidRPr="00D428EE">
        <w:rPr>
          <w:szCs w:val="21"/>
        </w:rPr>
        <w:t xml:space="preserve">the envisaged design </w:t>
      </w:r>
      <w:r>
        <w:rPr>
          <w:szCs w:val="21"/>
        </w:rPr>
        <w:t>was not implemented</w:t>
      </w:r>
      <w:r w:rsidRPr="00D428EE">
        <w:rPr>
          <w:szCs w:val="21"/>
        </w:rPr>
        <w:t>.</w:t>
      </w:r>
      <w:r w:rsidR="00785A85">
        <w:rPr>
          <w:rStyle w:val="FootnoteReference"/>
        </w:rPr>
        <w:footnoteReference w:id="33"/>
      </w:r>
      <w:r w:rsidR="00785A85" w:rsidRPr="005140F5">
        <w:rPr>
          <w:szCs w:val="21"/>
        </w:rPr>
        <w:t xml:space="preserve"> </w:t>
      </w:r>
      <w:r w:rsidR="006929C2">
        <w:rPr>
          <w:szCs w:val="21"/>
        </w:rPr>
        <w:t xml:space="preserve">The initiative has been directly managed by the aid program until another contractor commences. </w:t>
      </w:r>
    </w:p>
    <w:p w14:paraId="32B667F8" w14:textId="6C4FAC38" w:rsidR="00AF6A11" w:rsidRDefault="00AF6A11" w:rsidP="00EF6BCF">
      <w:r>
        <w:t>The design of the PRMF was based on mostly sound evidence concerning decentralisation.</w:t>
      </w:r>
      <w:r w:rsidR="00785A85">
        <w:rPr>
          <w:rStyle w:val="FootnoteReference"/>
        </w:rPr>
        <w:footnoteReference w:id="34"/>
      </w:r>
      <w:r w:rsidR="00785A85">
        <w:t xml:space="preserve"> </w:t>
      </w:r>
      <w:r>
        <w:t>There was s</w:t>
      </w:r>
      <w:r w:rsidRPr="008822AA">
        <w:t xml:space="preserve">trong </w:t>
      </w:r>
      <w:r>
        <w:t>analysis of issues at the subnational level, including corruption as a risk factor with respect to provincial governors, municipal/city mayors or barangay captains.</w:t>
      </w:r>
      <w:r w:rsidRPr="00AB33C4">
        <w:rPr>
          <w:rStyle w:val="EndnoteReference"/>
        </w:rPr>
        <w:endnoteReference w:id="194"/>
      </w:r>
      <w:r>
        <w:t xml:space="preserve"> As a result, the design proposed that only provinces with proven systems and capacities would manage funds.</w:t>
      </w:r>
      <w:r w:rsidRPr="00EC4EA0">
        <w:rPr>
          <w:rStyle w:val="EndnoteReference"/>
          <w:i/>
        </w:rPr>
        <w:endnoteReference w:id="195"/>
      </w:r>
      <w:r w:rsidRPr="00EC4EA0">
        <w:rPr>
          <w:i/>
        </w:rPr>
        <w:t xml:space="preserve"> </w:t>
      </w:r>
      <w:r>
        <w:t>The design required fiduciary risk assessment to be undertaken within target provinces</w:t>
      </w:r>
      <w:r>
        <w:rPr>
          <w:i/>
        </w:rPr>
        <w:t>,</w:t>
      </w:r>
      <w:r w:rsidRPr="00583074">
        <w:rPr>
          <w:rStyle w:val="EndnoteReference"/>
        </w:rPr>
        <w:endnoteReference w:id="196"/>
      </w:r>
      <w:r>
        <w:rPr>
          <w:i/>
        </w:rPr>
        <w:t xml:space="preserve"> </w:t>
      </w:r>
      <w:r w:rsidRPr="004A4120">
        <w:t xml:space="preserve">but </w:t>
      </w:r>
      <w:r>
        <w:t xml:space="preserve">aid program staff noted </w:t>
      </w:r>
      <w:r w:rsidRPr="004A4120">
        <w:t>this was not undertaken for some time.</w:t>
      </w:r>
      <w:r>
        <w:t xml:space="preserve"> There was also limited assessment of demand-side issues, particularly with regard to particular social groups or women. There was some discussion of gender and social inclusion and the need for participatory planning processes, but no detailed evidence to support demand-side strategies. </w:t>
      </w:r>
    </w:p>
    <w:p w14:paraId="1ABF51CA" w14:textId="77777777" w:rsidR="00AF6A11" w:rsidRDefault="00F73E4F" w:rsidP="00AE2162">
      <w:pPr>
        <w:pStyle w:val="Heading3"/>
      </w:pPr>
      <w:bookmarkStart w:id="266" w:name="_Toc371187642"/>
      <w:bookmarkStart w:id="267" w:name="_Toc372300974"/>
      <w:bookmarkStart w:id="268" w:name="_Toc382563913"/>
      <w:bookmarkStart w:id="269" w:name="_Toc382595867"/>
      <w:r>
        <w:t>N</w:t>
      </w:r>
      <w:r w:rsidR="00AF6A11">
        <w:t xml:space="preserve">ational and subnational </w:t>
      </w:r>
      <w:bookmarkEnd w:id="266"/>
      <w:bookmarkEnd w:id="267"/>
      <w:bookmarkEnd w:id="268"/>
      <w:bookmarkEnd w:id="269"/>
      <w:r>
        <w:t xml:space="preserve">alignment and relevance </w:t>
      </w:r>
    </w:p>
    <w:p w14:paraId="38B16ACE" w14:textId="77777777" w:rsidR="00AF6A11" w:rsidRDefault="00AF6A11" w:rsidP="00EF6BCF">
      <w:r>
        <w:t xml:space="preserve">The program has strong alignment and relevance to national priorities. The program objectives </w:t>
      </w:r>
      <w:r w:rsidRPr="004A4120">
        <w:t>are matched</w:t>
      </w:r>
      <w:r w:rsidRPr="006F5DA6">
        <w:t xml:space="preserve"> to the goal of inclusive growth </w:t>
      </w:r>
      <w:r>
        <w:t>described</w:t>
      </w:r>
      <w:r w:rsidRPr="006F5DA6">
        <w:t xml:space="preserve"> in the Philippine Development Plan</w:t>
      </w:r>
      <w:r w:rsidRPr="00C32A23">
        <w:rPr>
          <w:rStyle w:val="EndnoteReference"/>
        </w:rPr>
        <w:endnoteReference w:id="197"/>
      </w:r>
      <w:r>
        <w:t xml:space="preserve"> which includes a focus on rewarding local governments for improved services to the poor, and is also aligned to the </w:t>
      </w:r>
      <w:r w:rsidRPr="003478B4">
        <w:t>Department of the Interior and Local Government</w:t>
      </w:r>
      <w:r>
        <w:t xml:space="preserve"> (</w:t>
      </w:r>
      <w:r w:rsidRPr="00C32A23">
        <w:t>DILG</w:t>
      </w:r>
      <w:r>
        <w:t>)</w:t>
      </w:r>
      <w:r w:rsidRPr="00C32A23">
        <w:t xml:space="preserve"> governance reform agenda (Seal of Good Housekeeping, Performance Challenge Fund, </w:t>
      </w:r>
      <w:r w:rsidRPr="00B9479A">
        <w:t>Local Governance Performance Management Systems</w:t>
      </w:r>
      <w:r w:rsidRPr="00C32A23">
        <w:t>).</w:t>
      </w:r>
      <w:r w:rsidRPr="00C32A23">
        <w:rPr>
          <w:rStyle w:val="EndnoteReference"/>
        </w:rPr>
        <w:endnoteReference w:id="198"/>
      </w:r>
      <w:r>
        <w:t xml:space="preserve"> </w:t>
      </w:r>
    </w:p>
    <w:p w14:paraId="095B3210" w14:textId="77777777" w:rsidR="00AF6A11" w:rsidRDefault="00AF6A11" w:rsidP="00EF6BCF">
      <w:r>
        <w:t xml:space="preserve">Alignment with agendas at the subnational level is </w:t>
      </w:r>
      <w:r w:rsidR="006929C2">
        <w:t xml:space="preserve">less </w:t>
      </w:r>
      <w:r>
        <w:t xml:space="preserve">clear since these are not described in program documentation. </w:t>
      </w:r>
      <w:r w:rsidR="006929C2">
        <w:t>Also, t</w:t>
      </w:r>
      <w:r>
        <w:t xml:space="preserve">he design features aimed </w:t>
      </w:r>
      <w:r w:rsidRPr="009B082A">
        <w:t>at strengthening alignment (allocation of funds to better performing provinces) did not function as expected.</w:t>
      </w:r>
      <w:r>
        <w:t xml:space="preserve"> </w:t>
      </w:r>
    </w:p>
    <w:p w14:paraId="0A9C3F65" w14:textId="77777777" w:rsidR="00AF6A11" w:rsidRDefault="00CB592D" w:rsidP="00AE2162">
      <w:pPr>
        <w:pStyle w:val="Heading3"/>
      </w:pPr>
      <w:bookmarkStart w:id="270" w:name="_Toc371187643"/>
      <w:bookmarkStart w:id="271" w:name="_Toc372300975"/>
      <w:bookmarkStart w:id="272" w:name="_Toc382563914"/>
      <w:bookmarkStart w:id="273" w:name="_Toc382595868"/>
      <w:r>
        <w:t>E</w:t>
      </w:r>
      <w:r w:rsidR="00AF6A11">
        <w:t>ngagement across different parts of partner government</w:t>
      </w:r>
      <w:bookmarkEnd w:id="270"/>
      <w:bookmarkEnd w:id="271"/>
      <w:bookmarkEnd w:id="272"/>
      <w:bookmarkEnd w:id="273"/>
      <w:r w:rsidR="00F73E4F">
        <w:t xml:space="preserve"> and </w:t>
      </w:r>
      <w:r>
        <w:t xml:space="preserve">with </w:t>
      </w:r>
      <w:r w:rsidR="00F73E4F">
        <w:t>community</w:t>
      </w:r>
    </w:p>
    <w:p w14:paraId="2738C648" w14:textId="77777777" w:rsidR="00AF6A11" w:rsidRPr="00631059" w:rsidRDefault="00AF6A11" w:rsidP="00EF6BCF">
      <w:r>
        <w:t xml:space="preserve">The design involved balanced engagement across both national and subnational levels. However, neither engagement played out as planned. At the national level, the original plan was to have an advisory board chaired by the Australian aid program and </w:t>
      </w:r>
      <w:r w:rsidRPr="00300032">
        <w:t xml:space="preserve">the </w:t>
      </w:r>
      <w:r>
        <w:t>National Economic Development Agency.</w:t>
      </w:r>
      <w:r w:rsidRPr="00300032">
        <w:rPr>
          <w:rStyle w:val="EndnoteReference"/>
        </w:rPr>
        <w:endnoteReference w:id="199"/>
      </w:r>
      <w:r w:rsidRPr="00300032">
        <w:t xml:space="preserve"> DILG </w:t>
      </w:r>
      <w:r>
        <w:t>also had a role to</w:t>
      </w:r>
      <w:r w:rsidRPr="00300032">
        <w:t xml:space="preserve"> </w:t>
      </w:r>
      <w:r>
        <w:t>‘</w:t>
      </w:r>
      <w:r w:rsidRPr="00300032">
        <w:rPr>
          <w:i/>
        </w:rPr>
        <w:t xml:space="preserve">disseminate lessons learned and reforms </w:t>
      </w:r>
      <w:r>
        <w:rPr>
          <w:i/>
        </w:rPr>
        <w:t>…</w:t>
      </w:r>
      <w:r w:rsidRPr="00300032">
        <w:rPr>
          <w:i/>
        </w:rPr>
        <w:t xml:space="preserve"> to the national government</w:t>
      </w:r>
      <w:r>
        <w:rPr>
          <w:i/>
        </w:rPr>
        <w:t>.</w:t>
      </w:r>
      <w:r>
        <w:t>’</w:t>
      </w:r>
      <w:r w:rsidRPr="00300032">
        <w:rPr>
          <w:rStyle w:val="EndnoteReference"/>
        </w:rPr>
        <w:endnoteReference w:id="200"/>
      </w:r>
      <w:r>
        <w:t xml:space="preserve"> Independent appraisal of the design questioned why there was not stronger engagement at the national level: ‘</w:t>
      </w:r>
      <w:r w:rsidRPr="00300032">
        <w:rPr>
          <w:i/>
        </w:rPr>
        <w:t xml:space="preserve">A committed counterpart at the national government is not identified but needs to be brought in </w:t>
      </w:r>
      <w:r>
        <w:rPr>
          <w:i/>
        </w:rPr>
        <w:t xml:space="preserve">to make the concept sustainable. </w:t>
      </w:r>
      <w:r w:rsidRPr="00300032">
        <w:rPr>
          <w:i/>
        </w:rPr>
        <w:t>This will be a critical issue; it begs the</w:t>
      </w:r>
      <w:r>
        <w:rPr>
          <w:i/>
        </w:rPr>
        <w:t xml:space="preserve"> questions of whether a </w:t>
      </w:r>
      <w:r w:rsidRPr="00300032">
        <w:rPr>
          <w:i/>
        </w:rPr>
        <w:t xml:space="preserve">program of this size and nature </w:t>
      </w:r>
      <w:r>
        <w:rPr>
          <w:i/>
        </w:rPr>
        <w:t xml:space="preserve">should </w:t>
      </w:r>
      <w:r w:rsidRPr="00300032">
        <w:rPr>
          <w:i/>
        </w:rPr>
        <w:t>be initiated without national government engagement in place</w:t>
      </w:r>
      <w:r w:rsidRPr="00C32A23">
        <w:t>.</w:t>
      </w:r>
      <w:r>
        <w:t>’</w:t>
      </w:r>
      <w:r w:rsidRPr="00C32A23">
        <w:rPr>
          <w:rStyle w:val="EndnoteReference"/>
        </w:rPr>
        <w:endnoteReference w:id="201"/>
      </w:r>
      <w:r>
        <w:t xml:space="preserve"> Within the lifetime of the program, such engagement became even more important due to the strong reform agenda of the </w:t>
      </w:r>
      <w:r w:rsidR="00F73E4F">
        <w:t xml:space="preserve">new </w:t>
      </w:r>
      <w:r>
        <w:t>government. This issue has now been taken up and a stronger role for DILG is envisaged,</w:t>
      </w:r>
      <w:r w:rsidRPr="00C32A23">
        <w:rPr>
          <w:rStyle w:val="EndnoteReference"/>
        </w:rPr>
        <w:endnoteReference w:id="202"/>
      </w:r>
      <w:r>
        <w:t xml:space="preserve"> i</w:t>
      </w:r>
      <w:r w:rsidRPr="00EB001A">
        <w:t>ncluding a</w:t>
      </w:r>
      <w:r w:rsidRPr="00EB001A">
        <w:rPr>
          <w:szCs w:val="21"/>
        </w:rPr>
        <w:t xml:space="preserve"> package of support.</w:t>
      </w:r>
      <w:r w:rsidRPr="00EB001A">
        <w:rPr>
          <w:rStyle w:val="EndnoteReference"/>
          <w:sz w:val="22"/>
          <w:szCs w:val="22"/>
        </w:rPr>
        <w:endnoteReference w:id="203"/>
      </w:r>
      <w:r w:rsidRPr="00300032">
        <w:t xml:space="preserve"> </w:t>
      </w:r>
      <w:r>
        <w:t>DILG also agreed to be the procuring entity for PRMF rehabilitation and maintenance contracts.</w:t>
      </w:r>
    </w:p>
    <w:p w14:paraId="481B81A9" w14:textId="5FA3C2DB" w:rsidR="00AF6A11" w:rsidRDefault="00AF6A11" w:rsidP="00EF6BCF">
      <w:r>
        <w:t>The engagement process with provincial government did not go ahead as planned. The managing contractor retained control of procurement and contracting processes rather than using provincial government systems, and the incentive program did not achieve the expected results: ‘</w:t>
      </w:r>
      <w:r>
        <w:rPr>
          <w:i/>
        </w:rPr>
        <w:t>T</w:t>
      </w:r>
      <w:r w:rsidRPr="00307D09">
        <w:rPr>
          <w:i/>
        </w:rPr>
        <w:t>here is a pervasive divergence between the PRMF espoused t</w:t>
      </w:r>
      <w:r>
        <w:rPr>
          <w:i/>
        </w:rPr>
        <w:t>heories and those in actual use.’</w:t>
      </w:r>
      <w:r w:rsidRPr="00307D09">
        <w:rPr>
          <w:rStyle w:val="EndnoteReference"/>
          <w:i/>
        </w:rPr>
        <w:endnoteReference w:id="204"/>
      </w:r>
      <w:r w:rsidRPr="00583074">
        <w:t xml:space="preserve"> </w:t>
      </w:r>
      <w:r>
        <w:t xml:space="preserve">The incentive program, which was intended to improve institutional and governance </w:t>
      </w:r>
      <w:r w:rsidRPr="00631059">
        <w:t>issues, instead encouraged a compliance response</w:t>
      </w:r>
      <w:r>
        <w:t>:</w:t>
      </w:r>
      <w:r w:rsidRPr="00631059">
        <w:rPr>
          <w:rStyle w:val="EndnoteReference"/>
        </w:rPr>
        <w:endnoteReference w:id="205"/>
      </w:r>
      <w:r>
        <w:t xml:space="preserve"> ‘</w:t>
      </w:r>
      <w:r>
        <w:rPr>
          <w:i/>
        </w:rPr>
        <w:t>T</w:t>
      </w:r>
      <w:r w:rsidRPr="00307D09">
        <w:rPr>
          <w:i/>
        </w:rPr>
        <w:t>he incentive mechanism does not take account of the complexities of the differentiated political economic environments found in the individual provinces</w:t>
      </w:r>
      <w:r>
        <w:rPr>
          <w:i/>
        </w:rPr>
        <w:t>.</w:t>
      </w:r>
      <w:r>
        <w:t>’</w:t>
      </w:r>
      <w:r w:rsidRPr="00307D09">
        <w:rPr>
          <w:rStyle w:val="EndnoteReference"/>
        </w:rPr>
        <w:endnoteReference w:id="206"/>
      </w:r>
      <w:r>
        <w:t xml:space="preserve"> Overall, it appears that there was excessive risk placed on the managing contractor. During our fieldwork, a key lesson mentioned by aid program staff was that ‘</w:t>
      </w:r>
      <w:r>
        <w:rPr>
          <w:i/>
        </w:rPr>
        <w:t>[the Australian aid program]</w:t>
      </w:r>
      <w:r w:rsidRPr="00324835">
        <w:rPr>
          <w:i/>
        </w:rPr>
        <w:t xml:space="preserve"> should not devolve [risk to </w:t>
      </w:r>
      <w:r>
        <w:rPr>
          <w:i/>
        </w:rPr>
        <w:t xml:space="preserve">the </w:t>
      </w:r>
      <w:r w:rsidRPr="00324835">
        <w:rPr>
          <w:i/>
        </w:rPr>
        <w:t>managing contractor] but should carry the risk</w:t>
      </w:r>
      <w:r>
        <w:rPr>
          <w:i/>
        </w:rPr>
        <w:t>’</w:t>
      </w:r>
      <w:r>
        <w:rPr>
          <w:b/>
        </w:rPr>
        <w:t xml:space="preserve"> </w:t>
      </w:r>
      <w:r w:rsidRPr="00324835">
        <w:t>and should be in a position to ‘</w:t>
      </w:r>
      <w:r w:rsidRPr="00324835">
        <w:rPr>
          <w:i/>
        </w:rPr>
        <w:t>withdraw if provinces can’t meet their end of the bargain</w:t>
      </w:r>
      <w:r w:rsidR="00D2236B">
        <w:rPr>
          <w:i/>
        </w:rPr>
        <w:t>.’</w:t>
      </w:r>
      <w:r>
        <w:rPr>
          <w:b/>
        </w:rPr>
        <w:t xml:space="preserve"> </w:t>
      </w:r>
      <w:r>
        <w:t>In future, the aid program will share this risk.</w:t>
      </w:r>
    </w:p>
    <w:p w14:paraId="624A1180" w14:textId="02ADF482" w:rsidR="00AF6A11" w:rsidRPr="009B082A" w:rsidRDefault="006929C2" w:rsidP="00EF6BCF">
      <w:r>
        <w:t>The</w:t>
      </w:r>
      <w:r w:rsidR="00AF6A11">
        <w:t xml:space="preserve"> country strategy incl</w:t>
      </w:r>
      <w:r w:rsidR="00CB592D">
        <w:t>udes a focus on the demand side,</w:t>
      </w:r>
      <w:r w:rsidR="00AF6A11">
        <w:t xml:space="preserve"> engagement of the poor and ‘</w:t>
      </w:r>
      <w:r w:rsidR="00AF6A11" w:rsidRPr="00D04C3D">
        <w:rPr>
          <w:i/>
        </w:rPr>
        <w:t>facilitating partnerships between government and civil society to create stronger demand and accountability for change</w:t>
      </w:r>
      <w:r w:rsidR="00D2236B">
        <w:t>.’</w:t>
      </w:r>
      <w:r w:rsidR="00AF6A11" w:rsidRPr="00C32A23">
        <w:rPr>
          <w:rStyle w:val="EndnoteReference"/>
        </w:rPr>
        <w:endnoteReference w:id="207"/>
      </w:r>
      <w:r w:rsidR="00AF6A11">
        <w:t xml:space="preserve"> </w:t>
      </w:r>
      <w:r>
        <w:t xml:space="preserve">Yet this </w:t>
      </w:r>
      <w:r w:rsidR="00AF6A11">
        <w:t>this was not a strong feature of PRMF. The independent progress review raises concerns about the lack of engagement with local NGOs, and the lack of involvement of local knowledge or perspectives or development of provincial staff capacity to undertake participatory planning processes. For example, the review notes that the community engagement model is ‘</w:t>
      </w:r>
      <w:r w:rsidR="00AF6A11" w:rsidRPr="00E25C46">
        <w:rPr>
          <w:i/>
        </w:rPr>
        <w:t>still primarily limited to information and consultation and paid employment, missing opportunities for more collaboration leading to local recognition of responsibility and ownership</w:t>
      </w:r>
      <w:r w:rsidR="00AF6A11">
        <w:rPr>
          <w:i/>
        </w:rPr>
        <w:t>.</w:t>
      </w:r>
      <w:r w:rsidR="00AF6A11">
        <w:t>’</w:t>
      </w:r>
      <w:r w:rsidR="00AF6A11" w:rsidRPr="00D04C3D">
        <w:rPr>
          <w:rStyle w:val="EndnoteReference"/>
        </w:rPr>
        <w:endnoteReference w:id="208"/>
      </w:r>
      <w:r w:rsidR="00AF6A11" w:rsidRPr="00D04C3D">
        <w:t xml:space="preserve"> The review also notes that </w:t>
      </w:r>
      <w:r w:rsidR="00AF6A11">
        <w:t>‘</w:t>
      </w:r>
      <w:r w:rsidR="00AF6A11" w:rsidRPr="00E25C46">
        <w:rPr>
          <w:i/>
        </w:rPr>
        <w:t>local knowledge of road use, local needs and available access to needed services remain essentially untapped</w:t>
      </w:r>
      <w:r w:rsidR="00AF6A11">
        <w:rPr>
          <w:i/>
        </w:rPr>
        <w:t>.</w:t>
      </w:r>
      <w:r w:rsidR="00AF6A11">
        <w:t>’</w:t>
      </w:r>
      <w:r w:rsidR="00AF6A11" w:rsidRPr="00C32A23">
        <w:rPr>
          <w:rStyle w:val="EndnoteReference"/>
        </w:rPr>
        <w:endnoteReference w:id="209"/>
      </w:r>
      <w:r w:rsidR="00AF6A11">
        <w:t xml:space="preserve"> The review saw PRMF as needing a stronger role in improving provincial capacity for participatory planning because it is</w:t>
      </w:r>
      <w:r w:rsidR="00AF6A11" w:rsidRPr="00C32A23">
        <w:t xml:space="preserve"> </w:t>
      </w:r>
      <w:r w:rsidR="00AF6A11">
        <w:t>‘</w:t>
      </w:r>
      <w:r w:rsidR="00AF6A11" w:rsidRPr="00D04C3D">
        <w:rPr>
          <w:i/>
        </w:rPr>
        <w:t>important that the capacity development program incorporates activities for provincial staff to increase their knowledge and skills in facilitating participatory community engagement processes</w:t>
      </w:r>
      <w:r w:rsidR="00AF6A11">
        <w:rPr>
          <w:i/>
        </w:rPr>
        <w:t>.</w:t>
      </w:r>
      <w:r w:rsidR="00AF6A11">
        <w:t>’</w:t>
      </w:r>
      <w:r w:rsidR="00AF6A11" w:rsidRPr="00C32A23">
        <w:rPr>
          <w:rStyle w:val="EndnoteReference"/>
        </w:rPr>
        <w:endnoteReference w:id="210"/>
      </w:r>
    </w:p>
    <w:p w14:paraId="4E8E44EC" w14:textId="77777777" w:rsidR="00AF6A11" w:rsidRDefault="006929C2" w:rsidP="00AE2162">
      <w:pPr>
        <w:pStyle w:val="Heading3"/>
      </w:pPr>
      <w:bookmarkStart w:id="274" w:name="_Toc371187645"/>
      <w:bookmarkStart w:id="275" w:name="_Toc372300977"/>
      <w:bookmarkStart w:id="276" w:name="_Toc382563916"/>
      <w:bookmarkStart w:id="277" w:name="_Toc382595870"/>
      <w:r>
        <w:t>S</w:t>
      </w:r>
      <w:r w:rsidR="00AF6A11">
        <w:t>ustainability through o</w:t>
      </w:r>
      <w:r w:rsidR="00AF6A11" w:rsidRPr="00813F36">
        <w:t>wnership and capacity building</w:t>
      </w:r>
      <w:bookmarkEnd w:id="274"/>
      <w:bookmarkEnd w:id="275"/>
      <w:bookmarkEnd w:id="276"/>
      <w:bookmarkEnd w:id="277"/>
    </w:p>
    <w:p w14:paraId="42F70161" w14:textId="451F800E" w:rsidR="00AF6A11" w:rsidRDefault="00F94F9E" w:rsidP="00EF6BCF">
      <w:r>
        <w:rPr>
          <w:noProof/>
        </w:rPr>
        <mc:AlternateContent>
          <mc:Choice Requires="wps">
            <w:drawing>
              <wp:anchor distT="0" distB="0" distL="114300" distR="114300" simplePos="0" relativeHeight="251808768" behindDoc="1" locked="0" layoutInCell="1" allowOverlap="1" wp14:anchorId="7E86E501" wp14:editId="2F1E0029">
                <wp:simplePos x="0" y="0"/>
                <wp:positionH relativeFrom="column">
                  <wp:posOffset>2647950</wp:posOffset>
                </wp:positionH>
                <wp:positionV relativeFrom="paragraph">
                  <wp:posOffset>981075</wp:posOffset>
                </wp:positionV>
                <wp:extent cx="3048000" cy="1685925"/>
                <wp:effectExtent l="0" t="0" r="0" b="9525"/>
                <wp:wrapTight wrapText="bothSides">
                  <wp:wrapPolygon edited="0">
                    <wp:start x="0" y="0"/>
                    <wp:lineTo x="0" y="21478"/>
                    <wp:lineTo x="21465" y="21478"/>
                    <wp:lineTo x="21465"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685925"/>
                        </a:xfrm>
                        <a:prstGeom prst="rect">
                          <a:avLst/>
                        </a:prstGeom>
                        <a:solidFill>
                          <a:srgbClr val="FFFFFF"/>
                        </a:solidFill>
                        <a:ln w="9525">
                          <a:noFill/>
                          <a:miter lim="800000"/>
                          <a:headEnd/>
                          <a:tailEnd/>
                        </a:ln>
                      </wps:spPr>
                      <wps:txbx>
                        <w:txbxContent>
                          <w:p w14:paraId="1A7595F9" w14:textId="0234D6CC" w:rsidR="00CD4AF2" w:rsidRPr="00F94F9E" w:rsidRDefault="00CD4AF2" w:rsidP="00F94F9E">
                            <w:pPr>
                              <w:pStyle w:val="BoxQuote"/>
                              <w:rPr>
                                <w:color w:val="215868" w:themeColor="accent5" w:themeShade="80"/>
                              </w:rPr>
                            </w:pPr>
                            <w:r w:rsidRPr="00F94F9E">
                              <w:rPr>
                                <w:color w:val="215868" w:themeColor="accent5" w:themeShade="80"/>
                              </w:rPr>
                              <w:t>[We need to] move beyond doing things for and on behalf of provinces, to encouraging provinces to lead. This will not happen automatically, all the key stakeholders will have to deliberately change their assistance in ways that will support this transfer.</w:t>
                            </w:r>
                          </w:p>
                          <w:p w14:paraId="2C072E13" w14:textId="63E94816" w:rsidR="00CD4AF2" w:rsidRPr="00BC7E0A" w:rsidRDefault="00CD4AF2" w:rsidP="00F94F9E">
                            <w:pPr>
                              <w:pStyle w:val="BoxQuote"/>
                              <w:jc w:val="right"/>
                              <w:rPr>
                                <w:i w:val="0"/>
                                <w:color w:val="215868" w:themeColor="accent5" w:themeShade="80"/>
                                <w:szCs w:val="21"/>
                              </w:rPr>
                            </w:pPr>
                            <w:r w:rsidRPr="00BC7E0A">
                              <w:rPr>
                                <w:rFonts w:cs="Cambria"/>
                                <w:i w:val="0"/>
                                <w:color w:val="215868" w:themeColor="accent5" w:themeShade="80"/>
                                <w:szCs w:val="21"/>
                              </w:rPr>
                              <w:t>PRMF Technical Monitoring Group fourth monitoring mission, fourth monitoring report, AusAID, Canberra, 2011, 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8.5pt;margin-top:77.25pt;width:240pt;height:132.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iEIwIAACUEAAAOAAAAZHJzL2Uyb0RvYy54bWysU9tu2zAMfR+wfxD0vthOky4x4hRdugwD&#10;ugvQ7gNkWY6FSaImKbGzrx8lp2nWvg3zgyGK5OHhIbW6GbQiB+G8BFPRYpJTIgyHRppdRX88bt8t&#10;KPGBmYYpMKKiR+Hpzfrtm1VvSzGFDlQjHEEQ48veVrQLwZZZ5nknNPMTsMKgswWnWUDT7bLGsR7R&#10;tcqmeX6d9eAa64AL7/H2bnTSdcJvW8HDt7b1IhBVUeQW0t+lfx3/2XrFyp1jtpP8RIP9AwvNpMGi&#10;Z6g7FhjZO/kKSkvuwEMbJhx0Bm0ruUg9YDdF/qKbh45ZkXpBcbw9y+T/Hyz/evjuiGwqOkN5DNM4&#10;o0cxBPIBBjKN8vTWlxj1YDEuDHiNY06tensP/KcnBjYdMztx6xz0nWAN0itiZnaROuL4CFL3X6DB&#10;MmwfIAENrdNRO1SDIDryOJ5HE6lwvLzKZ4s8RxdHX3G9mC+n81SDlU/p1vnwSYAm8VBRh7NP8Oxw&#10;70Okw8qnkFjNg5LNViqVDLerN8qRA8M92abvhP5XmDKkr+hyjrVjloGYn1ZIy4B7rKSuaOSJTNN1&#10;lOOjadI5MKnGMzJR5qRPlGQUJwz1kCZRXMXkKF4NzREVczDuLb4zPHTgflPS485W1P/aMycoUZ8N&#10;qr4sZnGKIRmz+fspGu7SU196mOEIVdFAyXjchPQwxs5ucTqtTLo9Mzlxxl1Mcp7eTVz2SztFPb/u&#10;9R8AAAD//wMAUEsDBBQABgAIAAAAIQCnu+Dd3AAAAAsBAAAPAAAAZHJzL2Rvd25yZXYueG1sTI/b&#10;ToNAEIbvTXyHzZh4Y+xSA6VFlkZNNN728AADTIHIzhJ2W+jbO73Sy5nvz3/It7Pt1YVG3zk2sFxE&#10;oIgrV3fcGDgePp/XoHxArrF3TAau5GFb3N/lmNVu4h1d9qFRYsI+QwNtCEOmta9asugXbiAWdnKj&#10;xSDn2Oh6xEnMba9fomilLXYsCS0O9NFS9bM/WwOn7+kp2UzlVzimu3j1jl1auqsxjw/z2yuoQHP4&#10;E8OtvlSHQjqV7sy1V72BeJnKliAgiRNQolhvbp9SkCSDLnL9f0PxCwAA//8DAFBLAQItABQABgAI&#10;AAAAIQC2gziS/gAAAOEBAAATAAAAAAAAAAAAAAAAAAAAAABbQ29udGVudF9UeXBlc10ueG1sUEsB&#10;Ai0AFAAGAAgAAAAhADj9If/WAAAAlAEAAAsAAAAAAAAAAAAAAAAALwEAAF9yZWxzLy5yZWxzUEsB&#10;Ai0AFAAGAAgAAAAhAPxe+IQjAgAAJQQAAA4AAAAAAAAAAAAAAAAALgIAAGRycy9lMm9Eb2MueG1s&#10;UEsBAi0AFAAGAAgAAAAhAKe74N3cAAAACwEAAA8AAAAAAAAAAAAAAAAAfQQAAGRycy9kb3ducmV2&#10;LnhtbFBLBQYAAAAABAAEAPMAAACGBQAAAAA=&#10;" stroked="f">
                <v:textbox>
                  <w:txbxContent>
                    <w:p w14:paraId="1A7595F9" w14:textId="0234D6CC" w:rsidR="00CD4AF2" w:rsidRPr="00F94F9E" w:rsidRDefault="00CD4AF2" w:rsidP="00F94F9E">
                      <w:pPr>
                        <w:pStyle w:val="BoxQuote"/>
                        <w:rPr>
                          <w:color w:val="215868" w:themeColor="accent5" w:themeShade="80"/>
                        </w:rPr>
                      </w:pPr>
                      <w:r w:rsidRPr="00F94F9E">
                        <w:rPr>
                          <w:color w:val="215868" w:themeColor="accent5" w:themeShade="80"/>
                        </w:rPr>
                        <w:t>[We need to] move beyond doing things for and on behalf of provinces, to encouraging provinces to lead. This will not happen automatically, all the key stakeholders will have to deliberately change their assistance in ways that will support this transfer.</w:t>
                      </w:r>
                    </w:p>
                    <w:p w14:paraId="2C072E13" w14:textId="63E94816" w:rsidR="00CD4AF2" w:rsidRPr="00BC7E0A" w:rsidRDefault="00CD4AF2" w:rsidP="00F94F9E">
                      <w:pPr>
                        <w:pStyle w:val="BoxQuote"/>
                        <w:jc w:val="right"/>
                        <w:rPr>
                          <w:i w:val="0"/>
                          <w:color w:val="215868" w:themeColor="accent5" w:themeShade="80"/>
                          <w:szCs w:val="21"/>
                        </w:rPr>
                      </w:pPr>
                      <w:r w:rsidRPr="00BC7E0A">
                        <w:rPr>
                          <w:rFonts w:cs="Cambria"/>
                          <w:i w:val="0"/>
                          <w:color w:val="215868" w:themeColor="accent5" w:themeShade="80"/>
                          <w:szCs w:val="21"/>
                        </w:rPr>
                        <w:t>PRMF Technical Monitoring Group fourth monitoring mission, fourth monitoring report, AusAID, Canberra, 2011, p.1</w:t>
                      </w:r>
                    </w:p>
                  </w:txbxContent>
                </v:textbox>
                <w10:wrap type="tight"/>
              </v:shape>
            </w:pict>
          </mc:Fallback>
        </mc:AlternateContent>
      </w:r>
      <w:r w:rsidR="00AF6A11" w:rsidRPr="004250F4">
        <w:t xml:space="preserve">The strategies </w:t>
      </w:r>
      <w:r w:rsidR="00AF6A11">
        <w:t>in the PRMF design to ensure sustainability were not implemented</w:t>
      </w:r>
      <w:r w:rsidR="006929C2">
        <w:t>.</w:t>
      </w:r>
      <w:r w:rsidR="00AF6A11">
        <w:t xml:space="preserve"> </w:t>
      </w:r>
      <w:r w:rsidR="006929C2">
        <w:t>S</w:t>
      </w:r>
      <w:r w:rsidR="00AF6A11">
        <w:t>trong criticism in a mid-term review</w:t>
      </w:r>
      <w:r w:rsidR="006929C2">
        <w:t xml:space="preserve"> prompted </w:t>
      </w:r>
      <w:r w:rsidR="00AF6A11">
        <w:t>a revision to arrangements and suspension of the contract. The rating for sustainability dropped from 5/6 (2009) to an ‘</w:t>
      </w:r>
      <w:r w:rsidR="00AF6A11" w:rsidRPr="00B9479A">
        <w:rPr>
          <w:i/>
        </w:rPr>
        <w:t>inadequate’</w:t>
      </w:r>
      <w:r w:rsidR="00AF6A11">
        <w:t xml:space="preserve"> 3/6 (2010 and 2011).</w:t>
      </w:r>
      <w:r w:rsidR="00AF6A11" w:rsidRPr="00B75A18">
        <w:t xml:space="preserve"> </w:t>
      </w:r>
      <w:r w:rsidR="00AF6A11">
        <w:t>L</w:t>
      </w:r>
      <w:r w:rsidR="00AF6A11" w:rsidRPr="00B75A18">
        <w:t xml:space="preserve">eadership had not been established at </w:t>
      </w:r>
      <w:r w:rsidR="00AF6A11">
        <w:t xml:space="preserve">the </w:t>
      </w:r>
      <w:r w:rsidR="00AF6A11" w:rsidRPr="00B75A18">
        <w:t xml:space="preserve">national level, </w:t>
      </w:r>
      <w:r w:rsidR="00AF6A11">
        <w:t xml:space="preserve">and </w:t>
      </w:r>
      <w:r w:rsidR="00AF6A11" w:rsidRPr="00B75A18">
        <w:t>only recently have arrangements changed to ensure stronger leadership from DILG.</w:t>
      </w:r>
      <w:r w:rsidR="00AF6A11">
        <w:t xml:space="preserve"> </w:t>
      </w:r>
      <w:r w:rsidR="00AF6A11" w:rsidRPr="00B75A18">
        <w:t xml:space="preserve">The independent review </w:t>
      </w:r>
      <w:r w:rsidR="00AF6A11">
        <w:t>also noted</w:t>
      </w:r>
      <w:r w:rsidR="00AF6A11" w:rsidRPr="00B75A18">
        <w:t xml:space="preserve"> </w:t>
      </w:r>
      <w:r w:rsidR="00AF6A11">
        <w:t>‘</w:t>
      </w:r>
      <w:r w:rsidR="00AF6A11" w:rsidRPr="00B75A18">
        <w:rPr>
          <w:i/>
        </w:rPr>
        <w:t>there has yet to be any move to leverage national government resources</w:t>
      </w:r>
      <w:r w:rsidR="00D2236B">
        <w:t>.’</w:t>
      </w:r>
      <w:r w:rsidR="00AF6A11">
        <w:t xml:space="preserve"> </w:t>
      </w:r>
    </w:p>
    <w:p w14:paraId="5AF2D87A" w14:textId="4769E914" w:rsidR="00AF6A11" w:rsidRDefault="00AF6A11" w:rsidP="00921A4C">
      <w:r>
        <w:t>Lack of ownership, capacity and leadership by the provinces was also reported and has been responded to</w:t>
      </w:r>
      <w:r>
        <w:rPr>
          <w:i/>
        </w:rPr>
        <w:t>.</w:t>
      </w:r>
      <w:r w:rsidRPr="00C32A23">
        <w:rPr>
          <w:rStyle w:val="EndnoteReference"/>
        </w:rPr>
        <w:endnoteReference w:id="211"/>
      </w:r>
      <w:r>
        <w:t xml:space="preserve"> However, recent planning documents point out the challenges in shifting implementation responsibility to provinces: ‘</w:t>
      </w:r>
      <w:r>
        <w:rPr>
          <w:i/>
        </w:rPr>
        <w:t>P</w:t>
      </w:r>
      <w:r w:rsidRPr="00902471">
        <w:rPr>
          <w:i/>
        </w:rPr>
        <w:t>ublic financial management and procurement assessments involving five provinc</w:t>
      </w:r>
      <w:r>
        <w:rPr>
          <w:i/>
        </w:rPr>
        <w:t>es are yielding mixed results …</w:t>
      </w:r>
      <w:r w:rsidRPr="00902471">
        <w:rPr>
          <w:i/>
        </w:rPr>
        <w:t xml:space="preserve"> additional safeguard measures would be required for a transition to full management by and use of a provinces budget and procurement systems</w:t>
      </w:r>
      <w:r>
        <w:rPr>
          <w:i/>
        </w:rPr>
        <w:t>.</w:t>
      </w:r>
      <w:r>
        <w:t>’</w:t>
      </w:r>
      <w:r w:rsidRPr="00C32A23">
        <w:rPr>
          <w:rStyle w:val="EndnoteReference"/>
        </w:rPr>
        <w:endnoteReference w:id="212"/>
      </w:r>
    </w:p>
    <w:p w14:paraId="31679717" w14:textId="6A788DC7" w:rsidR="00AF6A11" w:rsidRPr="00C32A23" w:rsidRDefault="00AF6A11" w:rsidP="00EF6BCF">
      <w:r>
        <w:t xml:space="preserve">The aid program’s direct management of PRMF has led to several changes to address the sustainability challenges noted above. Notably, the recent plans confirm that </w:t>
      </w:r>
      <w:r>
        <w:rPr>
          <w:i/>
        </w:rPr>
        <w:t>‘</w:t>
      </w:r>
      <w:r w:rsidRPr="0059733B">
        <w:rPr>
          <w:i/>
        </w:rPr>
        <w:t>PRMF now works closely with DILG and provides targeted, demand-driven support.</w:t>
      </w:r>
      <w:r>
        <w:rPr>
          <w:i/>
        </w:rPr>
        <w:t>’</w:t>
      </w:r>
      <w:r w:rsidRPr="007972DB">
        <w:rPr>
          <w:rStyle w:val="EndnoteReference"/>
        </w:rPr>
        <w:t xml:space="preserve"> </w:t>
      </w:r>
      <w:r w:rsidRPr="00C32A23">
        <w:rPr>
          <w:rStyle w:val="EndnoteReference"/>
        </w:rPr>
        <w:endnoteReference w:id="213"/>
      </w:r>
      <w:r>
        <w:t xml:space="preserve"> There are a range of supports provided to DILG, including an approach to working with provinces that ‘</w:t>
      </w:r>
      <w:r w:rsidRPr="00C40DA0">
        <w:rPr>
          <w:i/>
        </w:rPr>
        <w:t>could be replicated in a national program</w:t>
      </w:r>
      <w:r>
        <w:rPr>
          <w:i/>
        </w:rPr>
        <w:t>.</w:t>
      </w:r>
      <w:r>
        <w:t>’</w:t>
      </w:r>
      <w:r w:rsidRPr="00C32A23">
        <w:rPr>
          <w:rStyle w:val="EndnoteReference"/>
        </w:rPr>
        <w:endnoteReference w:id="214"/>
      </w:r>
      <w:r w:rsidR="006929C2">
        <w:t xml:space="preserve"> T</w:t>
      </w:r>
      <w:r>
        <w:t>he path ahead remains challenging and achieving ownership at both the national and subnational levels is an ambitious, yet important, goal. Interviews with program staff noted that building the case for replication at the national level is difficult, particularly given that the design had little focus on DILG. Interviews with DILG representatives at the national level noted an inability to sustain changes, and concerns about this for the future: ‘</w:t>
      </w:r>
      <w:r>
        <w:rPr>
          <w:i/>
        </w:rPr>
        <w:t>D</w:t>
      </w:r>
      <w:r w:rsidRPr="00C40DA0">
        <w:rPr>
          <w:i/>
        </w:rPr>
        <w:t>uring the project we have the resources and the experts but these leave at the end of the project</w:t>
      </w:r>
      <w:r w:rsidR="00D2236B">
        <w:t>.’</w:t>
      </w:r>
    </w:p>
    <w:p w14:paraId="6E1C0DDE" w14:textId="77777777" w:rsidR="00AF6A11" w:rsidRPr="00B92B71" w:rsidRDefault="006929C2" w:rsidP="00AE2162">
      <w:pPr>
        <w:pStyle w:val="Heading3"/>
        <w:rPr>
          <w:rFonts w:eastAsia="Calibri"/>
        </w:rPr>
      </w:pPr>
      <w:bookmarkStart w:id="278" w:name="_Toc371187646"/>
      <w:bookmarkStart w:id="279" w:name="_Toc372300978"/>
      <w:bookmarkStart w:id="280" w:name="_Toc382563917"/>
      <w:bookmarkStart w:id="281" w:name="_Toc382595871"/>
      <w:r>
        <w:rPr>
          <w:rFonts w:eastAsia="Calibri"/>
        </w:rPr>
        <w:t>E</w:t>
      </w:r>
      <w:r w:rsidR="00AF6A11">
        <w:rPr>
          <w:rFonts w:eastAsia="Calibri"/>
        </w:rPr>
        <w:t>quity and gender</w:t>
      </w:r>
      <w:bookmarkEnd w:id="278"/>
      <w:bookmarkEnd w:id="279"/>
      <w:bookmarkEnd w:id="280"/>
      <w:bookmarkEnd w:id="281"/>
      <w:r w:rsidR="00AF6A11">
        <w:t xml:space="preserve"> </w:t>
      </w:r>
    </w:p>
    <w:p w14:paraId="454CE68C" w14:textId="13AF5BFA" w:rsidR="00AF6A11" w:rsidRPr="0022469E" w:rsidRDefault="00AF6A11" w:rsidP="00EF6BCF">
      <w:r>
        <w:t>The PRMF design document does not describe a poverty focus in the choice of subnational locations. However, two of the target regions (Visayas and Mindanao) are noted to have poverty rates higher than the national average.</w:t>
      </w:r>
      <w:r w:rsidRPr="00D04C3D">
        <w:rPr>
          <w:rStyle w:val="EndnoteReference"/>
        </w:rPr>
        <w:t xml:space="preserve"> </w:t>
      </w:r>
      <w:r w:rsidRPr="00C32A23">
        <w:rPr>
          <w:rStyle w:val="EndnoteReference"/>
        </w:rPr>
        <w:endnoteReference w:id="215"/>
      </w:r>
      <w:r>
        <w:t xml:space="preserve"> </w:t>
      </w:r>
      <w:r w:rsidR="0081332A">
        <w:rPr>
          <w:szCs w:val="21"/>
        </w:rPr>
        <w:t>The c</w:t>
      </w:r>
      <w:r w:rsidRPr="00866ABA">
        <w:rPr>
          <w:szCs w:val="21"/>
        </w:rPr>
        <w:t>ollection of sex-disaggregated data is a strength</w:t>
      </w:r>
      <w:r w:rsidR="0081332A">
        <w:rPr>
          <w:szCs w:val="21"/>
        </w:rPr>
        <w:t xml:space="preserve">, yet there is no </w:t>
      </w:r>
      <w:r w:rsidR="0081332A" w:rsidRPr="00866ABA">
        <w:rPr>
          <w:szCs w:val="21"/>
        </w:rPr>
        <w:t>analysis and use of this data</w:t>
      </w:r>
      <w:r w:rsidR="0081332A">
        <w:rPr>
          <w:szCs w:val="21"/>
        </w:rPr>
        <w:t xml:space="preserve"> and the gender strategy has not been</w:t>
      </w:r>
      <w:r w:rsidR="00CB592D">
        <w:rPr>
          <w:szCs w:val="21"/>
        </w:rPr>
        <w:t xml:space="preserve"> </w:t>
      </w:r>
      <w:r w:rsidRPr="00866ABA">
        <w:rPr>
          <w:szCs w:val="21"/>
        </w:rPr>
        <w:t>implement</w:t>
      </w:r>
      <w:r w:rsidR="0081332A">
        <w:rPr>
          <w:szCs w:val="21"/>
        </w:rPr>
        <w:t>ed.</w:t>
      </w:r>
      <w:r w:rsidR="00B74369">
        <w:rPr>
          <w:szCs w:val="21"/>
        </w:rPr>
        <w:t xml:space="preserve"> </w:t>
      </w:r>
      <w:r w:rsidRPr="00866ABA">
        <w:rPr>
          <w:szCs w:val="21"/>
        </w:rPr>
        <w:t xml:space="preserve">Recent planning documents note that </w:t>
      </w:r>
      <w:r>
        <w:rPr>
          <w:szCs w:val="21"/>
        </w:rPr>
        <w:t>‘</w:t>
      </w:r>
      <w:r w:rsidRPr="00866ABA">
        <w:rPr>
          <w:i/>
          <w:szCs w:val="21"/>
        </w:rPr>
        <w:t xml:space="preserve">PRMF has not been proactive in promoting gender equality </w:t>
      </w:r>
      <w:r>
        <w:rPr>
          <w:i/>
          <w:szCs w:val="21"/>
        </w:rPr>
        <w:t xml:space="preserve">in </w:t>
      </w:r>
      <w:r w:rsidRPr="00866ABA">
        <w:rPr>
          <w:i/>
          <w:szCs w:val="21"/>
        </w:rPr>
        <w:t>the physical works program</w:t>
      </w:r>
      <w:r w:rsidRPr="00866ABA">
        <w:rPr>
          <w:szCs w:val="21"/>
        </w:rPr>
        <w:t>.</w:t>
      </w:r>
      <w:r>
        <w:rPr>
          <w:szCs w:val="21"/>
        </w:rPr>
        <w:t>’</w:t>
      </w:r>
      <w:r w:rsidRPr="00866ABA">
        <w:rPr>
          <w:szCs w:val="21"/>
        </w:rPr>
        <w:t xml:space="preserve"> </w:t>
      </w:r>
      <w:r w:rsidR="003D3293">
        <w:rPr>
          <w:szCs w:val="21"/>
        </w:rPr>
        <w:t>C</w:t>
      </w:r>
      <w:r w:rsidRPr="00866ABA">
        <w:rPr>
          <w:szCs w:val="21"/>
        </w:rPr>
        <w:t xml:space="preserve">onstruction </w:t>
      </w:r>
      <w:r w:rsidR="003D3293">
        <w:rPr>
          <w:szCs w:val="21"/>
        </w:rPr>
        <w:t xml:space="preserve">is male-dominated </w:t>
      </w:r>
      <w:r w:rsidR="0081332A">
        <w:rPr>
          <w:szCs w:val="21"/>
        </w:rPr>
        <w:t xml:space="preserve">in spite of </w:t>
      </w:r>
      <w:r w:rsidRPr="00866ABA">
        <w:rPr>
          <w:szCs w:val="21"/>
        </w:rPr>
        <w:t xml:space="preserve">the potential to involve women: </w:t>
      </w:r>
      <w:r>
        <w:rPr>
          <w:szCs w:val="21"/>
        </w:rPr>
        <w:t>‘</w:t>
      </w:r>
      <w:r w:rsidRPr="00866ABA">
        <w:rPr>
          <w:i/>
          <w:szCs w:val="21"/>
        </w:rPr>
        <w:t>Despite strong interest from women who possess the requisite skills, contractors do not see, or they overlook the relevance of female participation in construction work.</w:t>
      </w:r>
      <w:r>
        <w:rPr>
          <w:rStyle w:val="EndnoteReference"/>
          <w:szCs w:val="21"/>
        </w:rPr>
        <w:t>’</w:t>
      </w:r>
      <w:r w:rsidRPr="00866ABA">
        <w:rPr>
          <w:rStyle w:val="EndnoteReference"/>
          <w:szCs w:val="21"/>
        </w:rPr>
        <w:endnoteReference w:id="216"/>
      </w:r>
      <w:r w:rsidRPr="00866ABA">
        <w:rPr>
          <w:szCs w:val="21"/>
        </w:rPr>
        <w:t xml:space="preserve"> </w:t>
      </w:r>
      <w:r>
        <w:rPr>
          <w:szCs w:val="21"/>
        </w:rPr>
        <w:t>A range of missed opportunities and negative gender outcomes were noted in the independent review. Despite women’s desire to be more involved in road management, their involvement was limited to cleaning drains. Contractors did not prioritise empowering women (or local people in general), and no provincial women’s or disability groups were consulted at the local level</w:t>
      </w:r>
      <w:r w:rsidR="006929C2">
        <w:rPr>
          <w:szCs w:val="21"/>
        </w:rPr>
        <w:t xml:space="preserve">. </w:t>
      </w:r>
      <w:r w:rsidR="0081332A">
        <w:rPr>
          <w:szCs w:val="21"/>
        </w:rPr>
        <w:t>Moreover, s</w:t>
      </w:r>
      <w:r>
        <w:rPr>
          <w:szCs w:val="21"/>
        </w:rPr>
        <w:t>ome roads are inaccessible for women and children.</w:t>
      </w:r>
      <w:r w:rsidRPr="00C32A23">
        <w:rPr>
          <w:rStyle w:val="EndnoteReference"/>
        </w:rPr>
        <w:endnoteReference w:id="217"/>
      </w:r>
    </w:p>
    <w:p w14:paraId="32356E17" w14:textId="77777777" w:rsidR="00AF6A11" w:rsidRDefault="00AF6A11" w:rsidP="00AE2162">
      <w:pPr>
        <w:pStyle w:val="Heading3"/>
      </w:pPr>
      <w:bookmarkStart w:id="282" w:name="_Toc371187647"/>
      <w:bookmarkStart w:id="283" w:name="_Toc372300979"/>
      <w:bookmarkStart w:id="284" w:name="_Toc382563918"/>
      <w:bookmarkStart w:id="285" w:name="_Toc382595872"/>
      <w:r>
        <w:t>Complementarity with other initiatives</w:t>
      </w:r>
      <w:bookmarkEnd w:id="282"/>
      <w:bookmarkEnd w:id="283"/>
      <w:bookmarkEnd w:id="284"/>
      <w:bookmarkEnd w:id="285"/>
    </w:p>
    <w:p w14:paraId="46CD2B0B" w14:textId="1C1B282F" w:rsidR="00AF6A11" w:rsidRDefault="00AF6A11" w:rsidP="00EF6BCF">
      <w:r w:rsidRPr="001D4DA5">
        <w:t>Collaboration with other programs (both</w:t>
      </w:r>
      <w:r w:rsidR="00AF4C52">
        <w:t xml:space="preserve"> the</w:t>
      </w:r>
      <w:r w:rsidRPr="001D4DA5">
        <w:t xml:space="preserve"> Aus</w:t>
      </w:r>
      <w:r>
        <w:t>tralian aid program</w:t>
      </w:r>
      <w:r w:rsidRPr="001D4DA5">
        <w:t xml:space="preserve"> and World Bank) was noted in the design, </w:t>
      </w:r>
      <w:r>
        <w:t>but</w:t>
      </w:r>
      <w:r w:rsidRPr="001D4DA5">
        <w:t xml:space="preserve"> </w:t>
      </w:r>
      <w:r>
        <w:t>is</w:t>
      </w:r>
      <w:r w:rsidRPr="001D4DA5">
        <w:t xml:space="preserve"> </w:t>
      </w:r>
      <w:r>
        <w:t xml:space="preserve">not </w:t>
      </w:r>
      <w:r w:rsidRPr="001D4DA5">
        <w:t>mentioned in subsequent reports. PRMF build</w:t>
      </w:r>
      <w:r>
        <w:t>s</w:t>
      </w:r>
      <w:r w:rsidRPr="001D4DA5">
        <w:t xml:space="preserve"> on an</w:t>
      </w:r>
      <w:r>
        <w:t>d</w:t>
      </w:r>
      <w:r w:rsidRPr="001D4DA5">
        <w:t xml:space="preserve"> expand</w:t>
      </w:r>
      <w:r>
        <w:t>s</w:t>
      </w:r>
      <w:r w:rsidRPr="001D4DA5">
        <w:t xml:space="preserve"> </w:t>
      </w:r>
      <w:r>
        <w:t>Australian aid program’s ‘</w:t>
      </w:r>
      <w:r w:rsidRPr="001D4DA5">
        <w:rPr>
          <w:i/>
        </w:rPr>
        <w:t>existing geographical focus in Mindanao and the Visayas islands</w:t>
      </w:r>
      <w:r>
        <w:rPr>
          <w:i/>
        </w:rPr>
        <w:t>.</w:t>
      </w:r>
      <w:r>
        <w:t>’</w:t>
      </w:r>
      <w:r w:rsidRPr="001D4DA5">
        <w:rPr>
          <w:rStyle w:val="EndnoteReference"/>
        </w:rPr>
        <w:endnoteReference w:id="218"/>
      </w:r>
      <w:r w:rsidRPr="001D4DA5">
        <w:t xml:space="preserve"> The current plan notes</w:t>
      </w:r>
      <w:r>
        <w:t xml:space="preserve"> the</w:t>
      </w:r>
      <w:r w:rsidRPr="001D4DA5">
        <w:t xml:space="preserve"> close operational partnerships with other </w:t>
      </w:r>
      <w:r>
        <w:t xml:space="preserve">governance </w:t>
      </w:r>
      <w:r w:rsidRPr="001D4DA5">
        <w:t xml:space="preserve">programs. These include </w:t>
      </w:r>
      <w:r>
        <w:t>the aid program’s</w:t>
      </w:r>
      <w:r w:rsidRPr="001D4DA5">
        <w:t xml:space="preserve"> Coalitions f</w:t>
      </w:r>
      <w:r w:rsidRPr="00EF6BCF">
        <w:t>o</w:t>
      </w:r>
      <w:r w:rsidRPr="001D4DA5">
        <w:t xml:space="preserve">r Change program which </w:t>
      </w:r>
      <w:r>
        <w:t>‘</w:t>
      </w:r>
      <w:r w:rsidRPr="001D4DA5">
        <w:rPr>
          <w:i/>
        </w:rPr>
        <w:t>is active in several PRMF partner provinces and the work is directly relevant to budgeting and programming</w:t>
      </w:r>
      <w:r>
        <w:rPr>
          <w:i/>
        </w:rPr>
        <w:t>.</w:t>
      </w:r>
      <w:r>
        <w:t>’</w:t>
      </w:r>
      <w:r w:rsidRPr="001D4DA5">
        <w:rPr>
          <w:rStyle w:val="EndnoteReference"/>
        </w:rPr>
        <w:t xml:space="preserve"> </w:t>
      </w:r>
      <w:r w:rsidRPr="001D4DA5">
        <w:rPr>
          <w:rStyle w:val="EndnoteReference"/>
        </w:rPr>
        <w:endnoteReference w:id="219"/>
      </w:r>
      <w:r w:rsidRPr="001D4DA5">
        <w:t xml:space="preserve"> The plan also notes a partnership with </w:t>
      </w:r>
      <w:r>
        <w:t xml:space="preserve">the </w:t>
      </w:r>
      <w:r w:rsidRPr="001D4DA5">
        <w:t>Human Resources and Organisational Facility</w:t>
      </w:r>
      <w:r>
        <w:t>,</w:t>
      </w:r>
      <w:r w:rsidRPr="001D4DA5">
        <w:t xml:space="preserve"> which strengthens human resource development plan</w:t>
      </w:r>
      <w:r>
        <w:t>ning</w:t>
      </w:r>
      <w:r w:rsidRPr="001D4DA5">
        <w:t xml:space="preserve"> and processes, delivers trainings and leadership development, and undertakes competency profiling. Finally, the Public Finance Management Program </w:t>
      </w:r>
      <w:r>
        <w:t>‘</w:t>
      </w:r>
      <w:r w:rsidRPr="001D4DA5">
        <w:rPr>
          <w:i/>
        </w:rPr>
        <w:t>helped design and is supporting P</w:t>
      </w:r>
      <w:r>
        <w:rPr>
          <w:i/>
        </w:rPr>
        <w:t xml:space="preserve">ublic </w:t>
      </w:r>
      <w:r w:rsidRPr="001D4DA5">
        <w:rPr>
          <w:i/>
        </w:rPr>
        <w:t>F</w:t>
      </w:r>
      <w:r>
        <w:rPr>
          <w:i/>
        </w:rPr>
        <w:t xml:space="preserve">inancial </w:t>
      </w:r>
      <w:r w:rsidRPr="001D4DA5">
        <w:rPr>
          <w:i/>
        </w:rPr>
        <w:t>M</w:t>
      </w:r>
      <w:r>
        <w:rPr>
          <w:i/>
        </w:rPr>
        <w:t>anagement</w:t>
      </w:r>
      <w:r w:rsidRPr="001D4DA5">
        <w:rPr>
          <w:i/>
        </w:rPr>
        <w:t xml:space="preserve"> and Procurement Assessments for some PRMF partner provinces</w:t>
      </w:r>
      <w:r>
        <w:t>’</w:t>
      </w:r>
      <w:r w:rsidRPr="001D4DA5">
        <w:rPr>
          <w:rStyle w:val="EndnoteReference"/>
        </w:rPr>
        <w:t xml:space="preserve"> </w:t>
      </w:r>
      <w:r w:rsidRPr="001D4DA5">
        <w:rPr>
          <w:rStyle w:val="EndnoteReference"/>
        </w:rPr>
        <w:endnoteReference w:id="220"/>
      </w:r>
      <w:r>
        <w:t xml:space="preserve"> These examples demonstrate a commitment and follow-through on supporting cross-program engagement and coordination.</w:t>
      </w:r>
    </w:p>
    <w:bookmarkStart w:id="286" w:name="_Toc408831788"/>
    <w:p w14:paraId="47F911CC" w14:textId="77777777" w:rsidR="00AF6A11" w:rsidRDefault="00AF6A11" w:rsidP="00921A4C">
      <w:pPr>
        <w:pStyle w:val="Heading1"/>
        <w:ind w:left="709" w:hanging="709"/>
      </w:pPr>
      <w:r>
        <w:rPr>
          <w:noProof/>
        </w:rPr>
        <mc:AlternateContent>
          <mc:Choice Requires="wps">
            <w:drawing>
              <wp:anchor distT="0" distB="0" distL="114300" distR="114300" simplePos="0" relativeHeight="251766784" behindDoc="1" locked="0" layoutInCell="1" allowOverlap="1" wp14:anchorId="2E201240" wp14:editId="57504C81">
                <wp:simplePos x="0" y="0"/>
                <wp:positionH relativeFrom="page">
                  <wp:posOffset>-19050</wp:posOffset>
                </wp:positionH>
                <wp:positionV relativeFrom="paragraph">
                  <wp:posOffset>-285253</wp:posOffset>
                </wp:positionV>
                <wp:extent cx="7610400" cy="1468800"/>
                <wp:effectExtent l="0" t="0" r="0" b="0"/>
                <wp:wrapNone/>
                <wp:docPr id="11" name="Rectangle 11"/>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5pt;margin-top:-22.45pt;width:599.25pt;height:115.6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Pzlg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xWU&#10;aNbhGz0ia0xvlSB4hwT1xi3R7sk82EFyeAzVHqTtwj/WQQ6R1ONEqjh4wvHybF7kZY7cc9QV5Xyx&#10;QAFxsld3Y53/KqAj4VBRi/EjmWx/63wyHU1CNAeqrW9apaJgt5srZcme4QsXs7JczAf038yUDsYa&#10;gltCDDdZKC0VE0/+qESwU/pRSGQF05/FTGI/iikO41xoXyRVw2qRwp/m+Bujhw4OHrHSCBiQJcaf&#10;sAeA0TKBjNgpy8E+uIrYzpNz/rfEkvPkESOD9pNz12qwHwEorGqInOxHkhI1gaUN1EfsGQtpmJzh&#10;Ny2+2y1z/oFZnB58a9wI/h4/UkFfURhOlDRgf350H+yxqVFLSY/TWFH3Y8esoER909ju50VZhvGN&#10;Qnl6NkPBvtVs3mr0rruC0A64ewyPx2Dv1XiUFroXXBzrEBVVTHOMXVHu7Shc+bQlcPVwsV5HMxxZ&#10;w/ytfjI8gAdWQ18+H16YNUPzeuz7Oxgnly3f9XCyDZ4a1jsPso0N/srrwDeOe2ycYTWFffJWjlav&#10;C3T1CwAA//8DAFBLAwQUAAYACAAAACEALpfoPuAAAAALAQAADwAAAGRycy9kb3ducmV2LnhtbEyP&#10;QU/DMAyF70j8h8hI3La0Wzd1pemEJsGhEgc2ds8a01Q0Tmmyrfx7vBOcbOs9PX+v3E6uFxccQ+dJ&#10;QTpPQCA13nTUKvg4vMxyECFqMrr3hAp+MMC2ur8rdWH8ld7xso+t4BAKhVZgYxwKKUNj0ekw9wMS&#10;a59+dDryObbSjPrK4a6XiyRZS6c74g9WD7iz2Hztz05BnaM9tm91P33Xh1Tulq/+iAulHh+m5ycQ&#10;Eaf4Z4YbPqNDxUwnfyYTRK9gtuQqkWeWbUDcDOlmtQJx4i1fZyCrUv7vUP0CAAD//wMAUEsBAi0A&#10;FAAGAAgAAAAhALaDOJL+AAAA4QEAABMAAAAAAAAAAAAAAAAAAAAAAFtDb250ZW50X1R5cGVzXS54&#10;bWxQSwECLQAUAAYACAAAACEAOP0h/9YAAACUAQAACwAAAAAAAAAAAAAAAAAvAQAAX3JlbHMvLnJl&#10;bHNQSwECLQAUAAYACAAAACEAzm8T85YCAACIBQAADgAAAAAAAAAAAAAAAAAuAgAAZHJzL2Uyb0Rv&#10;Yy54bWxQSwECLQAUAAYACAAAACEALpfoPuAAAAALAQAADwAAAAAAAAAAAAAAAADwBAAAZHJzL2Rv&#10;d25yZXYueG1sUEsFBgAAAAAEAAQA8wAAAP0FAAAAAA==&#10;" fillcolor="#124486" stroked="f" strokeweight="2pt">
                <w10:wrap anchorx="page"/>
              </v:rect>
            </w:pict>
          </mc:Fallback>
        </mc:AlternateContent>
      </w:r>
      <w:r>
        <w:t>5</w:t>
      </w:r>
      <w:r>
        <w:tab/>
        <w:t>Design and evaluation of sector programs</w:t>
      </w:r>
      <w:bookmarkEnd w:id="286"/>
      <w:r w:rsidRPr="004E3C43">
        <w:rPr>
          <w:noProof/>
        </w:rPr>
        <w:t xml:space="preserve"> </w:t>
      </w:r>
    </w:p>
    <w:p w14:paraId="392C9FEB" w14:textId="77777777" w:rsidR="00AF6A11" w:rsidRPr="005A520B" w:rsidRDefault="00AF6A11" w:rsidP="00EF6BCF">
      <w:pPr>
        <w:pStyle w:val="BoxHeading"/>
        <w:rPr>
          <w:rStyle w:val="IntenseEmphasis"/>
          <w:b/>
          <w:bCs/>
          <w:i w:val="0"/>
          <w:iCs w:val="0"/>
          <w:color w:val="auto"/>
        </w:rPr>
      </w:pPr>
      <w:r>
        <w:rPr>
          <w:rStyle w:val="IntenseEmphasis"/>
          <w:b/>
          <w:bCs/>
          <w:i w:val="0"/>
          <w:iCs w:val="0"/>
          <w:color w:val="auto"/>
        </w:rPr>
        <w:t>Evaluation question</w:t>
      </w:r>
    </w:p>
    <w:p w14:paraId="7FFFC7EB" w14:textId="58E1650B" w:rsidR="00AF6A11" w:rsidRPr="00B9479A" w:rsidRDefault="00AF6A11" w:rsidP="00B9479A">
      <w:pPr>
        <w:pStyle w:val="BoxBullet"/>
        <w:spacing w:after="0"/>
      </w:pPr>
      <w:r w:rsidRPr="00EF6BCF">
        <w:rPr>
          <w:rStyle w:val="IntenseEmphasis"/>
          <w:b w:val="0"/>
          <w:bCs w:val="0"/>
          <w:i w:val="0"/>
          <w:iCs w:val="0"/>
          <w:color w:val="auto"/>
        </w:rPr>
        <w:t>Are decentralisation processes and the role of subnational government appropriately taken into account in sectoral designs and evaluations in health, education</w:t>
      </w:r>
      <w:r>
        <w:rPr>
          <w:rStyle w:val="IntenseEmphasis"/>
          <w:b w:val="0"/>
          <w:bCs w:val="0"/>
          <w:i w:val="0"/>
          <w:iCs w:val="0"/>
          <w:color w:val="auto"/>
        </w:rPr>
        <w:t xml:space="preserve"> and infrastructure</w:t>
      </w:r>
      <w:r w:rsidR="00AF4C52">
        <w:rPr>
          <w:rStyle w:val="IntenseEmphasis"/>
          <w:b w:val="0"/>
          <w:bCs w:val="0"/>
          <w:i w:val="0"/>
          <w:iCs w:val="0"/>
          <w:color w:val="auto"/>
        </w:rPr>
        <w:t>?</w:t>
      </w:r>
    </w:p>
    <w:p w14:paraId="12A58280" w14:textId="77777777" w:rsidR="00AF6A11" w:rsidRPr="00B9479A" w:rsidRDefault="00AF6A11" w:rsidP="00B9479A">
      <w:pPr>
        <w:pStyle w:val="BodyText"/>
        <w:spacing w:before="0" w:after="0"/>
        <w:rPr>
          <w:bCs/>
        </w:rPr>
      </w:pPr>
    </w:p>
    <w:p w14:paraId="728C335A" w14:textId="77777777" w:rsidR="00AF6A11" w:rsidRPr="00640918" w:rsidRDefault="00AF6A11" w:rsidP="00B9479A">
      <w:pPr>
        <w:pStyle w:val="BoxHeading"/>
        <w:spacing w:before="0"/>
      </w:pPr>
      <w:r>
        <w:t>Key findings</w:t>
      </w:r>
    </w:p>
    <w:p w14:paraId="079AEF25" w14:textId="77777777" w:rsidR="00AF6A11" w:rsidRDefault="00AF6A11" w:rsidP="00EF6BCF">
      <w:pPr>
        <w:pStyle w:val="BoxBullet"/>
      </w:pPr>
      <w:r>
        <w:t>Design and evaluation documents had variable coverage of key issues concerning decentralisation and subnational roles in service delivery. Evaluation documents demonstrated greater coverage than design documents</w:t>
      </w:r>
      <w:r w:rsidR="00636F11">
        <w:t>.</w:t>
      </w:r>
    </w:p>
    <w:p w14:paraId="5DD52433" w14:textId="77777777" w:rsidR="00AF6A11" w:rsidRDefault="00AF6A11" w:rsidP="005F0AAA">
      <w:pPr>
        <w:pStyle w:val="BoxBullet"/>
      </w:pPr>
      <w:r>
        <w:t>Most design and evaluations touched on, or had significant content concerning, supply-side considerations of subnational capacity and key gaps and challenges.</w:t>
      </w:r>
      <w:r w:rsidRPr="00A403EA">
        <w:t xml:space="preserve"> </w:t>
      </w:r>
      <w:r>
        <w:t>Evaluations examined demand-side issues more strongly than did the design documents, which had limited reference to this area.</w:t>
      </w:r>
    </w:p>
    <w:p w14:paraId="54DA967D" w14:textId="77777777" w:rsidR="00AF6A11" w:rsidRDefault="00AF6A11" w:rsidP="00EF6BCF">
      <w:pPr>
        <w:pStyle w:val="BoxBullet"/>
      </w:pPr>
      <w:r>
        <w:t xml:space="preserve">Designs gave limited justification of choices regarding which parts of government </w:t>
      </w:r>
      <w:r w:rsidR="0081332A">
        <w:t xml:space="preserve">were </w:t>
      </w:r>
      <w:r>
        <w:t>chose</w:t>
      </w:r>
      <w:r w:rsidR="0081332A">
        <w:t>n</w:t>
      </w:r>
      <w:r>
        <w:t xml:space="preserve"> </w:t>
      </w:r>
      <w:r w:rsidR="0081332A">
        <w:t xml:space="preserve">for </w:t>
      </w:r>
      <w:r>
        <w:t>engage</w:t>
      </w:r>
      <w:r w:rsidR="0081332A">
        <w:t>ment</w:t>
      </w:r>
      <w:r>
        <w:t>; choice of subnational location; or choice of modality.</w:t>
      </w:r>
      <w:r w:rsidRPr="00BB1A75">
        <w:t xml:space="preserve"> </w:t>
      </w:r>
      <w:r>
        <w:t xml:space="preserve">It is possible that these areas were </w:t>
      </w:r>
      <w:r w:rsidR="0081332A">
        <w:t>considered</w:t>
      </w:r>
      <w:r>
        <w:t>, however</w:t>
      </w:r>
      <w:r w:rsidR="0081332A">
        <w:t>,</w:t>
      </w:r>
      <w:r>
        <w:t xml:space="preserve"> this is not reflected in the documentation.</w:t>
      </w:r>
    </w:p>
    <w:p w14:paraId="60CC0AB5" w14:textId="496839AC" w:rsidR="00AF6A11" w:rsidRDefault="00AF6A11" w:rsidP="00A403EA">
      <w:pPr>
        <w:pStyle w:val="BoxBullet"/>
      </w:pPr>
      <w:r>
        <w:t xml:space="preserve">Almost half the recommendations in evaluations </w:t>
      </w:r>
      <w:r w:rsidR="0081332A">
        <w:t xml:space="preserve">related </w:t>
      </w:r>
      <w:r>
        <w:t>to some aspect of decentralisation</w:t>
      </w:r>
      <w:r w:rsidRPr="006A7590">
        <w:t xml:space="preserve"> </w:t>
      </w:r>
      <w:r>
        <w:t>or supply or demand</w:t>
      </w:r>
      <w:r w:rsidR="005340F7">
        <w:t xml:space="preserve"> </w:t>
      </w:r>
      <w:r>
        <w:t xml:space="preserve">side of service delivery, demonstrating these aspects are being given attention. </w:t>
      </w:r>
    </w:p>
    <w:p w14:paraId="0EC39EAB" w14:textId="4BF09DFC" w:rsidR="00AF6A11" w:rsidRDefault="00AF6A11" w:rsidP="00EF6BCF">
      <w:pPr>
        <w:pStyle w:val="BoxBullet"/>
      </w:pPr>
      <w:r>
        <w:t xml:space="preserve">There was some mention of gender and equity concerns in designs and evaluations, </w:t>
      </w:r>
      <w:r w:rsidR="00D52E6F">
        <w:t xml:space="preserve">though </w:t>
      </w:r>
      <w:r>
        <w:t>there was a lack of consideration of these concerns in relation to the capacity of subnational authorities to address them.</w:t>
      </w:r>
    </w:p>
    <w:p w14:paraId="01AAC298" w14:textId="4E0AB700" w:rsidR="00AF6A11" w:rsidRDefault="00F27933" w:rsidP="005F0AAA">
      <w:pPr>
        <w:pStyle w:val="BoxBullet"/>
      </w:pPr>
      <w:r>
        <w:t>Most of the</w:t>
      </w:r>
      <w:r w:rsidR="00AF6A11">
        <w:t xml:space="preserve"> evaluation</w:t>
      </w:r>
      <w:r>
        <w:t>s</w:t>
      </w:r>
      <w:r w:rsidR="00AF6A11">
        <w:t xml:space="preserve"> </w:t>
      </w:r>
      <w:r>
        <w:t>did engage at the</w:t>
      </w:r>
      <w:r w:rsidR="00AF6A11">
        <w:t xml:space="preserve"> subnational </w:t>
      </w:r>
      <w:r>
        <w:t>level</w:t>
      </w:r>
      <w:r w:rsidR="00AF6A11">
        <w:t>, but more could be done to ensure that evaluations include a stronger subnational perspective (</w:t>
      </w:r>
      <w:r w:rsidR="00AF4C52">
        <w:t>e.g. </w:t>
      </w:r>
      <w:r>
        <w:t>using monitoring</w:t>
      </w:r>
      <w:r w:rsidR="0023001A">
        <w:t xml:space="preserve"> </w:t>
      </w:r>
      <w:r w:rsidR="00AF6A11">
        <w:t xml:space="preserve">data or field </w:t>
      </w:r>
      <w:r>
        <w:t>visit records</w:t>
      </w:r>
      <w:r w:rsidR="00AF6A11">
        <w:t xml:space="preserve">). </w:t>
      </w:r>
    </w:p>
    <w:p w14:paraId="0EF7E4BD" w14:textId="77777777" w:rsidR="00AF6A11" w:rsidRDefault="00AF6A11" w:rsidP="00EF6BCF">
      <w:pPr>
        <w:pStyle w:val="BoxBullet"/>
      </w:pPr>
      <w:r>
        <w:t>The designs and evaluations from the three sectors did not demonstrate significant differences, though within the small sample, infrastructure designs tended to pay more attention to decentralisation considerations.</w:t>
      </w:r>
      <w:r w:rsidRPr="0040163A">
        <w:t xml:space="preserve"> </w:t>
      </w:r>
      <w:r>
        <w:t xml:space="preserve">There were variations across countries, with the Philippines consistently demonstrating </w:t>
      </w:r>
      <w:r w:rsidR="00F27933">
        <w:t>deeper</w:t>
      </w:r>
      <w:r>
        <w:t xml:space="preserve"> consideration of these issues.</w:t>
      </w:r>
    </w:p>
    <w:p w14:paraId="570EDDE2" w14:textId="77777777" w:rsidR="00AF6A11" w:rsidRDefault="00AF6A11" w:rsidP="005F0AAA">
      <w:pPr>
        <w:pStyle w:val="BoxBullet"/>
      </w:pPr>
      <w:r>
        <w:t>Sector performance assessment frameworks contained some, but few, indicators and prompts that would support monitoring the factors that affect service delivery in decentralised contexts.</w:t>
      </w:r>
      <w:r w:rsidR="00B9479A">
        <w:t xml:space="preserve"> </w:t>
      </w:r>
      <w:r>
        <w:t xml:space="preserve">The </w:t>
      </w:r>
      <w:r w:rsidR="0072237B">
        <w:t xml:space="preserve">frameworks </w:t>
      </w:r>
      <w:r>
        <w:t xml:space="preserve">could be strengthened by incorporating specific indicators that are important in decentralised contexts. </w:t>
      </w:r>
    </w:p>
    <w:p w14:paraId="706312EC" w14:textId="77777777" w:rsidR="005643C1" w:rsidRDefault="005643C1">
      <w:pPr>
        <w:spacing w:before="0" w:after="0" w:line="240" w:lineRule="auto"/>
        <w:rPr>
          <w:rFonts w:ascii="Arial Bold" w:hAnsi="Arial Bold"/>
          <w:b/>
          <w:color w:val="EB0029"/>
          <w:sz w:val="24"/>
        </w:rPr>
      </w:pPr>
      <w:r>
        <w:br w:type="page"/>
      </w:r>
    </w:p>
    <w:p w14:paraId="63F38C25" w14:textId="77777777" w:rsidR="002F7446" w:rsidRDefault="002F7446" w:rsidP="002F7446">
      <w:pPr>
        <w:pStyle w:val="RecommendationName"/>
      </w:pPr>
      <w:r w:rsidRPr="005B76CB">
        <w:t>Recommendation</w:t>
      </w:r>
      <w:r>
        <w:t xml:space="preserve"> 1</w:t>
      </w:r>
    </w:p>
    <w:p w14:paraId="1154633A" w14:textId="77777777" w:rsidR="002F7446" w:rsidRDefault="002F7446" w:rsidP="002F7446">
      <w:pPr>
        <w:pStyle w:val="RecommendationText"/>
      </w:pPr>
      <w:r>
        <w:t>DFAT should continue to trial new programming strategies in decentralised contexts, using the</w:t>
      </w:r>
      <w:r w:rsidRPr="004E2E85">
        <w:t xml:space="preserve"> </w:t>
      </w:r>
      <w:r>
        <w:t xml:space="preserve">practice notes developed in this evaluation, together with mandatory program management requirements (value for money, risk, monitoring).  </w:t>
      </w:r>
    </w:p>
    <w:p w14:paraId="10A2517E" w14:textId="77777777" w:rsidR="002F7446" w:rsidRPr="00FC7B2C" w:rsidRDefault="002F7446" w:rsidP="002F7446">
      <w:pPr>
        <w:pStyle w:val="RecommendationName"/>
      </w:pPr>
      <w:r w:rsidRPr="00FC7B2C">
        <w:t xml:space="preserve">Recommendation </w:t>
      </w:r>
      <w:r>
        <w:t>2</w:t>
      </w:r>
    </w:p>
    <w:p w14:paraId="3E1CFDAE" w14:textId="77777777" w:rsidR="002F7446" w:rsidRDefault="002F7446" w:rsidP="002F7446">
      <w:pPr>
        <w:pStyle w:val="RecommendationText"/>
      </w:pPr>
      <w:r>
        <w:t>The design, monitoring and evaluation of sectoral programs in decentralised contexts needs to consistently address decentralisation, for example through the following</w:t>
      </w:r>
    </w:p>
    <w:p w14:paraId="793CCACF" w14:textId="77777777" w:rsidR="002F7446" w:rsidRDefault="002F7446" w:rsidP="002F7446">
      <w:pPr>
        <w:pStyle w:val="RecommendationSub"/>
      </w:pPr>
      <w:r>
        <w:t xml:space="preserve">i </w:t>
      </w:r>
      <w:r>
        <w:tab/>
        <w:t xml:space="preserve">a checklist </w:t>
      </w:r>
      <w:r w:rsidRPr="00FC7B2C">
        <w:t xml:space="preserve">of key issues for service </w:t>
      </w:r>
      <w:r>
        <w:t>systems</w:t>
      </w:r>
      <w:r w:rsidRPr="00FC7B2C">
        <w:t xml:space="preserve"> in decentralised contexts</w:t>
      </w:r>
    </w:p>
    <w:p w14:paraId="2C3D55CB" w14:textId="77777777" w:rsidR="002F7446" w:rsidRDefault="002F7446" w:rsidP="002F7446">
      <w:pPr>
        <w:pStyle w:val="RecommendationSub"/>
      </w:pPr>
      <w:r>
        <w:t>ii</w:t>
      </w:r>
      <w:r>
        <w:tab/>
        <w:t>personnel with governance and local expertise to</w:t>
      </w:r>
      <w:r w:rsidDel="00D16FAF">
        <w:t xml:space="preserve"> </w:t>
      </w:r>
      <w:r>
        <w:t xml:space="preserve">review key program documents and provide input to design and evaluation teams </w:t>
      </w:r>
    </w:p>
    <w:p w14:paraId="48112A7B" w14:textId="77777777" w:rsidR="002F7446" w:rsidRDefault="002F7446" w:rsidP="002F7446">
      <w:pPr>
        <w:pStyle w:val="RecommendationSub"/>
      </w:pPr>
      <w:r>
        <w:t>iii</w:t>
      </w:r>
      <w:r>
        <w:tab/>
        <w:t xml:space="preserve">management at post to ensure sufficient </w:t>
      </w:r>
      <w:r w:rsidRPr="00516D95">
        <w:t>information</w:t>
      </w:r>
      <w:r>
        <w:t xml:space="preserve"> on subnational perspectives is made available (through fieldwork or other sources) to program staff and evaluation teams of sectoral programs</w:t>
      </w:r>
    </w:p>
    <w:p w14:paraId="1F56E749" w14:textId="461ABF10" w:rsidR="002F7446" w:rsidRDefault="002F7446" w:rsidP="00267261">
      <w:pPr>
        <w:pStyle w:val="RecommendationSub"/>
      </w:pPr>
      <w:r>
        <w:t>iv</w:t>
      </w:r>
      <w:r>
        <w:tab/>
        <w:t>key program d</w:t>
      </w:r>
      <w:r w:rsidRPr="00DE3CD6">
        <w:t xml:space="preserve">ocuments </w:t>
      </w:r>
      <w:r>
        <w:t>that</w:t>
      </w:r>
      <w:r w:rsidRPr="00DE3CD6">
        <w:t xml:space="preserve"> outline, where appropriate, </w:t>
      </w:r>
      <w:r>
        <w:t>the relevant issues, components and levels</w:t>
      </w:r>
      <w:r w:rsidRPr="00DE3CD6">
        <w:t xml:space="preserve"> </w:t>
      </w:r>
      <w:r>
        <w:t xml:space="preserve">of partner governments. </w:t>
      </w:r>
    </w:p>
    <w:p w14:paraId="61C167BD" w14:textId="77777777" w:rsidR="00675E65" w:rsidRDefault="00675E65" w:rsidP="00EF6BCF"/>
    <w:p w14:paraId="0AB9D442" w14:textId="77777777" w:rsidR="00AF6A11" w:rsidRPr="002A1747" w:rsidRDefault="00AF6A11" w:rsidP="00EF6BCF">
      <w:r>
        <w:t xml:space="preserve">Design and evaluation are both key points in the aid program cycle when there is opportunity to bring in knowledge and learning about decentralisation to underpin effective Australian support. This chapter examines the evidence of analysis of decentralisation in sector designs (Section 5.1), evaluations (Section 5.2), and performance assessment frameworks (Section 5.3). The purpose was </w:t>
      </w:r>
      <w:r w:rsidRPr="008B62D4">
        <w:t xml:space="preserve">to assess whether there was sufficient </w:t>
      </w:r>
      <w:r w:rsidRPr="00B9479A">
        <w:t>analysis and learning</w:t>
      </w:r>
      <w:r w:rsidRPr="008B62D4">
        <w:t xml:space="preserve"> r</w:t>
      </w:r>
      <w:r w:rsidRPr="002A1747">
        <w:t xml:space="preserve">egarding decentralisation and service delivery to enable informed aid choices. An additional aim was to find out whether issues of </w:t>
      </w:r>
      <w:r w:rsidRPr="00B9479A">
        <w:t>equity</w:t>
      </w:r>
      <w:r w:rsidRPr="002A1747">
        <w:t xml:space="preserve"> and </w:t>
      </w:r>
      <w:r w:rsidRPr="00B9479A">
        <w:t>coherence</w:t>
      </w:r>
      <w:r w:rsidRPr="002A1747">
        <w:t xml:space="preserve"> relating to decentralisation were sufficiently covered. </w:t>
      </w:r>
    </w:p>
    <w:p w14:paraId="1610B096" w14:textId="77777777" w:rsidR="00AF6A11" w:rsidRDefault="00AF6A11" w:rsidP="00EF6BCF">
      <w:pPr>
        <w:pStyle w:val="Heading2"/>
        <w:numPr>
          <w:ilvl w:val="1"/>
          <w:numId w:val="0"/>
        </w:numPr>
        <w:spacing w:before="360" w:after="240" w:line="288" w:lineRule="auto"/>
      </w:pPr>
      <w:bookmarkStart w:id="287" w:name="_Toc371454261"/>
      <w:bookmarkStart w:id="288" w:name="_Toc382563921"/>
      <w:bookmarkStart w:id="289" w:name="_Toc382595875"/>
      <w:bookmarkStart w:id="290" w:name="_Toc408831789"/>
      <w:r>
        <w:t>5.1</w:t>
      </w:r>
      <w:r>
        <w:tab/>
        <w:t>Evidence of analysis of decentralisation in sector designs</w:t>
      </w:r>
      <w:bookmarkEnd w:id="287"/>
      <w:bookmarkEnd w:id="288"/>
      <w:bookmarkEnd w:id="289"/>
      <w:bookmarkEnd w:id="290"/>
      <w:r>
        <w:t xml:space="preserve"> </w:t>
      </w:r>
    </w:p>
    <w:p w14:paraId="19531E58" w14:textId="77777777" w:rsidR="00AF6A11" w:rsidRDefault="00AF6A11" w:rsidP="00EF6BCF">
      <w:bookmarkStart w:id="291" w:name="OLE_LINK1"/>
      <w:bookmarkStart w:id="292" w:name="OLE_LINK2"/>
      <w:r>
        <w:t xml:space="preserve">Design documentation was reviewed to examine the presence or absence of content related to the decentralisation context and service </w:t>
      </w:r>
      <w:r w:rsidR="00F27933">
        <w:t xml:space="preserve">system </w:t>
      </w:r>
      <w:r>
        <w:t xml:space="preserve">implications on supply and demand sides. </w:t>
      </w:r>
    </w:p>
    <w:p w14:paraId="24BFE41F" w14:textId="77777777" w:rsidR="00AF6A11" w:rsidRDefault="00AF6A11" w:rsidP="00EF6BCF">
      <w:r>
        <w:t xml:space="preserve">The sample frame for </w:t>
      </w:r>
      <w:r w:rsidRPr="00EF72DE">
        <w:t>this review included 14 design documents source</w:t>
      </w:r>
      <w:r>
        <w:t>d</w:t>
      </w:r>
      <w:r w:rsidRPr="00EF72DE">
        <w:t xml:space="preserve"> from the six </w:t>
      </w:r>
      <w:r>
        <w:t xml:space="preserve">countries that are the </w:t>
      </w:r>
      <w:r w:rsidRPr="00EF72DE">
        <w:t xml:space="preserve">highest recipients of Australian aid </w:t>
      </w:r>
      <w:r>
        <w:t>in</w:t>
      </w:r>
      <w:r w:rsidRPr="00EE3146">
        <w:t xml:space="preserve"> health, education, infrastructure and governance</w:t>
      </w:r>
      <w:r>
        <w:t>. The sample included high-value service delivery programs (&gt;$10 million) implemented within the last five years across the sectors,</w:t>
      </w:r>
      <w:r w:rsidRPr="00FC03A5">
        <w:t xml:space="preserve"> countries </w:t>
      </w:r>
      <w:r>
        <w:t xml:space="preserve">and aid modalities. See Appendix 3 for details of initiatives. </w:t>
      </w:r>
    </w:p>
    <w:p w14:paraId="709F3E0B" w14:textId="05B9D648" w:rsidR="00AF6A11" w:rsidRDefault="00AF6A11" w:rsidP="00B9479A">
      <w:r>
        <w:t>Design documents gave a mixed result in terms of the sufficiency of evidence and analysis of decentralisation processes and subnational roles (Table </w:t>
      </w:r>
      <w:r w:rsidR="003B5F1B">
        <w:t>3</w:t>
      </w:r>
      <w:r>
        <w:t xml:space="preserve">). There were </w:t>
      </w:r>
      <w:r w:rsidR="00F27933">
        <w:t xml:space="preserve">also </w:t>
      </w:r>
      <w:r>
        <w:t>differences</w:t>
      </w:r>
      <w:r w:rsidR="00B74369">
        <w:t xml:space="preserve"> </w:t>
      </w:r>
      <w:r w:rsidR="00F27933">
        <w:t xml:space="preserve">between </w:t>
      </w:r>
      <w:r>
        <w:t>countries. The Philippine designs mention aspects of decentralisation and subnational government roles more than designs of the other countries, followed by Indonesia, PNG and Vietnam. The Solomon Islands and Bangladesh designs demonstrated limited coverage of these areas. Of the sectors, infrastructure initiatives had more detailed content on decentralisation and its implications. However, the sample size is small and hence no firm conclusions can be drawn on this point.</w:t>
      </w:r>
    </w:p>
    <w:p w14:paraId="281C2276" w14:textId="7C11CF07" w:rsidR="00AF6A11" w:rsidRDefault="00AF6A11" w:rsidP="00EF6BCF">
      <w:pPr>
        <w:pStyle w:val="TableName"/>
      </w:pPr>
      <w:bookmarkStart w:id="293" w:name="_Ref371624033"/>
      <w:bookmarkEnd w:id="291"/>
      <w:bookmarkEnd w:id="292"/>
      <w:r>
        <w:t xml:space="preserve">Table </w:t>
      </w:r>
      <w:bookmarkEnd w:id="293"/>
      <w:r w:rsidR="001C3C29">
        <w:t>3</w:t>
      </w:r>
      <w:r>
        <w:tab/>
        <w:t>Evidence of analysis and learning, equity and coherence in designs</w:t>
      </w:r>
    </w:p>
    <w:tbl>
      <w:tblPr>
        <w:tblStyle w:val="TableGrid"/>
        <w:tblW w:w="0" w:type="auto"/>
        <w:tblLayout w:type="fixed"/>
        <w:tblLook w:val="04A0" w:firstRow="1" w:lastRow="0" w:firstColumn="1" w:lastColumn="0" w:noHBand="0" w:noVBand="1"/>
      </w:tblPr>
      <w:tblGrid>
        <w:gridCol w:w="1461"/>
        <w:gridCol w:w="3892"/>
        <w:gridCol w:w="1276"/>
        <w:gridCol w:w="1276"/>
        <w:gridCol w:w="1337"/>
      </w:tblGrid>
      <w:tr w:rsidR="00AF6A11" w:rsidRPr="00EF6BCF" w14:paraId="484E41B9" w14:textId="77777777" w:rsidTr="00B9479A">
        <w:trPr>
          <w:cnfStyle w:val="100000000000" w:firstRow="1" w:lastRow="0" w:firstColumn="0" w:lastColumn="0" w:oddVBand="0" w:evenVBand="0" w:oddHBand="0" w:evenHBand="0" w:firstRowFirstColumn="0" w:firstRowLastColumn="0" w:lastRowFirstColumn="0" w:lastRowLastColumn="0"/>
        </w:trPr>
        <w:tc>
          <w:tcPr>
            <w:tcW w:w="1461" w:type="dxa"/>
          </w:tcPr>
          <w:p w14:paraId="5A62C316" w14:textId="77777777" w:rsidR="00AF6A11" w:rsidRPr="000868CE" w:rsidRDefault="00AF6A11" w:rsidP="00EF6BCF">
            <w:pPr>
              <w:pStyle w:val="TableHeading"/>
              <w:rPr>
                <w:sz w:val="18"/>
                <w:szCs w:val="18"/>
              </w:rPr>
            </w:pPr>
            <w:r w:rsidRPr="000868CE">
              <w:rPr>
                <w:sz w:val="18"/>
                <w:szCs w:val="18"/>
              </w:rPr>
              <w:t>Evaluation criteria</w:t>
            </w:r>
          </w:p>
        </w:tc>
        <w:tc>
          <w:tcPr>
            <w:tcW w:w="3892" w:type="dxa"/>
          </w:tcPr>
          <w:p w14:paraId="19E30201" w14:textId="77777777" w:rsidR="00AF6A11" w:rsidRPr="000868CE" w:rsidRDefault="00AF6A11" w:rsidP="00EF6BCF">
            <w:pPr>
              <w:pStyle w:val="TableHeading"/>
              <w:rPr>
                <w:sz w:val="18"/>
                <w:szCs w:val="18"/>
              </w:rPr>
            </w:pPr>
          </w:p>
        </w:tc>
        <w:tc>
          <w:tcPr>
            <w:tcW w:w="1276" w:type="dxa"/>
          </w:tcPr>
          <w:p w14:paraId="34D0A021" w14:textId="77777777" w:rsidR="00AF6A11" w:rsidRPr="000868CE" w:rsidRDefault="00CC5E93" w:rsidP="00EF6BCF">
            <w:pPr>
              <w:pStyle w:val="TableHeading"/>
              <w:rPr>
                <w:sz w:val="18"/>
                <w:szCs w:val="18"/>
              </w:rPr>
            </w:pPr>
            <w:r w:rsidRPr="000868CE">
              <w:rPr>
                <w:sz w:val="18"/>
                <w:szCs w:val="18"/>
              </w:rPr>
              <w:t>No content</w:t>
            </w:r>
          </w:p>
          <w:p w14:paraId="429BDB91" w14:textId="460CF3ED" w:rsidR="00AF6A11" w:rsidRPr="000868CE" w:rsidRDefault="00AF6A11" w:rsidP="00AF4C52">
            <w:pPr>
              <w:pStyle w:val="TableHeading"/>
              <w:rPr>
                <w:sz w:val="18"/>
                <w:szCs w:val="18"/>
              </w:rPr>
            </w:pPr>
            <w:r w:rsidRPr="000868CE">
              <w:rPr>
                <w:sz w:val="18"/>
                <w:szCs w:val="18"/>
              </w:rPr>
              <w:t>(n = 14)</w:t>
            </w:r>
          </w:p>
        </w:tc>
        <w:tc>
          <w:tcPr>
            <w:tcW w:w="1276" w:type="dxa"/>
          </w:tcPr>
          <w:p w14:paraId="704331C0" w14:textId="77777777" w:rsidR="00AF6A11" w:rsidRPr="000868CE" w:rsidRDefault="00AF6A11" w:rsidP="00EF6BCF">
            <w:pPr>
              <w:pStyle w:val="TableHeading"/>
              <w:rPr>
                <w:sz w:val="18"/>
                <w:szCs w:val="18"/>
              </w:rPr>
            </w:pPr>
            <w:r w:rsidRPr="000868CE">
              <w:rPr>
                <w:sz w:val="18"/>
                <w:szCs w:val="18"/>
              </w:rPr>
              <w:t xml:space="preserve">Some </w:t>
            </w:r>
            <w:r w:rsidR="00CC5E93" w:rsidRPr="000868CE">
              <w:rPr>
                <w:sz w:val="18"/>
                <w:szCs w:val="18"/>
              </w:rPr>
              <w:t>content</w:t>
            </w:r>
          </w:p>
          <w:p w14:paraId="5CD8780D" w14:textId="79F6AC0D" w:rsidR="00AF6A11" w:rsidRPr="000868CE" w:rsidRDefault="00AF6A11" w:rsidP="00AF4C52">
            <w:pPr>
              <w:pStyle w:val="TableHeading"/>
              <w:rPr>
                <w:sz w:val="18"/>
                <w:szCs w:val="18"/>
              </w:rPr>
            </w:pPr>
            <w:r w:rsidRPr="000868CE">
              <w:rPr>
                <w:sz w:val="18"/>
                <w:szCs w:val="18"/>
              </w:rPr>
              <w:t>(n = 14)</w:t>
            </w:r>
          </w:p>
        </w:tc>
        <w:tc>
          <w:tcPr>
            <w:tcW w:w="1337" w:type="dxa"/>
          </w:tcPr>
          <w:p w14:paraId="77827ABD" w14:textId="77777777" w:rsidR="00AF6A11" w:rsidRPr="000868CE" w:rsidRDefault="00AF6A11" w:rsidP="00EF6BCF">
            <w:pPr>
              <w:pStyle w:val="TableHeading"/>
              <w:rPr>
                <w:sz w:val="18"/>
                <w:szCs w:val="18"/>
              </w:rPr>
            </w:pPr>
            <w:r w:rsidRPr="000868CE">
              <w:rPr>
                <w:sz w:val="18"/>
                <w:szCs w:val="18"/>
              </w:rPr>
              <w:t>Significant content</w:t>
            </w:r>
          </w:p>
          <w:p w14:paraId="63AB93B4" w14:textId="07337094" w:rsidR="00AF6A11" w:rsidRPr="000868CE" w:rsidRDefault="00AF6A11" w:rsidP="00AF4C52">
            <w:pPr>
              <w:pStyle w:val="TableHeading"/>
              <w:rPr>
                <w:sz w:val="18"/>
                <w:szCs w:val="18"/>
              </w:rPr>
            </w:pPr>
            <w:r w:rsidRPr="000868CE">
              <w:rPr>
                <w:sz w:val="18"/>
                <w:szCs w:val="18"/>
              </w:rPr>
              <w:t>(n = 14)</w:t>
            </w:r>
          </w:p>
        </w:tc>
      </w:tr>
      <w:tr w:rsidR="00AF6A11" w:rsidRPr="00FC7B2C" w14:paraId="08C43145" w14:textId="77777777" w:rsidTr="00B9479A">
        <w:tc>
          <w:tcPr>
            <w:tcW w:w="9242" w:type="dxa"/>
            <w:gridSpan w:val="5"/>
          </w:tcPr>
          <w:p w14:paraId="7D3C2E2B" w14:textId="77777777" w:rsidR="00AF6A11" w:rsidRPr="00FC7B2C" w:rsidRDefault="00AF6A11" w:rsidP="00FC7B2C">
            <w:pPr>
              <w:pStyle w:val="TableText"/>
              <w:rPr>
                <w:b/>
              </w:rPr>
            </w:pPr>
            <w:r w:rsidRPr="00FC7B2C">
              <w:rPr>
                <w:b/>
              </w:rPr>
              <w:t>Analysis and learning</w:t>
            </w:r>
          </w:p>
        </w:tc>
      </w:tr>
      <w:tr w:rsidR="00AF6A11" w14:paraId="18923239" w14:textId="77777777" w:rsidTr="00B9479A">
        <w:tc>
          <w:tcPr>
            <w:tcW w:w="1461" w:type="dxa"/>
            <w:vMerge w:val="restart"/>
          </w:tcPr>
          <w:p w14:paraId="69A2CB1A" w14:textId="77777777" w:rsidR="00AF6A11" w:rsidRPr="005140F5" w:rsidRDefault="00AF6A11" w:rsidP="00FC7B2C">
            <w:pPr>
              <w:pStyle w:val="TableText"/>
              <w:rPr>
                <w:sz w:val="20"/>
              </w:rPr>
            </w:pPr>
            <w:r w:rsidRPr="005140F5">
              <w:t>Decentralisation context</w:t>
            </w:r>
          </w:p>
        </w:tc>
        <w:tc>
          <w:tcPr>
            <w:tcW w:w="3892" w:type="dxa"/>
          </w:tcPr>
          <w:p w14:paraId="255696A3" w14:textId="77777777" w:rsidR="00AF6A11" w:rsidRPr="005140F5" w:rsidRDefault="00AF6A11" w:rsidP="00B9479A">
            <w:pPr>
              <w:pStyle w:val="TableText"/>
              <w:spacing w:before="0" w:after="0"/>
            </w:pPr>
            <w:r w:rsidRPr="005140F5">
              <w:t>Implications of decentralisation laws and policy for service delivery</w:t>
            </w:r>
          </w:p>
        </w:tc>
        <w:tc>
          <w:tcPr>
            <w:tcW w:w="1276" w:type="dxa"/>
          </w:tcPr>
          <w:p w14:paraId="05DDBE2A" w14:textId="77777777" w:rsidR="00AF6A11" w:rsidRPr="005140F5" w:rsidRDefault="00AF6A11" w:rsidP="00FC7B2C">
            <w:pPr>
              <w:pStyle w:val="TableText"/>
            </w:pPr>
            <w:r w:rsidRPr="005140F5">
              <w:t>6</w:t>
            </w:r>
          </w:p>
        </w:tc>
        <w:tc>
          <w:tcPr>
            <w:tcW w:w="1276" w:type="dxa"/>
          </w:tcPr>
          <w:p w14:paraId="26D507A8" w14:textId="77777777" w:rsidR="00AF6A11" w:rsidRPr="005140F5" w:rsidRDefault="00AF6A11" w:rsidP="00FC7B2C">
            <w:pPr>
              <w:pStyle w:val="TableText"/>
            </w:pPr>
            <w:r w:rsidRPr="005140F5">
              <w:t>5</w:t>
            </w:r>
          </w:p>
        </w:tc>
        <w:tc>
          <w:tcPr>
            <w:tcW w:w="1337" w:type="dxa"/>
          </w:tcPr>
          <w:p w14:paraId="55938CED" w14:textId="77777777" w:rsidR="00AF6A11" w:rsidRPr="005140F5" w:rsidRDefault="00AF6A11" w:rsidP="00FC7B2C">
            <w:pPr>
              <w:pStyle w:val="TableText"/>
            </w:pPr>
            <w:r w:rsidRPr="005140F5">
              <w:t>3</w:t>
            </w:r>
          </w:p>
        </w:tc>
      </w:tr>
      <w:tr w:rsidR="00AF6A11" w14:paraId="358460C6" w14:textId="77777777" w:rsidTr="00B9479A">
        <w:tc>
          <w:tcPr>
            <w:tcW w:w="1461" w:type="dxa"/>
            <w:vMerge/>
          </w:tcPr>
          <w:p w14:paraId="3B9D6B2E" w14:textId="77777777" w:rsidR="00AF6A11" w:rsidRPr="005140F5" w:rsidRDefault="00AF6A11" w:rsidP="00FC7B2C">
            <w:pPr>
              <w:pStyle w:val="TableText"/>
              <w:rPr>
                <w:sz w:val="20"/>
              </w:rPr>
            </w:pPr>
          </w:p>
        </w:tc>
        <w:tc>
          <w:tcPr>
            <w:tcW w:w="3892" w:type="dxa"/>
          </w:tcPr>
          <w:p w14:paraId="21259F93" w14:textId="77777777" w:rsidR="00AF6A11" w:rsidRPr="005140F5" w:rsidRDefault="00AF6A11" w:rsidP="00B9479A">
            <w:pPr>
              <w:pStyle w:val="TableText"/>
              <w:spacing w:before="0" w:after="0"/>
            </w:pPr>
            <w:r w:rsidRPr="005140F5">
              <w:t xml:space="preserve">Unevenness in the decentralisation process (across different subnational locations) </w:t>
            </w:r>
          </w:p>
        </w:tc>
        <w:tc>
          <w:tcPr>
            <w:tcW w:w="1276" w:type="dxa"/>
          </w:tcPr>
          <w:p w14:paraId="3B679867" w14:textId="77777777" w:rsidR="00AF6A11" w:rsidRPr="005140F5" w:rsidRDefault="00AF6A11" w:rsidP="00FC7B2C">
            <w:pPr>
              <w:pStyle w:val="TableText"/>
            </w:pPr>
            <w:r w:rsidRPr="005140F5">
              <w:t>7</w:t>
            </w:r>
          </w:p>
        </w:tc>
        <w:tc>
          <w:tcPr>
            <w:tcW w:w="1276" w:type="dxa"/>
          </w:tcPr>
          <w:p w14:paraId="104E84A2" w14:textId="77777777" w:rsidR="00AF6A11" w:rsidRPr="005140F5" w:rsidRDefault="00AF6A11" w:rsidP="00FC7B2C">
            <w:pPr>
              <w:pStyle w:val="TableText"/>
            </w:pPr>
            <w:r w:rsidRPr="005140F5">
              <w:t>6</w:t>
            </w:r>
          </w:p>
        </w:tc>
        <w:tc>
          <w:tcPr>
            <w:tcW w:w="1337" w:type="dxa"/>
          </w:tcPr>
          <w:p w14:paraId="2F42ECD5" w14:textId="77777777" w:rsidR="00AF6A11" w:rsidRPr="005140F5" w:rsidRDefault="00AF6A11" w:rsidP="00FC7B2C">
            <w:pPr>
              <w:pStyle w:val="TableText"/>
            </w:pPr>
            <w:r w:rsidRPr="005140F5">
              <w:t>1</w:t>
            </w:r>
          </w:p>
        </w:tc>
      </w:tr>
      <w:tr w:rsidR="00AF6A11" w14:paraId="22C5E3A7" w14:textId="77777777" w:rsidTr="00B9479A">
        <w:tc>
          <w:tcPr>
            <w:tcW w:w="1461" w:type="dxa"/>
            <w:vMerge w:val="restart"/>
          </w:tcPr>
          <w:p w14:paraId="32816B04" w14:textId="77777777" w:rsidR="00AF6A11" w:rsidRDefault="00AF6A11" w:rsidP="00FC7B2C">
            <w:pPr>
              <w:pStyle w:val="TableText"/>
            </w:pPr>
            <w:r w:rsidRPr="005140F5">
              <w:t>Supply</w:t>
            </w:r>
            <w:r>
              <w:t xml:space="preserve"> side</w:t>
            </w:r>
            <w:r w:rsidRPr="005140F5">
              <w:t>/ subnational role</w:t>
            </w:r>
          </w:p>
        </w:tc>
        <w:tc>
          <w:tcPr>
            <w:tcW w:w="3892" w:type="dxa"/>
          </w:tcPr>
          <w:p w14:paraId="29F33F30" w14:textId="77777777" w:rsidR="00AF6A11" w:rsidRPr="005140F5" w:rsidRDefault="00AF6A11" w:rsidP="00B9479A">
            <w:pPr>
              <w:pStyle w:val="TableText"/>
              <w:spacing w:before="0" w:after="0"/>
            </w:pPr>
            <w:r w:rsidRPr="005140F5">
              <w:t>Subnational capacity to undertake their roles</w:t>
            </w:r>
          </w:p>
        </w:tc>
        <w:tc>
          <w:tcPr>
            <w:tcW w:w="1276" w:type="dxa"/>
          </w:tcPr>
          <w:p w14:paraId="73CBD9E5" w14:textId="77777777" w:rsidR="00AF6A11" w:rsidRPr="005140F5" w:rsidRDefault="00AF6A11" w:rsidP="00FC7B2C">
            <w:pPr>
              <w:pStyle w:val="TableText"/>
            </w:pPr>
            <w:r w:rsidRPr="005140F5">
              <w:t>4</w:t>
            </w:r>
          </w:p>
        </w:tc>
        <w:tc>
          <w:tcPr>
            <w:tcW w:w="1276" w:type="dxa"/>
          </w:tcPr>
          <w:p w14:paraId="6E730EA4" w14:textId="77777777" w:rsidR="00AF6A11" w:rsidRPr="005140F5" w:rsidRDefault="00AF6A11" w:rsidP="00FC7B2C">
            <w:pPr>
              <w:pStyle w:val="TableText"/>
            </w:pPr>
            <w:r w:rsidRPr="005140F5">
              <w:t>8</w:t>
            </w:r>
          </w:p>
        </w:tc>
        <w:tc>
          <w:tcPr>
            <w:tcW w:w="1337" w:type="dxa"/>
          </w:tcPr>
          <w:p w14:paraId="4F058B82" w14:textId="77777777" w:rsidR="00AF6A11" w:rsidRPr="005140F5" w:rsidRDefault="00AF6A11" w:rsidP="00FC7B2C">
            <w:pPr>
              <w:pStyle w:val="TableText"/>
            </w:pPr>
            <w:r w:rsidRPr="005140F5">
              <w:t>2</w:t>
            </w:r>
          </w:p>
        </w:tc>
      </w:tr>
      <w:tr w:rsidR="00AF6A11" w14:paraId="0723AE09" w14:textId="77777777" w:rsidTr="00B9479A">
        <w:tc>
          <w:tcPr>
            <w:tcW w:w="1461" w:type="dxa"/>
            <w:vMerge/>
          </w:tcPr>
          <w:p w14:paraId="1CBB46F3" w14:textId="77777777" w:rsidR="00AF6A11" w:rsidRDefault="00AF6A11" w:rsidP="00FC7B2C">
            <w:pPr>
              <w:pStyle w:val="TableText"/>
            </w:pPr>
          </w:p>
        </w:tc>
        <w:tc>
          <w:tcPr>
            <w:tcW w:w="3892" w:type="dxa"/>
          </w:tcPr>
          <w:p w14:paraId="579DA47A" w14:textId="77777777" w:rsidR="00AF6A11" w:rsidRPr="005140F5" w:rsidRDefault="00AF6A11" w:rsidP="00B9479A">
            <w:pPr>
              <w:pStyle w:val="TableText"/>
              <w:spacing w:before="0" w:after="0"/>
            </w:pPr>
            <w:r w:rsidRPr="005140F5">
              <w:t>Key gaps or challenges at subnational level faced in service delivery</w:t>
            </w:r>
          </w:p>
        </w:tc>
        <w:tc>
          <w:tcPr>
            <w:tcW w:w="1276" w:type="dxa"/>
          </w:tcPr>
          <w:p w14:paraId="55BBD21B" w14:textId="77777777" w:rsidR="00AF6A11" w:rsidRPr="005140F5" w:rsidRDefault="00AF6A11" w:rsidP="00FC7B2C">
            <w:pPr>
              <w:pStyle w:val="TableText"/>
            </w:pPr>
            <w:r w:rsidRPr="005140F5">
              <w:t>4</w:t>
            </w:r>
          </w:p>
        </w:tc>
        <w:tc>
          <w:tcPr>
            <w:tcW w:w="1276" w:type="dxa"/>
          </w:tcPr>
          <w:p w14:paraId="21784454" w14:textId="77777777" w:rsidR="00AF6A11" w:rsidRPr="005140F5" w:rsidRDefault="00AF6A11" w:rsidP="00FC7B2C">
            <w:pPr>
              <w:pStyle w:val="TableText"/>
            </w:pPr>
            <w:r w:rsidRPr="005140F5">
              <w:t>7</w:t>
            </w:r>
          </w:p>
        </w:tc>
        <w:tc>
          <w:tcPr>
            <w:tcW w:w="1337" w:type="dxa"/>
          </w:tcPr>
          <w:p w14:paraId="1DE22149" w14:textId="77777777" w:rsidR="00AF6A11" w:rsidRPr="005140F5" w:rsidRDefault="00AF6A11" w:rsidP="00FC7B2C">
            <w:pPr>
              <w:pStyle w:val="TableText"/>
            </w:pPr>
            <w:r w:rsidRPr="005140F5">
              <w:t>3</w:t>
            </w:r>
          </w:p>
        </w:tc>
      </w:tr>
      <w:tr w:rsidR="00AF6A11" w14:paraId="54FEDC3A" w14:textId="77777777" w:rsidTr="00B9479A">
        <w:tc>
          <w:tcPr>
            <w:tcW w:w="1461" w:type="dxa"/>
            <w:vMerge/>
          </w:tcPr>
          <w:p w14:paraId="7ED851CD" w14:textId="77777777" w:rsidR="00AF6A11" w:rsidRDefault="00AF6A11" w:rsidP="00FC7B2C">
            <w:pPr>
              <w:pStyle w:val="TableText"/>
            </w:pPr>
          </w:p>
        </w:tc>
        <w:tc>
          <w:tcPr>
            <w:tcW w:w="3892" w:type="dxa"/>
          </w:tcPr>
          <w:p w14:paraId="4BC73110" w14:textId="77777777" w:rsidR="00AF6A11" w:rsidRPr="005140F5" w:rsidRDefault="00AF6A11" w:rsidP="00B9479A">
            <w:pPr>
              <w:pStyle w:val="TableText"/>
              <w:spacing w:before="0" w:after="0"/>
            </w:pPr>
            <w:r w:rsidRPr="005140F5">
              <w:t>Availability of financial resources at subnational level relative to those needed for service delivery</w:t>
            </w:r>
          </w:p>
        </w:tc>
        <w:tc>
          <w:tcPr>
            <w:tcW w:w="1276" w:type="dxa"/>
          </w:tcPr>
          <w:p w14:paraId="33B21BF0" w14:textId="77777777" w:rsidR="00AF6A11" w:rsidRPr="005140F5" w:rsidRDefault="00AF6A11" w:rsidP="00FC7B2C">
            <w:pPr>
              <w:pStyle w:val="TableText"/>
            </w:pPr>
            <w:r w:rsidRPr="005140F5">
              <w:t>4</w:t>
            </w:r>
          </w:p>
        </w:tc>
        <w:tc>
          <w:tcPr>
            <w:tcW w:w="1276" w:type="dxa"/>
          </w:tcPr>
          <w:p w14:paraId="52E699F5" w14:textId="77777777" w:rsidR="00AF6A11" w:rsidRPr="005140F5" w:rsidRDefault="00AF6A11" w:rsidP="00FC7B2C">
            <w:pPr>
              <w:pStyle w:val="TableText"/>
            </w:pPr>
            <w:r w:rsidRPr="005140F5">
              <w:t>8</w:t>
            </w:r>
          </w:p>
        </w:tc>
        <w:tc>
          <w:tcPr>
            <w:tcW w:w="1337" w:type="dxa"/>
          </w:tcPr>
          <w:p w14:paraId="73AD28B0" w14:textId="77777777" w:rsidR="00AF6A11" w:rsidRPr="005140F5" w:rsidRDefault="00AF6A11" w:rsidP="00FC7B2C">
            <w:pPr>
              <w:pStyle w:val="TableText"/>
            </w:pPr>
            <w:r w:rsidRPr="005140F5">
              <w:t>2</w:t>
            </w:r>
          </w:p>
        </w:tc>
      </w:tr>
      <w:tr w:rsidR="00AF6A11" w14:paraId="6E259B46" w14:textId="77777777" w:rsidTr="00B9479A">
        <w:tc>
          <w:tcPr>
            <w:tcW w:w="1461" w:type="dxa"/>
            <w:vMerge/>
          </w:tcPr>
          <w:p w14:paraId="50537350" w14:textId="77777777" w:rsidR="00AF6A11" w:rsidRDefault="00AF6A11" w:rsidP="00FC7B2C">
            <w:pPr>
              <w:pStyle w:val="TableText"/>
            </w:pPr>
          </w:p>
        </w:tc>
        <w:tc>
          <w:tcPr>
            <w:tcW w:w="3892" w:type="dxa"/>
          </w:tcPr>
          <w:p w14:paraId="2C7BA087" w14:textId="77777777" w:rsidR="00AF6A11" w:rsidRPr="005140F5" w:rsidRDefault="00AF6A11" w:rsidP="00B9479A">
            <w:pPr>
              <w:pStyle w:val="TableText"/>
              <w:spacing w:before="0" w:after="0"/>
            </w:pPr>
            <w:r w:rsidRPr="005140F5">
              <w:t>Adequacy of management of financial resources at subnational level</w:t>
            </w:r>
          </w:p>
        </w:tc>
        <w:tc>
          <w:tcPr>
            <w:tcW w:w="1276" w:type="dxa"/>
          </w:tcPr>
          <w:p w14:paraId="1DCA1411" w14:textId="77777777" w:rsidR="00AF6A11" w:rsidRPr="005140F5" w:rsidRDefault="00AF6A11" w:rsidP="00FC7B2C">
            <w:pPr>
              <w:pStyle w:val="TableText"/>
            </w:pPr>
            <w:r w:rsidRPr="005140F5">
              <w:t>6</w:t>
            </w:r>
          </w:p>
        </w:tc>
        <w:tc>
          <w:tcPr>
            <w:tcW w:w="1276" w:type="dxa"/>
          </w:tcPr>
          <w:p w14:paraId="6C708C6A" w14:textId="77777777" w:rsidR="00AF6A11" w:rsidRPr="005140F5" w:rsidRDefault="00AF6A11" w:rsidP="00FC7B2C">
            <w:pPr>
              <w:pStyle w:val="TableText"/>
            </w:pPr>
            <w:r w:rsidRPr="005140F5">
              <w:t>5</w:t>
            </w:r>
          </w:p>
        </w:tc>
        <w:tc>
          <w:tcPr>
            <w:tcW w:w="1337" w:type="dxa"/>
          </w:tcPr>
          <w:p w14:paraId="34C7C036" w14:textId="77777777" w:rsidR="00AF6A11" w:rsidRPr="005140F5" w:rsidRDefault="00AF6A11" w:rsidP="00FC7B2C">
            <w:pPr>
              <w:pStyle w:val="TableText"/>
            </w:pPr>
            <w:r w:rsidRPr="005140F5">
              <w:t>3</w:t>
            </w:r>
          </w:p>
        </w:tc>
      </w:tr>
      <w:tr w:rsidR="00AF6A11" w14:paraId="38BCEDB1" w14:textId="77777777" w:rsidTr="00B9479A">
        <w:tc>
          <w:tcPr>
            <w:tcW w:w="1461" w:type="dxa"/>
            <w:vMerge w:val="restart"/>
          </w:tcPr>
          <w:p w14:paraId="33C2CD75" w14:textId="77777777" w:rsidR="00AF6A11" w:rsidRDefault="00AF6A11" w:rsidP="00FC7B2C">
            <w:pPr>
              <w:pStyle w:val="TableText"/>
            </w:pPr>
            <w:r w:rsidRPr="005140F5">
              <w:t>Demand</w:t>
            </w:r>
            <w:r>
              <w:t xml:space="preserve"> side</w:t>
            </w:r>
          </w:p>
        </w:tc>
        <w:tc>
          <w:tcPr>
            <w:tcW w:w="3892" w:type="dxa"/>
          </w:tcPr>
          <w:p w14:paraId="5350D340" w14:textId="77777777" w:rsidR="00AF6A11" w:rsidRPr="005140F5" w:rsidRDefault="00AF6A11" w:rsidP="00B9479A">
            <w:pPr>
              <w:pStyle w:val="TableText"/>
              <w:spacing w:before="0" w:after="0"/>
            </w:pPr>
            <w:r w:rsidRPr="005140F5">
              <w:t xml:space="preserve">Mechanisms for citizens to participate in planning, management or monitoring services </w:t>
            </w:r>
          </w:p>
        </w:tc>
        <w:tc>
          <w:tcPr>
            <w:tcW w:w="1276" w:type="dxa"/>
          </w:tcPr>
          <w:p w14:paraId="5EC51E9B" w14:textId="77777777" w:rsidR="00AF6A11" w:rsidRPr="005140F5" w:rsidRDefault="00AF6A11" w:rsidP="00FC7B2C">
            <w:pPr>
              <w:pStyle w:val="TableText"/>
            </w:pPr>
            <w:r w:rsidRPr="005140F5">
              <w:t>7</w:t>
            </w:r>
          </w:p>
        </w:tc>
        <w:tc>
          <w:tcPr>
            <w:tcW w:w="1276" w:type="dxa"/>
          </w:tcPr>
          <w:p w14:paraId="4B3410C7" w14:textId="77777777" w:rsidR="00AF6A11" w:rsidRPr="005140F5" w:rsidRDefault="00AF6A11" w:rsidP="00FC7B2C">
            <w:pPr>
              <w:pStyle w:val="TableText"/>
            </w:pPr>
            <w:r w:rsidRPr="005140F5">
              <w:t>4</w:t>
            </w:r>
          </w:p>
        </w:tc>
        <w:tc>
          <w:tcPr>
            <w:tcW w:w="1337" w:type="dxa"/>
          </w:tcPr>
          <w:p w14:paraId="27746E6C" w14:textId="77777777" w:rsidR="00AF6A11" w:rsidRPr="005140F5" w:rsidRDefault="00AF6A11" w:rsidP="00FC7B2C">
            <w:pPr>
              <w:pStyle w:val="TableText"/>
            </w:pPr>
            <w:r w:rsidRPr="005140F5">
              <w:t>3</w:t>
            </w:r>
          </w:p>
        </w:tc>
      </w:tr>
      <w:tr w:rsidR="00AF6A11" w14:paraId="63983D44" w14:textId="77777777" w:rsidTr="00B9479A">
        <w:tc>
          <w:tcPr>
            <w:tcW w:w="1461" w:type="dxa"/>
            <w:vMerge/>
          </w:tcPr>
          <w:p w14:paraId="42F76B94" w14:textId="77777777" w:rsidR="00AF6A11" w:rsidRDefault="00AF6A11" w:rsidP="00FC7B2C">
            <w:pPr>
              <w:pStyle w:val="TableText"/>
            </w:pPr>
          </w:p>
        </w:tc>
        <w:tc>
          <w:tcPr>
            <w:tcW w:w="3892" w:type="dxa"/>
          </w:tcPr>
          <w:p w14:paraId="28E6E329" w14:textId="77777777" w:rsidR="00AF6A11" w:rsidRPr="005140F5" w:rsidRDefault="00AF6A11" w:rsidP="00B9479A">
            <w:pPr>
              <w:pStyle w:val="TableText"/>
              <w:spacing w:before="0" w:after="0"/>
            </w:pPr>
            <w:r w:rsidRPr="005140F5">
              <w:t xml:space="preserve">Quality of citizen participation in planning, management or monitoring service delivery </w:t>
            </w:r>
          </w:p>
        </w:tc>
        <w:tc>
          <w:tcPr>
            <w:tcW w:w="1276" w:type="dxa"/>
          </w:tcPr>
          <w:p w14:paraId="3CA55FEE" w14:textId="77777777" w:rsidR="00AF6A11" w:rsidRPr="005140F5" w:rsidRDefault="00AF6A11" w:rsidP="00FC7B2C">
            <w:pPr>
              <w:pStyle w:val="TableText"/>
            </w:pPr>
            <w:r w:rsidRPr="005140F5">
              <w:t>6</w:t>
            </w:r>
          </w:p>
        </w:tc>
        <w:tc>
          <w:tcPr>
            <w:tcW w:w="1276" w:type="dxa"/>
          </w:tcPr>
          <w:p w14:paraId="2F5E049B" w14:textId="77777777" w:rsidR="00AF6A11" w:rsidRPr="005140F5" w:rsidRDefault="00AF6A11" w:rsidP="00FC7B2C">
            <w:pPr>
              <w:pStyle w:val="TableText"/>
            </w:pPr>
            <w:r w:rsidRPr="005140F5">
              <w:t>5</w:t>
            </w:r>
          </w:p>
        </w:tc>
        <w:tc>
          <w:tcPr>
            <w:tcW w:w="1337" w:type="dxa"/>
          </w:tcPr>
          <w:p w14:paraId="44E36B4D" w14:textId="77777777" w:rsidR="00AF6A11" w:rsidRPr="005140F5" w:rsidRDefault="00AF6A11" w:rsidP="00FC7B2C">
            <w:pPr>
              <w:pStyle w:val="TableText"/>
            </w:pPr>
            <w:r w:rsidRPr="005140F5">
              <w:t>3</w:t>
            </w:r>
          </w:p>
        </w:tc>
      </w:tr>
      <w:tr w:rsidR="00AF6A11" w14:paraId="5A97D6E9" w14:textId="77777777" w:rsidTr="00B9479A">
        <w:tc>
          <w:tcPr>
            <w:tcW w:w="1461" w:type="dxa"/>
            <w:vMerge/>
          </w:tcPr>
          <w:p w14:paraId="627340CD" w14:textId="77777777" w:rsidR="00AF6A11" w:rsidRDefault="00AF6A11" w:rsidP="00FC7B2C">
            <w:pPr>
              <w:pStyle w:val="TableText"/>
            </w:pPr>
          </w:p>
        </w:tc>
        <w:tc>
          <w:tcPr>
            <w:tcW w:w="3892" w:type="dxa"/>
          </w:tcPr>
          <w:p w14:paraId="7A89F646" w14:textId="77777777" w:rsidR="00AF6A11" w:rsidRPr="005140F5" w:rsidRDefault="00AF6A11" w:rsidP="00B9479A">
            <w:pPr>
              <w:pStyle w:val="TableText"/>
              <w:spacing w:before="0" w:after="0"/>
            </w:pPr>
            <w:r w:rsidRPr="005140F5">
              <w:t xml:space="preserve">Efforts to increase accountability or transparency of government to citizens </w:t>
            </w:r>
          </w:p>
        </w:tc>
        <w:tc>
          <w:tcPr>
            <w:tcW w:w="1276" w:type="dxa"/>
          </w:tcPr>
          <w:p w14:paraId="19B9DAA9" w14:textId="77777777" w:rsidR="00AF6A11" w:rsidRPr="005140F5" w:rsidRDefault="00AF6A11" w:rsidP="00FC7B2C">
            <w:pPr>
              <w:pStyle w:val="TableText"/>
            </w:pPr>
            <w:r w:rsidRPr="005140F5">
              <w:t>9</w:t>
            </w:r>
          </w:p>
        </w:tc>
        <w:tc>
          <w:tcPr>
            <w:tcW w:w="1276" w:type="dxa"/>
          </w:tcPr>
          <w:p w14:paraId="0A06495C" w14:textId="77777777" w:rsidR="00AF6A11" w:rsidRPr="005140F5" w:rsidRDefault="00AF6A11" w:rsidP="00FC7B2C">
            <w:pPr>
              <w:pStyle w:val="TableText"/>
            </w:pPr>
            <w:r w:rsidRPr="005140F5">
              <w:t>2</w:t>
            </w:r>
          </w:p>
        </w:tc>
        <w:tc>
          <w:tcPr>
            <w:tcW w:w="1337" w:type="dxa"/>
          </w:tcPr>
          <w:p w14:paraId="2E38F83C" w14:textId="77777777" w:rsidR="00AF6A11" w:rsidRPr="005140F5" w:rsidRDefault="00AF6A11" w:rsidP="00FC7B2C">
            <w:pPr>
              <w:pStyle w:val="TableText"/>
            </w:pPr>
            <w:r w:rsidRPr="005140F5">
              <w:t>3</w:t>
            </w:r>
          </w:p>
        </w:tc>
      </w:tr>
      <w:tr w:rsidR="00AF6A11" w14:paraId="0ED9FFFA" w14:textId="77777777" w:rsidTr="00B9479A">
        <w:tc>
          <w:tcPr>
            <w:tcW w:w="1461" w:type="dxa"/>
            <w:vMerge w:val="restart"/>
          </w:tcPr>
          <w:p w14:paraId="0E1C7C91" w14:textId="77777777" w:rsidR="00AF6A11" w:rsidRDefault="00AF6A11" w:rsidP="00FC7B2C">
            <w:pPr>
              <w:pStyle w:val="TableText"/>
            </w:pPr>
            <w:r w:rsidRPr="005140F5">
              <w:t>Evidence to support aid choices</w:t>
            </w:r>
          </w:p>
        </w:tc>
        <w:tc>
          <w:tcPr>
            <w:tcW w:w="3892" w:type="dxa"/>
          </w:tcPr>
          <w:p w14:paraId="75E38AEF" w14:textId="77777777" w:rsidR="00AF6A11" w:rsidRPr="005140F5" w:rsidRDefault="00AF6A11" w:rsidP="00B9479A">
            <w:pPr>
              <w:pStyle w:val="TableText"/>
              <w:spacing w:before="0" w:after="0"/>
            </w:pPr>
            <w:r w:rsidRPr="005140F5">
              <w:t>Rationale for working from national or from subnational level or both, given the status of decentralisation</w:t>
            </w:r>
          </w:p>
        </w:tc>
        <w:tc>
          <w:tcPr>
            <w:tcW w:w="1276" w:type="dxa"/>
          </w:tcPr>
          <w:p w14:paraId="3555DEDF" w14:textId="77777777" w:rsidR="00AF6A11" w:rsidRPr="005140F5" w:rsidRDefault="00AF6A11" w:rsidP="00FC7B2C">
            <w:pPr>
              <w:pStyle w:val="TableText"/>
            </w:pPr>
            <w:r w:rsidRPr="005140F5">
              <w:t>5</w:t>
            </w:r>
          </w:p>
        </w:tc>
        <w:tc>
          <w:tcPr>
            <w:tcW w:w="1276" w:type="dxa"/>
          </w:tcPr>
          <w:p w14:paraId="3A53E827" w14:textId="77777777" w:rsidR="00AF6A11" w:rsidRPr="005140F5" w:rsidRDefault="00AF6A11" w:rsidP="00FC7B2C">
            <w:pPr>
              <w:pStyle w:val="TableText"/>
            </w:pPr>
            <w:r w:rsidRPr="005140F5">
              <w:t>6</w:t>
            </w:r>
          </w:p>
        </w:tc>
        <w:tc>
          <w:tcPr>
            <w:tcW w:w="1337" w:type="dxa"/>
          </w:tcPr>
          <w:p w14:paraId="3FFE0386" w14:textId="77777777" w:rsidR="00AF6A11" w:rsidRPr="005140F5" w:rsidRDefault="00AF6A11" w:rsidP="00FC7B2C">
            <w:pPr>
              <w:pStyle w:val="TableText"/>
            </w:pPr>
            <w:r w:rsidRPr="005140F5">
              <w:t>3</w:t>
            </w:r>
          </w:p>
        </w:tc>
      </w:tr>
      <w:tr w:rsidR="00AF6A11" w14:paraId="367EB002" w14:textId="77777777" w:rsidTr="00B9479A">
        <w:tc>
          <w:tcPr>
            <w:tcW w:w="1461" w:type="dxa"/>
            <w:vMerge/>
          </w:tcPr>
          <w:p w14:paraId="5C3DDA8F" w14:textId="77777777" w:rsidR="00AF6A11" w:rsidRDefault="00AF6A11" w:rsidP="00FC7B2C">
            <w:pPr>
              <w:pStyle w:val="TableText"/>
            </w:pPr>
          </w:p>
        </w:tc>
        <w:tc>
          <w:tcPr>
            <w:tcW w:w="3892" w:type="dxa"/>
          </w:tcPr>
          <w:p w14:paraId="4BF67764" w14:textId="77777777" w:rsidR="00AF6A11" w:rsidRPr="005140F5" w:rsidRDefault="00AF6A11" w:rsidP="00B9479A">
            <w:pPr>
              <w:pStyle w:val="TableText"/>
              <w:spacing w:before="0" w:after="0"/>
            </w:pPr>
            <w:r w:rsidRPr="005140F5">
              <w:t xml:space="preserve">Rationale for choice of subnational location? </w:t>
            </w:r>
          </w:p>
          <w:p w14:paraId="494F1031" w14:textId="77777777" w:rsidR="00AF6A11" w:rsidRPr="00425819" w:rsidRDefault="00AF6A11" w:rsidP="00B9479A">
            <w:pPr>
              <w:pStyle w:val="TableText"/>
              <w:spacing w:before="0" w:after="0"/>
            </w:pPr>
            <w:r w:rsidRPr="00B9479A">
              <w:t>(Note: 3 designs are national scale so N/A)</w:t>
            </w:r>
          </w:p>
        </w:tc>
        <w:tc>
          <w:tcPr>
            <w:tcW w:w="1276" w:type="dxa"/>
          </w:tcPr>
          <w:p w14:paraId="792D11F9" w14:textId="77777777" w:rsidR="00AF6A11" w:rsidRPr="005140F5" w:rsidRDefault="00AF6A11" w:rsidP="00FC7B2C">
            <w:pPr>
              <w:pStyle w:val="TableText"/>
            </w:pPr>
            <w:r w:rsidRPr="005140F5">
              <w:t>5</w:t>
            </w:r>
          </w:p>
        </w:tc>
        <w:tc>
          <w:tcPr>
            <w:tcW w:w="1276" w:type="dxa"/>
          </w:tcPr>
          <w:p w14:paraId="5117660E" w14:textId="77777777" w:rsidR="00AF6A11" w:rsidRPr="005140F5" w:rsidRDefault="00AF6A11" w:rsidP="00FC7B2C">
            <w:pPr>
              <w:pStyle w:val="TableText"/>
            </w:pPr>
            <w:r w:rsidRPr="005140F5">
              <w:t>5</w:t>
            </w:r>
          </w:p>
        </w:tc>
        <w:tc>
          <w:tcPr>
            <w:tcW w:w="1337" w:type="dxa"/>
          </w:tcPr>
          <w:p w14:paraId="09B316CF" w14:textId="77777777" w:rsidR="00AF6A11" w:rsidRPr="005140F5" w:rsidRDefault="00AF6A11" w:rsidP="00FC7B2C">
            <w:pPr>
              <w:pStyle w:val="TableText"/>
            </w:pPr>
            <w:r w:rsidRPr="005140F5">
              <w:t>1</w:t>
            </w:r>
          </w:p>
        </w:tc>
      </w:tr>
      <w:tr w:rsidR="00AF6A11" w14:paraId="6FBEF98F" w14:textId="77777777" w:rsidTr="00B9479A">
        <w:tc>
          <w:tcPr>
            <w:tcW w:w="1461" w:type="dxa"/>
            <w:vMerge/>
          </w:tcPr>
          <w:p w14:paraId="35330808" w14:textId="77777777" w:rsidR="00AF6A11" w:rsidRDefault="00AF6A11" w:rsidP="00FC7B2C">
            <w:pPr>
              <w:pStyle w:val="TableText"/>
            </w:pPr>
          </w:p>
        </w:tc>
        <w:tc>
          <w:tcPr>
            <w:tcW w:w="3892" w:type="dxa"/>
          </w:tcPr>
          <w:p w14:paraId="01C7E371" w14:textId="77777777" w:rsidR="00AF6A11" w:rsidRPr="005140F5" w:rsidRDefault="00AF6A11" w:rsidP="00B9479A">
            <w:pPr>
              <w:pStyle w:val="TableText"/>
              <w:spacing w:before="0" w:after="0"/>
            </w:pPr>
            <w:r w:rsidRPr="005140F5">
              <w:t>Justification for the choice of aid modality in relation to the decentralisation context</w:t>
            </w:r>
          </w:p>
        </w:tc>
        <w:tc>
          <w:tcPr>
            <w:tcW w:w="1276" w:type="dxa"/>
          </w:tcPr>
          <w:p w14:paraId="6C6D12EE" w14:textId="77777777" w:rsidR="00AF6A11" w:rsidRPr="005140F5" w:rsidRDefault="00AF6A11" w:rsidP="00FC7B2C">
            <w:pPr>
              <w:pStyle w:val="TableText"/>
            </w:pPr>
            <w:r w:rsidRPr="005140F5">
              <w:t>6</w:t>
            </w:r>
          </w:p>
        </w:tc>
        <w:tc>
          <w:tcPr>
            <w:tcW w:w="1276" w:type="dxa"/>
          </w:tcPr>
          <w:p w14:paraId="2F7C2D19" w14:textId="77777777" w:rsidR="00AF6A11" w:rsidRPr="005140F5" w:rsidRDefault="00AF6A11" w:rsidP="00FC7B2C">
            <w:pPr>
              <w:pStyle w:val="TableText"/>
            </w:pPr>
            <w:r w:rsidRPr="005140F5">
              <w:t>5</w:t>
            </w:r>
          </w:p>
        </w:tc>
        <w:tc>
          <w:tcPr>
            <w:tcW w:w="1337" w:type="dxa"/>
          </w:tcPr>
          <w:p w14:paraId="49DAF392" w14:textId="77777777" w:rsidR="00AF6A11" w:rsidRPr="005140F5" w:rsidRDefault="00AF6A11" w:rsidP="00FC7B2C">
            <w:pPr>
              <w:pStyle w:val="TableText"/>
            </w:pPr>
            <w:r w:rsidRPr="005140F5">
              <w:t>3</w:t>
            </w:r>
          </w:p>
        </w:tc>
      </w:tr>
      <w:tr w:rsidR="00AF6A11" w:rsidRPr="00FC7B2C" w14:paraId="128739C0" w14:textId="77777777" w:rsidTr="00B9479A">
        <w:tc>
          <w:tcPr>
            <w:tcW w:w="9242" w:type="dxa"/>
            <w:gridSpan w:val="5"/>
          </w:tcPr>
          <w:p w14:paraId="0C78D4C5" w14:textId="77777777" w:rsidR="00AF6A11" w:rsidRPr="00FC7B2C" w:rsidRDefault="00AF6A11" w:rsidP="00FC7B2C">
            <w:pPr>
              <w:pStyle w:val="TableText"/>
              <w:rPr>
                <w:b/>
              </w:rPr>
            </w:pPr>
            <w:r w:rsidRPr="00FC7B2C">
              <w:rPr>
                <w:b/>
              </w:rPr>
              <w:t>Equity</w:t>
            </w:r>
          </w:p>
        </w:tc>
      </w:tr>
      <w:tr w:rsidR="00AF6A11" w14:paraId="2C4A0C4E" w14:textId="77777777" w:rsidTr="00425819">
        <w:trPr>
          <w:trHeight w:val="459"/>
        </w:trPr>
        <w:tc>
          <w:tcPr>
            <w:tcW w:w="5353" w:type="dxa"/>
            <w:gridSpan w:val="2"/>
          </w:tcPr>
          <w:p w14:paraId="68BF265B" w14:textId="77777777" w:rsidR="00AF6A11" w:rsidRPr="005140F5" w:rsidRDefault="00AF6A11" w:rsidP="00B9479A">
            <w:pPr>
              <w:spacing w:before="0" w:after="0" w:line="240" w:lineRule="auto"/>
              <w:rPr>
                <w:sz w:val="18"/>
              </w:rPr>
            </w:pPr>
            <w:r w:rsidRPr="005140F5">
              <w:rPr>
                <w:sz w:val="18"/>
              </w:rPr>
              <w:t xml:space="preserve">Participation of marginalised and vulnerable groups in planning, management or monitoring delivery of services </w:t>
            </w:r>
          </w:p>
        </w:tc>
        <w:tc>
          <w:tcPr>
            <w:tcW w:w="1276" w:type="dxa"/>
          </w:tcPr>
          <w:p w14:paraId="082F6653" w14:textId="77777777" w:rsidR="00AF6A11" w:rsidRPr="005140F5" w:rsidRDefault="00AF6A11" w:rsidP="00B9479A">
            <w:pPr>
              <w:spacing w:after="0"/>
              <w:rPr>
                <w:sz w:val="18"/>
              </w:rPr>
            </w:pPr>
            <w:r w:rsidRPr="005140F5">
              <w:rPr>
                <w:sz w:val="18"/>
              </w:rPr>
              <w:t>9</w:t>
            </w:r>
          </w:p>
        </w:tc>
        <w:tc>
          <w:tcPr>
            <w:tcW w:w="1276" w:type="dxa"/>
          </w:tcPr>
          <w:p w14:paraId="1D753BE5" w14:textId="77777777" w:rsidR="00AF6A11" w:rsidRPr="005140F5" w:rsidRDefault="00AF6A11" w:rsidP="00B9479A">
            <w:pPr>
              <w:spacing w:after="0"/>
              <w:rPr>
                <w:sz w:val="18"/>
              </w:rPr>
            </w:pPr>
            <w:r w:rsidRPr="005140F5">
              <w:rPr>
                <w:sz w:val="18"/>
              </w:rPr>
              <w:t>4</w:t>
            </w:r>
          </w:p>
        </w:tc>
        <w:tc>
          <w:tcPr>
            <w:tcW w:w="1337" w:type="dxa"/>
          </w:tcPr>
          <w:p w14:paraId="35878D72" w14:textId="77777777" w:rsidR="00AF6A11" w:rsidRPr="005140F5" w:rsidRDefault="00AF6A11" w:rsidP="00B9479A">
            <w:pPr>
              <w:spacing w:after="0"/>
              <w:rPr>
                <w:sz w:val="18"/>
              </w:rPr>
            </w:pPr>
            <w:r w:rsidRPr="005140F5">
              <w:rPr>
                <w:sz w:val="18"/>
              </w:rPr>
              <w:t>1</w:t>
            </w:r>
          </w:p>
        </w:tc>
      </w:tr>
      <w:tr w:rsidR="00AF6A11" w14:paraId="33C458F3" w14:textId="77777777" w:rsidTr="00B9479A">
        <w:trPr>
          <w:trHeight w:val="241"/>
        </w:trPr>
        <w:tc>
          <w:tcPr>
            <w:tcW w:w="5353" w:type="dxa"/>
            <w:gridSpan w:val="2"/>
          </w:tcPr>
          <w:p w14:paraId="2FC6E786" w14:textId="77777777" w:rsidR="00AF6A11" w:rsidRPr="005140F5" w:rsidRDefault="00AF6A11" w:rsidP="00B9479A">
            <w:pPr>
              <w:spacing w:before="0" w:after="0" w:line="240" w:lineRule="auto"/>
              <w:rPr>
                <w:sz w:val="18"/>
              </w:rPr>
            </w:pPr>
            <w:r w:rsidRPr="005140F5">
              <w:rPr>
                <w:sz w:val="18"/>
              </w:rPr>
              <w:t xml:space="preserve">Identification of specific equity outcomes </w:t>
            </w:r>
          </w:p>
        </w:tc>
        <w:tc>
          <w:tcPr>
            <w:tcW w:w="1276" w:type="dxa"/>
          </w:tcPr>
          <w:p w14:paraId="7CACDBB0" w14:textId="77777777" w:rsidR="00AF6A11" w:rsidRPr="005140F5" w:rsidRDefault="00AF6A11" w:rsidP="00B9479A">
            <w:pPr>
              <w:spacing w:after="0"/>
              <w:rPr>
                <w:sz w:val="18"/>
              </w:rPr>
            </w:pPr>
            <w:r w:rsidRPr="005140F5">
              <w:rPr>
                <w:sz w:val="18"/>
              </w:rPr>
              <w:t>3</w:t>
            </w:r>
          </w:p>
        </w:tc>
        <w:tc>
          <w:tcPr>
            <w:tcW w:w="1276" w:type="dxa"/>
          </w:tcPr>
          <w:p w14:paraId="0E74F13E" w14:textId="77777777" w:rsidR="00AF6A11" w:rsidRPr="005140F5" w:rsidRDefault="00AF6A11" w:rsidP="00B9479A">
            <w:pPr>
              <w:spacing w:after="0"/>
              <w:rPr>
                <w:sz w:val="18"/>
              </w:rPr>
            </w:pPr>
            <w:r w:rsidRPr="005140F5">
              <w:rPr>
                <w:sz w:val="18"/>
              </w:rPr>
              <w:t>7</w:t>
            </w:r>
          </w:p>
        </w:tc>
        <w:tc>
          <w:tcPr>
            <w:tcW w:w="1337" w:type="dxa"/>
          </w:tcPr>
          <w:p w14:paraId="37578634" w14:textId="77777777" w:rsidR="00AF6A11" w:rsidRPr="005140F5" w:rsidRDefault="00AF6A11" w:rsidP="00B9479A">
            <w:pPr>
              <w:spacing w:after="0"/>
              <w:rPr>
                <w:sz w:val="18"/>
              </w:rPr>
            </w:pPr>
            <w:r w:rsidRPr="005140F5">
              <w:rPr>
                <w:sz w:val="18"/>
              </w:rPr>
              <w:t>4</w:t>
            </w:r>
          </w:p>
        </w:tc>
      </w:tr>
      <w:tr w:rsidR="00AF6A11" w14:paraId="261F915D" w14:textId="77777777" w:rsidTr="00425819">
        <w:trPr>
          <w:trHeight w:val="206"/>
        </w:trPr>
        <w:tc>
          <w:tcPr>
            <w:tcW w:w="5353" w:type="dxa"/>
            <w:gridSpan w:val="2"/>
          </w:tcPr>
          <w:p w14:paraId="0E9536E0" w14:textId="77777777" w:rsidR="00AF6A11" w:rsidRPr="005140F5" w:rsidRDefault="00AF6A11" w:rsidP="00B9479A">
            <w:pPr>
              <w:spacing w:before="0" w:after="0" w:line="240" w:lineRule="auto"/>
              <w:rPr>
                <w:sz w:val="18"/>
              </w:rPr>
            </w:pPr>
            <w:r w:rsidRPr="005140F5">
              <w:rPr>
                <w:sz w:val="18"/>
              </w:rPr>
              <w:t>How the role of subnational authorities might affect equity outcomes</w:t>
            </w:r>
          </w:p>
        </w:tc>
        <w:tc>
          <w:tcPr>
            <w:tcW w:w="1276" w:type="dxa"/>
          </w:tcPr>
          <w:p w14:paraId="0D66E5A0" w14:textId="77777777" w:rsidR="00AF6A11" w:rsidRPr="005140F5" w:rsidRDefault="00AF6A11" w:rsidP="00B9479A">
            <w:pPr>
              <w:spacing w:after="0"/>
              <w:rPr>
                <w:sz w:val="18"/>
              </w:rPr>
            </w:pPr>
            <w:r w:rsidRPr="005140F5">
              <w:rPr>
                <w:sz w:val="18"/>
              </w:rPr>
              <w:t>12</w:t>
            </w:r>
          </w:p>
        </w:tc>
        <w:tc>
          <w:tcPr>
            <w:tcW w:w="1276" w:type="dxa"/>
          </w:tcPr>
          <w:p w14:paraId="3F83F215" w14:textId="77777777" w:rsidR="00AF6A11" w:rsidRPr="005140F5" w:rsidRDefault="00AF6A11" w:rsidP="00B9479A">
            <w:pPr>
              <w:spacing w:after="0"/>
              <w:rPr>
                <w:sz w:val="18"/>
              </w:rPr>
            </w:pPr>
            <w:r w:rsidRPr="005140F5">
              <w:rPr>
                <w:sz w:val="18"/>
              </w:rPr>
              <w:t>2</w:t>
            </w:r>
          </w:p>
        </w:tc>
        <w:tc>
          <w:tcPr>
            <w:tcW w:w="1337" w:type="dxa"/>
          </w:tcPr>
          <w:p w14:paraId="43EAE9FE" w14:textId="77777777" w:rsidR="00AF6A11" w:rsidRPr="005140F5" w:rsidRDefault="00AF6A11" w:rsidP="00B9479A">
            <w:pPr>
              <w:spacing w:after="0"/>
              <w:rPr>
                <w:sz w:val="18"/>
              </w:rPr>
            </w:pPr>
            <w:r w:rsidRPr="005140F5">
              <w:rPr>
                <w:sz w:val="18"/>
              </w:rPr>
              <w:t>0</w:t>
            </w:r>
          </w:p>
        </w:tc>
      </w:tr>
      <w:tr w:rsidR="00AF6A11" w:rsidRPr="00FC7B2C" w14:paraId="5527BC5D" w14:textId="77777777" w:rsidTr="00B9479A">
        <w:tc>
          <w:tcPr>
            <w:tcW w:w="9242" w:type="dxa"/>
            <w:gridSpan w:val="5"/>
          </w:tcPr>
          <w:p w14:paraId="24185954" w14:textId="77777777" w:rsidR="00AF6A11" w:rsidRPr="00FC7B2C" w:rsidRDefault="00AF6A11" w:rsidP="00FC7B2C">
            <w:pPr>
              <w:pStyle w:val="TableText"/>
              <w:rPr>
                <w:b/>
                <w:bCs/>
              </w:rPr>
            </w:pPr>
            <w:r w:rsidRPr="00FC7B2C">
              <w:rPr>
                <w:b/>
                <w:bCs/>
              </w:rPr>
              <w:t>Coherence</w:t>
            </w:r>
          </w:p>
        </w:tc>
      </w:tr>
      <w:tr w:rsidR="00AF6A11" w14:paraId="254D8B5F" w14:textId="77777777" w:rsidTr="00B9479A">
        <w:tc>
          <w:tcPr>
            <w:tcW w:w="5353" w:type="dxa"/>
            <w:gridSpan w:val="2"/>
          </w:tcPr>
          <w:p w14:paraId="7072153F" w14:textId="77777777" w:rsidR="00AF6A11" w:rsidRPr="005140F5" w:rsidRDefault="00AF6A11" w:rsidP="00B9479A">
            <w:pPr>
              <w:spacing w:before="0" w:after="0" w:line="240" w:lineRule="auto"/>
              <w:rPr>
                <w:sz w:val="18"/>
              </w:rPr>
            </w:pPr>
            <w:r w:rsidRPr="005140F5">
              <w:rPr>
                <w:sz w:val="18"/>
              </w:rPr>
              <w:t>How Aus</w:t>
            </w:r>
            <w:r>
              <w:rPr>
                <w:sz w:val="18"/>
              </w:rPr>
              <w:t>tralian aid program</w:t>
            </w:r>
            <w:r w:rsidRPr="005140F5">
              <w:rPr>
                <w:sz w:val="18"/>
              </w:rPr>
              <w:t xml:space="preserve"> governance programming supports or intersects with sectorally focused efforts</w:t>
            </w:r>
          </w:p>
        </w:tc>
        <w:tc>
          <w:tcPr>
            <w:tcW w:w="1276" w:type="dxa"/>
          </w:tcPr>
          <w:p w14:paraId="63A60D71" w14:textId="77777777" w:rsidR="00AF6A11" w:rsidRPr="005140F5" w:rsidRDefault="00AF6A11" w:rsidP="00B9479A">
            <w:pPr>
              <w:spacing w:after="0"/>
              <w:rPr>
                <w:sz w:val="18"/>
              </w:rPr>
            </w:pPr>
            <w:r w:rsidRPr="005140F5">
              <w:rPr>
                <w:sz w:val="18"/>
              </w:rPr>
              <w:t>8</w:t>
            </w:r>
          </w:p>
        </w:tc>
        <w:tc>
          <w:tcPr>
            <w:tcW w:w="1276" w:type="dxa"/>
          </w:tcPr>
          <w:p w14:paraId="745E961E" w14:textId="77777777" w:rsidR="00AF6A11" w:rsidRPr="005140F5" w:rsidRDefault="00AF6A11" w:rsidP="00B9479A">
            <w:pPr>
              <w:spacing w:after="0"/>
              <w:rPr>
                <w:sz w:val="18"/>
              </w:rPr>
            </w:pPr>
            <w:r w:rsidRPr="005140F5">
              <w:rPr>
                <w:sz w:val="18"/>
              </w:rPr>
              <w:t>5</w:t>
            </w:r>
          </w:p>
        </w:tc>
        <w:tc>
          <w:tcPr>
            <w:tcW w:w="1337" w:type="dxa"/>
          </w:tcPr>
          <w:p w14:paraId="6BB1F694" w14:textId="77777777" w:rsidR="00AF6A11" w:rsidRPr="005140F5" w:rsidRDefault="00AF6A11" w:rsidP="00B9479A">
            <w:pPr>
              <w:spacing w:after="0"/>
              <w:rPr>
                <w:sz w:val="18"/>
              </w:rPr>
            </w:pPr>
            <w:r w:rsidRPr="005140F5">
              <w:rPr>
                <w:sz w:val="18"/>
              </w:rPr>
              <w:t>1</w:t>
            </w:r>
          </w:p>
        </w:tc>
      </w:tr>
      <w:tr w:rsidR="00AF6A11" w14:paraId="36EF69B7" w14:textId="77777777" w:rsidTr="00B9479A">
        <w:tc>
          <w:tcPr>
            <w:tcW w:w="5353" w:type="dxa"/>
            <w:gridSpan w:val="2"/>
          </w:tcPr>
          <w:p w14:paraId="2AE87BE0" w14:textId="77777777" w:rsidR="00AF6A11" w:rsidRPr="005140F5" w:rsidRDefault="00AF6A11" w:rsidP="00B9479A">
            <w:pPr>
              <w:spacing w:before="0" w:after="0" w:line="240" w:lineRule="auto"/>
              <w:rPr>
                <w:sz w:val="18"/>
              </w:rPr>
            </w:pPr>
            <w:r w:rsidRPr="005140F5">
              <w:rPr>
                <w:sz w:val="18"/>
              </w:rPr>
              <w:t xml:space="preserve">What is the extent of alignment to current decentralisation reform </w:t>
            </w:r>
            <w:r>
              <w:rPr>
                <w:sz w:val="18"/>
              </w:rPr>
              <w:br/>
              <w:t>(</w:t>
            </w:r>
            <w:r w:rsidRPr="005140F5">
              <w:rPr>
                <w:sz w:val="18"/>
              </w:rPr>
              <w:t>Note: this criterion uses a different scale: not aligned/some alignment/strong alignment</w:t>
            </w:r>
            <w:r>
              <w:rPr>
                <w:sz w:val="18"/>
              </w:rPr>
              <w:t>)</w:t>
            </w:r>
          </w:p>
        </w:tc>
        <w:tc>
          <w:tcPr>
            <w:tcW w:w="1276" w:type="dxa"/>
          </w:tcPr>
          <w:p w14:paraId="33E51B57" w14:textId="77777777" w:rsidR="00AF6A11" w:rsidRPr="005140F5" w:rsidRDefault="00AF6A11" w:rsidP="00B9479A">
            <w:pPr>
              <w:spacing w:after="0"/>
              <w:rPr>
                <w:sz w:val="18"/>
              </w:rPr>
            </w:pPr>
            <w:r w:rsidRPr="005140F5">
              <w:rPr>
                <w:sz w:val="18"/>
              </w:rPr>
              <w:t>1</w:t>
            </w:r>
          </w:p>
        </w:tc>
        <w:tc>
          <w:tcPr>
            <w:tcW w:w="1276" w:type="dxa"/>
          </w:tcPr>
          <w:p w14:paraId="77569FB6" w14:textId="77777777" w:rsidR="00AF6A11" w:rsidRPr="005140F5" w:rsidRDefault="00AF6A11" w:rsidP="00B9479A">
            <w:pPr>
              <w:spacing w:after="0"/>
              <w:rPr>
                <w:sz w:val="18"/>
              </w:rPr>
            </w:pPr>
            <w:r w:rsidRPr="005140F5">
              <w:rPr>
                <w:sz w:val="18"/>
              </w:rPr>
              <w:t>13</w:t>
            </w:r>
          </w:p>
        </w:tc>
        <w:tc>
          <w:tcPr>
            <w:tcW w:w="1337" w:type="dxa"/>
          </w:tcPr>
          <w:p w14:paraId="5139F16B" w14:textId="77777777" w:rsidR="00AF6A11" w:rsidRPr="005140F5" w:rsidRDefault="00AF6A11" w:rsidP="00B9479A">
            <w:pPr>
              <w:spacing w:after="0"/>
              <w:rPr>
                <w:sz w:val="18"/>
              </w:rPr>
            </w:pPr>
            <w:r w:rsidRPr="005140F5">
              <w:rPr>
                <w:sz w:val="18"/>
              </w:rPr>
              <w:t>0</w:t>
            </w:r>
          </w:p>
        </w:tc>
      </w:tr>
    </w:tbl>
    <w:p w14:paraId="19B77523" w14:textId="77777777" w:rsidR="00AF6A11" w:rsidRPr="004D130F" w:rsidRDefault="00AF6A11" w:rsidP="004D130F"/>
    <w:p w14:paraId="2E158985" w14:textId="77777777" w:rsidR="00AF6A11" w:rsidRDefault="0001372C" w:rsidP="00FC7B2C">
      <w:pPr>
        <w:pStyle w:val="Heading3"/>
      </w:pPr>
      <w:bookmarkStart w:id="294" w:name="_Toc371454262"/>
      <w:bookmarkStart w:id="295" w:name="_Toc372300983"/>
      <w:bookmarkStart w:id="296" w:name="_Toc382563922"/>
      <w:bookmarkStart w:id="297" w:name="_Toc382595876"/>
      <w:r>
        <w:t>The</w:t>
      </w:r>
      <w:r w:rsidR="00AF6A11">
        <w:t xml:space="preserve"> decentralisation context</w:t>
      </w:r>
      <w:bookmarkEnd w:id="294"/>
      <w:bookmarkEnd w:id="295"/>
      <w:bookmarkEnd w:id="296"/>
      <w:bookmarkEnd w:id="297"/>
    </w:p>
    <w:p w14:paraId="0B4989F0" w14:textId="77777777" w:rsidR="00AF6A11" w:rsidRDefault="00AF6A11" w:rsidP="00FC7B2C">
      <w:r>
        <w:t xml:space="preserve">Less than half the design documents mentioned the implications of decentralisation laws and policy for service delivery. Among examples of designs that did include such </w:t>
      </w:r>
      <w:r w:rsidR="0001372C">
        <w:t xml:space="preserve">content </w:t>
      </w:r>
      <w:r>
        <w:t>was the Vietnam health resources design: ‘</w:t>
      </w:r>
      <w:r w:rsidRPr="00B9479A">
        <w:rPr>
          <w:i/>
        </w:rPr>
        <w:t xml:space="preserve">Although much of the responsibility for human resource management, including recruitment and distribution of staff, has been decentralised to the </w:t>
      </w:r>
      <w:r>
        <w:rPr>
          <w:i/>
        </w:rPr>
        <w:t>province</w:t>
      </w:r>
      <w:r w:rsidRPr="00B9479A">
        <w:rPr>
          <w:i/>
        </w:rPr>
        <w:t xml:space="preserve"> level, the </w:t>
      </w:r>
      <w:r>
        <w:rPr>
          <w:i/>
        </w:rPr>
        <w:t>provinces</w:t>
      </w:r>
      <w:r w:rsidRPr="00B9479A">
        <w:rPr>
          <w:i/>
        </w:rPr>
        <w:t xml:space="preserve"> require strong support from the national level to address ‘big picture’ human resource issues, such as regulation, production, salaries and allowances, registration and licensing.</w:t>
      </w:r>
      <w:r>
        <w:t>’</w:t>
      </w:r>
      <w:r>
        <w:rPr>
          <w:rStyle w:val="EndnoteReference"/>
        </w:rPr>
        <w:endnoteReference w:id="221"/>
      </w:r>
      <w:r>
        <w:t xml:space="preserve"> Similarly, the transport sector program in PNG acknowledged subnational roles and related challenges: ‘</w:t>
      </w:r>
      <w:r w:rsidRPr="00B9479A">
        <w:rPr>
          <w:i/>
        </w:rPr>
        <w:t>Issues pertaining to the division of roles, responsibilities and funding between national and subnational levels of government (particularly the provinces) also remain to be resolved</w:t>
      </w:r>
      <w:r>
        <w:t>.’</w:t>
      </w:r>
      <w:r>
        <w:rPr>
          <w:rStyle w:val="EndnoteReference"/>
        </w:rPr>
        <w:endnoteReference w:id="222"/>
      </w:r>
      <w:r w:rsidDel="00383FD7">
        <w:t xml:space="preserve"> </w:t>
      </w:r>
    </w:p>
    <w:p w14:paraId="1F3D6EC4" w14:textId="6903DC94" w:rsidR="00AF6A11" w:rsidRDefault="00AF6A11" w:rsidP="00FC7B2C">
      <w:r>
        <w:t>The unevenness of decentralisation processes across different subnational locations</w:t>
      </w:r>
      <w:r w:rsidR="00F27933">
        <w:t xml:space="preserve"> reflects that it</w:t>
      </w:r>
      <w:r>
        <w:t xml:space="preserve"> may not be an important issue for all designs, hence it is reasonable that about half the design documents </w:t>
      </w:r>
      <w:r w:rsidR="00F27933">
        <w:t xml:space="preserve">included </w:t>
      </w:r>
      <w:r w:rsidR="0001372C">
        <w:t>this content</w:t>
      </w:r>
      <w:r>
        <w:t>. Some design documents discussed this issue and its implications for service delivery. For example, the Indonesian education design notes that ‘</w:t>
      </w:r>
      <w:r>
        <w:rPr>
          <w:i/>
        </w:rPr>
        <w:t>u</w:t>
      </w:r>
      <w:r w:rsidRPr="00B9479A">
        <w:rPr>
          <w:i/>
        </w:rPr>
        <w:t>neven subnational governance standards have created an incentive for [the education ministry] to bypass the district in implementing major programs by delivering funds directly to schools.’</w:t>
      </w:r>
      <w:r>
        <w:rPr>
          <w:rStyle w:val="EndnoteReference"/>
          <w:i/>
        </w:rPr>
        <w:endnoteReference w:id="223"/>
      </w:r>
      <w:r w:rsidRPr="00B9479A">
        <w:rPr>
          <w:i/>
        </w:rPr>
        <w:t xml:space="preserve"> </w:t>
      </w:r>
      <w:r>
        <w:t>Other design documents describ</w:t>
      </w:r>
      <w:r w:rsidR="00701B3F">
        <w:t>ed</w:t>
      </w:r>
      <w:r>
        <w:t xml:space="preserve"> variations in administrative capacity between subnational locations and the implications of this for the design. For example, the Indonesian health design mentions ‘</w:t>
      </w:r>
      <w:r w:rsidRPr="00B9479A">
        <w:rPr>
          <w:i/>
        </w:rPr>
        <w:t>the current situation in regards to achievement against target levels varies considerably among the provinces of focus. The program will determine the timeframe for the achievement of the targets for each province (and district), wherever possible, within the target timeframe of the national strategy</w:t>
      </w:r>
      <w:r>
        <w:rPr>
          <w:i/>
        </w:rPr>
        <w:t>.</w:t>
      </w:r>
      <w:r w:rsidRPr="00B9479A">
        <w:rPr>
          <w:i/>
        </w:rPr>
        <w:t>’</w:t>
      </w:r>
      <w:r>
        <w:rPr>
          <w:rStyle w:val="EndnoteReference"/>
          <w:i/>
        </w:rPr>
        <w:endnoteReference w:id="224"/>
      </w:r>
      <w:r>
        <w:t xml:space="preserve"> </w:t>
      </w:r>
    </w:p>
    <w:p w14:paraId="12CF1FFC" w14:textId="77777777" w:rsidR="00AF6A11" w:rsidRDefault="0072237B" w:rsidP="00FC7B2C">
      <w:pPr>
        <w:pStyle w:val="Heading3"/>
      </w:pPr>
      <w:bookmarkStart w:id="298" w:name="_Toc371454263"/>
      <w:bookmarkStart w:id="299" w:name="_Toc372300984"/>
      <w:bookmarkStart w:id="300" w:name="_Toc382563923"/>
      <w:bookmarkStart w:id="301" w:name="_Toc382595877"/>
      <w:r>
        <w:t>S</w:t>
      </w:r>
      <w:r w:rsidR="00AF6A11">
        <w:t>upply side of service delivery at the subnational level</w:t>
      </w:r>
      <w:bookmarkEnd w:id="298"/>
      <w:bookmarkEnd w:id="299"/>
      <w:bookmarkEnd w:id="300"/>
      <w:bookmarkEnd w:id="301"/>
    </w:p>
    <w:p w14:paraId="2F0AC4AA" w14:textId="54320B82" w:rsidR="00AF6A11" w:rsidRDefault="00AF6A11" w:rsidP="00FC7B2C">
      <w:r>
        <w:t xml:space="preserve">The majority of designs contained some </w:t>
      </w:r>
      <w:r w:rsidR="0001372C">
        <w:t>consideration of</w:t>
      </w:r>
      <w:r>
        <w:t xml:space="preserve"> supply-side aspects of service delivery at the subnational level. However, only a few designs had significant content and analysis of this area. Some design documents discussed capacity constraints and how the initiative would respond to them. For example, the Philippines education program for Muslim and indigenous people noted that ‘</w:t>
      </w:r>
      <w:r>
        <w:rPr>
          <w:i/>
        </w:rPr>
        <w:t>t</w:t>
      </w:r>
      <w:r w:rsidRPr="009B3F85">
        <w:rPr>
          <w:i/>
        </w:rPr>
        <w:t>he plan to decentrali</w:t>
      </w:r>
      <w:r>
        <w:rPr>
          <w:i/>
        </w:rPr>
        <w:t>s</w:t>
      </w:r>
      <w:r w:rsidRPr="009B3F85">
        <w:rPr>
          <w:i/>
        </w:rPr>
        <w:t>e the delivery of basic services in the Philippines means that heavy financial burdens and decision</w:t>
      </w:r>
      <w:r>
        <w:rPr>
          <w:i/>
        </w:rPr>
        <w:t>-</w:t>
      </w:r>
      <w:r w:rsidRPr="009B3F85">
        <w:rPr>
          <w:i/>
        </w:rPr>
        <w:t xml:space="preserve">making </w:t>
      </w:r>
      <w:r>
        <w:rPr>
          <w:i/>
        </w:rPr>
        <w:t>now rest with the local government unit</w:t>
      </w:r>
      <w:r w:rsidRPr="009B3F85">
        <w:rPr>
          <w:i/>
        </w:rPr>
        <w:t>s</w:t>
      </w:r>
      <w:r>
        <w:rPr>
          <w:i/>
        </w:rPr>
        <w:t>.</w:t>
      </w:r>
      <w:r>
        <w:t>’</w:t>
      </w:r>
      <w:r>
        <w:rPr>
          <w:rStyle w:val="EndnoteReference"/>
        </w:rPr>
        <w:endnoteReference w:id="225"/>
      </w:r>
      <w:r>
        <w:t xml:space="preserve"> It also noted that ‘</w:t>
      </w:r>
      <w:r>
        <w:rPr>
          <w:i/>
        </w:rPr>
        <w:t>a</w:t>
      </w:r>
      <w:r w:rsidRPr="009B3F85">
        <w:rPr>
          <w:i/>
        </w:rPr>
        <w:t xml:space="preserve"> variety of capacity development initiatives could be supported, including skills training, information sharing and planning workshops, and/or systems review and development ini</w:t>
      </w:r>
      <w:r>
        <w:rPr>
          <w:i/>
        </w:rPr>
        <w:t>tiatives.</w:t>
      </w:r>
      <w:r>
        <w:t>’</w:t>
      </w:r>
      <w:r>
        <w:rPr>
          <w:rStyle w:val="EndnoteReference"/>
        </w:rPr>
        <w:endnoteReference w:id="226"/>
      </w:r>
      <w:r>
        <w:t xml:space="preserve"> Similarly, the Vietnam health human resources program discussed the lack of capacity at the local level: ‘</w:t>
      </w:r>
      <w:r w:rsidRPr="009B3F85">
        <w:rPr>
          <w:i/>
        </w:rPr>
        <w:t>There are insufficient medical specialists, nurses, college-trained pharmacists, public health workers, and specialist managers, particularly for hospitals and in the poor and remote areas with the greatest needs</w:t>
      </w:r>
      <w:r>
        <w:rPr>
          <w:i/>
        </w:rPr>
        <w:t>.</w:t>
      </w:r>
      <w:r>
        <w:t>’</w:t>
      </w:r>
      <w:r>
        <w:rPr>
          <w:rStyle w:val="EndnoteReference"/>
        </w:rPr>
        <w:endnoteReference w:id="227"/>
      </w:r>
      <w:r>
        <w:t xml:space="preserve"> </w:t>
      </w:r>
    </w:p>
    <w:p w14:paraId="4B27777D" w14:textId="77777777" w:rsidR="00AF6A11" w:rsidRDefault="00AF6A11" w:rsidP="00FC7B2C">
      <w:r>
        <w:t xml:space="preserve">Most designs that discuss subnational financial resources noted the lack of resources </w:t>
      </w:r>
      <w:r w:rsidR="0001372C">
        <w:t>for</w:t>
      </w:r>
      <w:r>
        <w:t xml:space="preserve"> service</w:t>
      </w:r>
      <w:r w:rsidR="0001372C">
        <w:t>s</w:t>
      </w:r>
      <w:r>
        <w:t>. For example, the Philippines provincial roads program described ‘</w:t>
      </w:r>
      <w:r w:rsidRPr="00B9479A">
        <w:rPr>
          <w:i/>
        </w:rPr>
        <w:t>the amount of Government of Philippines budget at the national and provincial level to rehabilitate and maintain these roads is extremely limited</w:t>
      </w:r>
      <w:r>
        <w:rPr>
          <w:i/>
        </w:rPr>
        <w:t>.</w:t>
      </w:r>
      <w:r w:rsidRPr="00B9479A">
        <w:rPr>
          <w:i/>
        </w:rPr>
        <w:t>’</w:t>
      </w:r>
      <w:r>
        <w:rPr>
          <w:rStyle w:val="EndnoteReference"/>
          <w:i/>
        </w:rPr>
        <w:endnoteReference w:id="228"/>
      </w:r>
      <w:r>
        <w:t xml:space="preserve"> The Indonesian education program design found that the ‘</w:t>
      </w:r>
      <w:r w:rsidRPr="00B9479A">
        <w:rPr>
          <w:i/>
        </w:rPr>
        <w:t>decentralisation framework and [finance management] system for the education sector needs better alignment of authority, capacity and resources.</w:t>
      </w:r>
      <w:r>
        <w:t>’</w:t>
      </w:r>
      <w:r>
        <w:rPr>
          <w:rStyle w:val="EndnoteReference"/>
        </w:rPr>
        <w:endnoteReference w:id="229"/>
      </w:r>
      <w:r>
        <w:t xml:space="preserve"> and discussed challenges at the district level: ‘</w:t>
      </w:r>
      <w:r w:rsidRPr="00B9479A">
        <w:rPr>
          <w:i/>
        </w:rPr>
        <w:t>80 per cent of funds …</w:t>
      </w:r>
      <w:r>
        <w:rPr>
          <w:i/>
        </w:rPr>
        <w:t xml:space="preserve"> </w:t>
      </w:r>
      <w:r w:rsidRPr="00B9479A">
        <w:rPr>
          <w:i/>
        </w:rPr>
        <w:t>[are] allocated to salaries [resulting in] limited funds for operational funding</w:t>
      </w:r>
      <w:r>
        <w:rPr>
          <w:i/>
        </w:rPr>
        <w:t>.</w:t>
      </w:r>
      <w:r w:rsidRPr="00B9479A">
        <w:rPr>
          <w:i/>
        </w:rPr>
        <w:t>’</w:t>
      </w:r>
      <w:r>
        <w:rPr>
          <w:rStyle w:val="EndnoteReference"/>
          <w:i/>
        </w:rPr>
        <w:endnoteReference w:id="230"/>
      </w:r>
      <w:r>
        <w:t xml:space="preserve"> Designs also mentioned different forms of financing: ‘</w:t>
      </w:r>
      <w:r w:rsidRPr="00B9479A">
        <w:rPr>
          <w:i/>
        </w:rPr>
        <w:t>Hospital financing is currently supply-driven, based primarily on staff levels and numbers of beds, which encourages overuse and inefficiency. The use of per-case payment methods (supported by ‘care pathways’) offers a promising alternative to current payment methods.</w:t>
      </w:r>
      <w:r>
        <w:t>’</w:t>
      </w:r>
      <w:r>
        <w:rPr>
          <w:rStyle w:val="EndnoteReference"/>
        </w:rPr>
        <w:endnoteReference w:id="231"/>
      </w:r>
    </w:p>
    <w:p w14:paraId="441FC60F" w14:textId="034933B3" w:rsidR="00AF6A11" w:rsidRDefault="00AF6A11" w:rsidP="00FC7B2C">
      <w:r>
        <w:t xml:space="preserve">Those designs </w:t>
      </w:r>
      <w:r w:rsidR="0001372C">
        <w:t xml:space="preserve">that </w:t>
      </w:r>
      <w:r>
        <w:t>mention</w:t>
      </w:r>
      <w:r w:rsidR="0001372C">
        <w:t>ed</w:t>
      </w:r>
      <w:r>
        <w:t xml:space="preserve"> financial management at the subnational level </w:t>
      </w:r>
      <w:r w:rsidR="0001372C">
        <w:t xml:space="preserve">mostly </w:t>
      </w:r>
      <w:r>
        <w:t>reported problems in this area. For example, the education program in Mindanao in the Philippines noted that ‘</w:t>
      </w:r>
      <w:r w:rsidRPr="00B9479A">
        <w:rPr>
          <w:i/>
        </w:rPr>
        <w:t>last year, an assessment of the [</w:t>
      </w:r>
      <w:r w:rsidR="00701B3F">
        <w:rPr>
          <w:i/>
        </w:rPr>
        <w:t>D</w:t>
      </w:r>
      <w:r w:rsidRPr="00B9479A">
        <w:rPr>
          <w:i/>
        </w:rPr>
        <w:t xml:space="preserve">epartment of </w:t>
      </w:r>
      <w:r w:rsidR="00701B3F">
        <w:rPr>
          <w:i/>
        </w:rPr>
        <w:t>E</w:t>
      </w:r>
      <w:r w:rsidRPr="00B9479A">
        <w:rPr>
          <w:i/>
        </w:rPr>
        <w:t>ducation’s] financial system indicated inefficiencies and ineffectiveness in the department’s budget allocation and spending as a consequence of poor budget planning, preparation and execution</w:t>
      </w:r>
      <w:r w:rsidRPr="00AE355D">
        <w:t>.</w:t>
      </w:r>
      <w:r>
        <w:t>’</w:t>
      </w:r>
      <w:r>
        <w:rPr>
          <w:rStyle w:val="EndnoteReference"/>
        </w:rPr>
        <w:endnoteReference w:id="232"/>
      </w:r>
      <w:r w:rsidRPr="00AE355D">
        <w:t xml:space="preserve"> </w:t>
      </w:r>
      <w:r>
        <w:t xml:space="preserve">The Solomon Islands health program discussed the need for analysis of financial management at both central and provincial levels: </w:t>
      </w:r>
      <w:r w:rsidRPr="00B9479A">
        <w:rPr>
          <w:i/>
        </w:rPr>
        <w:t>‘As part of efforts to improve budget preparation and execution, the Ministry of Health has requested a functional analysis of the finance team—both in headquarters and in the provinces. This analysis is needed to improve the efficiency of the team</w:t>
      </w:r>
      <w:r>
        <w:rPr>
          <w:i/>
        </w:rPr>
        <w:t>.</w:t>
      </w:r>
      <w:r w:rsidRPr="00B9479A">
        <w:rPr>
          <w:i/>
        </w:rPr>
        <w:t>’</w:t>
      </w:r>
      <w:r>
        <w:rPr>
          <w:rStyle w:val="EndnoteReference"/>
          <w:i/>
        </w:rPr>
        <w:endnoteReference w:id="233"/>
      </w:r>
      <w:r w:rsidRPr="00B9479A">
        <w:rPr>
          <w:i/>
        </w:rPr>
        <w:t xml:space="preserve"> </w:t>
      </w:r>
    </w:p>
    <w:p w14:paraId="29568A1A" w14:textId="56D79366" w:rsidR="00B71F67" w:rsidRDefault="00B71F67" w:rsidP="00397AD9">
      <w:bookmarkStart w:id="302" w:name="_Toc371454264"/>
      <w:bookmarkStart w:id="303" w:name="_Toc372300985"/>
      <w:bookmarkStart w:id="304" w:name="_Toc382563924"/>
      <w:bookmarkStart w:id="305" w:name="_Toc382595878"/>
      <w:r>
        <w:rPr>
          <w:noProof/>
        </w:rPr>
        <w:drawing>
          <wp:inline distT="0" distB="0" distL="0" distR="0" wp14:anchorId="6F78BCD3" wp14:editId="57A101C7">
            <wp:extent cx="5731510" cy="3822279"/>
            <wp:effectExtent l="0" t="0" r="2540" b="6985"/>
            <wp:docPr id="20" name="Picture 20" descr="C:\Users\020106\AppData\Local\Microsoft\Windows\Temporary Internet Files\Content.Outlook\6A51OLQZ\Photo 3 village reps feedback 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0106\AppData\Local\Microsoft\Windows\Temporary Internet Files\Content.Outlook\6A51OLQZ\Photo 3 village reps feedback NTT.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731510" cy="3822279"/>
                    </a:xfrm>
                    <a:prstGeom prst="rect">
                      <a:avLst/>
                    </a:prstGeom>
                    <a:noFill/>
                    <a:ln>
                      <a:noFill/>
                    </a:ln>
                  </pic:spPr>
                </pic:pic>
              </a:graphicData>
            </a:graphic>
          </wp:inline>
        </w:drawing>
      </w:r>
    </w:p>
    <w:p w14:paraId="7F8455BF" w14:textId="2A510650" w:rsidR="00B71F67" w:rsidRDefault="00B71F67" w:rsidP="00397AD9">
      <w:pPr>
        <w:pStyle w:val="Caption"/>
      </w:pPr>
      <w:r>
        <w:t xml:space="preserve">Village facilitators describe the community complaints mechanism </w:t>
      </w:r>
      <w:r w:rsidR="00701B3F">
        <w:t xml:space="preserve">concerning maternal and neonatal health </w:t>
      </w:r>
      <w:r>
        <w:t xml:space="preserve">developed through a DFAT program between communities and the hospital, Timor Tengah Utara, Nusa Tenggara Timur, Indonesia. </w:t>
      </w:r>
      <w:r w:rsidRPr="00397AD9">
        <w:rPr>
          <w:i/>
        </w:rPr>
        <w:t>Photo: DFAT</w:t>
      </w:r>
    </w:p>
    <w:p w14:paraId="11FE0A83" w14:textId="77777777" w:rsidR="00AF6A11" w:rsidRDefault="0001372C" w:rsidP="00FC7B2C">
      <w:pPr>
        <w:pStyle w:val="Heading3"/>
      </w:pPr>
      <w:r>
        <w:t>D</w:t>
      </w:r>
      <w:r w:rsidR="00AF6A11">
        <w:t>emand side of service delivery</w:t>
      </w:r>
      <w:bookmarkEnd w:id="302"/>
      <w:bookmarkEnd w:id="303"/>
      <w:bookmarkEnd w:id="304"/>
      <w:bookmarkEnd w:id="305"/>
    </w:p>
    <w:p w14:paraId="59E60DFE" w14:textId="77777777" w:rsidR="00AF6A11" w:rsidRDefault="00AF6A11" w:rsidP="00FC7B2C">
      <w:r>
        <w:t>Analysis of the demand side of service delivery was generally not a feature of design documents. In around half of the designs it was not mentioned at all. Those designs with strongest mention of civil society involved some use of an NGO implementing partner. Where mechanisms for participation were mentioned, it was in relation to involvement in planning (e.g. in the Philippines’ road program), management (e.g. in community-run schools through an NGO program in Bangladesh) and monitoring (e.g. in an Indonesian rural water supply program and an Indonesian education program). For example, the Bangladesh NGO education design mentions that</w:t>
      </w:r>
      <w:r w:rsidRPr="00F72B06">
        <w:rPr>
          <w:i/>
        </w:rPr>
        <w:t xml:space="preserve"> </w:t>
      </w:r>
      <w:r>
        <w:rPr>
          <w:i/>
        </w:rPr>
        <w:t>‘i</w:t>
      </w:r>
      <w:r w:rsidRPr="00F72B06">
        <w:rPr>
          <w:i/>
        </w:rPr>
        <w:t>t [tripartite cooperation between government, NGO and community] also works to improve the abilities and effectiveness of school management committees and to increase community par</w:t>
      </w:r>
      <w:r>
        <w:rPr>
          <w:i/>
        </w:rPr>
        <w:t>ticipation in primary education</w:t>
      </w:r>
      <w:r w:rsidRPr="00F72B06">
        <w:rPr>
          <w:i/>
        </w:rPr>
        <w:t>.</w:t>
      </w:r>
      <w:r>
        <w:rPr>
          <w:i/>
        </w:rPr>
        <w:t>’</w:t>
      </w:r>
      <w:r>
        <w:rPr>
          <w:rStyle w:val="EndnoteReference"/>
          <w:i/>
        </w:rPr>
        <w:endnoteReference w:id="234"/>
      </w:r>
      <w:r w:rsidRPr="00F72B06">
        <w:rPr>
          <w:b/>
        </w:rPr>
        <w:t xml:space="preserve"> </w:t>
      </w:r>
    </w:p>
    <w:p w14:paraId="69B3B146" w14:textId="77777777" w:rsidR="00AF6A11" w:rsidRDefault="00AF6A11" w:rsidP="00FC7B2C">
      <w:r>
        <w:t>Quality of participation relates to the ability of civil society to self-organise and have a voice. The education program in Mindanao in the Philippines reported that ‘</w:t>
      </w:r>
      <w:r>
        <w:rPr>
          <w:i/>
        </w:rPr>
        <w:t>t</w:t>
      </w:r>
      <w:r w:rsidRPr="00F72B06">
        <w:rPr>
          <w:i/>
        </w:rPr>
        <w:t>he community members will be the strongest ally of the implementing NGOs in ensuring continuity of activities despite the conflict situations. The acceptability of the local NGO and the learning facilitator with the community are vital to the project’s success and will be an important consideration</w:t>
      </w:r>
      <w:r>
        <w:rPr>
          <w:i/>
        </w:rPr>
        <w:t>.</w:t>
      </w:r>
      <w:r>
        <w:t>’</w:t>
      </w:r>
      <w:r>
        <w:rPr>
          <w:rStyle w:val="EndnoteReference"/>
        </w:rPr>
        <w:endnoteReference w:id="235"/>
      </w:r>
      <w:r>
        <w:t xml:space="preserve"> </w:t>
      </w:r>
    </w:p>
    <w:p w14:paraId="2DA4A8C4" w14:textId="77777777" w:rsidR="00AF6A11" w:rsidRPr="005F3805" w:rsidRDefault="00AF6A11" w:rsidP="00B9479A">
      <w:r>
        <w:t>Efforts to increase accountability or transparency of service providers or government were rarely mentioned. Where they were, it was usually in relation to community monitoring of construction or implementation. For example, the Indonesian water supply project mentioned innovative methods to assist community monitoring: ‘</w:t>
      </w:r>
      <w:r w:rsidRPr="00F72B06">
        <w:rPr>
          <w:i/>
        </w:rPr>
        <w:t>An open mobile telephone text line and the project website have encouraged self-monitoring by the community implementation groups and other project stakeholders</w:t>
      </w:r>
      <w:r w:rsidRPr="005F3805">
        <w:t>.</w:t>
      </w:r>
      <w:r>
        <w:t>’</w:t>
      </w:r>
      <w:r>
        <w:rPr>
          <w:rStyle w:val="EndnoteReference"/>
        </w:rPr>
        <w:endnoteReference w:id="236"/>
      </w:r>
      <w:r w:rsidRPr="00B401E1">
        <w:t xml:space="preserve"> </w:t>
      </w:r>
      <w:r>
        <w:t>The education design from Indonesia also discussed the use of forums to assist communities to monitor school construction: ‘</w:t>
      </w:r>
      <w:r w:rsidRPr="00B9479A">
        <w:rPr>
          <w:i/>
        </w:rPr>
        <w:t>H</w:t>
      </w:r>
      <w:r w:rsidRPr="00B401E1">
        <w:rPr>
          <w:i/>
        </w:rPr>
        <w:t>olding forums so village representatives are able to understand the construction procedure and monitor any non-compliant practices</w:t>
      </w:r>
      <w:r>
        <w:rPr>
          <w:i/>
        </w:rPr>
        <w:t>.</w:t>
      </w:r>
      <w:r>
        <w:t>’</w:t>
      </w:r>
      <w:r>
        <w:rPr>
          <w:rStyle w:val="EndnoteReference"/>
        </w:rPr>
        <w:endnoteReference w:id="237"/>
      </w:r>
      <w:r>
        <w:t xml:space="preserve"> </w:t>
      </w:r>
    </w:p>
    <w:p w14:paraId="20EB34FB" w14:textId="77777777" w:rsidR="00AF6A11" w:rsidRPr="0037601B" w:rsidRDefault="00B43D61" w:rsidP="00FC7B2C">
      <w:pPr>
        <w:pStyle w:val="Heading3"/>
      </w:pPr>
      <w:bookmarkStart w:id="306" w:name="_Toc371454265"/>
      <w:bookmarkStart w:id="307" w:name="_Toc372300986"/>
      <w:bookmarkStart w:id="308" w:name="_Toc382563925"/>
      <w:bookmarkStart w:id="309" w:name="_Toc382595879"/>
      <w:r>
        <w:t xml:space="preserve">Aid </w:t>
      </w:r>
      <w:r w:rsidR="00AF6A11">
        <w:t>choices concerning partner engagement and location</w:t>
      </w:r>
      <w:bookmarkEnd w:id="306"/>
      <w:bookmarkEnd w:id="307"/>
      <w:bookmarkEnd w:id="308"/>
      <w:bookmarkEnd w:id="309"/>
    </w:p>
    <w:p w14:paraId="7A5C497C" w14:textId="77777777" w:rsidR="00AF6A11" w:rsidRDefault="00AF6A11" w:rsidP="00FC7B2C">
      <w:r>
        <w:t xml:space="preserve">Design documents were mixed in terms of mentioning a rationale for working from national or subnational levels or both. Almost half of the designs gave some, but limited, explanation of their rationale and a few provided a detailed rationale. The health resources program in Vietnam gave a limited explanation of its rationale. For example, it mentions that </w:t>
      </w:r>
      <w:r w:rsidRPr="00B9479A">
        <w:rPr>
          <w:i/>
        </w:rPr>
        <w:t>‘the project loan supports a set of linked and coordinated actions that are closely aligned with the policy actions and are designed to support their implementation at national and subnational levels</w:t>
      </w:r>
      <w:r>
        <w:t>’ and ‘</w:t>
      </w:r>
      <w:r w:rsidRPr="00B9479A">
        <w:rPr>
          <w:i/>
        </w:rPr>
        <w:t>it will also support the establishment and operation of the health professional registration system at the provincial and national level</w:t>
      </w:r>
      <w:r>
        <w:rPr>
          <w:i/>
        </w:rPr>
        <w:t>.</w:t>
      </w:r>
      <w:r w:rsidRPr="00B9479A">
        <w:rPr>
          <w:i/>
        </w:rPr>
        <w:t>’</w:t>
      </w:r>
      <w:r>
        <w:rPr>
          <w:rStyle w:val="EndnoteReference"/>
        </w:rPr>
        <w:endnoteReference w:id="238"/>
      </w:r>
      <w:r>
        <w:t xml:space="preserve"> </w:t>
      </w:r>
    </w:p>
    <w:p w14:paraId="417C251D" w14:textId="2447C5A9" w:rsidR="00AF6A11" w:rsidRDefault="00AF6A11" w:rsidP="00FC7B2C">
      <w:r>
        <w:t>Where initiatives were targeted to particular subnational locations, design documents did not necessarily present a robust analysis or reasons for their choice of subnational location. For example, the Solomon Islands education program design mentions two subnational locations but gives no details or rationale for their choice.</w:t>
      </w:r>
      <w:r>
        <w:rPr>
          <w:rStyle w:val="EndnoteReference"/>
        </w:rPr>
        <w:endnoteReference w:id="239"/>
      </w:r>
      <w:r w:rsidR="00B74369">
        <w:t xml:space="preserve"> </w:t>
      </w:r>
      <w:r>
        <w:t>There may be cases where subnational location is determined and described in other program documentation.</w:t>
      </w:r>
    </w:p>
    <w:p w14:paraId="52A8A82B" w14:textId="7076ABF3" w:rsidR="00AF6A11" w:rsidRDefault="00701B3F" w:rsidP="00FC7B2C">
      <w:r>
        <w:t>S</w:t>
      </w:r>
      <w:r w:rsidR="00AF6A11">
        <w:t>ome designs did provide explanations, with reasons such as poverty targeting or complementarity (or in some cases alignment) with other Australian aid (or other donor) programs. For example, the Philippines Mindanao education program explains that ‘</w:t>
      </w:r>
      <w:r w:rsidR="00AF6A11" w:rsidRPr="00B9479A">
        <w:rPr>
          <w:i/>
        </w:rPr>
        <w:t xml:space="preserve">there is an urgency to address poverty which is most chronic in </w:t>
      </w:r>
      <w:r w:rsidR="00AF6A11" w:rsidRPr="009E2D93">
        <w:rPr>
          <w:i/>
        </w:rPr>
        <w:t xml:space="preserve">autonomous region </w:t>
      </w:r>
      <w:r w:rsidR="00AF6A11" w:rsidRPr="00B9479A">
        <w:rPr>
          <w:i/>
        </w:rPr>
        <w:t>Mindanao</w:t>
      </w:r>
      <w:r w:rsidR="00AF6A11">
        <w:rPr>
          <w:i/>
        </w:rPr>
        <w:t xml:space="preserve"> </w:t>
      </w:r>
      <w:r w:rsidR="00AF6A11" w:rsidRPr="00B9479A">
        <w:rPr>
          <w:i/>
        </w:rPr>
        <w:t>because it impacts on economic growth, social stability and peace in the region … [the Australian aid program education resource facility] study on conflict and fragile states recommended long</w:t>
      </w:r>
      <w:r w:rsidR="00AF6A11">
        <w:rPr>
          <w:i/>
        </w:rPr>
        <w:t>-term</w:t>
      </w:r>
      <w:r w:rsidR="00AF6A11" w:rsidRPr="00B9479A">
        <w:rPr>
          <w:i/>
        </w:rPr>
        <w:t xml:space="preserve"> reforms to improve the relevance and quality of education and targeting the most vulnerable.</w:t>
      </w:r>
      <w:r w:rsidR="00AF6A11">
        <w:t>’</w:t>
      </w:r>
      <w:r w:rsidR="00AF6A11">
        <w:rPr>
          <w:rStyle w:val="EndnoteReference"/>
        </w:rPr>
        <w:endnoteReference w:id="240"/>
      </w:r>
      <w:r w:rsidR="00AF6A11" w:rsidRPr="00B23F2D">
        <w:t xml:space="preserve"> </w:t>
      </w:r>
    </w:p>
    <w:p w14:paraId="2B486346" w14:textId="4EE284D9" w:rsidR="00AF6A11" w:rsidRDefault="00AF6A11" w:rsidP="00FC7B2C">
      <w:r>
        <w:t xml:space="preserve">Most program designs did not provide a justification for their aid modality. In some cases, </w:t>
      </w:r>
      <w:r w:rsidR="00B43D61">
        <w:t xml:space="preserve">there was some </w:t>
      </w:r>
      <w:r>
        <w:t xml:space="preserve">justification. </w:t>
      </w:r>
      <w:r w:rsidR="00B43D61">
        <w:t>These</w:t>
      </w:r>
      <w:r>
        <w:t xml:space="preserve"> include</w:t>
      </w:r>
      <w:r w:rsidR="00B43D61">
        <w:t>d</w:t>
      </w:r>
      <w:r>
        <w:t xml:space="preserve"> quantum of funding (Vietnam health resources design), the cost-effectiveness of the chosen approach (the Philippines education program in Mindanao), and use of direct budget support (Vietnam health delivery program in Vietnam, but through use of a project management unit). Some initiatives at the subnational level justified the use of a managing contractor as implementing partner </w:t>
      </w:r>
      <w:r w:rsidR="00701B3F">
        <w:t>because</w:t>
      </w:r>
      <w:r>
        <w:t xml:space="preserve"> this approach allows use of government systems. For example, the health program in Indonesia notes that</w:t>
      </w:r>
      <w:r w:rsidRPr="0010054A">
        <w:t xml:space="preserve"> </w:t>
      </w:r>
      <w:r w:rsidRPr="00B9479A">
        <w:rPr>
          <w:i/>
        </w:rPr>
        <w:t xml:space="preserve">‘the program mode of delivery uses government systems, and has the potential to achieve sustainable improvements in those systems. This approach is also consistent with the decentralisation of GoI </w:t>
      </w:r>
      <w:r w:rsidR="00636F11">
        <w:rPr>
          <w:i/>
        </w:rPr>
        <w:t xml:space="preserve">[Indonesian Government] </w:t>
      </w:r>
      <w:r w:rsidRPr="00B9479A">
        <w:rPr>
          <w:i/>
        </w:rPr>
        <w:t>and with AusAID policy and the Paris Declaration on harmoni</w:t>
      </w:r>
      <w:r>
        <w:rPr>
          <w:i/>
        </w:rPr>
        <w:t>sation</w:t>
      </w:r>
      <w:r w:rsidRPr="00B9479A">
        <w:rPr>
          <w:i/>
        </w:rPr>
        <w:t xml:space="preserve"> among donors.</w:t>
      </w:r>
      <w:r>
        <w:t>’</w:t>
      </w:r>
      <w:r>
        <w:rPr>
          <w:rStyle w:val="EndnoteReference"/>
        </w:rPr>
        <w:endnoteReference w:id="241"/>
      </w:r>
      <w:r>
        <w:t xml:space="preserve"> </w:t>
      </w:r>
    </w:p>
    <w:p w14:paraId="13152C41" w14:textId="77777777" w:rsidR="00AF6A11" w:rsidRDefault="00AF6A11" w:rsidP="00FC7B2C">
      <w:r>
        <w:t>An example of a design that gave detailed justification of its ‘facility’ modality was the Philippines provincial roads program. This design notes that ‘</w:t>
      </w:r>
      <w:r>
        <w:rPr>
          <w:i/>
        </w:rPr>
        <w:t>t</w:t>
      </w:r>
      <w:r w:rsidRPr="00CD7050">
        <w:rPr>
          <w:i/>
        </w:rPr>
        <w:t>he design team designates the PRMF as a facility that requires the development of both project and program management skills at the provincial level</w:t>
      </w:r>
      <w:r w:rsidRPr="00CD7050">
        <w:t>.</w:t>
      </w:r>
      <w:r>
        <w:t>’</w:t>
      </w:r>
      <w:r>
        <w:rPr>
          <w:rStyle w:val="EndnoteReference"/>
        </w:rPr>
        <w:endnoteReference w:id="242"/>
      </w:r>
      <w:r>
        <w:t xml:space="preserve"> The design also provides a detailed explanation for why a facility modality will address the required needs at the subnational level. The health design in Bangladesh also discusses their chosen approach in relation to decentralisation dynamics: ‘</w:t>
      </w:r>
      <w:r w:rsidRPr="0010054A">
        <w:rPr>
          <w:i/>
        </w:rPr>
        <w:t>Furthermore, active pursuit of decentralisation by the current government aims at a more efficient and appropriate use of resources.</w:t>
      </w:r>
      <w:r>
        <w:rPr>
          <w:i/>
        </w:rPr>
        <w:t xml:space="preserve"> </w:t>
      </w:r>
      <w:r w:rsidRPr="0010054A">
        <w:rPr>
          <w:i/>
        </w:rPr>
        <w:t xml:space="preserve">Connecting the lines between commitment, decentralisation and systems development, </w:t>
      </w:r>
      <w:r w:rsidR="00B43D61">
        <w:rPr>
          <w:i/>
        </w:rPr>
        <w:t>[Australia]</w:t>
      </w:r>
      <w:r w:rsidR="00B43D61" w:rsidRPr="0010054A">
        <w:rPr>
          <w:i/>
        </w:rPr>
        <w:t xml:space="preserve"> </w:t>
      </w:r>
      <w:r w:rsidRPr="0010054A">
        <w:rPr>
          <w:i/>
        </w:rPr>
        <w:t>is conside</w:t>
      </w:r>
      <w:r>
        <w:rPr>
          <w:i/>
        </w:rPr>
        <w:t>ring pooling funds with other development partner</w:t>
      </w:r>
      <w:r w:rsidRPr="0010054A">
        <w:rPr>
          <w:i/>
        </w:rPr>
        <w:t xml:space="preserve">s for the </w:t>
      </w:r>
      <w:r>
        <w:rPr>
          <w:i/>
        </w:rPr>
        <w:t>[program]</w:t>
      </w:r>
      <w:r w:rsidRPr="0010054A">
        <w:rPr>
          <w:i/>
        </w:rPr>
        <w:t>.</w:t>
      </w:r>
      <w:r>
        <w:t>’</w:t>
      </w:r>
      <w:r>
        <w:rPr>
          <w:rStyle w:val="EndnoteReference"/>
        </w:rPr>
        <w:endnoteReference w:id="243"/>
      </w:r>
      <w:r>
        <w:t xml:space="preserve"> </w:t>
      </w:r>
    </w:p>
    <w:p w14:paraId="2E4F7974" w14:textId="77777777" w:rsidR="00AF6A11" w:rsidRDefault="00B43D61" w:rsidP="00FC7B2C">
      <w:pPr>
        <w:pStyle w:val="Heading3"/>
      </w:pPr>
      <w:bookmarkStart w:id="310" w:name="_Toc371454266"/>
      <w:bookmarkStart w:id="311" w:name="_Toc372300987"/>
      <w:bookmarkStart w:id="312" w:name="_Toc382563926"/>
      <w:bookmarkStart w:id="313" w:name="_Toc382595880"/>
      <w:r>
        <w:t>E</w:t>
      </w:r>
      <w:r w:rsidR="00AF6A11">
        <w:t>quity in service delivery</w:t>
      </w:r>
      <w:bookmarkEnd w:id="310"/>
      <w:bookmarkEnd w:id="311"/>
      <w:bookmarkEnd w:id="312"/>
      <w:bookmarkEnd w:id="313"/>
    </w:p>
    <w:p w14:paraId="39F327B0" w14:textId="77777777" w:rsidR="00AF6A11" w:rsidRDefault="00AF6A11" w:rsidP="00FC7B2C">
      <w:r>
        <w:t>T</w:t>
      </w:r>
      <w:r w:rsidRPr="002352B1">
        <w:t xml:space="preserve">he majority of design documents </w:t>
      </w:r>
      <w:r w:rsidR="00B43D61">
        <w:t>included some</w:t>
      </w:r>
      <w:r w:rsidRPr="002352B1">
        <w:t xml:space="preserve"> mention of </w:t>
      </w:r>
      <w:r>
        <w:t xml:space="preserve">the </w:t>
      </w:r>
      <w:r w:rsidRPr="002352B1">
        <w:t>participation of marginalised and vulnerable groups in planning, management or monitoring service delivery</w:t>
      </w:r>
      <w:r>
        <w:t xml:space="preserve">. </w:t>
      </w:r>
      <w:r w:rsidRPr="002352B1">
        <w:t>Often</w:t>
      </w:r>
      <w:r>
        <w:t>,</w:t>
      </w:r>
      <w:r w:rsidRPr="002352B1">
        <w:t xml:space="preserve"> design documents included broad</w:t>
      </w:r>
      <w:r>
        <w:t>-</w:t>
      </w:r>
      <w:r w:rsidRPr="002352B1">
        <w:t xml:space="preserve">brush statements about adhering to gender policy directions </w:t>
      </w:r>
      <w:r>
        <w:t>or about access of certain groups to different services, but without consideration of their</w:t>
      </w:r>
      <w:r w:rsidRPr="002352B1">
        <w:rPr>
          <w:i/>
        </w:rPr>
        <w:t xml:space="preserve"> </w:t>
      </w:r>
      <w:r w:rsidRPr="00B9479A">
        <w:t>influence</w:t>
      </w:r>
      <w:r>
        <w:t xml:space="preserve"> on service delivery</w:t>
      </w:r>
      <w:r w:rsidRPr="002352B1">
        <w:t>. Some designs did consider</w:t>
      </w:r>
      <w:r>
        <w:t xml:space="preserve"> </w:t>
      </w:r>
      <w:r w:rsidRPr="002352B1">
        <w:t>this issue</w:t>
      </w:r>
      <w:r>
        <w:t>, though the examples relate mostly to women as a vulnerable group rather than other vulnerable groups (e.g. people with a disability). For example, the</w:t>
      </w:r>
      <w:r w:rsidRPr="002352B1">
        <w:t xml:space="preserve"> Philippines roads program mentions</w:t>
      </w:r>
      <w:r>
        <w:t xml:space="preserve"> that</w:t>
      </w:r>
      <w:r>
        <w:rPr>
          <w:b/>
        </w:rPr>
        <w:t xml:space="preserve"> </w:t>
      </w:r>
      <w:r>
        <w:t>‘</w:t>
      </w:r>
      <w:r w:rsidRPr="002352B1">
        <w:rPr>
          <w:i/>
        </w:rPr>
        <w:t>the involvement of the community in the priority setting planning process is apt to result in different results if there is a conscious effort to include women in planning the activity</w:t>
      </w:r>
      <w:r>
        <w:rPr>
          <w:i/>
        </w:rPr>
        <w:t>.</w:t>
      </w:r>
      <w:r>
        <w:t>’</w:t>
      </w:r>
      <w:r>
        <w:rPr>
          <w:rStyle w:val="EndnoteReference"/>
        </w:rPr>
        <w:endnoteReference w:id="244"/>
      </w:r>
      <w:r w:rsidRPr="0010054A">
        <w:t xml:space="preserve"> </w:t>
      </w:r>
    </w:p>
    <w:p w14:paraId="40466EE4" w14:textId="77777777" w:rsidR="00B17CEE" w:rsidRDefault="00AF6A11" w:rsidP="00FC7B2C">
      <w:r>
        <w:t>A few designs provided detailed strategies to ensure the involvement of all groups and address gender equity concerns in service provision. For example, an education program for Muslim and indigenous people in the Philippines notes that ‘</w:t>
      </w:r>
      <w:r>
        <w:rPr>
          <w:i/>
        </w:rPr>
        <w:t>t</w:t>
      </w:r>
      <w:r w:rsidRPr="002352B1">
        <w:rPr>
          <w:i/>
        </w:rPr>
        <w:t>he Program design has a specific focus on ensuring equity. Gender and disability awareness must go well beyond simply detailing data. Specific program activities will be designed to meet and remove obstacles to a universally inclusive education</w:t>
      </w:r>
      <w:r>
        <w:t>.’</w:t>
      </w:r>
      <w:r>
        <w:rPr>
          <w:rStyle w:val="EndnoteReference"/>
        </w:rPr>
        <w:endnoteReference w:id="245"/>
      </w:r>
      <w:r>
        <w:t xml:space="preserve"> Further, this design provides concrete strategies for involving minority groups.</w:t>
      </w:r>
      <w:r w:rsidR="00B17CEE">
        <w:rPr>
          <w:rStyle w:val="FootnoteReference"/>
        </w:rPr>
        <w:footnoteReference w:id="35"/>
      </w:r>
    </w:p>
    <w:p w14:paraId="69190681" w14:textId="77777777" w:rsidR="00AF6A11" w:rsidRDefault="00AF6A11" w:rsidP="00FC7B2C">
      <w:r>
        <w:t>The majority of designs at least touched on specific equity outcomes. For example, the Vietnamese health program notes that ‘</w:t>
      </w:r>
      <w:r>
        <w:rPr>
          <w:i/>
        </w:rPr>
        <w:t>w</w:t>
      </w:r>
      <w:r w:rsidRPr="007E1710">
        <w:rPr>
          <w:i/>
        </w:rPr>
        <w:t>omen and adolescent girls in poor, remote, and ethnic minority communities are particularly affected by the limited access to quality health services. Design measures are included to promote improved access and equity, and targets are set for training of female health workers and provision of scholarships in all training progra</w:t>
      </w:r>
      <w:r>
        <w:rPr>
          <w:i/>
        </w:rPr>
        <w:t>ms.</w:t>
      </w:r>
      <w:r>
        <w:t>’</w:t>
      </w:r>
      <w:r>
        <w:rPr>
          <w:rStyle w:val="EndnoteReference"/>
        </w:rPr>
        <w:endnoteReference w:id="246"/>
      </w:r>
      <w:r>
        <w:t xml:space="preserve"> </w:t>
      </w:r>
    </w:p>
    <w:p w14:paraId="001B6F5D" w14:textId="77777777" w:rsidR="00AF6A11" w:rsidRPr="0010054A" w:rsidRDefault="00AF6A11" w:rsidP="00FC7B2C">
      <w:r>
        <w:t>The area for which there was least consideration was how the subnational role of government might influence equity outcomes. Most designs made no mention of this area. The provincial roads program in the Philippines does mention this issue, and describes the importance of good governance to achieve equitable outcomes: ‘</w:t>
      </w:r>
      <w:r w:rsidRPr="007E1710">
        <w:rPr>
          <w:i/>
        </w:rPr>
        <w:t>Goo</w:t>
      </w:r>
      <w:r>
        <w:rPr>
          <w:i/>
        </w:rPr>
        <w:t>d governance is also part of [the initiative]</w:t>
      </w:r>
      <w:r w:rsidRPr="007E1710">
        <w:rPr>
          <w:i/>
        </w:rPr>
        <w:t>. It embodies the principles of participation, transparency, and accountability which must be applied by executive planners and decision-makers throughout each stage of the project cycle if there is to be equitable and sustainable development</w:t>
      </w:r>
      <w:r>
        <w:rPr>
          <w:i/>
        </w:rPr>
        <w:t>.</w:t>
      </w:r>
      <w:r>
        <w:t>’</w:t>
      </w:r>
      <w:r>
        <w:rPr>
          <w:rStyle w:val="EndnoteReference"/>
        </w:rPr>
        <w:endnoteReference w:id="247"/>
      </w:r>
      <w:r>
        <w:t xml:space="preserve"> The water and sanitation design in Indonesia mentioned efforts to ensure government officers are gender aware: ‘</w:t>
      </w:r>
      <w:r w:rsidRPr="007E1710">
        <w:rPr>
          <w:i/>
        </w:rPr>
        <w:t>Efforts will be made to ensure that equal opportunity is given to both women and men and the disabled to participate in capacity</w:t>
      </w:r>
      <w:r>
        <w:rPr>
          <w:i/>
        </w:rPr>
        <w:t>-</w:t>
      </w:r>
      <w:r w:rsidRPr="007E1710">
        <w:rPr>
          <w:i/>
        </w:rPr>
        <w:t>building activities</w:t>
      </w:r>
      <w:r>
        <w:rPr>
          <w:i/>
        </w:rPr>
        <w:t xml:space="preserve"> </w:t>
      </w:r>
      <w:r w:rsidRPr="007E1710">
        <w:rPr>
          <w:i/>
        </w:rPr>
        <w:t>... ensuring that government officers are gender aware in their interface with the community and that women and men in the community, including those from minority and disadvantaged groups, are given equal opportunity to engage in activities</w:t>
      </w:r>
      <w:r>
        <w:rPr>
          <w:i/>
        </w:rPr>
        <w:t>.</w:t>
      </w:r>
      <w:r>
        <w:t>’</w:t>
      </w:r>
      <w:r>
        <w:rPr>
          <w:rStyle w:val="EndnoteReference"/>
        </w:rPr>
        <w:endnoteReference w:id="248"/>
      </w:r>
      <w:r>
        <w:t xml:space="preserve"> </w:t>
      </w:r>
    </w:p>
    <w:p w14:paraId="378BF6DC" w14:textId="77777777" w:rsidR="00AF6A11" w:rsidRDefault="00AF6A11" w:rsidP="00FC7B2C">
      <w:pPr>
        <w:pStyle w:val="Heading3"/>
      </w:pPr>
      <w:bookmarkStart w:id="314" w:name="_Toc371454267"/>
      <w:bookmarkStart w:id="315" w:name="_Toc372300988"/>
      <w:bookmarkStart w:id="316" w:name="_Toc382563927"/>
      <w:bookmarkStart w:id="317" w:name="_Toc382595881"/>
      <w:r>
        <w:t>Coherence within aid programming and with decentralisation processes</w:t>
      </w:r>
      <w:bookmarkEnd w:id="314"/>
      <w:bookmarkEnd w:id="315"/>
      <w:bookmarkEnd w:id="316"/>
      <w:bookmarkEnd w:id="317"/>
      <w:r>
        <w:t xml:space="preserve"> </w:t>
      </w:r>
    </w:p>
    <w:p w14:paraId="0F8A38FB" w14:textId="77777777" w:rsidR="00AF6A11" w:rsidRPr="00904F58" w:rsidRDefault="00B43D61" w:rsidP="00FC7B2C">
      <w:r>
        <w:t xml:space="preserve">The majority of designs demonstrated broad alignment with the direction of decentralisation in the relevant country and sector, and no initiatives were working in a contrary direction. In </w:t>
      </w:r>
      <w:r w:rsidR="00AF6A11">
        <w:t>general, designs did not make mention of their relationship to any governance initiatives with which the initiative might usefully intersect. Exceptions included the PNG transport program, which strongly mentioned the subnational strategy and sought to ensure alignment to this broader effort at governance reform, though it later narrowed its focus to national roads and hence this was not followed through. An Indonesian education program also presents a table with related governance efforts, though it does not discuss how links might be made.</w:t>
      </w:r>
    </w:p>
    <w:p w14:paraId="44B8BBFE" w14:textId="77777777" w:rsidR="00AF6A11" w:rsidRDefault="00AF6A11" w:rsidP="00FC7B2C">
      <w:pPr>
        <w:pStyle w:val="Heading2"/>
        <w:numPr>
          <w:ilvl w:val="1"/>
          <w:numId w:val="0"/>
        </w:numPr>
        <w:spacing w:before="360" w:after="240" w:line="288" w:lineRule="auto"/>
      </w:pPr>
      <w:bookmarkStart w:id="318" w:name="_Toc371454268"/>
      <w:bookmarkStart w:id="319" w:name="_Toc382563928"/>
      <w:bookmarkStart w:id="320" w:name="_Toc382595882"/>
      <w:bookmarkStart w:id="321" w:name="_Toc408831790"/>
      <w:r>
        <w:t>5.2</w:t>
      </w:r>
      <w:r>
        <w:tab/>
        <w:t>Evidence of analysis of decentralisation in sector evaluations</w:t>
      </w:r>
      <w:bookmarkEnd w:id="318"/>
      <w:bookmarkEnd w:id="319"/>
      <w:bookmarkEnd w:id="320"/>
      <w:bookmarkEnd w:id="321"/>
    </w:p>
    <w:p w14:paraId="7E10CBB2" w14:textId="77777777" w:rsidR="00AF6A11" w:rsidRDefault="0023001A" w:rsidP="00FC7B2C">
      <w:r>
        <w:t>Ten</w:t>
      </w:r>
      <w:r w:rsidR="00B43D61">
        <w:t xml:space="preserve"> evaluation</w:t>
      </w:r>
      <w:r w:rsidR="00B43D61" w:rsidRPr="00EF72DE">
        <w:t xml:space="preserve"> documents </w:t>
      </w:r>
      <w:r w:rsidR="00B43D61">
        <w:t xml:space="preserve">were </w:t>
      </w:r>
      <w:r w:rsidR="00B43D61" w:rsidRPr="00EF72DE">
        <w:t>source</w:t>
      </w:r>
      <w:r w:rsidR="00B43D61">
        <w:t>d</w:t>
      </w:r>
      <w:r w:rsidR="00B43D61" w:rsidRPr="00EF72DE">
        <w:t xml:space="preserve"> from the six </w:t>
      </w:r>
      <w:r w:rsidR="00B43D61">
        <w:t>countries based on the same criteria mentioned earlier for designs. See Appendix 3 for details of initiatives. These</w:t>
      </w:r>
      <w:r w:rsidR="00AF6A11">
        <w:t xml:space="preserve"> </w:t>
      </w:r>
      <w:r w:rsidR="00695807">
        <w:t xml:space="preserve">were </w:t>
      </w:r>
      <w:r w:rsidR="00AF6A11">
        <w:t xml:space="preserve">reviewed to examine content related to the decentralisation context and service delivery implications for both the supply and demand sides. </w:t>
      </w:r>
    </w:p>
    <w:p w14:paraId="6563765B" w14:textId="57401FD0" w:rsidR="00AF6A11" w:rsidRDefault="00695807" w:rsidP="00FC7B2C">
      <w:r>
        <w:t>E</w:t>
      </w:r>
      <w:r w:rsidR="00AF6A11">
        <w:t xml:space="preserve">valuation documents </w:t>
      </w:r>
      <w:r>
        <w:t xml:space="preserve">had </w:t>
      </w:r>
      <w:r w:rsidR="00AF6A11">
        <w:t xml:space="preserve">variable </w:t>
      </w:r>
      <w:r>
        <w:t>amounts of</w:t>
      </w:r>
      <w:r w:rsidR="00AF6A11">
        <w:t xml:space="preserve"> evidence and analysis of decentralisation processes and the role of subnational government. In general, the evaluations were judged to be slightly better than designs in relation to their content and analysis concerning the supply side of service delivery and subnational roles (Table </w:t>
      </w:r>
      <w:r w:rsidR="003B5F1B">
        <w:t>4</w:t>
      </w:r>
      <w:r w:rsidR="00AF6A11">
        <w:t xml:space="preserve">). In general, evaluation methodologies allowed for some subnational engagement, but more could be done to ensure that evaluations include a stronger subnational perspective (through secondary data from monitoring or field engagement). </w:t>
      </w:r>
    </w:p>
    <w:p w14:paraId="33C0634A" w14:textId="77777777" w:rsidR="00AF6A11" w:rsidRDefault="00AF6A11" w:rsidP="00FC7B2C">
      <w:r>
        <w:t>The</w:t>
      </w:r>
      <w:r w:rsidR="00695807">
        <w:t xml:space="preserve"> kinds of </w:t>
      </w:r>
      <w:r>
        <w:t xml:space="preserve">differences across </w:t>
      </w:r>
      <w:r w:rsidR="00695807">
        <w:t xml:space="preserve">the six </w:t>
      </w:r>
      <w:r>
        <w:t xml:space="preserve">countries </w:t>
      </w:r>
      <w:r w:rsidR="00695807">
        <w:t>did not follow the same</w:t>
      </w:r>
      <w:r>
        <w:t xml:space="preserve"> pattern as </w:t>
      </w:r>
      <w:r w:rsidR="00695807">
        <w:t>the</w:t>
      </w:r>
      <w:r>
        <w:t xml:space="preserve"> designs. Evaluations from Indonesia and the Philippines had the greatest content concerning decentralisation and service delivery. Following these were evaluations from the Solomon Islands, and those from Vietnam and Bangladesh had much less such content. The three sectors did not show any major differences.</w:t>
      </w:r>
    </w:p>
    <w:p w14:paraId="3BD2A252" w14:textId="77777777" w:rsidR="00F33C82" w:rsidRDefault="00F33C82" w:rsidP="00F33C82">
      <w:pPr>
        <w:pStyle w:val="Heading3"/>
      </w:pPr>
      <w:bookmarkStart w:id="322" w:name="_Toc371454269"/>
      <w:bookmarkStart w:id="323" w:name="_Toc372300990"/>
      <w:bookmarkStart w:id="324" w:name="_Toc382563929"/>
      <w:bookmarkStart w:id="325" w:name="_Toc382595883"/>
      <w:r>
        <w:t>Analysis and learning concerning decentralised context</w:t>
      </w:r>
      <w:bookmarkEnd w:id="322"/>
      <w:bookmarkEnd w:id="323"/>
      <w:bookmarkEnd w:id="324"/>
      <w:bookmarkEnd w:id="325"/>
    </w:p>
    <w:p w14:paraId="1AA9FA09" w14:textId="77777777" w:rsidR="00F33C82" w:rsidRDefault="00F33C82" w:rsidP="00F33C82">
      <w:r>
        <w:t>Evaluations made little mention of the implications of</w:t>
      </w:r>
      <w:r w:rsidRPr="00C04E11">
        <w:t xml:space="preserve"> </w:t>
      </w:r>
      <w:r w:rsidRPr="00B9479A">
        <w:t>decentralisation laws and policy</w:t>
      </w:r>
      <w:r w:rsidRPr="00E07C4F">
        <w:t xml:space="preserve"> for service delivery</w:t>
      </w:r>
      <w:r>
        <w:t xml:space="preserve"> or of u</w:t>
      </w:r>
      <w:r w:rsidRPr="00E07C4F">
        <w:t>nevenness in the decentralisation process (across different subnational locations)</w:t>
      </w:r>
      <w:r>
        <w:t>.</w:t>
      </w:r>
    </w:p>
    <w:p w14:paraId="05E9E15F" w14:textId="77777777" w:rsidR="00F33C82" w:rsidRDefault="00F33C82" w:rsidP="00F33C82">
      <w:r>
        <w:t xml:space="preserve">The analysis of </w:t>
      </w:r>
      <w:r w:rsidRPr="00261C09">
        <w:rPr>
          <w:b/>
        </w:rPr>
        <w:t>supply-side</w:t>
      </w:r>
      <w:r>
        <w:t xml:space="preserve"> service delivery issues at the subnational level were better covered in evaluations than in designs. Close to half the evaluations contained significant content on subnational capacity and on challenges faced at subnational level. Several evaluations included detailed discussions of institutional capacity at local, provincial (or regional) and national levels and particular strengths and weaknesses that needed to be addressed. For example, the evaluation of an education program in east Indonesia notes that ‘</w:t>
      </w:r>
      <w:r>
        <w:rPr>
          <w:i/>
        </w:rPr>
        <w:t>f</w:t>
      </w:r>
      <w:r w:rsidRPr="00261C09">
        <w:rPr>
          <w:i/>
        </w:rPr>
        <w:t>ield visits support the conclusion that: Any interventions that involve development at a school level should also include interaction and provision of capacity building to key personnel at the district level. Districts occupy a pivotal position between national policy makers, the provinces and service deliverers</w:t>
      </w:r>
      <w:r>
        <w:rPr>
          <w:i/>
        </w:rPr>
        <w:t>.</w:t>
      </w:r>
      <w:r>
        <w:t>’</w:t>
      </w:r>
      <w:r>
        <w:rPr>
          <w:rStyle w:val="EndnoteReference"/>
        </w:rPr>
        <w:endnoteReference w:id="249"/>
      </w:r>
      <w:r>
        <w:t xml:space="preserve"> Similarly, evaluation of a large-scale water and sanitation service delivery program in Indonesia critiques the initiative for ‘</w:t>
      </w:r>
      <w:r>
        <w:rPr>
          <w:i/>
        </w:rPr>
        <w:t>l</w:t>
      </w:r>
      <w:r w:rsidRPr="00261C09">
        <w:rPr>
          <w:i/>
        </w:rPr>
        <w:t>ack of sufficient support in building capacity of subnational agencies responsible for service delivery and sector monitoring</w:t>
      </w:r>
      <w:r>
        <w:rPr>
          <w:i/>
        </w:rPr>
        <w:t>.</w:t>
      </w:r>
      <w:r>
        <w:t>’</w:t>
      </w:r>
      <w:r>
        <w:rPr>
          <w:rStyle w:val="EndnoteReference"/>
        </w:rPr>
        <w:endnoteReference w:id="250"/>
      </w:r>
      <w:r>
        <w:t xml:space="preserve"> </w:t>
      </w:r>
    </w:p>
    <w:p w14:paraId="6E4A84B9" w14:textId="77777777" w:rsidR="00F33C82" w:rsidRDefault="00F33C82" w:rsidP="00FC7B2C"/>
    <w:p w14:paraId="76ADECBD" w14:textId="00187ACC" w:rsidR="00AF6A11" w:rsidRDefault="00AF6A11" w:rsidP="00FC7B2C">
      <w:pPr>
        <w:pStyle w:val="TableName"/>
      </w:pPr>
      <w:bookmarkStart w:id="326" w:name="_Ref371624152"/>
      <w:r>
        <w:t xml:space="preserve">Table </w:t>
      </w:r>
      <w:bookmarkEnd w:id="326"/>
      <w:r w:rsidR="003B5F1B">
        <w:t>4</w:t>
      </w:r>
      <w:r>
        <w:tab/>
        <w:t>Evidence of analysis and learning, equity and coherence in evaluations</w:t>
      </w:r>
    </w:p>
    <w:tbl>
      <w:tblPr>
        <w:tblStyle w:val="TableGrid"/>
        <w:tblW w:w="0" w:type="auto"/>
        <w:tblLook w:val="04A0" w:firstRow="1" w:lastRow="0" w:firstColumn="1" w:lastColumn="0" w:noHBand="0" w:noVBand="1"/>
      </w:tblPr>
      <w:tblGrid>
        <w:gridCol w:w="1461"/>
        <w:gridCol w:w="3750"/>
        <w:gridCol w:w="1343"/>
        <w:gridCol w:w="1344"/>
        <w:gridCol w:w="1344"/>
      </w:tblGrid>
      <w:tr w:rsidR="00AF6A11" w:rsidRPr="00EF6BCF" w14:paraId="00E782CA" w14:textId="77777777" w:rsidTr="00B9479A">
        <w:trPr>
          <w:cnfStyle w:val="100000000000" w:firstRow="1" w:lastRow="0" w:firstColumn="0" w:lastColumn="0" w:oddVBand="0" w:evenVBand="0" w:oddHBand="0" w:evenHBand="0" w:firstRowFirstColumn="0" w:firstRowLastColumn="0" w:lastRowFirstColumn="0" w:lastRowLastColumn="0"/>
        </w:trPr>
        <w:tc>
          <w:tcPr>
            <w:tcW w:w="1461" w:type="dxa"/>
          </w:tcPr>
          <w:p w14:paraId="09600D38" w14:textId="77777777" w:rsidR="00AF6A11" w:rsidRPr="00A26F74" w:rsidRDefault="00AF6A11" w:rsidP="00FE7D21">
            <w:pPr>
              <w:pStyle w:val="TableHeading"/>
              <w:rPr>
                <w:sz w:val="18"/>
                <w:szCs w:val="18"/>
              </w:rPr>
            </w:pPr>
            <w:r w:rsidRPr="00A26F74">
              <w:rPr>
                <w:sz w:val="18"/>
                <w:szCs w:val="18"/>
              </w:rPr>
              <w:t>Evaluation criteria</w:t>
            </w:r>
          </w:p>
        </w:tc>
        <w:tc>
          <w:tcPr>
            <w:tcW w:w="3750" w:type="dxa"/>
          </w:tcPr>
          <w:p w14:paraId="44E7C8E1" w14:textId="77777777" w:rsidR="00AF6A11" w:rsidRPr="00A26F74" w:rsidRDefault="00AF6A11" w:rsidP="00FE7D21">
            <w:pPr>
              <w:pStyle w:val="TableHeading"/>
              <w:rPr>
                <w:sz w:val="18"/>
                <w:szCs w:val="18"/>
              </w:rPr>
            </w:pPr>
          </w:p>
        </w:tc>
        <w:tc>
          <w:tcPr>
            <w:tcW w:w="1343" w:type="dxa"/>
          </w:tcPr>
          <w:p w14:paraId="0B1227AC" w14:textId="77777777" w:rsidR="00AF6A11" w:rsidRPr="00A26F74" w:rsidRDefault="00AF6A11" w:rsidP="00FE7D21">
            <w:pPr>
              <w:pStyle w:val="TableHeading"/>
              <w:rPr>
                <w:sz w:val="18"/>
                <w:szCs w:val="18"/>
              </w:rPr>
            </w:pPr>
            <w:r w:rsidRPr="00A26F74">
              <w:rPr>
                <w:sz w:val="18"/>
                <w:szCs w:val="18"/>
              </w:rPr>
              <w:t>Absent</w:t>
            </w:r>
          </w:p>
          <w:p w14:paraId="5288B358" w14:textId="7165A89F" w:rsidR="00AF6A11" w:rsidRPr="00A26F74" w:rsidRDefault="00AF6A11" w:rsidP="00701B3F">
            <w:pPr>
              <w:pStyle w:val="TableHeading"/>
              <w:rPr>
                <w:sz w:val="18"/>
                <w:szCs w:val="18"/>
              </w:rPr>
            </w:pPr>
            <w:r w:rsidRPr="00A26F74">
              <w:rPr>
                <w:sz w:val="18"/>
                <w:szCs w:val="18"/>
              </w:rPr>
              <w:t>(n = 14)</w:t>
            </w:r>
          </w:p>
        </w:tc>
        <w:tc>
          <w:tcPr>
            <w:tcW w:w="1344" w:type="dxa"/>
          </w:tcPr>
          <w:p w14:paraId="61552A35" w14:textId="77777777" w:rsidR="00AF6A11" w:rsidRPr="00A26F74" w:rsidRDefault="00AF6A11" w:rsidP="00FE7D21">
            <w:pPr>
              <w:pStyle w:val="TableHeading"/>
              <w:rPr>
                <w:sz w:val="18"/>
                <w:szCs w:val="18"/>
              </w:rPr>
            </w:pPr>
            <w:r w:rsidRPr="00A26F74">
              <w:rPr>
                <w:sz w:val="18"/>
                <w:szCs w:val="18"/>
              </w:rPr>
              <w:t>Some reference</w:t>
            </w:r>
          </w:p>
          <w:p w14:paraId="1B411B08" w14:textId="6402C03D" w:rsidR="00AF6A11" w:rsidRPr="00A26F74" w:rsidRDefault="00AF6A11" w:rsidP="00701B3F">
            <w:pPr>
              <w:pStyle w:val="TableHeading"/>
              <w:rPr>
                <w:sz w:val="18"/>
                <w:szCs w:val="18"/>
              </w:rPr>
            </w:pPr>
            <w:r w:rsidRPr="00A26F74">
              <w:rPr>
                <w:sz w:val="18"/>
                <w:szCs w:val="18"/>
              </w:rPr>
              <w:t>(n = 14)</w:t>
            </w:r>
          </w:p>
        </w:tc>
        <w:tc>
          <w:tcPr>
            <w:tcW w:w="1344" w:type="dxa"/>
          </w:tcPr>
          <w:p w14:paraId="2BB6CB56" w14:textId="77777777" w:rsidR="00AF6A11" w:rsidRPr="00A26F74" w:rsidRDefault="00AF6A11" w:rsidP="00FE7D21">
            <w:pPr>
              <w:pStyle w:val="TableHeading"/>
              <w:rPr>
                <w:sz w:val="18"/>
                <w:szCs w:val="18"/>
              </w:rPr>
            </w:pPr>
            <w:r w:rsidRPr="00A26F74">
              <w:rPr>
                <w:sz w:val="18"/>
                <w:szCs w:val="18"/>
              </w:rPr>
              <w:t>Significant content</w:t>
            </w:r>
          </w:p>
          <w:p w14:paraId="1EA37C62" w14:textId="5895D454" w:rsidR="00AF6A11" w:rsidRPr="00A26F74" w:rsidRDefault="00AF6A11" w:rsidP="00701B3F">
            <w:pPr>
              <w:pStyle w:val="TableHeading"/>
              <w:rPr>
                <w:sz w:val="18"/>
                <w:szCs w:val="18"/>
              </w:rPr>
            </w:pPr>
            <w:r w:rsidRPr="00A26F74">
              <w:rPr>
                <w:sz w:val="18"/>
                <w:szCs w:val="18"/>
              </w:rPr>
              <w:t>(n = 14)</w:t>
            </w:r>
          </w:p>
        </w:tc>
      </w:tr>
      <w:tr w:rsidR="00AF6A11" w:rsidRPr="00FC7B2C" w14:paraId="76CF50D2" w14:textId="77777777" w:rsidTr="00FE7D21">
        <w:tc>
          <w:tcPr>
            <w:tcW w:w="9242" w:type="dxa"/>
            <w:gridSpan w:val="5"/>
          </w:tcPr>
          <w:p w14:paraId="4C9121ED" w14:textId="77777777" w:rsidR="00AF6A11" w:rsidRPr="00FC7B2C" w:rsidRDefault="00AF6A11" w:rsidP="00FE7D21">
            <w:pPr>
              <w:pStyle w:val="TableText"/>
              <w:rPr>
                <w:b/>
              </w:rPr>
            </w:pPr>
            <w:r w:rsidRPr="00FC7B2C">
              <w:rPr>
                <w:b/>
              </w:rPr>
              <w:t>Analysis and learning</w:t>
            </w:r>
          </w:p>
        </w:tc>
      </w:tr>
      <w:tr w:rsidR="00AF6A11" w14:paraId="1BD29185" w14:textId="77777777" w:rsidTr="00B9479A">
        <w:tc>
          <w:tcPr>
            <w:tcW w:w="1461" w:type="dxa"/>
            <w:vMerge w:val="restart"/>
          </w:tcPr>
          <w:p w14:paraId="0A5C77C9" w14:textId="77777777" w:rsidR="00AF6A11" w:rsidRPr="005140F5" w:rsidRDefault="00AF6A11" w:rsidP="00FE7D21">
            <w:pPr>
              <w:pStyle w:val="TableText"/>
              <w:rPr>
                <w:sz w:val="20"/>
              </w:rPr>
            </w:pPr>
            <w:r w:rsidRPr="005140F5">
              <w:t>Decentralisation context</w:t>
            </w:r>
          </w:p>
        </w:tc>
        <w:tc>
          <w:tcPr>
            <w:tcW w:w="3750" w:type="dxa"/>
          </w:tcPr>
          <w:p w14:paraId="186C184A" w14:textId="77777777" w:rsidR="00AF6A11" w:rsidRPr="005140F5" w:rsidRDefault="00AF6A11" w:rsidP="00B9479A">
            <w:pPr>
              <w:pStyle w:val="TableText"/>
              <w:keepNext w:val="0"/>
              <w:spacing w:before="0" w:after="0"/>
            </w:pPr>
            <w:r w:rsidRPr="005140F5">
              <w:t>Implications of decentralisation laws and policy for service delivery</w:t>
            </w:r>
          </w:p>
        </w:tc>
        <w:tc>
          <w:tcPr>
            <w:tcW w:w="1343" w:type="dxa"/>
          </w:tcPr>
          <w:p w14:paraId="05EC8031" w14:textId="77777777" w:rsidR="00AF6A11" w:rsidRPr="005140F5" w:rsidRDefault="00AF6A11" w:rsidP="00FE7D21">
            <w:pPr>
              <w:rPr>
                <w:sz w:val="18"/>
              </w:rPr>
            </w:pPr>
            <w:r w:rsidRPr="005140F5">
              <w:rPr>
                <w:sz w:val="18"/>
              </w:rPr>
              <w:t>7</w:t>
            </w:r>
          </w:p>
        </w:tc>
        <w:tc>
          <w:tcPr>
            <w:tcW w:w="1344" w:type="dxa"/>
          </w:tcPr>
          <w:p w14:paraId="5CFE78D8" w14:textId="77777777" w:rsidR="00AF6A11" w:rsidRPr="005140F5" w:rsidRDefault="00AF6A11" w:rsidP="00FE7D21">
            <w:pPr>
              <w:rPr>
                <w:sz w:val="18"/>
              </w:rPr>
            </w:pPr>
            <w:r w:rsidRPr="005140F5">
              <w:rPr>
                <w:sz w:val="18"/>
              </w:rPr>
              <w:t>3</w:t>
            </w:r>
          </w:p>
        </w:tc>
        <w:tc>
          <w:tcPr>
            <w:tcW w:w="1344" w:type="dxa"/>
          </w:tcPr>
          <w:p w14:paraId="296ED448" w14:textId="77777777" w:rsidR="00AF6A11" w:rsidRPr="005140F5" w:rsidRDefault="00AF6A11" w:rsidP="00FE7D21">
            <w:pPr>
              <w:rPr>
                <w:sz w:val="18"/>
              </w:rPr>
            </w:pPr>
            <w:r w:rsidRPr="005140F5">
              <w:rPr>
                <w:sz w:val="18"/>
              </w:rPr>
              <w:t>1</w:t>
            </w:r>
          </w:p>
        </w:tc>
      </w:tr>
      <w:tr w:rsidR="00AF6A11" w14:paraId="4E5AD904" w14:textId="77777777" w:rsidTr="00B9479A">
        <w:tc>
          <w:tcPr>
            <w:tcW w:w="1461" w:type="dxa"/>
            <w:vMerge/>
          </w:tcPr>
          <w:p w14:paraId="78255A1A" w14:textId="77777777" w:rsidR="00AF6A11" w:rsidRPr="005140F5" w:rsidRDefault="00AF6A11" w:rsidP="00FE7D21">
            <w:pPr>
              <w:pStyle w:val="TableText"/>
              <w:rPr>
                <w:sz w:val="20"/>
              </w:rPr>
            </w:pPr>
          </w:p>
        </w:tc>
        <w:tc>
          <w:tcPr>
            <w:tcW w:w="3750" w:type="dxa"/>
          </w:tcPr>
          <w:p w14:paraId="4BFE9FE4" w14:textId="77777777" w:rsidR="00AF6A11" w:rsidRPr="005140F5" w:rsidRDefault="00AF6A11" w:rsidP="00B9479A">
            <w:pPr>
              <w:pStyle w:val="TableText"/>
              <w:keepNext w:val="0"/>
              <w:spacing w:before="0" w:after="0"/>
            </w:pPr>
            <w:r w:rsidRPr="005140F5">
              <w:t xml:space="preserve">Unevenness in the decentralisation process (across different subnational locations) </w:t>
            </w:r>
          </w:p>
        </w:tc>
        <w:tc>
          <w:tcPr>
            <w:tcW w:w="1343" w:type="dxa"/>
          </w:tcPr>
          <w:p w14:paraId="0248BED4" w14:textId="77777777" w:rsidR="00AF6A11" w:rsidRPr="005140F5" w:rsidRDefault="00AF6A11" w:rsidP="00FE7D21">
            <w:pPr>
              <w:rPr>
                <w:sz w:val="18"/>
              </w:rPr>
            </w:pPr>
            <w:r w:rsidRPr="005140F5">
              <w:rPr>
                <w:sz w:val="18"/>
              </w:rPr>
              <w:t>6</w:t>
            </w:r>
          </w:p>
        </w:tc>
        <w:tc>
          <w:tcPr>
            <w:tcW w:w="1344" w:type="dxa"/>
          </w:tcPr>
          <w:p w14:paraId="3BCD8C0E" w14:textId="77777777" w:rsidR="00AF6A11" w:rsidRPr="005140F5" w:rsidRDefault="00AF6A11" w:rsidP="00FE7D21">
            <w:pPr>
              <w:rPr>
                <w:sz w:val="18"/>
              </w:rPr>
            </w:pPr>
            <w:r w:rsidRPr="005140F5">
              <w:rPr>
                <w:sz w:val="18"/>
              </w:rPr>
              <w:t>4</w:t>
            </w:r>
          </w:p>
        </w:tc>
        <w:tc>
          <w:tcPr>
            <w:tcW w:w="1344" w:type="dxa"/>
          </w:tcPr>
          <w:p w14:paraId="5782C20A" w14:textId="77777777" w:rsidR="00AF6A11" w:rsidRPr="005140F5" w:rsidRDefault="00AF6A11" w:rsidP="00FE7D21">
            <w:pPr>
              <w:rPr>
                <w:sz w:val="18"/>
              </w:rPr>
            </w:pPr>
            <w:r w:rsidRPr="005140F5">
              <w:rPr>
                <w:sz w:val="18"/>
              </w:rPr>
              <w:t>1</w:t>
            </w:r>
          </w:p>
        </w:tc>
      </w:tr>
      <w:tr w:rsidR="00AF6A11" w14:paraId="58ED5E46" w14:textId="77777777" w:rsidTr="00B9479A">
        <w:trPr>
          <w:trHeight w:val="316"/>
        </w:trPr>
        <w:tc>
          <w:tcPr>
            <w:tcW w:w="1461" w:type="dxa"/>
            <w:vMerge w:val="restart"/>
          </w:tcPr>
          <w:p w14:paraId="0E445110" w14:textId="77777777" w:rsidR="00AF6A11" w:rsidRDefault="00AF6A11" w:rsidP="00FE7D21">
            <w:pPr>
              <w:pStyle w:val="TableText"/>
            </w:pPr>
            <w:r w:rsidRPr="005140F5">
              <w:t>Supply</w:t>
            </w:r>
            <w:r>
              <w:t xml:space="preserve"> side</w:t>
            </w:r>
            <w:r w:rsidRPr="005140F5">
              <w:t>/ subnational role</w:t>
            </w:r>
          </w:p>
        </w:tc>
        <w:tc>
          <w:tcPr>
            <w:tcW w:w="3750" w:type="dxa"/>
          </w:tcPr>
          <w:p w14:paraId="6DE687C9" w14:textId="77777777" w:rsidR="00AF6A11" w:rsidRPr="005140F5" w:rsidRDefault="00AF6A11" w:rsidP="00B9479A">
            <w:pPr>
              <w:pStyle w:val="TableText"/>
              <w:keepNext w:val="0"/>
              <w:spacing w:before="0" w:after="0"/>
            </w:pPr>
            <w:r w:rsidRPr="005140F5">
              <w:t>Subnational capacity to undertake their roles</w:t>
            </w:r>
          </w:p>
        </w:tc>
        <w:tc>
          <w:tcPr>
            <w:tcW w:w="1343" w:type="dxa"/>
          </w:tcPr>
          <w:p w14:paraId="3FF413F8" w14:textId="77777777" w:rsidR="00AF6A11" w:rsidRPr="005140F5" w:rsidRDefault="00AF6A11" w:rsidP="00FE7D21">
            <w:pPr>
              <w:rPr>
                <w:sz w:val="18"/>
              </w:rPr>
            </w:pPr>
            <w:r w:rsidRPr="005140F5">
              <w:rPr>
                <w:sz w:val="18"/>
              </w:rPr>
              <w:t>2</w:t>
            </w:r>
          </w:p>
        </w:tc>
        <w:tc>
          <w:tcPr>
            <w:tcW w:w="1344" w:type="dxa"/>
          </w:tcPr>
          <w:p w14:paraId="11AEE4F1" w14:textId="77777777" w:rsidR="00AF6A11" w:rsidRPr="005140F5" w:rsidRDefault="00AF6A11" w:rsidP="00FE7D21">
            <w:pPr>
              <w:rPr>
                <w:sz w:val="18"/>
              </w:rPr>
            </w:pPr>
            <w:r w:rsidRPr="005140F5">
              <w:rPr>
                <w:sz w:val="18"/>
              </w:rPr>
              <w:t>3</w:t>
            </w:r>
          </w:p>
        </w:tc>
        <w:tc>
          <w:tcPr>
            <w:tcW w:w="1344" w:type="dxa"/>
          </w:tcPr>
          <w:p w14:paraId="7D91AED7" w14:textId="77777777" w:rsidR="00AF6A11" w:rsidRPr="005140F5" w:rsidRDefault="00AF6A11" w:rsidP="00FE7D21">
            <w:pPr>
              <w:rPr>
                <w:sz w:val="18"/>
              </w:rPr>
            </w:pPr>
            <w:r w:rsidRPr="005140F5">
              <w:rPr>
                <w:sz w:val="18"/>
              </w:rPr>
              <w:t>6</w:t>
            </w:r>
          </w:p>
        </w:tc>
      </w:tr>
      <w:tr w:rsidR="00AF6A11" w14:paraId="6CBB9FD0" w14:textId="77777777" w:rsidTr="00B9479A">
        <w:tc>
          <w:tcPr>
            <w:tcW w:w="1461" w:type="dxa"/>
            <w:vMerge/>
          </w:tcPr>
          <w:p w14:paraId="25467A20" w14:textId="77777777" w:rsidR="00AF6A11" w:rsidRDefault="00AF6A11" w:rsidP="00FE7D21">
            <w:pPr>
              <w:pStyle w:val="TableText"/>
            </w:pPr>
          </w:p>
        </w:tc>
        <w:tc>
          <w:tcPr>
            <w:tcW w:w="3750" w:type="dxa"/>
          </w:tcPr>
          <w:p w14:paraId="1BC7D72C" w14:textId="77777777" w:rsidR="00AF6A11" w:rsidRPr="005140F5" w:rsidRDefault="00AF6A11" w:rsidP="00B9479A">
            <w:pPr>
              <w:pStyle w:val="TableText"/>
              <w:keepNext w:val="0"/>
              <w:spacing w:before="0" w:after="0"/>
            </w:pPr>
            <w:r w:rsidRPr="005140F5">
              <w:t>Key gaps or challenges at subnational level faced in service delivery</w:t>
            </w:r>
          </w:p>
        </w:tc>
        <w:tc>
          <w:tcPr>
            <w:tcW w:w="1343" w:type="dxa"/>
          </w:tcPr>
          <w:p w14:paraId="5C9679A4" w14:textId="77777777" w:rsidR="00AF6A11" w:rsidRPr="005140F5" w:rsidRDefault="00AF6A11" w:rsidP="00FE7D21">
            <w:pPr>
              <w:rPr>
                <w:sz w:val="18"/>
              </w:rPr>
            </w:pPr>
            <w:r w:rsidRPr="005140F5">
              <w:rPr>
                <w:sz w:val="18"/>
              </w:rPr>
              <w:t>1</w:t>
            </w:r>
          </w:p>
        </w:tc>
        <w:tc>
          <w:tcPr>
            <w:tcW w:w="1344" w:type="dxa"/>
          </w:tcPr>
          <w:p w14:paraId="13C56D6F" w14:textId="77777777" w:rsidR="00AF6A11" w:rsidRPr="005140F5" w:rsidRDefault="00AF6A11" w:rsidP="00FE7D21">
            <w:pPr>
              <w:rPr>
                <w:sz w:val="18"/>
              </w:rPr>
            </w:pPr>
            <w:r w:rsidRPr="005140F5">
              <w:rPr>
                <w:sz w:val="18"/>
              </w:rPr>
              <w:t>5</w:t>
            </w:r>
          </w:p>
        </w:tc>
        <w:tc>
          <w:tcPr>
            <w:tcW w:w="1344" w:type="dxa"/>
          </w:tcPr>
          <w:p w14:paraId="18040189" w14:textId="77777777" w:rsidR="00AF6A11" w:rsidRPr="005140F5" w:rsidRDefault="00AF6A11" w:rsidP="00FE7D21">
            <w:pPr>
              <w:rPr>
                <w:sz w:val="18"/>
              </w:rPr>
            </w:pPr>
            <w:r w:rsidRPr="005140F5">
              <w:rPr>
                <w:sz w:val="18"/>
              </w:rPr>
              <w:t>5</w:t>
            </w:r>
          </w:p>
        </w:tc>
      </w:tr>
      <w:tr w:rsidR="00AF6A11" w14:paraId="1BB00DA6" w14:textId="77777777" w:rsidTr="00B9479A">
        <w:tc>
          <w:tcPr>
            <w:tcW w:w="1461" w:type="dxa"/>
            <w:vMerge/>
          </w:tcPr>
          <w:p w14:paraId="74EECD7E" w14:textId="77777777" w:rsidR="00AF6A11" w:rsidRDefault="00AF6A11" w:rsidP="00FE7D21">
            <w:pPr>
              <w:pStyle w:val="TableText"/>
            </w:pPr>
          </w:p>
        </w:tc>
        <w:tc>
          <w:tcPr>
            <w:tcW w:w="3750" w:type="dxa"/>
          </w:tcPr>
          <w:p w14:paraId="084E6060" w14:textId="77777777" w:rsidR="00AF6A11" w:rsidRPr="005140F5" w:rsidRDefault="00AF6A11" w:rsidP="00B9479A">
            <w:pPr>
              <w:pStyle w:val="TableText"/>
              <w:keepNext w:val="0"/>
              <w:spacing w:before="0" w:after="0"/>
            </w:pPr>
            <w:r w:rsidRPr="005140F5">
              <w:t>Availability of financial resources at subnational level relative to those needed for service delivery</w:t>
            </w:r>
          </w:p>
        </w:tc>
        <w:tc>
          <w:tcPr>
            <w:tcW w:w="1343" w:type="dxa"/>
          </w:tcPr>
          <w:p w14:paraId="41D3F141" w14:textId="77777777" w:rsidR="00AF6A11" w:rsidRPr="005140F5" w:rsidRDefault="00AF6A11" w:rsidP="00FE7D21">
            <w:pPr>
              <w:rPr>
                <w:sz w:val="18"/>
              </w:rPr>
            </w:pPr>
            <w:r w:rsidRPr="005140F5">
              <w:rPr>
                <w:sz w:val="18"/>
              </w:rPr>
              <w:t>2</w:t>
            </w:r>
          </w:p>
        </w:tc>
        <w:tc>
          <w:tcPr>
            <w:tcW w:w="1344" w:type="dxa"/>
          </w:tcPr>
          <w:p w14:paraId="7ADB3528" w14:textId="77777777" w:rsidR="00AF6A11" w:rsidRPr="005140F5" w:rsidRDefault="00AF6A11" w:rsidP="00FE7D21">
            <w:pPr>
              <w:rPr>
                <w:sz w:val="18"/>
              </w:rPr>
            </w:pPr>
            <w:r w:rsidRPr="005140F5">
              <w:rPr>
                <w:sz w:val="18"/>
              </w:rPr>
              <w:t>6</w:t>
            </w:r>
          </w:p>
        </w:tc>
        <w:tc>
          <w:tcPr>
            <w:tcW w:w="1344" w:type="dxa"/>
          </w:tcPr>
          <w:p w14:paraId="46934AF9" w14:textId="77777777" w:rsidR="00AF6A11" w:rsidRPr="005140F5" w:rsidRDefault="00AF6A11" w:rsidP="00FE7D21">
            <w:pPr>
              <w:rPr>
                <w:sz w:val="18"/>
              </w:rPr>
            </w:pPr>
            <w:r w:rsidRPr="005140F5">
              <w:rPr>
                <w:sz w:val="18"/>
              </w:rPr>
              <w:t>3</w:t>
            </w:r>
          </w:p>
        </w:tc>
      </w:tr>
      <w:tr w:rsidR="00AF6A11" w14:paraId="6180523A" w14:textId="77777777" w:rsidTr="00B9479A">
        <w:tc>
          <w:tcPr>
            <w:tcW w:w="1461" w:type="dxa"/>
            <w:vMerge/>
          </w:tcPr>
          <w:p w14:paraId="4C084EF4" w14:textId="77777777" w:rsidR="00AF6A11" w:rsidRDefault="00AF6A11" w:rsidP="00FE7D21">
            <w:pPr>
              <w:pStyle w:val="TableText"/>
            </w:pPr>
          </w:p>
        </w:tc>
        <w:tc>
          <w:tcPr>
            <w:tcW w:w="3750" w:type="dxa"/>
          </w:tcPr>
          <w:p w14:paraId="75C9C293" w14:textId="77777777" w:rsidR="00AF6A11" w:rsidRPr="005140F5" w:rsidRDefault="00AF6A11" w:rsidP="00B9479A">
            <w:pPr>
              <w:pStyle w:val="TableText"/>
              <w:keepNext w:val="0"/>
              <w:spacing w:before="0" w:after="0"/>
            </w:pPr>
            <w:r w:rsidRPr="005140F5">
              <w:t>Adequacy of management of financial resources at subnational level</w:t>
            </w:r>
          </w:p>
        </w:tc>
        <w:tc>
          <w:tcPr>
            <w:tcW w:w="1343" w:type="dxa"/>
          </w:tcPr>
          <w:p w14:paraId="583A7CBC" w14:textId="77777777" w:rsidR="00AF6A11" w:rsidRPr="005140F5" w:rsidRDefault="00AF6A11" w:rsidP="00FE7D21">
            <w:pPr>
              <w:rPr>
                <w:sz w:val="18"/>
              </w:rPr>
            </w:pPr>
            <w:r w:rsidRPr="005140F5">
              <w:rPr>
                <w:sz w:val="18"/>
              </w:rPr>
              <w:t>4</w:t>
            </w:r>
          </w:p>
        </w:tc>
        <w:tc>
          <w:tcPr>
            <w:tcW w:w="1344" w:type="dxa"/>
          </w:tcPr>
          <w:p w14:paraId="56D01189" w14:textId="77777777" w:rsidR="00AF6A11" w:rsidRPr="005140F5" w:rsidRDefault="00AF6A11" w:rsidP="00FE7D21">
            <w:pPr>
              <w:rPr>
                <w:sz w:val="18"/>
              </w:rPr>
            </w:pPr>
            <w:r w:rsidRPr="005140F5">
              <w:rPr>
                <w:sz w:val="18"/>
              </w:rPr>
              <w:t>4</w:t>
            </w:r>
          </w:p>
        </w:tc>
        <w:tc>
          <w:tcPr>
            <w:tcW w:w="1344" w:type="dxa"/>
          </w:tcPr>
          <w:p w14:paraId="073D9B6D" w14:textId="77777777" w:rsidR="00AF6A11" w:rsidRPr="005140F5" w:rsidRDefault="00AF6A11" w:rsidP="00FE7D21">
            <w:pPr>
              <w:rPr>
                <w:sz w:val="18"/>
              </w:rPr>
            </w:pPr>
            <w:r w:rsidRPr="005140F5">
              <w:rPr>
                <w:sz w:val="18"/>
              </w:rPr>
              <w:t>3</w:t>
            </w:r>
          </w:p>
        </w:tc>
      </w:tr>
      <w:tr w:rsidR="00AF6A11" w14:paraId="5E7A65EC" w14:textId="77777777" w:rsidTr="00B9479A">
        <w:tc>
          <w:tcPr>
            <w:tcW w:w="1461" w:type="dxa"/>
            <w:vMerge w:val="restart"/>
          </w:tcPr>
          <w:p w14:paraId="12DF6CAA" w14:textId="77777777" w:rsidR="00AF6A11" w:rsidRDefault="00AF6A11" w:rsidP="00FE7D21">
            <w:pPr>
              <w:pStyle w:val="TableText"/>
            </w:pPr>
            <w:r w:rsidRPr="005140F5">
              <w:t>Demand</w:t>
            </w:r>
            <w:r>
              <w:t xml:space="preserve"> side</w:t>
            </w:r>
          </w:p>
        </w:tc>
        <w:tc>
          <w:tcPr>
            <w:tcW w:w="3750" w:type="dxa"/>
          </w:tcPr>
          <w:p w14:paraId="20587753" w14:textId="77777777" w:rsidR="00AF6A11" w:rsidRPr="005140F5" w:rsidRDefault="00AF6A11" w:rsidP="00B9479A">
            <w:pPr>
              <w:pStyle w:val="TableText"/>
              <w:keepNext w:val="0"/>
              <w:spacing w:before="0" w:after="0"/>
            </w:pPr>
            <w:r w:rsidRPr="005140F5">
              <w:t xml:space="preserve">Mechanisms for citizens to participate in planning, management or monitoring services </w:t>
            </w:r>
          </w:p>
        </w:tc>
        <w:tc>
          <w:tcPr>
            <w:tcW w:w="1343" w:type="dxa"/>
          </w:tcPr>
          <w:p w14:paraId="7CE65C27" w14:textId="77777777" w:rsidR="00AF6A11" w:rsidRPr="005140F5" w:rsidRDefault="00AF6A11" w:rsidP="00FE7D21">
            <w:pPr>
              <w:rPr>
                <w:sz w:val="18"/>
              </w:rPr>
            </w:pPr>
            <w:r w:rsidRPr="005140F5">
              <w:rPr>
                <w:sz w:val="18"/>
              </w:rPr>
              <w:t>2</w:t>
            </w:r>
          </w:p>
        </w:tc>
        <w:tc>
          <w:tcPr>
            <w:tcW w:w="1344" w:type="dxa"/>
          </w:tcPr>
          <w:p w14:paraId="2C6A3C6E" w14:textId="77777777" w:rsidR="00AF6A11" w:rsidRPr="005140F5" w:rsidRDefault="00AF6A11" w:rsidP="00FE7D21">
            <w:pPr>
              <w:rPr>
                <w:sz w:val="18"/>
              </w:rPr>
            </w:pPr>
            <w:r w:rsidRPr="005140F5">
              <w:rPr>
                <w:sz w:val="18"/>
              </w:rPr>
              <w:t>5</w:t>
            </w:r>
          </w:p>
        </w:tc>
        <w:tc>
          <w:tcPr>
            <w:tcW w:w="1344" w:type="dxa"/>
          </w:tcPr>
          <w:p w14:paraId="029D0FF9" w14:textId="77777777" w:rsidR="00AF6A11" w:rsidRPr="005140F5" w:rsidRDefault="00AF6A11" w:rsidP="00FE7D21">
            <w:pPr>
              <w:rPr>
                <w:sz w:val="18"/>
              </w:rPr>
            </w:pPr>
            <w:r w:rsidRPr="005140F5">
              <w:rPr>
                <w:sz w:val="18"/>
              </w:rPr>
              <w:t>4</w:t>
            </w:r>
          </w:p>
        </w:tc>
      </w:tr>
      <w:tr w:rsidR="00AF6A11" w14:paraId="7411B8CD" w14:textId="77777777" w:rsidTr="00B9479A">
        <w:tc>
          <w:tcPr>
            <w:tcW w:w="1461" w:type="dxa"/>
            <w:vMerge/>
          </w:tcPr>
          <w:p w14:paraId="18A4FDDC" w14:textId="77777777" w:rsidR="00AF6A11" w:rsidRDefault="00AF6A11" w:rsidP="00FE7D21">
            <w:pPr>
              <w:pStyle w:val="TableText"/>
            </w:pPr>
          </w:p>
        </w:tc>
        <w:tc>
          <w:tcPr>
            <w:tcW w:w="3750" w:type="dxa"/>
          </w:tcPr>
          <w:p w14:paraId="0CAB935A" w14:textId="77777777" w:rsidR="00AF6A11" w:rsidRPr="005140F5" w:rsidRDefault="00AF6A11" w:rsidP="00B9479A">
            <w:pPr>
              <w:pStyle w:val="TableText"/>
              <w:keepNext w:val="0"/>
              <w:spacing w:before="0" w:after="0"/>
            </w:pPr>
            <w:r w:rsidRPr="005140F5">
              <w:t xml:space="preserve">Quality of citizen participation in planning, management or monitoring service delivery </w:t>
            </w:r>
          </w:p>
        </w:tc>
        <w:tc>
          <w:tcPr>
            <w:tcW w:w="1343" w:type="dxa"/>
          </w:tcPr>
          <w:p w14:paraId="2D40A08A" w14:textId="77777777" w:rsidR="00AF6A11" w:rsidRPr="005140F5" w:rsidRDefault="00AF6A11" w:rsidP="00FE7D21">
            <w:pPr>
              <w:rPr>
                <w:sz w:val="18"/>
              </w:rPr>
            </w:pPr>
            <w:r w:rsidRPr="005140F5">
              <w:rPr>
                <w:sz w:val="18"/>
              </w:rPr>
              <w:t>2</w:t>
            </w:r>
          </w:p>
        </w:tc>
        <w:tc>
          <w:tcPr>
            <w:tcW w:w="1344" w:type="dxa"/>
          </w:tcPr>
          <w:p w14:paraId="235B947E" w14:textId="77777777" w:rsidR="00AF6A11" w:rsidRPr="005140F5" w:rsidRDefault="00AF6A11" w:rsidP="00FE7D21">
            <w:pPr>
              <w:rPr>
                <w:sz w:val="18"/>
              </w:rPr>
            </w:pPr>
            <w:r w:rsidRPr="005140F5">
              <w:rPr>
                <w:sz w:val="18"/>
              </w:rPr>
              <w:t>6</w:t>
            </w:r>
          </w:p>
        </w:tc>
        <w:tc>
          <w:tcPr>
            <w:tcW w:w="1344" w:type="dxa"/>
          </w:tcPr>
          <w:p w14:paraId="0B5C6EC2" w14:textId="77777777" w:rsidR="00AF6A11" w:rsidRPr="005140F5" w:rsidRDefault="00AF6A11" w:rsidP="00FE7D21">
            <w:pPr>
              <w:rPr>
                <w:sz w:val="18"/>
              </w:rPr>
            </w:pPr>
            <w:r w:rsidRPr="005140F5">
              <w:rPr>
                <w:sz w:val="18"/>
              </w:rPr>
              <w:t>3</w:t>
            </w:r>
          </w:p>
        </w:tc>
      </w:tr>
      <w:tr w:rsidR="00AF6A11" w14:paraId="2B2DF05F" w14:textId="77777777" w:rsidTr="00B9479A">
        <w:tc>
          <w:tcPr>
            <w:tcW w:w="1461" w:type="dxa"/>
            <w:vMerge/>
          </w:tcPr>
          <w:p w14:paraId="66EB96BE" w14:textId="77777777" w:rsidR="00AF6A11" w:rsidRDefault="00AF6A11" w:rsidP="00FE7D21">
            <w:pPr>
              <w:pStyle w:val="TableText"/>
            </w:pPr>
          </w:p>
        </w:tc>
        <w:tc>
          <w:tcPr>
            <w:tcW w:w="3750" w:type="dxa"/>
          </w:tcPr>
          <w:p w14:paraId="7702E40B" w14:textId="77777777" w:rsidR="00AF6A11" w:rsidRPr="005140F5" w:rsidRDefault="00AF6A11" w:rsidP="00B9479A">
            <w:pPr>
              <w:pStyle w:val="TableText"/>
              <w:keepNext w:val="0"/>
              <w:spacing w:before="0" w:after="0" w:line="240" w:lineRule="auto"/>
            </w:pPr>
            <w:r w:rsidRPr="005140F5">
              <w:t xml:space="preserve">Efforts to increase accountability or transparency of government to citizens </w:t>
            </w:r>
          </w:p>
        </w:tc>
        <w:tc>
          <w:tcPr>
            <w:tcW w:w="1343" w:type="dxa"/>
          </w:tcPr>
          <w:p w14:paraId="44F35EDA" w14:textId="77777777" w:rsidR="00AF6A11" w:rsidRPr="005140F5" w:rsidRDefault="00AF6A11" w:rsidP="00FE7D21">
            <w:pPr>
              <w:rPr>
                <w:sz w:val="18"/>
              </w:rPr>
            </w:pPr>
            <w:r w:rsidRPr="005140F5">
              <w:rPr>
                <w:sz w:val="18"/>
              </w:rPr>
              <w:t>2</w:t>
            </w:r>
          </w:p>
        </w:tc>
        <w:tc>
          <w:tcPr>
            <w:tcW w:w="1344" w:type="dxa"/>
          </w:tcPr>
          <w:p w14:paraId="478A978E" w14:textId="77777777" w:rsidR="00AF6A11" w:rsidRPr="005140F5" w:rsidRDefault="00AF6A11" w:rsidP="00FE7D21">
            <w:pPr>
              <w:rPr>
                <w:sz w:val="18"/>
              </w:rPr>
            </w:pPr>
            <w:r w:rsidRPr="005140F5">
              <w:rPr>
                <w:sz w:val="18"/>
              </w:rPr>
              <w:t>7</w:t>
            </w:r>
          </w:p>
        </w:tc>
        <w:tc>
          <w:tcPr>
            <w:tcW w:w="1344" w:type="dxa"/>
          </w:tcPr>
          <w:p w14:paraId="2AE4EB91" w14:textId="77777777" w:rsidR="00AF6A11" w:rsidRPr="005140F5" w:rsidRDefault="00AF6A11" w:rsidP="00FE7D21">
            <w:pPr>
              <w:rPr>
                <w:sz w:val="18"/>
              </w:rPr>
            </w:pPr>
            <w:r w:rsidRPr="005140F5">
              <w:rPr>
                <w:sz w:val="18"/>
              </w:rPr>
              <w:t>2</w:t>
            </w:r>
          </w:p>
        </w:tc>
      </w:tr>
      <w:tr w:rsidR="00AF6A11" w:rsidRPr="00FC7B2C" w14:paraId="559FD41B" w14:textId="77777777" w:rsidTr="00FE7D21">
        <w:tc>
          <w:tcPr>
            <w:tcW w:w="9242" w:type="dxa"/>
            <w:gridSpan w:val="5"/>
          </w:tcPr>
          <w:p w14:paraId="1C6B260F" w14:textId="77777777" w:rsidR="00AF6A11" w:rsidRPr="00FC7B2C" w:rsidRDefault="00AF6A11" w:rsidP="00FE7D21">
            <w:pPr>
              <w:pStyle w:val="TableText"/>
              <w:rPr>
                <w:b/>
              </w:rPr>
            </w:pPr>
            <w:r w:rsidRPr="00FC7B2C">
              <w:rPr>
                <w:b/>
              </w:rPr>
              <w:t>Equity</w:t>
            </w:r>
          </w:p>
        </w:tc>
      </w:tr>
      <w:tr w:rsidR="00AF6A11" w14:paraId="168EEE5B" w14:textId="77777777" w:rsidTr="00B9479A">
        <w:tc>
          <w:tcPr>
            <w:tcW w:w="5211" w:type="dxa"/>
            <w:gridSpan w:val="2"/>
          </w:tcPr>
          <w:p w14:paraId="6F98F4A9" w14:textId="77777777" w:rsidR="00AF6A11" w:rsidRPr="005140F5" w:rsidRDefault="00AF6A11" w:rsidP="00B9479A">
            <w:pPr>
              <w:spacing w:before="0" w:after="0" w:line="240" w:lineRule="auto"/>
              <w:rPr>
                <w:sz w:val="18"/>
              </w:rPr>
            </w:pPr>
            <w:r w:rsidRPr="005140F5">
              <w:rPr>
                <w:sz w:val="18"/>
              </w:rPr>
              <w:t xml:space="preserve">Participation of marginalised and vulnerable groups in planning, management or monitoring delivery of services </w:t>
            </w:r>
          </w:p>
        </w:tc>
        <w:tc>
          <w:tcPr>
            <w:tcW w:w="1343" w:type="dxa"/>
          </w:tcPr>
          <w:p w14:paraId="59EEE3F7" w14:textId="77777777" w:rsidR="00AF6A11" w:rsidRPr="005140F5" w:rsidRDefault="00AF6A11" w:rsidP="00FE7D21">
            <w:pPr>
              <w:rPr>
                <w:sz w:val="18"/>
              </w:rPr>
            </w:pPr>
            <w:r w:rsidRPr="005140F5">
              <w:rPr>
                <w:sz w:val="18"/>
              </w:rPr>
              <w:t>2</w:t>
            </w:r>
          </w:p>
        </w:tc>
        <w:tc>
          <w:tcPr>
            <w:tcW w:w="1344" w:type="dxa"/>
          </w:tcPr>
          <w:p w14:paraId="3CAC5C36" w14:textId="77777777" w:rsidR="00AF6A11" w:rsidRPr="005140F5" w:rsidRDefault="00AF6A11" w:rsidP="00FE7D21">
            <w:pPr>
              <w:rPr>
                <w:sz w:val="18"/>
              </w:rPr>
            </w:pPr>
            <w:r w:rsidRPr="005140F5">
              <w:rPr>
                <w:sz w:val="18"/>
              </w:rPr>
              <w:t>7</w:t>
            </w:r>
          </w:p>
        </w:tc>
        <w:tc>
          <w:tcPr>
            <w:tcW w:w="1344" w:type="dxa"/>
          </w:tcPr>
          <w:p w14:paraId="3B5A6985" w14:textId="77777777" w:rsidR="00AF6A11" w:rsidRPr="005140F5" w:rsidRDefault="00AF6A11" w:rsidP="00FE7D21">
            <w:pPr>
              <w:rPr>
                <w:sz w:val="18"/>
              </w:rPr>
            </w:pPr>
            <w:r w:rsidRPr="005140F5">
              <w:rPr>
                <w:sz w:val="18"/>
              </w:rPr>
              <w:t>2</w:t>
            </w:r>
          </w:p>
        </w:tc>
      </w:tr>
      <w:tr w:rsidR="00AF6A11" w14:paraId="156B119E" w14:textId="77777777" w:rsidTr="00B9479A">
        <w:tc>
          <w:tcPr>
            <w:tcW w:w="5211" w:type="dxa"/>
            <w:gridSpan w:val="2"/>
          </w:tcPr>
          <w:p w14:paraId="045AE723" w14:textId="77777777" w:rsidR="00AF6A11" w:rsidRPr="005140F5" w:rsidRDefault="00AF6A11" w:rsidP="00B9479A">
            <w:pPr>
              <w:spacing w:before="0" w:after="0" w:line="240" w:lineRule="auto"/>
              <w:rPr>
                <w:sz w:val="18"/>
              </w:rPr>
            </w:pPr>
            <w:r w:rsidRPr="005140F5">
              <w:rPr>
                <w:sz w:val="18"/>
              </w:rPr>
              <w:t xml:space="preserve">Identification of specific equity outcomes </w:t>
            </w:r>
          </w:p>
        </w:tc>
        <w:tc>
          <w:tcPr>
            <w:tcW w:w="1343" w:type="dxa"/>
          </w:tcPr>
          <w:p w14:paraId="2E61E788" w14:textId="77777777" w:rsidR="00AF6A11" w:rsidRPr="005140F5" w:rsidRDefault="00AF6A11" w:rsidP="00FE7D21">
            <w:pPr>
              <w:rPr>
                <w:sz w:val="18"/>
              </w:rPr>
            </w:pPr>
            <w:r w:rsidRPr="005140F5">
              <w:rPr>
                <w:sz w:val="18"/>
              </w:rPr>
              <w:t>1</w:t>
            </w:r>
          </w:p>
        </w:tc>
        <w:tc>
          <w:tcPr>
            <w:tcW w:w="1344" w:type="dxa"/>
          </w:tcPr>
          <w:p w14:paraId="7CFC209F" w14:textId="77777777" w:rsidR="00AF6A11" w:rsidRPr="005140F5" w:rsidRDefault="00AF6A11" w:rsidP="00FE7D21">
            <w:pPr>
              <w:rPr>
                <w:sz w:val="18"/>
              </w:rPr>
            </w:pPr>
            <w:r w:rsidRPr="005140F5">
              <w:rPr>
                <w:sz w:val="18"/>
              </w:rPr>
              <w:t>6</w:t>
            </w:r>
          </w:p>
        </w:tc>
        <w:tc>
          <w:tcPr>
            <w:tcW w:w="1344" w:type="dxa"/>
          </w:tcPr>
          <w:p w14:paraId="6F7C7A41" w14:textId="77777777" w:rsidR="00AF6A11" w:rsidRPr="005140F5" w:rsidRDefault="00AF6A11" w:rsidP="00FE7D21">
            <w:pPr>
              <w:rPr>
                <w:sz w:val="18"/>
              </w:rPr>
            </w:pPr>
            <w:r w:rsidRPr="005140F5">
              <w:rPr>
                <w:sz w:val="18"/>
              </w:rPr>
              <w:t>4</w:t>
            </w:r>
          </w:p>
        </w:tc>
      </w:tr>
      <w:tr w:rsidR="00AF6A11" w14:paraId="725C329D" w14:textId="77777777" w:rsidTr="00B9479A">
        <w:tc>
          <w:tcPr>
            <w:tcW w:w="5211" w:type="dxa"/>
            <w:gridSpan w:val="2"/>
          </w:tcPr>
          <w:p w14:paraId="478F9392" w14:textId="77777777" w:rsidR="00AF6A11" w:rsidRPr="005140F5" w:rsidRDefault="00AF6A11" w:rsidP="00B9479A">
            <w:pPr>
              <w:spacing w:before="0" w:after="0" w:line="240" w:lineRule="auto"/>
              <w:rPr>
                <w:sz w:val="18"/>
              </w:rPr>
            </w:pPr>
            <w:r w:rsidRPr="005140F5">
              <w:rPr>
                <w:sz w:val="18"/>
              </w:rPr>
              <w:t>How the role of subnational authorities might affect equity outcomes</w:t>
            </w:r>
          </w:p>
        </w:tc>
        <w:tc>
          <w:tcPr>
            <w:tcW w:w="1343" w:type="dxa"/>
          </w:tcPr>
          <w:p w14:paraId="6A1D1237" w14:textId="77777777" w:rsidR="00AF6A11" w:rsidRPr="005140F5" w:rsidRDefault="00AF6A11" w:rsidP="00FE7D21">
            <w:pPr>
              <w:rPr>
                <w:sz w:val="18"/>
              </w:rPr>
            </w:pPr>
            <w:r w:rsidRPr="005140F5">
              <w:rPr>
                <w:sz w:val="18"/>
              </w:rPr>
              <w:t>8</w:t>
            </w:r>
          </w:p>
        </w:tc>
        <w:tc>
          <w:tcPr>
            <w:tcW w:w="1344" w:type="dxa"/>
          </w:tcPr>
          <w:p w14:paraId="7850C170" w14:textId="77777777" w:rsidR="00AF6A11" w:rsidRPr="005140F5" w:rsidRDefault="00AF6A11" w:rsidP="00FE7D21">
            <w:pPr>
              <w:rPr>
                <w:sz w:val="18"/>
              </w:rPr>
            </w:pPr>
            <w:r w:rsidRPr="005140F5">
              <w:rPr>
                <w:sz w:val="18"/>
              </w:rPr>
              <w:t>2</w:t>
            </w:r>
          </w:p>
        </w:tc>
        <w:tc>
          <w:tcPr>
            <w:tcW w:w="1344" w:type="dxa"/>
          </w:tcPr>
          <w:p w14:paraId="4D19D063" w14:textId="77777777" w:rsidR="00AF6A11" w:rsidRPr="005140F5" w:rsidRDefault="00AF6A11" w:rsidP="00FE7D21">
            <w:pPr>
              <w:rPr>
                <w:sz w:val="18"/>
              </w:rPr>
            </w:pPr>
            <w:r w:rsidRPr="005140F5">
              <w:rPr>
                <w:sz w:val="18"/>
              </w:rPr>
              <w:t>1</w:t>
            </w:r>
          </w:p>
        </w:tc>
      </w:tr>
      <w:tr w:rsidR="00AF6A11" w:rsidRPr="00FC7B2C" w14:paraId="0BA6EF03" w14:textId="77777777" w:rsidTr="00FE7D21">
        <w:tc>
          <w:tcPr>
            <w:tcW w:w="9242" w:type="dxa"/>
            <w:gridSpan w:val="5"/>
          </w:tcPr>
          <w:p w14:paraId="560EAA45" w14:textId="77777777" w:rsidR="00AF6A11" w:rsidRPr="00FC7B2C" w:rsidRDefault="00AF6A11" w:rsidP="00FE7D21">
            <w:pPr>
              <w:pStyle w:val="TableText"/>
              <w:rPr>
                <w:b/>
                <w:bCs/>
              </w:rPr>
            </w:pPr>
            <w:r w:rsidRPr="00FC7B2C">
              <w:rPr>
                <w:b/>
                <w:bCs/>
              </w:rPr>
              <w:t>Coherence</w:t>
            </w:r>
          </w:p>
        </w:tc>
      </w:tr>
      <w:tr w:rsidR="00AF6A11" w14:paraId="0E379EA8" w14:textId="77777777" w:rsidTr="00B9479A">
        <w:tc>
          <w:tcPr>
            <w:tcW w:w="5211" w:type="dxa"/>
            <w:gridSpan w:val="2"/>
          </w:tcPr>
          <w:p w14:paraId="1E2C06AE" w14:textId="77777777" w:rsidR="00AF6A11" w:rsidRPr="005140F5" w:rsidRDefault="00AF6A11" w:rsidP="00B9479A">
            <w:pPr>
              <w:spacing w:before="0" w:after="0" w:line="240" w:lineRule="auto"/>
              <w:rPr>
                <w:sz w:val="18"/>
              </w:rPr>
            </w:pPr>
            <w:r w:rsidRPr="005140F5">
              <w:rPr>
                <w:sz w:val="18"/>
              </w:rPr>
              <w:t>How Aus</w:t>
            </w:r>
            <w:r>
              <w:rPr>
                <w:sz w:val="18"/>
              </w:rPr>
              <w:t>tralian aid program</w:t>
            </w:r>
            <w:r w:rsidRPr="005140F5">
              <w:rPr>
                <w:sz w:val="18"/>
              </w:rPr>
              <w:t xml:space="preserve"> governance programming supports or intersects with sectorally focused efforts</w:t>
            </w:r>
          </w:p>
        </w:tc>
        <w:tc>
          <w:tcPr>
            <w:tcW w:w="1343" w:type="dxa"/>
          </w:tcPr>
          <w:p w14:paraId="1A090AB8" w14:textId="77777777" w:rsidR="00AF6A11" w:rsidRPr="005140F5" w:rsidRDefault="00AF6A11" w:rsidP="00FE7D21">
            <w:pPr>
              <w:rPr>
                <w:sz w:val="18"/>
              </w:rPr>
            </w:pPr>
            <w:r w:rsidRPr="005140F5">
              <w:rPr>
                <w:sz w:val="18"/>
              </w:rPr>
              <w:t>7</w:t>
            </w:r>
          </w:p>
        </w:tc>
        <w:tc>
          <w:tcPr>
            <w:tcW w:w="1344" w:type="dxa"/>
          </w:tcPr>
          <w:p w14:paraId="67ECEF96" w14:textId="77777777" w:rsidR="00AF6A11" w:rsidRPr="005140F5" w:rsidRDefault="00AF6A11" w:rsidP="00FE7D21">
            <w:pPr>
              <w:rPr>
                <w:sz w:val="18"/>
              </w:rPr>
            </w:pPr>
            <w:r w:rsidRPr="005140F5">
              <w:rPr>
                <w:sz w:val="18"/>
              </w:rPr>
              <w:t>3</w:t>
            </w:r>
          </w:p>
        </w:tc>
        <w:tc>
          <w:tcPr>
            <w:tcW w:w="1344" w:type="dxa"/>
          </w:tcPr>
          <w:p w14:paraId="07B036EC" w14:textId="77777777" w:rsidR="00AF6A11" w:rsidRPr="005140F5" w:rsidRDefault="00AF6A11" w:rsidP="00FE7D21">
            <w:pPr>
              <w:rPr>
                <w:sz w:val="18"/>
              </w:rPr>
            </w:pPr>
            <w:r w:rsidRPr="005140F5">
              <w:rPr>
                <w:sz w:val="18"/>
              </w:rPr>
              <w:t>1</w:t>
            </w:r>
          </w:p>
        </w:tc>
      </w:tr>
      <w:tr w:rsidR="00AF6A11" w14:paraId="38010FAD" w14:textId="77777777" w:rsidTr="00B9479A">
        <w:tc>
          <w:tcPr>
            <w:tcW w:w="5211" w:type="dxa"/>
            <w:gridSpan w:val="2"/>
          </w:tcPr>
          <w:p w14:paraId="06CE38E0" w14:textId="77777777" w:rsidR="00AF6A11" w:rsidRPr="005140F5" w:rsidRDefault="00AF6A11" w:rsidP="00B9479A">
            <w:pPr>
              <w:spacing w:before="0" w:after="0" w:line="240" w:lineRule="auto"/>
              <w:rPr>
                <w:sz w:val="18"/>
              </w:rPr>
            </w:pPr>
            <w:r>
              <w:rPr>
                <w:sz w:val="18"/>
              </w:rPr>
              <w:t>T</w:t>
            </w:r>
            <w:r w:rsidRPr="005140F5">
              <w:rPr>
                <w:sz w:val="18"/>
              </w:rPr>
              <w:t xml:space="preserve">he extent of alignment to current decentralisation reform </w:t>
            </w:r>
            <w:r>
              <w:rPr>
                <w:sz w:val="18"/>
              </w:rPr>
              <w:br/>
            </w:r>
            <w:r w:rsidRPr="005140F5">
              <w:rPr>
                <w:sz w:val="18"/>
              </w:rPr>
              <w:t>[Note: this criterion uses a different scale: not aligned/some alignment/strong alignment]</w:t>
            </w:r>
          </w:p>
        </w:tc>
        <w:tc>
          <w:tcPr>
            <w:tcW w:w="1343" w:type="dxa"/>
          </w:tcPr>
          <w:p w14:paraId="30689270" w14:textId="77777777" w:rsidR="00AF6A11" w:rsidRPr="005140F5" w:rsidRDefault="00AF6A11" w:rsidP="00B9479A">
            <w:pPr>
              <w:spacing w:before="0" w:after="0"/>
              <w:rPr>
                <w:sz w:val="18"/>
              </w:rPr>
            </w:pPr>
            <w:r w:rsidRPr="005140F5">
              <w:rPr>
                <w:sz w:val="18"/>
              </w:rPr>
              <w:t>1</w:t>
            </w:r>
          </w:p>
        </w:tc>
        <w:tc>
          <w:tcPr>
            <w:tcW w:w="1344" w:type="dxa"/>
          </w:tcPr>
          <w:p w14:paraId="36C69AD8" w14:textId="77777777" w:rsidR="00AF6A11" w:rsidRPr="005140F5" w:rsidRDefault="00AF6A11" w:rsidP="00B9479A">
            <w:pPr>
              <w:spacing w:before="0" w:after="0"/>
              <w:rPr>
                <w:sz w:val="18"/>
              </w:rPr>
            </w:pPr>
            <w:r w:rsidRPr="005140F5">
              <w:rPr>
                <w:sz w:val="18"/>
              </w:rPr>
              <w:t>6</w:t>
            </w:r>
          </w:p>
        </w:tc>
        <w:tc>
          <w:tcPr>
            <w:tcW w:w="1344" w:type="dxa"/>
          </w:tcPr>
          <w:p w14:paraId="7C2F273B" w14:textId="77777777" w:rsidR="00AF6A11" w:rsidRPr="005140F5" w:rsidRDefault="00AF6A11" w:rsidP="00B9479A">
            <w:pPr>
              <w:spacing w:before="0" w:after="0"/>
              <w:rPr>
                <w:sz w:val="18"/>
              </w:rPr>
            </w:pPr>
            <w:r w:rsidRPr="005140F5">
              <w:rPr>
                <w:sz w:val="18"/>
              </w:rPr>
              <w:t>4</w:t>
            </w:r>
          </w:p>
        </w:tc>
      </w:tr>
    </w:tbl>
    <w:p w14:paraId="55A9CDD7" w14:textId="77777777" w:rsidR="00F33C82" w:rsidRDefault="00F33C82" w:rsidP="00FC7B2C"/>
    <w:p w14:paraId="33B5BD2E" w14:textId="7E5F4E05" w:rsidR="00AF6A11" w:rsidRDefault="00AF6A11" w:rsidP="00FC7B2C">
      <w:r>
        <w:t xml:space="preserve">The </w:t>
      </w:r>
      <w:r w:rsidRPr="00C5213E">
        <w:rPr>
          <w:b/>
        </w:rPr>
        <w:t>demand</w:t>
      </w:r>
      <w:r>
        <w:rPr>
          <w:b/>
        </w:rPr>
        <w:t xml:space="preserve"> </w:t>
      </w:r>
      <w:r w:rsidRPr="00C5213E">
        <w:rPr>
          <w:b/>
        </w:rPr>
        <w:t>side</w:t>
      </w:r>
      <w:r>
        <w:t xml:space="preserve"> was also covered in more detail in evaluations than in designs, with </w:t>
      </w:r>
      <w:r w:rsidR="004F0F15">
        <w:t>almost all</w:t>
      </w:r>
      <w:r>
        <w:t xml:space="preserve"> evaluations </w:t>
      </w:r>
      <w:r w:rsidR="004F0F15">
        <w:t>discussing</w:t>
      </w:r>
      <w:r>
        <w:t xml:space="preserve"> this aspect of service delivery. </w:t>
      </w:r>
      <w:r w:rsidR="00695807">
        <w:t>It was</w:t>
      </w:r>
      <w:r>
        <w:t xml:space="preserve"> sometimes comment</w:t>
      </w:r>
      <w:r w:rsidR="00695807">
        <w:t>ed</w:t>
      </w:r>
      <w:r>
        <w:t xml:space="preserve"> that the demand side had not been sufficiently addressed. For example, the Philippines provincial road evaluations said that ‘</w:t>
      </w:r>
      <w:r>
        <w:rPr>
          <w:i/>
        </w:rPr>
        <w:t>none of the civil society organisations</w:t>
      </w:r>
      <w:r w:rsidRPr="00C5213E">
        <w:rPr>
          <w:i/>
        </w:rPr>
        <w:t xml:space="preserve"> who met with the team was able to identify instances where their knowledge and expertise were drawn upon specifically for their province</w:t>
      </w:r>
      <w:r>
        <w:rPr>
          <w:i/>
        </w:rPr>
        <w:t>.</w:t>
      </w:r>
      <w:r w:rsidR="004F0F15">
        <w:rPr>
          <w:i/>
        </w:rPr>
        <w:t>’</w:t>
      </w:r>
      <w:r>
        <w:rPr>
          <w:rStyle w:val="EndnoteReference"/>
          <w:i/>
        </w:rPr>
        <w:endnoteReference w:id="251"/>
      </w:r>
      <w:r w:rsidRPr="00C5213E">
        <w:t xml:space="preserve"> </w:t>
      </w:r>
      <w:r>
        <w:t>A positive example of progress on the demand side was evident in the education program evaluation in Eastern Indonesia, which reported ‘</w:t>
      </w:r>
      <w:r w:rsidRPr="00AB75E4">
        <w:rPr>
          <w:i/>
        </w:rPr>
        <w:t>growing community ownership of the governance of their schools; highly skilled local school</w:t>
      </w:r>
      <w:r>
        <w:rPr>
          <w:i/>
        </w:rPr>
        <w:t>-</w:t>
      </w:r>
      <w:r w:rsidRPr="00AB75E4">
        <w:rPr>
          <w:i/>
        </w:rPr>
        <w:t>based management training teams in three districts, totalling approximately 80 trainers; steady improvement in the number of women on school committees, and in their effective participation in the committees’ decision</w:t>
      </w:r>
      <w:r>
        <w:rPr>
          <w:i/>
        </w:rPr>
        <w:t>-</w:t>
      </w:r>
      <w:r w:rsidRPr="00AB75E4">
        <w:rPr>
          <w:i/>
        </w:rPr>
        <w:t>making</w:t>
      </w:r>
      <w:r>
        <w:rPr>
          <w:i/>
        </w:rPr>
        <w:t>.</w:t>
      </w:r>
      <w:r>
        <w:t>’</w:t>
      </w:r>
      <w:r>
        <w:rPr>
          <w:rStyle w:val="EndnoteReference"/>
        </w:rPr>
        <w:endnoteReference w:id="252"/>
      </w:r>
      <w:r w:rsidRPr="00AB75E4">
        <w:t xml:space="preserve"> </w:t>
      </w:r>
    </w:p>
    <w:p w14:paraId="5E276AFF" w14:textId="77777777" w:rsidR="00AF6A11" w:rsidRDefault="00695807" w:rsidP="00FC7B2C">
      <w:pPr>
        <w:pStyle w:val="Heading3"/>
      </w:pPr>
      <w:bookmarkStart w:id="327" w:name="_Toc371454270"/>
      <w:bookmarkStart w:id="328" w:name="_Toc372300991"/>
      <w:bookmarkStart w:id="329" w:name="_Toc382563930"/>
      <w:bookmarkStart w:id="330" w:name="_Toc382595884"/>
      <w:r>
        <w:t>E</w:t>
      </w:r>
      <w:r w:rsidR="00AF6A11">
        <w:t>quity in service delivery</w:t>
      </w:r>
      <w:bookmarkEnd w:id="327"/>
      <w:bookmarkEnd w:id="328"/>
      <w:bookmarkEnd w:id="329"/>
      <w:bookmarkEnd w:id="330"/>
    </w:p>
    <w:p w14:paraId="294097F2" w14:textId="0548B510" w:rsidR="00AF6A11" w:rsidRDefault="00695807" w:rsidP="00FC7B2C">
      <w:r>
        <w:t>E</w:t>
      </w:r>
      <w:r w:rsidR="00AF6A11">
        <w:t xml:space="preserve">valuations </w:t>
      </w:r>
      <w:r>
        <w:t xml:space="preserve">mostly </w:t>
      </w:r>
      <w:r w:rsidR="00AF6A11">
        <w:t>mentioned marginalised groups and women as beneficiaries of programs rather than discussing their role in planning, management or monitoring service delivery. Most evaluations discussed gender dimensions of the program</w:t>
      </w:r>
      <w:r>
        <w:t xml:space="preserve">, however, references to </w:t>
      </w:r>
      <w:r w:rsidR="00AF6A11">
        <w:t>specific other groups were more unusual. One example occurs in the evaluation of the water infrastructure program in Vietnam: ‘</w:t>
      </w:r>
      <w:r w:rsidR="00AF6A11" w:rsidRPr="00D85BF7">
        <w:rPr>
          <w:i/>
        </w:rPr>
        <w:t>[</w:t>
      </w:r>
      <w:r w:rsidR="00AF6A11">
        <w:rPr>
          <w:i/>
        </w:rPr>
        <w:t>T</w:t>
      </w:r>
      <w:r w:rsidR="00AF6A11" w:rsidRPr="00D85BF7">
        <w:rPr>
          <w:i/>
        </w:rPr>
        <w:t>he] project included a number of targeting mechanisms to increase the participation and benefits going to poor urban residents and vulnerable groups</w:t>
      </w:r>
      <w:r w:rsidR="00AF6A11">
        <w:rPr>
          <w:i/>
        </w:rPr>
        <w:t>.</w:t>
      </w:r>
      <w:r w:rsidR="00AF6A11">
        <w:t>’</w:t>
      </w:r>
      <w:r w:rsidR="00AF6A11">
        <w:rPr>
          <w:rStyle w:val="EndnoteReference"/>
        </w:rPr>
        <w:endnoteReference w:id="253"/>
      </w:r>
      <w:r w:rsidR="0086534F">
        <w:t xml:space="preserve"> Lastly, </w:t>
      </w:r>
      <w:r w:rsidR="00AF6A11">
        <w:t>links between subnational authority attitudes and equity w</w:t>
      </w:r>
      <w:r w:rsidR="0086534F">
        <w:t>ere</w:t>
      </w:r>
      <w:r w:rsidR="00AF6A11">
        <w:t xml:space="preserve"> rare</w:t>
      </w:r>
      <w:r w:rsidR="0086534F">
        <w:t>ly mentioned</w:t>
      </w:r>
      <w:r w:rsidR="00AF6A11">
        <w:t>. Such a link was mentioned in the Philippines education evaluation: ‘</w:t>
      </w:r>
      <w:r w:rsidR="00AF6A11" w:rsidRPr="00D85BF7">
        <w:rPr>
          <w:i/>
        </w:rPr>
        <w:t xml:space="preserve">The DepEd is reported as having an ‘inconsistent’ record in mainstreaming gender. This appears to result from limited understanding </w:t>
      </w:r>
      <w:r w:rsidR="00AF6A11">
        <w:rPr>
          <w:i/>
        </w:rPr>
        <w:t>among</w:t>
      </w:r>
      <w:r w:rsidR="00AF6A11" w:rsidRPr="00D85BF7">
        <w:rPr>
          <w:i/>
        </w:rPr>
        <w:t xml:space="preserve"> the current DepEd senior management of gender mainstreaming and of the nature of a gender-aware organi</w:t>
      </w:r>
      <w:r w:rsidR="00AF6A11">
        <w:rPr>
          <w:i/>
        </w:rPr>
        <w:t>s</w:t>
      </w:r>
      <w:r w:rsidR="00AF6A11" w:rsidRPr="00D85BF7">
        <w:rPr>
          <w:i/>
        </w:rPr>
        <w:t>ation, the lack of a definitiv</w:t>
      </w:r>
      <w:r w:rsidR="00AF6A11">
        <w:rPr>
          <w:i/>
        </w:rPr>
        <w:t>e and well-institutionalised gender and development</w:t>
      </w:r>
      <w:r w:rsidR="00AF6A11" w:rsidRPr="00D85BF7">
        <w:rPr>
          <w:i/>
        </w:rPr>
        <w:t xml:space="preserve"> policy and a lack of direction in gender budget initiatives for the department</w:t>
      </w:r>
      <w:r w:rsidR="00AF6A11">
        <w:t>.’</w:t>
      </w:r>
      <w:r w:rsidR="00AF6A11">
        <w:rPr>
          <w:rStyle w:val="EndnoteReference"/>
        </w:rPr>
        <w:endnoteReference w:id="254"/>
      </w:r>
    </w:p>
    <w:p w14:paraId="2E11FA8E" w14:textId="77777777" w:rsidR="00AF6A11" w:rsidRDefault="00AF6A11" w:rsidP="00FC7B2C">
      <w:pPr>
        <w:pStyle w:val="Heading3"/>
      </w:pPr>
      <w:bookmarkStart w:id="331" w:name="_Toc371454271"/>
      <w:bookmarkStart w:id="332" w:name="_Toc372300992"/>
      <w:bookmarkStart w:id="333" w:name="_Toc382563931"/>
      <w:bookmarkStart w:id="334" w:name="_Toc382595885"/>
      <w:r>
        <w:t>Coherence within aid programming and in decentralisation processes</w:t>
      </w:r>
      <w:bookmarkEnd w:id="331"/>
      <w:bookmarkEnd w:id="332"/>
      <w:bookmarkEnd w:id="333"/>
      <w:bookmarkEnd w:id="334"/>
      <w:r>
        <w:t xml:space="preserve"> </w:t>
      </w:r>
    </w:p>
    <w:p w14:paraId="02C5D2AF" w14:textId="77777777" w:rsidR="00AF6A11" w:rsidRDefault="00AF6A11" w:rsidP="00FC7B2C">
      <w:r>
        <w:t xml:space="preserve">Most evaluations mentioned alignment to decentralisation processes, with most demonstrating some alignment and several describing strong alignment to decentralisation processes. </w:t>
      </w:r>
    </w:p>
    <w:p w14:paraId="7A3046C8" w14:textId="78FD2424" w:rsidR="00AF6A11" w:rsidRDefault="00AF6A11" w:rsidP="00FC7B2C">
      <w:r>
        <w:t xml:space="preserve">Evaluations generally did not address questions of how sector programs were intersecting with governance initiatives. When this issue was mentioned, it was either to provide evidence of some level of engagement, or to recommend engagement as a means of improving complementarity. For example, an </w:t>
      </w:r>
      <w:r w:rsidR="0027006E">
        <w:t xml:space="preserve">education </w:t>
      </w:r>
      <w:r>
        <w:t xml:space="preserve">evaluation in </w:t>
      </w:r>
      <w:r w:rsidR="0027006E">
        <w:t>e</w:t>
      </w:r>
      <w:r>
        <w:t>ast Indonesia noted that ‘</w:t>
      </w:r>
      <w:r w:rsidRPr="00B50E08">
        <w:rPr>
          <w:i/>
        </w:rPr>
        <w:t>there was some coordination with other AusAID activities (e.g.</w:t>
      </w:r>
      <w:r>
        <w:rPr>
          <w:i/>
        </w:rPr>
        <w:t> </w:t>
      </w:r>
      <w:r w:rsidRPr="00B50E08">
        <w:rPr>
          <w:i/>
        </w:rPr>
        <w:t>IAPBE, Australia-Nusa Tenggara Assistance for Regional Autonomy</w:t>
      </w:r>
      <w:r>
        <w:rPr>
          <w:i/>
        </w:rPr>
        <w:t xml:space="preserve"> [ANTARA]</w:t>
      </w:r>
      <w:r w:rsidRPr="00B50E08">
        <w:rPr>
          <w:i/>
        </w:rPr>
        <w:t>)</w:t>
      </w:r>
      <w:r>
        <w:rPr>
          <w:i/>
        </w:rPr>
        <w:t>’</w:t>
      </w:r>
      <w:r>
        <w:rPr>
          <w:rStyle w:val="EndnoteReference"/>
          <w:i/>
        </w:rPr>
        <w:endnoteReference w:id="255"/>
      </w:r>
      <w:r w:rsidR="00B74369">
        <w:t xml:space="preserve"> </w:t>
      </w:r>
      <w:r>
        <w:t>and</w:t>
      </w:r>
      <w:r w:rsidR="00B74369">
        <w:t xml:space="preserve"> </w:t>
      </w:r>
      <w:r w:rsidR="0027006E">
        <w:rPr>
          <w:i/>
        </w:rPr>
        <w:t xml:space="preserve">… [also] </w:t>
      </w:r>
      <w:r w:rsidRPr="00B50E08">
        <w:rPr>
          <w:i/>
        </w:rPr>
        <w:t xml:space="preserve">discussions with ANTARA to determine the most effective way for this facility to support dissemination of the benefits achieved in the </w:t>
      </w:r>
      <w:r>
        <w:rPr>
          <w:i/>
        </w:rPr>
        <w:t>p</w:t>
      </w:r>
      <w:r w:rsidRPr="00B50E08">
        <w:rPr>
          <w:i/>
        </w:rPr>
        <w:t>artnership</w:t>
      </w:r>
      <w:r>
        <w:rPr>
          <w:i/>
        </w:rPr>
        <w:t>.</w:t>
      </w:r>
      <w:r>
        <w:t>’</w:t>
      </w:r>
      <w:r>
        <w:rPr>
          <w:rStyle w:val="EndnoteReference"/>
        </w:rPr>
        <w:endnoteReference w:id="256"/>
      </w:r>
    </w:p>
    <w:p w14:paraId="2918643D" w14:textId="77777777" w:rsidR="0027006E" w:rsidRDefault="00AF6A11" w:rsidP="0027006E">
      <w:r>
        <w:t xml:space="preserve">In contrast, Indonesian water and sanitation infrastructure program </w:t>
      </w:r>
      <w:r w:rsidR="0027006E">
        <w:t xml:space="preserve">evaluation </w:t>
      </w:r>
      <w:r>
        <w:t xml:space="preserve">noted: </w:t>
      </w:r>
    </w:p>
    <w:p w14:paraId="27CA5333" w14:textId="77777777" w:rsidR="0027006E" w:rsidRDefault="00AF6A11" w:rsidP="0023001A">
      <w:pPr>
        <w:ind w:left="720"/>
      </w:pPr>
      <w:r>
        <w:t>‘</w:t>
      </w:r>
      <w:r w:rsidRPr="00B50E08">
        <w:rPr>
          <w:i/>
        </w:rPr>
        <w:t xml:space="preserve">AusAID’s decentralisation program includes an office in Kupang, however there is no systematic interaction (that we heard of) between this program and programs </w:t>
      </w:r>
      <w:r>
        <w:rPr>
          <w:i/>
        </w:rPr>
        <w:t>…</w:t>
      </w:r>
      <w:r w:rsidRPr="00B50E08">
        <w:rPr>
          <w:i/>
        </w:rPr>
        <w:t xml:space="preserve"> which are working with subnational government and communities on service delivery (including in eastern Indonesia). There is therefore opportunity to explore how the decentralisation program might inform or support WASH programming focused at subnational level. Equally, AusAID’s experiences in the WASH sector might useful</w:t>
      </w:r>
      <w:r>
        <w:rPr>
          <w:i/>
        </w:rPr>
        <w:t>ly</w:t>
      </w:r>
      <w:r w:rsidRPr="00B50E08">
        <w:rPr>
          <w:i/>
        </w:rPr>
        <w:t xml:space="preserve"> serve to inform areas being addressed in the decentralisation program</w:t>
      </w:r>
      <w:r>
        <w:rPr>
          <w:i/>
        </w:rPr>
        <w:t>.</w:t>
      </w:r>
      <w:r>
        <w:t>’</w:t>
      </w:r>
      <w:r>
        <w:rPr>
          <w:rStyle w:val="EndnoteReference"/>
        </w:rPr>
        <w:endnoteReference w:id="257"/>
      </w:r>
      <w:r>
        <w:t xml:space="preserve"> </w:t>
      </w:r>
    </w:p>
    <w:p w14:paraId="17E6999B" w14:textId="77777777" w:rsidR="00AF6A11" w:rsidRDefault="00AF6A11" w:rsidP="00FC7B2C">
      <w:r>
        <w:t>The Philippines roads evaluation pointed to their strong emphasis on this area: ‘</w:t>
      </w:r>
      <w:r w:rsidRPr="00B50E08">
        <w:rPr>
          <w:i/>
        </w:rPr>
        <w:t>This lesson strongly supports a cross-sectoral model for AusAID programming that links governance interventions to those of a sectoral nature, such as the approach piloted</w:t>
      </w:r>
      <w:r w:rsidR="0027006E">
        <w:rPr>
          <w:i/>
        </w:rPr>
        <w:t xml:space="preserve"> [here]</w:t>
      </w:r>
      <w:r>
        <w:rPr>
          <w:i/>
        </w:rPr>
        <w:t>.</w:t>
      </w:r>
      <w:r>
        <w:t>’</w:t>
      </w:r>
      <w:r>
        <w:rPr>
          <w:rStyle w:val="EndnoteReference"/>
        </w:rPr>
        <w:endnoteReference w:id="258"/>
      </w:r>
      <w:r w:rsidRPr="00D85BF7">
        <w:t xml:space="preserve"> </w:t>
      </w:r>
    </w:p>
    <w:p w14:paraId="049F8D21" w14:textId="77777777" w:rsidR="00AF6A11" w:rsidRDefault="00AF6A11" w:rsidP="00FC7B2C">
      <w:pPr>
        <w:pStyle w:val="Heading3"/>
      </w:pPr>
      <w:bookmarkStart w:id="335" w:name="_Toc371454272"/>
      <w:bookmarkStart w:id="336" w:name="_Toc372300993"/>
      <w:bookmarkStart w:id="337" w:name="_Toc382563932"/>
      <w:bookmarkStart w:id="338" w:name="_Toc382595886"/>
      <w:r>
        <w:t>Evaluation design</w:t>
      </w:r>
      <w:bookmarkEnd w:id="335"/>
      <w:bookmarkEnd w:id="336"/>
      <w:bookmarkEnd w:id="337"/>
      <w:bookmarkEnd w:id="338"/>
      <w:r>
        <w:t xml:space="preserve"> </w:t>
      </w:r>
    </w:p>
    <w:p w14:paraId="77F5D8D7" w14:textId="369ABCBD" w:rsidR="00AF6A11" w:rsidRDefault="00AF6A11" w:rsidP="00FC7B2C">
      <w:r>
        <w:t>The design</w:t>
      </w:r>
      <w:r w:rsidR="0027006E">
        <w:t xml:space="preserve"> and methods</w:t>
      </w:r>
      <w:r>
        <w:t xml:space="preserve"> in the majority of sector evaluations allowed for some engagement at subnational levels, however the time allocated to empirical work in evaluations is generally small. It was not always possible to ascertain the diversity of stakeholders consulted in the evaluations</w:t>
      </w:r>
      <w:r w:rsidR="0027006E">
        <w:t>.</w:t>
      </w:r>
      <w:r w:rsidR="004F0F15">
        <w:t xml:space="preserve"> </w:t>
      </w:r>
      <w:r w:rsidR="0027006E">
        <w:t>Given the limited time and resources allocated to most initiative evaluations</w:t>
      </w:r>
      <w:r>
        <w:t xml:space="preserve"> it is unlikely that a full range of stakeholders at the national and subnational levels (e.g. central agencies, elected representatives etc.) were consulted.</w:t>
      </w:r>
    </w:p>
    <w:p w14:paraId="2D8CB69A" w14:textId="69F71274" w:rsidR="00AF6A11" w:rsidRDefault="00AF6A11" w:rsidP="00FC7B2C">
      <w:pPr>
        <w:pStyle w:val="NormalBeforeBullet"/>
      </w:pPr>
      <w:r>
        <w:t>The orientation of evaluations is often dependent on the skill set of the evaluation team (</w:t>
      </w:r>
      <w:r w:rsidR="00D2236B">
        <w:t>e.g. </w:t>
      </w:r>
      <w:r>
        <w:t>they may have a background in sectoral work, governance or evaluation) and on the direction laid out in evaluation terms of reference. It is useful to examine evaluation recommendations to see what importance is given to working to support partner systems and to governance-related service delivery issues. Among the recommendations</w:t>
      </w:r>
      <w:r w:rsidR="0027006E">
        <w:t>,</w:t>
      </w:r>
      <w:r>
        <w:t xml:space="preserve"> </w:t>
      </w:r>
      <w:r w:rsidR="0027006E">
        <w:t xml:space="preserve">close to </w:t>
      </w:r>
      <w:r>
        <w:t>40 per cent (ranging from 7–71 per cent) related to an action to address some aspect of decentralisation or governance in relation to supply or demand side of service</w:t>
      </w:r>
      <w:r w:rsidR="0027006E">
        <w:t xml:space="preserve"> systems</w:t>
      </w:r>
      <w:r>
        <w:t>. Examples include recommendations to:</w:t>
      </w:r>
    </w:p>
    <w:p w14:paraId="0A460D96" w14:textId="77777777" w:rsidR="00AF6A11" w:rsidRDefault="00AF6A11" w:rsidP="00FC7B2C">
      <w:pPr>
        <w:pStyle w:val="Bullet"/>
      </w:pPr>
      <w:r>
        <w:t>have a focal point at the provincial level (Vietnam health evaluation)</w:t>
      </w:r>
    </w:p>
    <w:p w14:paraId="3C83EC97" w14:textId="77777777" w:rsidR="00AF6A11" w:rsidRDefault="00AF6A11" w:rsidP="00FC7B2C">
      <w:pPr>
        <w:pStyle w:val="Bullet"/>
      </w:pPr>
      <w:r>
        <w:t>increase support to local government through: bottom-up planning, links to political economy and prioritisation of water and sanitation, and analysis of ongoing operation, maintenance and replacement costs of infrastructure (large-scale rural water and sanitation program in Indonesia)</w:t>
      </w:r>
    </w:p>
    <w:p w14:paraId="2C182011" w14:textId="77777777" w:rsidR="00AF6A11" w:rsidRDefault="00AF6A11" w:rsidP="00FC7B2C">
      <w:pPr>
        <w:pStyle w:val="Bullet"/>
      </w:pPr>
      <w:r>
        <w:t xml:space="preserve">encourage provincial actors to develop infrastructure policies that define provincial responsibilities for oversight of new school infrastructure (PNG education program) </w:t>
      </w:r>
    </w:p>
    <w:p w14:paraId="34930365" w14:textId="77777777" w:rsidR="00AF6A11" w:rsidRDefault="00AF6A11" w:rsidP="00FC7B2C">
      <w:pPr>
        <w:pStyle w:val="Bullet"/>
      </w:pPr>
      <w:r>
        <w:t>better address systemic issues facing the education sector (Bangladesh education program)</w:t>
      </w:r>
    </w:p>
    <w:p w14:paraId="06F5FDA8" w14:textId="77777777" w:rsidR="00AF6A11" w:rsidRDefault="00AF6A11" w:rsidP="00FC7B2C">
      <w:pPr>
        <w:pStyle w:val="BulletLast"/>
      </w:pPr>
      <w:r>
        <w:t>continue mixed-budget financing for infrastructure with construction works funded from provincial budgets and technical assistance from Australian assistance.</w:t>
      </w:r>
    </w:p>
    <w:p w14:paraId="2610BFD8" w14:textId="77777777" w:rsidR="00AF6A11" w:rsidRDefault="00AF6A11" w:rsidP="00FC7B2C">
      <w:pPr>
        <w:pStyle w:val="Heading2"/>
        <w:numPr>
          <w:ilvl w:val="1"/>
          <w:numId w:val="0"/>
        </w:numPr>
        <w:spacing w:before="360" w:after="240" w:line="288" w:lineRule="auto"/>
      </w:pPr>
      <w:bookmarkStart w:id="339" w:name="_Toc371454273"/>
      <w:bookmarkStart w:id="340" w:name="_Toc382563933"/>
      <w:bookmarkStart w:id="341" w:name="_Toc382595887"/>
      <w:bookmarkStart w:id="342" w:name="_Toc408831791"/>
      <w:r>
        <w:t>5.3</w:t>
      </w:r>
      <w:r>
        <w:tab/>
      </w:r>
      <w:r w:rsidR="0027006E">
        <w:t>P</w:t>
      </w:r>
      <w:r>
        <w:t>erformance assessment frameworks</w:t>
      </w:r>
      <w:bookmarkEnd w:id="339"/>
      <w:bookmarkEnd w:id="340"/>
      <w:bookmarkEnd w:id="341"/>
      <w:bookmarkEnd w:id="342"/>
    </w:p>
    <w:p w14:paraId="6B9C8294" w14:textId="77777777" w:rsidR="00AF6A11" w:rsidRDefault="00AF6A11" w:rsidP="00FC7B2C">
      <w:r>
        <w:t xml:space="preserve">Sector performance assessment frameworks support sector planning and design. They each include a generic ‘theory of change’ concerning the relevant sector </w:t>
      </w:r>
      <w:r w:rsidR="0027006E">
        <w:t>with related</w:t>
      </w:r>
      <w:r>
        <w:t xml:space="preserve"> outputs, outcomes and impacts. Five </w:t>
      </w:r>
      <w:r w:rsidR="00094FBB">
        <w:t xml:space="preserve">frameworks </w:t>
      </w:r>
      <w:r>
        <w:t>were reviewed to assess the presence or absence of indicators and advice that would support monitoring service</w:t>
      </w:r>
      <w:r w:rsidR="0027006E">
        <w:t>s</w:t>
      </w:r>
      <w:r>
        <w:t xml:space="preserve"> in decentralised contexts. The coverage</w:t>
      </w:r>
      <w:r w:rsidR="0027006E">
        <w:t xml:space="preserve"> of these issues was fairly limited</w:t>
      </w:r>
      <w:r>
        <w:t xml:space="preserve">. </w:t>
      </w:r>
    </w:p>
    <w:p w14:paraId="6E4A620C" w14:textId="77777777" w:rsidR="00AF6A11" w:rsidRDefault="0027006E" w:rsidP="00FC7B2C">
      <w:r>
        <w:t>All of the frameworks</w:t>
      </w:r>
      <w:r w:rsidR="00AF6A11">
        <w:t xml:space="preserve"> could be strengthened by incorporating specific indicators that are important in decentralised contexts, for example the balance of engagement at national and subnational levels. </w:t>
      </w:r>
    </w:p>
    <w:p w14:paraId="36A050FC" w14:textId="4F9EA154" w:rsidR="00AF6A11" w:rsidRPr="00B8233B" w:rsidRDefault="00AF6A11" w:rsidP="00FC7B2C">
      <w:pPr>
        <w:rPr>
          <w:i/>
        </w:rPr>
      </w:pPr>
      <w:r w:rsidRPr="00B8233B">
        <w:rPr>
          <w:b/>
        </w:rPr>
        <w:t>Health:</w:t>
      </w:r>
      <w:r>
        <w:rPr>
          <w:i/>
        </w:rPr>
        <w:t xml:space="preserve"> </w:t>
      </w:r>
      <w:r>
        <w:t xml:space="preserve">The health </w:t>
      </w:r>
      <w:r w:rsidR="0027006E">
        <w:t xml:space="preserve">framework </w:t>
      </w:r>
      <w:r>
        <w:t>proposes a theory of change to ‘</w:t>
      </w:r>
      <w:r w:rsidRPr="009C7E8B">
        <w:rPr>
          <w:i/>
        </w:rPr>
        <w:t>build and sustain fully-financed, equitable, accessible health systems</w:t>
      </w:r>
      <w:r w:rsidR="00D2236B">
        <w:t>.’</w:t>
      </w:r>
      <w:r>
        <w:t xml:space="preserve"> It does not make reference to different levels of government that may have responsibility for health. Several of the indicators (</w:t>
      </w:r>
      <w:r w:rsidR="00EE06A8">
        <w:t>e.g. </w:t>
      </w:r>
      <w:r>
        <w:t xml:space="preserve">government expenditure on health as a percentage of total expenditure) could feasibly be employed at the subnational level, but there are no prompts to do so. The </w:t>
      </w:r>
      <w:r w:rsidR="00075E33">
        <w:t xml:space="preserve">framework </w:t>
      </w:r>
      <w:r>
        <w:t>mentions civil society in its theory of change and includes the outcome that ‘</w:t>
      </w:r>
      <w:r w:rsidRPr="00B9479A">
        <w:rPr>
          <w:i/>
        </w:rPr>
        <w:t>poor and vulnerable people are empowered to improve their health</w:t>
      </w:r>
      <w:r w:rsidR="00D2236B">
        <w:rPr>
          <w:i/>
        </w:rPr>
        <w:t>.’</w:t>
      </w:r>
      <w:r>
        <w:t xml:space="preserve"> Its focus is on reducing barriers to access health services, but it does not deal with the demand side of service delivery or with citizens’ roles in planning or monitoring services and holding governments to account. </w:t>
      </w:r>
    </w:p>
    <w:p w14:paraId="3F4F994E" w14:textId="5D639CEC" w:rsidR="00AF6A11" w:rsidRPr="00B8233B" w:rsidRDefault="00AF6A11" w:rsidP="00FC7B2C">
      <w:pPr>
        <w:rPr>
          <w:i/>
        </w:rPr>
      </w:pPr>
      <w:r w:rsidRPr="00B8233B">
        <w:rPr>
          <w:b/>
        </w:rPr>
        <w:t xml:space="preserve">Education: </w:t>
      </w:r>
      <w:r>
        <w:t xml:space="preserve">The education </w:t>
      </w:r>
      <w:r w:rsidR="00075E33">
        <w:t xml:space="preserve">framework </w:t>
      </w:r>
      <w:r>
        <w:t xml:space="preserve">documentation makes passing reference to decentralised contexts as presenting challenges in quality service provision, and notes that the indicators can </w:t>
      </w:r>
      <w:r w:rsidR="00075E33">
        <w:t xml:space="preserve">also </w:t>
      </w:r>
      <w:r>
        <w:t>be used at the subnational level. One indicator focuses on pro-poor priorities through exerting an influence on ‘political institutions</w:t>
      </w:r>
      <w:r w:rsidR="00D2236B">
        <w:t>.’</w:t>
      </w:r>
      <w:r>
        <w:t xml:space="preserve"> This influence might include encouragement to implement decentralisation reform. The </w:t>
      </w:r>
      <w:r w:rsidR="00075E33">
        <w:t xml:space="preserve">related </w:t>
      </w:r>
      <w:r>
        <w:t>guidance proposes effective management of schools as part of decentralised service delivery and argues that accountability for their performance can be achieved through ‘</w:t>
      </w:r>
      <w:r w:rsidRPr="00B9479A">
        <w:rPr>
          <w:i/>
        </w:rPr>
        <w:t>effective school committees or mechanisms for public scrutiny</w:t>
      </w:r>
      <w:r w:rsidR="00D2236B">
        <w:rPr>
          <w:i/>
        </w:rPr>
        <w:t>.’</w:t>
      </w:r>
      <w:r>
        <w:t xml:space="preserve"> This is reflected in one of the indicators, though the indicator is not well defined. </w:t>
      </w:r>
    </w:p>
    <w:p w14:paraId="6BB9234B" w14:textId="77777777" w:rsidR="00AF6A11" w:rsidRPr="00B8233B" w:rsidRDefault="00AF6A11" w:rsidP="00B9479A">
      <w:pPr>
        <w:ind w:right="-144"/>
        <w:rPr>
          <w:i/>
        </w:rPr>
      </w:pPr>
      <w:r w:rsidRPr="00B8233B">
        <w:rPr>
          <w:b/>
        </w:rPr>
        <w:t>WASH:</w:t>
      </w:r>
      <w:r>
        <w:rPr>
          <w:i/>
        </w:rPr>
        <w:t xml:space="preserve"> </w:t>
      </w:r>
      <w:r>
        <w:t xml:space="preserve">The theory of change in the WASH </w:t>
      </w:r>
      <w:r w:rsidR="00075E33">
        <w:t xml:space="preserve">framework </w:t>
      </w:r>
      <w:r>
        <w:t xml:space="preserve">refers broadly to sustainability in service delivery and strengthening governance arrangements and capacity, but without explicit reference to decentralisation. </w:t>
      </w:r>
      <w:r w:rsidR="00075E33">
        <w:t>It</w:t>
      </w:r>
      <w:r>
        <w:t xml:space="preserve"> includes a number of indicators that support effective service delivery in decentralised contexts, such as an indicator of financial sustainability and equitable conduct of service providers. On the demand side, there are indicators concerning ‘complaint and response mechanisms’ and the proportions of women on committees. Indicators </w:t>
      </w:r>
      <w:r w:rsidR="00075E33">
        <w:t xml:space="preserve">for monitoring the </w:t>
      </w:r>
      <w:r>
        <w:t xml:space="preserve">sustainability of services are also included. </w:t>
      </w:r>
    </w:p>
    <w:p w14:paraId="388BEBE8" w14:textId="69BB9BD3" w:rsidR="00AF6A11" w:rsidRPr="00B8233B" w:rsidRDefault="00AF6A11" w:rsidP="00FC7B2C">
      <w:pPr>
        <w:rPr>
          <w:i/>
        </w:rPr>
      </w:pPr>
      <w:r w:rsidRPr="00B8233B">
        <w:rPr>
          <w:b/>
        </w:rPr>
        <w:t>Infrastructure:</w:t>
      </w:r>
      <w:r>
        <w:rPr>
          <w:i/>
        </w:rPr>
        <w:t xml:space="preserve"> </w:t>
      </w:r>
      <w:r>
        <w:t>The theory of change for infrastructure support is strongly focused on the capacity of institutional actors to plan, implement, maintain and govern infrastructure works. It does not refer to decentralisation. However, the indicators, as for other</w:t>
      </w:r>
      <w:r w:rsidR="00075E33">
        <w:t>s</w:t>
      </w:r>
      <w:r>
        <w:t xml:space="preserve">, </w:t>
      </w:r>
      <w:r w:rsidR="00075E33">
        <w:t>can be used</w:t>
      </w:r>
      <w:r>
        <w:t xml:space="preserve"> at the subnational level. For example, there is mention of a national recurrent budget for road maintenance, which in decentralised contexts should also be considered at the subnational level. There are also indicators of additional numbers of local contractors executing public works and additional person-days generated for labour-based maintenance, which demonstrates a focus on local service provision. There is no representation of demand-side issues in the </w:t>
      </w:r>
      <w:r w:rsidR="00075E33">
        <w:t>framework</w:t>
      </w:r>
      <w:r>
        <w:t>.</w:t>
      </w:r>
    </w:p>
    <w:p w14:paraId="6AE60044" w14:textId="56891FC8" w:rsidR="00AF6A11" w:rsidRDefault="00AF6A11" w:rsidP="00FC7B2C">
      <w:pPr>
        <w:rPr>
          <w:i/>
        </w:rPr>
      </w:pPr>
      <w:r w:rsidRPr="00B8233B">
        <w:rPr>
          <w:b/>
        </w:rPr>
        <w:t>Governance:</w:t>
      </w:r>
      <w:r>
        <w:rPr>
          <w:i/>
        </w:rPr>
        <w:t xml:space="preserve"> </w:t>
      </w:r>
      <w:r>
        <w:t xml:space="preserve">The governance </w:t>
      </w:r>
      <w:r w:rsidR="00075E33">
        <w:t xml:space="preserve">framework </w:t>
      </w:r>
      <w:r>
        <w:t xml:space="preserve">includes a wide range of supply-side and demand-side outcomes that are important for service delivery in decentralised contexts. The governance </w:t>
      </w:r>
      <w:r w:rsidR="00094FBB">
        <w:t xml:space="preserve">framework </w:t>
      </w:r>
      <w:r>
        <w:t xml:space="preserve">mentions that its indicators can be used at the subnational level. There is also some explicit mention of areas of decentralisation that directly affect service delivery, for example in the area of better public sector and financial management there is an output of </w:t>
      </w:r>
      <w:r w:rsidRPr="00B9479A">
        <w:rPr>
          <w:i/>
        </w:rPr>
        <w:t>‘</w:t>
      </w:r>
      <w:r w:rsidR="00560B6D">
        <w:rPr>
          <w:i/>
        </w:rPr>
        <w:t>g</w:t>
      </w:r>
      <w:r w:rsidRPr="00B9479A">
        <w:rPr>
          <w:i/>
        </w:rPr>
        <w:t>reater transparency of national to subnational fiscal relations and more timely and reliable transfer of financial resources</w:t>
      </w:r>
      <w:r w:rsidR="00D2236B">
        <w:rPr>
          <w:i/>
        </w:rPr>
        <w:t>.’</w:t>
      </w:r>
    </w:p>
    <w:p w14:paraId="397D8DB9" w14:textId="77777777" w:rsidR="003D5CD8" w:rsidRPr="00B8233B" w:rsidRDefault="003D5CD8"/>
    <w:bookmarkStart w:id="343" w:name="_Toc408831792"/>
    <w:bookmarkStart w:id="344" w:name="_Toc381953327"/>
    <w:p w14:paraId="20B2C382" w14:textId="77777777" w:rsidR="00AF6A11" w:rsidRDefault="00AF6A11" w:rsidP="00921A4C">
      <w:pPr>
        <w:pStyle w:val="Heading1"/>
        <w:ind w:left="709" w:hanging="709"/>
      </w:pPr>
      <w:r>
        <w:rPr>
          <w:noProof/>
        </w:rPr>
        <mc:AlternateContent>
          <mc:Choice Requires="wps">
            <w:drawing>
              <wp:anchor distT="0" distB="0" distL="114300" distR="114300" simplePos="0" relativeHeight="251767808" behindDoc="1" locked="0" layoutInCell="1" allowOverlap="1" wp14:anchorId="6BBA727E" wp14:editId="6AC74BAC">
                <wp:simplePos x="0" y="0"/>
                <wp:positionH relativeFrom="page">
                  <wp:posOffset>-9525</wp:posOffset>
                </wp:positionH>
                <wp:positionV relativeFrom="paragraph">
                  <wp:posOffset>-163195</wp:posOffset>
                </wp:positionV>
                <wp:extent cx="7610400" cy="1468800"/>
                <wp:effectExtent l="0" t="0" r="0" b="0"/>
                <wp:wrapNone/>
                <wp:docPr id="12" name="Rectangle 12"/>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 o:spid="_x0000_s1026" style="position:absolute;margin-left:-.75pt;margin-top:-12.85pt;width:599.25pt;height:115.6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iN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80o&#10;0azDN3pE1pjeKkHwDgnqjVui3ZN5sIPk8BiqPUjbhX+sgxwiqceJVHHwhOPl2bzIyxy556gryvli&#10;gQLiZK/uxjr/VUBHwqGiFuNHMtn+1vlkOpqEaA5UW9+0SkXBbjdXypI9wxcuZmW5mA/ov5kpHYw1&#10;BLeEGG6yUFoqJp78UYlgp/SjkMgKpj+LmcR+FFMcxrnQvkiqhtUihT/N8TdGDx0cPGKlETAgS4w/&#10;YQ8Ao2UCGbFTloN9cBWxnSfn/G+JJefJI0YG7SfnrtVgPwJQWNUQOdmPJCVqAksbqI/YMxbSMDnD&#10;b1p8t1vm/AOzOD341rgR/D1+pIK+ojCcKGnA/vzoPthjU6OWkh6nsaLux45ZQYn6prHdz4uyDOMb&#10;hfL0bIaCfavZvNXoXXcFoR1w9xgej8Heq/EoLXQvuDjWISqqmOYYu6Lc21G48mlL4OrhYr2OZjiy&#10;hvlb/WR4AA+shr58Prwwa4bm9dj3dzBOLlu+6+FkGzw1rHceZBsb/JXXgW8c99g4w2oK++StHK1e&#10;F+jqFwAAAP//AwBQSwMEFAAGAAgAAAAhAOuq3GPgAAAACwEAAA8AAABkcnMvZG93bnJldi54bWxM&#10;j8FOwzAMhu9IvENkJG5b2qJuo2s6oUlwqMSBjd2zxjTVGqc02VbeHu8EJ8vyp9/fX24m14sLjqHz&#10;pCCdJyCQGm86ahV87l9nKxAhajK694QKfjDAprq/K3Vh/JU+8LKLreAQCoVWYGMcCilDY9HpMPcD&#10;Et++/Oh05HVspRn1lcNdL7MkWUinO+IPVg+4tdicdmenoF6hPbTvdT991/tUbp/e/AEzpR4fppc1&#10;iIhT/IPhps/qULHT0Z/JBNErmKU5kzyzfAniBqTPS253VJAl+QJkVcr/HapfAAAA//8DAFBLAQIt&#10;ABQABgAIAAAAIQC2gziS/gAAAOEBAAATAAAAAAAAAAAAAAAAAAAAAABbQ29udGVudF9UeXBlc10u&#10;eG1sUEsBAi0AFAAGAAgAAAAhADj9If/WAAAAlAEAAAsAAAAAAAAAAAAAAAAALwEAAF9yZWxzLy5y&#10;ZWxzUEsBAi0AFAAGAAgAAAAhAGAGOI2XAgAAiAUAAA4AAAAAAAAAAAAAAAAALgIAAGRycy9lMm9E&#10;b2MueG1sUEsBAi0AFAAGAAgAAAAhAOuq3GPgAAAACwEAAA8AAAAAAAAAAAAAAAAA8QQAAGRycy9k&#10;b3ducmV2LnhtbFBLBQYAAAAABAAEAPMAAAD+BQAAAAA=&#10;" fillcolor="#124486" stroked="f" strokeweight="2pt">
                <w10:wrap anchorx="page"/>
              </v:rect>
            </w:pict>
          </mc:Fallback>
        </mc:AlternateContent>
      </w:r>
      <w:r>
        <w:t>6</w:t>
      </w:r>
      <w:r>
        <w:tab/>
        <w:t>Strategy for service delivery</w:t>
      </w:r>
      <w:bookmarkEnd w:id="343"/>
      <w:r w:rsidRPr="004E3C43">
        <w:rPr>
          <w:noProof/>
        </w:rPr>
        <w:t xml:space="preserve"> </w:t>
      </w:r>
    </w:p>
    <w:p w14:paraId="050308C7" w14:textId="77777777" w:rsidR="00AF6A11" w:rsidRPr="005A520B" w:rsidRDefault="00AF6A11" w:rsidP="00FC7B2C">
      <w:pPr>
        <w:pStyle w:val="BoxHeading"/>
        <w:rPr>
          <w:rStyle w:val="IntenseEmphasis"/>
          <w:b/>
          <w:bCs/>
          <w:i w:val="0"/>
          <w:iCs w:val="0"/>
          <w:color w:val="auto"/>
        </w:rPr>
      </w:pPr>
      <w:r>
        <w:rPr>
          <w:rStyle w:val="IntenseEmphasis"/>
          <w:b/>
          <w:bCs/>
          <w:i w:val="0"/>
          <w:iCs w:val="0"/>
          <w:color w:val="auto"/>
        </w:rPr>
        <w:t>Evaluation question</w:t>
      </w:r>
    </w:p>
    <w:p w14:paraId="607476C2" w14:textId="77777777" w:rsidR="00AF6A11" w:rsidRPr="00B9479A" w:rsidRDefault="00AF6A11" w:rsidP="00B9479A">
      <w:pPr>
        <w:pStyle w:val="BoxBullet"/>
        <w:spacing w:after="0"/>
        <w:rPr>
          <w:rStyle w:val="IntenseEmphasis"/>
          <w:b w:val="0"/>
          <w:bCs w:val="0"/>
          <w:i w:val="0"/>
          <w:iCs w:val="0"/>
          <w:color w:val="auto"/>
        </w:rPr>
      </w:pPr>
      <w:r w:rsidRPr="00465A7D">
        <w:rPr>
          <w:rStyle w:val="IntenseEmphasis"/>
          <w:b w:val="0"/>
          <w:bCs w:val="0"/>
          <w:i w:val="0"/>
          <w:iCs w:val="0"/>
          <w:color w:val="auto"/>
        </w:rPr>
        <w:t>Are decentralisation processes and the role of subnational government in service delivery appropriately taken into account in Australian aid policy and strategy?</w:t>
      </w:r>
    </w:p>
    <w:p w14:paraId="6EFCE0B7" w14:textId="77777777" w:rsidR="00AF6A11" w:rsidRPr="00B9479A" w:rsidRDefault="00AF6A11" w:rsidP="00B9479A">
      <w:pPr>
        <w:spacing w:before="0" w:after="0"/>
      </w:pPr>
    </w:p>
    <w:p w14:paraId="7645D06D" w14:textId="77777777" w:rsidR="00AF6A11" w:rsidRPr="00640918" w:rsidRDefault="00AF6A11" w:rsidP="00B9479A">
      <w:pPr>
        <w:pStyle w:val="BoxHeading"/>
        <w:spacing w:before="0"/>
      </w:pPr>
      <w:r>
        <w:t>Key findings</w:t>
      </w:r>
    </w:p>
    <w:p w14:paraId="6F59E0DA" w14:textId="77777777" w:rsidR="00AF6A11" w:rsidRDefault="00AF6A11" w:rsidP="00B9479A">
      <w:pPr>
        <w:pStyle w:val="BoxBullet"/>
      </w:pPr>
      <w:r>
        <w:t xml:space="preserve">Health, education, infrastructure and governance thematic strategies had limited </w:t>
      </w:r>
      <w:r w:rsidR="00075E33">
        <w:t xml:space="preserve">content related to </w:t>
      </w:r>
      <w:r>
        <w:t xml:space="preserve">decentralisation issues as they relate to service </w:t>
      </w:r>
      <w:r w:rsidR="00075E33">
        <w:t>systems</w:t>
      </w:r>
      <w:r>
        <w:t>.</w:t>
      </w:r>
      <w:r w:rsidRPr="001D2EDB">
        <w:t xml:space="preserve"> </w:t>
      </w:r>
    </w:p>
    <w:p w14:paraId="661403C1" w14:textId="7CFC0DAE" w:rsidR="00AF6A11" w:rsidRDefault="00075E33" w:rsidP="00FC7B2C">
      <w:pPr>
        <w:pStyle w:val="BoxBullet"/>
      </w:pPr>
      <w:r>
        <w:t>Country s</w:t>
      </w:r>
      <w:r w:rsidR="00AF6A11" w:rsidRPr="00211AAE">
        <w:t xml:space="preserve">trategies </w:t>
      </w:r>
      <w:r w:rsidR="00CE432D">
        <w:t xml:space="preserve">(now known as aid investment plans) </w:t>
      </w:r>
      <w:r w:rsidR="00AF6A11" w:rsidRPr="00211AAE">
        <w:t>for Ind</w:t>
      </w:r>
      <w:r w:rsidR="00AF6A11">
        <w:t>onesia, P</w:t>
      </w:r>
      <w:r w:rsidR="00560B6D">
        <w:t xml:space="preserve">apua </w:t>
      </w:r>
      <w:r w:rsidR="00AF6A11">
        <w:t>N</w:t>
      </w:r>
      <w:r w:rsidR="00560B6D">
        <w:t xml:space="preserve">ew </w:t>
      </w:r>
      <w:r w:rsidR="00AF6A11">
        <w:t>G</w:t>
      </w:r>
      <w:r w:rsidR="00560B6D">
        <w:t>uinea (PNG)</w:t>
      </w:r>
      <w:r w:rsidR="00AF6A11">
        <w:t xml:space="preserve"> and the Philippines</w:t>
      </w:r>
      <w:r w:rsidR="00AF6A11" w:rsidRPr="00211AAE">
        <w:t xml:space="preserve"> provide</w:t>
      </w:r>
      <w:r w:rsidR="00AF6A11">
        <w:t>d</w:t>
      </w:r>
      <w:r w:rsidR="00AF6A11" w:rsidRPr="00211AAE">
        <w:t xml:space="preserve"> </w:t>
      </w:r>
      <w:r w:rsidR="00AF6A11" w:rsidRPr="00367DB8">
        <w:t>sufficient</w:t>
      </w:r>
      <w:r w:rsidR="00AF6A11">
        <w:t xml:space="preserve"> analysis of</w:t>
      </w:r>
      <w:r w:rsidR="00AF6A11" w:rsidRPr="00211AAE">
        <w:t xml:space="preserve"> </w:t>
      </w:r>
      <w:r w:rsidR="00AF6A11">
        <w:t>the decentralised context.</w:t>
      </w:r>
      <w:r w:rsidR="00AF6A11" w:rsidRPr="00A35C74">
        <w:t xml:space="preserve"> </w:t>
      </w:r>
      <w:r w:rsidR="00AF6A11">
        <w:t xml:space="preserve">Country strategies for Solomon Islands, Vietnam and Bangladesh </w:t>
      </w:r>
      <w:r>
        <w:t xml:space="preserve">included </w:t>
      </w:r>
      <w:r w:rsidR="00AF6A11">
        <w:t>limited</w:t>
      </w:r>
      <w:r>
        <w:t xml:space="preserve"> </w:t>
      </w:r>
      <w:r w:rsidR="00681133">
        <w:t xml:space="preserve">and at times inadequate </w:t>
      </w:r>
      <w:r>
        <w:t>discussion of</w:t>
      </w:r>
      <w:r w:rsidR="00AF6A11">
        <w:t xml:space="preserve"> subnat</w:t>
      </w:r>
      <w:r w:rsidR="0023001A">
        <w:t>ional roles or decentralisation</w:t>
      </w:r>
      <w:r w:rsidR="00AF6A11">
        <w:t xml:space="preserve">, particularly the case of Vietnam. </w:t>
      </w:r>
    </w:p>
    <w:p w14:paraId="28E0E6FF" w14:textId="0E284A88" w:rsidR="00AF6A11" w:rsidRDefault="00AF6A11" w:rsidP="00704A75">
      <w:pPr>
        <w:pStyle w:val="BoxBullet"/>
      </w:pPr>
      <w:r>
        <w:t xml:space="preserve">Policy guidance </w:t>
      </w:r>
      <w:r w:rsidR="00681133">
        <w:t xml:space="preserve">for preparing strategy documents </w:t>
      </w:r>
      <w:r>
        <w:t>does not contain adequate detail or prompts to consider decentralisation.</w:t>
      </w:r>
      <w:r w:rsidR="00681133">
        <w:t xml:space="preserve"> </w:t>
      </w:r>
      <w:r>
        <w:t xml:space="preserve">The phrase ‘partner government’ does not usually </w:t>
      </w:r>
      <w:r w:rsidR="00681133">
        <w:t xml:space="preserve">mean </w:t>
      </w:r>
      <w:r>
        <w:t xml:space="preserve">(implicitly or explicitly) the full range of sector agencies and subnational levels that comprise a government system. There </w:t>
      </w:r>
      <w:r w:rsidR="00560B6D">
        <w:t>were no</w:t>
      </w:r>
      <w:r>
        <w:t xml:space="preserve"> prompts to consider </w:t>
      </w:r>
      <w:r w:rsidR="00681133">
        <w:t>different</w:t>
      </w:r>
      <w:r>
        <w:t xml:space="preserve"> levels of partner government systems.</w:t>
      </w:r>
    </w:p>
    <w:p w14:paraId="570A7CFB" w14:textId="23F73F06" w:rsidR="00AF6A11" w:rsidRDefault="00681133" w:rsidP="00B9479A">
      <w:pPr>
        <w:pStyle w:val="BoxBullet"/>
        <w:spacing w:after="0"/>
      </w:pPr>
      <w:r>
        <w:t xml:space="preserve">Delivery strategies </w:t>
      </w:r>
      <w:r w:rsidR="00A10FCB">
        <w:t xml:space="preserve">(now known as </w:t>
      </w:r>
      <w:r w:rsidR="000659B3">
        <w:t>sector</w:t>
      </w:r>
      <w:r w:rsidR="00A10FCB">
        <w:t xml:space="preserve"> investment plans) </w:t>
      </w:r>
      <w:r>
        <w:t xml:space="preserve">had an appropriate level of analysis of decentralisation, although only a limited number were reviewed. </w:t>
      </w:r>
      <w:r w:rsidR="00AF6A11">
        <w:t>Delivery strategies have the potential to play a stronger role in guiding programming.</w:t>
      </w:r>
      <w:r w:rsidR="00AF6A11" w:rsidRPr="00965236">
        <w:t xml:space="preserve"> </w:t>
      </w:r>
      <w:r w:rsidR="00AF6A11">
        <w:t>Delivery strategies are the appropriate level to analyse decentralisation and the role of subnational government and identify strategic and complementary entry points for aid and the best type of aid.</w:t>
      </w:r>
    </w:p>
    <w:p w14:paraId="486999CD" w14:textId="77777777" w:rsidR="00AF6A11" w:rsidRPr="00B9479A" w:rsidRDefault="00AF6A11" w:rsidP="00B9479A">
      <w:pPr>
        <w:spacing w:before="0" w:after="0"/>
      </w:pPr>
    </w:p>
    <w:p w14:paraId="1205FD9E" w14:textId="77777777" w:rsidR="00F100ED" w:rsidRDefault="00F100ED" w:rsidP="00F100ED">
      <w:pPr>
        <w:pStyle w:val="RecommendationName"/>
      </w:pPr>
      <w:r>
        <w:t>Recommendation 3</w:t>
      </w:r>
    </w:p>
    <w:p w14:paraId="2CF8E08A" w14:textId="62CAD816" w:rsidR="00C46939" w:rsidRPr="00844338" w:rsidRDefault="00F100ED" w:rsidP="005643C1">
      <w:pPr>
        <w:pStyle w:val="RecommendationText"/>
      </w:pPr>
      <w:r w:rsidRPr="00FB4494">
        <w:t xml:space="preserve">As DFAT </w:t>
      </w:r>
      <w:r>
        <w:t xml:space="preserve">updates key strategy </w:t>
      </w:r>
      <w:r w:rsidRPr="00FB4494">
        <w:t>and guidance documents</w:t>
      </w:r>
      <w:r>
        <w:t>,</w:t>
      </w:r>
      <w:r w:rsidRPr="00FB4494">
        <w:t xml:space="preserve"> decentralisation and subnational roles</w:t>
      </w:r>
      <w:r>
        <w:t xml:space="preserve"> should be considered</w:t>
      </w:r>
      <w:r w:rsidRPr="00FB4494">
        <w:t xml:space="preserve"> and staff </w:t>
      </w:r>
      <w:r>
        <w:t xml:space="preserve">referred </w:t>
      </w:r>
      <w:r w:rsidRPr="00FB4494">
        <w:t xml:space="preserve">to relevant resources, including </w:t>
      </w:r>
      <w:r>
        <w:t xml:space="preserve">the </w:t>
      </w:r>
      <w:r w:rsidRPr="00FB4494">
        <w:t xml:space="preserve">practice notes </w:t>
      </w:r>
      <w:r>
        <w:t xml:space="preserve">developed </w:t>
      </w:r>
      <w:r w:rsidRPr="00FB4494">
        <w:t xml:space="preserve">in this evaluation. </w:t>
      </w:r>
      <w:r>
        <w:t xml:space="preserve">In particular, DFAT should </w:t>
      </w:r>
      <w:r w:rsidRPr="00844338">
        <w:t xml:space="preserve">expand </w:t>
      </w:r>
      <w:r>
        <w:t>the</w:t>
      </w:r>
      <w:r w:rsidRPr="00844338">
        <w:t xml:space="preserve"> </w:t>
      </w:r>
      <w:r>
        <w:t xml:space="preserve">‘working in partner systems’ </w:t>
      </w:r>
      <w:r w:rsidRPr="00844338">
        <w:t xml:space="preserve">guidance and assessment tools beyond public financial management </w:t>
      </w:r>
      <w:r>
        <w:t xml:space="preserve">and risk management </w:t>
      </w:r>
      <w:r w:rsidRPr="00844338">
        <w:t>concerns</w:t>
      </w:r>
      <w:r>
        <w:t>, to include broader public sector capabilities such as human resources, monitoring and evaluation and sector-specific technical expertise.</w:t>
      </w:r>
    </w:p>
    <w:p w14:paraId="53B5A86F" w14:textId="77777777" w:rsidR="00675E65" w:rsidRDefault="00675E65" w:rsidP="00FC7B2C">
      <w:pPr>
        <w:pStyle w:val="NormalBeforeBullet"/>
      </w:pPr>
    </w:p>
    <w:p w14:paraId="70C61D1D" w14:textId="77777777" w:rsidR="00AF6A11" w:rsidRDefault="00AF6A11" w:rsidP="00FC7B2C">
      <w:pPr>
        <w:pStyle w:val="NormalBeforeBullet"/>
      </w:pPr>
      <w:r>
        <w:t>This chapter reviews key strategy documents that support service delivery in decentralised contexts, using the</w:t>
      </w:r>
      <w:r w:rsidRPr="002A1747">
        <w:t xml:space="preserve"> criteria of </w:t>
      </w:r>
      <w:r w:rsidRPr="00B9479A">
        <w:t>analysis and learning, equity</w:t>
      </w:r>
      <w:r w:rsidRPr="008B62D4">
        <w:t xml:space="preserve"> and </w:t>
      </w:r>
      <w:r w:rsidRPr="00B9479A">
        <w:t>coherence</w:t>
      </w:r>
      <w:r>
        <w:t>. This chapter also considers staff perspectives on how these documents are used in practice. Documents included:</w:t>
      </w:r>
    </w:p>
    <w:p w14:paraId="7B57E2C8" w14:textId="77777777" w:rsidR="00AF6A11" w:rsidRDefault="00AF6A11" w:rsidP="00FC7B2C">
      <w:pPr>
        <w:pStyle w:val="Bullet"/>
      </w:pPr>
      <w:r w:rsidRPr="00211AAE">
        <w:t>thematic strategies (</w:t>
      </w:r>
      <w:r>
        <w:t xml:space="preserve">health, education, water, sanitation and hygiene (WASH), </w:t>
      </w:r>
      <w:r w:rsidRPr="00211AAE">
        <w:t>infrastructure</w:t>
      </w:r>
      <w:r>
        <w:t xml:space="preserve"> and governance; Section 6.1</w:t>
      </w:r>
      <w:r w:rsidRPr="00211AAE">
        <w:t xml:space="preserve">) </w:t>
      </w:r>
    </w:p>
    <w:p w14:paraId="75A41F98" w14:textId="77777777" w:rsidR="00AF6A11" w:rsidRDefault="00AF6A11" w:rsidP="00FC7B2C">
      <w:pPr>
        <w:pStyle w:val="Bullet"/>
      </w:pPr>
      <w:r w:rsidRPr="00211AAE">
        <w:t xml:space="preserve">country </w:t>
      </w:r>
      <w:r>
        <w:t xml:space="preserve">program </w:t>
      </w:r>
      <w:r w:rsidRPr="00211AAE">
        <w:t xml:space="preserve">strategies </w:t>
      </w:r>
      <w:r>
        <w:t>(Indonesia, PNG, Philippines, Solomon Islands, Vietnam and Bangladesh; Section 6.2)</w:t>
      </w:r>
    </w:p>
    <w:p w14:paraId="345CFDAF" w14:textId="77777777" w:rsidR="00AF6A11" w:rsidRDefault="00AF6A11" w:rsidP="00FC7B2C">
      <w:pPr>
        <w:pStyle w:val="BulletLast"/>
      </w:pPr>
      <w:r w:rsidRPr="00211AAE">
        <w:t>sector delivery str</w:t>
      </w:r>
      <w:r>
        <w:t>ategies (PNG health and education; Section 6.3).</w:t>
      </w:r>
    </w:p>
    <w:p w14:paraId="6E7CF8F7" w14:textId="77777777" w:rsidR="00AF6A11" w:rsidRDefault="00AF6A11" w:rsidP="00FC7B2C">
      <w:r>
        <w:t>Policy and guidelines on strategy development were also reviewed.</w:t>
      </w:r>
      <w:r w:rsidRPr="00211AAE">
        <w:t xml:space="preserve"> </w:t>
      </w:r>
    </w:p>
    <w:p w14:paraId="4B680621" w14:textId="77777777" w:rsidR="00AF6A11" w:rsidRPr="00213E7D" w:rsidRDefault="00AF6A11" w:rsidP="00FC7B2C">
      <w:pPr>
        <w:pStyle w:val="Heading2"/>
        <w:numPr>
          <w:ilvl w:val="1"/>
          <w:numId w:val="0"/>
        </w:numPr>
        <w:spacing w:before="360" w:after="240" w:line="288" w:lineRule="auto"/>
      </w:pPr>
      <w:bookmarkStart w:id="345" w:name="_Toc360802263"/>
      <w:bookmarkStart w:id="346" w:name="_Toc371368490"/>
      <w:bookmarkStart w:id="347" w:name="_Ref371621736"/>
      <w:bookmarkStart w:id="348" w:name="_Ref371621959"/>
      <w:bookmarkStart w:id="349" w:name="_Ref371623466"/>
      <w:bookmarkStart w:id="350" w:name="_Ref371623483"/>
      <w:bookmarkStart w:id="351" w:name="_Ref371971046"/>
      <w:bookmarkStart w:id="352" w:name="_Toc382563936"/>
      <w:bookmarkStart w:id="353" w:name="_Toc382595890"/>
      <w:bookmarkStart w:id="354" w:name="_Toc408831793"/>
      <w:r>
        <w:t>6.1</w:t>
      </w:r>
      <w:r>
        <w:tab/>
      </w:r>
      <w:r w:rsidRPr="00213E7D">
        <w:t>Review of thematic strategies</w:t>
      </w:r>
      <w:bookmarkEnd w:id="345"/>
      <w:bookmarkEnd w:id="346"/>
      <w:bookmarkEnd w:id="347"/>
      <w:bookmarkEnd w:id="348"/>
      <w:bookmarkEnd w:id="349"/>
      <w:bookmarkEnd w:id="350"/>
      <w:bookmarkEnd w:id="351"/>
      <w:bookmarkEnd w:id="352"/>
      <w:bookmarkEnd w:id="353"/>
      <w:bookmarkEnd w:id="354"/>
      <w:r w:rsidRPr="00213E7D">
        <w:t xml:space="preserve"> </w:t>
      </w:r>
    </w:p>
    <w:p w14:paraId="70BFF721" w14:textId="0EB14635" w:rsidR="00AF6A11" w:rsidRDefault="00AF6A11" w:rsidP="00FC7B2C">
      <w:r>
        <w:t>Thematic strategies do not consistently address issues related to service delivery in decentralised contexts</w:t>
      </w:r>
      <w:r w:rsidRPr="00211AAE">
        <w:t xml:space="preserve"> and </w:t>
      </w:r>
      <w:r>
        <w:t>subnational roles (Table </w:t>
      </w:r>
      <w:r w:rsidR="003B5F1B">
        <w:t>5</w:t>
      </w:r>
      <w:r>
        <w:t>)</w:t>
      </w:r>
      <w:r w:rsidRPr="00211AAE">
        <w:t xml:space="preserve">. </w:t>
      </w:r>
      <w:r w:rsidR="00681133">
        <w:t>While</w:t>
      </w:r>
      <w:r>
        <w:t xml:space="preserve"> such strategies are high-level documents and detailed coverage of </w:t>
      </w:r>
      <w:r w:rsidR="00681133">
        <w:t xml:space="preserve">these </w:t>
      </w:r>
      <w:r>
        <w:t xml:space="preserve">issues was not expected, some reference to important dimensions of decentralisation for service </w:t>
      </w:r>
      <w:r w:rsidR="00681133">
        <w:t xml:space="preserve">systems </w:t>
      </w:r>
      <w:r w:rsidR="000659B3">
        <w:t>is</w:t>
      </w:r>
      <w:r w:rsidR="00681133">
        <w:t xml:space="preserve"> appropriate</w:t>
      </w:r>
      <w:r>
        <w:t xml:space="preserve">. </w:t>
      </w:r>
    </w:p>
    <w:p w14:paraId="05F22CC9" w14:textId="77777777" w:rsidR="00952A52" w:rsidRDefault="00952A52" w:rsidP="00952A52">
      <w:pPr>
        <w:pStyle w:val="Heading3"/>
      </w:pPr>
      <w:bookmarkStart w:id="355" w:name="_Toc371368491"/>
      <w:bookmarkStart w:id="356" w:name="_Toc372300880"/>
      <w:bookmarkStart w:id="357" w:name="_Toc382563937"/>
      <w:bookmarkStart w:id="358" w:name="_Toc382595891"/>
      <w:r>
        <w:t>Analysis and learning</w:t>
      </w:r>
      <w:bookmarkEnd w:id="355"/>
      <w:r>
        <w:t xml:space="preserve"> </w:t>
      </w:r>
      <w:bookmarkStart w:id="359" w:name="OLE_LINK3"/>
      <w:bookmarkStart w:id="360" w:name="OLE_LINK4"/>
      <w:r>
        <w:t>in health, education and infrastructure strategies</w:t>
      </w:r>
      <w:bookmarkEnd w:id="356"/>
      <w:bookmarkEnd w:id="357"/>
      <w:bookmarkEnd w:id="358"/>
      <w:bookmarkEnd w:id="359"/>
      <w:bookmarkEnd w:id="360"/>
    </w:p>
    <w:p w14:paraId="36ACC368" w14:textId="77777777" w:rsidR="00952A52" w:rsidRDefault="00952A52" w:rsidP="00952A52">
      <w:r>
        <w:t xml:space="preserve">This section presents findings against five main areas with respect to analysis and learning related to the context, the supply and demand sides of service delivery, guidance on working in decentralised contexts, and strength of the evidence. </w:t>
      </w:r>
    </w:p>
    <w:p w14:paraId="1CD142F4" w14:textId="77777777" w:rsidR="00952A52" w:rsidRDefault="00952A52" w:rsidP="00952A52">
      <w:pPr>
        <w:rPr>
          <w:i/>
        </w:rPr>
      </w:pPr>
      <w:r w:rsidRPr="0087428D">
        <w:rPr>
          <w:b/>
        </w:rPr>
        <w:t>Decentralisation context</w:t>
      </w:r>
      <w:r w:rsidRPr="0087428D">
        <w:t>: The</w:t>
      </w:r>
      <w:r>
        <w:t xml:space="preserve"> education, WASH and infrastructure strategies all made some reference to the implications of decentralisation for service delivery. An example in the WASH strategy is the explicit reference to how support should be tailored as a result of decentralisation: ‘</w:t>
      </w:r>
      <w:r w:rsidRPr="005D273F">
        <w:rPr>
          <w:i/>
        </w:rPr>
        <w:t>There will be a focus on building capacity, cost recovery and water safety planning at local government levels, recognising the trend of national governments to decentralise service delivery</w:t>
      </w:r>
      <w:r>
        <w:t>.’</w:t>
      </w:r>
      <w:r>
        <w:rPr>
          <w:rStyle w:val="EndnoteReference"/>
        </w:rPr>
        <w:endnoteReference w:id="259"/>
      </w:r>
      <w:r w:rsidRPr="00065D63">
        <w:t xml:space="preserve"> The third pillar of the WASH strategy is specifically aimed a</w:t>
      </w:r>
      <w:r>
        <w:t>t</w:t>
      </w:r>
      <w:r w:rsidRPr="00065D63">
        <w:t xml:space="preserve"> ‘creating sustainable services</w:t>
      </w:r>
      <w:r>
        <w:t>.’ Such measures are</w:t>
      </w:r>
      <w:r w:rsidRPr="00065D63">
        <w:t xml:space="preserve"> described as </w:t>
      </w:r>
      <w:r>
        <w:t>‘</w:t>
      </w:r>
      <w:r>
        <w:rPr>
          <w:i/>
        </w:rPr>
        <w:t>s</w:t>
      </w:r>
      <w:r w:rsidRPr="005D273F">
        <w:rPr>
          <w:i/>
        </w:rPr>
        <w:t>upport policies and strategies that keep services operating after they are built. This includes better governance through public sector reform and improving service delivery though partnerships with civil society and the private sector</w:t>
      </w:r>
      <w:r>
        <w:rPr>
          <w:i/>
        </w:rPr>
        <w:t>.’</w:t>
      </w:r>
      <w:r>
        <w:rPr>
          <w:rStyle w:val="EndnoteReference"/>
          <w:i/>
        </w:rPr>
        <w:endnoteReference w:id="260"/>
      </w:r>
    </w:p>
    <w:p w14:paraId="230239C6" w14:textId="77777777" w:rsidR="00952A52" w:rsidRPr="0087428D" w:rsidRDefault="00952A52" w:rsidP="00952A52">
      <w:pPr>
        <w:rPr>
          <w:iCs/>
        </w:rPr>
      </w:pPr>
      <w:r w:rsidRPr="0087428D">
        <w:rPr>
          <w:b/>
        </w:rPr>
        <w:t>Supply</w:t>
      </w:r>
      <w:r>
        <w:rPr>
          <w:b/>
        </w:rPr>
        <w:t xml:space="preserve"> </w:t>
      </w:r>
      <w:r w:rsidRPr="0087428D">
        <w:rPr>
          <w:b/>
        </w:rPr>
        <w:t>side:</w:t>
      </w:r>
      <w:r>
        <w:t xml:space="preserve"> The infrastructure strategy was strongest in discussing supply-side issues of service delivery in decentralised contexts. This strategy referred to subnational capacity and financial resources, for example, ‘</w:t>
      </w:r>
      <w:r>
        <w:rPr>
          <w:i/>
        </w:rPr>
        <w:t>m</w:t>
      </w:r>
      <w:r w:rsidRPr="005D273F">
        <w:rPr>
          <w:i/>
        </w:rPr>
        <w:t>any developing countries do not have the institutional capacity, experience and expertise at all levels of government to develop infrastructure policies and mobilise the funds required to build and maintain their infrastructure assets</w:t>
      </w:r>
      <w:r>
        <w:t>.’</w:t>
      </w:r>
      <w:r>
        <w:rPr>
          <w:rStyle w:val="EndnoteReference"/>
        </w:rPr>
        <w:endnoteReference w:id="261"/>
      </w:r>
      <w:r>
        <w:t xml:space="preserve"> </w:t>
      </w:r>
    </w:p>
    <w:p w14:paraId="276F1E13" w14:textId="77777777" w:rsidR="00952A52" w:rsidRDefault="00952A52" w:rsidP="00952A52">
      <w:pPr>
        <w:rPr>
          <w:i/>
        </w:rPr>
      </w:pPr>
      <w:r>
        <w:t>The other strategies paid less attention to supply-side issues, although they are mentioned in education and WASH. For example, the education strategy notes that ‘</w:t>
      </w:r>
      <w:r w:rsidRPr="00B9479A">
        <w:rPr>
          <w:i/>
        </w:rPr>
        <w:t>decentralised responsibilities for schools can make it difficult to scale up effective models of school management</w:t>
      </w:r>
      <w:r>
        <w:rPr>
          <w:i/>
        </w:rPr>
        <w:t>.’</w:t>
      </w:r>
      <w:r w:rsidRPr="00465A7D">
        <w:rPr>
          <w:rStyle w:val="EndnoteReference"/>
          <w:i/>
        </w:rPr>
        <w:endnoteReference w:id="262"/>
      </w:r>
      <w:r>
        <w:t xml:space="preserve"> The WASH strategy describes issues concerning financial management and suggests ways to address these: ‘</w:t>
      </w:r>
      <w:r>
        <w:rPr>
          <w:i/>
        </w:rPr>
        <w:t>I</w:t>
      </w:r>
      <w:r w:rsidRPr="00B9479A">
        <w:rPr>
          <w:i/>
        </w:rPr>
        <w:t>n many cases the resources allocated for WASH infrastructure need to be used more efficiently and align with investments by partner governments, private sector and other donors to deliver real results. This can be done incrementally by better understanding how to promote policy reform and address governance issues around public financial management and procurement.’</w:t>
      </w:r>
      <w:r>
        <w:rPr>
          <w:rStyle w:val="EndnoteReference"/>
        </w:rPr>
        <w:endnoteReference w:id="263"/>
      </w:r>
    </w:p>
    <w:p w14:paraId="737FB93C" w14:textId="542F66A7" w:rsidR="00952A52" w:rsidRDefault="00BA7B34" w:rsidP="00FC7B2C">
      <w:r w:rsidRPr="0087428D">
        <w:rPr>
          <w:rStyle w:val="Emphasis"/>
          <w:b/>
          <w:i w:val="0"/>
          <w:iCs w:val="0"/>
        </w:rPr>
        <w:t>Demand</w:t>
      </w:r>
      <w:r>
        <w:rPr>
          <w:rStyle w:val="Emphasis"/>
          <w:b/>
          <w:i w:val="0"/>
          <w:iCs w:val="0"/>
        </w:rPr>
        <w:t xml:space="preserve"> </w:t>
      </w:r>
      <w:r w:rsidRPr="0087428D">
        <w:rPr>
          <w:rStyle w:val="Emphasis"/>
          <w:b/>
          <w:i w:val="0"/>
          <w:iCs w:val="0"/>
        </w:rPr>
        <w:t>side:</w:t>
      </w:r>
      <w:r>
        <w:rPr>
          <w:rStyle w:val="Emphasis"/>
          <w:i w:val="0"/>
          <w:iCs w:val="0"/>
        </w:rPr>
        <w:t xml:space="preserve"> </w:t>
      </w:r>
      <w:r>
        <w:t>All strategies</w:t>
      </w:r>
      <w:r w:rsidRPr="00211AAE">
        <w:t xml:space="preserve"> </w:t>
      </w:r>
      <w:r>
        <w:t>provided guidance on the</w:t>
      </w:r>
      <w:r w:rsidRPr="00211AAE">
        <w:t xml:space="preserve"> demand-side elements of s</w:t>
      </w:r>
      <w:r>
        <w:t>ervice delivery. M</w:t>
      </w:r>
      <w:r w:rsidRPr="00211AAE">
        <w:t xml:space="preserve">echanisms for participation of citizens and marginalised groups in planning, management or monitoring of services were often mentioned. </w:t>
      </w:r>
      <w:r>
        <w:t>For example, the health strategy notes that ‘</w:t>
      </w:r>
      <w:r w:rsidRPr="00B9479A">
        <w:rPr>
          <w:i/>
        </w:rPr>
        <w:t>Australia will provide targeted funding to civil society and advocacy groups to enable them to demand quality health services on behalf of the communities they represent, be active partners in their health and hold authorities accountable for the quality and accessibility of services.</w:t>
      </w:r>
      <w:r>
        <w:t>’</w:t>
      </w:r>
      <w:r>
        <w:rPr>
          <w:rStyle w:val="EndnoteReference"/>
          <w:i/>
        </w:rPr>
        <w:endnoteReference w:id="264"/>
      </w:r>
      <w:r>
        <w:t xml:space="preserve"> </w:t>
      </w:r>
      <w:r w:rsidRPr="00211AAE">
        <w:t xml:space="preserve">However, as </w:t>
      </w:r>
      <w:r>
        <w:t>evidenced in Chapters 4, 5 and 6</w:t>
      </w:r>
      <w:r w:rsidRPr="00211AAE">
        <w:t xml:space="preserve">, </w:t>
      </w:r>
      <w:r>
        <w:t xml:space="preserve">we did not find that </w:t>
      </w:r>
      <w:r w:rsidRPr="00211AAE">
        <w:t>this commitment flow</w:t>
      </w:r>
      <w:r>
        <w:t>ed</w:t>
      </w:r>
      <w:r w:rsidRPr="00211AAE">
        <w:t xml:space="preserve"> through </w:t>
      </w:r>
      <w:r>
        <w:t xml:space="preserve">consistently </w:t>
      </w:r>
      <w:r w:rsidRPr="00211AAE">
        <w:t xml:space="preserve">in sectoral design </w:t>
      </w:r>
      <w:r>
        <w:t>and implementation</w:t>
      </w:r>
      <w:r w:rsidRPr="00211AAE">
        <w:t>.</w:t>
      </w:r>
      <w:r>
        <w:t xml:space="preserve"> </w:t>
      </w:r>
    </w:p>
    <w:p w14:paraId="31986AE4" w14:textId="77777777" w:rsidR="00952A52" w:rsidRDefault="00952A52">
      <w:pPr>
        <w:spacing w:before="0" w:after="0" w:line="240" w:lineRule="auto"/>
        <w:rPr>
          <w:b/>
          <w:bCs/>
          <w:sz w:val="22"/>
          <w:szCs w:val="21"/>
        </w:rPr>
      </w:pPr>
      <w:r>
        <w:br w:type="page"/>
      </w:r>
    </w:p>
    <w:p w14:paraId="0F789059" w14:textId="25E5B36C" w:rsidR="00AF6A11" w:rsidRDefault="00AF6A11" w:rsidP="00FC7B2C">
      <w:pPr>
        <w:pStyle w:val="TableName"/>
      </w:pPr>
      <w:r>
        <w:t xml:space="preserve">Table </w:t>
      </w:r>
      <w:r w:rsidR="003B5F1B">
        <w:t>5</w:t>
      </w:r>
      <w:r>
        <w:tab/>
        <w:t>Review of thematic strategies</w:t>
      </w:r>
    </w:p>
    <w:tbl>
      <w:tblPr>
        <w:tblStyle w:val="TableGrid"/>
        <w:tblW w:w="0" w:type="auto"/>
        <w:tblInd w:w="-34" w:type="dxa"/>
        <w:tblLayout w:type="fixed"/>
        <w:tblLook w:val="04A0" w:firstRow="1" w:lastRow="0" w:firstColumn="1" w:lastColumn="0" w:noHBand="0" w:noVBand="1"/>
      </w:tblPr>
      <w:tblGrid>
        <w:gridCol w:w="1135"/>
        <w:gridCol w:w="3118"/>
        <w:gridCol w:w="851"/>
        <w:gridCol w:w="992"/>
        <w:gridCol w:w="709"/>
        <w:gridCol w:w="283"/>
        <w:gridCol w:w="992"/>
        <w:gridCol w:w="142"/>
        <w:gridCol w:w="1054"/>
      </w:tblGrid>
      <w:tr w:rsidR="00952A52" w:rsidRPr="001B6F67" w14:paraId="1283C9ED" w14:textId="77777777" w:rsidTr="000659B3">
        <w:trPr>
          <w:cnfStyle w:val="100000000000" w:firstRow="1" w:lastRow="0" w:firstColumn="0" w:lastColumn="0" w:oddVBand="0" w:evenVBand="0" w:oddHBand="0" w:evenHBand="0" w:firstRowFirstColumn="0" w:firstRowLastColumn="0" w:lastRowFirstColumn="0" w:lastRowLastColumn="0"/>
        </w:trPr>
        <w:tc>
          <w:tcPr>
            <w:tcW w:w="1135" w:type="dxa"/>
          </w:tcPr>
          <w:p w14:paraId="1F46546A" w14:textId="77777777" w:rsidR="00AF6A11" w:rsidRPr="001B6F67" w:rsidRDefault="00AF6A11" w:rsidP="001B6F67">
            <w:pPr>
              <w:pStyle w:val="TableHeading"/>
              <w:rPr>
                <w:rStyle w:val="IntenseEmphasis"/>
                <w:b/>
                <w:bCs/>
                <w:i w:val="0"/>
                <w:iCs w:val="0"/>
                <w:color w:val="FFFFFF" w:themeColor="background1"/>
              </w:rPr>
            </w:pPr>
          </w:p>
        </w:tc>
        <w:tc>
          <w:tcPr>
            <w:tcW w:w="3118" w:type="dxa"/>
          </w:tcPr>
          <w:p w14:paraId="6821352E" w14:textId="77777777" w:rsidR="00AF6A11" w:rsidRPr="001B6F67" w:rsidRDefault="00AF6A11" w:rsidP="001B6F67">
            <w:pPr>
              <w:pStyle w:val="TableHeading"/>
              <w:rPr>
                <w:rStyle w:val="IntenseEmphasis"/>
                <w:b/>
                <w:bCs/>
                <w:i w:val="0"/>
                <w:iCs w:val="0"/>
                <w:color w:val="FFFFFF" w:themeColor="background1"/>
              </w:rPr>
            </w:pPr>
          </w:p>
        </w:tc>
        <w:tc>
          <w:tcPr>
            <w:tcW w:w="851" w:type="dxa"/>
          </w:tcPr>
          <w:p w14:paraId="5D021B46" w14:textId="77777777" w:rsidR="00AF6A11" w:rsidRPr="000659B3" w:rsidRDefault="00AF6A11" w:rsidP="001B6F67">
            <w:pPr>
              <w:pStyle w:val="TableHeading"/>
              <w:rPr>
                <w:rFonts w:asciiTheme="minorHAnsi" w:eastAsia="Calibri" w:hAnsiTheme="minorHAnsi" w:cstheme="minorHAnsi"/>
                <w:sz w:val="16"/>
                <w:szCs w:val="16"/>
              </w:rPr>
            </w:pPr>
            <w:r w:rsidRPr="000659B3">
              <w:rPr>
                <w:rFonts w:asciiTheme="minorHAnsi" w:eastAsia="Calibri" w:hAnsiTheme="minorHAnsi" w:cstheme="minorHAnsi"/>
                <w:sz w:val="16"/>
                <w:szCs w:val="16"/>
              </w:rPr>
              <w:t xml:space="preserve">Health </w:t>
            </w:r>
          </w:p>
        </w:tc>
        <w:tc>
          <w:tcPr>
            <w:tcW w:w="992" w:type="dxa"/>
          </w:tcPr>
          <w:p w14:paraId="34DD260C" w14:textId="7A00D17F" w:rsidR="00AF6A11" w:rsidRPr="000659B3" w:rsidRDefault="00AF6A11" w:rsidP="001B6F67">
            <w:pPr>
              <w:pStyle w:val="TableHeading"/>
              <w:rPr>
                <w:rFonts w:asciiTheme="minorHAnsi" w:eastAsia="Calibri" w:hAnsiTheme="minorHAnsi" w:cstheme="minorHAnsi"/>
                <w:sz w:val="16"/>
                <w:szCs w:val="16"/>
              </w:rPr>
            </w:pPr>
            <w:r w:rsidRPr="000659B3">
              <w:rPr>
                <w:rFonts w:asciiTheme="minorHAnsi" w:eastAsia="Calibri" w:hAnsiTheme="minorHAnsi" w:cstheme="minorHAnsi"/>
                <w:sz w:val="16"/>
                <w:szCs w:val="16"/>
              </w:rPr>
              <w:t>Education</w:t>
            </w:r>
          </w:p>
        </w:tc>
        <w:tc>
          <w:tcPr>
            <w:tcW w:w="709" w:type="dxa"/>
          </w:tcPr>
          <w:p w14:paraId="23095721" w14:textId="77777777" w:rsidR="00AF6A11" w:rsidRPr="000659B3" w:rsidRDefault="00AF6A11" w:rsidP="001B6F67">
            <w:pPr>
              <w:pStyle w:val="TableHeading"/>
              <w:rPr>
                <w:rFonts w:asciiTheme="minorHAnsi" w:eastAsia="Calibri" w:hAnsiTheme="minorHAnsi" w:cstheme="minorHAnsi"/>
                <w:sz w:val="16"/>
                <w:szCs w:val="16"/>
              </w:rPr>
            </w:pPr>
            <w:r w:rsidRPr="000659B3">
              <w:rPr>
                <w:rFonts w:asciiTheme="minorHAnsi" w:eastAsia="Calibri" w:hAnsiTheme="minorHAnsi" w:cstheme="minorHAnsi"/>
                <w:sz w:val="16"/>
                <w:szCs w:val="16"/>
              </w:rPr>
              <w:t>WASH</w:t>
            </w:r>
          </w:p>
        </w:tc>
        <w:tc>
          <w:tcPr>
            <w:tcW w:w="1275" w:type="dxa"/>
            <w:gridSpan w:val="2"/>
          </w:tcPr>
          <w:p w14:paraId="38604C61" w14:textId="00F05677" w:rsidR="00AF6A11" w:rsidRPr="000659B3" w:rsidRDefault="00AF6A11" w:rsidP="001B6F67">
            <w:pPr>
              <w:pStyle w:val="TableHeading"/>
              <w:rPr>
                <w:rFonts w:asciiTheme="minorHAnsi" w:eastAsia="Calibri" w:hAnsiTheme="minorHAnsi" w:cstheme="minorHAnsi"/>
                <w:sz w:val="16"/>
                <w:szCs w:val="16"/>
              </w:rPr>
            </w:pPr>
            <w:r w:rsidRPr="000659B3">
              <w:rPr>
                <w:rFonts w:asciiTheme="minorHAnsi" w:eastAsia="Calibri" w:hAnsiTheme="minorHAnsi" w:cstheme="minorHAnsi"/>
                <w:sz w:val="16"/>
                <w:szCs w:val="16"/>
              </w:rPr>
              <w:t>Infrastructure</w:t>
            </w:r>
          </w:p>
        </w:tc>
        <w:tc>
          <w:tcPr>
            <w:tcW w:w="1196" w:type="dxa"/>
            <w:gridSpan w:val="2"/>
          </w:tcPr>
          <w:p w14:paraId="615EF256" w14:textId="5A2C8785" w:rsidR="00AF6A11" w:rsidRPr="000659B3" w:rsidRDefault="00AF6A11" w:rsidP="001B6F67">
            <w:pPr>
              <w:pStyle w:val="TableHeading"/>
              <w:rPr>
                <w:rFonts w:asciiTheme="minorHAnsi" w:eastAsia="Calibri" w:hAnsiTheme="minorHAnsi" w:cstheme="minorHAnsi"/>
                <w:sz w:val="16"/>
                <w:szCs w:val="16"/>
              </w:rPr>
            </w:pPr>
            <w:r w:rsidRPr="000659B3">
              <w:rPr>
                <w:rFonts w:asciiTheme="minorHAnsi" w:eastAsia="Calibri" w:hAnsiTheme="minorHAnsi" w:cstheme="minorHAnsi"/>
                <w:sz w:val="16"/>
                <w:szCs w:val="16"/>
              </w:rPr>
              <w:t>Governance</w:t>
            </w:r>
          </w:p>
        </w:tc>
      </w:tr>
      <w:tr w:rsidR="00AF6A11" w:rsidRPr="001B6F67" w14:paraId="711E9485" w14:textId="77777777" w:rsidTr="001B6F67">
        <w:tc>
          <w:tcPr>
            <w:tcW w:w="9276" w:type="dxa"/>
            <w:gridSpan w:val="9"/>
          </w:tcPr>
          <w:p w14:paraId="64E6462A" w14:textId="77777777" w:rsidR="00AF6A11" w:rsidRPr="001B6F67" w:rsidRDefault="00AF6A11" w:rsidP="001B6F67">
            <w:pPr>
              <w:pStyle w:val="TableHeading"/>
              <w:rPr>
                <w:rFonts w:eastAsia="Calibri"/>
              </w:rPr>
            </w:pPr>
            <w:r w:rsidRPr="001B6F67">
              <w:rPr>
                <w:rFonts w:ascii="Calibri" w:eastAsia="Calibri" w:hAnsi="Calibri"/>
                <w:color w:val="auto"/>
                <w:sz w:val="18"/>
                <w:szCs w:val="18"/>
                <w:lang w:eastAsia="en-US"/>
              </w:rPr>
              <w:t>Analysis and learning</w:t>
            </w:r>
          </w:p>
        </w:tc>
      </w:tr>
      <w:tr w:rsidR="00AF6A11" w14:paraId="2F9A013E" w14:textId="77777777" w:rsidTr="00932ECF">
        <w:tc>
          <w:tcPr>
            <w:tcW w:w="1135" w:type="dxa"/>
          </w:tcPr>
          <w:p w14:paraId="3D34954C" w14:textId="27CA50EF" w:rsidR="00AF6A11" w:rsidRPr="005140F5" w:rsidRDefault="00F04000" w:rsidP="00465A7D">
            <w:pPr>
              <w:spacing w:before="0" w:after="0" w:line="240" w:lineRule="auto"/>
              <w:rPr>
                <w:rFonts w:ascii="Calibri" w:eastAsia="Calibri" w:hAnsi="Calibri"/>
                <w:sz w:val="18"/>
                <w:szCs w:val="18"/>
                <w:lang w:eastAsia="en-US"/>
              </w:rPr>
            </w:pPr>
            <w:r>
              <w:rPr>
                <w:rFonts w:ascii="Calibri" w:eastAsia="Calibri" w:hAnsi="Calibri"/>
                <w:sz w:val="18"/>
                <w:szCs w:val="18"/>
                <w:lang w:eastAsia="en-US"/>
              </w:rPr>
              <w:t>C</w:t>
            </w:r>
            <w:r w:rsidR="00AF6A11" w:rsidRPr="005140F5">
              <w:rPr>
                <w:rFonts w:ascii="Calibri" w:eastAsia="Calibri" w:hAnsi="Calibri"/>
                <w:sz w:val="18"/>
                <w:szCs w:val="18"/>
                <w:lang w:eastAsia="en-US"/>
              </w:rPr>
              <w:t>ontexts</w:t>
            </w:r>
          </w:p>
        </w:tc>
        <w:tc>
          <w:tcPr>
            <w:tcW w:w="3118" w:type="dxa"/>
            <w:tcBorders>
              <w:right w:val="single" w:sz="4" w:space="0" w:color="4F81BD" w:themeColor="accent1"/>
            </w:tcBorders>
          </w:tcPr>
          <w:p w14:paraId="25505C81"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Implications of decentralisation laws and policy for service delivery</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F976D1"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7B4FDB02"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4191C693"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107BD025"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8ECCDA4" w14:textId="77777777" w:rsidR="00AF6A11" w:rsidRDefault="00AF6A11" w:rsidP="00465A7D">
            <w:pPr>
              <w:spacing w:before="0" w:after="0" w:line="240" w:lineRule="auto"/>
              <w:rPr>
                <w:rStyle w:val="IntenseEmphasis"/>
                <w:b w:val="0"/>
                <w:bCs w:val="0"/>
                <w:i w:val="0"/>
                <w:iCs w:val="0"/>
                <w:color w:val="auto"/>
              </w:rPr>
            </w:pPr>
          </w:p>
        </w:tc>
      </w:tr>
      <w:tr w:rsidR="00AF6A11" w14:paraId="23A2B1DF" w14:textId="77777777" w:rsidTr="00932ECF">
        <w:tc>
          <w:tcPr>
            <w:tcW w:w="1135" w:type="dxa"/>
            <w:vMerge w:val="restart"/>
          </w:tcPr>
          <w:p w14:paraId="422E7A52"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Supply side/</w:t>
            </w:r>
            <w:r>
              <w:rPr>
                <w:rFonts w:ascii="Calibri" w:eastAsia="Calibri" w:hAnsi="Calibri"/>
                <w:sz w:val="18"/>
                <w:szCs w:val="18"/>
                <w:lang w:eastAsia="en-US"/>
              </w:rPr>
              <w:t xml:space="preserve"> </w:t>
            </w:r>
          </w:p>
          <w:p w14:paraId="0C176A9E"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Sub</w:t>
            </w:r>
            <w:r>
              <w:rPr>
                <w:rFonts w:ascii="Calibri" w:eastAsia="Calibri" w:hAnsi="Calibri"/>
                <w:sz w:val="18"/>
                <w:szCs w:val="18"/>
                <w:lang w:eastAsia="en-US"/>
              </w:rPr>
              <w:t>national</w:t>
            </w:r>
            <w:r w:rsidRPr="005140F5">
              <w:rPr>
                <w:rFonts w:ascii="Calibri" w:eastAsia="Calibri" w:hAnsi="Calibri"/>
                <w:sz w:val="18"/>
                <w:szCs w:val="18"/>
                <w:lang w:eastAsia="en-US"/>
              </w:rPr>
              <w:t xml:space="preserve"> role</w:t>
            </w:r>
          </w:p>
        </w:tc>
        <w:tc>
          <w:tcPr>
            <w:tcW w:w="3118" w:type="dxa"/>
            <w:tcBorders>
              <w:right w:val="single" w:sz="4" w:space="0" w:color="4F81BD" w:themeColor="accent1"/>
            </w:tcBorders>
          </w:tcPr>
          <w:p w14:paraId="7961E62B"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Subnational role or capacity</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C7F75B"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01694218"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3E1932A3"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67B87F97"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2C03AA22" w14:textId="77777777" w:rsidR="00AF6A11" w:rsidRDefault="00AF6A11" w:rsidP="00465A7D">
            <w:pPr>
              <w:spacing w:before="0" w:after="0" w:line="240" w:lineRule="auto"/>
              <w:rPr>
                <w:rStyle w:val="IntenseEmphasis"/>
                <w:b w:val="0"/>
                <w:bCs w:val="0"/>
                <w:i w:val="0"/>
                <w:iCs w:val="0"/>
                <w:color w:val="auto"/>
              </w:rPr>
            </w:pPr>
          </w:p>
        </w:tc>
      </w:tr>
      <w:tr w:rsidR="00AF6A11" w14:paraId="46D452BF" w14:textId="77777777" w:rsidTr="00932ECF">
        <w:tc>
          <w:tcPr>
            <w:tcW w:w="1135" w:type="dxa"/>
            <w:vMerge/>
          </w:tcPr>
          <w:p w14:paraId="338E717C" w14:textId="77777777" w:rsidR="00AF6A11" w:rsidRPr="005140F5" w:rsidRDefault="00AF6A11" w:rsidP="00465A7D">
            <w:pPr>
              <w:spacing w:before="0" w:after="0" w:line="240" w:lineRule="auto"/>
              <w:rPr>
                <w:rFonts w:ascii="Calibri" w:eastAsia="Calibri" w:hAnsi="Calibri"/>
                <w:sz w:val="18"/>
                <w:szCs w:val="18"/>
                <w:lang w:eastAsia="en-US"/>
              </w:rPr>
            </w:pPr>
          </w:p>
        </w:tc>
        <w:tc>
          <w:tcPr>
            <w:tcW w:w="3118" w:type="dxa"/>
            <w:tcBorders>
              <w:right w:val="single" w:sz="4" w:space="0" w:color="4F81BD" w:themeColor="accent1"/>
            </w:tcBorders>
          </w:tcPr>
          <w:p w14:paraId="7AA461BC"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Key gaps or challenges at subnational level faced in service delivery</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0F465246"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17CF0D57"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D3F8823"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09569623"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CA7416" w14:textId="77777777" w:rsidR="00AF6A11" w:rsidRDefault="00AF6A11" w:rsidP="00465A7D">
            <w:pPr>
              <w:spacing w:before="0" w:after="0" w:line="240" w:lineRule="auto"/>
              <w:rPr>
                <w:rStyle w:val="IntenseEmphasis"/>
                <w:b w:val="0"/>
                <w:bCs w:val="0"/>
                <w:i w:val="0"/>
                <w:iCs w:val="0"/>
                <w:color w:val="auto"/>
              </w:rPr>
            </w:pPr>
          </w:p>
        </w:tc>
      </w:tr>
      <w:tr w:rsidR="00AF6A11" w14:paraId="67AD5DBA" w14:textId="77777777" w:rsidTr="00932ECF">
        <w:tc>
          <w:tcPr>
            <w:tcW w:w="1135" w:type="dxa"/>
            <w:vMerge/>
          </w:tcPr>
          <w:p w14:paraId="5A7752A9" w14:textId="77777777" w:rsidR="00AF6A11" w:rsidRPr="005140F5" w:rsidRDefault="00AF6A11" w:rsidP="00465A7D">
            <w:pPr>
              <w:spacing w:before="0" w:after="0" w:line="240" w:lineRule="auto"/>
              <w:rPr>
                <w:rFonts w:ascii="Calibri" w:eastAsia="Calibri" w:hAnsi="Calibri"/>
                <w:sz w:val="18"/>
                <w:szCs w:val="18"/>
                <w:lang w:eastAsia="en-US"/>
              </w:rPr>
            </w:pPr>
          </w:p>
        </w:tc>
        <w:tc>
          <w:tcPr>
            <w:tcW w:w="3118" w:type="dxa"/>
            <w:tcBorders>
              <w:right w:val="single" w:sz="4" w:space="0" w:color="4F81BD" w:themeColor="accent1"/>
            </w:tcBorders>
          </w:tcPr>
          <w:p w14:paraId="2EAAFF1A"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Availability of financial resources at subnational level relative to those needed for service delivery</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095CE3"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0F3D6582"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16BD536"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60DF602B"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74792C82" w14:textId="77777777" w:rsidR="00AF6A11" w:rsidRDefault="00AF6A11" w:rsidP="00465A7D">
            <w:pPr>
              <w:spacing w:before="0" w:after="0" w:line="240" w:lineRule="auto"/>
              <w:rPr>
                <w:rStyle w:val="IntenseEmphasis"/>
                <w:b w:val="0"/>
                <w:bCs w:val="0"/>
                <w:i w:val="0"/>
                <w:iCs w:val="0"/>
                <w:color w:val="auto"/>
              </w:rPr>
            </w:pPr>
          </w:p>
        </w:tc>
      </w:tr>
      <w:tr w:rsidR="00AF6A11" w14:paraId="27CE838F" w14:textId="77777777" w:rsidTr="00932ECF">
        <w:tc>
          <w:tcPr>
            <w:tcW w:w="1135" w:type="dxa"/>
            <w:vMerge/>
          </w:tcPr>
          <w:p w14:paraId="00F194FF" w14:textId="77777777" w:rsidR="00AF6A11" w:rsidRPr="005140F5" w:rsidRDefault="00AF6A11" w:rsidP="00465A7D">
            <w:pPr>
              <w:spacing w:before="0" w:after="0" w:line="240" w:lineRule="auto"/>
              <w:rPr>
                <w:rFonts w:ascii="Calibri" w:eastAsia="Calibri" w:hAnsi="Calibri"/>
                <w:sz w:val="18"/>
                <w:szCs w:val="18"/>
                <w:lang w:eastAsia="en-US"/>
              </w:rPr>
            </w:pPr>
          </w:p>
        </w:tc>
        <w:tc>
          <w:tcPr>
            <w:tcW w:w="3118" w:type="dxa"/>
            <w:tcBorders>
              <w:right w:val="single" w:sz="4" w:space="0" w:color="4F81BD" w:themeColor="accent1"/>
            </w:tcBorders>
          </w:tcPr>
          <w:p w14:paraId="4EEDA7BE"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Adequacy of management of financial resources at subnational level</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490B34"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3F8D67"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58207525"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703AE647"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EA129D5" w14:textId="77777777" w:rsidR="00AF6A11" w:rsidRDefault="00AF6A11" w:rsidP="00465A7D">
            <w:pPr>
              <w:spacing w:before="0" w:after="0" w:line="240" w:lineRule="auto"/>
              <w:rPr>
                <w:rStyle w:val="IntenseEmphasis"/>
                <w:b w:val="0"/>
                <w:bCs w:val="0"/>
                <w:i w:val="0"/>
                <w:iCs w:val="0"/>
                <w:color w:val="auto"/>
              </w:rPr>
            </w:pPr>
          </w:p>
        </w:tc>
      </w:tr>
      <w:tr w:rsidR="00AF6A11" w14:paraId="30DEC1E9" w14:textId="77777777" w:rsidTr="00932ECF">
        <w:tc>
          <w:tcPr>
            <w:tcW w:w="1135" w:type="dxa"/>
            <w:vMerge w:val="restart"/>
          </w:tcPr>
          <w:p w14:paraId="3899BAC0"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Demand side</w:t>
            </w:r>
          </w:p>
        </w:tc>
        <w:tc>
          <w:tcPr>
            <w:tcW w:w="3118" w:type="dxa"/>
            <w:tcBorders>
              <w:right w:val="single" w:sz="4" w:space="0" w:color="4F81BD" w:themeColor="accent1"/>
            </w:tcBorders>
          </w:tcPr>
          <w:p w14:paraId="7C9E1B42"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Mechanisms for citizens to participate in planning, management or monitoring delivery of services</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0C0"/>
          </w:tcPr>
          <w:p w14:paraId="5888A611"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57B405"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0C0"/>
          </w:tcPr>
          <w:p w14:paraId="78A1CF1F"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0C0"/>
          </w:tcPr>
          <w:p w14:paraId="7293D803"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0C0"/>
          </w:tcPr>
          <w:p w14:paraId="2CD2DFC1" w14:textId="77777777" w:rsidR="00AF6A11" w:rsidRDefault="00AF6A11" w:rsidP="00465A7D">
            <w:pPr>
              <w:spacing w:before="0" w:after="0" w:line="240" w:lineRule="auto"/>
              <w:rPr>
                <w:rStyle w:val="IntenseEmphasis"/>
                <w:b w:val="0"/>
                <w:bCs w:val="0"/>
                <w:i w:val="0"/>
                <w:iCs w:val="0"/>
                <w:color w:val="auto"/>
              </w:rPr>
            </w:pPr>
          </w:p>
        </w:tc>
      </w:tr>
      <w:tr w:rsidR="00AF6A11" w14:paraId="62D2E7C9" w14:textId="77777777" w:rsidTr="00932ECF">
        <w:tc>
          <w:tcPr>
            <w:tcW w:w="1135" w:type="dxa"/>
            <w:vMerge/>
          </w:tcPr>
          <w:p w14:paraId="6CC1D677" w14:textId="77777777" w:rsidR="00AF6A11" w:rsidRPr="005140F5" w:rsidRDefault="00AF6A11" w:rsidP="00465A7D">
            <w:pPr>
              <w:spacing w:before="0" w:after="0" w:line="240" w:lineRule="auto"/>
              <w:rPr>
                <w:rFonts w:ascii="Calibri" w:eastAsia="Calibri" w:hAnsi="Calibri"/>
                <w:sz w:val="18"/>
                <w:szCs w:val="18"/>
                <w:lang w:eastAsia="en-US"/>
              </w:rPr>
            </w:pPr>
          </w:p>
        </w:tc>
        <w:tc>
          <w:tcPr>
            <w:tcW w:w="3118" w:type="dxa"/>
            <w:tcBorders>
              <w:right w:val="single" w:sz="4" w:space="0" w:color="4F81BD" w:themeColor="accent1"/>
            </w:tcBorders>
          </w:tcPr>
          <w:p w14:paraId="634D96BA"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Efforts to increase accountability or transparency of government to citizens</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0C0"/>
          </w:tcPr>
          <w:p w14:paraId="329C5562"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32845516"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19C10795"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1D4CA9C3"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0C0"/>
          </w:tcPr>
          <w:p w14:paraId="21194E05" w14:textId="77777777" w:rsidR="00AF6A11" w:rsidRDefault="00AF6A11" w:rsidP="00465A7D">
            <w:pPr>
              <w:spacing w:before="0" w:after="0" w:line="240" w:lineRule="auto"/>
              <w:rPr>
                <w:rStyle w:val="IntenseEmphasis"/>
                <w:b w:val="0"/>
                <w:bCs w:val="0"/>
                <w:i w:val="0"/>
                <w:iCs w:val="0"/>
                <w:color w:val="auto"/>
              </w:rPr>
            </w:pPr>
          </w:p>
        </w:tc>
      </w:tr>
      <w:tr w:rsidR="00AF6A11" w14:paraId="287D6633" w14:textId="77777777" w:rsidTr="00932ECF">
        <w:tc>
          <w:tcPr>
            <w:tcW w:w="1135" w:type="dxa"/>
            <w:vMerge w:val="restart"/>
          </w:tcPr>
          <w:p w14:paraId="5012FF48"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 xml:space="preserve">Guidance </w:t>
            </w:r>
          </w:p>
        </w:tc>
        <w:tc>
          <w:tcPr>
            <w:tcW w:w="3118" w:type="dxa"/>
            <w:tcBorders>
              <w:right w:val="single" w:sz="4" w:space="0" w:color="4F81BD" w:themeColor="accent1"/>
            </w:tcBorders>
          </w:tcPr>
          <w:p w14:paraId="03D85144"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Specific objectives or outcomes specified that focus on subnational institutional capacity development</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B24498"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DFE391B"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1CE1C25D"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BEA1F83"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7FC7A121" w14:textId="77777777" w:rsidR="00AF6A11" w:rsidRDefault="00AF6A11" w:rsidP="00465A7D">
            <w:pPr>
              <w:spacing w:before="0" w:after="0" w:line="240" w:lineRule="auto"/>
              <w:rPr>
                <w:rStyle w:val="IntenseEmphasis"/>
                <w:b w:val="0"/>
                <w:bCs w:val="0"/>
                <w:i w:val="0"/>
                <w:iCs w:val="0"/>
                <w:color w:val="auto"/>
              </w:rPr>
            </w:pPr>
          </w:p>
        </w:tc>
      </w:tr>
      <w:tr w:rsidR="00AF6A11" w14:paraId="4C0B6C8D" w14:textId="77777777" w:rsidTr="00932ECF">
        <w:tc>
          <w:tcPr>
            <w:tcW w:w="1135" w:type="dxa"/>
            <w:vMerge/>
          </w:tcPr>
          <w:p w14:paraId="6DC68C10" w14:textId="77777777" w:rsidR="00AF6A11" w:rsidRPr="005140F5" w:rsidRDefault="00AF6A11" w:rsidP="00465A7D">
            <w:pPr>
              <w:spacing w:before="0" w:after="0" w:line="240" w:lineRule="auto"/>
              <w:rPr>
                <w:rFonts w:ascii="Calibri" w:eastAsia="Calibri" w:hAnsi="Calibri"/>
                <w:sz w:val="18"/>
                <w:szCs w:val="18"/>
                <w:lang w:eastAsia="en-US"/>
              </w:rPr>
            </w:pPr>
          </w:p>
        </w:tc>
        <w:tc>
          <w:tcPr>
            <w:tcW w:w="3118" w:type="dxa"/>
            <w:tcBorders>
              <w:right w:val="single" w:sz="4" w:space="0" w:color="4F81BD" w:themeColor="accent1"/>
            </w:tcBorders>
          </w:tcPr>
          <w:p w14:paraId="74F84456"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Description of how the aid program will work with subnational governments</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3628143"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505E871"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6EB30FB0"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666DCE91"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9A85CB" w14:textId="77777777" w:rsidR="00AF6A11" w:rsidRDefault="00AF6A11" w:rsidP="00465A7D">
            <w:pPr>
              <w:spacing w:before="0" w:after="0" w:line="240" w:lineRule="auto"/>
              <w:rPr>
                <w:rStyle w:val="IntenseEmphasis"/>
                <w:b w:val="0"/>
                <w:bCs w:val="0"/>
                <w:i w:val="0"/>
                <w:iCs w:val="0"/>
                <w:color w:val="auto"/>
              </w:rPr>
            </w:pPr>
          </w:p>
        </w:tc>
      </w:tr>
      <w:tr w:rsidR="00AF6A11" w:rsidRPr="00675E65" w14:paraId="38B679FC" w14:textId="77777777" w:rsidTr="001B6F67">
        <w:tc>
          <w:tcPr>
            <w:tcW w:w="9276" w:type="dxa"/>
            <w:gridSpan w:val="9"/>
          </w:tcPr>
          <w:p w14:paraId="6D5032B7" w14:textId="77777777" w:rsidR="00AF6A11" w:rsidRPr="00397AD9" w:rsidRDefault="00AF6A11" w:rsidP="00397AD9">
            <w:pPr>
              <w:pStyle w:val="TableHeading"/>
              <w:rPr>
                <w:rFonts w:ascii="Calibri" w:eastAsia="Calibri" w:hAnsi="Calibri"/>
                <w:sz w:val="18"/>
                <w:szCs w:val="18"/>
                <w:lang w:eastAsia="en-US"/>
              </w:rPr>
            </w:pPr>
            <w:r w:rsidRPr="00397AD9">
              <w:rPr>
                <w:rFonts w:ascii="Calibri" w:eastAsia="Calibri" w:hAnsi="Calibri"/>
                <w:color w:val="auto"/>
                <w:sz w:val="18"/>
                <w:szCs w:val="18"/>
                <w:lang w:eastAsia="en-US"/>
              </w:rPr>
              <w:t>Evidence base</w:t>
            </w:r>
          </w:p>
        </w:tc>
      </w:tr>
      <w:tr w:rsidR="00AF6A11" w14:paraId="6B76D55C" w14:textId="77777777" w:rsidTr="00932ECF">
        <w:tc>
          <w:tcPr>
            <w:tcW w:w="4253" w:type="dxa"/>
            <w:gridSpan w:val="2"/>
            <w:tcBorders>
              <w:right w:val="single" w:sz="4" w:space="0" w:color="4F81BD" w:themeColor="accent1"/>
            </w:tcBorders>
          </w:tcPr>
          <w:p w14:paraId="4B729AC7" w14:textId="3A3A9232"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 xml:space="preserve">Evidence </w:t>
            </w:r>
            <w:r w:rsidR="008E4F71">
              <w:rPr>
                <w:rFonts w:ascii="Calibri" w:eastAsia="Calibri" w:hAnsi="Calibri"/>
                <w:sz w:val="18"/>
                <w:szCs w:val="18"/>
                <w:lang w:eastAsia="en-US"/>
              </w:rPr>
              <w:t>and</w:t>
            </w:r>
            <w:r w:rsidRPr="005140F5">
              <w:rPr>
                <w:rFonts w:ascii="Calibri" w:eastAsia="Calibri" w:hAnsi="Calibri"/>
                <w:sz w:val="18"/>
                <w:szCs w:val="18"/>
                <w:lang w:eastAsia="en-US"/>
              </w:rPr>
              <w:t xml:space="preserve"> literature on subnational roles in service delivery – use of previous program experience</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06A8A328"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87E75D"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0EC3863F"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7E01DFD9"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28F5742E" w14:textId="77777777" w:rsidR="00AF6A11" w:rsidRDefault="00AF6A11" w:rsidP="00465A7D">
            <w:pPr>
              <w:spacing w:before="0" w:after="0" w:line="240" w:lineRule="auto"/>
              <w:rPr>
                <w:rStyle w:val="IntenseEmphasis"/>
                <w:b w:val="0"/>
                <w:bCs w:val="0"/>
                <w:i w:val="0"/>
                <w:iCs w:val="0"/>
                <w:color w:val="auto"/>
              </w:rPr>
            </w:pPr>
          </w:p>
        </w:tc>
      </w:tr>
      <w:tr w:rsidR="00AF6A11" w14:paraId="32B889BA" w14:textId="77777777" w:rsidTr="00932ECF">
        <w:tc>
          <w:tcPr>
            <w:tcW w:w="4253" w:type="dxa"/>
            <w:gridSpan w:val="2"/>
            <w:tcBorders>
              <w:right w:val="single" w:sz="4" w:space="0" w:color="4F81BD" w:themeColor="accent1"/>
            </w:tcBorders>
          </w:tcPr>
          <w:p w14:paraId="48E423A8" w14:textId="74076B84"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 xml:space="preserve">Evidence </w:t>
            </w:r>
            <w:r w:rsidR="00560B6D">
              <w:rPr>
                <w:rFonts w:ascii="Calibri" w:eastAsia="Calibri" w:hAnsi="Calibri"/>
                <w:sz w:val="18"/>
                <w:szCs w:val="18"/>
                <w:lang w:eastAsia="en-US"/>
              </w:rPr>
              <w:t>and</w:t>
            </w:r>
            <w:r w:rsidRPr="005140F5">
              <w:rPr>
                <w:rFonts w:ascii="Calibri" w:eastAsia="Calibri" w:hAnsi="Calibri"/>
                <w:sz w:val="18"/>
                <w:szCs w:val="18"/>
                <w:lang w:eastAsia="en-US"/>
              </w:rPr>
              <w:t xml:space="preserve"> literature on subnational roles in service delivery - use of grey/academic literature</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7338B9F9"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2436C68"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4FA2C1CC"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1F19E27"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1D4D1F5A" w14:textId="77777777" w:rsidR="00AF6A11" w:rsidRDefault="00AF6A11" w:rsidP="00465A7D">
            <w:pPr>
              <w:spacing w:before="0" w:after="0" w:line="240" w:lineRule="auto"/>
              <w:rPr>
                <w:rStyle w:val="IntenseEmphasis"/>
                <w:b w:val="0"/>
                <w:bCs w:val="0"/>
                <w:i w:val="0"/>
                <w:iCs w:val="0"/>
                <w:color w:val="auto"/>
              </w:rPr>
            </w:pPr>
          </w:p>
        </w:tc>
      </w:tr>
      <w:tr w:rsidR="00AF6A11" w:rsidRPr="00675E65" w14:paraId="484CF783" w14:textId="77777777" w:rsidTr="001B6F67">
        <w:tc>
          <w:tcPr>
            <w:tcW w:w="9276" w:type="dxa"/>
            <w:gridSpan w:val="9"/>
          </w:tcPr>
          <w:p w14:paraId="6C8869BA" w14:textId="77777777" w:rsidR="00AF6A11" w:rsidRPr="00397AD9" w:rsidRDefault="00AF6A11" w:rsidP="00397AD9">
            <w:pPr>
              <w:pStyle w:val="TableHeading"/>
              <w:rPr>
                <w:rFonts w:ascii="Calibri" w:eastAsia="Calibri" w:hAnsi="Calibri"/>
                <w:sz w:val="18"/>
                <w:szCs w:val="18"/>
                <w:lang w:eastAsia="en-US"/>
              </w:rPr>
            </w:pPr>
            <w:r w:rsidRPr="00397AD9">
              <w:rPr>
                <w:rFonts w:ascii="Calibri" w:eastAsia="Calibri" w:hAnsi="Calibri"/>
                <w:color w:val="auto"/>
                <w:sz w:val="18"/>
                <w:szCs w:val="18"/>
                <w:lang w:eastAsia="en-US"/>
              </w:rPr>
              <w:t>Equity</w:t>
            </w:r>
          </w:p>
        </w:tc>
      </w:tr>
      <w:tr w:rsidR="00AF6A11" w14:paraId="360D9C92" w14:textId="77777777" w:rsidTr="00932ECF">
        <w:tc>
          <w:tcPr>
            <w:tcW w:w="4253" w:type="dxa"/>
            <w:gridSpan w:val="2"/>
            <w:tcBorders>
              <w:right w:val="single" w:sz="4" w:space="0" w:color="4F81BD" w:themeColor="accent1"/>
            </w:tcBorders>
          </w:tcPr>
          <w:p w14:paraId="4BC028A4"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 xml:space="preserve">Participation of marginalised and vulnerable groups in planning, management and/or monitoring service delivery </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25E4036E"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3764635C"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0C0"/>
          </w:tcPr>
          <w:p w14:paraId="21449671"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5F4C349B"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1F497D" w:themeColor="text2"/>
              <w:left w:val="single" w:sz="4" w:space="0" w:color="4F81BD" w:themeColor="accent1"/>
              <w:bottom w:val="single" w:sz="4" w:space="0" w:color="1F497D" w:themeColor="text2"/>
              <w:right w:val="single" w:sz="4" w:space="0" w:color="1F497D" w:themeColor="text2"/>
            </w:tcBorders>
            <w:shd w:val="clear" w:color="auto" w:fill="0070C0"/>
          </w:tcPr>
          <w:p w14:paraId="098B0A0F" w14:textId="77777777" w:rsidR="00AF6A11" w:rsidRDefault="00AF6A11" w:rsidP="00465A7D">
            <w:pPr>
              <w:spacing w:before="0" w:after="0" w:line="240" w:lineRule="auto"/>
              <w:rPr>
                <w:rStyle w:val="IntenseEmphasis"/>
                <w:b w:val="0"/>
                <w:bCs w:val="0"/>
                <w:i w:val="0"/>
                <w:iCs w:val="0"/>
                <w:color w:val="auto"/>
              </w:rPr>
            </w:pPr>
          </w:p>
        </w:tc>
      </w:tr>
      <w:tr w:rsidR="00AF6A11" w:rsidRPr="00675E65" w14:paraId="7B52A4CD" w14:textId="77777777" w:rsidTr="001B6F67">
        <w:tc>
          <w:tcPr>
            <w:tcW w:w="9276" w:type="dxa"/>
            <w:gridSpan w:val="9"/>
            <w:tcBorders>
              <w:bottom w:val="single" w:sz="4" w:space="0" w:color="007FAD"/>
            </w:tcBorders>
          </w:tcPr>
          <w:p w14:paraId="433C4C94" w14:textId="77777777" w:rsidR="00AF6A11" w:rsidRPr="00397AD9" w:rsidRDefault="00AF6A11" w:rsidP="00397AD9">
            <w:pPr>
              <w:pStyle w:val="TableHeading"/>
              <w:rPr>
                <w:rFonts w:ascii="Calibri" w:eastAsia="Calibri" w:hAnsi="Calibri"/>
                <w:sz w:val="18"/>
                <w:szCs w:val="18"/>
                <w:lang w:eastAsia="en-US"/>
              </w:rPr>
            </w:pPr>
            <w:r w:rsidRPr="00397AD9">
              <w:rPr>
                <w:rFonts w:ascii="Calibri" w:eastAsia="Calibri" w:hAnsi="Calibri"/>
                <w:color w:val="auto"/>
                <w:sz w:val="18"/>
                <w:szCs w:val="18"/>
                <w:lang w:eastAsia="en-US"/>
              </w:rPr>
              <w:t>Coherence</w:t>
            </w:r>
          </w:p>
        </w:tc>
      </w:tr>
      <w:tr w:rsidR="00AF6A11" w14:paraId="5A7BC2B4" w14:textId="77777777" w:rsidTr="00932ECF">
        <w:tc>
          <w:tcPr>
            <w:tcW w:w="4253" w:type="dxa"/>
            <w:gridSpan w:val="2"/>
            <w:tcBorders>
              <w:bottom w:val="single" w:sz="4" w:space="0" w:color="auto"/>
              <w:right w:val="single" w:sz="4" w:space="0" w:color="4F81BD" w:themeColor="accent1"/>
            </w:tcBorders>
          </w:tcPr>
          <w:p w14:paraId="2C8940EA" w14:textId="77777777" w:rsidR="00AF6A11" w:rsidRPr="005140F5" w:rsidRDefault="00AF6A11" w:rsidP="00465A7D">
            <w:pPr>
              <w:spacing w:before="0" w:after="0" w:line="240" w:lineRule="auto"/>
              <w:rPr>
                <w:rFonts w:ascii="Calibri" w:eastAsia="Calibri" w:hAnsi="Calibri"/>
                <w:sz w:val="18"/>
                <w:szCs w:val="18"/>
                <w:lang w:eastAsia="en-US"/>
              </w:rPr>
            </w:pPr>
            <w:r w:rsidRPr="005140F5">
              <w:rPr>
                <w:rFonts w:ascii="Calibri" w:eastAsia="Calibri" w:hAnsi="Calibri"/>
                <w:sz w:val="18"/>
                <w:szCs w:val="18"/>
                <w:lang w:eastAsia="en-US"/>
              </w:rPr>
              <w:t>Articulation of how governance features within efforts in this sector</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288C0EFA" w14:textId="77777777" w:rsidR="00AF6A11" w:rsidRDefault="00AF6A11" w:rsidP="00465A7D">
            <w:pPr>
              <w:spacing w:before="0" w:after="0" w:line="240" w:lineRule="auto"/>
              <w:rPr>
                <w:rStyle w:val="IntenseEmphasis"/>
                <w:b w:val="0"/>
                <w:bCs w:val="0"/>
                <w:i w:val="0"/>
                <w:iCs w:val="0"/>
                <w:color w:val="auto"/>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2027489E" w14:textId="77777777" w:rsidR="00AF6A11" w:rsidRDefault="00AF6A11" w:rsidP="00465A7D">
            <w:pPr>
              <w:spacing w:before="0" w:after="0" w:line="240" w:lineRule="auto"/>
              <w:rPr>
                <w:rStyle w:val="IntenseEmphasis"/>
                <w:b w:val="0"/>
                <w:bCs w:val="0"/>
                <w:i w:val="0"/>
                <w:iCs w:val="0"/>
                <w:color w:val="auto"/>
              </w:rPr>
            </w:pPr>
          </w:p>
        </w:tc>
        <w:tc>
          <w:tcPr>
            <w:tcW w:w="99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1E1986EE" w14:textId="77777777" w:rsidR="00AF6A11" w:rsidRDefault="00AF6A11" w:rsidP="00465A7D">
            <w:pPr>
              <w:spacing w:before="0" w:after="0" w:line="240" w:lineRule="auto"/>
              <w:rPr>
                <w:rStyle w:val="IntenseEmphasis"/>
                <w:b w:val="0"/>
                <w:bCs w:val="0"/>
                <w:i w:val="0"/>
                <w:iCs w:val="0"/>
                <w:color w:val="auto"/>
              </w:rPr>
            </w:pPr>
          </w:p>
        </w:tc>
        <w:tc>
          <w:tcPr>
            <w:tcW w:w="11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545A0E69" w14:textId="77777777" w:rsidR="00AF6A11" w:rsidRDefault="00AF6A11" w:rsidP="00465A7D">
            <w:pPr>
              <w:spacing w:before="0" w:after="0" w:line="240" w:lineRule="auto"/>
              <w:rPr>
                <w:rStyle w:val="IntenseEmphasis"/>
                <w:b w:val="0"/>
                <w:bCs w:val="0"/>
                <w:i w:val="0"/>
                <w:iCs w:val="0"/>
                <w:color w:val="auto"/>
              </w:rPr>
            </w:pPr>
          </w:p>
        </w:tc>
        <w:tc>
          <w:tcPr>
            <w:tcW w:w="10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E7A398" w14:textId="77777777" w:rsidR="00AF6A11" w:rsidRDefault="00AF6A11" w:rsidP="00465A7D">
            <w:pPr>
              <w:spacing w:before="0" w:after="0" w:line="240" w:lineRule="auto"/>
              <w:rPr>
                <w:rStyle w:val="IntenseEmphasis"/>
                <w:b w:val="0"/>
                <w:bCs w:val="0"/>
                <w:i w:val="0"/>
                <w:iCs w:val="0"/>
                <w:color w:val="auto"/>
              </w:rPr>
            </w:pPr>
          </w:p>
        </w:tc>
      </w:tr>
      <w:tr w:rsidR="00AF6A11" w:rsidRPr="00465A7D" w14:paraId="385ED855" w14:textId="77777777" w:rsidTr="00952A52">
        <w:tc>
          <w:tcPr>
            <w:tcW w:w="4253" w:type="dxa"/>
            <w:gridSpan w:val="2"/>
            <w:tcBorders>
              <w:top w:val="single" w:sz="4" w:space="0" w:color="auto"/>
              <w:bottom w:val="nil"/>
            </w:tcBorders>
          </w:tcPr>
          <w:p w14:paraId="58E94DFA" w14:textId="77777777" w:rsidR="00AF6A11" w:rsidRPr="00465A7D" w:rsidRDefault="00AF6A11" w:rsidP="00465A7D">
            <w:pPr>
              <w:spacing w:before="0" w:after="0" w:line="240" w:lineRule="auto"/>
              <w:rPr>
                <w:rFonts w:ascii="Calibri" w:eastAsia="Calibri" w:hAnsi="Calibri"/>
                <w:sz w:val="8"/>
                <w:szCs w:val="16"/>
                <w:lang w:eastAsia="en-US"/>
              </w:rPr>
            </w:pPr>
          </w:p>
        </w:tc>
        <w:tc>
          <w:tcPr>
            <w:tcW w:w="851" w:type="dxa"/>
            <w:tcBorders>
              <w:top w:val="single" w:sz="4" w:space="0" w:color="auto"/>
              <w:bottom w:val="single" w:sz="4" w:space="0" w:color="auto"/>
            </w:tcBorders>
          </w:tcPr>
          <w:p w14:paraId="096160D1" w14:textId="77777777" w:rsidR="00AF6A11" w:rsidRPr="00465A7D" w:rsidRDefault="00AF6A11" w:rsidP="00465A7D">
            <w:pPr>
              <w:spacing w:before="0" w:after="0" w:line="240" w:lineRule="auto"/>
              <w:rPr>
                <w:rStyle w:val="IntenseEmphasis"/>
                <w:b w:val="0"/>
                <w:bCs w:val="0"/>
                <w:i w:val="0"/>
                <w:iCs w:val="0"/>
                <w:color w:val="auto"/>
                <w:sz w:val="8"/>
                <w:szCs w:val="16"/>
              </w:rPr>
            </w:pPr>
          </w:p>
        </w:tc>
        <w:tc>
          <w:tcPr>
            <w:tcW w:w="992" w:type="dxa"/>
            <w:tcBorders>
              <w:top w:val="single" w:sz="4" w:space="0" w:color="auto"/>
              <w:bottom w:val="nil"/>
            </w:tcBorders>
          </w:tcPr>
          <w:p w14:paraId="77CBE21A" w14:textId="77777777" w:rsidR="00AF6A11" w:rsidRPr="00465A7D" w:rsidRDefault="00AF6A11" w:rsidP="00465A7D">
            <w:pPr>
              <w:spacing w:before="0" w:after="0" w:line="240" w:lineRule="auto"/>
              <w:rPr>
                <w:rStyle w:val="IntenseEmphasis"/>
                <w:b w:val="0"/>
                <w:bCs w:val="0"/>
                <w:i w:val="0"/>
                <w:iCs w:val="0"/>
                <w:color w:val="auto"/>
                <w:sz w:val="8"/>
                <w:szCs w:val="16"/>
              </w:rPr>
            </w:pPr>
          </w:p>
        </w:tc>
        <w:tc>
          <w:tcPr>
            <w:tcW w:w="992" w:type="dxa"/>
            <w:gridSpan w:val="2"/>
            <w:tcBorders>
              <w:top w:val="single" w:sz="4" w:space="0" w:color="auto"/>
              <w:bottom w:val="nil"/>
            </w:tcBorders>
          </w:tcPr>
          <w:p w14:paraId="63ADF7C7" w14:textId="77777777" w:rsidR="00AF6A11" w:rsidRPr="00465A7D" w:rsidRDefault="00AF6A11" w:rsidP="00465A7D">
            <w:pPr>
              <w:spacing w:before="0" w:after="0" w:line="240" w:lineRule="auto"/>
              <w:rPr>
                <w:rStyle w:val="IntenseEmphasis"/>
                <w:b w:val="0"/>
                <w:bCs w:val="0"/>
                <w:i w:val="0"/>
                <w:iCs w:val="0"/>
                <w:color w:val="auto"/>
                <w:sz w:val="8"/>
                <w:szCs w:val="16"/>
              </w:rPr>
            </w:pPr>
          </w:p>
        </w:tc>
        <w:tc>
          <w:tcPr>
            <w:tcW w:w="1134" w:type="dxa"/>
            <w:gridSpan w:val="2"/>
            <w:tcBorders>
              <w:top w:val="single" w:sz="4" w:space="0" w:color="auto"/>
              <w:bottom w:val="nil"/>
            </w:tcBorders>
          </w:tcPr>
          <w:p w14:paraId="240782B5" w14:textId="77777777" w:rsidR="00AF6A11" w:rsidRPr="00465A7D" w:rsidRDefault="00AF6A11" w:rsidP="00465A7D">
            <w:pPr>
              <w:spacing w:before="0" w:after="0" w:line="240" w:lineRule="auto"/>
              <w:rPr>
                <w:rStyle w:val="IntenseEmphasis"/>
                <w:b w:val="0"/>
                <w:bCs w:val="0"/>
                <w:i w:val="0"/>
                <w:iCs w:val="0"/>
                <w:color w:val="auto"/>
                <w:sz w:val="8"/>
                <w:szCs w:val="16"/>
              </w:rPr>
            </w:pPr>
          </w:p>
        </w:tc>
        <w:tc>
          <w:tcPr>
            <w:tcW w:w="1054" w:type="dxa"/>
            <w:tcBorders>
              <w:top w:val="single" w:sz="4" w:space="0" w:color="auto"/>
              <w:bottom w:val="nil"/>
            </w:tcBorders>
          </w:tcPr>
          <w:p w14:paraId="4F2E256E" w14:textId="77777777" w:rsidR="00AF6A11" w:rsidRPr="00465A7D" w:rsidRDefault="00AF6A11" w:rsidP="00465A7D">
            <w:pPr>
              <w:spacing w:before="0" w:after="0" w:line="240" w:lineRule="auto"/>
              <w:rPr>
                <w:rStyle w:val="IntenseEmphasis"/>
                <w:b w:val="0"/>
                <w:bCs w:val="0"/>
                <w:i w:val="0"/>
                <w:iCs w:val="0"/>
                <w:color w:val="auto"/>
                <w:sz w:val="8"/>
                <w:szCs w:val="16"/>
              </w:rPr>
            </w:pPr>
          </w:p>
        </w:tc>
      </w:tr>
      <w:tr w:rsidR="00AF6A11" w14:paraId="7F2A391E" w14:textId="77777777" w:rsidTr="00952A52">
        <w:tc>
          <w:tcPr>
            <w:tcW w:w="4253" w:type="dxa"/>
            <w:gridSpan w:val="2"/>
            <w:tcBorders>
              <w:top w:val="nil"/>
              <w:bottom w:val="nil"/>
              <w:right w:val="single" w:sz="4" w:space="0" w:color="auto"/>
            </w:tcBorders>
          </w:tcPr>
          <w:p w14:paraId="299E19E2" w14:textId="77777777" w:rsidR="00AF6A11" w:rsidRPr="00932ECF" w:rsidRDefault="00AF6A11" w:rsidP="00681133">
            <w:pPr>
              <w:spacing w:before="0" w:after="0" w:line="240" w:lineRule="auto"/>
              <w:rPr>
                <w:rFonts w:ascii="Calibri" w:eastAsia="Calibri" w:hAnsi="Calibri"/>
                <w:sz w:val="16"/>
                <w:szCs w:val="16"/>
                <w:lang w:eastAsia="en-US"/>
              </w:rPr>
            </w:pPr>
            <w:r w:rsidRPr="00932ECF">
              <w:rPr>
                <w:rFonts w:ascii="Calibri" w:eastAsia="Calibri" w:hAnsi="Calibri"/>
                <w:sz w:val="16"/>
                <w:szCs w:val="16"/>
                <w:lang w:eastAsia="en-US"/>
              </w:rPr>
              <w:t xml:space="preserve">No </w:t>
            </w:r>
            <w:r w:rsidR="00681133" w:rsidRPr="00932ECF">
              <w:rPr>
                <w:rFonts w:ascii="Calibri" w:eastAsia="Calibri" w:hAnsi="Calibri"/>
                <w:sz w:val="16"/>
                <w:szCs w:val="16"/>
                <w:lang w:eastAsia="en-US"/>
              </w:rPr>
              <w:t>content</w:t>
            </w:r>
          </w:p>
        </w:tc>
        <w:tc>
          <w:tcPr>
            <w:tcW w:w="851" w:type="dxa"/>
            <w:tcBorders>
              <w:top w:val="single" w:sz="4" w:space="0" w:color="auto"/>
              <w:left w:val="single" w:sz="4" w:space="0" w:color="auto"/>
              <w:bottom w:val="single" w:sz="4" w:space="0" w:color="auto"/>
              <w:right w:val="single" w:sz="4" w:space="0" w:color="auto"/>
            </w:tcBorders>
          </w:tcPr>
          <w:p w14:paraId="3153C73F"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992" w:type="dxa"/>
            <w:tcBorders>
              <w:top w:val="nil"/>
              <w:left w:val="single" w:sz="4" w:space="0" w:color="auto"/>
              <w:bottom w:val="nil"/>
            </w:tcBorders>
          </w:tcPr>
          <w:p w14:paraId="760F950C"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992" w:type="dxa"/>
            <w:gridSpan w:val="2"/>
            <w:tcBorders>
              <w:top w:val="nil"/>
              <w:bottom w:val="nil"/>
            </w:tcBorders>
          </w:tcPr>
          <w:p w14:paraId="4ED5F368"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1134" w:type="dxa"/>
            <w:gridSpan w:val="2"/>
            <w:tcBorders>
              <w:top w:val="nil"/>
              <w:bottom w:val="nil"/>
            </w:tcBorders>
          </w:tcPr>
          <w:p w14:paraId="00E7B4FA"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1054" w:type="dxa"/>
            <w:tcBorders>
              <w:top w:val="nil"/>
              <w:bottom w:val="nil"/>
            </w:tcBorders>
          </w:tcPr>
          <w:p w14:paraId="54168647" w14:textId="77777777" w:rsidR="00AF6A11" w:rsidRPr="00932ECF" w:rsidRDefault="00AF6A11" w:rsidP="00465A7D">
            <w:pPr>
              <w:spacing w:before="0" w:after="0" w:line="240" w:lineRule="auto"/>
              <w:rPr>
                <w:rStyle w:val="IntenseEmphasis"/>
                <w:b w:val="0"/>
                <w:bCs w:val="0"/>
                <w:i w:val="0"/>
                <w:iCs w:val="0"/>
                <w:color w:val="auto"/>
                <w:sz w:val="16"/>
                <w:szCs w:val="16"/>
              </w:rPr>
            </w:pPr>
          </w:p>
        </w:tc>
      </w:tr>
      <w:tr w:rsidR="00AF6A11" w14:paraId="2DAF7065" w14:textId="77777777" w:rsidTr="00952A52">
        <w:tc>
          <w:tcPr>
            <w:tcW w:w="4253" w:type="dxa"/>
            <w:gridSpan w:val="2"/>
            <w:tcBorders>
              <w:top w:val="nil"/>
              <w:bottom w:val="nil"/>
              <w:right w:val="single" w:sz="4" w:space="0" w:color="auto"/>
            </w:tcBorders>
          </w:tcPr>
          <w:p w14:paraId="11DE2BB6" w14:textId="77777777" w:rsidR="00AF6A11" w:rsidRPr="00932ECF" w:rsidRDefault="00AF6A11" w:rsidP="00681133">
            <w:pPr>
              <w:spacing w:before="0" w:after="0" w:line="240" w:lineRule="auto"/>
              <w:rPr>
                <w:rFonts w:ascii="Calibri" w:eastAsia="Calibri" w:hAnsi="Calibri"/>
                <w:sz w:val="16"/>
                <w:szCs w:val="16"/>
                <w:lang w:eastAsia="en-US"/>
              </w:rPr>
            </w:pPr>
            <w:r w:rsidRPr="00932ECF">
              <w:rPr>
                <w:rFonts w:ascii="Calibri" w:eastAsia="Calibri" w:hAnsi="Calibri"/>
                <w:sz w:val="16"/>
                <w:szCs w:val="16"/>
                <w:lang w:eastAsia="en-US"/>
              </w:rPr>
              <w:t xml:space="preserve">Some </w:t>
            </w:r>
            <w:r w:rsidR="00681133" w:rsidRPr="00932ECF">
              <w:rPr>
                <w:rFonts w:ascii="Calibri" w:eastAsia="Calibri" w:hAnsi="Calibri"/>
                <w:sz w:val="16"/>
                <w:szCs w:val="16"/>
                <w:lang w:eastAsia="en-US"/>
              </w:rPr>
              <w:t>content</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33FA9AE"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992" w:type="dxa"/>
            <w:tcBorders>
              <w:top w:val="nil"/>
              <w:left w:val="single" w:sz="4" w:space="0" w:color="auto"/>
              <w:bottom w:val="nil"/>
            </w:tcBorders>
          </w:tcPr>
          <w:p w14:paraId="0C5D3368"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992" w:type="dxa"/>
            <w:gridSpan w:val="2"/>
            <w:tcBorders>
              <w:top w:val="nil"/>
              <w:bottom w:val="nil"/>
            </w:tcBorders>
          </w:tcPr>
          <w:p w14:paraId="6E89E349"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1134" w:type="dxa"/>
            <w:gridSpan w:val="2"/>
            <w:tcBorders>
              <w:top w:val="nil"/>
              <w:bottom w:val="nil"/>
            </w:tcBorders>
          </w:tcPr>
          <w:p w14:paraId="3AE164CD"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1054" w:type="dxa"/>
            <w:tcBorders>
              <w:top w:val="nil"/>
              <w:bottom w:val="nil"/>
            </w:tcBorders>
          </w:tcPr>
          <w:p w14:paraId="73E4DAEB" w14:textId="77777777" w:rsidR="00AF6A11" w:rsidRPr="00932ECF" w:rsidRDefault="00AF6A11" w:rsidP="00465A7D">
            <w:pPr>
              <w:spacing w:before="0" w:after="0" w:line="240" w:lineRule="auto"/>
              <w:rPr>
                <w:rStyle w:val="IntenseEmphasis"/>
                <w:b w:val="0"/>
                <w:bCs w:val="0"/>
                <w:i w:val="0"/>
                <w:iCs w:val="0"/>
                <w:color w:val="auto"/>
                <w:sz w:val="16"/>
                <w:szCs w:val="16"/>
              </w:rPr>
            </w:pPr>
          </w:p>
        </w:tc>
      </w:tr>
      <w:tr w:rsidR="00AF6A11" w14:paraId="34242BC7" w14:textId="77777777" w:rsidTr="00952A52">
        <w:tc>
          <w:tcPr>
            <w:tcW w:w="4253" w:type="dxa"/>
            <w:gridSpan w:val="2"/>
            <w:tcBorders>
              <w:top w:val="nil"/>
              <w:bottom w:val="nil"/>
              <w:right w:val="single" w:sz="4" w:space="0" w:color="auto"/>
            </w:tcBorders>
          </w:tcPr>
          <w:p w14:paraId="3E779275" w14:textId="77777777" w:rsidR="00AF6A11" w:rsidRPr="00932ECF" w:rsidRDefault="00AF6A11" w:rsidP="00465A7D">
            <w:pPr>
              <w:spacing w:before="0" w:after="0" w:line="240" w:lineRule="auto"/>
              <w:rPr>
                <w:rFonts w:ascii="Calibri" w:eastAsia="Calibri" w:hAnsi="Calibri"/>
                <w:sz w:val="16"/>
                <w:szCs w:val="16"/>
                <w:lang w:eastAsia="en-US"/>
              </w:rPr>
            </w:pPr>
            <w:r w:rsidRPr="00932ECF">
              <w:rPr>
                <w:rFonts w:ascii="Calibri" w:eastAsia="Calibri" w:hAnsi="Calibri"/>
                <w:sz w:val="16"/>
                <w:szCs w:val="16"/>
                <w:lang w:eastAsia="en-US"/>
              </w:rPr>
              <w:t>Significant content</w:t>
            </w:r>
          </w:p>
        </w:tc>
        <w:tc>
          <w:tcPr>
            <w:tcW w:w="851" w:type="dxa"/>
            <w:tcBorders>
              <w:top w:val="single" w:sz="4" w:space="0" w:color="auto"/>
              <w:left w:val="single" w:sz="4" w:space="0" w:color="auto"/>
              <w:bottom w:val="single" w:sz="4" w:space="0" w:color="auto"/>
              <w:right w:val="single" w:sz="4" w:space="0" w:color="auto"/>
            </w:tcBorders>
            <w:shd w:val="clear" w:color="auto" w:fill="0070C0"/>
          </w:tcPr>
          <w:p w14:paraId="0C3A5C16"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992" w:type="dxa"/>
            <w:tcBorders>
              <w:top w:val="nil"/>
              <w:left w:val="single" w:sz="4" w:space="0" w:color="auto"/>
              <w:bottom w:val="nil"/>
            </w:tcBorders>
          </w:tcPr>
          <w:p w14:paraId="35EB79B5"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992" w:type="dxa"/>
            <w:gridSpan w:val="2"/>
            <w:tcBorders>
              <w:top w:val="nil"/>
              <w:bottom w:val="nil"/>
            </w:tcBorders>
          </w:tcPr>
          <w:p w14:paraId="25A8D3B2"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1134" w:type="dxa"/>
            <w:gridSpan w:val="2"/>
            <w:tcBorders>
              <w:top w:val="nil"/>
              <w:bottom w:val="nil"/>
            </w:tcBorders>
          </w:tcPr>
          <w:p w14:paraId="58CE1D51" w14:textId="77777777" w:rsidR="00AF6A11" w:rsidRPr="00932ECF" w:rsidRDefault="00AF6A11" w:rsidP="00465A7D">
            <w:pPr>
              <w:spacing w:before="0" w:after="0" w:line="240" w:lineRule="auto"/>
              <w:rPr>
                <w:rStyle w:val="IntenseEmphasis"/>
                <w:b w:val="0"/>
                <w:bCs w:val="0"/>
                <w:i w:val="0"/>
                <w:iCs w:val="0"/>
                <w:color w:val="auto"/>
                <w:sz w:val="16"/>
                <w:szCs w:val="16"/>
              </w:rPr>
            </w:pPr>
          </w:p>
        </w:tc>
        <w:tc>
          <w:tcPr>
            <w:tcW w:w="1054" w:type="dxa"/>
            <w:tcBorders>
              <w:top w:val="nil"/>
              <w:bottom w:val="nil"/>
            </w:tcBorders>
          </w:tcPr>
          <w:p w14:paraId="76479B77" w14:textId="77777777" w:rsidR="00AF6A11" w:rsidRPr="00932ECF" w:rsidRDefault="00AF6A11" w:rsidP="00465A7D">
            <w:pPr>
              <w:spacing w:before="0" w:after="0" w:line="240" w:lineRule="auto"/>
              <w:rPr>
                <w:rStyle w:val="IntenseEmphasis"/>
                <w:b w:val="0"/>
                <w:bCs w:val="0"/>
                <w:i w:val="0"/>
                <w:iCs w:val="0"/>
                <w:color w:val="auto"/>
                <w:sz w:val="16"/>
                <w:szCs w:val="16"/>
              </w:rPr>
            </w:pPr>
          </w:p>
        </w:tc>
      </w:tr>
    </w:tbl>
    <w:p w14:paraId="4C91BB28" w14:textId="77777777" w:rsidR="00932ECF" w:rsidRDefault="00932ECF" w:rsidP="001B6F67">
      <w:pPr>
        <w:rPr>
          <w:b/>
        </w:rPr>
      </w:pPr>
    </w:p>
    <w:p w14:paraId="7DBD3DFF" w14:textId="6B6BCE06" w:rsidR="00AF6A11" w:rsidRPr="0087428D" w:rsidRDefault="00AF6A11" w:rsidP="001B6F67">
      <w:pPr>
        <w:rPr>
          <w:iCs/>
        </w:rPr>
      </w:pPr>
      <w:r w:rsidRPr="0087428D">
        <w:rPr>
          <w:b/>
        </w:rPr>
        <w:t>Guidance on ways of working</w:t>
      </w:r>
      <w:r w:rsidRPr="0087428D">
        <w:t>:</w:t>
      </w:r>
      <w:r>
        <w:rPr>
          <w:rStyle w:val="Emphasis"/>
        </w:rPr>
        <w:t xml:space="preserve"> </w:t>
      </w:r>
      <w:r w:rsidR="00D234F2">
        <w:t>In relation to</w:t>
      </w:r>
      <w:r>
        <w:t xml:space="preserve"> working at subnational levels and capacity development</w:t>
      </w:r>
      <w:r w:rsidR="00D234F2">
        <w:t xml:space="preserve">, </w:t>
      </w:r>
      <w:r w:rsidR="0023001A">
        <w:t>t</w:t>
      </w:r>
      <w:r>
        <w:t>he WASH strategy referred to these areas in terms of approaches to support local-level government, private sector and community management systems. The strategy also provided some guidance on ways of working at the local level, for example, ‘</w:t>
      </w:r>
      <w:r w:rsidRPr="00B9479A">
        <w:rPr>
          <w:i/>
        </w:rPr>
        <w:t>using results</w:t>
      </w:r>
      <w:r>
        <w:rPr>
          <w:i/>
        </w:rPr>
        <w:t>-based</w:t>
      </w:r>
      <w:r w:rsidRPr="00B9479A">
        <w:rPr>
          <w:i/>
        </w:rPr>
        <w:t xml:space="preserve"> payments which are effective in mobilising local capacity is one way of improving aid effectiveness</w:t>
      </w:r>
      <w:r w:rsidR="00D2236B">
        <w:rPr>
          <w:i/>
        </w:rPr>
        <w:t>.’</w:t>
      </w:r>
      <w:r>
        <w:rPr>
          <w:rStyle w:val="EndnoteReference"/>
        </w:rPr>
        <w:endnoteReference w:id="265"/>
      </w:r>
      <w:r>
        <w:t xml:space="preserve"> The infrastructure strategy comments on the use of result-based approaches: ‘</w:t>
      </w:r>
      <w:r w:rsidRPr="00B9479A">
        <w:rPr>
          <w:i/>
        </w:rPr>
        <w:t>This includes strengthening the organisations responsible for delivering services, and building in ways to increase community participation, deal with customer problems, ensure user charges are appropriate and sustainable (for example, using results-based aid approaches) and make sure poor people have access</w:t>
      </w:r>
      <w:r w:rsidR="00D2236B">
        <w:rPr>
          <w:i/>
        </w:rPr>
        <w:t>.’</w:t>
      </w:r>
      <w:r>
        <w:rPr>
          <w:rStyle w:val="EndnoteReference"/>
        </w:rPr>
        <w:endnoteReference w:id="266"/>
      </w:r>
      <w:r>
        <w:t xml:space="preserve"> The education and health strategies did not include similar guidance.</w:t>
      </w:r>
    </w:p>
    <w:p w14:paraId="6000653B" w14:textId="77777777" w:rsidR="00AF6A11" w:rsidRDefault="00AF6A11" w:rsidP="001B6F67">
      <w:r w:rsidRPr="0087428D">
        <w:rPr>
          <w:rStyle w:val="Emphasis"/>
          <w:b/>
          <w:i w:val="0"/>
          <w:iCs w:val="0"/>
        </w:rPr>
        <w:t xml:space="preserve">Evidence: </w:t>
      </w:r>
      <w:r>
        <w:t xml:space="preserve">Most thematic strategies </w:t>
      </w:r>
      <w:r w:rsidR="00D234F2">
        <w:t>drew on previous program experience and literature (published and unpublished) concerning subnational roles in service delivery</w:t>
      </w:r>
      <w:r>
        <w:t xml:space="preserve">, often in the form of examples. </w:t>
      </w:r>
    </w:p>
    <w:p w14:paraId="0A38838B" w14:textId="77777777" w:rsidR="00AF6A11" w:rsidRDefault="00AF6A11" w:rsidP="001B6F67">
      <w:pPr>
        <w:pStyle w:val="Heading3"/>
      </w:pPr>
      <w:bookmarkStart w:id="361" w:name="_Toc371368492"/>
      <w:bookmarkStart w:id="362" w:name="_Toc372300881"/>
      <w:bookmarkStart w:id="363" w:name="_Toc382563938"/>
      <w:bookmarkStart w:id="364" w:name="_Toc382595892"/>
      <w:r>
        <w:t>Equity</w:t>
      </w:r>
      <w:bookmarkEnd w:id="361"/>
      <w:r>
        <w:t xml:space="preserve"> in health, education and infrastructure strategies</w:t>
      </w:r>
      <w:bookmarkEnd w:id="362"/>
      <w:bookmarkEnd w:id="363"/>
      <w:bookmarkEnd w:id="364"/>
      <w:r w:rsidDel="00AC71A0">
        <w:t xml:space="preserve"> </w:t>
      </w:r>
    </w:p>
    <w:p w14:paraId="351B2FAF" w14:textId="215D98EB" w:rsidR="00AF6A11" w:rsidRDefault="00AF6A11" w:rsidP="001B6F67">
      <w:r>
        <w:t xml:space="preserve">Equity issues were addressed in all strategies </w:t>
      </w:r>
      <w:r w:rsidR="00D234F2">
        <w:t>(</w:t>
      </w:r>
      <w:r w:rsidR="00E85BF1">
        <w:t>and done well in</w:t>
      </w:r>
      <w:r>
        <w:t xml:space="preserve"> WASH</w:t>
      </w:r>
      <w:r w:rsidR="00D234F2">
        <w:t>),</w:t>
      </w:r>
      <w:r>
        <w:t>in terms of targeting, rather than in terms of how marginalised groups participate in planning, management or monitoring. For example, the education strategy observes that ‘</w:t>
      </w:r>
      <w:r w:rsidRPr="00A92EBC">
        <w:rPr>
          <w:i/>
        </w:rPr>
        <w:t>communities that live in the outer islands and mountainous areas have lower participation rates</w:t>
      </w:r>
      <w:r>
        <w:t>’</w:t>
      </w:r>
      <w:r>
        <w:rPr>
          <w:rStyle w:val="EndnoteReference"/>
        </w:rPr>
        <w:endnoteReference w:id="267"/>
      </w:r>
      <w:r>
        <w:t xml:space="preserve"> and refers to </w:t>
      </w:r>
      <w:r w:rsidRPr="00B9479A">
        <w:rPr>
          <w:i/>
        </w:rPr>
        <w:t>‘targeting the participation of girls</w:t>
      </w:r>
      <w:r>
        <w:t>.’</w:t>
      </w:r>
      <w:r>
        <w:rPr>
          <w:rStyle w:val="EndnoteReference"/>
        </w:rPr>
        <w:endnoteReference w:id="268"/>
      </w:r>
      <w:r>
        <w:t xml:space="preserve"> The WASH strategy mentioned participation of marginalised groups in the service delivery: ‘</w:t>
      </w:r>
      <w:r w:rsidRPr="00A92EBC">
        <w:rPr>
          <w:i/>
        </w:rPr>
        <w:t>Civil society, including women’s groups and groups of people with a disability, plays a key role in ensuring transparency and accountability of government service delivery and can catalyse change in government policy so it includes and responds to development</w:t>
      </w:r>
      <w:r>
        <w:rPr>
          <w:i/>
        </w:rPr>
        <w:t xml:space="preserve"> </w:t>
      </w:r>
      <w:r w:rsidRPr="00A92EBC">
        <w:rPr>
          <w:i/>
        </w:rPr>
        <w:t>...</w:t>
      </w:r>
      <w:r>
        <w:rPr>
          <w:i/>
        </w:rPr>
        <w:t xml:space="preserve"> </w:t>
      </w:r>
      <w:r w:rsidRPr="00A92EBC">
        <w:rPr>
          <w:i/>
        </w:rPr>
        <w:t>We will also enable the participation and meaningful consultation of children and young people (including children with disabilities).</w:t>
      </w:r>
      <w:r>
        <w:rPr>
          <w:i/>
        </w:rPr>
        <w:t>’</w:t>
      </w:r>
      <w:r>
        <w:rPr>
          <w:rStyle w:val="EndnoteReference"/>
          <w:i/>
        </w:rPr>
        <w:endnoteReference w:id="269"/>
      </w:r>
    </w:p>
    <w:p w14:paraId="6F010B49" w14:textId="77777777" w:rsidR="00AF6A11" w:rsidRDefault="00AF6A11" w:rsidP="00B9479A">
      <w:pPr>
        <w:pStyle w:val="Heading3"/>
        <w:spacing w:before="240"/>
      </w:pPr>
      <w:bookmarkStart w:id="365" w:name="_Toc371368493"/>
      <w:bookmarkStart w:id="366" w:name="_Toc372300882"/>
      <w:bookmarkStart w:id="367" w:name="_Toc382563939"/>
      <w:bookmarkStart w:id="368" w:name="_Toc382595893"/>
      <w:r>
        <w:t>Coherence</w:t>
      </w:r>
      <w:bookmarkEnd w:id="365"/>
      <w:r>
        <w:t xml:space="preserve"> in health, education and infrastructure strategies</w:t>
      </w:r>
      <w:bookmarkEnd w:id="366"/>
      <w:bookmarkEnd w:id="367"/>
      <w:bookmarkEnd w:id="368"/>
    </w:p>
    <w:p w14:paraId="161AF100" w14:textId="6714901B" w:rsidR="00AF6A11" w:rsidRDefault="00AF6A11" w:rsidP="001B6F67">
      <w:r>
        <w:t xml:space="preserve">All four strategies </w:t>
      </w:r>
      <w:r w:rsidR="00D94846">
        <w:t>have</w:t>
      </w:r>
      <w:r>
        <w:t xml:space="preserve"> a governance focus. The education strategy has a pillar devoted to better governance and the health strategy states that ‘</w:t>
      </w:r>
      <w:r w:rsidRPr="00AA38A7">
        <w:rPr>
          <w:i/>
        </w:rPr>
        <w:t>Australia will also support improved governance, including in public financial management, to ensure adequate budgetary allocations for health</w:t>
      </w:r>
      <w:r w:rsidRPr="00AA38A7">
        <w:t>.</w:t>
      </w:r>
      <w:r>
        <w:t>’</w:t>
      </w:r>
      <w:r>
        <w:rPr>
          <w:rStyle w:val="EndnoteReference"/>
        </w:rPr>
        <w:endnoteReference w:id="270"/>
      </w:r>
      <w:r>
        <w:t xml:space="preserve"> The WASH strategy notes that governance is a </w:t>
      </w:r>
      <w:r w:rsidR="00560B6D">
        <w:t>cross-cutting</w:t>
      </w:r>
      <w:r>
        <w:t xml:space="preserve"> issue: ‘</w:t>
      </w:r>
      <w:r w:rsidRPr="003D28C4">
        <w:rPr>
          <w:i/>
        </w:rPr>
        <w:t xml:space="preserve">The Australian Government is committed to ensuring </w:t>
      </w:r>
      <w:r w:rsidR="00BA7B34" w:rsidRPr="003D28C4">
        <w:rPr>
          <w:i/>
        </w:rPr>
        <w:t xml:space="preserve">the </w:t>
      </w:r>
      <w:r w:rsidR="00BA7B34">
        <w:rPr>
          <w:i/>
        </w:rPr>
        <w:t>cross</w:t>
      </w:r>
      <w:r w:rsidR="00560B6D">
        <w:rPr>
          <w:i/>
        </w:rPr>
        <w:t>-cutting</w:t>
      </w:r>
      <w:r w:rsidRPr="003D28C4">
        <w:rPr>
          <w:i/>
        </w:rPr>
        <w:t xml:space="preserve"> themes of gender equality and improved governance continue to underpin its investment in WASH</w:t>
      </w:r>
      <w:r>
        <w:rPr>
          <w:i/>
        </w:rPr>
        <w:t>.</w:t>
      </w:r>
      <w:r>
        <w:t>’</w:t>
      </w:r>
      <w:r>
        <w:rPr>
          <w:rStyle w:val="EndnoteReference"/>
        </w:rPr>
        <w:endnoteReference w:id="271"/>
      </w:r>
      <w:r>
        <w:t xml:space="preserve"> However, no strategies provide guidance on how to achieve coherence and complementarity between governance and other sector programs.</w:t>
      </w:r>
    </w:p>
    <w:p w14:paraId="229C3BAF" w14:textId="77777777" w:rsidR="00AF6A11" w:rsidRDefault="00AF6A11" w:rsidP="00B9479A">
      <w:pPr>
        <w:pStyle w:val="Heading3"/>
        <w:spacing w:before="240"/>
      </w:pPr>
      <w:bookmarkStart w:id="369" w:name="_Toc371368494"/>
      <w:bookmarkStart w:id="370" w:name="_Toc372300883"/>
      <w:bookmarkStart w:id="371" w:name="_Toc382563940"/>
      <w:bookmarkStart w:id="372" w:name="_Toc382595894"/>
      <w:r>
        <w:t>Review of governance thematic strategy</w:t>
      </w:r>
      <w:bookmarkEnd w:id="369"/>
      <w:bookmarkEnd w:id="370"/>
      <w:bookmarkEnd w:id="371"/>
      <w:bookmarkEnd w:id="372"/>
    </w:p>
    <w:p w14:paraId="0FC8CEC3" w14:textId="5465C160" w:rsidR="00675E65" w:rsidRDefault="00AF6A11" w:rsidP="00DC3D07">
      <w:r>
        <w:t xml:space="preserve">We reviewed the extent to which this strategy provides guidance to other sectoral areas in terms of their response to decentralised contexts. We found that although one of the three pillars in the </w:t>
      </w:r>
      <w:r w:rsidR="00675E65">
        <w:t>g</w:t>
      </w:r>
      <w:r>
        <w:t>overnance strategy focuses on enhancing service delivery,</w:t>
      </w:r>
      <w:r w:rsidR="00610727">
        <w:rPr>
          <w:rStyle w:val="FootnoteReference"/>
        </w:rPr>
        <w:footnoteReference w:id="36"/>
      </w:r>
      <w:r w:rsidR="00610727">
        <w:t xml:space="preserve"> </w:t>
      </w:r>
      <w:r>
        <w:t xml:space="preserve">the document contained limited guidance concerning decentralised contexts. </w:t>
      </w:r>
    </w:p>
    <w:p w14:paraId="4988C5A9" w14:textId="5EB86F4B" w:rsidR="00AF6A11" w:rsidRPr="002A1747" w:rsidRDefault="00AF6A11" w:rsidP="00DC3D07">
      <w:r w:rsidRPr="008B62D4">
        <w:t>In the governance strategy</w:t>
      </w:r>
      <w:r>
        <w:t>,</w:t>
      </w:r>
      <w:r w:rsidRPr="008B62D4">
        <w:t xml:space="preserve"> the discussi</w:t>
      </w:r>
      <w:r w:rsidRPr="002A1747">
        <w:t xml:space="preserve">on on the </w:t>
      </w:r>
      <w:r w:rsidRPr="00B9479A">
        <w:t>supply side</w:t>
      </w:r>
      <w:r w:rsidRPr="008B62D4">
        <w:t xml:space="preserve"> of service delivery is limited to generic guidance for ‘</w:t>
      </w:r>
      <w:r w:rsidRPr="002A1747">
        <w:rPr>
          <w:i/>
        </w:rPr>
        <w:t>sound analysis of the political and institutional context</w:t>
      </w:r>
      <w:r w:rsidRPr="002A1747">
        <w:t>’</w:t>
      </w:r>
      <w:r w:rsidRPr="002A1747">
        <w:rPr>
          <w:rStyle w:val="EndnoteReference"/>
          <w:rFonts w:cs="MetaSerifOT-Book"/>
          <w:color w:val="211D1E"/>
        </w:rPr>
        <w:endnoteReference w:id="272"/>
      </w:r>
      <w:r w:rsidRPr="002A1747">
        <w:t>and seeking ‘</w:t>
      </w:r>
      <w:r w:rsidRPr="002A1747">
        <w:rPr>
          <w:i/>
        </w:rPr>
        <w:t>strong public sector and sound public financial management.</w:t>
      </w:r>
      <w:r w:rsidRPr="002A1747">
        <w:t>’</w:t>
      </w:r>
      <w:r w:rsidRPr="002A1747">
        <w:rPr>
          <w:rStyle w:val="EndnoteReference"/>
          <w:rFonts w:cs="MetaSerifOT-Book"/>
          <w:color w:val="211D1E"/>
        </w:rPr>
        <w:endnoteReference w:id="273"/>
      </w:r>
      <w:r w:rsidRPr="002A1747">
        <w:t xml:space="preserve"> It makes limited mention of subnational roles, and no mention of key gaps and challenges in service delivery or </w:t>
      </w:r>
      <w:r w:rsidRPr="00AA1205">
        <w:t xml:space="preserve">subnational </w:t>
      </w:r>
      <w:r w:rsidRPr="008B62D4">
        <w:t>financial resources</w:t>
      </w:r>
      <w:r w:rsidRPr="002A1747">
        <w:t>. It also does not mention how the aid program would work with subnational levels of government. The governance strategy could be expected to provide more detailed guidance</w:t>
      </w:r>
      <w:r>
        <w:t xml:space="preserve"> around the</w:t>
      </w:r>
      <w:r w:rsidRPr="008B62D4">
        <w:t xml:space="preserve"> </w:t>
      </w:r>
      <w:r w:rsidRPr="002A1747">
        <w:t>challenges that are typically faced in decentralised contexts</w:t>
      </w:r>
      <w:r>
        <w:t xml:space="preserve"> (see Section 1.2)</w:t>
      </w:r>
      <w:r w:rsidRPr="008B62D4">
        <w:t xml:space="preserve">. By </w:t>
      </w:r>
      <w:r w:rsidRPr="002A1747">
        <w:t xml:space="preserve">contrast, it provides a much more detailed coverage of the </w:t>
      </w:r>
      <w:r w:rsidRPr="00B9479A">
        <w:t>demand side</w:t>
      </w:r>
      <w:r w:rsidRPr="008B62D4">
        <w:t xml:space="preserve"> of service delivery at the local level, and of ways to address this, including </w:t>
      </w:r>
      <w:r w:rsidRPr="00B9479A">
        <w:t>equit</w:t>
      </w:r>
      <w:r w:rsidRPr="008B62D4">
        <w:t>y</w:t>
      </w:r>
      <w:r w:rsidRPr="002A1747">
        <w:t xml:space="preserve"> considerations. For example, it mentions ‘</w:t>
      </w:r>
      <w:r w:rsidRPr="002A1747">
        <w:rPr>
          <w:i/>
        </w:rPr>
        <w:t>social accountability</w:t>
      </w:r>
      <w:r w:rsidRPr="002A1747">
        <w:rPr>
          <w:rStyle w:val="A3"/>
          <w:i/>
          <w:szCs w:val="21"/>
        </w:rPr>
        <w:t xml:space="preserve"> </w:t>
      </w:r>
      <w:r w:rsidRPr="002A1747">
        <w:rPr>
          <w:i/>
        </w:rPr>
        <w:t>and improving relationships between the state and society, as well as governing in a socially inclusive way, to respond to the needs of all members of society</w:t>
      </w:r>
      <w:r w:rsidR="00D2236B">
        <w:t>.’</w:t>
      </w:r>
      <w:r w:rsidRPr="002A1747">
        <w:rPr>
          <w:rStyle w:val="EndnoteReference"/>
          <w:rFonts w:cs="MetaSerifOT-Book"/>
          <w:color w:val="211D1E"/>
        </w:rPr>
        <w:endnoteReference w:id="274"/>
      </w:r>
    </w:p>
    <w:p w14:paraId="1F13C102" w14:textId="2A0E725D" w:rsidR="00AF6A11" w:rsidRPr="001E48B4" w:rsidRDefault="00AF6A11" w:rsidP="001B6F67">
      <w:r w:rsidRPr="002A1747">
        <w:t xml:space="preserve">With respect to </w:t>
      </w:r>
      <w:r w:rsidRPr="00B9479A">
        <w:t>coherence</w:t>
      </w:r>
      <w:r w:rsidRPr="002A1747">
        <w:t>, the strategy refer</w:t>
      </w:r>
      <w:r>
        <w:t>s</w:t>
      </w:r>
      <w:r w:rsidRPr="002A1747">
        <w:t xml:space="preserve"> to coordination and to governance as ‘cross</w:t>
      </w:r>
      <w:r w:rsidR="00560B6D">
        <w:t>-</w:t>
      </w:r>
      <w:r w:rsidRPr="002A1747">
        <w:t xml:space="preserve">cutting’ but </w:t>
      </w:r>
      <w:r>
        <w:t>does not</w:t>
      </w:r>
      <w:r w:rsidRPr="008B62D4">
        <w:t xml:space="preserve"> discuss</w:t>
      </w:r>
      <w:r w:rsidRPr="002A1747">
        <w:t xml:space="preserve"> how governance and sector programs might be expected to engage with one another on service delivery. The strategy proposes a focus on </w:t>
      </w:r>
      <w:r w:rsidRPr="00B9479A">
        <w:t>analysis and learning</w:t>
      </w:r>
      <w:r w:rsidRPr="008B62D4">
        <w:t>, including the use of political, social and political economy analysis.</w:t>
      </w:r>
      <w:r w:rsidRPr="002A1747">
        <w:t xml:space="preserve"> Links</w:t>
      </w:r>
      <w:r w:rsidRPr="001E48B4">
        <w:t xml:space="preserve"> between governance and service delivery </w:t>
      </w:r>
      <w:r>
        <w:t>are</w:t>
      </w:r>
      <w:r w:rsidRPr="001E48B4">
        <w:t xml:space="preserve"> expected to inform sector str</w:t>
      </w:r>
      <w:r>
        <w:t>ategy and programming. T</w:t>
      </w:r>
      <w:r w:rsidRPr="001E48B4">
        <w:t>here is no clear guidance</w:t>
      </w:r>
      <w:r>
        <w:t>, however,</w:t>
      </w:r>
      <w:r w:rsidRPr="001E48B4">
        <w:t xml:space="preserve"> o</w:t>
      </w:r>
      <w:r>
        <w:t>n</w:t>
      </w:r>
      <w:r w:rsidRPr="001E48B4">
        <w:t xml:space="preserve"> mechanisms to ensure such learning is transferred and translated into </w:t>
      </w:r>
      <w:r>
        <w:t xml:space="preserve">other </w:t>
      </w:r>
      <w:r w:rsidRPr="001E48B4">
        <w:t>sector areas.</w:t>
      </w:r>
    </w:p>
    <w:p w14:paraId="53E030AF" w14:textId="77777777" w:rsidR="00AF6A11" w:rsidRDefault="00AF6A11" w:rsidP="00B9479A">
      <w:pPr>
        <w:pStyle w:val="Heading3"/>
        <w:spacing w:before="240"/>
      </w:pPr>
      <w:bookmarkStart w:id="373" w:name="_Toc372300884"/>
      <w:bookmarkStart w:id="374" w:name="_Toc382563941"/>
      <w:bookmarkStart w:id="375" w:name="_Toc382595895"/>
      <w:r>
        <w:t>Guidance for preparation of thematic strategies</w:t>
      </w:r>
      <w:bookmarkEnd w:id="373"/>
      <w:bookmarkEnd w:id="374"/>
      <w:bookmarkEnd w:id="375"/>
    </w:p>
    <w:p w14:paraId="5AB883F0" w14:textId="77777777" w:rsidR="00AF6A11" w:rsidRDefault="00AF6A11" w:rsidP="001B6F67">
      <w:r>
        <w:t>There appears to be no specific guidance to underpin preparation of thematic strategies.</w:t>
      </w:r>
      <w:r w:rsidRPr="00133689">
        <w:t xml:space="preserve"> </w:t>
      </w:r>
      <w:r>
        <w:t xml:space="preserve">Such guidance could include general governance considerations related to decentralisation and subnational roles in supporting sustainable service delivery, as well as prompts regarding specific sectoral considerations. Such guidance could </w:t>
      </w:r>
      <w:r w:rsidR="00E85BF1">
        <w:t>also cover</w:t>
      </w:r>
      <w:r>
        <w:t xml:space="preserve"> thematic performance assessment frameworks. This would help to ensure consistent terminology and approaches, as well as appropriate cross-referencing between documents.</w:t>
      </w:r>
    </w:p>
    <w:p w14:paraId="73AA6A46" w14:textId="77777777" w:rsidR="00AF6A11" w:rsidRPr="00211AAE" w:rsidRDefault="00AF6A11" w:rsidP="001B6F67">
      <w:pPr>
        <w:pStyle w:val="Heading2"/>
        <w:numPr>
          <w:ilvl w:val="1"/>
          <w:numId w:val="0"/>
        </w:numPr>
        <w:spacing w:before="360" w:after="240" w:line="288" w:lineRule="auto"/>
      </w:pPr>
      <w:bookmarkStart w:id="376" w:name="_Toc360802264"/>
      <w:bookmarkStart w:id="377" w:name="_Toc371368496"/>
      <w:bookmarkStart w:id="378" w:name="_Ref371621977"/>
      <w:bookmarkStart w:id="379" w:name="_Ref371622368"/>
      <w:bookmarkStart w:id="380" w:name="_Ref371622411"/>
      <w:bookmarkStart w:id="381" w:name="_Ref371622904"/>
      <w:bookmarkStart w:id="382" w:name="_Toc382563943"/>
      <w:bookmarkStart w:id="383" w:name="_Toc382595897"/>
      <w:bookmarkStart w:id="384" w:name="_Toc408831794"/>
      <w:r>
        <w:t>6.2</w:t>
      </w:r>
      <w:r>
        <w:tab/>
        <w:t>Review of c</w:t>
      </w:r>
      <w:r w:rsidRPr="00211AAE">
        <w:t>ountry program strategies</w:t>
      </w:r>
      <w:bookmarkEnd w:id="376"/>
      <w:bookmarkEnd w:id="377"/>
      <w:bookmarkEnd w:id="378"/>
      <w:bookmarkEnd w:id="379"/>
      <w:bookmarkEnd w:id="380"/>
      <w:bookmarkEnd w:id="381"/>
      <w:bookmarkEnd w:id="382"/>
      <w:bookmarkEnd w:id="383"/>
      <w:bookmarkEnd w:id="384"/>
      <w:r w:rsidRPr="00211AAE">
        <w:t xml:space="preserve"> </w:t>
      </w:r>
    </w:p>
    <w:p w14:paraId="6BBBE255" w14:textId="26965955" w:rsidR="00AF6A11" w:rsidRDefault="00AF6A11" w:rsidP="001B6F67">
      <w:r>
        <w:t>We</w:t>
      </w:r>
      <w:r w:rsidRPr="00CE66B5">
        <w:t xml:space="preserve"> found </w:t>
      </w:r>
      <w:r>
        <w:t>an uneven</w:t>
      </w:r>
      <w:r w:rsidRPr="00CE66B5">
        <w:t xml:space="preserve"> coverage of decentralisation processes</w:t>
      </w:r>
      <w:r>
        <w:t xml:space="preserve"> in the six country program strategies (summarised in Table </w:t>
      </w:r>
      <w:r w:rsidR="003B5F1B">
        <w:t>6</w:t>
      </w:r>
      <w:r>
        <w:t>, see Appendix 3 for detailed analysis). We reviewed the strategies in light of the status of the decentralisation process in each country, which in some cases explains the absence or limited discussion of decentralisation issues.</w:t>
      </w:r>
      <w:r w:rsidRPr="003D28C4">
        <w:t xml:space="preserve"> </w:t>
      </w:r>
      <w:r w:rsidRPr="00CE66B5">
        <w:t>Strategy documents for the three countries</w:t>
      </w:r>
      <w:r>
        <w:t xml:space="preserve"> where decentralisation is well progressed (</w:t>
      </w:r>
      <w:r w:rsidRPr="00CE66B5">
        <w:t>Indonesia, PNG and the Philippines</w:t>
      </w:r>
      <w:r>
        <w:t>)</w:t>
      </w:r>
      <w:r w:rsidRPr="00CE66B5">
        <w:t xml:space="preserve"> all </w:t>
      </w:r>
      <w:r>
        <w:t>describe</w:t>
      </w:r>
      <w:r w:rsidRPr="00CE66B5">
        <w:t xml:space="preserve"> the role of subnational authorities and decentralisation processes as key </w:t>
      </w:r>
      <w:r>
        <w:t>considerations</w:t>
      </w:r>
      <w:r w:rsidRPr="00211AAE">
        <w:t>.</w:t>
      </w:r>
      <w:r w:rsidR="00B17CEE">
        <w:rPr>
          <w:rStyle w:val="FootnoteReference"/>
        </w:rPr>
        <w:footnoteReference w:id="37"/>
      </w:r>
      <w:r w:rsidR="00B17CEE">
        <w:t xml:space="preserve"> </w:t>
      </w:r>
      <w:r>
        <w:t>The documents for the three other countries contained limit</w:t>
      </w:r>
      <w:r w:rsidR="00804924">
        <w:t>ed consideration of these areas.</w:t>
      </w:r>
      <w:r>
        <w:t xml:space="preserve"> </w:t>
      </w:r>
      <w:r w:rsidR="00804924">
        <w:t>This</w:t>
      </w:r>
      <w:r>
        <w:t xml:space="preserve"> may be justifiable for Solomon Islands and Bangladesh given their status of decentralisation, but </w:t>
      </w:r>
      <w:r w:rsidR="00804924">
        <w:t xml:space="preserve">it </w:t>
      </w:r>
      <w:r>
        <w:t xml:space="preserve">is questionable for Vietnam, where decentralisation is further progressed. </w:t>
      </w:r>
    </w:p>
    <w:p w14:paraId="67784D80" w14:textId="77777777" w:rsidR="00AC4176" w:rsidRDefault="00AC4176" w:rsidP="00AC4176">
      <w:r>
        <w:t>The ‘working in partner systems’ guidelines were ‘</w:t>
      </w:r>
      <w:r w:rsidRPr="007048D2">
        <w:rPr>
          <w:i/>
        </w:rPr>
        <w:t>written to complement the new country strategy architecture</w:t>
      </w:r>
      <w:r>
        <w:t>’ and are mostly focused on public financial management. They define ‘partner systems’ in terms of financial and budgetary systems. So, while these guidelines do mention subnational government, they are primarily concerned with fiduciary risk. They do not prompt consideration of how to address the variety of aid choices that are available in decentralised contexts (e.g. balance of engagement with different parts of partner governments at different levels, choice of subnational location, modalities that support responsiveness).</w:t>
      </w:r>
    </w:p>
    <w:p w14:paraId="64464C4B" w14:textId="77777777" w:rsidR="003A0186" w:rsidRDefault="003A0186" w:rsidP="003A0186">
      <w:r>
        <w:t>Internal g</w:t>
      </w:r>
      <w:r w:rsidRPr="00921A4C">
        <w:t>uidelines on political economy analysis</w:t>
      </w:r>
      <w:r w:rsidRPr="001904C0">
        <w:t xml:space="preserve"> recognise</w:t>
      </w:r>
      <w:r>
        <w:t xml:space="preserve"> the political nature of governance with both formal and informal systems and processes influencing government. This guidance promotes an ‘understanding of local political economy’, ‘macro level analysis’ and ‘sector and issue specific analysis’ and is useful in prompting consideration of issues important in decentralised contexts. </w:t>
      </w:r>
    </w:p>
    <w:p w14:paraId="2EF76765" w14:textId="77777777" w:rsidR="003A0186" w:rsidRDefault="003A0186" w:rsidP="00AC4176"/>
    <w:p w14:paraId="2D8D863C" w14:textId="77777777" w:rsidR="00AC4176" w:rsidRDefault="00AC4176" w:rsidP="001B6F67"/>
    <w:p w14:paraId="2E51B047" w14:textId="77777777" w:rsidR="00804924" w:rsidRDefault="00804924" w:rsidP="001B6F67"/>
    <w:p w14:paraId="21E6CE18" w14:textId="6D5FBE3A" w:rsidR="00AF6A11" w:rsidRDefault="00AF6A11" w:rsidP="005F6431">
      <w:pPr>
        <w:pStyle w:val="TableName"/>
        <w:ind w:left="0" w:firstLine="0"/>
      </w:pPr>
      <w:bookmarkStart w:id="385" w:name="_Ref366268264"/>
      <w:r>
        <w:t xml:space="preserve">Table </w:t>
      </w:r>
      <w:bookmarkEnd w:id="385"/>
      <w:r w:rsidR="003B5F1B">
        <w:t>6</w:t>
      </w:r>
      <w:r>
        <w:tab/>
        <w:t xml:space="preserve">Service delivery roles and review of country strategies </w:t>
      </w:r>
    </w:p>
    <w:tbl>
      <w:tblPr>
        <w:tblStyle w:val="TableGrid"/>
        <w:tblW w:w="0" w:type="auto"/>
        <w:tblLook w:val="04A0" w:firstRow="1" w:lastRow="0" w:firstColumn="1" w:lastColumn="0" w:noHBand="0" w:noVBand="1"/>
      </w:tblPr>
      <w:tblGrid>
        <w:gridCol w:w="1242"/>
        <w:gridCol w:w="2977"/>
        <w:gridCol w:w="5023"/>
      </w:tblGrid>
      <w:tr w:rsidR="00AF6A11" w:rsidRPr="001B6F67" w14:paraId="7B5AB5C3" w14:textId="77777777" w:rsidTr="00B9479A">
        <w:trPr>
          <w:cnfStyle w:val="100000000000" w:firstRow="1" w:lastRow="0" w:firstColumn="0" w:lastColumn="0" w:oddVBand="0" w:evenVBand="0" w:oddHBand="0" w:evenHBand="0" w:firstRowFirstColumn="0" w:firstRowLastColumn="0" w:lastRowFirstColumn="0" w:lastRowLastColumn="0"/>
        </w:trPr>
        <w:tc>
          <w:tcPr>
            <w:tcW w:w="1242" w:type="dxa"/>
          </w:tcPr>
          <w:p w14:paraId="2E7D21E5" w14:textId="77777777" w:rsidR="00AF6A11" w:rsidRPr="00655405" w:rsidRDefault="00AF6A11" w:rsidP="001B6F67">
            <w:pPr>
              <w:pStyle w:val="TableHeading"/>
              <w:rPr>
                <w:sz w:val="18"/>
                <w:szCs w:val="18"/>
              </w:rPr>
            </w:pPr>
            <w:r w:rsidRPr="00655405">
              <w:rPr>
                <w:sz w:val="18"/>
                <w:szCs w:val="18"/>
              </w:rPr>
              <w:t>Country</w:t>
            </w:r>
          </w:p>
        </w:tc>
        <w:tc>
          <w:tcPr>
            <w:tcW w:w="2977" w:type="dxa"/>
          </w:tcPr>
          <w:p w14:paraId="118A2A5B" w14:textId="77777777" w:rsidR="00AF6A11" w:rsidRPr="00655405" w:rsidRDefault="00AF6A11" w:rsidP="003B336C">
            <w:pPr>
              <w:pStyle w:val="TableHeading"/>
              <w:rPr>
                <w:sz w:val="18"/>
                <w:szCs w:val="18"/>
              </w:rPr>
            </w:pPr>
            <w:r w:rsidRPr="00655405">
              <w:rPr>
                <w:sz w:val="18"/>
                <w:szCs w:val="18"/>
              </w:rPr>
              <w:t xml:space="preserve">Subnational roles in service delivery </w:t>
            </w:r>
          </w:p>
        </w:tc>
        <w:tc>
          <w:tcPr>
            <w:tcW w:w="5023" w:type="dxa"/>
          </w:tcPr>
          <w:p w14:paraId="7C87A891" w14:textId="77777777" w:rsidR="00AF6A11" w:rsidRPr="00655405" w:rsidRDefault="00AF6A11" w:rsidP="001B6F67">
            <w:pPr>
              <w:pStyle w:val="TableHeading"/>
              <w:rPr>
                <w:sz w:val="18"/>
                <w:szCs w:val="18"/>
              </w:rPr>
            </w:pPr>
            <w:r w:rsidRPr="00655405">
              <w:rPr>
                <w:sz w:val="18"/>
                <w:szCs w:val="18"/>
              </w:rPr>
              <w:t>Evidence of decentralisation and subnational roles in country strategy documents</w:t>
            </w:r>
          </w:p>
        </w:tc>
      </w:tr>
      <w:tr w:rsidR="00AF6A11" w14:paraId="645D5C8E" w14:textId="77777777" w:rsidTr="00B9479A">
        <w:tc>
          <w:tcPr>
            <w:tcW w:w="1242" w:type="dxa"/>
          </w:tcPr>
          <w:p w14:paraId="61FBFA0A" w14:textId="77777777" w:rsidR="00AF6A11" w:rsidRPr="005140F5" w:rsidRDefault="00AF6A11" w:rsidP="00DE3CD6">
            <w:pPr>
              <w:pStyle w:val="TableText"/>
            </w:pPr>
            <w:r w:rsidRPr="005140F5">
              <w:t>Indonesia</w:t>
            </w:r>
          </w:p>
        </w:tc>
        <w:tc>
          <w:tcPr>
            <w:tcW w:w="2977" w:type="dxa"/>
          </w:tcPr>
          <w:p w14:paraId="1AB449BF" w14:textId="77777777" w:rsidR="00AF6A11" w:rsidRPr="005140F5" w:rsidRDefault="00AF6A11" w:rsidP="00DE3CD6">
            <w:pPr>
              <w:pStyle w:val="TableText"/>
            </w:pPr>
            <w:r w:rsidRPr="005140F5">
              <w:t>Provincial and local governments responsible for service delivery</w:t>
            </w:r>
          </w:p>
          <w:p w14:paraId="117DDE62" w14:textId="77777777" w:rsidR="00AF6A11" w:rsidRPr="005140F5" w:rsidRDefault="00AF6A11" w:rsidP="00DE3CD6">
            <w:pPr>
              <w:pStyle w:val="TableText"/>
            </w:pPr>
            <w:r w:rsidRPr="005140F5">
              <w:t>(Devolution)</w:t>
            </w:r>
          </w:p>
        </w:tc>
        <w:tc>
          <w:tcPr>
            <w:tcW w:w="5023" w:type="dxa"/>
          </w:tcPr>
          <w:p w14:paraId="24C91FB5" w14:textId="77777777" w:rsidR="00AF6A11" w:rsidRPr="005140F5" w:rsidRDefault="00AF6A11" w:rsidP="00DE3CD6">
            <w:pPr>
              <w:pStyle w:val="TableBullet"/>
            </w:pPr>
            <w:r w:rsidRPr="005140F5">
              <w:t>Good coverage of decentralisation</w:t>
            </w:r>
            <w:r>
              <w:t>—</w:t>
            </w:r>
            <w:r w:rsidRPr="005140F5">
              <w:t xml:space="preserve">provides analysis of decentralised context, challenges faced at subnational level. </w:t>
            </w:r>
          </w:p>
          <w:p w14:paraId="52D22EE1" w14:textId="77777777" w:rsidR="00AF6A11" w:rsidRPr="005140F5" w:rsidRDefault="00AF6A11" w:rsidP="00DE3CD6">
            <w:pPr>
              <w:pStyle w:val="TableBullet"/>
            </w:pPr>
            <w:r w:rsidRPr="005140F5">
              <w:t>Commits to work with select provincial and local governments to enhance capacity and public financial management, and to dedicate resources to increase knowledge of the context.</w:t>
            </w:r>
          </w:p>
        </w:tc>
      </w:tr>
      <w:tr w:rsidR="00AF6A11" w14:paraId="04F9C13A" w14:textId="77777777" w:rsidTr="00B9479A">
        <w:tc>
          <w:tcPr>
            <w:tcW w:w="1242" w:type="dxa"/>
          </w:tcPr>
          <w:p w14:paraId="6CB4A639" w14:textId="77777777" w:rsidR="00AF6A11" w:rsidRPr="005140F5" w:rsidRDefault="00AF6A11" w:rsidP="00DE3CD6">
            <w:pPr>
              <w:pStyle w:val="TableText"/>
            </w:pPr>
            <w:r w:rsidRPr="005140F5">
              <w:t>PNG</w:t>
            </w:r>
          </w:p>
        </w:tc>
        <w:tc>
          <w:tcPr>
            <w:tcW w:w="2977" w:type="dxa"/>
          </w:tcPr>
          <w:p w14:paraId="365EFA57" w14:textId="2EE7A81D" w:rsidR="00AF6A11" w:rsidRPr="005140F5" w:rsidRDefault="00AF6A11" w:rsidP="00DE3CD6">
            <w:pPr>
              <w:pStyle w:val="TableText"/>
            </w:pPr>
            <w:r w:rsidRPr="005140F5">
              <w:t>Provincial and local governments primarily responsible for delivery of most public services, including provincial health authorities in some provinces</w:t>
            </w:r>
            <w:r w:rsidR="00DE061C">
              <w:t xml:space="preserve"> </w:t>
            </w:r>
            <w:r w:rsidRPr="005140F5">
              <w:t xml:space="preserve">(Devolution) </w:t>
            </w:r>
          </w:p>
        </w:tc>
        <w:tc>
          <w:tcPr>
            <w:tcW w:w="5023" w:type="dxa"/>
          </w:tcPr>
          <w:p w14:paraId="74B6B9B6" w14:textId="77777777" w:rsidR="00B17CEE" w:rsidRPr="005140F5" w:rsidRDefault="00AF6A11" w:rsidP="00DE3CD6">
            <w:pPr>
              <w:pStyle w:val="TableBullet"/>
            </w:pPr>
            <w:r w:rsidRPr="005140F5">
              <w:t>Partnership agreement and accompanying schedules have limited reference to subnational roles in service delivery.</w:t>
            </w:r>
            <w:r w:rsidR="00B17CEE" w:rsidRPr="005140F5">
              <w:rPr>
                <w:rStyle w:val="FootnoteReference"/>
              </w:rPr>
              <w:footnoteReference w:id="38"/>
            </w:r>
          </w:p>
          <w:p w14:paraId="20FF80B7" w14:textId="77777777" w:rsidR="00AF6A11" w:rsidRPr="005140F5" w:rsidRDefault="00AF6A11" w:rsidP="00DE3CD6">
            <w:pPr>
              <w:pStyle w:val="TableBullet"/>
            </w:pPr>
            <w:r w:rsidRPr="005140F5">
              <w:t xml:space="preserve">Health schedule commits to support subnational capacity, education schedule does not, but describes role of different levels of government. </w:t>
            </w:r>
          </w:p>
        </w:tc>
      </w:tr>
      <w:tr w:rsidR="00AF6A11" w14:paraId="3A0695B7" w14:textId="77777777" w:rsidTr="00B9479A">
        <w:tc>
          <w:tcPr>
            <w:tcW w:w="1242" w:type="dxa"/>
          </w:tcPr>
          <w:p w14:paraId="7C769240" w14:textId="77777777" w:rsidR="00AF6A11" w:rsidRPr="005140F5" w:rsidRDefault="00AF6A11" w:rsidP="00DE3CD6">
            <w:pPr>
              <w:pStyle w:val="TableText"/>
            </w:pPr>
            <w:r w:rsidRPr="005140F5">
              <w:t>Philippines</w:t>
            </w:r>
          </w:p>
        </w:tc>
        <w:tc>
          <w:tcPr>
            <w:tcW w:w="2977" w:type="dxa"/>
          </w:tcPr>
          <w:p w14:paraId="7F4EDD7C" w14:textId="30CB2562" w:rsidR="00AF6A11" w:rsidRPr="005140F5" w:rsidRDefault="00AF6A11" w:rsidP="00DE3CD6">
            <w:pPr>
              <w:pStyle w:val="TableText"/>
            </w:pPr>
            <w:r w:rsidRPr="005140F5">
              <w:t>Services in healthcare, social services, public works, education, and housing devolved to local level</w:t>
            </w:r>
            <w:r w:rsidR="00DE061C">
              <w:t xml:space="preserve"> </w:t>
            </w:r>
            <w:r w:rsidRPr="005140F5">
              <w:t>(Devolution)</w:t>
            </w:r>
          </w:p>
        </w:tc>
        <w:tc>
          <w:tcPr>
            <w:tcW w:w="5023" w:type="dxa"/>
          </w:tcPr>
          <w:p w14:paraId="0F93E080" w14:textId="77777777" w:rsidR="00AF6A11" w:rsidRPr="005140F5" w:rsidRDefault="00AF6A11" w:rsidP="00DE3CD6">
            <w:pPr>
              <w:pStyle w:val="TableBullet"/>
            </w:pPr>
            <w:r w:rsidRPr="005140F5">
              <w:t>Detailed coverage of decentralisation and role of subnational government in service delivery. Notes specific problems with current decentralised service delivery.</w:t>
            </w:r>
          </w:p>
          <w:p w14:paraId="37184B1E" w14:textId="77777777" w:rsidR="00AF6A11" w:rsidRPr="005140F5" w:rsidRDefault="00AF6A11" w:rsidP="00DE3CD6">
            <w:pPr>
              <w:pStyle w:val="TableBullet"/>
            </w:pPr>
            <w:r w:rsidRPr="005140F5">
              <w:t>Commits support to address two of these major problems, funding at local level and accountability for performance.</w:t>
            </w:r>
          </w:p>
        </w:tc>
      </w:tr>
      <w:tr w:rsidR="00AF6A11" w14:paraId="27C22589" w14:textId="77777777" w:rsidTr="00B9479A">
        <w:tc>
          <w:tcPr>
            <w:tcW w:w="1242" w:type="dxa"/>
          </w:tcPr>
          <w:p w14:paraId="29AA62D3" w14:textId="77777777" w:rsidR="00AF6A11" w:rsidRPr="005140F5" w:rsidRDefault="00AF6A11" w:rsidP="00DE3CD6">
            <w:pPr>
              <w:pStyle w:val="TableText"/>
            </w:pPr>
            <w:r w:rsidRPr="005140F5">
              <w:t>Vietnam</w:t>
            </w:r>
          </w:p>
        </w:tc>
        <w:tc>
          <w:tcPr>
            <w:tcW w:w="2977" w:type="dxa"/>
          </w:tcPr>
          <w:p w14:paraId="329464D1" w14:textId="2C0AB13F" w:rsidR="00AF6A11" w:rsidRPr="005140F5" w:rsidRDefault="00AF6A11" w:rsidP="00DE3CD6">
            <w:pPr>
              <w:pStyle w:val="TableText"/>
            </w:pPr>
            <w:r w:rsidRPr="005140F5">
              <w:t>Education, health and social welfare provided by provincial and local governments. Devolving authority and resources resisted</w:t>
            </w:r>
            <w:r w:rsidR="00AC4176">
              <w:t xml:space="preserve"> </w:t>
            </w:r>
            <w:r w:rsidRPr="005140F5">
              <w:t>(Deconcentration)</w:t>
            </w:r>
          </w:p>
        </w:tc>
        <w:tc>
          <w:tcPr>
            <w:tcW w:w="5023" w:type="dxa"/>
          </w:tcPr>
          <w:p w14:paraId="01EC840A" w14:textId="77777777" w:rsidR="00AF6A11" w:rsidRPr="005140F5" w:rsidRDefault="00AF6A11" w:rsidP="00DE3CD6">
            <w:pPr>
              <w:pStyle w:val="TableBullet"/>
            </w:pPr>
            <w:r w:rsidRPr="005140F5">
              <w:t>Limited mention of decentralisation or subnational roles.</w:t>
            </w:r>
          </w:p>
          <w:p w14:paraId="69922C80" w14:textId="5040785F" w:rsidR="00AF6A11" w:rsidRPr="005140F5" w:rsidRDefault="00AF6A11" w:rsidP="00DE3CD6">
            <w:pPr>
              <w:pStyle w:val="TableBullet"/>
            </w:pPr>
            <w:r w:rsidRPr="005140F5">
              <w:t xml:space="preserve">Governance is a </w:t>
            </w:r>
            <w:r w:rsidR="00560B6D">
              <w:t xml:space="preserve"> cross-cutting</w:t>
            </w:r>
            <w:r w:rsidRPr="005140F5">
              <w:t xml:space="preserve"> theme for sector areas, but there is no analysis or discussion of capacity, authority or financial management at subnational levels.</w:t>
            </w:r>
          </w:p>
        </w:tc>
      </w:tr>
      <w:tr w:rsidR="00AF6A11" w14:paraId="1609E572" w14:textId="77777777" w:rsidTr="00B9479A">
        <w:tc>
          <w:tcPr>
            <w:tcW w:w="1242" w:type="dxa"/>
          </w:tcPr>
          <w:p w14:paraId="5E26CCFD" w14:textId="77777777" w:rsidR="00AF6A11" w:rsidRPr="005140F5" w:rsidRDefault="00AF6A11" w:rsidP="00DE3CD6">
            <w:pPr>
              <w:pStyle w:val="TableText"/>
            </w:pPr>
            <w:r w:rsidRPr="005140F5">
              <w:t>Solomon Islands</w:t>
            </w:r>
          </w:p>
        </w:tc>
        <w:tc>
          <w:tcPr>
            <w:tcW w:w="2977" w:type="dxa"/>
          </w:tcPr>
          <w:p w14:paraId="1192E60C" w14:textId="77777777" w:rsidR="00AF6A11" w:rsidRPr="005140F5" w:rsidRDefault="00AF6A11" w:rsidP="00DE3CD6">
            <w:pPr>
              <w:pStyle w:val="TableText"/>
            </w:pPr>
            <w:r w:rsidRPr="00B9479A">
              <w:t>Most service delivery responsibility of central government due to lack of provincial capacity</w:t>
            </w:r>
            <w:r w:rsidRPr="005140F5">
              <w:t xml:space="preserve"> </w:t>
            </w:r>
          </w:p>
          <w:p w14:paraId="4B900F8F" w14:textId="77777777" w:rsidR="00AF6A11" w:rsidRPr="005140F5" w:rsidRDefault="00AF6A11" w:rsidP="00DE3CD6">
            <w:pPr>
              <w:pStyle w:val="TableText"/>
            </w:pPr>
            <w:r w:rsidRPr="00B9479A">
              <w:t xml:space="preserve">(Political decentralisation without devolution of authority </w:t>
            </w:r>
            <w:r>
              <w:t>and</w:t>
            </w:r>
            <w:r w:rsidRPr="00B9479A">
              <w:t xml:space="preserve"> function)</w:t>
            </w:r>
          </w:p>
        </w:tc>
        <w:tc>
          <w:tcPr>
            <w:tcW w:w="5023" w:type="dxa"/>
          </w:tcPr>
          <w:p w14:paraId="70B1B970" w14:textId="77777777" w:rsidR="00AF6A11" w:rsidRPr="00B9479A" w:rsidRDefault="00AF6A11" w:rsidP="00DE3CD6">
            <w:pPr>
              <w:pStyle w:val="TableBullet"/>
            </w:pPr>
            <w:r w:rsidRPr="00B9479A">
              <w:t>No mention of subnational contexts, nor the role of provincial governments in development programs (Partnership agreement rather than a country strategy)</w:t>
            </w:r>
          </w:p>
          <w:p w14:paraId="6D23EB61" w14:textId="77777777" w:rsidR="00AF6A11" w:rsidRPr="00B9479A" w:rsidRDefault="00AF6A11" w:rsidP="00DE3CD6">
            <w:pPr>
              <w:pStyle w:val="TableBullet"/>
            </w:pPr>
            <w:r w:rsidRPr="00B9479A">
              <w:t>Subsequent schedules for priority outcomes not yet prepared.</w:t>
            </w:r>
          </w:p>
        </w:tc>
      </w:tr>
      <w:tr w:rsidR="00AF6A11" w14:paraId="3B83C816" w14:textId="77777777" w:rsidTr="00B9479A">
        <w:tc>
          <w:tcPr>
            <w:tcW w:w="1242" w:type="dxa"/>
          </w:tcPr>
          <w:p w14:paraId="14B40DF9" w14:textId="77777777" w:rsidR="00AF6A11" w:rsidRPr="005140F5" w:rsidRDefault="00AF6A11" w:rsidP="00DE3CD6">
            <w:pPr>
              <w:pStyle w:val="TableText"/>
            </w:pPr>
            <w:r w:rsidRPr="005140F5">
              <w:t>Bangladesh</w:t>
            </w:r>
          </w:p>
        </w:tc>
        <w:tc>
          <w:tcPr>
            <w:tcW w:w="2977" w:type="dxa"/>
          </w:tcPr>
          <w:p w14:paraId="5A88CED7" w14:textId="77777777" w:rsidR="00AF6A11" w:rsidRPr="005140F5" w:rsidRDefault="00AF6A11" w:rsidP="00DE3CD6">
            <w:pPr>
              <w:pStyle w:val="TableText"/>
            </w:pPr>
            <w:r w:rsidRPr="005140F5">
              <w:t>Local government currently plays a limited role in service delivery, particularly in health and education</w:t>
            </w:r>
            <w:r>
              <w:t xml:space="preserve"> </w:t>
            </w:r>
          </w:p>
          <w:p w14:paraId="4D73EF96" w14:textId="77777777" w:rsidR="00AF6A11" w:rsidRPr="005140F5" w:rsidRDefault="00AF6A11" w:rsidP="00DE3CD6">
            <w:pPr>
              <w:pStyle w:val="TableText"/>
            </w:pPr>
            <w:r w:rsidRPr="005140F5">
              <w:t>(Deconcentration)</w:t>
            </w:r>
          </w:p>
        </w:tc>
        <w:tc>
          <w:tcPr>
            <w:tcW w:w="5023" w:type="dxa"/>
          </w:tcPr>
          <w:p w14:paraId="73BB3364" w14:textId="77777777" w:rsidR="00AF6A11" w:rsidRPr="005140F5" w:rsidRDefault="00AF6A11" w:rsidP="00DE3CD6">
            <w:pPr>
              <w:pStyle w:val="TableBullet"/>
            </w:pPr>
            <w:r w:rsidRPr="005140F5">
              <w:t>Limited mention or analysis of decentralisation or the role of subnational authorities.</w:t>
            </w:r>
          </w:p>
          <w:p w14:paraId="6FAF84BA" w14:textId="77777777" w:rsidR="00AF6A11" w:rsidRPr="005140F5" w:rsidRDefault="00AF6A11" w:rsidP="00DE3CD6">
            <w:pPr>
              <w:pStyle w:val="TableBullet"/>
            </w:pPr>
            <w:r w:rsidRPr="005140F5">
              <w:t>Commits to support service delivery through civil society partners without description of how this relates to role of local authorities.</w:t>
            </w:r>
            <w:r>
              <w:t xml:space="preserve"> </w:t>
            </w:r>
          </w:p>
        </w:tc>
      </w:tr>
    </w:tbl>
    <w:p w14:paraId="2D62C165" w14:textId="77777777" w:rsidR="00AF6A11" w:rsidRPr="00F636EF" w:rsidRDefault="00AF6A11" w:rsidP="00DE3CD6">
      <w:pPr>
        <w:pStyle w:val="Heading3"/>
      </w:pPr>
      <w:bookmarkStart w:id="386" w:name="_Toc371368499"/>
      <w:bookmarkStart w:id="387" w:name="_Toc372300889"/>
      <w:bookmarkStart w:id="388" w:name="_Toc382563946"/>
      <w:bookmarkStart w:id="389" w:name="_Toc382595900"/>
      <w:r>
        <w:t>Use of c</w:t>
      </w:r>
      <w:r w:rsidRPr="00F636EF">
        <w:t xml:space="preserve">ountry </w:t>
      </w:r>
      <w:r>
        <w:t>s</w:t>
      </w:r>
      <w:r w:rsidRPr="00F636EF">
        <w:t>trateg</w:t>
      </w:r>
      <w:r>
        <w:t>ies</w:t>
      </w:r>
      <w:bookmarkEnd w:id="386"/>
      <w:bookmarkEnd w:id="387"/>
      <w:bookmarkEnd w:id="388"/>
      <w:bookmarkEnd w:id="389"/>
    </w:p>
    <w:p w14:paraId="40A206CC" w14:textId="18C32B55" w:rsidR="00AF6A11" w:rsidRDefault="00AF6A11" w:rsidP="00DE3CD6">
      <w:r>
        <w:t>Program staff in all three fieldwork countries referred to their country strategy documents.</w:t>
      </w:r>
      <w:r w:rsidR="00B17CEE">
        <w:rPr>
          <w:rStyle w:val="FootnoteReference"/>
        </w:rPr>
        <w:footnoteReference w:id="39"/>
      </w:r>
      <w:r w:rsidR="00B17CEE">
        <w:t xml:space="preserve"> </w:t>
      </w:r>
      <w:r>
        <w:t>In the Philippines program</w:t>
      </w:r>
      <w:r w:rsidR="00560B6D">
        <w:t>,</w:t>
      </w:r>
      <w:r>
        <w:t xml:space="preserve"> staff reported that the country strategy was influenced by a ‘</w:t>
      </w:r>
      <w:r w:rsidRPr="00E84C16">
        <w:rPr>
          <w:i/>
        </w:rPr>
        <w:t>huge body of research</w:t>
      </w:r>
      <w:r>
        <w:rPr>
          <w:i/>
        </w:rPr>
        <w:t>’</w:t>
      </w:r>
      <w:r>
        <w:t xml:space="preserve"> and was supported by baselines and performance frameworks. The strategy is to be integrated into all programs and staff reported ‘</w:t>
      </w:r>
      <w:r w:rsidRPr="00E84C16">
        <w:rPr>
          <w:i/>
        </w:rPr>
        <w:t>everyone has bought into it</w:t>
      </w:r>
      <w:r w:rsidR="00D2236B">
        <w:rPr>
          <w:i/>
        </w:rPr>
        <w:t>.’</w:t>
      </w:r>
      <w:r>
        <w:t xml:space="preserve"> Program staff saw their work as consistent with or supporting the country strategy. In relation to the Philippines education program, program staff said both country and delivery strategies were </w:t>
      </w:r>
      <w:r>
        <w:rPr>
          <w:i/>
        </w:rPr>
        <w:t>‘</w:t>
      </w:r>
      <w:r w:rsidRPr="00E84C16">
        <w:rPr>
          <w:i/>
        </w:rPr>
        <w:t>keeping people on track</w:t>
      </w:r>
      <w:r w:rsidR="00D2236B">
        <w:rPr>
          <w:i/>
        </w:rPr>
        <w:t>.’</w:t>
      </w:r>
      <w:r>
        <w:t xml:space="preserve"> The Philippines staff clearly demonstrated the valuable role</w:t>
      </w:r>
      <w:r w:rsidR="00560B6D">
        <w:t xml:space="preserve"> that</w:t>
      </w:r>
      <w:r>
        <w:t xml:space="preserve"> country strategies can play in setting directions and coordinating activities. At the same time, one interviewee acknowledged that the country strategy also needed to retrofit existing programs.</w:t>
      </w:r>
      <w:r w:rsidR="00610727">
        <w:rPr>
          <w:rStyle w:val="FootnoteReference"/>
        </w:rPr>
        <w:footnoteReference w:id="40"/>
      </w:r>
      <w:r w:rsidR="00610727" w:rsidRPr="004B7A31">
        <w:t xml:space="preserve"> </w:t>
      </w:r>
      <w:r>
        <w:t>While there may be some limitations regarding accommodation of existing programs, as well as political uncertainty, it is critical that a current analysis of the decentralised context informs the country strategy.</w:t>
      </w:r>
    </w:p>
    <w:p w14:paraId="22EBA869" w14:textId="77777777" w:rsidR="00AF6A11" w:rsidRPr="00211AAE" w:rsidRDefault="00AF6A11" w:rsidP="00DE3CD6">
      <w:pPr>
        <w:pStyle w:val="Heading2"/>
        <w:numPr>
          <w:ilvl w:val="1"/>
          <w:numId w:val="0"/>
        </w:numPr>
        <w:spacing w:before="360" w:after="240" w:line="288" w:lineRule="auto"/>
      </w:pPr>
      <w:bookmarkStart w:id="390" w:name="_Toc360802265"/>
      <w:bookmarkStart w:id="391" w:name="_Toc371368501"/>
      <w:bookmarkStart w:id="392" w:name="_Ref371621987"/>
      <w:bookmarkStart w:id="393" w:name="_Toc382563948"/>
      <w:bookmarkStart w:id="394" w:name="_Toc382595902"/>
      <w:bookmarkStart w:id="395" w:name="_Toc408831795"/>
      <w:r>
        <w:t>6.3</w:t>
      </w:r>
      <w:r>
        <w:tab/>
        <w:t>Review of sector d</w:t>
      </w:r>
      <w:r w:rsidRPr="00211AAE">
        <w:t xml:space="preserve">elivery </w:t>
      </w:r>
      <w:r>
        <w:t>s</w:t>
      </w:r>
      <w:r w:rsidRPr="00211AAE">
        <w:t>trategies</w:t>
      </w:r>
      <w:bookmarkEnd w:id="390"/>
      <w:bookmarkEnd w:id="391"/>
      <w:bookmarkEnd w:id="392"/>
      <w:bookmarkEnd w:id="393"/>
      <w:bookmarkEnd w:id="394"/>
      <w:bookmarkEnd w:id="395"/>
      <w:r w:rsidRPr="00211AAE">
        <w:t xml:space="preserve"> </w:t>
      </w:r>
    </w:p>
    <w:p w14:paraId="45A897FD" w14:textId="07C6586E" w:rsidR="00AF6A11" w:rsidRDefault="00AF6A11" w:rsidP="00B9479A">
      <w:r w:rsidRPr="007048D2">
        <w:t>Delivery strategies</w:t>
      </w:r>
      <w:r>
        <w:t xml:space="preserve"> </w:t>
      </w:r>
      <w:r w:rsidR="003334AF">
        <w:t xml:space="preserve">have been used </w:t>
      </w:r>
      <w:r>
        <w:t xml:space="preserve">to define and organise the aid investments necessary to implement </w:t>
      </w:r>
      <w:r w:rsidR="00E85BF1">
        <w:t>higher levels plans</w:t>
      </w:r>
      <w:r>
        <w:t>.</w:t>
      </w:r>
      <w:r w:rsidRPr="00070D0C">
        <w:rPr>
          <w:rStyle w:val="EndnoteReference"/>
          <w:rFonts w:cs="Arial"/>
        </w:rPr>
        <w:endnoteReference w:id="275"/>
      </w:r>
      <w:r w:rsidRPr="0085191B">
        <w:t xml:space="preserve"> </w:t>
      </w:r>
      <w:r>
        <w:t xml:space="preserve">The evaluation found there is a significant opportunity to articulate decentralisation processes and implications in </w:t>
      </w:r>
      <w:r w:rsidR="003334AF">
        <w:t xml:space="preserve">sector investments plans, which have superseded </w:t>
      </w:r>
      <w:r>
        <w:t>delivery strategies.</w:t>
      </w:r>
      <w:r w:rsidR="00610727">
        <w:rPr>
          <w:rStyle w:val="FootnoteReference"/>
        </w:rPr>
        <w:footnoteReference w:id="41"/>
      </w:r>
      <w:r w:rsidR="00610727">
        <w:t xml:space="preserve"> </w:t>
      </w:r>
      <w:r>
        <w:t xml:space="preserve">This is because </w:t>
      </w:r>
      <w:r w:rsidR="003334AF">
        <w:t>such plans</w:t>
      </w:r>
      <w:r>
        <w:t xml:space="preserve"> are at the appropriate level to provide more detail about choosing entry points and complementary programming across initiatives. </w:t>
      </w:r>
      <w:r w:rsidR="003334AF" w:rsidRPr="003334AF">
        <w:rPr>
          <w:color w:val="000000"/>
        </w:rPr>
        <w:t xml:space="preserve"> </w:t>
      </w:r>
      <w:r w:rsidR="003334AF">
        <w:rPr>
          <w:color w:val="000000"/>
        </w:rPr>
        <w:t xml:space="preserve">The </w:t>
      </w:r>
      <w:r w:rsidR="003334AF" w:rsidRPr="00954ACB">
        <w:rPr>
          <w:i/>
          <w:color w:val="000000"/>
        </w:rPr>
        <w:t>Secto</w:t>
      </w:r>
      <w:r w:rsidR="003334AF" w:rsidRPr="003334AF">
        <w:rPr>
          <w:i/>
          <w:color w:val="000000"/>
        </w:rPr>
        <w:t xml:space="preserve">r investment plans: working in decentralised systems practice note </w:t>
      </w:r>
      <w:r w:rsidR="003334AF">
        <w:rPr>
          <w:color w:val="000000"/>
        </w:rPr>
        <w:t>draws on the findings of this evaluation to provide practical assistance on how to take decentralisation into account.</w:t>
      </w:r>
    </w:p>
    <w:p w14:paraId="6FDBA890" w14:textId="77777777" w:rsidR="00AF6A11" w:rsidRDefault="00AF6A11" w:rsidP="00DE3CD6">
      <w:pPr>
        <w:pStyle w:val="Heading3"/>
      </w:pPr>
      <w:bookmarkStart w:id="396" w:name="_Toc371368502"/>
      <w:bookmarkStart w:id="397" w:name="_Toc372300892"/>
      <w:bookmarkStart w:id="398" w:name="_Toc382563949"/>
      <w:bookmarkStart w:id="399" w:name="_Toc382595903"/>
      <w:r>
        <w:t>Coverage of decentralisation issues and subnational roles</w:t>
      </w:r>
      <w:bookmarkEnd w:id="396"/>
      <w:bookmarkEnd w:id="397"/>
      <w:bookmarkEnd w:id="398"/>
      <w:bookmarkEnd w:id="399"/>
    </w:p>
    <w:p w14:paraId="58DE8C7B" w14:textId="1D45D3A6" w:rsidR="00AF6A11" w:rsidRDefault="00AF6A11" w:rsidP="008B62D4">
      <w:r>
        <w:t>We reviewed t</w:t>
      </w:r>
      <w:r w:rsidRPr="00211AAE">
        <w:t xml:space="preserve">wo current </w:t>
      </w:r>
      <w:r>
        <w:t>delivery strategies from</w:t>
      </w:r>
      <w:r w:rsidRPr="00211AAE">
        <w:t xml:space="preserve"> PNG: </w:t>
      </w:r>
      <w:r>
        <w:t xml:space="preserve">the </w:t>
      </w:r>
      <w:r w:rsidRPr="00211AAE">
        <w:t>Australia</w:t>
      </w:r>
      <w:r>
        <w:t>–</w:t>
      </w:r>
      <w:r w:rsidRPr="00211AAE">
        <w:t xml:space="preserve">PNG Health Delivery Strategy and </w:t>
      </w:r>
      <w:r>
        <w:t xml:space="preserve">the </w:t>
      </w:r>
      <w:r w:rsidRPr="00211AAE">
        <w:t>Australian Support for Basic and Secondary Education.</w:t>
      </w:r>
      <w:r>
        <w:t xml:space="preserve"> </w:t>
      </w:r>
      <w:r w:rsidR="00560B6D">
        <w:t>Both</w:t>
      </w:r>
      <w:r>
        <w:t xml:space="preserve"> inc</w:t>
      </w:r>
      <w:r w:rsidR="00655405">
        <w:t>lude</w:t>
      </w:r>
      <w:r>
        <w:t xml:space="preserve"> some analysis of </w:t>
      </w:r>
      <w:r w:rsidRPr="00B9479A">
        <w:t>decentralisation</w:t>
      </w:r>
      <w:r>
        <w:t xml:space="preserve"> and the role of subnational government. The education delivery strategy contains a more detailed analysis than the health strategy.</w:t>
      </w:r>
      <w:r w:rsidR="00B17CEE">
        <w:rPr>
          <w:rStyle w:val="FootnoteReference"/>
        </w:rPr>
        <w:footnoteReference w:id="42"/>
      </w:r>
      <w:r w:rsidR="00B17CEE" w:rsidRPr="00A679D7">
        <w:t xml:space="preserve"> </w:t>
      </w:r>
    </w:p>
    <w:p w14:paraId="6CC02160" w14:textId="7DBA51D4" w:rsidR="00AF6A11" w:rsidRDefault="00AF6A11" w:rsidP="002A1747">
      <w:r>
        <w:t xml:space="preserve">Neither strategy provides a detailed assessment of </w:t>
      </w:r>
      <w:r w:rsidRPr="00B9479A">
        <w:t>supply-side</w:t>
      </w:r>
      <w:r>
        <w:t xml:space="preserve"> subnational capacity to undertake their prescribed roles in service delivery. The education strategy discusses the need to make better use of government systems and work more closely with provincial administrations. The education strategy analyses sources and the adequacy of funds compared to service delivery needs, but the health strategy does not. However, the health strategy commits to channelling funds to the subnational level based on the assessment that the transfer of funds from the national level is insufficient. Coverage of the </w:t>
      </w:r>
      <w:r w:rsidRPr="00B9479A">
        <w:t>demand side</w:t>
      </w:r>
      <w:r>
        <w:t xml:space="preserve"> of service delivery was very limited. In terms of </w:t>
      </w:r>
      <w:r w:rsidRPr="00B9479A">
        <w:t>coherence</w:t>
      </w:r>
      <w:r>
        <w:t>, both delivery strategies mentioned governance programs and the health delivery strategy mentions use of program staff at the subnation</w:t>
      </w:r>
      <w:r w:rsidR="00DD4ABE">
        <w:t>al level</w:t>
      </w:r>
      <w:r w:rsidR="001576B7">
        <w:t xml:space="preserve"> but did</w:t>
      </w:r>
      <w:r>
        <w:t xml:space="preserve"> not include mechanisms to improve coordination and coherence. </w:t>
      </w:r>
    </w:p>
    <w:p w14:paraId="21CD3FC9" w14:textId="77777777" w:rsidR="00AF6A11" w:rsidRDefault="00AF6A11" w:rsidP="00DE3CD6">
      <w:pPr>
        <w:pStyle w:val="Heading4"/>
      </w:pPr>
      <w:r>
        <w:t>Policy guidance for preparation of delivery strategies</w:t>
      </w:r>
    </w:p>
    <w:p w14:paraId="5A14C8AD" w14:textId="77777777" w:rsidR="00AF6A11" w:rsidRDefault="00AF6A11" w:rsidP="00DE3CD6">
      <w:r>
        <w:t xml:space="preserve">The guidance for preparing delivery strategies does </w:t>
      </w:r>
      <w:r w:rsidRPr="00DE3CD6">
        <w:t>not include explicit prompts to consider subnational government or decentralisation. The guide</w:t>
      </w:r>
      <w:r>
        <w:t>line does imply that partner government extends beyond the national government with reference to ‘</w:t>
      </w:r>
      <w:r w:rsidRPr="00357C66">
        <w:rPr>
          <w:i/>
        </w:rPr>
        <w:t>various parts of government</w:t>
      </w:r>
      <w:r>
        <w:rPr>
          <w:i/>
        </w:rPr>
        <w:t>.</w:t>
      </w:r>
      <w:r>
        <w:t>’</w:t>
      </w:r>
      <w:r>
        <w:rPr>
          <w:rStyle w:val="EndnoteReference"/>
        </w:rPr>
        <w:endnoteReference w:id="276"/>
      </w:r>
      <w:r>
        <w:t xml:space="preserve"> However, the guidance does not address the competing interests and agendas of different parts of government. </w:t>
      </w:r>
    </w:p>
    <w:p w14:paraId="6A6379B3" w14:textId="12620AA3" w:rsidR="00AF6A11" w:rsidRPr="00F636EF" w:rsidRDefault="00AF6A11" w:rsidP="00397AD9">
      <w:pPr>
        <w:pStyle w:val="Heading3"/>
        <w:tabs>
          <w:tab w:val="left" w:pos="3125"/>
        </w:tabs>
      </w:pPr>
      <w:bookmarkStart w:id="400" w:name="_Toc371368503"/>
      <w:bookmarkStart w:id="401" w:name="_Toc372300893"/>
      <w:bookmarkStart w:id="402" w:name="_Toc382563950"/>
      <w:bookmarkStart w:id="403" w:name="_Toc382595904"/>
      <w:r>
        <w:t>Use of d</w:t>
      </w:r>
      <w:r w:rsidRPr="00F636EF">
        <w:t xml:space="preserve">elivery </w:t>
      </w:r>
      <w:r>
        <w:t>s</w:t>
      </w:r>
      <w:r w:rsidRPr="005B4777">
        <w:t>trategies</w:t>
      </w:r>
      <w:bookmarkEnd w:id="400"/>
      <w:bookmarkEnd w:id="401"/>
      <w:bookmarkEnd w:id="402"/>
      <w:bookmarkEnd w:id="403"/>
      <w:r w:rsidR="00397AD9">
        <w:tab/>
      </w:r>
    </w:p>
    <w:p w14:paraId="0540B49A" w14:textId="77777777" w:rsidR="00AF6A11" w:rsidRDefault="00AF6A11" w:rsidP="00DE3CD6">
      <w:r>
        <w:t xml:space="preserve">The development of delivery strategies was under way in all three countries. They were referred to more routinely in the Philippines where they were talked about in connection to the country strategy and in relation to new program designs. For example, the preparation of the Philippines education delivery strategy was informed by the education thematic strategy and the education thematic group. We found that the delivery strategies </w:t>
      </w:r>
      <w:r w:rsidR="00E85BF1">
        <w:t xml:space="preserve">were seen to </w:t>
      </w:r>
      <w:r>
        <w:t xml:space="preserve">help with the recruitment of the right mix of staff, selection of partners, analysis, resources and program decisions. </w:t>
      </w:r>
    </w:p>
    <w:p w14:paraId="1E5D32FE" w14:textId="42B9BB36" w:rsidR="00AF6A11" w:rsidRDefault="00AF6A11" w:rsidP="00DE3CD6">
      <w:r>
        <w:t>In PNG, program staff saw developing the governance delivery strategy as an important process for setting a more strategic direction and as a means of responding to partner government changes and reviews of the governance program. Program staff expected this document to flow on to the next country strategy and to other programs ‘</w:t>
      </w:r>
      <w:r w:rsidRPr="007048D2">
        <w:rPr>
          <w:i/>
        </w:rPr>
        <w:t>to provide guidance for gover</w:t>
      </w:r>
      <w:r>
        <w:rPr>
          <w:i/>
        </w:rPr>
        <w:t>nance and [Australian aid program]</w:t>
      </w:r>
      <w:r w:rsidRPr="007048D2">
        <w:rPr>
          <w:i/>
        </w:rPr>
        <w:t xml:space="preserve"> strategy going forward</w:t>
      </w:r>
      <w:r w:rsidR="00D2236B">
        <w:t>.’</w:t>
      </w:r>
      <w:r>
        <w:t xml:space="preserve"> There were no explicit delivery strategy examples for Indonesia.</w:t>
      </w:r>
    </w:p>
    <w:bookmarkStart w:id="404" w:name="_Toc408831796"/>
    <w:p w14:paraId="7879F2D7" w14:textId="77777777" w:rsidR="00AF6A11" w:rsidRDefault="00AF6A11" w:rsidP="00DE3CD6">
      <w:pPr>
        <w:pStyle w:val="Heading1"/>
        <w:ind w:left="360" w:firstLine="0"/>
      </w:pPr>
      <w:r>
        <w:rPr>
          <w:noProof/>
        </w:rPr>
        <mc:AlternateContent>
          <mc:Choice Requires="wps">
            <w:drawing>
              <wp:anchor distT="0" distB="0" distL="114300" distR="114300" simplePos="0" relativeHeight="251768832" behindDoc="1" locked="0" layoutInCell="1" allowOverlap="1" wp14:anchorId="7AAF0815" wp14:editId="27D5FE8C">
                <wp:simplePos x="0" y="0"/>
                <wp:positionH relativeFrom="page">
                  <wp:posOffset>-19050</wp:posOffset>
                </wp:positionH>
                <wp:positionV relativeFrom="paragraph">
                  <wp:posOffset>-391795</wp:posOffset>
                </wp:positionV>
                <wp:extent cx="7610400" cy="1468800"/>
                <wp:effectExtent l="0" t="0" r="0" b="0"/>
                <wp:wrapNone/>
                <wp:docPr id="13" name="Rectangle 13"/>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 o:spid="_x0000_s1026" style="position:absolute;margin-left:-1.5pt;margin-top:-30.85pt;width:599.25pt;height:115.6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ERlwIAAIgFAAAOAAAAZHJzL2Uyb0RvYy54bWysVMFu2zAMvQ/YPwi6r7YzN82COkXQosOA&#10;oi3aDj0rshQbkEVNUuJkXz9Kst2uK3YYloMjiuQj+UTy/OLQKbIX1rWgK1qc5JQIzaFu9bai35+u&#10;Py0ocZ7pminQoqJH4ejF6uOH894sxQwaULWwBEG0W/amoo33ZplljjeiY+4EjNColGA75lG026y2&#10;rEf0TmWzPJ9nPdjaWODCOby9Skq6ivhSCu7vpHTCE1VRzM3Hr43fTfhmq3O23FpmmpYPabB/yKJj&#10;rcagE9QV84zsbPsHVNdyCw6kP+HQZSBly0WsAasp8jfVPDbMiFgLkuPMRJP7f7D8dn9vSVvj232m&#10;RLMO3+gBWWN6qwTBOySoN26Jdo/m3g6Sw2Oo9iBtF/6xDnKIpB4nUsXBE46XZ/MiL3PknqOuKOeL&#10;BQqIk724G+v8VwEdCYeKWowfyWT7G+eT6WgSojlQbX3dKhUFu91cKkv2DF+4mJXlYj6g/2amdDDW&#10;ENwSYrjJQmmpmHjyRyWCndIPQiIrmP4sZhL7UUxxGOdC+yKpGlaLFP40x98YPXRw8IiVRsCALDH+&#10;hD0AjJYJZMROWQ72wVXEdp6c878llpwnjxgZtJ+cu1aDfQ9AYVVD5GQ/kpSoCSxtoD5iz1hIw+QM&#10;v27x3W6Y8/fM4vTgW+NG8Hf4kQr6isJwoqQB+/O9+2CPTY1aSnqcxoq6HztmBSXqm8Z2/1KUZRjf&#10;KJSnZzMU7GvN5rVG77pLCO2Au8fweAz2Xo1HaaF7xsWxDlFRxTTH2BXl3o7CpU9bAlcPF+t1NMOR&#10;Nczf6EfDA3hgNfTl0+GZWTM0r8e+v4VxctnyTQ8n2+CpYb3zINvY4C+8DnzjuMfGGVZT2Cev5Wj1&#10;skBXvwAAAP//AwBQSwMEFAAGAAgAAAAhAJUWmePgAAAACwEAAA8AAABkcnMvZG93bnJldi54bWxM&#10;j0FvwjAMhe+T9h8iT9oN0oLooDRFE9J2qLTDYNxDY9pqidM1Abp/P3MaJ9t6T8/fKzajs+KCQ+g8&#10;KUinCQik2puOGgVf+7fJEkSImoy2nlDBLwbYlI8Phc6Nv9InXnaxERxCIdcK2hj7XMpQt+h0mPoe&#10;ibWTH5yOfA6NNIO+crizcpYkmXS6I/7Q6h63Ldbfu7NTUC2xPTQflR1/qn0qt/N3f8CZUs9P4+sa&#10;RMQx/pvhhs/oUDLT0Z/JBGEVTOZcJfLM0hcQN0O6WixAHHnLVhnIspD3Hco/AAAA//8DAFBLAQIt&#10;ABQABgAIAAAAIQC2gziS/gAAAOEBAAATAAAAAAAAAAAAAAAAAAAAAABbQ29udGVudF9UeXBlc10u&#10;eG1sUEsBAi0AFAAGAAgAAAAhADj9If/WAAAAlAEAAAsAAAAAAAAAAAAAAAAALwEAAF9yZWxzLy5y&#10;ZWxzUEsBAi0AFAAGAAgAAAAhAMXc8RGXAgAAiAUAAA4AAAAAAAAAAAAAAAAALgIAAGRycy9lMm9E&#10;b2MueG1sUEsBAi0AFAAGAAgAAAAhAJUWmePgAAAACwEAAA8AAAAAAAAAAAAAAAAA8QQAAGRycy9k&#10;b3ducmV2LnhtbFBLBQYAAAAABAAEAPMAAAD+BQAAAAA=&#10;" fillcolor="#124486" stroked="f" strokeweight="2pt">
                <w10:wrap anchorx="page"/>
              </v:rect>
            </w:pict>
          </mc:Fallback>
        </mc:AlternateContent>
      </w:r>
      <w:r>
        <w:t>7</w:t>
      </w:r>
      <w:r>
        <w:tab/>
        <w:t>Organisational support</w:t>
      </w:r>
      <w:bookmarkEnd w:id="404"/>
      <w:r w:rsidRPr="004E3C43">
        <w:rPr>
          <w:noProof/>
        </w:rPr>
        <w:t xml:space="preserve"> </w:t>
      </w:r>
    </w:p>
    <w:p w14:paraId="796627A0" w14:textId="77777777" w:rsidR="00AF6A11" w:rsidRPr="005A520B" w:rsidRDefault="00AF6A11" w:rsidP="00DE3CD6">
      <w:pPr>
        <w:pStyle w:val="BoxHeading"/>
        <w:rPr>
          <w:rStyle w:val="IntenseEmphasis"/>
          <w:b/>
          <w:bCs/>
          <w:i w:val="0"/>
          <w:iCs w:val="0"/>
          <w:color w:val="auto"/>
        </w:rPr>
      </w:pPr>
      <w:r w:rsidRPr="00C16F3E">
        <w:rPr>
          <w:rStyle w:val="IntenseEmphasis"/>
          <w:b/>
          <w:bCs/>
          <w:i w:val="0"/>
          <w:iCs w:val="0"/>
          <w:color w:val="auto"/>
        </w:rPr>
        <w:t>Evaluation question</w:t>
      </w:r>
    </w:p>
    <w:p w14:paraId="5F0B1956" w14:textId="77777777" w:rsidR="00AF6A11" w:rsidRPr="00960764" w:rsidRDefault="00AF6A11">
      <w:pPr>
        <w:pStyle w:val="BoxBullet"/>
      </w:pPr>
      <w:r w:rsidRPr="00DE3CD6">
        <w:rPr>
          <w:rStyle w:val="IntenseEmphasis"/>
          <w:b w:val="0"/>
          <w:bCs w:val="0"/>
          <w:i w:val="0"/>
          <w:iCs w:val="0"/>
          <w:color w:val="auto"/>
        </w:rPr>
        <w:t xml:space="preserve">Are sectoral staff sufficiently supported organisationally to take decentralisation into account in sectoral </w:t>
      </w:r>
      <w:r w:rsidRPr="00960764">
        <w:rPr>
          <w:rStyle w:val="IntenseEmphasis"/>
          <w:b w:val="0"/>
          <w:bCs w:val="0"/>
          <w:i w:val="0"/>
          <w:iCs w:val="0"/>
          <w:color w:val="auto"/>
        </w:rPr>
        <w:t>programming?</w:t>
      </w:r>
    </w:p>
    <w:p w14:paraId="47D7EDF4" w14:textId="77777777" w:rsidR="00AF6A11" w:rsidRPr="00C615DC" w:rsidRDefault="00AF6A11" w:rsidP="00C615DC">
      <w:pPr>
        <w:pStyle w:val="BoxBullet"/>
        <w:rPr>
          <w:rStyle w:val="IntenseEmphasis"/>
          <w:b w:val="0"/>
          <w:bCs w:val="0"/>
          <w:i w:val="0"/>
          <w:iCs w:val="0"/>
          <w:color w:val="auto"/>
        </w:rPr>
      </w:pPr>
      <w:r w:rsidRPr="00960764">
        <w:rPr>
          <w:rStyle w:val="IntenseEmphasis"/>
          <w:b w:val="0"/>
          <w:bCs w:val="0"/>
          <w:i w:val="0"/>
          <w:iCs w:val="0"/>
          <w:color w:val="auto"/>
        </w:rPr>
        <w:t>What is the level of interaction between sectoral service delivery support and governance support and how could such interaction be optimised to best support service delivery outcomes in decentralised contexts?</w:t>
      </w:r>
    </w:p>
    <w:p w14:paraId="41D09131" w14:textId="77777777" w:rsidR="00AF6A11" w:rsidRPr="00B9479A" w:rsidRDefault="00AF6A11" w:rsidP="00EB40F1">
      <w:pPr>
        <w:rPr>
          <w:rStyle w:val="IntenseEmphasis"/>
          <w:b w:val="0"/>
          <w:bCs w:val="0"/>
          <w:i w:val="0"/>
          <w:iCs w:val="0"/>
          <w:color w:val="auto"/>
        </w:rPr>
      </w:pPr>
    </w:p>
    <w:p w14:paraId="795EDFB0" w14:textId="77777777" w:rsidR="00AF6A11" w:rsidRDefault="00AF6A11" w:rsidP="00B9479A">
      <w:pPr>
        <w:pStyle w:val="BoxHeading"/>
        <w:spacing w:before="0"/>
      </w:pPr>
      <w:r>
        <w:t>Key findings</w:t>
      </w:r>
    </w:p>
    <w:p w14:paraId="47B84970" w14:textId="7C7E8FAD" w:rsidR="00AF6A11" w:rsidRDefault="00AF6A11" w:rsidP="0060127F">
      <w:pPr>
        <w:pStyle w:val="BoxBullet"/>
      </w:pPr>
      <w:r>
        <w:t xml:space="preserve">Establishing and maintaining </w:t>
      </w:r>
      <w:r w:rsidR="00E33A0A">
        <w:t xml:space="preserve">a degree of </w:t>
      </w:r>
      <w:r>
        <w:t>coherence across the Australian aid program, as well as alignment with national and local-level government, depend</w:t>
      </w:r>
      <w:r w:rsidR="003D3333">
        <w:t>s</w:t>
      </w:r>
      <w:r>
        <w:t xml:space="preserve"> on a variety of factors, including the capacity for: </w:t>
      </w:r>
    </w:p>
    <w:p w14:paraId="03E63A1D" w14:textId="77777777" w:rsidR="00AF6A11" w:rsidRDefault="00AF6A11" w:rsidP="0060127F">
      <w:pPr>
        <w:pStyle w:val="BoxDash"/>
      </w:pPr>
      <w:r>
        <w:tab/>
        <w:t xml:space="preserve">- sequencing strategy and design documents </w:t>
      </w:r>
    </w:p>
    <w:p w14:paraId="325017A5" w14:textId="77777777" w:rsidR="00AF6A11" w:rsidRDefault="00AF6A11" w:rsidP="0060127F">
      <w:pPr>
        <w:pStyle w:val="BoxDash"/>
      </w:pPr>
      <w:r>
        <w:tab/>
        <w:t>- balancing higher</w:t>
      </w:r>
      <w:r w:rsidR="004D77D6">
        <w:t>-</w:t>
      </w:r>
      <w:r>
        <w:t xml:space="preserve">level strategy alignment and flexibility at both national and subnational levels </w:t>
      </w:r>
    </w:p>
    <w:p w14:paraId="45A7D5C1" w14:textId="77777777" w:rsidR="00AF6A11" w:rsidRDefault="00AF6A11" w:rsidP="0060127F">
      <w:pPr>
        <w:pStyle w:val="BoxDash"/>
      </w:pPr>
      <w:r>
        <w:tab/>
        <w:t xml:space="preserve">- balancing the interests and perspectives of different parts of partner government, who may also have poor </w:t>
      </w:r>
      <w:r w:rsidR="00E33A0A">
        <w:t>relationships</w:t>
      </w:r>
      <w:r>
        <w:t xml:space="preserve"> </w:t>
      </w:r>
    </w:p>
    <w:p w14:paraId="52C02B86" w14:textId="7B631742" w:rsidR="00AF6A11" w:rsidRDefault="00AF6A11" w:rsidP="0060127F">
      <w:pPr>
        <w:pStyle w:val="BoxDash"/>
      </w:pPr>
      <w:r>
        <w:tab/>
        <w:t xml:space="preserve">- optimising resources in policy and guidance </w:t>
      </w:r>
      <w:r w:rsidR="00655405">
        <w:t>using</w:t>
      </w:r>
      <w:r w:rsidR="003D3333">
        <w:t xml:space="preserve"> </w:t>
      </w:r>
      <w:r>
        <w:t>in-country knowledge and expertise</w:t>
      </w:r>
      <w:r w:rsidR="004D77D6">
        <w:t>.</w:t>
      </w:r>
      <w:r>
        <w:t xml:space="preserve"> </w:t>
      </w:r>
    </w:p>
    <w:p w14:paraId="3152886D" w14:textId="77777777" w:rsidR="00525DF3" w:rsidRDefault="00AF6A11" w:rsidP="00C615DC">
      <w:pPr>
        <w:pStyle w:val="BoxBullet"/>
      </w:pPr>
      <w:r>
        <w:t xml:space="preserve">Aid program staff </w:t>
      </w:r>
      <w:r w:rsidR="00E33A0A">
        <w:t>can access a</w:t>
      </w:r>
      <w:r>
        <w:t xml:space="preserve"> reasonable level of support through key strategy, policy and guidance documents and other learning opportunities. More could be done</w:t>
      </w:r>
      <w:r w:rsidR="004D77D6">
        <w:t>,</w:t>
      </w:r>
      <w:r>
        <w:t xml:space="preserve"> however, to support staff to take into account decentralisation and governance at subnational levels. </w:t>
      </w:r>
    </w:p>
    <w:p w14:paraId="464881C8" w14:textId="77777777" w:rsidR="00EE07A1" w:rsidRPr="00F50C5F" w:rsidRDefault="00EE07A1" w:rsidP="00C615DC">
      <w:pPr>
        <w:pStyle w:val="BoxBullet"/>
      </w:pPr>
      <w:r>
        <w:t xml:space="preserve">There has been </w:t>
      </w:r>
      <w:r w:rsidR="00AF6A11">
        <w:t>some progress</w:t>
      </w:r>
      <w:r w:rsidR="004D77D6">
        <w:t xml:space="preserve"> in</w:t>
      </w:r>
      <w:r w:rsidR="00AF6A11">
        <w:t xml:space="preserve"> integrating governance issues</w:t>
      </w:r>
      <w:r>
        <w:t>.</w:t>
      </w:r>
      <w:r w:rsidR="00AF6A11">
        <w:t xml:space="preserve"> </w:t>
      </w:r>
      <w:r w:rsidR="00E33A0A">
        <w:t>T</w:t>
      </w:r>
      <w:r w:rsidR="00AF6A11">
        <w:t xml:space="preserve">he approach to integration of </w:t>
      </w:r>
      <w:r w:rsidR="00AF6A11" w:rsidRPr="0072237B">
        <w:t xml:space="preserve">governance capabilities into sector programs should be reviewed </w:t>
      </w:r>
      <w:r w:rsidR="00E33A0A" w:rsidRPr="0072237B">
        <w:t xml:space="preserve">in each country context </w:t>
      </w:r>
      <w:r w:rsidR="00AF6A11" w:rsidRPr="0072237B">
        <w:t xml:space="preserve">so that needs are understood and </w:t>
      </w:r>
      <w:r w:rsidRPr="00A2399B">
        <w:t xml:space="preserve">relevant </w:t>
      </w:r>
      <w:r w:rsidR="00AF6A11" w:rsidRPr="00F50C5F">
        <w:t xml:space="preserve">options are explored. </w:t>
      </w:r>
    </w:p>
    <w:p w14:paraId="66A7BABC" w14:textId="77777777" w:rsidR="00EE07A1" w:rsidRPr="004D77D6" w:rsidRDefault="00EE07A1" w:rsidP="0072237B">
      <w:pPr>
        <w:pStyle w:val="BoxBullet"/>
      </w:pPr>
      <w:r w:rsidRPr="00F50C5F">
        <w:t>There are significant opportunities for cross-sector learning and improved knowledge management within the aid program concerning decentralisation issues. More could be done to build stronger strategies around interactions and coordination between program</w:t>
      </w:r>
      <w:r w:rsidR="004D77D6">
        <w:t>s.</w:t>
      </w:r>
    </w:p>
    <w:p w14:paraId="4BB39969" w14:textId="56D03FD0" w:rsidR="00EB40F1" w:rsidRPr="00A2399B" w:rsidRDefault="00AF6A11" w:rsidP="004D77D6">
      <w:pPr>
        <w:pStyle w:val="BoxBullet"/>
      </w:pPr>
      <w:r w:rsidRPr="004D77D6">
        <w:t xml:space="preserve">Practical </w:t>
      </w:r>
      <w:r w:rsidR="004D77D6">
        <w:t xml:space="preserve">support and </w:t>
      </w:r>
      <w:r w:rsidR="00EE07A1" w:rsidRPr="004D77D6">
        <w:t xml:space="preserve">steps </w:t>
      </w:r>
      <w:r w:rsidR="00E33A0A" w:rsidRPr="004D77D6">
        <w:t>for program staff</w:t>
      </w:r>
      <w:r w:rsidRPr="004D77D6">
        <w:t xml:space="preserve"> includ</w:t>
      </w:r>
      <w:r w:rsidR="00E33A0A" w:rsidRPr="004D77D6">
        <w:t>e</w:t>
      </w:r>
      <w:r w:rsidRPr="004D77D6">
        <w:t xml:space="preserve"> good practice examples</w:t>
      </w:r>
      <w:r w:rsidR="00E33A0A" w:rsidRPr="004D77D6">
        <w:t>;</w:t>
      </w:r>
      <w:r w:rsidRPr="004D77D6">
        <w:t xml:space="preserve"> </w:t>
      </w:r>
      <w:r w:rsidR="00E33A0A" w:rsidRPr="004D77D6">
        <w:t xml:space="preserve">greater interaction between governance and </w:t>
      </w:r>
      <w:r w:rsidR="00EE07A1" w:rsidRPr="004D77D6">
        <w:t>other</w:t>
      </w:r>
      <w:r w:rsidR="00E33A0A" w:rsidRPr="004D77D6">
        <w:t xml:space="preserve"> program staff;</w:t>
      </w:r>
      <w:r w:rsidR="00E33A0A" w:rsidRPr="004D77D6" w:rsidDel="00E33A0A">
        <w:t xml:space="preserve"> </w:t>
      </w:r>
      <w:r w:rsidR="00E33A0A" w:rsidRPr="004D77D6">
        <w:t xml:space="preserve">links to </w:t>
      </w:r>
      <w:r w:rsidR="00EE07A1" w:rsidRPr="004D77D6">
        <w:t xml:space="preserve">broader public sector reform </w:t>
      </w:r>
      <w:r w:rsidR="00E33A0A" w:rsidRPr="004D77D6">
        <w:t>governance programs; design of sector programs with clear governance objectives; corresponding resources.</w:t>
      </w:r>
    </w:p>
    <w:p w14:paraId="44112630" w14:textId="77777777" w:rsidR="00AF6A11" w:rsidRPr="00F50C5F" w:rsidRDefault="00AF6A11" w:rsidP="00A2399B">
      <w:pPr>
        <w:pStyle w:val="BoxBullet"/>
      </w:pPr>
      <w:r w:rsidRPr="00F50C5F">
        <w:t xml:space="preserve">Greater coherence is needed across country programs, particularly at the subnational level. </w:t>
      </w:r>
    </w:p>
    <w:p w14:paraId="60F2DF7E" w14:textId="41808003" w:rsidR="004B5478" w:rsidRPr="0023001A" w:rsidRDefault="00EE07A1" w:rsidP="00F50C5F">
      <w:pPr>
        <w:pStyle w:val="BoxBullet"/>
      </w:pPr>
      <w:r w:rsidRPr="00F50C5F">
        <w:t>Responsibility for coherence</w:t>
      </w:r>
      <w:r w:rsidR="00964590" w:rsidRPr="00F50C5F">
        <w:t xml:space="preserve"> across country programs should not be assumed to be the </w:t>
      </w:r>
      <w:r w:rsidR="004B5478" w:rsidRPr="00F50C5F">
        <w:t>responsibility</w:t>
      </w:r>
      <w:r w:rsidR="004B5478" w:rsidRPr="0023001A">
        <w:t xml:space="preserve"> of the governance program team</w:t>
      </w:r>
      <w:r w:rsidR="004D77D6">
        <w:t>.</w:t>
      </w:r>
      <w:r w:rsidR="004B5478" w:rsidRPr="0023001A">
        <w:t xml:space="preserve"> </w:t>
      </w:r>
      <w:r w:rsidR="00964590">
        <w:t xml:space="preserve">Not all country programs </w:t>
      </w:r>
      <w:r w:rsidR="004B5478" w:rsidRPr="0023001A">
        <w:t>will have governance</w:t>
      </w:r>
      <w:r w:rsidR="00964590">
        <w:t xml:space="preserve"> staff and may sit more easily with</w:t>
      </w:r>
      <w:r w:rsidR="002A7465">
        <w:t>in</w:t>
      </w:r>
      <w:r w:rsidR="004B5478" w:rsidRPr="0023001A">
        <w:t xml:space="preserve"> a corporate area</w:t>
      </w:r>
      <w:r w:rsidR="00964590">
        <w:t xml:space="preserve"> such as </w:t>
      </w:r>
      <w:r w:rsidR="004B5478" w:rsidRPr="0023001A">
        <w:t>program effectiveness</w:t>
      </w:r>
      <w:r w:rsidR="004D77D6">
        <w:t xml:space="preserve"> or </w:t>
      </w:r>
      <w:r w:rsidR="002A7465">
        <w:t xml:space="preserve">in </w:t>
      </w:r>
      <w:r w:rsidR="00964590">
        <w:t>quality</w:t>
      </w:r>
      <w:r w:rsidR="004B5478" w:rsidRPr="0023001A">
        <w:t xml:space="preserve"> teams who work across all program areas. </w:t>
      </w:r>
    </w:p>
    <w:p w14:paraId="6074DFBB" w14:textId="3998FC3C" w:rsidR="00675E65" w:rsidRDefault="00675E65">
      <w:pPr>
        <w:spacing w:before="0" w:after="0" w:line="240" w:lineRule="auto"/>
        <w:rPr>
          <w:rStyle w:val="IntenseEmphasis"/>
          <w:rFonts w:ascii="Arial Bold" w:hAnsi="Arial Bold"/>
          <w:bCs w:val="0"/>
          <w:i w:val="0"/>
          <w:iCs w:val="0"/>
          <w:color w:val="auto"/>
          <w:sz w:val="24"/>
        </w:rPr>
      </w:pPr>
      <w:r>
        <w:rPr>
          <w:rStyle w:val="IntenseEmphasis"/>
          <w:b w:val="0"/>
          <w:bCs w:val="0"/>
          <w:i w:val="0"/>
          <w:iCs w:val="0"/>
          <w:color w:val="auto"/>
        </w:rPr>
        <w:br w:type="page"/>
      </w:r>
    </w:p>
    <w:p w14:paraId="43BECD41" w14:textId="77777777" w:rsidR="002F7446" w:rsidRDefault="002F7446" w:rsidP="002F7446">
      <w:pPr>
        <w:pStyle w:val="RecommendationName"/>
      </w:pPr>
      <w:r>
        <w:t>Recommendation 4</w:t>
      </w:r>
    </w:p>
    <w:p w14:paraId="09D4FD0D" w14:textId="77777777" w:rsidR="002F7446" w:rsidRDefault="002F7446" w:rsidP="002F7446">
      <w:pPr>
        <w:pStyle w:val="RecommendationText"/>
        <w:spacing w:after="60"/>
      </w:pPr>
      <w:r>
        <w:t xml:space="preserve">DFAT should foster specific governance capability in areas related to decentralisation and subnational levels, in particular: </w:t>
      </w:r>
    </w:p>
    <w:p w14:paraId="4AFC854F" w14:textId="77777777" w:rsidR="002F7446" w:rsidRPr="00197A18" w:rsidRDefault="002F7446" w:rsidP="002F7446">
      <w:pPr>
        <w:pStyle w:val="RecommendationSub"/>
        <w:spacing w:after="60"/>
      </w:pPr>
      <w:r>
        <w:t>i</w:t>
      </w:r>
      <w:r>
        <w:tab/>
        <w:t xml:space="preserve">incentives and mechanisms to </w:t>
      </w:r>
      <w:r w:rsidRPr="00197A18">
        <w:t>support governance and service delivery sector areas to work more strongly with one another</w:t>
      </w:r>
    </w:p>
    <w:p w14:paraId="5492FA45" w14:textId="77777777" w:rsidR="002F7446" w:rsidRPr="00197A18" w:rsidRDefault="002F7446" w:rsidP="002F7446">
      <w:pPr>
        <w:pStyle w:val="RecommendationSub"/>
        <w:spacing w:after="60"/>
      </w:pPr>
      <w:r>
        <w:t>ii</w:t>
      </w:r>
      <w:r>
        <w:tab/>
      </w:r>
      <w:r w:rsidRPr="00197A18">
        <w:t>skills</w:t>
      </w:r>
      <w:r>
        <w:t xml:space="preserve"> and </w:t>
      </w:r>
      <w:r w:rsidRPr="00197A18">
        <w:t>knowledge</w:t>
      </w:r>
      <w:r>
        <w:t xml:space="preserve"> of</w:t>
      </w:r>
      <w:r w:rsidRPr="00197A18">
        <w:t>/resources</w:t>
      </w:r>
      <w:r>
        <w:t xml:space="preserve"> available to</w:t>
      </w:r>
      <w:r w:rsidRPr="00197A18">
        <w:t xml:space="preserve"> governance staff to communicate </w:t>
      </w:r>
      <w:r>
        <w:t xml:space="preserve">with </w:t>
      </w:r>
      <w:r w:rsidRPr="00197A18">
        <w:t>and support sector staff</w:t>
      </w:r>
    </w:p>
    <w:p w14:paraId="2598095A" w14:textId="77777777" w:rsidR="002F7446" w:rsidRDefault="002F7446" w:rsidP="002F7446">
      <w:pPr>
        <w:pStyle w:val="RecommendationSub"/>
      </w:pPr>
      <w:r>
        <w:t>iii</w:t>
      </w:r>
      <w:r>
        <w:tab/>
      </w:r>
      <w:r w:rsidRPr="00197A18">
        <w:t xml:space="preserve">sector staff knowledge </w:t>
      </w:r>
      <w:r>
        <w:t>of</w:t>
      </w:r>
      <w:r w:rsidRPr="00197A18">
        <w:t xml:space="preserve"> gover</w:t>
      </w:r>
      <w:r>
        <w:t xml:space="preserve">nance and decentralisation </w:t>
      </w:r>
    </w:p>
    <w:p w14:paraId="45074A6B" w14:textId="5EC5D260" w:rsidR="002F7446" w:rsidRDefault="002F7446" w:rsidP="00F100ED">
      <w:pPr>
        <w:pStyle w:val="RecommendationSub"/>
      </w:pPr>
      <w:r>
        <w:t>V</w:t>
      </w:r>
      <w:r>
        <w:tab/>
      </w:r>
      <w:r w:rsidRPr="006757E9">
        <w:t xml:space="preserve">formal training opportunities and resources for on-the-job learning, </w:t>
      </w:r>
      <w:r>
        <w:t>that</w:t>
      </w:r>
      <w:r w:rsidR="004464EB">
        <w:t xml:space="preserve"> </w:t>
      </w:r>
      <w:r>
        <w:t xml:space="preserve">build </w:t>
      </w:r>
      <w:r w:rsidRPr="006757E9">
        <w:t>governance</w:t>
      </w:r>
      <w:r>
        <w:t xml:space="preserve"> and decentralisation knowledge of </w:t>
      </w:r>
      <w:r w:rsidRPr="006757E9">
        <w:t>sector</w:t>
      </w:r>
      <w:r>
        <w:t xml:space="preserve"> staff</w:t>
      </w:r>
      <w:r w:rsidRPr="006757E9">
        <w:t>.</w:t>
      </w:r>
    </w:p>
    <w:p w14:paraId="6019AB06" w14:textId="77777777" w:rsidR="00675E65" w:rsidRDefault="00675E65" w:rsidP="00DE3CD6"/>
    <w:p w14:paraId="1A789A07" w14:textId="77777777" w:rsidR="00AF6A11" w:rsidRDefault="00AF6A11" w:rsidP="00DE3CD6">
      <w:r>
        <w:t xml:space="preserve">This chapter reviews the adequacy of support provided to staff to work effectively in decentralised contexts (Section 7.1) and whether </w:t>
      </w:r>
      <w:r w:rsidRPr="006913C2">
        <w:t>analysis and learning</w:t>
      </w:r>
      <w:r>
        <w:t xml:space="preserve"> concerning governance and decentralisation are underpinning sector programming (Section 7.2). </w:t>
      </w:r>
      <w:r w:rsidR="00964590">
        <w:t>The</w:t>
      </w:r>
      <w:r>
        <w:t xml:space="preserve"> level of interaction between governance and other sector programs as a component of this support</w:t>
      </w:r>
      <w:r w:rsidR="00964590">
        <w:t xml:space="preserve"> is also reviewed</w:t>
      </w:r>
      <w:r>
        <w:t xml:space="preserve"> (Section 7.3). This chapter draws on the perspectives of staff, implementing partners and partner governments captured during the evaluation interviews.</w:t>
      </w:r>
    </w:p>
    <w:p w14:paraId="1FB9AFFF" w14:textId="77777777" w:rsidR="00AF6A11" w:rsidRPr="00B20E9F" w:rsidRDefault="00AF6A11" w:rsidP="00DE3CD6">
      <w:pPr>
        <w:pStyle w:val="Heading2"/>
        <w:numPr>
          <w:ilvl w:val="1"/>
          <w:numId w:val="0"/>
        </w:numPr>
        <w:spacing w:before="360" w:after="240" w:line="288" w:lineRule="auto"/>
      </w:pPr>
      <w:bookmarkStart w:id="405" w:name="_Toc371618454"/>
      <w:bookmarkStart w:id="406" w:name="_Toc382563954"/>
      <w:bookmarkStart w:id="407" w:name="_Toc382595908"/>
      <w:bookmarkStart w:id="408" w:name="_Toc408831797"/>
      <w:r>
        <w:t>7.1</w:t>
      </w:r>
      <w:r>
        <w:tab/>
        <w:t>Support for program staff to work in decentralised contexts</w:t>
      </w:r>
      <w:bookmarkEnd w:id="405"/>
      <w:bookmarkEnd w:id="406"/>
      <w:bookmarkEnd w:id="407"/>
      <w:bookmarkEnd w:id="408"/>
    </w:p>
    <w:p w14:paraId="205CD8C1" w14:textId="751E7399" w:rsidR="00AF6A11" w:rsidRDefault="00AF6A11" w:rsidP="005E1D3D">
      <w:r>
        <w:t>Donors have been asked to ‘</w:t>
      </w:r>
      <w:r w:rsidRPr="007048D2">
        <w:rPr>
          <w:i/>
        </w:rPr>
        <w:t>develop consistent s</w:t>
      </w:r>
      <w:r>
        <w:rPr>
          <w:i/>
        </w:rPr>
        <w:t>upport and integrate decentralis</w:t>
      </w:r>
      <w:r w:rsidRPr="007048D2">
        <w:rPr>
          <w:i/>
        </w:rPr>
        <w:t>ation and local governance into their own sector policies and strategies</w:t>
      </w:r>
      <w:r w:rsidR="00D2236B">
        <w:t>.’</w:t>
      </w:r>
      <w:r w:rsidR="00546631">
        <w:rPr>
          <w:rStyle w:val="EndnoteReference"/>
        </w:rPr>
        <w:endnoteReference w:id="277"/>
      </w:r>
      <w:r>
        <w:t xml:space="preserve"> </w:t>
      </w:r>
      <w:r w:rsidR="002A7465">
        <w:t>T</w:t>
      </w:r>
      <w:r>
        <w:t>here are various ways that the Australian aid program supports staff to</w:t>
      </w:r>
      <w:r w:rsidR="0005773B">
        <w:t xml:space="preserve"> </w:t>
      </w:r>
      <w:r w:rsidR="00A94802">
        <w:t>do this</w:t>
      </w:r>
      <w:r>
        <w:t>.</w:t>
      </w:r>
      <w:r w:rsidR="0005773B">
        <w:t xml:space="preserve"> </w:t>
      </w:r>
      <w:r w:rsidR="00A94802">
        <w:t>DFAT</w:t>
      </w:r>
      <w:r w:rsidR="0005773B">
        <w:t xml:space="preserve"> </w:t>
      </w:r>
      <w:r w:rsidR="00A94802">
        <w:t>s</w:t>
      </w:r>
      <w:r>
        <w:t xml:space="preserve">taff </w:t>
      </w:r>
      <w:r w:rsidR="0005773B">
        <w:t>across</w:t>
      </w:r>
      <w:r w:rsidR="00A94802">
        <w:t xml:space="preserve"> the </w:t>
      </w:r>
      <w:r>
        <w:t>three countries</w:t>
      </w:r>
      <w:r w:rsidR="00A94802">
        <w:t xml:space="preserve"> where fieldwork was carried out </w:t>
      </w:r>
      <w:r>
        <w:t xml:space="preserve"> </w:t>
      </w:r>
      <w:r w:rsidR="00A94802">
        <w:t>identified</w:t>
      </w:r>
      <w:r>
        <w:t xml:space="preserve"> a range of information sources in addition to strategy documents that they</w:t>
      </w:r>
      <w:r w:rsidR="0005773B">
        <w:t xml:space="preserve"> used to inform their practice,</w:t>
      </w:r>
      <w:r>
        <w:t xml:space="preserve"> including:</w:t>
      </w:r>
    </w:p>
    <w:p w14:paraId="187EE2FD" w14:textId="090ED959" w:rsidR="00A94802" w:rsidRDefault="00AF6A11" w:rsidP="006F6381">
      <w:pPr>
        <w:pStyle w:val="Bullet"/>
      </w:pPr>
      <w:r>
        <w:t>on-the-job learning: colleagues (especially those with local knowledge), advisers (sectoral/program and Post/Canberra), field trips, meetings, brown-bag lunches, working groups</w:t>
      </w:r>
    </w:p>
    <w:p w14:paraId="45B7F0D1" w14:textId="77777777" w:rsidR="00AF6A11" w:rsidRDefault="00AF6A11" w:rsidP="00DE3CD6">
      <w:pPr>
        <w:pStyle w:val="Bullet"/>
      </w:pPr>
      <w:r>
        <w:t>formal guidance (working in partner systems) and training (governance/decentralisation, working in partner systems)</w:t>
      </w:r>
    </w:p>
    <w:p w14:paraId="3C9E6129" w14:textId="289EE36C" w:rsidR="00AF6A11" w:rsidRDefault="00AF6A11" w:rsidP="00DE3CD6">
      <w:pPr>
        <w:pStyle w:val="Bullet"/>
      </w:pPr>
      <w:r>
        <w:t xml:space="preserve">formal evidence: evaluations, research, reports, reading, </w:t>
      </w:r>
      <w:r w:rsidR="00BF6E6C">
        <w:t xml:space="preserve">management information systems (also </w:t>
      </w:r>
      <w:r>
        <w:t>geographical)</w:t>
      </w:r>
    </w:p>
    <w:p w14:paraId="23023691" w14:textId="77777777" w:rsidR="00AF6A11" w:rsidRDefault="00AF6A11" w:rsidP="00DE3CD6">
      <w:pPr>
        <w:pStyle w:val="Bullet"/>
      </w:pPr>
      <w:r>
        <w:t>external: donors (e.g. World Bank) think tanks (e.g. Asia Foundation), government counterparts, managing contractors, NGOs</w:t>
      </w:r>
    </w:p>
    <w:p w14:paraId="26F415E5" w14:textId="77777777" w:rsidR="00AF6A11" w:rsidRDefault="00AF6A11" w:rsidP="00DE3CD6">
      <w:pPr>
        <w:pStyle w:val="BulletLast"/>
      </w:pPr>
      <w:r>
        <w:t>personal networks.</w:t>
      </w:r>
    </w:p>
    <w:p w14:paraId="3A32E5D0" w14:textId="13570EBD" w:rsidR="00BF6E6C" w:rsidRDefault="00BF6E6C" w:rsidP="00BF6E6C">
      <w:r>
        <w:t>Internal sources of information, such as on the job learning, formal guidance and training, were cited more consistently than external sou</w:t>
      </w:r>
      <w:r w:rsidR="007143EA">
        <w:t>rces and the extent of sector staff knowledge of decentralisation is addressed below (see section 7.3).</w:t>
      </w:r>
    </w:p>
    <w:p w14:paraId="6C45A847" w14:textId="4016E8C1" w:rsidR="00AF6A11" w:rsidRPr="00211AAE" w:rsidRDefault="00AF6A11" w:rsidP="00DE3CD6">
      <w:pPr>
        <w:pStyle w:val="Heading2"/>
        <w:numPr>
          <w:ilvl w:val="1"/>
          <w:numId w:val="0"/>
        </w:numPr>
        <w:spacing w:before="360" w:after="240" w:line="288" w:lineRule="auto"/>
      </w:pPr>
      <w:bookmarkStart w:id="409" w:name="_Toc371618455"/>
      <w:bookmarkStart w:id="410" w:name="_Toc382563955"/>
      <w:bookmarkStart w:id="411" w:name="_Toc382595909"/>
      <w:bookmarkStart w:id="412" w:name="_Toc408831798"/>
      <w:r>
        <w:t>7.2</w:t>
      </w:r>
      <w:r>
        <w:tab/>
        <w:t>Integrating</w:t>
      </w:r>
      <w:r w:rsidRPr="00211AAE">
        <w:t xml:space="preserve"> governance in sector </w:t>
      </w:r>
      <w:bookmarkEnd w:id="409"/>
      <w:bookmarkEnd w:id="410"/>
      <w:bookmarkEnd w:id="411"/>
      <w:r w:rsidR="00BF6E6C">
        <w:t>programs</w:t>
      </w:r>
      <w:bookmarkEnd w:id="412"/>
    </w:p>
    <w:p w14:paraId="4755AACC" w14:textId="5467A99B" w:rsidR="00AF6A11" w:rsidRDefault="00AF6A11" w:rsidP="00DE3CD6">
      <w:r>
        <w:t xml:space="preserve">This section </w:t>
      </w:r>
      <w:r w:rsidR="004F1CA8">
        <w:t>shows that</w:t>
      </w:r>
      <w:r>
        <w:t xml:space="preserve"> </w:t>
      </w:r>
      <w:r w:rsidRPr="00B9479A">
        <w:t>analysis and learning</w:t>
      </w:r>
      <w:r>
        <w:t xml:space="preserve"> concerning governance and decentralisation </w:t>
      </w:r>
      <w:r w:rsidR="004F1CA8">
        <w:t>have been</w:t>
      </w:r>
      <w:r>
        <w:t xml:space="preserve"> addressed in some sector programs. At the same time, the need for ongoing learning, </w:t>
      </w:r>
      <w:r w:rsidR="002A7465">
        <w:t xml:space="preserve">internal coordination and </w:t>
      </w:r>
      <w:r>
        <w:t xml:space="preserve">greater knowledge of governance and decentralisation was consistently expressed across all three countries. </w:t>
      </w:r>
    </w:p>
    <w:p w14:paraId="3C862974" w14:textId="77777777" w:rsidR="00AF6A11" w:rsidRPr="00B974DE" w:rsidRDefault="00AF6A11" w:rsidP="00DE3CD6">
      <w:pPr>
        <w:pStyle w:val="Heading3"/>
      </w:pPr>
      <w:bookmarkStart w:id="413" w:name="_Toc371618456"/>
      <w:bookmarkStart w:id="414" w:name="_Toc372300899"/>
      <w:bookmarkStart w:id="415" w:name="_Toc382563956"/>
      <w:bookmarkStart w:id="416" w:name="_Toc382595910"/>
      <w:r w:rsidRPr="00B974DE">
        <w:t xml:space="preserve">Changes to </w:t>
      </w:r>
      <w:r>
        <w:t xml:space="preserve">service delivery </w:t>
      </w:r>
      <w:r w:rsidRPr="00B974DE">
        <w:t xml:space="preserve">sector </w:t>
      </w:r>
      <w:r>
        <w:t>support</w:t>
      </w:r>
      <w:bookmarkEnd w:id="413"/>
      <w:bookmarkEnd w:id="414"/>
      <w:bookmarkEnd w:id="415"/>
      <w:bookmarkEnd w:id="416"/>
    </w:p>
    <w:p w14:paraId="01F11CB6" w14:textId="77777777" w:rsidR="00AF6A11" w:rsidRDefault="00673238" w:rsidP="00DE3CD6">
      <w:r>
        <w:t>This evaluation agrees with a</w:t>
      </w:r>
      <w:r w:rsidR="00AF6A11">
        <w:t xml:space="preserve"> recent study of working in partner government systems in the education sector </w:t>
      </w:r>
      <w:r>
        <w:t xml:space="preserve">that </w:t>
      </w:r>
      <w:r w:rsidR="00AF6A11">
        <w:t>noted ‘</w:t>
      </w:r>
      <w:r w:rsidR="00AF6A11" w:rsidRPr="00B9479A">
        <w:rPr>
          <w:i/>
        </w:rPr>
        <w:t>using (partner government systems) puts a premium on country teams being able to build an in-depth understanding of something complex, varied and continuously evolving.</w:t>
      </w:r>
      <w:r w:rsidR="00AF6A11">
        <w:t>’</w:t>
      </w:r>
      <w:r w:rsidR="00AF6A11">
        <w:rPr>
          <w:rStyle w:val="EndnoteReference"/>
        </w:rPr>
        <w:endnoteReference w:id="278"/>
      </w:r>
      <w:r w:rsidR="00AF6A11">
        <w:t xml:space="preserve"> </w:t>
      </w:r>
    </w:p>
    <w:p w14:paraId="19E7363B" w14:textId="17293892" w:rsidR="00546631" w:rsidRDefault="00673238" w:rsidP="00DE3CD6">
      <w:r>
        <w:t>The</w:t>
      </w:r>
      <w:r w:rsidR="00AF6A11">
        <w:t xml:space="preserve"> need to do things differently was evident in all three countries—to engage more strongly in governance issues </w:t>
      </w:r>
      <w:r>
        <w:t>in sector programs</w:t>
      </w:r>
      <w:r w:rsidR="00AF6A11">
        <w:t xml:space="preserve">. This is consistent with a recent review of PNG governance programs that found </w:t>
      </w:r>
      <w:r w:rsidR="00AF6A11" w:rsidRPr="00B9479A">
        <w:rPr>
          <w:i/>
        </w:rPr>
        <w:t>‘sector programs have a better appreciation of the workings of subnational government and are making efforts to engage more directly with provincial administrations</w:t>
      </w:r>
      <w:r w:rsidR="00D2236B">
        <w:rPr>
          <w:i/>
        </w:rPr>
        <w:t>.’</w:t>
      </w:r>
      <w:r w:rsidR="00AF6A11">
        <w:rPr>
          <w:rStyle w:val="EndnoteReference"/>
        </w:rPr>
        <w:endnoteReference w:id="279"/>
      </w:r>
      <w:r w:rsidR="00AF6A11">
        <w:t xml:space="preserve"> This review also found that new designs in health, education, transport and infrastructure reflected the use of data from provincial expenditure reviews that gave insight into the ability of line agencies to support service delivery.</w:t>
      </w:r>
      <w:r w:rsidR="00546631">
        <w:rPr>
          <w:rStyle w:val="FootnoteReference"/>
        </w:rPr>
        <w:footnoteReference w:id="43"/>
      </w:r>
    </w:p>
    <w:p w14:paraId="56182D2E" w14:textId="77777777" w:rsidR="00AF6A11" w:rsidRPr="00194C3E" w:rsidRDefault="00AF6A11" w:rsidP="00DE3CD6">
      <w:r>
        <w:t>Staff responsible for sector programs demonstrated an understanding of the complexity and challenges of working at different levels of the system.</w:t>
      </w:r>
      <w:r w:rsidRPr="000B6F9D">
        <w:t xml:space="preserve"> </w:t>
      </w:r>
      <w:r>
        <w:t xml:space="preserve">Specific issues raised were the need for more informed approaches to local contexts, relationships, financial flows, capacity, resource needs, incentives and accountability mechanisms at the subnational level. For example, education staff in the Philippines </w:t>
      </w:r>
      <w:r w:rsidRPr="000727E5">
        <w:t>explained that for 20</w:t>
      </w:r>
      <w:r>
        <w:t> </w:t>
      </w:r>
      <w:r w:rsidRPr="000727E5">
        <w:t xml:space="preserve">years the focus </w:t>
      </w:r>
      <w:r>
        <w:t>was</w:t>
      </w:r>
      <w:r w:rsidRPr="000727E5">
        <w:t xml:space="preserve"> on classrooms and materials development whereas now </w:t>
      </w:r>
      <w:r>
        <w:t xml:space="preserve">there is </w:t>
      </w:r>
      <w:r w:rsidRPr="000727E5">
        <w:t>re</w:t>
      </w:r>
      <w:r>
        <w:t xml:space="preserve">cognition of governance issues, such as </w:t>
      </w:r>
      <w:r w:rsidRPr="000727E5">
        <w:t>business process</w:t>
      </w:r>
      <w:r>
        <w:t>es</w:t>
      </w:r>
      <w:r w:rsidRPr="000727E5">
        <w:t xml:space="preserve">, structures, </w:t>
      </w:r>
      <w:r>
        <w:t xml:space="preserve">the </w:t>
      </w:r>
      <w:r w:rsidRPr="000727E5">
        <w:t>capacit</w:t>
      </w:r>
      <w:r>
        <w:t>ies</w:t>
      </w:r>
      <w:r w:rsidRPr="000727E5">
        <w:t xml:space="preserve"> of pe</w:t>
      </w:r>
      <w:r>
        <w:t>ople, and accountability mechanisms</w:t>
      </w:r>
      <w:r w:rsidRPr="000727E5">
        <w:t>.</w:t>
      </w:r>
      <w:r>
        <w:t xml:space="preserve"> In Indonesia, staff reported that the key infrastructure initiative (Indonesia Infrastructure Initiative) addressed </w:t>
      </w:r>
      <w:r w:rsidRPr="000727E5">
        <w:t>core issues of poor asset mana</w:t>
      </w:r>
      <w:r>
        <w:t>gement and lack of ownership and</w:t>
      </w:r>
      <w:r w:rsidRPr="000727E5">
        <w:t xml:space="preserve"> </w:t>
      </w:r>
      <w:r>
        <w:t>badly</w:t>
      </w:r>
      <w:r w:rsidR="000059B5">
        <w:t xml:space="preserve"> </w:t>
      </w:r>
      <w:r>
        <w:t xml:space="preserve">managed </w:t>
      </w:r>
      <w:r w:rsidRPr="000727E5">
        <w:t xml:space="preserve">funding </w:t>
      </w:r>
      <w:r>
        <w:t xml:space="preserve">from the national level. </w:t>
      </w:r>
    </w:p>
    <w:p w14:paraId="788A33F2" w14:textId="77777777" w:rsidR="00AF6A11" w:rsidRPr="00AD4134" w:rsidRDefault="00AF6A11" w:rsidP="00DE3CD6">
      <w:pPr>
        <w:pStyle w:val="Heading3"/>
      </w:pPr>
      <w:bookmarkStart w:id="417" w:name="_Toc371618457"/>
      <w:bookmarkStart w:id="418" w:name="_Toc372300900"/>
      <w:bookmarkStart w:id="419" w:name="_Toc382563957"/>
      <w:bookmarkStart w:id="420" w:name="_Toc382595911"/>
      <w:r w:rsidRPr="00AD4134">
        <w:t>In</w:t>
      </w:r>
      <w:r>
        <w:t>fluence of governance programs and advisers o</w:t>
      </w:r>
      <w:r w:rsidRPr="00AD4134">
        <w:t>n sector program</w:t>
      </w:r>
      <w:r>
        <w:t>ming</w:t>
      </w:r>
      <w:bookmarkEnd w:id="417"/>
      <w:bookmarkEnd w:id="418"/>
      <w:bookmarkEnd w:id="419"/>
      <w:bookmarkEnd w:id="420"/>
    </w:p>
    <w:p w14:paraId="68F7BCE1" w14:textId="28F8FF5A" w:rsidR="00AF6A11" w:rsidRDefault="00AF6A11" w:rsidP="00DE3CD6">
      <w:r>
        <w:t>An important point</w:t>
      </w:r>
      <w:r w:rsidRPr="00DC7565">
        <w:t xml:space="preserve"> </w:t>
      </w:r>
      <w:r>
        <w:t xml:space="preserve">to note is that ‘governance’ is a ‘sector’ with country-specific </w:t>
      </w:r>
      <w:r w:rsidR="00673238">
        <w:t>plans</w:t>
      </w:r>
      <w:r>
        <w:t xml:space="preserve">, programs and initiatives. These may, or may not, be aligned to the other sectors. Also, it is a </w:t>
      </w:r>
      <w:r w:rsidR="00560B6D">
        <w:t>cross-cutting</w:t>
      </w:r>
      <w:r>
        <w:t xml:space="preserve"> element of the aid program and is considered to be similar to </w:t>
      </w:r>
      <w:r w:rsidR="004464EB">
        <w:t>other cross</w:t>
      </w:r>
      <w:r w:rsidR="00560B6D">
        <w:t>-cutting</w:t>
      </w:r>
      <w:r>
        <w:t xml:space="preserve"> areas such as gender. </w:t>
      </w:r>
    </w:p>
    <w:p w14:paraId="0315E839" w14:textId="5184AA00" w:rsidR="00AF6A11" w:rsidRDefault="00AF6A11" w:rsidP="00DE3CD6">
      <w:r>
        <w:t>This evaluation raises key questions about how the governance strategy can be implemented with regard to this area. What are the practical ways to implement ‘</w:t>
      </w:r>
      <w:r w:rsidRPr="00B9479A">
        <w:rPr>
          <w:i/>
        </w:rPr>
        <w:t>strengthening knowledge and training, as well as coordination and cross-agency collaboration’</w:t>
      </w:r>
      <w:r>
        <w:t xml:space="preserve">? To what extent are governance staff </w:t>
      </w:r>
      <w:r w:rsidR="006F6381">
        <w:t xml:space="preserve">members </w:t>
      </w:r>
      <w:r>
        <w:t>expected to support better inclusion of governance considerations in sector programs? Should sector staff undertake governance training or is other support needed?</w:t>
      </w:r>
    </w:p>
    <w:p w14:paraId="7A7A7612" w14:textId="425F2A99" w:rsidR="00AF6A11" w:rsidRDefault="00673238" w:rsidP="00DE3CD6">
      <w:r>
        <w:t>P</w:t>
      </w:r>
      <w:r w:rsidR="00AF6A11">
        <w:t xml:space="preserve">rogram staff </w:t>
      </w:r>
      <w:r>
        <w:t xml:space="preserve">from the three countries reported different experiences </w:t>
      </w:r>
      <w:r w:rsidR="006F6381">
        <w:t xml:space="preserve">of support from </w:t>
      </w:r>
      <w:r w:rsidR="00AF6A11">
        <w:t>in</w:t>
      </w:r>
      <w:r w:rsidR="0023001A">
        <w:t>-</w:t>
      </w:r>
      <w:r w:rsidR="00AF6A11">
        <w:t>house and Canberra-based governance advisers</w:t>
      </w:r>
      <w:r w:rsidR="002A7465">
        <w:t>.</w:t>
      </w:r>
      <w:r w:rsidR="00B17CEE">
        <w:rPr>
          <w:rStyle w:val="FootnoteReference"/>
        </w:rPr>
        <w:footnoteReference w:id="44"/>
      </w:r>
      <w:r w:rsidR="00B74369">
        <w:t xml:space="preserve"> </w:t>
      </w:r>
    </w:p>
    <w:p w14:paraId="4710868E" w14:textId="77777777" w:rsidR="00AF6A11" w:rsidRPr="00FB4086" w:rsidRDefault="00AF6A11" w:rsidP="00DE3CD6">
      <w:r>
        <w:t xml:space="preserve">The </w:t>
      </w:r>
      <w:r w:rsidRPr="009369A0">
        <w:t>Philippines d</w:t>
      </w:r>
      <w:r>
        <w:t xml:space="preserve">emonstrated </w:t>
      </w:r>
      <w:r w:rsidRPr="009369A0">
        <w:t xml:space="preserve">engagement between staff and programs in governance and other sector areas. </w:t>
      </w:r>
      <w:r>
        <w:t xml:space="preserve">In addition, their roads program was led by governance, not infrastructure, staff. The learning from this initiative had clearly been shared across all programs. For example, staff described ‘brown-bag lunches’ that facilitated engagement and exchange. Governance staff in the Philippines cautioned that there were </w:t>
      </w:r>
      <w:r w:rsidRPr="00FB4086">
        <w:t xml:space="preserve">limits to the support </w:t>
      </w:r>
      <w:r>
        <w:t>they could provide in responding to issues raised in sector programs</w:t>
      </w:r>
      <w:r w:rsidRPr="00FB4086">
        <w:t xml:space="preserve">. For </w:t>
      </w:r>
      <w:r>
        <w:t xml:space="preserve">example, it was reported </w:t>
      </w:r>
      <w:r w:rsidRPr="00FB4086">
        <w:t>that the national</w:t>
      </w:r>
      <w:r w:rsidR="00094FBB">
        <w:t>-</w:t>
      </w:r>
      <w:r w:rsidRPr="00FB4086">
        <w:t>level governance program</w:t>
      </w:r>
      <w:r>
        <w:t xml:space="preserve"> </w:t>
      </w:r>
      <w:r w:rsidRPr="00FB4086">
        <w:t>(</w:t>
      </w:r>
      <w:r w:rsidR="00094FBB">
        <w:t>Philippines–Australia public financial management program</w:t>
      </w:r>
      <w:r w:rsidRPr="00FB4086">
        <w:t xml:space="preserve">) could not </w:t>
      </w:r>
      <w:r>
        <w:t xml:space="preserve">be expected to also </w:t>
      </w:r>
      <w:r w:rsidRPr="00FB4086">
        <w:t>cover</w:t>
      </w:r>
      <w:r>
        <w:t xml:space="preserve"> subnational agencies</w:t>
      </w:r>
      <w:r w:rsidRPr="00FB4086">
        <w:t>:</w:t>
      </w:r>
      <w:r>
        <w:t xml:space="preserve"> </w:t>
      </w:r>
      <w:r>
        <w:rPr>
          <w:i/>
        </w:rPr>
        <w:t>‘</w:t>
      </w:r>
      <w:r w:rsidRPr="00FB4086">
        <w:rPr>
          <w:i/>
        </w:rPr>
        <w:t>If you want to back stop subnational public financial management you need to provide resources.</w:t>
      </w:r>
      <w:r>
        <w:rPr>
          <w:i/>
        </w:rPr>
        <w:t xml:space="preserve"> </w:t>
      </w:r>
      <w:r w:rsidRPr="00FB4086">
        <w:rPr>
          <w:i/>
        </w:rPr>
        <w:t xml:space="preserve">We don’t have </w:t>
      </w:r>
      <w:r>
        <w:rPr>
          <w:i/>
        </w:rPr>
        <w:t xml:space="preserve">the </w:t>
      </w:r>
      <w:r w:rsidRPr="00FB4086">
        <w:rPr>
          <w:i/>
        </w:rPr>
        <w:t>skills and capacity to decentralise public financial management</w:t>
      </w:r>
      <w:r>
        <w:rPr>
          <w:i/>
        </w:rPr>
        <w:t>—six</w:t>
      </w:r>
      <w:r w:rsidRPr="00FB4086">
        <w:rPr>
          <w:i/>
        </w:rPr>
        <w:t xml:space="preserve"> relationships with </w:t>
      </w:r>
      <w:r>
        <w:rPr>
          <w:i/>
        </w:rPr>
        <w:t>n</w:t>
      </w:r>
      <w:r w:rsidRPr="00FB4086">
        <w:rPr>
          <w:i/>
        </w:rPr>
        <w:t xml:space="preserve">ational departments </w:t>
      </w:r>
      <w:r>
        <w:rPr>
          <w:i/>
        </w:rPr>
        <w:t xml:space="preserve">are </w:t>
      </w:r>
      <w:r w:rsidRPr="00FB4086">
        <w:rPr>
          <w:i/>
        </w:rPr>
        <w:t>already stretching capacity</w:t>
      </w:r>
      <w:r>
        <w:rPr>
          <w:i/>
        </w:rPr>
        <w:t>.’</w:t>
      </w:r>
      <w:r w:rsidRPr="00FB4086">
        <w:rPr>
          <w:i/>
        </w:rPr>
        <w:t xml:space="preserve"> </w:t>
      </w:r>
    </w:p>
    <w:p w14:paraId="6006C349" w14:textId="77777777" w:rsidR="00964162" w:rsidRDefault="00AF6A11" w:rsidP="00C615DC">
      <w:pPr>
        <w:pStyle w:val="NormalBeforeBullet"/>
      </w:pPr>
      <w:r>
        <w:t xml:space="preserve">In PNG, the influence of governance programs on sector programs was visible and yet also had limits. The </w:t>
      </w:r>
      <w:r w:rsidR="00964162">
        <w:t>sub</w:t>
      </w:r>
      <w:r w:rsidR="00F50C5F">
        <w:t>national</w:t>
      </w:r>
      <w:r w:rsidR="00964162">
        <w:t xml:space="preserve"> </w:t>
      </w:r>
      <w:r>
        <w:t>governance program</w:t>
      </w:r>
      <w:r w:rsidR="00964162">
        <w:t xml:space="preserve">s (see </w:t>
      </w:r>
      <w:r w:rsidR="00EF106E">
        <w:t>A</w:t>
      </w:r>
      <w:r w:rsidR="00964162">
        <w:t>ppendix</w:t>
      </w:r>
      <w:r w:rsidR="00EF106E">
        <w:t xml:space="preserve"> 2</w:t>
      </w:r>
      <w:r w:rsidR="00964162">
        <w:t>)</w:t>
      </w:r>
      <w:r>
        <w:t xml:space="preserve"> were strategic and practical attempts to address the range of issues operating in a decentralised context. These programs </w:t>
      </w:r>
      <w:r w:rsidRPr="00B51EAE">
        <w:t>had f</w:t>
      </w:r>
      <w:r>
        <w:t xml:space="preserve">our areas of focus, namely: </w:t>
      </w:r>
    </w:p>
    <w:p w14:paraId="7E7EAF38" w14:textId="77777777" w:rsidR="00964162" w:rsidRDefault="00AF6A11" w:rsidP="00C615DC">
      <w:pPr>
        <w:pStyle w:val="Bullet"/>
      </w:pPr>
      <w:r>
        <w:t>c</w:t>
      </w:r>
      <w:r w:rsidRPr="00B51EAE">
        <w:t>apacity building of</w:t>
      </w:r>
      <w:r>
        <w:t xml:space="preserve"> subnational authorities</w:t>
      </w:r>
    </w:p>
    <w:p w14:paraId="5D14E02B" w14:textId="77777777" w:rsidR="00964162" w:rsidRDefault="00AF6A11" w:rsidP="00C615DC">
      <w:pPr>
        <w:pStyle w:val="Bullet"/>
      </w:pPr>
      <w:r>
        <w:t>p</w:t>
      </w:r>
      <w:r w:rsidRPr="00B51EAE">
        <w:t>olicy and reforms to th</w:t>
      </w:r>
      <w:r>
        <w:t>e operation of PNG’s decentralised system</w:t>
      </w:r>
    </w:p>
    <w:p w14:paraId="04E8AFF6" w14:textId="77777777" w:rsidR="00964162" w:rsidRDefault="00AF6A11" w:rsidP="00C615DC">
      <w:pPr>
        <w:pStyle w:val="Bullet"/>
      </w:pPr>
      <w:r>
        <w:t>whole-of-aid program coherence</w:t>
      </w:r>
    </w:p>
    <w:p w14:paraId="6DB317C7" w14:textId="77777777" w:rsidR="00964162" w:rsidRDefault="00AF6A11" w:rsidP="00C615DC">
      <w:pPr>
        <w:pStyle w:val="BulletLast"/>
      </w:pPr>
      <w:r>
        <w:t>provincial r</w:t>
      </w:r>
      <w:r w:rsidRPr="00B51EAE">
        <w:t>epresentatives.</w:t>
      </w:r>
      <w:r>
        <w:t xml:space="preserve"> </w:t>
      </w:r>
    </w:p>
    <w:p w14:paraId="0AA41BF7" w14:textId="6FBAC291" w:rsidR="00AF6A11" w:rsidRDefault="009B047E" w:rsidP="00964162">
      <w:r>
        <w:t xml:space="preserve">The program was seen to </w:t>
      </w:r>
      <w:r w:rsidR="00AF6A11">
        <w:t xml:space="preserve">influence </w:t>
      </w:r>
      <w:r>
        <w:t xml:space="preserve">the </w:t>
      </w:r>
      <w:r w:rsidR="00AF6A11">
        <w:t xml:space="preserve">redesign of Australia’s main mechanism to support rural health (Health Services Improvement Project). </w:t>
      </w:r>
      <w:r>
        <w:t>P</w:t>
      </w:r>
      <w:r w:rsidR="00AF6A11">
        <w:t>olicy dialogue and legislative changes influenced the health program direction.</w:t>
      </w:r>
      <w:r w:rsidR="00B17CEE">
        <w:rPr>
          <w:rStyle w:val="FootnoteReference"/>
        </w:rPr>
        <w:footnoteReference w:id="45"/>
      </w:r>
      <w:r w:rsidR="00B17CEE">
        <w:t xml:space="preserve"> </w:t>
      </w:r>
      <w:r w:rsidR="00AF6A11">
        <w:t>During fieldwork, senior staff reported that ‘</w:t>
      </w:r>
      <w:r w:rsidR="00AF6A11" w:rsidRPr="00964162">
        <w:rPr>
          <w:i/>
        </w:rPr>
        <w:t>as a result of the subnational [governance] program, people understand the system better than five years ago</w:t>
      </w:r>
      <w:r w:rsidR="00D2236B">
        <w:rPr>
          <w:i/>
        </w:rPr>
        <w:t>.’</w:t>
      </w:r>
      <w:r w:rsidR="00AF6A11">
        <w:t xml:space="preserve"> Another governance program was reported to have been partially successful in working with health and education areas. Staff suggested more was needed though, in that ‘</w:t>
      </w:r>
      <w:r w:rsidR="00AF6A11" w:rsidRPr="00964162">
        <w:rPr>
          <w:i/>
        </w:rPr>
        <w:t>sectoral programs need to have a vision … to understand how the system operates, to be able to move forward.</w:t>
      </w:r>
      <w:r w:rsidR="00AF6A11">
        <w:t>’ It is also worth noting that at the time of the evaluation, the priority for the governance program in PNG was improved coordination of PNG governance initiatives rather than coordination between governance and other sector programs.</w:t>
      </w:r>
      <w:r w:rsidR="00B17CEE">
        <w:rPr>
          <w:rStyle w:val="FootnoteReference"/>
        </w:rPr>
        <w:footnoteReference w:id="46"/>
      </w:r>
      <w:r w:rsidR="00B17CEE">
        <w:t xml:space="preserve"> </w:t>
      </w:r>
      <w:r w:rsidR="00AF6A11">
        <w:t>It is also possible that the absence of a senior manager responsible for coordination across governance and sector teams contributes to limited interaction and influence of governance staff on sector teams.</w:t>
      </w:r>
      <w:r w:rsidR="00AF6A11">
        <w:rPr>
          <w:rStyle w:val="EndnoteReference"/>
        </w:rPr>
        <w:endnoteReference w:id="280"/>
      </w:r>
      <w:r w:rsidR="00AF6A11">
        <w:t xml:space="preserve"> </w:t>
      </w:r>
    </w:p>
    <w:p w14:paraId="53C2DDAB" w14:textId="1CC7C583" w:rsidR="00675E65" w:rsidRDefault="00AF6A11" w:rsidP="00DE3CD6">
      <w:r>
        <w:t>In Indonesia, governance staff reported that while they have been asked to provide input into designs, there were some sector programs that ‘</w:t>
      </w:r>
      <w:r w:rsidRPr="007048D2">
        <w:rPr>
          <w:i/>
        </w:rPr>
        <w:t xml:space="preserve">may overlook </w:t>
      </w:r>
      <w:r>
        <w:rPr>
          <w:i/>
        </w:rPr>
        <w:t xml:space="preserve">the </w:t>
      </w:r>
      <w:r w:rsidRPr="007048D2">
        <w:rPr>
          <w:i/>
        </w:rPr>
        <w:t>decentralisation context and how sectoral programs work at the local level</w:t>
      </w:r>
      <w:r w:rsidR="00D2236B">
        <w:t>.’</w:t>
      </w:r>
      <w:r>
        <w:t xml:space="preserve"> They argued that health, education and infrastructure needed a common framework for decentralisation in Indonesia. From a sector perspective, education staff reported that ‘</w:t>
      </w:r>
      <w:r w:rsidRPr="007048D2">
        <w:rPr>
          <w:i/>
        </w:rPr>
        <w:t xml:space="preserve">we don’t tap into the </w:t>
      </w:r>
      <w:r>
        <w:rPr>
          <w:i/>
        </w:rPr>
        <w:t>Australia–Indonesia Partnership for Decentralisation (</w:t>
      </w:r>
      <w:r w:rsidRPr="007048D2">
        <w:rPr>
          <w:i/>
        </w:rPr>
        <w:t>AIPD</w:t>
      </w:r>
      <w:r>
        <w:rPr>
          <w:i/>
        </w:rPr>
        <w:t xml:space="preserve">) team enough. </w:t>
      </w:r>
      <w:r w:rsidRPr="007048D2">
        <w:rPr>
          <w:i/>
        </w:rPr>
        <w:t>AIPD only works in a few districts, where</w:t>
      </w:r>
      <w:r>
        <w:rPr>
          <w:i/>
        </w:rPr>
        <w:t>as</w:t>
      </w:r>
      <w:r w:rsidRPr="007048D2">
        <w:rPr>
          <w:i/>
        </w:rPr>
        <w:t xml:space="preserve"> we work nationally.</w:t>
      </w:r>
      <w:r>
        <w:rPr>
          <w:i/>
        </w:rPr>
        <w:t xml:space="preserve"> </w:t>
      </w:r>
      <w:r w:rsidRPr="007048D2">
        <w:rPr>
          <w:i/>
        </w:rPr>
        <w:t>We need to look at ways to tap into their knowledge</w:t>
      </w:r>
      <w:r w:rsidR="00D2236B">
        <w:t>.’</w:t>
      </w:r>
      <w:r>
        <w:t xml:space="preserve"> This was similar in sentiment to the WASH staff, who, in response to questions regarding sharing knowledge, said that they ‘</w:t>
      </w:r>
      <w:r>
        <w:rPr>
          <w:i/>
        </w:rPr>
        <w:t>d</w:t>
      </w:r>
      <w:r w:rsidRPr="007048D2">
        <w:rPr>
          <w:i/>
        </w:rPr>
        <w:t>on’t think we do! We have discussed this a lot about connecting with other silos … we have just started doing that</w:t>
      </w:r>
      <w:r w:rsidR="00D2236B">
        <w:t>.’</w:t>
      </w:r>
      <w:r>
        <w:t xml:space="preserve"> AIPD, on the other hand, reported that ‘</w:t>
      </w:r>
      <w:r w:rsidRPr="007048D2">
        <w:rPr>
          <w:i/>
        </w:rPr>
        <w:t xml:space="preserve">other </w:t>
      </w:r>
      <w:r>
        <w:rPr>
          <w:i/>
        </w:rPr>
        <w:t>[Australian aid]</w:t>
      </w:r>
      <w:r w:rsidRPr="007048D2">
        <w:rPr>
          <w:i/>
        </w:rPr>
        <w:t xml:space="preserve"> programs </w:t>
      </w:r>
      <w:r>
        <w:rPr>
          <w:i/>
        </w:rPr>
        <w:t xml:space="preserve">that come here ask our advice. </w:t>
      </w:r>
      <w:r w:rsidRPr="007048D2">
        <w:rPr>
          <w:i/>
        </w:rPr>
        <w:t>Knowledge management is an important role</w:t>
      </w:r>
      <w:r w:rsidR="00D2236B">
        <w:t>.’</w:t>
      </w:r>
    </w:p>
    <w:p w14:paraId="06BA1E0C" w14:textId="0F2DB4BB" w:rsidR="00AF6A11" w:rsidRDefault="00AF6A11" w:rsidP="00DE3CD6">
      <w:r>
        <w:t>The interview</w:t>
      </w:r>
      <w:r w:rsidR="009B047E">
        <w:t>s</w:t>
      </w:r>
      <w:r>
        <w:t xml:space="preserve"> </w:t>
      </w:r>
      <w:r w:rsidR="009B047E">
        <w:t>show that</w:t>
      </w:r>
      <w:r>
        <w:t xml:space="preserve"> not all governance programs are seen as having a role in supporting other sector programs</w:t>
      </w:r>
      <w:r w:rsidR="009B047E">
        <w:t>.</w:t>
      </w:r>
      <w:r>
        <w:t xml:space="preserve"> </w:t>
      </w:r>
      <w:r w:rsidR="009B047E">
        <w:t>O</w:t>
      </w:r>
      <w:r>
        <w:t>ther sectors do not necessarily draw upon g</w:t>
      </w:r>
      <w:r w:rsidR="00BF6E6C">
        <w:t xml:space="preserve">overnance programs for support, indicating that </w:t>
      </w:r>
      <w:r>
        <w:t xml:space="preserve">current practice is ad hoc rather than systematic. </w:t>
      </w:r>
    </w:p>
    <w:p w14:paraId="2D1F7187" w14:textId="77777777" w:rsidR="00AF6A11" w:rsidRDefault="00AF6A11" w:rsidP="00DE3CD6">
      <w:pPr>
        <w:pStyle w:val="Heading3"/>
      </w:pPr>
      <w:bookmarkStart w:id="421" w:name="_Toc371618458"/>
      <w:bookmarkStart w:id="422" w:name="_Toc372300901"/>
      <w:bookmarkStart w:id="423" w:name="_Toc382563958"/>
      <w:bookmarkStart w:id="424" w:name="_Toc382595912"/>
      <w:r>
        <w:t>Sector staff knowledge of decentralisation</w:t>
      </w:r>
      <w:bookmarkEnd w:id="421"/>
      <w:bookmarkEnd w:id="422"/>
      <w:bookmarkEnd w:id="423"/>
      <w:bookmarkEnd w:id="424"/>
    </w:p>
    <w:p w14:paraId="2A53003E" w14:textId="239AFDF8" w:rsidR="00AF6A11" w:rsidRDefault="007143EA" w:rsidP="00DE3CD6">
      <w:r>
        <w:t>While DFAT clearly provides some support to staff (see section 7.1), a</w:t>
      </w:r>
      <w:r w:rsidR="00AF6A11">
        <w:t xml:space="preserve">cross all three countries, there </w:t>
      </w:r>
      <w:r>
        <w:t xml:space="preserve">is evidence that staff </w:t>
      </w:r>
      <w:r w:rsidR="00AF6A11">
        <w:t>capacity to work in decentralised contexts requires further attention. Staff recognised limitations in their knowledge of decentralisation in PNG. For example, one staff member responded: ‘</w:t>
      </w:r>
      <w:r w:rsidR="00AF6A11" w:rsidRPr="00125A48">
        <w:rPr>
          <w:i/>
        </w:rPr>
        <w:t>I’m not 100</w:t>
      </w:r>
      <w:r w:rsidR="00AF6A11">
        <w:rPr>
          <w:i/>
        </w:rPr>
        <w:t> per cent</w:t>
      </w:r>
      <w:r w:rsidR="00AF6A11" w:rsidRPr="00125A48">
        <w:rPr>
          <w:i/>
        </w:rPr>
        <w:t xml:space="preserve"> confident </w:t>
      </w:r>
      <w:r w:rsidR="00AF6A11">
        <w:rPr>
          <w:i/>
        </w:rPr>
        <w:t>[about sufficiency of our knowledge of decentralisation]’</w:t>
      </w:r>
      <w:r w:rsidR="00AF6A11" w:rsidRPr="00125A48">
        <w:rPr>
          <w:i/>
        </w:rPr>
        <w:t xml:space="preserve"> </w:t>
      </w:r>
      <w:r w:rsidR="00AF6A11">
        <w:t xml:space="preserve">and </w:t>
      </w:r>
      <w:r w:rsidR="00AF6A11">
        <w:rPr>
          <w:i/>
        </w:rPr>
        <w:t>‘i</w:t>
      </w:r>
      <w:r w:rsidR="00AF6A11" w:rsidRPr="00125A48">
        <w:rPr>
          <w:i/>
        </w:rPr>
        <w:t>n</w:t>
      </w:r>
      <w:r w:rsidR="00F50C5F">
        <w:rPr>
          <w:i/>
        </w:rPr>
        <w:t>-house</w:t>
      </w:r>
      <w:r w:rsidR="00AF6A11" w:rsidRPr="00125A48">
        <w:rPr>
          <w:i/>
        </w:rPr>
        <w:t xml:space="preserve"> there’s only a few people who would have a bit of an idea how it works</w:t>
      </w:r>
      <w:r w:rsidR="00D2236B">
        <w:rPr>
          <w:i/>
        </w:rPr>
        <w:t>.’</w:t>
      </w:r>
      <w:r w:rsidR="00AF6A11">
        <w:t xml:space="preserve"> Furthermore, staff members observed that decentralisation is part of a broader process of political change: ‘</w:t>
      </w:r>
      <w:r w:rsidR="00AF6A11">
        <w:rPr>
          <w:i/>
        </w:rPr>
        <w:t>I</w:t>
      </w:r>
      <w:r w:rsidR="00AF6A11" w:rsidRPr="00FC0E7A">
        <w:rPr>
          <w:i/>
        </w:rPr>
        <w:t>t</w:t>
      </w:r>
      <w:r w:rsidR="00AF6A11">
        <w:rPr>
          <w:i/>
        </w:rPr>
        <w:t>’</w:t>
      </w:r>
      <w:r w:rsidR="00AF6A11" w:rsidRPr="00FC0E7A">
        <w:rPr>
          <w:i/>
        </w:rPr>
        <w:t>s complex out here and we are learning every day</w:t>
      </w:r>
      <w:r w:rsidR="00D2236B">
        <w:t>.’</w:t>
      </w:r>
      <w:r w:rsidR="00AF6A11">
        <w:t xml:space="preserve"> Recent reviews have offered a variety of recommendations relating to staff capacity, including the need to recruit governance specialists</w:t>
      </w:r>
      <w:r w:rsidR="00AF6A11">
        <w:rPr>
          <w:rStyle w:val="EndnoteReference"/>
        </w:rPr>
        <w:endnoteReference w:id="281"/>
      </w:r>
      <w:r w:rsidR="00AF6A11">
        <w:t xml:space="preserve"> and for officers to regularly travel </w:t>
      </w:r>
      <w:r w:rsidR="0074540C">
        <w:t>to provinces</w:t>
      </w:r>
      <w:r w:rsidR="00AF6A11">
        <w:t xml:space="preserve"> to increase their knowledge and understanding.</w:t>
      </w:r>
      <w:r w:rsidR="00AF6A11">
        <w:rPr>
          <w:rStyle w:val="EndnoteReference"/>
        </w:rPr>
        <w:endnoteReference w:id="282"/>
      </w:r>
    </w:p>
    <w:p w14:paraId="4D3D06D7" w14:textId="77777777" w:rsidR="00AF6A11" w:rsidRDefault="00AF6A11" w:rsidP="00DE3CD6">
      <w:r>
        <w:t>Implementing partners in both PNG and Indonesia reported limitations in program staff knowledge. In Indonesia: ‘</w:t>
      </w:r>
      <w:r w:rsidRPr="00B9479A">
        <w:rPr>
          <w:i/>
        </w:rPr>
        <w:t>The decentralisation unit within [the Australian aid program is] not across all the issues’</w:t>
      </w:r>
      <w:r>
        <w:t xml:space="preserve"> and in PNG: ‘[</w:t>
      </w:r>
      <w:r w:rsidRPr="00B9479A">
        <w:rPr>
          <w:i/>
        </w:rPr>
        <w:t>The Australian aid program] need to have technical assistance around how to give us guidance on what they need out of our programs … local staff lack analytical capacity and expatriate staff lack the “how it works” knowledge.’</w:t>
      </w:r>
      <w:r>
        <w:t xml:space="preserve"> </w:t>
      </w:r>
    </w:p>
    <w:p w14:paraId="58B2C9F9" w14:textId="17267A6A" w:rsidR="00AF6A11" w:rsidRDefault="00AF6A11" w:rsidP="00DE3CD6">
      <w:r>
        <w:t xml:space="preserve">An important source of knowledge on context was local staff. In all three countries, </w:t>
      </w:r>
      <w:r w:rsidR="00BF6E6C">
        <w:t>local engaged</w:t>
      </w:r>
      <w:r>
        <w:t xml:space="preserve"> officers were appreciated for their local knowledge related to political economy, policy, relationships and ways of working. Staff members who had been specifically recruited for technical or local expertise were valued and examples of good recruitment practice were related to a specific strategy document. For example, staff in Indonesia reported: </w:t>
      </w:r>
    </w:p>
    <w:p w14:paraId="5DFB2986" w14:textId="77777777" w:rsidR="00AF6A11" w:rsidRPr="007048D2" w:rsidRDefault="00AF6A11" w:rsidP="00DE3CD6">
      <w:pPr>
        <w:pStyle w:val="Quote"/>
      </w:pPr>
      <w:r>
        <w:t xml:space="preserve">[The] recruitment </w:t>
      </w:r>
      <w:r w:rsidRPr="009E2AE2">
        <w:t>strategy ensures a mix between aid and Indo</w:t>
      </w:r>
      <w:r>
        <w:t>ne</w:t>
      </w:r>
      <w:r w:rsidRPr="009E2AE2">
        <w:t>s</w:t>
      </w:r>
      <w:r>
        <w:t>i</w:t>
      </w:r>
      <w:r w:rsidRPr="009E2AE2">
        <w:t>a knowledge.</w:t>
      </w:r>
      <w:r>
        <w:t xml:space="preserve"> [It] b</w:t>
      </w:r>
      <w:r w:rsidRPr="009E2AE2">
        <w:t>ring</w:t>
      </w:r>
      <w:r>
        <w:t>s</w:t>
      </w:r>
      <w:r w:rsidRPr="009E2AE2">
        <w:t xml:space="preserve"> </w:t>
      </w:r>
      <w:r>
        <w:t xml:space="preserve">[together] </w:t>
      </w:r>
      <w:r w:rsidRPr="009E2AE2">
        <w:t xml:space="preserve">policy awareness and Australian </w:t>
      </w:r>
      <w:r>
        <w:t>a</w:t>
      </w:r>
      <w:r w:rsidRPr="009E2AE2">
        <w:t xml:space="preserve">id </w:t>
      </w:r>
      <w:r>
        <w:t>k</w:t>
      </w:r>
      <w:r w:rsidRPr="009E2AE2">
        <w:t>nowledge. The strategy has been smart to combine these and it goes a long way to reflect the nuanced understanding of what decentralisation means in Indonesia</w:t>
      </w:r>
      <w:r>
        <w:t>.</w:t>
      </w:r>
    </w:p>
    <w:p w14:paraId="0774F23E" w14:textId="77777777" w:rsidR="00AF6A11" w:rsidRDefault="00AF6A11" w:rsidP="00DE3CD6">
      <w:r>
        <w:t>Political economy analysis training had recently been delivered in all three countries by the governance group from Canberra. A number of people commented that they were now more able to talk about governance issues. One officer from the Philippines reported that recent governance training was a ‘validation’ of an existing focus on participation and that they now felt more confident to focus on these aspects of governance. In Indonesia, staff members reported that the local university delivered decentralisation training to aid program staff.</w:t>
      </w:r>
    </w:p>
    <w:p w14:paraId="2C7DF1F7" w14:textId="77777777" w:rsidR="00AF6A11" w:rsidRPr="00AD4134" w:rsidRDefault="00AF6A11" w:rsidP="00DE3CD6">
      <w:pPr>
        <w:pStyle w:val="Heading3"/>
      </w:pPr>
      <w:bookmarkStart w:id="425" w:name="_Toc371618459"/>
      <w:bookmarkStart w:id="426" w:name="_Toc372300902"/>
      <w:bookmarkStart w:id="427" w:name="_Toc382563959"/>
      <w:bookmarkStart w:id="428" w:name="_Toc382595913"/>
      <w:r>
        <w:t>I</w:t>
      </w:r>
      <w:r w:rsidRPr="00AD4134">
        <w:t xml:space="preserve">mplications for different </w:t>
      </w:r>
      <w:r>
        <w:t xml:space="preserve">programs and </w:t>
      </w:r>
      <w:r w:rsidRPr="00AD4134">
        <w:t>country contexts</w:t>
      </w:r>
      <w:bookmarkEnd w:id="425"/>
      <w:bookmarkEnd w:id="426"/>
      <w:bookmarkEnd w:id="427"/>
      <w:bookmarkEnd w:id="428"/>
      <w:r w:rsidRPr="00AD4134">
        <w:t xml:space="preserve"> </w:t>
      </w:r>
    </w:p>
    <w:p w14:paraId="76B86878" w14:textId="68736C85" w:rsidR="00AF6A11" w:rsidRDefault="00AF6A11" w:rsidP="00DE3CD6">
      <w:r>
        <w:t>We conclude that while there has been some positive change, sector programs do require additional capacity to effectively work with partner government systems in decentralised contexts and that ‘</w:t>
      </w:r>
      <w:r w:rsidRPr="007048D2">
        <w:rPr>
          <w:i/>
        </w:rPr>
        <w:t>different strategies are needed depending on whether … [Australia] is a large or small donor</w:t>
      </w:r>
      <w:r>
        <w:rPr>
          <w:i/>
        </w:rPr>
        <w:t>.</w:t>
      </w:r>
      <w:r>
        <w:t>’</w:t>
      </w:r>
      <w:r>
        <w:rPr>
          <w:rStyle w:val="EndnoteReference"/>
        </w:rPr>
        <w:endnoteReference w:id="283"/>
      </w:r>
      <w:r>
        <w:t xml:space="preserve"> This evaluation also found that while provinces and districts were seen as </w:t>
      </w:r>
      <w:r w:rsidR="008257C6">
        <w:t>for a critical component of the</w:t>
      </w:r>
      <w:r>
        <w:t xml:space="preserve"> service </w:t>
      </w:r>
      <w:r w:rsidR="008257C6">
        <w:t>system</w:t>
      </w:r>
      <w:r>
        <w:t xml:space="preserve">, subnational government and decentralisation issues were </w:t>
      </w:r>
      <w:r w:rsidR="008257C6">
        <w:t>not given the same level of importance</w:t>
      </w:r>
      <w:r>
        <w:t xml:space="preserve"> across </w:t>
      </w:r>
      <w:r w:rsidR="008257C6">
        <w:t xml:space="preserve">different </w:t>
      </w:r>
      <w:r>
        <w:t>programs.</w:t>
      </w:r>
      <w:r>
        <w:rPr>
          <w:rStyle w:val="EndnoteReference"/>
        </w:rPr>
        <w:endnoteReference w:id="284"/>
      </w:r>
      <w:r>
        <w:t xml:space="preserve"> </w:t>
      </w:r>
    </w:p>
    <w:p w14:paraId="1B8CB856" w14:textId="77777777" w:rsidR="008257C6" w:rsidRDefault="00AF6A11" w:rsidP="00DE3CD6">
      <w:r>
        <w:t xml:space="preserve">Each country program will need to consider its </w:t>
      </w:r>
      <w:r w:rsidR="008257C6">
        <w:t xml:space="preserve">particular </w:t>
      </w:r>
      <w:r>
        <w:t xml:space="preserve">context, in terms of political economy (at all levels of the system) and public sector reform (across service delivery sectors). This analysis, together with assessments of internal/external capacity for governance and policy dialogue specific to the relevant sectors in a county portfolio, would help to identify the need for governance support. </w:t>
      </w:r>
      <w:r w:rsidR="008257C6">
        <w:t>A cross</w:t>
      </w:r>
      <w:r w:rsidR="00F50C5F">
        <w:t>-</w:t>
      </w:r>
      <w:r w:rsidR="008257C6">
        <w:t>program assessment of staff capacity in governance and decentralisation would help identify needs in this area and could lead to recruitment strategies, professional development and other means.</w:t>
      </w:r>
    </w:p>
    <w:p w14:paraId="00886EB9" w14:textId="2F170907" w:rsidR="00AF6A11" w:rsidRDefault="00AF6A11" w:rsidP="00DE3CD6">
      <w:r>
        <w:t>Depending on the program, sectoral staff may need knowledge of the service delivery chain at all levels of partner government and across line and central agencies. All three posts had some combination of in</w:t>
      </w:r>
      <w:r w:rsidR="0023001A">
        <w:t>-</w:t>
      </w:r>
      <w:r>
        <w:t xml:space="preserve">house governance advisers and program staff </w:t>
      </w:r>
      <w:r w:rsidR="00E53B54">
        <w:t>with</w:t>
      </w:r>
      <w:r>
        <w:t xml:space="preserve"> some capacity to provide advice and support. Staff demonstrated an ability to access a range of external expertise, as well as individual and informal networks. </w:t>
      </w:r>
    </w:p>
    <w:p w14:paraId="0D0C5A85" w14:textId="502FC15E" w:rsidR="00AF6A11" w:rsidRPr="001A24AB" w:rsidRDefault="00AF6A11" w:rsidP="00DE3CD6">
      <w:r w:rsidRPr="001A24AB">
        <w:t>Clearly</w:t>
      </w:r>
      <w:r>
        <w:t>,</w:t>
      </w:r>
      <w:r w:rsidRPr="001A24AB">
        <w:t xml:space="preserve"> </w:t>
      </w:r>
      <w:r w:rsidR="00741BC6">
        <w:t xml:space="preserve">staff </w:t>
      </w:r>
      <w:r w:rsidR="00DD4ABE">
        <w:t>who work</w:t>
      </w:r>
      <w:r w:rsidR="00741BC6">
        <w:t xml:space="preserve"> on </w:t>
      </w:r>
      <w:r w:rsidRPr="001A24AB">
        <w:t xml:space="preserve">governance are able to influence </w:t>
      </w:r>
      <w:r>
        <w:t xml:space="preserve">and support </w:t>
      </w:r>
      <w:r w:rsidRPr="001A24AB">
        <w:t>some aspects of sector programs. A more comprehensive assessment is needed of in</w:t>
      </w:r>
      <w:r w:rsidR="00F50C5F">
        <w:t>-house</w:t>
      </w:r>
      <w:r w:rsidRPr="001A24AB">
        <w:t xml:space="preserve"> governance technical expertise and how it is </w:t>
      </w:r>
      <w:r w:rsidR="002A7465" w:rsidRPr="001A24AB">
        <w:t xml:space="preserve">resourced and </w:t>
      </w:r>
      <w:r w:rsidRPr="001A24AB">
        <w:t xml:space="preserve">used to support </w:t>
      </w:r>
      <w:r>
        <w:t>service delivery</w:t>
      </w:r>
      <w:r w:rsidRPr="001A24AB">
        <w:t xml:space="preserve"> sectors</w:t>
      </w:r>
      <w:r>
        <w:t xml:space="preserve">. The current and potential coordination and collaboration between governance and other sector programs is considered further </w:t>
      </w:r>
      <w:r w:rsidR="00FA7923">
        <w:t>below</w:t>
      </w:r>
      <w:r>
        <w:t>.</w:t>
      </w:r>
    </w:p>
    <w:p w14:paraId="2DF95358" w14:textId="77777777" w:rsidR="00AF6A11" w:rsidRPr="001A24AB" w:rsidRDefault="00AF6A11" w:rsidP="00DE3CD6">
      <w:pPr>
        <w:pStyle w:val="Heading2"/>
        <w:numPr>
          <w:ilvl w:val="1"/>
          <w:numId w:val="0"/>
        </w:numPr>
        <w:spacing w:before="360" w:after="240" w:line="288" w:lineRule="auto"/>
      </w:pPr>
      <w:bookmarkStart w:id="429" w:name="_Toc371618460"/>
      <w:bookmarkStart w:id="430" w:name="_Ref371622623"/>
      <w:bookmarkStart w:id="431" w:name="_Toc382563960"/>
      <w:bookmarkStart w:id="432" w:name="_Toc382595914"/>
      <w:bookmarkStart w:id="433" w:name="_Toc408831799"/>
      <w:r>
        <w:t>7.3</w:t>
      </w:r>
      <w:r>
        <w:tab/>
        <w:t>Interaction across sectors and levels of the aid program</w:t>
      </w:r>
      <w:bookmarkEnd w:id="429"/>
      <w:bookmarkEnd w:id="430"/>
      <w:bookmarkEnd w:id="431"/>
      <w:bookmarkEnd w:id="432"/>
      <w:bookmarkEnd w:id="433"/>
    </w:p>
    <w:p w14:paraId="50FF30B2" w14:textId="2EB13B2D" w:rsidR="00AF6A11" w:rsidRDefault="00AF6A11" w:rsidP="00DE3CD6">
      <w:r>
        <w:t>This section discusses how increased interaction between governance and other sectors</w:t>
      </w:r>
      <w:r w:rsidDel="00D60D75">
        <w:t xml:space="preserve"> </w:t>
      </w:r>
      <w:r>
        <w:t xml:space="preserve">contributes </w:t>
      </w:r>
      <w:r w:rsidRPr="007A2732">
        <w:t>to coherence across</w:t>
      </w:r>
      <w:r>
        <w:t xml:space="preserve"> the aid program. Coherence </w:t>
      </w:r>
      <w:r w:rsidR="00E53B54">
        <w:t>means</w:t>
      </w:r>
      <w:r>
        <w:t xml:space="preserve"> consistency of approach, and aid initiatives</w:t>
      </w:r>
      <w:r w:rsidR="00E53B54">
        <w:t xml:space="preserve"> that complement each other and make efficient use of resources</w:t>
      </w:r>
      <w:r>
        <w:t>.</w:t>
      </w:r>
      <w:r w:rsidR="00610727">
        <w:rPr>
          <w:rStyle w:val="FootnoteReference"/>
        </w:rPr>
        <w:footnoteReference w:id="47"/>
      </w:r>
      <w:r w:rsidR="00610727">
        <w:t xml:space="preserve"> </w:t>
      </w:r>
      <w:r>
        <w:t>Some examples of incohere</w:t>
      </w:r>
      <w:r w:rsidR="00E53B54">
        <w:t xml:space="preserve">nt </w:t>
      </w:r>
      <w:r>
        <w:t>donor operation</w:t>
      </w:r>
      <w:r w:rsidR="00E53B54">
        <w:t>s</w:t>
      </w:r>
      <w:r>
        <w:t xml:space="preserve"> are shown in Box </w:t>
      </w:r>
      <w:r w:rsidR="002A7465">
        <w:t>1</w:t>
      </w:r>
      <w:r>
        <w:t>.</w:t>
      </w:r>
    </w:p>
    <w:p w14:paraId="68FBF710" w14:textId="6037ED8F" w:rsidR="00AF6A11" w:rsidRPr="007B2C90" w:rsidRDefault="00AF6A11" w:rsidP="00DE3CD6">
      <w:pPr>
        <w:pStyle w:val="BoxName"/>
      </w:pPr>
      <w:r>
        <w:t xml:space="preserve">Box </w:t>
      </w:r>
      <w:r w:rsidR="002A7465">
        <w:t>1</w:t>
      </w:r>
      <w:r>
        <w:tab/>
      </w:r>
      <w:r w:rsidR="00E53B54">
        <w:t>Donor</w:t>
      </w:r>
      <w:r>
        <w:t xml:space="preserve"> incoherence in decentralised contexts</w:t>
      </w:r>
    </w:p>
    <w:p w14:paraId="2542139B" w14:textId="77777777" w:rsidR="00AF6A11" w:rsidRPr="005140F5" w:rsidRDefault="00AF6A11" w:rsidP="00C615DC">
      <w:pPr>
        <w:pStyle w:val="BoxBullet"/>
        <w:spacing w:before="360"/>
      </w:pPr>
      <w:r w:rsidRPr="005140F5">
        <w:t>High-level strategic goals relating to service delivery are not shared or consistent between sector and governance programs</w:t>
      </w:r>
      <w:r>
        <w:t>.</w:t>
      </w:r>
    </w:p>
    <w:p w14:paraId="72F6DF46" w14:textId="77777777" w:rsidR="00AF6A11" w:rsidRPr="005140F5" w:rsidRDefault="00AF6A11" w:rsidP="00DE3CD6">
      <w:pPr>
        <w:pStyle w:val="BoxBullet"/>
      </w:pPr>
      <w:r w:rsidRPr="005140F5">
        <w:t>Sector and governance strategies are developed in isolation from each other</w:t>
      </w:r>
      <w:r>
        <w:t>.</w:t>
      </w:r>
    </w:p>
    <w:p w14:paraId="03E06297" w14:textId="77777777" w:rsidR="00AF6A11" w:rsidRPr="005140F5" w:rsidRDefault="00AF6A11" w:rsidP="00DE3CD6">
      <w:pPr>
        <w:pStyle w:val="BoxBullet"/>
      </w:pPr>
      <w:r>
        <w:t xml:space="preserve">Lack of </w:t>
      </w:r>
      <w:r w:rsidRPr="005140F5">
        <w:t>country</w:t>
      </w:r>
      <w:r w:rsidR="00E53B54">
        <w:t xml:space="preserve"> </w:t>
      </w:r>
      <w:r w:rsidRPr="005140F5">
        <w:t>program coordination mechanism, and</w:t>
      </w:r>
      <w:r w:rsidR="00E53B54">
        <w:t>/</w:t>
      </w:r>
      <w:r>
        <w:t>or</w:t>
      </w:r>
      <w:r w:rsidR="00B9479A">
        <w:t xml:space="preserve"> </w:t>
      </w:r>
      <w:r>
        <w:t>structured</w:t>
      </w:r>
      <w:r w:rsidR="00B9479A">
        <w:t xml:space="preserve"> </w:t>
      </w:r>
      <w:r w:rsidRPr="005140F5">
        <w:t>communication between programs</w:t>
      </w:r>
      <w:r>
        <w:t>.</w:t>
      </w:r>
    </w:p>
    <w:p w14:paraId="5232EC88" w14:textId="39DF2AF5" w:rsidR="00AF6A11" w:rsidRPr="005140F5" w:rsidRDefault="00AF6A11" w:rsidP="00DE3CD6">
      <w:pPr>
        <w:pStyle w:val="BoxBullet"/>
      </w:pPr>
      <w:r>
        <w:t>Absence of</w:t>
      </w:r>
      <w:r w:rsidRPr="005140F5">
        <w:t xml:space="preserve"> mechanisms to </w:t>
      </w:r>
      <w:r w:rsidR="00AF7C45">
        <w:t>prevent</w:t>
      </w:r>
      <w:r w:rsidRPr="005140F5">
        <w:t xml:space="preserve"> sector programs </w:t>
      </w:r>
      <w:r w:rsidR="00AF7C45">
        <w:t xml:space="preserve">being </w:t>
      </w:r>
      <w:r w:rsidR="00147B33">
        <w:t>primarily</w:t>
      </w:r>
      <w:r w:rsidR="00147B33" w:rsidRPr="005140F5">
        <w:t xml:space="preserve"> </w:t>
      </w:r>
      <w:r w:rsidRPr="005140F5">
        <w:t>responsive to national line ministry preferences</w:t>
      </w:r>
      <w:r w:rsidR="00AF7C45">
        <w:t xml:space="preserve"> </w:t>
      </w:r>
      <w:r w:rsidR="00147B33">
        <w:t>and</w:t>
      </w:r>
      <w:r w:rsidR="00147B33" w:rsidRPr="005140F5">
        <w:t xml:space="preserve"> </w:t>
      </w:r>
      <w:r w:rsidRPr="005140F5">
        <w:t xml:space="preserve">governance programs </w:t>
      </w:r>
      <w:r w:rsidR="00147B33">
        <w:t>primarily</w:t>
      </w:r>
      <w:r w:rsidRPr="005140F5">
        <w:t xml:space="preserve"> responsive to the </w:t>
      </w:r>
      <w:r w:rsidR="00AF7C45">
        <w:t xml:space="preserve">different </w:t>
      </w:r>
      <w:r w:rsidRPr="005140F5">
        <w:t>preferences of subnational authorities and central agencies</w:t>
      </w:r>
      <w:r w:rsidR="00147B33">
        <w:t>, resulting in</w:t>
      </w:r>
      <w:r w:rsidR="00B74369">
        <w:t xml:space="preserve"> </w:t>
      </w:r>
      <w:r w:rsidR="00F2730B">
        <w:t xml:space="preserve">inconsistent </w:t>
      </w:r>
      <w:r w:rsidR="00147B33">
        <w:t>approaches</w:t>
      </w:r>
      <w:r>
        <w:t>.</w:t>
      </w:r>
    </w:p>
    <w:p w14:paraId="06A907A9" w14:textId="77777777" w:rsidR="00AF6A11" w:rsidRPr="005140F5" w:rsidRDefault="00AF6A11" w:rsidP="00DE3CD6">
      <w:pPr>
        <w:pStyle w:val="BoxBullet"/>
      </w:pPr>
      <w:r>
        <w:t>Donors e</w:t>
      </w:r>
      <w:r w:rsidRPr="005140F5">
        <w:t>ngag</w:t>
      </w:r>
      <w:r>
        <w:t>e</w:t>
      </w:r>
      <w:r w:rsidRPr="005140F5">
        <w:t xml:space="preserve"> primarily with national line ministry staff, and fail to engage appropriate</w:t>
      </w:r>
      <w:r w:rsidR="00E53B54">
        <w:t>ly</w:t>
      </w:r>
      <w:r w:rsidRPr="005140F5">
        <w:t xml:space="preserve"> </w:t>
      </w:r>
      <w:r w:rsidR="00E53B54">
        <w:t xml:space="preserve">with </w:t>
      </w:r>
      <w:r w:rsidRPr="005140F5">
        <w:t>staff of central agencies and of subnational authorities</w:t>
      </w:r>
      <w:r>
        <w:t>.</w:t>
      </w:r>
    </w:p>
    <w:p w14:paraId="1D97813D" w14:textId="77777777" w:rsidR="00AF6A11" w:rsidRPr="005140F5" w:rsidRDefault="00AF6A11" w:rsidP="00DE3CD6">
      <w:pPr>
        <w:pStyle w:val="BoxBullet"/>
      </w:pPr>
      <w:r w:rsidRPr="005140F5">
        <w:t>Sectoral programs engag</w:t>
      </w:r>
      <w:r>
        <w:t>e</w:t>
      </w:r>
      <w:r w:rsidRPr="005140F5">
        <w:t xml:space="preserve"> with sectoral staff in subnational authorities, but not senior management or corporate areas</w:t>
      </w:r>
      <w:r>
        <w:t>.</w:t>
      </w:r>
    </w:p>
    <w:p w14:paraId="5845C665" w14:textId="5C16C4B0" w:rsidR="00AF6A11" w:rsidRPr="005140F5" w:rsidRDefault="00AF6A11" w:rsidP="00DE3CD6">
      <w:pPr>
        <w:pStyle w:val="BoxBullet"/>
      </w:pPr>
      <w:r w:rsidRPr="005140F5">
        <w:t>Sectoral and governance programs undertak</w:t>
      </w:r>
      <w:r>
        <w:t>e</w:t>
      </w:r>
      <w:r w:rsidRPr="005140F5">
        <w:t xml:space="preserve"> local interventions in different locations</w:t>
      </w:r>
      <w:r>
        <w:t>.</w:t>
      </w:r>
    </w:p>
    <w:p w14:paraId="07D8E43D" w14:textId="77777777" w:rsidR="00AF6A11" w:rsidRPr="00C62117" w:rsidRDefault="00AF6A11" w:rsidP="00DE3CD6">
      <w:pPr>
        <w:pStyle w:val="BoxBullet"/>
      </w:pPr>
      <w:r w:rsidRPr="005140F5">
        <w:t>Governance program in</w:t>
      </w:r>
      <w:r w:rsidR="00E53B54">
        <w:t>ter</w:t>
      </w:r>
      <w:r w:rsidRPr="005140F5">
        <w:t xml:space="preserve">ventions are not </w:t>
      </w:r>
      <w:r w:rsidR="00E53B54">
        <w:t>targeting</w:t>
      </w:r>
      <w:r w:rsidR="00E53B54" w:rsidRPr="005140F5">
        <w:t xml:space="preserve"> </w:t>
      </w:r>
      <w:r w:rsidRPr="005140F5">
        <w:t>governance blockages important for an outcome sought by a sector program</w:t>
      </w:r>
      <w:r>
        <w:t>.</w:t>
      </w:r>
    </w:p>
    <w:p w14:paraId="26B8BFF1" w14:textId="77777777" w:rsidR="00AF6A11" w:rsidRDefault="00AF6A11" w:rsidP="00DE3CD6">
      <w:pPr>
        <w:pStyle w:val="BoxBullet"/>
      </w:pPr>
      <w:r w:rsidRPr="005140F5">
        <w:t>Sectoral programs emphasis</w:t>
      </w:r>
      <w:r>
        <w:t>e</w:t>
      </w:r>
      <w:r w:rsidRPr="005140F5">
        <w:t xml:space="preserve"> direct service delivery and bypass subnational systems</w:t>
      </w:r>
      <w:r>
        <w:t>, sometimes when</w:t>
      </w:r>
      <w:r w:rsidRPr="005140F5">
        <w:t xml:space="preserve"> governance programs </w:t>
      </w:r>
      <w:r w:rsidR="00E53B54">
        <w:t xml:space="preserve">are </w:t>
      </w:r>
      <w:r w:rsidRPr="005140F5">
        <w:t xml:space="preserve">trying to </w:t>
      </w:r>
      <w:r w:rsidR="00E53B54">
        <w:t>strengthen</w:t>
      </w:r>
      <w:r w:rsidR="00E53B54" w:rsidRPr="005140F5">
        <w:t xml:space="preserve"> </w:t>
      </w:r>
      <w:r w:rsidRPr="005140F5">
        <w:t>those government systems.</w:t>
      </w:r>
    </w:p>
    <w:p w14:paraId="18A85AD8" w14:textId="77777777" w:rsidR="00AF6A11" w:rsidRPr="00AD4134" w:rsidRDefault="00AF6A11" w:rsidP="00DE3CD6">
      <w:pPr>
        <w:pStyle w:val="Heading3"/>
      </w:pPr>
      <w:bookmarkStart w:id="434" w:name="_Toc371618461"/>
      <w:bookmarkStart w:id="435" w:name="_Toc372300904"/>
      <w:bookmarkStart w:id="436" w:name="_Toc382563961"/>
      <w:bookmarkStart w:id="437" w:name="_Toc382595915"/>
      <w:r>
        <w:t>Canberra: decision-making and guidance</w:t>
      </w:r>
      <w:bookmarkEnd w:id="434"/>
      <w:bookmarkEnd w:id="435"/>
      <w:bookmarkEnd w:id="436"/>
      <w:bookmarkEnd w:id="437"/>
      <w:r>
        <w:t xml:space="preserve"> </w:t>
      </w:r>
    </w:p>
    <w:p w14:paraId="0DB1BF3A" w14:textId="77777777" w:rsidR="00AF6A11" w:rsidRPr="001408DF" w:rsidRDefault="00AF6A11" w:rsidP="00DE3CD6">
      <w:pPr>
        <w:pStyle w:val="Heading4"/>
      </w:pPr>
      <w:r w:rsidRPr="001408DF">
        <w:t>Decision</w:t>
      </w:r>
      <w:r>
        <w:t>-</w:t>
      </w:r>
      <w:r w:rsidRPr="001408DF">
        <w:t>making</w:t>
      </w:r>
    </w:p>
    <w:p w14:paraId="7701D4BB" w14:textId="77777777" w:rsidR="00AF6A11" w:rsidRDefault="00AF6A11" w:rsidP="00DE3CD6">
      <w:r>
        <w:t>The aid architecture has been designed to increase coherence within and across country programs.</w:t>
      </w:r>
      <w:r w:rsidR="00785A85">
        <w:rPr>
          <w:rStyle w:val="FootnoteReference"/>
        </w:rPr>
        <w:footnoteReference w:id="48"/>
      </w:r>
      <w:r w:rsidR="00785A85">
        <w:t xml:space="preserve"> </w:t>
      </w:r>
      <w:r w:rsidR="00AF7C45">
        <w:t>A high</w:t>
      </w:r>
      <w:r w:rsidR="000059B5">
        <w:t>-</w:t>
      </w:r>
      <w:r w:rsidR="00AF7C45">
        <w:t>level c</w:t>
      </w:r>
      <w:r>
        <w:t xml:space="preserve">ommittee, based in Canberra, reviews all country strategies and high-value initiatives, in addition to </w:t>
      </w:r>
      <w:r w:rsidR="00AF7C45">
        <w:t xml:space="preserve">the </w:t>
      </w:r>
      <w:r>
        <w:t>routine in-country approvals</w:t>
      </w:r>
      <w:r w:rsidR="00AF7C45">
        <w:t xml:space="preserve"> of</w:t>
      </w:r>
      <w:r>
        <w:t xml:space="preserve"> </w:t>
      </w:r>
      <w:r w:rsidR="00AF7C45">
        <w:t xml:space="preserve">strategy and design </w:t>
      </w:r>
      <w:r>
        <w:t xml:space="preserve">and negotiations with partner government agencies. These approval points provide opportunities for senior management to ensure governance issues of service delivery are adequately addressed prior to implementation. </w:t>
      </w:r>
    </w:p>
    <w:p w14:paraId="1C4B00C6" w14:textId="77777777" w:rsidR="00AF6A11" w:rsidRPr="001408DF" w:rsidRDefault="00AF6A11" w:rsidP="00B9479A">
      <w:pPr>
        <w:pStyle w:val="Heading4"/>
        <w:spacing w:before="200"/>
      </w:pPr>
      <w:r w:rsidRPr="001408DF">
        <w:t xml:space="preserve">Guidance documents </w:t>
      </w:r>
    </w:p>
    <w:p w14:paraId="046962B5" w14:textId="77777777" w:rsidR="00AF6A11" w:rsidRDefault="00AF7C45" w:rsidP="00DE3CD6">
      <w:r>
        <w:t xml:space="preserve">Previously </w:t>
      </w:r>
      <w:r w:rsidR="00AF6A11">
        <w:t xml:space="preserve">guidance on preparation of country and delivery strategies (see Sections 6.2 and 6.3) contained limited prompts to consider critical governance issues. </w:t>
      </w:r>
      <w:r>
        <w:t>Some form of</w:t>
      </w:r>
      <w:r w:rsidR="00AF6A11">
        <w:t xml:space="preserve"> guidance would support a consistent approach and is likely to result in more appropriate </w:t>
      </w:r>
      <w:r>
        <w:t xml:space="preserve">and effective </w:t>
      </w:r>
      <w:r w:rsidR="00AF6A11">
        <w:t xml:space="preserve">programming. </w:t>
      </w:r>
    </w:p>
    <w:p w14:paraId="59FC64C3" w14:textId="70847A70" w:rsidR="00AF6A11" w:rsidRDefault="00AF6A11" w:rsidP="00DE3CD6">
      <w:r>
        <w:t xml:space="preserve">The suite of ‘working in partner systems’ guidance provides some formal guidance. </w:t>
      </w:r>
      <w:r w:rsidR="00AF7C45">
        <w:t>S</w:t>
      </w:r>
      <w:r>
        <w:t xml:space="preserve">taff experience </w:t>
      </w:r>
      <w:r w:rsidR="00AF7C45">
        <w:t>in the field</w:t>
      </w:r>
      <w:r>
        <w:t xml:space="preserve"> suggests that more </w:t>
      </w:r>
      <w:r w:rsidR="00AF7C45">
        <w:t xml:space="preserve">could </w:t>
      </w:r>
      <w:r>
        <w:t xml:space="preserve">be done to extend the </w:t>
      </w:r>
      <w:r w:rsidR="00AF7C45">
        <w:t xml:space="preserve">scope and usability </w:t>
      </w:r>
      <w:r>
        <w:t xml:space="preserve">of this guidance. Attempts to conduct partner government assessments at subnational levels (in Indonesia and the Philippines) highlighted that </w:t>
      </w:r>
      <w:r w:rsidR="00224DB1">
        <w:t xml:space="preserve">some staff believed </w:t>
      </w:r>
      <w:r>
        <w:t>the assessments were designed for the national level and were not appropriate for subnational level</w:t>
      </w:r>
      <w:r w:rsidRPr="001408DF">
        <w:rPr>
          <w:i/>
        </w:rPr>
        <w:t>.</w:t>
      </w:r>
      <w:r>
        <w:t xml:space="preserve"> In Indonesia, assessments were</w:t>
      </w:r>
      <w:r w:rsidR="00224DB1">
        <w:t xml:space="preserve"> seen as</w:t>
      </w:r>
      <w:r>
        <w:t xml:space="preserve"> ‘</w:t>
      </w:r>
      <w:r w:rsidRPr="007048D2">
        <w:rPr>
          <w:i/>
        </w:rPr>
        <w:t>currently a compliance exercise and too simplistic …</w:t>
      </w:r>
      <w:r>
        <w:rPr>
          <w:i/>
        </w:rPr>
        <w:t xml:space="preserve"> [there is]</w:t>
      </w:r>
      <w:r w:rsidRPr="007048D2">
        <w:rPr>
          <w:i/>
        </w:rPr>
        <w:t xml:space="preserve"> a gap between </w:t>
      </w:r>
      <w:r>
        <w:rPr>
          <w:i/>
        </w:rPr>
        <w:t xml:space="preserve">[the Australian aid program’s] </w:t>
      </w:r>
      <w:r w:rsidRPr="007048D2">
        <w:rPr>
          <w:i/>
        </w:rPr>
        <w:t>requirement</w:t>
      </w:r>
      <w:r>
        <w:rPr>
          <w:i/>
        </w:rPr>
        <w:t>s and questions on-the-ground</w:t>
      </w:r>
      <w:r w:rsidR="00D2236B">
        <w:rPr>
          <w:i/>
        </w:rPr>
        <w:t>.’</w:t>
      </w:r>
      <w:r w:rsidR="00224DB1">
        <w:rPr>
          <w:i/>
        </w:rPr>
        <w:t xml:space="preserve"> </w:t>
      </w:r>
      <w:r w:rsidR="00224DB1" w:rsidRPr="00147B33">
        <w:t>This view was contested by</w:t>
      </w:r>
      <w:r w:rsidR="00224DB1">
        <w:t xml:space="preserve"> staff in Canberra who reported that the assessments had been used successfully at the subnational level.</w:t>
      </w:r>
      <w:r w:rsidR="00224DB1">
        <w:rPr>
          <w:i/>
        </w:rPr>
        <w:t xml:space="preserve"> </w:t>
      </w:r>
    </w:p>
    <w:p w14:paraId="42B270B8" w14:textId="09CF90B8" w:rsidR="00AF6A11" w:rsidRDefault="00224DB1" w:rsidP="00DE3CD6">
      <w:r>
        <w:t>M</w:t>
      </w:r>
      <w:r w:rsidR="00AF6A11">
        <w:t xml:space="preserve">any field officers seek and greatly appreciate practical guidance documents. For example, officers in the Philippines </w:t>
      </w:r>
      <w:r>
        <w:t>reported</w:t>
      </w:r>
      <w:r w:rsidR="00AF6A11">
        <w:t xml:space="preserve">: </w:t>
      </w:r>
      <w:r w:rsidR="00AF6A11">
        <w:rPr>
          <w:i/>
        </w:rPr>
        <w:t>‘R</w:t>
      </w:r>
      <w:r w:rsidR="00AF6A11" w:rsidRPr="00912C15">
        <w:rPr>
          <w:i/>
        </w:rPr>
        <w:t>ules and tools … very useful and suitable for this environment compared to before</w:t>
      </w:r>
      <w:r w:rsidR="00AF6A11">
        <w:rPr>
          <w:i/>
        </w:rPr>
        <w:t>—</w:t>
      </w:r>
      <w:r w:rsidR="00AF6A11" w:rsidRPr="00912C15">
        <w:rPr>
          <w:i/>
        </w:rPr>
        <w:t xml:space="preserve">all you </w:t>
      </w:r>
      <w:r w:rsidR="00AF6A11">
        <w:rPr>
          <w:i/>
        </w:rPr>
        <w:t>need is there</w:t>
      </w:r>
      <w:r w:rsidR="00D2236B">
        <w:rPr>
          <w:i/>
        </w:rPr>
        <w:t>.’</w:t>
      </w:r>
      <w:r w:rsidR="00AF6A11">
        <w:rPr>
          <w:i/>
        </w:rPr>
        <w:t xml:space="preserve"> </w:t>
      </w:r>
      <w:r w:rsidR="00AF6A11">
        <w:t>The guidance and tools were said to assist staff to look at how they connected with other parts of the organisation, including thematic groups and governance programs. In this way, they can be seen as a support to coherence across the aid program. Any additional guidance and resources should build on the current system</w:t>
      </w:r>
      <w:r w:rsidR="00147B33">
        <w:t xml:space="preserve"> </w:t>
      </w:r>
      <w:r>
        <w:t>t</w:t>
      </w:r>
      <w:r w:rsidR="00AF6A11">
        <w:t xml:space="preserve">hrough the revision of existing documents </w:t>
      </w:r>
      <w:r>
        <w:t xml:space="preserve">(based on feedback from staff) </w:t>
      </w:r>
      <w:r w:rsidR="00AF6A11">
        <w:t>and the provision of examples that demonstrate the application of policies and tools.</w:t>
      </w:r>
    </w:p>
    <w:p w14:paraId="529B218D" w14:textId="77777777" w:rsidR="00AF6A11" w:rsidRPr="001408DF" w:rsidRDefault="00AF6A11" w:rsidP="00B9479A">
      <w:pPr>
        <w:pStyle w:val="Heading4"/>
        <w:spacing w:before="200"/>
      </w:pPr>
      <w:r w:rsidRPr="001408DF">
        <w:t>Practical and timely advice</w:t>
      </w:r>
    </w:p>
    <w:p w14:paraId="24630ED8" w14:textId="77777777" w:rsidR="00AF6A11" w:rsidRDefault="00AF6A11" w:rsidP="00B9479A">
      <w:pPr>
        <w:ind w:right="-144"/>
      </w:pPr>
      <w:r>
        <w:t>Past reviews have identified problems with communication between Canberra and Post</w:t>
      </w:r>
      <w:r w:rsidRPr="00885642">
        <w:rPr>
          <w:rStyle w:val="EndnoteReference"/>
        </w:rPr>
        <w:t xml:space="preserve"> </w:t>
      </w:r>
      <w:r>
        <w:rPr>
          <w:rStyle w:val="EndnoteReference"/>
        </w:rPr>
        <w:endnoteReference w:id="285"/>
      </w:r>
      <w:r>
        <w:t xml:space="preserve"> including inadequate input into designs from Canberra sectoral advisers.</w:t>
      </w:r>
      <w:r>
        <w:rPr>
          <w:rStyle w:val="EndnoteReference"/>
        </w:rPr>
        <w:endnoteReference w:id="286"/>
      </w:r>
      <w:r>
        <w:t xml:space="preserve"> Yet, in this evaluation, staff gave us several examples of Canberra-based advisers influencing program design. For example, the PNG governance team reported that the Canberra governance thematic group provided support for their new delivery strategy: </w:t>
      </w:r>
      <w:r>
        <w:rPr>
          <w:i/>
        </w:rPr>
        <w:t>‘</w:t>
      </w:r>
      <w:r w:rsidRPr="001D2CF3">
        <w:rPr>
          <w:i/>
        </w:rPr>
        <w:t>Recently the engagement with Canberra has helped to redesign the new governance</w:t>
      </w:r>
      <w:r>
        <w:rPr>
          <w:i/>
        </w:rPr>
        <w:t xml:space="preserve"> program (working as one team).’</w:t>
      </w:r>
      <w:r w:rsidRPr="001D2CF3">
        <w:rPr>
          <w:i/>
        </w:rPr>
        <w:t xml:space="preserve"> </w:t>
      </w:r>
      <w:r>
        <w:t>These and other examples suggest that the quality and accessibility of advice and support from Canberra is improving. Practical and timely advice from Canberra could be expected to enable more effective uptake of strategy, policy and guidance.</w:t>
      </w:r>
    </w:p>
    <w:p w14:paraId="073D282C" w14:textId="77777777" w:rsidR="00AF6A11" w:rsidRPr="00AD4134" w:rsidRDefault="00AF6A11" w:rsidP="00B9479A">
      <w:pPr>
        <w:pStyle w:val="Heading3"/>
        <w:spacing w:before="240"/>
      </w:pPr>
      <w:bookmarkStart w:id="438" w:name="_Toc371618462"/>
      <w:bookmarkStart w:id="439" w:name="_Toc372300905"/>
      <w:bookmarkStart w:id="440" w:name="_Toc382563962"/>
      <w:bookmarkStart w:id="441" w:name="_Toc382595916"/>
      <w:r w:rsidRPr="00AD4134">
        <w:t>C</w:t>
      </w:r>
      <w:r>
        <w:t>oherence at c</w:t>
      </w:r>
      <w:r w:rsidRPr="00AD4134">
        <w:t>ountry level</w:t>
      </w:r>
      <w:bookmarkEnd w:id="438"/>
      <w:bookmarkEnd w:id="439"/>
      <w:bookmarkEnd w:id="440"/>
      <w:bookmarkEnd w:id="441"/>
    </w:p>
    <w:p w14:paraId="503AE032" w14:textId="7AEFAA9F" w:rsidR="00AF6A11" w:rsidRDefault="00AF6A11" w:rsidP="00DE3CD6">
      <w:r>
        <w:t>In all three countries, senior management had tried to improve coherence in governance and service delivery across the country program. The Philippines country strategy was exceptional in that it provided clarity on interrelationships between programs and support to align aid approaches. This was reflected in the interviews with staff who consistently reported the strategy was a critical foundation to the way they worked (see Box </w:t>
      </w:r>
      <w:r w:rsidR="002A7465">
        <w:t>2</w:t>
      </w:r>
      <w:r>
        <w:t xml:space="preserve">.) </w:t>
      </w:r>
    </w:p>
    <w:p w14:paraId="7FB61F32" w14:textId="08D7C4D1" w:rsidR="00267261" w:rsidRDefault="00267261">
      <w:pPr>
        <w:spacing w:before="0" w:after="0" w:line="240" w:lineRule="auto"/>
      </w:pPr>
      <w:r>
        <w:br w:type="page"/>
      </w:r>
    </w:p>
    <w:p w14:paraId="7DB7D18D" w14:textId="5771966A" w:rsidR="00AF6A11" w:rsidRPr="009A2EF4" w:rsidRDefault="00AF6A11" w:rsidP="000C567C">
      <w:pPr>
        <w:pStyle w:val="BoxName"/>
      </w:pPr>
      <w:r w:rsidRPr="009A2EF4">
        <w:t xml:space="preserve">Box </w:t>
      </w:r>
      <w:r w:rsidR="002A7465">
        <w:t>2</w:t>
      </w:r>
      <w:r>
        <w:tab/>
      </w:r>
      <w:r w:rsidRPr="009A2EF4">
        <w:t>Philippines country strategy</w:t>
      </w:r>
    </w:p>
    <w:p w14:paraId="0FEF03F0" w14:textId="77777777" w:rsidR="00AF6A11" w:rsidRPr="009A2EF4" w:rsidRDefault="00AF6A11" w:rsidP="00C615DC">
      <w:pPr>
        <w:pStyle w:val="BoxText"/>
        <w:spacing w:before="360"/>
        <w:ind w:left="357" w:hanging="357"/>
        <w:rPr>
          <w:sz w:val="20"/>
        </w:rPr>
      </w:pPr>
      <w:r>
        <w:t>Staff highlighted the following features of the strategy</w:t>
      </w:r>
      <w:r w:rsidRPr="009A2EF4">
        <w:rPr>
          <w:sz w:val="20"/>
        </w:rPr>
        <w:t>:</w:t>
      </w:r>
    </w:p>
    <w:p w14:paraId="5F76CF73" w14:textId="77777777" w:rsidR="00AF6A11" w:rsidRPr="009A2EF4" w:rsidRDefault="00AF6A11" w:rsidP="000C567C">
      <w:pPr>
        <w:pStyle w:val="BoxBullet"/>
      </w:pPr>
      <w:r>
        <w:t>G</w:t>
      </w:r>
      <w:r w:rsidRPr="009A2EF4">
        <w:t xml:space="preserve">overnance programs </w:t>
      </w:r>
      <w:r>
        <w:t xml:space="preserve">were </w:t>
      </w:r>
      <w:r w:rsidRPr="009A2EF4">
        <w:t>explicitly related to service delivery</w:t>
      </w:r>
      <w:r>
        <w:t>.</w:t>
      </w:r>
    </w:p>
    <w:p w14:paraId="6C0150A2" w14:textId="49839E97" w:rsidR="00AF6A11" w:rsidRPr="009A2EF4" w:rsidRDefault="00AF6A11" w:rsidP="000C567C">
      <w:pPr>
        <w:pStyle w:val="BoxBullet"/>
      </w:pPr>
      <w:r>
        <w:t>G</w:t>
      </w:r>
      <w:r w:rsidRPr="009A2EF4">
        <w:t xml:space="preserve">overnance </w:t>
      </w:r>
      <w:r>
        <w:t xml:space="preserve">was </w:t>
      </w:r>
      <w:r w:rsidRPr="009A2EF4">
        <w:t xml:space="preserve">both a program area and a clear </w:t>
      </w:r>
      <w:r w:rsidR="00560B6D">
        <w:t>cross-cutting</w:t>
      </w:r>
      <w:r w:rsidRPr="009A2EF4">
        <w:t xml:space="preserve"> objective</w:t>
      </w:r>
      <w:r>
        <w:t xml:space="preserve"> to underpin sector programs.</w:t>
      </w:r>
    </w:p>
    <w:p w14:paraId="097F393C" w14:textId="77777777" w:rsidR="00AF6A11" w:rsidRPr="009A2EF4" w:rsidRDefault="00AF6A11" w:rsidP="000C567C">
      <w:pPr>
        <w:pStyle w:val="BoxBullet"/>
      </w:pPr>
      <w:r>
        <w:t>S</w:t>
      </w:r>
      <w:r w:rsidRPr="009A2EF4">
        <w:t xml:space="preserve">everal governance programs </w:t>
      </w:r>
      <w:r>
        <w:t xml:space="preserve">were </w:t>
      </w:r>
      <w:r w:rsidRPr="009A2EF4">
        <w:t>explicitly linked to other sector programs</w:t>
      </w:r>
      <w:r>
        <w:t>.</w:t>
      </w:r>
    </w:p>
    <w:p w14:paraId="70C3794D" w14:textId="77777777" w:rsidR="00AF6A11" w:rsidRPr="009A2EF4" w:rsidRDefault="00AF6A11" w:rsidP="000C567C">
      <w:pPr>
        <w:pStyle w:val="BoxBullet"/>
      </w:pPr>
      <w:r>
        <w:t>The strategy was f</w:t>
      </w:r>
      <w:r w:rsidRPr="009A2EF4">
        <w:t xml:space="preserve">lexible and responsive to changes in national government </w:t>
      </w:r>
      <w:r>
        <w:t>with modular approach to programming.</w:t>
      </w:r>
    </w:p>
    <w:p w14:paraId="16117C41" w14:textId="77777777" w:rsidR="00AF6A11" w:rsidRPr="009A2EF4" w:rsidRDefault="00AF6A11" w:rsidP="00B9479A">
      <w:pPr>
        <w:pStyle w:val="BoxBullet"/>
        <w:spacing w:after="0"/>
      </w:pPr>
      <w:r>
        <w:t>The strategy was a</w:t>
      </w:r>
      <w:r w:rsidRPr="009A2EF4">
        <w:t>b</w:t>
      </w:r>
      <w:r>
        <w:t>le</w:t>
      </w:r>
      <w:r w:rsidRPr="009A2EF4">
        <w:t xml:space="preserve"> to support decentralisation reforms linked to election outcomes and </w:t>
      </w:r>
      <w:r>
        <w:t>subsequent</w:t>
      </w:r>
      <w:r w:rsidRPr="009A2EF4">
        <w:t xml:space="preserve"> change</w:t>
      </w:r>
      <w:r>
        <w:t>s</w:t>
      </w:r>
      <w:r w:rsidRPr="009A2EF4">
        <w:t xml:space="preserve"> in focus</w:t>
      </w:r>
      <w:r>
        <w:t>.</w:t>
      </w:r>
    </w:p>
    <w:p w14:paraId="37D89810" w14:textId="77777777" w:rsidR="00AF6A11" w:rsidRDefault="00AF6A11" w:rsidP="00B9479A">
      <w:pPr>
        <w:spacing w:before="0" w:after="0"/>
      </w:pPr>
    </w:p>
    <w:p w14:paraId="0B4E7E79" w14:textId="25AD0206" w:rsidR="00C615DC" w:rsidRDefault="00C615DC" w:rsidP="00B9479A">
      <w:pPr>
        <w:spacing w:before="0" w:after="0"/>
      </w:pPr>
      <w:r>
        <w:t>PNG provided a useful model for placing officers at the subnational level. A recent strategy review identified that ‘</w:t>
      </w:r>
      <w:r>
        <w:rPr>
          <w:i/>
        </w:rPr>
        <w:t>the [provincial representative]</w:t>
      </w:r>
      <w:r w:rsidRPr="005D5730">
        <w:rPr>
          <w:i/>
        </w:rPr>
        <w:t xml:space="preserve"> function is the most practical manifestation of the shift from coherence between </w:t>
      </w:r>
      <w:r>
        <w:rPr>
          <w:i/>
        </w:rPr>
        <w:t xml:space="preserve">[it being] </w:t>
      </w:r>
      <w:r w:rsidRPr="005D5730">
        <w:rPr>
          <w:i/>
        </w:rPr>
        <w:t xml:space="preserve">regarded as an </w:t>
      </w:r>
      <w:r>
        <w:rPr>
          <w:i/>
        </w:rPr>
        <w:t>[subnational strategy]</w:t>
      </w:r>
      <w:r w:rsidRPr="005D5730">
        <w:rPr>
          <w:i/>
        </w:rPr>
        <w:t xml:space="preserve"> responsibility to it being regarded as a whole of program responsibility, under the Chief of Operations</w:t>
      </w:r>
      <w:r>
        <w:t>’</w:t>
      </w:r>
      <w:r w:rsidRPr="005D5730">
        <w:rPr>
          <w:rStyle w:val="EndnoteReference"/>
        </w:rPr>
        <w:t xml:space="preserve"> </w:t>
      </w:r>
      <w:r>
        <w:rPr>
          <w:rStyle w:val="EndnoteReference"/>
        </w:rPr>
        <w:endnoteReference w:id="287"/>
      </w:r>
      <w:r>
        <w:t xml:space="preserve"> (see Box </w:t>
      </w:r>
      <w:r w:rsidR="002A7465">
        <w:t>3</w:t>
      </w:r>
      <w:r>
        <w:t>). Another review also noted the importance of this role, as well as the need for the aid program to decentralise its own support functions.</w:t>
      </w:r>
      <w:r>
        <w:rPr>
          <w:rStyle w:val="EndnoteReference"/>
        </w:rPr>
        <w:endnoteReference w:id="288"/>
      </w:r>
    </w:p>
    <w:p w14:paraId="5D56A792" w14:textId="77777777" w:rsidR="00C615DC" w:rsidRDefault="00C615DC">
      <w:pPr>
        <w:spacing w:before="0" w:after="0" w:line="240" w:lineRule="auto"/>
        <w:rPr>
          <w:rFonts w:ascii="Arial" w:hAnsi="Arial"/>
          <w:b/>
          <w:bCs/>
          <w:color w:val="FFFFFF" w:themeColor="background1"/>
          <w:sz w:val="24"/>
        </w:rPr>
      </w:pPr>
      <w:r>
        <w:br w:type="page"/>
      </w:r>
    </w:p>
    <w:p w14:paraId="60676E0B" w14:textId="79336C87" w:rsidR="00AF6A11" w:rsidRPr="004D77D6" w:rsidRDefault="00AF6A11" w:rsidP="00C615DC">
      <w:pPr>
        <w:pStyle w:val="BoxName"/>
      </w:pPr>
      <w:r w:rsidRPr="004D77D6">
        <w:t xml:space="preserve">Box </w:t>
      </w:r>
      <w:r w:rsidR="002A7465">
        <w:t>3</w:t>
      </w:r>
      <w:r w:rsidRPr="004D77D6">
        <w:tab/>
        <w:t>PNG provincial representatives</w:t>
      </w:r>
    </w:p>
    <w:p w14:paraId="7AF58C4F" w14:textId="77777777" w:rsidR="00C615DC" w:rsidRPr="006955FB" w:rsidRDefault="00C615DC" w:rsidP="00C615DC">
      <w:pPr>
        <w:pStyle w:val="BoxText"/>
        <w:spacing w:before="360"/>
      </w:pPr>
      <w:r w:rsidRPr="006955FB">
        <w:t xml:space="preserve">The Australian aid program has placed staff in the provinces of Papua New Guinea for almost </w:t>
      </w:r>
      <w:r>
        <w:t>10 </w:t>
      </w:r>
      <w:r w:rsidRPr="006955FB">
        <w:t>years in an effort to support the decentrali</w:t>
      </w:r>
      <w:r>
        <w:t>s</w:t>
      </w:r>
      <w:r w:rsidRPr="006955FB">
        <w:t>ation process, represent the aid program and inform Aus</w:t>
      </w:r>
      <w:r>
        <w:t>tralian aid</w:t>
      </w:r>
      <w:r w:rsidRPr="006955FB">
        <w:t xml:space="preserve"> programming. </w:t>
      </w:r>
      <w:r>
        <w:t>This</w:t>
      </w:r>
      <w:r w:rsidRPr="006955FB">
        <w:t xml:space="preserve"> representation has changed over time. </w:t>
      </w:r>
    </w:p>
    <w:p w14:paraId="3914BD9E" w14:textId="77777777" w:rsidR="00290C53" w:rsidRDefault="00C615DC" w:rsidP="00183F14">
      <w:pPr>
        <w:pStyle w:val="BoxHeading"/>
      </w:pPr>
      <w:r w:rsidRPr="006955FB">
        <w:t xml:space="preserve">Provincial </w:t>
      </w:r>
      <w:r>
        <w:t>Australian aid</w:t>
      </w:r>
      <w:r w:rsidRPr="006955FB">
        <w:t xml:space="preserve"> staff</w:t>
      </w:r>
      <w:r>
        <w:t xml:space="preserve"> (2005–07)</w:t>
      </w:r>
    </w:p>
    <w:p w14:paraId="6BBB273E" w14:textId="77777777" w:rsidR="004C0AAD" w:rsidRPr="006955FB" w:rsidRDefault="004C0AAD" w:rsidP="00183F14">
      <w:pPr>
        <w:pStyle w:val="BoxText"/>
      </w:pPr>
      <w:r>
        <w:t>Australia</w:t>
      </w:r>
      <w:r w:rsidRPr="006955FB">
        <w:t xml:space="preserve"> first started to base </w:t>
      </w:r>
      <w:r>
        <w:t xml:space="preserve">aid </w:t>
      </w:r>
      <w:r w:rsidRPr="006955FB">
        <w:t>staff in the provinces in 2005 as part of the Sub</w:t>
      </w:r>
      <w:r>
        <w:t>-</w:t>
      </w:r>
      <w:r w:rsidRPr="006955FB">
        <w:t xml:space="preserve">National Initiative. </w:t>
      </w:r>
      <w:r>
        <w:t>S</w:t>
      </w:r>
      <w:r w:rsidRPr="006955FB">
        <w:t xml:space="preserve">ix staff </w:t>
      </w:r>
      <w:r>
        <w:t xml:space="preserve">were placed </w:t>
      </w:r>
      <w:r w:rsidRPr="006955FB">
        <w:t>in three provinces: Central (two staff), East Highlands Province (two staff), East New Britain (two staff). The initial placements were based on prevailing reform and service</w:t>
      </w:r>
      <w:r>
        <w:t>-</w:t>
      </w:r>
      <w:r w:rsidRPr="006955FB">
        <w:t xml:space="preserve">improvement oriented </w:t>
      </w:r>
      <w:r w:rsidR="0033252A">
        <w:t>approaches</w:t>
      </w:r>
      <w:r w:rsidRPr="006955FB">
        <w:t xml:space="preserve"> in those provinces at the time</w:t>
      </w:r>
      <w:r>
        <w:t>.</w:t>
      </w:r>
      <w:r w:rsidR="004761A3">
        <w:rPr>
          <w:rStyle w:val="EndnoteReference"/>
          <w:rFonts w:cstheme="minorHAnsi"/>
        </w:rPr>
        <w:endnoteReference w:id="289"/>
      </w:r>
      <w:r w:rsidR="004761A3" w:rsidRPr="006955FB">
        <w:t xml:space="preserve"> </w:t>
      </w:r>
      <w:r w:rsidRPr="006955FB">
        <w:t xml:space="preserve">In 2007, </w:t>
      </w:r>
      <w:r>
        <w:t>Australia</w:t>
      </w:r>
      <w:r w:rsidRPr="006955FB">
        <w:t xml:space="preserve"> </w:t>
      </w:r>
      <w:r w:rsidR="0033252A">
        <w:t>placed a full-</w:t>
      </w:r>
      <w:r w:rsidRPr="006955FB">
        <w:t>time officer in Bougainville</w:t>
      </w:r>
      <w:r>
        <w:t>, a</w:t>
      </w:r>
      <w:r w:rsidRPr="006955FB">
        <w:t>nd in 2008, placed an education development specialist in Milne Bay Province and an advis</w:t>
      </w:r>
      <w:r w:rsidR="0033252A">
        <w:t>e</w:t>
      </w:r>
      <w:r w:rsidRPr="006955FB">
        <w:t xml:space="preserve">r in Western Province. </w:t>
      </w:r>
    </w:p>
    <w:p w14:paraId="05DD755B" w14:textId="77777777" w:rsidR="004C0AAD" w:rsidRPr="006955FB" w:rsidRDefault="00C615DC" w:rsidP="00183F14">
      <w:pPr>
        <w:pStyle w:val="BoxText"/>
      </w:pPr>
      <w:r>
        <w:t>Provincially-based staff were</w:t>
      </w:r>
      <w:r w:rsidRPr="006955FB">
        <w:t xml:space="preserve"> primarily focused on supporting the implementation of the Provincial Performance Improvement Initiative</w:t>
      </w:r>
      <w:r w:rsidR="0033252A">
        <w:t xml:space="preserve"> (PPII)</w:t>
      </w:r>
      <w:r w:rsidRPr="006955FB">
        <w:t xml:space="preserve">. </w:t>
      </w:r>
      <w:r w:rsidR="004C0AAD" w:rsidRPr="006955FB">
        <w:t>The role</w:t>
      </w:r>
      <w:r w:rsidR="004C0AAD">
        <w:t>s</w:t>
      </w:r>
      <w:r w:rsidR="004C0AAD" w:rsidRPr="006955FB">
        <w:t xml:space="preserve"> of the provincial staff</w:t>
      </w:r>
      <w:r w:rsidR="004761A3">
        <w:rPr>
          <w:rStyle w:val="EndnoteReference"/>
          <w:rFonts w:cstheme="minorHAnsi"/>
        </w:rPr>
        <w:endnoteReference w:id="290"/>
      </w:r>
      <w:r w:rsidR="004761A3" w:rsidRPr="006955FB">
        <w:t xml:space="preserve"> </w:t>
      </w:r>
      <w:r w:rsidR="004C0AAD">
        <w:t>were</w:t>
      </w:r>
      <w:r w:rsidR="004C0AAD" w:rsidRPr="006955FB">
        <w:t xml:space="preserve">: </w:t>
      </w:r>
    </w:p>
    <w:p w14:paraId="1BEBD30B" w14:textId="77777777" w:rsidR="004C0AAD" w:rsidRPr="006955FB" w:rsidRDefault="004C0AAD" w:rsidP="004C0AAD">
      <w:pPr>
        <w:pStyle w:val="BoxBullet"/>
      </w:pPr>
      <w:r>
        <w:t>engaging</w:t>
      </w:r>
      <w:r w:rsidRPr="006955FB">
        <w:t xml:space="preserve"> with the provincial administrator and provincial division managers on the PPII</w:t>
      </w:r>
      <w:r>
        <w:t>; support</w:t>
      </w:r>
      <w:r w:rsidR="0033252A">
        <w:t>ing</w:t>
      </w:r>
      <w:r w:rsidRPr="006955FB">
        <w:t xml:space="preserve"> budgeting, spending, </w:t>
      </w:r>
      <w:r>
        <w:t>human resource</w:t>
      </w:r>
      <w:r w:rsidRPr="006955FB">
        <w:t xml:space="preserve"> and performance management</w:t>
      </w:r>
      <w:r>
        <w:t>,</w:t>
      </w:r>
      <w:r w:rsidRPr="006955FB">
        <w:t xml:space="preserve"> and local implementation of</w:t>
      </w:r>
      <w:r>
        <w:t xml:space="preserve"> the </w:t>
      </w:r>
      <w:r w:rsidRPr="00BD68D3">
        <w:t>National Economic and Fiscal Commission</w:t>
      </w:r>
      <w:r w:rsidRPr="006955FB">
        <w:t xml:space="preserve"> </w:t>
      </w:r>
      <w:r w:rsidRPr="00BD68D3">
        <w:t>Reform of Intergovernmental Financing Arrangements</w:t>
      </w:r>
    </w:p>
    <w:p w14:paraId="410BFC34" w14:textId="77777777" w:rsidR="004C0AAD" w:rsidRPr="006955FB" w:rsidRDefault="004C0AAD" w:rsidP="004C0AAD">
      <w:pPr>
        <w:pStyle w:val="BoxBullet"/>
      </w:pPr>
      <w:r>
        <w:t>c</w:t>
      </w:r>
      <w:r w:rsidRPr="006955FB">
        <w:t>oordinat</w:t>
      </w:r>
      <w:r>
        <w:t>ing</w:t>
      </w:r>
      <w:r w:rsidRPr="006955FB">
        <w:t xml:space="preserve"> the substantial package of </w:t>
      </w:r>
      <w:r>
        <w:t>Australia</w:t>
      </w:r>
      <w:r w:rsidRPr="006955FB">
        <w:t xml:space="preserve"> assistance implemented locally and ensur</w:t>
      </w:r>
      <w:r>
        <w:t>ing</w:t>
      </w:r>
      <w:r w:rsidRPr="006955FB">
        <w:t xml:space="preserve"> stakeholder awareness and understanding</w:t>
      </w:r>
    </w:p>
    <w:p w14:paraId="03D71B01" w14:textId="198D977C" w:rsidR="004C0AAD" w:rsidRPr="006955FB" w:rsidRDefault="004C0AAD" w:rsidP="004C0AAD">
      <w:pPr>
        <w:pStyle w:val="BoxBullet"/>
      </w:pPr>
      <w:r>
        <w:t>i</w:t>
      </w:r>
      <w:r w:rsidRPr="006955FB">
        <w:t>nformal ‘on</w:t>
      </w:r>
      <w:r w:rsidR="005340F7">
        <w:t>-</w:t>
      </w:r>
      <w:r w:rsidRPr="006955FB">
        <w:t>the</w:t>
      </w:r>
      <w:r w:rsidR="005340F7">
        <w:t>-</w:t>
      </w:r>
      <w:r w:rsidRPr="006955FB">
        <w:t xml:space="preserve">ground’ monitoring of assistance and </w:t>
      </w:r>
      <w:r w:rsidR="0033252A">
        <w:t>advising</w:t>
      </w:r>
      <w:r w:rsidRPr="006955FB">
        <w:t xml:space="preserve"> Port Moresby sector</w:t>
      </w:r>
      <w:r>
        <w:t xml:space="preserve"> and</w:t>
      </w:r>
      <w:r w:rsidRPr="006955FB">
        <w:t xml:space="preserve"> governance programs on what </w:t>
      </w:r>
      <w:r>
        <w:t>was</w:t>
      </w:r>
      <w:r w:rsidRPr="006955FB">
        <w:t xml:space="preserve"> needed to improve local acceptance and implementation</w:t>
      </w:r>
    </w:p>
    <w:p w14:paraId="6E33AD1C" w14:textId="77777777" w:rsidR="004C0AAD" w:rsidRPr="00350408" w:rsidRDefault="004C0AAD" w:rsidP="004C0AAD">
      <w:pPr>
        <w:pStyle w:val="BoxBullet"/>
      </w:pPr>
      <w:r>
        <w:t>developing u</w:t>
      </w:r>
      <w:r w:rsidRPr="006955FB">
        <w:t xml:space="preserve">nderstanding </w:t>
      </w:r>
      <w:r>
        <w:t xml:space="preserve">of </w:t>
      </w:r>
      <w:r w:rsidRPr="006955FB">
        <w:t>the political economy, governance arrangements and mechanics of service delivery under the decentrali</w:t>
      </w:r>
      <w:r>
        <w:t>s</w:t>
      </w:r>
      <w:r w:rsidRPr="006955FB">
        <w:t>ed system</w:t>
      </w:r>
      <w:r>
        <w:t>.</w:t>
      </w:r>
    </w:p>
    <w:p w14:paraId="4F84EA68" w14:textId="67F92133" w:rsidR="004C0AAD" w:rsidRDefault="00C615DC" w:rsidP="00183F14">
      <w:pPr>
        <w:pStyle w:val="BoxHeading"/>
      </w:pPr>
      <w:r w:rsidRPr="006955FB">
        <w:t>Co-located officers</w:t>
      </w:r>
      <w:r>
        <w:t xml:space="preserve"> </w:t>
      </w:r>
      <w:r w:rsidRPr="006955FB">
        <w:t>(2007</w:t>
      </w:r>
      <w:r>
        <w:t>–</w:t>
      </w:r>
      <w:r w:rsidRPr="006955FB">
        <w:t>10)</w:t>
      </w:r>
    </w:p>
    <w:p w14:paraId="39216C87" w14:textId="77777777" w:rsidR="004C0AAD" w:rsidRDefault="004C0AAD" w:rsidP="00183F14">
      <w:pPr>
        <w:pStyle w:val="BoxText"/>
      </w:pPr>
      <w:r w:rsidRPr="006955FB">
        <w:t>The role continued under the Sub-National Strategy (</w:t>
      </w:r>
      <w:r>
        <w:t>SNS</w:t>
      </w:r>
      <w:r w:rsidRPr="006955FB">
        <w:t xml:space="preserve">), and these officers were referred to as co-located officers. </w:t>
      </w:r>
    </w:p>
    <w:p w14:paraId="524D3B3A" w14:textId="2AFFE6EF" w:rsidR="004C0AAD" w:rsidRDefault="004C0AAD" w:rsidP="004C0AAD">
      <w:pPr>
        <w:pStyle w:val="BoxText"/>
      </w:pPr>
      <w:r w:rsidRPr="006955FB">
        <w:t>The officers continue</w:t>
      </w:r>
      <w:r>
        <w:t>d</w:t>
      </w:r>
      <w:r w:rsidRPr="006955FB">
        <w:t xml:space="preserve"> their support for PPII (and SNS), coordination of assistance, on-the-ground monitoring of assistance, and providing an insight into the politic</w:t>
      </w:r>
      <w:r w:rsidR="004761A3">
        <w:t>s</w:t>
      </w:r>
      <w:r w:rsidRPr="006955FB">
        <w:t xml:space="preserve"> and mechanics of decentrali</w:t>
      </w:r>
      <w:r>
        <w:t>s</w:t>
      </w:r>
      <w:r w:rsidRPr="006955FB">
        <w:t xml:space="preserve">ation. </w:t>
      </w:r>
      <w:r w:rsidR="004761A3">
        <w:t>T</w:t>
      </w:r>
      <w:r w:rsidRPr="006955FB">
        <w:t>he office</w:t>
      </w:r>
      <w:r>
        <w:t>r</w:t>
      </w:r>
      <w:r w:rsidRPr="006955FB">
        <w:t xml:space="preserve">s </w:t>
      </w:r>
      <w:r w:rsidR="00D229C7">
        <w:t>also had</w:t>
      </w:r>
      <w:r w:rsidRPr="006955FB">
        <w:t xml:space="preserve"> more strategic tasks </w:t>
      </w:r>
      <w:r w:rsidR="004761A3">
        <w:t>to</w:t>
      </w:r>
      <w:r w:rsidRPr="006955FB">
        <w:t xml:space="preserve"> support the reform process:</w:t>
      </w:r>
    </w:p>
    <w:p w14:paraId="77E60525" w14:textId="77777777" w:rsidR="004C0AAD" w:rsidRPr="006955FB" w:rsidRDefault="004C0AAD" w:rsidP="004C0AAD">
      <w:pPr>
        <w:pStyle w:val="BoxBullet"/>
      </w:pPr>
      <w:r>
        <w:t>s</w:t>
      </w:r>
      <w:r w:rsidRPr="006955FB">
        <w:t xml:space="preserve">upporting the Provincial Management Team (PMT) of each </w:t>
      </w:r>
      <w:r>
        <w:t>p</w:t>
      </w:r>
      <w:r w:rsidRPr="006955FB">
        <w:t xml:space="preserve">rovince in </w:t>
      </w:r>
      <w:r>
        <w:t xml:space="preserve">reviewing and </w:t>
      </w:r>
      <w:r w:rsidRPr="006955FB">
        <w:t>strengthen</w:t>
      </w:r>
      <w:r>
        <w:t xml:space="preserve">ing </w:t>
      </w:r>
      <w:r w:rsidRPr="006955FB">
        <w:t>their administrative processes and in developing a reform agenda for more effective service deli</w:t>
      </w:r>
      <w:r>
        <w:t>very</w:t>
      </w:r>
    </w:p>
    <w:p w14:paraId="4E605DEB" w14:textId="77777777" w:rsidR="004C0AAD" w:rsidRPr="006955FB" w:rsidRDefault="004C0AAD" w:rsidP="004C0AAD">
      <w:pPr>
        <w:pStyle w:val="BoxBullet"/>
      </w:pPr>
      <w:r>
        <w:t>a</w:t>
      </w:r>
      <w:r w:rsidRPr="006955FB">
        <w:t xml:space="preserve">cting as a liaison through which PMTs </w:t>
      </w:r>
      <w:r>
        <w:t>could</w:t>
      </w:r>
      <w:r w:rsidRPr="006955FB">
        <w:t xml:space="preserve"> more easily access technical advisory resources that they need to assist them with th</w:t>
      </w:r>
      <w:r>
        <w:t>eir respective reform processes</w:t>
      </w:r>
    </w:p>
    <w:p w14:paraId="61FFD56A" w14:textId="77777777" w:rsidR="004C0AAD" w:rsidRPr="006955FB" w:rsidRDefault="004C0AAD" w:rsidP="004C0AAD">
      <w:pPr>
        <w:pStyle w:val="BoxBullet"/>
      </w:pPr>
      <w:r>
        <w:t>p</w:t>
      </w:r>
      <w:r w:rsidRPr="006955FB">
        <w:t>rovid</w:t>
      </w:r>
      <w:r>
        <w:t>ing</w:t>
      </w:r>
      <w:r w:rsidRPr="006955FB">
        <w:t xml:space="preserve"> </w:t>
      </w:r>
      <w:r>
        <w:t>Australia</w:t>
      </w:r>
      <w:r w:rsidRPr="006955FB">
        <w:t xml:space="preserve"> with an ongoing needs analysis of provincial, district and </w:t>
      </w:r>
      <w:r>
        <w:t>local government requirements</w:t>
      </w:r>
    </w:p>
    <w:p w14:paraId="2EAB2391" w14:textId="77777777" w:rsidR="004C0AAD" w:rsidRPr="006955FB" w:rsidRDefault="004C0AAD" w:rsidP="004C0AAD">
      <w:pPr>
        <w:pStyle w:val="BoxBullet"/>
      </w:pPr>
      <w:r>
        <w:t>a</w:t>
      </w:r>
      <w:r w:rsidRPr="006955FB">
        <w:t>ssisting in maintaining a focus on key cross</w:t>
      </w:r>
      <w:r>
        <w:t>-</w:t>
      </w:r>
      <w:r w:rsidRPr="006955FB">
        <w:t>cutting areas within the subnational level of the Aus</w:t>
      </w:r>
      <w:r>
        <w:t xml:space="preserve">tralian aid </w:t>
      </w:r>
      <w:r w:rsidRPr="006955FB">
        <w:t>progra</w:t>
      </w:r>
      <w:r>
        <w:t>m including gender and HIV/AIDS</w:t>
      </w:r>
    </w:p>
    <w:p w14:paraId="76804644" w14:textId="77777777" w:rsidR="004C0AAD" w:rsidRPr="00350408" w:rsidRDefault="004C0AAD" w:rsidP="004C0AAD">
      <w:pPr>
        <w:pStyle w:val="BoxBullet"/>
      </w:pPr>
      <w:r>
        <w:t>e</w:t>
      </w:r>
      <w:r w:rsidRPr="006955FB">
        <w:t>nsur</w:t>
      </w:r>
      <w:r>
        <w:t>ing</w:t>
      </w:r>
      <w:r w:rsidRPr="006955FB">
        <w:t xml:space="preserve"> Aus</w:t>
      </w:r>
      <w:r>
        <w:t>tralia</w:t>
      </w:r>
      <w:r w:rsidR="0033252A">
        <w:t>n</w:t>
      </w:r>
      <w:r w:rsidRPr="006955FB">
        <w:t xml:space="preserve"> programs fit</w:t>
      </w:r>
      <w:r>
        <w:t>ted</w:t>
      </w:r>
      <w:r w:rsidRPr="006955FB">
        <w:t xml:space="preserve"> within the coordinated development process of the </w:t>
      </w:r>
      <w:r>
        <w:t>p</w:t>
      </w:r>
      <w:r w:rsidRPr="006955FB">
        <w:t>rovince.</w:t>
      </w:r>
    </w:p>
    <w:p w14:paraId="3214A1AE" w14:textId="77777777" w:rsidR="004C0AAD" w:rsidRDefault="004C0AAD" w:rsidP="004C0AAD">
      <w:pPr>
        <w:pStyle w:val="BoxText"/>
      </w:pPr>
      <w:r w:rsidRPr="006955FB">
        <w:t xml:space="preserve">The 2009 review of the </w:t>
      </w:r>
      <w:r>
        <w:t>SNS</w:t>
      </w:r>
      <w:r w:rsidR="004761A3">
        <w:rPr>
          <w:rStyle w:val="EndnoteReference"/>
          <w:rFonts w:cstheme="minorHAnsi"/>
        </w:rPr>
        <w:endnoteReference w:id="291"/>
      </w:r>
      <w:r w:rsidR="004761A3" w:rsidRPr="006955FB">
        <w:t xml:space="preserve"> </w:t>
      </w:r>
      <w:r w:rsidRPr="006955FB">
        <w:t xml:space="preserve">found that </w:t>
      </w:r>
      <w:r>
        <w:t>‘</w:t>
      </w:r>
      <w:r w:rsidRPr="00183F14">
        <w:rPr>
          <w:i/>
        </w:rPr>
        <w:t>co-located officers were contributing to the improvement of administration services by supporting provincial efforts to implement the PPII and provide an AusAID presence at provincial level</w:t>
      </w:r>
      <w:r>
        <w:t>.’</w:t>
      </w:r>
      <w:r w:rsidR="004761A3">
        <w:rPr>
          <w:rStyle w:val="EndnoteReference"/>
          <w:rFonts w:cstheme="minorHAnsi"/>
        </w:rPr>
        <w:endnoteReference w:id="292"/>
      </w:r>
      <w:r w:rsidR="004761A3" w:rsidRPr="006955FB">
        <w:t xml:space="preserve"> </w:t>
      </w:r>
    </w:p>
    <w:p w14:paraId="08F8DB20" w14:textId="77777777" w:rsidR="00675E65" w:rsidRDefault="00675E65">
      <w:pPr>
        <w:spacing w:before="0" w:after="0" w:line="240" w:lineRule="auto"/>
      </w:pPr>
      <w:r>
        <w:br w:type="page"/>
      </w:r>
    </w:p>
    <w:p w14:paraId="689BE6FC" w14:textId="7BCA25F5" w:rsidR="004C0AAD" w:rsidRPr="006955FB" w:rsidRDefault="004C0AAD" w:rsidP="004C0AAD">
      <w:pPr>
        <w:pStyle w:val="BoxText"/>
      </w:pPr>
      <w:r>
        <w:t xml:space="preserve">The PNG </w:t>
      </w:r>
      <w:r w:rsidRPr="004C0AAD">
        <w:t xml:space="preserve">Department </w:t>
      </w:r>
      <w:r>
        <w:t>o</w:t>
      </w:r>
      <w:r w:rsidRPr="004C0AAD">
        <w:t xml:space="preserve">f Provincial </w:t>
      </w:r>
      <w:r>
        <w:t>a</w:t>
      </w:r>
      <w:r w:rsidRPr="004C0AAD">
        <w:t>nd Local</w:t>
      </w:r>
      <w:r>
        <w:t xml:space="preserve"> </w:t>
      </w:r>
      <w:r w:rsidRPr="004C0AAD">
        <w:t xml:space="preserve">Government Affairs </w:t>
      </w:r>
      <w:r w:rsidRPr="006955FB">
        <w:t>valued co-located officers because they support</w:t>
      </w:r>
      <w:r>
        <w:t>ed</w:t>
      </w:r>
      <w:r w:rsidRPr="006955FB">
        <w:t xml:space="preserve"> PPII implementation and provide</w:t>
      </w:r>
      <w:r>
        <w:t>d</w:t>
      </w:r>
      <w:r w:rsidRPr="006955FB">
        <w:t xml:space="preserve"> ‘</w:t>
      </w:r>
      <w:r w:rsidRPr="00183F14">
        <w:rPr>
          <w:i/>
        </w:rPr>
        <w:t>our eyes and ears on the ground</w:t>
      </w:r>
      <w:r w:rsidR="00D2236B">
        <w:rPr>
          <w:i/>
        </w:rPr>
        <w:t>.’</w:t>
      </w:r>
      <w:r w:rsidRPr="006955FB">
        <w:t xml:space="preserve"> However, uncertainty about the role of co-located officers and perceptions of some PMTs that these officers were advis</w:t>
      </w:r>
      <w:r>
        <w:t>e</w:t>
      </w:r>
      <w:r w:rsidRPr="006955FB">
        <w:t>rs caused confusion, and led to some concern that the</w:t>
      </w:r>
      <w:r>
        <w:t xml:space="preserve"> officers</w:t>
      </w:r>
      <w:r w:rsidRPr="006955FB">
        <w:t xml:space="preserve"> lack</w:t>
      </w:r>
      <w:r>
        <w:t>ed</w:t>
      </w:r>
      <w:r w:rsidRPr="006955FB">
        <w:t xml:space="preserve"> the competencies required to be public administration advis</w:t>
      </w:r>
      <w:r>
        <w:t>e</w:t>
      </w:r>
      <w:r w:rsidRPr="006955FB">
        <w:t xml:space="preserve">rs. </w:t>
      </w:r>
      <w:r>
        <w:t>The</w:t>
      </w:r>
      <w:r w:rsidRPr="006955FB">
        <w:t xml:space="preserve"> review recommended that these perceptions be addressed by clear communication of the roles and responsibilities of the co-located officers.</w:t>
      </w:r>
    </w:p>
    <w:p w14:paraId="3FF92DA2" w14:textId="09807A5F" w:rsidR="004761A3" w:rsidRPr="006955FB" w:rsidRDefault="004C0AAD" w:rsidP="004C0AAD">
      <w:pPr>
        <w:pStyle w:val="BoxText"/>
      </w:pPr>
      <w:r w:rsidRPr="006955FB">
        <w:t xml:space="preserve">An internal AusAID minute </w:t>
      </w:r>
      <w:r>
        <w:t xml:space="preserve">describing the </w:t>
      </w:r>
      <w:r w:rsidR="0033252A">
        <w:t xml:space="preserve">officers’ </w:t>
      </w:r>
      <w:r>
        <w:t xml:space="preserve">role at the time </w:t>
      </w:r>
      <w:r w:rsidRPr="006955FB">
        <w:t>states that there was ‘</w:t>
      </w:r>
      <w:r w:rsidRPr="00183F14">
        <w:rPr>
          <w:i/>
        </w:rPr>
        <w:t xml:space="preserve">little understanding of the roles of the </w:t>
      </w:r>
      <w:r w:rsidR="0033252A" w:rsidRPr="00183F14">
        <w:rPr>
          <w:i/>
        </w:rPr>
        <w:t xml:space="preserve">provincial officers </w:t>
      </w:r>
      <w:r w:rsidRPr="00183F14">
        <w:rPr>
          <w:i/>
        </w:rPr>
        <w:t>and limited cross-sectoral engagement</w:t>
      </w:r>
      <w:r w:rsidR="00D2236B">
        <w:rPr>
          <w:i/>
        </w:rPr>
        <w:t>.’</w:t>
      </w:r>
      <w:r w:rsidRPr="006955FB">
        <w:t xml:space="preserve"> As a result, </w:t>
      </w:r>
      <w:r>
        <w:t>‘</w:t>
      </w:r>
      <w:r w:rsidRPr="00183F14">
        <w:rPr>
          <w:i/>
        </w:rPr>
        <w:t xml:space="preserve">AusAID continued to operate in a siloised manner in the </w:t>
      </w:r>
      <w:r w:rsidR="0033252A" w:rsidRPr="00183F14">
        <w:rPr>
          <w:i/>
        </w:rPr>
        <w:t xml:space="preserve">provinces and provincial officers </w:t>
      </w:r>
      <w:r w:rsidRPr="00183F14">
        <w:rPr>
          <w:i/>
        </w:rPr>
        <w:t>were not being used to their fullest potential</w:t>
      </w:r>
      <w:r w:rsidR="00D2236B">
        <w:rPr>
          <w:i/>
        </w:rPr>
        <w:t>.’</w:t>
      </w:r>
      <w:r w:rsidR="004761A3" w:rsidRPr="006955FB">
        <w:rPr>
          <w:rStyle w:val="EndnoteReference"/>
          <w:rFonts w:cstheme="minorHAnsi"/>
        </w:rPr>
        <w:endnoteReference w:id="293"/>
      </w:r>
    </w:p>
    <w:p w14:paraId="555882C2" w14:textId="77777777" w:rsidR="004C0AAD" w:rsidRDefault="00C615DC" w:rsidP="00183F14">
      <w:pPr>
        <w:pStyle w:val="BoxHeading"/>
      </w:pPr>
      <w:r w:rsidRPr="006955FB">
        <w:t>Provincial representatives</w:t>
      </w:r>
      <w:r w:rsidR="00290C53">
        <w:t xml:space="preserve"> </w:t>
      </w:r>
      <w:r>
        <w:t>(</w:t>
      </w:r>
      <w:r w:rsidRPr="006955FB">
        <w:t>2010</w:t>
      </w:r>
      <w:r>
        <w:t>–</w:t>
      </w:r>
      <w:r w:rsidRPr="006955FB">
        <w:t>12)</w:t>
      </w:r>
    </w:p>
    <w:p w14:paraId="3F9D1D53" w14:textId="4A3EEEE2" w:rsidR="0033252A" w:rsidRDefault="0033252A" w:rsidP="00183F14">
      <w:pPr>
        <w:pStyle w:val="BoxText"/>
      </w:pPr>
      <w:r w:rsidRPr="006955FB">
        <w:t xml:space="preserve">After the 2009 review, in 2010 the position was renamed to </w:t>
      </w:r>
      <w:r w:rsidR="004761A3">
        <w:t>‘</w:t>
      </w:r>
      <w:r w:rsidRPr="006955FB">
        <w:t>provincial representatives</w:t>
      </w:r>
      <w:r w:rsidR="00D2236B">
        <w:t>.’</w:t>
      </w:r>
      <w:r w:rsidRPr="006955FB">
        <w:t xml:space="preserve"> These officers continued with the same terms of reference but no longer held responsibility for the day-to-day administration of PPII support. </w:t>
      </w:r>
    </w:p>
    <w:p w14:paraId="097AD29F" w14:textId="77777777" w:rsidR="0033252A" w:rsidRDefault="0033252A" w:rsidP="00183F14">
      <w:pPr>
        <w:pStyle w:val="BoxText"/>
      </w:pPr>
      <w:r>
        <w:t xml:space="preserve">They also </w:t>
      </w:r>
      <w:r w:rsidR="00C615DC" w:rsidRPr="006955FB">
        <w:t xml:space="preserve">aimed to increase the </w:t>
      </w:r>
      <w:r w:rsidR="00C615DC">
        <w:t>level of engagement between the</w:t>
      </w:r>
      <w:r w:rsidR="004761A3">
        <w:t>ir</w:t>
      </w:r>
      <w:r w:rsidR="00C615DC">
        <w:t xml:space="preserve"> role </w:t>
      </w:r>
      <w:r w:rsidR="00C615DC" w:rsidRPr="006955FB">
        <w:t xml:space="preserve">and other </w:t>
      </w:r>
      <w:r w:rsidR="00290C53">
        <w:t>Australian program ro</w:t>
      </w:r>
      <w:r w:rsidR="00C615DC" w:rsidRPr="006955FB">
        <w:t xml:space="preserve">les, particularly the governance teams. </w:t>
      </w:r>
      <w:r w:rsidR="004C0AAD" w:rsidRPr="006955FB">
        <w:t>However, more intense collaboration was required and led to recommendation</w:t>
      </w:r>
      <w:r>
        <w:t>s</w:t>
      </w:r>
      <w:r w:rsidR="004C0AAD" w:rsidRPr="006955FB">
        <w:t xml:space="preserve"> to</w:t>
      </w:r>
      <w:r>
        <w:t>:</w:t>
      </w:r>
      <w:r w:rsidR="004C0AAD" w:rsidRPr="006955FB">
        <w:t xml:space="preserve"> </w:t>
      </w:r>
    </w:p>
    <w:p w14:paraId="47EECC97" w14:textId="77777777" w:rsidR="0033252A" w:rsidRDefault="004C0AAD" w:rsidP="00183F14">
      <w:pPr>
        <w:pStyle w:val="BoxBullet"/>
      </w:pPr>
      <w:r w:rsidRPr="006955FB">
        <w:t xml:space="preserve">increase the number of </w:t>
      </w:r>
      <w:r w:rsidR="0033252A" w:rsidRPr="006955FB">
        <w:t>provincial representatives</w:t>
      </w:r>
      <w:r w:rsidR="0033252A" w:rsidRPr="006955FB" w:rsidDel="0033252A">
        <w:t xml:space="preserve"> </w:t>
      </w:r>
      <w:r w:rsidRPr="006955FB">
        <w:t>(there are now 12</w:t>
      </w:r>
      <w:r w:rsidR="004761A3" w:rsidRPr="006955FB">
        <w:rPr>
          <w:rStyle w:val="EndnoteReference"/>
          <w:rFonts w:cstheme="minorHAnsi"/>
        </w:rPr>
        <w:endnoteReference w:id="294"/>
      </w:r>
      <w:r w:rsidR="004761A3" w:rsidRPr="006955FB">
        <w:t>)</w:t>
      </w:r>
    </w:p>
    <w:p w14:paraId="2F2BAADA" w14:textId="77777777" w:rsidR="0033252A" w:rsidRDefault="004C0AAD" w:rsidP="00183F14">
      <w:pPr>
        <w:pStyle w:val="BoxBullet"/>
      </w:pPr>
      <w:r w:rsidRPr="006955FB">
        <w:t>increase the seniority of these officers and sector speciali</w:t>
      </w:r>
      <w:r w:rsidR="0033252A">
        <w:t>s</w:t>
      </w:r>
      <w:r w:rsidRPr="006955FB">
        <w:t>ation</w:t>
      </w:r>
    </w:p>
    <w:p w14:paraId="3946398C" w14:textId="77777777" w:rsidR="0033252A" w:rsidRDefault="004C0AAD" w:rsidP="00183F14">
      <w:pPr>
        <w:pStyle w:val="BoxBullet"/>
      </w:pPr>
      <w:r w:rsidRPr="006955FB">
        <w:t xml:space="preserve">merge the SNS and </w:t>
      </w:r>
      <w:r w:rsidR="0033252A">
        <w:t>g</w:t>
      </w:r>
      <w:r w:rsidRPr="006955FB">
        <w:t>overnance team</w:t>
      </w:r>
      <w:r w:rsidR="0033252A">
        <w:t>s</w:t>
      </w:r>
    </w:p>
    <w:p w14:paraId="561A8D38" w14:textId="77777777" w:rsidR="0033252A" w:rsidRDefault="004C0AAD" w:rsidP="00183F14">
      <w:pPr>
        <w:pStyle w:val="BoxBullet"/>
      </w:pPr>
      <w:r w:rsidRPr="006955FB">
        <w:t xml:space="preserve">mandate that </w:t>
      </w:r>
      <w:r w:rsidR="0033252A">
        <w:t>p</w:t>
      </w:r>
      <w:r w:rsidRPr="006955FB">
        <w:t xml:space="preserve">rovincial teams act as the single coordination point for all </w:t>
      </w:r>
      <w:r w:rsidR="0033252A">
        <w:t>a</w:t>
      </w:r>
      <w:r w:rsidRPr="006955FB">
        <w:t>id investments</w:t>
      </w:r>
      <w:r w:rsidR="0033252A">
        <w:t xml:space="preserve"> and</w:t>
      </w:r>
      <w:r w:rsidRPr="006955FB">
        <w:t xml:space="preserve"> </w:t>
      </w:r>
      <w:r w:rsidR="0033252A">
        <w:t>sectors</w:t>
      </w:r>
    </w:p>
    <w:p w14:paraId="53A8839F" w14:textId="77777777" w:rsidR="004C0AAD" w:rsidRPr="006955FB" w:rsidRDefault="0033252A" w:rsidP="00183F14">
      <w:pPr>
        <w:pStyle w:val="BoxBullet"/>
      </w:pPr>
      <w:r>
        <w:t xml:space="preserve">require </w:t>
      </w:r>
      <w:r w:rsidR="004C0AAD" w:rsidRPr="006955FB">
        <w:t xml:space="preserve">sectors to liaise with the </w:t>
      </w:r>
      <w:r>
        <w:t>r</w:t>
      </w:r>
      <w:r w:rsidR="004C0AAD" w:rsidRPr="006955FB">
        <w:t xml:space="preserve">epresentatives about all investments within the </w:t>
      </w:r>
      <w:r>
        <w:t>p</w:t>
      </w:r>
      <w:r w:rsidR="004C0AAD" w:rsidRPr="006955FB">
        <w:t>rovince</w:t>
      </w:r>
      <w:r>
        <w:t>.</w:t>
      </w:r>
      <w:r w:rsidR="004761A3" w:rsidRPr="006955FB">
        <w:rPr>
          <w:rStyle w:val="EndnoteReference"/>
          <w:rFonts w:cstheme="minorHAnsi"/>
        </w:rPr>
        <w:endnoteReference w:id="295"/>
      </w:r>
    </w:p>
    <w:p w14:paraId="02CE4248" w14:textId="77777777" w:rsidR="004C0AAD" w:rsidRDefault="00C615DC" w:rsidP="00183F14">
      <w:pPr>
        <w:pStyle w:val="BoxHeading"/>
      </w:pPr>
      <w:r w:rsidRPr="006955FB">
        <w:t>Provincial teams</w:t>
      </w:r>
      <w:r>
        <w:t xml:space="preserve"> </w:t>
      </w:r>
      <w:r w:rsidRPr="004C0AAD">
        <w:t>(2012–present)</w:t>
      </w:r>
    </w:p>
    <w:p w14:paraId="3DD17DA0" w14:textId="77777777" w:rsidR="00C615DC" w:rsidRPr="006955FB" w:rsidRDefault="0033252A" w:rsidP="00183F14">
      <w:pPr>
        <w:pStyle w:val="BoxText"/>
      </w:pPr>
      <w:r>
        <w:t xml:space="preserve">All these recommendations have </w:t>
      </w:r>
      <w:r w:rsidR="004761A3">
        <w:t>been implemented.</w:t>
      </w:r>
    </w:p>
    <w:p w14:paraId="28CD492E" w14:textId="77777777" w:rsidR="00C615DC" w:rsidRPr="006955FB" w:rsidRDefault="00C615DC" w:rsidP="00C615DC">
      <w:pPr>
        <w:pStyle w:val="BoxHeading"/>
      </w:pPr>
      <w:r w:rsidRPr="006955FB">
        <w:t>Lessons learned</w:t>
      </w:r>
    </w:p>
    <w:p w14:paraId="667D4353" w14:textId="24EEA17A" w:rsidR="00C615DC" w:rsidRPr="006955FB" w:rsidRDefault="00C615DC" w:rsidP="00C615DC">
      <w:pPr>
        <w:pStyle w:val="BoxText"/>
      </w:pPr>
      <w:r w:rsidRPr="006955FB">
        <w:t xml:space="preserve">The Australian </w:t>
      </w:r>
      <w:r w:rsidR="0033252A">
        <w:t>a</w:t>
      </w:r>
      <w:r w:rsidRPr="006955FB">
        <w:t>id program has learned much from working in the provinces. Lessons cited in the 2012 document</w:t>
      </w:r>
      <w:r w:rsidR="004761A3">
        <w:rPr>
          <w:rStyle w:val="EndnoteReference"/>
          <w:rFonts w:cstheme="minorHAnsi"/>
        </w:rPr>
        <w:endnoteReference w:id="296"/>
      </w:r>
      <w:r w:rsidR="004761A3" w:rsidRPr="006955FB">
        <w:t xml:space="preserve"> </w:t>
      </w:r>
      <w:r w:rsidRPr="006955FB">
        <w:t xml:space="preserve">on refocusing the </w:t>
      </w:r>
      <w:r w:rsidR="0033252A" w:rsidRPr="006955FB">
        <w:t xml:space="preserve">provincial </w:t>
      </w:r>
      <w:r w:rsidR="00D312DD" w:rsidRPr="006955FB">
        <w:t>representative’s</w:t>
      </w:r>
      <w:r w:rsidR="0033252A" w:rsidRPr="006955FB" w:rsidDel="0033252A">
        <w:t xml:space="preserve"> </w:t>
      </w:r>
      <w:r w:rsidRPr="006955FB">
        <w:t>role are worth stating here:</w:t>
      </w:r>
    </w:p>
    <w:p w14:paraId="6E8CAA48" w14:textId="77777777" w:rsidR="00C615DC" w:rsidRPr="006955FB" w:rsidRDefault="0033252A" w:rsidP="00C615DC">
      <w:pPr>
        <w:pStyle w:val="BoxBullet"/>
      </w:pPr>
      <w:r>
        <w:t>The program</w:t>
      </w:r>
      <w:r w:rsidR="00C615DC" w:rsidRPr="006955FB">
        <w:t xml:space="preserve"> is still learning about </w:t>
      </w:r>
      <w:r w:rsidRPr="006955FB">
        <w:t>decentrali</w:t>
      </w:r>
      <w:r>
        <w:t>s</w:t>
      </w:r>
      <w:r w:rsidRPr="006955FB">
        <w:t xml:space="preserve">ed </w:t>
      </w:r>
      <w:r w:rsidR="00C615DC" w:rsidRPr="006955FB">
        <w:t>service delivery</w:t>
      </w:r>
      <w:r>
        <w:t>, and so is the PNG Government</w:t>
      </w:r>
      <w:r w:rsidR="00C615DC" w:rsidRPr="006955FB">
        <w:t>.</w:t>
      </w:r>
    </w:p>
    <w:p w14:paraId="256D71E9" w14:textId="77777777" w:rsidR="00C615DC" w:rsidRPr="006955FB" w:rsidRDefault="00C615DC" w:rsidP="00C615DC">
      <w:pPr>
        <w:pStyle w:val="BoxBullet"/>
      </w:pPr>
      <w:r w:rsidRPr="006955FB">
        <w:t>Program coherence does not come easily. It require</w:t>
      </w:r>
      <w:r w:rsidR="0033252A">
        <w:t>s</w:t>
      </w:r>
      <w:r w:rsidRPr="006955FB">
        <w:t xml:space="preserve"> a supportive structure, led comprehensively by the </w:t>
      </w:r>
      <w:r w:rsidR="0033252A" w:rsidRPr="006955FB">
        <w:t>senior executive</w:t>
      </w:r>
      <w:r w:rsidR="004761A3">
        <w:t>,</w:t>
      </w:r>
      <w:r w:rsidR="0033252A" w:rsidRPr="006955FB">
        <w:t xml:space="preserve"> </w:t>
      </w:r>
      <w:r w:rsidRPr="006955FB">
        <w:t xml:space="preserve">and an active and regular effort on the part of all officers. </w:t>
      </w:r>
    </w:p>
    <w:p w14:paraId="72B7C4E5" w14:textId="77777777" w:rsidR="00C615DC" w:rsidRPr="006955FB" w:rsidRDefault="00C615DC" w:rsidP="00C615DC">
      <w:pPr>
        <w:pStyle w:val="BoxBullet"/>
      </w:pPr>
      <w:r w:rsidRPr="006955FB">
        <w:t xml:space="preserve">We have to avoid replicating our sector silos in the </w:t>
      </w:r>
      <w:r w:rsidR="0033252A" w:rsidRPr="006955FB">
        <w:t>provinces</w:t>
      </w:r>
      <w:r w:rsidRPr="006955FB">
        <w:t>. Provinc</w:t>
      </w:r>
      <w:r>
        <w:t xml:space="preserve">ial </w:t>
      </w:r>
      <w:r w:rsidR="0033252A">
        <w:t>represen</w:t>
      </w:r>
      <w:r w:rsidR="0033252A" w:rsidRPr="006955FB">
        <w:t xml:space="preserve">tatives </w:t>
      </w:r>
      <w:r w:rsidRPr="006955FB">
        <w:t xml:space="preserve">need to be part of a </w:t>
      </w:r>
      <w:r w:rsidR="0033252A" w:rsidRPr="006955FB">
        <w:t xml:space="preserve">provincial </w:t>
      </w:r>
      <w:r w:rsidRPr="006955FB">
        <w:t>team</w:t>
      </w:r>
      <w:r w:rsidR="0033252A">
        <w:t>,</w:t>
      </w:r>
      <w:r w:rsidRPr="006955FB">
        <w:t xml:space="preserve"> not separated into sectors. </w:t>
      </w:r>
    </w:p>
    <w:p w14:paraId="0F096973" w14:textId="77777777" w:rsidR="00C615DC" w:rsidRPr="006955FB" w:rsidRDefault="00C615DC" w:rsidP="00C615DC">
      <w:pPr>
        <w:pStyle w:val="BoxBullet"/>
      </w:pPr>
      <w:r w:rsidRPr="006955FB">
        <w:t xml:space="preserve">We need to commit to being in the </w:t>
      </w:r>
      <w:r w:rsidR="0033252A">
        <w:t>p</w:t>
      </w:r>
      <w:r w:rsidR="0033252A" w:rsidRPr="006955FB">
        <w:t xml:space="preserve">rovinces </w:t>
      </w:r>
      <w:r w:rsidRPr="006955FB">
        <w:t xml:space="preserve">for the long term. </w:t>
      </w:r>
    </w:p>
    <w:p w14:paraId="771F15C0" w14:textId="77777777" w:rsidR="00C615DC" w:rsidRPr="006955FB" w:rsidRDefault="00C615DC" w:rsidP="00C615DC">
      <w:pPr>
        <w:pStyle w:val="BoxBullet"/>
      </w:pPr>
      <w:r w:rsidRPr="006955FB">
        <w:t xml:space="preserve">Being on the frontline of service delivery is expensive. However, if we want to extend our reach to the poorest regions, we cannot continue to focus on Waigani. </w:t>
      </w:r>
    </w:p>
    <w:p w14:paraId="7E9250B2" w14:textId="77777777" w:rsidR="00C615DC" w:rsidRPr="006955FB" w:rsidRDefault="00C615DC" w:rsidP="00C615DC">
      <w:pPr>
        <w:pStyle w:val="BoxBullet"/>
      </w:pPr>
      <w:r w:rsidRPr="006955FB">
        <w:t xml:space="preserve">The </w:t>
      </w:r>
      <w:r w:rsidR="0033252A" w:rsidRPr="006955FB">
        <w:t xml:space="preserve">provincial officers </w:t>
      </w:r>
      <w:r w:rsidRPr="006955FB">
        <w:t>have a highly responsible role</w:t>
      </w:r>
      <w:r w:rsidR="0033252A">
        <w:t xml:space="preserve">. </w:t>
      </w:r>
      <w:r w:rsidRPr="006955FB">
        <w:t xml:space="preserve">Who we choose for these roles is crucial to their success. </w:t>
      </w:r>
    </w:p>
    <w:p w14:paraId="4E2EB6DF" w14:textId="77777777" w:rsidR="00C615DC" w:rsidRPr="006955FB" w:rsidRDefault="00C615DC" w:rsidP="00183F14">
      <w:pPr>
        <w:pStyle w:val="BoxBullet"/>
        <w:rPr>
          <w:rFonts w:cstheme="minorHAnsi"/>
        </w:rPr>
      </w:pPr>
      <w:r w:rsidRPr="006955FB">
        <w:t xml:space="preserve">Each </w:t>
      </w:r>
      <w:r w:rsidR="0033252A">
        <w:t>p</w:t>
      </w:r>
      <w:r w:rsidR="0033252A" w:rsidRPr="006955FB">
        <w:t xml:space="preserve">rovince </w:t>
      </w:r>
      <w:r w:rsidRPr="006955FB">
        <w:t>is unique and assistance to each will be dependent on their needs.</w:t>
      </w:r>
    </w:p>
    <w:p w14:paraId="3607CE36" w14:textId="77777777" w:rsidR="00675E65" w:rsidRDefault="00675E65">
      <w:pPr>
        <w:spacing w:before="0" w:after="0" w:line="240" w:lineRule="auto"/>
        <w:rPr>
          <w:rStyle w:val="BodyTextChar"/>
          <w:rFonts w:ascii="Arial" w:hAnsi="Arial"/>
          <w:b/>
          <w:bCs/>
          <w:color w:val="auto"/>
          <w:sz w:val="22"/>
          <w:szCs w:val="28"/>
        </w:rPr>
      </w:pPr>
      <w:r>
        <w:rPr>
          <w:rStyle w:val="BodyTextChar"/>
          <w:rFonts w:ascii="Arial" w:hAnsi="Arial"/>
          <w:color w:val="auto"/>
          <w:sz w:val="22"/>
          <w:szCs w:val="28"/>
        </w:rPr>
        <w:br w:type="page"/>
      </w:r>
    </w:p>
    <w:p w14:paraId="039A85CD" w14:textId="77777777" w:rsidR="00AF6A11" w:rsidRPr="00DE3CD6" w:rsidRDefault="00AF6A11" w:rsidP="00DE3CD6">
      <w:pPr>
        <w:pStyle w:val="Heading4"/>
        <w:rPr>
          <w:rStyle w:val="BodyTextChar"/>
          <w:rFonts w:ascii="Arial" w:hAnsi="Arial"/>
          <w:color w:val="auto"/>
          <w:sz w:val="22"/>
          <w:szCs w:val="28"/>
        </w:rPr>
      </w:pPr>
      <w:r w:rsidRPr="00DE3CD6">
        <w:rPr>
          <w:rStyle w:val="BodyTextChar"/>
          <w:rFonts w:ascii="Arial" w:hAnsi="Arial"/>
          <w:color w:val="auto"/>
          <w:sz w:val="22"/>
          <w:szCs w:val="28"/>
        </w:rPr>
        <w:t>Interaction between program staff within country programs</w:t>
      </w:r>
    </w:p>
    <w:p w14:paraId="5A0BB5C1" w14:textId="77777777" w:rsidR="00AF6A11" w:rsidRDefault="00AF6A11" w:rsidP="00DE3CD6">
      <w:r>
        <w:t>The evaluation found a few examples of programs working together across sectors and within subnational geographic locations. However, barriers prevent</w:t>
      </w:r>
      <w:r w:rsidR="00736D19">
        <w:t>ing</w:t>
      </w:r>
      <w:r>
        <w:t xml:space="preserve"> stronger interaction</w:t>
      </w:r>
      <w:r w:rsidR="00736D19" w:rsidRPr="00736D19">
        <w:t xml:space="preserve"> </w:t>
      </w:r>
      <w:r w:rsidR="00736D19">
        <w:t>were also described</w:t>
      </w:r>
      <w:r>
        <w:t>.</w:t>
      </w:r>
    </w:p>
    <w:p w14:paraId="0E48945E" w14:textId="566A6C8B" w:rsidR="00AF6A11" w:rsidRDefault="00AF6A11" w:rsidP="00DE3CD6">
      <w:r>
        <w:t xml:space="preserve">Coherence in the Philippines was supported by an office whose relatively small size enables staff interaction. </w:t>
      </w:r>
      <w:r w:rsidR="00736D19">
        <w:t>The</w:t>
      </w:r>
      <w:r>
        <w:t xml:space="preserve"> Philippines </w:t>
      </w:r>
      <w:r w:rsidR="00736D19">
        <w:t xml:space="preserve">had </w:t>
      </w:r>
      <w:r>
        <w:t xml:space="preserve">introduced coordination meetings for staff working with the same partners in Mindanao to ensure coordination. A number of programs (peace and education) had been brought together into one team with regular meetings and unified monitoring and evaluation. The education program reported that they were working with </w:t>
      </w:r>
      <w:r w:rsidR="00736D19">
        <w:t>the</w:t>
      </w:r>
      <w:r>
        <w:t xml:space="preserve"> governance financial management program on management information systems, design and training for the education</w:t>
      </w:r>
      <w:r w:rsidRPr="009B0609">
        <w:t xml:space="preserve"> </w:t>
      </w:r>
      <w:r>
        <w:t>department. Staff in the Philippines also spoke about challenges</w:t>
      </w:r>
      <w:r w:rsidR="00147B33">
        <w:t xml:space="preserve"> </w:t>
      </w:r>
      <w:r w:rsidR="00736D19">
        <w:t xml:space="preserve">for </w:t>
      </w:r>
      <w:r>
        <w:t>collaborat</w:t>
      </w:r>
      <w:r w:rsidR="00736D19">
        <w:t>ing</w:t>
      </w:r>
      <w:r>
        <w:t xml:space="preserve"> on such activities</w:t>
      </w:r>
      <w:r w:rsidR="00FB201E">
        <w:t>,</w:t>
      </w:r>
      <w:r>
        <w:t xml:space="preserve"> </w:t>
      </w:r>
      <w:r w:rsidR="00736D19">
        <w:t>such as the existence of</w:t>
      </w:r>
      <w:r>
        <w:t xml:space="preserve"> silos and </w:t>
      </w:r>
      <w:r w:rsidR="00736D19">
        <w:t xml:space="preserve">some </w:t>
      </w:r>
      <w:r>
        <w:t xml:space="preserve">difficulty reporting activities </w:t>
      </w:r>
      <w:r w:rsidR="00736D19">
        <w:t xml:space="preserve">that </w:t>
      </w:r>
      <w:r>
        <w:t xml:space="preserve">were intertwined. Staff also mentioned that collaboration is resource intensive to coordinate and takes time away from other responsibilities. This </w:t>
      </w:r>
      <w:r w:rsidR="00736D19">
        <w:t>may be</w:t>
      </w:r>
      <w:r>
        <w:t xml:space="preserve"> particularly relevant for governance staff, </w:t>
      </w:r>
      <w:r w:rsidR="00736D19">
        <w:t xml:space="preserve">if they are </w:t>
      </w:r>
      <w:r>
        <w:t xml:space="preserve">expected to work with sectoral teams on decentralisation issues </w:t>
      </w:r>
      <w:r w:rsidR="00736D19">
        <w:t>and</w:t>
      </w:r>
      <w:r>
        <w:t xml:space="preserve"> also have their own programs to manage. </w:t>
      </w:r>
    </w:p>
    <w:p w14:paraId="1170992B" w14:textId="01245216" w:rsidR="00AF6A11" w:rsidRPr="00300869" w:rsidRDefault="00AF6A11" w:rsidP="00DE3CD6">
      <w:r>
        <w:t>In Indonesia, staff gave several examples where working across programs was seen to be difficult. The education program was reported to be locked in to the national government agenda, which prevented them from adopting an approach that was more aligned to other programs. A sectoral health program noted that it was ‘</w:t>
      </w:r>
      <w:r w:rsidRPr="007048D2">
        <w:rPr>
          <w:i/>
        </w:rPr>
        <w:t>difficult to work with AIPD</w:t>
      </w:r>
      <w:r>
        <w:rPr>
          <w:i/>
        </w:rPr>
        <w:t xml:space="preserve"> [subnational governance program]</w:t>
      </w:r>
      <w:r w:rsidRPr="007048D2">
        <w:rPr>
          <w:i/>
        </w:rPr>
        <w:t xml:space="preserve"> as they have their own framework</w:t>
      </w:r>
      <w:r>
        <w:rPr>
          <w:i/>
        </w:rPr>
        <w:t>—</w:t>
      </w:r>
      <w:r w:rsidRPr="007048D2">
        <w:rPr>
          <w:i/>
        </w:rPr>
        <w:t>it is hard to work with this</w:t>
      </w:r>
      <w:r w:rsidR="00D2236B">
        <w:t>.’</w:t>
      </w:r>
      <w:r>
        <w:t xml:space="preserve"> Also Program Nasional Pemberdayaan Masyarakat (National Program for Community Empowerment), reported similar problems, saying that </w:t>
      </w:r>
      <w:r>
        <w:rPr>
          <w:i/>
        </w:rPr>
        <w:t>‘c</w:t>
      </w:r>
      <w:r w:rsidRPr="001D2CF3">
        <w:rPr>
          <w:i/>
        </w:rPr>
        <w:t xml:space="preserve">urrently there is a lack of coherence between this part of the </w:t>
      </w:r>
      <w:r>
        <w:rPr>
          <w:i/>
        </w:rPr>
        <w:t>[the Australian aid program]</w:t>
      </w:r>
      <w:r w:rsidRPr="001D2CF3">
        <w:rPr>
          <w:i/>
        </w:rPr>
        <w:t xml:space="preserve"> and the other sectors.</w:t>
      </w:r>
      <w:r>
        <w:rPr>
          <w:i/>
        </w:rPr>
        <w:t xml:space="preserve"> </w:t>
      </w:r>
      <w:r w:rsidRPr="001D2CF3">
        <w:rPr>
          <w:i/>
        </w:rPr>
        <w:t>This beginning to change but much more needs to be done</w:t>
      </w:r>
      <w:r w:rsidR="00D2236B">
        <w:rPr>
          <w:i/>
        </w:rPr>
        <w:t>.’</w:t>
      </w:r>
    </w:p>
    <w:p w14:paraId="27B0B0E2" w14:textId="77777777" w:rsidR="00AF6A11" w:rsidRDefault="00AF6A11" w:rsidP="00DE3CD6">
      <w:pPr>
        <w:pStyle w:val="Heading3"/>
      </w:pPr>
      <w:bookmarkStart w:id="442" w:name="_Toc371618463"/>
      <w:bookmarkStart w:id="443" w:name="_Toc372300906"/>
      <w:bookmarkStart w:id="444" w:name="_Toc382563963"/>
      <w:bookmarkStart w:id="445" w:name="_Toc382595917"/>
      <w:r>
        <w:t>Coordination and alignment at subnational level</w:t>
      </w:r>
      <w:bookmarkEnd w:id="442"/>
      <w:bookmarkEnd w:id="443"/>
      <w:bookmarkEnd w:id="444"/>
      <w:bookmarkEnd w:id="445"/>
    </w:p>
    <w:p w14:paraId="407E92A9" w14:textId="77777777" w:rsidR="00AF6A11" w:rsidRDefault="00AF6A11" w:rsidP="00DE3CD6">
      <w:r>
        <w:t xml:space="preserve">The challenges described above in securing good coordination between staff and programs were revealed quite starkly at the subnational level. Both government partners and implementing partners commented on the limited coordination across different aspects of the Australian aid program. Subnational governments also reported a lack of coordination with their own plans and priorities. The latter problem raises an important point in that organisational coherence within Australian assistance may be at odds with good coordination and alignment with partner government priorities. Achieving such alignment and coordination is already challenging across the multiple countries in which Australia works. These difficulties are </w:t>
      </w:r>
      <w:r w:rsidR="00736D19">
        <w:t>intensified</w:t>
      </w:r>
      <w:r>
        <w:t xml:space="preserve"> if we take into account the numerous subnational priorities and processes involved. The reviews of sector initiatives profiled in Chapters 4, 5 and 6 expand upon this question of alignment and relevance at the subnational level.</w:t>
      </w:r>
    </w:p>
    <w:p w14:paraId="52CD3EF3" w14:textId="77777777" w:rsidR="00AF6A11" w:rsidRPr="001408DF" w:rsidRDefault="00AF6A11" w:rsidP="00DE3CD6">
      <w:pPr>
        <w:pStyle w:val="Heading4"/>
      </w:pPr>
      <w:r w:rsidRPr="001408DF">
        <w:t>Coordination</w:t>
      </w:r>
      <w:r>
        <w:t xml:space="preserve"> within aid program</w:t>
      </w:r>
    </w:p>
    <w:p w14:paraId="26F4DD26" w14:textId="3255A399" w:rsidR="00736D19" w:rsidRDefault="00AF6A11" w:rsidP="00DE3CD6">
      <w:r>
        <w:t>Implementing partners represent the main ‘presence’ of Australian assistance at the subnational level, and their perspectives</w:t>
      </w:r>
      <w:r w:rsidRPr="00503000">
        <w:t xml:space="preserve"> </w:t>
      </w:r>
      <w:r>
        <w:t xml:space="preserve">are important. </w:t>
      </w:r>
      <w:r w:rsidR="00736D19">
        <w:t>T</w:t>
      </w:r>
      <w:r>
        <w:t>here was evidence that implementing partners saw a problem of coherence: ‘</w:t>
      </w:r>
      <w:r>
        <w:rPr>
          <w:i/>
        </w:rPr>
        <w:t>[The Australian aid program]</w:t>
      </w:r>
      <w:r w:rsidRPr="007048D2">
        <w:rPr>
          <w:i/>
        </w:rPr>
        <w:t xml:space="preserve"> needs to have </w:t>
      </w:r>
      <w:r>
        <w:rPr>
          <w:i/>
        </w:rPr>
        <w:t>“</w:t>
      </w:r>
      <w:r w:rsidRPr="007048D2">
        <w:rPr>
          <w:i/>
        </w:rPr>
        <w:t>one voice</w:t>
      </w:r>
      <w:r>
        <w:rPr>
          <w:i/>
        </w:rPr>
        <w:t>”</w:t>
      </w:r>
      <w:r w:rsidRPr="007048D2">
        <w:rPr>
          <w:i/>
        </w:rPr>
        <w:t xml:space="preserve"> and have cohesion and synergy at the local level</w:t>
      </w:r>
      <w:r>
        <w:t xml:space="preserve">’ and </w:t>
      </w:r>
      <w:r>
        <w:rPr>
          <w:i/>
        </w:rPr>
        <w:t>‘t</w:t>
      </w:r>
      <w:r w:rsidRPr="00276945">
        <w:rPr>
          <w:i/>
        </w:rPr>
        <w:t xml:space="preserve">here are many programs implemented in </w:t>
      </w:r>
      <w:r>
        <w:rPr>
          <w:i/>
        </w:rPr>
        <w:t xml:space="preserve">[this] </w:t>
      </w:r>
      <w:r w:rsidRPr="00276945">
        <w:rPr>
          <w:i/>
        </w:rPr>
        <w:t>district</w:t>
      </w:r>
      <w:r>
        <w:rPr>
          <w:i/>
        </w:rPr>
        <w:t>—</w:t>
      </w:r>
      <w:r w:rsidRPr="00276945">
        <w:rPr>
          <w:i/>
        </w:rPr>
        <w:t>yet there is little coordination</w:t>
      </w:r>
      <w:r w:rsidR="00D2236B">
        <w:rPr>
          <w:i/>
        </w:rPr>
        <w:t>.’</w:t>
      </w:r>
      <w:r>
        <w:rPr>
          <w:i/>
        </w:rPr>
        <w:t xml:space="preserve"> </w:t>
      </w:r>
      <w:r>
        <w:t xml:space="preserve">Interaction between programs is ad hoc. For example, one partner reported that </w:t>
      </w:r>
      <w:r>
        <w:rPr>
          <w:i/>
        </w:rPr>
        <w:t>‘</w:t>
      </w:r>
      <w:r w:rsidRPr="00F21E47">
        <w:rPr>
          <w:i/>
        </w:rPr>
        <w:t>we get along informally but we do not coordinate in a formal way</w:t>
      </w:r>
      <w:r w:rsidR="00D2236B">
        <w:rPr>
          <w:i/>
        </w:rPr>
        <w:t>.’</w:t>
      </w:r>
    </w:p>
    <w:p w14:paraId="1AD4D1B9" w14:textId="2D71B15F" w:rsidR="00AF6A11" w:rsidRDefault="00736D19" w:rsidP="00DE3CD6">
      <w:r>
        <w:t>T</w:t>
      </w:r>
      <w:r w:rsidR="00AF6A11">
        <w:t xml:space="preserve">here were examples of strategic coordination, as reported by a partner civil society organisation: </w:t>
      </w:r>
      <w:r w:rsidR="00AF6A11">
        <w:rPr>
          <w:i/>
        </w:rPr>
        <w:t xml:space="preserve">‘In ACCESS, AIPMNH and </w:t>
      </w:r>
      <w:r w:rsidR="00AF6A11" w:rsidRPr="006D2FB4">
        <w:rPr>
          <w:i/>
        </w:rPr>
        <w:t>AIPD there’s policy</w:t>
      </w:r>
      <w:r w:rsidR="00AF6A11">
        <w:rPr>
          <w:i/>
        </w:rPr>
        <w:t>-</w:t>
      </w:r>
      <w:r w:rsidR="00AF6A11" w:rsidRPr="006D2FB4">
        <w:rPr>
          <w:i/>
        </w:rPr>
        <w:t>level interaction. We talk and promote issues together</w:t>
      </w:r>
      <w:r w:rsidR="00AF6A11">
        <w:rPr>
          <w:i/>
        </w:rPr>
        <w:t>,</w:t>
      </w:r>
      <w:r w:rsidR="00AF6A11" w:rsidRPr="006D2FB4">
        <w:rPr>
          <w:i/>
        </w:rPr>
        <w:t xml:space="preserve"> especially when we w</w:t>
      </w:r>
      <w:r w:rsidR="00AF6A11">
        <w:rPr>
          <w:i/>
        </w:rPr>
        <w:t>ant to trigger behaviour change</w:t>
      </w:r>
      <w:r w:rsidR="00D2236B">
        <w:rPr>
          <w:i/>
        </w:rPr>
        <w:t>.’</w:t>
      </w:r>
      <w:r w:rsidR="00AF6A11" w:rsidRPr="00DF2921">
        <w:rPr>
          <w:i/>
        </w:rPr>
        <w:t xml:space="preserve"> </w:t>
      </w:r>
      <w:r w:rsidR="00AF6A11">
        <w:t>It was clear that unless designs and contracts contain built-in requirements to coordinate, it is unlikely to happen: ‘</w:t>
      </w:r>
      <w:r w:rsidR="00AF6A11">
        <w:rPr>
          <w:i/>
        </w:rPr>
        <w:t>W</w:t>
      </w:r>
      <w:r w:rsidR="00AF6A11" w:rsidRPr="00914236">
        <w:rPr>
          <w:i/>
        </w:rPr>
        <w:t xml:space="preserve">hat are </w:t>
      </w:r>
      <w:r w:rsidR="00ED1315">
        <w:rPr>
          <w:i/>
        </w:rPr>
        <w:t xml:space="preserve">the </w:t>
      </w:r>
      <w:r w:rsidR="00AF6A11" w:rsidRPr="00914236">
        <w:rPr>
          <w:i/>
        </w:rPr>
        <w:t>motivat</w:t>
      </w:r>
      <w:r w:rsidR="00AF6A11">
        <w:rPr>
          <w:i/>
        </w:rPr>
        <w:t>ions of managing contractors to talk to other managing contractor</w:t>
      </w:r>
      <w:r w:rsidR="00AF6A11" w:rsidRPr="00914236">
        <w:rPr>
          <w:i/>
        </w:rPr>
        <w:t xml:space="preserve">s if </w:t>
      </w:r>
      <w:r w:rsidR="00AF6A11">
        <w:rPr>
          <w:i/>
        </w:rPr>
        <w:t xml:space="preserve">[they are </w:t>
      </w:r>
      <w:r w:rsidR="00AF6A11" w:rsidRPr="00914236">
        <w:rPr>
          <w:i/>
        </w:rPr>
        <w:t>not</w:t>
      </w:r>
      <w:r w:rsidR="00AF6A11">
        <w:rPr>
          <w:i/>
        </w:rPr>
        <w:t>]</w:t>
      </w:r>
      <w:r w:rsidR="00AF6A11" w:rsidRPr="00914236">
        <w:rPr>
          <w:i/>
        </w:rPr>
        <w:t xml:space="preserve"> contractually bound to</w:t>
      </w:r>
      <w:r w:rsidR="00AF6A11">
        <w:rPr>
          <w:i/>
        </w:rPr>
        <w:t>? B</w:t>
      </w:r>
      <w:r w:rsidR="00AF6A11" w:rsidRPr="00914236">
        <w:rPr>
          <w:i/>
        </w:rPr>
        <w:t xml:space="preserve">ut </w:t>
      </w:r>
      <w:r w:rsidR="00AF6A11">
        <w:rPr>
          <w:i/>
        </w:rPr>
        <w:t>[the Australian aid program]</w:t>
      </w:r>
      <w:r w:rsidR="00AF6A11" w:rsidRPr="00914236">
        <w:rPr>
          <w:i/>
        </w:rPr>
        <w:t xml:space="preserve"> can initiate</w:t>
      </w:r>
      <w:r w:rsidR="00AF6A11">
        <w:rPr>
          <w:i/>
        </w:rPr>
        <w:t xml:space="preserve"> [this]</w:t>
      </w:r>
      <w:r w:rsidR="00D2236B">
        <w:rPr>
          <w:i/>
        </w:rPr>
        <w:t>.’</w:t>
      </w:r>
      <w:r w:rsidR="00AF6A11">
        <w:t xml:space="preserve"> One participant reported that</w:t>
      </w:r>
      <w:r w:rsidR="00AF6A11">
        <w:rPr>
          <w:i/>
        </w:rPr>
        <w:t xml:space="preserve"> ‘</w:t>
      </w:r>
      <w:r w:rsidR="00AF6A11" w:rsidRPr="002E5B81">
        <w:rPr>
          <w:i/>
        </w:rPr>
        <w:t>we could be more efficient if we were structured cohesively</w:t>
      </w:r>
      <w:r w:rsidR="00AF6A11">
        <w:rPr>
          <w:i/>
        </w:rPr>
        <w:t>’</w:t>
      </w:r>
      <w:r w:rsidR="00AF6A11">
        <w:t xml:space="preserve"> and that combined meetings across different programs might be a useful step towards better coordination.</w:t>
      </w:r>
    </w:p>
    <w:p w14:paraId="717E74A7" w14:textId="77777777" w:rsidR="00AF6A11" w:rsidRDefault="00AF6A11" w:rsidP="00DE3CD6">
      <w:r>
        <w:t>In PNG, an additional resource that is ‘on-the-ground’ at provincial level is the provincial representatives, who can support local-level coordination</w:t>
      </w:r>
      <w:r w:rsidR="00736D19">
        <w:t>.</w:t>
      </w:r>
      <w:r w:rsidR="00147B33">
        <w:t xml:space="preserve"> </w:t>
      </w:r>
      <w:r w:rsidR="00736D19">
        <w:t>T</w:t>
      </w:r>
      <w:r>
        <w:t>heir ability to influence sectoral programs has limits since such programs report to staff based in the capital, and not every province has a provincial representative.</w:t>
      </w:r>
    </w:p>
    <w:p w14:paraId="1B4E31B1" w14:textId="77777777" w:rsidR="00AF6A11" w:rsidRPr="001408DF" w:rsidRDefault="00AF6A11" w:rsidP="00DE3CD6">
      <w:pPr>
        <w:pStyle w:val="Heading4"/>
      </w:pPr>
      <w:r w:rsidRPr="001408DF">
        <w:t xml:space="preserve">Alignment </w:t>
      </w:r>
      <w:r>
        <w:t>with subnational authorities</w:t>
      </w:r>
    </w:p>
    <w:p w14:paraId="21D51311" w14:textId="2DD8B182" w:rsidR="00AF6A11" w:rsidRPr="00D64A7F" w:rsidRDefault="00AF6A11" w:rsidP="00DE3CD6">
      <w:r>
        <w:t xml:space="preserve">Subnational governments in some locations </w:t>
      </w:r>
      <w:r w:rsidR="00736D19">
        <w:t xml:space="preserve">were positive regarding </w:t>
      </w:r>
      <w:r>
        <w:t>Australian assistance and its alignment with their plans and priorities. For example, as compared with other donors, Australia was noted in Indonesia to be ‘</w:t>
      </w:r>
      <w:r>
        <w:rPr>
          <w:i/>
        </w:rPr>
        <w:t>most in line with local government</w:t>
      </w:r>
      <w:r w:rsidRPr="0008075F">
        <w:rPr>
          <w:i/>
        </w:rPr>
        <w:t xml:space="preserve"> programs and coordination is more intensive</w:t>
      </w:r>
      <w:r>
        <w:rPr>
          <w:i/>
        </w:rPr>
        <w:t xml:space="preserve"> …. [and] more consultative</w:t>
      </w:r>
      <w:r w:rsidR="00D2236B">
        <w:rPr>
          <w:i/>
        </w:rPr>
        <w:t>.’</w:t>
      </w:r>
      <w:r>
        <w:rPr>
          <w:i/>
        </w:rPr>
        <w:t xml:space="preserve"> </w:t>
      </w:r>
      <w:r w:rsidRPr="00D64A7F">
        <w:t>This was also expressed in a province in PNG</w:t>
      </w:r>
      <w:r w:rsidRPr="00A77532">
        <w:t>:</w:t>
      </w:r>
      <w:r>
        <w:rPr>
          <w:i/>
        </w:rPr>
        <w:t xml:space="preserve"> </w:t>
      </w:r>
      <w:r>
        <w:t>‘</w:t>
      </w:r>
      <w:r>
        <w:rPr>
          <w:i/>
        </w:rPr>
        <w:t>I</w:t>
      </w:r>
      <w:r w:rsidRPr="00D64A7F">
        <w:rPr>
          <w:i/>
        </w:rPr>
        <w:t xml:space="preserve">t’s easier to engage with </w:t>
      </w:r>
      <w:r>
        <w:rPr>
          <w:i/>
        </w:rPr>
        <w:t xml:space="preserve">[the Australian aid program] </w:t>
      </w:r>
      <w:r w:rsidRPr="00D64A7F">
        <w:rPr>
          <w:i/>
        </w:rPr>
        <w:t>than the others</w:t>
      </w:r>
      <w:r w:rsidR="00D2236B">
        <w:rPr>
          <w:i/>
        </w:rPr>
        <w:t>.’</w:t>
      </w:r>
      <w:r>
        <w:t xml:space="preserve"> A provincial government in PNG also voiced appreciation of the longevity of Australian support: ‘</w:t>
      </w:r>
      <w:r w:rsidRPr="00D64A7F">
        <w:rPr>
          <w:i/>
        </w:rPr>
        <w:t xml:space="preserve">The others come and go but </w:t>
      </w:r>
      <w:r w:rsidR="00736D19">
        <w:rPr>
          <w:i/>
        </w:rPr>
        <w:t>[Australia]</w:t>
      </w:r>
      <w:r w:rsidR="00736D19" w:rsidRPr="00D64A7F">
        <w:rPr>
          <w:i/>
        </w:rPr>
        <w:t xml:space="preserve"> </w:t>
      </w:r>
      <w:r w:rsidRPr="00D64A7F">
        <w:rPr>
          <w:i/>
        </w:rPr>
        <w:t>has stayed. It’s very important as without them how would we do things? Communities benefit</w:t>
      </w:r>
      <w:r w:rsidR="00D2236B">
        <w:rPr>
          <w:i/>
        </w:rPr>
        <w:t>.’</w:t>
      </w:r>
      <w:r>
        <w:rPr>
          <w:b/>
          <w:i/>
        </w:rPr>
        <w:t xml:space="preserve"> </w:t>
      </w:r>
      <w:r>
        <w:t>Participants also reported that Australia had trust in subnational partners and this was highly valued: ‘</w:t>
      </w:r>
      <w:r w:rsidRPr="00D64A7F">
        <w:rPr>
          <w:i/>
        </w:rPr>
        <w:t>The structure that is put in place empowers us and makes us feel respected</w:t>
      </w:r>
      <w:r w:rsidR="00D2236B">
        <w:t>.’</w:t>
      </w:r>
      <w:r>
        <w:t xml:space="preserve"> Australian support for existing service delivery roles was also noted in Indonesia: ‘[</w:t>
      </w:r>
      <w:r w:rsidRPr="00B9479A">
        <w:rPr>
          <w:i/>
        </w:rPr>
        <w:t>The Australian aid program]</w:t>
      </w:r>
      <w:r w:rsidRPr="00D64A7F">
        <w:rPr>
          <w:i/>
        </w:rPr>
        <w:t xml:space="preserve"> has helped us to organise our roles and responsibilities and functions. It has improved our program implementation</w:t>
      </w:r>
      <w:r>
        <w:rPr>
          <w:i/>
        </w:rPr>
        <w:t>.’</w:t>
      </w:r>
      <w:r>
        <w:t xml:space="preserve"> </w:t>
      </w:r>
    </w:p>
    <w:p w14:paraId="06493CC2" w14:textId="2F4A6D0F" w:rsidR="00AF6A11" w:rsidRPr="00B8233B" w:rsidRDefault="00AF6A11" w:rsidP="00DE3CD6">
      <w:r>
        <w:t xml:space="preserve">On the other hand, subnational governments also commented on the lack of coordination and alignment. Participants reported </w:t>
      </w:r>
      <w:r w:rsidR="00F81C9C">
        <w:t xml:space="preserve">on various </w:t>
      </w:r>
      <w:r>
        <w:t>issues</w:t>
      </w:r>
      <w:r w:rsidR="00F81C9C">
        <w:t xml:space="preserve"> related to planning and reporting</w:t>
      </w:r>
      <w:r w:rsidR="00D23E2A">
        <w:t>, such as a</w:t>
      </w:r>
      <w:r>
        <w:t xml:space="preserve"> lack of synchronisation with local planning</w:t>
      </w:r>
      <w:r w:rsidR="00D23E2A">
        <w:t>. F</w:t>
      </w:r>
      <w:r>
        <w:t xml:space="preserve">or example, an Indonesian provincial planning agency reported that </w:t>
      </w:r>
      <w:r w:rsidRPr="00B9479A">
        <w:rPr>
          <w:i/>
        </w:rPr>
        <w:t>‘we hosted a gathering to discuss local planning program. However, donor programs are already fixed and cannot be synchronised. Donor programs focus on particular areas, some of which we already work in so there can be double-up in some areas. If we knew where donors were programming earlier we could allocate our resources to another district.</w:t>
      </w:r>
      <w:r>
        <w:t xml:space="preserve">’ One participant in PNG pointed to the possibility of an excessive burden being placed on resources and staff if uncoordinated initiatives occur in the same location: </w:t>
      </w:r>
      <w:r w:rsidRPr="00A77532">
        <w:t>‘</w:t>
      </w:r>
      <w:r w:rsidRPr="00B9479A">
        <w:rPr>
          <w:i/>
        </w:rPr>
        <w:t>We are already going, then another program starts—that doesn’t help the provinces</w:t>
      </w:r>
      <w:r w:rsidR="00D2236B">
        <w:rPr>
          <w:i/>
        </w:rPr>
        <w:t>.’</w:t>
      </w:r>
      <w:r w:rsidRPr="00B9479A">
        <w:rPr>
          <w:i/>
        </w:rPr>
        <w:t xml:space="preserve"> </w:t>
      </w:r>
      <w:r>
        <w:t>And in PNG, a reminder that national and local priorities may be different</w:t>
      </w:r>
      <w:r w:rsidRPr="001E6499">
        <w:t xml:space="preserve">: </w:t>
      </w:r>
      <w:r>
        <w:t>‘</w:t>
      </w:r>
      <w:r w:rsidRPr="00B9479A">
        <w:rPr>
          <w:i/>
        </w:rPr>
        <w:t>We need to remember national priorities may not be the same as provincial priorities.’</w:t>
      </w:r>
    </w:p>
    <w:p w14:paraId="42ACA030" w14:textId="5546B702" w:rsidR="00AF6A11" w:rsidRDefault="00AF6A11" w:rsidP="00DE3CD6">
      <w:r>
        <w:t>Reporting was often seen to bypass local authorities. A provincial government representative in Indonesia said: ‘</w:t>
      </w:r>
      <w:r w:rsidRPr="00B9479A">
        <w:rPr>
          <w:i/>
        </w:rPr>
        <w:t>For future improvement we need better coordination at the implementation stage. Progress reports go straight from [the Australian aid program] to the central government. The district and provincial governments need to see these reports</w:t>
      </w:r>
      <w:r w:rsidR="00D2236B">
        <w:rPr>
          <w:i/>
        </w:rPr>
        <w:t>.’</w:t>
      </w:r>
    </w:p>
    <w:p w14:paraId="738A36BD" w14:textId="16813A17" w:rsidR="00AF6A11" w:rsidRPr="004B083F" w:rsidRDefault="00AF6A11" w:rsidP="00DE3CD6">
      <w:r w:rsidRPr="00357900">
        <w:t xml:space="preserve">Coordination and alignment with subnational priorities is important because of the considerable risk to </w:t>
      </w:r>
      <w:r>
        <w:t xml:space="preserve">the </w:t>
      </w:r>
      <w:r w:rsidRPr="00357900">
        <w:t>sustainability of service delivery outcomes if sufficient local ownership and capacity is not developed.</w:t>
      </w:r>
      <w:r>
        <w:t xml:space="preserve"> As noted by a provincial planning office in Indonesia: ‘</w:t>
      </w:r>
      <w:r w:rsidRPr="00B9479A">
        <w:rPr>
          <w:i/>
        </w:rPr>
        <w:t xml:space="preserve">There are people who question whether the purpose of the Australian </w:t>
      </w:r>
      <w:r w:rsidR="00636F11">
        <w:rPr>
          <w:i/>
        </w:rPr>
        <w:t>G</w:t>
      </w:r>
      <w:r w:rsidRPr="00B9479A">
        <w:rPr>
          <w:i/>
        </w:rPr>
        <w:t xml:space="preserve">overnment is to let things end when they know we can’t continue. In the past we had projects </w:t>
      </w:r>
      <w:r w:rsidR="00F81C9C">
        <w:rPr>
          <w:i/>
        </w:rPr>
        <w:t>… [that]</w:t>
      </w:r>
      <w:r w:rsidRPr="00B9479A">
        <w:rPr>
          <w:i/>
        </w:rPr>
        <w:t xml:space="preserve"> ended and facilities were not looked after and then another program </w:t>
      </w:r>
      <w:r w:rsidR="00147B33">
        <w:rPr>
          <w:i/>
        </w:rPr>
        <w:t xml:space="preserve">[to build new facilities] </w:t>
      </w:r>
      <w:r w:rsidRPr="00B9479A">
        <w:rPr>
          <w:i/>
        </w:rPr>
        <w:t>started.’</w:t>
      </w:r>
      <w:r w:rsidR="00B74369">
        <w:t xml:space="preserve"> </w:t>
      </w:r>
      <w:r w:rsidR="00147B33">
        <w:t xml:space="preserve">This comment points to </w:t>
      </w:r>
      <w:r w:rsidR="00F2730B">
        <w:t>the risk of</w:t>
      </w:r>
      <w:r w:rsidR="00147B33">
        <w:t xml:space="preserve"> repeated cycles of aid implementation support </w:t>
      </w:r>
      <w:r w:rsidR="00F2730B">
        <w:t>when</w:t>
      </w:r>
      <w:r w:rsidR="00147B33">
        <w:t xml:space="preserve"> capacity issues are not given sufficient attention and priority.</w:t>
      </w:r>
    </w:p>
    <w:p w14:paraId="1862E0AE" w14:textId="77777777" w:rsidR="00AF6A11" w:rsidRPr="00DA3F40" w:rsidRDefault="00AF6A11" w:rsidP="00DE3CD6">
      <w:pPr>
        <w:pStyle w:val="Heading3"/>
      </w:pPr>
      <w:bookmarkStart w:id="446" w:name="_Toc371618464"/>
      <w:bookmarkStart w:id="447" w:name="_Toc372300907"/>
      <w:bookmarkStart w:id="448" w:name="_Toc382563964"/>
      <w:bookmarkStart w:id="449" w:name="_Toc382595918"/>
      <w:r>
        <w:t>Staff suggestions to improve practice</w:t>
      </w:r>
      <w:bookmarkEnd w:id="446"/>
      <w:bookmarkEnd w:id="447"/>
      <w:bookmarkEnd w:id="448"/>
      <w:bookmarkEnd w:id="449"/>
    </w:p>
    <w:p w14:paraId="24523BF8" w14:textId="77777777" w:rsidR="00AF6A11" w:rsidRPr="004135AE" w:rsidRDefault="00AF6A11" w:rsidP="00DE3CD6">
      <w:r>
        <w:t xml:space="preserve">Staff gave a range of reasons for limited cooperation and learning in sector programs, </w:t>
      </w:r>
      <w:r w:rsidR="00F81C9C">
        <w:t xml:space="preserve">and </w:t>
      </w:r>
      <w:r>
        <w:t xml:space="preserve">reported that programs could actually undermine each other’s work. These problems related to the way accountability was focused on initiative-level performance, which limited time and resources for cross-program work. </w:t>
      </w:r>
      <w:r w:rsidR="00F81C9C">
        <w:t>T</w:t>
      </w:r>
      <w:r>
        <w:t xml:space="preserve">eams </w:t>
      </w:r>
      <w:r w:rsidR="00F81C9C">
        <w:t xml:space="preserve">were said to </w:t>
      </w:r>
      <w:r>
        <w:t>work in isolation and prioritise relationships with central government over local stakeholders.</w:t>
      </w:r>
      <w:r w:rsidR="00147B33">
        <w:t xml:space="preserve"> </w:t>
      </w:r>
      <w:r w:rsidR="00F81C9C">
        <w:t>S</w:t>
      </w:r>
      <w:r>
        <w:t xml:space="preserve">taff </w:t>
      </w:r>
      <w:r w:rsidR="00F81C9C">
        <w:t>commented on</w:t>
      </w:r>
      <w:r>
        <w:t xml:space="preserve"> poor knowledge management systems and practices (in line with findings of other reviews</w:t>
      </w:r>
      <w:r>
        <w:rPr>
          <w:rStyle w:val="EndnoteReference"/>
        </w:rPr>
        <w:endnoteReference w:id="297"/>
      </w:r>
      <w:r>
        <w:t xml:space="preserve">) with limited and ad hoc communication and information sharing. </w:t>
      </w:r>
    </w:p>
    <w:p w14:paraId="01D35AE3" w14:textId="77777777" w:rsidR="00AF6A11" w:rsidRDefault="00AF6A11" w:rsidP="00DE3CD6">
      <w:pPr>
        <w:pStyle w:val="NormalBeforeBullet"/>
      </w:pPr>
      <w:r>
        <w:t>In-country workshops in Indonesia and PNG canvassed broad suggestions for improving aid management practices, as well as more specific issues related to increased coordination, decentralisation and working at the subnational level. The workshops included a range of program staff from governance and other sector programs. Staff advocated doing more of what was working. This included:</w:t>
      </w:r>
    </w:p>
    <w:p w14:paraId="24525603" w14:textId="77777777" w:rsidR="00AF6A11" w:rsidRDefault="00AF6A11" w:rsidP="00DE3CD6">
      <w:pPr>
        <w:pStyle w:val="Bullet"/>
      </w:pPr>
      <w:r>
        <w:t>better knowledge management systems and more formal sharing of information between programs, provincial representatives, technical advisers and managing contractors. For example:</w:t>
      </w:r>
    </w:p>
    <w:p w14:paraId="05BA76A1" w14:textId="77777777" w:rsidR="00AF6A11" w:rsidRDefault="00AF6A11" w:rsidP="00B9479A">
      <w:pPr>
        <w:pStyle w:val="Dash"/>
      </w:pPr>
      <w:r>
        <w:t>more regular meetings between those working in the same location on selection and monitoring</w:t>
      </w:r>
      <w:r w:rsidR="00785A85">
        <w:rPr>
          <w:rStyle w:val="FootnoteReference"/>
        </w:rPr>
        <w:footnoteReference w:id="49"/>
      </w:r>
      <w:r w:rsidR="00785A85">
        <w:t xml:space="preserve"> </w:t>
      </w:r>
      <w:r>
        <w:t>of subnational partners</w:t>
      </w:r>
    </w:p>
    <w:p w14:paraId="5D65B82E" w14:textId="77777777" w:rsidR="00AF6A11" w:rsidRDefault="00AF6A11" w:rsidP="00B9479A">
      <w:pPr>
        <w:pStyle w:val="Dash"/>
      </w:pPr>
      <w:r>
        <w:t>joint/regional planning, up-to-date provincial profiles and political economy analysis</w:t>
      </w:r>
    </w:p>
    <w:p w14:paraId="2257B7AC" w14:textId="77777777" w:rsidR="00AF6A11" w:rsidRDefault="00AF6A11" w:rsidP="00B9479A">
      <w:pPr>
        <w:pStyle w:val="DashLast"/>
      </w:pPr>
      <w:r>
        <w:t>cross-program learning and publishing good practice about ways of working at subnational level</w:t>
      </w:r>
    </w:p>
    <w:p w14:paraId="1A2DF7BC" w14:textId="77777777" w:rsidR="00785A85" w:rsidRDefault="00AF6A11" w:rsidP="00DE3CD6">
      <w:pPr>
        <w:pStyle w:val="Bullet"/>
      </w:pPr>
      <w:r>
        <w:t>better linkages between sectors in management,</w:t>
      </w:r>
      <w:r w:rsidR="00785A85">
        <w:rPr>
          <w:rStyle w:val="FootnoteReference"/>
        </w:rPr>
        <w:footnoteReference w:id="50"/>
      </w:r>
      <w:r w:rsidR="00785A85">
        <w:t xml:space="preserve"> </w:t>
      </w:r>
      <w:r>
        <w:t>designs, joint monitoring with partner government and sharing results of monitoring, analysis, diagnostics, evaluation/reviews</w:t>
      </w:r>
      <w:r w:rsidR="00785A85">
        <w:rPr>
          <w:rStyle w:val="FootnoteReference"/>
        </w:rPr>
        <w:footnoteReference w:id="51"/>
      </w:r>
    </w:p>
    <w:p w14:paraId="7085AE40" w14:textId="77777777" w:rsidR="00785A85" w:rsidRDefault="00AF6A11" w:rsidP="00DE3CD6">
      <w:pPr>
        <w:pStyle w:val="BulletLast"/>
      </w:pPr>
      <w:r>
        <w:t>development of in</w:t>
      </w:r>
      <w:r w:rsidR="00F50C5F">
        <w:t>-house</w:t>
      </w:r>
      <w:r>
        <w:t xml:space="preserve"> expertise in governance issues, especially in relation to the specific contexts for programs.</w:t>
      </w:r>
      <w:r w:rsidR="00785A85">
        <w:rPr>
          <w:rStyle w:val="FootnoteReference"/>
        </w:rPr>
        <w:footnoteReference w:id="52"/>
      </w:r>
    </w:p>
    <w:p w14:paraId="537ACDFA" w14:textId="77777777" w:rsidR="00AF6A11" w:rsidRDefault="00AF6A11" w:rsidP="00DE3CD6">
      <w:r>
        <w:t xml:space="preserve">At the same time, interviewees recognised that these activities would require time and resources and would need to be considered alongside other demands on aid program staff. </w:t>
      </w:r>
    </w:p>
    <w:p w14:paraId="6B7CBC98" w14:textId="6172B82A" w:rsidR="005E1D3D" w:rsidRDefault="00EA7579" w:rsidP="005E1D3D">
      <w:pPr>
        <w:pStyle w:val="Heading3"/>
      </w:pPr>
      <w:r>
        <w:t>Sharing p</w:t>
      </w:r>
      <w:r w:rsidR="005E1D3D">
        <w:t>rogram evidence to improve choices</w:t>
      </w:r>
    </w:p>
    <w:p w14:paraId="5DDC2CB0" w14:textId="7A4C5A36" w:rsidR="000553B7" w:rsidRDefault="009814A3" w:rsidP="00CD44B7">
      <w:r>
        <w:t>The</w:t>
      </w:r>
      <w:r w:rsidR="00EA7579">
        <w:t>re are a number of ways the</w:t>
      </w:r>
      <w:r>
        <w:t xml:space="preserve"> Australian aid program </w:t>
      </w:r>
      <w:r w:rsidR="00EA7579">
        <w:t>can</w:t>
      </w:r>
      <w:r>
        <w:t xml:space="preserve"> support staff to make choices in d</w:t>
      </w:r>
      <w:r w:rsidR="00CD44B7">
        <w:t>ecentralised contexts</w:t>
      </w:r>
      <w:r w:rsidR="005D5136">
        <w:t xml:space="preserve">. </w:t>
      </w:r>
      <w:r w:rsidR="000553B7">
        <w:t xml:space="preserve">Findings from fieldwork across programs demonstrated different ways to invest resources in such contexts and the expected benefits </w:t>
      </w:r>
      <w:r w:rsidR="00EA7579">
        <w:t xml:space="preserve">that are associated with such investments </w:t>
      </w:r>
      <w:r w:rsidR="000553B7">
        <w:t>(Table </w:t>
      </w:r>
      <w:r w:rsidR="003B5F1B">
        <w:t>7</w:t>
      </w:r>
      <w:r w:rsidR="000553B7">
        <w:t xml:space="preserve">). These </w:t>
      </w:r>
      <w:r w:rsidR="00EA7579">
        <w:t>examples can be considered in new</w:t>
      </w:r>
      <w:r w:rsidR="000553B7">
        <w:t xml:space="preserve"> aid program </w:t>
      </w:r>
      <w:r w:rsidR="00EA7579">
        <w:t>investments</w:t>
      </w:r>
      <w:r w:rsidR="000553B7">
        <w:t xml:space="preserve">. </w:t>
      </w:r>
    </w:p>
    <w:p w14:paraId="19327726" w14:textId="1AB610DE" w:rsidR="00CD44B7" w:rsidRPr="00622E8B" w:rsidRDefault="00CD44B7" w:rsidP="00CD44B7">
      <w:pPr>
        <w:pStyle w:val="TableName"/>
      </w:pPr>
      <w:r>
        <w:t>Table </w:t>
      </w:r>
      <w:r w:rsidR="003B5F1B">
        <w:t>7</w:t>
      </w:r>
      <w:r>
        <w:tab/>
      </w:r>
      <w:r w:rsidR="00EA7579">
        <w:t xml:space="preserve">Investment choices </w:t>
      </w:r>
      <w:r w:rsidRPr="00D761E2">
        <w:t xml:space="preserve">and </w:t>
      </w:r>
      <w:r w:rsidR="00EA7579">
        <w:t>associated</w:t>
      </w:r>
      <w:r w:rsidRPr="00D761E2">
        <w:t xml:space="preserve"> benefits</w:t>
      </w:r>
    </w:p>
    <w:tbl>
      <w:tblPr>
        <w:tblStyle w:val="TableGrid"/>
        <w:tblW w:w="0" w:type="auto"/>
        <w:tblLook w:val="04A0" w:firstRow="1" w:lastRow="0" w:firstColumn="1" w:lastColumn="0" w:noHBand="0" w:noVBand="1"/>
      </w:tblPr>
      <w:tblGrid>
        <w:gridCol w:w="4621"/>
        <w:gridCol w:w="4621"/>
      </w:tblGrid>
      <w:tr w:rsidR="00CD44B7" w14:paraId="6ED11C6F" w14:textId="77777777" w:rsidTr="006F6381">
        <w:trPr>
          <w:cnfStyle w:val="100000000000" w:firstRow="1" w:lastRow="0" w:firstColumn="0" w:lastColumn="0" w:oddVBand="0" w:evenVBand="0" w:oddHBand="0" w:evenHBand="0" w:firstRowFirstColumn="0" w:firstRowLastColumn="0" w:lastRowFirstColumn="0" w:lastRowLastColumn="0"/>
        </w:trPr>
        <w:tc>
          <w:tcPr>
            <w:tcW w:w="4621" w:type="dxa"/>
          </w:tcPr>
          <w:p w14:paraId="4011BDBA" w14:textId="6C7DEB11" w:rsidR="00CD44B7" w:rsidRPr="00ED1315" w:rsidRDefault="008E1349" w:rsidP="009814A3">
            <w:pPr>
              <w:pStyle w:val="TableHeading"/>
              <w:rPr>
                <w:sz w:val="18"/>
                <w:szCs w:val="18"/>
              </w:rPr>
            </w:pPr>
            <w:r w:rsidRPr="00ED1315">
              <w:rPr>
                <w:sz w:val="18"/>
                <w:szCs w:val="18"/>
              </w:rPr>
              <w:t>Investment choices</w:t>
            </w:r>
          </w:p>
        </w:tc>
        <w:tc>
          <w:tcPr>
            <w:tcW w:w="4621" w:type="dxa"/>
          </w:tcPr>
          <w:p w14:paraId="03A86902" w14:textId="77777777" w:rsidR="00CD44B7" w:rsidRPr="00ED1315" w:rsidRDefault="00CD44B7" w:rsidP="009814A3">
            <w:pPr>
              <w:pStyle w:val="TableHeading"/>
              <w:rPr>
                <w:sz w:val="18"/>
                <w:szCs w:val="18"/>
              </w:rPr>
            </w:pPr>
            <w:r w:rsidRPr="00ED1315">
              <w:rPr>
                <w:sz w:val="18"/>
                <w:szCs w:val="18"/>
              </w:rPr>
              <w:t>Benefits</w:t>
            </w:r>
          </w:p>
        </w:tc>
      </w:tr>
      <w:tr w:rsidR="00CD44B7" w14:paraId="7D51CDC2" w14:textId="77777777" w:rsidTr="006F6381">
        <w:tc>
          <w:tcPr>
            <w:tcW w:w="4621" w:type="dxa"/>
          </w:tcPr>
          <w:p w14:paraId="673CBCB1" w14:textId="77777777" w:rsidR="00CD44B7" w:rsidRDefault="00CD44B7" w:rsidP="009814A3">
            <w:pPr>
              <w:pStyle w:val="TableText"/>
            </w:pPr>
            <w:r>
              <w:t>Staff located at subnational level</w:t>
            </w:r>
          </w:p>
        </w:tc>
        <w:tc>
          <w:tcPr>
            <w:tcW w:w="4621" w:type="dxa"/>
          </w:tcPr>
          <w:p w14:paraId="201FC192" w14:textId="77777777" w:rsidR="00CD44B7" w:rsidRDefault="00CD44B7" w:rsidP="009814A3">
            <w:pPr>
              <w:pStyle w:val="TableText"/>
            </w:pPr>
            <w:r>
              <w:t>Potential for knowledge inputs to posts in country capitals based on on-the-ground experience and exposure</w:t>
            </w:r>
          </w:p>
        </w:tc>
      </w:tr>
      <w:tr w:rsidR="00CD44B7" w14:paraId="76A5CF7D" w14:textId="77777777" w:rsidTr="006F6381">
        <w:tc>
          <w:tcPr>
            <w:tcW w:w="4621" w:type="dxa"/>
          </w:tcPr>
          <w:p w14:paraId="464F95DE" w14:textId="0433D29F" w:rsidR="00CD44B7" w:rsidRDefault="00CD44B7" w:rsidP="009814A3">
            <w:pPr>
              <w:pStyle w:val="TableText"/>
            </w:pPr>
            <w:r>
              <w:t>Technical assistance: additional governance advice for sector programs</w:t>
            </w:r>
            <w:r w:rsidR="00B74369">
              <w:t xml:space="preserve"> </w:t>
            </w:r>
            <w:r>
              <w:t>and/or design and evaluation teams</w:t>
            </w:r>
          </w:p>
        </w:tc>
        <w:tc>
          <w:tcPr>
            <w:tcW w:w="4621" w:type="dxa"/>
          </w:tcPr>
          <w:p w14:paraId="7635525E" w14:textId="77777777" w:rsidR="00CD44B7" w:rsidRDefault="00CD44B7" w:rsidP="009814A3">
            <w:pPr>
              <w:pStyle w:val="TableText"/>
            </w:pPr>
            <w:r>
              <w:t>Designs, implementation and evaluation that are more responsive to the governance context</w:t>
            </w:r>
          </w:p>
        </w:tc>
      </w:tr>
      <w:tr w:rsidR="00CD44B7" w14:paraId="39418B77" w14:textId="77777777" w:rsidTr="006F6381">
        <w:tc>
          <w:tcPr>
            <w:tcW w:w="4621" w:type="dxa"/>
          </w:tcPr>
          <w:p w14:paraId="5215EB9D" w14:textId="77777777" w:rsidR="00CD44B7" w:rsidRDefault="00CD44B7" w:rsidP="009814A3">
            <w:pPr>
              <w:pStyle w:val="TableText"/>
            </w:pPr>
            <w:r>
              <w:t>For initiatives that cover multiple subnational locations:</w:t>
            </w:r>
          </w:p>
          <w:p w14:paraId="2DFCD3F5" w14:textId="77777777" w:rsidR="00CD44B7" w:rsidRDefault="00CD44B7" w:rsidP="009814A3">
            <w:pPr>
              <w:pStyle w:val="TableText"/>
              <w:numPr>
                <w:ilvl w:val="0"/>
                <w:numId w:val="33"/>
              </w:numPr>
            </w:pPr>
            <w:r>
              <w:t>Public financial management review across subnational locations</w:t>
            </w:r>
          </w:p>
          <w:p w14:paraId="575C2363" w14:textId="77777777" w:rsidR="00CD44B7" w:rsidRDefault="00CD44B7" w:rsidP="009814A3">
            <w:pPr>
              <w:pStyle w:val="TableText"/>
              <w:numPr>
                <w:ilvl w:val="0"/>
                <w:numId w:val="33"/>
              </w:numPr>
            </w:pPr>
            <w:r>
              <w:t xml:space="preserve">Capacity reviews of subnational authorities (human resources, technical etc.) </w:t>
            </w:r>
          </w:p>
        </w:tc>
        <w:tc>
          <w:tcPr>
            <w:tcW w:w="4621" w:type="dxa"/>
          </w:tcPr>
          <w:p w14:paraId="04C66E73" w14:textId="77777777" w:rsidR="00CD44B7" w:rsidRDefault="00CD44B7" w:rsidP="009814A3">
            <w:pPr>
              <w:pStyle w:val="TableText"/>
            </w:pPr>
            <w:r>
              <w:t>Evidence base to develop sound strategies for improvement in local public financial management</w:t>
            </w:r>
          </w:p>
          <w:p w14:paraId="4B87F151" w14:textId="77777777" w:rsidR="00CD44B7" w:rsidRDefault="00CD44B7" w:rsidP="009814A3">
            <w:pPr>
              <w:pStyle w:val="TableText"/>
            </w:pPr>
            <w:r>
              <w:t>Evidence base to develop responsive solutions to the breadth of local needs, which may vary from location to location</w:t>
            </w:r>
          </w:p>
        </w:tc>
      </w:tr>
      <w:tr w:rsidR="00CD44B7" w14:paraId="3A30E270" w14:textId="77777777" w:rsidTr="006F6381">
        <w:tc>
          <w:tcPr>
            <w:tcW w:w="4621" w:type="dxa"/>
          </w:tcPr>
          <w:p w14:paraId="2290224F" w14:textId="77777777" w:rsidR="00CD44B7" w:rsidRDefault="00CD44B7" w:rsidP="009814A3">
            <w:pPr>
              <w:pStyle w:val="TableText"/>
            </w:pPr>
            <w:r>
              <w:t>Detailed local-level analysis and engagement in potential field locations to inform designs</w:t>
            </w:r>
          </w:p>
        </w:tc>
        <w:tc>
          <w:tcPr>
            <w:tcW w:w="4621" w:type="dxa"/>
          </w:tcPr>
          <w:p w14:paraId="0E80EE85" w14:textId="77777777" w:rsidR="00CD44B7" w:rsidRDefault="00CD44B7" w:rsidP="009814A3">
            <w:pPr>
              <w:pStyle w:val="TableText"/>
            </w:pPr>
            <w:r>
              <w:t>Designs that respond to actual situations at subnational level</w:t>
            </w:r>
          </w:p>
          <w:p w14:paraId="034B122D" w14:textId="77777777" w:rsidR="00CD44B7" w:rsidRDefault="00CD44B7" w:rsidP="009814A3">
            <w:pPr>
              <w:pStyle w:val="TableText"/>
            </w:pPr>
            <w:r>
              <w:t>Familiarity with how to work politically within local-level locations</w:t>
            </w:r>
          </w:p>
          <w:p w14:paraId="7205021D" w14:textId="77777777" w:rsidR="00CD44B7" w:rsidRDefault="00CD44B7" w:rsidP="009814A3">
            <w:pPr>
              <w:pStyle w:val="TableText"/>
            </w:pPr>
            <w:r>
              <w:t>Buy-in and engagement with local leaders</w:t>
            </w:r>
          </w:p>
          <w:p w14:paraId="452F1477" w14:textId="77777777" w:rsidR="00CD44B7" w:rsidRDefault="00CD44B7" w:rsidP="009814A3">
            <w:pPr>
              <w:pStyle w:val="TableText"/>
            </w:pPr>
            <w:r>
              <w:t>Well-informed choices of subnational location</w:t>
            </w:r>
          </w:p>
        </w:tc>
      </w:tr>
      <w:tr w:rsidR="00CD44B7" w14:paraId="0AB07DF1" w14:textId="77777777" w:rsidTr="006F6381">
        <w:tc>
          <w:tcPr>
            <w:tcW w:w="4621" w:type="dxa"/>
          </w:tcPr>
          <w:p w14:paraId="006BA7ED" w14:textId="77777777" w:rsidR="00CD44B7" w:rsidRDefault="00CD44B7" w:rsidP="009814A3">
            <w:pPr>
              <w:pStyle w:val="TableText"/>
            </w:pPr>
            <w:r>
              <w:t>Making available subnational perspectives to evaluation teams through fieldwork or other sources</w:t>
            </w:r>
          </w:p>
        </w:tc>
        <w:tc>
          <w:tcPr>
            <w:tcW w:w="4621" w:type="dxa"/>
          </w:tcPr>
          <w:p w14:paraId="3D15DC48" w14:textId="77777777" w:rsidR="00CD44B7" w:rsidRDefault="00CD44B7" w:rsidP="009814A3">
            <w:pPr>
              <w:pStyle w:val="TableText"/>
            </w:pPr>
            <w:r>
              <w:t>Greater understanding of performance of programs within subnational locations</w:t>
            </w:r>
          </w:p>
        </w:tc>
      </w:tr>
      <w:tr w:rsidR="00CD44B7" w14:paraId="0643BC0E" w14:textId="77777777" w:rsidTr="006F6381">
        <w:tc>
          <w:tcPr>
            <w:tcW w:w="4621" w:type="dxa"/>
          </w:tcPr>
          <w:p w14:paraId="2FDC45F1" w14:textId="77777777" w:rsidR="00CD44B7" w:rsidRDefault="00CD44B7" w:rsidP="009814A3">
            <w:pPr>
              <w:pStyle w:val="TableText"/>
            </w:pPr>
            <w:r>
              <w:t>For initiatives that involve in-depth engagement in one or a small number of subnational locations:</w:t>
            </w:r>
          </w:p>
          <w:p w14:paraId="3073FBA7" w14:textId="77777777" w:rsidR="00CD44B7" w:rsidRDefault="00CD44B7" w:rsidP="009814A3">
            <w:pPr>
              <w:pStyle w:val="TableText"/>
              <w:numPr>
                <w:ilvl w:val="0"/>
                <w:numId w:val="34"/>
              </w:numPr>
            </w:pPr>
            <w:r>
              <w:t>Concurrent regular engagement at national level</w:t>
            </w:r>
          </w:p>
          <w:p w14:paraId="6C8A0BFC" w14:textId="77777777" w:rsidR="00CD44B7" w:rsidRDefault="00CD44B7" w:rsidP="009814A3">
            <w:pPr>
              <w:pStyle w:val="TableText"/>
              <w:numPr>
                <w:ilvl w:val="0"/>
                <w:numId w:val="34"/>
              </w:numPr>
            </w:pPr>
            <w:r>
              <w:t>Sufficient personnel to develop individual and institutional capacity</w:t>
            </w:r>
          </w:p>
          <w:p w14:paraId="06FAA5FB" w14:textId="77777777" w:rsidR="00CD44B7" w:rsidRDefault="00CD44B7" w:rsidP="009814A3">
            <w:pPr>
              <w:pStyle w:val="TableText"/>
              <w:numPr>
                <w:ilvl w:val="0"/>
                <w:numId w:val="34"/>
              </w:numPr>
            </w:pPr>
            <w:r>
              <w:t>Sufficient timeframes for change</w:t>
            </w:r>
          </w:p>
          <w:p w14:paraId="58BE4328" w14:textId="77777777" w:rsidR="00CD44B7" w:rsidRDefault="00CD44B7" w:rsidP="009814A3">
            <w:pPr>
              <w:pStyle w:val="TableText"/>
              <w:numPr>
                <w:ilvl w:val="0"/>
                <w:numId w:val="34"/>
              </w:numPr>
            </w:pPr>
            <w:r>
              <w:t>Strategies for development of local systems for citizen engagement in service delivery</w:t>
            </w:r>
          </w:p>
        </w:tc>
        <w:tc>
          <w:tcPr>
            <w:tcW w:w="4621" w:type="dxa"/>
          </w:tcPr>
          <w:p w14:paraId="16233F7C" w14:textId="77777777" w:rsidR="00CD44B7" w:rsidRDefault="00CD44B7" w:rsidP="009814A3">
            <w:pPr>
              <w:pStyle w:val="TableText"/>
            </w:pPr>
            <w:r>
              <w:t>Potential to leverage engagement in one location for wider influence</w:t>
            </w:r>
          </w:p>
          <w:p w14:paraId="61472560" w14:textId="77777777" w:rsidR="00CD44B7" w:rsidRDefault="00CD44B7" w:rsidP="009814A3">
            <w:pPr>
              <w:pStyle w:val="TableText"/>
            </w:pPr>
            <w:r>
              <w:t>Sustainable capacity development</w:t>
            </w:r>
          </w:p>
          <w:p w14:paraId="0171CFF6" w14:textId="77777777" w:rsidR="00CD44B7" w:rsidRDefault="00CD44B7" w:rsidP="009814A3">
            <w:pPr>
              <w:pStyle w:val="TableText"/>
            </w:pPr>
            <w:r>
              <w:t>Effective citizen engagement in service delivery</w:t>
            </w:r>
          </w:p>
        </w:tc>
      </w:tr>
      <w:tr w:rsidR="00CD44B7" w14:paraId="0BB5D73A" w14:textId="77777777" w:rsidTr="006F6381">
        <w:tc>
          <w:tcPr>
            <w:tcW w:w="4621" w:type="dxa"/>
          </w:tcPr>
          <w:p w14:paraId="6F921497" w14:textId="77777777" w:rsidR="00CD44B7" w:rsidRDefault="00CD44B7" w:rsidP="009814A3">
            <w:pPr>
              <w:pStyle w:val="TableText"/>
            </w:pPr>
            <w:r>
              <w:t>Development of performance incentive mechanisms for subnational authorities</w:t>
            </w:r>
          </w:p>
          <w:p w14:paraId="522CD056" w14:textId="77777777" w:rsidR="00CD44B7" w:rsidRDefault="00CD44B7" w:rsidP="009814A3">
            <w:pPr>
              <w:pStyle w:val="TableText"/>
            </w:pPr>
            <w:r>
              <w:t xml:space="preserve">Analysis of existing financing mechanisms between national and local level </w:t>
            </w:r>
          </w:p>
          <w:p w14:paraId="1C4147FD" w14:textId="77777777" w:rsidR="00CD44B7" w:rsidRDefault="00CD44B7" w:rsidP="009814A3">
            <w:pPr>
              <w:pStyle w:val="TableText"/>
            </w:pPr>
            <w:r>
              <w:t>Ongoing analysis and monitoring of potential loop-holes and perverse incentives associated with a well-intentioned incentive structure</w:t>
            </w:r>
          </w:p>
        </w:tc>
        <w:tc>
          <w:tcPr>
            <w:tcW w:w="4621" w:type="dxa"/>
          </w:tcPr>
          <w:p w14:paraId="0F737919" w14:textId="77777777" w:rsidR="00CD44B7" w:rsidRDefault="00CD44B7" w:rsidP="009814A3">
            <w:pPr>
              <w:pStyle w:val="TableText"/>
            </w:pPr>
            <w:r>
              <w:t>Increased engagement and responsibility taken by subnational authorities to meet their mandates</w:t>
            </w:r>
          </w:p>
          <w:p w14:paraId="5BF972CC" w14:textId="77777777" w:rsidR="00CD44B7" w:rsidRDefault="00CD44B7" w:rsidP="009814A3">
            <w:pPr>
              <w:pStyle w:val="TableText"/>
            </w:pPr>
            <w:r>
              <w:t>Potential for uptake by national government of new financing mechanisms, for example, output-based approaches</w:t>
            </w:r>
          </w:p>
        </w:tc>
      </w:tr>
    </w:tbl>
    <w:p w14:paraId="7887F7CE" w14:textId="0415EAC7" w:rsidR="00CD44B7" w:rsidRDefault="00CD44B7" w:rsidP="00CD44B7"/>
    <w:p w14:paraId="6339A9DA" w14:textId="77777777" w:rsidR="00CD44B7" w:rsidRDefault="00CD44B7" w:rsidP="00DE3CD6"/>
    <w:bookmarkStart w:id="450" w:name="_Toc408831800"/>
    <w:p w14:paraId="293CCC0F" w14:textId="77777777" w:rsidR="00AF6A11" w:rsidRDefault="00AF6A11" w:rsidP="00921A4C">
      <w:pPr>
        <w:pStyle w:val="Heading1"/>
        <w:ind w:left="709" w:hanging="709"/>
        <w:rPr>
          <w:noProof/>
        </w:rPr>
      </w:pPr>
      <w:r>
        <w:rPr>
          <w:noProof/>
        </w:rPr>
        <mc:AlternateContent>
          <mc:Choice Requires="wps">
            <w:drawing>
              <wp:anchor distT="0" distB="0" distL="114300" distR="114300" simplePos="0" relativeHeight="251769856" behindDoc="1" locked="0" layoutInCell="1" allowOverlap="1" wp14:anchorId="57931082" wp14:editId="3FED284A">
                <wp:simplePos x="0" y="0"/>
                <wp:positionH relativeFrom="page">
                  <wp:posOffset>-9525</wp:posOffset>
                </wp:positionH>
                <wp:positionV relativeFrom="paragraph">
                  <wp:posOffset>-248920</wp:posOffset>
                </wp:positionV>
                <wp:extent cx="7610400" cy="1468800"/>
                <wp:effectExtent l="0" t="0" r="0" b="0"/>
                <wp:wrapNone/>
                <wp:docPr id="14" name="Rectangle 14"/>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 o:spid="_x0000_s1026" style="position:absolute;margin-left:-.75pt;margin-top:-19.6pt;width:599.25pt;height:115.6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5xlg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WU&#10;aNbhGz0ia0xvlSB4hwT1xi3R7sk82EFyeAzVHqTtwj/WQQ6R1ONEqjh4wvHybF7kZY7cc9QV5Xyx&#10;QAFxsld3Y53/KqAj4VBRi/EjmWx/63wyHU1CNAeqrW9apaJgt5srZcme4QsXs7JczAf038yUDsYa&#10;gltCDDdZKC0VE0/+qESwU/pRSGQF05/FTGI/iikO41xoXyRVw2qRwp/m+Bujhw4OHrHSCBiQJcaf&#10;sAeA0TKBjNgpy8E+uIrYzpNz/rfEkvPkESOD9pNz12qwHwEorGqInOxHkhI1gaUN1EfsGQtpmJzh&#10;Ny2+2y1z/oFZnB58a9wI/h4/UkFfURhOlDRgf350H+yxqVFLSY/TWFH3Y8esoER909ju50VZhvGN&#10;Qnl6NkPBvtVs3mr0rruC0A64ewyPx2Dv1XiUFroXXBzrEBVVTHOMXVHu7Shc+bQlcPVwsV5HMxxZ&#10;w/ytfjI8gAdWQ18+H16YNUPzeuz7Oxgnly3f9XCyDZ4a1jsPso0N/srrwDeOe2ycYTWFffJWjlav&#10;C3T1CwAA//8DAFBLAwQUAAYACAAAACEAG00Eyt8AAAALAQAADwAAAGRycy9kb3ducmV2LnhtbEyP&#10;zU7DMBCE70i8g7VI3FrHqYAmxKlQJThE6oGW3t14iSP8E2K3DW/f7Ymedlczmv2mWk3OshOOsQ9e&#10;gphnwNC3Qfe+k/C1e58tgcWkvFY2eJTwhxFW9f1dpUodzv4TT9vUMQrxsVQSTEpDyXlsDToV52FA&#10;T9p3GJ1KdI4d16M6U7izPM+yZ+5U7+mDUQOuDbY/26OT0CzR7LtNY6ffZif4evER9phL+fgwvb0C&#10;SzilfzNc8QkdamI6hKPXkVkJM/FETpqLIgd2NYjihdodaCtyAbyu+G2H+gIAAP//AwBQSwECLQAU&#10;AAYACAAAACEAtoM4kv4AAADhAQAAEwAAAAAAAAAAAAAAAAAAAAAAW0NvbnRlbnRfVHlwZXNdLnht&#10;bFBLAQItABQABgAIAAAAIQA4/SH/1gAAAJQBAAALAAAAAAAAAAAAAAAAAC8BAABfcmVscy8ucmVs&#10;c1BLAQItABQABgAIAAAAIQA81W5xlgIAAIgFAAAOAAAAAAAAAAAAAAAAAC4CAABkcnMvZTJvRG9j&#10;LnhtbFBLAQItABQABgAIAAAAIQAbTQTK3wAAAAsBAAAPAAAAAAAAAAAAAAAAAPAEAABkcnMvZG93&#10;bnJldi54bWxQSwUGAAAAAAQABADzAAAA/AUAAAAA&#10;" fillcolor="#124486" stroked="f" strokeweight="2pt">
                <w10:wrap anchorx="page"/>
              </v:rect>
            </w:pict>
          </mc:Fallback>
        </mc:AlternateContent>
      </w:r>
      <w:r>
        <w:t>8</w:t>
      </w:r>
      <w:r>
        <w:tab/>
        <w:t>Conclusion</w:t>
      </w:r>
      <w:bookmarkEnd w:id="450"/>
      <w:r w:rsidRPr="004E3C43">
        <w:rPr>
          <w:noProof/>
        </w:rPr>
        <w:t xml:space="preserve"> </w:t>
      </w:r>
    </w:p>
    <w:p w14:paraId="1AE00A20" w14:textId="7CB7E17D" w:rsidR="00AF7268" w:rsidRDefault="00AF7268" w:rsidP="00AF7268">
      <w:r>
        <w:t>Working in decentralised contexts is challenging. It involves working with a large range of government and other counterparts. It also involves working in lo</w:t>
      </w:r>
      <w:r w:rsidR="00436122">
        <w:t>w-capacity subnational settings which</w:t>
      </w:r>
      <w:r>
        <w:t xml:space="preserve"> often </w:t>
      </w:r>
      <w:r w:rsidR="00436122">
        <w:t xml:space="preserve">have </w:t>
      </w:r>
      <w:r>
        <w:t xml:space="preserve">poor financial management, high staff vacancies and turnover, insufficient technical capacity and high levels of risk. It requires analysis of, and engagement in, conflicts arising from contested power and authority. Finally, it must negotiate unclear roles and, in many cases, limited resources for service delivery across </w:t>
      </w:r>
      <w:r w:rsidR="00762412">
        <w:t>all</w:t>
      </w:r>
      <w:r>
        <w:t xml:space="preserve"> levels of government. This is no easy task. </w:t>
      </w:r>
    </w:p>
    <w:p w14:paraId="7CB87BC9" w14:textId="37B1EDE6" w:rsidR="002B0D3F" w:rsidRDefault="00F06F90" w:rsidP="00AF7268">
      <w:r>
        <w:t>T</w:t>
      </w:r>
      <w:r w:rsidR="00AF7268">
        <w:t xml:space="preserve">his evaluation </w:t>
      </w:r>
      <w:r>
        <w:t xml:space="preserve">found </w:t>
      </w:r>
      <w:r w:rsidR="00AF7268">
        <w:t xml:space="preserve">that the Australian aid program has </w:t>
      </w:r>
      <w:r>
        <w:t xml:space="preserve">recognised </w:t>
      </w:r>
      <w:r w:rsidR="001A017D">
        <w:t xml:space="preserve">and responded to </w:t>
      </w:r>
      <w:r>
        <w:t xml:space="preserve">the </w:t>
      </w:r>
      <w:r w:rsidR="001A017D">
        <w:t>difficulties of</w:t>
      </w:r>
      <w:r>
        <w:t xml:space="preserve"> working to improve services in decentralised systems</w:t>
      </w:r>
      <w:r w:rsidR="001A017D">
        <w:t>.</w:t>
      </w:r>
      <w:r>
        <w:t xml:space="preserve"> </w:t>
      </w:r>
      <w:r w:rsidR="001A017D">
        <w:t xml:space="preserve">Australian support is changing as organisational processes, strategies and structures to </w:t>
      </w:r>
      <w:r w:rsidR="001B69E4">
        <w:t>make</w:t>
      </w:r>
      <w:r w:rsidR="001A017D">
        <w:t xml:space="preserve"> aid</w:t>
      </w:r>
      <w:r w:rsidR="001B69E4">
        <w:t xml:space="preserve"> more effective</w:t>
      </w:r>
      <w:r w:rsidR="001A017D">
        <w:t xml:space="preserve"> in </w:t>
      </w:r>
      <w:r w:rsidR="00317679">
        <w:t>decentralised</w:t>
      </w:r>
      <w:r w:rsidR="001A017D">
        <w:t xml:space="preserve"> contexts</w:t>
      </w:r>
      <w:r w:rsidR="001B69E4">
        <w:t xml:space="preserve"> are devel</w:t>
      </w:r>
      <w:r w:rsidR="00EA7579">
        <w:t xml:space="preserve">oped and </w:t>
      </w:r>
      <w:r w:rsidR="00317679">
        <w:t xml:space="preserve">increasingly </w:t>
      </w:r>
      <w:r w:rsidR="00EA7579">
        <w:t>used</w:t>
      </w:r>
      <w:r w:rsidR="001A017D">
        <w:t xml:space="preserve">. This could be done more systematically by implementing the recommendations and using the practice notes produced as part of this </w:t>
      </w:r>
      <w:r w:rsidR="001B69E4">
        <w:t>evaluation. This</w:t>
      </w:r>
      <w:r w:rsidR="000553B7">
        <w:t xml:space="preserve"> judgement is</w:t>
      </w:r>
      <w:r w:rsidR="00FC31F4">
        <w:t xml:space="preserve"> expanded upon and substantiated by assessment against </w:t>
      </w:r>
      <w:r w:rsidR="00840EA3">
        <w:t xml:space="preserve">the six </w:t>
      </w:r>
      <w:r w:rsidR="00193291">
        <w:t xml:space="preserve">evaluation </w:t>
      </w:r>
      <w:r w:rsidR="00FC31F4">
        <w:t>criteria below.</w:t>
      </w:r>
    </w:p>
    <w:p w14:paraId="330B4962" w14:textId="3F3BE53F" w:rsidR="00C17849" w:rsidRPr="00B81DD0" w:rsidRDefault="00C17849" w:rsidP="00C17849">
      <w:r w:rsidRPr="00714594">
        <w:rPr>
          <w:b/>
        </w:rPr>
        <w:t>Analysis and learning (improving, but currently insufficient):</w:t>
      </w:r>
      <w:r>
        <w:t xml:space="preserve"> </w:t>
      </w:r>
      <w:r w:rsidR="004E39F3">
        <w:rPr>
          <w:szCs w:val="21"/>
        </w:rPr>
        <w:t xml:space="preserve">Analysis of the decentralisation context </w:t>
      </w:r>
      <w:r w:rsidR="002B28A4">
        <w:rPr>
          <w:szCs w:val="21"/>
        </w:rPr>
        <w:t>was sound</w:t>
      </w:r>
      <w:r w:rsidR="004E39F3">
        <w:rPr>
          <w:szCs w:val="21"/>
        </w:rPr>
        <w:t xml:space="preserve"> in sector </w:t>
      </w:r>
      <w:r w:rsidR="001B69E4">
        <w:rPr>
          <w:szCs w:val="21"/>
        </w:rPr>
        <w:t>programs</w:t>
      </w:r>
      <w:r w:rsidR="004E39F3">
        <w:rPr>
          <w:szCs w:val="21"/>
        </w:rPr>
        <w:t>.</w:t>
      </w:r>
      <w:r>
        <w:rPr>
          <w:szCs w:val="21"/>
        </w:rPr>
        <w:t xml:space="preserve"> </w:t>
      </w:r>
      <w:r w:rsidR="004E39F3">
        <w:rPr>
          <w:szCs w:val="21"/>
        </w:rPr>
        <w:t>A</w:t>
      </w:r>
      <w:r>
        <w:rPr>
          <w:szCs w:val="21"/>
        </w:rPr>
        <w:t xml:space="preserve">nalysis of </w:t>
      </w:r>
      <w:r w:rsidR="004E39F3">
        <w:rPr>
          <w:szCs w:val="21"/>
        </w:rPr>
        <w:t xml:space="preserve">the constraints and opportunities in </w:t>
      </w:r>
      <w:r>
        <w:rPr>
          <w:szCs w:val="21"/>
        </w:rPr>
        <w:t>particular subnational location</w:t>
      </w:r>
      <w:r w:rsidR="00E677D7">
        <w:rPr>
          <w:szCs w:val="21"/>
        </w:rPr>
        <w:t>s</w:t>
      </w:r>
      <w:r w:rsidR="004E39F3">
        <w:rPr>
          <w:szCs w:val="21"/>
        </w:rPr>
        <w:t xml:space="preserve"> was usually inadequate</w:t>
      </w:r>
      <w:r>
        <w:rPr>
          <w:szCs w:val="21"/>
        </w:rPr>
        <w:t xml:space="preserve">. Given the variability in the service delivery context across different subnational locations, and the importance of local leadership and institutions, this is an area that needs further attention. </w:t>
      </w:r>
      <w:r w:rsidR="00BE7C84">
        <w:rPr>
          <w:szCs w:val="21"/>
        </w:rPr>
        <w:t>The resourcing implications of ensuring staff have a good understanding</w:t>
      </w:r>
      <w:r>
        <w:rPr>
          <w:szCs w:val="21"/>
        </w:rPr>
        <w:t xml:space="preserve"> </w:t>
      </w:r>
      <w:r w:rsidR="00B22799">
        <w:rPr>
          <w:szCs w:val="21"/>
        </w:rPr>
        <w:t>of</w:t>
      </w:r>
      <w:r>
        <w:rPr>
          <w:szCs w:val="21"/>
        </w:rPr>
        <w:t xml:space="preserve"> conditions at subnational level needs to be consider</w:t>
      </w:r>
      <w:r w:rsidR="00B22799">
        <w:rPr>
          <w:szCs w:val="21"/>
        </w:rPr>
        <w:t>ed</w:t>
      </w:r>
      <w:r>
        <w:rPr>
          <w:szCs w:val="21"/>
        </w:rPr>
        <w:t xml:space="preserve">. </w:t>
      </w:r>
      <w:r w:rsidR="00B22799" w:rsidRPr="00ED566F">
        <w:rPr>
          <w:szCs w:val="21"/>
        </w:rPr>
        <w:t>Various innovations have developed within the aid program to enhance knowledge of subnational contexts</w:t>
      </w:r>
      <w:r w:rsidR="00B22799" w:rsidRPr="00E779EE">
        <w:rPr>
          <w:szCs w:val="21"/>
        </w:rPr>
        <w:t>, including the use of provincial advisers in PNG.</w:t>
      </w:r>
      <w:r w:rsidR="00B22799">
        <w:rPr>
          <w:szCs w:val="21"/>
        </w:rPr>
        <w:t xml:space="preserve"> </w:t>
      </w:r>
    </w:p>
    <w:p w14:paraId="7CED6799" w14:textId="7DE2F282" w:rsidR="00B62653" w:rsidRDefault="00C17849" w:rsidP="00C17849">
      <w:pPr>
        <w:rPr>
          <w:szCs w:val="21"/>
        </w:rPr>
      </w:pPr>
      <w:r>
        <w:rPr>
          <w:szCs w:val="21"/>
        </w:rPr>
        <w:t xml:space="preserve">Policy, strategy and guidance documents </w:t>
      </w:r>
      <w:r w:rsidR="00B62653">
        <w:rPr>
          <w:szCs w:val="21"/>
        </w:rPr>
        <w:t>cover</w:t>
      </w:r>
      <w:r>
        <w:rPr>
          <w:szCs w:val="21"/>
        </w:rPr>
        <w:t xml:space="preserve"> issues related to decentralisation and service delivery</w:t>
      </w:r>
      <w:r w:rsidR="00B62653">
        <w:rPr>
          <w:szCs w:val="21"/>
        </w:rPr>
        <w:t xml:space="preserve"> unevenly</w:t>
      </w:r>
      <w:r>
        <w:rPr>
          <w:szCs w:val="21"/>
        </w:rPr>
        <w:t xml:space="preserve">. </w:t>
      </w:r>
      <w:r w:rsidRPr="003A5BA2">
        <w:rPr>
          <w:szCs w:val="21"/>
        </w:rPr>
        <w:t xml:space="preserve">Country </w:t>
      </w:r>
      <w:r>
        <w:rPr>
          <w:szCs w:val="21"/>
        </w:rPr>
        <w:t xml:space="preserve">and delivery </w:t>
      </w:r>
      <w:r w:rsidRPr="003A5BA2">
        <w:rPr>
          <w:szCs w:val="21"/>
        </w:rPr>
        <w:t xml:space="preserve">strategies </w:t>
      </w:r>
      <w:r w:rsidR="00B81DD0">
        <w:rPr>
          <w:szCs w:val="21"/>
        </w:rPr>
        <w:t>(now known as aid investment plans and</w:t>
      </w:r>
      <w:r>
        <w:rPr>
          <w:szCs w:val="21"/>
        </w:rPr>
        <w:t xml:space="preserve"> sector investment plans</w:t>
      </w:r>
      <w:r w:rsidR="00B81DD0">
        <w:rPr>
          <w:szCs w:val="21"/>
        </w:rPr>
        <w:t xml:space="preserve"> respectively</w:t>
      </w:r>
      <w:r>
        <w:rPr>
          <w:szCs w:val="21"/>
        </w:rPr>
        <w:t xml:space="preserve">) </w:t>
      </w:r>
      <w:r w:rsidR="000F599E">
        <w:rPr>
          <w:szCs w:val="21"/>
        </w:rPr>
        <w:t xml:space="preserve">are </w:t>
      </w:r>
      <w:r>
        <w:rPr>
          <w:szCs w:val="21"/>
        </w:rPr>
        <w:t xml:space="preserve">mostly sound, but thematic strategies could provide greater guidance. Guidance for strategy and programming </w:t>
      </w:r>
      <w:r w:rsidR="004E39F3">
        <w:rPr>
          <w:szCs w:val="21"/>
        </w:rPr>
        <w:t>refer to</w:t>
      </w:r>
      <w:r>
        <w:rPr>
          <w:szCs w:val="21"/>
        </w:rPr>
        <w:t xml:space="preserve"> partner governments as a coherent entity and ha</w:t>
      </w:r>
      <w:r w:rsidR="000F599E">
        <w:rPr>
          <w:szCs w:val="21"/>
        </w:rPr>
        <w:t>ve</w:t>
      </w:r>
      <w:r>
        <w:rPr>
          <w:szCs w:val="21"/>
        </w:rPr>
        <w:t xml:space="preserve"> insufficient prompts for staff to consider the different parts of partner governments and the potential for competing interests. </w:t>
      </w:r>
    </w:p>
    <w:p w14:paraId="530B0BAB" w14:textId="777B7DAF" w:rsidR="00C17849" w:rsidRDefault="00C17849" w:rsidP="00C17849">
      <w:pPr>
        <w:rPr>
          <w:szCs w:val="21"/>
        </w:rPr>
      </w:pPr>
      <w:r>
        <w:t xml:space="preserve">The evaluation found that resources to support sector program staff are needed, including formal knowledge sharing and cross-program learning. In addition, greater integration of governance capabilities into sector programs is important. This could be achieved through stronger links between governance and other sector programs, clearer governance objectives in sector programs, and through optimising the role of existing governance advisers for technical inputs and/or capacity building. </w:t>
      </w:r>
    </w:p>
    <w:p w14:paraId="06587B92" w14:textId="35F17227" w:rsidR="00C17849" w:rsidRPr="003B5D06" w:rsidRDefault="00C17849" w:rsidP="00C17849">
      <w:pPr>
        <w:rPr>
          <w:szCs w:val="21"/>
        </w:rPr>
      </w:pPr>
      <w:r w:rsidRPr="003B5D06">
        <w:rPr>
          <w:b/>
          <w:szCs w:val="21"/>
        </w:rPr>
        <w:t>Alignment and relevance</w:t>
      </w:r>
      <w:r w:rsidRPr="00373269">
        <w:rPr>
          <w:szCs w:val="21"/>
        </w:rPr>
        <w:t xml:space="preserve"> </w:t>
      </w:r>
      <w:r w:rsidRPr="005F40B8">
        <w:rPr>
          <w:b/>
          <w:szCs w:val="21"/>
        </w:rPr>
        <w:t>(</w:t>
      </w:r>
      <w:r>
        <w:rPr>
          <w:b/>
          <w:szCs w:val="21"/>
        </w:rPr>
        <w:t xml:space="preserve">mostly </w:t>
      </w:r>
      <w:r w:rsidRPr="005F40B8">
        <w:rPr>
          <w:b/>
          <w:szCs w:val="21"/>
        </w:rPr>
        <w:t>appropriate):</w:t>
      </w:r>
      <w:r>
        <w:rPr>
          <w:szCs w:val="21"/>
        </w:rPr>
        <w:t xml:space="preserve"> </w:t>
      </w:r>
      <w:r w:rsidR="00653F23">
        <w:rPr>
          <w:szCs w:val="21"/>
        </w:rPr>
        <w:t xml:space="preserve">Australian assistance is strongly and consistently aligned with the priorities of partner governments at the national level. </w:t>
      </w:r>
      <w:r w:rsidRPr="007913B0">
        <w:rPr>
          <w:szCs w:val="21"/>
        </w:rPr>
        <w:t>Alignment to the priorities of subnational authorities</w:t>
      </w:r>
      <w:r>
        <w:rPr>
          <w:szCs w:val="21"/>
        </w:rPr>
        <w:t xml:space="preserve"> </w:t>
      </w:r>
      <w:r w:rsidR="000F599E">
        <w:rPr>
          <w:szCs w:val="21"/>
        </w:rPr>
        <w:t xml:space="preserve">is </w:t>
      </w:r>
      <w:r>
        <w:rPr>
          <w:szCs w:val="21"/>
        </w:rPr>
        <w:t xml:space="preserve">variable. In some cases, there </w:t>
      </w:r>
      <w:r w:rsidR="000F599E">
        <w:rPr>
          <w:szCs w:val="21"/>
        </w:rPr>
        <w:t xml:space="preserve">is </w:t>
      </w:r>
      <w:r>
        <w:rPr>
          <w:szCs w:val="21"/>
        </w:rPr>
        <w:t>no attempt to provide support for subnational authorit</w:t>
      </w:r>
      <w:r w:rsidR="00B81DD0">
        <w:rPr>
          <w:szCs w:val="21"/>
        </w:rPr>
        <w:t xml:space="preserve">ies’ roles in service delivery </w:t>
      </w:r>
      <w:r>
        <w:rPr>
          <w:szCs w:val="21"/>
        </w:rPr>
        <w:t xml:space="preserve">and the priorities of the aid program and subnational counterparts </w:t>
      </w:r>
      <w:r w:rsidR="000F599E">
        <w:rPr>
          <w:szCs w:val="21"/>
        </w:rPr>
        <w:t xml:space="preserve">are </w:t>
      </w:r>
      <w:r>
        <w:rPr>
          <w:szCs w:val="21"/>
        </w:rPr>
        <w:t xml:space="preserve">not aligned, even though support at this level </w:t>
      </w:r>
      <w:r w:rsidR="000F599E">
        <w:rPr>
          <w:szCs w:val="21"/>
        </w:rPr>
        <w:t xml:space="preserve">is </w:t>
      </w:r>
      <w:r>
        <w:rPr>
          <w:szCs w:val="21"/>
        </w:rPr>
        <w:t xml:space="preserve">provided. Stronger consultation with subnational authorities during design is one approach to addressing this issue, as are incentive-based approaches to subnational participation in aid programs. </w:t>
      </w:r>
    </w:p>
    <w:p w14:paraId="2B09FAF9" w14:textId="44E45F9B" w:rsidR="00C17849" w:rsidRDefault="00C17849" w:rsidP="00C17849">
      <w:pPr>
        <w:rPr>
          <w:szCs w:val="21"/>
        </w:rPr>
      </w:pPr>
      <w:r w:rsidRPr="003B5D06">
        <w:rPr>
          <w:b/>
          <w:szCs w:val="21"/>
        </w:rPr>
        <w:t xml:space="preserve">Balance </w:t>
      </w:r>
      <w:r>
        <w:rPr>
          <w:b/>
          <w:szCs w:val="21"/>
        </w:rPr>
        <w:t xml:space="preserve">of engagement </w:t>
      </w:r>
      <w:r w:rsidRPr="003B5D06">
        <w:rPr>
          <w:b/>
          <w:szCs w:val="21"/>
        </w:rPr>
        <w:t>(</w:t>
      </w:r>
      <w:r>
        <w:rPr>
          <w:b/>
          <w:szCs w:val="21"/>
        </w:rPr>
        <w:t xml:space="preserve">varied, mostly </w:t>
      </w:r>
      <w:r w:rsidRPr="003B5D06">
        <w:rPr>
          <w:b/>
          <w:szCs w:val="21"/>
        </w:rPr>
        <w:t>not</w:t>
      </w:r>
      <w:r>
        <w:rPr>
          <w:b/>
          <w:szCs w:val="21"/>
        </w:rPr>
        <w:t xml:space="preserve"> appropriate</w:t>
      </w:r>
      <w:r w:rsidRPr="003B5D06">
        <w:rPr>
          <w:b/>
          <w:szCs w:val="21"/>
        </w:rPr>
        <w:t>):</w:t>
      </w:r>
      <w:r>
        <w:rPr>
          <w:szCs w:val="21"/>
        </w:rPr>
        <w:t xml:space="preserve"> Four dimensions of balance were assessed</w:t>
      </w:r>
      <w:r w:rsidR="000F599E">
        <w:rPr>
          <w:szCs w:val="21"/>
        </w:rPr>
        <w:t xml:space="preserve"> in the evaluation</w:t>
      </w:r>
      <w:r>
        <w:rPr>
          <w:szCs w:val="21"/>
        </w:rPr>
        <w:t>.</w:t>
      </w:r>
      <w:r w:rsidR="00B81DD0">
        <w:rPr>
          <w:szCs w:val="21"/>
        </w:rPr>
        <w:t xml:space="preserve"> </w:t>
      </w:r>
      <w:r>
        <w:rPr>
          <w:szCs w:val="21"/>
        </w:rPr>
        <w:t xml:space="preserve">First, Australia </w:t>
      </w:r>
      <w:r w:rsidRPr="007913B0">
        <w:rPr>
          <w:szCs w:val="21"/>
        </w:rPr>
        <w:t>need</w:t>
      </w:r>
      <w:r>
        <w:rPr>
          <w:szCs w:val="21"/>
        </w:rPr>
        <w:t>s</w:t>
      </w:r>
      <w:r w:rsidRPr="007913B0">
        <w:rPr>
          <w:szCs w:val="21"/>
        </w:rPr>
        <w:t xml:space="preserve"> to </w:t>
      </w:r>
      <w:r w:rsidR="00154F64">
        <w:rPr>
          <w:szCs w:val="21"/>
        </w:rPr>
        <w:t xml:space="preserve">ensure </w:t>
      </w:r>
      <w:r w:rsidRPr="007913B0">
        <w:rPr>
          <w:szCs w:val="21"/>
        </w:rPr>
        <w:t>engage</w:t>
      </w:r>
      <w:r w:rsidR="00154F64">
        <w:rPr>
          <w:szCs w:val="21"/>
        </w:rPr>
        <w:t>ment</w:t>
      </w:r>
      <w:r w:rsidRPr="007913B0">
        <w:rPr>
          <w:szCs w:val="21"/>
        </w:rPr>
        <w:t xml:space="preserve"> at </w:t>
      </w:r>
      <w:r w:rsidR="00154F64">
        <w:rPr>
          <w:szCs w:val="21"/>
        </w:rPr>
        <w:t>the</w:t>
      </w:r>
      <w:r w:rsidR="00154F64" w:rsidRPr="007913B0">
        <w:rPr>
          <w:szCs w:val="21"/>
        </w:rPr>
        <w:t xml:space="preserve"> </w:t>
      </w:r>
      <w:r w:rsidR="002A7465" w:rsidRPr="007913B0">
        <w:rPr>
          <w:szCs w:val="21"/>
        </w:rPr>
        <w:t xml:space="preserve">national </w:t>
      </w:r>
      <w:r w:rsidR="00154F64">
        <w:rPr>
          <w:szCs w:val="21"/>
        </w:rPr>
        <w:t xml:space="preserve">level is appropriately balanced with engagement at </w:t>
      </w:r>
      <w:r w:rsidRPr="007913B0">
        <w:rPr>
          <w:szCs w:val="21"/>
        </w:rPr>
        <w:t xml:space="preserve">subnational levels. </w:t>
      </w:r>
      <w:r>
        <w:rPr>
          <w:szCs w:val="21"/>
        </w:rPr>
        <w:t>S</w:t>
      </w:r>
      <w:r w:rsidRPr="007913B0">
        <w:rPr>
          <w:szCs w:val="21"/>
        </w:rPr>
        <w:t xml:space="preserve">ome </w:t>
      </w:r>
      <w:r w:rsidR="00673597">
        <w:rPr>
          <w:szCs w:val="21"/>
        </w:rPr>
        <w:t>programs</w:t>
      </w:r>
      <w:r w:rsidR="00673597" w:rsidRPr="007913B0">
        <w:rPr>
          <w:szCs w:val="21"/>
        </w:rPr>
        <w:t xml:space="preserve"> </w:t>
      </w:r>
      <w:r w:rsidR="00673597">
        <w:rPr>
          <w:szCs w:val="21"/>
        </w:rPr>
        <w:t>focus on</w:t>
      </w:r>
      <w:r w:rsidRPr="007913B0">
        <w:rPr>
          <w:szCs w:val="21"/>
        </w:rPr>
        <w:t xml:space="preserve"> national engagement</w:t>
      </w:r>
      <w:r w:rsidR="00673597">
        <w:rPr>
          <w:szCs w:val="21"/>
        </w:rPr>
        <w:t xml:space="preserve"> while</w:t>
      </w:r>
      <w:r w:rsidRPr="007913B0">
        <w:rPr>
          <w:szCs w:val="21"/>
        </w:rPr>
        <w:t xml:space="preserve"> others </w:t>
      </w:r>
      <w:r w:rsidR="00673597">
        <w:rPr>
          <w:szCs w:val="21"/>
        </w:rPr>
        <w:t xml:space="preserve">have </w:t>
      </w:r>
      <w:r w:rsidRPr="007913B0">
        <w:rPr>
          <w:szCs w:val="21"/>
        </w:rPr>
        <w:t xml:space="preserve">predominantly </w:t>
      </w:r>
      <w:r w:rsidR="00377423">
        <w:rPr>
          <w:szCs w:val="21"/>
        </w:rPr>
        <w:t xml:space="preserve">a </w:t>
      </w:r>
      <w:r w:rsidRPr="007913B0">
        <w:rPr>
          <w:szCs w:val="21"/>
        </w:rPr>
        <w:t>subnational</w:t>
      </w:r>
      <w:r>
        <w:rPr>
          <w:szCs w:val="21"/>
        </w:rPr>
        <w:t xml:space="preserve"> </w:t>
      </w:r>
      <w:r w:rsidR="00377423">
        <w:rPr>
          <w:szCs w:val="21"/>
        </w:rPr>
        <w:t>focus. Few</w:t>
      </w:r>
      <w:r w:rsidRPr="007913B0">
        <w:rPr>
          <w:szCs w:val="21"/>
        </w:rPr>
        <w:t xml:space="preserve"> </w:t>
      </w:r>
      <w:r w:rsidR="00377423">
        <w:rPr>
          <w:szCs w:val="21"/>
        </w:rPr>
        <w:t>programs had</w:t>
      </w:r>
      <w:r w:rsidRPr="007913B0">
        <w:rPr>
          <w:szCs w:val="21"/>
        </w:rPr>
        <w:t xml:space="preserve"> a </w:t>
      </w:r>
      <w:r w:rsidR="00673597">
        <w:rPr>
          <w:szCs w:val="21"/>
        </w:rPr>
        <w:t>good balance</w:t>
      </w:r>
      <w:r w:rsidR="00B81DD0">
        <w:rPr>
          <w:szCs w:val="21"/>
        </w:rPr>
        <w:t xml:space="preserve"> at both levels</w:t>
      </w:r>
      <w:r w:rsidRPr="007913B0">
        <w:rPr>
          <w:szCs w:val="21"/>
        </w:rPr>
        <w:t>.</w:t>
      </w:r>
      <w:r>
        <w:rPr>
          <w:szCs w:val="21"/>
        </w:rPr>
        <w:t xml:space="preserve"> A dominant focus at one level may be justified for certain programs (e.g. in the case of excessive fiduciary risk at subnational level). It is critical, however, that </w:t>
      </w:r>
      <w:r w:rsidR="00377423">
        <w:rPr>
          <w:szCs w:val="21"/>
        </w:rPr>
        <w:t>the balance of engagement is</w:t>
      </w:r>
      <w:r>
        <w:rPr>
          <w:szCs w:val="21"/>
        </w:rPr>
        <w:t xml:space="preserve"> based on analysis and where possible </w:t>
      </w:r>
      <w:r w:rsidR="00377423">
        <w:rPr>
          <w:szCs w:val="21"/>
        </w:rPr>
        <w:t xml:space="preserve">includes </w:t>
      </w:r>
      <w:r>
        <w:rPr>
          <w:szCs w:val="21"/>
        </w:rPr>
        <w:t xml:space="preserve">strategies to mitigate </w:t>
      </w:r>
      <w:r w:rsidR="00377423">
        <w:rPr>
          <w:szCs w:val="21"/>
        </w:rPr>
        <w:t xml:space="preserve">any </w:t>
      </w:r>
      <w:r>
        <w:rPr>
          <w:szCs w:val="21"/>
        </w:rPr>
        <w:t>negative consequences</w:t>
      </w:r>
      <w:r w:rsidR="00377423">
        <w:rPr>
          <w:szCs w:val="21"/>
        </w:rPr>
        <w:t xml:space="preserve"> resulting from unbalanced engagement</w:t>
      </w:r>
      <w:r>
        <w:rPr>
          <w:szCs w:val="21"/>
        </w:rPr>
        <w:t xml:space="preserve">. The resource implications for working across different levels </w:t>
      </w:r>
      <w:r w:rsidR="00377423">
        <w:rPr>
          <w:szCs w:val="21"/>
        </w:rPr>
        <w:t xml:space="preserve">and </w:t>
      </w:r>
      <w:r w:rsidR="007A5993">
        <w:rPr>
          <w:szCs w:val="21"/>
        </w:rPr>
        <w:t xml:space="preserve">different </w:t>
      </w:r>
      <w:r w:rsidR="00377423">
        <w:rPr>
          <w:szCs w:val="21"/>
        </w:rPr>
        <w:t xml:space="preserve">subnational locations </w:t>
      </w:r>
      <w:r>
        <w:rPr>
          <w:szCs w:val="21"/>
        </w:rPr>
        <w:t xml:space="preserve">must also be factored into investment decision-making and reflected in program documents. </w:t>
      </w:r>
    </w:p>
    <w:p w14:paraId="118C665A" w14:textId="3946D671" w:rsidR="00FC22BD" w:rsidRPr="00A45BC8" w:rsidRDefault="000041C9" w:rsidP="009A42DE">
      <w:pPr>
        <w:rPr>
          <w:szCs w:val="21"/>
        </w:rPr>
      </w:pPr>
      <w:r>
        <w:rPr>
          <w:szCs w:val="21"/>
        </w:rPr>
        <w:t xml:space="preserve">Second, </w:t>
      </w:r>
      <w:r w:rsidR="00685241" w:rsidRPr="00685241">
        <w:rPr>
          <w:szCs w:val="21"/>
        </w:rPr>
        <w:t>at the national level</w:t>
      </w:r>
      <w:r>
        <w:rPr>
          <w:szCs w:val="21"/>
        </w:rPr>
        <w:t>,</w:t>
      </w:r>
      <w:r w:rsidR="00685241" w:rsidRPr="00685241">
        <w:rPr>
          <w:szCs w:val="21"/>
        </w:rPr>
        <w:t xml:space="preserve"> </w:t>
      </w:r>
      <w:r>
        <w:rPr>
          <w:szCs w:val="21"/>
        </w:rPr>
        <w:t xml:space="preserve">engagement needs to </w:t>
      </w:r>
      <w:r w:rsidR="00B50CA7">
        <w:rPr>
          <w:szCs w:val="21"/>
        </w:rPr>
        <w:t>be balanced between</w:t>
      </w:r>
      <w:r>
        <w:rPr>
          <w:szCs w:val="21"/>
        </w:rPr>
        <w:t xml:space="preserve"> central </w:t>
      </w:r>
      <w:r w:rsidR="00B50CA7">
        <w:rPr>
          <w:szCs w:val="21"/>
        </w:rPr>
        <w:t xml:space="preserve">and </w:t>
      </w:r>
      <w:r w:rsidR="00B22799">
        <w:rPr>
          <w:szCs w:val="21"/>
        </w:rPr>
        <w:t xml:space="preserve">sector </w:t>
      </w:r>
      <w:r w:rsidR="00B81DD0">
        <w:rPr>
          <w:szCs w:val="21"/>
        </w:rPr>
        <w:t>ministries</w:t>
      </w:r>
      <w:r w:rsidR="000818B6">
        <w:rPr>
          <w:szCs w:val="21"/>
        </w:rPr>
        <w:t xml:space="preserve"> and senior staff need to be well versed in the issues</w:t>
      </w:r>
      <w:r w:rsidR="00B81DD0">
        <w:rPr>
          <w:szCs w:val="21"/>
        </w:rPr>
        <w:t xml:space="preserve">. </w:t>
      </w:r>
      <w:r w:rsidR="00B50CA7" w:rsidRPr="00685241">
        <w:rPr>
          <w:szCs w:val="21"/>
        </w:rPr>
        <w:t xml:space="preserve">This </w:t>
      </w:r>
      <w:r w:rsidR="00B50CA7">
        <w:rPr>
          <w:szCs w:val="21"/>
        </w:rPr>
        <w:t>evaluation found that</w:t>
      </w:r>
      <w:r w:rsidR="00FC22BD">
        <w:rPr>
          <w:szCs w:val="21"/>
        </w:rPr>
        <w:t xml:space="preserve"> </w:t>
      </w:r>
      <w:r w:rsidR="00B50CA7">
        <w:rPr>
          <w:szCs w:val="21"/>
        </w:rPr>
        <w:t xml:space="preserve">engagement was </w:t>
      </w:r>
      <w:r w:rsidR="00FC22BD">
        <w:rPr>
          <w:szCs w:val="21"/>
        </w:rPr>
        <w:t xml:space="preserve">weighted towards sector ministries. </w:t>
      </w:r>
      <w:r w:rsidR="00B50CA7">
        <w:rPr>
          <w:szCs w:val="21"/>
        </w:rPr>
        <w:t>Policy dialog</w:t>
      </w:r>
      <w:r w:rsidR="00B81DD0">
        <w:rPr>
          <w:szCs w:val="21"/>
        </w:rPr>
        <w:t>ue</w:t>
      </w:r>
      <w:r w:rsidR="00B50CA7">
        <w:rPr>
          <w:szCs w:val="21"/>
        </w:rPr>
        <w:t xml:space="preserve"> with central agencies is important in addressing</w:t>
      </w:r>
      <w:r>
        <w:rPr>
          <w:szCs w:val="21"/>
        </w:rPr>
        <w:t xml:space="preserve"> </w:t>
      </w:r>
      <w:r w:rsidR="00685241" w:rsidRPr="00685241">
        <w:rPr>
          <w:szCs w:val="21"/>
        </w:rPr>
        <w:t>systemic issues that undermine service delivery</w:t>
      </w:r>
      <w:r w:rsidR="00B81DD0">
        <w:rPr>
          <w:szCs w:val="21"/>
        </w:rPr>
        <w:t xml:space="preserve">. </w:t>
      </w:r>
      <w:r w:rsidR="000818B6">
        <w:rPr>
          <w:szCs w:val="21"/>
        </w:rPr>
        <w:t>On some issues, c</w:t>
      </w:r>
      <w:r w:rsidR="00372AE5">
        <w:rPr>
          <w:szCs w:val="21"/>
        </w:rPr>
        <w:t>oncurrent e</w:t>
      </w:r>
      <w:r w:rsidR="00FC22BD">
        <w:rPr>
          <w:szCs w:val="21"/>
        </w:rPr>
        <w:t xml:space="preserve">ngagement </w:t>
      </w:r>
      <w:r w:rsidR="00AA5DE7">
        <w:rPr>
          <w:szCs w:val="21"/>
        </w:rPr>
        <w:t>with sector</w:t>
      </w:r>
      <w:r w:rsidR="00B50CA7" w:rsidRPr="00685241">
        <w:rPr>
          <w:szCs w:val="21"/>
        </w:rPr>
        <w:t xml:space="preserve"> </w:t>
      </w:r>
      <w:r w:rsidR="00685241" w:rsidRPr="00685241">
        <w:rPr>
          <w:szCs w:val="21"/>
        </w:rPr>
        <w:t xml:space="preserve">ministries </w:t>
      </w:r>
      <w:r w:rsidR="00372AE5">
        <w:rPr>
          <w:szCs w:val="21"/>
        </w:rPr>
        <w:t>may also be</w:t>
      </w:r>
      <w:r w:rsidR="00FC22BD">
        <w:rPr>
          <w:szCs w:val="21"/>
        </w:rPr>
        <w:t xml:space="preserve"> </w:t>
      </w:r>
      <w:r w:rsidR="000818B6">
        <w:rPr>
          <w:szCs w:val="21"/>
        </w:rPr>
        <w:t>required</w:t>
      </w:r>
      <w:r w:rsidR="00377423">
        <w:rPr>
          <w:szCs w:val="21"/>
        </w:rPr>
        <w:t xml:space="preserve"> as they</w:t>
      </w:r>
      <w:r w:rsidR="00AA5DE7">
        <w:rPr>
          <w:szCs w:val="21"/>
        </w:rPr>
        <w:t xml:space="preserve"> </w:t>
      </w:r>
      <w:r w:rsidR="00685241" w:rsidRPr="00685241">
        <w:rPr>
          <w:szCs w:val="21"/>
        </w:rPr>
        <w:t>have the potential to undermine, or promote, effect</w:t>
      </w:r>
      <w:r w:rsidR="00685241" w:rsidRPr="00AE2331">
        <w:rPr>
          <w:szCs w:val="21"/>
        </w:rPr>
        <w:t>ive decentralisation.</w:t>
      </w:r>
      <w:r w:rsidR="00685241" w:rsidRPr="006F6381">
        <w:rPr>
          <w:szCs w:val="21"/>
          <w:vertAlign w:val="superscript"/>
        </w:rPr>
        <w:endnoteReference w:id="298"/>
      </w:r>
      <w:r w:rsidR="00685241" w:rsidRPr="00685241">
        <w:rPr>
          <w:szCs w:val="21"/>
        </w:rPr>
        <w:t xml:space="preserve"> It is important for aid program staff to be aware that </w:t>
      </w:r>
      <w:r w:rsidR="00B50CA7">
        <w:rPr>
          <w:szCs w:val="21"/>
        </w:rPr>
        <w:t xml:space="preserve">sector </w:t>
      </w:r>
      <w:r w:rsidR="00685241" w:rsidRPr="00685241">
        <w:rPr>
          <w:szCs w:val="21"/>
        </w:rPr>
        <w:t xml:space="preserve">ministries may look to retain power and authority. In some cases, there may be valid reasons for this </w:t>
      </w:r>
      <w:r w:rsidR="000818B6">
        <w:rPr>
          <w:szCs w:val="21"/>
        </w:rPr>
        <w:t xml:space="preserve">and </w:t>
      </w:r>
      <w:r w:rsidR="00685241" w:rsidRPr="00AE2331">
        <w:rPr>
          <w:szCs w:val="21"/>
        </w:rPr>
        <w:t>that are important for effe</w:t>
      </w:r>
      <w:r w:rsidR="00B81DD0">
        <w:rPr>
          <w:szCs w:val="21"/>
        </w:rPr>
        <w:t xml:space="preserve">ctive service delivery, however, </w:t>
      </w:r>
      <w:r w:rsidR="00685241" w:rsidRPr="00AE2331">
        <w:rPr>
          <w:szCs w:val="21"/>
        </w:rPr>
        <w:t>there may al</w:t>
      </w:r>
      <w:r w:rsidR="000818B6">
        <w:rPr>
          <w:szCs w:val="21"/>
        </w:rPr>
        <w:t xml:space="preserve">so be other interests at play.  </w:t>
      </w:r>
    </w:p>
    <w:p w14:paraId="20C77DB2" w14:textId="62023C38" w:rsidR="00C17849" w:rsidRPr="007913B0" w:rsidRDefault="00C17849" w:rsidP="00C17849">
      <w:r w:rsidRPr="007913B0">
        <w:t xml:space="preserve">Third, engagement </w:t>
      </w:r>
      <w:r w:rsidR="00377423">
        <w:t>needs to be balanced between</w:t>
      </w:r>
      <w:r w:rsidR="00377423" w:rsidRPr="007913B0">
        <w:t xml:space="preserve"> </w:t>
      </w:r>
      <w:r w:rsidRPr="007913B0">
        <w:t xml:space="preserve">elected leaders and local </w:t>
      </w:r>
      <w:r w:rsidR="00AA5DE7" w:rsidRPr="007913B0">
        <w:t>administration</w:t>
      </w:r>
      <w:r w:rsidR="00AA5DE7">
        <w:t>s</w:t>
      </w:r>
      <w:r w:rsidRPr="007913B0">
        <w:t xml:space="preserve">. Some initiatives </w:t>
      </w:r>
      <w:r w:rsidR="000F599E">
        <w:t>have</w:t>
      </w:r>
      <w:r w:rsidR="000F599E" w:rsidRPr="007913B0">
        <w:t xml:space="preserve"> </w:t>
      </w:r>
      <w:r w:rsidRPr="007913B0">
        <w:t>cultivated political support</w:t>
      </w:r>
      <w:r>
        <w:t xml:space="preserve"> from local leaders</w:t>
      </w:r>
      <w:r w:rsidR="00B11DF6">
        <w:t xml:space="preserve"> but many initiatives did not</w:t>
      </w:r>
      <w:r>
        <w:t xml:space="preserve"> </w:t>
      </w:r>
      <w:r w:rsidR="00AA5DE7">
        <w:t>pay</w:t>
      </w:r>
      <w:r w:rsidR="00B81DD0">
        <w:t xml:space="preserve"> </w:t>
      </w:r>
      <w:r>
        <w:t xml:space="preserve">enough attention to </w:t>
      </w:r>
      <w:r w:rsidRPr="007913B0">
        <w:t xml:space="preserve">this. </w:t>
      </w:r>
    </w:p>
    <w:p w14:paraId="202DD3C8" w14:textId="2D6013BD" w:rsidR="00C17849" w:rsidRPr="00B747CD" w:rsidRDefault="00C17849" w:rsidP="00C17849">
      <w:r w:rsidRPr="007913B0">
        <w:t xml:space="preserve">Fourth, </w:t>
      </w:r>
      <w:r w:rsidR="00B11DF6">
        <w:t>work to improve the supply of services needs to be balanced by work to enable users to demand better services. S</w:t>
      </w:r>
      <w:r w:rsidRPr="007913B0">
        <w:t xml:space="preserve">ector programs </w:t>
      </w:r>
      <w:r w:rsidR="007C1C15">
        <w:t>typically focus</w:t>
      </w:r>
      <w:r w:rsidR="00BC3249">
        <w:t>ed</w:t>
      </w:r>
      <w:r w:rsidR="00B11DF6">
        <w:t xml:space="preserve"> on the</w:t>
      </w:r>
      <w:r>
        <w:t xml:space="preserve"> </w:t>
      </w:r>
      <w:r w:rsidRPr="007913B0">
        <w:t>supply</w:t>
      </w:r>
      <w:r>
        <w:t xml:space="preserve"> </w:t>
      </w:r>
      <w:r w:rsidRPr="007913B0">
        <w:t>side</w:t>
      </w:r>
      <w:r>
        <w:t xml:space="preserve"> at the expense of the demand side. There were</w:t>
      </w:r>
      <w:r w:rsidRPr="007913B0">
        <w:t xml:space="preserve"> few examples where initiatives successfully integrate efforts to build citizen capacity to participate</w:t>
      </w:r>
      <w:r>
        <w:t xml:space="preserve"> in planning or monitoring services and </w:t>
      </w:r>
      <w:r w:rsidR="000F599E">
        <w:t xml:space="preserve">to </w:t>
      </w:r>
      <w:r>
        <w:t xml:space="preserve">hold government and service providers to account. Where the demand side </w:t>
      </w:r>
      <w:r w:rsidR="000F599E">
        <w:t xml:space="preserve">is </w:t>
      </w:r>
      <w:r>
        <w:t>given attention, for example in a large-scale rural water and sanitation program in Indonesia, the programs ha</w:t>
      </w:r>
      <w:r w:rsidR="000F599E">
        <w:t>ve</w:t>
      </w:r>
      <w:r>
        <w:t xml:space="preserve"> delivered good results. </w:t>
      </w:r>
    </w:p>
    <w:p w14:paraId="155A777D" w14:textId="28D57B1F" w:rsidR="00C17849" w:rsidRPr="00373269" w:rsidRDefault="00C17849" w:rsidP="00C17849">
      <w:r w:rsidRPr="00670D93">
        <w:rPr>
          <w:b/>
        </w:rPr>
        <w:t>Sustainability (</w:t>
      </w:r>
      <w:r>
        <w:rPr>
          <w:b/>
        </w:rPr>
        <w:t>variable success</w:t>
      </w:r>
      <w:r w:rsidRPr="00670D93">
        <w:rPr>
          <w:b/>
        </w:rPr>
        <w:t>):</w:t>
      </w:r>
      <w:r>
        <w:t xml:space="preserve"> Sustainability of service delivery outcomes in decentralised contexts is challenging. Sector programs </w:t>
      </w:r>
      <w:r w:rsidR="00B11DF6">
        <w:t>have succeeded in improving services but</w:t>
      </w:r>
      <w:r>
        <w:t xml:space="preserve"> </w:t>
      </w:r>
      <w:r w:rsidR="00B11DF6">
        <w:t xml:space="preserve">not always in a way that gives </w:t>
      </w:r>
      <w:r>
        <w:t xml:space="preserve">ownership </w:t>
      </w:r>
      <w:r w:rsidR="00B11DF6">
        <w:t>to</w:t>
      </w:r>
      <w:r>
        <w:t xml:space="preserve"> local levels o</w:t>
      </w:r>
      <w:r w:rsidR="00DF7EA9">
        <w:t xml:space="preserve">f government. </w:t>
      </w:r>
      <w:r>
        <w:t xml:space="preserve">This </w:t>
      </w:r>
      <w:r w:rsidRPr="009842BF">
        <w:t xml:space="preserve">poses a risk for the prioritisation of recurrent resources that are needed to sustain </w:t>
      </w:r>
      <w:r w:rsidR="00B11DF6">
        <w:t xml:space="preserve">improvements in </w:t>
      </w:r>
      <w:r w:rsidRPr="009842BF">
        <w:t>service delivery</w:t>
      </w:r>
      <w:r>
        <w:t xml:space="preserve">. It is therefore likely that some of the gains made through aid support will be lost over time. This evaluation </w:t>
      </w:r>
      <w:r w:rsidR="00BE7C84">
        <w:t>found some</w:t>
      </w:r>
      <w:r>
        <w:t xml:space="preserve"> </w:t>
      </w:r>
      <w:r w:rsidR="00B11DF6">
        <w:t xml:space="preserve">innovative </w:t>
      </w:r>
      <w:r>
        <w:t xml:space="preserve">ways of </w:t>
      </w:r>
      <w:r w:rsidR="00BC3249">
        <w:t>working which</w:t>
      </w:r>
      <w:r w:rsidR="00BE7C84">
        <w:t xml:space="preserve"> may improve sustainability as they</w:t>
      </w:r>
      <w:r>
        <w:t xml:space="preserve"> </w:t>
      </w:r>
      <w:r w:rsidR="00BE7C84">
        <w:t xml:space="preserve">created </w:t>
      </w:r>
      <w:r>
        <w:t xml:space="preserve">local ownership and </w:t>
      </w:r>
      <w:r w:rsidR="00BE7C84">
        <w:t xml:space="preserve">built </w:t>
      </w:r>
      <w:r>
        <w:t>capacity</w:t>
      </w:r>
      <w:r w:rsidR="00DF7EA9">
        <w:t>.</w:t>
      </w:r>
    </w:p>
    <w:p w14:paraId="2887E1F6" w14:textId="74B47702" w:rsidR="00B22799" w:rsidRDefault="00C17849" w:rsidP="00C17849">
      <w:r w:rsidRPr="00DA70F7">
        <w:rPr>
          <w:b/>
        </w:rPr>
        <w:t xml:space="preserve">Equity (sufficient </w:t>
      </w:r>
      <w:r>
        <w:rPr>
          <w:b/>
        </w:rPr>
        <w:t>regarding poverty, insufficient regarding gender</w:t>
      </w:r>
      <w:r w:rsidRPr="00DA70F7">
        <w:rPr>
          <w:b/>
        </w:rPr>
        <w:t>):</w:t>
      </w:r>
      <w:r>
        <w:t xml:space="preserve"> Equity was considered in two ways. First, it was considered in terms of outcomes for the </w:t>
      </w:r>
      <w:r w:rsidR="00BC3249">
        <w:t>poor who</w:t>
      </w:r>
      <w:r>
        <w:t xml:space="preserve"> do not </w:t>
      </w:r>
      <w:r w:rsidR="00BC3249">
        <w:t>always receive better services in</w:t>
      </w:r>
      <w:r>
        <w:t xml:space="preserve"> decentralis</w:t>
      </w:r>
      <w:r w:rsidR="00BC3249">
        <w:t>ed systems</w:t>
      </w:r>
      <w:r>
        <w:t>. Australian assistance was found to be well</w:t>
      </w:r>
      <w:r w:rsidR="005340F7">
        <w:t xml:space="preserve"> </w:t>
      </w:r>
      <w:r>
        <w:t xml:space="preserve">targeted. While subnational locations were </w:t>
      </w:r>
      <w:r w:rsidR="00B22799">
        <w:t xml:space="preserve">sometimes, but </w:t>
      </w:r>
      <w:r>
        <w:t>not always</w:t>
      </w:r>
      <w:r w:rsidR="00B22799">
        <w:t>,</w:t>
      </w:r>
      <w:r>
        <w:t xml:space="preserve"> selected on </w:t>
      </w:r>
      <w:r w:rsidR="004962AC">
        <w:t>the</w:t>
      </w:r>
      <w:r>
        <w:t xml:space="preserve"> basis</w:t>
      </w:r>
      <w:r w:rsidR="00B22799">
        <w:t xml:space="preserve"> of socioeconomic need</w:t>
      </w:r>
      <w:r>
        <w:t xml:space="preserve">, </w:t>
      </w:r>
      <w:r w:rsidRPr="004962AC">
        <w:rPr>
          <w:b/>
        </w:rPr>
        <w:t>all</w:t>
      </w:r>
      <w:r>
        <w:t xml:space="preserve"> initiatives were </w:t>
      </w:r>
      <w:r w:rsidR="00BC3249">
        <w:t>focused on</w:t>
      </w:r>
      <w:r>
        <w:t xml:space="preserve"> the poor, if not the very poor. </w:t>
      </w:r>
      <w:r w:rsidR="00FC31F4">
        <w:t xml:space="preserve">Since decentralisation </w:t>
      </w:r>
      <w:r w:rsidR="004962AC">
        <w:t>reform processes can often produce</w:t>
      </w:r>
      <w:r w:rsidR="00FC31F4">
        <w:t xml:space="preserve"> uneven results, choice of subnational location needs to be carefully considered. </w:t>
      </w:r>
    </w:p>
    <w:p w14:paraId="78EF82B1" w14:textId="1791AF6C" w:rsidR="00C17849" w:rsidRDefault="00B22799" w:rsidP="00C17849">
      <w:r>
        <w:t>Equity was also considered in</w:t>
      </w:r>
      <w:r w:rsidR="00BC3249">
        <w:t xml:space="preserve"> </w:t>
      </w:r>
      <w:r>
        <w:t>terms of</w:t>
      </w:r>
      <w:r w:rsidR="00C17849">
        <w:t xml:space="preserve"> the service needs of different groups </w:t>
      </w:r>
      <w:r w:rsidR="00BC3249">
        <w:t xml:space="preserve">including </w:t>
      </w:r>
      <w:r w:rsidR="004962AC">
        <w:t xml:space="preserve">women and </w:t>
      </w:r>
      <w:r w:rsidR="00BC3249">
        <w:t>marginalised people.</w:t>
      </w:r>
      <w:r w:rsidR="00C17849">
        <w:t xml:space="preserve"> </w:t>
      </w:r>
      <w:r w:rsidR="00BC3249">
        <w:t>F</w:t>
      </w:r>
      <w:r w:rsidR="00C17849">
        <w:t xml:space="preserve">ew initiatives pay </w:t>
      </w:r>
      <w:r w:rsidR="00BC3249">
        <w:t xml:space="preserve">adequate </w:t>
      </w:r>
      <w:r w:rsidR="00C17849">
        <w:t xml:space="preserve">attention to specific issues for women or </w:t>
      </w:r>
      <w:r>
        <w:t xml:space="preserve">marginalised </w:t>
      </w:r>
      <w:r w:rsidR="00C17849">
        <w:t xml:space="preserve">groups. This reflects the low level of engagement on the demand side. </w:t>
      </w:r>
      <w:r w:rsidR="00BC3249">
        <w:t xml:space="preserve">The evaluation found </w:t>
      </w:r>
      <w:r w:rsidR="00CE7C7F">
        <w:t xml:space="preserve">services could be improved through work at the subnational level to promote gender awareness and develop strategies to address gender equality. </w:t>
      </w:r>
      <w:r w:rsidR="007C1C15">
        <w:t>There</w:t>
      </w:r>
      <w:r w:rsidR="00CE7C7F">
        <w:t xml:space="preserve">, </w:t>
      </w:r>
      <w:r w:rsidR="000F599E">
        <w:t xml:space="preserve">are </w:t>
      </w:r>
      <w:r w:rsidR="00C17849">
        <w:t>good examples</w:t>
      </w:r>
      <w:r w:rsidR="00CE7C7F">
        <w:t xml:space="preserve"> of gender work to improve services</w:t>
      </w:r>
      <w:r w:rsidR="00C17849">
        <w:t xml:space="preserve">, such as ensuring women </w:t>
      </w:r>
      <w:r w:rsidR="000F599E">
        <w:t xml:space="preserve">are </w:t>
      </w:r>
      <w:r w:rsidR="00C17849">
        <w:t xml:space="preserve">on decision-making boards in PNG in education and health. </w:t>
      </w:r>
    </w:p>
    <w:p w14:paraId="082DE082" w14:textId="77777777" w:rsidR="00542614" w:rsidRDefault="00C17849" w:rsidP="00B62653">
      <w:r w:rsidRPr="00745845">
        <w:rPr>
          <w:b/>
        </w:rPr>
        <w:t>Coherence (improving but currently insufficient):</w:t>
      </w:r>
      <w:r>
        <w:t xml:space="preserve"> </w:t>
      </w:r>
      <w:r w:rsidR="00762412">
        <w:t>C</w:t>
      </w:r>
      <w:r>
        <w:t xml:space="preserve">oherence was considered within three </w:t>
      </w:r>
      <w:r w:rsidR="004962AC">
        <w:t xml:space="preserve">separate </w:t>
      </w:r>
      <w:r>
        <w:t xml:space="preserve">areas: country programs and sector portfolios; subnational locations; and organisational policy or guidance. </w:t>
      </w:r>
    </w:p>
    <w:p w14:paraId="29E8A058" w14:textId="77777777" w:rsidR="00542614" w:rsidRDefault="00CE7C7F" w:rsidP="00B62653">
      <w:r>
        <w:t>T</w:t>
      </w:r>
      <w:r w:rsidR="00C17849">
        <w:t xml:space="preserve">he Philippines </w:t>
      </w:r>
      <w:r>
        <w:t>had a</w:t>
      </w:r>
      <w:r w:rsidR="00C17849">
        <w:t xml:space="preserve"> coheren</w:t>
      </w:r>
      <w:r>
        <w:t>t</w:t>
      </w:r>
      <w:r w:rsidR="00C17849">
        <w:t xml:space="preserve"> </w:t>
      </w:r>
      <w:r>
        <w:t xml:space="preserve">approach to working </w:t>
      </w:r>
      <w:r w:rsidR="004962AC">
        <w:t xml:space="preserve">in </w:t>
      </w:r>
      <w:r w:rsidR="00C17849">
        <w:t xml:space="preserve">decentralised </w:t>
      </w:r>
      <w:r>
        <w:t>service system</w:t>
      </w:r>
      <w:r w:rsidR="004962AC">
        <w:t>s</w:t>
      </w:r>
      <w:r w:rsidR="00C17849">
        <w:t xml:space="preserve">. Indonesia and PNG demonstrate less coherent approaches </w:t>
      </w:r>
      <w:r w:rsidR="00DD77F8">
        <w:t xml:space="preserve">with </w:t>
      </w:r>
      <w:r w:rsidR="00C17849">
        <w:t xml:space="preserve">governance </w:t>
      </w:r>
      <w:r w:rsidR="00DD77F8">
        <w:t xml:space="preserve">initiatives not adequately </w:t>
      </w:r>
      <w:r w:rsidR="00C17849">
        <w:t>underpinning sector</w:t>
      </w:r>
      <w:r w:rsidR="00762412">
        <w:t>al</w:t>
      </w:r>
      <w:r w:rsidR="00C17849">
        <w:t xml:space="preserve"> support</w:t>
      </w:r>
      <w:r w:rsidR="004962AC">
        <w:t>, however, in</w:t>
      </w:r>
      <w:r w:rsidR="00C17849">
        <w:t xml:space="preserve"> PNG recent efforts</w:t>
      </w:r>
      <w:r w:rsidR="006F6381">
        <w:t xml:space="preserve"> </w:t>
      </w:r>
      <w:r w:rsidR="00762412">
        <w:t>are</w:t>
      </w:r>
      <w:r w:rsidR="00C17849">
        <w:t xml:space="preserve"> improv</w:t>
      </w:r>
      <w:r w:rsidR="00762412">
        <w:t>ing the</w:t>
      </w:r>
      <w:r w:rsidR="00C17849">
        <w:t xml:space="preserve"> integration of governance </w:t>
      </w:r>
      <w:r w:rsidR="00762412">
        <w:t xml:space="preserve">and </w:t>
      </w:r>
      <w:r w:rsidR="00C17849">
        <w:t>health sector programs.</w:t>
      </w:r>
      <w:r w:rsidR="004962AC">
        <w:t xml:space="preserve"> </w:t>
      </w:r>
      <w:r w:rsidR="00762412">
        <w:t>M</w:t>
      </w:r>
      <w:r w:rsidR="00C17849" w:rsidRPr="00FC31F4">
        <w:t xml:space="preserve">anaging contractors and civil society organisations felt that Australian support </w:t>
      </w:r>
      <w:r>
        <w:t xml:space="preserve">could be better </w:t>
      </w:r>
      <w:r w:rsidR="00C17849" w:rsidRPr="00FC31F4">
        <w:t>coordinated</w:t>
      </w:r>
      <w:r w:rsidR="00762412">
        <w:t xml:space="preserve"> at the subnational level</w:t>
      </w:r>
      <w:r w:rsidR="00C17849" w:rsidRPr="00FC31F4">
        <w:t xml:space="preserve">. This </w:t>
      </w:r>
      <w:r>
        <w:t>view was shared by</w:t>
      </w:r>
      <w:r w:rsidR="00C17849" w:rsidRPr="00FC31F4">
        <w:t xml:space="preserve"> some subnational government stakeholders in Indonesia. </w:t>
      </w:r>
    </w:p>
    <w:p w14:paraId="55A5E86A" w14:textId="77777777" w:rsidR="00542614" w:rsidRDefault="00C17849" w:rsidP="00B62653">
      <w:r w:rsidRPr="00FC31F4">
        <w:t xml:space="preserve">Staff confirmed </w:t>
      </w:r>
      <w:r w:rsidR="00762412">
        <w:t xml:space="preserve">that </w:t>
      </w:r>
      <w:r w:rsidR="00762412" w:rsidRPr="00FC31F4">
        <w:t xml:space="preserve">strategic coordination and collaboration </w:t>
      </w:r>
      <w:r w:rsidR="00762412">
        <w:t>at the subnational level is</w:t>
      </w:r>
      <w:r w:rsidRPr="00FC31F4">
        <w:t xml:space="preserve"> a challenge and difficult to address without </w:t>
      </w:r>
      <w:r w:rsidR="00762412">
        <w:t>the allocation of</w:t>
      </w:r>
      <w:r w:rsidR="005E1D3D">
        <w:t xml:space="preserve"> </w:t>
      </w:r>
      <w:r w:rsidR="004962AC">
        <w:t>specific resources</w:t>
      </w:r>
      <w:r w:rsidRPr="00FC31F4">
        <w:t>.</w:t>
      </w:r>
      <w:r w:rsidR="004962AC">
        <w:t xml:space="preserve"> </w:t>
      </w:r>
    </w:p>
    <w:p w14:paraId="194789F8" w14:textId="58D21401" w:rsidR="00B62653" w:rsidRDefault="004962AC" w:rsidP="00B62653">
      <w:r>
        <w:t>R</w:t>
      </w:r>
      <w:r w:rsidR="00B62653">
        <w:t xml:space="preserve">ecent guidance for strategic programming, for working in partner systems, and </w:t>
      </w:r>
      <w:r>
        <w:t xml:space="preserve">for political economy analysis </w:t>
      </w:r>
      <w:r w:rsidR="00B62653">
        <w:t xml:space="preserve">are </w:t>
      </w:r>
      <w:r>
        <w:t xml:space="preserve">all </w:t>
      </w:r>
      <w:r w:rsidR="00B62653">
        <w:t xml:space="preserve">useful supports to aid in decentralised contexts. </w:t>
      </w:r>
    </w:p>
    <w:p w14:paraId="3CA31AF2" w14:textId="3B28DD0F" w:rsidR="007F4BE5" w:rsidRDefault="007F4BE5" w:rsidP="00FE7D21"/>
    <w:bookmarkStart w:id="451" w:name="_Toc408831801"/>
    <w:bookmarkEnd w:id="344"/>
    <w:p w14:paraId="034EE786" w14:textId="77777777" w:rsidR="00AF6A11" w:rsidRDefault="00AF6A11" w:rsidP="00921A4C">
      <w:pPr>
        <w:pStyle w:val="Heading1"/>
        <w:ind w:left="0" w:firstLine="0"/>
        <w:rPr>
          <w:noProof/>
        </w:rPr>
      </w:pPr>
      <w:r>
        <w:rPr>
          <w:noProof/>
        </w:rPr>
        <mc:AlternateContent>
          <mc:Choice Requires="wps">
            <w:drawing>
              <wp:anchor distT="0" distB="0" distL="114300" distR="114300" simplePos="0" relativeHeight="251770880" behindDoc="1" locked="0" layoutInCell="1" allowOverlap="1" wp14:anchorId="4198B5A7" wp14:editId="1A7D9572">
                <wp:simplePos x="0" y="0"/>
                <wp:positionH relativeFrom="page">
                  <wp:posOffset>-9525</wp:posOffset>
                </wp:positionH>
                <wp:positionV relativeFrom="paragraph">
                  <wp:posOffset>-334645</wp:posOffset>
                </wp:positionV>
                <wp:extent cx="7610400" cy="1468800"/>
                <wp:effectExtent l="0" t="0" r="0" b="0"/>
                <wp:wrapNone/>
                <wp:docPr id="15" name="Rectangle 15"/>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 o:spid="_x0000_s1026" style="position:absolute;margin-left:-.75pt;margin-top:-26.35pt;width:599.25pt;height:115.6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ft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S&#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BdA4U3fAAAACwEAAA8AAABkcnMvZG93bnJldi54bWxM&#10;j0FPwzAMhe9I/IfISNy2tEVbS2k6oUlwqMSBjd2zxjQVjVOabCv/Hu8EJ9t6T8/fqzazG8QZp9B7&#10;UpAuExBIrTc9dQo+9i+LAkSImowePKGCHwywqW9vKl0af6F3PO9iJziEQqkV2BjHUsrQWnQ6LP2I&#10;xNqnn5yOfE6dNJO+cLgbZJYka+l0T/zB6hG3Ftuv3ckpaAq0h+6tGebvZp/K7cOrP2Cm1P3d/PwE&#10;IuIc/8xwxWd0qJnp6E9kghgULNIVO3mushzE1ZA+5tzuyFterEHWlfzfof4FAAD//wMAUEsBAi0A&#10;FAAGAAgAAAAhALaDOJL+AAAA4QEAABMAAAAAAAAAAAAAAAAAAAAAAFtDb250ZW50X1R5cGVzXS54&#10;bWxQSwECLQAUAAYACAAAACEAOP0h/9YAAACUAQAACwAAAAAAAAAAAAAAAAAvAQAAX3JlbHMvLnJl&#10;bHNQSwECLQAUAAYACAAAACEAmQ+n7ZcCAACIBQAADgAAAAAAAAAAAAAAAAAuAgAAZHJzL2Uyb0Rv&#10;Yy54bWxQSwECLQAUAAYACAAAACEAF0DhTd8AAAALAQAADwAAAAAAAAAAAAAAAADxBAAAZHJzL2Rv&#10;d25yZXYueG1sUEsFBgAAAAAEAAQA8wAAAP0FAAAAAA==&#10;" fillcolor="#124486" stroked="f" strokeweight="2pt">
                <w10:wrap anchorx="page"/>
              </v:rect>
            </w:pict>
          </mc:Fallback>
        </mc:AlternateContent>
      </w:r>
      <w:r>
        <w:t>Appendix 1</w:t>
      </w:r>
      <w:r>
        <w:tab/>
        <w:t>Policy context</w:t>
      </w:r>
      <w:bookmarkEnd w:id="451"/>
      <w:r w:rsidRPr="004E3C43">
        <w:rPr>
          <w:noProof/>
        </w:rPr>
        <w:t xml:space="preserve"> </w:t>
      </w:r>
    </w:p>
    <w:p w14:paraId="0514A4A0" w14:textId="77777777" w:rsidR="00AF6A11" w:rsidRPr="00961AB0" w:rsidRDefault="00AF6A11" w:rsidP="00217324">
      <w:r w:rsidRPr="006F7D36">
        <w:t>This appendix provides details of the international and national policy reform contexts of the last 10</w:t>
      </w:r>
      <w:r>
        <w:t> </w:t>
      </w:r>
      <w:r w:rsidRPr="006F7D36">
        <w:t>years that inform the Australian aid program’s approach to service delivery and decentralisation. It also provides details of Au</w:t>
      </w:r>
      <w:r>
        <w:t>s</w:t>
      </w:r>
      <w:r w:rsidRPr="006F7D36">
        <w:t>tralian aid program’s policy response to these international and national reforms.</w:t>
      </w:r>
      <w:r>
        <w:t xml:space="preserve"> </w:t>
      </w:r>
    </w:p>
    <w:p w14:paraId="03FC304C" w14:textId="77777777" w:rsidR="00AF6A11" w:rsidRDefault="00AF6A11" w:rsidP="00217324">
      <w:pPr>
        <w:pStyle w:val="Heading2a"/>
      </w:pPr>
      <w:bookmarkStart w:id="452" w:name="_Toc382595924"/>
      <w:r>
        <w:t>A1.1</w:t>
      </w:r>
      <w:r>
        <w:tab/>
        <w:t>Decentralisation in i</w:t>
      </w:r>
      <w:r w:rsidRPr="00D15CFE">
        <w:t>nternational development policy</w:t>
      </w:r>
      <w:bookmarkEnd w:id="452"/>
      <w:r w:rsidRPr="00D15CFE">
        <w:t xml:space="preserve"> </w:t>
      </w:r>
    </w:p>
    <w:p w14:paraId="7CD5977B" w14:textId="513C6A05" w:rsidR="00AF6A11" w:rsidRPr="006F7D36" w:rsidRDefault="00AF6A11" w:rsidP="00217324">
      <w:r w:rsidRPr="00772749">
        <w:t>The</w:t>
      </w:r>
      <w:r>
        <w:t xml:space="preserve">re has been an increasing recognition of the need to work with a range of levels of government in international development policy, particularly </w:t>
      </w:r>
      <w:r w:rsidR="002A2422">
        <w:t xml:space="preserve">in </w:t>
      </w:r>
      <w:r>
        <w:t>t</w:t>
      </w:r>
      <w:r w:rsidRPr="00772749">
        <w:t xml:space="preserve">he aid effectiveness agenda. </w:t>
      </w:r>
      <w:r>
        <w:t xml:space="preserve">Donors agreed, through the Monterrey Consensus (2003), to substantially increase </w:t>
      </w:r>
      <w:r w:rsidRPr="00250ECE">
        <w:t>o</w:t>
      </w:r>
      <w:r w:rsidRPr="00B9479A">
        <w:t>fficial development assistance</w:t>
      </w:r>
      <w:r>
        <w:t xml:space="preserve"> (ODA), based on a new partnership between developed and developing countries and an increase in aid effectiveness.</w:t>
      </w:r>
      <w:r>
        <w:rPr>
          <w:rStyle w:val="EndnoteReference"/>
          <w:bCs/>
        </w:rPr>
        <w:endnoteReference w:id="299"/>
      </w:r>
      <w:r>
        <w:t xml:space="preserve"> Donor commitments to increase </w:t>
      </w:r>
      <w:r w:rsidR="002A2422">
        <w:t xml:space="preserve">the </w:t>
      </w:r>
      <w:r>
        <w:t>us</w:t>
      </w:r>
      <w:r w:rsidRPr="007057A9">
        <w:t>e of country systems for aid delivery</w:t>
      </w:r>
      <w:r>
        <w:t>,</w:t>
      </w:r>
      <w:r w:rsidRPr="007057A9">
        <w:t xml:space="preserve"> </w:t>
      </w:r>
      <w:r>
        <w:t xml:space="preserve">as part of increasing </w:t>
      </w:r>
      <w:r w:rsidRPr="007057A9">
        <w:t xml:space="preserve">country ownership </w:t>
      </w:r>
      <w:r>
        <w:t>of their own development, are documented in successive aid effectiveness agreements: t</w:t>
      </w:r>
      <w:r w:rsidRPr="00772749">
        <w:t xml:space="preserve">he Paris Declaration </w:t>
      </w:r>
      <w:r>
        <w:t>(</w:t>
      </w:r>
      <w:r w:rsidRPr="00772749">
        <w:t>2005</w:t>
      </w:r>
      <w:r>
        <w:t>)</w:t>
      </w:r>
      <w:r w:rsidRPr="00772749">
        <w:t>, the Accra Agenda for Action (2008), and the Busan Partnership for Effective Development Cooperation (2011)</w:t>
      </w:r>
      <w:r w:rsidRPr="001A7B63">
        <w:t xml:space="preserve">. </w:t>
      </w:r>
    </w:p>
    <w:p w14:paraId="2921505C" w14:textId="15BC32F6" w:rsidR="00AF6A11" w:rsidRPr="00772749" w:rsidRDefault="00AF6A11" w:rsidP="00217324">
      <w:r>
        <w:rPr>
          <w:bCs/>
        </w:rPr>
        <w:t xml:space="preserve">The definition of ‘country systems’ has evolved over time. </w:t>
      </w:r>
      <w:r>
        <w:t xml:space="preserve">The Paris Declaration, for example, defines ‘country systems’ as </w:t>
      </w:r>
      <w:r w:rsidRPr="005278F3">
        <w:t>national arrangements and procedures for public financial management, accounting, auditing, procurement,</w:t>
      </w:r>
      <w:r>
        <w:t xml:space="preserve"> </w:t>
      </w:r>
      <w:r w:rsidRPr="005278F3">
        <w:t>results frameworks and monitoring</w:t>
      </w:r>
      <w:r>
        <w:t xml:space="preserve">. </w:t>
      </w:r>
      <w:r>
        <w:rPr>
          <w:bCs/>
        </w:rPr>
        <w:t xml:space="preserve">Subnational systems are only mentioned from Accra onwards. </w:t>
      </w:r>
      <w:r w:rsidRPr="00772749">
        <w:rPr>
          <w:bCs/>
        </w:rPr>
        <w:t xml:space="preserve">The appropriate recognition of, and engagement with, subnational government </w:t>
      </w:r>
      <w:r>
        <w:rPr>
          <w:bCs/>
        </w:rPr>
        <w:t xml:space="preserve">has become identified more recently as </w:t>
      </w:r>
      <w:r w:rsidRPr="00772749">
        <w:rPr>
          <w:bCs/>
        </w:rPr>
        <w:t>critical: ‘</w:t>
      </w:r>
      <w:r>
        <w:rPr>
          <w:bCs/>
          <w:i/>
          <w:iCs/>
        </w:rPr>
        <w:t>T</w:t>
      </w:r>
      <w:r w:rsidRPr="00772749">
        <w:rPr>
          <w:bCs/>
          <w:i/>
          <w:iCs/>
        </w:rPr>
        <w:t xml:space="preserve">he importance of subnational governments as actors in the development process and as active partners in development assistance has increased </w:t>
      </w:r>
      <w:r w:rsidRPr="00772749">
        <w:rPr>
          <w:bCs/>
        </w:rPr>
        <w:t xml:space="preserve">[and] </w:t>
      </w:r>
      <w:r w:rsidRPr="00772749">
        <w:rPr>
          <w:bCs/>
          <w:i/>
          <w:iCs/>
        </w:rPr>
        <w:t>the original notion of ownership has broadened beyond traditional national actors to include other stakeholders in recipient countries, including subnational governments and citizens.</w:t>
      </w:r>
      <w:r w:rsidRPr="00772749">
        <w:rPr>
          <w:bCs/>
        </w:rPr>
        <w:t>’</w:t>
      </w:r>
      <w:r w:rsidRPr="00772749">
        <w:rPr>
          <w:bCs/>
          <w:vertAlign w:val="superscript"/>
        </w:rPr>
        <w:endnoteReference w:id="300"/>
      </w:r>
      <w:r w:rsidRPr="00772749">
        <w:rPr>
          <w:bCs/>
        </w:rPr>
        <w:t xml:space="preserve"> It is further argued in the literature that a reliance on traditional ‘national-centric’ approaches to the Paris Declaration principles misses important opportunities to improve aid and development effectiveness.</w:t>
      </w:r>
      <w:r w:rsidRPr="00772749">
        <w:rPr>
          <w:bCs/>
          <w:vertAlign w:val="superscript"/>
        </w:rPr>
        <w:endnoteReference w:id="301"/>
      </w:r>
      <w:r w:rsidRPr="00772749">
        <w:rPr>
          <w:bCs/>
        </w:rPr>
        <w:t xml:space="preserve"> </w:t>
      </w:r>
    </w:p>
    <w:p w14:paraId="7E14A3F9" w14:textId="246D1E9D" w:rsidR="00AF6A11" w:rsidRPr="00772749" w:rsidRDefault="00AF6A11" w:rsidP="00217324">
      <w:r w:rsidRPr="00772749">
        <w:t>The aid effectiveness agenda includes a focus on ‘results’ in the form of measurable impacts on development outcomes. This line of thinking has been picked up in the Australian aid program and has led to a renew</w:t>
      </w:r>
      <w:r w:rsidRPr="00BE5966">
        <w:t>ed emphasis on value</w:t>
      </w:r>
      <w:r>
        <w:t xml:space="preserve"> </w:t>
      </w:r>
      <w:r w:rsidRPr="00BE5966">
        <w:t>for</w:t>
      </w:r>
      <w:r>
        <w:t xml:space="preserve"> </w:t>
      </w:r>
      <w:r w:rsidRPr="00BE5966">
        <w:t>money.</w:t>
      </w:r>
      <w:r>
        <w:rPr>
          <w:rStyle w:val="EndnoteReference"/>
          <w:bCs/>
        </w:rPr>
        <w:endnoteReference w:id="302"/>
      </w:r>
      <w:r w:rsidRPr="00772749">
        <w:t xml:space="preserve"> An important consideration for this evaluation was whether the drive within the health, education and infrastructure sectors for immediate, tangible outcomes (which may offer easy justification of ‘value</w:t>
      </w:r>
      <w:r>
        <w:t xml:space="preserve"> </w:t>
      </w:r>
      <w:r w:rsidRPr="00772749">
        <w:t>for</w:t>
      </w:r>
      <w:r>
        <w:t xml:space="preserve"> </w:t>
      </w:r>
      <w:r w:rsidRPr="00772749">
        <w:t>money’), may potentially compromise the other elements of aid effectiveness described above, namely longer</w:t>
      </w:r>
      <w:r>
        <w:t>-</w:t>
      </w:r>
      <w:r w:rsidRPr="00772749">
        <w:t>term efforts toward</w:t>
      </w:r>
      <w:r>
        <w:t>s</w:t>
      </w:r>
      <w:r w:rsidRPr="00772749">
        <w:t xml:space="preserve"> capacity building, institutional reform and political engagement that are an inevitable part of country-driven development.</w:t>
      </w:r>
    </w:p>
    <w:p w14:paraId="78E37D64" w14:textId="77777777" w:rsidR="00AF6A11" w:rsidRPr="003E7041" w:rsidRDefault="00AF6A11" w:rsidP="00217324">
      <w:pPr>
        <w:pStyle w:val="Heading2a"/>
      </w:pPr>
      <w:bookmarkStart w:id="453" w:name="_Toc382595925"/>
      <w:r>
        <w:t>A1.2</w:t>
      </w:r>
      <w:r>
        <w:tab/>
      </w:r>
      <w:r w:rsidRPr="003E7041">
        <w:t>Relevant trends in Australian aid</w:t>
      </w:r>
      <w:bookmarkEnd w:id="453"/>
      <w:r w:rsidRPr="003E7041">
        <w:t xml:space="preserve"> </w:t>
      </w:r>
    </w:p>
    <w:p w14:paraId="4A4E61EF" w14:textId="6627ABB0" w:rsidR="00AF6A11" w:rsidRPr="003E7041" w:rsidRDefault="00AF6A11" w:rsidP="00217324">
      <w:pPr>
        <w:pStyle w:val="NormalBeforeBullet"/>
      </w:pPr>
      <w:r>
        <w:t>The national policy context in the last 10 years has mirrored the international context, coupling strong ODA growth with an increased focus on the effectiveness of aid. During this time, the Australian aid program was the subject of a number of important reviews</w:t>
      </w:r>
      <w:r>
        <w:rPr>
          <w:rStyle w:val="EndnoteReference"/>
        </w:rPr>
        <w:endnoteReference w:id="303"/>
      </w:r>
      <w:r>
        <w:t xml:space="preserve"> </w:t>
      </w:r>
      <w:r w:rsidR="002A2422">
        <w:t xml:space="preserve">which </w:t>
      </w:r>
      <w:r>
        <w:t>influenced the way the program operated in the increasingly decentralised development context. The three major reforms of aid in Australia of relevance to this evaluation are</w:t>
      </w:r>
      <w:r w:rsidRPr="003E7041">
        <w:t xml:space="preserve">: </w:t>
      </w:r>
    </w:p>
    <w:p w14:paraId="3C0FEA5C" w14:textId="77777777" w:rsidR="00AF6A11" w:rsidRPr="003E7041" w:rsidRDefault="00AF6A11" w:rsidP="00217324">
      <w:pPr>
        <w:pStyle w:val="Bullet"/>
      </w:pPr>
      <w:r>
        <w:t xml:space="preserve">increased use and support to </w:t>
      </w:r>
      <w:r w:rsidRPr="003E7041">
        <w:t xml:space="preserve">partner government systems </w:t>
      </w:r>
    </w:p>
    <w:p w14:paraId="499EB1C6" w14:textId="77777777" w:rsidR="00AF6A11" w:rsidRPr="003E7041" w:rsidRDefault="00AF6A11" w:rsidP="00217324">
      <w:pPr>
        <w:pStyle w:val="Bullet"/>
      </w:pPr>
      <w:r w:rsidRPr="003E7041">
        <w:t xml:space="preserve">increased investment in service delivery and governance </w:t>
      </w:r>
    </w:p>
    <w:p w14:paraId="6816D76A" w14:textId="77777777" w:rsidR="00AF6A11" w:rsidRPr="003E7041" w:rsidRDefault="00AF6A11" w:rsidP="00217324">
      <w:pPr>
        <w:pStyle w:val="BulletLast"/>
      </w:pPr>
      <w:r w:rsidRPr="003E7041">
        <w:t xml:space="preserve">increased aid program coherence. </w:t>
      </w:r>
    </w:p>
    <w:p w14:paraId="4F52D938" w14:textId="77777777" w:rsidR="00AF6A11" w:rsidRDefault="00AF6A11" w:rsidP="00217324">
      <w:pPr>
        <w:pStyle w:val="Heading3a"/>
      </w:pPr>
      <w:bookmarkStart w:id="454" w:name="_Toc382595926"/>
      <w:r>
        <w:t>Increased use and support to partner government systems and processes</w:t>
      </w:r>
      <w:bookmarkEnd w:id="454"/>
    </w:p>
    <w:p w14:paraId="328376A1" w14:textId="77777777" w:rsidR="00FC540D" w:rsidRDefault="00AF6A11" w:rsidP="00217324">
      <w:r w:rsidRPr="003E7041">
        <w:t>The Australian aid white paper in 2006 recognised that aid programs that are owned and driven by partner countries were likely to be more sustainable</w:t>
      </w:r>
      <w:r>
        <w:t>.</w:t>
      </w:r>
      <w:r>
        <w:rPr>
          <w:rStyle w:val="EndnoteReference"/>
        </w:rPr>
        <w:endnoteReference w:id="304"/>
      </w:r>
      <w:r w:rsidRPr="003E7041">
        <w:t xml:space="preserve"> The </w:t>
      </w:r>
      <w:r>
        <w:t xml:space="preserve">Paris Declaration Monitoring Survey in 2008, the </w:t>
      </w:r>
      <w:r w:rsidR="008814C6">
        <w:t xml:space="preserve">OECD </w:t>
      </w:r>
      <w:r w:rsidRPr="003E7041">
        <w:t xml:space="preserve">Development Assistance Committee (DAC) review </w:t>
      </w:r>
      <w:r>
        <w:t xml:space="preserve">in </w:t>
      </w:r>
      <w:r w:rsidRPr="003E7041">
        <w:t xml:space="preserve">2008 and an Australian National Audit Office (ANAO) review in 2009 </w:t>
      </w:r>
      <w:r>
        <w:t>all critiqued the then current level of use of partner government financial systems and recommended that Australia increase this</w:t>
      </w:r>
      <w:r w:rsidRPr="003E7041">
        <w:t xml:space="preserve"> use. </w:t>
      </w:r>
    </w:p>
    <w:p w14:paraId="32312BC5" w14:textId="77777777" w:rsidR="00FC540D" w:rsidRDefault="00AF6A11" w:rsidP="00217324">
      <w:r w:rsidRPr="003E7041">
        <w:t xml:space="preserve">The ANAO </w:t>
      </w:r>
      <w:r>
        <w:t>audit is the most explicit in identifying a way to increase this use of partner government financial systems.</w:t>
      </w:r>
      <w:r>
        <w:rPr>
          <w:rStyle w:val="EndnoteReference"/>
        </w:rPr>
        <w:endnoteReference w:id="305"/>
      </w:r>
      <w:r w:rsidRPr="003E7041">
        <w:t xml:space="preserve"> </w:t>
      </w:r>
      <w:r>
        <w:t>ANAO recommended that Australia develop policies that address the benefits and lessons learned to date in the use of government systems, how decisions to use government systems are reached, including thorough assessment of potential development benefits and risks, and how the more significant risks of using partner government sy</w:t>
      </w:r>
      <w:r w:rsidRPr="00217324">
        <w:t>s</w:t>
      </w:r>
      <w:r>
        <w:t xml:space="preserve">tems are managed. </w:t>
      </w:r>
    </w:p>
    <w:p w14:paraId="38641FC6" w14:textId="5EF11434" w:rsidR="00AF6A11" w:rsidRDefault="00AF6A11" w:rsidP="00217324">
      <w:pPr>
        <w:rPr>
          <w:i/>
          <w:iCs/>
        </w:rPr>
      </w:pPr>
      <w:r w:rsidRPr="003E7041">
        <w:t>The most recent DAC review continues this line of argument. It recommend</w:t>
      </w:r>
      <w:r>
        <w:t>ed</w:t>
      </w:r>
      <w:r w:rsidRPr="003E7041">
        <w:t xml:space="preserve"> that Australia increase the share of aid delivered through program-based approaches</w:t>
      </w:r>
      <w:r>
        <w:t xml:space="preserve"> by 30 per cent</w:t>
      </w:r>
      <w:r w:rsidRPr="003E7041">
        <w:t>, and make use of partner government systems for design, management, expendit</w:t>
      </w:r>
      <w:r>
        <w:t>ure, monitoring and reporting.</w:t>
      </w:r>
      <w:r>
        <w:rPr>
          <w:rStyle w:val="EndnoteReference"/>
        </w:rPr>
        <w:endnoteReference w:id="306"/>
      </w:r>
      <w:r w:rsidRPr="003E7041">
        <w:t xml:space="preserve"> Further, it recommend</w:t>
      </w:r>
      <w:r>
        <w:t>ed</w:t>
      </w:r>
      <w:r w:rsidRPr="003E7041">
        <w:t xml:space="preserve"> that where use of partner systems is deemed too risky, Australia should ‘</w:t>
      </w:r>
      <w:r w:rsidRPr="00B9479A">
        <w:rPr>
          <w:i/>
        </w:rPr>
        <w:t>strengthen financial management systems to manage program-based approaches</w:t>
      </w:r>
      <w:r w:rsidR="00D2236B">
        <w:rPr>
          <w:i/>
          <w:iCs/>
        </w:rPr>
        <w:t>.’</w:t>
      </w:r>
      <w:r>
        <w:rPr>
          <w:rStyle w:val="EndnoteReference"/>
        </w:rPr>
        <w:endnoteReference w:id="307"/>
      </w:r>
      <w:r w:rsidRPr="003E7041">
        <w:t xml:space="preserve"> The </w:t>
      </w:r>
      <w:r w:rsidR="00636F11" w:rsidRPr="003E7041">
        <w:t xml:space="preserve">independent review of aid effectiveness </w:t>
      </w:r>
      <w:r w:rsidRPr="003E7041">
        <w:t>also suggested expanding the use of partner government systems, with a cautionary note that the form of aid should be considered carefully before us</w:t>
      </w:r>
      <w:r>
        <w:t>ing partner financial systems.</w:t>
      </w:r>
      <w:r>
        <w:rPr>
          <w:rStyle w:val="EndnoteReference"/>
        </w:rPr>
        <w:endnoteReference w:id="308"/>
      </w:r>
      <w:r w:rsidRPr="003E7041">
        <w:t xml:space="preserve"> Guidance material for strategy development for the Australian aid program</w:t>
      </w:r>
      <w:r>
        <w:t xml:space="preserve"> reflects these trends:</w:t>
      </w:r>
      <w:r>
        <w:rPr>
          <w:rStyle w:val="EndnoteReference"/>
        </w:rPr>
        <w:endnoteReference w:id="309"/>
      </w:r>
      <w:r>
        <w:t xml:space="preserve"> ‘</w:t>
      </w:r>
      <w:r w:rsidRPr="003E7041">
        <w:rPr>
          <w:i/>
          <w:iCs/>
        </w:rPr>
        <w:t>Strategies should clearly articulate how we will use programming, policy dialogue and partnerships in ways that improve rather than undermine the capacity of partner governments. Where assessment identifies weak partner systems, strategies should explore ways to strengthen these systems with a view to</w:t>
      </w:r>
      <w:r>
        <w:rPr>
          <w:i/>
          <w:iCs/>
        </w:rPr>
        <w:t xml:space="preserve"> their use in the longer term.’</w:t>
      </w:r>
      <w:r>
        <w:rPr>
          <w:rStyle w:val="EndnoteReference"/>
          <w:i/>
          <w:iCs/>
        </w:rPr>
        <w:endnoteReference w:id="310"/>
      </w:r>
      <w:r w:rsidRPr="003E7041">
        <w:rPr>
          <w:i/>
          <w:iCs/>
        </w:rPr>
        <w:t xml:space="preserve"> </w:t>
      </w:r>
    </w:p>
    <w:p w14:paraId="7423AE04" w14:textId="61A0FD8F" w:rsidR="00AF6A11" w:rsidRPr="003E7041" w:rsidRDefault="00AF6A11" w:rsidP="00217324">
      <w:r>
        <w:t>Corruption, as well as poor management, is a risk when working within partner government systems. The 2007 ODE evaluation on approaches to anti-corruption</w:t>
      </w:r>
      <w:r>
        <w:rPr>
          <w:rStyle w:val="EndnoteReference"/>
        </w:rPr>
        <w:endnoteReference w:id="311"/>
      </w:r>
      <w:r>
        <w:t xml:space="preserve"> </w:t>
      </w:r>
      <w:r w:rsidR="00FC540D">
        <w:t xml:space="preserve">in </w:t>
      </w:r>
      <w:r>
        <w:t>the Australian aid program investigated this issue and made a series of recommendations regarding the tracking of anti-corruption outcomes and providing advisers and counterparts with explicit guidelines on what to do if confronted with corruption.</w:t>
      </w:r>
    </w:p>
    <w:p w14:paraId="17D7CD69" w14:textId="77777777" w:rsidR="00AF6A11" w:rsidRDefault="00AF6A11" w:rsidP="002B53F8">
      <w:pPr>
        <w:pStyle w:val="Heading3a"/>
        <w:spacing w:before="240"/>
      </w:pPr>
      <w:bookmarkStart w:id="455" w:name="_Toc382595927"/>
      <w:r w:rsidRPr="003E7041">
        <w:t>Increased investment in service delivery</w:t>
      </w:r>
      <w:bookmarkEnd w:id="455"/>
      <w:r w:rsidRPr="003E7041">
        <w:t xml:space="preserve"> </w:t>
      </w:r>
    </w:p>
    <w:p w14:paraId="4CEFF5A8" w14:textId="17A56603" w:rsidR="00AF6A11" w:rsidRDefault="00FC540D" w:rsidP="00217324">
      <w:r w:rsidRPr="003E7041">
        <w:t xml:space="preserve">Support for service delivery has increased over recent years. For </w:t>
      </w:r>
      <w:r>
        <w:t>example,</w:t>
      </w:r>
      <w:r w:rsidRPr="003E7041">
        <w:t xml:space="preserve"> the 2009–10 ANAO report noted a tripling of support for education and doubling of support for health between 2007–</w:t>
      </w:r>
      <w:r>
        <w:t>0</w:t>
      </w:r>
      <w:r w:rsidRPr="003E7041">
        <w:t xml:space="preserve">8 and 2010. </w:t>
      </w:r>
      <w:r w:rsidR="00AF6A11" w:rsidRPr="003E7041">
        <w:t>The increased investment is accompanied by recognition of the importance of governance to secure longer-term and sustainable improvements in service delivery. The relationship between governance and other sectors is addressed in the comprehensive aid policy framework (CAPF): ‘</w:t>
      </w:r>
      <w:r w:rsidR="00AF6A11">
        <w:rPr>
          <w:i/>
          <w:iCs/>
        </w:rPr>
        <w:t>W</w:t>
      </w:r>
      <w:r w:rsidR="00AF6A11" w:rsidRPr="003E7041">
        <w:rPr>
          <w:i/>
          <w:iCs/>
        </w:rPr>
        <w:t>hile there is forecast to be a reduction in the share of total ODA spent on governance, increasingly governance initiatives will be integrated into sectoral programs in areas such as health and education</w:t>
      </w:r>
      <w:r w:rsidR="00D2236B">
        <w:t>.’</w:t>
      </w:r>
      <w:r w:rsidR="00AF6A11">
        <w:rPr>
          <w:rStyle w:val="EndnoteReference"/>
        </w:rPr>
        <w:endnoteReference w:id="312"/>
      </w:r>
      <w:r w:rsidR="00AF6A11" w:rsidRPr="003E7041">
        <w:t xml:space="preserve"> </w:t>
      </w:r>
      <w:r w:rsidR="00AF6A11">
        <w:t>The ODE 2010 evaluation</w:t>
      </w:r>
      <w:r w:rsidR="00AF6A11">
        <w:rPr>
          <w:rStyle w:val="EndnoteReference"/>
        </w:rPr>
        <w:endnoteReference w:id="313"/>
      </w:r>
      <w:r w:rsidR="00AF6A11">
        <w:t xml:space="preserve"> recommended focusing Australian support to public financial management reform on improved service delivery. The evaluation recommended moving beyond the Ministry of Finance to working with line ministries and local government. The evaluation provided detailed recommendations about the useful focus of Australian support to public financial management reform. This should focus on encouraging partner governments to ensure predictable and timely allocations to line agencies and subnational </w:t>
      </w:r>
      <w:r w:rsidR="00741BC6">
        <w:t>governments</w:t>
      </w:r>
      <w:r w:rsidR="00AF6A11">
        <w:t xml:space="preserve"> improve transparency and provid</w:t>
      </w:r>
      <w:r>
        <w:t>e</w:t>
      </w:r>
      <w:r w:rsidR="00AF6A11">
        <w:t xml:space="preserve"> resources consistent with costs. The ODE 2012 evaluation</w:t>
      </w:r>
      <w:r w:rsidR="00AF6A11">
        <w:rPr>
          <w:rStyle w:val="EndnoteReference"/>
        </w:rPr>
        <w:endnoteReference w:id="314"/>
      </w:r>
      <w:r w:rsidR="00AF6A11">
        <w:t xml:space="preserve"> also recognised the need to increase the range of partners to civil society actors in order to expand the reach of services.</w:t>
      </w:r>
    </w:p>
    <w:p w14:paraId="2CB016EF" w14:textId="77777777" w:rsidR="00AF6A11" w:rsidRDefault="00AF6A11" w:rsidP="002B53F8">
      <w:pPr>
        <w:pStyle w:val="Heading3a"/>
        <w:spacing w:before="240"/>
      </w:pPr>
      <w:bookmarkStart w:id="456" w:name="_Toc382595928"/>
      <w:r w:rsidRPr="003E7041">
        <w:t xml:space="preserve">Increased aid program </w:t>
      </w:r>
      <w:r>
        <w:t>coherence</w:t>
      </w:r>
      <w:bookmarkEnd w:id="456"/>
    </w:p>
    <w:p w14:paraId="7A6C8DB0" w14:textId="204DEBE1" w:rsidR="00AF6A11" w:rsidRDefault="00AF6A11" w:rsidP="00217324">
      <w:r w:rsidRPr="003E7041">
        <w:t xml:space="preserve">The independent review of aid effectiveness noted the need to improve coherence and exploit synergies between how the program is working in different areas such as civil society, governance, and gender. An internal review of the aid architecture in 2013 looked to clarify definitions and structures around policy and strategy in order to improve coherence. This review noted the important role of delivery strategies as a key opportunity to consider implications of decentralisation within a sector. A key dimension of coherence for this evaluation is the linkage between sector support (and staff specialisation) and the governance area, noting that governance is considered both a sector in itself, as well as a </w:t>
      </w:r>
      <w:r w:rsidR="00560B6D">
        <w:t>cross-cutting</w:t>
      </w:r>
      <w:r w:rsidRPr="003E7041">
        <w:t xml:space="preserve"> issue. This is because working effectively in decentralised contexts requires a high level of governance knowledge and practice. </w:t>
      </w:r>
    </w:p>
    <w:p w14:paraId="318481FD" w14:textId="77777777" w:rsidR="00AF6A11" w:rsidRDefault="00AF6A11" w:rsidP="00217324">
      <w:r>
        <w:t>These three reforms all require i</w:t>
      </w:r>
      <w:r w:rsidRPr="007057A9">
        <w:t>ncreased staff knowledge of partner countries, and staff specialisation.</w:t>
      </w:r>
      <w:r w:rsidRPr="006F10D9">
        <w:t xml:space="preserve"> </w:t>
      </w:r>
      <w:r>
        <w:t xml:space="preserve">The white paper stressed the need to strengthen analysis of development issues through deeper knowledge of partner countries. This issue was followed up in the ANAO report of 2009–10, which noted how AusAID devolution had improved knowledge of partner countries. </w:t>
      </w:r>
    </w:p>
    <w:p w14:paraId="437B93DD" w14:textId="77777777" w:rsidR="00AF6A11" w:rsidRPr="006F7D36" w:rsidRDefault="00AF6A11" w:rsidP="002B53F8">
      <w:pPr>
        <w:pStyle w:val="Heading3a"/>
        <w:spacing w:before="240"/>
      </w:pPr>
      <w:bookmarkStart w:id="457" w:name="_Toc382595929"/>
      <w:r w:rsidRPr="006F7D36">
        <w:t xml:space="preserve">The Australian </w:t>
      </w:r>
      <w:r>
        <w:t>a</w:t>
      </w:r>
      <w:r w:rsidRPr="006F7D36">
        <w:t>id program’s response to the international and national reform agenda</w:t>
      </w:r>
      <w:bookmarkEnd w:id="457"/>
    </w:p>
    <w:p w14:paraId="76E44DAA" w14:textId="77777777" w:rsidR="00AF6A11" w:rsidRDefault="00AF6A11" w:rsidP="00C615DC">
      <w:pPr>
        <w:pStyle w:val="NormalBeforeBullet"/>
      </w:pPr>
      <w:r>
        <w:t xml:space="preserve">The Australian aid program has developed a series of policies and supporting strategies in response to the context described previously. </w:t>
      </w:r>
      <w:r w:rsidR="000059B5">
        <w:t>These include:</w:t>
      </w:r>
    </w:p>
    <w:p w14:paraId="2F845E6E" w14:textId="016D8475" w:rsidR="00AF6A11" w:rsidRPr="007F1CBC" w:rsidRDefault="00AF6A11" w:rsidP="00B9479A">
      <w:pPr>
        <w:pStyle w:val="Bullet"/>
        <w:rPr>
          <w:i/>
        </w:rPr>
      </w:pPr>
      <w:r w:rsidRPr="00B9479A">
        <w:rPr>
          <w:b/>
        </w:rPr>
        <w:t>Using and supporting partner government systems and processes:</w:t>
      </w:r>
      <w:r w:rsidRPr="007F1CBC">
        <w:rPr>
          <w:i/>
        </w:rPr>
        <w:t xml:space="preserve"> </w:t>
      </w:r>
      <w:r w:rsidRPr="00656D5E">
        <w:t xml:space="preserve">The </w:t>
      </w:r>
      <w:r>
        <w:t>2012 statement on effective aid shows an increase in funding through developing country governments in 2005–10 from approximately 3 to 8 per cent</w:t>
      </w:r>
      <w:r w:rsidR="00FC540D">
        <w:t>.</w:t>
      </w:r>
      <w:r>
        <w:rPr>
          <w:rStyle w:val="EndnoteReference"/>
        </w:rPr>
        <w:endnoteReference w:id="315"/>
      </w:r>
      <w:r>
        <w:t xml:space="preserve"> </w:t>
      </w:r>
      <w:r w:rsidR="000059B5">
        <w:t xml:space="preserve">The </w:t>
      </w:r>
      <w:r>
        <w:t>CAPF sets a target of 30 per cent of aid delivered through country partners systems by 2014.</w:t>
      </w:r>
      <w:r>
        <w:rPr>
          <w:rStyle w:val="EndnoteReference"/>
        </w:rPr>
        <w:endnoteReference w:id="316"/>
      </w:r>
    </w:p>
    <w:p w14:paraId="04277C8E" w14:textId="617F1BAC" w:rsidR="00AF6A11" w:rsidRDefault="00AF6A11" w:rsidP="00B9479A">
      <w:pPr>
        <w:pStyle w:val="Bullet"/>
      </w:pPr>
      <w:r w:rsidRPr="00B9479A">
        <w:rPr>
          <w:b/>
        </w:rPr>
        <w:t>Increased investment in service delivery:</w:t>
      </w:r>
      <w:r w:rsidRPr="007F1CBC">
        <w:rPr>
          <w:i/>
        </w:rPr>
        <w:t xml:space="preserve"> </w:t>
      </w:r>
      <w:r>
        <w:t>Service delivery is integral to two of the five core objectives of effective aid and CAPF, specifically ‘saving lives’ and ‘promoting opportunities for all</w:t>
      </w:r>
      <w:r w:rsidR="00D2236B">
        <w:t>.’</w:t>
      </w:r>
      <w:r>
        <w:t xml:space="preserve"> The increased commitment to service delivery can be seen in CAPF’s statement</w:t>
      </w:r>
      <w:r w:rsidRPr="00656D5E">
        <w:t xml:space="preserve"> that by 2015</w:t>
      </w:r>
      <w:r>
        <w:t>–</w:t>
      </w:r>
      <w:r w:rsidRPr="00656D5E">
        <w:t>16, 25</w:t>
      </w:r>
      <w:r>
        <w:t> </w:t>
      </w:r>
      <w:r w:rsidRPr="00656D5E">
        <w:t>per cent of the aid budget will be spent on education assistance</w:t>
      </w:r>
      <w:r>
        <w:t>.</w:t>
      </w:r>
      <w:r>
        <w:rPr>
          <w:rStyle w:val="EndnoteReference"/>
        </w:rPr>
        <w:endnoteReference w:id="317"/>
      </w:r>
    </w:p>
    <w:p w14:paraId="79E1F7D9" w14:textId="3FD87B0B" w:rsidR="00AF6A11" w:rsidRPr="00217324" w:rsidRDefault="00AF6A11" w:rsidP="00217324">
      <w:pPr>
        <w:pStyle w:val="BulletLast"/>
      </w:pPr>
      <w:r w:rsidRPr="00B9479A">
        <w:rPr>
          <w:b/>
        </w:rPr>
        <w:t>Coherence within the aid program:</w:t>
      </w:r>
      <w:r w:rsidRPr="007F1CBC">
        <w:t xml:space="preserve"> </w:t>
      </w:r>
      <w:r w:rsidDel="00E6492F">
        <w:t>The relationship between governance and other sectors is</w:t>
      </w:r>
      <w:r w:rsidRPr="00E903F2" w:rsidDel="00E6492F">
        <w:t xml:space="preserve"> </w:t>
      </w:r>
      <w:r w:rsidDel="00E6492F">
        <w:t>addressed</w:t>
      </w:r>
      <w:r w:rsidRPr="00E903F2" w:rsidDel="00E6492F">
        <w:t xml:space="preserve"> </w:t>
      </w:r>
      <w:r w:rsidDel="00E6492F">
        <w:t>within</w:t>
      </w:r>
      <w:r w:rsidRPr="00E903F2" w:rsidDel="00E6492F">
        <w:t xml:space="preserve"> CAPF</w:t>
      </w:r>
      <w:r w:rsidDel="00E6492F">
        <w:t>:</w:t>
      </w:r>
      <w:r w:rsidRPr="00E903F2" w:rsidDel="00E6492F">
        <w:t xml:space="preserve"> </w:t>
      </w:r>
      <w:r w:rsidRPr="007F1CBC">
        <w:t>‘</w:t>
      </w:r>
      <w:r w:rsidRPr="00B9479A">
        <w:rPr>
          <w:i/>
        </w:rPr>
        <w:t>W</w:t>
      </w:r>
      <w:r w:rsidRPr="00B9479A" w:rsidDel="00E6492F">
        <w:rPr>
          <w:i/>
        </w:rPr>
        <w:t>hile there is forecast to be a reduction in the share of total ODA spent on governance, increasingly governance initiatives will be integrated into sectoral programs in areas such as health and education</w:t>
      </w:r>
      <w:r w:rsidR="00D2236B">
        <w:rPr>
          <w:i/>
        </w:rPr>
        <w:t>.’</w:t>
      </w:r>
      <w:r w:rsidRPr="00E903F2" w:rsidDel="00E6492F">
        <w:rPr>
          <w:rStyle w:val="EndnoteReference"/>
        </w:rPr>
        <w:endnoteReference w:id="318"/>
      </w:r>
      <w:r>
        <w:t xml:space="preserve"> Coherence has a human resources, as well as a programming, dimension. The workforce strategy includes development of sector specialists, aid management and aid policy professionals. Currently, competencies for sector specialisation in service delivery areas of health and education are strongly sector specific and do not include strong reference to governance skills.</w:t>
      </w:r>
    </w:p>
    <w:bookmarkStart w:id="458" w:name="_Toc408831802"/>
    <w:p w14:paraId="6CEE3CBC" w14:textId="77777777" w:rsidR="00AF6A11" w:rsidRDefault="00AF6A11" w:rsidP="00921A4C">
      <w:pPr>
        <w:pStyle w:val="Heading1"/>
        <w:ind w:left="0" w:firstLine="0"/>
      </w:pPr>
      <w:r>
        <w:rPr>
          <w:noProof/>
        </w:rPr>
        <mc:AlternateContent>
          <mc:Choice Requires="wps">
            <w:drawing>
              <wp:anchor distT="0" distB="0" distL="114300" distR="114300" simplePos="0" relativeHeight="251771904" behindDoc="1" locked="0" layoutInCell="1" allowOverlap="1" wp14:anchorId="5EDAFEB8" wp14:editId="4B2ABDA6">
                <wp:simplePos x="0" y="0"/>
                <wp:positionH relativeFrom="page">
                  <wp:posOffset>-9525</wp:posOffset>
                </wp:positionH>
                <wp:positionV relativeFrom="paragraph">
                  <wp:posOffset>-266727</wp:posOffset>
                </wp:positionV>
                <wp:extent cx="7610400" cy="1468800"/>
                <wp:effectExtent l="0" t="0" r="0" b="0"/>
                <wp:wrapNone/>
                <wp:docPr id="16" name="Rectangle 16"/>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75pt;margin-top:-21pt;width:599.25pt;height:115.6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yTlAIAAIgFAAAOAAAAZHJzL2Uyb0RvYy54bWysVE1v2zAMvQ/YfxB0X20HbpoFdYqgRYcB&#10;RVu0HXpWZCk2IIsapXzt14+SHbdrix2G5eCIIvlIPpE8v9h3hm0V+hZsxYuTnDNlJdStXVf8x9P1&#10;lxlnPghbCwNWVfygPL9YfP50vnNzNYEGTK2QEYj1852reBOCm2eZl43qhD8BpywpNWAnAom4zmoU&#10;O0LvTDbJ82m2A6wdglTe0+1Vr+SLhK+1kuFOa68CMxWn3EL6Yvqu4jdbnIv5GoVrWjmkIf4hi060&#10;loKOUFciCLbB9h1U10oEDzqcSOgy0LqVKtVA1RT5m2oeG+FUqoXI8W6kyf8/WHm7vUfW1vR2U86s&#10;6OiNHog1YddGMbojgnbOz8nu0d3jIHk6xmr3Grv4T3WwfSL1MJKq9oFJujybFnmZE/eSdEU5nc1I&#10;IJzsxd2hD98UdCweKo4UP5Eptjc+9KZHkxjNg2nr69aYJOB6dWmQbQW9cDEpy1nKmdD/MDM2GluI&#10;bj1ivMliaX0x6RQORkU7Yx+UJlYo/UnKJPWjGuMIKZUNRa9qRK368Kc5/YbaRo9UaQKMyJrij9gD&#10;QOz199h9loN9dFWpnUfn/G+J9c6jR4oMNozOXWsBPwIwVNUQubc/ktRTE1laQX2gnkHoh8k7ed3S&#10;u90IH+4F0vTQW9NGCHf00QZ2FYfhxFkD+Ouj+2hPTU1aznY0jRX3PzcCFWfmu6V2/1qUZRzfJJSn&#10;ZxMS8LVm9VpjN90lxHag3eNkOkb7YI5HjdA90+JYxqikElZS7IrLgEfhMvRbglaPVMtlMqORdSLc&#10;2EcnI3hkNfbl0/5ZoBuaN1Df38JxcsX8TQ/3ttHTwnITQLepwV94HfimcU+NM6ymuE9ey8nqZYEu&#10;fgMAAP//AwBQSwMEFAAGAAgAAAAhAK4WBePfAAAACwEAAA8AAABkcnMvZG93bnJldi54bWxMj81O&#10;wzAQhO9IvIO1SNxaJyk/aYhToUpwiNQDLb278RJHxOsQu214+25PcNpZ7Wj2m3I1uV6ccAydJwXp&#10;PAGB1HjTUavgc/c2y0GEqMno3hMq+MUAq+r2ptSF8Wf6wNM2toJDKBRagY1xKKQMjUWnw9wPSHz7&#10;8qPTkdexlWbUZw53vcyS5Ek63RF/sHrAtcXme3t0Cuoc7b7d1P30U+9SuV68+z1mSt3fTa8vICJO&#10;8c8MV3xGh4qZDv5IJohewSx9ZCfPh4w7XQ3p8pnVgVW+XICsSvm/Q3UBAAD//wMAUEsBAi0AFAAG&#10;AAgAAAAhALaDOJL+AAAA4QEAABMAAAAAAAAAAAAAAAAAAAAAAFtDb250ZW50X1R5cGVzXS54bWxQ&#10;SwECLQAUAAYACAAAACEAOP0h/9YAAACUAQAACwAAAAAAAAAAAAAAAAAvAQAAX3JlbHMvLnJlbHNQ&#10;SwECLQAUAAYACAAAACEAN2aMk5QCAACIBQAADgAAAAAAAAAAAAAAAAAuAgAAZHJzL2Uyb0RvYy54&#10;bWxQSwECLQAUAAYACAAAACEArhYF498AAAALAQAADwAAAAAAAAAAAAAAAADuBAAAZHJzL2Rvd25y&#10;ZXYueG1sUEsFBgAAAAAEAAQA8wAAAPoFAAAAAA==&#10;" fillcolor="#124486" stroked="f" strokeweight="2pt">
                <w10:wrap anchorx="page"/>
              </v:rect>
            </w:pict>
          </mc:Fallback>
        </mc:AlternateContent>
      </w:r>
      <w:r>
        <w:t>Appendix 2</w:t>
      </w:r>
      <w:r>
        <w:tab/>
        <w:t>Evaluation design and methods</w:t>
      </w:r>
      <w:bookmarkEnd w:id="458"/>
    </w:p>
    <w:p w14:paraId="0A9CF0B6" w14:textId="77777777" w:rsidR="00AF6A11" w:rsidRDefault="00AF6A11" w:rsidP="00217324">
      <w:r>
        <w:t xml:space="preserve">This appendix provides detail on the evaluation design and methods. It justifies </w:t>
      </w:r>
      <w:r w:rsidRPr="00FD0E54">
        <w:t>key methodological choices, demonstrate</w:t>
      </w:r>
      <w:r>
        <w:t>s their</w:t>
      </w:r>
      <w:r w:rsidRPr="00FD0E54">
        <w:t xml:space="preserve"> fit</w:t>
      </w:r>
      <w:r>
        <w:t>ness</w:t>
      </w:r>
      <w:r w:rsidRPr="00FD0E54">
        <w:t xml:space="preserve"> for purpose, validity and credibility as well as </w:t>
      </w:r>
      <w:r>
        <w:t xml:space="preserve">acknowledges the </w:t>
      </w:r>
      <w:r w:rsidRPr="00FD0E54">
        <w:t xml:space="preserve">limits of the approach. </w:t>
      </w:r>
      <w:r>
        <w:t>It also explains further background to the</w:t>
      </w:r>
      <w:r w:rsidRPr="00FD0E54">
        <w:t xml:space="preserve"> evaluation criteria applied throughout the report.</w:t>
      </w:r>
      <w:r>
        <w:t xml:space="preserve"> </w:t>
      </w:r>
    </w:p>
    <w:p w14:paraId="41CB25B2" w14:textId="77777777" w:rsidR="00AF6A11" w:rsidRDefault="00AF6A11" w:rsidP="00217324">
      <w:pPr>
        <w:pStyle w:val="Heading2a"/>
      </w:pPr>
      <w:bookmarkStart w:id="459" w:name="_Toc360038972"/>
      <w:bookmarkStart w:id="460" w:name="_Toc371980358"/>
      <w:bookmarkStart w:id="461" w:name="_Toc382563970"/>
      <w:bookmarkStart w:id="462" w:name="_Toc382595931"/>
      <w:r>
        <w:t>A2.1</w:t>
      </w:r>
      <w:bookmarkEnd w:id="459"/>
      <w:r>
        <w:tab/>
      </w:r>
      <w:r w:rsidRPr="007D4735">
        <w:t>Conceptual framework</w:t>
      </w:r>
      <w:bookmarkEnd w:id="460"/>
      <w:bookmarkEnd w:id="461"/>
      <w:bookmarkEnd w:id="462"/>
    </w:p>
    <w:p w14:paraId="2972049E" w14:textId="4E29C3E4" w:rsidR="00AF6A11" w:rsidRDefault="00AF6A11" w:rsidP="00217324">
      <w:r w:rsidRPr="00CD15BE">
        <w:t>The evaluation took a ‘systems approach’ to ensure consideration of the breadth of different ‘parts’ of partner governments and other actors involved in providing services and across service delivery chains</w:t>
      </w:r>
      <w:r>
        <w:t xml:space="preserve"> (Figure </w:t>
      </w:r>
      <w:r w:rsidR="00934BE3">
        <w:t>A</w:t>
      </w:r>
      <w:r>
        <w:t>1)</w:t>
      </w:r>
      <w:r w:rsidRPr="00CD15BE">
        <w:t>. The conceptualisation also incorporated ‘good governance’ aspects of provision of basic services, such as demand-side accountability</w:t>
      </w:r>
      <w:r>
        <w:t xml:space="preserve"> for service delivery.</w:t>
      </w:r>
      <w:r w:rsidRPr="00870F27">
        <w:rPr>
          <w:rStyle w:val="EndnoteReference"/>
          <w:rFonts w:eastAsia="Calibri"/>
        </w:rPr>
        <w:endnoteReference w:id="319"/>
      </w:r>
      <w:r w:rsidRPr="00870F27">
        <w:rPr>
          <w:vertAlign w:val="superscript"/>
        </w:rPr>
        <w:t xml:space="preserve"> </w:t>
      </w:r>
      <w:r w:rsidRPr="00CD15BE">
        <w:t xml:space="preserve">The concept of </w:t>
      </w:r>
      <w:r w:rsidR="00FC540D">
        <w:t xml:space="preserve">the </w:t>
      </w:r>
      <w:r w:rsidRPr="00CD15BE">
        <w:t>supply</w:t>
      </w:r>
      <w:r w:rsidR="00FC540D">
        <w:t xml:space="preserve"> </w:t>
      </w:r>
      <w:r w:rsidRPr="00CD15BE">
        <w:t>side and demand</w:t>
      </w:r>
      <w:r>
        <w:t xml:space="preserve"> </w:t>
      </w:r>
      <w:r w:rsidRPr="00CD15BE">
        <w:t>side of service delivery is commonly used to underpin Australian governance support programs.</w:t>
      </w:r>
      <w:r>
        <w:rPr>
          <w:rFonts w:eastAsia="Calibri"/>
        </w:rPr>
        <w:t xml:space="preserve"> </w:t>
      </w:r>
    </w:p>
    <w:p w14:paraId="1627EAE8" w14:textId="77777777" w:rsidR="00AF6A11" w:rsidRPr="00642248" w:rsidRDefault="00AF6A11" w:rsidP="00217324">
      <w:pPr>
        <w:pStyle w:val="FigureName"/>
      </w:pPr>
      <w:bookmarkStart w:id="463" w:name="_Ref371423951"/>
      <w:r>
        <w:t xml:space="preserve">Figure </w:t>
      </w:r>
      <w:bookmarkEnd w:id="463"/>
      <w:r w:rsidR="00934BE3">
        <w:t>A</w:t>
      </w:r>
      <w:r>
        <w:t>1</w:t>
      </w:r>
      <w:r>
        <w:tab/>
        <w:t>Conceptual framework for service delivery in decentralised contexts</w:t>
      </w:r>
    </w:p>
    <w:p w14:paraId="146B8107" w14:textId="77777777" w:rsidR="00AF6A11" w:rsidRDefault="00AF6A11" w:rsidP="00217324">
      <w:r>
        <w:rPr>
          <w:noProof/>
        </w:rPr>
        <w:drawing>
          <wp:inline distT="0" distB="0" distL="0" distR="0" wp14:anchorId="23F6827F" wp14:editId="42F9056C">
            <wp:extent cx="4258310" cy="2743200"/>
            <wp:effectExtent l="0" t="0" r="0" b="0"/>
            <wp:docPr id="42" name="Picture 42" descr="There are many points for donor support. On the supply side, these include the political, administrative, fiscal and divestment areas. On the demand side, these include a range of supports for social inclusion, such as mechanisms for participation anf influence, and access to information. Donors can approach national and subnational authorities, and can also work with service providers." title="Conceptual framework for service delivery in decentralise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258310" cy="2743200"/>
                    </a:xfrm>
                    <a:prstGeom prst="rect">
                      <a:avLst/>
                    </a:prstGeom>
                    <a:noFill/>
                    <a:ln>
                      <a:noFill/>
                    </a:ln>
                  </pic:spPr>
                </pic:pic>
              </a:graphicData>
            </a:graphic>
          </wp:inline>
        </w:drawing>
      </w:r>
    </w:p>
    <w:p w14:paraId="7B41AC9A" w14:textId="77777777" w:rsidR="00AF6A11" w:rsidRPr="007D4735" w:rsidRDefault="00AF6A11" w:rsidP="00217324">
      <w:pPr>
        <w:pStyle w:val="Heading3a"/>
        <w:rPr>
          <w:rFonts w:eastAsia="Calibri"/>
        </w:rPr>
      </w:pPr>
      <w:bookmarkStart w:id="464" w:name="_Toc348028967"/>
      <w:bookmarkStart w:id="465" w:name="_Toc348518864"/>
      <w:bookmarkStart w:id="466" w:name="_Toc348522365"/>
      <w:bookmarkStart w:id="467" w:name="_Toc371980359"/>
      <w:bookmarkStart w:id="468" w:name="_Toc382563971"/>
      <w:bookmarkStart w:id="469" w:name="_Toc382595932"/>
      <w:r>
        <w:rPr>
          <w:rFonts w:eastAsia="Calibri"/>
        </w:rPr>
        <w:t xml:space="preserve">The supply </w:t>
      </w:r>
      <w:r w:rsidRPr="007D4735">
        <w:rPr>
          <w:rFonts w:eastAsia="Calibri"/>
        </w:rPr>
        <w:t>side</w:t>
      </w:r>
      <w:bookmarkEnd w:id="464"/>
      <w:bookmarkEnd w:id="465"/>
      <w:bookmarkEnd w:id="466"/>
      <w:r w:rsidRPr="007D4735">
        <w:rPr>
          <w:rFonts w:eastAsia="Calibri"/>
        </w:rPr>
        <w:t xml:space="preserve"> of </w:t>
      </w:r>
      <w:r>
        <w:rPr>
          <w:rFonts w:eastAsia="Calibri"/>
        </w:rPr>
        <w:t>dimensions of decentralisation</w:t>
      </w:r>
      <w:bookmarkEnd w:id="467"/>
      <w:bookmarkEnd w:id="468"/>
      <w:bookmarkEnd w:id="469"/>
    </w:p>
    <w:p w14:paraId="21877F97" w14:textId="77777777" w:rsidR="00AF6A11" w:rsidRPr="008912CC" w:rsidRDefault="00AF6A11" w:rsidP="00B9479A">
      <w:pPr>
        <w:rPr>
          <w:rFonts w:eastAsia="Calibri" w:cs="Calibri"/>
        </w:rPr>
      </w:pPr>
      <w:r>
        <w:t>Decentralisation is the transfer of competencies and responsibilities for performing public service obligations from the central government to local or subnational governments.</w:t>
      </w:r>
    </w:p>
    <w:p w14:paraId="66369035" w14:textId="334CCFD4" w:rsidR="00AF6A11" w:rsidRPr="008912CC" w:rsidRDefault="00AF6A11" w:rsidP="00217324">
      <w:pPr>
        <w:rPr>
          <w:rFonts w:cs="Calibri"/>
        </w:rPr>
      </w:pPr>
      <w:r>
        <w:rPr>
          <w:rFonts w:eastAsia="Calibri"/>
        </w:rPr>
        <w:t xml:space="preserve">Different countries have adopted different approaches to decentralisation, and the terms to describe decentralisation vary in their </w:t>
      </w:r>
      <w:r w:rsidR="00FC540D">
        <w:rPr>
          <w:rFonts w:eastAsia="Calibri"/>
        </w:rPr>
        <w:t>use</w:t>
      </w:r>
      <w:r>
        <w:rPr>
          <w:rFonts w:eastAsia="Calibri"/>
        </w:rPr>
        <w:t>. Below are the three main modes of decentralisation (which can also coexist in a given country, including variation between sectors).</w:t>
      </w:r>
      <w:r w:rsidR="00785A85" w:rsidRPr="008912CC">
        <w:rPr>
          <w:rStyle w:val="FootnoteReference"/>
          <w:rFonts w:cs="Calibri"/>
          <w:iCs/>
          <w:sz w:val="22"/>
        </w:rPr>
        <w:footnoteReference w:id="53"/>
      </w:r>
      <w:r w:rsidR="00785A85">
        <w:rPr>
          <w:rFonts w:eastAsia="Calibri"/>
        </w:rPr>
        <w:t xml:space="preserve"> </w:t>
      </w:r>
      <w:r w:rsidRPr="00B9479A">
        <w:rPr>
          <w:rFonts w:cs="Calibri"/>
        </w:rPr>
        <w:t>It should be noted</w:t>
      </w:r>
      <w:r w:rsidRPr="008912CC">
        <w:rPr>
          <w:rFonts w:cs="Calibri"/>
        </w:rPr>
        <w:t xml:space="preserve"> that, in practice, political and practical drivers render the categories below much less clear and well</w:t>
      </w:r>
      <w:r>
        <w:rPr>
          <w:rFonts w:cs="Calibri"/>
        </w:rPr>
        <w:t xml:space="preserve"> </w:t>
      </w:r>
      <w:r w:rsidRPr="008912CC">
        <w:rPr>
          <w:rFonts w:cs="Calibri"/>
        </w:rPr>
        <w:t>defined, particularly when there is low capacity to design decentralisation systems.</w:t>
      </w:r>
    </w:p>
    <w:p w14:paraId="56471E9D" w14:textId="77777777" w:rsidR="00AF6A11" w:rsidRPr="00171564" w:rsidRDefault="00AF6A11" w:rsidP="00217324">
      <w:pPr>
        <w:rPr>
          <w:rFonts w:eastAsia="Calibri"/>
        </w:rPr>
      </w:pPr>
      <w:r w:rsidRPr="00171564">
        <w:rPr>
          <w:rFonts w:eastAsia="Calibri"/>
          <w:b/>
        </w:rPr>
        <w:t>Deconcentration</w:t>
      </w:r>
      <w:r w:rsidRPr="00171564">
        <w:rPr>
          <w:rFonts w:eastAsia="Calibri"/>
        </w:rPr>
        <w:t>: The leas</w:t>
      </w:r>
      <w:r>
        <w:rPr>
          <w:rFonts w:eastAsia="Calibri"/>
        </w:rPr>
        <w:t>t ambitious level of decentralis</w:t>
      </w:r>
      <w:r w:rsidRPr="00171564">
        <w:rPr>
          <w:rFonts w:eastAsia="Calibri"/>
        </w:rPr>
        <w:t>ation, where r</w:t>
      </w:r>
      <w:r>
        <w:rPr>
          <w:rFonts w:eastAsia="Calibri"/>
        </w:rPr>
        <w:t xml:space="preserve">esponsibilities are transferred </w:t>
      </w:r>
      <w:r w:rsidRPr="00171564">
        <w:rPr>
          <w:rFonts w:eastAsia="Calibri"/>
        </w:rPr>
        <w:t>to an administrative unit of the central government that is spatially</w:t>
      </w:r>
      <w:r>
        <w:rPr>
          <w:rFonts w:eastAsia="Calibri"/>
        </w:rPr>
        <w:t xml:space="preserve"> closer to the population where </w:t>
      </w:r>
      <w:r w:rsidRPr="00171564">
        <w:rPr>
          <w:rFonts w:eastAsia="Calibri"/>
        </w:rPr>
        <w:t>service is to be provided, usually a field or regional office</w:t>
      </w:r>
      <w:r>
        <w:rPr>
          <w:rFonts w:eastAsia="Calibri"/>
        </w:rPr>
        <w:t>.</w:t>
      </w:r>
    </w:p>
    <w:p w14:paraId="016E5351" w14:textId="24CDD53A" w:rsidR="00AF6A11" w:rsidRPr="00171564" w:rsidRDefault="00AF6A11" w:rsidP="00217324">
      <w:pPr>
        <w:rPr>
          <w:rFonts w:eastAsia="Calibri"/>
        </w:rPr>
      </w:pPr>
      <w:r w:rsidRPr="00171564">
        <w:rPr>
          <w:rFonts w:eastAsia="Calibri"/>
          <w:b/>
        </w:rPr>
        <w:t>Delegation</w:t>
      </w:r>
      <w:r w:rsidRPr="00171564">
        <w:rPr>
          <w:rFonts w:eastAsia="Calibri"/>
        </w:rPr>
        <w:t>: An intermediate level of decentrali</w:t>
      </w:r>
      <w:r>
        <w:rPr>
          <w:rFonts w:eastAsia="Calibri"/>
        </w:rPr>
        <w:t>s</w:t>
      </w:r>
      <w:r w:rsidRPr="00171564">
        <w:rPr>
          <w:rFonts w:eastAsia="Calibri"/>
        </w:rPr>
        <w:t>ation, where some aut</w:t>
      </w:r>
      <w:r>
        <w:rPr>
          <w:rFonts w:eastAsia="Calibri"/>
        </w:rPr>
        <w:t xml:space="preserve">hority and responsibilities are </w:t>
      </w:r>
      <w:r w:rsidRPr="00171564">
        <w:rPr>
          <w:rFonts w:eastAsia="Calibri"/>
        </w:rPr>
        <w:t>transferred to a lower level of government, but there is a principal</w:t>
      </w:r>
      <w:r w:rsidR="00FC540D">
        <w:rPr>
          <w:rFonts w:ascii="Trebuchet MS" w:eastAsia="Calibri" w:hAnsi="Trebuchet MS"/>
        </w:rPr>
        <w:t>–</w:t>
      </w:r>
      <w:r>
        <w:rPr>
          <w:rFonts w:eastAsia="Calibri"/>
        </w:rPr>
        <w:t xml:space="preserve">agent relationship between the </w:t>
      </w:r>
      <w:r w:rsidRPr="00171564">
        <w:rPr>
          <w:rFonts w:eastAsia="Calibri"/>
        </w:rPr>
        <w:t>central and subnational government in question, with the age</w:t>
      </w:r>
      <w:r>
        <w:rPr>
          <w:rFonts w:eastAsia="Calibri"/>
        </w:rPr>
        <w:t xml:space="preserve">nt remaining accountable to the </w:t>
      </w:r>
      <w:r w:rsidRPr="00171564">
        <w:rPr>
          <w:rFonts w:eastAsia="Calibri"/>
        </w:rPr>
        <w:t>principal</w:t>
      </w:r>
      <w:r>
        <w:rPr>
          <w:rFonts w:eastAsia="Calibri"/>
        </w:rPr>
        <w:t>.</w:t>
      </w:r>
    </w:p>
    <w:p w14:paraId="007EFB95" w14:textId="77777777" w:rsidR="00AF6A11" w:rsidRDefault="00AF6A11" w:rsidP="00217324">
      <w:pPr>
        <w:rPr>
          <w:rFonts w:eastAsia="Calibri"/>
        </w:rPr>
      </w:pPr>
      <w:r w:rsidRPr="00171564">
        <w:rPr>
          <w:rFonts w:eastAsia="Calibri"/>
          <w:b/>
        </w:rPr>
        <w:t>Devolution</w:t>
      </w:r>
      <w:r w:rsidRPr="00171564">
        <w:rPr>
          <w:rFonts w:eastAsia="Calibri"/>
        </w:rPr>
        <w:t>: The mo</w:t>
      </w:r>
      <w:r>
        <w:rPr>
          <w:rFonts w:eastAsia="Calibri"/>
        </w:rPr>
        <w:t>st ambitious form of decentralis</w:t>
      </w:r>
      <w:r w:rsidRPr="00171564">
        <w:rPr>
          <w:rFonts w:eastAsia="Calibri"/>
        </w:rPr>
        <w:t xml:space="preserve">ation, where </w:t>
      </w:r>
      <w:r>
        <w:rPr>
          <w:rFonts w:eastAsia="Calibri"/>
        </w:rPr>
        <w:t xml:space="preserve">the central government devolves </w:t>
      </w:r>
      <w:r w:rsidRPr="00171564">
        <w:rPr>
          <w:rFonts w:eastAsia="Calibri"/>
        </w:rPr>
        <w:t>responsibility, authority, and accountability to subnational government</w:t>
      </w:r>
      <w:r>
        <w:rPr>
          <w:rFonts w:eastAsia="Calibri"/>
        </w:rPr>
        <w:t xml:space="preserve">s with some degree of political </w:t>
      </w:r>
      <w:r w:rsidRPr="00171564">
        <w:rPr>
          <w:rFonts w:eastAsia="Calibri"/>
        </w:rPr>
        <w:t>autonomy</w:t>
      </w:r>
      <w:r>
        <w:rPr>
          <w:rFonts w:eastAsia="Calibri"/>
        </w:rPr>
        <w:t>.</w:t>
      </w:r>
    </w:p>
    <w:p w14:paraId="22863C9A" w14:textId="77777777" w:rsidR="00AF6A11" w:rsidRDefault="00AF6A11" w:rsidP="00217324">
      <w:pPr>
        <w:pStyle w:val="BoxQuote"/>
      </w:pPr>
      <w:r w:rsidRPr="008912CC">
        <w:t>Decentralization is not necessarily good or bad. If it is designed well, it can move decision-making closer to people and improve governance, including the efficiency of service delivery. If decentralization is not appropriately designed or is introduced in environments in which local participation and accountability are constrained, its effect can be negative. The key challenge is to balance responsibilities with accountability and resources…Two key questions are (a) who does what regarding spending, taxing, and monitoring outcomes and (b) who is accountable to whom.</w:t>
      </w:r>
    </w:p>
    <w:p w14:paraId="12CFAB23" w14:textId="77777777" w:rsidR="000059B5" w:rsidRPr="000059B5" w:rsidRDefault="000059B5" w:rsidP="00C615DC">
      <w:pPr>
        <w:pStyle w:val="BoxQuoteSource"/>
      </w:pPr>
      <w:r w:rsidRPr="00F2730B">
        <w:t xml:space="preserve">World Bank, </w:t>
      </w:r>
      <w:r w:rsidRPr="008904CA">
        <w:rPr>
          <w:i/>
        </w:rPr>
        <w:t>A sourcebook for poverty reduction strategies,</w:t>
      </w:r>
      <w:r w:rsidRPr="00F2730B">
        <w:t xml:space="preserve"> </w:t>
      </w:r>
      <w:r>
        <w:t xml:space="preserve">World Bank, Washington DC, </w:t>
      </w:r>
      <w:r w:rsidRPr="00F2730B">
        <w:t>2002, p.279</w:t>
      </w:r>
      <w:r>
        <w:t>.</w:t>
      </w:r>
    </w:p>
    <w:p w14:paraId="46D57AC5" w14:textId="77777777" w:rsidR="00AF6A11" w:rsidRPr="008912CC" w:rsidRDefault="00AF6A11" w:rsidP="00C615DC">
      <w:pPr>
        <w:pStyle w:val="NormalBeforeBullet"/>
        <w:rPr>
          <w:rFonts w:eastAsia="Calibri"/>
        </w:rPr>
      </w:pPr>
      <w:r w:rsidRPr="008912CC">
        <w:rPr>
          <w:rFonts w:eastAsia="Calibri"/>
        </w:rPr>
        <w:t>There are four main dimensions of decentralisation:</w:t>
      </w:r>
      <w:r w:rsidR="00785A85" w:rsidRPr="00B9479A">
        <w:rPr>
          <w:rStyle w:val="FootnoteReference"/>
          <w:rFonts w:eastAsia="Calibri" w:cs="Calibri"/>
          <w:sz w:val="22"/>
          <w:szCs w:val="22"/>
        </w:rPr>
        <w:footnoteReference w:id="54"/>
      </w:r>
      <w:r w:rsidR="00785A85" w:rsidRPr="008912CC">
        <w:rPr>
          <w:rFonts w:eastAsia="Calibri"/>
        </w:rPr>
        <w:t xml:space="preserve"> </w:t>
      </w:r>
    </w:p>
    <w:p w14:paraId="06D3A87E" w14:textId="77777777" w:rsidR="00AF6A11" w:rsidRDefault="00AF6A11" w:rsidP="00C615DC">
      <w:pPr>
        <w:pStyle w:val="Bullet"/>
        <w:rPr>
          <w:rFonts w:eastAsia="Calibri"/>
        </w:rPr>
      </w:pPr>
      <w:r>
        <w:rPr>
          <w:rFonts w:eastAsia="Calibri"/>
          <w:b/>
        </w:rPr>
        <w:t>Political decentralis</w:t>
      </w:r>
      <w:r w:rsidRPr="00171564">
        <w:rPr>
          <w:rFonts w:eastAsia="Calibri"/>
          <w:b/>
        </w:rPr>
        <w:t>ation</w:t>
      </w:r>
      <w:r w:rsidRPr="00171564">
        <w:rPr>
          <w:rFonts w:eastAsia="Calibri"/>
        </w:rPr>
        <w:t>: A process whereby the voice of citizens is inte</w:t>
      </w:r>
      <w:r>
        <w:rPr>
          <w:rFonts w:eastAsia="Calibri"/>
        </w:rPr>
        <w:t xml:space="preserve">grated into policy decisions at </w:t>
      </w:r>
      <w:r w:rsidRPr="00171564">
        <w:rPr>
          <w:rFonts w:eastAsia="Calibri"/>
        </w:rPr>
        <w:t>a subnational level and civil society can hold the associated authorities and officials accountable</w:t>
      </w:r>
      <w:r>
        <w:rPr>
          <w:rFonts w:eastAsia="Calibri"/>
        </w:rPr>
        <w:t xml:space="preserve">. </w:t>
      </w:r>
      <w:r w:rsidRPr="00D539E6">
        <w:rPr>
          <w:szCs w:val="21"/>
        </w:rPr>
        <w:t xml:space="preserve">Questions for service delivery include: </w:t>
      </w:r>
      <w:r w:rsidRPr="00D539E6">
        <w:t>What authority is held at subnational level to make decisions about service delivery? Who</w:t>
      </w:r>
      <w:r>
        <w:t xml:space="preserve"> </w:t>
      </w:r>
      <w:r w:rsidRPr="00D539E6">
        <w:t>makes decisions and how are they held accountable for those decisions?</w:t>
      </w:r>
    </w:p>
    <w:p w14:paraId="00F3A3D9" w14:textId="77777777" w:rsidR="00AF6A11" w:rsidRPr="00171564" w:rsidRDefault="00AF6A11" w:rsidP="00C615DC">
      <w:pPr>
        <w:pStyle w:val="Bullet"/>
      </w:pPr>
      <w:r w:rsidRPr="00642248">
        <w:rPr>
          <w:b/>
        </w:rPr>
        <w:t>Administrative decentralisation:</w:t>
      </w:r>
      <w:r>
        <w:t xml:space="preserve"> </w:t>
      </w:r>
      <w:r w:rsidRPr="00171564">
        <w:t>The process of redistributing authority and responsibility for providing public services from the central or national level of government to a subnational and/or local level</w:t>
      </w:r>
      <w:r>
        <w:t xml:space="preserve">. </w:t>
      </w:r>
      <w:r w:rsidRPr="00171564">
        <w:rPr>
          <w:szCs w:val="21"/>
        </w:rPr>
        <w:t xml:space="preserve">Questions for service delivery include: </w:t>
      </w:r>
      <w:r w:rsidRPr="00171564">
        <w:t>Where does responsibility for planning, providing and delivering services and monitoring lie? To what extent are lines of accountability back up to national level?</w:t>
      </w:r>
    </w:p>
    <w:p w14:paraId="1DE1668B" w14:textId="77777777" w:rsidR="00AF6A11" w:rsidRPr="00024D95" w:rsidRDefault="00AF6A11" w:rsidP="00C615DC">
      <w:pPr>
        <w:pStyle w:val="Bullet"/>
        <w:rPr>
          <w:rFonts w:eastAsia="Calibri"/>
        </w:rPr>
      </w:pPr>
      <w:r w:rsidRPr="00171564">
        <w:rPr>
          <w:rFonts w:eastAsia="Calibri"/>
          <w:b/>
        </w:rPr>
        <w:t>Fiscal decentralisation:</w:t>
      </w:r>
      <w:r>
        <w:rPr>
          <w:rFonts w:eastAsia="Calibri"/>
        </w:rPr>
        <w:t xml:space="preserve"> The decentralis</w:t>
      </w:r>
      <w:r w:rsidRPr="00171564">
        <w:rPr>
          <w:rFonts w:eastAsia="Calibri"/>
        </w:rPr>
        <w:t>ation of government expenditur</w:t>
      </w:r>
      <w:r>
        <w:rPr>
          <w:rFonts w:eastAsia="Calibri"/>
        </w:rPr>
        <w:t xml:space="preserve">e and revenue-raising authority </w:t>
      </w:r>
      <w:r w:rsidRPr="00171564">
        <w:rPr>
          <w:rFonts w:eastAsia="Calibri"/>
        </w:rPr>
        <w:t>to subnational government structures in line with their allocated functional responsibilities</w:t>
      </w:r>
      <w:r>
        <w:rPr>
          <w:rFonts w:eastAsia="Calibri"/>
        </w:rPr>
        <w:t xml:space="preserve"> </w:t>
      </w:r>
      <w:r w:rsidRPr="00642248">
        <w:t>Questions for service delivery include: How consistent or stable are any financial flows from national level? What authority for revenue raising is available at local level? How complex are financial mechanisms at subnational level?</w:t>
      </w:r>
    </w:p>
    <w:p w14:paraId="6B27AA80" w14:textId="77777777" w:rsidR="00AF6A11" w:rsidRPr="008912CC" w:rsidRDefault="00AF6A11" w:rsidP="00C615DC">
      <w:pPr>
        <w:pStyle w:val="BulletLast"/>
        <w:rPr>
          <w:rFonts w:cs="Calibri"/>
          <w:b/>
          <w:iCs/>
        </w:rPr>
      </w:pPr>
      <w:r w:rsidRPr="008912CC">
        <w:rPr>
          <w:rFonts w:cs="Calibri"/>
          <w:b/>
          <w:iCs/>
        </w:rPr>
        <w:t>Market decentralisation:</w:t>
      </w:r>
      <w:r w:rsidRPr="00B9479A">
        <w:rPr>
          <w:rStyle w:val="EndnoteReference"/>
          <w:rFonts w:cs="Calibri"/>
          <w:iCs/>
        </w:rPr>
        <w:endnoteReference w:id="320"/>
      </w:r>
      <w:r w:rsidRPr="00B9479A">
        <w:rPr>
          <w:rFonts w:cs="Calibri"/>
          <w:iCs/>
        </w:rPr>
        <w:t xml:space="preserve"> </w:t>
      </w:r>
      <w:r>
        <w:t>Involvement of non-state providers, including non-governmental organisations, community-based organisation and the private sector.</w:t>
      </w:r>
      <w:r w:rsidRPr="008912CC">
        <w:rPr>
          <w:rFonts w:cs="Calibri"/>
          <w:b/>
          <w:iCs/>
        </w:rPr>
        <w:t xml:space="preserve"> </w:t>
      </w:r>
      <w:r w:rsidRPr="008912CC">
        <w:rPr>
          <w:rFonts w:cs="Calibri"/>
        </w:rPr>
        <w:t>Questions for service delivery include: How are non-state providers held to account? Are non-state actors incorporated into planning and budgeting processes? Are specific services contracted out or full priv</w:t>
      </w:r>
      <w:r>
        <w:rPr>
          <w:rFonts w:cs="Calibri"/>
        </w:rPr>
        <w:t>a</w:t>
      </w:r>
      <w:r w:rsidRPr="008912CC">
        <w:rPr>
          <w:rFonts w:cs="Calibri"/>
        </w:rPr>
        <w:t xml:space="preserve">tisation? </w:t>
      </w:r>
    </w:p>
    <w:p w14:paraId="6BC4EB31" w14:textId="77777777" w:rsidR="00AF6A11" w:rsidRPr="007D4735" w:rsidRDefault="00AF6A11" w:rsidP="00217324">
      <w:pPr>
        <w:pStyle w:val="Heading3a"/>
        <w:rPr>
          <w:rFonts w:eastAsia="Calibri"/>
        </w:rPr>
      </w:pPr>
      <w:bookmarkStart w:id="470" w:name="_Toc371980360"/>
      <w:bookmarkStart w:id="471" w:name="_Toc382563972"/>
      <w:bookmarkStart w:id="472" w:name="_Toc382595933"/>
      <w:r>
        <w:rPr>
          <w:rFonts w:eastAsia="Calibri"/>
        </w:rPr>
        <w:t xml:space="preserve">The demand </w:t>
      </w:r>
      <w:r w:rsidRPr="007D4735">
        <w:rPr>
          <w:rFonts w:eastAsia="Calibri"/>
        </w:rPr>
        <w:t xml:space="preserve">side of </w:t>
      </w:r>
      <w:r>
        <w:rPr>
          <w:rFonts w:eastAsia="Calibri"/>
        </w:rPr>
        <w:t>service delivery</w:t>
      </w:r>
      <w:bookmarkEnd w:id="470"/>
      <w:bookmarkEnd w:id="471"/>
      <w:bookmarkEnd w:id="472"/>
      <w:r w:rsidRPr="007D4735">
        <w:rPr>
          <w:rFonts w:eastAsia="Calibri"/>
        </w:rPr>
        <w:t xml:space="preserve"> </w:t>
      </w:r>
    </w:p>
    <w:p w14:paraId="7C7FB49A" w14:textId="77777777" w:rsidR="00AF6A11" w:rsidRPr="008912CC" w:rsidRDefault="00AF6A11" w:rsidP="00217324">
      <w:pPr>
        <w:rPr>
          <w:rFonts w:eastAsia="Calibri"/>
        </w:rPr>
      </w:pPr>
      <w:r w:rsidRPr="008912CC">
        <w:rPr>
          <w:rFonts w:eastAsia="Calibri"/>
        </w:rPr>
        <w:t xml:space="preserve">Citizen demands for effective governance represent an important facet to effective service delivery in decentralised contexts. Their role is critical to support accountability for the quantity and quality of services and who gains access to services. Three areas are of importance: </w:t>
      </w:r>
    </w:p>
    <w:p w14:paraId="4A407740" w14:textId="111762B4" w:rsidR="00AF6A11" w:rsidRPr="008912CC" w:rsidRDefault="00AF6A11" w:rsidP="00C615DC">
      <w:pPr>
        <w:pStyle w:val="Bullet"/>
        <w:rPr>
          <w:rFonts w:eastAsia="Calibri"/>
          <w:i/>
        </w:rPr>
      </w:pPr>
      <w:r w:rsidRPr="008912CC">
        <w:rPr>
          <w:rFonts w:eastAsia="Calibri"/>
          <w:b/>
        </w:rPr>
        <w:t>Mechanisms for participation and influence</w:t>
      </w:r>
      <w:r w:rsidRPr="008912CC">
        <w:rPr>
          <w:rFonts w:eastAsia="Calibri"/>
          <w:i/>
        </w:rPr>
        <w:t xml:space="preserve">: </w:t>
      </w:r>
      <w:r w:rsidRPr="008912CC">
        <w:rPr>
          <w:rFonts w:eastAsia="Calibri"/>
        </w:rPr>
        <w:t xml:space="preserve">refers to the structures and processes </w:t>
      </w:r>
      <w:r>
        <w:rPr>
          <w:rFonts w:eastAsia="Calibri"/>
        </w:rPr>
        <w:t>that</w:t>
      </w:r>
      <w:r w:rsidRPr="008912CC">
        <w:rPr>
          <w:rFonts w:eastAsia="Calibri"/>
        </w:rPr>
        <w:t xml:space="preserve"> ensure active participation of citizens in influencing the operations of government. </w:t>
      </w:r>
      <w:r>
        <w:rPr>
          <w:rFonts w:eastAsia="Calibri"/>
        </w:rPr>
        <w:t>A common understanding of citizen participation is voting in elections. However, there are a variety of other mechanisms including participat</w:t>
      </w:r>
      <w:r w:rsidR="00FC540D">
        <w:rPr>
          <w:rFonts w:eastAsia="Calibri"/>
        </w:rPr>
        <w:t>ion in</w:t>
      </w:r>
      <w:r>
        <w:rPr>
          <w:rFonts w:eastAsia="Calibri"/>
        </w:rPr>
        <w:t xml:space="preserve"> budgeting</w:t>
      </w:r>
      <w:r w:rsidR="00FC540D">
        <w:rPr>
          <w:rFonts w:eastAsia="Calibri"/>
        </w:rPr>
        <w:t>,</w:t>
      </w:r>
      <w:r>
        <w:rPr>
          <w:rFonts w:eastAsia="Calibri"/>
        </w:rPr>
        <w:t xml:space="preserve"> planning, monitoring and social auditing processes. </w:t>
      </w:r>
    </w:p>
    <w:p w14:paraId="262B9D1B" w14:textId="6A5A27AD" w:rsidR="00AF6A11" w:rsidRPr="008912CC" w:rsidRDefault="00AF6A11" w:rsidP="00C615DC">
      <w:pPr>
        <w:pStyle w:val="Bullet"/>
        <w:rPr>
          <w:rFonts w:eastAsia="Calibri"/>
          <w:i/>
        </w:rPr>
      </w:pPr>
      <w:r w:rsidRPr="008912CC">
        <w:rPr>
          <w:rFonts w:eastAsia="Calibri"/>
          <w:b/>
        </w:rPr>
        <w:t>Access to information</w:t>
      </w:r>
      <w:r w:rsidRPr="008912CC">
        <w:rPr>
          <w:rFonts w:eastAsia="Calibri"/>
          <w:i/>
        </w:rPr>
        <w:t>:</w:t>
      </w:r>
      <w:r w:rsidRPr="008912CC">
        <w:rPr>
          <w:rFonts w:eastAsia="Calibri"/>
        </w:rPr>
        <w:t xml:space="preserve"> refers to the extent to which governments, especially at the local level</w:t>
      </w:r>
      <w:r w:rsidR="00FC540D">
        <w:rPr>
          <w:rFonts w:eastAsia="Calibri"/>
        </w:rPr>
        <w:t>,</w:t>
      </w:r>
      <w:r w:rsidRPr="008912CC">
        <w:rPr>
          <w:rFonts w:eastAsia="Calibri"/>
        </w:rPr>
        <w:t xml:space="preserve"> ensure accountability and transparency to their constituents and citizens can access the information to understand the role of government and their rights in relation to government commitments.</w:t>
      </w:r>
      <w:r w:rsidRPr="008912CC">
        <w:rPr>
          <w:rFonts w:eastAsia="Calibri"/>
          <w:i/>
        </w:rPr>
        <w:t xml:space="preserve"> </w:t>
      </w:r>
      <w:r w:rsidRPr="005431DB">
        <w:rPr>
          <w:rFonts w:eastAsia="Calibri"/>
        </w:rPr>
        <w:t>Access to information can include public display of budgets and acquittals, user-friendly information on government policy and processes</w:t>
      </w:r>
      <w:r w:rsidR="00FC540D">
        <w:rPr>
          <w:rFonts w:eastAsia="Calibri"/>
        </w:rPr>
        <w:t>,</w:t>
      </w:r>
      <w:r w:rsidRPr="005431DB">
        <w:rPr>
          <w:rFonts w:eastAsia="Calibri"/>
        </w:rPr>
        <w:t xml:space="preserve"> and commitments and standards of service delivery.</w:t>
      </w:r>
      <w:r>
        <w:rPr>
          <w:rFonts w:eastAsia="Calibri"/>
        </w:rPr>
        <w:t xml:space="preserve"> </w:t>
      </w:r>
    </w:p>
    <w:p w14:paraId="7236D9E4" w14:textId="49325CF8" w:rsidR="00AF6A11" w:rsidRPr="008912CC" w:rsidRDefault="00AF6A11" w:rsidP="00C615DC">
      <w:pPr>
        <w:pStyle w:val="BulletLast"/>
        <w:rPr>
          <w:rFonts w:eastAsia="Calibri"/>
          <w:i/>
        </w:rPr>
      </w:pPr>
      <w:r w:rsidRPr="008912CC">
        <w:rPr>
          <w:rFonts w:eastAsia="Calibri"/>
          <w:b/>
        </w:rPr>
        <w:t>Quality of participation and voice</w:t>
      </w:r>
      <w:r w:rsidRPr="008912CC">
        <w:rPr>
          <w:rFonts w:eastAsia="Calibri"/>
          <w:i/>
        </w:rPr>
        <w:t xml:space="preserve">: </w:t>
      </w:r>
      <w:r w:rsidRPr="008912CC">
        <w:rPr>
          <w:rFonts w:eastAsia="Calibri"/>
        </w:rPr>
        <w:t xml:space="preserve">refers to the capability of citizens, as individuals and in groups, to be in active in mechanisms for participation available to them, to </w:t>
      </w:r>
      <w:r w:rsidR="00FC540D">
        <w:rPr>
          <w:rFonts w:eastAsia="Calibri"/>
        </w:rPr>
        <w:t>use</w:t>
      </w:r>
      <w:r w:rsidR="00FC540D" w:rsidRPr="008912CC">
        <w:rPr>
          <w:rFonts w:eastAsia="Calibri"/>
        </w:rPr>
        <w:t xml:space="preserve"> </w:t>
      </w:r>
      <w:r w:rsidRPr="008912CC">
        <w:rPr>
          <w:rFonts w:eastAsia="Calibri"/>
        </w:rPr>
        <w:t xml:space="preserve">available information and to express their voice with government to influence </w:t>
      </w:r>
      <w:r w:rsidR="00FC540D">
        <w:rPr>
          <w:rFonts w:eastAsia="Calibri"/>
        </w:rPr>
        <w:t xml:space="preserve">the </w:t>
      </w:r>
      <w:r w:rsidRPr="008912CC">
        <w:rPr>
          <w:rFonts w:eastAsia="Calibri"/>
        </w:rPr>
        <w:t>practice of government and service delivery.</w:t>
      </w:r>
      <w:r>
        <w:rPr>
          <w:rFonts w:eastAsia="Calibri"/>
        </w:rPr>
        <w:t xml:space="preserve"> </w:t>
      </w:r>
      <w:r w:rsidRPr="0000283C">
        <w:rPr>
          <w:rFonts w:eastAsia="Calibri"/>
        </w:rPr>
        <w:t>An important component of quality of participation and voice are perceptions of power and identity within community members and between citize</w:t>
      </w:r>
      <w:r>
        <w:rPr>
          <w:rFonts w:eastAsia="Calibri"/>
        </w:rPr>
        <w:t>ns</w:t>
      </w:r>
      <w:r w:rsidRPr="0000283C">
        <w:rPr>
          <w:rFonts w:eastAsia="Calibri"/>
        </w:rPr>
        <w:t xml:space="preserve"> and government</w:t>
      </w:r>
      <w:r>
        <w:rPr>
          <w:rFonts w:eastAsia="Calibri"/>
        </w:rPr>
        <w:t>, including the gender dimensions of each of these</w:t>
      </w:r>
      <w:r w:rsidRPr="0000283C">
        <w:rPr>
          <w:rFonts w:eastAsia="Calibri"/>
        </w:rPr>
        <w:t>.</w:t>
      </w:r>
      <w:r>
        <w:rPr>
          <w:rFonts w:eastAsia="Calibri"/>
        </w:rPr>
        <w:t xml:space="preserve"> </w:t>
      </w:r>
    </w:p>
    <w:p w14:paraId="3D51EBCD" w14:textId="77777777" w:rsidR="00AF6A11" w:rsidRPr="008912CC" w:rsidRDefault="00AF6A11" w:rsidP="00217324">
      <w:pPr>
        <w:rPr>
          <w:rFonts w:eastAsia="Calibri"/>
        </w:rPr>
      </w:pPr>
      <w:r w:rsidRPr="008912CC">
        <w:rPr>
          <w:rFonts w:eastAsia="Calibri"/>
        </w:rPr>
        <w:t>Social inclusion and gender equity are of importance within the demand</w:t>
      </w:r>
      <w:r>
        <w:rPr>
          <w:rFonts w:eastAsia="Calibri"/>
        </w:rPr>
        <w:t xml:space="preserve"> </w:t>
      </w:r>
      <w:r w:rsidRPr="008912CC">
        <w:rPr>
          <w:rFonts w:eastAsia="Calibri"/>
        </w:rPr>
        <w:t xml:space="preserve">side of service delivery. These concern the extent to which women, men, girls, boys, people living with disabilities and other minority groups are able to participate in decisions, hold service providers to account, and access services. </w:t>
      </w:r>
    </w:p>
    <w:p w14:paraId="0ACFE793" w14:textId="77777777" w:rsidR="00AF6A11" w:rsidRPr="007D4735" w:rsidRDefault="00AF6A11" w:rsidP="00217324">
      <w:pPr>
        <w:pStyle w:val="Heading3a"/>
        <w:rPr>
          <w:rFonts w:eastAsia="Calibri"/>
        </w:rPr>
      </w:pPr>
      <w:bookmarkStart w:id="473" w:name="_Toc371980361"/>
      <w:bookmarkStart w:id="474" w:name="_Toc382563973"/>
      <w:bookmarkStart w:id="475" w:name="_Toc382595934"/>
      <w:r w:rsidRPr="007D4735">
        <w:rPr>
          <w:rFonts w:eastAsia="Calibri"/>
        </w:rPr>
        <w:t>The political dimensions of decentralisation</w:t>
      </w:r>
      <w:bookmarkEnd w:id="473"/>
      <w:bookmarkEnd w:id="474"/>
      <w:bookmarkEnd w:id="475"/>
      <w:r w:rsidRPr="007D4735">
        <w:rPr>
          <w:rFonts w:eastAsia="Calibri"/>
        </w:rPr>
        <w:t xml:space="preserve"> </w:t>
      </w:r>
    </w:p>
    <w:p w14:paraId="64F3AC8B" w14:textId="77777777" w:rsidR="00AF6A11" w:rsidRPr="00CD15BE" w:rsidRDefault="00AF6A11" w:rsidP="00217324">
      <w:pPr>
        <w:rPr>
          <w:rFonts w:eastAsia="Calibri"/>
        </w:rPr>
      </w:pPr>
      <w:r w:rsidRPr="00CD15BE">
        <w:rPr>
          <w:rFonts w:eastAsia="Calibri"/>
        </w:rPr>
        <w:t>At its core</w:t>
      </w:r>
      <w:r>
        <w:rPr>
          <w:rFonts w:eastAsia="Calibri"/>
        </w:rPr>
        <w:t>,</w:t>
      </w:r>
      <w:r w:rsidRPr="00CD15BE">
        <w:rPr>
          <w:rFonts w:eastAsia="Calibri"/>
        </w:rPr>
        <w:t xml:space="preserve"> decentralisation is a political process, often initiated by explicit legislation, and its implementation depends on the active engagement of a range of political actors.</w:t>
      </w:r>
      <w:r>
        <w:rPr>
          <w:rFonts w:eastAsia="Calibri"/>
        </w:rPr>
        <w:t xml:space="preserve"> </w:t>
      </w:r>
    </w:p>
    <w:p w14:paraId="732F4EE6" w14:textId="77777777" w:rsidR="00AF6A11" w:rsidRPr="00CD15BE" w:rsidRDefault="00AF6A11" w:rsidP="00217324">
      <w:pPr>
        <w:rPr>
          <w:rFonts w:eastAsia="Calibri"/>
        </w:rPr>
      </w:pPr>
      <w:r w:rsidRPr="00CD15BE">
        <w:t>The process of decentralisation is complex and guided in local contexts by formal structur</w:t>
      </w:r>
      <w:r>
        <w:t>es, organisations and processes. It is also</w:t>
      </w:r>
      <w:r w:rsidRPr="00CD15BE">
        <w:t xml:space="preserve"> influenced by informal relationships and power structures at both national and subnational levels</w:t>
      </w:r>
      <w:r>
        <w:t xml:space="preserve">. </w:t>
      </w:r>
    </w:p>
    <w:p w14:paraId="78F2B7CD" w14:textId="77777777" w:rsidR="00AF6A11" w:rsidRPr="00CD15BE" w:rsidRDefault="00AF6A11" w:rsidP="00217324">
      <w:pPr>
        <w:rPr>
          <w:rFonts w:eastAsia="Calibri"/>
        </w:rPr>
      </w:pPr>
      <w:r w:rsidRPr="00CD15BE">
        <w:rPr>
          <w:rFonts w:eastAsia="Calibri"/>
        </w:rPr>
        <w:t xml:space="preserve">The pace of decentralisation is often uneven, partly as a consequence of political and bureaucratic tensions and differences. It may also be reversed. So even where decentralisation is explicit and legislated national policy there is </w:t>
      </w:r>
      <w:r>
        <w:rPr>
          <w:rFonts w:eastAsia="Calibri"/>
        </w:rPr>
        <w:t>often</w:t>
      </w:r>
      <w:r w:rsidRPr="00CD15BE">
        <w:rPr>
          <w:rFonts w:eastAsia="Calibri"/>
        </w:rPr>
        <w:t xml:space="preserve"> unevenness in the extent to which it is pursued or actively supported</w:t>
      </w:r>
      <w:r>
        <w:rPr>
          <w:rFonts w:eastAsia="Calibri"/>
        </w:rPr>
        <w:t>.</w:t>
      </w:r>
      <w:r w:rsidRPr="00CD15BE">
        <w:rPr>
          <w:rFonts w:eastAsia="Calibri"/>
        </w:rPr>
        <w:t xml:space="preserve"> There may be differences between </w:t>
      </w:r>
      <w:r w:rsidRPr="00CD15BE">
        <w:t>elected political leaders and administrative bureaucracies over the scope and pace of decentralisation</w:t>
      </w:r>
      <w:r>
        <w:t>, and related flow-on effects on service delivery. For example, in 2013</w:t>
      </w:r>
      <w:r w:rsidRPr="00CD15BE">
        <w:t xml:space="preserve"> </w:t>
      </w:r>
      <w:r>
        <w:t xml:space="preserve">in PNG </w:t>
      </w:r>
      <w:r w:rsidRPr="00CD15BE">
        <w:t xml:space="preserve">an explicit political decision </w:t>
      </w:r>
      <w:r>
        <w:t xml:space="preserve">was made </w:t>
      </w:r>
      <w:r w:rsidRPr="00CD15BE">
        <w:t xml:space="preserve">to provide substantial budgets direct to politicians to </w:t>
      </w:r>
      <w:r>
        <w:t>address</w:t>
      </w:r>
      <w:r w:rsidRPr="00CD15BE">
        <w:t xml:space="preserve"> </w:t>
      </w:r>
      <w:r>
        <w:t>bottlenecks in service delivery</w:t>
      </w:r>
      <w:r w:rsidRPr="00CD15BE">
        <w:t>.</w:t>
      </w:r>
      <w:r>
        <w:t xml:space="preserve"> </w:t>
      </w:r>
    </w:p>
    <w:p w14:paraId="12822332" w14:textId="77777777" w:rsidR="00AF6A11" w:rsidRPr="00B405F1" w:rsidRDefault="00AF6A11" w:rsidP="00217324">
      <w:pPr>
        <w:pStyle w:val="Heading3a"/>
        <w:rPr>
          <w:rFonts w:eastAsia="Calibri"/>
        </w:rPr>
      </w:pPr>
      <w:bookmarkStart w:id="476" w:name="_Toc371980362"/>
      <w:bookmarkStart w:id="477" w:name="_Toc382563974"/>
      <w:bookmarkStart w:id="478" w:name="_Toc382595935"/>
      <w:r>
        <w:rPr>
          <w:rFonts w:eastAsia="Calibri"/>
        </w:rPr>
        <w:t>S</w:t>
      </w:r>
      <w:r w:rsidRPr="00B405F1">
        <w:rPr>
          <w:rFonts w:eastAsia="Calibri"/>
        </w:rPr>
        <w:t>ector policy and reform</w:t>
      </w:r>
      <w:bookmarkEnd w:id="476"/>
      <w:bookmarkEnd w:id="477"/>
      <w:bookmarkEnd w:id="478"/>
      <w:r w:rsidRPr="00B405F1">
        <w:rPr>
          <w:rFonts w:eastAsia="Calibri"/>
        </w:rPr>
        <w:t xml:space="preserve"> </w:t>
      </w:r>
    </w:p>
    <w:p w14:paraId="258CE20C" w14:textId="77777777" w:rsidR="00AF6A11" w:rsidRDefault="00AF6A11" w:rsidP="00217324">
      <w:pPr>
        <w:rPr>
          <w:rFonts w:eastAsia="Calibri"/>
        </w:rPr>
      </w:pPr>
      <w:r w:rsidRPr="00B405F1">
        <w:rPr>
          <w:rFonts w:eastAsia="Calibri"/>
        </w:rPr>
        <w:t>The process of decentralisation is also influenced by sector policies</w:t>
      </w:r>
      <w:r>
        <w:rPr>
          <w:rFonts w:eastAsia="Calibri"/>
        </w:rPr>
        <w:t xml:space="preserve">. These are </w:t>
      </w:r>
      <w:r w:rsidRPr="00B405F1">
        <w:rPr>
          <w:rFonts w:eastAsia="Calibri"/>
        </w:rPr>
        <w:t>mandated from national</w:t>
      </w:r>
      <w:r>
        <w:rPr>
          <w:rFonts w:eastAsia="Calibri"/>
        </w:rPr>
        <w:t>-</w:t>
      </w:r>
      <w:r w:rsidRPr="00B405F1">
        <w:rPr>
          <w:rFonts w:eastAsia="Calibri"/>
        </w:rPr>
        <w:t>level g</w:t>
      </w:r>
      <w:r>
        <w:rPr>
          <w:rFonts w:eastAsia="Calibri"/>
        </w:rPr>
        <w:t>overnment line ministries. Such policies</w:t>
      </w:r>
      <w:r w:rsidRPr="00B405F1">
        <w:rPr>
          <w:rFonts w:eastAsia="Calibri"/>
        </w:rPr>
        <w:t xml:space="preserve"> </w:t>
      </w:r>
      <w:r>
        <w:rPr>
          <w:rFonts w:eastAsia="Calibri"/>
        </w:rPr>
        <w:t>may be in line with, or contrary to, decentralisation reform. Sector-wide approaches are often used to coordinate donors around such sector policies. However often do not coordinate with other reforms and have a tendency to centralise service delivery under a sectoral line ministry.</w:t>
      </w:r>
      <w:r>
        <w:rPr>
          <w:rStyle w:val="EndnoteReference"/>
          <w:rFonts w:eastAsia="Calibri"/>
        </w:rPr>
        <w:endnoteReference w:id="321"/>
      </w:r>
    </w:p>
    <w:p w14:paraId="28C8B8A2" w14:textId="77777777" w:rsidR="00AF6A11" w:rsidRPr="00901740" w:rsidRDefault="00AF6A11" w:rsidP="00217324">
      <w:pPr>
        <w:pStyle w:val="Heading3a"/>
      </w:pPr>
      <w:bookmarkStart w:id="479" w:name="_Toc371980363"/>
      <w:bookmarkStart w:id="480" w:name="_Toc382563975"/>
      <w:bookmarkStart w:id="481" w:name="_Toc382595936"/>
      <w:r w:rsidRPr="00901740">
        <w:t>Donor support and entry</w:t>
      </w:r>
      <w:r>
        <w:t xml:space="preserve"> </w:t>
      </w:r>
      <w:r w:rsidRPr="00901740">
        <w:t>points</w:t>
      </w:r>
      <w:bookmarkEnd w:id="479"/>
      <w:bookmarkEnd w:id="480"/>
      <w:bookmarkEnd w:id="481"/>
    </w:p>
    <w:p w14:paraId="375FE343" w14:textId="4320A8CE" w:rsidR="00AF6A11" w:rsidRDefault="00AF6A11" w:rsidP="00217324">
      <w:r>
        <w:t>Australian and other donor support for service delivery in decentralised contexts usually takes one of four forms, each with different ‘entry point</w:t>
      </w:r>
      <w:r w:rsidR="00D2236B">
        <w:t>.’</w:t>
      </w:r>
      <w:r>
        <w:t xml:space="preserve"> The first is through sector programs (the key focus of this evaluation), and the other three are governance programs directed at contributing to decentralisation processes:</w:t>
      </w:r>
      <w:r>
        <w:rPr>
          <w:rStyle w:val="EndnoteReference"/>
        </w:rPr>
        <w:endnoteReference w:id="322"/>
      </w:r>
    </w:p>
    <w:p w14:paraId="749E54F5" w14:textId="77777777" w:rsidR="00AF6A11" w:rsidRDefault="00AF6A11" w:rsidP="00C615DC">
      <w:pPr>
        <w:pStyle w:val="Bullet"/>
      </w:pPr>
      <w:r>
        <w:t>Sectoral programs:</w:t>
      </w:r>
    </w:p>
    <w:p w14:paraId="792E301D" w14:textId="77777777" w:rsidR="00AF6A11" w:rsidRDefault="00AF6A11" w:rsidP="00C615DC">
      <w:pPr>
        <w:pStyle w:val="DashLast"/>
      </w:pPr>
      <w:r w:rsidRPr="00AC09AF">
        <w:rPr>
          <w:b/>
        </w:rPr>
        <w:t>Support to specific sectors</w:t>
      </w:r>
      <w:r w:rsidRPr="00AC09AF">
        <w:t xml:space="preserve"> </w:t>
      </w:r>
      <w:r>
        <w:t xml:space="preserve">often in the form of </w:t>
      </w:r>
      <w:r w:rsidRPr="00AC09AF">
        <w:t xml:space="preserve">support for line ministry deconcentration and/or increasing involvement of </w:t>
      </w:r>
      <w:r>
        <w:t>subnational</w:t>
      </w:r>
      <w:r w:rsidRPr="00AC09AF">
        <w:t xml:space="preserve"> government</w:t>
      </w:r>
      <w:r>
        <w:t xml:space="preserve">, </w:t>
      </w:r>
      <w:r w:rsidRPr="00AC09AF">
        <w:t>private or non-government sectors in the implementation of sectoral policies</w:t>
      </w:r>
      <w:r>
        <w:t>. May include involve efforts to increase citizen participation in the management and monitoring of services</w:t>
      </w:r>
      <w:r w:rsidRPr="00AC09AF">
        <w:t>.</w:t>
      </w:r>
    </w:p>
    <w:p w14:paraId="7BF8C523" w14:textId="77777777" w:rsidR="00AF6A11" w:rsidRPr="006D5E23" w:rsidRDefault="00AF6A11" w:rsidP="00C615DC">
      <w:pPr>
        <w:pStyle w:val="Bullet"/>
      </w:pPr>
      <w:r>
        <w:t>Governance programs that contribute to decentralisation processes, often with expected effects to improve service delivery:</w:t>
      </w:r>
    </w:p>
    <w:p w14:paraId="11AFD29E" w14:textId="77777777" w:rsidR="00AF6A11" w:rsidRPr="0006758A" w:rsidRDefault="00AF6A11" w:rsidP="00C615DC">
      <w:pPr>
        <w:pStyle w:val="Dash"/>
      </w:pPr>
      <w:r w:rsidRPr="0006758A">
        <w:rPr>
          <w:b/>
          <w:bCs/>
        </w:rPr>
        <w:t xml:space="preserve">Support for subnational authorities </w:t>
      </w:r>
      <w:r w:rsidRPr="0006758A">
        <w:rPr>
          <w:bCs/>
        </w:rPr>
        <w:t>with a focus on b</w:t>
      </w:r>
      <w:r w:rsidRPr="0006758A">
        <w:t xml:space="preserve">uilding capacity to undertake designated functions. Programs may cover a whole country or a number of selected local government authorities. This support may be designed with or without explicit links to national government authorities and national reform objectives. </w:t>
      </w:r>
    </w:p>
    <w:p w14:paraId="212FB777" w14:textId="605A7160" w:rsidR="00AF6A11" w:rsidRDefault="00AF6A11" w:rsidP="00C615DC">
      <w:pPr>
        <w:pStyle w:val="Dash"/>
      </w:pPr>
      <w:r w:rsidRPr="0006758A">
        <w:rPr>
          <w:b/>
          <w:bCs/>
        </w:rPr>
        <w:t xml:space="preserve">Support for local area development </w:t>
      </w:r>
      <w:r w:rsidRPr="0006758A">
        <w:t>through providing multi</w:t>
      </w:r>
      <w:r w:rsidR="00175F43">
        <w:t>-</w:t>
      </w:r>
      <w:r w:rsidRPr="0006758A">
        <w:t>sectoral support to specific, targeted geographic areas. These programs may support local government authorit</w:t>
      </w:r>
      <w:r w:rsidR="00FC540D">
        <w:t>ies</w:t>
      </w:r>
      <w:r w:rsidR="00596039">
        <w:t>,</w:t>
      </w:r>
      <w:r w:rsidRPr="0006758A">
        <w:t xml:space="preserve"> work with or alongside them</w:t>
      </w:r>
      <w:r w:rsidR="00596039">
        <w:t>,</w:t>
      </w:r>
      <w:r w:rsidRPr="0006758A">
        <w:t xml:space="preserve"> or operate entirely outside local government structures. </w:t>
      </w:r>
      <w:r w:rsidRPr="00B3392E">
        <w:t xml:space="preserve">These programs may </w:t>
      </w:r>
      <w:r>
        <w:t xml:space="preserve">also </w:t>
      </w:r>
      <w:r w:rsidRPr="00B3392E">
        <w:t>target the demand</w:t>
      </w:r>
      <w:r>
        <w:t xml:space="preserve"> </w:t>
      </w:r>
      <w:r w:rsidRPr="00B3392E">
        <w:t>side to build civil society capacity to hold service providers to account</w:t>
      </w:r>
      <w:r>
        <w:t>.</w:t>
      </w:r>
    </w:p>
    <w:p w14:paraId="3E9E0F52" w14:textId="08BC5D59" w:rsidR="00AF6A11" w:rsidRPr="00B3392E" w:rsidRDefault="00AF6A11" w:rsidP="00C615DC">
      <w:pPr>
        <w:pStyle w:val="DashLastSpace"/>
      </w:pPr>
      <w:r w:rsidRPr="0006758A">
        <w:rPr>
          <w:b/>
          <w:bCs/>
        </w:rPr>
        <w:t xml:space="preserve">Support to national decentralisation policy reforms </w:t>
      </w:r>
      <w:r w:rsidRPr="0006758A">
        <w:t>through multi</w:t>
      </w:r>
      <w:r w:rsidR="00175F43">
        <w:t>-</w:t>
      </w:r>
      <w:r w:rsidRPr="0006758A">
        <w:t>sector, system</w:t>
      </w:r>
      <w:r>
        <w:t>-</w:t>
      </w:r>
      <w:r w:rsidRPr="0006758A">
        <w:t xml:space="preserve">wide reforms </w:t>
      </w:r>
      <w:r>
        <w:t>to support</w:t>
      </w:r>
      <w:r w:rsidRPr="0006758A">
        <w:t xml:space="preserve"> changes of laws or regulations, planning and fiscal transfer systems, and human resources management. Donor support is usually focused on the central government ministrie</w:t>
      </w:r>
      <w:r>
        <w:t>s responsible for decentralisation</w:t>
      </w:r>
      <w:r w:rsidRPr="0006758A">
        <w:t xml:space="preserve">. </w:t>
      </w:r>
    </w:p>
    <w:p w14:paraId="50BE9461" w14:textId="77777777" w:rsidR="00AF6A11" w:rsidRPr="009C6124" w:rsidRDefault="00AF6A11" w:rsidP="00217324">
      <w:pPr>
        <w:pStyle w:val="Heading2a"/>
      </w:pPr>
      <w:bookmarkStart w:id="482" w:name="_Toc371980364"/>
      <w:bookmarkStart w:id="483" w:name="_Toc382563976"/>
      <w:bookmarkStart w:id="484" w:name="_Toc382595937"/>
      <w:r>
        <w:t>A2.1</w:t>
      </w:r>
      <w:r>
        <w:tab/>
      </w:r>
      <w:r w:rsidRPr="009C6124">
        <w:t xml:space="preserve">Evaluation </w:t>
      </w:r>
      <w:r>
        <w:t xml:space="preserve">design and </w:t>
      </w:r>
      <w:r w:rsidRPr="009C6124">
        <w:t>methods</w:t>
      </w:r>
      <w:bookmarkEnd w:id="482"/>
      <w:bookmarkEnd w:id="483"/>
      <w:bookmarkEnd w:id="484"/>
    </w:p>
    <w:p w14:paraId="3A4F340A" w14:textId="77777777" w:rsidR="00AF6A11" w:rsidRDefault="00AF6A11" w:rsidP="00217324">
      <w:r w:rsidRPr="00A43FF7">
        <w:t>A mixed methods approach was taken</w:t>
      </w:r>
      <w:r>
        <w:t>, comprising</w:t>
      </w:r>
      <w:r w:rsidR="000059B5">
        <w:t xml:space="preserve"> a</w:t>
      </w:r>
      <w:r>
        <w:t xml:space="preserve"> desk-based document review</w:t>
      </w:r>
      <w:r w:rsidR="000059B5">
        <w:t>,</w:t>
      </w:r>
      <w:r>
        <w:t xml:space="preserve"> and </w:t>
      </w:r>
      <w:r w:rsidR="000059B5">
        <w:t>an</w:t>
      </w:r>
      <w:r>
        <w:t xml:space="preserve"> in-depth inquiry in three countries (Indonesia, PNG and Philippines). </w:t>
      </w:r>
    </w:p>
    <w:p w14:paraId="0B8C4591" w14:textId="77777777" w:rsidR="00AF6A11" w:rsidRDefault="00AF6A11" w:rsidP="00217324">
      <w:pPr>
        <w:pStyle w:val="Heading3a"/>
      </w:pPr>
      <w:bookmarkStart w:id="485" w:name="_Toc371980365"/>
      <w:bookmarkStart w:id="486" w:name="_Toc382563977"/>
      <w:bookmarkStart w:id="487" w:name="_Toc382595938"/>
      <w:r>
        <w:t>Document review</w:t>
      </w:r>
      <w:bookmarkEnd w:id="485"/>
      <w:bookmarkEnd w:id="486"/>
      <w:bookmarkEnd w:id="487"/>
      <w:r>
        <w:t xml:space="preserve"> </w:t>
      </w:r>
    </w:p>
    <w:p w14:paraId="1F558EAA" w14:textId="77777777" w:rsidR="00AF6A11" w:rsidRDefault="00AF6A11" w:rsidP="00217324">
      <w:r>
        <w:t>A framework was developed to consider key aspects of service delivery in decentralised contexts. This framework was structured from the conceptual framework just described, and also included assessment against other evaluation criteria, namely equity and coherence.</w:t>
      </w:r>
    </w:p>
    <w:p w14:paraId="304ED212" w14:textId="77777777" w:rsidR="00AF6A11" w:rsidRDefault="00AF6A11" w:rsidP="00217324">
      <w:pPr>
        <w:pStyle w:val="NormalBeforeBullet"/>
      </w:pPr>
      <w:r>
        <w:t>This framework was applied to a selection of strategy and program documents:</w:t>
      </w:r>
    </w:p>
    <w:p w14:paraId="5ADDCCDC" w14:textId="77777777" w:rsidR="00AF6A11" w:rsidRPr="00BC4351" w:rsidRDefault="00AF6A11" w:rsidP="00217324">
      <w:pPr>
        <w:pStyle w:val="Bullet"/>
      </w:pPr>
      <w:r>
        <w:t>five</w:t>
      </w:r>
      <w:r w:rsidRPr="00BC4351">
        <w:t xml:space="preserve"> thematic strategies covering health; education; infrastructure; water, sanitation and hygiene; and governance</w:t>
      </w:r>
    </w:p>
    <w:p w14:paraId="0A090957" w14:textId="77777777" w:rsidR="00AF6A11" w:rsidRPr="00BC4351" w:rsidRDefault="00AF6A11" w:rsidP="00217324">
      <w:pPr>
        <w:pStyle w:val="Bullet"/>
      </w:pPr>
      <w:r>
        <w:t>c</w:t>
      </w:r>
      <w:r w:rsidRPr="00BC4351">
        <w:t>ountry strategies from six countries represent</w:t>
      </w:r>
      <w:r>
        <w:t>ing the top recipients of</w:t>
      </w:r>
      <w:r w:rsidRPr="00BC4351">
        <w:t xml:space="preserve"> sect</w:t>
      </w:r>
      <w:r>
        <w:t>oral service delivery support</w:t>
      </w:r>
      <w:r w:rsidRPr="00BC4351">
        <w:t xml:space="preserve"> in health, education and infrastructure</w:t>
      </w:r>
    </w:p>
    <w:p w14:paraId="17B7F3EC" w14:textId="77777777" w:rsidR="00AF6A11" w:rsidRPr="00BC4351" w:rsidRDefault="00AF6A11" w:rsidP="00217324">
      <w:pPr>
        <w:pStyle w:val="Bullet"/>
      </w:pPr>
      <w:r>
        <w:t>14 design and 10</w:t>
      </w:r>
      <w:r w:rsidRPr="00BC4351">
        <w:t xml:space="preserve"> evaluation documents of sectoral programs selected from above six countries across the three sectors</w:t>
      </w:r>
    </w:p>
    <w:p w14:paraId="071569BF" w14:textId="77777777" w:rsidR="00AF6A11" w:rsidRPr="00BC4351" w:rsidRDefault="00AF6A11" w:rsidP="00217324">
      <w:pPr>
        <w:pStyle w:val="Bullet"/>
      </w:pPr>
      <w:r>
        <w:t>t</w:t>
      </w:r>
      <w:r w:rsidRPr="00BC4351">
        <w:t>wo delivery strategies for health and education in PNG</w:t>
      </w:r>
    </w:p>
    <w:p w14:paraId="5B868307" w14:textId="77777777" w:rsidR="00AF6A11" w:rsidRPr="00BC4351" w:rsidRDefault="00AF6A11" w:rsidP="00217324">
      <w:pPr>
        <w:pStyle w:val="BulletLast"/>
      </w:pPr>
      <w:r>
        <w:t>f</w:t>
      </w:r>
      <w:r w:rsidRPr="00BC4351">
        <w:t>ive thematic performance assessment frameworks</w:t>
      </w:r>
      <w:r>
        <w:t>.</w:t>
      </w:r>
      <w:r w:rsidRPr="00BC4351">
        <w:t xml:space="preserve"> </w:t>
      </w:r>
    </w:p>
    <w:p w14:paraId="525D77B0" w14:textId="23A198E8" w:rsidR="00AF6A11" w:rsidRDefault="00AF6A11" w:rsidP="00217324">
      <w:r>
        <w:t>The sample is described separately in Section A</w:t>
      </w:r>
      <w:r w:rsidR="00596039">
        <w:t>2.3</w:t>
      </w:r>
      <w:r>
        <w:t xml:space="preserve">. </w:t>
      </w:r>
    </w:p>
    <w:p w14:paraId="66C5741A" w14:textId="77777777" w:rsidR="00AF6A11" w:rsidRDefault="00AF6A11" w:rsidP="00217324">
      <w:r w:rsidRPr="001737F7">
        <w:rPr>
          <w:b/>
        </w:rPr>
        <w:t>Analytical approach</w:t>
      </w:r>
      <w:r>
        <w:t>: Systematic qualitative analysis was undertaken using prescribed questions to consistently interrogate documents. Prescribed questions were based on the conceptual framework. Questions focused on understanding the extent to which documents covered themes related to evaluation questions and evaluation criteria. For each prescribed question, documents were rated 1 (no evidence), 2 (some reference) or 3 (significant content). Where scores of 2 or 3 were achieved, quotes from the document were noted as supporting evidence, which were subsequently worked into the qualitative analysis presented in this report.</w:t>
      </w:r>
    </w:p>
    <w:p w14:paraId="4003E921" w14:textId="77777777" w:rsidR="00AF6A11" w:rsidRDefault="00AF6A11" w:rsidP="00217324">
      <w:r w:rsidRPr="0034255C">
        <w:rPr>
          <w:b/>
        </w:rPr>
        <w:t>Strength of the evidence</w:t>
      </w:r>
      <w:r>
        <w:t xml:space="preserve">: The strength of the evidence is considered good. The review was systematic and based on a sound qualitative approach. The reliability was tested through review by additional team members. The inclusion of designs and evaluations from six countries allowed insight beyond the evaluation’s fieldwork component. One limitation is the size of the sample, which was limited by time and resource constraints as well as availability of relevant documentation. Another limitation is the reliance on documents without understanding implementation practice, since the two often diverge. These limitations were been mitigated by avoiding drawing strong conclusions from this component of the analysis, and triangulating evidence with other methods and sources. </w:t>
      </w:r>
    </w:p>
    <w:p w14:paraId="71136F1A" w14:textId="77777777" w:rsidR="00AF6A11" w:rsidRDefault="00AF6A11" w:rsidP="00217324">
      <w:pPr>
        <w:pStyle w:val="NormalBeforeBullet"/>
      </w:pPr>
      <w:r>
        <w:t xml:space="preserve">Beyond the methods described above, other documentation was also reviewed: </w:t>
      </w:r>
    </w:p>
    <w:p w14:paraId="119A29AA" w14:textId="77777777" w:rsidR="00AF6A11" w:rsidRDefault="00AF6A11" w:rsidP="00217324">
      <w:pPr>
        <w:pStyle w:val="Bullet"/>
      </w:pPr>
      <w:r>
        <w:t xml:space="preserve">Policy guidance was reviewed for content on decentralisation and its implications. The review focused on guidance material to support ‘program delivery’, strategy and program management, working in partner systems; design, implementation and completion and evaluation. </w:t>
      </w:r>
    </w:p>
    <w:p w14:paraId="623D23EA" w14:textId="58EB6ABC" w:rsidR="00AF6A11" w:rsidRDefault="002F1901" w:rsidP="00217324">
      <w:pPr>
        <w:pStyle w:val="Bullet"/>
      </w:pPr>
      <w:r>
        <w:t>A selection of governance evaluations was</w:t>
      </w:r>
      <w:r w:rsidR="00AF6A11">
        <w:t xml:space="preserve"> also reviewed, categorising all recommendations into themes to support additional learning to inform practice. </w:t>
      </w:r>
    </w:p>
    <w:p w14:paraId="5E97BAF2" w14:textId="77777777" w:rsidR="00AF6A11" w:rsidRDefault="00AF6A11" w:rsidP="00217324">
      <w:pPr>
        <w:pStyle w:val="BulletLast"/>
      </w:pPr>
      <w:r>
        <w:t>Literature including past donor evaluations and documentation on decentralisation and service delivery were reviewed to ensure this evaluation built on existing knowledge. In addition, political economy analysis of the decentralisation context in the case study countries was undertaken by local independent expert partners to provide a foundation for understanding the country decentralised contexts. A lighter document review was undertaken of the three other non-fieldwork countries.</w:t>
      </w:r>
    </w:p>
    <w:p w14:paraId="7DEBC82D" w14:textId="77777777" w:rsidR="00AF6A11" w:rsidRDefault="00AF6A11" w:rsidP="00217324">
      <w:pPr>
        <w:pStyle w:val="Heading3a"/>
      </w:pPr>
      <w:bookmarkStart w:id="488" w:name="_Toc371980366"/>
      <w:bookmarkStart w:id="489" w:name="_Toc382563978"/>
      <w:bookmarkStart w:id="490" w:name="_Toc382595939"/>
      <w:r w:rsidRPr="000F5F1C">
        <w:t xml:space="preserve">In-depth </w:t>
      </w:r>
      <w:r>
        <w:t>inquiry</w:t>
      </w:r>
      <w:bookmarkEnd w:id="488"/>
      <w:bookmarkEnd w:id="489"/>
      <w:bookmarkEnd w:id="490"/>
      <w:r>
        <w:t xml:space="preserve"> </w:t>
      </w:r>
    </w:p>
    <w:p w14:paraId="596B66A0" w14:textId="0A1A6F2D" w:rsidR="00AF6A11" w:rsidRDefault="00AF6A11" w:rsidP="00217324">
      <w:r w:rsidRPr="00762175">
        <w:t xml:space="preserve">Indonesia and PNG were selected </w:t>
      </w:r>
      <w:r>
        <w:t xml:space="preserve">for fieldwork, </w:t>
      </w:r>
      <w:r w:rsidRPr="00762175">
        <w:t xml:space="preserve">due to their priority for Australian support, their significant allocations to sectoral programs, </w:t>
      </w:r>
      <w:r>
        <w:t xml:space="preserve">and </w:t>
      </w:r>
      <w:r w:rsidRPr="00762175">
        <w:t>substantial investment in</w:t>
      </w:r>
      <w:r>
        <w:t xml:space="preserve"> sector programs</w:t>
      </w:r>
      <w:r w:rsidRPr="00762175">
        <w:t xml:space="preserve">. Both operate under decentralised frameworks </w:t>
      </w:r>
      <w:r>
        <w:t>where subnational government has responsibility</w:t>
      </w:r>
      <w:r w:rsidRPr="00762175">
        <w:t xml:space="preserve"> for health, education and some infrastructure</w:t>
      </w:r>
      <w:r>
        <w:t>.</w:t>
      </w:r>
      <w:r>
        <w:rPr>
          <w:rStyle w:val="EndnoteReference"/>
        </w:rPr>
        <w:endnoteReference w:id="323"/>
      </w:r>
      <w:r>
        <w:t xml:space="preserve"> The </w:t>
      </w:r>
      <w:r w:rsidRPr="00762175">
        <w:t>Philippines</w:t>
      </w:r>
      <w:r>
        <w:t xml:space="preserve"> was included to provide lessons </w:t>
      </w:r>
      <w:r w:rsidR="001C0D23">
        <w:t>derived</w:t>
      </w:r>
      <w:r w:rsidR="007E5F3B">
        <w:t xml:space="preserve"> </w:t>
      </w:r>
      <w:r w:rsidR="00596039">
        <w:t xml:space="preserve">from </w:t>
      </w:r>
      <w:r w:rsidR="007E5F3B">
        <w:t>prolonged work</w:t>
      </w:r>
      <w:r>
        <w:t xml:space="preserve"> in a decentralised context.</w:t>
      </w:r>
    </w:p>
    <w:p w14:paraId="084CE0C5" w14:textId="77777777" w:rsidR="00AF6A11" w:rsidRDefault="00AF6A11" w:rsidP="00217324">
      <w:pPr>
        <w:pStyle w:val="NormalBeforeBullet"/>
      </w:pPr>
      <w:r>
        <w:t>The fieldwork component involved:</w:t>
      </w:r>
    </w:p>
    <w:p w14:paraId="0857947A" w14:textId="77777777" w:rsidR="00AF6A11" w:rsidRDefault="00AF6A11" w:rsidP="00217324">
      <w:pPr>
        <w:pStyle w:val="Bullet"/>
      </w:pPr>
      <w:r>
        <w:t xml:space="preserve">in-depth three-week fieldwork inquiry in Indonesia and PNG with a focus at both national and subnational levels; engagement at national level for one week in Philippines </w:t>
      </w:r>
    </w:p>
    <w:p w14:paraId="22E7B48F" w14:textId="77777777" w:rsidR="0042033E" w:rsidRDefault="00AF6A11" w:rsidP="0042033E">
      <w:pPr>
        <w:pStyle w:val="BulletLast"/>
      </w:pPr>
      <w:r>
        <w:t>key informant interviews, workshops and focus group discussions with a range of stakeholders were undertaken; question guides were prepared for each stakeholder group, structured around the evaluation questions and informed by the conceptual framework, and detailed notes including verbatim quotes were typed up for all interviews</w:t>
      </w:r>
    </w:p>
    <w:p w14:paraId="2E069A2E" w14:textId="77777777" w:rsidR="0042033E" w:rsidRDefault="00AF6A11" w:rsidP="0042033E">
      <w:pPr>
        <w:pStyle w:val="BulletLast"/>
      </w:pPr>
      <w:r>
        <w:t>stakeholder analysis, conducted in collaboration with aid program at post to identify key stakeholders in the design, implementation and management of programming and to choose relevant sample initiatives and subnational locations</w:t>
      </w:r>
      <w:bookmarkStart w:id="491" w:name="_Ref371453383"/>
    </w:p>
    <w:p w14:paraId="4E55B472" w14:textId="77777777" w:rsidR="00AF6A11" w:rsidRDefault="00AF6A11" w:rsidP="00C615DC">
      <w:pPr>
        <w:pStyle w:val="TableName"/>
      </w:pPr>
      <w:r>
        <w:t xml:space="preserve">Table </w:t>
      </w:r>
      <w:bookmarkEnd w:id="491"/>
      <w:r>
        <w:t>A1</w:t>
      </w:r>
      <w:r>
        <w:tab/>
        <w:t>Consultations c</w:t>
      </w:r>
      <w:r w:rsidRPr="00992870">
        <w:t>onducted in Indonesia, PNG and the Philippines</w:t>
      </w:r>
    </w:p>
    <w:tbl>
      <w:tblPr>
        <w:tblStyle w:val="TableGrid"/>
        <w:tblW w:w="0" w:type="auto"/>
        <w:tblLook w:val="04A0" w:firstRow="1" w:lastRow="0" w:firstColumn="1" w:lastColumn="0" w:noHBand="0" w:noVBand="1"/>
      </w:tblPr>
      <w:tblGrid>
        <w:gridCol w:w="1848"/>
        <w:gridCol w:w="1848"/>
        <w:gridCol w:w="1848"/>
        <w:gridCol w:w="1849"/>
        <w:gridCol w:w="1849"/>
      </w:tblGrid>
      <w:tr w:rsidR="00AF6A11" w:rsidRPr="00217324" w14:paraId="071BDE33" w14:textId="77777777" w:rsidTr="00217324">
        <w:trPr>
          <w:cnfStyle w:val="100000000000" w:firstRow="1" w:lastRow="0" w:firstColumn="0" w:lastColumn="0" w:oddVBand="0" w:evenVBand="0" w:oddHBand="0" w:evenHBand="0" w:firstRowFirstColumn="0" w:firstRowLastColumn="0" w:lastRowFirstColumn="0" w:lastRowLastColumn="0"/>
        </w:trPr>
        <w:tc>
          <w:tcPr>
            <w:tcW w:w="1848" w:type="dxa"/>
          </w:tcPr>
          <w:p w14:paraId="48F85C2B" w14:textId="77777777" w:rsidR="00AF6A11" w:rsidRPr="00542614" w:rsidRDefault="00934BE3" w:rsidP="00217324">
            <w:pPr>
              <w:pStyle w:val="TableHeading"/>
              <w:rPr>
                <w:sz w:val="18"/>
                <w:szCs w:val="18"/>
              </w:rPr>
            </w:pPr>
            <w:r w:rsidRPr="00542614">
              <w:rPr>
                <w:sz w:val="18"/>
                <w:szCs w:val="18"/>
              </w:rPr>
              <w:t>Groups</w:t>
            </w:r>
          </w:p>
        </w:tc>
        <w:tc>
          <w:tcPr>
            <w:tcW w:w="1848" w:type="dxa"/>
          </w:tcPr>
          <w:p w14:paraId="7AF4C6E4" w14:textId="77777777" w:rsidR="00AF6A11" w:rsidRPr="00542614" w:rsidRDefault="00AF6A11" w:rsidP="00217324">
            <w:pPr>
              <w:pStyle w:val="TableHeading"/>
              <w:rPr>
                <w:sz w:val="18"/>
                <w:szCs w:val="18"/>
              </w:rPr>
            </w:pPr>
            <w:r w:rsidRPr="00542614">
              <w:rPr>
                <w:sz w:val="18"/>
                <w:szCs w:val="18"/>
              </w:rPr>
              <w:t>Focus group discussion/ interview</w:t>
            </w:r>
          </w:p>
        </w:tc>
        <w:tc>
          <w:tcPr>
            <w:tcW w:w="1848" w:type="dxa"/>
          </w:tcPr>
          <w:p w14:paraId="1B7F20E7" w14:textId="77777777" w:rsidR="00AF6A11" w:rsidRPr="00542614" w:rsidRDefault="00AF6A11" w:rsidP="00217324">
            <w:pPr>
              <w:pStyle w:val="TableHeading"/>
              <w:rPr>
                <w:sz w:val="18"/>
                <w:szCs w:val="18"/>
              </w:rPr>
            </w:pPr>
            <w:r w:rsidRPr="00542614">
              <w:rPr>
                <w:sz w:val="18"/>
                <w:szCs w:val="18"/>
              </w:rPr>
              <w:t xml:space="preserve">Male </w:t>
            </w:r>
          </w:p>
        </w:tc>
        <w:tc>
          <w:tcPr>
            <w:tcW w:w="1849" w:type="dxa"/>
          </w:tcPr>
          <w:p w14:paraId="771DEBFF" w14:textId="77777777" w:rsidR="00AF6A11" w:rsidRPr="00542614" w:rsidRDefault="00AF6A11" w:rsidP="00217324">
            <w:pPr>
              <w:pStyle w:val="TableHeading"/>
              <w:rPr>
                <w:sz w:val="18"/>
                <w:szCs w:val="18"/>
              </w:rPr>
            </w:pPr>
            <w:r w:rsidRPr="00542614">
              <w:rPr>
                <w:sz w:val="18"/>
                <w:szCs w:val="18"/>
              </w:rPr>
              <w:t xml:space="preserve">Female </w:t>
            </w:r>
          </w:p>
        </w:tc>
        <w:tc>
          <w:tcPr>
            <w:tcW w:w="1849" w:type="dxa"/>
          </w:tcPr>
          <w:p w14:paraId="51F38AAD" w14:textId="77777777" w:rsidR="00AF6A11" w:rsidRPr="00542614" w:rsidRDefault="00AF6A11" w:rsidP="00217324">
            <w:pPr>
              <w:pStyle w:val="TableHeading"/>
              <w:rPr>
                <w:sz w:val="18"/>
                <w:szCs w:val="18"/>
              </w:rPr>
            </w:pPr>
            <w:r w:rsidRPr="00542614">
              <w:rPr>
                <w:sz w:val="18"/>
                <w:szCs w:val="18"/>
              </w:rPr>
              <w:t>Total</w:t>
            </w:r>
          </w:p>
        </w:tc>
      </w:tr>
      <w:tr w:rsidR="00AF6A11" w14:paraId="5EB2C2E3" w14:textId="77777777" w:rsidTr="00217324">
        <w:tc>
          <w:tcPr>
            <w:tcW w:w="1848" w:type="dxa"/>
          </w:tcPr>
          <w:p w14:paraId="53280BB7" w14:textId="77777777" w:rsidR="00AF6A11" w:rsidRPr="00E01B7D" w:rsidRDefault="00AF6A11" w:rsidP="00217324">
            <w:pPr>
              <w:pStyle w:val="TableText"/>
              <w:rPr>
                <w:highlight w:val="yellow"/>
              </w:rPr>
            </w:pPr>
            <w:r w:rsidRPr="00E01B7D">
              <w:t>Aus</w:t>
            </w:r>
            <w:r>
              <w:t>tralian aid program</w:t>
            </w:r>
            <w:r w:rsidRPr="00E01B7D">
              <w:t xml:space="preserve"> staff</w:t>
            </w:r>
          </w:p>
        </w:tc>
        <w:tc>
          <w:tcPr>
            <w:tcW w:w="1848" w:type="dxa"/>
          </w:tcPr>
          <w:p w14:paraId="4256465E" w14:textId="77777777" w:rsidR="00AF6A11" w:rsidRPr="00E01B7D" w:rsidRDefault="00AF6A11" w:rsidP="00217324">
            <w:pPr>
              <w:pStyle w:val="TableText"/>
            </w:pPr>
            <w:r w:rsidRPr="00E01B7D">
              <w:t>29</w:t>
            </w:r>
            <w:r w:rsidRPr="00E01B7D">
              <w:tab/>
            </w:r>
          </w:p>
        </w:tc>
        <w:tc>
          <w:tcPr>
            <w:tcW w:w="1848" w:type="dxa"/>
          </w:tcPr>
          <w:p w14:paraId="02D66AA8" w14:textId="77777777" w:rsidR="00AF6A11" w:rsidRPr="00E01B7D" w:rsidRDefault="00AF6A11" w:rsidP="00217324">
            <w:pPr>
              <w:pStyle w:val="TableText"/>
            </w:pPr>
            <w:r w:rsidRPr="00E01B7D">
              <w:t>38</w:t>
            </w:r>
          </w:p>
        </w:tc>
        <w:tc>
          <w:tcPr>
            <w:tcW w:w="1849" w:type="dxa"/>
          </w:tcPr>
          <w:p w14:paraId="76C64EB9" w14:textId="77777777" w:rsidR="00AF6A11" w:rsidRPr="00E01B7D" w:rsidRDefault="00AF6A11" w:rsidP="00217324">
            <w:pPr>
              <w:pStyle w:val="TableText"/>
            </w:pPr>
            <w:r w:rsidRPr="00E01B7D">
              <w:t>35</w:t>
            </w:r>
          </w:p>
        </w:tc>
        <w:tc>
          <w:tcPr>
            <w:tcW w:w="1849" w:type="dxa"/>
          </w:tcPr>
          <w:p w14:paraId="30C7090B" w14:textId="77777777" w:rsidR="00AF6A11" w:rsidRPr="00E01B7D" w:rsidRDefault="00AF6A11" w:rsidP="00217324">
            <w:pPr>
              <w:pStyle w:val="TableText"/>
            </w:pPr>
            <w:r w:rsidRPr="00E01B7D">
              <w:t>73</w:t>
            </w:r>
          </w:p>
        </w:tc>
      </w:tr>
      <w:tr w:rsidR="00AF6A11" w14:paraId="79BB156C" w14:textId="77777777" w:rsidTr="00217324">
        <w:tc>
          <w:tcPr>
            <w:tcW w:w="1848" w:type="dxa"/>
          </w:tcPr>
          <w:p w14:paraId="0AEB5AC8" w14:textId="77777777" w:rsidR="00AF6A11" w:rsidRPr="00E01B7D" w:rsidRDefault="00AF6A11" w:rsidP="00217324">
            <w:pPr>
              <w:pStyle w:val="TableText"/>
              <w:rPr>
                <w:highlight w:val="yellow"/>
              </w:rPr>
            </w:pPr>
            <w:r w:rsidRPr="00E01B7D">
              <w:t>Implementing partners</w:t>
            </w:r>
          </w:p>
        </w:tc>
        <w:tc>
          <w:tcPr>
            <w:tcW w:w="1848" w:type="dxa"/>
          </w:tcPr>
          <w:p w14:paraId="020655BE" w14:textId="77777777" w:rsidR="00AF6A11" w:rsidRPr="00E01B7D" w:rsidRDefault="00AF6A11" w:rsidP="00217324">
            <w:pPr>
              <w:pStyle w:val="TableText"/>
            </w:pPr>
            <w:r w:rsidRPr="00E01B7D">
              <w:t>12</w:t>
            </w:r>
          </w:p>
        </w:tc>
        <w:tc>
          <w:tcPr>
            <w:tcW w:w="1848" w:type="dxa"/>
          </w:tcPr>
          <w:p w14:paraId="48141E82" w14:textId="77777777" w:rsidR="00AF6A11" w:rsidRPr="00E01B7D" w:rsidRDefault="00AF6A11" w:rsidP="00217324">
            <w:pPr>
              <w:pStyle w:val="TableText"/>
            </w:pPr>
            <w:r w:rsidRPr="00E01B7D">
              <w:t>28</w:t>
            </w:r>
          </w:p>
        </w:tc>
        <w:tc>
          <w:tcPr>
            <w:tcW w:w="1849" w:type="dxa"/>
          </w:tcPr>
          <w:p w14:paraId="46E33BD1" w14:textId="77777777" w:rsidR="00AF6A11" w:rsidRPr="00E01B7D" w:rsidRDefault="00AF6A11" w:rsidP="00217324">
            <w:pPr>
              <w:pStyle w:val="TableText"/>
            </w:pPr>
            <w:r w:rsidRPr="00E01B7D">
              <w:t>19</w:t>
            </w:r>
          </w:p>
        </w:tc>
        <w:tc>
          <w:tcPr>
            <w:tcW w:w="1849" w:type="dxa"/>
          </w:tcPr>
          <w:p w14:paraId="167AA28F" w14:textId="77777777" w:rsidR="00AF6A11" w:rsidRPr="00E01B7D" w:rsidRDefault="00AF6A11" w:rsidP="00217324">
            <w:pPr>
              <w:pStyle w:val="TableText"/>
            </w:pPr>
            <w:r w:rsidRPr="00E01B7D">
              <w:t>47</w:t>
            </w:r>
          </w:p>
        </w:tc>
      </w:tr>
      <w:tr w:rsidR="00AF6A11" w14:paraId="52C072DB" w14:textId="77777777" w:rsidTr="00217324">
        <w:tc>
          <w:tcPr>
            <w:tcW w:w="1848" w:type="dxa"/>
          </w:tcPr>
          <w:p w14:paraId="1931C965" w14:textId="77777777" w:rsidR="00AF6A11" w:rsidRPr="00E01B7D" w:rsidRDefault="00AF6A11" w:rsidP="00217324">
            <w:pPr>
              <w:pStyle w:val="TableText"/>
              <w:rPr>
                <w:highlight w:val="yellow"/>
              </w:rPr>
            </w:pPr>
            <w:r w:rsidRPr="00E01B7D">
              <w:t>Government representatives</w:t>
            </w:r>
          </w:p>
        </w:tc>
        <w:tc>
          <w:tcPr>
            <w:tcW w:w="1848" w:type="dxa"/>
          </w:tcPr>
          <w:p w14:paraId="2607F698" w14:textId="77777777" w:rsidR="00AF6A11" w:rsidRPr="00E01B7D" w:rsidRDefault="00AF6A11" w:rsidP="00217324">
            <w:pPr>
              <w:pStyle w:val="TableText"/>
            </w:pPr>
            <w:r w:rsidRPr="00E01B7D">
              <w:t>74</w:t>
            </w:r>
          </w:p>
        </w:tc>
        <w:tc>
          <w:tcPr>
            <w:tcW w:w="1848" w:type="dxa"/>
          </w:tcPr>
          <w:p w14:paraId="1A8BE2F6" w14:textId="77777777" w:rsidR="00AF6A11" w:rsidRPr="00E01B7D" w:rsidRDefault="00AF6A11" w:rsidP="00217324">
            <w:pPr>
              <w:pStyle w:val="TableText"/>
            </w:pPr>
            <w:r w:rsidRPr="00E01B7D">
              <w:t>134</w:t>
            </w:r>
          </w:p>
        </w:tc>
        <w:tc>
          <w:tcPr>
            <w:tcW w:w="1849" w:type="dxa"/>
          </w:tcPr>
          <w:p w14:paraId="038EC49F" w14:textId="77777777" w:rsidR="00AF6A11" w:rsidRPr="00E01B7D" w:rsidRDefault="00AF6A11" w:rsidP="00217324">
            <w:pPr>
              <w:pStyle w:val="TableText"/>
            </w:pPr>
            <w:r w:rsidRPr="00E01B7D">
              <w:t>80</w:t>
            </w:r>
          </w:p>
        </w:tc>
        <w:tc>
          <w:tcPr>
            <w:tcW w:w="1849" w:type="dxa"/>
          </w:tcPr>
          <w:p w14:paraId="1719C5A8" w14:textId="77777777" w:rsidR="00AF6A11" w:rsidRPr="00E01B7D" w:rsidRDefault="00AF6A11" w:rsidP="00217324">
            <w:pPr>
              <w:pStyle w:val="TableText"/>
            </w:pPr>
            <w:r w:rsidRPr="00E01B7D">
              <w:t>214</w:t>
            </w:r>
          </w:p>
        </w:tc>
      </w:tr>
      <w:tr w:rsidR="00AF6A11" w14:paraId="54D740B8" w14:textId="77777777" w:rsidTr="00217324">
        <w:tc>
          <w:tcPr>
            <w:tcW w:w="1848" w:type="dxa"/>
          </w:tcPr>
          <w:p w14:paraId="3C031792" w14:textId="77777777" w:rsidR="00AF6A11" w:rsidRPr="00E01B7D" w:rsidRDefault="00AF6A11" w:rsidP="00217324">
            <w:pPr>
              <w:pStyle w:val="TableText"/>
              <w:rPr>
                <w:highlight w:val="yellow"/>
              </w:rPr>
            </w:pPr>
            <w:r w:rsidRPr="00E01B7D">
              <w:t>Civil society organisations</w:t>
            </w:r>
          </w:p>
        </w:tc>
        <w:tc>
          <w:tcPr>
            <w:tcW w:w="1848" w:type="dxa"/>
          </w:tcPr>
          <w:p w14:paraId="5DAC17F9" w14:textId="77777777" w:rsidR="00AF6A11" w:rsidRPr="00E01B7D" w:rsidRDefault="00AF6A11" w:rsidP="00217324">
            <w:pPr>
              <w:pStyle w:val="TableText"/>
            </w:pPr>
            <w:r w:rsidRPr="00E01B7D">
              <w:t>8</w:t>
            </w:r>
          </w:p>
        </w:tc>
        <w:tc>
          <w:tcPr>
            <w:tcW w:w="1848" w:type="dxa"/>
          </w:tcPr>
          <w:p w14:paraId="2E20A6CA" w14:textId="77777777" w:rsidR="00AF6A11" w:rsidRPr="00E01B7D" w:rsidRDefault="00AF6A11" w:rsidP="00217324">
            <w:pPr>
              <w:pStyle w:val="TableText"/>
            </w:pPr>
            <w:r w:rsidRPr="00E01B7D">
              <w:t>26</w:t>
            </w:r>
          </w:p>
        </w:tc>
        <w:tc>
          <w:tcPr>
            <w:tcW w:w="1849" w:type="dxa"/>
          </w:tcPr>
          <w:p w14:paraId="35AB6C79" w14:textId="77777777" w:rsidR="00AF6A11" w:rsidRPr="00E01B7D" w:rsidRDefault="00AF6A11" w:rsidP="00217324">
            <w:pPr>
              <w:pStyle w:val="TableText"/>
            </w:pPr>
            <w:r w:rsidRPr="00E01B7D">
              <w:t>24</w:t>
            </w:r>
          </w:p>
        </w:tc>
        <w:tc>
          <w:tcPr>
            <w:tcW w:w="1849" w:type="dxa"/>
          </w:tcPr>
          <w:p w14:paraId="0C6D36AD" w14:textId="77777777" w:rsidR="00AF6A11" w:rsidRPr="00E01B7D" w:rsidRDefault="00AF6A11" w:rsidP="00217324">
            <w:pPr>
              <w:pStyle w:val="TableText"/>
            </w:pPr>
            <w:r w:rsidRPr="00E01B7D">
              <w:t>50</w:t>
            </w:r>
          </w:p>
        </w:tc>
      </w:tr>
      <w:tr w:rsidR="00AF6A11" w14:paraId="3F32934B" w14:textId="77777777" w:rsidTr="00217324">
        <w:tc>
          <w:tcPr>
            <w:tcW w:w="1848" w:type="dxa"/>
          </w:tcPr>
          <w:p w14:paraId="60DAC3AF" w14:textId="77777777" w:rsidR="00AF6A11" w:rsidRPr="00E01B7D" w:rsidRDefault="00AF6A11" w:rsidP="00217324">
            <w:pPr>
              <w:pStyle w:val="TableText"/>
              <w:rPr>
                <w:highlight w:val="yellow"/>
              </w:rPr>
            </w:pPr>
            <w:r w:rsidRPr="00E01B7D">
              <w:t>Service providers</w:t>
            </w:r>
          </w:p>
        </w:tc>
        <w:tc>
          <w:tcPr>
            <w:tcW w:w="1848" w:type="dxa"/>
          </w:tcPr>
          <w:p w14:paraId="4391FF8B" w14:textId="77777777" w:rsidR="00AF6A11" w:rsidRPr="00E01B7D" w:rsidRDefault="00AF6A11" w:rsidP="00217324">
            <w:pPr>
              <w:pStyle w:val="TableText"/>
            </w:pPr>
            <w:r w:rsidRPr="00E01B7D">
              <w:t>10</w:t>
            </w:r>
          </w:p>
        </w:tc>
        <w:tc>
          <w:tcPr>
            <w:tcW w:w="1848" w:type="dxa"/>
          </w:tcPr>
          <w:p w14:paraId="530551B5" w14:textId="77777777" w:rsidR="00AF6A11" w:rsidRPr="00E01B7D" w:rsidRDefault="00AF6A11" w:rsidP="00217324">
            <w:pPr>
              <w:pStyle w:val="TableText"/>
            </w:pPr>
            <w:r w:rsidRPr="00E01B7D">
              <w:t>20</w:t>
            </w:r>
          </w:p>
        </w:tc>
        <w:tc>
          <w:tcPr>
            <w:tcW w:w="1849" w:type="dxa"/>
          </w:tcPr>
          <w:p w14:paraId="0E1C8145" w14:textId="77777777" w:rsidR="00AF6A11" w:rsidRPr="00E01B7D" w:rsidRDefault="00AF6A11" w:rsidP="00217324">
            <w:pPr>
              <w:pStyle w:val="TableText"/>
            </w:pPr>
            <w:r w:rsidRPr="00E01B7D">
              <w:t>26</w:t>
            </w:r>
          </w:p>
        </w:tc>
        <w:tc>
          <w:tcPr>
            <w:tcW w:w="1849" w:type="dxa"/>
          </w:tcPr>
          <w:p w14:paraId="7697F8D9" w14:textId="77777777" w:rsidR="00AF6A11" w:rsidRPr="00E01B7D" w:rsidRDefault="00AF6A11" w:rsidP="00217324">
            <w:pPr>
              <w:pStyle w:val="TableText"/>
            </w:pPr>
            <w:r w:rsidRPr="00E01B7D">
              <w:t>46</w:t>
            </w:r>
          </w:p>
        </w:tc>
      </w:tr>
      <w:tr w:rsidR="00AF6A11" w14:paraId="00E55CF5" w14:textId="77777777" w:rsidTr="00217324">
        <w:tc>
          <w:tcPr>
            <w:tcW w:w="1848" w:type="dxa"/>
          </w:tcPr>
          <w:p w14:paraId="124984D5" w14:textId="77777777" w:rsidR="00AF6A11" w:rsidRPr="00E01B7D" w:rsidRDefault="00AF6A11" w:rsidP="00217324">
            <w:pPr>
              <w:pStyle w:val="TableText"/>
              <w:rPr>
                <w:highlight w:val="yellow"/>
              </w:rPr>
            </w:pPr>
            <w:r w:rsidRPr="00E01B7D">
              <w:t>Donors/universities</w:t>
            </w:r>
          </w:p>
        </w:tc>
        <w:tc>
          <w:tcPr>
            <w:tcW w:w="1848" w:type="dxa"/>
          </w:tcPr>
          <w:p w14:paraId="29799807" w14:textId="77777777" w:rsidR="00AF6A11" w:rsidRPr="00E01B7D" w:rsidRDefault="00AF6A11" w:rsidP="00217324">
            <w:pPr>
              <w:pStyle w:val="TableText"/>
            </w:pPr>
            <w:r w:rsidRPr="00E01B7D">
              <w:t>8</w:t>
            </w:r>
          </w:p>
        </w:tc>
        <w:tc>
          <w:tcPr>
            <w:tcW w:w="1848" w:type="dxa"/>
          </w:tcPr>
          <w:p w14:paraId="38CA044F" w14:textId="77777777" w:rsidR="00AF6A11" w:rsidRPr="00E01B7D" w:rsidRDefault="00AF6A11" w:rsidP="00217324">
            <w:pPr>
              <w:pStyle w:val="TableText"/>
            </w:pPr>
            <w:r w:rsidRPr="00E01B7D">
              <w:t>9</w:t>
            </w:r>
          </w:p>
        </w:tc>
        <w:tc>
          <w:tcPr>
            <w:tcW w:w="1849" w:type="dxa"/>
          </w:tcPr>
          <w:p w14:paraId="39141448" w14:textId="77777777" w:rsidR="00AF6A11" w:rsidRPr="00E01B7D" w:rsidRDefault="00AF6A11" w:rsidP="00217324">
            <w:pPr>
              <w:pStyle w:val="TableText"/>
            </w:pPr>
            <w:r w:rsidRPr="00E01B7D">
              <w:t>1</w:t>
            </w:r>
          </w:p>
        </w:tc>
        <w:tc>
          <w:tcPr>
            <w:tcW w:w="1849" w:type="dxa"/>
          </w:tcPr>
          <w:p w14:paraId="525ACFDE" w14:textId="77777777" w:rsidR="00AF6A11" w:rsidRPr="00E01B7D" w:rsidRDefault="00AF6A11" w:rsidP="00217324">
            <w:pPr>
              <w:pStyle w:val="TableText"/>
            </w:pPr>
            <w:r w:rsidRPr="00E01B7D">
              <w:t>10</w:t>
            </w:r>
          </w:p>
        </w:tc>
      </w:tr>
      <w:tr w:rsidR="00AF6A11" w14:paraId="7FF419A9" w14:textId="77777777" w:rsidTr="00217324">
        <w:tc>
          <w:tcPr>
            <w:tcW w:w="1848" w:type="dxa"/>
          </w:tcPr>
          <w:p w14:paraId="7A2BC64B" w14:textId="77777777" w:rsidR="00AF6A11" w:rsidRPr="00E01B7D" w:rsidRDefault="00AF6A11" w:rsidP="00217324">
            <w:pPr>
              <w:pStyle w:val="TableText"/>
            </w:pPr>
            <w:r w:rsidRPr="00E01B7D">
              <w:t>TOTAL</w:t>
            </w:r>
          </w:p>
        </w:tc>
        <w:tc>
          <w:tcPr>
            <w:tcW w:w="1848" w:type="dxa"/>
          </w:tcPr>
          <w:p w14:paraId="7C631A4A" w14:textId="77777777" w:rsidR="00AF6A11" w:rsidRPr="00E01B7D" w:rsidRDefault="00AF6A11" w:rsidP="00217324">
            <w:pPr>
              <w:pStyle w:val="TableText"/>
            </w:pPr>
            <w:r w:rsidRPr="00E01B7D">
              <w:t>141</w:t>
            </w:r>
          </w:p>
        </w:tc>
        <w:tc>
          <w:tcPr>
            <w:tcW w:w="1848" w:type="dxa"/>
          </w:tcPr>
          <w:p w14:paraId="00F4759C" w14:textId="77777777" w:rsidR="00AF6A11" w:rsidRPr="00E01B7D" w:rsidRDefault="00AF6A11" w:rsidP="00217324">
            <w:pPr>
              <w:pStyle w:val="TableText"/>
            </w:pPr>
            <w:r w:rsidRPr="00E01B7D">
              <w:t>255</w:t>
            </w:r>
          </w:p>
        </w:tc>
        <w:tc>
          <w:tcPr>
            <w:tcW w:w="1849" w:type="dxa"/>
          </w:tcPr>
          <w:p w14:paraId="3D50845D" w14:textId="77777777" w:rsidR="00AF6A11" w:rsidRPr="00E01B7D" w:rsidRDefault="00AF6A11" w:rsidP="00217324">
            <w:pPr>
              <w:pStyle w:val="TableText"/>
            </w:pPr>
            <w:r w:rsidRPr="00E01B7D">
              <w:t>185</w:t>
            </w:r>
          </w:p>
        </w:tc>
        <w:tc>
          <w:tcPr>
            <w:tcW w:w="1849" w:type="dxa"/>
          </w:tcPr>
          <w:p w14:paraId="54F2C172" w14:textId="77777777" w:rsidR="00AF6A11" w:rsidRPr="00E01B7D" w:rsidRDefault="00AF6A11" w:rsidP="00217324">
            <w:pPr>
              <w:pStyle w:val="TableText"/>
            </w:pPr>
            <w:r w:rsidRPr="00E01B7D">
              <w:t>440</w:t>
            </w:r>
          </w:p>
        </w:tc>
      </w:tr>
    </w:tbl>
    <w:p w14:paraId="52897423" w14:textId="77777777" w:rsidR="00AF6A11" w:rsidRDefault="00AF6A11" w:rsidP="00217324"/>
    <w:p w14:paraId="7E393369" w14:textId="77777777" w:rsidR="00AF6A11" w:rsidRDefault="00AF6A11" w:rsidP="00217324">
      <w:pPr>
        <w:pStyle w:val="NormalBeforeBullet"/>
      </w:pPr>
      <w:r w:rsidRPr="0034255C">
        <w:rPr>
          <w:b/>
        </w:rPr>
        <w:t>Analysis</w:t>
      </w:r>
      <w:r>
        <w:t>: Two main forms of analysis were undertaken of the data collected during fieldwork.</w:t>
      </w:r>
    </w:p>
    <w:p w14:paraId="73763508" w14:textId="5C47F0B4" w:rsidR="00AF6A11" w:rsidRDefault="00AF6A11" w:rsidP="00217324">
      <w:pPr>
        <w:pStyle w:val="Bullet"/>
      </w:pPr>
      <w:r>
        <w:t>Qualitative analysis was conducted through systematic coding of meeting notes (141 interviews and focus group discussions) in Nvivo software. Analysis was structured according to the evaluation questions. Key themes within both the framework of the key evaluation questions and unanticipated findings and areas beyond the evaluation questions were captured</w:t>
      </w:r>
      <w:r w:rsidR="00596039">
        <w:t>.</w:t>
      </w:r>
    </w:p>
    <w:p w14:paraId="18DD77B5" w14:textId="76EBA67A" w:rsidR="00AF6A11" w:rsidRDefault="00AF6A11" w:rsidP="00217324">
      <w:pPr>
        <w:pStyle w:val="BulletLast"/>
      </w:pPr>
      <w:r>
        <w:t>A ‘case study’ approach was developed to analyse</w:t>
      </w:r>
      <w:r w:rsidR="0042033E">
        <w:t xml:space="preserve"> and profile </w:t>
      </w:r>
      <w:r>
        <w:t>six sectoral programs at greater depth. Details of the sample are shown in Section A</w:t>
      </w:r>
      <w:r w:rsidR="00596039">
        <w:t>2.3</w:t>
      </w:r>
      <w:r>
        <w:t xml:space="preserve">. A rigorous methodology was followed including development of a series of ‘propositions’ or hypotheses concerning each evaluation criteria. The propositions were based on the literature and document review, and were tested against evidence in available program documentation and transcripts from relevant interviews. Rival explanations were explored, particularly where different sources offered contradictions. This process led to preparation of a ‘case study database’ for each case study initiative, which included all available evidence ordered by evaluation criteria. The database was then used to develop shorter </w:t>
      </w:r>
      <w:r w:rsidR="0042033E">
        <w:t>profiles</w:t>
      </w:r>
      <w:r w:rsidR="00596039">
        <w:t>, which are</w:t>
      </w:r>
      <w:r>
        <w:t xml:space="preserve"> presented in the main report.</w:t>
      </w:r>
    </w:p>
    <w:p w14:paraId="034621B7" w14:textId="77777777" w:rsidR="00AF6A11" w:rsidRDefault="00AF6A11" w:rsidP="00217324">
      <w:r w:rsidRPr="00EE6A37">
        <w:rPr>
          <w:b/>
        </w:rPr>
        <w:t>Strength of the evidence</w:t>
      </w:r>
      <w:r>
        <w:t xml:space="preserve">: The strength of the evidence is considered strong due to the breadth of stakeholders at national and subnational levels accessed during fieldwork (58 per cent male, 42 per cent female). The thorough, systematic analytical approach and triangulation of evidence across multiple sources, particularly for </w:t>
      </w:r>
      <w:r w:rsidR="0042033E">
        <w:t>profiles</w:t>
      </w:r>
      <w:r>
        <w:t>, gave rigour to the approach.</w:t>
      </w:r>
    </w:p>
    <w:p w14:paraId="34881D7B" w14:textId="1FF2161E" w:rsidR="00AF6A11" w:rsidRPr="00992870" w:rsidRDefault="00AF6A11" w:rsidP="00217324">
      <w:r>
        <w:t xml:space="preserve">Even so, there are limitations in that the fieldwork was short as compared with the complexity of each initiative and the evaluation topic. Two to three intensive weeks in each of Indonesia and PNG provided certain insights into these locations but cannot be expected to provide a representative sample of the subnational environment. In addition, language and interpretation issues, as well as issues about power, were likely to have affected responses, particularly from in-country government stakeholders. This risk was partially mitigated through the use of simple language and framing of the concepts as they were relevant to each respondent, however </w:t>
      </w:r>
      <w:r w:rsidR="00A200A7">
        <w:t xml:space="preserve">the risks </w:t>
      </w:r>
      <w:r w:rsidR="00596039">
        <w:t xml:space="preserve">were </w:t>
      </w:r>
      <w:r>
        <w:t>not able to be fully mitigated.</w:t>
      </w:r>
    </w:p>
    <w:p w14:paraId="64DFD3C5" w14:textId="77777777" w:rsidR="00AF6A11" w:rsidRPr="006C0A70" w:rsidRDefault="00AF6A11" w:rsidP="00217324">
      <w:pPr>
        <w:pStyle w:val="Heading3a"/>
      </w:pPr>
      <w:bookmarkStart w:id="492" w:name="_Toc371980367"/>
      <w:bookmarkStart w:id="493" w:name="_Toc382563979"/>
      <w:bookmarkStart w:id="494" w:name="_Toc382595940"/>
      <w:r w:rsidRPr="006C0A70">
        <w:t>Ethical practice</w:t>
      </w:r>
      <w:bookmarkEnd w:id="492"/>
      <w:bookmarkEnd w:id="493"/>
      <w:bookmarkEnd w:id="494"/>
    </w:p>
    <w:p w14:paraId="79CC2679" w14:textId="77777777" w:rsidR="00AF6A11" w:rsidRDefault="00AF6A11" w:rsidP="00217324">
      <w:r>
        <w:t>This evaluation adhered to an institutional ethical review process. Key ethical concerns were the maintenance of independence, impartiality and integrity as well as respect for all participants who contribute to the evaluation. A plain language one-page description of the evaluation was prepared and was shared as appropriate. Explanation of the evaluation purpose and background was provided in plain language at the start of every interview and focus group discussion and informed consent was sought in verbal form from all participants and was given. To maintain privacy and confidentiality, interviewees and participants in focus groups were told that they would not be identified, and that commitment has been maintained in this report. Attention was given to ensuring social inclusion in terms of opportunity to participate by women and to ensure participants were at ease, for example by encouraging discussion in local language or dialects where this was preferred by participants.</w:t>
      </w:r>
    </w:p>
    <w:p w14:paraId="27ECDE1A" w14:textId="77777777" w:rsidR="00AF6A11" w:rsidRDefault="00AF6A11" w:rsidP="00217324">
      <w:pPr>
        <w:pStyle w:val="Heading2a"/>
      </w:pPr>
      <w:bookmarkStart w:id="495" w:name="_Toc371980368"/>
      <w:bookmarkStart w:id="496" w:name="_Toc382563980"/>
      <w:bookmarkStart w:id="497" w:name="_Toc382595941"/>
      <w:r>
        <w:t>A2.2</w:t>
      </w:r>
      <w:r>
        <w:tab/>
        <w:t>Evaluation criteria</w:t>
      </w:r>
      <w:bookmarkEnd w:id="495"/>
      <w:bookmarkEnd w:id="496"/>
      <w:bookmarkEnd w:id="497"/>
    </w:p>
    <w:p w14:paraId="451165E2" w14:textId="77777777" w:rsidR="00AF6A11" w:rsidRDefault="00AF6A11" w:rsidP="00217324">
      <w:r>
        <w:t>An overarching framework was developed to assess effectiveness in the context of this evaluation. This framework was developed based on literature and evaluations of decentralisation and service delivery in decentralised contexts. The sections below present</w:t>
      </w:r>
      <w:r w:rsidRPr="00B24E76">
        <w:t xml:space="preserve"> the evaluation criteria </w:t>
      </w:r>
      <w:r>
        <w:t xml:space="preserve">in further detail, </w:t>
      </w:r>
      <w:r w:rsidRPr="00B24E76">
        <w:t xml:space="preserve">including how each is defined, </w:t>
      </w:r>
      <w:r>
        <w:t>why it is important and how it was used in</w:t>
      </w:r>
      <w:r w:rsidRPr="00B24E76">
        <w:t xml:space="preserve"> organisational, policy and strategy and initiative</w:t>
      </w:r>
      <w:r>
        <w:t>-</w:t>
      </w:r>
      <w:r w:rsidRPr="00B24E76">
        <w:t>level analysis</w:t>
      </w:r>
      <w:r>
        <w:t>.</w:t>
      </w:r>
    </w:p>
    <w:p w14:paraId="477E7228" w14:textId="77777777" w:rsidR="00AF6A11" w:rsidRDefault="00AF6A11" w:rsidP="00217324">
      <w:pPr>
        <w:pStyle w:val="Heading3a"/>
      </w:pPr>
      <w:bookmarkStart w:id="498" w:name="_Toc371980369"/>
      <w:bookmarkStart w:id="499" w:name="_Toc382563981"/>
      <w:bookmarkStart w:id="500" w:name="_Toc382595942"/>
      <w:r>
        <w:t>Analysis and learning (sufficient/not)</w:t>
      </w:r>
      <w:bookmarkEnd w:id="498"/>
      <w:bookmarkEnd w:id="499"/>
      <w:bookmarkEnd w:id="500"/>
      <w:r>
        <w:t xml:space="preserve"> </w:t>
      </w:r>
    </w:p>
    <w:p w14:paraId="58EE4750" w14:textId="77777777" w:rsidR="00AF6A11" w:rsidRDefault="00AF6A11" w:rsidP="00217324">
      <w:r>
        <w:t>‘Analysis and learning’ refers to the use of a sound evidence base to inform decisions, and the organisational supports available to ensure improvement based on past learning and experience. This criterion is important in this evaluation because decentralisation is a highly complex, dynamic process, therefore demanding significant depth of contextual analysis to ensure appropriate aid choices.</w:t>
      </w:r>
    </w:p>
    <w:p w14:paraId="4832BFA6" w14:textId="7586E1FB" w:rsidR="00AF6A11" w:rsidRDefault="00AF6A11" w:rsidP="00217324">
      <w:r w:rsidRPr="008B62D4">
        <w:t xml:space="preserve">At the </w:t>
      </w:r>
      <w:r w:rsidRPr="00B9479A">
        <w:t>organisational level</w:t>
      </w:r>
      <w:r w:rsidRPr="008B62D4">
        <w:t>, this criterion examines the Australian aid program’s progression, based on</w:t>
      </w:r>
      <w:r>
        <w:t xml:space="preserve"> analysis and learning, in moving from a dominant focus on national-level engagement with partner governments towards greater engagement in service delivery support at subnational level. Within policy and strategy, this criterion addresses if and how evidence about decentralisation and the role of subnational government are incorporated into strategy documents, and whether policy guidance provides sufficient direction on how to do so. </w:t>
      </w:r>
    </w:p>
    <w:p w14:paraId="5DEF193F" w14:textId="77777777" w:rsidR="00AF6A11" w:rsidRDefault="00AF6A11" w:rsidP="00217324">
      <w:r w:rsidRPr="008B62D4">
        <w:t xml:space="preserve">At the </w:t>
      </w:r>
      <w:r w:rsidRPr="00B9479A">
        <w:t>initiative level</w:t>
      </w:r>
      <w:r w:rsidRPr="008B62D4">
        <w:t>, this criteri</w:t>
      </w:r>
      <w:r w:rsidRPr="002A1747">
        <w:t>on is aligned with Australian aid program quality standards which</w:t>
      </w:r>
      <w:r>
        <w:t xml:space="preserve"> dictate that designs should be ‘evidence-based’, meaning that they:</w:t>
      </w:r>
    </w:p>
    <w:p w14:paraId="38A86CD7" w14:textId="77777777" w:rsidR="00AF6A11" w:rsidRPr="00217324" w:rsidRDefault="00AF6A11" w:rsidP="00217324">
      <w:pPr>
        <w:pStyle w:val="Quote"/>
      </w:pPr>
      <w:r w:rsidRPr="00FE59D2">
        <w:t xml:space="preserve">Have sufficient analysis, including gender analysis, underpinning the programming choices made and the program logic </w:t>
      </w:r>
      <w:r w:rsidRPr="00217324">
        <w:t>to show why the design will work, including an analysis of the political realities impacting investment choices</w:t>
      </w:r>
      <w:r>
        <w:t>.</w:t>
      </w:r>
    </w:p>
    <w:p w14:paraId="30643D9D" w14:textId="77777777" w:rsidR="00AF6A11" w:rsidRDefault="00AF6A11" w:rsidP="00217324">
      <w:pPr>
        <w:pStyle w:val="Quote"/>
      </w:pPr>
      <w:r w:rsidRPr="00217324">
        <w:t>Demonstrate how the investment has been influenced by lessons from previous experience in the sector, program area and/or country, including lessons learnt by other development partners and those contained in evaluation reports and international literature</w:t>
      </w:r>
      <w:r>
        <w:t>.</w:t>
      </w:r>
      <w:r>
        <w:rPr>
          <w:rStyle w:val="EndnoteReference"/>
        </w:rPr>
        <w:endnoteReference w:id="324"/>
      </w:r>
    </w:p>
    <w:p w14:paraId="109C6AC8" w14:textId="77777777" w:rsidR="00AF6A11" w:rsidRDefault="00AF6A11" w:rsidP="00217324">
      <w:pPr>
        <w:pStyle w:val="Heading3a"/>
      </w:pPr>
      <w:bookmarkStart w:id="501" w:name="_Toc371980370"/>
      <w:bookmarkStart w:id="502" w:name="_Toc382563982"/>
      <w:bookmarkStart w:id="503" w:name="_Toc382595943"/>
      <w:r>
        <w:t>Alignment and relevance</w:t>
      </w:r>
      <w:bookmarkEnd w:id="501"/>
      <w:bookmarkEnd w:id="502"/>
      <w:bookmarkEnd w:id="503"/>
    </w:p>
    <w:p w14:paraId="5BB93DB7" w14:textId="7AF53ED5" w:rsidR="00AF6A11" w:rsidRDefault="00AF6A11" w:rsidP="00217324">
      <w:r>
        <w:t xml:space="preserve">‘Alignment and relevance’ refers to alignment of the Australian aid program’s efforts with the priorities and policies of partner government at national </w:t>
      </w:r>
      <w:r w:rsidRPr="00756D9E">
        <w:rPr>
          <w:i/>
        </w:rPr>
        <w:t>and</w:t>
      </w:r>
      <w:r>
        <w:t xml:space="preserve"> subnational level</w:t>
      </w:r>
      <w:r w:rsidR="003D3333">
        <w:t>s</w:t>
      </w:r>
      <w:r>
        <w:t>. Alignment is one of the principles of aid effectiveness, and its usual interpretation refers to the national level.</w:t>
      </w:r>
      <w:r w:rsidR="00785A85">
        <w:rPr>
          <w:rStyle w:val="FootnoteReference"/>
        </w:rPr>
        <w:footnoteReference w:id="55"/>
      </w:r>
      <w:r w:rsidR="00785A85">
        <w:t xml:space="preserve"> </w:t>
      </w:r>
      <w:r>
        <w:t>In the context of decentralisation, it becomes important also at subnational level.</w:t>
      </w:r>
    </w:p>
    <w:p w14:paraId="6C81851F" w14:textId="73190F21" w:rsidR="00AF6A11" w:rsidRDefault="00AF6A11" w:rsidP="00217324">
      <w:r>
        <w:t>In an initiative, ‘alignment and relevance’ includes the following notion of relevance and answering questions about what added value Australian support offers and its comparative advantage (</w:t>
      </w:r>
      <w:r w:rsidR="00094FBB">
        <w:t>quality at implementation</w:t>
      </w:r>
      <w:r w:rsidR="00094FBB" w:rsidRPr="005B5CD1">
        <w:t xml:space="preserve"> </w:t>
      </w:r>
      <w:r>
        <w:t xml:space="preserve">report template): </w:t>
      </w:r>
    </w:p>
    <w:p w14:paraId="3FDCE8D4" w14:textId="77777777" w:rsidR="00AF6A11" w:rsidRDefault="00AF6A11" w:rsidP="00217324">
      <w:pPr>
        <w:pStyle w:val="Quote"/>
      </w:pPr>
      <w:r>
        <w:t>T</w:t>
      </w:r>
      <w:r w:rsidRPr="00756D9E">
        <w:t>he initiative is the most appropriate way to meet high priority goals that Australia shares with its development partners</w:t>
      </w:r>
      <w:r>
        <w:t xml:space="preserve"> </w:t>
      </w:r>
      <w:r w:rsidRPr="00756D9E">
        <w:t>in the given context</w:t>
      </w:r>
      <w:r>
        <w:t>.</w:t>
      </w:r>
    </w:p>
    <w:p w14:paraId="18DCDC84" w14:textId="77777777" w:rsidR="00AF6A11" w:rsidRDefault="00AF6A11" w:rsidP="00217324">
      <w:pPr>
        <w:pStyle w:val="Quote"/>
      </w:pPr>
      <w:r>
        <w:t xml:space="preserve">[The initiative] </w:t>
      </w:r>
      <w:r w:rsidRPr="00756D9E">
        <w:t>is relevant to the specific development conditions and social and economic context in which it is being implemented</w:t>
      </w:r>
      <w:r>
        <w:t>.</w:t>
      </w:r>
    </w:p>
    <w:p w14:paraId="6C048313" w14:textId="77777777" w:rsidR="00AF6A11" w:rsidRDefault="00AF6A11" w:rsidP="00217324">
      <w:pPr>
        <w:pStyle w:val="Heading3a"/>
      </w:pPr>
      <w:bookmarkStart w:id="504" w:name="_Toc371980371"/>
      <w:bookmarkStart w:id="505" w:name="_Toc382563983"/>
      <w:bookmarkStart w:id="506" w:name="_Toc382595944"/>
      <w:r>
        <w:t>Balance</w:t>
      </w:r>
      <w:bookmarkEnd w:id="504"/>
      <w:bookmarkEnd w:id="505"/>
      <w:bookmarkEnd w:id="506"/>
    </w:p>
    <w:p w14:paraId="042568EA" w14:textId="76962EE8" w:rsidR="00AF6A11" w:rsidRDefault="00AF6A11" w:rsidP="00217324">
      <w:r>
        <w:t>Working on service delivery in decentralised contexts involves challenging decisions about the different levels at which to engage (national and subnational levels), with literature and evaluations pointing to the need for a multilevel approach,</w:t>
      </w:r>
      <w:r>
        <w:rPr>
          <w:rStyle w:val="EndnoteReference"/>
        </w:rPr>
        <w:endnoteReference w:id="325"/>
      </w:r>
      <w:r>
        <w:t xml:space="preserve"> including explicit attention to building capacity of institutions at </w:t>
      </w:r>
      <w:r w:rsidR="00596039">
        <w:t xml:space="preserve">the </w:t>
      </w:r>
      <w:r>
        <w:t>subnational level.</w:t>
      </w:r>
      <w:r>
        <w:rPr>
          <w:rStyle w:val="EndnoteReference"/>
        </w:rPr>
        <w:endnoteReference w:id="326"/>
      </w:r>
      <w:r>
        <w:t xml:space="preserve"> </w:t>
      </w:r>
    </w:p>
    <w:p w14:paraId="2A3699F9" w14:textId="18B07B48" w:rsidR="00AF6A11" w:rsidRDefault="00AF6A11" w:rsidP="00217324">
      <w:r>
        <w:t xml:space="preserve">A focus on service delivery also raises questions as to the relative weight of engagement with line ministries (usually carrying responsibility for policy, strategic planning and quality assurance) and engagement with central agencies and </w:t>
      </w:r>
      <w:r w:rsidR="00560B6D">
        <w:t xml:space="preserve"> cross-cutting</w:t>
      </w:r>
      <w:r>
        <w:t xml:space="preserve"> reforms (</w:t>
      </w:r>
      <w:r w:rsidR="00D2236B">
        <w:t>e.g. </w:t>
      </w:r>
      <w:r>
        <w:t>around civil service management, human resource management, public financial management and local government and service delivery systems),</w:t>
      </w:r>
      <w:r>
        <w:rPr>
          <w:rStyle w:val="EndnoteReference"/>
        </w:rPr>
        <w:endnoteReference w:id="327"/>
      </w:r>
      <w:r>
        <w:t xml:space="preserve"> especially since ties between these parts of government have been found to often be inexistent or weak.</w:t>
      </w:r>
      <w:r>
        <w:rPr>
          <w:rStyle w:val="EndnoteReference"/>
        </w:rPr>
        <w:endnoteReference w:id="328"/>
      </w:r>
    </w:p>
    <w:p w14:paraId="0BBDAB72" w14:textId="77777777" w:rsidR="00AF6A11" w:rsidRDefault="00AF6A11" w:rsidP="00217324">
      <w:r>
        <w:t>Lastly, literature on decentralisation and service delivery points to the necessity of improvements in citizen voice and accountability to ensure local service delivery meets needs (including of the poor and marginalised),</w:t>
      </w:r>
      <w:r>
        <w:rPr>
          <w:rStyle w:val="EndnoteReference"/>
        </w:rPr>
        <w:endnoteReference w:id="329"/>
      </w:r>
      <w:r>
        <w:t xml:space="preserve"> hence a focus on how aid choices address the demand and supply side is also included.</w:t>
      </w:r>
    </w:p>
    <w:p w14:paraId="0666DA8E" w14:textId="77777777" w:rsidR="00AF6A11" w:rsidRDefault="00AF6A11" w:rsidP="00217324">
      <w:pPr>
        <w:pStyle w:val="NormalBeforeBullet"/>
      </w:pPr>
      <w:r>
        <w:t>Balance is therefore defined across four dimensions:</w:t>
      </w:r>
    </w:p>
    <w:p w14:paraId="32DB3E85" w14:textId="77777777" w:rsidR="00AF6A11" w:rsidRDefault="00AF6A11" w:rsidP="00217324">
      <w:pPr>
        <w:pStyle w:val="Bullet"/>
      </w:pPr>
      <w:r>
        <w:t>between national and subnational levels</w:t>
      </w:r>
    </w:p>
    <w:p w14:paraId="1FFA525B" w14:textId="77777777" w:rsidR="00AF6A11" w:rsidRDefault="00AF6A11" w:rsidP="00217324">
      <w:pPr>
        <w:pStyle w:val="Bullet"/>
      </w:pPr>
      <w:r>
        <w:t>between line (sector) ministries and central ministries (cross-functional, administrative or planning ministries)</w:t>
      </w:r>
    </w:p>
    <w:p w14:paraId="61361EF6" w14:textId="77777777" w:rsidR="00AF6A11" w:rsidRDefault="00AF6A11" w:rsidP="00217324">
      <w:pPr>
        <w:pStyle w:val="Bullet"/>
      </w:pPr>
      <w:r>
        <w:t>between local government (and elected leaders) and local authorities (devolved or deconcentrated line ministries)</w:t>
      </w:r>
    </w:p>
    <w:p w14:paraId="744E9C28" w14:textId="77777777" w:rsidR="00AF6A11" w:rsidRDefault="00AF6A11" w:rsidP="00217324">
      <w:pPr>
        <w:pStyle w:val="BulletLast"/>
      </w:pPr>
      <w:r>
        <w:t>demand and supply side of governance arrangements</w:t>
      </w:r>
    </w:p>
    <w:p w14:paraId="06C98DBD" w14:textId="77777777" w:rsidR="00AF6A11" w:rsidRDefault="00AF6A11" w:rsidP="00217324">
      <w:r>
        <w:t xml:space="preserve">This criterion applies at strategy (across a country program, or within a sector) and initiative levels. This does not imply that the Australian aid program should be working at all levels, across all parts of government, or across supply and demand in every initiative or sector. Rather, that a balance of engagement would be expected, based on sound analysis (which might include what other donors or other program areas are doing) and realistic expectations of achievable outcomes. The required investments for working on any of these four dimensions must also be weighed up, since each has resource implications. </w:t>
      </w:r>
    </w:p>
    <w:p w14:paraId="7D4F5204" w14:textId="77777777" w:rsidR="00AF6A11" w:rsidRDefault="00AF6A11" w:rsidP="00217324">
      <w:pPr>
        <w:pStyle w:val="Heading3a"/>
      </w:pPr>
      <w:bookmarkStart w:id="507" w:name="_Toc371980372"/>
      <w:bookmarkStart w:id="508" w:name="_Toc382563984"/>
      <w:bookmarkStart w:id="509" w:name="_Toc382595945"/>
      <w:r>
        <w:t>Sustainability (appropriate/not)</w:t>
      </w:r>
      <w:bookmarkEnd w:id="507"/>
      <w:bookmarkEnd w:id="508"/>
      <w:bookmarkEnd w:id="509"/>
    </w:p>
    <w:p w14:paraId="670A52CB" w14:textId="77777777" w:rsidR="00AF6A11" w:rsidRDefault="00AF6A11" w:rsidP="00B9479A">
      <w:r>
        <w:t xml:space="preserve">‘Sustainability’ is interpreted in this evaluation in line with Australian aid program quality systems and is focused at the initiative level </w:t>
      </w:r>
      <w:r w:rsidRPr="005B5CD1">
        <w:t>(</w:t>
      </w:r>
      <w:r w:rsidR="00094FBB">
        <w:t>quality at implementation</w:t>
      </w:r>
      <w:r w:rsidR="00094FBB" w:rsidRPr="005B5CD1">
        <w:t xml:space="preserve"> </w:t>
      </w:r>
      <w:r>
        <w:t>report template</w:t>
      </w:r>
      <w:r w:rsidRPr="005B5CD1">
        <w:t>)</w:t>
      </w:r>
      <w:r>
        <w:t>:</w:t>
      </w:r>
    </w:p>
    <w:p w14:paraId="121732F4" w14:textId="77777777" w:rsidR="00AF6A11" w:rsidRPr="005B5CD1" w:rsidRDefault="00AF6A11" w:rsidP="00217324">
      <w:pPr>
        <w:pStyle w:val="Quote"/>
      </w:pPr>
      <w:r>
        <w:t>T</w:t>
      </w:r>
      <w:r w:rsidRPr="005B5CD1">
        <w:t>he extent to which the processes are owned by and provide strengthened capacity of local partners</w:t>
      </w:r>
      <w:r>
        <w:t>.</w:t>
      </w:r>
    </w:p>
    <w:p w14:paraId="1F0A8220" w14:textId="77777777" w:rsidR="00AF6A11" w:rsidRPr="005B5CD1" w:rsidRDefault="00AF6A11" w:rsidP="00217324">
      <w:pPr>
        <w:pStyle w:val="Quote"/>
      </w:pPr>
      <w:r>
        <w:t>T</w:t>
      </w:r>
      <w:r w:rsidRPr="005B5CD1">
        <w:t>he extent to which benefits are likely to endure after the Au</w:t>
      </w:r>
      <w:r>
        <w:t>stralian contribution has ceased.</w:t>
      </w:r>
    </w:p>
    <w:p w14:paraId="712EC40A" w14:textId="77777777" w:rsidR="00AF6A11" w:rsidRDefault="00AF6A11" w:rsidP="00217324">
      <w:r>
        <w:t>Given the focus on service delivery, the key types of outcomes in question are service delivery outcomes. Sector literature points to the challenges of sustaining service outcomes. In the WASH sector, for example, often only 50–80 per cent of infrastructure continues to function and provide some level of service.</w:t>
      </w:r>
      <w:r w:rsidR="00785A85">
        <w:rPr>
          <w:rStyle w:val="FootnoteReference"/>
        </w:rPr>
        <w:footnoteReference w:id="56"/>
      </w:r>
      <w:r w:rsidR="00785A85">
        <w:t xml:space="preserve"> </w:t>
      </w:r>
      <w:r>
        <w:t>The education and infrastructure sectors report similar issues around maintenance of schools and roads.</w:t>
      </w:r>
      <w:r>
        <w:rPr>
          <w:rStyle w:val="EndnoteReference"/>
        </w:rPr>
        <w:endnoteReference w:id="330"/>
      </w:r>
    </w:p>
    <w:p w14:paraId="2A23993D" w14:textId="1DECE746" w:rsidR="00AF6A11" w:rsidRDefault="00AF6A11" w:rsidP="00217324">
      <w:r>
        <w:t xml:space="preserve">Key among the above concepts concerning sustainability </w:t>
      </w:r>
      <w:r w:rsidR="00F72149">
        <w:t xml:space="preserve">is </w:t>
      </w:r>
      <w:r>
        <w:t xml:space="preserve">ownership (again, one of the tenets of aid effectiveness), which in the case of decentralised contexts must include ownership at local level, and strengthened capacity of local partners. The </w:t>
      </w:r>
      <w:r w:rsidR="00094FBB">
        <w:t xml:space="preserve">investment design quality standards </w:t>
      </w:r>
      <w:r>
        <w:t>specify that consideration of ownership requires that Australian aid program staff:</w:t>
      </w:r>
    </w:p>
    <w:p w14:paraId="32BA7853" w14:textId="77777777" w:rsidR="00AF6A11" w:rsidRPr="00BB42DC" w:rsidRDefault="00AF6A11" w:rsidP="00217324">
      <w:pPr>
        <w:pStyle w:val="Quote"/>
      </w:pPr>
      <w:r w:rsidRPr="00BB42DC">
        <w:t>Consider capacity issues including the need for baseline assessments and the development of capacity development frameworks or strategies which can realistically become locally owned in time</w:t>
      </w:r>
      <w:r>
        <w:t>.</w:t>
      </w:r>
    </w:p>
    <w:p w14:paraId="36A6E6B6" w14:textId="77777777" w:rsidR="00AF6A11" w:rsidRDefault="00AF6A11" w:rsidP="00217324">
      <w:pPr>
        <w:pStyle w:val="Heading3a"/>
      </w:pPr>
      <w:bookmarkStart w:id="510" w:name="_Toc371980373"/>
      <w:bookmarkStart w:id="511" w:name="_Toc382563985"/>
      <w:bookmarkStart w:id="512" w:name="_Toc382595946"/>
      <w:r>
        <w:t>Equity (sufficient/not)</w:t>
      </w:r>
      <w:bookmarkEnd w:id="510"/>
      <w:bookmarkEnd w:id="511"/>
      <w:bookmarkEnd w:id="512"/>
    </w:p>
    <w:p w14:paraId="3BEDB6CC" w14:textId="379C0943" w:rsidR="00AF6A11" w:rsidRDefault="00AF6A11" w:rsidP="00B9479A">
      <w:r>
        <w:t>Given the overarching purpose of the Australian aid program</w:t>
      </w:r>
      <w:r w:rsidR="00F72149">
        <w:t xml:space="preserve"> is</w:t>
      </w:r>
      <w:r>
        <w:t xml:space="preserve"> to help people overcome poverty, ‘equity’ is clearly a critical criterion against which to assess effectiveness of Australian support.</w:t>
      </w:r>
    </w:p>
    <w:p w14:paraId="298A926B" w14:textId="77777777" w:rsidR="00AF6A11" w:rsidRDefault="00AF6A11" w:rsidP="00217324">
      <w:r>
        <w:t xml:space="preserve">In relation to decentralisation and service delivery, there are also three additional considerations that make this criterion important. </w:t>
      </w:r>
    </w:p>
    <w:p w14:paraId="441FD256" w14:textId="77777777" w:rsidR="00AF6A11" w:rsidRDefault="00AF6A11" w:rsidP="00217324">
      <w:r>
        <w:t>First, there is a lack of consensus in the literature that decentralisation necessarily leads to improved services for the poor.</w:t>
      </w:r>
      <w:r>
        <w:rPr>
          <w:rStyle w:val="EndnoteReference"/>
        </w:rPr>
        <w:endnoteReference w:id="331"/>
      </w:r>
      <w:r>
        <w:t>Hence, complex questions arise in terms of how the Australian aid program is positioned in relation to decentralisation reforms and ensuring its support leads to outcomes for the poor.</w:t>
      </w:r>
    </w:p>
    <w:p w14:paraId="13D50151" w14:textId="5B5E582C" w:rsidR="00AF6A11" w:rsidRDefault="00AF6A11" w:rsidP="00217324">
      <w:r>
        <w:t>Second, the service needs of particular groups (such as the poor and marginalised) and those of women and men are likely to be differentiated, and hence support for development of mechanisms for voice and participation of different groups becomes important. The literature suggests that there has been limited attention to addressing gender in donor efforts concerning decentralisation.</w:t>
      </w:r>
      <w:r>
        <w:rPr>
          <w:rStyle w:val="EndnoteReference"/>
        </w:rPr>
        <w:endnoteReference w:id="332"/>
      </w:r>
      <w:r>
        <w:t xml:space="preserve"> Australian aid program policy dictates that gender and disability be incorporated as </w:t>
      </w:r>
      <w:r w:rsidR="00560B6D">
        <w:t>cross-cutting</w:t>
      </w:r>
      <w:r>
        <w:t xml:space="preserve"> issues. This is expanded upon in the Australian aid program’s </w:t>
      </w:r>
      <w:r w:rsidR="003D5002">
        <w:t>i</w:t>
      </w:r>
      <w:r>
        <w:t xml:space="preserve">nvestment </w:t>
      </w:r>
      <w:r w:rsidR="003D5002">
        <w:t>d</w:t>
      </w:r>
      <w:r>
        <w:t xml:space="preserve">esign </w:t>
      </w:r>
      <w:r w:rsidR="003D5002">
        <w:t>q</w:t>
      </w:r>
      <w:r>
        <w:t xml:space="preserve">uality </w:t>
      </w:r>
      <w:r w:rsidR="003D5002">
        <w:t>s</w:t>
      </w:r>
      <w:r>
        <w:t>tandards in that both ‘social inclusion’ and ‘gender equality’ are deemed important in the following ways:</w:t>
      </w:r>
    </w:p>
    <w:p w14:paraId="6DA02C42" w14:textId="77777777" w:rsidR="00AF6A11" w:rsidRPr="00DD6D8E" w:rsidRDefault="00AF6A11" w:rsidP="00217324">
      <w:pPr>
        <w:pStyle w:val="Quote"/>
      </w:pPr>
      <w:r w:rsidRPr="00DD6D8E">
        <w:t xml:space="preserve">Social </w:t>
      </w:r>
      <w:r>
        <w:t>i</w:t>
      </w:r>
      <w:r w:rsidRPr="00DD6D8E">
        <w:t>nclusion</w:t>
      </w:r>
    </w:p>
    <w:p w14:paraId="34CEC3C8" w14:textId="77777777" w:rsidR="00AF6A11" w:rsidRPr="00DD6D8E" w:rsidRDefault="00AF6A11" w:rsidP="00217324">
      <w:pPr>
        <w:pStyle w:val="QuoteBullet0"/>
      </w:pPr>
      <w:r w:rsidRPr="00DD6D8E">
        <w:t>Demonstrate how we will influence advancing social inclusion within the investment</w:t>
      </w:r>
      <w:r>
        <w:t>—</w:t>
      </w:r>
      <w:r w:rsidRPr="00DD6D8E">
        <w:t>including as appropriate, but not limited to, people living with HIV/AIDS, people with a disability, ethnic and linguistic minorities, rural and remote communities and other excluded groups within the given context</w:t>
      </w:r>
    </w:p>
    <w:p w14:paraId="7B39A765" w14:textId="77777777" w:rsidR="00AF6A11" w:rsidRPr="00DD6D8E" w:rsidRDefault="00AF6A11" w:rsidP="00217324">
      <w:pPr>
        <w:pStyle w:val="QuoteBullet0"/>
      </w:pPr>
      <w:r w:rsidRPr="00DD6D8E">
        <w:t>Integrate social inclusion into outcomes and the consideration of risks and sustainability</w:t>
      </w:r>
    </w:p>
    <w:p w14:paraId="6DD7C26D" w14:textId="77777777" w:rsidR="00AF6A11" w:rsidRPr="00DD6D8E" w:rsidRDefault="00AF6A11" w:rsidP="00217324">
      <w:pPr>
        <w:pStyle w:val="QuoteBullet0"/>
      </w:pPr>
      <w:r w:rsidRPr="00DD6D8E">
        <w:t>Ensure that outcomes are equitable</w:t>
      </w:r>
      <w:r>
        <w:t>.</w:t>
      </w:r>
    </w:p>
    <w:p w14:paraId="094ACFCE" w14:textId="77777777" w:rsidR="00AF6A11" w:rsidRPr="00DD6D8E" w:rsidRDefault="00AF6A11" w:rsidP="00217324">
      <w:pPr>
        <w:pStyle w:val="Quote"/>
      </w:pPr>
      <w:r w:rsidRPr="00DD6D8E">
        <w:t xml:space="preserve">Gender </w:t>
      </w:r>
      <w:r>
        <w:t>e</w:t>
      </w:r>
      <w:r w:rsidRPr="00DD6D8E">
        <w:t xml:space="preserve">quality </w:t>
      </w:r>
    </w:p>
    <w:p w14:paraId="1612BD39" w14:textId="77777777" w:rsidR="00AF6A11" w:rsidRPr="00DD6D8E" w:rsidRDefault="00AF6A11" w:rsidP="00217324">
      <w:pPr>
        <w:pStyle w:val="QuoteBullet0"/>
      </w:pPr>
      <w:r w:rsidRPr="00DD6D8E">
        <w:t>Incorporate appropriate and effective strategies to advance gender equality and promote the empowerment of women and girls</w:t>
      </w:r>
    </w:p>
    <w:p w14:paraId="67F1EDB3" w14:textId="77777777" w:rsidR="00AF6A11" w:rsidRPr="00DD6D8E" w:rsidRDefault="00AF6A11" w:rsidP="00217324">
      <w:pPr>
        <w:pStyle w:val="QuoteBullet0"/>
      </w:pPr>
      <w:r w:rsidRPr="00DD6D8E">
        <w:t>Ensure the equal access of women and girls to the benefits of the investment</w:t>
      </w:r>
    </w:p>
    <w:p w14:paraId="4738DC7F" w14:textId="77777777" w:rsidR="00AF6A11" w:rsidRDefault="00AF6A11" w:rsidP="00217324">
      <w:pPr>
        <w:pStyle w:val="QuoteBullet0"/>
      </w:pPr>
      <w:r w:rsidRPr="00DD6D8E">
        <w:t>Demonstrate how we will influence advancing women’s empowerment within the investment; including where appropriate, addressing women’s role in decision</w:t>
      </w:r>
      <w:r>
        <w:t>-</w:t>
      </w:r>
      <w:r w:rsidRPr="00DD6D8E">
        <w:t>making and leadership, or empowering women economically</w:t>
      </w:r>
      <w:r>
        <w:t>.</w:t>
      </w:r>
    </w:p>
    <w:p w14:paraId="6B6FC043" w14:textId="778F10AF" w:rsidR="00AF6A11" w:rsidRDefault="00AF6A11" w:rsidP="00217324">
      <w:r>
        <w:t>Lastly, working at subnational level requires choices about chosen locations (in terms of regions, provinces or districts)</w:t>
      </w:r>
      <w:r w:rsidR="00F72149">
        <w:t>. G</w:t>
      </w:r>
      <w:r>
        <w:t xml:space="preserve">iven the widely reported unevenness of decentralisation processes across countries, </w:t>
      </w:r>
      <w:r w:rsidR="00F72149">
        <w:t>t</w:t>
      </w:r>
      <w:r>
        <w:t>he Australian aid program is faced with difficult choices with respect to targeting the poorest or working in subnational locations where higher capacity or stronger political leadership is present.</w:t>
      </w:r>
    </w:p>
    <w:p w14:paraId="392FB929" w14:textId="77777777" w:rsidR="00AF6A11" w:rsidRDefault="00AF6A11" w:rsidP="00217324">
      <w:pPr>
        <w:pStyle w:val="Heading3a"/>
      </w:pPr>
      <w:bookmarkStart w:id="513" w:name="_Toc371980374"/>
      <w:bookmarkStart w:id="514" w:name="_Toc382563986"/>
      <w:bookmarkStart w:id="515" w:name="_Toc382595947"/>
      <w:r>
        <w:t>Coherence (sufficient/not)</w:t>
      </w:r>
      <w:bookmarkEnd w:id="513"/>
      <w:bookmarkEnd w:id="514"/>
      <w:bookmarkEnd w:id="515"/>
    </w:p>
    <w:p w14:paraId="76DF263E" w14:textId="77777777" w:rsidR="00AF6A11" w:rsidRDefault="00AF6A11" w:rsidP="00217324">
      <w:r>
        <w:t xml:space="preserve">For an evaluation focused at the organisational level, ‘coherence’ is an important criterion. Improved coherence is expected from the successful implementation of the strategic programming architecture within the Australian aid program. </w:t>
      </w:r>
    </w:p>
    <w:p w14:paraId="69CB1C3F" w14:textId="77777777" w:rsidR="00AF6A11" w:rsidRDefault="00AF6A11" w:rsidP="00217324">
      <w:r>
        <w:t>Decentralisation processes within partner countries are complex and differences between sectors and geographical locations can present challenges for donors to in developing and maintaining coherent country programs.</w:t>
      </w:r>
    </w:p>
    <w:p w14:paraId="30078351" w14:textId="77777777" w:rsidR="00AF6A11" w:rsidRDefault="00AF6A11" w:rsidP="00217324">
      <w:pPr>
        <w:pStyle w:val="NormalBeforeBullet"/>
      </w:pPr>
      <w:r>
        <w:t>Within this evaluation, the analysis of this criterion is focused at four levels:</w:t>
      </w:r>
    </w:p>
    <w:p w14:paraId="2B457984" w14:textId="77777777" w:rsidR="00AF6A11" w:rsidRDefault="00AF6A11" w:rsidP="00217324">
      <w:pPr>
        <w:pStyle w:val="Bullet"/>
      </w:pPr>
      <w:r>
        <w:t>within country strategy (including how agency works through governance versus sectors)</w:t>
      </w:r>
    </w:p>
    <w:p w14:paraId="2353948C" w14:textId="77777777" w:rsidR="00AF6A11" w:rsidRDefault="00AF6A11" w:rsidP="00217324">
      <w:pPr>
        <w:pStyle w:val="Bullet"/>
      </w:pPr>
      <w:r>
        <w:t>within sector portfolios</w:t>
      </w:r>
    </w:p>
    <w:p w14:paraId="58767F4C" w14:textId="77777777" w:rsidR="00AF6A11" w:rsidRDefault="00AF6A11" w:rsidP="00217324">
      <w:pPr>
        <w:pStyle w:val="Bullet"/>
      </w:pPr>
      <w:r>
        <w:t>within subnational locations</w:t>
      </w:r>
    </w:p>
    <w:p w14:paraId="54FE688A" w14:textId="77777777" w:rsidR="00AF6A11" w:rsidRDefault="00AF6A11" w:rsidP="00217324">
      <w:pPr>
        <w:pStyle w:val="BulletLast"/>
      </w:pPr>
      <w:r>
        <w:t>within organisational guidance.</w:t>
      </w:r>
    </w:p>
    <w:p w14:paraId="3EFD5F7B" w14:textId="1EDBFF33" w:rsidR="00AF6A11" w:rsidRDefault="00AF6A11" w:rsidP="00217324">
      <w:pPr>
        <w:pStyle w:val="Heading2a"/>
      </w:pPr>
      <w:bookmarkStart w:id="516" w:name="_Toc371980375"/>
      <w:bookmarkStart w:id="517" w:name="_Toc382563987"/>
      <w:bookmarkStart w:id="518" w:name="_Toc382595948"/>
      <w:r>
        <w:t>A2.3</w:t>
      </w:r>
      <w:r>
        <w:tab/>
        <w:t>Sample initiatives</w:t>
      </w:r>
      <w:bookmarkEnd w:id="516"/>
      <w:bookmarkEnd w:id="517"/>
      <w:bookmarkEnd w:id="518"/>
    </w:p>
    <w:p w14:paraId="1944DA5C" w14:textId="77777777" w:rsidR="00AF6A11" w:rsidRDefault="00AF6A11" w:rsidP="00217324">
      <w:pPr>
        <w:pStyle w:val="Heading3a"/>
      </w:pPr>
      <w:bookmarkStart w:id="519" w:name="_Toc371980376"/>
      <w:bookmarkStart w:id="520" w:name="_Toc382563988"/>
      <w:bookmarkStart w:id="521" w:name="_Toc382595949"/>
      <w:r>
        <w:t>Document review sample initiatives</w:t>
      </w:r>
      <w:bookmarkEnd w:id="519"/>
      <w:bookmarkEnd w:id="520"/>
      <w:bookmarkEnd w:id="521"/>
    </w:p>
    <w:p w14:paraId="0179CBC0" w14:textId="7DB9C968" w:rsidR="00AF6A11" w:rsidRDefault="00AF6A11" w:rsidP="00217324">
      <w:r>
        <w:t>The sample was chosen to provide diversity</w:t>
      </w:r>
      <w:r w:rsidRPr="00FC03A5">
        <w:t xml:space="preserve"> </w:t>
      </w:r>
      <w:r>
        <w:t>across three sectors,</w:t>
      </w:r>
      <w:r w:rsidRPr="00FC03A5">
        <w:t xml:space="preserve"> six countries </w:t>
      </w:r>
      <w:r>
        <w:t>and aid modalities (including managing contractor, SWaP, multilateral, non-governmental organisations, direct partner government execution), to ensure breadth of representation of the ways Australia provides support in these sectors across different contexts (and beyond the case study countries and initiatives). Only high-value sector service delivery</w:t>
      </w:r>
      <w:r w:rsidRPr="00FC03A5">
        <w:t xml:space="preserve"> programs</w:t>
      </w:r>
      <w:r>
        <w:t xml:space="preserve"> (&gt;$10 million) were included. We sought to include some documentation for programs included in three case study countries to allow for triangulation during analysis, however in an effort to ensure breadth and balance in the sample, avoided skewing the sample towards more documents from case study countries than from other countries. </w:t>
      </w:r>
      <w:r w:rsidR="00F72149">
        <w:t>We i</w:t>
      </w:r>
      <w:r>
        <w:t xml:space="preserve">nitially sought to include design-evaluation pairs (hence why some design documents included were 2007–08) however </w:t>
      </w:r>
      <w:r w:rsidR="00F72149">
        <w:t xml:space="preserve">it </w:t>
      </w:r>
      <w:r>
        <w:t xml:space="preserve">was challenging to ensure </w:t>
      </w:r>
      <w:r w:rsidR="00F72149">
        <w:t xml:space="preserve">the inclusion of </w:t>
      </w:r>
      <w:r>
        <w:t>current/relevant programs</w:t>
      </w:r>
      <w:r w:rsidR="00F72149">
        <w:t>. Since</w:t>
      </w:r>
      <w:r w:rsidR="00F72149" w:rsidRPr="005C1D69">
        <w:t xml:space="preserve"> </w:t>
      </w:r>
      <w:r w:rsidRPr="005C1D69">
        <w:t xml:space="preserve">the purpose of analysis did not </w:t>
      </w:r>
      <w:r>
        <w:t xml:space="preserve">necessarily </w:t>
      </w:r>
      <w:r w:rsidRPr="005C1D69">
        <w:t>require matching pairs, this criteria was dropped</w:t>
      </w:r>
      <w:r>
        <w:t>.</w:t>
      </w:r>
    </w:p>
    <w:p w14:paraId="388A2D70" w14:textId="5B7087BA" w:rsidR="00AF6A11" w:rsidRDefault="00AF6A11" w:rsidP="00217324">
      <w:r>
        <w:t>The final sample was 24 documents (14 designs and 10 evaluations) covering 2007–13</w:t>
      </w:r>
      <w:r w:rsidR="00F72149">
        <w:t>, representing</w:t>
      </w:r>
      <w:r>
        <w:t xml:space="preserve"> 61 initiatives (28 education, 21 health and 12 infrastructure).</w:t>
      </w:r>
    </w:p>
    <w:p w14:paraId="27FDED5E" w14:textId="77777777" w:rsidR="00AF6A11" w:rsidRDefault="00AF6A11" w:rsidP="00217324">
      <w:r>
        <w:t>The sample of initiatives whose design document was reviewed are shown in Table A2, and for evaluations in Table A3.</w:t>
      </w:r>
    </w:p>
    <w:p w14:paraId="5387FF9F" w14:textId="77777777" w:rsidR="00AF6A11" w:rsidRPr="00EE12B7" w:rsidRDefault="00AF6A11" w:rsidP="003E23F3">
      <w:pPr>
        <w:pStyle w:val="TableName"/>
      </w:pPr>
      <w:bookmarkStart w:id="522" w:name="_Ref371453396"/>
      <w:r>
        <w:t xml:space="preserve">Table </w:t>
      </w:r>
      <w:bookmarkEnd w:id="522"/>
      <w:r>
        <w:t>A2</w:t>
      </w:r>
      <w:r>
        <w:tab/>
        <w:t>Sample initiatives for review of designs</w:t>
      </w:r>
    </w:p>
    <w:tbl>
      <w:tblPr>
        <w:tblStyle w:val="TableGrid"/>
        <w:tblW w:w="10206" w:type="dxa"/>
        <w:tblInd w:w="-459" w:type="dxa"/>
        <w:tblLayout w:type="fixed"/>
        <w:tblLook w:val="04A0" w:firstRow="1" w:lastRow="0" w:firstColumn="1" w:lastColumn="0" w:noHBand="0" w:noVBand="1"/>
      </w:tblPr>
      <w:tblGrid>
        <w:gridCol w:w="1418"/>
        <w:gridCol w:w="1526"/>
        <w:gridCol w:w="2159"/>
        <w:gridCol w:w="46"/>
        <w:gridCol w:w="5057"/>
      </w:tblGrid>
      <w:tr w:rsidR="008764B9" w14:paraId="17ED67ED" w14:textId="77777777" w:rsidTr="00801AFD">
        <w:trPr>
          <w:cnfStyle w:val="100000000000" w:firstRow="1" w:lastRow="0" w:firstColumn="0" w:lastColumn="0" w:oddVBand="0" w:evenVBand="0" w:oddHBand="0" w:evenHBand="0" w:firstRowFirstColumn="0" w:firstRowLastColumn="0" w:lastRowFirstColumn="0" w:lastRowLastColumn="0"/>
        </w:trPr>
        <w:tc>
          <w:tcPr>
            <w:tcW w:w="1418" w:type="dxa"/>
          </w:tcPr>
          <w:p w14:paraId="236653C0" w14:textId="77777777" w:rsidR="008764B9" w:rsidRPr="00047BBA" w:rsidRDefault="008764B9" w:rsidP="00E56F06">
            <w:pPr>
              <w:pStyle w:val="TableHeading"/>
              <w:rPr>
                <w:rFonts w:eastAsia="Calibri"/>
                <w:sz w:val="18"/>
                <w:szCs w:val="18"/>
              </w:rPr>
            </w:pPr>
            <w:r w:rsidRPr="00047BBA">
              <w:rPr>
                <w:rFonts w:eastAsia="Calibri"/>
                <w:sz w:val="18"/>
                <w:szCs w:val="18"/>
              </w:rPr>
              <w:t>Sector</w:t>
            </w:r>
          </w:p>
        </w:tc>
        <w:tc>
          <w:tcPr>
            <w:tcW w:w="1526" w:type="dxa"/>
          </w:tcPr>
          <w:p w14:paraId="27A7B030" w14:textId="77777777" w:rsidR="008764B9" w:rsidRPr="00047BBA" w:rsidRDefault="008764B9" w:rsidP="008764B9">
            <w:pPr>
              <w:pStyle w:val="TableHeading"/>
              <w:rPr>
                <w:rFonts w:eastAsia="Calibri"/>
                <w:sz w:val="18"/>
                <w:szCs w:val="18"/>
              </w:rPr>
            </w:pPr>
            <w:r w:rsidRPr="00047BBA">
              <w:rPr>
                <w:rFonts w:eastAsia="Calibri"/>
                <w:sz w:val="18"/>
                <w:szCs w:val="18"/>
              </w:rPr>
              <w:t>Country: design</w:t>
            </w:r>
          </w:p>
        </w:tc>
        <w:tc>
          <w:tcPr>
            <w:tcW w:w="2205" w:type="dxa"/>
            <w:gridSpan w:val="2"/>
          </w:tcPr>
          <w:p w14:paraId="671EE732" w14:textId="77777777" w:rsidR="008764B9" w:rsidRPr="00047BBA" w:rsidRDefault="008764B9" w:rsidP="00E56F06">
            <w:pPr>
              <w:pStyle w:val="TableHeading"/>
              <w:rPr>
                <w:rFonts w:eastAsia="Calibri"/>
                <w:sz w:val="18"/>
                <w:szCs w:val="18"/>
              </w:rPr>
            </w:pPr>
            <w:r w:rsidRPr="00047BBA">
              <w:rPr>
                <w:rFonts w:eastAsia="Calibri"/>
                <w:sz w:val="18"/>
                <w:szCs w:val="18"/>
              </w:rPr>
              <w:t>Initiative value, years and goal</w:t>
            </w:r>
          </w:p>
        </w:tc>
        <w:tc>
          <w:tcPr>
            <w:tcW w:w="5057" w:type="dxa"/>
          </w:tcPr>
          <w:p w14:paraId="27984720" w14:textId="77777777" w:rsidR="008764B9" w:rsidRPr="00047BBA" w:rsidRDefault="008764B9" w:rsidP="00E56F06">
            <w:pPr>
              <w:pStyle w:val="TableHeading"/>
              <w:rPr>
                <w:rFonts w:eastAsia="Calibri"/>
                <w:sz w:val="18"/>
                <w:szCs w:val="18"/>
              </w:rPr>
            </w:pPr>
            <w:r w:rsidRPr="00047BBA">
              <w:rPr>
                <w:rFonts w:eastAsia="Calibri"/>
                <w:sz w:val="18"/>
                <w:szCs w:val="18"/>
              </w:rPr>
              <w:t xml:space="preserve">Initiative description </w:t>
            </w:r>
          </w:p>
        </w:tc>
      </w:tr>
      <w:tr w:rsidR="008764B9" w14:paraId="6D7A0D24" w14:textId="77777777" w:rsidTr="00801AFD">
        <w:tc>
          <w:tcPr>
            <w:tcW w:w="1418" w:type="dxa"/>
            <w:vMerge w:val="restart"/>
          </w:tcPr>
          <w:p w14:paraId="09B8A5A6" w14:textId="77777777" w:rsidR="008764B9" w:rsidRPr="00E01B7D" w:rsidRDefault="008764B9" w:rsidP="00E56F06">
            <w:pPr>
              <w:pStyle w:val="TableText"/>
              <w:rPr>
                <w:rFonts w:eastAsia="Calibri"/>
              </w:rPr>
            </w:pPr>
            <w:r w:rsidRPr="00E56F06">
              <w:rPr>
                <w:rFonts w:eastAsia="Calibri"/>
                <w:b/>
                <w:bCs/>
              </w:rPr>
              <w:t>Education</w:t>
            </w:r>
          </w:p>
        </w:tc>
        <w:tc>
          <w:tcPr>
            <w:tcW w:w="1526" w:type="dxa"/>
          </w:tcPr>
          <w:p w14:paraId="0BB78DC6" w14:textId="77777777" w:rsidR="008764B9" w:rsidRPr="00E01B7D" w:rsidRDefault="008764B9" w:rsidP="00E56F06">
            <w:pPr>
              <w:pStyle w:val="TableText"/>
              <w:rPr>
                <w:rFonts w:eastAsia="Calibri"/>
              </w:rPr>
            </w:pPr>
            <w:r w:rsidRPr="003E23F3">
              <w:rPr>
                <w:rFonts w:eastAsia="Calibri"/>
              </w:rPr>
              <w:t>Indonesia</w:t>
            </w:r>
            <w:r>
              <w:rPr>
                <w:rFonts w:eastAsia="Calibri"/>
              </w:rPr>
              <w:t>:</w:t>
            </w:r>
            <w:r w:rsidRPr="00E01B7D">
              <w:rPr>
                <w:rFonts w:eastAsia="Calibri"/>
              </w:rPr>
              <w:t xml:space="preserve"> Australia's Education Partnership with Indonesia</w:t>
            </w:r>
          </w:p>
        </w:tc>
        <w:tc>
          <w:tcPr>
            <w:tcW w:w="2205" w:type="dxa"/>
            <w:gridSpan w:val="2"/>
          </w:tcPr>
          <w:p w14:paraId="1BC6AED0" w14:textId="77777777" w:rsidR="008764B9" w:rsidRPr="003E23F3" w:rsidRDefault="008764B9" w:rsidP="00E56F06">
            <w:pPr>
              <w:pStyle w:val="TableText"/>
              <w:rPr>
                <w:rFonts w:eastAsia="Calibri"/>
              </w:rPr>
            </w:pPr>
            <w:r w:rsidRPr="003E23F3">
              <w:rPr>
                <w:rFonts w:eastAsia="Calibri"/>
              </w:rPr>
              <w:t>Value: $500 million</w:t>
            </w:r>
          </w:p>
          <w:p w14:paraId="302D18C9" w14:textId="77777777" w:rsidR="008764B9" w:rsidRPr="003E23F3" w:rsidRDefault="008764B9" w:rsidP="00E56F06">
            <w:pPr>
              <w:pStyle w:val="TableText"/>
              <w:rPr>
                <w:rFonts w:eastAsia="Calibri"/>
              </w:rPr>
            </w:pPr>
            <w:r w:rsidRPr="003E23F3">
              <w:rPr>
                <w:rFonts w:eastAsia="Calibri"/>
              </w:rPr>
              <w:t>Years: 2010–15</w:t>
            </w:r>
          </w:p>
          <w:p w14:paraId="4D1CABD6" w14:textId="77777777" w:rsidR="008764B9" w:rsidRPr="003E23F3" w:rsidRDefault="008764B9" w:rsidP="00F857AD">
            <w:pPr>
              <w:pStyle w:val="TableText"/>
              <w:rPr>
                <w:rFonts w:eastAsia="Calibri"/>
              </w:rPr>
            </w:pPr>
            <w:r w:rsidRPr="003E23F3">
              <w:rPr>
                <w:rFonts w:eastAsia="Calibri"/>
              </w:rPr>
              <w:t xml:space="preserve">Goal: </w:t>
            </w:r>
            <w:r>
              <w:rPr>
                <w:rFonts w:eastAsia="Calibri"/>
              </w:rPr>
              <w:t>To improve</w:t>
            </w:r>
            <w:r w:rsidRPr="003E23F3">
              <w:rPr>
                <w:rFonts w:eastAsia="Calibri"/>
              </w:rPr>
              <w:t xml:space="preserve"> learning outcomes for Indonesian children</w:t>
            </w:r>
            <w:r>
              <w:rPr>
                <w:rFonts w:eastAsia="Calibri"/>
              </w:rPr>
              <w:t>.</w:t>
            </w:r>
          </w:p>
        </w:tc>
        <w:tc>
          <w:tcPr>
            <w:tcW w:w="5057" w:type="dxa"/>
          </w:tcPr>
          <w:p w14:paraId="5FF92242" w14:textId="77777777" w:rsidR="008764B9" w:rsidRPr="00E01B7D" w:rsidRDefault="008764B9" w:rsidP="00E56F06">
            <w:pPr>
              <w:pStyle w:val="TableText"/>
              <w:rPr>
                <w:rFonts w:eastAsia="Calibri"/>
              </w:rPr>
            </w:pPr>
            <w:r w:rsidRPr="00E01B7D">
              <w:rPr>
                <w:rFonts w:eastAsia="Calibri"/>
              </w:rPr>
              <w:t xml:space="preserve">This initiative assists </w:t>
            </w:r>
            <w:r>
              <w:rPr>
                <w:rFonts w:eastAsia="Calibri"/>
              </w:rPr>
              <w:t>Indonesia</w:t>
            </w:r>
            <w:r w:rsidRPr="00E01B7D">
              <w:rPr>
                <w:rFonts w:eastAsia="Calibri"/>
              </w:rPr>
              <w:t xml:space="preserve"> to achieve its Renstra (Education Policy) priorities </w:t>
            </w:r>
            <w:r>
              <w:rPr>
                <w:rFonts w:eastAsia="Calibri"/>
              </w:rPr>
              <w:t>by</w:t>
            </w:r>
            <w:r w:rsidRPr="00E01B7D">
              <w:rPr>
                <w:rFonts w:eastAsia="Calibri"/>
              </w:rPr>
              <w:t xml:space="preserve"> contributing to the Education Sector Support Program. The initiative will be delivered as earmarked budget support (76</w:t>
            </w:r>
            <w:r>
              <w:rPr>
                <w:rFonts w:eastAsia="Calibri"/>
              </w:rPr>
              <w:t>%</w:t>
            </w:r>
            <w:r w:rsidRPr="00E01B7D">
              <w:rPr>
                <w:rFonts w:eastAsia="Calibri"/>
              </w:rPr>
              <w:t xml:space="preserve"> of funds), with technical assistance and block grants to help strengthen government systems. It </w:t>
            </w:r>
            <w:r>
              <w:rPr>
                <w:rFonts w:eastAsia="Calibri"/>
              </w:rPr>
              <w:t xml:space="preserve">has </w:t>
            </w:r>
            <w:r w:rsidR="00934BE3">
              <w:rPr>
                <w:rFonts w:eastAsia="Calibri"/>
              </w:rPr>
              <w:t>four</w:t>
            </w:r>
            <w:r w:rsidRPr="00E01B7D">
              <w:rPr>
                <w:rFonts w:eastAsia="Calibri"/>
              </w:rPr>
              <w:t xml:space="preserve"> components:</w:t>
            </w:r>
          </w:p>
          <w:p w14:paraId="73A41EEE" w14:textId="77777777" w:rsidR="008764B9" w:rsidRPr="00E01B7D" w:rsidRDefault="008764B9" w:rsidP="00E56F06">
            <w:pPr>
              <w:pStyle w:val="TableBullet"/>
            </w:pPr>
            <w:r w:rsidRPr="00E01B7D">
              <w:t>junior secondary school construction and expansion</w:t>
            </w:r>
          </w:p>
          <w:p w14:paraId="7A43924F" w14:textId="77777777" w:rsidR="008764B9" w:rsidRPr="00E01B7D" w:rsidRDefault="008764B9" w:rsidP="00E56F06">
            <w:pPr>
              <w:pStyle w:val="TableBullet"/>
            </w:pPr>
            <w:r w:rsidRPr="00E01B7D">
              <w:t>school and district level staff management</w:t>
            </w:r>
          </w:p>
          <w:p w14:paraId="0D50D8AA" w14:textId="74A178D9" w:rsidR="008764B9" w:rsidRPr="00E01B7D" w:rsidRDefault="008E4F71" w:rsidP="00E56F06">
            <w:pPr>
              <w:pStyle w:val="TableBullet"/>
            </w:pPr>
            <w:r>
              <w:t>I</w:t>
            </w:r>
            <w:r w:rsidR="008764B9" w:rsidRPr="00E01B7D">
              <w:t>slamic school accreditation</w:t>
            </w:r>
          </w:p>
          <w:p w14:paraId="71949DE3" w14:textId="77777777" w:rsidR="008764B9" w:rsidRPr="00E01B7D" w:rsidRDefault="008764B9" w:rsidP="00E56F06">
            <w:pPr>
              <w:pStyle w:val="TableBullet"/>
            </w:pPr>
            <w:r w:rsidRPr="00E01B7D">
              <w:t>analytical and capacity development partnership</w:t>
            </w:r>
            <w:r>
              <w:t>.</w:t>
            </w:r>
          </w:p>
        </w:tc>
      </w:tr>
      <w:tr w:rsidR="008764B9" w14:paraId="64F647CB" w14:textId="77777777" w:rsidTr="00801AFD">
        <w:tc>
          <w:tcPr>
            <w:tcW w:w="1418" w:type="dxa"/>
            <w:vMerge/>
          </w:tcPr>
          <w:p w14:paraId="7E570BB2" w14:textId="77777777" w:rsidR="008764B9" w:rsidRPr="00E01B7D" w:rsidRDefault="008764B9" w:rsidP="00CD2150">
            <w:pPr>
              <w:pStyle w:val="TableText"/>
              <w:rPr>
                <w:rFonts w:eastAsia="Calibri"/>
              </w:rPr>
            </w:pPr>
          </w:p>
        </w:tc>
        <w:tc>
          <w:tcPr>
            <w:tcW w:w="1526" w:type="dxa"/>
          </w:tcPr>
          <w:p w14:paraId="6C68A1F9" w14:textId="77777777" w:rsidR="008764B9" w:rsidRPr="00E01B7D" w:rsidRDefault="008764B9" w:rsidP="008764B9">
            <w:pPr>
              <w:pStyle w:val="TableText"/>
              <w:rPr>
                <w:rFonts w:eastAsia="Calibri"/>
              </w:rPr>
            </w:pPr>
            <w:r w:rsidRPr="003E23F3">
              <w:rPr>
                <w:rFonts w:eastAsia="Calibri"/>
              </w:rPr>
              <w:t>Bangladesh</w:t>
            </w:r>
            <w:r>
              <w:rPr>
                <w:rFonts w:eastAsia="Calibri"/>
              </w:rPr>
              <w:t xml:space="preserve">: </w:t>
            </w:r>
            <w:r w:rsidRPr="00E01B7D">
              <w:rPr>
                <w:rFonts w:eastAsia="Calibri"/>
              </w:rPr>
              <w:t>BRAC Education</w:t>
            </w:r>
            <w:r>
              <w:rPr>
                <w:rFonts w:eastAsia="Calibri"/>
              </w:rPr>
              <w:t xml:space="preserve"> </w:t>
            </w:r>
            <w:r w:rsidRPr="00E01B7D">
              <w:rPr>
                <w:rFonts w:eastAsia="Calibri"/>
              </w:rPr>
              <w:t xml:space="preserve">Program </w:t>
            </w:r>
          </w:p>
        </w:tc>
        <w:tc>
          <w:tcPr>
            <w:tcW w:w="2205" w:type="dxa"/>
            <w:gridSpan w:val="2"/>
          </w:tcPr>
          <w:p w14:paraId="051AC678" w14:textId="77777777" w:rsidR="008764B9" w:rsidRPr="003E23F3" w:rsidRDefault="008764B9" w:rsidP="00E56F06">
            <w:pPr>
              <w:pStyle w:val="TableText"/>
              <w:rPr>
                <w:rFonts w:eastAsia="Calibri"/>
              </w:rPr>
            </w:pPr>
            <w:r w:rsidRPr="003E23F3">
              <w:rPr>
                <w:rFonts w:eastAsia="Calibri"/>
              </w:rPr>
              <w:t>Value:</w:t>
            </w:r>
            <w:r w:rsidRPr="00D85971">
              <w:rPr>
                <w:rFonts w:eastAsia="Calibri"/>
                <w:sz w:val="22"/>
              </w:rPr>
              <w:t xml:space="preserve"> </w:t>
            </w:r>
            <w:r w:rsidRPr="003E23F3">
              <w:rPr>
                <w:rFonts w:eastAsia="Calibri"/>
              </w:rPr>
              <w:t>$9.8 million</w:t>
            </w:r>
          </w:p>
          <w:p w14:paraId="6F3CAA8E" w14:textId="77777777" w:rsidR="008764B9" w:rsidRPr="003E23F3" w:rsidRDefault="008764B9" w:rsidP="00E56F06">
            <w:pPr>
              <w:pStyle w:val="TableText"/>
              <w:rPr>
                <w:rFonts w:eastAsia="Calibri"/>
              </w:rPr>
            </w:pPr>
            <w:r w:rsidRPr="003E23F3">
              <w:rPr>
                <w:rFonts w:eastAsia="Calibri"/>
              </w:rPr>
              <w:t>Years: 2007–11</w:t>
            </w:r>
          </w:p>
          <w:p w14:paraId="0567F5F0" w14:textId="77777777" w:rsidR="008764B9" w:rsidRPr="003E23F3" w:rsidRDefault="008764B9" w:rsidP="00E56F06">
            <w:pPr>
              <w:pStyle w:val="TableText"/>
              <w:rPr>
                <w:rFonts w:eastAsia="Calibri"/>
              </w:rPr>
            </w:pPr>
            <w:r w:rsidRPr="003E23F3">
              <w:rPr>
                <w:rFonts w:eastAsia="Calibri"/>
              </w:rPr>
              <w:t xml:space="preserve">Goal: To make a significant contribution to the achievement of </w:t>
            </w:r>
            <w:r w:rsidRPr="00CD2150">
              <w:rPr>
                <w:rFonts w:eastAsia="Calibri"/>
              </w:rPr>
              <w:t xml:space="preserve">education for all </w:t>
            </w:r>
            <w:r w:rsidRPr="003E23F3">
              <w:rPr>
                <w:rFonts w:eastAsia="Calibri"/>
              </w:rPr>
              <w:t>in Bangladesh</w:t>
            </w:r>
            <w:r>
              <w:rPr>
                <w:rFonts w:eastAsia="Calibri"/>
              </w:rPr>
              <w:t>.</w:t>
            </w:r>
          </w:p>
        </w:tc>
        <w:tc>
          <w:tcPr>
            <w:tcW w:w="5057" w:type="dxa"/>
          </w:tcPr>
          <w:p w14:paraId="00529E7B" w14:textId="77777777" w:rsidR="008764B9" w:rsidRPr="00E01B7D" w:rsidRDefault="008764B9" w:rsidP="00E56F06">
            <w:pPr>
              <w:pStyle w:val="TableText"/>
              <w:rPr>
                <w:rFonts w:eastAsia="Calibri"/>
              </w:rPr>
            </w:pPr>
            <w:r w:rsidRPr="00E01B7D">
              <w:rPr>
                <w:rFonts w:eastAsia="Calibri"/>
              </w:rPr>
              <w:t>BRAC would like to expand its primary, pre-primary and post-primary education programs for the advancement of poor children in remote areas. The main objectives of the proposed intervention are</w:t>
            </w:r>
            <w:r>
              <w:rPr>
                <w:rFonts w:eastAsia="Calibri"/>
              </w:rPr>
              <w:t xml:space="preserve"> to</w:t>
            </w:r>
          </w:p>
          <w:p w14:paraId="7C968130" w14:textId="77777777" w:rsidR="008764B9" w:rsidRPr="00E01B7D" w:rsidRDefault="008764B9" w:rsidP="00E56F06">
            <w:pPr>
              <w:pStyle w:val="TableBullet"/>
            </w:pPr>
            <w:r>
              <w:t>c</w:t>
            </w:r>
            <w:r w:rsidRPr="00E01B7D">
              <w:t>reate institutional access to deliver an effective low-cost quality primary and pre-primary education program</w:t>
            </w:r>
          </w:p>
          <w:p w14:paraId="34E70A99" w14:textId="77777777" w:rsidR="008764B9" w:rsidRPr="00E01B7D" w:rsidRDefault="008764B9" w:rsidP="00E56F06">
            <w:pPr>
              <w:pStyle w:val="TableBullet"/>
            </w:pPr>
            <w:r w:rsidRPr="00E01B7D">
              <w:t>expan</w:t>
            </w:r>
            <w:r>
              <w:t>d</w:t>
            </w:r>
            <w:r w:rsidRPr="00E01B7D">
              <w:t xml:space="preserve"> primary </w:t>
            </w:r>
            <w:r>
              <w:t>and</w:t>
            </w:r>
            <w:r w:rsidRPr="00E01B7D">
              <w:t xml:space="preserve"> pre-primary education all over the country, especially in remote and unserved areas, catering for the education needs of socio-economically, physically and geographically disadvantaged children from the poorest families</w:t>
            </w:r>
          </w:p>
          <w:p w14:paraId="1E8E50B2" w14:textId="77777777" w:rsidR="008764B9" w:rsidRPr="00E01B7D" w:rsidRDefault="008764B9" w:rsidP="00E56F06">
            <w:pPr>
              <w:pStyle w:val="TableBullet"/>
            </w:pPr>
            <w:r>
              <w:t>s</w:t>
            </w:r>
            <w:r w:rsidRPr="00E01B7D">
              <w:t xml:space="preserve">upplement </w:t>
            </w:r>
            <w:r>
              <w:t>government</w:t>
            </w:r>
            <w:r w:rsidRPr="00E01B7D">
              <w:t xml:space="preserve"> efforts through providing a second chance for children of the poor for primary education</w:t>
            </w:r>
          </w:p>
          <w:p w14:paraId="54BA9095" w14:textId="77777777" w:rsidR="008764B9" w:rsidRPr="00E01B7D" w:rsidRDefault="008764B9" w:rsidP="00E56F06">
            <w:pPr>
              <w:pStyle w:val="TableBullet"/>
            </w:pPr>
            <w:r>
              <w:t>develop c</w:t>
            </w:r>
            <w:r w:rsidRPr="00E01B7D">
              <w:t>apacity of rural secondary school teachers</w:t>
            </w:r>
          </w:p>
          <w:p w14:paraId="14498EC1" w14:textId="77777777" w:rsidR="008764B9" w:rsidRPr="00E01B7D" w:rsidRDefault="008764B9" w:rsidP="00CD2150">
            <w:pPr>
              <w:pStyle w:val="TableBullet"/>
            </w:pPr>
            <w:r>
              <w:t>c</w:t>
            </w:r>
            <w:r w:rsidRPr="00E01B7D">
              <w:t>reate an environment that facilitates and values of good teaching and learning in secondary schools.</w:t>
            </w:r>
          </w:p>
        </w:tc>
      </w:tr>
      <w:tr w:rsidR="008764B9" w14:paraId="1680F0A1" w14:textId="77777777" w:rsidTr="00801AFD">
        <w:tc>
          <w:tcPr>
            <w:tcW w:w="1418" w:type="dxa"/>
            <w:vMerge/>
          </w:tcPr>
          <w:p w14:paraId="572D341A" w14:textId="77777777" w:rsidR="008764B9" w:rsidRPr="00E01B7D" w:rsidRDefault="008764B9" w:rsidP="00CD2150">
            <w:pPr>
              <w:pStyle w:val="TableText"/>
              <w:rPr>
                <w:rFonts w:eastAsia="Calibri"/>
              </w:rPr>
            </w:pPr>
          </w:p>
        </w:tc>
        <w:tc>
          <w:tcPr>
            <w:tcW w:w="1526" w:type="dxa"/>
          </w:tcPr>
          <w:p w14:paraId="7C349EDC" w14:textId="77777777" w:rsidR="008764B9" w:rsidRPr="00E01B7D" w:rsidRDefault="008764B9" w:rsidP="008764B9">
            <w:pPr>
              <w:pStyle w:val="TableText"/>
              <w:rPr>
                <w:rFonts w:eastAsia="Calibri"/>
              </w:rPr>
            </w:pPr>
            <w:r w:rsidRPr="003E23F3">
              <w:rPr>
                <w:rFonts w:eastAsia="Calibri"/>
              </w:rPr>
              <w:t>Solomon Islands</w:t>
            </w:r>
            <w:r>
              <w:rPr>
                <w:rFonts w:eastAsia="Calibri"/>
              </w:rPr>
              <w:t>:</w:t>
            </w:r>
            <w:r w:rsidRPr="00E01B7D">
              <w:rPr>
                <w:rFonts w:eastAsia="Calibri"/>
              </w:rPr>
              <w:t xml:space="preserve"> </w:t>
            </w:r>
            <w:r>
              <w:rPr>
                <w:rFonts w:eastAsia="Calibri"/>
              </w:rPr>
              <w:t>S</w:t>
            </w:r>
            <w:r w:rsidRPr="00E01B7D">
              <w:rPr>
                <w:rFonts w:eastAsia="Calibri"/>
              </w:rPr>
              <w:t xml:space="preserve">upport to the Solomon Islands education sector </w:t>
            </w:r>
          </w:p>
        </w:tc>
        <w:tc>
          <w:tcPr>
            <w:tcW w:w="2205" w:type="dxa"/>
            <w:gridSpan w:val="2"/>
          </w:tcPr>
          <w:p w14:paraId="09BF60D3" w14:textId="77777777" w:rsidR="008764B9" w:rsidRPr="003E23F3" w:rsidRDefault="008764B9" w:rsidP="00E56F06">
            <w:pPr>
              <w:pStyle w:val="TableText"/>
              <w:rPr>
                <w:rFonts w:eastAsia="Calibri"/>
              </w:rPr>
            </w:pPr>
            <w:r w:rsidRPr="003E23F3">
              <w:rPr>
                <w:rFonts w:eastAsia="Calibri"/>
              </w:rPr>
              <w:t>Value: Not included</w:t>
            </w:r>
          </w:p>
          <w:p w14:paraId="0DF23EB8" w14:textId="77777777" w:rsidR="008764B9" w:rsidRPr="003E23F3" w:rsidRDefault="008764B9" w:rsidP="00E56F06">
            <w:pPr>
              <w:pStyle w:val="TableText"/>
              <w:rPr>
                <w:rFonts w:eastAsia="Calibri"/>
              </w:rPr>
            </w:pPr>
            <w:r w:rsidRPr="003E23F3">
              <w:rPr>
                <w:rFonts w:eastAsia="Calibri"/>
              </w:rPr>
              <w:t>Years: 2010–12</w:t>
            </w:r>
          </w:p>
          <w:p w14:paraId="215CD7F0" w14:textId="77777777" w:rsidR="008764B9" w:rsidRPr="003E23F3" w:rsidRDefault="008764B9" w:rsidP="00E56F06">
            <w:pPr>
              <w:pStyle w:val="TableText"/>
              <w:rPr>
                <w:rFonts w:eastAsia="Calibri"/>
              </w:rPr>
            </w:pPr>
            <w:r w:rsidRPr="003E23F3">
              <w:rPr>
                <w:rFonts w:eastAsia="Calibri"/>
              </w:rPr>
              <w:t xml:space="preserve">Goal: To support the </w:t>
            </w:r>
            <w:r w:rsidRPr="003E0523">
              <w:rPr>
                <w:rFonts w:eastAsia="Calibri"/>
              </w:rPr>
              <w:t xml:space="preserve">Solomon Island Government </w:t>
            </w:r>
            <w:r w:rsidRPr="003E23F3">
              <w:rPr>
                <w:rFonts w:eastAsia="Calibri"/>
              </w:rPr>
              <w:t xml:space="preserve">through a </w:t>
            </w:r>
            <w:r>
              <w:rPr>
                <w:rFonts w:eastAsia="Calibri"/>
              </w:rPr>
              <w:t>sector-wide approach</w:t>
            </w:r>
            <w:r w:rsidRPr="003E23F3">
              <w:rPr>
                <w:rFonts w:eastAsia="Calibri"/>
              </w:rPr>
              <w:t>. The National Education Action Plan) 2010</w:t>
            </w:r>
            <w:r>
              <w:rPr>
                <w:rFonts w:eastAsia="Calibri"/>
              </w:rPr>
              <w:t>–</w:t>
            </w:r>
            <w:r w:rsidRPr="003E23F3">
              <w:rPr>
                <w:rFonts w:eastAsia="Calibri"/>
              </w:rPr>
              <w:t>12 under the Education Strategic Framework 2007</w:t>
            </w:r>
            <w:r>
              <w:rPr>
                <w:rFonts w:eastAsia="Calibri"/>
              </w:rPr>
              <w:t>–</w:t>
            </w:r>
            <w:r w:rsidRPr="003E23F3">
              <w:rPr>
                <w:rFonts w:eastAsia="Calibri"/>
              </w:rPr>
              <w:t>15, has three strategic goals:</w:t>
            </w:r>
          </w:p>
          <w:p w14:paraId="01D4C36B" w14:textId="77777777" w:rsidR="008764B9" w:rsidRPr="003E23F3" w:rsidRDefault="008764B9" w:rsidP="003E23F3">
            <w:pPr>
              <w:pStyle w:val="TableBullet"/>
            </w:pPr>
            <w:r w:rsidRPr="003E23F3">
              <w:t>to achieve equitable access to education for all people in the Solomon Islands</w:t>
            </w:r>
          </w:p>
          <w:p w14:paraId="5A59A04F" w14:textId="77777777" w:rsidR="008764B9" w:rsidRPr="003E23F3" w:rsidRDefault="008764B9" w:rsidP="003E23F3">
            <w:pPr>
              <w:pStyle w:val="TableBullet"/>
            </w:pPr>
            <w:r w:rsidRPr="003E23F3">
              <w:t>to improve the quality of education in the Solomon Islands; and</w:t>
            </w:r>
          </w:p>
          <w:p w14:paraId="3B67D8A2" w14:textId="77777777" w:rsidR="008764B9" w:rsidRPr="003E23F3" w:rsidRDefault="008764B9" w:rsidP="003E23F3">
            <w:pPr>
              <w:pStyle w:val="TableBullet"/>
            </w:pPr>
            <w:r w:rsidRPr="003E23F3">
              <w:t xml:space="preserve">to manage resources efficiently and effectively. </w:t>
            </w:r>
          </w:p>
        </w:tc>
        <w:tc>
          <w:tcPr>
            <w:tcW w:w="5057" w:type="dxa"/>
          </w:tcPr>
          <w:p w14:paraId="19EE98D8" w14:textId="0DA908F4" w:rsidR="008764B9" w:rsidRPr="00E01B7D" w:rsidRDefault="008764B9" w:rsidP="00E56F06">
            <w:pPr>
              <w:pStyle w:val="TableText"/>
              <w:rPr>
                <w:rFonts w:eastAsia="Calibri"/>
              </w:rPr>
            </w:pPr>
            <w:r w:rsidRPr="00E01B7D">
              <w:rPr>
                <w:rFonts w:eastAsia="Calibri"/>
              </w:rPr>
              <w:t>The Education Sector Program has been implemented</w:t>
            </w:r>
            <w:r w:rsidR="00F72149" w:rsidRPr="00E01B7D">
              <w:rPr>
                <w:rFonts w:eastAsia="Calibri"/>
              </w:rPr>
              <w:t xml:space="preserve"> since 2004</w:t>
            </w:r>
            <w:r w:rsidRPr="00E01B7D">
              <w:rPr>
                <w:rFonts w:eastAsia="Calibri"/>
              </w:rPr>
              <w:t xml:space="preserve">, mainly with European Union and New Zealand support, and </w:t>
            </w:r>
            <w:r>
              <w:rPr>
                <w:rFonts w:eastAsia="Calibri"/>
              </w:rPr>
              <w:t>Australia</w:t>
            </w:r>
            <w:r w:rsidRPr="00E01B7D">
              <w:rPr>
                <w:rFonts w:eastAsia="Calibri"/>
              </w:rPr>
              <w:t xml:space="preserve"> would therefore be joining an existing and well</w:t>
            </w:r>
            <w:r w:rsidR="00F72149">
              <w:rPr>
                <w:rFonts w:eastAsia="Calibri"/>
              </w:rPr>
              <w:t>-</w:t>
            </w:r>
            <w:r w:rsidRPr="00E01B7D">
              <w:rPr>
                <w:rFonts w:eastAsia="Calibri"/>
              </w:rPr>
              <w:t>established program.</w:t>
            </w:r>
          </w:p>
          <w:p w14:paraId="716A4FB6" w14:textId="28C926B9" w:rsidR="008764B9" w:rsidRPr="00E01B7D" w:rsidRDefault="008764B9" w:rsidP="00F72149">
            <w:pPr>
              <w:pStyle w:val="TableText"/>
              <w:rPr>
                <w:rFonts w:eastAsia="Calibri"/>
              </w:rPr>
            </w:pPr>
            <w:r w:rsidRPr="00E01B7D">
              <w:rPr>
                <w:rFonts w:eastAsia="Calibri"/>
              </w:rPr>
              <w:t xml:space="preserve">Given that the program has been operating for a considerable period one of the challenges faced by the </w:t>
            </w:r>
            <w:r w:rsidR="00F72149">
              <w:rPr>
                <w:rFonts w:eastAsia="Calibri"/>
              </w:rPr>
              <w:t>Australian</w:t>
            </w:r>
            <w:r w:rsidR="00F72149" w:rsidRPr="00E01B7D">
              <w:rPr>
                <w:rFonts w:eastAsia="Calibri"/>
              </w:rPr>
              <w:t xml:space="preserve"> </w:t>
            </w:r>
            <w:r w:rsidRPr="00E01B7D">
              <w:rPr>
                <w:rFonts w:eastAsia="Calibri"/>
              </w:rPr>
              <w:t>team was making judgements as to what material to incorporate into the package given the substantial existing documentation.</w:t>
            </w:r>
          </w:p>
        </w:tc>
      </w:tr>
      <w:tr w:rsidR="008764B9" w14:paraId="4FB102F2" w14:textId="77777777" w:rsidTr="00801AFD">
        <w:tc>
          <w:tcPr>
            <w:tcW w:w="1418" w:type="dxa"/>
            <w:vMerge/>
          </w:tcPr>
          <w:p w14:paraId="6B9C1F89" w14:textId="77777777" w:rsidR="008764B9" w:rsidRPr="00E01B7D" w:rsidRDefault="008764B9" w:rsidP="00CD2150">
            <w:pPr>
              <w:pStyle w:val="TableText"/>
              <w:rPr>
                <w:rFonts w:eastAsia="Calibri"/>
              </w:rPr>
            </w:pPr>
          </w:p>
        </w:tc>
        <w:tc>
          <w:tcPr>
            <w:tcW w:w="1526" w:type="dxa"/>
          </w:tcPr>
          <w:p w14:paraId="5F72BCCF" w14:textId="77777777" w:rsidR="008764B9" w:rsidRPr="00E01B7D" w:rsidRDefault="008764B9" w:rsidP="00CD2150">
            <w:pPr>
              <w:pStyle w:val="TableText"/>
              <w:rPr>
                <w:rFonts w:eastAsia="Calibri"/>
              </w:rPr>
            </w:pPr>
            <w:r w:rsidRPr="003E23F3">
              <w:rPr>
                <w:rFonts w:eastAsia="Calibri"/>
              </w:rPr>
              <w:t>Philippines</w:t>
            </w:r>
            <w:r>
              <w:rPr>
                <w:rFonts w:eastAsia="Calibri"/>
              </w:rPr>
              <w:t>:</w:t>
            </w:r>
            <w:r w:rsidRPr="00E01B7D">
              <w:rPr>
                <w:rFonts w:eastAsia="Calibri"/>
              </w:rPr>
              <w:t xml:space="preserve"> BEAM-ARMM Alternative Delivery Model </w:t>
            </w:r>
            <w:r>
              <w:rPr>
                <w:rFonts w:eastAsia="Calibri"/>
              </w:rPr>
              <w:t xml:space="preserve">(ADM) </w:t>
            </w:r>
            <w:r w:rsidRPr="00E01B7D">
              <w:rPr>
                <w:rFonts w:eastAsia="Calibri"/>
              </w:rPr>
              <w:t>Project</w:t>
            </w:r>
          </w:p>
        </w:tc>
        <w:tc>
          <w:tcPr>
            <w:tcW w:w="2205" w:type="dxa"/>
            <w:gridSpan w:val="2"/>
          </w:tcPr>
          <w:p w14:paraId="4FC23CB8" w14:textId="77777777" w:rsidR="008764B9" w:rsidRDefault="008764B9" w:rsidP="00E56F06">
            <w:pPr>
              <w:pStyle w:val="TableText"/>
              <w:rPr>
                <w:rFonts w:eastAsia="Calibri"/>
              </w:rPr>
            </w:pPr>
            <w:r w:rsidRPr="003E23F3">
              <w:rPr>
                <w:rFonts w:eastAsia="Calibri"/>
              </w:rPr>
              <w:t>Value:</w:t>
            </w:r>
            <w:r w:rsidRPr="00D85971">
              <w:rPr>
                <w:rFonts w:eastAsia="Calibri"/>
                <w:sz w:val="22"/>
              </w:rPr>
              <w:t xml:space="preserve"> </w:t>
            </w:r>
            <w:r w:rsidRPr="003E23F3">
              <w:rPr>
                <w:rFonts w:eastAsia="Calibri"/>
              </w:rPr>
              <w:t>$49</w:t>
            </w:r>
            <w:r>
              <w:rPr>
                <w:rFonts w:eastAsia="Calibri"/>
              </w:rPr>
              <w:t>.4 million</w:t>
            </w:r>
          </w:p>
          <w:p w14:paraId="69A051C8" w14:textId="77777777" w:rsidR="008764B9" w:rsidRPr="003E23F3" w:rsidRDefault="008764B9" w:rsidP="00E56F06">
            <w:pPr>
              <w:pStyle w:val="TableText"/>
              <w:rPr>
                <w:rFonts w:eastAsia="Calibri"/>
              </w:rPr>
            </w:pPr>
            <w:r w:rsidRPr="003E23F3">
              <w:rPr>
                <w:rFonts w:eastAsia="Calibri"/>
              </w:rPr>
              <w:t>Year: 2012–17</w:t>
            </w:r>
          </w:p>
          <w:p w14:paraId="466E57EC" w14:textId="77777777" w:rsidR="008764B9" w:rsidRPr="003E23F3" w:rsidRDefault="008764B9" w:rsidP="00E56F06">
            <w:pPr>
              <w:pStyle w:val="TableText"/>
              <w:rPr>
                <w:rFonts w:eastAsia="Calibri"/>
              </w:rPr>
            </w:pPr>
            <w:r w:rsidRPr="003E23F3">
              <w:rPr>
                <w:rFonts w:eastAsia="Calibri"/>
              </w:rPr>
              <w:t>Goal: To contribute to the alleviation of poverty and the emergence of a sustainable peace.</w:t>
            </w:r>
          </w:p>
        </w:tc>
        <w:tc>
          <w:tcPr>
            <w:tcW w:w="5057" w:type="dxa"/>
          </w:tcPr>
          <w:p w14:paraId="122FD2A7" w14:textId="77777777" w:rsidR="008764B9" w:rsidRPr="00E01B7D" w:rsidRDefault="008764B9" w:rsidP="00934BE3">
            <w:pPr>
              <w:pStyle w:val="TableText"/>
              <w:rPr>
                <w:rFonts w:eastAsia="Calibri"/>
              </w:rPr>
            </w:pPr>
            <w:r w:rsidRPr="00E01B7D">
              <w:rPr>
                <w:rFonts w:eastAsia="Calibri"/>
              </w:rPr>
              <w:t xml:space="preserve">The ADM will provide </w:t>
            </w:r>
            <w:r>
              <w:rPr>
                <w:rFonts w:eastAsia="Calibri"/>
              </w:rPr>
              <w:t>‘</w:t>
            </w:r>
            <w:r w:rsidRPr="00E01B7D">
              <w:rPr>
                <w:rFonts w:eastAsia="Calibri"/>
              </w:rPr>
              <w:t>catch-up</w:t>
            </w:r>
            <w:r>
              <w:rPr>
                <w:rFonts w:eastAsia="Calibri"/>
              </w:rPr>
              <w:t>’</w:t>
            </w:r>
            <w:r w:rsidRPr="00E01B7D">
              <w:rPr>
                <w:rFonts w:eastAsia="Calibri"/>
              </w:rPr>
              <w:t xml:space="preserve"> learning opportunities for pre-school and elementary school children in remote and poor communities without access to government schools. It will establish 300 elementary community schools and support at least 1128 pre-school classes, benefitting about 42</w:t>
            </w:r>
            <w:r>
              <w:rPr>
                <w:rFonts w:eastAsia="Calibri"/>
              </w:rPr>
              <w:t> </w:t>
            </w:r>
            <w:r w:rsidRPr="00E01B7D">
              <w:rPr>
                <w:rFonts w:eastAsia="Calibri"/>
              </w:rPr>
              <w:t>810 children</w:t>
            </w:r>
            <w:r>
              <w:rPr>
                <w:rFonts w:eastAsia="Calibri"/>
              </w:rPr>
              <w:t>.</w:t>
            </w:r>
            <w:r w:rsidRPr="00E01B7D">
              <w:rPr>
                <w:rFonts w:eastAsia="Calibri"/>
              </w:rPr>
              <w:t xml:space="preserve"> </w:t>
            </w:r>
          </w:p>
        </w:tc>
      </w:tr>
      <w:tr w:rsidR="008764B9" w14:paraId="524220AC" w14:textId="77777777" w:rsidTr="00801AFD">
        <w:tc>
          <w:tcPr>
            <w:tcW w:w="1418" w:type="dxa"/>
            <w:vMerge/>
          </w:tcPr>
          <w:p w14:paraId="54CAD32E" w14:textId="77777777" w:rsidR="008764B9" w:rsidRPr="00E01B7D" w:rsidRDefault="008764B9" w:rsidP="00E56F06">
            <w:pPr>
              <w:pStyle w:val="TableText"/>
              <w:rPr>
                <w:rFonts w:eastAsia="Calibri"/>
              </w:rPr>
            </w:pPr>
          </w:p>
        </w:tc>
        <w:tc>
          <w:tcPr>
            <w:tcW w:w="1526" w:type="dxa"/>
          </w:tcPr>
          <w:p w14:paraId="041480AE" w14:textId="77777777" w:rsidR="008764B9" w:rsidRPr="00E01B7D" w:rsidRDefault="008764B9" w:rsidP="00E56F06">
            <w:pPr>
              <w:pStyle w:val="TableText"/>
              <w:rPr>
                <w:rFonts w:eastAsia="Calibri"/>
              </w:rPr>
            </w:pPr>
            <w:r w:rsidRPr="003E23F3">
              <w:rPr>
                <w:rFonts w:eastAsia="Calibri"/>
              </w:rPr>
              <w:t>Philippines</w:t>
            </w:r>
            <w:r>
              <w:rPr>
                <w:rFonts w:eastAsia="Calibri"/>
              </w:rPr>
              <w:t>:</w:t>
            </w:r>
            <w:r w:rsidRPr="00E01B7D">
              <w:rPr>
                <w:rFonts w:eastAsia="Calibri"/>
              </w:rPr>
              <w:t xml:space="preserve"> Muslim and Indigenous Peoples </w:t>
            </w:r>
            <w:r>
              <w:rPr>
                <w:rFonts w:eastAsia="Calibri"/>
              </w:rPr>
              <w:t xml:space="preserve">(IP) </w:t>
            </w:r>
            <w:r w:rsidRPr="00E01B7D">
              <w:rPr>
                <w:rFonts w:eastAsia="Calibri"/>
              </w:rPr>
              <w:t>education program</w:t>
            </w:r>
          </w:p>
        </w:tc>
        <w:tc>
          <w:tcPr>
            <w:tcW w:w="2205" w:type="dxa"/>
            <w:gridSpan w:val="2"/>
          </w:tcPr>
          <w:p w14:paraId="21993515" w14:textId="77777777" w:rsidR="008764B9" w:rsidRPr="003E23F3" w:rsidRDefault="008764B9" w:rsidP="00E56F06">
            <w:pPr>
              <w:pStyle w:val="TableText"/>
              <w:rPr>
                <w:rFonts w:eastAsia="Calibri"/>
              </w:rPr>
            </w:pPr>
            <w:r w:rsidRPr="003E23F3">
              <w:rPr>
                <w:rFonts w:eastAsia="Calibri"/>
              </w:rPr>
              <w:t>Value: $20 million</w:t>
            </w:r>
          </w:p>
          <w:p w14:paraId="0D961E01" w14:textId="77777777" w:rsidR="008764B9" w:rsidRPr="003E23F3" w:rsidRDefault="008764B9" w:rsidP="00E56F06">
            <w:pPr>
              <w:pStyle w:val="TableText"/>
              <w:rPr>
                <w:rFonts w:eastAsia="Calibri"/>
              </w:rPr>
            </w:pPr>
            <w:r w:rsidRPr="003E23F3">
              <w:rPr>
                <w:rFonts w:eastAsia="Calibri"/>
              </w:rPr>
              <w:t>Years: 2011–14</w:t>
            </w:r>
          </w:p>
          <w:p w14:paraId="5309C8C1" w14:textId="77777777" w:rsidR="008764B9" w:rsidRPr="003E23F3" w:rsidRDefault="008764B9" w:rsidP="00F857AD">
            <w:pPr>
              <w:pStyle w:val="TableText"/>
              <w:rPr>
                <w:rFonts w:eastAsia="Calibri"/>
              </w:rPr>
            </w:pPr>
            <w:r w:rsidRPr="003E23F3">
              <w:rPr>
                <w:rFonts w:eastAsia="Calibri"/>
              </w:rPr>
              <w:t>Goal:</w:t>
            </w:r>
            <w:r w:rsidRPr="00D85971">
              <w:rPr>
                <w:rFonts w:eastAsia="Calibri"/>
                <w:sz w:val="22"/>
              </w:rPr>
              <w:t xml:space="preserve"> </w:t>
            </w:r>
            <w:r>
              <w:rPr>
                <w:rFonts w:eastAsia="Calibri"/>
              </w:rPr>
              <w:t>To i</w:t>
            </w:r>
            <w:r w:rsidRPr="003E23F3">
              <w:rPr>
                <w:rFonts w:eastAsia="Calibri"/>
              </w:rPr>
              <w:t>mprove equitable access to and quality of education for boys and girls in disadvantaged IP and Muslim communities</w:t>
            </w:r>
            <w:r>
              <w:rPr>
                <w:rFonts w:eastAsia="Calibri"/>
              </w:rPr>
              <w:t>.</w:t>
            </w:r>
          </w:p>
        </w:tc>
        <w:tc>
          <w:tcPr>
            <w:tcW w:w="5057" w:type="dxa"/>
          </w:tcPr>
          <w:p w14:paraId="39677D63" w14:textId="77777777" w:rsidR="008764B9" w:rsidRPr="00E01B7D" w:rsidRDefault="008764B9" w:rsidP="001563C1">
            <w:pPr>
              <w:pStyle w:val="TableText"/>
              <w:rPr>
                <w:rFonts w:eastAsia="Calibri"/>
              </w:rPr>
            </w:pPr>
            <w:r>
              <w:rPr>
                <w:rFonts w:eastAsia="Calibri"/>
              </w:rPr>
              <w:t>The Philippines Government</w:t>
            </w:r>
            <w:r w:rsidRPr="00E01B7D">
              <w:rPr>
                <w:rFonts w:eastAsia="Calibri"/>
              </w:rPr>
              <w:t xml:space="preserve"> and </w:t>
            </w:r>
            <w:r>
              <w:rPr>
                <w:rFonts w:eastAsia="Calibri"/>
              </w:rPr>
              <w:t>the Australian aid program</w:t>
            </w:r>
            <w:r w:rsidRPr="00E01B7D">
              <w:rPr>
                <w:rFonts w:eastAsia="Calibri"/>
              </w:rPr>
              <w:t xml:space="preserve"> are proposing a flexible response to the specific challenges for the Muslim and IP communities through a program of activities to be funded by a grant of $20</w:t>
            </w:r>
            <w:r>
              <w:rPr>
                <w:rFonts w:eastAsia="Calibri"/>
              </w:rPr>
              <w:t> </w:t>
            </w:r>
            <w:r w:rsidRPr="00E01B7D">
              <w:rPr>
                <w:rFonts w:eastAsia="Calibri"/>
              </w:rPr>
              <w:t xml:space="preserve">million over 3 years. The objective of the </w:t>
            </w:r>
            <w:r>
              <w:rPr>
                <w:rFonts w:eastAsia="Calibri"/>
              </w:rPr>
              <w:t>p</w:t>
            </w:r>
            <w:r w:rsidRPr="00E01B7D">
              <w:rPr>
                <w:rFonts w:eastAsia="Calibri"/>
              </w:rPr>
              <w:t>rogram is to provide better access to an appropriate, policy driven, sustainable and quality education for boys and girls in Muslim and IP communities, stimulating a community led demand for education services.</w:t>
            </w:r>
          </w:p>
        </w:tc>
      </w:tr>
      <w:tr w:rsidR="008764B9" w14:paraId="5E7F1A5C" w14:textId="77777777" w:rsidTr="00801AFD">
        <w:tc>
          <w:tcPr>
            <w:tcW w:w="1418" w:type="dxa"/>
            <w:vMerge w:val="restart"/>
          </w:tcPr>
          <w:p w14:paraId="4DEC3AEE" w14:textId="77777777" w:rsidR="008764B9" w:rsidRPr="00E01B7D" w:rsidRDefault="008764B9" w:rsidP="003B336C">
            <w:pPr>
              <w:pStyle w:val="TableText"/>
              <w:rPr>
                <w:rFonts w:eastAsia="Calibri"/>
              </w:rPr>
            </w:pPr>
            <w:r w:rsidRPr="00E56F06">
              <w:rPr>
                <w:rFonts w:eastAsia="Calibri"/>
                <w:b/>
                <w:bCs/>
              </w:rPr>
              <w:t>Health</w:t>
            </w:r>
          </w:p>
        </w:tc>
        <w:tc>
          <w:tcPr>
            <w:tcW w:w="1526" w:type="dxa"/>
          </w:tcPr>
          <w:p w14:paraId="7A9D8B22" w14:textId="77777777" w:rsidR="008764B9" w:rsidRPr="00E01B7D" w:rsidRDefault="008764B9" w:rsidP="003B336C">
            <w:pPr>
              <w:pStyle w:val="TableText"/>
              <w:rPr>
                <w:rFonts w:eastAsia="Calibri"/>
              </w:rPr>
            </w:pPr>
            <w:r w:rsidRPr="003E23F3">
              <w:rPr>
                <w:rFonts w:eastAsia="Calibri"/>
              </w:rPr>
              <w:t>Indonesia</w:t>
            </w:r>
            <w:r>
              <w:rPr>
                <w:rFonts w:eastAsia="Calibri"/>
              </w:rPr>
              <w:t>:</w:t>
            </w:r>
            <w:r w:rsidRPr="00E01B7D">
              <w:rPr>
                <w:rFonts w:eastAsia="Calibri"/>
              </w:rPr>
              <w:t xml:space="preserve"> Australia</w:t>
            </w:r>
            <w:r>
              <w:rPr>
                <w:rFonts w:eastAsia="Calibri"/>
              </w:rPr>
              <w:t>–</w:t>
            </w:r>
            <w:r w:rsidRPr="00E01B7D">
              <w:rPr>
                <w:rFonts w:eastAsia="Calibri"/>
              </w:rPr>
              <w:t>Indonesia Partnership for Maternal and Neonatal Health</w:t>
            </w:r>
            <w:r>
              <w:rPr>
                <w:rFonts w:eastAsia="Calibri"/>
              </w:rPr>
              <w:t xml:space="preserve"> (MNH)</w:t>
            </w:r>
          </w:p>
        </w:tc>
        <w:tc>
          <w:tcPr>
            <w:tcW w:w="2205" w:type="dxa"/>
            <w:gridSpan w:val="2"/>
          </w:tcPr>
          <w:p w14:paraId="08EF8CEB" w14:textId="77777777" w:rsidR="008764B9" w:rsidRPr="003E23F3" w:rsidRDefault="008764B9" w:rsidP="00E56F06">
            <w:pPr>
              <w:pStyle w:val="TableText"/>
              <w:rPr>
                <w:rFonts w:eastAsia="Calibri"/>
              </w:rPr>
            </w:pPr>
            <w:r w:rsidRPr="003E23F3">
              <w:rPr>
                <w:rFonts w:eastAsia="Calibri"/>
              </w:rPr>
              <w:t>Value: $46,000,000</w:t>
            </w:r>
          </w:p>
          <w:p w14:paraId="68FDC6B2" w14:textId="77777777" w:rsidR="008764B9" w:rsidRPr="003E23F3" w:rsidRDefault="008764B9" w:rsidP="00E56F06">
            <w:pPr>
              <w:pStyle w:val="TableText"/>
              <w:rPr>
                <w:rFonts w:eastAsia="Calibri"/>
              </w:rPr>
            </w:pPr>
            <w:r w:rsidRPr="003E23F3">
              <w:rPr>
                <w:rFonts w:eastAsia="Calibri"/>
              </w:rPr>
              <w:t xml:space="preserve">Years: 2008–11 </w:t>
            </w:r>
          </w:p>
          <w:p w14:paraId="6ABC84C3" w14:textId="77777777" w:rsidR="008764B9" w:rsidRPr="003E23F3" w:rsidRDefault="008764B9" w:rsidP="003B336C">
            <w:pPr>
              <w:pStyle w:val="TableText"/>
              <w:rPr>
                <w:rFonts w:eastAsia="Calibri"/>
              </w:rPr>
            </w:pPr>
            <w:r w:rsidRPr="003E23F3">
              <w:rPr>
                <w:rFonts w:eastAsia="Calibri"/>
              </w:rPr>
              <w:t>Goal:</w:t>
            </w:r>
            <w:r w:rsidRPr="00D85971">
              <w:rPr>
                <w:rFonts w:eastAsia="Calibri"/>
                <w:sz w:val="22"/>
              </w:rPr>
              <w:t xml:space="preserve"> </w:t>
            </w:r>
            <w:r w:rsidRPr="003E23F3">
              <w:rPr>
                <w:rFonts w:eastAsia="Calibri"/>
              </w:rPr>
              <w:t xml:space="preserve">To ensure </w:t>
            </w:r>
            <w:r>
              <w:rPr>
                <w:rFonts w:eastAsia="Calibri"/>
              </w:rPr>
              <w:t>s</w:t>
            </w:r>
            <w:r w:rsidRPr="003E23F3">
              <w:rPr>
                <w:rFonts w:eastAsia="Calibri"/>
              </w:rPr>
              <w:t>elected provincial and district governments have mechanisms in place to manage national, local and donor resources to achieve national target levels for priority indicators.</w:t>
            </w:r>
          </w:p>
        </w:tc>
        <w:tc>
          <w:tcPr>
            <w:tcW w:w="5057" w:type="dxa"/>
          </w:tcPr>
          <w:p w14:paraId="5D3E0E78" w14:textId="77777777" w:rsidR="008764B9" w:rsidRPr="00E01B7D" w:rsidRDefault="008764B9" w:rsidP="00E56F06">
            <w:pPr>
              <w:pStyle w:val="TableText"/>
              <w:rPr>
                <w:rFonts w:eastAsia="Calibri"/>
              </w:rPr>
            </w:pPr>
            <w:r w:rsidRPr="00E01B7D">
              <w:rPr>
                <w:rFonts w:eastAsia="Calibri"/>
              </w:rPr>
              <w:t>The partnership will have three components:</w:t>
            </w:r>
          </w:p>
          <w:p w14:paraId="30BE056F" w14:textId="77777777" w:rsidR="008764B9" w:rsidRDefault="008764B9" w:rsidP="003E23F3">
            <w:pPr>
              <w:pStyle w:val="TableBullet"/>
            </w:pPr>
            <w:r w:rsidRPr="00E01B7D">
              <w:t>service delivery and community engagement</w:t>
            </w:r>
          </w:p>
          <w:p w14:paraId="04E34620" w14:textId="77777777" w:rsidR="008764B9" w:rsidRDefault="008764B9" w:rsidP="003E23F3">
            <w:pPr>
              <w:pStyle w:val="TableBullet"/>
            </w:pPr>
            <w:r w:rsidRPr="00E01B7D">
              <w:t xml:space="preserve">health systems support </w:t>
            </w:r>
          </w:p>
          <w:p w14:paraId="1E05E217" w14:textId="77777777" w:rsidR="008764B9" w:rsidRPr="00E01B7D" w:rsidRDefault="008764B9" w:rsidP="003E23F3">
            <w:pPr>
              <w:pStyle w:val="TableBullet"/>
              <w:rPr>
                <w:sz w:val="22"/>
              </w:rPr>
            </w:pPr>
            <w:r w:rsidRPr="00E01B7D">
              <w:t>system reforms in performance and accountability.</w:t>
            </w:r>
            <w:r w:rsidRPr="00E01B7D">
              <w:rPr>
                <w:sz w:val="22"/>
              </w:rPr>
              <w:t xml:space="preserve"> </w:t>
            </w:r>
          </w:p>
          <w:p w14:paraId="62BF4320" w14:textId="77777777" w:rsidR="008764B9" w:rsidRPr="00E01B7D" w:rsidRDefault="008764B9" w:rsidP="001563C1">
            <w:pPr>
              <w:pStyle w:val="TableText"/>
              <w:rPr>
                <w:rFonts w:eastAsia="Calibri"/>
              </w:rPr>
            </w:pPr>
            <w:r w:rsidRPr="00E01B7D">
              <w:rPr>
                <w:rFonts w:eastAsia="Calibri"/>
              </w:rPr>
              <w:t xml:space="preserve">The </w:t>
            </w:r>
            <w:r>
              <w:rPr>
                <w:rFonts w:eastAsia="Calibri"/>
              </w:rPr>
              <w:t>p</w:t>
            </w:r>
            <w:r w:rsidRPr="00E01B7D">
              <w:rPr>
                <w:rFonts w:eastAsia="Calibri"/>
              </w:rPr>
              <w:t>artnership will provide funding for provincial and district government work plans for activities designed to reach MNH program targets.</w:t>
            </w:r>
          </w:p>
        </w:tc>
      </w:tr>
      <w:tr w:rsidR="008764B9" w14:paraId="1232207D" w14:textId="77777777" w:rsidTr="00801AFD">
        <w:tc>
          <w:tcPr>
            <w:tcW w:w="1418" w:type="dxa"/>
            <w:vMerge/>
          </w:tcPr>
          <w:p w14:paraId="4D231F4D" w14:textId="77777777" w:rsidR="008764B9" w:rsidRPr="00E01B7D" w:rsidRDefault="008764B9" w:rsidP="00CD2150">
            <w:pPr>
              <w:pStyle w:val="TableText"/>
              <w:rPr>
                <w:rFonts w:eastAsia="Calibri"/>
              </w:rPr>
            </w:pPr>
          </w:p>
        </w:tc>
        <w:tc>
          <w:tcPr>
            <w:tcW w:w="1526" w:type="dxa"/>
          </w:tcPr>
          <w:p w14:paraId="5774ABAE" w14:textId="77777777" w:rsidR="008764B9" w:rsidRPr="00E01B7D" w:rsidRDefault="008764B9" w:rsidP="00CD2150">
            <w:pPr>
              <w:pStyle w:val="TableText"/>
              <w:rPr>
                <w:rFonts w:eastAsia="Calibri"/>
              </w:rPr>
            </w:pPr>
            <w:r w:rsidRPr="003E23F3">
              <w:rPr>
                <w:rFonts w:eastAsia="Calibri"/>
              </w:rPr>
              <w:t>Bangladesh</w:t>
            </w:r>
            <w:r>
              <w:rPr>
                <w:rFonts w:eastAsia="Calibri"/>
              </w:rPr>
              <w:t>:</w:t>
            </w:r>
            <w:r w:rsidRPr="00E01B7D">
              <w:rPr>
                <w:rFonts w:eastAsia="Calibri"/>
              </w:rPr>
              <w:t xml:space="preserve"> Design Summary and Implementation Document: Australia’s Support to the Bangladesh Health, Population and Nutrition Sector Development Plan </w:t>
            </w:r>
            <w:r>
              <w:rPr>
                <w:rFonts w:eastAsia="Calibri"/>
              </w:rPr>
              <w:t>(HPNSDP)</w:t>
            </w:r>
          </w:p>
        </w:tc>
        <w:tc>
          <w:tcPr>
            <w:tcW w:w="2205" w:type="dxa"/>
            <w:gridSpan w:val="2"/>
          </w:tcPr>
          <w:p w14:paraId="31EB22D4" w14:textId="77777777" w:rsidR="008764B9" w:rsidRPr="003E23F3" w:rsidRDefault="008764B9" w:rsidP="00E56F06">
            <w:pPr>
              <w:pStyle w:val="TableText"/>
              <w:rPr>
                <w:rFonts w:eastAsia="Calibri"/>
              </w:rPr>
            </w:pPr>
            <w:r w:rsidRPr="003E23F3">
              <w:rPr>
                <w:rFonts w:eastAsia="Calibri"/>
              </w:rPr>
              <w:t>Value: $72.4 million</w:t>
            </w:r>
          </w:p>
          <w:p w14:paraId="24A3F915" w14:textId="77777777" w:rsidR="008764B9" w:rsidRPr="003E23F3" w:rsidRDefault="008764B9" w:rsidP="00E56F06">
            <w:pPr>
              <w:pStyle w:val="TableText"/>
              <w:rPr>
                <w:rFonts w:eastAsia="Calibri"/>
              </w:rPr>
            </w:pPr>
            <w:r w:rsidRPr="003E23F3">
              <w:rPr>
                <w:rFonts w:eastAsia="Calibri"/>
              </w:rPr>
              <w:t>Years: 2011–16</w:t>
            </w:r>
          </w:p>
          <w:p w14:paraId="41975AD8" w14:textId="23D5F997" w:rsidR="008764B9" w:rsidRPr="003E23F3" w:rsidRDefault="008764B9" w:rsidP="00F72149">
            <w:pPr>
              <w:pStyle w:val="TableText"/>
              <w:rPr>
                <w:rFonts w:eastAsia="Calibri"/>
              </w:rPr>
            </w:pPr>
            <w:r w:rsidRPr="003E23F3">
              <w:rPr>
                <w:rFonts w:eastAsia="Calibri"/>
              </w:rPr>
              <w:t>Goal:</w:t>
            </w:r>
            <w:r w:rsidRPr="00D85971">
              <w:rPr>
                <w:rFonts w:eastAsia="Calibri"/>
                <w:sz w:val="22"/>
              </w:rPr>
              <w:t xml:space="preserve"> </w:t>
            </w:r>
            <w:r>
              <w:rPr>
                <w:rFonts w:eastAsia="Calibri"/>
              </w:rPr>
              <w:t>T</w:t>
            </w:r>
            <w:r w:rsidRPr="003E23F3">
              <w:rPr>
                <w:rFonts w:eastAsia="Calibri"/>
              </w:rPr>
              <w:t xml:space="preserve">o ensure quality and equitable health care for all citizens by improving access to and </w:t>
            </w:r>
            <w:r w:rsidR="00F72149">
              <w:rPr>
                <w:rFonts w:eastAsia="Calibri"/>
              </w:rPr>
              <w:t>use</w:t>
            </w:r>
            <w:r w:rsidR="00F72149" w:rsidRPr="003E23F3">
              <w:rPr>
                <w:rFonts w:eastAsia="Calibri"/>
              </w:rPr>
              <w:t xml:space="preserve"> </w:t>
            </w:r>
            <w:r w:rsidRPr="003E23F3">
              <w:rPr>
                <w:rFonts w:eastAsia="Calibri"/>
              </w:rPr>
              <w:t>of health, population and nutrition services</w:t>
            </w:r>
            <w:r>
              <w:rPr>
                <w:rFonts w:eastAsia="Calibri"/>
              </w:rPr>
              <w:t>.</w:t>
            </w:r>
          </w:p>
        </w:tc>
        <w:tc>
          <w:tcPr>
            <w:tcW w:w="5057" w:type="dxa"/>
          </w:tcPr>
          <w:p w14:paraId="6684DD7E" w14:textId="77777777" w:rsidR="008764B9" w:rsidRPr="00E01B7D" w:rsidRDefault="008764B9" w:rsidP="001563C1">
            <w:pPr>
              <w:pStyle w:val="TableText"/>
              <w:rPr>
                <w:rFonts w:eastAsia="Calibri"/>
              </w:rPr>
            </w:pPr>
            <w:r w:rsidRPr="00E01B7D">
              <w:rPr>
                <w:rFonts w:eastAsia="Calibri"/>
              </w:rPr>
              <w:t>This program is supported by development partners under sector</w:t>
            </w:r>
            <w:r>
              <w:rPr>
                <w:rFonts w:eastAsia="Calibri"/>
              </w:rPr>
              <w:t>-</w:t>
            </w:r>
            <w:r w:rsidRPr="00E01B7D">
              <w:rPr>
                <w:rFonts w:eastAsia="Calibri"/>
              </w:rPr>
              <w:t>wide approach mechanisms. Australia’s assistance towards the HPNSDP will be a contribution to a pooled funding mechanism together with like-minded donors</w:t>
            </w:r>
            <w:r>
              <w:rPr>
                <w:rFonts w:eastAsia="Calibri"/>
              </w:rPr>
              <w:t>.</w:t>
            </w:r>
          </w:p>
        </w:tc>
      </w:tr>
      <w:tr w:rsidR="008764B9" w14:paraId="4DBE48AE" w14:textId="77777777" w:rsidTr="00801AFD">
        <w:tc>
          <w:tcPr>
            <w:tcW w:w="1418" w:type="dxa"/>
            <w:vMerge/>
          </w:tcPr>
          <w:p w14:paraId="28151C99" w14:textId="77777777" w:rsidR="008764B9" w:rsidRPr="00E01B7D" w:rsidRDefault="008764B9" w:rsidP="00CD2150">
            <w:pPr>
              <w:pStyle w:val="TableText"/>
              <w:rPr>
                <w:rFonts w:eastAsia="Calibri"/>
              </w:rPr>
            </w:pPr>
          </w:p>
        </w:tc>
        <w:tc>
          <w:tcPr>
            <w:tcW w:w="1526" w:type="dxa"/>
          </w:tcPr>
          <w:p w14:paraId="4CF6F478" w14:textId="77777777" w:rsidR="008764B9" w:rsidRPr="00E01B7D" w:rsidRDefault="008764B9" w:rsidP="008764B9">
            <w:pPr>
              <w:pStyle w:val="TableText"/>
              <w:rPr>
                <w:rFonts w:eastAsia="Calibri"/>
              </w:rPr>
            </w:pPr>
            <w:r w:rsidRPr="003E23F3">
              <w:rPr>
                <w:rFonts w:eastAsia="Calibri"/>
              </w:rPr>
              <w:t>Solomon Islands</w:t>
            </w:r>
            <w:r>
              <w:rPr>
                <w:rFonts w:eastAsia="Calibri"/>
              </w:rPr>
              <w:t>:</w:t>
            </w:r>
            <w:r w:rsidRPr="00E01B7D">
              <w:rPr>
                <w:rFonts w:eastAsia="Calibri"/>
              </w:rPr>
              <w:t xml:space="preserve"> Support to the Solomon Islands health </w:t>
            </w:r>
            <w:r>
              <w:rPr>
                <w:rFonts w:eastAsia="Calibri"/>
              </w:rPr>
              <w:t>s</w:t>
            </w:r>
            <w:r w:rsidRPr="00E01B7D">
              <w:rPr>
                <w:rFonts w:eastAsia="Calibri"/>
              </w:rPr>
              <w:t xml:space="preserve">ector </w:t>
            </w:r>
          </w:p>
        </w:tc>
        <w:tc>
          <w:tcPr>
            <w:tcW w:w="2205" w:type="dxa"/>
            <w:gridSpan w:val="2"/>
          </w:tcPr>
          <w:p w14:paraId="390D8619" w14:textId="77777777" w:rsidR="008764B9" w:rsidRPr="003E23F3" w:rsidRDefault="008764B9" w:rsidP="00E56F06">
            <w:pPr>
              <w:pStyle w:val="TableText"/>
              <w:rPr>
                <w:rFonts w:eastAsia="Calibri"/>
              </w:rPr>
            </w:pPr>
            <w:r w:rsidRPr="003E23F3">
              <w:rPr>
                <w:rFonts w:eastAsia="Calibri"/>
              </w:rPr>
              <w:t>Value: $71 million</w:t>
            </w:r>
          </w:p>
          <w:p w14:paraId="56DE3324" w14:textId="77777777" w:rsidR="008764B9" w:rsidRPr="003E23F3" w:rsidRDefault="008764B9" w:rsidP="00E56F06">
            <w:pPr>
              <w:pStyle w:val="TableText"/>
              <w:rPr>
                <w:rFonts w:eastAsia="Calibri"/>
              </w:rPr>
            </w:pPr>
            <w:r w:rsidRPr="003E23F3">
              <w:rPr>
                <w:rFonts w:eastAsia="Calibri"/>
              </w:rPr>
              <w:t>Years: 2012–16</w:t>
            </w:r>
          </w:p>
          <w:p w14:paraId="255CBF8D" w14:textId="77777777" w:rsidR="008764B9" w:rsidRPr="003E23F3" w:rsidRDefault="008764B9" w:rsidP="00F857AD">
            <w:pPr>
              <w:pStyle w:val="TableText"/>
              <w:rPr>
                <w:rFonts w:eastAsia="Calibri"/>
              </w:rPr>
            </w:pPr>
            <w:r w:rsidRPr="003E23F3">
              <w:rPr>
                <w:rFonts w:eastAsia="Calibri"/>
              </w:rPr>
              <w:t>Goal:</w:t>
            </w:r>
            <w:r w:rsidRPr="00D85971">
              <w:rPr>
                <w:rFonts w:eastAsia="Calibri"/>
                <w:sz w:val="22"/>
              </w:rPr>
              <w:t xml:space="preserve"> </w:t>
            </w:r>
            <w:r>
              <w:rPr>
                <w:rFonts w:eastAsia="Calibri"/>
              </w:rPr>
              <w:t>T</w:t>
            </w:r>
            <w:r w:rsidRPr="003E23F3">
              <w:rPr>
                <w:rFonts w:eastAsia="Calibri"/>
              </w:rPr>
              <w:t>o achieve improved central and provincial management processes; sustainability of financial support; and better health service performance.</w:t>
            </w:r>
          </w:p>
        </w:tc>
        <w:tc>
          <w:tcPr>
            <w:tcW w:w="5057" w:type="dxa"/>
          </w:tcPr>
          <w:p w14:paraId="722D4508" w14:textId="77777777" w:rsidR="008764B9" w:rsidRPr="00E01B7D" w:rsidRDefault="008764B9" w:rsidP="001563C1">
            <w:pPr>
              <w:pStyle w:val="TableText"/>
              <w:rPr>
                <w:rFonts w:eastAsia="Calibri"/>
              </w:rPr>
            </w:pPr>
            <w:r w:rsidRPr="00E01B7D">
              <w:rPr>
                <w:rFonts w:eastAsia="Calibri"/>
              </w:rPr>
              <w:t xml:space="preserve">This initiative will support the </w:t>
            </w:r>
            <w:r>
              <w:rPr>
                <w:rFonts w:eastAsia="Calibri"/>
              </w:rPr>
              <w:t>h</w:t>
            </w:r>
            <w:r w:rsidRPr="00E01B7D">
              <w:rPr>
                <w:rFonts w:eastAsia="Calibri"/>
              </w:rPr>
              <w:t>ealth sector</w:t>
            </w:r>
            <w:r>
              <w:rPr>
                <w:rFonts w:eastAsia="Calibri"/>
              </w:rPr>
              <w:t>-</w:t>
            </w:r>
            <w:r w:rsidRPr="00E01B7D">
              <w:rPr>
                <w:rFonts w:eastAsia="Calibri"/>
              </w:rPr>
              <w:t>wide approach to strengthen Solomon Islands Ministry of Health and Medical Services’ leadership capacity, outcome focus, public financial management and health information systems.</w:t>
            </w:r>
          </w:p>
        </w:tc>
      </w:tr>
      <w:tr w:rsidR="008764B9" w14:paraId="6198EC37" w14:textId="77777777" w:rsidTr="00801AFD">
        <w:tc>
          <w:tcPr>
            <w:tcW w:w="1418" w:type="dxa"/>
            <w:vMerge/>
          </w:tcPr>
          <w:p w14:paraId="17F70FF5" w14:textId="77777777" w:rsidR="008764B9" w:rsidRPr="00E01B7D" w:rsidRDefault="008764B9" w:rsidP="00CD2150">
            <w:pPr>
              <w:pStyle w:val="TableText"/>
              <w:rPr>
                <w:rFonts w:eastAsia="Calibri"/>
              </w:rPr>
            </w:pPr>
          </w:p>
        </w:tc>
        <w:tc>
          <w:tcPr>
            <w:tcW w:w="1526" w:type="dxa"/>
          </w:tcPr>
          <w:p w14:paraId="7C2BEE2F" w14:textId="77777777" w:rsidR="008764B9" w:rsidRPr="00E01B7D" w:rsidRDefault="008764B9" w:rsidP="00CD2150">
            <w:pPr>
              <w:pStyle w:val="TableText"/>
              <w:rPr>
                <w:rFonts w:eastAsia="Calibri"/>
              </w:rPr>
            </w:pPr>
            <w:r w:rsidRPr="003E23F3">
              <w:rPr>
                <w:rFonts w:eastAsia="Calibri"/>
              </w:rPr>
              <w:t>PNG</w:t>
            </w:r>
            <w:r>
              <w:rPr>
                <w:rFonts w:eastAsia="Calibri"/>
              </w:rPr>
              <w:t>:</w:t>
            </w:r>
            <w:r w:rsidRPr="00E01B7D">
              <w:rPr>
                <w:rFonts w:eastAsia="Calibri"/>
              </w:rPr>
              <w:t xml:space="preserve"> PNG Health System Capacity Development Program</w:t>
            </w:r>
            <w:r>
              <w:rPr>
                <w:rFonts w:eastAsia="Calibri"/>
              </w:rPr>
              <w:t xml:space="preserve"> (HSCDP)</w:t>
            </w:r>
          </w:p>
        </w:tc>
        <w:tc>
          <w:tcPr>
            <w:tcW w:w="2205" w:type="dxa"/>
            <w:gridSpan w:val="2"/>
          </w:tcPr>
          <w:p w14:paraId="3C5D8C84" w14:textId="77777777" w:rsidR="008764B9" w:rsidRPr="003E23F3" w:rsidRDefault="008764B9" w:rsidP="00E56F06">
            <w:pPr>
              <w:pStyle w:val="TableText"/>
              <w:rPr>
                <w:rFonts w:eastAsia="Calibri"/>
              </w:rPr>
            </w:pPr>
            <w:r w:rsidRPr="003E23F3">
              <w:rPr>
                <w:rFonts w:eastAsia="Calibri"/>
              </w:rPr>
              <w:t>Value: $60,000,000</w:t>
            </w:r>
          </w:p>
          <w:p w14:paraId="6BE47F23" w14:textId="77777777" w:rsidR="008764B9" w:rsidRPr="003E23F3" w:rsidRDefault="008764B9" w:rsidP="00E56F06">
            <w:pPr>
              <w:pStyle w:val="TableText"/>
              <w:rPr>
                <w:rFonts w:eastAsia="Calibri"/>
              </w:rPr>
            </w:pPr>
            <w:r w:rsidRPr="003E23F3">
              <w:rPr>
                <w:rFonts w:eastAsia="Calibri"/>
              </w:rPr>
              <w:t>Years: 2011–15</w:t>
            </w:r>
          </w:p>
          <w:p w14:paraId="37EE6417" w14:textId="77777777" w:rsidR="008764B9" w:rsidRPr="003E23F3" w:rsidRDefault="008764B9" w:rsidP="00E56F06">
            <w:pPr>
              <w:pStyle w:val="TableText"/>
              <w:rPr>
                <w:rFonts w:eastAsia="Calibri"/>
              </w:rPr>
            </w:pPr>
            <w:r w:rsidRPr="003E23F3">
              <w:rPr>
                <w:rFonts w:eastAsia="Calibri"/>
              </w:rPr>
              <w:t>Goal:</w:t>
            </w:r>
            <w:r w:rsidRPr="00D85971">
              <w:rPr>
                <w:rFonts w:eastAsia="Calibri"/>
                <w:sz w:val="22"/>
              </w:rPr>
              <w:t xml:space="preserve"> </w:t>
            </w:r>
            <w:r w:rsidRPr="003E23F3">
              <w:rPr>
                <w:rFonts w:eastAsia="Calibri"/>
              </w:rPr>
              <w:t xml:space="preserve">To strengthen key partner performance, functions and systems, and incentives within PNG’s health system to better deliver rural services (with a particular focus on five provinces. </w:t>
            </w:r>
          </w:p>
        </w:tc>
        <w:tc>
          <w:tcPr>
            <w:tcW w:w="5057" w:type="dxa"/>
          </w:tcPr>
          <w:p w14:paraId="4F82A24B" w14:textId="77777777" w:rsidR="008764B9" w:rsidRPr="00E01B7D" w:rsidRDefault="008764B9" w:rsidP="003B336C">
            <w:pPr>
              <w:pStyle w:val="TableText"/>
              <w:rPr>
                <w:rFonts w:eastAsia="Calibri"/>
              </w:rPr>
            </w:pPr>
            <w:r w:rsidRPr="00E01B7D">
              <w:rPr>
                <w:rFonts w:eastAsia="Calibri"/>
              </w:rPr>
              <w:t xml:space="preserve">HSCDP </w:t>
            </w:r>
            <w:r>
              <w:rPr>
                <w:rFonts w:eastAsia="Calibri"/>
              </w:rPr>
              <w:t>aims</w:t>
            </w:r>
            <w:r w:rsidRPr="00E01B7D">
              <w:rPr>
                <w:rFonts w:eastAsia="Calibri"/>
              </w:rPr>
              <w:t xml:space="preserve"> to deliver the majority of its support at the subnational level, with modest support to national functions. Provincial support will comprise approximately 75</w:t>
            </w:r>
            <w:r>
              <w:rPr>
                <w:rFonts w:eastAsia="Calibri"/>
              </w:rPr>
              <w:t>%</w:t>
            </w:r>
            <w:r w:rsidRPr="00E01B7D">
              <w:rPr>
                <w:rFonts w:eastAsia="Calibri"/>
              </w:rPr>
              <w:t xml:space="preserve"> of the HSCDP operational budget</w:t>
            </w:r>
            <w:r>
              <w:rPr>
                <w:rFonts w:eastAsia="Calibri"/>
              </w:rPr>
              <w:t>.</w:t>
            </w:r>
            <w:r w:rsidRPr="00E01B7D">
              <w:rPr>
                <w:rFonts w:eastAsia="Calibri"/>
              </w:rPr>
              <w:t xml:space="preserve"> </w:t>
            </w:r>
            <w:r>
              <w:rPr>
                <w:rFonts w:eastAsia="Calibri"/>
              </w:rPr>
              <w:t>S</w:t>
            </w:r>
            <w:r w:rsidRPr="00E01B7D">
              <w:rPr>
                <w:rFonts w:eastAsia="Calibri"/>
              </w:rPr>
              <w:t>upport to national functions will comprise the remaining 25</w:t>
            </w:r>
            <w:r>
              <w:rPr>
                <w:rFonts w:eastAsia="Calibri"/>
              </w:rPr>
              <w:t>%.</w:t>
            </w:r>
            <w:r w:rsidRPr="00E01B7D">
              <w:rPr>
                <w:rFonts w:eastAsia="Calibri"/>
              </w:rPr>
              <w:t xml:space="preserve"> </w:t>
            </w:r>
          </w:p>
        </w:tc>
      </w:tr>
      <w:tr w:rsidR="008764B9" w14:paraId="6A82DF59" w14:textId="77777777" w:rsidTr="00801AFD">
        <w:tc>
          <w:tcPr>
            <w:tcW w:w="1418" w:type="dxa"/>
            <w:vMerge/>
          </w:tcPr>
          <w:p w14:paraId="42AAD312" w14:textId="77777777" w:rsidR="008764B9" w:rsidRPr="00E01B7D" w:rsidRDefault="008764B9" w:rsidP="00E56F06">
            <w:pPr>
              <w:pStyle w:val="TableText"/>
              <w:rPr>
                <w:rFonts w:eastAsia="Calibri"/>
              </w:rPr>
            </w:pPr>
          </w:p>
        </w:tc>
        <w:tc>
          <w:tcPr>
            <w:tcW w:w="1526" w:type="dxa"/>
          </w:tcPr>
          <w:p w14:paraId="2E703241" w14:textId="77777777" w:rsidR="008764B9" w:rsidRPr="00E01B7D" w:rsidRDefault="008764B9" w:rsidP="00E56F06">
            <w:pPr>
              <w:pStyle w:val="TableText"/>
              <w:rPr>
                <w:rFonts w:eastAsia="Calibri"/>
              </w:rPr>
            </w:pPr>
            <w:r w:rsidRPr="003E23F3">
              <w:rPr>
                <w:rFonts w:eastAsia="Calibri"/>
              </w:rPr>
              <w:t>Vietnam</w:t>
            </w:r>
            <w:r>
              <w:rPr>
                <w:rFonts w:eastAsia="Calibri"/>
              </w:rPr>
              <w:t>:</w:t>
            </w:r>
            <w:r w:rsidRPr="00E01B7D">
              <w:rPr>
                <w:rFonts w:eastAsia="Calibri"/>
              </w:rPr>
              <w:t xml:space="preserve"> Vietnam delivering better health initiative</w:t>
            </w:r>
          </w:p>
        </w:tc>
        <w:tc>
          <w:tcPr>
            <w:tcW w:w="2205" w:type="dxa"/>
            <w:gridSpan w:val="2"/>
          </w:tcPr>
          <w:p w14:paraId="2144C3DA" w14:textId="77777777" w:rsidR="008764B9" w:rsidRPr="003E23F3" w:rsidRDefault="008764B9" w:rsidP="00E56F06">
            <w:pPr>
              <w:pStyle w:val="TableText"/>
              <w:rPr>
                <w:rFonts w:eastAsia="Calibri"/>
              </w:rPr>
            </w:pPr>
            <w:r w:rsidRPr="003E23F3">
              <w:rPr>
                <w:rFonts w:eastAsia="Calibri"/>
              </w:rPr>
              <w:t>Value: $22 million</w:t>
            </w:r>
          </w:p>
          <w:p w14:paraId="661A4CAC" w14:textId="77777777" w:rsidR="008764B9" w:rsidRPr="003E23F3" w:rsidRDefault="008764B9" w:rsidP="00E56F06">
            <w:pPr>
              <w:pStyle w:val="TableText"/>
              <w:rPr>
                <w:rFonts w:eastAsia="Calibri"/>
              </w:rPr>
            </w:pPr>
            <w:r w:rsidRPr="003E23F3">
              <w:rPr>
                <w:rFonts w:eastAsia="Calibri"/>
              </w:rPr>
              <w:t>Years: 2009–11 (</w:t>
            </w:r>
            <w:r>
              <w:rPr>
                <w:rFonts w:eastAsia="Calibri"/>
              </w:rPr>
              <w:t>phase</w:t>
            </w:r>
            <w:r w:rsidRPr="003E23F3">
              <w:rPr>
                <w:rFonts w:eastAsia="Calibri"/>
              </w:rPr>
              <w:t xml:space="preserve"> 2)</w:t>
            </w:r>
          </w:p>
          <w:p w14:paraId="19FC5175" w14:textId="77777777" w:rsidR="008764B9" w:rsidRPr="003E23F3" w:rsidRDefault="008764B9" w:rsidP="00F857AD">
            <w:pPr>
              <w:pStyle w:val="TableText"/>
              <w:rPr>
                <w:rFonts w:eastAsia="Calibri"/>
              </w:rPr>
            </w:pPr>
            <w:r w:rsidRPr="003E23F3">
              <w:rPr>
                <w:rFonts w:eastAsia="Calibri"/>
              </w:rPr>
              <w:t>Goal:</w:t>
            </w:r>
            <w:r w:rsidRPr="00D85971">
              <w:rPr>
                <w:rFonts w:eastAsia="Calibri"/>
                <w:sz w:val="22"/>
              </w:rPr>
              <w:t xml:space="preserve"> </w:t>
            </w:r>
            <w:r w:rsidRPr="003E23F3">
              <w:rPr>
                <w:rFonts w:eastAsia="Calibri"/>
              </w:rPr>
              <w:t>T</w:t>
            </w:r>
            <w:r>
              <w:rPr>
                <w:rFonts w:eastAsia="Calibri"/>
              </w:rPr>
              <w:t>o enable t</w:t>
            </w:r>
            <w:r w:rsidRPr="003E23F3">
              <w:rPr>
                <w:rFonts w:eastAsia="Calibri"/>
              </w:rPr>
              <w:t>he Viet</w:t>
            </w:r>
            <w:r>
              <w:rPr>
                <w:rFonts w:eastAsia="Calibri"/>
              </w:rPr>
              <w:t>nam Government</w:t>
            </w:r>
            <w:r w:rsidRPr="003E23F3">
              <w:rPr>
                <w:rFonts w:eastAsia="Calibri"/>
              </w:rPr>
              <w:t xml:space="preserve"> </w:t>
            </w:r>
            <w:r>
              <w:rPr>
                <w:rFonts w:eastAsia="Calibri"/>
              </w:rPr>
              <w:t xml:space="preserve">to </w:t>
            </w:r>
            <w:r w:rsidRPr="003E23F3">
              <w:rPr>
                <w:rFonts w:eastAsia="Calibri"/>
              </w:rPr>
              <w:t>coordinate, manage and finance the health sector more effectively</w:t>
            </w:r>
            <w:r>
              <w:rPr>
                <w:rFonts w:eastAsia="Calibri"/>
              </w:rPr>
              <w:t>.</w:t>
            </w:r>
          </w:p>
        </w:tc>
        <w:tc>
          <w:tcPr>
            <w:tcW w:w="5057" w:type="dxa"/>
          </w:tcPr>
          <w:p w14:paraId="7FCDA95A" w14:textId="77777777" w:rsidR="008764B9" w:rsidRPr="00E01B7D" w:rsidRDefault="008764B9" w:rsidP="00E56F06">
            <w:pPr>
              <w:pStyle w:val="TableText"/>
              <w:rPr>
                <w:rFonts w:eastAsia="Calibri"/>
              </w:rPr>
            </w:pPr>
            <w:r w:rsidRPr="00E01B7D">
              <w:rPr>
                <w:rFonts w:eastAsia="Calibri"/>
              </w:rPr>
              <w:t xml:space="preserve">The initiative </w:t>
            </w:r>
            <w:r>
              <w:rPr>
                <w:rFonts w:eastAsia="Calibri"/>
              </w:rPr>
              <w:t>has</w:t>
            </w:r>
            <w:r w:rsidRPr="00E01B7D">
              <w:rPr>
                <w:rFonts w:eastAsia="Calibri"/>
              </w:rPr>
              <w:t xml:space="preserve"> </w:t>
            </w:r>
            <w:r w:rsidR="00934BE3">
              <w:rPr>
                <w:rFonts w:eastAsia="Calibri"/>
              </w:rPr>
              <w:t>three</w:t>
            </w:r>
            <w:r w:rsidRPr="00E01B7D">
              <w:rPr>
                <w:rFonts w:eastAsia="Calibri"/>
              </w:rPr>
              <w:t xml:space="preserve"> components: </w:t>
            </w:r>
          </w:p>
          <w:p w14:paraId="0FE6D636" w14:textId="77777777" w:rsidR="008764B9" w:rsidRPr="00E01B7D" w:rsidRDefault="008764B9" w:rsidP="003E23F3">
            <w:pPr>
              <w:pStyle w:val="TableBullet"/>
            </w:pPr>
            <w:r w:rsidRPr="00E01B7D">
              <w:t>Human resources</w:t>
            </w:r>
            <w:r>
              <w:t xml:space="preserve"> (HR): </w:t>
            </w:r>
            <w:r w:rsidRPr="00E01B7D">
              <w:t>Improve the quality, efficiency and equity in health service delivery through addressing selected health human resource issues in partnership with the A</w:t>
            </w:r>
            <w:r>
              <w:t xml:space="preserve">sian </w:t>
            </w:r>
            <w:r w:rsidRPr="00E01B7D">
              <w:t>D</w:t>
            </w:r>
            <w:r>
              <w:t xml:space="preserve">evelopment </w:t>
            </w:r>
            <w:r w:rsidRPr="00E01B7D">
              <w:t>B</w:t>
            </w:r>
            <w:r>
              <w:t>ank</w:t>
            </w:r>
          </w:p>
          <w:p w14:paraId="25B49A7A" w14:textId="77777777" w:rsidR="008764B9" w:rsidRPr="00E01B7D" w:rsidRDefault="008764B9" w:rsidP="003E23F3">
            <w:pPr>
              <w:pStyle w:val="TableBullet"/>
            </w:pPr>
            <w:r w:rsidRPr="00E01B7D">
              <w:t>Health financing</w:t>
            </w:r>
            <w:r>
              <w:t xml:space="preserve"> (HF): </w:t>
            </w:r>
            <w:r w:rsidRPr="00E01B7D">
              <w:t>Improve equitable and affordable access to health care in partnership with the W</w:t>
            </w:r>
            <w:r>
              <w:t xml:space="preserve">orld </w:t>
            </w:r>
            <w:r w:rsidRPr="00E01B7D">
              <w:t>B</w:t>
            </w:r>
            <w:r>
              <w:t>ank</w:t>
            </w:r>
          </w:p>
          <w:p w14:paraId="3D60591D" w14:textId="77777777" w:rsidR="008764B9" w:rsidRDefault="008764B9" w:rsidP="003E23F3">
            <w:pPr>
              <w:pStyle w:val="TableBullet"/>
            </w:pPr>
            <w:r w:rsidRPr="00E01B7D">
              <w:t>Institutional partnerships</w:t>
            </w:r>
            <w:r>
              <w:t xml:space="preserve">: </w:t>
            </w:r>
            <w:r w:rsidRPr="00E01B7D">
              <w:t xml:space="preserve">Improve the </w:t>
            </w:r>
            <w:r>
              <w:t>Vietnam</w:t>
            </w:r>
            <w:r w:rsidRPr="00E01B7D">
              <w:t xml:space="preserve"> health sector’s evidence-based approach to HR and HF policy development, implementation and</w:t>
            </w:r>
            <w:r>
              <w:t xml:space="preserve"> monitoring and evaluation</w:t>
            </w:r>
            <w:r w:rsidRPr="00E01B7D">
              <w:t xml:space="preserve"> through sustainable partnerships between Australian and Viet</w:t>
            </w:r>
            <w:r>
              <w:t>n</w:t>
            </w:r>
            <w:r w:rsidRPr="00E01B7D">
              <w:t>am institutions</w:t>
            </w:r>
            <w:r>
              <w:t>.</w:t>
            </w:r>
          </w:p>
          <w:p w14:paraId="1C971164" w14:textId="77777777" w:rsidR="00675E65" w:rsidRPr="00E01B7D" w:rsidRDefault="00675E65" w:rsidP="00801AFD">
            <w:pPr>
              <w:spacing w:after="0"/>
            </w:pPr>
          </w:p>
        </w:tc>
      </w:tr>
      <w:tr w:rsidR="008764B9" w14:paraId="5C8333D6" w14:textId="77777777" w:rsidTr="00801AFD">
        <w:tc>
          <w:tcPr>
            <w:tcW w:w="1418" w:type="dxa"/>
            <w:vMerge/>
          </w:tcPr>
          <w:p w14:paraId="39BF581D" w14:textId="77777777" w:rsidR="008764B9" w:rsidRPr="00E01B7D" w:rsidRDefault="008764B9" w:rsidP="00E56F06">
            <w:pPr>
              <w:pStyle w:val="TableText"/>
              <w:rPr>
                <w:rFonts w:eastAsia="Calibri"/>
              </w:rPr>
            </w:pPr>
          </w:p>
        </w:tc>
        <w:tc>
          <w:tcPr>
            <w:tcW w:w="1526" w:type="dxa"/>
          </w:tcPr>
          <w:p w14:paraId="7CA410E5" w14:textId="77777777" w:rsidR="008764B9" w:rsidRPr="00E01B7D" w:rsidRDefault="008764B9" w:rsidP="00E56F06">
            <w:pPr>
              <w:pStyle w:val="TableText"/>
              <w:rPr>
                <w:rFonts w:eastAsia="Calibri"/>
              </w:rPr>
            </w:pPr>
            <w:r w:rsidRPr="003E23F3">
              <w:rPr>
                <w:rFonts w:eastAsia="Calibri"/>
              </w:rPr>
              <w:t>Vietnam</w:t>
            </w:r>
            <w:r>
              <w:rPr>
                <w:rFonts w:eastAsia="Calibri"/>
              </w:rPr>
              <w:t>:</w:t>
            </w:r>
            <w:r w:rsidRPr="00E01B7D">
              <w:rPr>
                <w:rFonts w:eastAsia="Calibri"/>
              </w:rPr>
              <w:t xml:space="preserve"> Health Human Resources Sector Development Program</w:t>
            </w:r>
          </w:p>
        </w:tc>
        <w:tc>
          <w:tcPr>
            <w:tcW w:w="2205" w:type="dxa"/>
            <w:gridSpan w:val="2"/>
          </w:tcPr>
          <w:p w14:paraId="3D292285" w14:textId="77777777" w:rsidR="008764B9" w:rsidRPr="003E23F3" w:rsidRDefault="008764B9" w:rsidP="00E56F06">
            <w:pPr>
              <w:pStyle w:val="TableText"/>
              <w:rPr>
                <w:rFonts w:eastAsia="Calibri"/>
              </w:rPr>
            </w:pPr>
            <w:r w:rsidRPr="003E23F3">
              <w:rPr>
                <w:rFonts w:eastAsia="Calibri"/>
              </w:rPr>
              <w:t>Value: $11 million (Aus. component)</w:t>
            </w:r>
          </w:p>
          <w:p w14:paraId="6E1E0F92" w14:textId="77777777" w:rsidR="008764B9" w:rsidRPr="003E23F3" w:rsidRDefault="008764B9" w:rsidP="00E56F06">
            <w:pPr>
              <w:pStyle w:val="TableText"/>
              <w:rPr>
                <w:rFonts w:eastAsia="Calibri"/>
              </w:rPr>
            </w:pPr>
            <w:r w:rsidRPr="003E23F3">
              <w:rPr>
                <w:rFonts w:eastAsia="Calibri"/>
              </w:rPr>
              <w:t>Years: 2008–15</w:t>
            </w:r>
          </w:p>
          <w:p w14:paraId="12484A47" w14:textId="77777777" w:rsidR="008764B9" w:rsidRPr="003E23F3" w:rsidRDefault="008764B9" w:rsidP="00F857AD">
            <w:pPr>
              <w:pStyle w:val="TableText"/>
              <w:rPr>
                <w:rFonts w:eastAsia="Calibri"/>
              </w:rPr>
            </w:pPr>
            <w:r w:rsidRPr="003E23F3">
              <w:rPr>
                <w:rFonts w:eastAsia="Calibri"/>
              </w:rPr>
              <w:t xml:space="preserve">Goal: </w:t>
            </w:r>
            <w:r>
              <w:rPr>
                <w:rFonts w:eastAsia="Calibri"/>
              </w:rPr>
              <w:t>To i</w:t>
            </w:r>
            <w:r w:rsidRPr="003E23F3">
              <w:rPr>
                <w:rFonts w:eastAsia="Calibri"/>
              </w:rPr>
              <w:t>mprove</w:t>
            </w:r>
            <w:r>
              <w:rPr>
                <w:rFonts w:eastAsia="Calibri"/>
              </w:rPr>
              <w:t xml:space="preserve"> </w:t>
            </w:r>
            <w:r w:rsidRPr="003E23F3">
              <w:rPr>
                <w:rFonts w:eastAsia="Calibri"/>
              </w:rPr>
              <w:t>health status and progress towards the health</w:t>
            </w:r>
            <w:r>
              <w:rPr>
                <w:rFonts w:eastAsia="Calibri"/>
              </w:rPr>
              <w:t>-</w:t>
            </w:r>
            <w:r w:rsidRPr="003E23F3">
              <w:rPr>
                <w:rFonts w:eastAsia="Calibri"/>
              </w:rPr>
              <w:t>related MDGs and Viet</w:t>
            </w:r>
            <w:r>
              <w:rPr>
                <w:rFonts w:eastAsia="Calibri"/>
              </w:rPr>
              <w:t>n</w:t>
            </w:r>
            <w:r w:rsidRPr="003E23F3">
              <w:rPr>
                <w:rFonts w:eastAsia="Calibri"/>
              </w:rPr>
              <w:t>am development goals</w:t>
            </w:r>
            <w:r>
              <w:rPr>
                <w:rFonts w:eastAsia="Calibri"/>
              </w:rPr>
              <w:t>.</w:t>
            </w:r>
          </w:p>
        </w:tc>
        <w:tc>
          <w:tcPr>
            <w:tcW w:w="5057" w:type="dxa"/>
          </w:tcPr>
          <w:p w14:paraId="7A56518B" w14:textId="77777777" w:rsidR="008764B9" w:rsidRPr="00E01B7D" w:rsidRDefault="008764B9" w:rsidP="00E56F06">
            <w:pPr>
              <w:pStyle w:val="TableText"/>
              <w:rPr>
                <w:rFonts w:eastAsia="Calibri"/>
              </w:rPr>
            </w:pPr>
            <w:r w:rsidRPr="00E01B7D">
              <w:rPr>
                <w:rFonts w:eastAsia="Calibri"/>
              </w:rPr>
              <w:t xml:space="preserve">The program loan will support key policy reform actions in health workforce management and financing; and the project loan will finance investments directly linked to and supportive of the policy actions. </w:t>
            </w:r>
          </w:p>
        </w:tc>
      </w:tr>
      <w:tr w:rsidR="008764B9" w14:paraId="1AF7198B" w14:textId="77777777" w:rsidTr="00801AFD">
        <w:tc>
          <w:tcPr>
            <w:tcW w:w="1418" w:type="dxa"/>
            <w:vMerge w:val="restart"/>
          </w:tcPr>
          <w:p w14:paraId="306879C7" w14:textId="77777777" w:rsidR="008764B9" w:rsidRPr="00E56F06" w:rsidRDefault="008764B9" w:rsidP="00E56F06">
            <w:pPr>
              <w:pStyle w:val="TableText"/>
              <w:rPr>
                <w:rFonts w:eastAsia="Calibri"/>
              </w:rPr>
            </w:pPr>
            <w:r w:rsidRPr="00E56F06">
              <w:rPr>
                <w:rFonts w:eastAsia="Calibri"/>
                <w:b/>
                <w:bCs/>
              </w:rPr>
              <w:t>Infrastructure</w:t>
            </w:r>
          </w:p>
        </w:tc>
        <w:tc>
          <w:tcPr>
            <w:tcW w:w="1526" w:type="dxa"/>
          </w:tcPr>
          <w:p w14:paraId="33148363" w14:textId="77777777" w:rsidR="008764B9" w:rsidRPr="00E56F06" w:rsidRDefault="008764B9" w:rsidP="00E56F06">
            <w:pPr>
              <w:pStyle w:val="TableText"/>
              <w:rPr>
                <w:rFonts w:eastAsia="Calibri"/>
              </w:rPr>
            </w:pPr>
            <w:r w:rsidRPr="00E56F06">
              <w:rPr>
                <w:rFonts w:eastAsia="Calibri"/>
              </w:rPr>
              <w:t>Indonesia</w:t>
            </w:r>
            <w:r>
              <w:rPr>
                <w:rFonts w:eastAsia="Calibri"/>
              </w:rPr>
              <w:t>:</w:t>
            </w:r>
            <w:r w:rsidRPr="00E56F06">
              <w:rPr>
                <w:rFonts w:eastAsia="Calibri"/>
              </w:rPr>
              <w:t xml:space="preserve"> Design Summary and Implementation Document Water and Sanitation Initiative (WSI)</w:t>
            </w:r>
          </w:p>
        </w:tc>
        <w:tc>
          <w:tcPr>
            <w:tcW w:w="2159" w:type="dxa"/>
          </w:tcPr>
          <w:p w14:paraId="35013A5E" w14:textId="77777777" w:rsidR="008764B9" w:rsidRPr="00E56F06" w:rsidRDefault="008764B9" w:rsidP="00E56F06">
            <w:pPr>
              <w:pStyle w:val="TableText"/>
              <w:rPr>
                <w:rFonts w:eastAsia="Calibri"/>
              </w:rPr>
            </w:pPr>
            <w:r w:rsidRPr="00E56F06">
              <w:rPr>
                <w:rFonts w:eastAsia="Calibri"/>
              </w:rPr>
              <w:t>Value: $300 million</w:t>
            </w:r>
          </w:p>
          <w:p w14:paraId="0B28F3FB" w14:textId="77777777" w:rsidR="008764B9" w:rsidRPr="00E56F06" w:rsidRDefault="008764B9" w:rsidP="00E56F06">
            <w:pPr>
              <w:pStyle w:val="TableText"/>
              <w:rPr>
                <w:rFonts w:eastAsia="Calibri"/>
              </w:rPr>
            </w:pPr>
            <w:r w:rsidRPr="00E56F06">
              <w:rPr>
                <w:rFonts w:eastAsia="Calibri"/>
              </w:rPr>
              <w:t>Years: 2009</w:t>
            </w:r>
            <w:r>
              <w:rPr>
                <w:rFonts w:eastAsia="Calibri"/>
              </w:rPr>
              <w:t>–</w:t>
            </w:r>
            <w:r w:rsidRPr="00E56F06">
              <w:rPr>
                <w:rFonts w:eastAsia="Calibri"/>
              </w:rPr>
              <w:t xml:space="preserve">11 </w:t>
            </w:r>
          </w:p>
          <w:p w14:paraId="3D2490C4" w14:textId="62D4D29F" w:rsidR="008764B9" w:rsidRPr="00E56F06" w:rsidRDefault="008764B9" w:rsidP="001563C1">
            <w:pPr>
              <w:pStyle w:val="TableText"/>
              <w:rPr>
                <w:rFonts w:eastAsia="Calibri"/>
              </w:rPr>
            </w:pPr>
            <w:r w:rsidRPr="00E56F06">
              <w:rPr>
                <w:rFonts w:eastAsia="Calibri"/>
              </w:rPr>
              <w:t xml:space="preserve">Goal: </w:t>
            </w:r>
            <w:r>
              <w:rPr>
                <w:rFonts w:eastAsia="Calibri"/>
              </w:rPr>
              <w:t>To i</w:t>
            </w:r>
            <w:r w:rsidRPr="00E56F06">
              <w:rPr>
                <w:rFonts w:eastAsia="Calibri"/>
              </w:rPr>
              <w:t xml:space="preserve">mprove the living standards of the poor by improving their access to more effective and sustainable water and sanitation services thereby contributing to </w:t>
            </w:r>
            <w:r>
              <w:rPr>
                <w:rFonts w:eastAsia="Calibri"/>
              </w:rPr>
              <w:t>the Indonesian Government’s</w:t>
            </w:r>
            <w:r w:rsidRPr="00E56F06">
              <w:rPr>
                <w:rFonts w:eastAsia="Calibri"/>
              </w:rPr>
              <w:t xml:space="preserve"> achievement of MDG Goal</w:t>
            </w:r>
            <w:r>
              <w:rPr>
                <w:rFonts w:eastAsia="Calibri"/>
              </w:rPr>
              <w:t> </w:t>
            </w:r>
            <w:r w:rsidRPr="00E56F06">
              <w:rPr>
                <w:rFonts w:eastAsia="Calibri"/>
              </w:rPr>
              <w:t>7.</w:t>
            </w:r>
          </w:p>
        </w:tc>
        <w:tc>
          <w:tcPr>
            <w:tcW w:w="5103" w:type="dxa"/>
            <w:gridSpan w:val="2"/>
          </w:tcPr>
          <w:p w14:paraId="3ED28BF7" w14:textId="77777777" w:rsidR="008764B9" w:rsidRPr="00E01B7D" w:rsidRDefault="008764B9" w:rsidP="00E56F06">
            <w:pPr>
              <w:pStyle w:val="TableText"/>
              <w:rPr>
                <w:rFonts w:eastAsia="Calibri"/>
              </w:rPr>
            </w:pPr>
            <w:r w:rsidRPr="00E01B7D">
              <w:rPr>
                <w:rFonts w:eastAsia="Calibri"/>
              </w:rPr>
              <w:t>The WSI was announced by the</w:t>
            </w:r>
            <w:r>
              <w:rPr>
                <w:rFonts w:eastAsia="Calibri"/>
              </w:rPr>
              <w:t xml:space="preserve"> Australian</w:t>
            </w:r>
            <w:r w:rsidRPr="00E01B7D">
              <w:rPr>
                <w:rFonts w:eastAsia="Calibri"/>
              </w:rPr>
              <w:t xml:space="preserve"> Government in December 2008. Its core objectives are to:</w:t>
            </w:r>
          </w:p>
          <w:p w14:paraId="2E5057A0" w14:textId="77777777" w:rsidR="008764B9" w:rsidRPr="00E01B7D" w:rsidRDefault="008764B9" w:rsidP="00E56F06">
            <w:pPr>
              <w:pStyle w:val="TableBullet"/>
            </w:pPr>
            <w:r>
              <w:t>e</w:t>
            </w:r>
            <w:r w:rsidRPr="00E01B7D">
              <w:t>xpand access to water supply and sanitation services, particularly for the poor, women, and children in schools</w:t>
            </w:r>
          </w:p>
          <w:p w14:paraId="5B3E673F" w14:textId="77777777" w:rsidR="008764B9" w:rsidRPr="00E01B7D" w:rsidRDefault="008764B9" w:rsidP="00E56F06">
            <w:pPr>
              <w:pStyle w:val="TableBullet"/>
            </w:pPr>
            <w:r>
              <w:t>m</w:t>
            </w:r>
            <w:r w:rsidRPr="00E01B7D">
              <w:t>ake water and sanitation services more sustainable by supporting sector reform and capacity building</w:t>
            </w:r>
          </w:p>
          <w:p w14:paraId="040BB8BA" w14:textId="77777777" w:rsidR="008764B9" w:rsidRPr="00E01B7D" w:rsidRDefault="008764B9" w:rsidP="00E56F06">
            <w:pPr>
              <w:pStyle w:val="TableBullet"/>
            </w:pPr>
            <w:r>
              <w:t>i</w:t>
            </w:r>
            <w:r w:rsidRPr="00E01B7D">
              <w:t>mprove the health and quality of life of the poor and vulnerable by increasing their understanding of good hygiene practices, as well as by expanding their access to water supply and sanitation services.</w:t>
            </w:r>
          </w:p>
          <w:p w14:paraId="50BA6D12" w14:textId="77777777" w:rsidR="008764B9" w:rsidRPr="00E01B7D" w:rsidRDefault="008764B9" w:rsidP="00CD2150">
            <w:pPr>
              <w:pStyle w:val="TableText"/>
              <w:rPr>
                <w:rFonts w:eastAsia="Calibri"/>
              </w:rPr>
            </w:pPr>
            <w:r w:rsidRPr="00E01B7D">
              <w:rPr>
                <w:rFonts w:eastAsia="Calibri"/>
              </w:rPr>
              <w:t>The approved funding for WSI is $300</w:t>
            </w:r>
            <w:r>
              <w:rPr>
                <w:rFonts w:eastAsia="Calibri"/>
              </w:rPr>
              <w:t> </w:t>
            </w:r>
            <w:r w:rsidRPr="00E01B7D">
              <w:rPr>
                <w:rFonts w:eastAsia="Calibri"/>
              </w:rPr>
              <w:t>million, of which $100</w:t>
            </w:r>
            <w:r>
              <w:rPr>
                <w:rFonts w:eastAsia="Calibri"/>
              </w:rPr>
              <w:t> </w:t>
            </w:r>
            <w:r w:rsidRPr="00E01B7D">
              <w:rPr>
                <w:rFonts w:eastAsia="Calibri"/>
              </w:rPr>
              <w:t>million will be channelled through multilateral development agencies and $200</w:t>
            </w:r>
            <w:r>
              <w:rPr>
                <w:rFonts w:eastAsia="Calibri"/>
              </w:rPr>
              <w:t> </w:t>
            </w:r>
            <w:r w:rsidRPr="00E01B7D">
              <w:rPr>
                <w:rFonts w:eastAsia="Calibri"/>
              </w:rPr>
              <w:t xml:space="preserve">million to bilateral country programs, including Indonesia. </w:t>
            </w:r>
          </w:p>
        </w:tc>
      </w:tr>
      <w:tr w:rsidR="008764B9" w14:paraId="323FF9ED" w14:textId="77777777" w:rsidTr="00801AFD">
        <w:tc>
          <w:tcPr>
            <w:tcW w:w="1418" w:type="dxa"/>
            <w:vMerge/>
          </w:tcPr>
          <w:p w14:paraId="149BA059" w14:textId="77777777" w:rsidR="008764B9" w:rsidRPr="00E56F06" w:rsidRDefault="008764B9" w:rsidP="00E56F06">
            <w:pPr>
              <w:pStyle w:val="TableText"/>
              <w:rPr>
                <w:rFonts w:eastAsia="Calibri"/>
              </w:rPr>
            </w:pPr>
          </w:p>
        </w:tc>
        <w:tc>
          <w:tcPr>
            <w:tcW w:w="1526" w:type="dxa"/>
          </w:tcPr>
          <w:p w14:paraId="3163284F" w14:textId="77777777" w:rsidR="008764B9" w:rsidRPr="00E56F06" w:rsidRDefault="008764B9" w:rsidP="00E56F06">
            <w:pPr>
              <w:pStyle w:val="TableText"/>
              <w:rPr>
                <w:rFonts w:eastAsia="Calibri"/>
              </w:rPr>
            </w:pPr>
            <w:r w:rsidRPr="00E56F06">
              <w:rPr>
                <w:rFonts w:eastAsia="Calibri"/>
              </w:rPr>
              <w:t>Philippines</w:t>
            </w:r>
            <w:r>
              <w:rPr>
                <w:rFonts w:eastAsia="Calibri"/>
              </w:rPr>
              <w:t>:</w:t>
            </w:r>
            <w:r w:rsidRPr="00E56F06">
              <w:rPr>
                <w:rFonts w:eastAsia="Calibri"/>
              </w:rPr>
              <w:t xml:space="preserve"> Provincial Road Management Facility (PRMF)</w:t>
            </w:r>
          </w:p>
        </w:tc>
        <w:tc>
          <w:tcPr>
            <w:tcW w:w="2159" w:type="dxa"/>
          </w:tcPr>
          <w:p w14:paraId="440E3E75" w14:textId="77777777" w:rsidR="008764B9" w:rsidRPr="00E56F06" w:rsidRDefault="008764B9" w:rsidP="00E56F06">
            <w:pPr>
              <w:pStyle w:val="TableText"/>
              <w:rPr>
                <w:rFonts w:eastAsia="Calibri"/>
              </w:rPr>
            </w:pPr>
            <w:r w:rsidRPr="00E56F06">
              <w:rPr>
                <w:rFonts w:eastAsia="Calibri"/>
              </w:rPr>
              <w:t>Value: $100 million</w:t>
            </w:r>
          </w:p>
          <w:p w14:paraId="717EED96" w14:textId="77777777" w:rsidR="008764B9" w:rsidRPr="00E56F06" w:rsidRDefault="008764B9" w:rsidP="00E56F06">
            <w:pPr>
              <w:pStyle w:val="TableText"/>
              <w:rPr>
                <w:rFonts w:eastAsia="Calibri"/>
              </w:rPr>
            </w:pPr>
            <w:r w:rsidRPr="00E56F06">
              <w:rPr>
                <w:rFonts w:eastAsia="Calibri"/>
              </w:rPr>
              <w:t>Years: 2009</w:t>
            </w:r>
            <w:r>
              <w:rPr>
                <w:rFonts w:eastAsia="Calibri"/>
              </w:rPr>
              <w:t>–</w:t>
            </w:r>
            <w:r w:rsidRPr="00E56F06">
              <w:rPr>
                <w:rFonts w:eastAsia="Calibri"/>
              </w:rPr>
              <w:t>13</w:t>
            </w:r>
          </w:p>
          <w:p w14:paraId="2D6D8097" w14:textId="77777777" w:rsidR="008764B9" w:rsidRPr="00E56F06" w:rsidRDefault="008764B9" w:rsidP="00F857AD">
            <w:pPr>
              <w:pStyle w:val="TableText"/>
              <w:rPr>
                <w:rFonts w:eastAsia="Calibri"/>
              </w:rPr>
            </w:pPr>
            <w:r w:rsidRPr="00E56F06">
              <w:rPr>
                <w:rFonts w:eastAsia="Calibri"/>
              </w:rPr>
              <w:t xml:space="preserve">Goal: </w:t>
            </w:r>
            <w:r>
              <w:rPr>
                <w:rFonts w:eastAsia="Calibri"/>
              </w:rPr>
              <w:t>To i</w:t>
            </w:r>
            <w:r w:rsidRPr="00E56F06">
              <w:rPr>
                <w:rFonts w:eastAsia="Calibri"/>
              </w:rPr>
              <w:t>ncrease economic growth and improve public access to infrastructure and services in southern Philippines.</w:t>
            </w:r>
          </w:p>
        </w:tc>
        <w:tc>
          <w:tcPr>
            <w:tcW w:w="5103" w:type="dxa"/>
            <w:gridSpan w:val="2"/>
          </w:tcPr>
          <w:p w14:paraId="5CEAE650" w14:textId="77777777" w:rsidR="008764B9" w:rsidRPr="00E01B7D" w:rsidRDefault="008764B9" w:rsidP="00E56F06">
            <w:pPr>
              <w:pStyle w:val="TableText"/>
              <w:rPr>
                <w:rFonts w:eastAsia="Calibri"/>
              </w:rPr>
            </w:pPr>
            <w:r w:rsidRPr="00E01B7D">
              <w:rPr>
                <w:rFonts w:eastAsia="Calibri"/>
              </w:rPr>
              <w:t xml:space="preserve">The PRMF </w:t>
            </w:r>
            <w:r>
              <w:rPr>
                <w:rFonts w:eastAsia="Calibri"/>
              </w:rPr>
              <w:t>has</w:t>
            </w:r>
            <w:r w:rsidRPr="00E01B7D">
              <w:rPr>
                <w:rFonts w:eastAsia="Calibri"/>
              </w:rPr>
              <w:t xml:space="preserve"> two main components:</w:t>
            </w:r>
          </w:p>
          <w:p w14:paraId="3A927383" w14:textId="77777777" w:rsidR="008764B9" w:rsidRPr="00E01B7D" w:rsidRDefault="008764B9" w:rsidP="00E56F06">
            <w:pPr>
              <w:pStyle w:val="TableBullet"/>
            </w:pPr>
            <w:r w:rsidRPr="00E01B7D">
              <w:t>Capacity building for road sector planning and management</w:t>
            </w:r>
            <w:r>
              <w:t xml:space="preserve">: </w:t>
            </w:r>
            <w:r w:rsidRPr="00E01B7D">
              <w:t>with the intended intermediate outcome that provinces have institutional, financial, operational, planning and management capacity to develop and implement road sector plans in support of broad-based sustainable social and economic development.</w:t>
            </w:r>
          </w:p>
          <w:p w14:paraId="1F664A60" w14:textId="77777777" w:rsidR="008764B9" w:rsidRPr="00E01B7D" w:rsidRDefault="008764B9" w:rsidP="001563C1">
            <w:pPr>
              <w:pStyle w:val="TableBullet"/>
            </w:pPr>
            <w:r w:rsidRPr="00E01B7D">
              <w:t>Road network rehabilitation and maintenance</w:t>
            </w:r>
            <w:r>
              <w:t>:</w:t>
            </w:r>
            <w:r w:rsidRPr="00E01B7D">
              <w:t xml:space="preserve"> with the intended intermediate outcome that provincial roads are being rehabilitated and sustainably maintained on an annual basis.</w:t>
            </w:r>
          </w:p>
        </w:tc>
      </w:tr>
      <w:tr w:rsidR="008764B9" w14:paraId="153234B1" w14:textId="77777777" w:rsidTr="00801AFD">
        <w:tc>
          <w:tcPr>
            <w:tcW w:w="1418" w:type="dxa"/>
            <w:vMerge/>
          </w:tcPr>
          <w:p w14:paraId="5B63C3A6" w14:textId="77777777" w:rsidR="008764B9" w:rsidRPr="00E56F06" w:rsidRDefault="008764B9" w:rsidP="00E56F06">
            <w:pPr>
              <w:pStyle w:val="TableText"/>
              <w:rPr>
                <w:rFonts w:eastAsia="Calibri"/>
              </w:rPr>
            </w:pPr>
          </w:p>
        </w:tc>
        <w:tc>
          <w:tcPr>
            <w:tcW w:w="1526" w:type="dxa"/>
          </w:tcPr>
          <w:p w14:paraId="1D55AD3F" w14:textId="77777777" w:rsidR="008764B9" w:rsidRPr="00E56F06" w:rsidRDefault="008764B9" w:rsidP="00E56F06">
            <w:pPr>
              <w:pStyle w:val="TableText"/>
              <w:rPr>
                <w:rFonts w:eastAsia="Calibri"/>
              </w:rPr>
            </w:pPr>
            <w:r w:rsidRPr="00E56F06">
              <w:rPr>
                <w:rFonts w:eastAsia="Calibri"/>
              </w:rPr>
              <w:t>PNG</w:t>
            </w:r>
            <w:r>
              <w:rPr>
                <w:rFonts w:eastAsia="Calibri"/>
              </w:rPr>
              <w:t>:</w:t>
            </w:r>
            <w:r w:rsidRPr="00E56F06">
              <w:rPr>
                <w:rFonts w:eastAsia="Calibri"/>
              </w:rPr>
              <w:t xml:space="preserve"> Transport Sector Support Program Concept Design Document</w:t>
            </w:r>
          </w:p>
        </w:tc>
        <w:tc>
          <w:tcPr>
            <w:tcW w:w="2159" w:type="dxa"/>
          </w:tcPr>
          <w:p w14:paraId="7AE3F99D" w14:textId="77777777" w:rsidR="008764B9" w:rsidRPr="00E56F06" w:rsidRDefault="008764B9" w:rsidP="00E56F06">
            <w:pPr>
              <w:pStyle w:val="TableText"/>
              <w:rPr>
                <w:rFonts w:eastAsia="Calibri"/>
              </w:rPr>
            </w:pPr>
            <w:r w:rsidRPr="00E56F06">
              <w:rPr>
                <w:rFonts w:eastAsia="Calibri"/>
              </w:rPr>
              <w:t>Value: Not specified</w:t>
            </w:r>
            <w:r w:rsidRPr="00801AFD">
              <w:rPr>
                <w:rFonts w:eastAsia="Calibri"/>
                <w:vertAlign w:val="superscript"/>
              </w:rPr>
              <w:footnoteReference w:id="57"/>
            </w:r>
          </w:p>
          <w:p w14:paraId="16EBF0ED" w14:textId="77777777" w:rsidR="008764B9" w:rsidRPr="00E56F06" w:rsidRDefault="008764B9" w:rsidP="00E56F06">
            <w:pPr>
              <w:pStyle w:val="TableText"/>
              <w:rPr>
                <w:rFonts w:eastAsia="Calibri"/>
              </w:rPr>
            </w:pPr>
            <w:r w:rsidRPr="00E56F06">
              <w:rPr>
                <w:rFonts w:eastAsia="Calibri"/>
              </w:rPr>
              <w:t>Years: 2006</w:t>
            </w:r>
            <w:r>
              <w:rPr>
                <w:rFonts w:eastAsia="Calibri"/>
              </w:rPr>
              <w:t>–</w:t>
            </w:r>
            <w:r w:rsidRPr="00E56F06">
              <w:rPr>
                <w:rFonts w:eastAsia="Calibri"/>
              </w:rPr>
              <w:t>11</w:t>
            </w:r>
          </w:p>
          <w:p w14:paraId="7486755B" w14:textId="77777777" w:rsidR="008764B9" w:rsidRPr="00E56F06" w:rsidRDefault="008764B9" w:rsidP="00E56F06">
            <w:pPr>
              <w:pStyle w:val="TableText"/>
              <w:rPr>
                <w:rFonts w:eastAsia="Calibri"/>
              </w:rPr>
            </w:pPr>
            <w:r w:rsidRPr="00E56F06">
              <w:rPr>
                <w:rFonts w:eastAsia="Calibri"/>
              </w:rPr>
              <w:t>Goal: To contribute to improved governance and performance in PNG</w:t>
            </w:r>
            <w:r>
              <w:rPr>
                <w:rFonts w:eastAsia="Calibri"/>
              </w:rPr>
              <w:t xml:space="preserve"> Government</w:t>
            </w:r>
            <w:r w:rsidRPr="00E56F06">
              <w:rPr>
                <w:rFonts w:eastAsia="Calibri"/>
              </w:rPr>
              <w:t>’s delivery of transport infrastructure services in support of broad</w:t>
            </w:r>
            <w:r>
              <w:rPr>
                <w:rFonts w:eastAsia="Calibri"/>
              </w:rPr>
              <w:t>-based</w:t>
            </w:r>
            <w:r w:rsidRPr="00E56F06">
              <w:rPr>
                <w:rFonts w:eastAsia="Calibri"/>
              </w:rPr>
              <w:t xml:space="preserve"> economic growth through a flexible and responsive program of activities in a manner that fosters transition from external to internal funding</w:t>
            </w:r>
            <w:r>
              <w:rPr>
                <w:rFonts w:eastAsia="Calibri"/>
              </w:rPr>
              <w:t>.</w:t>
            </w:r>
          </w:p>
        </w:tc>
        <w:tc>
          <w:tcPr>
            <w:tcW w:w="5103" w:type="dxa"/>
            <w:gridSpan w:val="2"/>
          </w:tcPr>
          <w:p w14:paraId="65512C47" w14:textId="19A10384" w:rsidR="008764B9" w:rsidRPr="00E01B7D" w:rsidRDefault="008764B9" w:rsidP="00E56F06">
            <w:pPr>
              <w:pStyle w:val="TableText"/>
              <w:rPr>
                <w:rFonts w:eastAsia="Calibri"/>
              </w:rPr>
            </w:pPr>
            <w:r w:rsidRPr="00E01B7D">
              <w:rPr>
                <w:rFonts w:eastAsia="Calibri"/>
              </w:rPr>
              <w:t>This initiative would be achieved through 4</w:t>
            </w:r>
            <w:r w:rsidR="00F72149">
              <w:rPr>
                <w:rFonts w:eastAsia="Calibri"/>
              </w:rPr>
              <w:t> </w:t>
            </w:r>
            <w:r w:rsidRPr="00E01B7D">
              <w:rPr>
                <w:rFonts w:eastAsia="Calibri"/>
              </w:rPr>
              <w:t>components:</w:t>
            </w:r>
          </w:p>
          <w:p w14:paraId="761C8252" w14:textId="77777777" w:rsidR="008764B9" w:rsidRPr="00E01B7D" w:rsidRDefault="008764B9" w:rsidP="00E56F06">
            <w:pPr>
              <w:pStyle w:val="TableBullet"/>
            </w:pPr>
            <w:r w:rsidRPr="00E01B7D">
              <w:t>Line agency public sector reform and governance: To support operational reform in the transport sector agencies through improved public administration and sector coordination</w:t>
            </w:r>
          </w:p>
          <w:p w14:paraId="3EC07E86" w14:textId="77777777" w:rsidR="008764B9" w:rsidRPr="00E01B7D" w:rsidRDefault="008764B9" w:rsidP="00E56F06">
            <w:pPr>
              <w:pStyle w:val="TableBullet"/>
            </w:pPr>
            <w:r w:rsidRPr="00E01B7D">
              <w:t>Strengthen</w:t>
            </w:r>
            <w:r>
              <w:t>ed</w:t>
            </w:r>
            <w:r w:rsidRPr="00E01B7D">
              <w:t xml:space="preserve"> central agency support: To strengthen linkages between the transport sector agencies and central agencies so that service delivery and reform programs are actively supported</w:t>
            </w:r>
          </w:p>
          <w:p w14:paraId="79C2A288" w14:textId="77777777" w:rsidR="008764B9" w:rsidRPr="00E01B7D" w:rsidRDefault="008764B9" w:rsidP="00E56F06">
            <w:pPr>
              <w:pStyle w:val="TableBullet"/>
            </w:pPr>
            <w:r w:rsidRPr="00E01B7D">
              <w:t>Provincial transport services: To support improved performance of provincial, district and local</w:t>
            </w:r>
            <w:r>
              <w:t>-level</w:t>
            </w:r>
            <w:r w:rsidRPr="00E01B7D">
              <w:t xml:space="preserve"> governments to deliver transport services in selected locations</w:t>
            </w:r>
          </w:p>
          <w:p w14:paraId="3AE24307" w14:textId="77777777" w:rsidR="008764B9" w:rsidRPr="00E01B7D" w:rsidRDefault="008764B9" w:rsidP="00E56F06">
            <w:pPr>
              <w:pStyle w:val="TableBullet"/>
            </w:pPr>
            <w:r w:rsidRPr="00E01B7D">
              <w:t>Prioritised transport asset maintenance: To support delivery of an affordable, contestable and prioritised national transport network.</w:t>
            </w:r>
          </w:p>
        </w:tc>
      </w:tr>
    </w:tbl>
    <w:p w14:paraId="421C3947" w14:textId="77777777" w:rsidR="00AF6A11" w:rsidRDefault="00AF6A11" w:rsidP="00E56F06">
      <w:pPr>
        <w:rPr>
          <w:noProof/>
        </w:rPr>
      </w:pPr>
    </w:p>
    <w:p w14:paraId="4FCE1D80" w14:textId="77777777" w:rsidR="00AF6A11" w:rsidRDefault="00AF6A11" w:rsidP="00E56F06">
      <w:pPr>
        <w:pStyle w:val="TableName"/>
      </w:pPr>
      <w:bookmarkStart w:id="523" w:name="_Ref371453406"/>
      <w:r>
        <w:t xml:space="preserve">Table </w:t>
      </w:r>
      <w:bookmarkEnd w:id="523"/>
      <w:r>
        <w:t>A3</w:t>
      </w:r>
      <w:r>
        <w:tab/>
        <w:t>Sample initiatives for review of evaluations</w:t>
      </w:r>
    </w:p>
    <w:tbl>
      <w:tblPr>
        <w:tblStyle w:val="TableGrid"/>
        <w:tblW w:w="9747" w:type="dxa"/>
        <w:tblLayout w:type="fixed"/>
        <w:tblLook w:val="04A0" w:firstRow="1" w:lastRow="0" w:firstColumn="1" w:lastColumn="0" w:noHBand="0" w:noVBand="1"/>
      </w:tblPr>
      <w:tblGrid>
        <w:gridCol w:w="1323"/>
        <w:gridCol w:w="1323"/>
        <w:gridCol w:w="2991"/>
        <w:gridCol w:w="4110"/>
      </w:tblGrid>
      <w:tr w:rsidR="008764B9" w14:paraId="77E6195D" w14:textId="77777777" w:rsidTr="00801AFD">
        <w:trPr>
          <w:cnfStyle w:val="100000000000" w:firstRow="1" w:lastRow="0" w:firstColumn="0" w:lastColumn="0" w:oddVBand="0" w:evenVBand="0" w:oddHBand="0" w:evenHBand="0" w:firstRowFirstColumn="0" w:firstRowLastColumn="0" w:lastRowFirstColumn="0" w:lastRowLastColumn="0"/>
        </w:trPr>
        <w:tc>
          <w:tcPr>
            <w:tcW w:w="1323" w:type="dxa"/>
          </w:tcPr>
          <w:p w14:paraId="314EA6FF" w14:textId="77777777" w:rsidR="008764B9" w:rsidRPr="00047BBA" w:rsidRDefault="008764B9" w:rsidP="008764B9">
            <w:pPr>
              <w:pStyle w:val="TableHeading"/>
              <w:rPr>
                <w:rFonts w:eastAsia="Calibri"/>
                <w:sz w:val="18"/>
                <w:szCs w:val="18"/>
              </w:rPr>
            </w:pPr>
            <w:r w:rsidRPr="00047BBA">
              <w:rPr>
                <w:rFonts w:eastAsia="Calibri"/>
                <w:sz w:val="18"/>
                <w:szCs w:val="18"/>
              </w:rPr>
              <w:t>Sector</w:t>
            </w:r>
          </w:p>
        </w:tc>
        <w:tc>
          <w:tcPr>
            <w:tcW w:w="1323" w:type="dxa"/>
          </w:tcPr>
          <w:p w14:paraId="316942E7" w14:textId="77777777" w:rsidR="008764B9" w:rsidRPr="00047BBA" w:rsidRDefault="008764B9" w:rsidP="008764B9">
            <w:pPr>
              <w:pStyle w:val="TableHeading"/>
              <w:rPr>
                <w:rFonts w:eastAsia="Calibri"/>
                <w:sz w:val="18"/>
                <w:szCs w:val="18"/>
              </w:rPr>
            </w:pPr>
            <w:r w:rsidRPr="00047BBA">
              <w:rPr>
                <w:rFonts w:eastAsia="Calibri"/>
                <w:sz w:val="18"/>
                <w:szCs w:val="18"/>
              </w:rPr>
              <w:t>Country: evaluation</w:t>
            </w:r>
          </w:p>
        </w:tc>
        <w:tc>
          <w:tcPr>
            <w:tcW w:w="2991" w:type="dxa"/>
          </w:tcPr>
          <w:p w14:paraId="2E386F96" w14:textId="77777777" w:rsidR="008764B9" w:rsidRPr="00047BBA" w:rsidRDefault="008764B9" w:rsidP="008764B9">
            <w:pPr>
              <w:pStyle w:val="TableHeading"/>
              <w:rPr>
                <w:rFonts w:eastAsia="Calibri"/>
                <w:sz w:val="18"/>
                <w:szCs w:val="18"/>
              </w:rPr>
            </w:pPr>
            <w:r w:rsidRPr="00047BBA">
              <w:rPr>
                <w:rFonts w:eastAsia="Calibri"/>
                <w:sz w:val="18"/>
                <w:szCs w:val="18"/>
              </w:rPr>
              <w:t>Initiative value, years and goal</w:t>
            </w:r>
          </w:p>
        </w:tc>
        <w:tc>
          <w:tcPr>
            <w:tcW w:w="4110" w:type="dxa"/>
          </w:tcPr>
          <w:p w14:paraId="461D94E6" w14:textId="77777777" w:rsidR="008764B9" w:rsidRPr="00047BBA" w:rsidRDefault="008764B9" w:rsidP="008764B9">
            <w:pPr>
              <w:pStyle w:val="TableHeading"/>
              <w:rPr>
                <w:rFonts w:eastAsia="Calibri"/>
                <w:sz w:val="18"/>
                <w:szCs w:val="18"/>
              </w:rPr>
            </w:pPr>
            <w:r w:rsidRPr="00047BBA">
              <w:rPr>
                <w:rFonts w:eastAsia="Calibri"/>
                <w:sz w:val="18"/>
                <w:szCs w:val="18"/>
              </w:rPr>
              <w:t xml:space="preserve">Initiative description </w:t>
            </w:r>
          </w:p>
        </w:tc>
      </w:tr>
      <w:tr w:rsidR="008764B9" w14:paraId="50D59369" w14:textId="77777777" w:rsidTr="00801AFD">
        <w:tc>
          <w:tcPr>
            <w:tcW w:w="1323" w:type="dxa"/>
          </w:tcPr>
          <w:p w14:paraId="5167EE82" w14:textId="77777777" w:rsidR="008764B9" w:rsidRPr="00C615DC" w:rsidRDefault="008764B9" w:rsidP="00C615DC">
            <w:pPr>
              <w:pStyle w:val="TableText"/>
              <w:rPr>
                <w:rFonts w:eastAsia="Calibri"/>
                <w:b/>
                <w:bCs/>
                <w:szCs w:val="22"/>
              </w:rPr>
            </w:pPr>
            <w:r w:rsidRPr="00C615DC">
              <w:rPr>
                <w:b/>
                <w:bCs/>
              </w:rPr>
              <w:t>Education</w:t>
            </w:r>
          </w:p>
        </w:tc>
        <w:tc>
          <w:tcPr>
            <w:tcW w:w="1323" w:type="dxa"/>
          </w:tcPr>
          <w:p w14:paraId="1B35D675" w14:textId="77777777" w:rsidR="008764B9" w:rsidRPr="00E01B7D" w:rsidRDefault="008764B9" w:rsidP="00C615DC">
            <w:pPr>
              <w:pStyle w:val="TableText"/>
              <w:rPr>
                <w:rFonts w:ascii="Calibri" w:eastAsia="Calibri" w:hAnsi="Calibri"/>
                <w:sz w:val="18"/>
                <w:szCs w:val="22"/>
              </w:rPr>
            </w:pPr>
            <w:r w:rsidRPr="00E01B7D">
              <w:rPr>
                <w:rFonts w:eastAsia="Calibri"/>
              </w:rPr>
              <w:t>Indonesia</w:t>
            </w:r>
            <w:r>
              <w:rPr>
                <w:rFonts w:eastAsia="Calibri"/>
              </w:rPr>
              <w:t>:</w:t>
            </w:r>
            <w:r w:rsidRPr="00E01B7D">
              <w:rPr>
                <w:rFonts w:ascii="Calibri" w:eastAsia="Calibri" w:hAnsi="Calibri"/>
                <w:sz w:val="18"/>
                <w:szCs w:val="22"/>
              </w:rPr>
              <w:t xml:space="preserve"> Australia</w:t>
            </w:r>
            <w:r>
              <w:rPr>
                <w:rFonts w:ascii="Calibri" w:eastAsia="Calibri" w:hAnsi="Calibri"/>
                <w:sz w:val="18"/>
                <w:szCs w:val="22"/>
              </w:rPr>
              <w:t>–Indonesia</w:t>
            </w:r>
            <w:r w:rsidRPr="00E01B7D">
              <w:rPr>
                <w:rFonts w:ascii="Calibri" w:eastAsia="Calibri" w:hAnsi="Calibri"/>
                <w:sz w:val="18"/>
                <w:szCs w:val="22"/>
              </w:rPr>
              <w:t xml:space="preserve"> Basic Education Program (AIBEP) </w:t>
            </w:r>
          </w:p>
        </w:tc>
        <w:tc>
          <w:tcPr>
            <w:tcW w:w="2991" w:type="dxa"/>
          </w:tcPr>
          <w:p w14:paraId="7B710930" w14:textId="77777777" w:rsidR="008764B9" w:rsidRPr="00E01B7D" w:rsidRDefault="008764B9">
            <w:pPr>
              <w:pStyle w:val="TableText"/>
              <w:rPr>
                <w:rFonts w:eastAsia="Calibri"/>
              </w:rPr>
            </w:pPr>
            <w:r w:rsidRPr="00E01B7D">
              <w:rPr>
                <w:rFonts w:eastAsia="Calibri"/>
              </w:rPr>
              <w:t xml:space="preserve">Value: $387.6 million ($200 million </w:t>
            </w:r>
            <w:r>
              <w:rPr>
                <w:rFonts w:eastAsia="Calibri"/>
              </w:rPr>
              <w:t>l</w:t>
            </w:r>
            <w:r w:rsidRPr="00E01B7D">
              <w:rPr>
                <w:rFonts w:eastAsia="Calibri"/>
              </w:rPr>
              <w:t>oan. $187.6 million Grants)</w:t>
            </w:r>
          </w:p>
          <w:p w14:paraId="3A7A699A" w14:textId="77777777" w:rsidR="008764B9" w:rsidRPr="00E01B7D" w:rsidRDefault="008764B9">
            <w:pPr>
              <w:pStyle w:val="TableText"/>
              <w:rPr>
                <w:rFonts w:eastAsia="Calibri"/>
              </w:rPr>
            </w:pPr>
            <w:r w:rsidRPr="00E01B7D">
              <w:rPr>
                <w:rFonts w:eastAsia="Calibri"/>
              </w:rPr>
              <w:t>Years:2006</w:t>
            </w:r>
            <w:r>
              <w:rPr>
                <w:rFonts w:eastAsia="Calibri"/>
              </w:rPr>
              <w:t>–</w:t>
            </w:r>
            <w:r w:rsidRPr="00E01B7D">
              <w:rPr>
                <w:rFonts w:eastAsia="Calibri"/>
              </w:rPr>
              <w:t xml:space="preserve">10 </w:t>
            </w:r>
          </w:p>
          <w:p w14:paraId="053219D5" w14:textId="105B4C2E" w:rsidR="008764B9" w:rsidRPr="00E01B7D" w:rsidRDefault="008764B9" w:rsidP="00F72149">
            <w:pPr>
              <w:pStyle w:val="TableText"/>
              <w:rPr>
                <w:rFonts w:eastAsia="Calibri"/>
              </w:rPr>
            </w:pPr>
            <w:r w:rsidRPr="00E01B7D">
              <w:rPr>
                <w:rFonts w:eastAsia="Calibri"/>
              </w:rPr>
              <w:t xml:space="preserve">Goal: </w:t>
            </w:r>
            <w:r>
              <w:rPr>
                <w:rFonts w:eastAsia="Calibri"/>
              </w:rPr>
              <w:t>T</w:t>
            </w:r>
            <w:r w:rsidRPr="00E01B7D">
              <w:rPr>
                <w:rFonts w:eastAsia="Calibri"/>
              </w:rPr>
              <w:t xml:space="preserve">o support the </w:t>
            </w:r>
            <w:r w:rsidR="00F72149" w:rsidRPr="00E01B7D">
              <w:rPr>
                <w:rFonts w:eastAsia="Calibri"/>
              </w:rPr>
              <w:t>Indonesia</w:t>
            </w:r>
            <w:r w:rsidR="00F72149">
              <w:rPr>
                <w:rFonts w:eastAsia="Calibri"/>
              </w:rPr>
              <w:t>n</w:t>
            </w:r>
            <w:r w:rsidR="00F72149" w:rsidRPr="00E01B7D">
              <w:rPr>
                <w:rFonts w:eastAsia="Calibri"/>
              </w:rPr>
              <w:t xml:space="preserve"> </w:t>
            </w:r>
            <w:r w:rsidRPr="00E01B7D">
              <w:rPr>
                <w:rFonts w:eastAsia="Calibri"/>
              </w:rPr>
              <w:t>Government in improving equitable access to</w:t>
            </w:r>
            <w:r>
              <w:rPr>
                <w:rFonts w:eastAsia="Calibri"/>
              </w:rPr>
              <w:t xml:space="preserve"> </w:t>
            </w:r>
            <w:r w:rsidRPr="00E01B7D">
              <w:rPr>
                <w:rFonts w:eastAsia="Calibri"/>
              </w:rPr>
              <w:t>higher quality and better governed basic education services in the targeted, disadvantaged areas</w:t>
            </w:r>
            <w:r>
              <w:rPr>
                <w:rFonts w:eastAsia="Calibri"/>
              </w:rPr>
              <w:t>.</w:t>
            </w:r>
          </w:p>
        </w:tc>
        <w:tc>
          <w:tcPr>
            <w:tcW w:w="4110" w:type="dxa"/>
          </w:tcPr>
          <w:p w14:paraId="6E15AE88" w14:textId="77777777" w:rsidR="008764B9" w:rsidRPr="00E01B7D" w:rsidRDefault="008764B9">
            <w:pPr>
              <w:pStyle w:val="TableText"/>
              <w:rPr>
                <w:rFonts w:eastAsia="Calibri"/>
              </w:rPr>
            </w:pPr>
            <w:r w:rsidRPr="00E01B7D">
              <w:rPr>
                <w:rFonts w:eastAsia="Calibri"/>
              </w:rPr>
              <w:t xml:space="preserve">AIBEP comprised a loan and grant for expansion of access; and grant financed training and capacity development. </w:t>
            </w:r>
          </w:p>
        </w:tc>
      </w:tr>
      <w:tr w:rsidR="008764B9" w14:paraId="0E6C0CF3" w14:textId="77777777" w:rsidTr="00801AFD">
        <w:tc>
          <w:tcPr>
            <w:tcW w:w="1323" w:type="dxa"/>
          </w:tcPr>
          <w:p w14:paraId="2C8514AA" w14:textId="77777777" w:rsidR="008764B9" w:rsidRPr="00C615DC" w:rsidRDefault="008764B9" w:rsidP="008764B9">
            <w:pPr>
              <w:pStyle w:val="TableText"/>
              <w:rPr>
                <w:rFonts w:eastAsia="Calibri"/>
                <w:b/>
                <w:bCs/>
              </w:rPr>
            </w:pPr>
          </w:p>
        </w:tc>
        <w:tc>
          <w:tcPr>
            <w:tcW w:w="1323" w:type="dxa"/>
          </w:tcPr>
          <w:p w14:paraId="0876785B" w14:textId="77777777" w:rsidR="008764B9" w:rsidRPr="00E01B7D" w:rsidRDefault="008764B9" w:rsidP="008764B9">
            <w:pPr>
              <w:pStyle w:val="TableText"/>
              <w:rPr>
                <w:rFonts w:eastAsia="Calibri"/>
              </w:rPr>
            </w:pPr>
            <w:r w:rsidRPr="00E01B7D">
              <w:rPr>
                <w:rFonts w:eastAsia="Calibri"/>
              </w:rPr>
              <w:t>Bangladesh</w:t>
            </w:r>
            <w:r>
              <w:rPr>
                <w:rFonts w:eastAsia="Calibri"/>
              </w:rPr>
              <w:t>:</w:t>
            </w:r>
            <w:r w:rsidRPr="00E01B7D">
              <w:rPr>
                <w:rFonts w:eastAsia="Calibri"/>
              </w:rPr>
              <w:t xml:space="preserve"> Support to BRAC Education Program </w:t>
            </w:r>
            <w:r>
              <w:rPr>
                <w:rFonts w:eastAsia="Calibri"/>
              </w:rPr>
              <w:t>(BEP)</w:t>
            </w:r>
          </w:p>
        </w:tc>
        <w:tc>
          <w:tcPr>
            <w:tcW w:w="2991" w:type="dxa"/>
          </w:tcPr>
          <w:p w14:paraId="43F3F02F" w14:textId="77777777" w:rsidR="008764B9" w:rsidRPr="00E01B7D" w:rsidRDefault="008764B9" w:rsidP="00E56F06">
            <w:pPr>
              <w:pStyle w:val="TableText"/>
              <w:rPr>
                <w:rFonts w:eastAsia="Calibri"/>
              </w:rPr>
            </w:pPr>
            <w:r w:rsidRPr="00E01B7D">
              <w:rPr>
                <w:rFonts w:eastAsia="Calibri"/>
              </w:rPr>
              <w:t>Value: $39,165,497</w:t>
            </w:r>
          </w:p>
          <w:p w14:paraId="00520C9A" w14:textId="77777777" w:rsidR="008764B9" w:rsidRPr="00E01B7D" w:rsidRDefault="008764B9" w:rsidP="00E56F06">
            <w:pPr>
              <w:pStyle w:val="TableText"/>
              <w:rPr>
                <w:rFonts w:eastAsia="Calibri"/>
              </w:rPr>
            </w:pPr>
            <w:r w:rsidRPr="00E01B7D">
              <w:rPr>
                <w:rFonts w:eastAsia="Calibri"/>
              </w:rPr>
              <w:t>Years: 2007</w:t>
            </w:r>
            <w:r>
              <w:rPr>
                <w:rFonts w:eastAsia="Calibri"/>
              </w:rPr>
              <w:t>–</w:t>
            </w:r>
            <w:r w:rsidRPr="00E01B7D">
              <w:rPr>
                <w:rFonts w:eastAsia="Calibri"/>
              </w:rPr>
              <w:t>11</w:t>
            </w:r>
          </w:p>
          <w:p w14:paraId="66BA1508" w14:textId="77777777" w:rsidR="008764B9" w:rsidRPr="00E01B7D" w:rsidRDefault="008764B9" w:rsidP="00E56F06">
            <w:pPr>
              <w:pStyle w:val="TableText"/>
              <w:rPr>
                <w:rFonts w:eastAsia="Calibri"/>
              </w:rPr>
            </w:pPr>
            <w:r w:rsidRPr="00E01B7D">
              <w:rPr>
                <w:rFonts w:eastAsia="Calibri"/>
              </w:rPr>
              <w:t>Goal: To make a significant contribution to the achievement of education for all in Bangladesh</w:t>
            </w:r>
            <w:r>
              <w:rPr>
                <w:rFonts w:eastAsia="Calibri"/>
              </w:rPr>
              <w:t>.</w:t>
            </w:r>
          </w:p>
        </w:tc>
        <w:tc>
          <w:tcPr>
            <w:tcW w:w="4110" w:type="dxa"/>
          </w:tcPr>
          <w:p w14:paraId="0BC5D0BE" w14:textId="77777777" w:rsidR="008764B9" w:rsidRDefault="008764B9" w:rsidP="00F857AD">
            <w:pPr>
              <w:pStyle w:val="TableText"/>
              <w:rPr>
                <w:rFonts w:eastAsia="Calibri"/>
              </w:rPr>
            </w:pPr>
            <w:r w:rsidRPr="00E01B7D">
              <w:rPr>
                <w:rFonts w:eastAsia="Calibri"/>
              </w:rPr>
              <w:t>BRAC’s Education Program includes a wide-reaching range of components, interventions and innovations. These include non-formal primary education (some of it implemented through over 500 partner NGOs), pre-primary education, a small number of BRAC</w:t>
            </w:r>
            <w:r>
              <w:rPr>
                <w:rFonts w:eastAsia="Calibri"/>
              </w:rPr>
              <w:t>-</w:t>
            </w:r>
            <w:r w:rsidRPr="00E01B7D">
              <w:rPr>
                <w:rFonts w:eastAsia="Calibri"/>
              </w:rPr>
              <w:t xml:space="preserve">run formal primary schools, a program of support to secondary education, an adolescent development programme and community learning centres. </w:t>
            </w:r>
          </w:p>
          <w:p w14:paraId="3EE5BC0D" w14:textId="4AC6BB8B" w:rsidR="008764B9" w:rsidRPr="00E01B7D" w:rsidRDefault="008764B9" w:rsidP="00F72149">
            <w:pPr>
              <w:pStyle w:val="TableText"/>
              <w:rPr>
                <w:rFonts w:eastAsia="Calibri"/>
              </w:rPr>
            </w:pPr>
            <w:r w:rsidRPr="00E01B7D">
              <w:rPr>
                <w:rFonts w:eastAsia="Calibri"/>
              </w:rPr>
              <w:t xml:space="preserve">The BEP is recognised in the </w:t>
            </w:r>
            <w:r w:rsidR="00F72149" w:rsidRPr="00E01B7D">
              <w:rPr>
                <w:rFonts w:eastAsia="Calibri"/>
              </w:rPr>
              <w:t xml:space="preserve">Bangladesh </w:t>
            </w:r>
            <w:r w:rsidRPr="00E01B7D">
              <w:rPr>
                <w:rFonts w:eastAsia="Calibri"/>
              </w:rPr>
              <w:t>Government</w:t>
            </w:r>
            <w:r w:rsidR="00F72149">
              <w:rPr>
                <w:rFonts w:eastAsia="Calibri"/>
              </w:rPr>
              <w:t xml:space="preserve">’s </w:t>
            </w:r>
            <w:r w:rsidRPr="00E01B7D">
              <w:rPr>
                <w:rFonts w:eastAsia="Calibri"/>
              </w:rPr>
              <w:t>Sixth Five-Year Plan 2010</w:t>
            </w:r>
            <w:r>
              <w:rPr>
                <w:rFonts w:eastAsia="Calibri"/>
              </w:rPr>
              <w:t>–</w:t>
            </w:r>
            <w:r w:rsidRPr="00E01B7D">
              <w:rPr>
                <w:rFonts w:eastAsia="Calibri"/>
              </w:rPr>
              <w:t xml:space="preserve">15. </w:t>
            </w:r>
          </w:p>
        </w:tc>
      </w:tr>
      <w:tr w:rsidR="008764B9" w14:paraId="49E4EE23" w14:textId="77777777" w:rsidTr="00801AFD">
        <w:tc>
          <w:tcPr>
            <w:tcW w:w="1323" w:type="dxa"/>
          </w:tcPr>
          <w:p w14:paraId="62399207" w14:textId="77777777" w:rsidR="008764B9" w:rsidRPr="00C615DC" w:rsidRDefault="008764B9" w:rsidP="008764B9">
            <w:pPr>
              <w:pStyle w:val="TableText"/>
              <w:rPr>
                <w:rFonts w:eastAsia="Calibri"/>
                <w:b/>
                <w:bCs/>
              </w:rPr>
            </w:pPr>
          </w:p>
        </w:tc>
        <w:tc>
          <w:tcPr>
            <w:tcW w:w="1323" w:type="dxa"/>
          </w:tcPr>
          <w:p w14:paraId="55A408E2" w14:textId="77777777" w:rsidR="008764B9" w:rsidRPr="00E01B7D" w:rsidRDefault="008764B9" w:rsidP="00F857AD">
            <w:pPr>
              <w:pStyle w:val="TableText"/>
              <w:rPr>
                <w:rFonts w:eastAsia="Calibri"/>
              </w:rPr>
            </w:pPr>
            <w:r w:rsidRPr="00E01B7D">
              <w:rPr>
                <w:rFonts w:eastAsia="Calibri"/>
              </w:rPr>
              <w:t>Philippines</w:t>
            </w:r>
            <w:r>
              <w:rPr>
                <w:rFonts w:eastAsia="Calibri"/>
              </w:rPr>
              <w:t>:</w:t>
            </w:r>
            <w:r w:rsidRPr="00E01B7D">
              <w:rPr>
                <w:rFonts w:eastAsia="Calibri"/>
              </w:rPr>
              <w:t xml:space="preserve"> Strengthening the Implementation of Basic Education in Selected Provinces in the Visayas </w:t>
            </w:r>
            <w:r>
              <w:rPr>
                <w:rFonts w:eastAsia="Calibri"/>
              </w:rPr>
              <w:t>(</w:t>
            </w:r>
            <w:r w:rsidRPr="00E01B7D">
              <w:rPr>
                <w:rFonts w:eastAsia="Calibri"/>
              </w:rPr>
              <w:t>STRIVE</w:t>
            </w:r>
            <w:r>
              <w:rPr>
                <w:rFonts w:eastAsia="Calibri"/>
              </w:rPr>
              <w:t>)</w:t>
            </w:r>
            <w:r w:rsidRPr="00E01B7D">
              <w:rPr>
                <w:rFonts w:eastAsia="Calibri"/>
              </w:rPr>
              <w:t xml:space="preserve"> </w:t>
            </w:r>
          </w:p>
        </w:tc>
        <w:tc>
          <w:tcPr>
            <w:tcW w:w="2991" w:type="dxa"/>
          </w:tcPr>
          <w:p w14:paraId="10F5A6FD" w14:textId="77777777" w:rsidR="008764B9" w:rsidRPr="00E01B7D" w:rsidRDefault="008764B9" w:rsidP="00E56F06">
            <w:pPr>
              <w:pStyle w:val="TableText"/>
              <w:rPr>
                <w:rFonts w:eastAsia="Calibri"/>
              </w:rPr>
            </w:pPr>
            <w:r w:rsidRPr="00E01B7D">
              <w:rPr>
                <w:rFonts w:eastAsia="Calibri"/>
              </w:rPr>
              <w:t>Value: $20.3 million</w:t>
            </w:r>
          </w:p>
          <w:p w14:paraId="3B13E611" w14:textId="77777777" w:rsidR="008764B9" w:rsidRPr="00E01B7D" w:rsidRDefault="008764B9" w:rsidP="00E56F06">
            <w:pPr>
              <w:pStyle w:val="TableText"/>
              <w:rPr>
                <w:rFonts w:eastAsia="Calibri"/>
              </w:rPr>
            </w:pPr>
            <w:r w:rsidRPr="00E01B7D">
              <w:rPr>
                <w:rFonts w:eastAsia="Calibri"/>
              </w:rPr>
              <w:t>Years: 2005</w:t>
            </w:r>
            <w:r>
              <w:rPr>
                <w:rFonts w:eastAsia="Calibri"/>
              </w:rPr>
              <w:t>–</w:t>
            </w:r>
            <w:r w:rsidRPr="00E01B7D">
              <w:rPr>
                <w:rFonts w:eastAsia="Calibri"/>
              </w:rPr>
              <w:t>07</w:t>
            </w:r>
          </w:p>
          <w:p w14:paraId="056DEFD3" w14:textId="77777777" w:rsidR="008764B9" w:rsidRPr="00E01B7D" w:rsidRDefault="008764B9" w:rsidP="00F857AD">
            <w:pPr>
              <w:pStyle w:val="TableText"/>
              <w:rPr>
                <w:rFonts w:eastAsia="Calibri"/>
              </w:rPr>
            </w:pPr>
            <w:r w:rsidRPr="00E01B7D">
              <w:rPr>
                <w:rFonts w:eastAsia="Calibri"/>
              </w:rPr>
              <w:t>Goal:</w:t>
            </w:r>
            <w:r w:rsidRPr="00E01B7D">
              <w:rPr>
                <w:rFonts w:eastAsia="Calibri"/>
                <w:sz w:val="22"/>
              </w:rPr>
              <w:t xml:space="preserve"> </w:t>
            </w:r>
            <w:r>
              <w:rPr>
                <w:rFonts w:eastAsia="Calibri"/>
              </w:rPr>
              <w:t>T</w:t>
            </w:r>
            <w:r w:rsidRPr="00E01B7D">
              <w:rPr>
                <w:rFonts w:eastAsia="Calibri"/>
              </w:rPr>
              <w:t>o develop, support and strengthen education management and learning support systems for improved access to quality basic education</w:t>
            </w:r>
            <w:r>
              <w:rPr>
                <w:rFonts w:eastAsia="Calibri"/>
              </w:rPr>
              <w:t>.</w:t>
            </w:r>
          </w:p>
        </w:tc>
        <w:tc>
          <w:tcPr>
            <w:tcW w:w="4110" w:type="dxa"/>
          </w:tcPr>
          <w:p w14:paraId="6596165E" w14:textId="77777777" w:rsidR="008764B9" w:rsidRPr="00E01B7D" w:rsidRDefault="008764B9" w:rsidP="00F857AD">
            <w:pPr>
              <w:pStyle w:val="TableText"/>
              <w:rPr>
                <w:rFonts w:eastAsia="Calibri"/>
              </w:rPr>
            </w:pPr>
            <w:r w:rsidRPr="00E01B7D">
              <w:rPr>
                <w:rFonts w:eastAsia="Calibri"/>
              </w:rPr>
              <w:t>STRIVE Stage 2 was designed as a vanguard initiative which aimed to develop and test support systems for school-based management, human resources development specifically in-service education and training and the equitable provision of learning resource materials.</w:t>
            </w:r>
            <w:r>
              <w:rPr>
                <w:rFonts w:eastAsia="Calibri"/>
              </w:rPr>
              <w:t xml:space="preserve"> </w:t>
            </w:r>
            <w:r w:rsidRPr="00E01B7D">
              <w:rPr>
                <w:rFonts w:eastAsia="Calibri"/>
              </w:rPr>
              <w:t>STRIVE Stage 2 was envisioned to be one of the strategic avenues to support the successful implementation of Basic Education Sector Reform Agenda (BESRA).</w:t>
            </w:r>
            <w:r>
              <w:rPr>
                <w:rFonts w:eastAsia="Calibri"/>
              </w:rPr>
              <w:t xml:space="preserve"> </w:t>
            </w:r>
          </w:p>
        </w:tc>
      </w:tr>
      <w:tr w:rsidR="008764B9" w14:paraId="2F68F760" w14:textId="77777777" w:rsidTr="00801AFD">
        <w:tc>
          <w:tcPr>
            <w:tcW w:w="1323" w:type="dxa"/>
          </w:tcPr>
          <w:p w14:paraId="6E909452" w14:textId="77777777" w:rsidR="008764B9" w:rsidRPr="00C615DC" w:rsidRDefault="008764B9" w:rsidP="008764B9">
            <w:pPr>
              <w:pStyle w:val="TableText"/>
              <w:rPr>
                <w:rFonts w:eastAsia="Calibri"/>
                <w:b/>
                <w:bCs/>
              </w:rPr>
            </w:pPr>
          </w:p>
        </w:tc>
        <w:tc>
          <w:tcPr>
            <w:tcW w:w="1323" w:type="dxa"/>
          </w:tcPr>
          <w:p w14:paraId="3B97054D" w14:textId="77777777" w:rsidR="008764B9" w:rsidRPr="00E01B7D" w:rsidRDefault="008764B9" w:rsidP="00F857AD">
            <w:pPr>
              <w:pStyle w:val="TableText"/>
              <w:rPr>
                <w:rFonts w:eastAsia="Calibri"/>
              </w:rPr>
            </w:pPr>
            <w:r w:rsidRPr="003E23F3">
              <w:rPr>
                <w:rFonts w:eastAsia="Calibri"/>
              </w:rPr>
              <w:t>Indonesia</w:t>
            </w:r>
            <w:r>
              <w:rPr>
                <w:rFonts w:eastAsia="Calibri"/>
              </w:rPr>
              <w:t>:</w:t>
            </w:r>
            <w:r w:rsidRPr="00E01B7D">
              <w:rPr>
                <w:rFonts w:eastAsia="Calibri"/>
              </w:rPr>
              <w:t xml:space="preserve"> Nusa Tenggara Timur Primary Education Partnership </w:t>
            </w:r>
            <w:r>
              <w:rPr>
                <w:rFonts w:eastAsia="Calibri"/>
              </w:rPr>
              <w:t>(NTTPEP)</w:t>
            </w:r>
          </w:p>
        </w:tc>
        <w:tc>
          <w:tcPr>
            <w:tcW w:w="2991" w:type="dxa"/>
          </w:tcPr>
          <w:p w14:paraId="2BB32A06" w14:textId="77777777" w:rsidR="008764B9" w:rsidRPr="00E01B7D" w:rsidRDefault="008764B9" w:rsidP="00E56F06">
            <w:pPr>
              <w:pStyle w:val="TableText"/>
              <w:rPr>
                <w:rFonts w:eastAsia="Calibri"/>
              </w:rPr>
            </w:pPr>
            <w:r w:rsidRPr="00E01B7D">
              <w:rPr>
                <w:rFonts w:eastAsia="Calibri"/>
              </w:rPr>
              <w:t>Value: $27,415,571.82</w:t>
            </w:r>
          </w:p>
          <w:p w14:paraId="135FF3DC" w14:textId="77777777" w:rsidR="008764B9" w:rsidRPr="00E01B7D" w:rsidRDefault="008764B9" w:rsidP="00E56F06">
            <w:pPr>
              <w:pStyle w:val="TableText"/>
              <w:rPr>
                <w:rFonts w:eastAsia="Calibri"/>
              </w:rPr>
            </w:pPr>
            <w:r w:rsidRPr="00E01B7D">
              <w:rPr>
                <w:rFonts w:eastAsia="Calibri"/>
              </w:rPr>
              <w:t>Years: 2004</w:t>
            </w:r>
            <w:r>
              <w:rPr>
                <w:rFonts w:eastAsia="Calibri"/>
              </w:rPr>
              <w:t>–</w:t>
            </w:r>
            <w:r w:rsidRPr="00E01B7D">
              <w:rPr>
                <w:rFonts w:eastAsia="Calibri"/>
              </w:rPr>
              <w:t>08</w:t>
            </w:r>
          </w:p>
          <w:p w14:paraId="631B03EE" w14:textId="77777777" w:rsidR="008764B9" w:rsidRPr="00E01B7D" w:rsidRDefault="008764B9" w:rsidP="00E56F06">
            <w:pPr>
              <w:pStyle w:val="TableText"/>
              <w:rPr>
                <w:rFonts w:eastAsia="Calibri"/>
              </w:rPr>
            </w:pPr>
            <w:r w:rsidRPr="00E01B7D">
              <w:rPr>
                <w:rFonts w:eastAsia="Calibri"/>
              </w:rPr>
              <w:t>Goal: To improve the quality of education as part of Indonesian Government reforms</w:t>
            </w:r>
            <w:r>
              <w:rPr>
                <w:rFonts w:eastAsia="Calibri"/>
              </w:rPr>
              <w:t>.</w:t>
            </w:r>
          </w:p>
        </w:tc>
        <w:tc>
          <w:tcPr>
            <w:tcW w:w="4110" w:type="dxa"/>
          </w:tcPr>
          <w:p w14:paraId="1E72A677" w14:textId="77777777" w:rsidR="008764B9" w:rsidRPr="00E01B7D" w:rsidRDefault="008764B9" w:rsidP="00F857AD">
            <w:pPr>
              <w:pStyle w:val="TableText"/>
              <w:rPr>
                <w:rFonts w:eastAsia="Calibri"/>
              </w:rPr>
            </w:pPr>
            <w:r w:rsidRPr="00E01B7D">
              <w:rPr>
                <w:rFonts w:eastAsia="Calibri"/>
              </w:rPr>
              <w:t>NTTPEP was a bilateral, stand</w:t>
            </w:r>
            <w:r>
              <w:rPr>
                <w:rFonts w:eastAsia="Calibri"/>
              </w:rPr>
              <w:t>-</w:t>
            </w:r>
            <w:r w:rsidRPr="00E01B7D">
              <w:rPr>
                <w:rFonts w:eastAsia="Calibri"/>
              </w:rPr>
              <w:t xml:space="preserve">alone project. To improve education service delivery, the </w:t>
            </w:r>
            <w:r>
              <w:rPr>
                <w:rFonts w:eastAsia="Calibri"/>
              </w:rPr>
              <w:t>p</w:t>
            </w:r>
            <w:r w:rsidRPr="00E01B7D">
              <w:rPr>
                <w:rFonts w:eastAsia="Calibri"/>
              </w:rPr>
              <w:t>artnership implemented a comprehensive, highly targeted capacity building program, utilising the existing cluster groups of teachers, supervisors and principals.</w:t>
            </w:r>
          </w:p>
        </w:tc>
      </w:tr>
      <w:tr w:rsidR="008764B9" w14:paraId="20B39497" w14:textId="77777777" w:rsidTr="00801AFD">
        <w:tc>
          <w:tcPr>
            <w:tcW w:w="1323" w:type="dxa"/>
          </w:tcPr>
          <w:p w14:paraId="68E6F70A" w14:textId="77777777" w:rsidR="008764B9" w:rsidRPr="00C615DC" w:rsidRDefault="008764B9" w:rsidP="008764B9">
            <w:pPr>
              <w:pStyle w:val="TableText"/>
              <w:rPr>
                <w:rFonts w:eastAsia="Calibri"/>
                <w:b/>
                <w:bCs/>
              </w:rPr>
            </w:pPr>
          </w:p>
        </w:tc>
        <w:tc>
          <w:tcPr>
            <w:tcW w:w="1323" w:type="dxa"/>
          </w:tcPr>
          <w:p w14:paraId="7FA01A50" w14:textId="77777777" w:rsidR="008764B9" w:rsidRDefault="008764B9" w:rsidP="00F857AD">
            <w:pPr>
              <w:pStyle w:val="TableText"/>
              <w:rPr>
                <w:rFonts w:eastAsia="Calibri"/>
              </w:rPr>
            </w:pPr>
            <w:r w:rsidRPr="00640ECB">
              <w:rPr>
                <w:rFonts w:eastAsia="Calibri"/>
              </w:rPr>
              <w:t>PNG</w:t>
            </w:r>
            <w:r>
              <w:rPr>
                <w:rFonts w:eastAsia="Calibri"/>
              </w:rPr>
              <w:t>:</w:t>
            </w:r>
            <w:r w:rsidRPr="00E01B7D">
              <w:rPr>
                <w:rFonts w:eastAsia="Calibri"/>
              </w:rPr>
              <w:t xml:space="preserve"> Education Capacity Building Program</w:t>
            </w:r>
            <w:r>
              <w:rPr>
                <w:rFonts w:eastAsia="Calibri"/>
              </w:rPr>
              <w:t xml:space="preserve"> (ECBP);</w:t>
            </w:r>
          </w:p>
          <w:p w14:paraId="3C1E6D8B" w14:textId="77777777" w:rsidR="008764B9" w:rsidRDefault="008764B9" w:rsidP="00F857AD">
            <w:pPr>
              <w:pStyle w:val="TableText"/>
              <w:rPr>
                <w:rFonts w:eastAsia="Calibri"/>
              </w:rPr>
            </w:pPr>
            <w:r w:rsidRPr="00E01B7D">
              <w:rPr>
                <w:rFonts w:eastAsia="Calibri"/>
              </w:rPr>
              <w:t>Basic Education Development Project</w:t>
            </w:r>
            <w:r>
              <w:rPr>
                <w:rFonts w:eastAsia="Calibri"/>
              </w:rPr>
              <w:t xml:space="preserve"> (BEDP);</w:t>
            </w:r>
          </w:p>
          <w:p w14:paraId="765D3859" w14:textId="77777777" w:rsidR="008764B9" w:rsidRPr="00E01B7D" w:rsidRDefault="008764B9" w:rsidP="00F857AD">
            <w:pPr>
              <w:pStyle w:val="TableText"/>
              <w:rPr>
                <w:rFonts w:eastAsia="Calibri"/>
              </w:rPr>
            </w:pPr>
            <w:r w:rsidRPr="00E01B7D">
              <w:rPr>
                <w:rFonts w:eastAsia="Calibri"/>
              </w:rPr>
              <w:t>Primary and Community School Textbook Distribution</w:t>
            </w:r>
            <w:r>
              <w:rPr>
                <w:rFonts w:eastAsia="Calibri"/>
              </w:rPr>
              <w:t xml:space="preserve"> (Textbook)</w:t>
            </w:r>
            <w:r w:rsidRPr="00E01B7D">
              <w:rPr>
                <w:rFonts w:eastAsia="Calibri"/>
              </w:rPr>
              <w:t xml:space="preserve"> </w:t>
            </w:r>
          </w:p>
        </w:tc>
        <w:tc>
          <w:tcPr>
            <w:tcW w:w="2991" w:type="dxa"/>
          </w:tcPr>
          <w:p w14:paraId="714799C7" w14:textId="77777777" w:rsidR="008764B9" w:rsidRPr="00E01B7D" w:rsidRDefault="008764B9" w:rsidP="00E56F06">
            <w:pPr>
              <w:pStyle w:val="TableText"/>
              <w:rPr>
                <w:rFonts w:eastAsia="Calibri"/>
              </w:rPr>
            </w:pPr>
            <w:r w:rsidRPr="00E01B7D">
              <w:rPr>
                <w:rFonts w:eastAsia="Calibri"/>
              </w:rPr>
              <w:t>Value: $161 million (total for all 3 split as follows: ECBP $104.25 million; BEDP $49.6 million and Textbooks $7.467 million)</w:t>
            </w:r>
          </w:p>
          <w:p w14:paraId="62E3536A" w14:textId="77777777" w:rsidR="008764B9" w:rsidRPr="00E01B7D" w:rsidRDefault="008764B9" w:rsidP="00E56F06">
            <w:pPr>
              <w:pStyle w:val="TableText"/>
              <w:rPr>
                <w:rFonts w:eastAsia="Calibri"/>
              </w:rPr>
            </w:pPr>
            <w:r w:rsidRPr="00E01B7D">
              <w:rPr>
                <w:rFonts w:eastAsia="Calibri"/>
              </w:rPr>
              <w:t xml:space="preserve">Years: </w:t>
            </w:r>
          </w:p>
          <w:p w14:paraId="4603E78B" w14:textId="77777777" w:rsidR="008764B9" w:rsidRPr="00E01B7D" w:rsidRDefault="008764B9" w:rsidP="00E56F06">
            <w:pPr>
              <w:pStyle w:val="TableText"/>
              <w:rPr>
                <w:rFonts w:eastAsia="Calibri"/>
              </w:rPr>
            </w:pPr>
            <w:r w:rsidRPr="00E01B7D">
              <w:rPr>
                <w:rFonts w:eastAsia="Calibri"/>
              </w:rPr>
              <w:t>ECBP 2004</w:t>
            </w:r>
            <w:r>
              <w:rPr>
                <w:rFonts w:eastAsia="Calibri"/>
              </w:rPr>
              <w:t>–</w:t>
            </w:r>
            <w:r w:rsidRPr="00E01B7D">
              <w:rPr>
                <w:rFonts w:eastAsia="Calibri"/>
              </w:rPr>
              <w:t>09</w:t>
            </w:r>
          </w:p>
          <w:p w14:paraId="1ED697C4" w14:textId="77777777" w:rsidR="008764B9" w:rsidRPr="00E01B7D" w:rsidRDefault="008764B9" w:rsidP="00E56F06">
            <w:pPr>
              <w:pStyle w:val="TableText"/>
              <w:rPr>
                <w:rFonts w:eastAsia="Calibri"/>
              </w:rPr>
            </w:pPr>
            <w:r w:rsidRPr="00E01B7D">
              <w:rPr>
                <w:rFonts w:eastAsia="Calibri"/>
              </w:rPr>
              <w:t>BEDP 2004</w:t>
            </w:r>
            <w:r>
              <w:rPr>
                <w:rFonts w:eastAsia="Calibri"/>
              </w:rPr>
              <w:t>–</w:t>
            </w:r>
            <w:r w:rsidRPr="00E01B7D">
              <w:rPr>
                <w:rFonts w:eastAsia="Calibri"/>
              </w:rPr>
              <w:t>10</w:t>
            </w:r>
          </w:p>
          <w:p w14:paraId="2988ECA2" w14:textId="77777777" w:rsidR="008764B9" w:rsidRPr="00E01B7D" w:rsidRDefault="008764B9" w:rsidP="00E56F06">
            <w:pPr>
              <w:pStyle w:val="TableText"/>
              <w:rPr>
                <w:rFonts w:eastAsia="Calibri"/>
              </w:rPr>
            </w:pPr>
            <w:r w:rsidRPr="00E01B7D">
              <w:rPr>
                <w:rFonts w:eastAsia="Calibri"/>
              </w:rPr>
              <w:t>Textbook 2009</w:t>
            </w:r>
            <w:r>
              <w:rPr>
                <w:rFonts w:eastAsia="Calibri"/>
              </w:rPr>
              <w:t>–</w:t>
            </w:r>
            <w:r w:rsidRPr="00E01B7D">
              <w:rPr>
                <w:rFonts w:eastAsia="Calibri"/>
              </w:rPr>
              <w:t>10</w:t>
            </w:r>
          </w:p>
          <w:p w14:paraId="04EABFB3" w14:textId="77777777" w:rsidR="008764B9" w:rsidRPr="00E01B7D" w:rsidRDefault="008764B9" w:rsidP="00E56F06">
            <w:pPr>
              <w:pStyle w:val="TableText"/>
              <w:rPr>
                <w:rFonts w:eastAsia="Calibri"/>
              </w:rPr>
            </w:pPr>
            <w:r w:rsidRPr="00E01B7D">
              <w:rPr>
                <w:rFonts w:eastAsia="Calibri"/>
              </w:rPr>
              <w:t xml:space="preserve">Goal: </w:t>
            </w:r>
          </w:p>
          <w:p w14:paraId="3CC8D606" w14:textId="77777777" w:rsidR="008764B9" w:rsidRPr="00E01B7D" w:rsidRDefault="008764B9" w:rsidP="00F857AD">
            <w:pPr>
              <w:pStyle w:val="TableText"/>
              <w:rPr>
                <w:rFonts w:eastAsia="Calibri"/>
              </w:rPr>
            </w:pPr>
            <w:r>
              <w:rPr>
                <w:rFonts w:eastAsia="Calibri"/>
              </w:rPr>
              <w:t>T</w:t>
            </w:r>
            <w:r w:rsidRPr="00E01B7D">
              <w:rPr>
                <w:rFonts w:eastAsia="Calibri"/>
              </w:rPr>
              <w:t xml:space="preserve">o strengthen the capacity of the national education system at the national, provincial and district agency levels in order to achieve quality improvements in education service delivery. The BEDP goal is to contribute to the effective implementation of quality and equitable primary schooling in </w:t>
            </w:r>
            <w:r>
              <w:rPr>
                <w:rFonts w:eastAsia="Calibri"/>
              </w:rPr>
              <w:t>PNG.</w:t>
            </w:r>
          </w:p>
        </w:tc>
        <w:tc>
          <w:tcPr>
            <w:tcW w:w="4110" w:type="dxa"/>
          </w:tcPr>
          <w:p w14:paraId="7FC76D28" w14:textId="77777777" w:rsidR="008764B9" w:rsidRPr="00E01B7D" w:rsidRDefault="008764B9" w:rsidP="00915E42">
            <w:pPr>
              <w:pStyle w:val="TableText"/>
              <w:rPr>
                <w:rFonts w:eastAsia="Calibri"/>
              </w:rPr>
            </w:pPr>
            <w:r w:rsidRPr="00E01B7D">
              <w:rPr>
                <w:rFonts w:eastAsia="Calibri"/>
              </w:rPr>
              <w:t xml:space="preserve">ECBP provided technical assistance and operating expenses for a wide range of activities supporting the </w:t>
            </w:r>
            <w:r>
              <w:rPr>
                <w:rFonts w:eastAsia="Calibri"/>
              </w:rPr>
              <w:t>n</w:t>
            </w:r>
            <w:r w:rsidRPr="00E01B7D">
              <w:rPr>
                <w:rFonts w:eastAsia="Calibri"/>
              </w:rPr>
              <w:t xml:space="preserve">ational Department of Education, schools and other education sector institutions. BEDP worked with provincial governments, school Boards of Management and communities to build capacity to manage infrastructure provision and maintenance, providing grants to nearly 3000 primary and community schools and new infrastructure for over 300 schools (out of about 3500 such schools in the country). </w:t>
            </w:r>
            <w:r>
              <w:rPr>
                <w:rFonts w:eastAsia="Calibri"/>
              </w:rPr>
              <w:t>Textbook</w:t>
            </w:r>
            <w:r w:rsidRPr="00E01B7D">
              <w:rPr>
                <w:rFonts w:eastAsia="Calibri"/>
              </w:rPr>
              <w:t xml:space="preserve"> bought and distributed 539</w:t>
            </w:r>
            <w:r>
              <w:rPr>
                <w:rFonts w:eastAsia="Calibri"/>
              </w:rPr>
              <w:t> </w:t>
            </w:r>
            <w:r w:rsidRPr="00E01B7D">
              <w:rPr>
                <w:rFonts w:eastAsia="Calibri"/>
              </w:rPr>
              <w:t>000 text books, providing a set of basic books to every community and primary school in the country.</w:t>
            </w:r>
          </w:p>
        </w:tc>
      </w:tr>
      <w:tr w:rsidR="008764B9" w14:paraId="702EBA1B" w14:textId="77777777" w:rsidTr="00801AFD">
        <w:tc>
          <w:tcPr>
            <w:tcW w:w="1323" w:type="dxa"/>
            <w:vMerge w:val="restart"/>
          </w:tcPr>
          <w:p w14:paraId="24581E7A" w14:textId="77777777" w:rsidR="008764B9" w:rsidRPr="00C615DC" w:rsidRDefault="008764B9" w:rsidP="008764B9">
            <w:pPr>
              <w:pStyle w:val="TableText"/>
              <w:rPr>
                <w:rFonts w:eastAsia="Calibri"/>
                <w:b/>
                <w:bCs/>
              </w:rPr>
            </w:pPr>
            <w:r w:rsidRPr="00E56F06">
              <w:rPr>
                <w:b/>
                <w:bCs/>
              </w:rPr>
              <w:t>Health</w:t>
            </w:r>
          </w:p>
        </w:tc>
        <w:tc>
          <w:tcPr>
            <w:tcW w:w="1323" w:type="dxa"/>
          </w:tcPr>
          <w:p w14:paraId="6395FBF2" w14:textId="77777777" w:rsidR="008764B9" w:rsidRPr="00E01B7D" w:rsidRDefault="008764B9" w:rsidP="00F857AD">
            <w:pPr>
              <w:pStyle w:val="TableText"/>
              <w:rPr>
                <w:rFonts w:eastAsia="Calibri"/>
              </w:rPr>
            </w:pPr>
            <w:r w:rsidRPr="003E23F3">
              <w:rPr>
                <w:rFonts w:eastAsia="Calibri"/>
              </w:rPr>
              <w:t>Solomon Islands</w:t>
            </w:r>
            <w:r>
              <w:rPr>
                <w:rFonts w:eastAsia="Calibri"/>
              </w:rPr>
              <w:t>:</w:t>
            </w:r>
            <w:r w:rsidRPr="00E01B7D">
              <w:rPr>
                <w:rFonts w:eastAsia="Calibri"/>
              </w:rPr>
              <w:t xml:space="preserve"> Ministry of Health Institutional Strengthening Project (HSIP) </w:t>
            </w:r>
          </w:p>
        </w:tc>
        <w:tc>
          <w:tcPr>
            <w:tcW w:w="2991" w:type="dxa"/>
          </w:tcPr>
          <w:p w14:paraId="0BEF53A6" w14:textId="77777777" w:rsidR="008764B9" w:rsidRPr="00E01B7D" w:rsidRDefault="008764B9" w:rsidP="00E56F06">
            <w:pPr>
              <w:pStyle w:val="TableText"/>
              <w:rPr>
                <w:rFonts w:eastAsia="Calibri"/>
              </w:rPr>
            </w:pPr>
            <w:r w:rsidRPr="00E01B7D">
              <w:rPr>
                <w:rFonts w:eastAsia="Calibri"/>
              </w:rPr>
              <w:t>Value: $21.8 million</w:t>
            </w:r>
          </w:p>
          <w:p w14:paraId="7768CDE2" w14:textId="77777777" w:rsidR="008764B9" w:rsidRPr="00E01B7D" w:rsidRDefault="008764B9" w:rsidP="00E56F06">
            <w:pPr>
              <w:pStyle w:val="TableText"/>
              <w:rPr>
                <w:rFonts w:eastAsia="Calibri"/>
              </w:rPr>
            </w:pPr>
            <w:r w:rsidRPr="00E01B7D">
              <w:rPr>
                <w:rFonts w:eastAsia="Calibri"/>
              </w:rPr>
              <w:t>Years: 2001</w:t>
            </w:r>
            <w:r>
              <w:rPr>
                <w:rFonts w:eastAsia="Calibri"/>
              </w:rPr>
              <w:t>–</w:t>
            </w:r>
            <w:r w:rsidRPr="00E01B7D">
              <w:rPr>
                <w:rFonts w:eastAsia="Calibri"/>
              </w:rPr>
              <w:t>07</w:t>
            </w:r>
          </w:p>
          <w:p w14:paraId="0AAF5B5B" w14:textId="77777777" w:rsidR="008764B9" w:rsidRPr="00E01B7D" w:rsidRDefault="008764B9" w:rsidP="00E56F06">
            <w:pPr>
              <w:pStyle w:val="TableText"/>
              <w:rPr>
                <w:rFonts w:eastAsia="Calibri"/>
              </w:rPr>
            </w:pPr>
            <w:r w:rsidRPr="00E01B7D">
              <w:rPr>
                <w:rFonts w:eastAsia="Calibri"/>
              </w:rPr>
              <w:t>Goal:</w:t>
            </w:r>
            <w:r w:rsidRPr="00E01B7D">
              <w:rPr>
                <w:rFonts w:eastAsia="Calibri"/>
                <w:sz w:val="22"/>
              </w:rPr>
              <w:t xml:space="preserve"> </w:t>
            </w:r>
            <w:r w:rsidRPr="00E01B7D">
              <w:rPr>
                <w:rFonts w:eastAsia="Calibri"/>
              </w:rPr>
              <w:t>To improve the health of the Solomon Island’s population by strengthening the management and operational capacity of the Solomon Islands health sector.</w:t>
            </w:r>
          </w:p>
        </w:tc>
        <w:tc>
          <w:tcPr>
            <w:tcW w:w="4110" w:type="dxa"/>
          </w:tcPr>
          <w:p w14:paraId="0450561A" w14:textId="77777777" w:rsidR="008764B9" w:rsidRDefault="008764B9" w:rsidP="00F857AD">
            <w:pPr>
              <w:pStyle w:val="TableText"/>
              <w:rPr>
                <w:rFonts w:eastAsia="Calibri"/>
              </w:rPr>
            </w:pPr>
            <w:r w:rsidRPr="00E01B7D">
              <w:rPr>
                <w:rFonts w:eastAsia="Calibri"/>
              </w:rPr>
              <w:t xml:space="preserve">The </w:t>
            </w:r>
            <w:r w:rsidR="00934BE3">
              <w:rPr>
                <w:rFonts w:eastAsia="Calibri"/>
              </w:rPr>
              <w:t>three</w:t>
            </w:r>
            <w:r w:rsidRPr="00E01B7D">
              <w:rPr>
                <w:rFonts w:eastAsia="Calibri"/>
              </w:rPr>
              <w:t xml:space="preserve"> components of the project sought to</w:t>
            </w:r>
          </w:p>
          <w:p w14:paraId="1903E516" w14:textId="77777777" w:rsidR="008764B9" w:rsidRDefault="008764B9" w:rsidP="003E23F3">
            <w:pPr>
              <w:pStyle w:val="TableBullet"/>
            </w:pPr>
            <w:r w:rsidRPr="00E01B7D">
              <w:t>further develop and strengthen the capacity of senior Headquarters staff in core management areas</w:t>
            </w:r>
          </w:p>
          <w:p w14:paraId="457834F7" w14:textId="77777777" w:rsidR="008764B9" w:rsidRDefault="008764B9" w:rsidP="003E23F3">
            <w:pPr>
              <w:pStyle w:val="TableBullet"/>
            </w:pPr>
            <w:r w:rsidRPr="00E01B7D">
              <w:t>improve the efficiency and effectiveness of primary, preventive and promotive service delivery</w:t>
            </w:r>
          </w:p>
          <w:p w14:paraId="2F94B582" w14:textId="77777777" w:rsidR="008764B9" w:rsidRDefault="008764B9" w:rsidP="003E23F3">
            <w:pPr>
              <w:pStyle w:val="TableBullet"/>
            </w:pPr>
            <w:r w:rsidRPr="00E01B7D">
              <w:t xml:space="preserve">develop the National Referral Hospital’s role as the major acute referral hospital for the Solomon Islands and improve the efficiency and effectiveness of the hospital’s service delivery. </w:t>
            </w:r>
          </w:p>
          <w:p w14:paraId="77040488" w14:textId="77777777" w:rsidR="008764B9" w:rsidRPr="00E01B7D" w:rsidRDefault="008764B9" w:rsidP="00F857AD">
            <w:pPr>
              <w:pStyle w:val="TableText"/>
              <w:rPr>
                <w:rFonts w:eastAsia="Calibri"/>
              </w:rPr>
            </w:pPr>
            <w:r w:rsidRPr="00E01B7D">
              <w:rPr>
                <w:rFonts w:eastAsia="Calibri"/>
              </w:rPr>
              <w:t>Th</w:t>
            </w:r>
            <w:r>
              <w:rPr>
                <w:rFonts w:eastAsia="Calibri"/>
              </w:rPr>
              <w:t>e</w:t>
            </w:r>
            <w:r w:rsidRPr="00E01B7D">
              <w:rPr>
                <w:rFonts w:eastAsia="Calibri"/>
              </w:rPr>
              <w:t xml:space="preserve"> </w:t>
            </w:r>
            <w:r>
              <w:rPr>
                <w:rFonts w:eastAsia="Calibri"/>
              </w:rPr>
              <w:t>project</w:t>
            </w:r>
            <w:r w:rsidRPr="00E01B7D">
              <w:rPr>
                <w:rFonts w:eastAsia="Calibri"/>
              </w:rPr>
              <w:t xml:space="preserve"> </w:t>
            </w:r>
            <w:r>
              <w:rPr>
                <w:rFonts w:eastAsia="Calibri"/>
              </w:rPr>
              <w:t xml:space="preserve">was </w:t>
            </w:r>
            <w:r w:rsidRPr="00E01B7D">
              <w:rPr>
                <w:rFonts w:eastAsia="Calibri"/>
              </w:rPr>
              <w:t>delivered through traditional project aid, delivered through an Australian managing contractor and supplemented by a significant Health Sector Trust Account used to purchase essential drugs and supplies and in the early years to pay staff salaries.</w:t>
            </w:r>
          </w:p>
        </w:tc>
      </w:tr>
      <w:tr w:rsidR="008764B9" w14:paraId="78A03354" w14:textId="77777777" w:rsidTr="00801AFD">
        <w:tc>
          <w:tcPr>
            <w:tcW w:w="1323" w:type="dxa"/>
            <w:vMerge/>
          </w:tcPr>
          <w:p w14:paraId="4BA6A2CE" w14:textId="77777777" w:rsidR="008764B9" w:rsidRPr="00C615DC" w:rsidRDefault="008764B9" w:rsidP="008764B9">
            <w:pPr>
              <w:pStyle w:val="TableText"/>
              <w:rPr>
                <w:rFonts w:eastAsia="Calibri"/>
                <w:b/>
                <w:bCs/>
              </w:rPr>
            </w:pPr>
          </w:p>
        </w:tc>
        <w:tc>
          <w:tcPr>
            <w:tcW w:w="1323" w:type="dxa"/>
          </w:tcPr>
          <w:p w14:paraId="52C0A28F" w14:textId="77777777" w:rsidR="008764B9" w:rsidRPr="00E01B7D" w:rsidRDefault="008764B9" w:rsidP="00F857AD">
            <w:pPr>
              <w:pStyle w:val="TableText"/>
              <w:rPr>
                <w:rFonts w:eastAsia="Calibri"/>
              </w:rPr>
            </w:pPr>
            <w:r w:rsidRPr="003E23F3">
              <w:rPr>
                <w:rFonts w:eastAsia="Calibri"/>
              </w:rPr>
              <w:t>Vietnam</w:t>
            </w:r>
            <w:r>
              <w:rPr>
                <w:rFonts w:eastAsia="Calibri"/>
              </w:rPr>
              <w:t>:</w:t>
            </w:r>
            <w:r w:rsidRPr="00E01B7D">
              <w:rPr>
                <w:rFonts w:eastAsia="Calibri"/>
              </w:rPr>
              <w:t xml:space="preserve"> Avian Influenza Joint Program</w:t>
            </w:r>
            <w:r>
              <w:rPr>
                <w:rFonts w:eastAsia="Calibri"/>
              </w:rPr>
              <w:t xml:space="preserve"> (AIJP)</w:t>
            </w:r>
          </w:p>
        </w:tc>
        <w:tc>
          <w:tcPr>
            <w:tcW w:w="2991" w:type="dxa"/>
          </w:tcPr>
          <w:p w14:paraId="43292D1A" w14:textId="77777777" w:rsidR="008764B9" w:rsidRPr="00E01B7D" w:rsidRDefault="008764B9" w:rsidP="00E56F06">
            <w:pPr>
              <w:pStyle w:val="TableText"/>
              <w:rPr>
                <w:rFonts w:eastAsia="Calibri"/>
              </w:rPr>
            </w:pPr>
            <w:r w:rsidRPr="00E01B7D">
              <w:rPr>
                <w:rFonts w:eastAsia="Calibri"/>
              </w:rPr>
              <w:t>Value: Phase II</w:t>
            </w:r>
            <w:r>
              <w:rPr>
                <w:rFonts w:eastAsia="Calibri"/>
              </w:rPr>
              <w:t xml:space="preserve"> </w:t>
            </w:r>
            <w:r w:rsidRPr="00E01B7D">
              <w:rPr>
                <w:rFonts w:eastAsia="Calibri"/>
              </w:rPr>
              <w:t>US$17</w:t>
            </w:r>
            <w:r>
              <w:rPr>
                <w:rFonts w:eastAsia="Calibri"/>
              </w:rPr>
              <w:t> </w:t>
            </w:r>
            <w:r w:rsidRPr="00E01B7D">
              <w:rPr>
                <w:rFonts w:eastAsia="Calibri"/>
              </w:rPr>
              <w:t>647</w:t>
            </w:r>
            <w:r>
              <w:rPr>
                <w:rFonts w:eastAsia="Calibri"/>
              </w:rPr>
              <w:t> </w:t>
            </w:r>
            <w:r w:rsidRPr="00E01B7D">
              <w:rPr>
                <w:rFonts w:eastAsia="Calibri"/>
              </w:rPr>
              <w:t>992 (pooled funding)</w:t>
            </w:r>
          </w:p>
          <w:p w14:paraId="1DB42087" w14:textId="77777777" w:rsidR="008764B9" w:rsidRPr="00E01B7D" w:rsidRDefault="008764B9" w:rsidP="00E56F06">
            <w:pPr>
              <w:pStyle w:val="TableText"/>
              <w:rPr>
                <w:rFonts w:eastAsia="Calibri"/>
              </w:rPr>
            </w:pPr>
            <w:r w:rsidRPr="00E01B7D">
              <w:rPr>
                <w:rFonts w:eastAsia="Calibri"/>
              </w:rPr>
              <w:t>Years: 2007</w:t>
            </w:r>
            <w:r>
              <w:rPr>
                <w:rFonts w:eastAsia="Calibri"/>
              </w:rPr>
              <w:t>–</w:t>
            </w:r>
            <w:r w:rsidRPr="00E01B7D">
              <w:rPr>
                <w:rFonts w:eastAsia="Calibri"/>
              </w:rPr>
              <w:t>11 (</w:t>
            </w:r>
            <w:r>
              <w:rPr>
                <w:rFonts w:eastAsia="Calibri"/>
              </w:rPr>
              <w:t>p</w:t>
            </w:r>
            <w:r w:rsidRPr="00E01B7D">
              <w:rPr>
                <w:rFonts w:eastAsia="Calibri"/>
              </w:rPr>
              <w:t>hase II)</w:t>
            </w:r>
          </w:p>
          <w:p w14:paraId="2250ABF8" w14:textId="77777777" w:rsidR="008764B9" w:rsidRPr="00E01B7D" w:rsidRDefault="008764B9" w:rsidP="00F857AD">
            <w:pPr>
              <w:pStyle w:val="TableText"/>
              <w:rPr>
                <w:rFonts w:eastAsia="Calibri"/>
              </w:rPr>
            </w:pPr>
            <w:r w:rsidRPr="00E01B7D">
              <w:rPr>
                <w:rFonts w:eastAsia="Calibri"/>
              </w:rPr>
              <w:t>Goal: To reduce the health risk to humans from avian influenza by controlling the disease at source in domestic poultry, by detecting and responding promptly to human cases, and by preparing for the medical consequences of a human pandemic</w:t>
            </w:r>
            <w:r>
              <w:rPr>
                <w:rFonts w:eastAsia="Calibri"/>
              </w:rPr>
              <w:t>.</w:t>
            </w:r>
          </w:p>
        </w:tc>
        <w:tc>
          <w:tcPr>
            <w:tcW w:w="4110" w:type="dxa"/>
          </w:tcPr>
          <w:p w14:paraId="0BE2032B" w14:textId="77777777" w:rsidR="008764B9" w:rsidRPr="00E01B7D" w:rsidRDefault="008764B9" w:rsidP="00934BE3">
            <w:pPr>
              <w:pStyle w:val="TableText"/>
              <w:rPr>
                <w:rFonts w:eastAsia="Calibri"/>
                <w:i/>
              </w:rPr>
            </w:pPr>
            <w:r w:rsidRPr="00E01B7D">
              <w:rPr>
                <w:rFonts w:eastAsia="Calibri"/>
              </w:rPr>
              <w:t>AIJP was developed by the V</w:t>
            </w:r>
            <w:r>
              <w:rPr>
                <w:rFonts w:eastAsia="Calibri"/>
              </w:rPr>
              <w:t>ietnamese Government</w:t>
            </w:r>
            <w:r w:rsidRPr="00E01B7D">
              <w:rPr>
                <w:rFonts w:eastAsia="Calibri"/>
              </w:rPr>
              <w:t xml:space="preserve"> together with UN Agencies to address the immediate emergency support needed to control the current outbreak. A two-phase approach was agreed a</w:t>
            </w:r>
            <w:r w:rsidR="00934BE3">
              <w:rPr>
                <w:rFonts w:eastAsia="Calibri"/>
              </w:rPr>
              <w:t>t</w:t>
            </w:r>
            <w:r w:rsidRPr="00E01B7D">
              <w:rPr>
                <w:rFonts w:eastAsia="Calibri"/>
              </w:rPr>
              <w:t xml:space="preserve"> the outset. The emergency phase, or phase I, of the AIJP was implemented from October 2005 to July 2006 and </w:t>
            </w:r>
            <w:r>
              <w:rPr>
                <w:rFonts w:eastAsia="Calibri"/>
              </w:rPr>
              <w:t>its</w:t>
            </w:r>
            <w:r w:rsidRPr="00E01B7D">
              <w:rPr>
                <w:rFonts w:eastAsia="Calibri"/>
              </w:rPr>
              <w:t xml:space="preserve"> objectives were mostly achieved while 95% of budgeted assistance was delivered.</w:t>
            </w:r>
            <w:r w:rsidRPr="00E01B7D">
              <w:rPr>
                <w:rFonts w:eastAsia="Calibri"/>
                <w:sz w:val="22"/>
              </w:rPr>
              <w:t xml:space="preserve"> </w:t>
            </w:r>
            <w:r w:rsidRPr="00E01B7D">
              <w:rPr>
                <w:rFonts w:eastAsia="Calibri"/>
              </w:rPr>
              <w:t xml:space="preserve">The second phase continued the implementation, and included support for planning and longer-term capacity building to respond to emerging infectious diseases in animals and humans. </w:t>
            </w:r>
          </w:p>
        </w:tc>
      </w:tr>
      <w:tr w:rsidR="00934BE3" w14:paraId="09148672" w14:textId="77777777" w:rsidTr="00801AFD">
        <w:tc>
          <w:tcPr>
            <w:tcW w:w="1323" w:type="dxa"/>
            <w:vMerge w:val="restart"/>
          </w:tcPr>
          <w:p w14:paraId="34DE0BE3" w14:textId="77777777" w:rsidR="00934BE3" w:rsidRPr="00C615DC" w:rsidRDefault="00934BE3" w:rsidP="008764B9">
            <w:pPr>
              <w:pStyle w:val="TableText"/>
              <w:rPr>
                <w:rFonts w:eastAsia="Calibri"/>
                <w:b/>
                <w:bCs/>
              </w:rPr>
            </w:pPr>
            <w:r w:rsidRPr="00E56F06">
              <w:rPr>
                <w:b/>
                <w:bCs/>
              </w:rPr>
              <w:t>Infrastructure</w:t>
            </w:r>
          </w:p>
        </w:tc>
        <w:tc>
          <w:tcPr>
            <w:tcW w:w="1323" w:type="dxa"/>
          </w:tcPr>
          <w:p w14:paraId="457ACC5F" w14:textId="77777777" w:rsidR="00934BE3" w:rsidRDefault="00934BE3" w:rsidP="00E56F06">
            <w:pPr>
              <w:pStyle w:val="TableText"/>
              <w:rPr>
                <w:rFonts w:eastAsia="Calibri"/>
              </w:rPr>
            </w:pPr>
            <w:r w:rsidRPr="00640ECB">
              <w:rPr>
                <w:rFonts w:eastAsia="Calibri"/>
              </w:rPr>
              <w:t>Indonesia</w:t>
            </w:r>
            <w:r>
              <w:rPr>
                <w:rFonts w:eastAsia="Calibri"/>
              </w:rPr>
              <w:t>:</w:t>
            </w:r>
            <w:r w:rsidRPr="00E01B7D">
              <w:rPr>
                <w:rFonts w:eastAsia="Calibri"/>
              </w:rPr>
              <w:t xml:space="preserve"> Third Water and Sanitation for Low</w:t>
            </w:r>
            <w:r>
              <w:rPr>
                <w:rFonts w:eastAsia="Calibri"/>
              </w:rPr>
              <w:t>-</w:t>
            </w:r>
            <w:r w:rsidRPr="00E01B7D">
              <w:rPr>
                <w:rFonts w:eastAsia="Calibri"/>
              </w:rPr>
              <w:t>Income Communities Project (PAMSIMAS)</w:t>
            </w:r>
            <w:r>
              <w:rPr>
                <w:rFonts w:eastAsia="Calibri"/>
              </w:rPr>
              <w:t>;</w:t>
            </w:r>
          </w:p>
          <w:p w14:paraId="12FF283D" w14:textId="77777777" w:rsidR="00934BE3" w:rsidRPr="00E01B7D" w:rsidRDefault="00934BE3" w:rsidP="00396139">
            <w:pPr>
              <w:pStyle w:val="TableText"/>
              <w:rPr>
                <w:rFonts w:eastAsia="Calibri"/>
              </w:rPr>
            </w:pPr>
            <w:r w:rsidRPr="00E01B7D">
              <w:rPr>
                <w:rFonts w:eastAsia="Calibri"/>
              </w:rPr>
              <w:t xml:space="preserve">Water Supply and Sanitation Policy Formulation and Action Planning (WASPOLA) </w:t>
            </w:r>
          </w:p>
        </w:tc>
        <w:tc>
          <w:tcPr>
            <w:tcW w:w="2991" w:type="dxa"/>
          </w:tcPr>
          <w:p w14:paraId="61B769D3" w14:textId="77777777" w:rsidR="00934BE3" w:rsidRPr="00E01B7D" w:rsidRDefault="00934BE3" w:rsidP="00E56F06">
            <w:pPr>
              <w:pStyle w:val="TableText"/>
              <w:rPr>
                <w:rFonts w:eastAsia="Calibri"/>
              </w:rPr>
            </w:pPr>
            <w:r w:rsidRPr="00E01B7D">
              <w:rPr>
                <w:rFonts w:eastAsia="Calibri"/>
              </w:rPr>
              <w:t>Value: $54.5 million (PAMSIMAS)</w:t>
            </w:r>
          </w:p>
          <w:p w14:paraId="5463B04C" w14:textId="77777777" w:rsidR="00934BE3" w:rsidRPr="00E01B7D" w:rsidRDefault="00934BE3" w:rsidP="00E56F06">
            <w:pPr>
              <w:pStyle w:val="TableText"/>
              <w:rPr>
                <w:rFonts w:eastAsia="Calibri"/>
              </w:rPr>
            </w:pPr>
            <w:r w:rsidRPr="00E01B7D">
              <w:rPr>
                <w:rFonts w:eastAsia="Calibri"/>
              </w:rPr>
              <w:t>$10 million (WASPOLA)</w:t>
            </w:r>
          </w:p>
          <w:p w14:paraId="0F6F3BFD" w14:textId="77777777" w:rsidR="00934BE3" w:rsidRPr="00E01B7D" w:rsidRDefault="00934BE3" w:rsidP="00E56F06">
            <w:pPr>
              <w:pStyle w:val="TableText"/>
              <w:rPr>
                <w:rFonts w:eastAsia="Calibri"/>
              </w:rPr>
            </w:pPr>
            <w:r w:rsidRPr="00E01B7D">
              <w:rPr>
                <w:rFonts w:eastAsia="Calibri"/>
              </w:rPr>
              <w:t>Years: 2006</w:t>
            </w:r>
            <w:r>
              <w:rPr>
                <w:rFonts w:eastAsia="Calibri"/>
              </w:rPr>
              <w:t>–</w:t>
            </w:r>
            <w:r w:rsidRPr="00E01B7D">
              <w:rPr>
                <w:rFonts w:eastAsia="Calibri"/>
              </w:rPr>
              <w:t>14 (PAMSIMAS)</w:t>
            </w:r>
          </w:p>
          <w:p w14:paraId="395D0D5C" w14:textId="77777777" w:rsidR="00934BE3" w:rsidRPr="00E01B7D" w:rsidRDefault="00934BE3" w:rsidP="00E56F06">
            <w:pPr>
              <w:pStyle w:val="TableText"/>
              <w:rPr>
                <w:rFonts w:eastAsia="Calibri"/>
              </w:rPr>
            </w:pPr>
            <w:r w:rsidRPr="00E01B7D">
              <w:rPr>
                <w:rFonts w:eastAsia="Calibri"/>
              </w:rPr>
              <w:t>2009</w:t>
            </w:r>
            <w:r>
              <w:rPr>
                <w:rFonts w:eastAsia="Calibri"/>
              </w:rPr>
              <w:t>–</w:t>
            </w:r>
            <w:r w:rsidRPr="00E01B7D">
              <w:rPr>
                <w:rFonts w:eastAsia="Calibri"/>
              </w:rPr>
              <w:t>13 (WASPOLA)</w:t>
            </w:r>
          </w:p>
          <w:p w14:paraId="41D661F5" w14:textId="77777777" w:rsidR="00934BE3" w:rsidRPr="00E01B7D" w:rsidRDefault="00934BE3" w:rsidP="00E56F06">
            <w:pPr>
              <w:pStyle w:val="TableText"/>
              <w:rPr>
                <w:rFonts w:eastAsia="Calibri"/>
              </w:rPr>
            </w:pPr>
            <w:r w:rsidRPr="00E01B7D">
              <w:rPr>
                <w:rFonts w:eastAsia="Calibri"/>
              </w:rPr>
              <w:t xml:space="preserve">Goal: </w:t>
            </w:r>
            <w:r>
              <w:rPr>
                <w:rFonts w:eastAsia="Calibri"/>
              </w:rPr>
              <w:t>To</w:t>
            </w:r>
            <w:r w:rsidRPr="00E01B7D">
              <w:rPr>
                <w:rFonts w:eastAsia="Calibri"/>
              </w:rPr>
              <w:t xml:space="preserve"> increase the number of low-income rural and peri-urban populations accessing improved water and sanitation facilities and practicing improved hygiene behaviours as part of GoI’s efforts to achieve the water and sanitation MDGs</w:t>
            </w:r>
            <w:r>
              <w:rPr>
                <w:rFonts w:eastAsia="Calibri"/>
              </w:rPr>
              <w:t xml:space="preserve"> (PAMSIMAS)</w:t>
            </w:r>
            <w:r w:rsidRPr="00E01B7D">
              <w:rPr>
                <w:rFonts w:eastAsia="Calibri"/>
              </w:rPr>
              <w:t>.</w:t>
            </w:r>
          </w:p>
          <w:p w14:paraId="5878BE2F" w14:textId="77777777" w:rsidR="00934BE3" w:rsidRPr="00E01B7D" w:rsidRDefault="00934BE3" w:rsidP="00396139">
            <w:pPr>
              <w:pStyle w:val="TableText"/>
              <w:rPr>
                <w:rFonts w:eastAsia="Calibri"/>
                <w:i/>
              </w:rPr>
            </w:pPr>
            <w:r>
              <w:rPr>
                <w:rFonts w:eastAsia="Calibri"/>
              </w:rPr>
              <w:t>To</w:t>
            </w:r>
            <w:r w:rsidRPr="00E01B7D">
              <w:rPr>
                <w:rFonts w:eastAsia="Calibri"/>
              </w:rPr>
              <w:t xml:space="preserve"> improve access for Indonesians, particularly the poor, to adequate and sustainable water supply and environmental sanitation services, contributing to increased economic growth</w:t>
            </w:r>
            <w:r>
              <w:rPr>
                <w:rFonts w:eastAsia="Calibri"/>
              </w:rPr>
              <w:t xml:space="preserve"> (WASPOLA).</w:t>
            </w:r>
          </w:p>
        </w:tc>
        <w:tc>
          <w:tcPr>
            <w:tcW w:w="4110" w:type="dxa"/>
          </w:tcPr>
          <w:p w14:paraId="2B24E42C" w14:textId="77777777" w:rsidR="00934BE3" w:rsidRPr="00E01B7D" w:rsidRDefault="00934BE3" w:rsidP="00E56F06">
            <w:pPr>
              <w:pStyle w:val="TableText"/>
              <w:rPr>
                <w:rFonts w:eastAsia="Calibri"/>
              </w:rPr>
            </w:pPr>
            <w:r w:rsidRPr="00E01B7D">
              <w:rPr>
                <w:rFonts w:eastAsia="Calibri"/>
              </w:rPr>
              <w:t>PAMSIMAS is a national Indonesia</w:t>
            </w:r>
            <w:r>
              <w:rPr>
                <w:rFonts w:eastAsia="Calibri"/>
              </w:rPr>
              <w:t>n</w:t>
            </w:r>
            <w:r w:rsidRPr="00E01B7D">
              <w:rPr>
                <w:rFonts w:eastAsia="Calibri"/>
              </w:rPr>
              <w:t xml:space="preserve"> Government </w:t>
            </w:r>
            <w:r>
              <w:rPr>
                <w:rFonts w:eastAsia="Calibri"/>
              </w:rPr>
              <w:t>p</w:t>
            </w:r>
            <w:r w:rsidRPr="00E01B7D">
              <w:rPr>
                <w:rFonts w:eastAsia="Calibri"/>
              </w:rPr>
              <w:t xml:space="preserve">rogram partially funded by a World Bank loan and </w:t>
            </w:r>
            <w:r>
              <w:rPr>
                <w:rFonts w:eastAsia="Calibri"/>
              </w:rPr>
              <w:t>Australia</w:t>
            </w:r>
            <w:r w:rsidRPr="00E01B7D">
              <w:rPr>
                <w:rFonts w:eastAsia="Calibri"/>
              </w:rPr>
              <w:t xml:space="preserve"> co-financing. </w:t>
            </w:r>
          </w:p>
          <w:p w14:paraId="41523052" w14:textId="77777777" w:rsidR="00934BE3" w:rsidRPr="00E01B7D" w:rsidRDefault="00934BE3" w:rsidP="00396139">
            <w:pPr>
              <w:pStyle w:val="TableText"/>
              <w:rPr>
                <w:rFonts w:eastAsia="Calibri"/>
              </w:rPr>
            </w:pPr>
            <w:r w:rsidRPr="00E01B7D">
              <w:rPr>
                <w:rFonts w:eastAsia="Calibri"/>
              </w:rPr>
              <w:t xml:space="preserve">The WASPOLA Facility is an </w:t>
            </w:r>
            <w:r>
              <w:rPr>
                <w:rFonts w:eastAsia="Calibri"/>
              </w:rPr>
              <w:t>Australian</w:t>
            </w:r>
            <w:r w:rsidRPr="00E01B7D">
              <w:rPr>
                <w:rFonts w:eastAsia="Calibri"/>
              </w:rPr>
              <w:t xml:space="preserve"> initiative implemented by World Bank’s Water and Sanitation Program and </w:t>
            </w:r>
            <w:r>
              <w:rPr>
                <w:rFonts w:eastAsia="Calibri"/>
              </w:rPr>
              <w:t xml:space="preserve">the Indonesian Government. </w:t>
            </w:r>
          </w:p>
        </w:tc>
      </w:tr>
      <w:tr w:rsidR="00934BE3" w14:paraId="7788ED83" w14:textId="77777777" w:rsidTr="00801AFD">
        <w:tc>
          <w:tcPr>
            <w:tcW w:w="1323" w:type="dxa"/>
            <w:vMerge/>
          </w:tcPr>
          <w:p w14:paraId="73766FEB" w14:textId="77777777" w:rsidR="00934BE3" w:rsidRPr="00C615DC" w:rsidRDefault="00934BE3" w:rsidP="008764B9">
            <w:pPr>
              <w:pStyle w:val="TableText"/>
              <w:rPr>
                <w:rFonts w:eastAsia="Calibri"/>
                <w:b/>
                <w:bCs/>
              </w:rPr>
            </w:pPr>
          </w:p>
        </w:tc>
        <w:tc>
          <w:tcPr>
            <w:tcW w:w="1323" w:type="dxa"/>
          </w:tcPr>
          <w:p w14:paraId="21B08688" w14:textId="77777777" w:rsidR="00934BE3" w:rsidRPr="00E01B7D" w:rsidRDefault="00934BE3" w:rsidP="00E56F06">
            <w:pPr>
              <w:pStyle w:val="TableText"/>
              <w:rPr>
                <w:rFonts w:eastAsia="Calibri"/>
              </w:rPr>
            </w:pPr>
            <w:r w:rsidRPr="003E23F3">
              <w:rPr>
                <w:rFonts w:eastAsia="Calibri"/>
              </w:rPr>
              <w:t>Vietnam</w:t>
            </w:r>
            <w:r>
              <w:rPr>
                <w:rFonts w:eastAsia="Calibri"/>
              </w:rPr>
              <w:t>:</w:t>
            </w:r>
            <w:r w:rsidRPr="00E01B7D">
              <w:rPr>
                <w:rFonts w:eastAsia="Calibri"/>
              </w:rPr>
              <w:t xml:space="preserve"> Three delta towns water supply and sanitation project: Independent Completion Report (2008)</w:t>
            </w:r>
          </w:p>
        </w:tc>
        <w:tc>
          <w:tcPr>
            <w:tcW w:w="2991" w:type="dxa"/>
          </w:tcPr>
          <w:p w14:paraId="0C25C223" w14:textId="77777777" w:rsidR="00934BE3" w:rsidRPr="00640ECB" w:rsidRDefault="00934BE3" w:rsidP="00640ECB">
            <w:pPr>
              <w:pStyle w:val="TableText"/>
              <w:rPr>
                <w:rFonts w:eastAsia="Calibri"/>
              </w:rPr>
            </w:pPr>
            <w:r w:rsidRPr="00640ECB">
              <w:rPr>
                <w:rFonts w:eastAsia="Calibri"/>
              </w:rPr>
              <w:t>Value: $78,572,000</w:t>
            </w:r>
          </w:p>
          <w:p w14:paraId="1F956B12" w14:textId="77777777" w:rsidR="00934BE3" w:rsidRPr="00640ECB" w:rsidRDefault="00934BE3" w:rsidP="00640ECB">
            <w:pPr>
              <w:pStyle w:val="TableText"/>
              <w:rPr>
                <w:rFonts w:eastAsia="Calibri"/>
              </w:rPr>
            </w:pPr>
            <w:r w:rsidRPr="00640ECB">
              <w:rPr>
                <w:rFonts w:eastAsia="Calibri"/>
              </w:rPr>
              <w:t>Years: 2001</w:t>
            </w:r>
            <w:r>
              <w:rPr>
                <w:rFonts w:eastAsia="Calibri"/>
              </w:rPr>
              <w:t>–</w:t>
            </w:r>
            <w:r w:rsidRPr="00640ECB">
              <w:rPr>
                <w:rFonts w:eastAsia="Calibri"/>
              </w:rPr>
              <w:t>08</w:t>
            </w:r>
          </w:p>
          <w:p w14:paraId="4239476A" w14:textId="77777777" w:rsidR="00934BE3" w:rsidRPr="00640ECB" w:rsidRDefault="00934BE3" w:rsidP="00640ECB">
            <w:pPr>
              <w:pStyle w:val="TableText"/>
              <w:rPr>
                <w:rFonts w:eastAsia="Calibri"/>
              </w:rPr>
            </w:pPr>
            <w:r w:rsidRPr="00640ECB">
              <w:rPr>
                <w:rFonts w:eastAsia="Calibri"/>
              </w:rPr>
              <w:t>Goal: To improve the welfare of residents of Bac Lieu, Ha Tien and Sa Dec urban wards and communes by rehabilitating and extending water supply, drainage, wastewater and solid waste management facilities and services and to develop the capacity of local institutions and community groups to manage these systems on a sustainable basis.</w:t>
            </w:r>
          </w:p>
        </w:tc>
        <w:tc>
          <w:tcPr>
            <w:tcW w:w="4110" w:type="dxa"/>
          </w:tcPr>
          <w:p w14:paraId="2A7577FD" w14:textId="77777777" w:rsidR="00934BE3" w:rsidRPr="00640ECB" w:rsidRDefault="00934BE3" w:rsidP="00934BE3">
            <w:pPr>
              <w:pStyle w:val="TableText"/>
              <w:rPr>
                <w:rFonts w:eastAsia="Calibri"/>
              </w:rPr>
            </w:pPr>
            <w:r w:rsidRPr="00640ECB">
              <w:rPr>
                <w:rFonts w:eastAsia="Calibri"/>
              </w:rPr>
              <w:t xml:space="preserve">The project </w:t>
            </w:r>
            <w:r>
              <w:rPr>
                <w:rFonts w:eastAsia="Calibri"/>
              </w:rPr>
              <w:t>has</w:t>
            </w:r>
            <w:r w:rsidRPr="00640ECB">
              <w:rPr>
                <w:rFonts w:eastAsia="Calibri"/>
              </w:rPr>
              <w:t xml:space="preserve"> </w:t>
            </w:r>
            <w:r>
              <w:rPr>
                <w:rFonts w:eastAsia="Calibri"/>
              </w:rPr>
              <w:t>three</w:t>
            </w:r>
            <w:r w:rsidRPr="00640ECB">
              <w:rPr>
                <w:rFonts w:eastAsia="Calibri"/>
              </w:rPr>
              <w:t xml:space="preserve"> main components covering the </w:t>
            </w:r>
            <w:r>
              <w:rPr>
                <w:rFonts w:eastAsia="Calibri"/>
              </w:rPr>
              <w:t>three</w:t>
            </w:r>
            <w:r w:rsidRPr="00640ECB">
              <w:rPr>
                <w:rFonts w:eastAsia="Calibri"/>
              </w:rPr>
              <w:t xml:space="preserve"> towns, with a fourth component in project management. The </w:t>
            </w:r>
            <w:r>
              <w:rPr>
                <w:rFonts w:eastAsia="Calibri"/>
              </w:rPr>
              <w:t>o</w:t>
            </w:r>
            <w:r w:rsidRPr="00640ECB">
              <w:rPr>
                <w:rFonts w:eastAsia="Calibri"/>
              </w:rPr>
              <w:t>bjective of each town component emphasi</w:t>
            </w:r>
            <w:r>
              <w:rPr>
                <w:rFonts w:eastAsia="Calibri"/>
              </w:rPr>
              <w:t>s</w:t>
            </w:r>
            <w:r w:rsidRPr="00640ECB">
              <w:rPr>
                <w:rFonts w:eastAsia="Calibri"/>
              </w:rPr>
              <w:t>ed that infrastructure improvements</w:t>
            </w:r>
            <w:r>
              <w:rPr>
                <w:rFonts w:eastAsia="Calibri"/>
              </w:rPr>
              <w:t xml:space="preserve"> </w:t>
            </w:r>
            <w:r w:rsidRPr="00640ECB">
              <w:rPr>
                <w:rFonts w:eastAsia="Calibri"/>
              </w:rPr>
              <w:t xml:space="preserve">should be closely integrated with community development and institutional development subcomponents. </w:t>
            </w:r>
          </w:p>
        </w:tc>
      </w:tr>
      <w:tr w:rsidR="00934BE3" w14:paraId="1EB4F6EB" w14:textId="77777777" w:rsidTr="00801AFD">
        <w:tc>
          <w:tcPr>
            <w:tcW w:w="1323" w:type="dxa"/>
            <w:vMerge/>
          </w:tcPr>
          <w:p w14:paraId="5B0CBB2A" w14:textId="77777777" w:rsidR="00934BE3" w:rsidRPr="00C615DC" w:rsidRDefault="00934BE3" w:rsidP="008764B9">
            <w:pPr>
              <w:pStyle w:val="TableText"/>
              <w:rPr>
                <w:rFonts w:eastAsia="Calibri"/>
                <w:b/>
                <w:bCs/>
              </w:rPr>
            </w:pPr>
          </w:p>
        </w:tc>
        <w:tc>
          <w:tcPr>
            <w:tcW w:w="1323" w:type="dxa"/>
          </w:tcPr>
          <w:p w14:paraId="12752EC6" w14:textId="77777777" w:rsidR="00934BE3" w:rsidRPr="00E01B7D" w:rsidRDefault="00934BE3" w:rsidP="00396139">
            <w:pPr>
              <w:pStyle w:val="TableText"/>
              <w:rPr>
                <w:rFonts w:eastAsia="Calibri"/>
              </w:rPr>
            </w:pPr>
            <w:r w:rsidRPr="00E01B7D">
              <w:rPr>
                <w:rFonts w:eastAsia="Calibri"/>
              </w:rPr>
              <w:t>Philippines</w:t>
            </w:r>
            <w:r>
              <w:rPr>
                <w:rFonts w:eastAsia="Calibri"/>
              </w:rPr>
              <w:t>:</w:t>
            </w:r>
            <w:r w:rsidRPr="00E01B7D">
              <w:rPr>
                <w:rFonts w:eastAsia="Calibri"/>
              </w:rPr>
              <w:t xml:space="preserve"> Provincial Road Management Facility </w:t>
            </w:r>
            <w:r>
              <w:rPr>
                <w:rFonts w:eastAsia="Calibri"/>
              </w:rPr>
              <w:t>(PRMF)</w:t>
            </w:r>
          </w:p>
        </w:tc>
        <w:tc>
          <w:tcPr>
            <w:tcW w:w="2991" w:type="dxa"/>
          </w:tcPr>
          <w:p w14:paraId="349026B7" w14:textId="77777777" w:rsidR="00934BE3" w:rsidRPr="00E01B7D" w:rsidRDefault="00934BE3" w:rsidP="00640ECB">
            <w:pPr>
              <w:pStyle w:val="TableText"/>
              <w:rPr>
                <w:rFonts w:eastAsia="Calibri"/>
              </w:rPr>
            </w:pPr>
            <w:r w:rsidRPr="00E01B7D">
              <w:rPr>
                <w:rFonts w:eastAsia="Calibri"/>
              </w:rPr>
              <w:t>Value: $100 million</w:t>
            </w:r>
          </w:p>
          <w:p w14:paraId="192A0A95" w14:textId="77777777" w:rsidR="00934BE3" w:rsidRPr="00E01B7D" w:rsidRDefault="00934BE3" w:rsidP="00640ECB">
            <w:pPr>
              <w:pStyle w:val="TableText"/>
              <w:rPr>
                <w:rFonts w:eastAsia="Calibri"/>
              </w:rPr>
            </w:pPr>
            <w:r w:rsidRPr="00E01B7D">
              <w:rPr>
                <w:rFonts w:eastAsia="Calibri"/>
              </w:rPr>
              <w:t>Years: 2009</w:t>
            </w:r>
            <w:r>
              <w:rPr>
                <w:rFonts w:eastAsia="Calibri"/>
              </w:rPr>
              <w:t>–</w:t>
            </w:r>
            <w:r w:rsidRPr="00E01B7D">
              <w:rPr>
                <w:rFonts w:eastAsia="Calibri"/>
              </w:rPr>
              <w:t>14</w:t>
            </w:r>
          </w:p>
          <w:p w14:paraId="7CE4B045" w14:textId="77777777" w:rsidR="00934BE3" w:rsidRPr="00E01B7D" w:rsidRDefault="00934BE3" w:rsidP="00396139">
            <w:pPr>
              <w:pStyle w:val="TableText"/>
              <w:rPr>
                <w:rFonts w:eastAsia="Calibri"/>
              </w:rPr>
            </w:pPr>
            <w:r w:rsidRPr="00E01B7D">
              <w:rPr>
                <w:rFonts w:eastAsia="Calibri"/>
              </w:rPr>
              <w:t>Goal:</w:t>
            </w:r>
            <w:r w:rsidRPr="00E01B7D">
              <w:rPr>
                <w:rFonts w:eastAsia="Calibri"/>
                <w:sz w:val="22"/>
              </w:rPr>
              <w:t xml:space="preserve"> </w:t>
            </w:r>
            <w:r>
              <w:rPr>
                <w:rFonts w:eastAsia="Calibri"/>
              </w:rPr>
              <w:t>T</w:t>
            </w:r>
            <w:r w:rsidRPr="00E01B7D">
              <w:rPr>
                <w:rFonts w:eastAsia="Calibri"/>
              </w:rPr>
              <w:t>o promote economic growth and improve public access to public services in the Southern Philippines.</w:t>
            </w:r>
          </w:p>
        </w:tc>
        <w:tc>
          <w:tcPr>
            <w:tcW w:w="4110" w:type="dxa"/>
          </w:tcPr>
          <w:p w14:paraId="6C4B4578" w14:textId="77777777" w:rsidR="00934BE3" w:rsidRPr="00E01B7D" w:rsidRDefault="00934BE3" w:rsidP="00396139">
            <w:pPr>
              <w:pStyle w:val="TableText"/>
              <w:rPr>
                <w:rFonts w:eastAsia="Calibri"/>
              </w:rPr>
            </w:pPr>
            <w:r>
              <w:rPr>
                <w:rFonts w:eastAsia="Calibri"/>
              </w:rPr>
              <w:t>PRMF</w:t>
            </w:r>
            <w:r w:rsidRPr="00E01B7D">
              <w:rPr>
                <w:rFonts w:eastAsia="Calibri"/>
              </w:rPr>
              <w:t xml:space="preserve"> is a </w:t>
            </w:r>
            <w:r>
              <w:rPr>
                <w:rFonts w:eastAsia="Calibri"/>
              </w:rPr>
              <w:t>bilateral</w:t>
            </w:r>
            <w:r w:rsidRPr="00E01B7D">
              <w:rPr>
                <w:rFonts w:eastAsia="Calibri"/>
              </w:rPr>
              <w:t xml:space="preserve"> grant over </w:t>
            </w:r>
            <w:r>
              <w:rPr>
                <w:rFonts w:eastAsia="Calibri"/>
              </w:rPr>
              <w:t>5</w:t>
            </w:r>
            <w:r w:rsidRPr="00E01B7D">
              <w:rPr>
                <w:rFonts w:eastAsia="Calibri"/>
              </w:rPr>
              <w:t xml:space="preserve"> years that </w:t>
            </w:r>
            <w:r>
              <w:rPr>
                <w:rFonts w:eastAsia="Calibri"/>
              </w:rPr>
              <w:t xml:space="preserve">aims to </w:t>
            </w:r>
            <w:r w:rsidRPr="00E01B7D">
              <w:rPr>
                <w:rFonts w:eastAsia="Calibri"/>
              </w:rPr>
              <w:t>rehabilitat</w:t>
            </w:r>
            <w:r>
              <w:rPr>
                <w:rFonts w:eastAsia="Calibri"/>
              </w:rPr>
              <w:t>e</w:t>
            </w:r>
            <w:r w:rsidRPr="00E01B7D">
              <w:rPr>
                <w:rFonts w:eastAsia="Calibri"/>
              </w:rPr>
              <w:t xml:space="preserve"> and maintain a core road network in selected provinces and strengthen provincial government systems. </w:t>
            </w:r>
          </w:p>
        </w:tc>
      </w:tr>
    </w:tbl>
    <w:p w14:paraId="5C544CD7" w14:textId="77777777" w:rsidR="00AF6A11" w:rsidRDefault="00AF6A11" w:rsidP="00640ECB">
      <w:pPr>
        <w:pStyle w:val="Heading3a"/>
      </w:pPr>
      <w:bookmarkStart w:id="524" w:name="_Toc371980377"/>
      <w:bookmarkStart w:id="525" w:name="_Toc382563989"/>
      <w:bookmarkStart w:id="526" w:name="_Toc382595950"/>
      <w:r>
        <w:t>Fieldwork case study initiatives</w:t>
      </w:r>
      <w:bookmarkEnd w:id="524"/>
      <w:bookmarkEnd w:id="525"/>
      <w:bookmarkEnd w:id="526"/>
    </w:p>
    <w:p w14:paraId="2914CA45" w14:textId="10E5C2A7" w:rsidR="00AF6A11" w:rsidRDefault="00AF6A11" w:rsidP="00640ECB">
      <w:r>
        <w:t xml:space="preserve">The sample of initiatives selected for fieldwork case studies was selected </w:t>
      </w:r>
      <w:r w:rsidR="00517689">
        <w:t>to</w:t>
      </w:r>
      <w:r>
        <w:t xml:space="preserve"> demonstrat</w:t>
      </w:r>
      <w:r w:rsidR="00517689">
        <w:t>e</w:t>
      </w:r>
      <w:r>
        <w:t xml:space="preserve"> the diversity of ways, including new ways, in which Australian support is engaging in decentralised contexts</w:t>
      </w:r>
      <w:r w:rsidR="005340F7">
        <w:t>.</w:t>
      </w:r>
      <w:r w:rsidR="005340F7" w:rsidRPr="005340F7">
        <w:t xml:space="preserve"> </w:t>
      </w:r>
      <w:r w:rsidR="005340F7">
        <w:t xml:space="preserve">(Table A4). </w:t>
      </w:r>
      <w:r>
        <w:t>Further details of the programs themselves are contained in the main report.</w:t>
      </w:r>
    </w:p>
    <w:p w14:paraId="1DA07DB4" w14:textId="77777777" w:rsidR="00AF6A11" w:rsidRDefault="00AF6A11" w:rsidP="00640ECB">
      <w:pPr>
        <w:pStyle w:val="TableName"/>
      </w:pPr>
      <w:r>
        <w:t>Table A4</w:t>
      </w:r>
      <w:r>
        <w:tab/>
        <w:t>Initiatives selected for fieldwork case studies</w:t>
      </w:r>
    </w:p>
    <w:tbl>
      <w:tblPr>
        <w:tblStyle w:val="TableGrid"/>
        <w:tblW w:w="0" w:type="auto"/>
        <w:tblLook w:val="04A0" w:firstRow="1" w:lastRow="0" w:firstColumn="1" w:lastColumn="0" w:noHBand="0" w:noVBand="1"/>
      </w:tblPr>
      <w:tblGrid>
        <w:gridCol w:w="1384"/>
        <w:gridCol w:w="3929"/>
        <w:gridCol w:w="3929"/>
      </w:tblGrid>
      <w:tr w:rsidR="008764B9" w14:paraId="28B980AE" w14:textId="77777777" w:rsidTr="00C615DC">
        <w:trPr>
          <w:cnfStyle w:val="100000000000" w:firstRow="1" w:lastRow="0" w:firstColumn="0" w:lastColumn="0" w:oddVBand="0" w:evenVBand="0" w:oddHBand="0" w:evenHBand="0" w:firstRowFirstColumn="0" w:firstRowLastColumn="0" w:lastRowFirstColumn="0" w:lastRowLastColumn="0"/>
        </w:trPr>
        <w:tc>
          <w:tcPr>
            <w:tcW w:w="1384" w:type="dxa"/>
          </w:tcPr>
          <w:p w14:paraId="3103248E" w14:textId="77777777" w:rsidR="008764B9" w:rsidRPr="00047BBA" w:rsidRDefault="008764B9" w:rsidP="00640ECB">
            <w:pPr>
              <w:pStyle w:val="TableHeading"/>
              <w:rPr>
                <w:sz w:val="18"/>
                <w:szCs w:val="18"/>
              </w:rPr>
            </w:pPr>
            <w:r w:rsidRPr="00047BBA">
              <w:rPr>
                <w:sz w:val="18"/>
                <w:szCs w:val="18"/>
              </w:rPr>
              <w:t>Sector</w:t>
            </w:r>
          </w:p>
        </w:tc>
        <w:tc>
          <w:tcPr>
            <w:tcW w:w="3929" w:type="dxa"/>
          </w:tcPr>
          <w:p w14:paraId="609E1DF9" w14:textId="77777777" w:rsidR="008764B9" w:rsidRPr="00047BBA" w:rsidRDefault="008764B9" w:rsidP="00640ECB">
            <w:pPr>
              <w:pStyle w:val="TableHeading"/>
              <w:rPr>
                <w:sz w:val="18"/>
                <w:szCs w:val="18"/>
              </w:rPr>
            </w:pPr>
            <w:r w:rsidRPr="00047BBA">
              <w:rPr>
                <w:sz w:val="18"/>
                <w:szCs w:val="18"/>
              </w:rPr>
              <w:t>Program</w:t>
            </w:r>
          </w:p>
        </w:tc>
        <w:tc>
          <w:tcPr>
            <w:tcW w:w="3929" w:type="dxa"/>
          </w:tcPr>
          <w:p w14:paraId="2CF0B0C0" w14:textId="70A7DF48" w:rsidR="008764B9" w:rsidRPr="00047BBA" w:rsidRDefault="008764B9" w:rsidP="00640ECB">
            <w:pPr>
              <w:pStyle w:val="TableHeading"/>
              <w:rPr>
                <w:sz w:val="18"/>
                <w:szCs w:val="18"/>
              </w:rPr>
            </w:pPr>
            <w:r w:rsidRPr="00047BBA">
              <w:rPr>
                <w:sz w:val="18"/>
                <w:szCs w:val="18"/>
              </w:rPr>
              <w:t>De</w:t>
            </w:r>
            <w:r w:rsidR="00253112" w:rsidRPr="00047BBA">
              <w:rPr>
                <w:sz w:val="18"/>
                <w:szCs w:val="18"/>
              </w:rPr>
              <w:t>s</w:t>
            </w:r>
            <w:r w:rsidRPr="00047BBA">
              <w:rPr>
                <w:sz w:val="18"/>
                <w:szCs w:val="18"/>
              </w:rPr>
              <w:t>criptions</w:t>
            </w:r>
          </w:p>
        </w:tc>
      </w:tr>
      <w:tr w:rsidR="008764B9" w14:paraId="47F69F49" w14:textId="77777777" w:rsidTr="00C615DC">
        <w:tc>
          <w:tcPr>
            <w:tcW w:w="1384" w:type="dxa"/>
            <w:vMerge w:val="restart"/>
          </w:tcPr>
          <w:p w14:paraId="6F8A5F43" w14:textId="77777777" w:rsidR="008764B9" w:rsidRPr="00E01B7D" w:rsidRDefault="008764B9" w:rsidP="003B336C">
            <w:pPr>
              <w:pStyle w:val="TableText"/>
              <w:rPr>
                <w:rFonts w:eastAsia="Calibri"/>
              </w:rPr>
            </w:pPr>
            <w:r>
              <w:rPr>
                <w:rFonts w:eastAsia="Calibri"/>
                <w:b/>
                <w:bCs/>
              </w:rPr>
              <w:t>Health</w:t>
            </w:r>
          </w:p>
        </w:tc>
        <w:tc>
          <w:tcPr>
            <w:tcW w:w="3929" w:type="dxa"/>
          </w:tcPr>
          <w:p w14:paraId="2A757531" w14:textId="77777777" w:rsidR="008764B9" w:rsidRPr="00E01B7D" w:rsidRDefault="008764B9" w:rsidP="003B336C">
            <w:pPr>
              <w:pStyle w:val="TableText"/>
              <w:rPr>
                <w:rFonts w:eastAsia="Calibri"/>
              </w:rPr>
            </w:pPr>
            <w:r w:rsidRPr="00E01B7D">
              <w:rPr>
                <w:rFonts w:eastAsia="Calibri"/>
              </w:rPr>
              <w:t>Indonesia: Australia</w:t>
            </w:r>
            <w:r>
              <w:rPr>
                <w:rFonts w:eastAsia="Calibri"/>
              </w:rPr>
              <w:t>–</w:t>
            </w:r>
            <w:r w:rsidRPr="00E01B7D">
              <w:rPr>
                <w:rFonts w:eastAsia="Calibri"/>
              </w:rPr>
              <w:t xml:space="preserve">Indonesia Program for Maternal and Neonatal Health </w:t>
            </w:r>
          </w:p>
        </w:tc>
        <w:tc>
          <w:tcPr>
            <w:tcW w:w="3929" w:type="dxa"/>
          </w:tcPr>
          <w:p w14:paraId="771DA958" w14:textId="77777777" w:rsidR="008764B9" w:rsidRPr="00E01B7D" w:rsidRDefault="008764B9" w:rsidP="00640ECB">
            <w:pPr>
              <w:pStyle w:val="TableText"/>
              <w:rPr>
                <w:rFonts w:eastAsia="Calibri"/>
              </w:rPr>
            </w:pPr>
            <w:r w:rsidRPr="00E01B7D">
              <w:rPr>
                <w:rFonts w:eastAsia="Calibri"/>
              </w:rPr>
              <w:t xml:space="preserve">Health service delivery focus, working in 14 districts in one province in </w:t>
            </w:r>
            <w:r>
              <w:rPr>
                <w:rFonts w:eastAsia="Calibri"/>
              </w:rPr>
              <w:t>e</w:t>
            </w:r>
            <w:r w:rsidRPr="00E01B7D">
              <w:rPr>
                <w:rFonts w:eastAsia="Calibri"/>
              </w:rPr>
              <w:t>astern Indonesia</w:t>
            </w:r>
          </w:p>
        </w:tc>
      </w:tr>
      <w:tr w:rsidR="008764B9" w14:paraId="7792FED6" w14:textId="77777777" w:rsidTr="00C615DC">
        <w:tc>
          <w:tcPr>
            <w:tcW w:w="1384" w:type="dxa"/>
            <w:vMerge/>
          </w:tcPr>
          <w:p w14:paraId="5B499959" w14:textId="77777777" w:rsidR="008764B9" w:rsidRPr="00E01B7D" w:rsidRDefault="008764B9" w:rsidP="00640ECB">
            <w:pPr>
              <w:pStyle w:val="TableText"/>
              <w:rPr>
                <w:rFonts w:eastAsia="Calibri"/>
              </w:rPr>
            </w:pPr>
          </w:p>
        </w:tc>
        <w:tc>
          <w:tcPr>
            <w:tcW w:w="3929" w:type="dxa"/>
          </w:tcPr>
          <w:p w14:paraId="318CBF67" w14:textId="77777777" w:rsidR="008764B9" w:rsidRPr="00E01B7D" w:rsidRDefault="008764B9" w:rsidP="00640ECB">
            <w:pPr>
              <w:pStyle w:val="TableText"/>
              <w:rPr>
                <w:rFonts w:eastAsia="Calibri"/>
              </w:rPr>
            </w:pPr>
            <w:r w:rsidRPr="00E01B7D">
              <w:rPr>
                <w:rFonts w:eastAsia="Calibri"/>
              </w:rPr>
              <w:t xml:space="preserve">PNG: Support to provincial health authorities </w:t>
            </w:r>
          </w:p>
        </w:tc>
        <w:tc>
          <w:tcPr>
            <w:tcW w:w="3929" w:type="dxa"/>
          </w:tcPr>
          <w:p w14:paraId="7F97A49C" w14:textId="77777777" w:rsidR="008764B9" w:rsidRPr="00E01B7D" w:rsidRDefault="008764B9" w:rsidP="00640ECB">
            <w:pPr>
              <w:pStyle w:val="TableText"/>
              <w:rPr>
                <w:rFonts w:eastAsia="Calibri"/>
              </w:rPr>
            </w:pPr>
            <w:r w:rsidRPr="00E01B7D">
              <w:rPr>
                <w:rFonts w:eastAsia="Calibri"/>
              </w:rPr>
              <w:t>Support to three pilot ‘provincial health authorities’ who are responsible for both hospitals and health centres at local level</w:t>
            </w:r>
          </w:p>
        </w:tc>
      </w:tr>
      <w:tr w:rsidR="008764B9" w14:paraId="4BAAA78A" w14:textId="77777777" w:rsidTr="00C615DC">
        <w:tc>
          <w:tcPr>
            <w:tcW w:w="1384" w:type="dxa"/>
            <w:vMerge w:val="restart"/>
          </w:tcPr>
          <w:p w14:paraId="5D4755D8" w14:textId="77777777" w:rsidR="008764B9" w:rsidRPr="00E01B7D" w:rsidRDefault="008764B9" w:rsidP="00640ECB">
            <w:pPr>
              <w:pStyle w:val="TableText"/>
              <w:rPr>
                <w:rFonts w:eastAsia="Calibri"/>
              </w:rPr>
            </w:pPr>
            <w:r>
              <w:rPr>
                <w:rFonts w:eastAsia="Calibri"/>
                <w:b/>
                <w:bCs/>
              </w:rPr>
              <w:t>Education</w:t>
            </w:r>
          </w:p>
        </w:tc>
        <w:tc>
          <w:tcPr>
            <w:tcW w:w="3929" w:type="dxa"/>
          </w:tcPr>
          <w:p w14:paraId="14B53449" w14:textId="77777777" w:rsidR="008764B9" w:rsidRPr="00E01B7D" w:rsidRDefault="008764B9" w:rsidP="00640ECB">
            <w:pPr>
              <w:pStyle w:val="TableText"/>
              <w:rPr>
                <w:rFonts w:eastAsia="Calibri"/>
              </w:rPr>
            </w:pPr>
            <w:r w:rsidRPr="00E01B7D">
              <w:rPr>
                <w:rFonts w:eastAsia="Calibri"/>
              </w:rPr>
              <w:t>PNG: Specialised support provision in school infrastructure</w:t>
            </w:r>
          </w:p>
        </w:tc>
        <w:tc>
          <w:tcPr>
            <w:tcW w:w="3929" w:type="dxa"/>
          </w:tcPr>
          <w:p w14:paraId="06A38ED1" w14:textId="77777777" w:rsidR="008764B9" w:rsidRPr="00E01B7D" w:rsidRDefault="008764B9" w:rsidP="00640ECB">
            <w:pPr>
              <w:pStyle w:val="TableText"/>
              <w:rPr>
                <w:rFonts w:eastAsia="Calibri"/>
              </w:rPr>
            </w:pPr>
            <w:r w:rsidRPr="00E01B7D">
              <w:rPr>
                <w:rFonts w:eastAsia="Calibri"/>
              </w:rPr>
              <w:t>Provision of school infrastructure in all 20</w:t>
            </w:r>
            <w:r>
              <w:rPr>
                <w:rFonts w:eastAsia="Calibri"/>
              </w:rPr>
              <w:t> </w:t>
            </w:r>
            <w:r w:rsidRPr="00E01B7D">
              <w:rPr>
                <w:rFonts w:eastAsia="Calibri"/>
              </w:rPr>
              <w:t>provinces through an external contractor</w:t>
            </w:r>
          </w:p>
        </w:tc>
      </w:tr>
      <w:tr w:rsidR="008764B9" w14:paraId="054EC884" w14:textId="77777777" w:rsidTr="00C615DC">
        <w:tc>
          <w:tcPr>
            <w:tcW w:w="1384" w:type="dxa"/>
            <w:vMerge/>
          </w:tcPr>
          <w:p w14:paraId="6CEA3B23" w14:textId="77777777" w:rsidR="008764B9" w:rsidRPr="00E01B7D" w:rsidRDefault="008764B9" w:rsidP="00640ECB">
            <w:pPr>
              <w:pStyle w:val="TableText"/>
              <w:rPr>
                <w:rFonts w:eastAsia="Calibri"/>
              </w:rPr>
            </w:pPr>
          </w:p>
        </w:tc>
        <w:tc>
          <w:tcPr>
            <w:tcW w:w="3929" w:type="dxa"/>
          </w:tcPr>
          <w:p w14:paraId="70EB9E08" w14:textId="77777777" w:rsidR="008764B9" w:rsidRPr="00E01B7D" w:rsidRDefault="008764B9" w:rsidP="00640ECB">
            <w:pPr>
              <w:pStyle w:val="TableText"/>
              <w:rPr>
                <w:rFonts w:eastAsia="Calibri"/>
              </w:rPr>
            </w:pPr>
            <w:r w:rsidRPr="00E01B7D">
              <w:rPr>
                <w:rFonts w:eastAsia="Calibri"/>
              </w:rPr>
              <w:t xml:space="preserve">Philippines: Strengthening the Implementation of Basic Education in Selected Provinces in the Visayas </w:t>
            </w:r>
          </w:p>
        </w:tc>
        <w:tc>
          <w:tcPr>
            <w:tcW w:w="3929" w:type="dxa"/>
          </w:tcPr>
          <w:p w14:paraId="1A1A7D8A" w14:textId="77777777" w:rsidR="008764B9" w:rsidRPr="00E01B7D" w:rsidRDefault="008764B9" w:rsidP="00640ECB">
            <w:pPr>
              <w:pStyle w:val="TableText"/>
              <w:rPr>
                <w:rFonts w:eastAsia="Calibri"/>
              </w:rPr>
            </w:pPr>
            <w:r w:rsidRPr="00E01B7D">
              <w:rPr>
                <w:rFonts w:eastAsia="Calibri"/>
              </w:rPr>
              <w:t>Support at subnational level to the national education reform process which involves deconcentration of education management to regions and divisions</w:t>
            </w:r>
          </w:p>
        </w:tc>
      </w:tr>
      <w:tr w:rsidR="008764B9" w14:paraId="3114EDBA" w14:textId="77777777" w:rsidTr="00C615DC">
        <w:tc>
          <w:tcPr>
            <w:tcW w:w="1384" w:type="dxa"/>
            <w:vMerge w:val="restart"/>
          </w:tcPr>
          <w:p w14:paraId="3A6F17F7" w14:textId="77777777" w:rsidR="008764B9" w:rsidRPr="00E01B7D" w:rsidRDefault="008764B9" w:rsidP="00640ECB">
            <w:pPr>
              <w:pStyle w:val="TableText"/>
              <w:rPr>
                <w:rFonts w:eastAsia="Calibri"/>
              </w:rPr>
            </w:pPr>
            <w:r w:rsidRPr="00640ECB">
              <w:rPr>
                <w:rFonts w:eastAsia="Calibri"/>
                <w:b/>
                <w:bCs/>
              </w:rPr>
              <w:t>Infrastructure</w:t>
            </w:r>
          </w:p>
        </w:tc>
        <w:tc>
          <w:tcPr>
            <w:tcW w:w="3929" w:type="dxa"/>
          </w:tcPr>
          <w:p w14:paraId="52F7386B" w14:textId="77777777" w:rsidR="008764B9" w:rsidRPr="00E01B7D" w:rsidRDefault="008764B9" w:rsidP="00640ECB">
            <w:pPr>
              <w:pStyle w:val="TableText"/>
              <w:rPr>
                <w:rFonts w:eastAsia="Calibri"/>
              </w:rPr>
            </w:pPr>
            <w:r w:rsidRPr="00E01B7D">
              <w:rPr>
                <w:rFonts w:eastAsia="Calibri"/>
              </w:rPr>
              <w:t>Indonesia: Water and Sanitation Hibah</w:t>
            </w:r>
          </w:p>
        </w:tc>
        <w:tc>
          <w:tcPr>
            <w:tcW w:w="3929" w:type="dxa"/>
          </w:tcPr>
          <w:p w14:paraId="713C4AF8" w14:textId="77777777" w:rsidR="008764B9" w:rsidRPr="00E01B7D" w:rsidRDefault="008764B9" w:rsidP="00640ECB">
            <w:pPr>
              <w:pStyle w:val="TableText"/>
              <w:rPr>
                <w:rFonts w:eastAsia="Calibri"/>
              </w:rPr>
            </w:pPr>
            <w:r w:rsidRPr="00E01B7D">
              <w:rPr>
                <w:rFonts w:eastAsia="Calibri"/>
              </w:rPr>
              <w:t>Demand-led support to local governments to invest in water and sanitation services for the poor through an output-aid modality</w:t>
            </w:r>
          </w:p>
        </w:tc>
      </w:tr>
      <w:tr w:rsidR="008764B9" w14:paraId="6CEAFE65" w14:textId="77777777" w:rsidTr="00C615DC">
        <w:tc>
          <w:tcPr>
            <w:tcW w:w="1384" w:type="dxa"/>
            <w:vMerge/>
          </w:tcPr>
          <w:p w14:paraId="0AF0C620" w14:textId="77777777" w:rsidR="008764B9" w:rsidRPr="00E01B7D" w:rsidRDefault="008764B9" w:rsidP="00640ECB">
            <w:pPr>
              <w:pStyle w:val="TableText"/>
              <w:rPr>
                <w:rFonts w:eastAsia="Calibri"/>
              </w:rPr>
            </w:pPr>
          </w:p>
        </w:tc>
        <w:tc>
          <w:tcPr>
            <w:tcW w:w="3929" w:type="dxa"/>
          </w:tcPr>
          <w:p w14:paraId="51ED6D06" w14:textId="77777777" w:rsidR="008764B9" w:rsidRPr="00E01B7D" w:rsidRDefault="008764B9" w:rsidP="00640ECB">
            <w:pPr>
              <w:pStyle w:val="TableText"/>
              <w:rPr>
                <w:rFonts w:eastAsia="Calibri"/>
              </w:rPr>
            </w:pPr>
            <w:r w:rsidRPr="00E01B7D">
              <w:rPr>
                <w:rFonts w:eastAsia="Calibri"/>
              </w:rPr>
              <w:t>Philippines: Provincial Road Management Facility</w:t>
            </w:r>
          </w:p>
        </w:tc>
        <w:tc>
          <w:tcPr>
            <w:tcW w:w="3929" w:type="dxa"/>
          </w:tcPr>
          <w:p w14:paraId="1C7C7040" w14:textId="77777777" w:rsidR="008764B9" w:rsidRPr="00E01B7D" w:rsidRDefault="008764B9" w:rsidP="00640ECB">
            <w:pPr>
              <w:pStyle w:val="TableText"/>
              <w:rPr>
                <w:rFonts w:eastAsia="Calibri"/>
              </w:rPr>
            </w:pPr>
            <w:r w:rsidRPr="00E01B7D">
              <w:rPr>
                <w:rFonts w:eastAsia="Calibri"/>
              </w:rPr>
              <w:t>Support to provincial authorities and national department for local government to manage maintenance of roads</w:t>
            </w:r>
          </w:p>
        </w:tc>
      </w:tr>
    </w:tbl>
    <w:p w14:paraId="0E2E5CE9" w14:textId="77777777" w:rsidR="003E2D3C" w:rsidRDefault="003E2D3C" w:rsidP="003F666A">
      <w:pPr>
        <w:pStyle w:val="Heading3"/>
        <w:ind w:left="0" w:firstLine="0"/>
      </w:pPr>
      <w:r>
        <w:t>Governance programs</w:t>
      </w:r>
    </w:p>
    <w:p w14:paraId="23AEFFA2" w14:textId="77777777" w:rsidR="003E2D3C" w:rsidRDefault="003E2D3C" w:rsidP="00C615DC">
      <w:pPr>
        <w:pStyle w:val="NormalBeforeBullet"/>
      </w:pPr>
      <w:r>
        <w:t xml:space="preserve">The following </w:t>
      </w:r>
      <w:r w:rsidR="003F666A">
        <w:t xml:space="preserve">section </w:t>
      </w:r>
      <w:r>
        <w:t>provides an overview of the g</w:t>
      </w:r>
      <w:r w:rsidRPr="00367DEA">
        <w:t xml:space="preserve">overnance programs that </w:t>
      </w:r>
      <w:r>
        <w:t xml:space="preserve">have been supported by the Australian </w:t>
      </w:r>
      <w:r w:rsidR="00636F11">
        <w:t xml:space="preserve">aid program </w:t>
      </w:r>
      <w:r>
        <w:t>in the three focus countries of the evaluation. This information is provided to assist the reader contextualise the sector</w:t>
      </w:r>
      <w:r w:rsidR="000059B5">
        <w:t>-</w:t>
      </w:r>
      <w:r>
        <w:t xml:space="preserve">specific initiatives and country case studies discussed in the evaluation report. The </w:t>
      </w:r>
      <w:r w:rsidR="004E19BF">
        <w:t>sub</w:t>
      </w:r>
      <w:r>
        <w:t>sections</w:t>
      </w:r>
      <w:r w:rsidR="000059B5">
        <w:t xml:space="preserve"> are</w:t>
      </w:r>
      <w:r>
        <w:t xml:space="preserve">: </w:t>
      </w:r>
    </w:p>
    <w:p w14:paraId="0B91AB0B" w14:textId="77777777" w:rsidR="003E2D3C" w:rsidRPr="00516B8E" w:rsidRDefault="000059B5" w:rsidP="003F666A">
      <w:pPr>
        <w:pStyle w:val="Bullet"/>
      </w:pPr>
      <w:r>
        <w:t>g</w:t>
      </w:r>
      <w:r w:rsidRPr="00516B8E">
        <w:t xml:space="preserve">overnance </w:t>
      </w:r>
      <w:r w:rsidR="003E2D3C" w:rsidRPr="00516B8E">
        <w:t xml:space="preserve">initiatives in </w:t>
      </w:r>
      <w:r w:rsidR="003E2D3C">
        <w:t>Indone</w:t>
      </w:r>
      <w:r w:rsidR="003E2D3C" w:rsidRPr="00516B8E">
        <w:t>s</w:t>
      </w:r>
      <w:r w:rsidR="003E2D3C">
        <w:t>i</w:t>
      </w:r>
      <w:r w:rsidR="003E2D3C" w:rsidRPr="00516B8E">
        <w:t>a</w:t>
      </w:r>
      <w:r w:rsidR="003E2D3C">
        <w:t xml:space="preserve"> </w:t>
      </w:r>
    </w:p>
    <w:p w14:paraId="6E5B7985" w14:textId="77777777" w:rsidR="003E2D3C" w:rsidRPr="00516B8E" w:rsidRDefault="000059B5" w:rsidP="003F666A">
      <w:pPr>
        <w:pStyle w:val="Bullet"/>
      </w:pPr>
      <w:r>
        <w:t>g</w:t>
      </w:r>
      <w:r w:rsidRPr="00516B8E">
        <w:t xml:space="preserve">overnance </w:t>
      </w:r>
      <w:r w:rsidR="003E2D3C" w:rsidRPr="00516B8E">
        <w:t xml:space="preserve">initiatives in </w:t>
      </w:r>
      <w:r w:rsidR="003E2D3C">
        <w:t xml:space="preserve">the </w:t>
      </w:r>
      <w:r w:rsidR="003E2D3C" w:rsidRPr="00516B8E">
        <w:t xml:space="preserve">Philippines </w:t>
      </w:r>
    </w:p>
    <w:p w14:paraId="4651C9D1" w14:textId="77777777" w:rsidR="004E19BF" w:rsidRDefault="000059B5" w:rsidP="003E2D3C">
      <w:pPr>
        <w:pStyle w:val="Bullet"/>
      </w:pPr>
      <w:r>
        <w:t>g</w:t>
      </w:r>
      <w:r w:rsidRPr="00516B8E">
        <w:t xml:space="preserve">overnance </w:t>
      </w:r>
      <w:r w:rsidR="003E2D3C" w:rsidRPr="00516B8E">
        <w:t xml:space="preserve">initiatives in </w:t>
      </w:r>
      <w:r w:rsidR="00636F11">
        <w:t>PNG</w:t>
      </w:r>
      <w:r>
        <w:t>.</w:t>
      </w:r>
    </w:p>
    <w:p w14:paraId="4AB84359" w14:textId="77777777" w:rsidR="003E2D3C" w:rsidRDefault="003E2D3C" w:rsidP="003F666A">
      <w:pPr>
        <w:pStyle w:val="Heading3"/>
      </w:pPr>
      <w:r w:rsidRPr="00CA6A55">
        <w:t xml:space="preserve">Summary of </w:t>
      </w:r>
      <w:r>
        <w:t>Australian aid</w:t>
      </w:r>
      <w:r w:rsidR="00A14962">
        <w:t>-</w:t>
      </w:r>
      <w:r>
        <w:t xml:space="preserve">supported </w:t>
      </w:r>
      <w:r w:rsidRPr="00CA6A55">
        <w:t>g</w:t>
      </w:r>
      <w:r>
        <w:t>overnance programs in Indonesia</w:t>
      </w:r>
    </w:p>
    <w:p w14:paraId="19FC80CE" w14:textId="77777777" w:rsidR="003E2D3C" w:rsidRDefault="003E2D3C" w:rsidP="003E2D3C">
      <w:r w:rsidRPr="00CA6A55">
        <w:t xml:space="preserve">The Australian </w:t>
      </w:r>
      <w:r w:rsidR="00636F11">
        <w:t>G</w:t>
      </w:r>
      <w:r w:rsidRPr="00CA6A55">
        <w:t xml:space="preserve">overnment has supported </w:t>
      </w:r>
      <w:r>
        <w:t>11</w:t>
      </w:r>
      <w:r w:rsidRPr="00CA6A55">
        <w:t xml:space="preserve"> governance programs in Indonesia </w:t>
      </w:r>
      <w:r w:rsidR="00A14962">
        <w:t>from</w:t>
      </w:r>
      <w:r>
        <w:t xml:space="preserve"> 2002 to the present. The initiatives are presented below according to governance program type. Most of the programs are listed according to a single category. Three initiatives are listed twice (ACCESS, LOGICA II, and AIPD) under both support to sub</w:t>
      </w:r>
      <w:r w:rsidR="00F50C5F">
        <w:t>national</w:t>
      </w:r>
      <w:r>
        <w:t xml:space="preserve"> authorities and support for local area development. </w:t>
      </w:r>
    </w:p>
    <w:p w14:paraId="06E61FA7" w14:textId="77777777" w:rsidR="003E2D3C" w:rsidRPr="00C615DC" w:rsidRDefault="003E2D3C" w:rsidP="00C615DC">
      <w:pPr>
        <w:pStyle w:val="NormalBeforeBullet"/>
        <w:rPr>
          <w:b/>
        </w:rPr>
      </w:pPr>
      <w:r w:rsidRPr="00C615DC">
        <w:rPr>
          <w:b/>
        </w:rPr>
        <w:t>Support to national decentrali</w:t>
      </w:r>
      <w:r w:rsidR="00A14962">
        <w:rPr>
          <w:b/>
        </w:rPr>
        <w:t>s</w:t>
      </w:r>
      <w:r w:rsidRPr="00C615DC">
        <w:rPr>
          <w:b/>
        </w:rPr>
        <w:t xml:space="preserve">ation policy reforms: </w:t>
      </w:r>
    </w:p>
    <w:p w14:paraId="455901B7" w14:textId="77777777" w:rsidR="003E2D3C" w:rsidRDefault="003E2D3C" w:rsidP="003F666A">
      <w:pPr>
        <w:pStyle w:val="Bullet"/>
      </w:pPr>
      <w:r>
        <w:t xml:space="preserve">SMERU Research Institute (an </w:t>
      </w:r>
      <w:r w:rsidRPr="00E73A4C">
        <w:t>independent not-for-profit institute for research and public policy studies</w:t>
      </w:r>
      <w:r>
        <w:t>): 1998</w:t>
      </w:r>
      <w:r w:rsidR="00A14962">
        <w:t>–</w:t>
      </w:r>
      <w:r>
        <w:t>2013</w:t>
      </w:r>
    </w:p>
    <w:p w14:paraId="02A39E3A" w14:textId="77777777" w:rsidR="003E2D3C" w:rsidRDefault="003E2D3C" w:rsidP="003F666A">
      <w:pPr>
        <w:pStyle w:val="Bullet"/>
      </w:pPr>
      <w:r>
        <w:t>Government partnerships fund: 2010</w:t>
      </w:r>
      <w:r w:rsidR="00A14962">
        <w:t>–</w:t>
      </w:r>
      <w:r>
        <w:t>15</w:t>
      </w:r>
    </w:p>
    <w:p w14:paraId="59F9DB41" w14:textId="77777777" w:rsidR="003E2D3C" w:rsidRDefault="003E2D3C" w:rsidP="003F666A">
      <w:pPr>
        <w:pStyle w:val="Bullet"/>
      </w:pPr>
      <w:r>
        <w:t>Australia</w:t>
      </w:r>
      <w:r w:rsidR="00A14962">
        <w:t>–</w:t>
      </w:r>
      <w:r>
        <w:t>Indonesia partnership for justice program: 2011</w:t>
      </w:r>
      <w:r w:rsidR="00A14962">
        <w:t>–</w:t>
      </w:r>
      <w:r>
        <w:t>15</w:t>
      </w:r>
    </w:p>
    <w:p w14:paraId="615D31B1" w14:textId="77777777" w:rsidR="003E2D3C" w:rsidRDefault="003E2D3C" w:rsidP="00C615DC">
      <w:pPr>
        <w:pStyle w:val="BulletLast"/>
      </w:pPr>
      <w:r>
        <w:t>Australia</w:t>
      </w:r>
      <w:r w:rsidR="00A14962">
        <w:t>–</w:t>
      </w:r>
      <w:r>
        <w:t>Indonesia partnership for electoral s</w:t>
      </w:r>
      <w:r w:rsidRPr="00AC757B">
        <w:t>upport</w:t>
      </w:r>
      <w:r>
        <w:t>: 2011</w:t>
      </w:r>
      <w:r w:rsidR="00A14962">
        <w:t>–</w:t>
      </w:r>
      <w:r>
        <w:t>15</w:t>
      </w:r>
      <w:r w:rsidR="00A14962">
        <w:t>.</w:t>
      </w:r>
    </w:p>
    <w:p w14:paraId="4F48456A" w14:textId="77777777" w:rsidR="003E2D3C" w:rsidRPr="00C615DC" w:rsidRDefault="003E2D3C" w:rsidP="00C615DC">
      <w:pPr>
        <w:pStyle w:val="NormalBeforeBullet"/>
        <w:rPr>
          <w:b/>
        </w:rPr>
      </w:pPr>
      <w:r w:rsidRPr="00C615DC">
        <w:rPr>
          <w:b/>
        </w:rPr>
        <w:t>Support for subnational authorities:</w:t>
      </w:r>
    </w:p>
    <w:p w14:paraId="229BE5DA" w14:textId="77777777" w:rsidR="003E2D3C" w:rsidRPr="00CA6A55" w:rsidRDefault="003E2D3C" w:rsidP="003F666A">
      <w:pPr>
        <w:pStyle w:val="Bullet"/>
      </w:pPr>
      <w:r w:rsidRPr="00CA6A55">
        <w:t>Australian Community Development and Civil Society Strengt</w:t>
      </w:r>
      <w:r>
        <w:t>hening Scheme (ACCESS) Phase I:</w:t>
      </w:r>
      <w:r w:rsidRPr="00CA6A55">
        <w:t xml:space="preserve"> 2002</w:t>
      </w:r>
      <w:r w:rsidR="00A14962">
        <w:t>–</w:t>
      </w:r>
      <w:r w:rsidRPr="00CA6A55">
        <w:t>08</w:t>
      </w:r>
    </w:p>
    <w:p w14:paraId="51CD96B7" w14:textId="77777777" w:rsidR="003E2D3C" w:rsidRPr="00AC757B" w:rsidRDefault="003E2D3C" w:rsidP="003F666A">
      <w:pPr>
        <w:pStyle w:val="Bullet"/>
        <w:rPr>
          <w:bCs/>
        </w:rPr>
      </w:pPr>
      <w:r w:rsidRPr="00AC757B">
        <w:rPr>
          <w:bCs/>
        </w:rPr>
        <w:t>Local Governance Innovations for Communities in Aceh, Phase II (LOGICA 2)</w:t>
      </w:r>
      <w:r>
        <w:rPr>
          <w:bCs/>
        </w:rPr>
        <w:t>: 2009</w:t>
      </w:r>
      <w:r w:rsidR="00A14962">
        <w:rPr>
          <w:bCs/>
        </w:rPr>
        <w:t>–</w:t>
      </w:r>
      <w:r>
        <w:rPr>
          <w:bCs/>
        </w:rPr>
        <w:t>11</w:t>
      </w:r>
    </w:p>
    <w:p w14:paraId="571BBF00" w14:textId="77777777" w:rsidR="003E2D3C" w:rsidRPr="00AC757B" w:rsidRDefault="003E2D3C" w:rsidP="003F666A">
      <w:pPr>
        <w:pStyle w:val="Bullet"/>
        <w:rPr>
          <w:bCs/>
        </w:rPr>
      </w:pPr>
      <w:r w:rsidRPr="00AC757B">
        <w:rPr>
          <w:bCs/>
        </w:rPr>
        <w:t>Australia</w:t>
      </w:r>
      <w:r w:rsidR="00F50C5F">
        <w:rPr>
          <w:bCs/>
        </w:rPr>
        <w:t>-</w:t>
      </w:r>
      <w:r w:rsidRPr="00AC757B">
        <w:rPr>
          <w:bCs/>
        </w:rPr>
        <w:t>Indonesia Partnership for Decentralisation (AIPD)</w:t>
      </w:r>
      <w:r>
        <w:rPr>
          <w:bCs/>
        </w:rPr>
        <w:t>: 2010</w:t>
      </w:r>
      <w:r w:rsidR="00A14962">
        <w:rPr>
          <w:bCs/>
        </w:rPr>
        <w:t>–</w:t>
      </w:r>
      <w:r>
        <w:rPr>
          <w:bCs/>
        </w:rPr>
        <w:t>15</w:t>
      </w:r>
    </w:p>
    <w:p w14:paraId="5E7B38A4" w14:textId="77777777" w:rsidR="003E2D3C" w:rsidRPr="00AC757B" w:rsidRDefault="003E2D3C" w:rsidP="00C615DC">
      <w:pPr>
        <w:pStyle w:val="BulletLast"/>
      </w:pPr>
      <w:r w:rsidRPr="00AC757B">
        <w:t>Provincial Governance Strengthening Project (PGSP)</w:t>
      </w:r>
      <w:r>
        <w:t>: 2011</w:t>
      </w:r>
      <w:r w:rsidR="00A14962">
        <w:t>–</w:t>
      </w:r>
      <w:r>
        <w:t>13</w:t>
      </w:r>
      <w:r w:rsidR="00A14962">
        <w:t>.</w:t>
      </w:r>
    </w:p>
    <w:p w14:paraId="3838DD05" w14:textId="77777777" w:rsidR="003E2D3C" w:rsidRPr="003F666A" w:rsidRDefault="003E2D3C" w:rsidP="00C615DC">
      <w:pPr>
        <w:pStyle w:val="NormalBeforeBullet"/>
        <w:rPr>
          <w:b/>
        </w:rPr>
      </w:pPr>
      <w:r w:rsidRPr="003F666A">
        <w:rPr>
          <w:b/>
        </w:rPr>
        <w:t>Support for local area development:</w:t>
      </w:r>
    </w:p>
    <w:p w14:paraId="7883E2CD" w14:textId="77777777" w:rsidR="003E2D3C" w:rsidRPr="00AC757B" w:rsidRDefault="003E2D3C" w:rsidP="003F666A">
      <w:pPr>
        <w:pStyle w:val="Bullet"/>
      </w:pPr>
      <w:r w:rsidRPr="00AC757B">
        <w:t>Australian Community Development and Civil Society Strengthening Scheme (ACCESS) Phase I: 2002</w:t>
      </w:r>
      <w:r w:rsidR="00A14962">
        <w:t>–</w:t>
      </w:r>
      <w:r w:rsidRPr="00AC757B">
        <w:t>08</w:t>
      </w:r>
    </w:p>
    <w:p w14:paraId="76A0D871" w14:textId="77777777" w:rsidR="003E2D3C" w:rsidRPr="00CA6A55" w:rsidRDefault="003E2D3C" w:rsidP="003F666A">
      <w:pPr>
        <w:pStyle w:val="Bullet"/>
      </w:pPr>
      <w:r w:rsidRPr="00AC757B">
        <w:t>Australia</w:t>
      </w:r>
      <w:r w:rsidR="00F50C5F">
        <w:t>-</w:t>
      </w:r>
      <w:r w:rsidRPr="00AC757B">
        <w:t>Nusa Tenggara Assistance for Regional Autonomy</w:t>
      </w:r>
      <w:r>
        <w:t xml:space="preserve"> </w:t>
      </w:r>
      <w:r w:rsidRPr="00AC757B">
        <w:t>(ANTARA):</w:t>
      </w:r>
      <w:r>
        <w:t xml:space="preserve"> 2005</w:t>
      </w:r>
      <w:r w:rsidR="00A14962">
        <w:t>–</w:t>
      </w:r>
      <w:r>
        <w:t>10</w:t>
      </w:r>
    </w:p>
    <w:p w14:paraId="139C5E90" w14:textId="00B59AB3" w:rsidR="003E2D3C" w:rsidRDefault="003E2D3C" w:rsidP="003F666A">
      <w:pPr>
        <w:pStyle w:val="Bullet"/>
      </w:pPr>
      <w:r w:rsidRPr="00AC757B">
        <w:t xml:space="preserve">World Bank Indonesia’s </w:t>
      </w:r>
      <w:r w:rsidR="00FB201E">
        <w:t xml:space="preserve">Program Nasional Pemberdayaan Masyarakat </w:t>
      </w:r>
      <w:r w:rsidR="007056BE">
        <w:t>(National Program for Community Empowerment)</w:t>
      </w:r>
      <w:r>
        <w:t>: 2007</w:t>
      </w:r>
      <w:r w:rsidR="00A14962">
        <w:t>–</w:t>
      </w:r>
      <w:r>
        <w:t>11</w:t>
      </w:r>
      <w:r w:rsidR="00FB201E">
        <w:t xml:space="preserve"> </w:t>
      </w:r>
    </w:p>
    <w:p w14:paraId="70E4895C" w14:textId="77777777" w:rsidR="003E2D3C" w:rsidRPr="00AC757B" w:rsidRDefault="003E2D3C" w:rsidP="003F666A">
      <w:pPr>
        <w:pStyle w:val="Bullet"/>
        <w:rPr>
          <w:bCs/>
        </w:rPr>
      </w:pPr>
      <w:r w:rsidRPr="00AC757B">
        <w:rPr>
          <w:bCs/>
        </w:rPr>
        <w:t>Local Governance Innovations for Communities in Aceh, Phase II (LOGICA 2)</w:t>
      </w:r>
      <w:r>
        <w:rPr>
          <w:bCs/>
        </w:rPr>
        <w:t>: 2009</w:t>
      </w:r>
      <w:r w:rsidR="00A14962">
        <w:rPr>
          <w:bCs/>
        </w:rPr>
        <w:t>–</w:t>
      </w:r>
      <w:r>
        <w:rPr>
          <w:bCs/>
        </w:rPr>
        <w:t>11</w:t>
      </w:r>
    </w:p>
    <w:p w14:paraId="0A768077" w14:textId="77777777" w:rsidR="003E2D3C" w:rsidRPr="00AC757B" w:rsidRDefault="003E2D3C" w:rsidP="003F666A">
      <w:pPr>
        <w:pStyle w:val="Bullet"/>
        <w:rPr>
          <w:bCs/>
        </w:rPr>
      </w:pPr>
      <w:r w:rsidRPr="00AC757B">
        <w:rPr>
          <w:bCs/>
        </w:rPr>
        <w:t>Australia</w:t>
      </w:r>
      <w:r w:rsidR="00F50C5F">
        <w:rPr>
          <w:bCs/>
        </w:rPr>
        <w:t>-</w:t>
      </w:r>
      <w:r w:rsidRPr="00AC757B">
        <w:rPr>
          <w:bCs/>
        </w:rPr>
        <w:t>Indonesia Partnership for Decentralisation (AIPD)</w:t>
      </w:r>
      <w:r>
        <w:rPr>
          <w:bCs/>
        </w:rPr>
        <w:t>: 2010</w:t>
      </w:r>
      <w:r w:rsidR="00A14962">
        <w:rPr>
          <w:bCs/>
        </w:rPr>
        <w:t>–</w:t>
      </w:r>
      <w:r>
        <w:rPr>
          <w:bCs/>
        </w:rPr>
        <w:t>15</w:t>
      </w:r>
    </w:p>
    <w:p w14:paraId="7F2B1A63" w14:textId="77777777" w:rsidR="003E2D3C" w:rsidRDefault="003E2D3C" w:rsidP="00C615DC">
      <w:pPr>
        <w:pStyle w:val="BulletLast"/>
      </w:pPr>
      <w:r w:rsidRPr="00AC757B">
        <w:t>Australian Community Development and Civil Society Strengthening Scheme (ACCESS) Phase II:</w:t>
      </w:r>
      <w:r>
        <w:t xml:space="preserve"> 2008</w:t>
      </w:r>
      <w:r w:rsidR="00A14962">
        <w:t>–</w:t>
      </w:r>
      <w:r>
        <w:t>present</w:t>
      </w:r>
      <w:r w:rsidR="00A14962">
        <w:t>.</w:t>
      </w:r>
    </w:p>
    <w:p w14:paraId="33A03AE8" w14:textId="77777777" w:rsidR="003E2D3C" w:rsidRDefault="003E2D3C" w:rsidP="004E19BF">
      <w:pPr>
        <w:pStyle w:val="Heading3"/>
        <w:ind w:left="0" w:firstLine="0"/>
      </w:pPr>
      <w:r w:rsidRPr="00CA6A55">
        <w:t xml:space="preserve">Summary of </w:t>
      </w:r>
      <w:r>
        <w:t>Australian aid</w:t>
      </w:r>
      <w:r w:rsidR="00F50C5F">
        <w:t>-</w:t>
      </w:r>
      <w:r>
        <w:t xml:space="preserve">supported </w:t>
      </w:r>
      <w:r w:rsidRPr="00CA6A55">
        <w:t>g</w:t>
      </w:r>
      <w:r>
        <w:t>overnance programs in the Philippines</w:t>
      </w:r>
    </w:p>
    <w:p w14:paraId="2500A256" w14:textId="77777777" w:rsidR="003E2D3C" w:rsidRDefault="003E2D3C" w:rsidP="003E2D3C">
      <w:r w:rsidRPr="00CA6A55">
        <w:t xml:space="preserve">The Australian </w:t>
      </w:r>
      <w:r w:rsidR="00636F11">
        <w:t>G</w:t>
      </w:r>
      <w:r w:rsidRPr="00CA6A55">
        <w:t xml:space="preserve">overnment has supported </w:t>
      </w:r>
      <w:r>
        <w:t>10</w:t>
      </w:r>
      <w:r w:rsidRPr="00CA6A55">
        <w:t xml:space="preserve"> governance programs in </w:t>
      </w:r>
      <w:r>
        <w:t>the Philippines</w:t>
      </w:r>
      <w:r w:rsidRPr="00CA6A55">
        <w:t xml:space="preserve"> </w:t>
      </w:r>
      <w:r w:rsidR="00A14962">
        <w:t>from</w:t>
      </w:r>
      <w:r>
        <w:t xml:space="preserve"> 1999 to the present. Again, the initiatives are presented below according to governance program type. Two initiatives are listed twice: the Partnership for Economic Governance Reforms has program elements that support both national and sub</w:t>
      </w:r>
      <w:r w:rsidR="00F50C5F">
        <w:t>national</w:t>
      </w:r>
      <w:r>
        <w:t xml:space="preserve"> reform and the Philippines-Australia Local Sustainability Program supports both sub</w:t>
      </w:r>
      <w:r w:rsidR="00F50C5F">
        <w:t>national</w:t>
      </w:r>
      <w:r>
        <w:t xml:space="preserve"> reform and local area development. </w:t>
      </w:r>
    </w:p>
    <w:p w14:paraId="24607EBB" w14:textId="77777777" w:rsidR="003E2D3C" w:rsidRPr="00C615DC" w:rsidRDefault="003E2D3C" w:rsidP="00C615DC">
      <w:pPr>
        <w:pStyle w:val="NormalBeforeBullet"/>
        <w:rPr>
          <w:b/>
        </w:rPr>
      </w:pPr>
      <w:r w:rsidRPr="00C615DC">
        <w:rPr>
          <w:b/>
        </w:rPr>
        <w:t>Support to national decentrali</w:t>
      </w:r>
      <w:r w:rsidR="00A14962" w:rsidRPr="00C615DC">
        <w:rPr>
          <w:b/>
        </w:rPr>
        <w:t>s</w:t>
      </w:r>
      <w:r w:rsidRPr="00C615DC">
        <w:rPr>
          <w:b/>
        </w:rPr>
        <w:t xml:space="preserve">ation policy reforms: </w:t>
      </w:r>
    </w:p>
    <w:p w14:paraId="24EA9C55" w14:textId="77777777" w:rsidR="003E2D3C" w:rsidRDefault="003E2D3C" w:rsidP="003F666A">
      <w:pPr>
        <w:pStyle w:val="Bullet"/>
      </w:pPr>
      <w:r w:rsidRPr="00D30FAC">
        <w:t>Philippines</w:t>
      </w:r>
      <w:r w:rsidR="00A14962">
        <w:t>–</w:t>
      </w:r>
      <w:r w:rsidRPr="00D30FAC">
        <w:t>Australia Human Resource Development Facility (PAHRDF)</w:t>
      </w:r>
      <w:r>
        <w:t>: 2004</w:t>
      </w:r>
      <w:r w:rsidR="00A14962">
        <w:t>–</w:t>
      </w:r>
      <w:r>
        <w:t>09</w:t>
      </w:r>
    </w:p>
    <w:p w14:paraId="577C3EE5" w14:textId="77777777" w:rsidR="003E2D3C" w:rsidRDefault="003E2D3C" w:rsidP="003F666A">
      <w:pPr>
        <w:pStyle w:val="Bullet"/>
      </w:pPr>
      <w:r w:rsidRPr="00D30FAC">
        <w:t>Partnership for Economic Governance Reforms (PEGR)</w:t>
      </w:r>
      <w:r>
        <w:t>: 2005</w:t>
      </w:r>
      <w:r w:rsidR="00A14962">
        <w:t>–</w:t>
      </w:r>
      <w:r>
        <w:t>09</w:t>
      </w:r>
    </w:p>
    <w:p w14:paraId="5485C51C" w14:textId="77777777" w:rsidR="003E2D3C" w:rsidRDefault="003E2D3C" w:rsidP="003F666A">
      <w:pPr>
        <w:pStyle w:val="Bullet"/>
      </w:pPr>
      <w:r w:rsidRPr="00D0641C">
        <w:t>Local Governance Development Program (Phase I)</w:t>
      </w:r>
      <w:r>
        <w:t>: 2006</w:t>
      </w:r>
      <w:r w:rsidR="00A14962">
        <w:t>–</w:t>
      </w:r>
      <w:r>
        <w:t>07</w:t>
      </w:r>
    </w:p>
    <w:p w14:paraId="2AE7AEEC" w14:textId="77777777" w:rsidR="003E2D3C" w:rsidRDefault="003E2D3C" w:rsidP="003F666A">
      <w:pPr>
        <w:pStyle w:val="Bullet"/>
      </w:pPr>
      <w:r w:rsidRPr="00D0641C">
        <w:t>Australia World Bank Philippines Development Trust Fund</w:t>
      </w:r>
      <w:r>
        <w:t>: 2009</w:t>
      </w:r>
      <w:r w:rsidR="00A14962">
        <w:t>–</w:t>
      </w:r>
      <w:r>
        <w:t>16</w:t>
      </w:r>
    </w:p>
    <w:p w14:paraId="152E4EDB" w14:textId="77777777" w:rsidR="003E2D3C" w:rsidRDefault="003E2D3C" w:rsidP="003F666A">
      <w:pPr>
        <w:pStyle w:val="Bullet"/>
      </w:pPr>
      <w:r w:rsidRPr="00D0641C">
        <w:t>Philippines</w:t>
      </w:r>
      <w:r w:rsidR="00A14962">
        <w:t>–</w:t>
      </w:r>
      <w:r w:rsidRPr="00D0641C">
        <w:t>Australia Human Resource and Organisational Development Facility</w:t>
      </w:r>
      <w:r>
        <w:t>: 2010</w:t>
      </w:r>
      <w:r w:rsidR="00A14962">
        <w:t>–</w:t>
      </w:r>
      <w:r>
        <w:t>15</w:t>
      </w:r>
    </w:p>
    <w:p w14:paraId="2C93E719" w14:textId="77777777" w:rsidR="003E2D3C" w:rsidRDefault="003E2D3C" w:rsidP="00C615DC">
      <w:pPr>
        <w:pStyle w:val="BulletLast"/>
      </w:pPr>
      <w:r>
        <w:t>Philippines</w:t>
      </w:r>
      <w:r w:rsidR="00A14962">
        <w:t>–</w:t>
      </w:r>
      <w:r>
        <w:t>Australia public financial management program: 2011</w:t>
      </w:r>
      <w:r w:rsidR="00A14962">
        <w:t>–</w:t>
      </w:r>
      <w:r>
        <w:t>16</w:t>
      </w:r>
      <w:r w:rsidR="00A14962">
        <w:t>.</w:t>
      </w:r>
    </w:p>
    <w:p w14:paraId="4115851F" w14:textId="77777777" w:rsidR="003E2D3C" w:rsidRPr="00C615DC" w:rsidRDefault="003E2D3C" w:rsidP="00C615DC">
      <w:pPr>
        <w:pStyle w:val="NormalBeforeBullet"/>
        <w:rPr>
          <w:b/>
        </w:rPr>
      </w:pPr>
      <w:r w:rsidRPr="00C615DC">
        <w:rPr>
          <w:b/>
        </w:rPr>
        <w:t>Support for sub</w:t>
      </w:r>
      <w:r w:rsidR="00F50C5F">
        <w:rPr>
          <w:b/>
        </w:rPr>
        <w:t>national</w:t>
      </w:r>
      <w:r w:rsidRPr="00C615DC">
        <w:rPr>
          <w:b/>
        </w:rPr>
        <w:t xml:space="preserve"> authorities:</w:t>
      </w:r>
    </w:p>
    <w:p w14:paraId="71A0C456" w14:textId="77777777" w:rsidR="003E2D3C" w:rsidRPr="00CA6A55" w:rsidRDefault="003E2D3C" w:rsidP="003F666A">
      <w:pPr>
        <w:pStyle w:val="Bullet"/>
      </w:pPr>
      <w:r>
        <w:t>Philippines</w:t>
      </w:r>
      <w:r w:rsidR="00A14962">
        <w:t>–</w:t>
      </w:r>
      <w:r w:rsidRPr="00CA6A55">
        <w:t xml:space="preserve">Australian </w:t>
      </w:r>
      <w:r>
        <w:t>Local Sustainability Program (PALS):</w:t>
      </w:r>
      <w:r w:rsidRPr="00CA6A55">
        <w:t xml:space="preserve"> </w:t>
      </w:r>
      <w:r>
        <w:t>1999</w:t>
      </w:r>
      <w:r w:rsidR="00A14962">
        <w:t>–</w:t>
      </w:r>
      <w:r>
        <w:t>2009</w:t>
      </w:r>
    </w:p>
    <w:p w14:paraId="3F98FB6C" w14:textId="77777777" w:rsidR="003E2D3C" w:rsidRDefault="003E2D3C" w:rsidP="003F666A">
      <w:pPr>
        <w:pStyle w:val="Bullet"/>
      </w:pPr>
      <w:r>
        <w:rPr>
          <w:bCs/>
        </w:rPr>
        <w:t>Lo</w:t>
      </w:r>
      <w:r w:rsidRPr="00D0641C">
        <w:rPr>
          <w:bCs/>
        </w:rPr>
        <w:t>cal Governance Development Program (Phase I)</w:t>
      </w:r>
      <w:r>
        <w:t>: 2006</w:t>
      </w:r>
      <w:r w:rsidR="00A14962">
        <w:t>–</w:t>
      </w:r>
      <w:r>
        <w:t>07</w:t>
      </w:r>
    </w:p>
    <w:p w14:paraId="6AF23287" w14:textId="77777777" w:rsidR="003E2D3C" w:rsidRDefault="003E2D3C" w:rsidP="003F666A">
      <w:pPr>
        <w:pStyle w:val="Bullet"/>
        <w:rPr>
          <w:bCs/>
        </w:rPr>
      </w:pPr>
      <w:r w:rsidRPr="00D0641C">
        <w:rPr>
          <w:bCs/>
        </w:rPr>
        <w:t>Provincial Road Management Facility</w:t>
      </w:r>
      <w:r>
        <w:rPr>
          <w:bCs/>
        </w:rPr>
        <w:t>: 2009</w:t>
      </w:r>
      <w:r w:rsidR="00A14962">
        <w:rPr>
          <w:bCs/>
        </w:rPr>
        <w:t>–</w:t>
      </w:r>
      <w:r>
        <w:rPr>
          <w:bCs/>
        </w:rPr>
        <w:t>14</w:t>
      </w:r>
    </w:p>
    <w:p w14:paraId="68894C24" w14:textId="77777777" w:rsidR="003E2D3C" w:rsidRPr="00D0641C" w:rsidRDefault="003E2D3C" w:rsidP="00C615DC">
      <w:pPr>
        <w:pStyle w:val="BulletLast"/>
      </w:pPr>
      <w:r>
        <w:t>The Asia Foundation partnership Philippines: 2011</w:t>
      </w:r>
      <w:r w:rsidR="00A14962">
        <w:t>–</w:t>
      </w:r>
      <w:r>
        <w:t>14</w:t>
      </w:r>
      <w:r w:rsidR="00A14962">
        <w:t>.</w:t>
      </w:r>
    </w:p>
    <w:p w14:paraId="763AFEE1" w14:textId="77777777" w:rsidR="003E2D3C" w:rsidRPr="00C615DC" w:rsidRDefault="003E2D3C" w:rsidP="00C615DC">
      <w:pPr>
        <w:pStyle w:val="NormalBeforeBullet"/>
        <w:rPr>
          <w:b/>
        </w:rPr>
      </w:pPr>
      <w:r w:rsidRPr="00C615DC">
        <w:rPr>
          <w:b/>
        </w:rPr>
        <w:t>Support for local area development:</w:t>
      </w:r>
    </w:p>
    <w:p w14:paraId="5050FCF7" w14:textId="77777777" w:rsidR="003E2D3C" w:rsidRDefault="003E2D3C" w:rsidP="003F666A">
      <w:pPr>
        <w:pStyle w:val="Bullet"/>
      </w:pPr>
      <w:r>
        <w:t>Philippines</w:t>
      </w:r>
      <w:r w:rsidR="00A14962">
        <w:t>–</w:t>
      </w:r>
      <w:r w:rsidRPr="00CA6A55">
        <w:t xml:space="preserve">Australian </w:t>
      </w:r>
      <w:r>
        <w:t>Local Sustainability Program (PALS):</w:t>
      </w:r>
      <w:r w:rsidRPr="00CA6A55">
        <w:t xml:space="preserve"> </w:t>
      </w:r>
      <w:r>
        <w:t>1999</w:t>
      </w:r>
      <w:r w:rsidR="00A14962">
        <w:t>–</w:t>
      </w:r>
      <w:r>
        <w:t>2009</w:t>
      </w:r>
    </w:p>
    <w:p w14:paraId="4E057A0E" w14:textId="77777777" w:rsidR="003E2D3C" w:rsidRPr="00AC757B" w:rsidRDefault="003E2D3C" w:rsidP="00C615DC">
      <w:pPr>
        <w:pStyle w:val="BulletLast"/>
      </w:pPr>
      <w:r w:rsidRPr="00591EDE">
        <w:t>Philippines</w:t>
      </w:r>
      <w:r w:rsidR="00A14962">
        <w:t>–</w:t>
      </w:r>
      <w:r w:rsidRPr="00591EDE">
        <w:t>Australia Community Assistance Program (PACAP</w:t>
      </w:r>
      <w:r>
        <w:t>):</w:t>
      </w:r>
      <w:r w:rsidRPr="00CA6A55">
        <w:t xml:space="preserve"> </w:t>
      </w:r>
      <w:r>
        <w:t>2005</w:t>
      </w:r>
      <w:r w:rsidR="00A14962">
        <w:t>–</w:t>
      </w:r>
      <w:r>
        <w:t>10</w:t>
      </w:r>
    </w:p>
    <w:p w14:paraId="43283B42" w14:textId="77777777" w:rsidR="003E2D3C" w:rsidRDefault="003E2D3C" w:rsidP="003F666A">
      <w:pPr>
        <w:pStyle w:val="Heading3"/>
        <w:ind w:left="0" w:firstLine="0"/>
      </w:pPr>
      <w:r w:rsidRPr="00CA6A55">
        <w:t xml:space="preserve">Summary of </w:t>
      </w:r>
      <w:r>
        <w:t>Australian aid</w:t>
      </w:r>
      <w:r w:rsidR="00F50C5F">
        <w:t>-</w:t>
      </w:r>
      <w:r>
        <w:t xml:space="preserve">supported </w:t>
      </w:r>
      <w:r w:rsidRPr="00CA6A55">
        <w:t>g</w:t>
      </w:r>
      <w:r>
        <w:t>overnance programs in Papua New Guinea</w:t>
      </w:r>
    </w:p>
    <w:p w14:paraId="79763A73" w14:textId="0B5AC9A5" w:rsidR="003E2D3C" w:rsidRDefault="003E2D3C" w:rsidP="003E2D3C">
      <w:r w:rsidRPr="00CA6A55">
        <w:t xml:space="preserve">The Australian </w:t>
      </w:r>
      <w:r w:rsidR="00636F11">
        <w:t>G</w:t>
      </w:r>
      <w:r w:rsidRPr="00CA6A55">
        <w:t xml:space="preserve">overnment has supported </w:t>
      </w:r>
      <w:r>
        <w:t>14</w:t>
      </w:r>
      <w:r w:rsidRPr="00CA6A55">
        <w:t xml:space="preserve"> governance programs in </w:t>
      </w:r>
      <w:r w:rsidR="00F72149">
        <w:t>PNG</w:t>
      </w:r>
      <w:r w:rsidRPr="00CA6A55">
        <w:t xml:space="preserve"> </w:t>
      </w:r>
      <w:r w:rsidR="00A14962">
        <w:t>from</w:t>
      </w:r>
      <w:r>
        <w:t xml:space="preserve"> 2003 to the present. The initiatives are presented below according to governance program type. </w:t>
      </w:r>
    </w:p>
    <w:p w14:paraId="47AD480F" w14:textId="77777777" w:rsidR="003E2D3C" w:rsidRPr="00C615DC" w:rsidRDefault="003E2D3C" w:rsidP="00C615DC">
      <w:pPr>
        <w:pStyle w:val="NormalBeforeBullet"/>
        <w:rPr>
          <w:b/>
        </w:rPr>
      </w:pPr>
      <w:r w:rsidRPr="00C615DC">
        <w:rPr>
          <w:b/>
        </w:rPr>
        <w:t>Support to national decentrali</w:t>
      </w:r>
      <w:r w:rsidR="00A14962">
        <w:rPr>
          <w:b/>
        </w:rPr>
        <w:t>s</w:t>
      </w:r>
      <w:r w:rsidRPr="00C615DC">
        <w:rPr>
          <w:b/>
        </w:rPr>
        <w:t xml:space="preserve">ation policy reforms: </w:t>
      </w:r>
    </w:p>
    <w:p w14:paraId="5DB25212" w14:textId="77777777" w:rsidR="003E2D3C" w:rsidRDefault="003E2D3C" w:rsidP="003F666A">
      <w:pPr>
        <w:pStyle w:val="Bullet"/>
      </w:pPr>
      <w:r>
        <w:t>PNG</w:t>
      </w:r>
      <w:r w:rsidR="00A14962">
        <w:t>–</w:t>
      </w:r>
      <w:r>
        <w:t>Australia Law and Justice Partnership: 2009</w:t>
      </w:r>
      <w:r w:rsidR="00A14962">
        <w:t>–</w:t>
      </w:r>
      <w:r>
        <w:t>14</w:t>
      </w:r>
    </w:p>
    <w:p w14:paraId="1D036897" w14:textId="77777777" w:rsidR="003E2D3C" w:rsidRDefault="003E2D3C" w:rsidP="003F666A">
      <w:pPr>
        <w:pStyle w:val="Bullet"/>
      </w:pPr>
      <w:r w:rsidRPr="00CC4E81">
        <w:rPr>
          <w:bCs/>
        </w:rPr>
        <w:t>PNG</w:t>
      </w:r>
      <w:r w:rsidR="00A14962">
        <w:rPr>
          <w:bCs/>
        </w:rPr>
        <w:t>–</w:t>
      </w:r>
      <w:r w:rsidRPr="00CC4E81">
        <w:rPr>
          <w:bCs/>
        </w:rPr>
        <w:t>Australia Economic and Public Sector Program</w:t>
      </w:r>
      <w:r>
        <w:t>: 2009</w:t>
      </w:r>
      <w:r w:rsidR="00A14962">
        <w:t>–</w:t>
      </w:r>
      <w:r>
        <w:t>15</w:t>
      </w:r>
    </w:p>
    <w:p w14:paraId="26D0197C" w14:textId="77777777" w:rsidR="003E2D3C" w:rsidRPr="00601349" w:rsidRDefault="003E2D3C" w:rsidP="003F666A">
      <w:pPr>
        <w:pStyle w:val="Bullet"/>
      </w:pPr>
      <w:r w:rsidRPr="00601349">
        <w:rPr>
          <w:bCs/>
        </w:rPr>
        <w:t>Strongim Gavman Program</w:t>
      </w:r>
      <w:r>
        <w:rPr>
          <w:bCs/>
        </w:rPr>
        <w:t>: 2009</w:t>
      </w:r>
      <w:r w:rsidR="00A14962">
        <w:rPr>
          <w:bCs/>
        </w:rPr>
        <w:t>–</w:t>
      </w:r>
      <w:r>
        <w:rPr>
          <w:bCs/>
        </w:rPr>
        <w:t>15</w:t>
      </w:r>
    </w:p>
    <w:p w14:paraId="186E7F78" w14:textId="77777777" w:rsidR="003E2D3C" w:rsidRPr="00601349" w:rsidRDefault="003E2D3C" w:rsidP="003F666A">
      <w:pPr>
        <w:pStyle w:val="Bullet"/>
      </w:pPr>
      <w:r w:rsidRPr="00601349">
        <w:rPr>
          <w:bCs/>
        </w:rPr>
        <w:t>Australia Awards in PNG</w:t>
      </w:r>
      <w:r>
        <w:rPr>
          <w:bCs/>
        </w:rPr>
        <w:t>: 2009</w:t>
      </w:r>
      <w:r w:rsidR="00A14962">
        <w:rPr>
          <w:bCs/>
        </w:rPr>
        <w:t>–</w:t>
      </w:r>
      <w:r>
        <w:rPr>
          <w:bCs/>
        </w:rPr>
        <w:t>15</w:t>
      </w:r>
    </w:p>
    <w:p w14:paraId="621CD4C4" w14:textId="77777777" w:rsidR="003E2D3C" w:rsidRPr="00601349" w:rsidRDefault="003E2D3C" w:rsidP="003F666A">
      <w:pPr>
        <w:pStyle w:val="Bullet"/>
      </w:pPr>
      <w:r w:rsidRPr="00601349">
        <w:rPr>
          <w:bCs/>
        </w:rPr>
        <w:t>Economic and Public Sector Governance Twinning Initiative</w:t>
      </w:r>
      <w:r>
        <w:rPr>
          <w:bCs/>
        </w:rPr>
        <w:t>: 2010</w:t>
      </w:r>
      <w:r w:rsidR="00A14962">
        <w:rPr>
          <w:bCs/>
        </w:rPr>
        <w:t>–</w:t>
      </w:r>
      <w:r>
        <w:rPr>
          <w:bCs/>
        </w:rPr>
        <w:t>13</w:t>
      </w:r>
    </w:p>
    <w:p w14:paraId="071B498F" w14:textId="77777777" w:rsidR="003E2D3C" w:rsidRPr="00601349" w:rsidRDefault="003E2D3C" w:rsidP="003F666A">
      <w:pPr>
        <w:pStyle w:val="Bullet"/>
      </w:pPr>
      <w:r w:rsidRPr="00601349">
        <w:rPr>
          <w:bCs/>
        </w:rPr>
        <w:t>PNG</w:t>
      </w:r>
      <w:r w:rsidR="00A14962">
        <w:rPr>
          <w:bCs/>
        </w:rPr>
        <w:t>–</w:t>
      </w:r>
      <w:r w:rsidRPr="00601349">
        <w:rPr>
          <w:bCs/>
        </w:rPr>
        <w:t>Australia Memorandum of Understanding on Cooperation in the Transport Sector</w:t>
      </w:r>
      <w:r>
        <w:rPr>
          <w:bCs/>
        </w:rPr>
        <w:t>: 2010</w:t>
      </w:r>
      <w:r w:rsidR="00A14962">
        <w:rPr>
          <w:bCs/>
        </w:rPr>
        <w:t>–</w:t>
      </w:r>
      <w:r>
        <w:rPr>
          <w:bCs/>
        </w:rPr>
        <w:t>13</w:t>
      </w:r>
    </w:p>
    <w:p w14:paraId="3CE1AB12" w14:textId="77777777" w:rsidR="003E2D3C" w:rsidRPr="00601349" w:rsidRDefault="003E2D3C" w:rsidP="003F666A">
      <w:pPr>
        <w:pStyle w:val="Bullet"/>
      </w:pPr>
      <w:r w:rsidRPr="00601349">
        <w:rPr>
          <w:bCs/>
        </w:rPr>
        <w:t>Implementing the Papua New Guinea Liquefied Natural Gas Project Joint Understanding</w:t>
      </w:r>
      <w:r>
        <w:rPr>
          <w:bCs/>
        </w:rPr>
        <w:t>: 2010</w:t>
      </w:r>
      <w:r w:rsidR="00A14962">
        <w:rPr>
          <w:bCs/>
        </w:rPr>
        <w:t>–</w:t>
      </w:r>
      <w:r>
        <w:rPr>
          <w:bCs/>
        </w:rPr>
        <w:t>13</w:t>
      </w:r>
    </w:p>
    <w:p w14:paraId="386CAD41" w14:textId="77777777" w:rsidR="003E2D3C" w:rsidRDefault="003E2D3C" w:rsidP="00C615DC">
      <w:pPr>
        <w:pStyle w:val="BulletLast"/>
      </w:pPr>
      <w:r w:rsidRPr="00601349">
        <w:t>Electoral Support Program</w:t>
      </w:r>
      <w:r>
        <w:t>: 2011</w:t>
      </w:r>
      <w:r w:rsidR="00A14962">
        <w:t>–</w:t>
      </w:r>
      <w:r>
        <w:t>13</w:t>
      </w:r>
    </w:p>
    <w:p w14:paraId="3C3F56AD" w14:textId="77777777" w:rsidR="003E2D3C" w:rsidRPr="00C615DC" w:rsidRDefault="003E2D3C" w:rsidP="00C615DC">
      <w:pPr>
        <w:pStyle w:val="NormalBeforeBullet"/>
        <w:rPr>
          <w:b/>
        </w:rPr>
      </w:pPr>
      <w:r w:rsidRPr="00C615DC">
        <w:rPr>
          <w:b/>
        </w:rPr>
        <w:t>Support for subnational authorities:</w:t>
      </w:r>
    </w:p>
    <w:p w14:paraId="64ED104C" w14:textId="77777777" w:rsidR="003E2D3C" w:rsidRPr="009B1463" w:rsidRDefault="003E2D3C" w:rsidP="003F666A">
      <w:pPr>
        <w:pStyle w:val="Bullet"/>
      </w:pPr>
      <w:r>
        <w:t>PNG Sub-National Initiative: 2003</w:t>
      </w:r>
      <w:r w:rsidR="00A14962">
        <w:t>–</w:t>
      </w:r>
      <w:r>
        <w:t>07</w:t>
      </w:r>
    </w:p>
    <w:p w14:paraId="75973190" w14:textId="77777777" w:rsidR="003E2D3C" w:rsidRPr="00CA6A55" w:rsidRDefault="003E2D3C" w:rsidP="003F666A">
      <w:pPr>
        <w:pStyle w:val="Bullet"/>
      </w:pPr>
      <w:r w:rsidRPr="00601349">
        <w:rPr>
          <w:bCs/>
        </w:rPr>
        <w:t>Sub-National Strategy</w:t>
      </w:r>
      <w:r>
        <w:t>:</w:t>
      </w:r>
      <w:r w:rsidRPr="00CA6A55">
        <w:t xml:space="preserve"> </w:t>
      </w:r>
      <w:r>
        <w:t>2007</w:t>
      </w:r>
      <w:r w:rsidR="00A14962">
        <w:t>–</w:t>
      </w:r>
      <w:r>
        <w:t>12</w:t>
      </w:r>
    </w:p>
    <w:p w14:paraId="4455481D" w14:textId="77777777" w:rsidR="003E2D3C" w:rsidRPr="00AC757B" w:rsidRDefault="003E2D3C" w:rsidP="003F666A">
      <w:pPr>
        <w:pStyle w:val="Bullet"/>
        <w:rPr>
          <w:bCs/>
        </w:rPr>
      </w:pPr>
      <w:r w:rsidRPr="00D73644">
        <w:rPr>
          <w:bCs/>
        </w:rPr>
        <w:t>Non</w:t>
      </w:r>
      <w:r w:rsidR="00F50C5F">
        <w:rPr>
          <w:bCs/>
        </w:rPr>
        <w:t>-</w:t>
      </w:r>
      <w:r w:rsidRPr="00D73644">
        <w:rPr>
          <w:bCs/>
        </w:rPr>
        <w:t>State Actors Community Program—Strongim Pipol Strongim Nesen</w:t>
      </w:r>
      <w:r>
        <w:rPr>
          <w:bCs/>
        </w:rPr>
        <w:t>: 2011</w:t>
      </w:r>
      <w:r w:rsidR="00A14962">
        <w:rPr>
          <w:bCs/>
        </w:rPr>
        <w:t>–</w:t>
      </w:r>
      <w:r>
        <w:rPr>
          <w:bCs/>
        </w:rPr>
        <w:t>13</w:t>
      </w:r>
    </w:p>
    <w:p w14:paraId="16BC6278" w14:textId="77777777" w:rsidR="003E2D3C" w:rsidRPr="00764CC9" w:rsidRDefault="003E2D3C" w:rsidP="00C615DC">
      <w:pPr>
        <w:pStyle w:val="BulletLast"/>
      </w:pPr>
      <w:r w:rsidRPr="00764CC9">
        <w:t>Provincial and Local Level Governments Program</w:t>
      </w:r>
      <w:r>
        <w:t>: 2011</w:t>
      </w:r>
      <w:r w:rsidR="00A14962">
        <w:t>–</w:t>
      </w:r>
      <w:r>
        <w:t>15</w:t>
      </w:r>
      <w:r w:rsidR="00A14962">
        <w:t>.</w:t>
      </w:r>
    </w:p>
    <w:p w14:paraId="541A5894" w14:textId="77777777" w:rsidR="003E2D3C" w:rsidRPr="00C615DC" w:rsidRDefault="003E2D3C" w:rsidP="00C615DC">
      <w:pPr>
        <w:pStyle w:val="NormalBeforeBullet"/>
        <w:rPr>
          <w:b/>
        </w:rPr>
      </w:pPr>
      <w:r w:rsidRPr="00C615DC">
        <w:rPr>
          <w:b/>
        </w:rPr>
        <w:t>Support for local area development:</w:t>
      </w:r>
    </w:p>
    <w:p w14:paraId="11C50E72" w14:textId="77777777" w:rsidR="003E2D3C" w:rsidRPr="00AC757B" w:rsidRDefault="003E2D3C" w:rsidP="003F666A">
      <w:pPr>
        <w:pStyle w:val="Bullet"/>
      </w:pPr>
      <w:r w:rsidRPr="00A15B5E">
        <w:t>CARE Integrated Community Development Program</w:t>
      </w:r>
      <w:r>
        <w:t>: 2009</w:t>
      </w:r>
      <w:r w:rsidR="00A14962">
        <w:t>–</w:t>
      </w:r>
      <w:r>
        <w:t>13</w:t>
      </w:r>
    </w:p>
    <w:p w14:paraId="4FC7D560" w14:textId="77777777" w:rsidR="003E2D3C" w:rsidRDefault="003E2D3C" w:rsidP="00C615DC">
      <w:pPr>
        <w:pStyle w:val="BulletLast"/>
      </w:pPr>
      <w:r w:rsidRPr="00A15B5E">
        <w:t>Church Partnership Program Phase 2</w:t>
      </w:r>
      <w:r>
        <w:t>: 2010</w:t>
      </w:r>
      <w:r w:rsidR="00A14962">
        <w:t>–</w:t>
      </w:r>
      <w:r>
        <w:t>16</w:t>
      </w:r>
      <w:r w:rsidR="00A14962">
        <w:t>.</w:t>
      </w:r>
    </w:p>
    <w:bookmarkStart w:id="527" w:name="_Toc408831803"/>
    <w:p w14:paraId="405192ED" w14:textId="77777777" w:rsidR="00AF6A11" w:rsidRDefault="00AF6A11" w:rsidP="00921A4C">
      <w:pPr>
        <w:pStyle w:val="Heading1"/>
        <w:ind w:left="0" w:firstLine="0"/>
      </w:pPr>
      <w:r>
        <w:rPr>
          <w:noProof/>
        </w:rPr>
        <mc:AlternateContent>
          <mc:Choice Requires="wps">
            <w:drawing>
              <wp:anchor distT="0" distB="0" distL="114300" distR="114300" simplePos="0" relativeHeight="251772928" behindDoc="1" locked="0" layoutInCell="1" allowOverlap="1" wp14:anchorId="6651DE6B" wp14:editId="74B004FE">
                <wp:simplePos x="0" y="0"/>
                <wp:positionH relativeFrom="page">
                  <wp:posOffset>-9525</wp:posOffset>
                </wp:positionH>
                <wp:positionV relativeFrom="paragraph">
                  <wp:posOffset>-266728</wp:posOffset>
                </wp:positionV>
                <wp:extent cx="7610400" cy="1468800"/>
                <wp:effectExtent l="0" t="0" r="0" b="0"/>
                <wp:wrapNone/>
                <wp:docPr id="17" name="Rectangle 17"/>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5pt;margin-top:-21pt;width:599.25pt;height:115.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UPlwIAAIgFAAAOAAAAZHJzL2Uyb0RvYy54bWysVMFu2zAMvQ/YPwi6r7YDN02DOkXQosOA&#10;oi3aDj0rshQbkEVNUuJkXz9Kst2uK3YYloMjiuQj+UTy4vLQKbIX1rWgK1qc5JQIzaFu9bai359v&#10;viwocZ7pminQoqJH4ejl6vOni94sxQwaULWwBEG0W/amoo33ZplljjeiY+4EjNColGA75lG026y2&#10;rEf0TmWzPJ9nPdjaWODCOby9Tkq6ivhSCu7vpXTCE1VRzM3Hr43fTfhmqwu23FpmmpYPabB/yKJj&#10;rcagE9Q184zsbPsHVNdyCw6kP+HQZSBly0WsAasp8nfVPDXMiFgLkuPMRJP7f7D8bv9gSVvj251R&#10;olmHb/SIrDG9VYLgHRLUG7dEuyfzYAfJ4TFUe5C2C/9YBzlEUo8TqeLgCcfLs3mRlzlyz1FXlPPF&#10;AgXEyV7djXX+q4COhENFLcaPZLL9rfPJdDQJ0Ryotr5plYqC3W6ulCV7hi9czMpyMR/QfzNTOhhr&#10;CG4JMdxkobRUTDz5oxLBTulHIZEVTH8WM4n9KKY4jHOhfZFUDatFCn+a42+MHjo4eMRKI2BAlhh/&#10;wh4ARssEMmKnLAf74CpiO0/O+d8SS86TR4wM2k/OXavBfgSgsKohcrIfSUrUBJY2UB+xZyykYXKG&#10;37T4brfM+QdmcXrwrXEj+Hv8SAV9RWE4UdKA/fnRfbDHpkYtJT1OY0Xdjx2zghL1TWO7nxdlGcY3&#10;CuXp2QwF+1azeavRu+4KQjvg7jE8HoO9V+NRWuhecHGsQ1RUMc0xdkW5t6Nw5dOWwNXDxXodzXBk&#10;DfO3+snwAB5YDX35fHhh1gzN67Hv72CcXLZ818PJNnhqWO88yDY2+CuvA9847rFxhtUU9slbOVq9&#10;LtDVLwAAAP//AwBQSwMEFAAGAAgAAAAhAK4WBePfAAAACwEAAA8AAABkcnMvZG93bnJldi54bWxM&#10;j81OwzAQhO9IvIO1SNxaJyk/aYhToUpwiNQDLb278RJHxOsQu214+25PcNpZ7Wj2m3I1uV6ccAyd&#10;JwXpPAGB1HjTUavgc/c2y0GEqMno3hMq+MUAq+r2ptSF8Wf6wNM2toJDKBRagY1xKKQMjUWnw9wP&#10;SHz78qPTkdexlWbUZw53vcyS5Ek63RF/sHrAtcXme3t0Cuoc7b7d1P30U+9SuV68+z1mSt3fTa8v&#10;ICJO8c8MV3xGh4qZDv5IJohewSx9ZCfPh4w7XQ3p8pnVgVW+XICsSvm/Q3UBAAD//wMAUEsBAi0A&#10;FAAGAAgAAAAhALaDOJL+AAAA4QEAABMAAAAAAAAAAAAAAAAAAAAAAFtDb250ZW50X1R5cGVzXS54&#10;bWxQSwECLQAUAAYACAAAACEAOP0h/9YAAACUAQAACwAAAAAAAAAAAAAAAAAvAQAAX3JlbHMvLnJl&#10;bHNQSwECLQAUAAYACAAAACEAkrxFD5cCAACIBQAADgAAAAAAAAAAAAAAAAAuAgAAZHJzL2Uyb0Rv&#10;Yy54bWxQSwECLQAUAAYACAAAACEArhYF498AAAALAQAADwAAAAAAAAAAAAAAAADxBAAAZHJzL2Rv&#10;d25yZXYueG1sUEsFBgAAAAAEAAQA8wAAAP0FAAAAAA==&#10;" fillcolor="#124486" stroked="f" strokeweight="2pt">
                <w10:wrap anchorx="page"/>
              </v:rect>
            </w:pict>
          </mc:Fallback>
        </mc:AlternateContent>
      </w:r>
      <w:r>
        <w:t>Appendix 3</w:t>
      </w:r>
      <w:r>
        <w:tab/>
        <w:t>Review of country strategies</w:t>
      </w:r>
      <w:bookmarkEnd w:id="527"/>
    </w:p>
    <w:p w14:paraId="147E59C7" w14:textId="77777777" w:rsidR="00AF6A11" w:rsidRDefault="004733CC" w:rsidP="00640ECB">
      <w:r>
        <w:t xml:space="preserve">This </w:t>
      </w:r>
      <w:r w:rsidR="00A14962">
        <w:t xml:space="preserve">appendix </w:t>
      </w:r>
      <w:r w:rsidR="00AF6A11">
        <w:t xml:space="preserve">provides the detailed review of country strategy documents. As background, the status of decentralisation in the six countries is shown in Table A5. Each country has followed a different path, with variation in the degree of control retained at central level, the type of decentralisation, the rate at which the reform has been pursued and the degree to which subnational government or authorities are responsible for service delivery. </w:t>
      </w:r>
    </w:p>
    <w:p w14:paraId="4E46EC4D" w14:textId="77777777" w:rsidR="00AF6A11" w:rsidRDefault="00AF6A11" w:rsidP="00640ECB">
      <w:pPr>
        <w:pStyle w:val="TableName"/>
      </w:pPr>
      <w:r>
        <w:t>Table A5</w:t>
      </w:r>
      <w:r>
        <w:tab/>
        <w:t>Status of decentralisation across six recipient countries</w:t>
      </w:r>
    </w:p>
    <w:tbl>
      <w:tblPr>
        <w:tblStyle w:val="TableGrid"/>
        <w:tblW w:w="0" w:type="auto"/>
        <w:tblLook w:val="04A0" w:firstRow="1" w:lastRow="0" w:firstColumn="1" w:lastColumn="0" w:noHBand="0" w:noVBand="1"/>
      </w:tblPr>
      <w:tblGrid>
        <w:gridCol w:w="1242"/>
        <w:gridCol w:w="4536"/>
        <w:gridCol w:w="3464"/>
      </w:tblGrid>
      <w:tr w:rsidR="00AF6A11" w14:paraId="4C570906" w14:textId="77777777" w:rsidTr="00B9479A">
        <w:trPr>
          <w:cnfStyle w:val="100000000000" w:firstRow="1" w:lastRow="0" w:firstColumn="0" w:lastColumn="0" w:oddVBand="0" w:evenVBand="0" w:oddHBand="0" w:evenHBand="0" w:firstRowFirstColumn="0" w:firstRowLastColumn="0" w:lastRowFirstColumn="0" w:lastRowLastColumn="0"/>
        </w:trPr>
        <w:tc>
          <w:tcPr>
            <w:tcW w:w="1242" w:type="dxa"/>
          </w:tcPr>
          <w:p w14:paraId="11E42AFB" w14:textId="77777777" w:rsidR="00AF6A11" w:rsidRPr="00047BBA" w:rsidRDefault="00AF6A11" w:rsidP="00640ECB">
            <w:pPr>
              <w:pStyle w:val="TableHeading"/>
              <w:rPr>
                <w:sz w:val="18"/>
                <w:szCs w:val="18"/>
              </w:rPr>
            </w:pPr>
            <w:r w:rsidRPr="00047BBA">
              <w:rPr>
                <w:sz w:val="18"/>
                <w:szCs w:val="18"/>
              </w:rPr>
              <w:t>Country</w:t>
            </w:r>
          </w:p>
        </w:tc>
        <w:tc>
          <w:tcPr>
            <w:tcW w:w="4536" w:type="dxa"/>
          </w:tcPr>
          <w:p w14:paraId="79518CF6" w14:textId="77777777" w:rsidR="00AF6A11" w:rsidRPr="00047BBA" w:rsidRDefault="00AF6A11" w:rsidP="00640ECB">
            <w:pPr>
              <w:pStyle w:val="TableHeading"/>
              <w:rPr>
                <w:sz w:val="18"/>
                <w:szCs w:val="18"/>
              </w:rPr>
            </w:pPr>
            <w:r w:rsidRPr="00047BBA">
              <w:rPr>
                <w:sz w:val="18"/>
                <w:szCs w:val="18"/>
              </w:rPr>
              <w:t>Status of decentralisation</w:t>
            </w:r>
          </w:p>
        </w:tc>
        <w:tc>
          <w:tcPr>
            <w:tcW w:w="3464" w:type="dxa"/>
          </w:tcPr>
          <w:p w14:paraId="4899B8E5" w14:textId="77777777" w:rsidR="00AF6A11" w:rsidRPr="00047BBA" w:rsidRDefault="00AF6A11" w:rsidP="00640ECB">
            <w:pPr>
              <w:pStyle w:val="TableHeading"/>
              <w:rPr>
                <w:sz w:val="18"/>
                <w:szCs w:val="18"/>
              </w:rPr>
            </w:pPr>
            <w:r w:rsidRPr="00047BBA">
              <w:rPr>
                <w:sz w:val="18"/>
                <w:szCs w:val="18"/>
              </w:rPr>
              <w:t>Subnational roles in service delivery</w:t>
            </w:r>
          </w:p>
        </w:tc>
      </w:tr>
      <w:tr w:rsidR="00AF6A11" w14:paraId="2CD94DC0" w14:textId="77777777" w:rsidTr="00B9479A">
        <w:tc>
          <w:tcPr>
            <w:tcW w:w="1242" w:type="dxa"/>
          </w:tcPr>
          <w:p w14:paraId="4202113B" w14:textId="77777777" w:rsidR="00AF6A11" w:rsidRPr="005140F5" w:rsidRDefault="00AF6A11" w:rsidP="00640ECB">
            <w:pPr>
              <w:pStyle w:val="TableText"/>
            </w:pPr>
            <w:r w:rsidRPr="005140F5">
              <w:t>Indonesia</w:t>
            </w:r>
          </w:p>
        </w:tc>
        <w:tc>
          <w:tcPr>
            <w:tcW w:w="4536" w:type="dxa"/>
          </w:tcPr>
          <w:p w14:paraId="645BED68" w14:textId="77777777" w:rsidR="00AF6A11" w:rsidRPr="005140F5" w:rsidRDefault="00AF6A11" w:rsidP="00640ECB">
            <w:pPr>
              <w:pStyle w:val="TableText"/>
            </w:pPr>
            <w:r w:rsidRPr="005140F5">
              <w:t xml:space="preserve">Recent effort to strengthen decentralisation in </w:t>
            </w:r>
            <w:r w:rsidRPr="00B9479A">
              <w:t>2000</w:t>
            </w:r>
            <w:r w:rsidRPr="00DA6A24">
              <w:t xml:space="preserve">; </w:t>
            </w:r>
            <w:r w:rsidRPr="00B9479A">
              <w:t>Devolution</w:t>
            </w:r>
            <w:r w:rsidRPr="005140F5">
              <w:t xml:space="preserve"> as type of administrative decentralisation</w:t>
            </w:r>
            <w:r>
              <w:br/>
            </w:r>
            <w:r w:rsidRPr="005140F5">
              <w:t>Overall process of decentralisation = ‘</w:t>
            </w:r>
            <w:r w:rsidRPr="005140F5">
              <w:rPr>
                <w:b/>
              </w:rPr>
              <w:t>Big Bang</w:t>
            </w:r>
            <w:r w:rsidRPr="005140F5">
              <w:t>’</w:t>
            </w:r>
            <w:r w:rsidRPr="005140F5">
              <w:rPr>
                <w:rStyle w:val="EndnoteReference"/>
              </w:rPr>
              <w:endnoteReference w:id="333"/>
            </w:r>
          </w:p>
        </w:tc>
        <w:tc>
          <w:tcPr>
            <w:tcW w:w="3464" w:type="dxa"/>
          </w:tcPr>
          <w:p w14:paraId="35AF9AFB" w14:textId="77777777" w:rsidR="00AF6A11" w:rsidRPr="005140F5" w:rsidRDefault="00AF6A11" w:rsidP="00640ECB">
            <w:pPr>
              <w:pStyle w:val="TableText"/>
            </w:pPr>
            <w:r w:rsidRPr="005140F5">
              <w:t>Provincial and local governments have responsibility for service delivery, but ability to fulfil these functions is limited by human and financial capacity</w:t>
            </w:r>
            <w:r w:rsidRPr="005140F5">
              <w:rPr>
                <w:rStyle w:val="EndnoteReference"/>
              </w:rPr>
              <w:endnoteReference w:id="334"/>
            </w:r>
          </w:p>
        </w:tc>
      </w:tr>
      <w:tr w:rsidR="00AF6A11" w14:paraId="7E223C47" w14:textId="77777777" w:rsidTr="00B9479A">
        <w:tc>
          <w:tcPr>
            <w:tcW w:w="1242" w:type="dxa"/>
          </w:tcPr>
          <w:p w14:paraId="27888BEE" w14:textId="77777777" w:rsidR="00AF6A11" w:rsidRPr="005140F5" w:rsidRDefault="00AF6A11" w:rsidP="00640ECB">
            <w:pPr>
              <w:pStyle w:val="TableText"/>
            </w:pPr>
            <w:r w:rsidRPr="005140F5">
              <w:t>PNG</w:t>
            </w:r>
          </w:p>
        </w:tc>
        <w:tc>
          <w:tcPr>
            <w:tcW w:w="4536" w:type="dxa"/>
          </w:tcPr>
          <w:p w14:paraId="3C6CE062" w14:textId="77777777" w:rsidR="00AF6A11" w:rsidRPr="005140F5" w:rsidRDefault="00AF6A11" w:rsidP="00640ECB">
            <w:pPr>
              <w:pStyle w:val="TableText"/>
            </w:pPr>
            <w:r w:rsidRPr="005140F5">
              <w:t xml:space="preserve">Recent effort to strengthen decentralisation in </w:t>
            </w:r>
            <w:r w:rsidRPr="00B9479A">
              <w:t>1995;</w:t>
            </w:r>
            <w:r w:rsidRPr="00B9479A">
              <w:rPr>
                <w:rStyle w:val="EndnoteReference"/>
              </w:rPr>
              <w:endnoteReference w:id="335"/>
            </w:r>
            <w:r w:rsidRPr="00DA6A24">
              <w:t xml:space="preserve"> </w:t>
            </w:r>
            <w:r w:rsidRPr="00B9479A">
              <w:t>Devolution</w:t>
            </w:r>
            <w:r w:rsidRPr="00DA6A24">
              <w:t xml:space="preserve"> </w:t>
            </w:r>
            <w:r w:rsidRPr="005140F5">
              <w:t>as type of administrative decentralisation</w:t>
            </w:r>
            <w:r w:rsidRPr="005140F5">
              <w:rPr>
                <w:rStyle w:val="EndnoteReference"/>
              </w:rPr>
              <w:endnoteReference w:id="336"/>
            </w:r>
            <w:r w:rsidRPr="005140F5">
              <w:t xml:space="preserve"> with some elements of deconcentration</w:t>
            </w:r>
            <w:r>
              <w:br/>
            </w:r>
            <w:r w:rsidRPr="005140F5">
              <w:t>Overall process of decentralisation = ‘</w:t>
            </w:r>
            <w:r w:rsidRPr="005140F5">
              <w:rPr>
                <w:b/>
              </w:rPr>
              <w:t>Gradual</w:t>
            </w:r>
            <w:r w:rsidRPr="005140F5">
              <w:t xml:space="preserve">’ </w:t>
            </w:r>
          </w:p>
        </w:tc>
        <w:tc>
          <w:tcPr>
            <w:tcW w:w="3464" w:type="dxa"/>
          </w:tcPr>
          <w:p w14:paraId="37E8EEE9" w14:textId="77777777" w:rsidR="00AF6A11" w:rsidRPr="005140F5" w:rsidRDefault="00AF6A11" w:rsidP="00640ECB">
            <w:pPr>
              <w:pStyle w:val="TableText"/>
            </w:pPr>
            <w:r w:rsidRPr="005140F5">
              <w:t>Primary responsibility for the delivery and financing of most public services lies with the provincial and local governments</w:t>
            </w:r>
            <w:r w:rsidRPr="005140F5">
              <w:rPr>
                <w:rStyle w:val="EndnoteReference"/>
              </w:rPr>
              <w:endnoteReference w:id="337"/>
            </w:r>
          </w:p>
        </w:tc>
      </w:tr>
      <w:tr w:rsidR="00AF6A11" w14:paraId="08EF0D91" w14:textId="77777777" w:rsidTr="00B9479A">
        <w:tc>
          <w:tcPr>
            <w:tcW w:w="1242" w:type="dxa"/>
          </w:tcPr>
          <w:p w14:paraId="026F759E" w14:textId="77777777" w:rsidR="00AF6A11" w:rsidRPr="005140F5" w:rsidRDefault="00AF6A11" w:rsidP="00640ECB">
            <w:pPr>
              <w:pStyle w:val="TableText"/>
            </w:pPr>
            <w:r w:rsidRPr="005140F5">
              <w:t>Philippines</w:t>
            </w:r>
          </w:p>
        </w:tc>
        <w:tc>
          <w:tcPr>
            <w:tcW w:w="4536" w:type="dxa"/>
          </w:tcPr>
          <w:p w14:paraId="08FFF1C3" w14:textId="77777777" w:rsidR="00AF6A11" w:rsidRPr="005140F5" w:rsidRDefault="00AF6A11" w:rsidP="00640ECB">
            <w:pPr>
              <w:pStyle w:val="TableText"/>
            </w:pPr>
            <w:r w:rsidRPr="005140F5">
              <w:t xml:space="preserve">Recent effort to strengthen decentralisation in </w:t>
            </w:r>
            <w:r w:rsidRPr="00B9479A">
              <w:t>1991</w:t>
            </w:r>
            <w:r w:rsidRPr="00DA6A24">
              <w:t xml:space="preserve">; </w:t>
            </w:r>
            <w:r w:rsidRPr="00B9479A">
              <w:t>Devolution</w:t>
            </w:r>
            <w:r w:rsidRPr="005140F5">
              <w:t xml:space="preserve"> as type of administrative decentralisation</w:t>
            </w:r>
            <w:r>
              <w:br/>
            </w:r>
            <w:r w:rsidRPr="005140F5">
              <w:t>Overall process of decentralisation = ‘</w:t>
            </w:r>
            <w:r w:rsidRPr="005140F5">
              <w:rPr>
                <w:b/>
              </w:rPr>
              <w:t>Big Bang</w:t>
            </w:r>
            <w:r w:rsidRPr="005140F5">
              <w:t>’</w:t>
            </w:r>
            <w:r w:rsidRPr="005140F5">
              <w:rPr>
                <w:rStyle w:val="EndnoteReference"/>
              </w:rPr>
              <w:endnoteReference w:id="338"/>
            </w:r>
            <w:r w:rsidRPr="005140F5">
              <w:t xml:space="preserve"> </w:t>
            </w:r>
          </w:p>
        </w:tc>
        <w:tc>
          <w:tcPr>
            <w:tcW w:w="3464" w:type="dxa"/>
          </w:tcPr>
          <w:p w14:paraId="5DEA84A1" w14:textId="77777777" w:rsidR="00AF6A11" w:rsidRPr="005140F5" w:rsidRDefault="00AF6A11" w:rsidP="00640ECB">
            <w:pPr>
              <w:pStyle w:val="TableText"/>
            </w:pPr>
            <w:r w:rsidRPr="005140F5">
              <w:t>Services in healthcare, social services, public works, education, and housing devolved to local level</w:t>
            </w:r>
            <w:r w:rsidRPr="005140F5">
              <w:rPr>
                <w:rStyle w:val="EndnoteReference"/>
              </w:rPr>
              <w:endnoteReference w:id="339"/>
            </w:r>
          </w:p>
        </w:tc>
      </w:tr>
      <w:tr w:rsidR="00AF6A11" w14:paraId="5BB6C526" w14:textId="77777777" w:rsidTr="00B9479A">
        <w:tc>
          <w:tcPr>
            <w:tcW w:w="1242" w:type="dxa"/>
          </w:tcPr>
          <w:p w14:paraId="55E82C3F" w14:textId="77777777" w:rsidR="00AF6A11" w:rsidRPr="005140F5" w:rsidRDefault="00AF6A11" w:rsidP="00640ECB">
            <w:pPr>
              <w:pStyle w:val="TableText"/>
            </w:pPr>
            <w:r w:rsidRPr="005140F5">
              <w:t>Vietnam</w:t>
            </w:r>
          </w:p>
        </w:tc>
        <w:tc>
          <w:tcPr>
            <w:tcW w:w="4536" w:type="dxa"/>
          </w:tcPr>
          <w:p w14:paraId="46F64C0C" w14:textId="77777777" w:rsidR="00AF6A11" w:rsidRPr="005140F5" w:rsidRDefault="00AF6A11" w:rsidP="00640ECB">
            <w:pPr>
              <w:pStyle w:val="TableText"/>
            </w:pPr>
            <w:r w:rsidRPr="005140F5">
              <w:t xml:space="preserve">Recent effort to strengthen decentralisation in </w:t>
            </w:r>
            <w:r w:rsidRPr="00B9479A">
              <w:t>1994; Deconcentration</w:t>
            </w:r>
            <w:r w:rsidRPr="005140F5">
              <w:t xml:space="preserve"> as type of administrative decentralisation</w:t>
            </w:r>
            <w:r w:rsidRPr="005140F5">
              <w:rPr>
                <w:rStyle w:val="EndnoteReference"/>
              </w:rPr>
              <w:endnoteReference w:id="340"/>
            </w:r>
            <w:r w:rsidRPr="005140F5">
              <w:t xml:space="preserve"> </w:t>
            </w:r>
            <w:r>
              <w:br/>
            </w:r>
            <w:r w:rsidRPr="005140F5">
              <w:t xml:space="preserve">Overall process of decentralisation = </w:t>
            </w:r>
            <w:r w:rsidRPr="005140F5">
              <w:rPr>
                <w:b/>
              </w:rPr>
              <w:t>Gradual</w:t>
            </w:r>
            <w:r w:rsidRPr="005140F5">
              <w:rPr>
                <w:rStyle w:val="EndnoteReference"/>
                <w:b/>
              </w:rPr>
              <w:endnoteReference w:id="341"/>
            </w:r>
            <w:r w:rsidRPr="005140F5">
              <w:t xml:space="preserve"> </w:t>
            </w:r>
          </w:p>
        </w:tc>
        <w:tc>
          <w:tcPr>
            <w:tcW w:w="3464" w:type="dxa"/>
          </w:tcPr>
          <w:p w14:paraId="71D0360F" w14:textId="77777777" w:rsidR="00AF6A11" w:rsidRPr="005140F5" w:rsidRDefault="00AF6A11" w:rsidP="00640ECB">
            <w:pPr>
              <w:pStyle w:val="TableText"/>
            </w:pPr>
            <w:r w:rsidRPr="005140F5">
              <w:t>Education, health and social welfare are largely provided by provincial and local governments</w:t>
            </w:r>
            <w:r w:rsidRPr="005140F5">
              <w:rPr>
                <w:rStyle w:val="EndnoteReference"/>
              </w:rPr>
              <w:endnoteReference w:id="342"/>
            </w:r>
            <w:r w:rsidRPr="005140F5">
              <w:t xml:space="preserve"> but devolving authority and resources to local levels has been resisted</w:t>
            </w:r>
            <w:r w:rsidRPr="005140F5">
              <w:rPr>
                <w:rStyle w:val="EndnoteReference"/>
              </w:rPr>
              <w:endnoteReference w:id="343"/>
            </w:r>
          </w:p>
        </w:tc>
      </w:tr>
      <w:tr w:rsidR="00AF6A11" w14:paraId="4CBA5B60" w14:textId="77777777" w:rsidTr="00B9479A">
        <w:tc>
          <w:tcPr>
            <w:tcW w:w="1242" w:type="dxa"/>
          </w:tcPr>
          <w:p w14:paraId="0DB62BA2" w14:textId="77777777" w:rsidR="00AF6A11" w:rsidRPr="005140F5" w:rsidRDefault="00AF6A11" w:rsidP="00640ECB">
            <w:pPr>
              <w:pStyle w:val="TableText"/>
            </w:pPr>
            <w:r w:rsidRPr="005140F5">
              <w:t>Solomon Islands</w:t>
            </w:r>
          </w:p>
        </w:tc>
        <w:tc>
          <w:tcPr>
            <w:tcW w:w="4536" w:type="dxa"/>
          </w:tcPr>
          <w:p w14:paraId="20B49DC0" w14:textId="77777777" w:rsidR="00AF6A11" w:rsidRPr="005140F5" w:rsidRDefault="00AF6A11" w:rsidP="00640ECB">
            <w:pPr>
              <w:pStyle w:val="TableText"/>
            </w:pPr>
            <w:r w:rsidRPr="005140F5">
              <w:t xml:space="preserve">Effort to strengthen decentralisation in </w:t>
            </w:r>
            <w:r w:rsidRPr="00B9479A">
              <w:t>1980s;</w:t>
            </w:r>
            <w:r w:rsidRPr="00B9479A">
              <w:rPr>
                <w:rStyle w:val="EndnoteReference"/>
              </w:rPr>
              <w:endnoteReference w:id="344"/>
            </w:r>
            <w:r w:rsidRPr="005140F5">
              <w:rPr>
                <w:b/>
              </w:rPr>
              <w:t xml:space="preserve"> </w:t>
            </w:r>
            <w:r w:rsidRPr="005140F5">
              <w:t>Political decentralisation without corresponding devolution of adequate powers, functions, staff, budgets and clear lines of accountability and adequate support and supervision from the National level</w:t>
            </w:r>
            <w:r w:rsidRPr="005140F5">
              <w:rPr>
                <w:rStyle w:val="EndnoteReference"/>
              </w:rPr>
              <w:endnoteReference w:id="345"/>
            </w:r>
            <w:r w:rsidRPr="005140F5">
              <w:t xml:space="preserve"> </w:t>
            </w:r>
            <w:r>
              <w:br/>
            </w:r>
            <w:r w:rsidRPr="005140F5">
              <w:t>Overall process</w:t>
            </w:r>
            <w:r w:rsidRPr="005140F5" w:rsidDel="007E6C95">
              <w:t xml:space="preserve"> </w:t>
            </w:r>
            <w:r w:rsidRPr="005140F5">
              <w:t>of decentralisation = ‘</w:t>
            </w:r>
            <w:r w:rsidRPr="005140F5">
              <w:rPr>
                <w:b/>
              </w:rPr>
              <w:t>Gradual</w:t>
            </w:r>
            <w:r w:rsidRPr="005140F5">
              <w:t xml:space="preserve">’ </w:t>
            </w:r>
          </w:p>
        </w:tc>
        <w:tc>
          <w:tcPr>
            <w:tcW w:w="3464" w:type="dxa"/>
          </w:tcPr>
          <w:p w14:paraId="4C14958F" w14:textId="77777777" w:rsidR="00AF6A11" w:rsidRPr="005140F5" w:rsidRDefault="00AF6A11" w:rsidP="00B10E02">
            <w:pPr>
              <w:pStyle w:val="TableText"/>
            </w:pPr>
            <w:r w:rsidRPr="005140F5">
              <w:rPr>
                <w:lang w:eastAsia="en-US"/>
              </w:rPr>
              <w:t xml:space="preserve">Most service delivery remains the responsibility of </w:t>
            </w:r>
            <w:r w:rsidRPr="00801AFD">
              <w:t>central</w:t>
            </w:r>
            <w:r w:rsidRPr="005140F5">
              <w:rPr>
                <w:lang w:eastAsia="en-US"/>
              </w:rPr>
              <w:t xml:space="preserve"> government due to lack of provincial capacity</w:t>
            </w:r>
            <w:r w:rsidRPr="005140F5">
              <w:rPr>
                <w:vertAlign w:val="superscript"/>
                <w:lang w:eastAsia="en-US"/>
              </w:rPr>
              <w:endnoteReference w:id="346"/>
            </w:r>
            <w:r w:rsidRPr="005140F5">
              <w:t xml:space="preserve"> </w:t>
            </w:r>
          </w:p>
        </w:tc>
      </w:tr>
      <w:tr w:rsidR="00AF6A11" w14:paraId="2EAE87C3" w14:textId="77777777" w:rsidTr="00B9479A">
        <w:tc>
          <w:tcPr>
            <w:tcW w:w="1242" w:type="dxa"/>
          </w:tcPr>
          <w:p w14:paraId="24505635" w14:textId="77777777" w:rsidR="00AF6A11" w:rsidRPr="005140F5" w:rsidRDefault="00AF6A11" w:rsidP="00640ECB">
            <w:pPr>
              <w:pStyle w:val="TableText"/>
            </w:pPr>
            <w:r w:rsidRPr="005140F5">
              <w:t>Bangladesh</w:t>
            </w:r>
          </w:p>
        </w:tc>
        <w:tc>
          <w:tcPr>
            <w:tcW w:w="4536" w:type="dxa"/>
          </w:tcPr>
          <w:p w14:paraId="3907EB0C" w14:textId="77777777" w:rsidR="00AF6A11" w:rsidRPr="005140F5" w:rsidRDefault="00AF6A11" w:rsidP="00640ECB">
            <w:pPr>
              <w:pStyle w:val="TableText"/>
            </w:pPr>
            <w:r w:rsidRPr="005140F5">
              <w:t xml:space="preserve">Recent effort at strengthening decentralisation in </w:t>
            </w:r>
            <w:r w:rsidRPr="00B9479A">
              <w:t>1975</w:t>
            </w:r>
            <w:r w:rsidRPr="00B9479A">
              <w:rPr>
                <w:rStyle w:val="EndnoteReference"/>
              </w:rPr>
              <w:endnoteReference w:id="347"/>
            </w:r>
            <w:r w:rsidRPr="00DA6A24">
              <w:t>;</w:t>
            </w:r>
            <w:r w:rsidRPr="00B9479A">
              <w:t xml:space="preserve"> Deconcentration</w:t>
            </w:r>
            <w:r w:rsidRPr="00DA6A24">
              <w:t xml:space="preserve"> </w:t>
            </w:r>
            <w:r w:rsidRPr="005140F5">
              <w:t>as type of administrative decentralisation</w:t>
            </w:r>
            <w:r w:rsidRPr="005140F5">
              <w:rPr>
                <w:rStyle w:val="EndnoteReference"/>
              </w:rPr>
              <w:endnoteReference w:id="348"/>
            </w:r>
            <w:r>
              <w:br/>
            </w:r>
            <w:r w:rsidRPr="005140F5">
              <w:t xml:space="preserve">Overall process of decentralisation = </w:t>
            </w:r>
            <w:r w:rsidRPr="005140F5">
              <w:rPr>
                <w:b/>
              </w:rPr>
              <w:t>Gradual</w:t>
            </w:r>
            <w:r w:rsidRPr="005140F5">
              <w:rPr>
                <w:rStyle w:val="EndnoteReference"/>
                <w:b/>
              </w:rPr>
              <w:endnoteReference w:id="349"/>
            </w:r>
          </w:p>
        </w:tc>
        <w:tc>
          <w:tcPr>
            <w:tcW w:w="3464" w:type="dxa"/>
          </w:tcPr>
          <w:p w14:paraId="10768A91" w14:textId="1360B168" w:rsidR="00AF6A11" w:rsidRPr="005140F5" w:rsidRDefault="00AF6A11" w:rsidP="00640ECB">
            <w:pPr>
              <w:pStyle w:val="TableText"/>
              <w:rPr>
                <w:rFonts w:ascii="Arial Narrow" w:hAnsi="Arial Narrow"/>
                <w:sz w:val="19"/>
                <w:szCs w:val="17"/>
                <w:lang w:eastAsia="en-US"/>
              </w:rPr>
            </w:pPr>
            <w:r w:rsidRPr="005140F5">
              <w:t>Local government currently plays a limited role in service delivery, particularly in health, education and water and sanitation</w:t>
            </w:r>
            <w:r>
              <w:t xml:space="preserve"> </w:t>
            </w:r>
          </w:p>
        </w:tc>
      </w:tr>
    </w:tbl>
    <w:p w14:paraId="789B0852" w14:textId="77777777" w:rsidR="00AF6A11" w:rsidRDefault="00AF6A11" w:rsidP="00640ECB">
      <w:pPr>
        <w:pStyle w:val="Heading2a"/>
      </w:pPr>
      <w:r>
        <w:t>Indonesia</w:t>
      </w:r>
    </w:p>
    <w:p w14:paraId="6E9B32BD" w14:textId="77777777" w:rsidR="00AF6A11" w:rsidRDefault="00AF6A11" w:rsidP="00640ECB">
      <w:r>
        <w:t>T</w:t>
      </w:r>
      <w:r w:rsidRPr="00211AAE">
        <w:t>he Indonesia country strategy</w:t>
      </w:r>
      <w:r>
        <w:t xml:space="preserve"> (2008–13)</w:t>
      </w:r>
      <w:r w:rsidRPr="00211AAE">
        <w:t xml:space="preserve"> </w:t>
      </w:r>
      <w:r>
        <w:t>provides good coverage of decentralisation and Australia’s response. It provides analysis of the decentralised context, description of challenges faced at subnational level and articulates strategies to address issues arising in this current context. The strategy also takes into account Australia’s role as a small donor within a middle-income country and the need to consider carefully the value-add of Australian support. The analysis concerning service delivery covers how responsibility has been devolved to provincial and local governments but that ‘</w:t>
      </w:r>
      <w:r w:rsidRPr="00033286">
        <w:rPr>
          <w:i/>
        </w:rPr>
        <w:t>this increase in authority has not been matched with the human capacity to deliver</w:t>
      </w:r>
      <w:r>
        <w:rPr>
          <w:i/>
        </w:rPr>
        <w:t>y</w:t>
      </w:r>
      <w:r w:rsidRPr="00033286">
        <w:rPr>
          <w:i/>
        </w:rPr>
        <w:t>, or with the financial discipline, accountability and the infrastructure required for effective service delivery</w:t>
      </w:r>
      <w:r>
        <w:rPr>
          <w:i/>
        </w:rPr>
        <w:t>.</w:t>
      </w:r>
      <w:r>
        <w:t>’</w:t>
      </w:r>
      <w:r>
        <w:rPr>
          <w:rStyle w:val="EndnoteReference"/>
        </w:rPr>
        <w:endnoteReference w:id="350"/>
      </w:r>
      <w:r>
        <w:t xml:space="preserve"> The strategy recognises that Australia’s support should use ‘</w:t>
      </w:r>
      <w:r w:rsidRPr="00D5127E">
        <w:rPr>
          <w:i/>
        </w:rPr>
        <w:t>local systems that deliver larger Indonesian programs</w:t>
      </w:r>
      <w:r>
        <w:t>’</w:t>
      </w:r>
      <w:r>
        <w:rPr>
          <w:rStyle w:val="EndnoteReference"/>
        </w:rPr>
        <w:endnoteReference w:id="351"/>
      </w:r>
      <w:r>
        <w:t xml:space="preserve"> towards improving service delivery, ‘</w:t>
      </w:r>
      <w:r w:rsidRPr="00D5127E">
        <w:rPr>
          <w:i/>
        </w:rPr>
        <w:t>particularly at decentralised level of government</w:t>
      </w:r>
      <w:r>
        <w:rPr>
          <w:i/>
        </w:rPr>
        <w:t>.</w:t>
      </w:r>
      <w:r>
        <w:t>’</w:t>
      </w:r>
      <w:r>
        <w:rPr>
          <w:rStyle w:val="EndnoteReference"/>
        </w:rPr>
        <w:endnoteReference w:id="352"/>
      </w:r>
      <w:r>
        <w:t xml:space="preserve"> Different subnational roles are identified within particular sectors, for example: ‘</w:t>
      </w:r>
      <w:r w:rsidRPr="00D5127E">
        <w:rPr>
          <w:i/>
        </w:rPr>
        <w:t>Under decentralisation reforms, responsibility fo</w:t>
      </w:r>
      <w:r>
        <w:rPr>
          <w:i/>
        </w:rPr>
        <w:t>r</w:t>
      </w:r>
      <w:r w:rsidRPr="00D5127E">
        <w:rPr>
          <w:i/>
        </w:rPr>
        <w:t xml:space="preserve"> delivering public education is shared between the national, provincial and district levels of government</w:t>
      </w:r>
      <w:r>
        <w:rPr>
          <w:i/>
        </w:rPr>
        <w:t>.</w:t>
      </w:r>
      <w:r>
        <w:t>’</w:t>
      </w:r>
      <w:r>
        <w:rPr>
          <w:rStyle w:val="EndnoteReference"/>
        </w:rPr>
        <w:endnoteReference w:id="353"/>
      </w:r>
      <w:r>
        <w:t xml:space="preserve"> Capacity gaps at subnational level are also identified. For example, concerning health it is noted that ‘</w:t>
      </w:r>
      <w:r>
        <w:rPr>
          <w:i/>
        </w:rPr>
        <w:t>u</w:t>
      </w:r>
      <w:r w:rsidRPr="00D5127E">
        <w:rPr>
          <w:i/>
        </w:rPr>
        <w:t>nder decentralisation, local governments struggle to find, fund and successfully manage the human resources required to implement their mandate</w:t>
      </w:r>
      <w:r>
        <w:t>.’</w:t>
      </w:r>
      <w:r>
        <w:rPr>
          <w:rStyle w:val="EndnoteReference"/>
        </w:rPr>
        <w:endnoteReference w:id="354"/>
      </w:r>
    </w:p>
    <w:p w14:paraId="52F66DBA" w14:textId="7FA312C3" w:rsidR="00AF6A11" w:rsidRPr="00D5127E" w:rsidRDefault="00AF6A11" w:rsidP="00640ECB">
      <w:r>
        <w:t>The country program strategy clearly articulates an approach to work in select</w:t>
      </w:r>
      <w:r w:rsidR="00B10E02">
        <w:t>ed</w:t>
      </w:r>
      <w:r>
        <w:t xml:space="preserve"> provincial and local governments to enhance capacity and public financial management,</w:t>
      </w:r>
      <w:r>
        <w:rPr>
          <w:rStyle w:val="EndnoteReference"/>
        </w:rPr>
        <w:endnoteReference w:id="355"/>
      </w:r>
      <w:r>
        <w:t xml:space="preserve"> and dedicate resources to increase knowledge of partner systems and the decentralised environment ‘</w:t>
      </w:r>
      <w:r w:rsidRPr="00D5127E">
        <w:rPr>
          <w:i/>
        </w:rPr>
        <w:t>drawing on analysis of Indonesian systems (budget, public expenditure management, decentralisation and capacity), ailing service delivery and growth</w:t>
      </w:r>
      <w:r>
        <w:rPr>
          <w:i/>
        </w:rPr>
        <w:t>.</w:t>
      </w:r>
      <w:r>
        <w:t>’</w:t>
      </w:r>
      <w:r>
        <w:rPr>
          <w:rStyle w:val="EndnoteReference"/>
        </w:rPr>
        <w:endnoteReference w:id="356"/>
      </w:r>
      <w:r>
        <w:t xml:space="preserve"> The strategy also describes the commitment to a ‘decentralisation support facility’ with aims to improve alignment and coordination of assistance, strengthen evidence-based policy through use of financial incentives</w:t>
      </w:r>
      <w:r>
        <w:rPr>
          <w:rStyle w:val="EndnoteReference"/>
        </w:rPr>
        <w:endnoteReference w:id="357"/>
      </w:r>
      <w:r>
        <w:t xml:space="preserve"> and build capacity of citizens to demand better governance.</w:t>
      </w:r>
      <w:r>
        <w:rPr>
          <w:rStyle w:val="EndnoteReference"/>
        </w:rPr>
        <w:endnoteReference w:id="358"/>
      </w:r>
      <w:r>
        <w:t xml:space="preserve"> Lastly, the strategy articulates a concurrent focus on national and subnational level</w:t>
      </w:r>
      <w:r w:rsidR="003D3333">
        <w:t>s</w:t>
      </w:r>
      <w:r>
        <w:t>, and support for service delivery in provinces with high levels of poverty.</w:t>
      </w:r>
      <w:r>
        <w:rPr>
          <w:rStyle w:val="EndnoteReference"/>
        </w:rPr>
        <w:endnoteReference w:id="359"/>
      </w:r>
    </w:p>
    <w:p w14:paraId="52DC5628" w14:textId="77777777" w:rsidR="00AF6A11" w:rsidRDefault="00AF6A11" w:rsidP="00C615DC">
      <w:pPr>
        <w:pStyle w:val="Heading2a"/>
        <w:spacing w:before="360"/>
      </w:pPr>
      <w:r>
        <w:t>PNG</w:t>
      </w:r>
    </w:p>
    <w:p w14:paraId="69E21159" w14:textId="47482D81" w:rsidR="00AF6A11" w:rsidRDefault="00AF6A11" w:rsidP="00640ECB">
      <w:r>
        <w:t xml:space="preserve">Decentralisation in PNG involves devolution with some elements of deconcentration. The 1995 reforms maintained </w:t>
      </w:r>
      <w:r w:rsidR="00B10E02">
        <w:t xml:space="preserve">a </w:t>
      </w:r>
      <w:r>
        <w:t>decentralised system, but recentralised political power. Provincial governments have responsibilities for basic rural services in education, health, village courts and some transport infrastructure. The national level retains most law and justice responsibilities, hospitals, major transport infrastructure and upper education. The substantial constituency funding provided to district members of parliament bypasses provinces and complicates decentralisation. In some provinces</w:t>
      </w:r>
      <w:r w:rsidR="00B10E02">
        <w:t>,</w:t>
      </w:r>
      <w:r>
        <w:t xml:space="preserve"> the entire health sector is covered by provincial health authorities, and many areas have a significant church health and education presence</w:t>
      </w:r>
      <w:r w:rsidR="00546631">
        <w:t>.</w:t>
      </w:r>
      <w:r>
        <w:rPr>
          <w:rStyle w:val="EndnoteReference"/>
        </w:rPr>
        <w:endnoteReference w:id="360"/>
      </w:r>
    </w:p>
    <w:p w14:paraId="20C074DA" w14:textId="77777777" w:rsidR="00AF6A11" w:rsidRDefault="00AF6A11" w:rsidP="00640ECB">
      <w:r>
        <w:t>PNG strategy documentation contains some mention of decentralisation. The country program strategy of 2006–10</w:t>
      </w:r>
      <w:r>
        <w:rPr>
          <w:rStyle w:val="EndnoteReference"/>
        </w:rPr>
        <w:endnoteReference w:id="361"/>
      </w:r>
      <w:r>
        <w:t xml:space="preserve"> was superseded by the Partnership for Development Agreement in 2008. This agreement, with accompanying schedules for four priority outcomes in 2012, comprises the current strategic framework guiding Australian support to PNG.</w:t>
      </w:r>
      <w:r w:rsidR="00546631">
        <w:rPr>
          <w:rStyle w:val="FootnoteReference"/>
        </w:rPr>
        <w:footnoteReference w:id="58"/>
      </w:r>
      <w:r w:rsidR="00546631">
        <w:t xml:space="preserve"> </w:t>
      </w:r>
      <w:r>
        <w:t xml:space="preserve">The current Partnership Agreement and accompanying schedules has limited reference to subnational roles in service delivery. </w:t>
      </w:r>
    </w:p>
    <w:p w14:paraId="124F89CB" w14:textId="5D37F00D" w:rsidR="00AF6A11" w:rsidRDefault="00AF6A11" w:rsidP="00640ECB">
      <w:r>
        <w:t>The Partnership Agreement of 2008 includes a commitment to contribute to improved governance and build ‘</w:t>
      </w:r>
      <w:r w:rsidRPr="00C02916">
        <w:rPr>
          <w:i/>
        </w:rPr>
        <w:t>effective national institutions and the public sector workforce capacities</w:t>
      </w:r>
      <w:r w:rsidR="00D2236B">
        <w:t>.’</w:t>
      </w:r>
      <w:r>
        <w:rPr>
          <w:rStyle w:val="EndnoteReference"/>
        </w:rPr>
        <w:endnoteReference w:id="362"/>
      </w:r>
      <w:r>
        <w:t xml:space="preserve"> Yet the agreement also suggests that choices need to be made between governance and service delivery improvements in its advice to ‘</w:t>
      </w:r>
      <w:r w:rsidRPr="00C02916">
        <w:rPr>
          <w:i/>
        </w:rPr>
        <w:t>balance governance improvements with service delivery improvements</w:t>
      </w:r>
      <w:r>
        <w:rPr>
          <w:i/>
        </w:rPr>
        <w:t>.</w:t>
      </w:r>
      <w:r>
        <w:t>’</w:t>
      </w:r>
      <w:r>
        <w:rPr>
          <w:rStyle w:val="EndnoteReference"/>
        </w:rPr>
        <w:endnoteReference w:id="363"/>
      </w:r>
      <w:r>
        <w:t xml:space="preserve"> The one reference to subnational government concerns the need for ‘</w:t>
      </w:r>
      <w:r w:rsidRPr="00C02916">
        <w:rPr>
          <w:i/>
        </w:rPr>
        <w:t>focus on subnational levels of government and service delivery</w:t>
      </w:r>
      <w:r>
        <w:t>’</w:t>
      </w:r>
      <w:r>
        <w:rPr>
          <w:rStyle w:val="EndnoteReference"/>
        </w:rPr>
        <w:endnoteReference w:id="364"/>
      </w:r>
      <w:r>
        <w:t xml:space="preserve"> and there is no reference to decentralisation. </w:t>
      </w:r>
    </w:p>
    <w:p w14:paraId="1065E5E0" w14:textId="77777777" w:rsidR="00AF6A11" w:rsidRDefault="00AF6A11" w:rsidP="00640ECB">
      <w:r>
        <w:t xml:space="preserve">Of the three relevant schedules related to sectors covered in this evaluation, health and education contain the most detail on the role of subnational government. It was absent from the schedule on transport infrastructure, understandably given its focus on national roads. </w:t>
      </w:r>
    </w:p>
    <w:p w14:paraId="30306D89" w14:textId="37068887" w:rsidR="00AF6A11" w:rsidRDefault="00AF6A11" w:rsidP="00640ECB">
      <w:r>
        <w:t>The schedule on education contains a full annex describing the distribution for roles and responsibilities for education at different levels of government, however it is not clear how Australian support (aside from through separate governance support) addresses the needs of these different roles and responsibilities, particularly those at subnational level. Instead support is to be focused on ‘</w:t>
      </w:r>
      <w:r w:rsidRPr="001B1007">
        <w:rPr>
          <w:i/>
        </w:rPr>
        <w:t>education subsidies, infrastructure and materials</w:t>
      </w:r>
      <w:r>
        <w:rPr>
          <w:i/>
        </w:rPr>
        <w:t>.</w:t>
      </w:r>
      <w:r>
        <w:t>’</w:t>
      </w:r>
      <w:r>
        <w:rPr>
          <w:rStyle w:val="EndnoteReference"/>
        </w:rPr>
        <w:endnoteReference w:id="365"/>
      </w:r>
      <w:r>
        <w:t xml:space="preserve">. It is not clear how this approach is responsive to the decentralised context, or </w:t>
      </w:r>
      <w:r w:rsidR="00B10E02">
        <w:t xml:space="preserve">to </w:t>
      </w:r>
      <w:r>
        <w:t>evidence such as the findings of reviews about constraints in subnational budgets and capacity.</w:t>
      </w:r>
      <w:r>
        <w:rPr>
          <w:rStyle w:val="EndnoteReference"/>
        </w:rPr>
        <w:endnoteReference w:id="366"/>
      </w:r>
      <w:r>
        <w:t xml:space="preserve"> </w:t>
      </w:r>
    </w:p>
    <w:p w14:paraId="4CE6EC39" w14:textId="34DFADDD" w:rsidR="00AF6A11" w:rsidRDefault="00AF6A11" w:rsidP="00640ECB">
      <w:r>
        <w:t>The schedule on health and HIV/AIDS by contrast does include clear direction on how Australia support will address the decentralised context, including ‘</w:t>
      </w:r>
      <w:r w:rsidRPr="007E17A4">
        <w:rPr>
          <w:i/>
        </w:rPr>
        <w:t>technical assistance to strengthen provincial and district capacity</w:t>
      </w:r>
      <w:r>
        <w:t>’</w:t>
      </w:r>
      <w:r>
        <w:rPr>
          <w:rStyle w:val="EndnoteReference"/>
        </w:rPr>
        <w:endnoteReference w:id="367"/>
      </w:r>
      <w:r>
        <w:t xml:space="preserve"> and supporting critical reforms through ‘</w:t>
      </w:r>
      <w:r w:rsidRPr="007E17A4">
        <w:rPr>
          <w:i/>
        </w:rPr>
        <w:t>financing to provincial health authorities</w:t>
      </w:r>
      <w:r w:rsidR="00D2236B">
        <w:t>.’</w:t>
      </w:r>
      <w:r>
        <w:rPr>
          <w:rStyle w:val="EndnoteReference"/>
        </w:rPr>
        <w:endnoteReference w:id="368"/>
      </w:r>
      <w:r>
        <w:t xml:space="preserve"> Also, there is reference to ‘</w:t>
      </w:r>
      <w:r w:rsidRPr="007E17A4">
        <w:rPr>
          <w:i/>
        </w:rPr>
        <w:t>support to civil society organisations, churches and commits to increase demand for better service delivery</w:t>
      </w:r>
      <w:r>
        <w:rPr>
          <w:i/>
        </w:rPr>
        <w:t>.</w:t>
      </w:r>
      <w:r>
        <w:t>’</w:t>
      </w:r>
      <w:r>
        <w:rPr>
          <w:rStyle w:val="EndnoteReference"/>
        </w:rPr>
        <w:endnoteReference w:id="369"/>
      </w:r>
      <w:r>
        <w:t xml:space="preserve"> In addition, the schedule confirms that 75 per cent of technical assistance deployed to support implementation of the National HIV and AIDS Strategy 2011–15 will be targeted at subnational level.</w:t>
      </w:r>
      <w:r>
        <w:rPr>
          <w:rStyle w:val="EndnoteReference"/>
        </w:rPr>
        <w:endnoteReference w:id="370"/>
      </w:r>
      <w:r>
        <w:t xml:space="preserve"> </w:t>
      </w:r>
    </w:p>
    <w:p w14:paraId="52011D2C" w14:textId="77777777" w:rsidR="00AF6A11" w:rsidRDefault="00AF6A11" w:rsidP="00C615DC">
      <w:pPr>
        <w:pStyle w:val="Heading2a"/>
        <w:spacing w:before="360"/>
      </w:pPr>
      <w:r w:rsidRPr="003B336C">
        <w:t>Philippines</w:t>
      </w:r>
    </w:p>
    <w:p w14:paraId="0FC9125B" w14:textId="0CF33284" w:rsidR="00AF6A11" w:rsidRDefault="00AF6A11" w:rsidP="00640ECB">
      <w:r w:rsidRPr="00B869D3">
        <w:t>The Philippines Aid Program Strategy 2012</w:t>
      </w:r>
      <w:r>
        <w:t>–</w:t>
      </w:r>
      <w:r w:rsidRPr="00B869D3">
        <w:t xml:space="preserve">17 </w:t>
      </w:r>
      <w:r>
        <w:t xml:space="preserve">contains detailed coverage of decentralisation and role of subnational government in service delivery. The strategy </w:t>
      </w:r>
      <w:r w:rsidRPr="00B869D3">
        <w:t xml:space="preserve">has one of its strategic objectives to strengthen basic services for the poor, and includes </w:t>
      </w:r>
      <w:r w:rsidR="00253112" w:rsidRPr="00B869D3">
        <w:t xml:space="preserve">a </w:t>
      </w:r>
      <w:r w:rsidR="00253112">
        <w:t>cross</w:t>
      </w:r>
      <w:r w:rsidR="00560B6D">
        <w:t>-cutting</w:t>
      </w:r>
      <w:r w:rsidRPr="00B869D3">
        <w:t xml:space="preserve"> governance objective: </w:t>
      </w:r>
      <w:r>
        <w:t>‘</w:t>
      </w:r>
      <w:r w:rsidRPr="0074459A">
        <w:rPr>
          <w:i/>
        </w:rPr>
        <w:t>Supporting the foundations for accountable, transparent, effective and inclusive governance</w:t>
      </w:r>
      <w:r>
        <w:rPr>
          <w:i/>
        </w:rPr>
        <w:t>.</w:t>
      </w:r>
      <w:r>
        <w:t>’</w:t>
      </w:r>
      <w:r>
        <w:rPr>
          <w:rStyle w:val="EndnoteReference"/>
        </w:rPr>
        <w:endnoteReference w:id="371"/>
      </w:r>
      <w:r w:rsidRPr="00B869D3">
        <w:t xml:space="preserve"> This strategy provides analysis of key issues arising as result of decentralisation. For </w:t>
      </w:r>
      <w:r>
        <w:t>example,</w:t>
      </w:r>
      <w:r w:rsidRPr="00B869D3">
        <w:t xml:space="preserve"> it notes that </w:t>
      </w:r>
      <w:r>
        <w:t>‘</w:t>
      </w:r>
      <w:r>
        <w:rPr>
          <w:i/>
        </w:rPr>
        <w:t>w</w:t>
      </w:r>
      <w:r w:rsidRPr="00B869D3">
        <w:rPr>
          <w:i/>
        </w:rPr>
        <w:t>eak governance persists at both the national and local levels. Local governments account for almost a third of total government expenditure and deliver most basic services</w:t>
      </w:r>
      <w:r>
        <w:rPr>
          <w:i/>
        </w:rPr>
        <w:t>.</w:t>
      </w:r>
      <w:r>
        <w:t>’</w:t>
      </w:r>
      <w:r>
        <w:rPr>
          <w:rStyle w:val="EndnoteReference"/>
        </w:rPr>
        <w:endnoteReference w:id="372"/>
      </w:r>
      <w:r w:rsidRPr="00B869D3">
        <w:t xml:space="preserve"> </w:t>
      </w:r>
    </w:p>
    <w:p w14:paraId="2FD1D9B8" w14:textId="27E1E4D4" w:rsidR="00AF6A11" w:rsidRDefault="00AF6A11" w:rsidP="00640ECB">
      <w:r w:rsidRPr="00B869D3">
        <w:t xml:space="preserve">The strategy notes specific problems with current </w:t>
      </w:r>
      <w:r>
        <w:t>decentralised service delivery: ‘</w:t>
      </w:r>
      <w:r w:rsidRPr="00B869D3">
        <w:rPr>
          <w:i/>
        </w:rPr>
        <w:t>1. a high degree of fragmentation among local governments—there are more than 43</w:t>
      </w:r>
      <w:r>
        <w:rPr>
          <w:i/>
        </w:rPr>
        <w:t> </w:t>
      </w:r>
      <w:r w:rsidRPr="00B869D3">
        <w:rPr>
          <w:i/>
        </w:rPr>
        <w:t>000 local government units across the country; 2. a significant mismatch between local government responsibilities and their ability to fund public services; 3. weak accountability for local government performance</w:t>
      </w:r>
      <w:r w:rsidRPr="00B869D3">
        <w:t>.</w:t>
      </w:r>
      <w:r>
        <w:t>’</w:t>
      </w:r>
      <w:r>
        <w:rPr>
          <w:rStyle w:val="EndnoteReference"/>
        </w:rPr>
        <w:endnoteReference w:id="373"/>
      </w:r>
      <w:r w:rsidR="00B74369">
        <w:t xml:space="preserve"> </w:t>
      </w:r>
      <w:r>
        <w:t xml:space="preserve">The strategy also provides clear guidance on how Australian support will be targeted to address two of these major problems; funding at local level and accountability for their performance. </w:t>
      </w:r>
    </w:p>
    <w:p w14:paraId="209A2536" w14:textId="77777777" w:rsidR="00AF6A11" w:rsidRPr="00B869D3" w:rsidRDefault="00AF6A11" w:rsidP="00640ECB">
      <w:r>
        <w:t>Finally, it is the only strategy reviewed here that refers to the political cycle, and notes under the risk management area that the 2013 elections ‘</w:t>
      </w:r>
      <w:r w:rsidRPr="00B869D3">
        <w:rPr>
          <w:i/>
        </w:rPr>
        <w:t>could see changes in the political landscape at subnational</w:t>
      </w:r>
      <w:r>
        <w:rPr>
          <w:i/>
        </w:rPr>
        <w:t xml:space="preserve"> </w:t>
      </w:r>
      <w:r w:rsidRPr="00B869D3">
        <w:rPr>
          <w:i/>
        </w:rPr>
        <w:t>and legislative levels, which may i</w:t>
      </w:r>
      <w:r>
        <w:rPr>
          <w:i/>
        </w:rPr>
        <w:t>m</w:t>
      </w:r>
      <w:r w:rsidRPr="00B869D3">
        <w:rPr>
          <w:i/>
        </w:rPr>
        <w:t>pact on the current administration’s ability to deliver on its [decentralisation] reform agenda</w:t>
      </w:r>
      <w:r>
        <w:rPr>
          <w:i/>
        </w:rPr>
        <w:t>.</w:t>
      </w:r>
      <w:r>
        <w:t>’</w:t>
      </w:r>
      <w:r>
        <w:rPr>
          <w:rStyle w:val="EndnoteReference"/>
        </w:rPr>
        <w:endnoteReference w:id="374"/>
      </w:r>
      <w:r>
        <w:t xml:space="preserve"> </w:t>
      </w:r>
    </w:p>
    <w:p w14:paraId="54925964" w14:textId="77777777" w:rsidR="00AF6A11" w:rsidRDefault="00AF6A11" w:rsidP="00C615DC">
      <w:pPr>
        <w:pStyle w:val="Heading2a"/>
        <w:spacing w:before="360"/>
      </w:pPr>
      <w:r>
        <w:t>Vietnam</w:t>
      </w:r>
    </w:p>
    <w:p w14:paraId="0D7C23D4" w14:textId="310DC7F3" w:rsidR="00AF6A11" w:rsidRDefault="003D5CD8" w:rsidP="00640ECB">
      <w:r>
        <w:t>T</w:t>
      </w:r>
      <w:r w:rsidR="00AF6A11" w:rsidRPr="00211AAE">
        <w:t xml:space="preserve">he </w:t>
      </w:r>
      <w:r w:rsidR="00AF6A11">
        <w:t>A</w:t>
      </w:r>
      <w:r w:rsidR="00AF6A11" w:rsidRPr="003D706B">
        <w:t>ustralia</w:t>
      </w:r>
      <w:r w:rsidR="00AF6A11">
        <w:t>–</w:t>
      </w:r>
      <w:r w:rsidR="00AF6A11" w:rsidRPr="003D706B">
        <w:t>Vietnam Joint Aid Program Strategy 2010–15</w:t>
      </w:r>
      <w:r w:rsidR="00AF6A11">
        <w:t xml:space="preserve"> </w:t>
      </w:r>
      <w:r>
        <w:t xml:space="preserve">has </w:t>
      </w:r>
      <w:r w:rsidR="00AF6A11">
        <w:t xml:space="preserve">limited mention of decentralisation or subnational roles. It should be noted that this strategy has a lesser focus on service delivery than the three countries discussed above, however the strategy does focus on water and sanitation as a basic service, and infrastructure development within its focus on economic integration. </w:t>
      </w:r>
    </w:p>
    <w:p w14:paraId="6E772EF7" w14:textId="7B1F33FF" w:rsidR="00AF6A11" w:rsidRPr="00253FE1" w:rsidRDefault="00AF6A11" w:rsidP="00640ECB">
      <w:r>
        <w:t xml:space="preserve">The strategy does note governance as a </w:t>
      </w:r>
      <w:r w:rsidR="00560B6D">
        <w:t>cross-cutting</w:t>
      </w:r>
      <w:r>
        <w:t xml:space="preserve"> theme for sector areas: ‘</w:t>
      </w:r>
      <w:r w:rsidRPr="00253FE1">
        <w:rPr>
          <w:i/>
        </w:rPr>
        <w:t xml:space="preserve">effective governance—by helping the Vietnamese Government modernise its institutions so they can support the next stage of the country’s development (institutional strengthening is </w:t>
      </w:r>
      <w:r w:rsidR="00253112" w:rsidRPr="00253FE1">
        <w:rPr>
          <w:i/>
        </w:rPr>
        <w:t xml:space="preserve">a </w:t>
      </w:r>
      <w:r w:rsidR="00253112">
        <w:rPr>
          <w:i/>
        </w:rPr>
        <w:t>cross</w:t>
      </w:r>
      <w:r w:rsidR="00560B6D">
        <w:rPr>
          <w:i/>
        </w:rPr>
        <w:t>-cutting</w:t>
      </w:r>
      <w:r w:rsidRPr="00253FE1">
        <w:rPr>
          <w:i/>
        </w:rPr>
        <w:t xml:space="preserve"> issue for all of Australia’s sector programs)</w:t>
      </w:r>
      <w:r>
        <w:rPr>
          <w:i/>
        </w:rPr>
        <w:t>.’</w:t>
      </w:r>
      <w:r>
        <w:rPr>
          <w:rStyle w:val="EndnoteReference"/>
          <w:i/>
        </w:rPr>
        <w:endnoteReference w:id="375"/>
      </w:r>
      <w:r>
        <w:t xml:space="preserve"> Within water and sanitation, it is noted that:</w:t>
      </w:r>
      <w:r w:rsidRPr="00253FE1">
        <w:rPr>
          <w:sz w:val="19"/>
          <w:szCs w:val="19"/>
        </w:rPr>
        <w:t xml:space="preserve"> </w:t>
      </w:r>
      <w:r>
        <w:t>‘</w:t>
      </w:r>
      <w:r w:rsidRPr="00253FE1">
        <w:rPr>
          <w:i/>
        </w:rPr>
        <w:t>Australia will also continue to focus on improving financial management, planning and oversight in this sector</w:t>
      </w:r>
      <w:r w:rsidRPr="00253FE1">
        <w:t>.</w:t>
      </w:r>
      <w:r>
        <w:t>’</w:t>
      </w:r>
      <w:r>
        <w:rPr>
          <w:rStyle w:val="EndnoteReference"/>
        </w:rPr>
        <w:endnoteReference w:id="376"/>
      </w:r>
      <w:r w:rsidRPr="00253FE1">
        <w:t xml:space="preserve"> However</w:t>
      </w:r>
      <w:r>
        <w:t>,</w:t>
      </w:r>
      <w:r w:rsidRPr="00253FE1">
        <w:t xml:space="preserve"> there is no analysis or discussion of capacity, authority or financial management at subnational levels. The only mention of this area is under ‘risk management’ where it is noted that: </w:t>
      </w:r>
      <w:r>
        <w:t>‘</w:t>
      </w:r>
      <w:r>
        <w:rPr>
          <w:i/>
        </w:rPr>
        <w:t>w</w:t>
      </w:r>
      <w:r w:rsidRPr="00253FE1">
        <w:rPr>
          <w:i/>
        </w:rPr>
        <w:t>eak capacity in certain parts of government, including at local level, may also inhibit the progress of critical reforms</w:t>
      </w:r>
      <w:r>
        <w:t>’</w:t>
      </w:r>
      <w:r>
        <w:rPr>
          <w:rStyle w:val="EndnoteReference"/>
        </w:rPr>
        <w:endnoteReference w:id="377"/>
      </w:r>
      <w:r>
        <w:t xml:space="preserve"> and that fiduciary risk assessments will be undertaken at national and subnational levels.</w:t>
      </w:r>
    </w:p>
    <w:p w14:paraId="6D51A759" w14:textId="77777777" w:rsidR="00AF6A11" w:rsidRDefault="00AF6A11" w:rsidP="00C615DC">
      <w:pPr>
        <w:pStyle w:val="Heading2a"/>
        <w:spacing w:before="360"/>
      </w:pPr>
      <w:r>
        <w:t>Solomon Islands</w:t>
      </w:r>
    </w:p>
    <w:p w14:paraId="708DF7A4" w14:textId="77777777" w:rsidR="00AF6A11" w:rsidRDefault="00AF6A11" w:rsidP="00640ECB">
      <w:pPr>
        <w:spacing w:line="276" w:lineRule="auto"/>
      </w:pPr>
      <w:r>
        <w:t>Historically t</w:t>
      </w:r>
      <w:r w:rsidRPr="002643F6">
        <w:t>here have been initiatives to legislate for gr</w:t>
      </w:r>
      <w:r>
        <w:t>e</w:t>
      </w:r>
      <w:r w:rsidRPr="002643F6">
        <w:t>ater provincial autonomy which were not implemented due to cha</w:t>
      </w:r>
      <w:r>
        <w:t xml:space="preserve">nges in governments </w:t>
      </w:r>
      <w:r w:rsidRPr="002643F6">
        <w:t>or political instability</w:t>
      </w:r>
      <w:r>
        <w:t>.</w:t>
      </w:r>
      <w:r w:rsidRPr="000D7BBF">
        <w:t xml:space="preserve"> </w:t>
      </w:r>
      <w:r>
        <w:t>Hence,</w:t>
      </w:r>
      <w:r w:rsidRPr="00211AAE">
        <w:t xml:space="preserve"> whil</w:t>
      </w:r>
      <w:r>
        <w:t>e</w:t>
      </w:r>
      <w:r w:rsidRPr="00211AAE">
        <w:t xml:space="preserve"> there has been some devolution of authority and control from central to provincial government, there has been no transfer of powers, functions, staff or budgets</w:t>
      </w:r>
      <w:r>
        <w:t>,</w:t>
      </w:r>
      <w:r w:rsidRPr="00211AAE">
        <w:t xml:space="preserve"> and service delivery remains the responsibility of central government.</w:t>
      </w:r>
      <w:r w:rsidRPr="005140F5">
        <w:rPr>
          <w:rStyle w:val="EndnoteReference"/>
          <w:rFonts w:ascii="Calibri" w:hAnsi="Calibri" w:cs="Calibri"/>
          <w:sz w:val="20"/>
        </w:rPr>
        <w:endnoteReference w:id="378"/>
      </w:r>
      <w:r>
        <w:t xml:space="preserve"> S</w:t>
      </w:r>
      <w:r w:rsidRPr="002643F6">
        <w:t xml:space="preserve">ervice delivery to rural areas is generally </w:t>
      </w:r>
      <w:r>
        <w:t>financed by central government and includes roles played by</w:t>
      </w:r>
      <w:r w:rsidRPr="002643F6">
        <w:t xml:space="preserve"> provincial government, churches, donors and NGOs especially for health and educatio</w:t>
      </w:r>
      <w:r>
        <w:t>n</w:t>
      </w:r>
      <w:r w:rsidRPr="002643F6">
        <w:t>.</w:t>
      </w:r>
      <w:r>
        <w:rPr>
          <w:rStyle w:val="EndnoteReference"/>
        </w:rPr>
        <w:endnoteReference w:id="379"/>
      </w:r>
    </w:p>
    <w:p w14:paraId="11624797" w14:textId="77777777" w:rsidR="00AF6A11" w:rsidRPr="003151A2" w:rsidRDefault="00AF6A11" w:rsidP="00640ECB">
      <w:r>
        <w:t xml:space="preserve">The Solomon Islands–Australia Partnership for Development, which was signed July 2013, sets out cooperation to achieve objectives of the Solomon Islands National Development Strategy 2010–20 and national sectoral plans. Focus is directed towards building </w:t>
      </w:r>
      <w:r>
        <w:rPr>
          <w:i/>
        </w:rPr>
        <w:t>‘</w:t>
      </w:r>
      <w:r w:rsidRPr="00FC0E7A">
        <w:rPr>
          <w:i/>
        </w:rPr>
        <w:t>capacity for effective national institutions</w:t>
      </w:r>
      <w:r>
        <w:rPr>
          <w:i/>
        </w:rPr>
        <w:t>’</w:t>
      </w:r>
      <w:r>
        <w:rPr>
          <w:rStyle w:val="EndnoteReference"/>
          <w:i/>
        </w:rPr>
        <w:endnoteReference w:id="380"/>
      </w:r>
      <w:r>
        <w:t xml:space="preserve"> and while the partnership </w:t>
      </w:r>
      <w:r>
        <w:rPr>
          <w:i/>
        </w:rPr>
        <w:t>‘</w:t>
      </w:r>
      <w:r w:rsidRPr="00FC0E7A">
        <w:rPr>
          <w:i/>
        </w:rPr>
        <w:t>recognises that over 80</w:t>
      </w:r>
      <w:r>
        <w:rPr>
          <w:i/>
        </w:rPr>
        <w:t> </w:t>
      </w:r>
      <w:r w:rsidRPr="00FC0E7A">
        <w:rPr>
          <w:i/>
        </w:rPr>
        <w:t>per cent of the population live in rural areas</w:t>
      </w:r>
      <w:r>
        <w:rPr>
          <w:i/>
        </w:rPr>
        <w:t>’</w:t>
      </w:r>
      <w:r>
        <w:rPr>
          <w:rStyle w:val="EndnoteReference"/>
          <w:i/>
        </w:rPr>
        <w:endnoteReference w:id="381"/>
      </w:r>
      <w:r>
        <w:t xml:space="preserve"> there is no mention of subnational contexts, nor the role of provincial governments in development programs. Priority outcomes defined in the Partnership for Development include the need to </w:t>
      </w:r>
      <w:r>
        <w:rPr>
          <w:i/>
        </w:rPr>
        <w:t>‘</w:t>
      </w:r>
      <w:r w:rsidRPr="00FC0E7A">
        <w:rPr>
          <w:i/>
        </w:rPr>
        <w:t>balance government improvements with service delivery improvements</w:t>
      </w:r>
      <w:r>
        <w:rPr>
          <w:i/>
        </w:rPr>
        <w:t>’,</w:t>
      </w:r>
      <w:r>
        <w:rPr>
          <w:rStyle w:val="EndnoteReference"/>
          <w:i/>
        </w:rPr>
        <w:endnoteReference w:id="382"/>
      </w:r>
      <w:r>
        <w:t xml:space="preserve"> placing the two in tension, rather than reinforcing one another. Subsequent schedules for priority outcomes might be expected to discuss decentralisation and subnational roles but were not yet prepared. </w:t>
      </w:r>
    </w:p>
    <w:p w14:paraId="02612CD3" w14:textId="77777777" w:rsidR="00AF6A11" w:rsidRPr="00E830A8" w:rsidRDefault="00AF6A11" w:rsidP="00C615DC">
      <w:pPr>
        <w:pStyle w:val="Heading2a"/>
        <w:spacing w:before="360"/>
      </w:pPr>
      <w:r>
        <w:t>Bangladesh</w:t>
      </w:r>
    </w:p>
    <w:p w14:paraId="65013A45" w14:textId="5C7789FF" w:rsidR="00AF6A11" w:rsidRDefault="00AF6A11" w:rsidP="00640ECB">
      <w:r>
        <w:t xml:space="preserve">The </w:t>
      </w:r>
      <w:r w:rsidRPr="00DA040E">
        <w:t>Australia–Bangladesh Aid Program Strategy 2012–16</w:t>
      </w:r>
      <w:r>
        <w:t xml:space="preserve"> contains limited mention or analysis of decentralisation or the role of subnational authorities and their relevance for service delivery. </w:t>
      </w:r>
      <w:r w:rsidRPr="00211AAE">
        <w:t>In Bangladesh, although decentralisation has been in process for a long time, local government currently plays a limited role in service delivery, particularly in health and education</w:t>
      </w:r>
      <w:r>
        <w:t>,</w:t>
      </w:r>
      <w:r w:rsidRPr="00211AAE">
        <w:rPr>
          <w:rStyle w:val="EndnoteReference"/>
        </w:rPr>
        <w:endnoteReference w:id="383"/>
      </w:r>
      <w:r w:rsidRPr="00211AAE">
        <w:t xml:space="preserve"> </w:t>
      </w:r>
      <w:r>
        <w:t>the two core sectors in which Australian support is directed</w:t>
      </w:r>
      <w:r w:rsidRPr="00211AAE">
        <w:t xml:space="preserve">. </w:t>
      </w:r>
      <w:r>
        <w:t>The mode of decentralisation so far has largely been in the form of deconcentration</w:t>
      </w:r>
      <w:r w:rsidR="00B10E02">
        <w:t>,</w:t>
      </w:r>
      <w:r w:rsidRPr="005140F5">
        <w:rPr>
          <w:rStyle w:val="EndnoteReference"/>
          <w:rFonts w:ascii="Calibri" w:hAnsi="Calibri" w:cs="Calibri"/>
          <w:sz w:val="20"/>
        </w:rPr>
        <w:endnoteReference w:id="384"/>
      </w:r>
      <w:r w:rsidRPr="005140F5">
        <w:rPr>
          <w:rFonts w:ascii="Calibri" w:hAnsi="Calibri" w:cs="Calibri"/>
          <w:sz w:val="20"/>
        </w:rPr>
        <w:t xml:space="preserve"> </w:t>
      </w:r>
      <w:r>
        <w:t>and s</w:t>
      </w:r>
      <w:r w:rsidRPr="00E830A8">
        <w:t>ubnational government accounts for only 3</w:t>
      </w:r>
      <w:r>
        <w:t>–</w:t>
      </w:r>
      <w:r w:rsidRPr="00E830A8">
        <w:t>4</w:t>
      </w:r>
      <w:r>
        <w:t> per cent</w:t>
      </w:r>
      <w:r w:rsidRPr="00E830A8">
        <w:t xml:space="preserve"> of total government expenditure</w:t>
      </w:r>
      <w:r>
        <w:t>.</w:t>
      </w:r>
      <w:r>
        <w:rPr>
          <w:rStyle w:val="EndnoteReference"/>
        </w:rPr>
        <w:endnoteReference w:id="385"/>
      </w:r>
      <w:r>
        <w:t xml:space="preserve"> </w:t>
      </w:r>
    </w:p>
    <w:p w14:paraId="7B255BEE" w14:textId="77777777" w:rsidR="00636F11" w:rsidRDefault="00AF6A11" w:rsidP="00921A4C">
      <w:r>
        <w:t>The country program strategy acknowledges the need for Australia ‘</w:t>
      </w:r>
      <w:r w:rsidRPr="003E23F3">
        <w:rPr>
          <w:i/>
        </w:rPr>
        <w:t xml:space="preserve">to more effectively support </w:t>
      </w:r>
      <w:r>
        <w:rPr>
          <w:i/>
        </w:rPr>
        <w:t>government</w:t>
      </w:r>
      <w:r w:rsidRPr="003E23F3">
        <w:rPr>
          <w:i/>
        </w:rPr>
        <w:t xml:space="preserve"> policy reforms and ensure that programs operating outside of the </w:t>
      </w:r>
      <w:r>
        <w:rPr>
          <w:i/>
        </w:rPr>
        <w:t>government</w:t>
      </w:r>
      <w:r w:rsidRPr="003E23F3">
        <w:rPr>
          <w:i/>
        </w:rPr>
        <w:t xml:space="preserve"> remain closely linked to its priorities and long-term goals</w:t>
      </w:r>
      <w:r>
        <w:rPr>
          <w:i/>
        </w:rPr>
        <w:t>.</w:t>
      </w:r>
      <w:r w:rsidRPr="003E23F3">
        <w:rPr>
          <w:i/>
        </w:rPr>
        <w:t>’</w:t>
      </w:r>
      <w:r>
        <w:rPr>
          <w:rStyle w:val="EndnoteReference"/>
          <w:i/>
        </w:rPr>
        <w:endnoteReference w:id="386"/>
      </w:r>
      <w:r w:rsidRPr="003E23F3">
        <w:rPr>
          <w:i/>
        </w:rPr>
        <w:t xml:space="preserve"> </w:t>
      </w:r>
      <w:r>
        <w:t xml:space="preserve">It is noted that Australia will </w:t>
      </w:r>
      <w:r w:rsidRPr="003E23F3">
        <w:rPr>
          <w:i/>
        </w:rPr>
        <w:t>‘work to strengthen governance systems that support service delivery so gains are sustainable</w:t>
      </w:r>
      <w:r w:rsidRPr="00DA040E">
        <w:t>.</w:t>
      </w:r>
      <w:r>
        <w:t>’</w:t>
      </w:r>
      <w:r>
        <w:rPr>
          <w:rStyle w:val="EndnoteReference"/>
        </w:rPr>
        <w:endnoteReference w:id="387"/>
      </w:r>
      <w:r>
        <w:t xml:space="preserve"> However, the strategy does not contain analysis of the current decentralisation process or issues around capacity of authorities at subnational level, nor question how the commitment to significant support for</w:t>
      </w:r>
      <w:r w:rsidRPr="001E48B4">
        <w:t>:</w:t>
      </w:r>
      <w:r>
        <w:t xml:space="preserve"> ‘</w:t>
      </w:r>
      <w:r w:rsidRPr="003E23F3">
        <w:rPr>
          <w:i/>
        </w:rPr>
        <w:t>service delivery through local civil society partners’</w:t>
      </w:r>
      <w:r>
        <w:rPr>
          <w:rStyle w:val="EndnoteReference"/>
          <w:i/>
        </w:rPr>
        <w:endnoteReference w:id="388"/>
      </w:r>
      <w:bookmarkStart w:id="528" w:name="_Toc361402805"/>
      <w:bookmarkStart w:id="529" w:name="_Toc381953329"/>
      <w:r w:rsidR="00640ECB" w:rsidRPr="001E48B4">
        <w:t xml:space="preserve"> is </w:t>
      </w:r>
      <w:r w:rsidR="00640ECB">
        <w:t>(or is not) related to</w:t>
      </w:r>
      <w:r w:rsidR="00640ECB" w:rsidRPr="001E48B4">
        <w:t xml:space="preserve"> strengthening </w:t>
      </w:r>
      <w:r w:rsidR="00640ECB">
        <w:t xml:space="preserve">partner </w:t>
      </w:r>
      <w:r w:rsidR="00640ECB" w:rsidRPr="001E48B4">
        <w:t xml:space="preserve">government and local </w:t>
      </w:r>
      <w:r w:rsidR="00640ECB">
        <w:t>authorities</w:t>
      </w:r>
      <w:r w:rsidR="00640ECB" w:rsidRPr="001E48B4">
        <w:t>.</w:t>
      </w:r>
      <w:r w:rsidR="00640ECB">
        <w:t xml:space="preserve"> </w:t>
      </w:r>
      <w:bookmarkEnd w:id="528"/>
      <w:bookmarkEnd w:id="529"/>
    </w:p>
    <w:p w14:paraId="6344BBC2" w14:textId="77777777" w:rsidR="00636F11" w:rsidRDefault="00636F11" w:rsidP="00C615DC">
      <w:pPr>
        <w:pStyle w:val="Subtitle"/>
      </w:pPr>
      <w:r>
        <w:br w:type="page"/>
      </w:r>
    </w:p>
    <w:bookmarkStart w:id="530" w:name="_Toc408831804"/>
    <w:p w14:paraId="5EE3FCE2" w14:textId="77777777" w:rsidR="00636F11" w:rsidRDefault="00636F11" w:rsidP="00C615DC">
      <w:pPr>
        <w:pStyle w:val="Heading1"/>
      </w:pPr>
      <w:r w:rsidRPr="00C615DC">
        <w:rPr>
          <w:noProof/>
        </w:rPr>
        <mc:AlternateContent>
          <mc:Choice Requires="wps">
            <w:drawing>
              <wp:anchor distT="0" distB="0" distL="114300" distR="114300" simplePos="0" relativeHeight="251777024" behindDoc="1" locked="0" layoutInCell="1" allowOverlap="1" wp14:anchorId="2939CA74" wp14:editId="291881CF">
                <wp:simplePos x="0" y="0"/>
                <wp:positionH relativeFrom="page">
                  <wp:posOffset>-19050</wp:posOffset>
                </wp:positionH>
                <wp:positionV relativeFrom="paragraph">
                  <wp:posOffset>-229870</wp:posOffset>
                </wp:positionV>
                <wp:extent cx="7609840" cy="1468755"/>
                <wp:effectExtent l="0" t="0" r="0" b="0"/>
                <wp:wrapNone/>
                <wp:docPr id="8" name="Rectangle 8"/>
                <wp:cNvGraphicFramePr/>
                <a:graphic xmlns:a="http://schemas.openxmlformats.org/drawingml/2006/main">
                  <a:graphicData uri="http://schemas.microsoft.com/office/word/2010/wordprocessingShape">
                    <wps:wsp>
                      <wps:cNvSpPr/>
                      <wps:spPr>
                        <a:xfrm>
                          <a:off x="0" y="0"/>
                          <a:ext cx="7609840" cy="146875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 o:spid="_x0000_s1026" style="position:absolute;margin-left:-1.5pt;margin-top:-18.1pt;width:599.2pt;height:115.6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9plgIAAIYFAAAOAAAAZHJzL2Uyb0RvYy54bWysVFFv2yAQfp+0/4B4X+1ESZpGdaooVadJ&#10;VVs1nfpMMMSWMMeAxMl+/Q6wna6r9jAtD4Tzffcd93Hc9c2xUeQgrKtBF3R0kVMiNIey1ruCfn+5&#10;+zKnxHmmS6ZAi4KehKM3y8+frluzEGOoQJXCEiTRbtGaglbem0WWOV6JhrkLMEKjU4JtmEfT7rLS&#10;shbZG5WN83yWtWBLY4EL5/DrbXLSZeSXUnD/KKUTnqiC4tl8XG1ct2HNltdssbPMVDXvjsH+4RQN&#10;qzUmHahumWdkb+s/qJqaW3Ag/QWHJgMpay5iDVjNKH9XzaZiRsRaUBxnBpnc/6PlD4cnS+qyoHhR&#10;mjV4Rc8oGtM7Jcg8yNMat0DUxjzZznK4DbUepW3CP1ZBjlHS0yCpOHrC8ePlLL+aT1B5jr7RZDa/&#10;nE4Da3YON9b5rwIaEjYFtZg+SskO984naA8J2RyouryrlYqG3W3XypIDw/sdjSeT+axj/w2mdABr&#10;CGGJMXzJQmmpmLjzJyUCTulnIVETPP44niR2oxjyMM6F9qPkqlgpUvppjr8+e+jfEBErjYSBWWL+&#10;gbsj6JGJpOdOp+zwIVTEZh6C878dLAUPETEzaD8EN7UG+xGBwqq6zAnfi5SkCSptoTxhx1hIT8kZ&#10;flfjvd0z55+YxbeDd43zwD/iIhW0BYVuR0kF9udH3wMeWxq9lLT4FgvqfuyZFZSobxqb/Wo0CS3k&#10;ozGZXo7RsG8927cevW/WENoBJ4/hcRvwXvVbaaF5xbGxClnRxTTH3AXl3vbG2qcZgYOHi9UqwvDB&#10;Gubv9cbwQB5UDX35cnxl1nTN67HvH6B/t2zxrocTNkRqWO09yDo2+FnXTm987LFxusEUpslbO6LO&#10;43P5CwAA//8DAFBLAwQUAAYACAAAACEAKTcCrN8AAAALAQAADwAAAGRycy9kb3ducmV2LnhtbEyP&#10;wW7CMBBE75X4B2uRegMnoSBI4yCE1B4i9VAodxNv46j2OsQG0r+vcyqn3dWMZt8U28EadsPet44E&#10;pPMEGFLtVEuNgK/j22wNzAdJShpHKOAXPWzLyVMhc+Xu9Im3Q2hYDCGfSwE6hC7n3NcarfRz1yFF&#10;7dv1VoZ49g1XvbzHcGt4liQrbmVL8YOWHe411j+HqxVQrVGfmo/KDJfqmPL94t2dMBPieTrsXoEF&#10;HMK/GUb8iA5lZDq7KynPjIDZIlYJ41xlwEZDulm+ADvHbbNMgZcFf+xQ/gEAAP//AwBQSwECLQAU&#10;AAYACAAAACEAtoM4kv4AAADhAQAAEwAAAAAAAAAAAAAAAAAAAAAAW0NvbnRlbnRfVHlwZXNdLnht&#10;bFBLAQItABQABgAIAAAAIQA4/SH/1gAAAJQBAAALAAAAAAAAAAAAAAAAAC8BAABfcmVscy8ucmVs&#10;c1BLAQItABQABgAIAAAAIQDv0O9plgIAAIYFAAAOAAAAAAAAAAAAAAAAAC4CAABkcnMvZTJvRG9j&#10;LnhtbFBLAQItABQABgAIAAAAIQApNwKs3wAAAAsBAAAPAAAAAAAAAAAAAAAAAPAEAABkcnMvZG93&#10;bnJldi54bWxQSwUGAAAAAAQABADzAAAA/AUAAAAA&#10;" fillcolor="#124486" stroked="f" strokeweight="2pt">
                <w10:wrap anchorx="page"/>
              </v:rect>
            </w:pict>
          </mc:Fallback>
        </mc:AlternateContent>
      </w:r>
      <w:r>
        <w:t>Acronyms and abbreviations</w:t>
      </w:r>
      <w:bookmarkEnd w:id="530"/>
    </w:p>
    <w:p w14:paraId="6B694A28" w14:textId="675D92C6" w:rsidR="00636F11" w:rsidRDefault="00636F11" w:rsidP="00C615DC">
      <w:pPr>
        <w:spacing w:after="120"/>
      </w:pPr>
      <w:r>
        <w:t>AIPD</w:t>
      </w:r>
      <w:r>
        <w:tab/>
      </w:r>
      <w:r>
        <w:tab/>
        <w:t>Australia</w:t>
      </w:r>
      <w:r w:rsidR="008814C6">
        <w:rPr>
          <w:rFonts w:ascii="Trebuchet MS" w:hAnsi="Trebuchet MS"/>
        </w:rPr>
        <w:t>–</w:t>
      </w:r>
      <w:r>
        <w:t>Indonesia Partnership for Decentralisation</w:t>
      </w:r>
    </w:p>
    <w:p w14:paraId="414EDB7D" w14:textId="0BD49E9C" w:rsidR="00094FBB" w:rsidRDefault="00094FBB" w:rsidP="00C615DC">
      <w:pPr>
        <w:spacing w:after="120"/>
      </w:pPr>
      <w:r>
        <w:t>AIP</w:t>
      </w:r>
      <w:r w:rsidRPr="00B557AE">
        <w:t xml:space="preserve">MNH </w:t>
      </w:r>
      <w:r>
        <w:tab/>
      </w:r>
      <w:r w:rsidRPr="00B557AE">
        <w:t>Australia</w:t>
      </w:r>
      <w:r w:rsidR="008814C6">
        <w:rPr>
          <w:rFonts w:ascii="Trebuchet MS" w:hAnsi="Trebuchet MS"/>
        </w:rPr>
        <w:t>–</w:t>
      </w:r>
      <w:r w:rsidRPr="00B557AE">
        <w:t>Indo</w:t>
      </w:r>
      <w:r>
        <w:t>nesia Partnership for Maternal and Neonatal Health</w:t>
      </w:r>
    </w:p>
    <w:p w14:paraId="0947271A" w14:textId="77777777" w:rsidR="00636F11" w:rsidRDefault="00636F11" w:rsidP="00C615DC">
      <w:pPr>
        <w:spacing w:after="120"/>
      </w:pPr>
      <w:r>
        <w:t>ANAO</w:t>
      </w:r>
      <w:r>
        <w:tab/>
      </w:r>
      <w:r>
        <w:tab/>
        <w:t>Australian National Audit Office</w:t>
      </w:r>
    </w:p>
    <w:p w14:paraId="09B3B803" w14:textId="77777777" w:rsidR="00636F11" w:rsidRDefault="00636F11" w:rsidP="00C615DC">
      <w:pPr>
        <w:spacing w:after="120"/>
      </w:pPr>
      <w:r>
        <w:t>BEDP</w:t>
      </w:r>
      <w:r>
        <w:tab/>
      </w:r>
      <w:r>
        <w:tab/>
        <w:t>Basic Education Development Project</w:t>
      </w:r>
    </w:p>
    <w:p w14:paraId="76F6D88D" w14:textId="77777777" w:rsidR="00636F11" w:rsidRDefault="00636F11" w:rsidP="00C615DC">
      <w:pPr>
        <w:spacing w:after="120"/>
      </w:pPr>
      <w:r>
        <w:t>BESRA</w:t>
      </w:r>
      <w:r>
        <w:tab/>
      </w:r>
      <w:r>
        <w:tab/>
        <w:t>Basic Education Sector Reform Agenda</w:t>
      </w:r>
    </w:p>
    <w:p w14:paraId="76DE9EF7" w14:textId="76D570A1" w:rsidR="00636F11" w:rsidRDefault="00636F11" w:rsidP="00C615DC">
      <w:pPr>
        <w:spacing w:after="120"/>
      </w:pPr>
      <w:r>
        <w:t>CAPF</w:t>
      </w:r>
      <w:r>
        <w:tab/>
      </w:r>
      <w:r>
        <w:tab/>
      </w:r>
      <w:r w:rsidR="005340F7">
        <w:t xml:space="preserve">comprehensive </w:t>
      </w:r>
      <w:r>
        <w:t>aid policy framework</w:t>
      </w:r>
    </w:p>
    <w:p w14:paraId="558572C6" w14:textId="754EC5E6" w:rsidR="007056BE" w:rsidRDefault="007056BE" w:rsidP="00C615DC">
      <w:pPr>
        <w:spacing w:after="120"/>
      </w:pPr>
      <w:r>
        <w:t>DepE</w:t>
      </w:r>
      <w:r w:rsidR="008814C6">
        <w:t>d</w:t>
      </w:r>
      <w:r>
        <w:tab/>
      </w:r>
      <w:r>
        <w:tab/>
        <w:t>Department of Education, Philippines</w:t>
      </w:r>
    </w:p>
    <w:p w14:paraId="7B90F84F" w14:textId="77777777" w:rsidR="00094FBB" w:rsidRDefault="00094FBB" w:rsidP="00C615DC">
      <w:pPr>
        <w:spacing w:after="120"/>
      </w:pPr>
      <w:r>
        <w:t>DFAT</w:t>
      </w:r>
      <w:r>
        <w:tab/>
      </w:r>
      <w:r>
        <w:tab/>
        <w:t xml:space="preserve">Australian Government Department of Foreign Affairs and Trade </w:t>
      </w:r>
    </w:p>
    <w:p w14:paraId="0392DB80" w14:textId="77777777" w:rsidR="00636F11" w:rsidRDefault="00636F11" w:rsidP="00C615DC">
      <w:pPr>
        <w:spacing w:after="120"/>
      </w:pPr>
      <w:r>
        <w:t>DILG</w:t>
      </w:r>
      <w:r>
        <w:tab/>
      </w:r>
      <w:r>
        <w:tab/>
        <w:t>Department of the Interior and Local Government</w:t>
      </w:r>
    </w:p>
    <w:p w14:paraId="33FB6716" w14:textId="77777777" w:rsidR="00636F11" w:rsidRDefault="00636F11" w:rsidP="00C615DC">
      <w:pPr>
        <w:spacing w:after="120"/>
      </w:pPr>
      <w:r>
        <w:t>HCDP</w:t>
      </w:r>
      <w:r>
        <w:tab/>
      </w:r>
      <w:r>
        <w:tab/>
        <w:t>Health Capacity Development Program</w:t>
      </w:r>
    </w:p>
    <w:p w14:paraId="4EAE8990" w14:textId="77777777" w:rsidR="00636F11" w:rsidRDefault="00636F11" w:rsidP="00C615DC">
      <w:pPr>
        <w:spacing w:after="120"/>
      </w:pPr>
      <w:r>
        <w:t>IndII</w:t>
      </w:r>
      <w:r>
        <w:tab/>
      </w:r>
      <w:r>
        <w:tab/>
        <w:t>Indonesia Infrastructure Initiative</w:t>
      </w:r>
    </w:p>
    <w:p w14:paraId="6D0E65B7" w14:textId="3CED7D3A" w:rsidR="00636F11" w:rsidRDefault="00636F11" w:rsidP="00C615DC">
      <w:pPr>
        <w:spacing w:after="120"/>
      </w:pPr>
      <w:r>
        <w:t>MDG</w:t>
      </w:r>
      <w:r>
        <w:tab/>
      </w:r>
      <w:r>
        <w:tab/>
        <w:t>Mille</w:t>
      </w:r>
      <w:r w:rsidR="005340F7">
        <w:t>n</w:t>
      </w:r>
      <w:r>
        <w:t>nium Development Goals</w:t>
      </w:r>
    </w:p>
    <w:p w14:paraId="134CA4E1" w14:textId="77777777" w:rsidR="00636F11" w:rsidRDefault="00636F11" w:rsidP="00C615DC">
      <w:pPr>
        <w:spacing w:after="120"/>
      </w:pPr>
      <w:r>
        <w:t>MoF</w:t>
      </w:r>
      <w:r>
        <w:tab/>
      </w:r>
      <w:r>
        <w:tab/>
        <w:t>Ministry of Finance</w:t>
      </w:r>
    </w:p>
    <w:p w14:paraId="7E5DFC23" w14:textId="77777777" w:rsidR="00636F11" w:rsidRDefault="00636F11" w:rsidP="00C615DC">
      <w:pPr>
        <w:spacing w:after="120"/>
      </w:pPr>
      <w:r>
        <w:t>MoHA</w:t>
      </w:r>
      <w:r>
        <w:tab/>
      </w:r>
      <w:r>
        <w:tab/>
        <w:t>Ministry of Home Affairs</w:t>
      </w:r>
    </w:p>
    <w:p w14:paraId="769ED7F4" w14:textId="77777777" w:rsidR="00636F11" w:rsidRDefault="00636F11" w:rsidP="00C615DC">
      <w:pPr>
        <w:spacing w:after="120"/>
      </w:pPr>
      <w:r>
        <w:t>MoPW</w:t>
      </w:r>
      <w:r>
        <w:tab/>
      </w:r>
      <w:r>
        <w:tab/>
        <w:t>Ministry of Public Works</w:t>
      </w:r>
    </w:p>
    <w:p w14:paraId="46CF949D" w14:textId="423F6489" w:rsidR="00636F11" w:rsidRDefault="00636F11" w:rsidP="00C615DC">
      <w:pPr>
        <w:spacing w:after="120"/>
      </w:pPr>
      <w:r>
        <w:t>NGO</w:t>
      </w:r>
      <w:r>
        <w:tab/>
      </w:r>
      <w:r>
        <w:tab/>
      </w:r>
      <w:r w:rsidR="008814C6">
        <w:t>n</w:t>
      </w:r>
      <w:r>
        <w:t>on-government organisations</w:t>
      </w:r>
    </w:p>
    <w:p w14:paraId="2485374F" w14:textId="77777777" w:rsidR="00636F11" w:rsidRDefault="00636F11" w:rsidP="00C615DC">
      <w:pPr>
        <w:spacing w:after="120"/>
      </w:pPr>
      <w:r>
        <w:t>ODA</w:t>
      </w:r>
      <w:r>
        <w:tab/>
      </w:r>
      <w:r>
        <w:tab/>
        <w:t>Official development assistance</w:t>
      </w:r>
    </w:p>
    <w:p w14:paraId="25A7973C" w14:textId="77777777" w:rsidR="00636F11" w:rsidRDefault="00636F11" w:rsidP="00C615DC">
      <w:pPr>
        <w:spacing w:after="120"/>
      </w:pPr>
      <w:r>
        <w:t>ODE</w:t>
      </w:r>
      <w:r>
        <w:tab/>
      </w:r>
      <w:r>
        <w:tab/>
        <w:t>Office of Development Effectiveness</w:t>
      </w:r>
    </w:p>
    <w:p w14:paraId="2961A1DB" w14:textId="77777777" w:rsidR="007056BE" w:rsidRDefault="007056BE" w:rsidP="00C615DC">
      <w:pPr>
        <w:spacing w:after="120"/>
      </w:pPr>
      <w:r>
        <w:t>PDAM</w:t>
      </w:r>
      <w:r>
        <w:tab/>
      </w:r>
      <w:r>
        <w:tab/>
        <w:t>local government-owned water c</w:t>
      </w:r>
      <w:r w:rsidRPr="00785409">
        <w:t>ompany</w:t>
      </w:r>
      <w:r>
        <w:t>, Indonesia</w:t>
      </w:r>
    </w:p>
    <w:p w14:paraId="218B05DC" w14:textId="1500C3A0" w:rsidR="00636F11" w:rsidRDefault="00636F11" w:rsidP="00C615DC">
      <w:pPr>
        <w:spacing w:after="120"/>
      </w:pPr>
      <w:r>
        <w:t>PHA</w:t>
      </w:r>
      <w:r>
        <w:tab/>
      </w:r>
      <w:r>
        <w:tab/>
      </w:r>
      <w:r w:rsidR="008814C6">
        <w:t>p</w:t>
      </w:r>
      <w:r>
        <w:t>rovincial health authorities</w:t>
      </w:r>
    </w:p>
    <w:p w14:paraId="6D6C7E58" w14:textId="77777777" w:rsidR="00636F11" w:rsidRDefault="00636F11" w:rsidP="00C615DC">
      <w:pPr>
        <w:spacing w:after="120"/>
      </w:pPr>
      <w:r>
        <w:t>PNG</w:t>
      </w:r>
      <w:r>
        <w:tab/>
      </w:r>
      <w:r>
        <w:tab/>
        <w:t>Papua New Guinea</w:t>
      </w:r>
    </w:p>
    <w:p w14:paraId="7637E35C" w14:textId="3F517A96" w:rsidR="00636F11" w:rsidRDefault="00636F11" w:rsidP="00C615DC">
      <w:pPr>
        <w:spacing w:after="120"/>
      </w:pPr>
      <w:r>
        <w:t>PRMF</w:t>
      </w:r>
      <w:r>
        <w:tab/>
      </w:r>
      <w:r>
        <w:tab/>
      </w:r>
      <w:r w:rsidR="008814C6">
        <w:t>provincial road management facility</w:t>
      </w:r>
    </w:p>
    <w:p w14:paraId="591A481E" w14:textId="595D7B29" w:rsidR="00636F11" w:rsidRDefault="00636F11" w:rsidP="00C615DC">
      <w:pPr>
        <w:spacing w:after="120"/>
      </w:pPr>
      <w:r>
        <w:t>SPF</w:t>
      </w:r>
      <w:r>
        <w:tab/>
      </w:r>
      <w:r>
        <w:tab/>
      </w:r>
      <w:r w:rsidR="008814C6">
        <w:t>s</w:t>
      </w:r>
      <w:r>
        <w:t>ervice provision facility</w:t>
      </w:r>
    </w:p>
    <w:p w14:paraId="243683E5" w14:textId="724AA9E9" w:rsidR="003D5002" w:rsidRDefault="00094FBB" w:rsidP="00801AFD">
      <w:pPr>
        <w:spacing w:after="120"/>
      </w:pPr>
      <w:r>
        <w:t>WASH</w:t>
      </w:r>
      <w:r>
        <w:tab/>
      </w:r>
      <w:r>
        <w:tab/>
        <w:t>water, sanitation and hygiene</w:t>
      </w:r>
    </w:p>
    <w:bookmarkStart w:id="531" w:name="_Toc408831805"/>
    <w:p w14:paraId="12233CE5" w14:textId="77777777" w:rsidR="00C15DB3" w:rsidRPr="00921A4C" w:rsidRDefault="00921A4C" w:rsidP="00921A4C">
      <w:pPr>
        <w:pStyle w:val="Heading1"/>
      </w:pPr>
      <w:r w:rsidRPr="00921A4C">
        <w:rPr>
          <w:noProof/>
        </w:rPr>
        <mc:AlternateContent>
          <mc:Choice Requires="wps">
            <w:drawing>
              <wp:anchor distT="0" distB="0" distL="114300" distR="114300" simplePos="0" relativeHeight="251774976" behindDoc="1" locked="0" layoutInCell="1" allowOverlap="1" wp14:anchorId="2C38A87C" wp14:editId="2D8CAE47">
                <wp:simplePos x="0" y="0"/>
                <wp:positionH relativeFrom="page">
                  <wp:posOffset>-28575</wp:posOffset>
                </wp:positionH>
                <wp:positionV relativeFrom="paragraph">
                  <wp:posOffset>-439420</wp:posOffset>
                </wp:positionV>
                <wp:extent cx="7610400" cy="1468800"/>
                <wp:effectExtent l="0" t="0" r="0" b="0"/>
                <wp:wrapNone/>
                <wp:docPr id="7" name="Rectangle 7"/>
                <wp:cNvGraphicFramePr/>
                <a:graphic xmlns:a="http://schemas.openxmlformats.org/drawingml/2006/main">
                  <a:graphicData uri="http://schemas.microsoft.com/office/word/2010/wordprocessingShape">
                    <wps:wsp>
                      <wps:cNvSpPr/>
                      <wps:spPr>
                        <a:xfrm>
                          <a:off x="0" y="0"/>
                          <a:ext cx="7610400" cy="1468800"/>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25pt;margin-top:-34.6pt;width:599.25pt;height:115.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VPlgIAAIYFAAAOAAAAZHJzL2Uyb0RvYy54bWysVMFu2zAMvQ/YPwi6r7YDN8mCOkXQosOA&#10;oivaDj0rshQbkEVNUuJkXz9Kst2uK3YYloMiiuQj+Uzy4vLYKXIQ1rWgK1qc5ZQIzaFu9a6i359u&#10;Pi0pcZ7pminQoqIn4ejl+uOHi96sxAwaULWwBEG0W/Wmoo33ZpVljjeiY+4MjNColGA75lG0u6y2&#10;rEf0TmWzPJ9nPdjaWODCOXy9Tkq6jvhSCu6/SemEJ6qimJuPp43nNpzZ+oKtdpaZpuVDGuwfsuhY&#10;qzHoBHXNPCN72/4B1bXcggPpzzh0GUjZchFrwGqK/E01jw0zItaC5Dgz0eT+Hyy/O9xb0tYVXVCi&#10;WYef6AFJY3qnBFkEenrjVmj1aO7tIDm8hlqP0nbhH6sgx0jpaaJUHD3h+LiYF3mZI/McdUU5Xy5R&#10;QJzsxd1Y578I6Ei4VNRi+EglO9w6n0xHkxDNgWrrm1apKNjd9kpZcmD4fYtZWS7nA/pvZkoHYw3B&#10;LSGGlyyUloqJN39SItgp/SAkcoLpz2ImsRvFFIdxLrQvkqphtUjhz3P8jdFD/waPWGkEDMgS40/Y&#10;A8BomUBG7JTlYB9cRWzmyTn/W2LJefKIkUH7yblrNdj3ABRWNURO9iNJiZrA0hbqE3aMhTRKzvCb&#10;Fr/bLXP+nlmcHfzWuA/8Nzykgr6iMNwoacD+fO892GNLo5aSHmexou7HnllBifqqsdk/F2UZhjcK&#10;5flihoJ9rdm+1uh9dwWhHXDzGB6vwd6r8SotdM+4NjYhKqqY5hi7otzbUbjyaUfg4uFis4lmOLCG&#10;+Vv9aHgAD6yGvnw6PjNrhub12Pd3MM4tW73p4WQbPDVs9h5kGxv8hdeBbxz22DjDYgrb5LUcrV7W&#10;5/oXAAAA//8DAFBLAwQUAAYACAAAACEAbSeql98AAAALAQAADwAAAGRycy9kb3ducmV2LnhtbEyP&#10;QU/DMAyF70j8h8hI3La0ZVRb13RCk+BQiQMbu2eN11Q0Tmmyrfx7vBOcbOs9PX+v3EyuFxccQ+dJ&#10;QTpPQCA13nTUKvjcv86WIELUZHTvCRX8YIBNdX9X6sL4K33gZRdbwSEUCq3AxjgUUobGotNh7gck&#10;1k5+dDryObbSjPrK4a6XWZLk0umO+IPVA24tNl+7s1NQL9Ee2ve6n77rfSq3T2/+gJlSjw/TyxpE&#10;xCn+meGGz+hQMdPRn8kE0SuYLZ7ZyTNfZSBuhnS14HZH3vIsBVmV8n+H6hcAAP//AwBQSwECLQAU&#10;AAYACAAAACEAtoM4kv4AAADhAQAAEwAAAAAAAAAAAAAAAAAAAAAAW0NvbnRlbnRfVHlwZXNdLnht&#10;bFBLAQItABQABgAIAAAAIQA4/SH/1gAAAJQBAAALAAAAAAAAAAAAAAAAAC8BAABfcmVscy8ucmVs&#10;c1BLAQItABQABgAIAAAAIQAmypVPlgIAAIYFAAAOAAAAAAAAAAAAAAAAAC4CAABkcnMvZTJvRG9j&#10;LnhtbFBLAQItABQABgAIAAAAIQBtJ6qX3wAAAAsBAAAPAAAAAAAAAAAAAAAAAPAEAABkcnMvZG93&#10;bnJldi54bWxQSwUGAAAAAAQABADzAAAA/AUAAAAA&#10;" fillcolor="#124486" stroked="f" strokeweight="2pt">
                <w10:wrap anchorx="page"/>
              </v:rect>
            </w:pict>
          </mc:Fallback>
        </mc:AlternateContent>
      </w:r>
      <w:r w:rsidRPr="00921A4C">
        <w:t>References</w:t>
      </w:r>
      <w:bookmarkEnd w:id="531"/>
    </w:p>
    <w:sectPr w:rsidR="00C15DB3" w:rsidRPr="00921A4C" w:rsidSect="002A2422">
      <w:headerReference w:type="first" r:id="rId38"/>
      <w:footerReference w:type="first" r:id="rId39"/>
      <w:endnotePr>
        <w:numFmt w:val="decimal"/>
      </w:endnotePr>
      <w:type w:val="oddPage"/>
      <w:pgSz w:w="11906" w:h="16838" w:code="9"/>
      <w:pgMar w:top="1440" w:right="1440" w:bottom="1440" w:left="1440" w:header="576" w:footer="576" w:gutter="0"/>
      <w:pgNumType w:start="1"/>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15A69" w14:textId="77777777" w:rsidR="00CD4AF2" w:rsidRDefault="00CD4AF2">
      <w:pPr>
        <w:spacing w:after="0"/>
      </w:pPr>
      <w:r>
        <w:separator/>
      </w:r>
    </w:p>
  </w:endnote>
  <w:endnote w:type="continuationSeparator" w:id="0">
    <w:p w14:paraId="040621FA" w14:textId="77777777" w:rsidR="00CD4AF2" w:rsidRDefault="00CD4AF2">
      <w:pPr>
        <w:spacing w:after="0"/>
      </w:pPr>
      <w:r>
        <w:continuationSeparator/>
      </w:r>
    </w:p>
  </w:endnote>
  <w:endnote w:id="1">
    <w:p w14:paraId="7C3A8B86" w14:textId="4415DADA" w:rsidR="00CD4AF2" w:rsidRDefault="00CD4AF2" w:rsidP="00C959D9">
      <w:pPr>
        <w:pStyle w:val="EndnoteText"/>
        <w:ind w:left="426" w:hanging="426"/>
      </w:pPr>
      <w:r>
        <w:rPr>
          <w:rStyle w:val="EndnoteReference"/>
        </w:rPr>
        <w:endnoteRef/>
      </w:r>
      <w:r>
        <w:t xml:space="preserve"> </w:t>
      </w:r>
      <w:r>
        <w:tab/>
        <w:t xml:space="preserve">United Nations, Millennium Development Goals, </w:t>
      </w:r>
      <w:proofErr w:type="gramStart"/>
      <w:r w:rsidRPr="00FB4494">
        <w:t>www.un.org</w:t>
      </w:r>
      <w:proofErr w:type="gramEnd"/>
      <w:r w:rsidRPr="00FB4494">
        <w:t>/millenniumgoals</w:t>
      </w:r>
      <w:r>
        <w:t>.</w:t>
      </w:r>
    </w:p>
  </w:endnote>
  <w:endnote w:id="2">
    <w:p w14:paraId="3DA5F9E0" w14:textId="77777777" w:rsidR="00CD4AF2" w:rsidRDefault="00CD4AF2" w:rsidP="00977AAA">
      <w:pPr>
        <w:pStyle w:val="EndnoteText"/>
        <w:ind w:left="426" w:right="-144" w:hanging="426"/>
      </w:pPr>
      <w:r>
        <w:rPr>
          <w:rStyle w:val="EndnoteReference"/>
        </w:rPr>
        <w:endnoteRef/>
      </w:r>
      <w:r>
        <w:t xml:space="preserve"> </w:t>
      </w:r>
      <w:r>
        <w:tab/>
        <w:t>Decentralisation and Local Governance (</w:t>
      </w:r>
      <w:proofErr w:type="spellStart"/>
      <w:r>
        <w:t>DeLoG</w:t>
      </w:r>
      <w:proofErr w:type="spellEnd"/>
      <w:r>
        <w:t xml:space="preserve">) and the </w:t>
      </w:r>
      <w:proofErr w:type="spellStart"/>
      <w:r>
        <w:t>DeLoG</w:t>
      </w:r>
      <w:proofErr w:type="spellEnd"/>
      <w:r>
        <w:t xml:space="preserve"> Secretariat (GIZ),</w:t>
      </w:r>
      <w:r w:rsidRPr="009F738A">
        <w:t xml:space="preserve"> </w:t>
      </w:r>
      <w:r w:rsidRPr="00714594">
        <w:rPr>
          <w:i/>
        </w:rPr>
        <w:t>Busan and beyond: localising Paris Principles for more effective support to decentralisation and local governance reforms</w:t>
      </w:r>
      <w:r>
        <w:rPr>
          <w:i/>
        </w:rPr>
        <w:t xml:space="preserve">, </w:t>
      </w:r>
      <w:proofErr w:type="spellStart"/>
      <w:r w:rsidRPr="009F738A">
        <w:t>DeLoG</w:t>
      </w:r>
      <w:proofErr w:type="spellEnd"/>
      <w:r>
        <w:t>/GIZ,</w:t>
      </w:r>
      <w:r w:rsidRPr="009F738A">
        <w:t xml:space="preserve"> </w:t>
      </w:r>
      <w:r>
        <w:t xml:space="preserve">Germany, </w:t>
      </w:r>
      <w:r w:rsidRPr="009F738A">
        <w:t>2011</w:t>
      </w:r>
      <w:r>
        <w:t xml:space="preserve">, </w:t>
      </w:r>
      <w:proofErr w:type="spellStart"/>
      <w:r>
        <w:t>p.viii</w:t>
      </w:r>
      <w:proofErr w:type="spellEnd"/>
      <w:r>
        <w:t>.</w:t>
      </w:r>
    </w:p>
  </w:endnote>
  <w:endnote w:id="3">
    <w:p w14:paraId="236FD713" w14:textId="77777777" w:rsidR="00CD4AF2" w:rsidRDefault="00CD4AF2" w:rsidP="00977AAA">
      <w:pPr>
        <w:pStyle w:val="EndnoteText"/>
        <w:ind w:left="426" w:hanging="426"/>
      </w:pPr>
      <w:r>
        <w:rPr>
          <w:rStyle w:val="EndnoteReference"/>
        </w:rPr>
        <w:endnoteRef/>
      </w:r>
      <w:r>
        <w:t xml:space="preserve"> </w:t>
      </w:r>
      <w:r>
        <w:tab/>
      </w:r>
      <w:r w:rsidRPr="00911537">
        <w:t>S</w:t>
      </w:r>
      <w:r>
        <w:t xml:space="preserve">wiss </w:t>
      </w:r>
      <w:r w:rsidRPr="00911537">
        <w:t>D</w:t>
      </w:r>
      <w:r>
        <w:t xml:space="preserve">evelopment </w:t>
      </w:r>
      <w:r w:rsidRPr="00911537">
        <w:t>C</w:t>
      </w:r>
      <w:r>
        <w:t>ooperation agency</w:t>
      </w:r>
      <w:r w:rsidRPr="00911537">
        <w:t xml:space="preserve">, </w:t>
      </w:r>
      <w:r w:rsidRPr="001435F3">
        <w:rPr>
          <w:i/>
        </w:rPr>
        <w:t>Decentralisation processes in developing and transition countries: evidence-based lessons learnt</w:t>
      </w:r>
      <w:r>
        <w:rPr>
          <w:i/>
        </w:rPr>
        <w:t xml:space="preserve">, </w:t>
      </w:r>
      <w:r w:rsidRPr="005A4CDA">
        <w:t>SDC,</w:t>
      </w:r>
      <w:r>
        <w:rPr>
          <w:i/>
        </w:rPr>
        <w:t xml:space="preserve"> </w:t>
      </w:r>
      <w:r w:rsidRPr="001435F3">
        <w:t>Switzerland,</w:t>
      </w:r>
      <w:r>
        <w:rPr>
          <w:i/>
        </w:rPr>
        <w:t xml:space="preserve"> 2011</w:t>
      </w:r>
      <w:r w:rsidRPr="001435F3">
        <w:rPr>
          <w:i/>
        </w:rPr>
        <w:t>;</w:t>
      </w:r>
      <w:r w:rsidRPr="00911537">
        <w:t xml:space="preserve"> </w:t>
      </w:r>
      <w:r>
        <w:rPr>
          <w:lang w:val="de-DE"/>
        </w:rPr>
        <w:t>Deutsche</w:t>
      </w:r>
      <w:r>
        <w:rPr>
          <w:lang w:val="en"/>
        </w:rPr>
        <w:t xml:space="preserve"> </w:t>
      </w:r>
      <w:r>
        <w:rPr>
          <w:lang w:val="de-DE"/>
        </w:rPr>
        <w:t>Gesellschaft für Technische</w:t>
      </w:r>
      <w:r>
        <w:rPr>
          <w:lang w:val="en"/>
        </w:rPr>
        <w:t xml:space="preserve"> </w:t>
      </w:r>
      <w:r>
        <w:rPr>
          <w:lang w:val="de-DE"/>
        </w:rPr>
        <w:t>Zusammenarbeit</w:t>
      </w:r>
      <w:r>
        <w:rPr>
          <w:lang w:val="en"/>
        </w:rPr>
        <w:t xml:space="preserve"> GmbH,</w:t>
      </w:r>
      <w:r w:rsidRPr="00911537" w:rsidDel="00430B60">
        <w:t xml:space="preserve"> </w:t>
      </w:r>
      <w:r w:rsidRPr="001435F3">
        <w:rPr>
          <w:i/>
        </w:rPr>
        <w:t>Synthesis report on independent evaluations in thematic priority area of decentralisation</w:t>
      </w:r>
      <w:r>
        <w:t>, GTZ, Germany, 2009.</w:t>
      </w:r>
    </w:p>
  </w:endnote>
  <w:endnote w:id="4">
    <w:p w14:paraId="149ABF6F" w14:textId="77777777" w:rsidR="00CD4AF2" w:rsidRDefault="00CD4AF2" w:rsidP="00977AAA">
      <w:pPr>
        <w:pStyle w:val="EndnoteText"/>
        <w:ind w:left="426" w:hanging="426"/>
      </w:pPr>
      <w:r>
        <w:rPr>
          <w:rStyle w:val="EndnoteReference"/>
        </w:rPr>
        <w:endnoteRef/>
      </w:r>
      <w:r>
        <w:t xml:space="preserve"> </w:t>
      </w:r>
      <w:r>
        <w:tab/>
        <w:t>SDC, 2011, p.1.</w:t>
      </w:r>
    </w:p>
  </w:endnote>
  <w:endnote w:id="5">
    <w:p w14:paraId="0FAEBC66" w14:textId="77777777" w:rsidR="00CD4AF2" w:rsidRDefault="00CD4AF2" w:rsidP="00977AAA">
      <w:pPr>
        <w:pStyle w:val="EndnoteText"/>
        <w:ind w:left="426" w:hanging="426"/>
      </w:pPr>
      <w:r w:rsidRPr="00B17CEE">
        <w:rPr>
          <w:rStyle w:val="EndnoteReference"/>
        </w:rPr>
        <w:endnoteRef/>
      </w:r>
      <w:r w:rsidRPr="00B17CEE">
        <w:t xml:space="preserve"> </w:t>
      </w:r>
      <w:r w:rsidRPr="00B17CEE">
        <w:tab/>
      </w:r>
      <w:r>
        <w:t xml:space="preserve">M </w:t>
      </w:r>
      <w:r w:rsidRPr="00B17CEE">
        <w:rPr>
          <w:szCs w:val="16"/>
        </w:rPr>
        <w:t>Robinson</w:t>
      </w:r>
      <w:r w:rsidRPr="00610727">
        <w:rPr>
          <w:szCs w:val="16"/>
        </w:rPr>
        <w:t xml:space="preserve">, Introduction: Decentralising service delivery? Evidence and policy implications, </w:t>
      </w:r>
      <w:r w:rsidRPr="00610727">
        <w:rPr>
          <w:i/>
          <w:szCs w:val="16"/>
        </w:rPr>
        <w:t>IDS</w:t>
      </w:r>
      <w:r w:rsidRPr="00714594">
        <w:rPr>
          <w:i/>
          <w:szCs w:val="16"/>
        </w:rPr>
        <w:t xml:space="preserve"> Bulletin</w:t>
      </w:r>
      <w:r w:rsidRPr="008D3E97">
        <w:rPr>
          <w:szCs w:val="16"/>
        </w:rPr>
        <w:t xml:space="preserve"> 38</w:t>
      </w:r>
      <w:r>
        <w:rPr>
          <w:szCs w:val="16"/>
        </w:rPr>
        <w:t>(1)</w:t>
      </w:r>
      <w:r w:rsidRPr="008D3E97">
        <w:rPr>
          <w:szCs w:val="16"/>
        </w:rPr>
        <w:t>, Institute of Development Studies, U</w:t>
      </w:r>
      <w:r>
        <w:rPr>
          <w:szCs w:val="16"/>
        </w:rPr>
        <w:t xml:space="preserve">nited </w:t>
      </w:r>
      <w:r w:rsidRPr="008D3E97">
        <w:rPr>
          <w:szCs w:val="16"/>
        </w:rPr>
        <w:t>K</w:t>
      </w:r>
      <w:r>
        <w:rPr>
          <w:szCs w:val="16"/>
        </w:rPr>
        <w:t>ingdom,</w:t>
      </w:r>
      <w:r w:rsidRPr="008D3E97">
        <w:rPr>
          <w:szCs w:val="16"/>
        </w:rPr>
        <w:t xml:space="preserve"> 2007</w:t>
      </w:r>
      <w:r>
        <w:rPr>
          <w:szCs w:val="16"/>
        </w:rPr>
        <w:t>.</w:t>
      </w:r>
    </w:p>
  </w:endnote>
  <w:endnote w:id="6">
    <w:p w14:paraId="6D07844B" w14:textId="77777777" w:rsidR="00CD4AF2" w:rsidRDefault="00CD4AF2" w:rsidP="00C959D9">
      <w:pPr>
        <w:pStyle w:val="EndnoteText"/>
        <w:ind w:left="426" w:hanging="426"/>
      </w:pPr>
      <w:r w:rsidRPr="001435F3">
        <w:rPr>
          <w:rStyle w:val="EndnoteReference"/>
          <w:sz w:val="16"/>
        </w:rPr>
        <w:endnoteRef/>
      </w:r>
      <w:r w:rsidRPr="001435F3">
        <w:rPr>
          <w:sz w:val="16"/>
        </w:rPr>
        <w:t xml:space="preserve"> </w:t>
      </w:r>
      <w:r>
        <w:tab/>
        <w:t xml:space="preserve">World Bank, </w:t>
      </w:r>
      <w:r w:rsidRPr="00714594">
        <w:rPr>
          <w:i/>
        </w:rPr>
        <w:t>Human development report: making services work for poor people</w:t>
      </w:r>
      <w:r>
        <w:t xml:space="preserve">, World Bank and Oxford University Press, Washington DC, 2004. </w:t>
      </w:r>
    </w:p>
  </w:endnote>
  <w:endnote w:id="7">
    <w:p w14:paraId="546B31BF" w14:textId="77777777" w:rsidR="00CD4AF2" w:rsidRDefault="00CD4AF2" w:rsidP="00C959D9">
      <w:pPr>
        <w:pStyle w:val="EndnoteText"/>
        <w:ind w:left="426" w:hanging="426"/>
      </w:pPr>
      <w:r>
        <w:rPr>
          <w:rStyle w:val="EndnoteReference"/>
        </w:rPr>
        <w:endnoteRef/>
      </w:r>
      <w:r>
        <w:t xml:space="preserve"> </w:t>
      </w:r>
      <w:r>
        <w:tab/>
        <w:t>World Bank, 2004.</w:t>
      </w:r>
    </w:p>
  </w:endnote>
  <w:endnote w:id="8">
    <w:p w14:paraId="0BF09014" w14:textId="77777777" w:rsidR="00CD4AF2" w:rsidRPr="008D3E97" w:rsidRDefault="00CD4AF2" w:rsidP="00C959D9">
      <w:pPr>
        <w:pStyle w:val="EndnoteText"/>
        <w:ind w:left="426" w:hanging="426"/>
        <w:rPr>
          <w:szCs w:val="16"/>
        </w:rPr>
      </w:pPr>
      <w:r w:rsidRPr="008D3E97">
        <w:rPr>
          <w:rStyle w:val="EndnoteReference"/>
          <w:szCs w:val="16"/>
        </w:rPr>
        <w:endnoteRef/>
      </w:r>
      <w:r w:rsidRPr="008D3E97">
        <w:rPr>
          <w:szCs w:val="16"/>
        </w:rPr>
        <w:t xml:space="preserve"> </w:t>
      </w:r>
      <w:r>
        <w:rPr>
          <w:szCs w:val="16"/>
        </w:rPr>
        <w:tab/>
        <w:t xml:space="preserve">RL </w:t>
      </w:r>
      <w:proofErr w:type="spellStart"/>
      <w:r w:rsidRPr="008D3E97">
        <w:rPr>
          <w:szCs w:val="16"/>
        </w:rPr>
        <w:t>Kolehmainen</w:t>
      </w:r>
      <w:proofErr w:type="spellEnd"/>
      <w:r w:rsidRPr="008D3E97">
        <w:rPr>
          <w:szCs w:val="16"/>
        </w:rPr>
        <w:t>-Aitken</w:t>
      </w:r>
      <w:r>
        <w:rPr>
          <w:szCs w:val="16"/>
        </w:rPr>
        <w:t>,</w:t>
      </w:r>
      <w:r w:rsidRPr="008D3E97">
        <w:rPr>
          <w:szCs w:val="16"/>
        </w:rPr>
        <w:t xml:space="preserve"> Decentralization’s impact on the health workforce: Perspectives of managers, workers and national leaders, </w:t>
      </w:r>
      <w:r w:rsidRPr="008D3E97">
        <w:rPr>
          <w:i/>
          <w:szCs w:val="16"/>
        </w:rPr>
        <w:t>Human Resources for Health</w:t>
      </w:r>
      <w:r w:rsidRPr="008D3E97">
        <w:rPr>
          <w:szCs w:val="16"/>
        </w:rPr>
        <w:t>, 2:5</w:t>
      </w:r>
      <w:r>
        <w:rPr>
          <w:szCs w:val="16"/>
        </w:rPr>
        <w:t xml:space="preserve">, </w:t>
      </w:r>
      <w:r w:rsidRPr="008D3E97">
        <w:rPr>
          <w:szCs w:val="16"/>
        </w:rPr>
        <w:t>2004</w:t>
      </w:r>
      <w:r>
        <w:rPr>
          <w:szCs w:val="16"/>
        </w:rPr>
        <w:t>.</w:t>
      </w:r>
    </w:p>
  </w:endnote>
  <w:endnote w:id="9">
    <w:p w14:paraId="26D40C8F" w14:textId="77777777" w:rsidR="00CD4AF2" w:rsidRDefault="00CD4AF2" w:rsidP="00C959D9">
      <w:pPr>
        <w:pStyle w:val="EndnoteText"/>
        <w:ind w:left="426" w:hanging="426"/>
      </w:pPr>
      <w:r>
        <w:rPr>
          <w:rStyle w:val="EndnoteReference"/>
        </w:rPr>
        <w:endnoteRef/>
      </w:r>
      <w:r>
        <w:t xml:space="preserve"> </w:t>
      </w:r>
      <w:r>
        <w:tab/>
        <w:t xml:space="preserve">T Land &amp; F Dobunaba, </w:t>
      </w:r>
      <w:r w:rsidRPr="001435F3">
        <w:rPr>
          <w:i/>
        </w:rPr>
        <w:t>Independent completion report of the subnational strategy phase 1: 2007–12,</w:t>
      </w:r>
      <w:r>
        <w:t xml:space="preserve"> 2013.</w:t>
      </w:r>
    </w:p>
  </w:endnote>
  <w:endnote w:id="10">
    <w:p w14:paraId="2FF293C1" w14:textId="77777777" w:rsidR="00CD4AF2" w:rsidRPr="008D3E97" w:rsidRDefault="00CD4AF2" w:rsidP="00C959D9">
      <w:pPr>
        <w:pStyle w:val="EndnoteText"/>
        <w:ind w:left="426" w:hanging="426"/>
        <w:rPr>
          <w:szCs w:val="16"/>
        </w:rPr>
      </w:pPr>
      <w:r w:rsidRPr="008D3E97">
        <w:rPr>
          <w:rStyle w:val="EndnoteReference"/>
          <w:szCs w:val="16"/>
        </w:rPr>
        <w:endnoteRef/>
      </w:r>
      <w:r w:rsidRPr="008D3E97">
        <w:rPr>
          <w:szCs w:val="16"/>
        </w:rPr>
        <w:t xml:space="preserve"> </w:t>
      </w:r>
      <w:r>
        <w:rPr>
          <w:szCs w:val="16"/>
        </w:rPr>
        <w:tab/>
      </w:r>
      <w:proofErr w:type="spellStart"/>
      <w:r w:rsidRPr="009F738A">
        <w:t>DeLoG</w:t>
      </w:r>
      <w:proofErr w:type="spellEnd"/>
      <w:r>
        <w:t>/GIZ,</w:t>
      </w:r>
      <w:r w:rsidRPr="008D3E97">
        <w:rPr>
          <w:szCs w:val="16"/>
        </w:rPr>
        <w:t xml:space="preserve"> 2011</w:t>
      </w:r>
      <w:r>
        <w:rPr>
          <w:szCs w:val="16"/>
        </w:rPr>
        <w:t>.</w:t>
      </w:r>
      <w:r w:rsidRPr="008D3E97">
        <w:rPr>
          <w:szCs w:val="16"/>
        </w:rPr>
        <w:t xml:space="preserve"> </w:t>
      </w:r>
    </w:p>
  </w:endnote>
  <w:endnote w:id="11">
    <w:p w14:paraId="081B29BC" w14:textId="77777777" w:rsidR="00CD4AF2" w:rsidRDefault="00CD4AF2" w:rsidP="00C959D9">
      <w:pPr>
        <w:pStyle w:val="EndnoteText"/>
        <w:ind w:left="426" w:hanging="426"/>
      </w:pPr>
      <w:r w:rsidRPr="008D3E97">
        <w:rPr>
          <w:rStyle w:val="EndnoteReference"/>
          <w:szCs w:val="16"/>
        </w:rPr>
        <w:endnoteRef/>
      </w:r>
      <w:r w:rsidRPr="008D3E97">
        <w:rPr>
          <w:szCs w:val="16"/>
        </w:rPr>
        <w:t xml:space="preserve"> </w:t>
      </w:r>
      <w:r>
        <w:rPr>
          <w:szCs w:val="16"/>
        </w:rPr>
        <w:tab/>
      </w:r>
      <w:r w:rsidRPr="008D3E97">
        <w:rPr>
          <w:szCs w:val="16"/>
        </w:rPr>
        <w:t xml:space="preserve">See, for example </w:t>
      </w:r>
      <w:r w:rsidRPr="001435F3">
        <w:rPr>
          <w:szCs w:val="16"/>
        </w:rPr>
        <w:t>European Centre for Development Policy Management</w:t>
      </w:r>
      <w:r>
        <w:rPr>
          <w:szCs w:val="16"/>
        </w:rPr>
        <w:t>,</w:t>
      </w:r>
      <w:r w:rsidRPr="008D3E97">
        <w:rPr>
          <w:szCs w:val="16"/>
        </w:rPr>
        <w:t xml:space="preserve"> </w:t>
      </w:r>
      <w:r w:rsidRPr="00BA76D2">
        <w:rPr>
          <w:szCs w:val="16"/>
        </w:rPr>
        <w:t>Sector</w:t>
      </w:r>
      <w:r w:rsidRPr="001435F3">
        <w:rPr>
          <w:i/>
          <w:szCs w:val="16"/>
        </w:rPr>
        <w:t xml:space="preserve"> wide approaches and decentralisation strategies pulling in opposite directions?</w:t>
      </w:r>
      <w:r w:rsidRPr="008D3E97">
        <w:rPr>
          <w:szCs w:val="16"/>
        </w:rPr>
        <w:t xml:space="preserve"> </w:t>
      </w:r>
      <w:r>
        <w:rPr>
          <w:szCs w:val="16"/>
        </w:rPr>
        <w:t xml:space="preserve">ECDPM, Netherlands, </w:t>
      </w:r>
      <w:r w:rsidRPr="00E003BD">
        <w:rPr>
          <w:szCs w:val="16"/>
        </w:rPr>
        <w:t>2003</w:t>
      </w:r>
      <w:r>
        <w:rPr>
          <w:szCs w:val="16"/>
        </w:rPr>
        <w:t>;</w:t>
      </w:r>
      <w:r w:rsidRPr="00E003BD">
        <w:rPr>
          <w:szCs w:val="16"/>
        </w:rPr>
        <w:t xml:space="preserve"> </w:t>
      </w:r>
      <w:r w:rsidRPr="008D3E97">
        <w:rPr>
          <w:szCs w:val="16"/>
        </w:rPr>
        <w:t xml:space="preserve">and </w:t>
      </w:r>
      <w:r>
        <w:rPr>
          <w:szCs w:val="16"/>
        </w:rPr>
        <w:t xml:space="preserve">T </w:t>
      </w:r>
      <w:r w:rsidRPr="008D3E97">
        <w:rPr>
          <w:szCs w:val="16"/>
        </w:rPr>
        <w:t>Williamson</w:t>
      </w:r>
      <w:r>
        <w:rPr>
          <w:szCs w:val="16"/>
        </w:rPr>
        <w:t xml:space="preserve"> &amp; C</w:t>
      </w:r>
      <w:r w:rsidRPr="008D3E97">
        <w:rPr>
          <w:szCs w:val="16"/>
        </w:rPr>
        <w:t xml:space="preserve"> Dom</w:t>
      </w:r>
      <w:r>
        <w:rPr>
          <w:szCs w:val="16"/>
        </w:rPr>
        <w:t>,</w:t>
      </w:r>
      <w:r w:rsidRPr="008D3E97">
        <w:rPr>
          <w:szCs w:val="16"/>
        </w:rPr>
        <w:t xml:space="preserve"> </w:t>
      </w:r>
      <w:r w:rsidRPr="001435F3">
        <w:rPr>
          <w:i/>
          <w:szCs w:val="16"/>
        </w:rPr>
        <w:t>Sector budget support in practice: synthesis report</w:t>
      </w:r>
      <w:r>
        <w:rPr>
          <w:i/>
          <w:szCs w:val="16"/>
        </w:rPr>
        <w:t>,</w:t>
      </w:r>
      <w:r w:rsidRPr="008D3E97">
        <w:rPr>
          <w:szCs w:val="16"/>
        </w:rPr>
        <w:t xml:space="preserve"> </w:t>
      </w:r>
      <w:r>
        <w:rPr>
          <w:szCs w:val="16"/>
        </w:rPr>
        <w:t>p</w:t>
      </w:r>
      <w:r w:rsidRPr="008D3E97">
        <w:rPr>
          <w:szCs w:val="16"/>
        </w:rPr>
        <w:t xml:space="preserve">repared by </w:t>
      </w:r>
      <w:r>
        <w:rPr>
          <w:szCs w:val="16"/>
        </w:rPr>
        <w:t xml:space="preserve">the </w:t>
      </w:r>
      <w:r w:rsidRPr="001435F3">
        <w:rPr>
          <w:szCs w:val="16"/>
        </w:rPr>
        <w:t>Overseas Development Institute</w:t>
      </w:r>
      <w:r w:rsidRPr="00BA76D2">
        <w:rPr>
          <w:rFonts w:ascii="Arial" w:hAnsi="Arial" w:cs="Arial"/>
          <w:color w:val="545454"/>
          <w:sz w:val="21"/>
          <w:lang w:val="en"/>
        </w:rPr>
        <w:t xml:space="preserve"> </w:t>
      </w:r>
      <w:r w:rsidRPr="008D3E97">
        <w:rPr>
          <w:szCs w:val="16"/>
        </w:rPr>
        <w:t xml:space="preserve">and </w:t>
      </w:r>
      <w:proofErr w:type="spellStart"/>
      <w:r w:rsidRPr="008D3E97">
        <w:rPr>
          <w:szCs w:val="16"/>
        </w:rPr>
        <w:t>Mokoro</w:t>
      </w:r>
      <w:proofErr w:type="spellEnd"/>
      <w:r>
        <w:rPr>
          <w:szCs w:val="16"/>
        </w:rPr>
        <w:t xml:space="preserve">, United Kingdom, </w:t>
      </w:r>
      <w:r w:rsidRPr="008D3E97">
        <w:rPr>
          <w:szCs w:val="16"/>
        </w:rPr>
        <w:t>2010</w:t>
      </w:r>
      <w:r>
        <w:rPr>
          <w:szCs w:val="16"/>
        </w:rPr>
        <w:t>.</w:t>
      </w:r>
    </w:p>
  </w:endnote>
  <w:endnote w:id="12">
    <w:p w14:paraId="151CC3E0" w14:textId="1E0B9559" w:rsidR="00CD4AF2" w:rsidRDefault="00CD4AF2" w:rsidP="00C959D9">
      <w:pPr>
        <w:pStyle w:val="EndnoteText"/>
        <w:ind w:left="426" w:hanging="426"/>
      </w:pPr>
      <w:r>
        <w:rPr>
          <w:rStyle w:val="EndnoteReference"/>
        </w:rPr>
        <w:endnoteRef/>
      </w:r>
      <w:r>
        <w:t xml:space="preserve"> </w:t>
      </w:r>
      <w:r>
        <w:tab/>
      </w:r>
      <w:r w:rsidRPr="005A4CDA">
        <w:t>SDC,</w:t>
      </w:r>
      <w:r>
        <w:rPr>
          <w:i/>
        </w:rPr>
        <w:t xml:space="preserve"> </w:t>
      </w:r>
      <w:r w:rsidRPr="005A4CDA">
        <w:t>2011;</w:t>
      </w:r>
      <w:r w:rsidRPr="00911537">
        <w:t xml:space="preserve"> </w:t>
      </w:r>
      <w:r>
        <w:t>GTZ, 2009.</w:t>
      </w:r>
    </w:p>
  </w:endnote>
  <w:endnote w:id="13">
    <w:p w14:paraId="0B933328" w14:textId="3D6D3B4B" w:rsidR="00CD4AF2" w:rsidRDefault="00CD4AF2" w:rsidP="00C959D9">
      <w:pPr>
        <w:pStyle w:val="EndnoteText"/>
        <w:ind w:left="426" w:hanging="426"/>
      </w:pPr>
      <w:r>
        <w:rPr>
          <w:rStyle w:val="EndnoteReference"/>
        </w:rPr>
        <w:endnoteRef/>
      </w:r>
      <w:r>
        <w:t xml:space="preserve"> </w:t>
      </w:r>
      <w:r>
        <w:tab/>
      </w:r>
      <w:proofErr w:type="spellStart"/>
      <w:r w:rsidRPr="009F738A">
        <w:t>DeLoG</w:t>
      </w:r>
      <w:proofErr w:type="spellEnd"/>
      <w:r>
        <w:t>/GIZ, 2011, p.10.</w:t>
      </w:r>
    </w:p>
  </w:endnote>
  <w:endnote w:id="14">
    <w:p w14:paraId="291E43A6" w14:textId="77777777" w:rsidR="00CD4AF2" w:rsidRDefault="00CD4AF2" w:rsidP="00C959D9">
      <w:pPr>
        <w:pStyle w:val="EndnoteText"/>
        <w:ind w:left="426" w:hanging="426"/>
      </w:pPr>
      <w:r>
        <w:rPr>
          <w:rStyle w:val="EndnoteReference"/>
        </w:rPr>
        <w:endnoteRef/>
      </w:r>
      <w:r>
        <w:t xml:space="preserve"> </w:t>
      </w:r>
      <w:r>
        <w:tab/>
      </w:r>
      <w:proofErr w:type="spellStart"/>
      <w:r w:rsidRPr="009F738A">
        <w:t>DeLoG</w:t>
      </w:r>
      <w:proofErr w:type="spellEnd"/>
      <w:r>
        <w:t>/GIZ, 2011.</w:t>
      </w:r>
    </w:p>
  </w:endnote>
  <w:endnote w:id="15">
    <w:p w14:paraId="0916010A" w14:textId="77777777" w:rsidR="00CD4AF2" w:rsidRDefault="00CD4AF2" w:rsidP="00C959D9">
      <w:pPr>
        <w:pStyle w:val="EndnoteText"/>
        <w:ind w:left="426" w:hanging="426"/>
      </w:pPr>
      <w:r>
        <w:rPr>
          <w:rStyle w:val="EndnoteReference"/>
        </w:rPr>
        <w:endnoteRef/>
      </w:r>
      <w:r>
        <w:t xml:space="preserve"> </w:t>
      </w:r>
      <w:r>
        <w:tab/>
      </w:r>
      <w:r w:rsidRPr="00487DDD">
        <w:t>Australian Agency for International Development</w:t>
      </w:r>
      <w:r>
        <w:rPr>
          <w:rFonts w:eastAsia="Calibri" w:cs="Cambria"/>
        </w:rPr>
        <w:t xml:space="preserve">, </w:t>
      </w:r>
      <w:r w:rsidRPr="00AF6A11">
        <w:rPr>
          <w:i/>
        </w:rPr>
        <w:t>Australian aid: promoting growth and stability,</w:t>
      </w:r>
      <w:r>
        <w:t xml:space="preserve"> A white paper on the Australian Government’s overseas aid program, AusAID, Canberra, 2006.</w:t>
      </w:r>
    </w:p>
  </w:endnote>
  <w:endnote w:id="16">
    <w:p w14:paraId="2C3285EB" w14:textId="77777777" w:rsidR="00CD4AF2" w:rsidRDefault="00CD4AF2" w:rsidP="00C959D9">
      <w:pPr>
        <w:pStyle w:val="EndnoteText"/>
        <w:ind w:left="426" w:hanging="426"/>
      </w:pPr>
      <w:r>
        <w:rPr>
          <w:rStyle w:val="EndnoteReference"/>
        </w:rPr>
        <w:endnoteRef/>
      </w:r>
      <w:r>
        <w:t xml:space="preserve"> </w:t>
      </w:r>
      <w:r>
        <w:tab/>
        <w:t>Australian National Audit Office,</w:t>
      </w:r>
      <w:r w:rsidRPr="004F0649" w:rsidDel="00430B60">
        <w:t xml:space="preserve"> </w:t>
      </w:r>
      <w:r w:rsidRPr="00AF6A11">
        <w:rPr>
          <w:i/>
        </w:rPr>
        <w:t>AusAID’s management of the expanding Australian aid program</w:t>
      </w:r>
      <w:r>
        <w:t>, ANAO, Canberra, 2009.</w:t>
      </w:r>
    </w:p>
  </w:endnote>
  <w:endnote w:id="17">
    <w:p w14:paraId="2948656F" w14:textId="77777777" w:rsidR="00CD4AF2" w:rsidRPr="004F0649" w:rsidRDefault="00CD4AF2" w:rsidP="00C959D9">
      <w:pPr>
        <w:pStyle w:val="EndnoteText"/>
        <w:ind w:left="426" w:hanging="426"/>
      </w:pPr>
      <w:r>
        <w:rPr>
          <w:rStyle w:val="EndnoteReference"/>
        </w:rPr>
        <w:endnoteRef/>
      </w:r>
      <w:r>
        <w:t xml:space="preserve"> </w:t>
      </w:r>
      <w:r>
        <w:tab/>
      </w:r>
      <w:r w:rsidRPr="00AF6A11">
        <w:t>Organisation for Economic Co-operation and Development,</w:t>
      </w:r>
      <w:r>
        <w:rPr>
          <w:rStyle w:val="st1"/>
          <w:rFonts w:ascii="Arial" w:hAnsi="Arial" w:cs="Arial"/>
          <w:color w:val="545454"/>
          <w:lang w:val="en"/>
        </w:rPr>
        <w:t xml:space="preserve"> </w:t>
      </w:r>
      <w:r>
        <w:t xml:space="preserve">Development Assistance Committee, </w:t>
      </w:r>
      <w:r w:rsidRPr="00AF6A11">
        <w:rPr>
          <w:i/>
        </w:rPr>
        <w:t>Development co-operation peer review: Enabling effective development</w:t>
      </w:r>
      <w:r>
        <w:rPr>
          <w:i/>
        </w:rPr>
        <w:t>,</w:t>
      </w:r>
      <w:r w:rsidRPr="00AF6A11">
        <w:rPr>
          <w:i/>
        </w:rPr>
        <w:t xml:space="preserve"> Australia 2013;</w:t>
      </w:r>
      <w:r w:rsidRPr="004F0649">
        <w:t xml:space="preserve"> Recommendation 5.2,</w:t>
      </w:r>
      <w:r>
        <w:t xml:space="preserve"> OECD DAC, Paris, </w:t>
      </w:r>
      <w:r w:rsidRPr="004F0649">
        <w:t>2013</w:t>
      </w:r>
      <w:r>
        <w:t>.</w:t>
      </w:r>
    </w:p>
  </w:endnote>
  <w:endnote w:id="18">
    <w:p w14:paraId="59681DBA" w14:textId="77777777" w:rsidR="00CD4AF2" w:rsidRPr="007057A9" w:rsidRDefault="00CD4AF2" w:rsidP="00C959D9">
      <w:pPr>
        <w:pStyle w:val="EndnoteText"/>
        <w:ind w:left="426" w:hanging="426"/>
      </w:pPr>
      <w:r>
        <w:rPr>
          <w:rStyle w:val="EndnoteReference"/>
        </w:rPr>
        <w:endnoteRef/>
      </w:r>
      <w:r>
        <w:t xml:space="preserve"> </w:t>
      </w:r>
      <w:r>
        <w:tab/>
      </w:r>
      <w:r w:rsidRPr="00487DDD">
        <w:t>Australian Agency for International Development</w:t>
      </w:r>
      <w:r>
        <w:rPr>
          <w:rFonts w:eastAsia="Calibri" w:cs="Cambria"/>
        </w:rPr>
        <w:t xml:space="preserve">, </w:t>
      </w:r>
      <w:r w:rsidRPr="00AF6A11">
        <w:rPr>
          <w:i/>
        </w:rPr>
        <w:t>Helping the world’s poor through effective aid:</w:t>
      </w:r>
      <w:r>
        <w:rPr>
          <w:i/>
        </w:rPr>
        <w:t xml:space="preserve"> </w:t>
      </w:r>
      <w:r w:rsidRPr="00AF6A11">
        <w:rPr>
          <w:i/>
        </w:rPr>
        <w:t>Australia’s Comprehensive Aid Policy Framework to 2015–16</w:t>
      </w:r>
      <w:r>
        <w:t>, AusAID, Canberra, 2012, p.23.</w:t>
      </w:r>
    </w:p>
  </w:endnote>
  <w:endnote w:id="19">
    <w:p w14:paraId="34304E75" w14:textId="24F2B641" w:rsidR="00CD4AF2" w:rsidRDefault="00CD4AF2" w:rsidP="00C959D9">
      <w:pPr>
        <w:pStyle w:val="EndnoteText"/>
        <w:ind w:left="426" w:hanging="426"/>
      </w:pPr>
      <w:r>
        <w:rPr>
          <w:rStyle w:val="EndnoteReference"/>
        </w:rPr>
        <w:endnoteRef/>
      </w:r>
      <w:r>
        <w:t xml:space="preserve"> </w:t>
      </w:r>
      <w:r>
        <w:tab/>
        <w:t>Australian Government Department of Foreign Affairs and Trade</w:t>
      </w:r>
      <w:r w:rsidRPr="009A42DE">
        <w:t xml:space="preserve">, </w:t>
      </w:r>
      <w:r w:rsidRPr="005A4CDA">
        <w:rPr>
          <w:i/>
        </w:rPr>
        <w:t>2014-15 Development assistance budget: a summary,</w:t>
      </w:r>
      <w:r w:rsidRPr="009A42DE">
        <w:t xml:space="preserve"> DFAT</w:t>
      </w:r>
      <w:r>
        <w:t>,</w:t>
      </w:r>
      <w:r w:rsidRPr="009A42DE">
        <w:t xml:space="preserve"> Canberra, </w:t>
      </w:r>
      <w:r>
        <w:t xml:space="preserve">2014. </w:t>
      </w:r>
    </w:p>
  </w:endnote>
  <w:endnote w:id="20">
    <w:p w14:paraId="0A495093" w14:textId="77777777" w:rsidR="00CD4AF2" w:rsidRDefault="00CD4AF2" w:rsidP="00C959D9">
      <w:pPr>
        <w:pStyle w:val="EndnoteText"/>
        <w:ind w:left="426" w:hanging="426"/>
      </w:pPr>
      <w:r>
        <w:rPr>
          <w:rStyle w:val="EndnoteReference"/>
        </w:rPr>
        <w:endnoteRef/>
      </w:r>
      <w:r>
        <w:t xml:space="preserve"> </w:t>
      </w:r>
      <w:r>
        <w:tab/>
        <w:t>AusAID</w:t>
      </w:r>
      <w:r>
        <w:rPr>
          <w:rFonts w:eastAsia="Calibri" w:cs="Cambria"/>
        </w:rPr>
        <w:t xml:space="preserve">, </w:t>
      </w:r>
      <w:r w:rsidRPr="001E49BC">
        <w:rPr>
          <w:i/>
        </w:rPr>
        <w:t>Helping the world’s poor through effective aid</w:t>
      </w:r>
      <w:r>
        <w:rPr>
          <w:i/>
        </w:rPr>
        <w:t>, 2012</w:t>
      </w:r>
      <w:r>
        <w:t xml:space="preserve">, </w:t>
      </w:r>
      <w:r w:rsidRPr="00232FE9">
        <w:t>p</w:t>
      </w:r>
      <w:r>
        <w:t>.</w:t>
      </w:r>
      <w:r w:rsidRPr="00232FE9">
        <w:t>19.</w:t>
      </w:r>
    </w:p>
  </w:endnote>
  <w:endnote w:id="21">
    <w:p w14:paraId="39A4CF60" w14:textId="77777777" w:rsidR="00CD4AF2" w:rsidRDefault="00CD4AF2" w:rsidP="00C959D9">
      <w:pPr>
        <w:pStyle w:val="EndnoteText"/>
        <w:ind w:left="426" w:hanging="426"/>
      </w:pPr>
      <w:r>
        <w:rPr>
          <w:rStyle w:val="EndnoteReference"/>
        </w:rPr>
        <w:endnoteRef/>
      </w:r>
      <w:r>
        <w:t xml:space="preserve"> </w:t>
      </w:r>
      <w:r>
        <w:tab/>
        <w:t xml:space="preserve">Office of Development Effectiveness, </w:t>
      </w:r>
      <w:r w:rsidRPr="003A6A93">
        <w:rPr>
          <w:i/>
        </w:rPr>
        <w:t>Service delivery for the poor: lessons learned from recent evaluations of Australian aid</w:t>
      </w:r>
      <w:r w:rsidRPr="00AF6A11">
        <w:t xml:space="preserve">, </w:t>
      </w:r>
      <w:r>
        <w:t xml:space="preserve">ODE, Canberra, </w:t>
      </w:r>
      <w:r w:rsidRPr="0085681D">
        <w:t>2009</w:t>
      </w:r>
      <w:r>
        <w:t>.</w:t>
      </w:r>
    </w:p>
  </w:endnote>
  <w:endnote w:id="22">
    <w:p w14:paraId="02B463A8" w14:textId="77777777" w:rsidR="00CD4AF2" w:rsidRDefault="00CD4AF2" w:rsidP="00C959D9">
      <w:pPr>
        <w:pStyle w:val="EndnoteText"/>
        <w:ind w:left="426" w:hanging="426"/>
      </w:pPr>
      <w:r>
        <w:rPr>
          <w:rStyle w:val="EndnoteReference"/>
        </w:rPr>
        <w:endnoteRef/>
      </w:r>
      <w:r>
        <w:t xml:space="preserve"> </w:t>
      </w:r>
      <w:r>
        <w:tab/>
        <w:t xml:space="preserve">Office of Development Effectiveness, </w:t>
      </w:r>
      <w:r w:rsidRPr="00AF6A11">
        <w:rPr>
          <w:i/>
        </w:rPr>
        <w:t>Improving the provision of basic services to the poor,</w:t>
      </w:r>
      <w:r>
        <w:t xml:space="preserve"> ODE, Canberra, 2009.</w:t>
      </w:r>
    </w:p>
  </w:endnote>
  <w:endnote w:id="23">
    <w:p w14:paraId="5D5FC5F9" w14:textId="77777777" w:rsidR="00CD4AF2" w:rsidRDefault="00CD4AF2" w:rsidP="00C959D9">
      <w:pPr>
        <w:pStyle w:val="EndnoteText"/>
        <w:ind w:left="426" w:hanging="426"/>
      </w:pPr>
      <w:r w:rsidRPr="00AF6A11">
        <w:rPr>
          <w:rStyle w:val="EndnoteReference"/>
          <w:sz w:val="16"/>
        </w:rPr>
        <w:endnoteRef/>
      </w:r>
      <w:r w:rsidRPr="00AF6A11">
        <w:rPr>
          <w:sz w:val="16"/>
        </w:rPr>
        <w:t xml:space="preserve"> </w:t>
      </w:r>
      <w:r>
        <w:tab/>
        <w:t xml:space="preserve">Australian Agency for International Development, </w:t>
      </w:r>
      <w:r>
        <w:rPr>
          <w:i/>
        </w:rPr>
        <w:t xml:space="preserve">Australia’s International Development Assistance Program 2013-14—Effective aid: helping the world’s poor. </w:t>
      </w:r>
      <w:r w:rsidRPr="0016035D">
        <w:t>2013</w:t>
      </w:r>
      <w:r w:rsidRPr="008952E3">
        <w:t>.</w:t>
      </w:r>
    </w:p>
  </w:endnote>
  <w:endnote w:id="24">
    <w:p w14:paraId="3E3AC62A" w14:textId="77777777" w:rsidR="00CD4AF2" w:rsidRDefault="00CD4AF2" w:rsidP="00C959D9">
      <w:pPr>
        <w:pStyle w:val="EndnoteText"/>
        <w:ind w:left="426" w:hanging="426"/>
      </w:pPr>
      <w:r>
        <w:rPr>
          <w:rStyle w:val="EndnoteReference"/>
        </w:rPr>
        <w:endnoteRef/>
      </w:r>
      <w:r>
        <w:t xml:space="preserve"> </w:t>
      </w:r>
      <w:r>
        <w:tab/>
        <w:t xml:space="preserve">SDC, 2011. </w:t>
      </w:r>
    </w:p>
  </w:endnote>
  <w:endnote w:id="25">
    <w:p w14:paraId="6FD10888" w14:textId="77777777" w:rsidR="00CD4AF2" w:rsidRDefault="00CD4AF2" w:rsidP="00C959D9">
      <w:pPr>
        <w:pStyle w:val="EndnoteText"/>
        <w:ind w:left="426" w:hanging="426"/>
      </w:pPr>
      <w:r>
        <w:rPr>
          <w:rStyle w:val="EndnoteReference"/>
        </w:rPr>
        <w:endnoteRef/>
      </w:r>
      <w:r>
        <w:t xml:space="preserve"> </w:t>
      </w:r>
      <w:r>
        <w:tab/>
        <w:t xml:space="preserve">Asian Development Bank, </w:t>
      </w:r>
      <w:r w:rsidRPr="00AF6A11">
        <w:rPr>
          <w:i/>
        </w:rPr>
        <w:t>ADB support for decentrali</w:t>
      </w:r>
      <w:r>
        <w:rPr>
          <w:i/>
        </w:rPr>
        <w:t>z</w:t>
      </w:r>
      <w:r w:rsidRPr="00AF6A11">
        <w:rPr>
          <w:i/>
        </w:rPr>
        <w:t>ation in Indonesia evaluation study,</w:t>
      </w:r>
      <w:r>
        <w:t xml:space="preserve"> ADB, Philippines, 2010; GTZ,</w:t>
      </w:r>
      <w:r w:rsidDel="0085681D">
        <w:t xml:space="preserve"> </w:t>
      </w:r>
      <w:r w:rsidRPr="00764E72">
        <w:t>2009</w:t>
      </w:r>
      <w:r>
        <w:t xml:space="preserve">; World Bank Independent Evaluation Group, </w:t>
      </w:r>
      <w:r w:rsidRPr="00AF6A11">
        <w:rPr>
          <w:i/>
        </w:rPr>
        <w:t xml:space="preserve">Decentralisation in client countries: An evaluation of World Bank support 1990–2007, </w:t>
      </w:r>
      <w:r w:rsidRPr="00C615DC">
        <w:t>World</w:t>
      </w:r>
      <w:r>
        <w:t xml:space="preserve"> Bank IEG, Washington DC, 2008.</w:t>
      </w:r>
    </w:p>
  </w:endnote>
  <w:endnote w:id="26">
    <w:p w14:paraId="414129FD" w14:textId="77777777" w:rsidR="00CD4AF2" w:rsidRDefault="00CD4AF2" w:rsidP="00C959D9">
      <w:pPr>
        <w:pStyle w:val="EndnoteText"/>
        <w:ind w:left="426" w:hanging="426"/>
      </w:pPr>
      <w:r>
        <w:rPr>
          <w:rStyle w:val="EndnoteReference"/>
        </w:rPr>
        <w:endnoteRef/>
      </w:r>
      <w:r>
        <w:t xml:space="preserve"> </w:t>
      </w:r>
      <w:r>
        <w:tab/>
        <w:t xml:space="preserve">Education Resource Facility, </w:t>
      </w:r>
      <w:r w:rsidRPr="00AF6A11">
        <w:rPr>
          <w:i/>
        </w:rPr>
        <w:t>Working through partner government systems in the education sector,</w:t>
      </w:r>
      <w:r>
        <w:t xml:space="preserve"> ERF, Canberra, 2011.</w:t>
      </w:r>
    </w:p>
  </w:endnote>
  <w:endnote w:id="27">
    <w:p w14:paraId="7BF4ADFE" w14:textId="77777777" w:rsidR="00CD4AF2" w:rsidRDefault="00CD4AF2" w:rsidP="00C959D9">
      <w:pPr>
        <w:pStyle w:val="EndnoteText"/>
        <w:ind w:left="426" w:hanging="426"/>
      </w:pPr>
      <w:r>
        <w:rPr>
          <w:rStyle w:val="EndnoteReference"/>
        </w:rPr>
        <w:endnoteRef/>
      </w:r>
      <w:r>
        <w:t xml:space="preserve"> </w:t>
      </w:r>
      <w:r>
        <w:tab/>
        <w:t xml:space="preserve">SDC, 2011. </w:t>
      </w:r>
    </w:p>
  </w:endnote>
  <w:endnote w:id="28">
    <w:p w14:paraId="74C3D65E" w14:textId="77777777" w:rsidR="00CD4AF2" w:rsidRDefault="00CD4AF2" w:rsidP="00C959D9">
      <w:pPr>
        <w:pStyle w:val="EndnoteText"/>
        <w:ind w:left="426" w:hanging="426"/>
      </w:pPr>
      <w:r>
        <w:rPr>
          <w:rStyle w:val="EndnoteReference"/>
        </w:rPr>
        <w:endnoteRef/>
      </w:r>
      <w:r w:rsidRPr="00762175">
        <w:rPr>
          <w:sz w:val="18"/>
        </w:rPr>
        <w:t xml:space="preserve"> </w:t>
      </w:r>
      <w:r>
        <w:rPr>
          <w:sz w:val="18"/>
        </w:rPr>
        <w:tab/>
      </w:r>
      <w:r w:rsidRPr="00762175">
        <w:t>World Bank</w:t>
      </w:r>
      <w:r>
        <w:t>, 2004</w:t>
      </w:r>
      <w:r w:rsidRPr="00762175">
        <w:t>;</w:t>
      </w:r>
      <w:r>
        <w:t xml:space="preserve"> Australian Agency for International Development, </w:t>
      </w:r>
      <w:r w:rsidRPr="00AF6A11">
        <w:rPr>
          <w:i/>
        </w:rPr>
        <w:t>Papua New Guinea subnational strategy mid-term review,</w:t>
      </w:r>
      <w:r w:rsidRPr="009F7985">
        <w:t xml:space="preserve"> </w:t>
      </w:r>
      <w:r w:rsidRPr="00762175">
        <w:t>AusAID</w:t>
      </w:r>
      <w:r>
        <w:t xml:space="preserve">, Canberra, </w:t>
      </w:r>
      <w:r w:rsidRPr="00762175">
        <w:t>2010</w:t>
      </w:r>
      <w:r>
        <w:t>.</w:t>
      </w:r>
    </w:p>
  </w:endnote>
  <w:endnote w:id="29">
    <w:p w14:paraId="62E8759E" w14:textId="77777777" w:rsidR="00CD4AF2" w:rsidRDefault="00CD4AF2" w:rsidP="00C959D9">
      <w:pPr>
        <w:pStyle w:val="EndnoteText"/>
        <w:ind w:left="426" w:hanging="426"/>
      </w:pPr>
      <w:r>
        <w:rPr>
          <w:rStyle w:val="EndnoteReference"/>
        </w:rPr>
        <w:endnoteRef/>
      </w:r>
      <w:r>
        <w:t xml:space="preserve"> </w:t>
      </w:r>
      <w:r>
        <w:tab/>
        <w:t xml:space="preserve">E </w:t>
      </w:r>
      <w:proofErr w:type="spellStart"/>
      <w:r>
        <w:t>Chattoe</w:t>
      </w:r>
      <w:proofErr w:type="spellEnd"/>
      <w:r>
        <w:t>-Brown,</w:t>
      </w:r>
      <w:r w:rsidRPr="000609C6">
        <w:t xml:space="preserve"> </w:t>
      </w:r>
      <w:r w:rsidRPr="00AF6A11">
        <w:rPr>
          <w:i/>
        </w:rPr>
        <w:t xml:space="preserve">Comparison of issues highlighted in the paper </w:t>
      </w:r>
      <w:r>
        <w:rPr>
          <w:i/>
        </w:rPr>
        <w:t>‘</w:t>
      </w:r>
      <w:r w:rsidRPr="00AF6A11">
        <w:rPr>
          <w:i/>
        </w:rPr>
        <w:t>Working through partner government systems in the education sector</w:t>
      </w:r>
      <w:r>
        <w:rPr>
          <w:i/>
        </w:rPr>
        <w:t>’</w:t>
      </w:r>
      <w:r w:rsidRPr="00AF6A11">
        <w:rPr>
          <w:i/>
        </w:rPr>
        <w:t xml:space="preserve"> with the health sector.</w:t>
      </w:r>
      <w:r w:rsidRPr="000609C6">
        <w:t xml:space="preserve"> AusAID Health Resource Facility</w:t>
      </w:r>
      <w:r>
        <w:t xml:space="preserve">, Canberra, </w:t>
      </w:r>
      <w:r w:rsidRPr="00B67143">
        <w:t>2013</w:t>
      </w:r>
      <w:r>
        <w:t>.</w:t>
      </w:r>
    </w:p>
  </w:endnote>
  <w:endnote w:id="30">
    <w:p w14:paraId="0AF51727" w14:textId="77777777" w:rsidR="00CD4AF2" w:rsidRDefault="00CD4AF2" w:rsidP="00C959D9">
      <w:pPr>
        <w:pStyle w:val="EndnoteText"/>
        <w:ind w:left="426" w:hanging="426"/>
      </w:pPr>
      <w:r>
        <w:rPr>
          <w:rStyle w:val="EndnoteReference"/>
        </w:rPr>
        <w:endnoteRef/>
      </w:r>
      <w:r>
        <w:t xml:space="preserve"> </w:t>
      </w:r>
      <w:r>
        <w:tab/>
        <w:t xml:space="preserve">E </w:t>
      </w:r>
      <w:proofErr w:type="spellStart"/>
      <w:r>
        <w:t>Chattoe</w:t>
      </w:r>
      <w:proofErr w:type="spellEnd"/>
      <w:r>
        <w:t>-Brown,</w:t>
      </w:r>
      <w:r w:rsidRPr="000609C6">
        <w:t xml:space="preserve"> 2013</w:t>
      </w:r>
      <w:r>
        <w:t>.</w:t>
      </w:r>
    </w:p>
  </w:endnote>
  <w:endnote w:id="31">
    <w:p w14:paraId="7785E418" w14:textId="77777777" w:rsidR="00CD4AF2" w:rsidRPr="009A07C4" w:rsidRDefault="00CD4AF2" w:rsidP="00C959D9">
      <w:pPr>
        <w:pStyle w:val="EndnoteText"/>
        <w:ind w:left="426" w:hanging="426"/>
        <w:rPr>
          <w:rFonts w:ascii="Arial" w:hAnsi="Arial" w:cs="Arial"/>
        </w:rPr>
      </w:pPr>
      <w:r w:rsidRPr="009A07C4">
        <w:rPr>
          <w:rStyle w:val="EndnoteReference"/>
          <w:rFonts w:ascii="Arial" w:hAnsi="Arial" w:cs="Arial"/>
        </w:rPr>
        <w:endnoteRef/>
      </w:r>
      <w:r w:rsidRPr="009A07C4">
        <w:rPr>
          <w:rFonts w:ascii="Arial" w:hAnsi="Arial" w:cs="Arial"/>
        </w:rPr>
        <w:t xml:space="preserve"> </w:t>
      </w:r>
      <w:r>
        <w:rPr>
          <w:rFonts w:ascii="Arial" w:hAnsi="Arial" w:cs="Arial"/>
        </w:rPr>
        <w:tab/>
      </w:r>
      <w:r w:rsidRPr="00BA43B9">
        <w:t>See Global Fund grant proposals at</w:t>
      </w:r>
      <w:r w:rsidRPr="009A07C4">
        <w:rPr>
          <w:rFonts w:ascii="Arial" w:hAnsi="Arial" w:cs="Arial"/>
        </w:rPr>
        <w:t xml:space="preserve"> </w:t>
      </w:r>
      <w:hyperlink r:id="rId1" w:history="1">
        <w:r w:rsidRPr="00BA43B9">
          <w:rPr>
            <w:rStyle w:val="Hyperlink"/>
          </w:rPr>
          <w:t>http://portfolio.theglobalfund.org/en/Country/Index/IDN</w:t>
        </w:r>
      </w:hyperlink>
      <w:r>
        <w:rPr>
          <w:rStyle w:val="Hyperlink"/>
        </w:rPr>
        <w:t>.</w:t>
      </w:r>
      <w:r w:rsidRPr="009A07C4">
        <w:rPr>
          <w:rFonts w:ascii="Arial" w:hAnsi="Arial" w:cs="Arial"/>
        </w:rPr>
        <w:t xml:space="preserve"> </w:t>
      </w:r>
    </w:p>
  </w:endnote>
  <w:endnote w:id="32">
    <w:p w14:paraId="668C5E02" w14:textId="77777777" w:rsidR="00CD4AF2" w:rsidRDefault="00CD4AF2" w:rsidP="00C959D9">
      <w:pPr>
        <w:pStyle w:val="EndnoteText"/>
        <w:ind w:left="426" w:hanging="426"/>
      </w:pPr>
      <w:r>
        <w:rPr>
          <w:rStyle w:val="EndnoteReference"/>
        </w:rPr>
        <w:endnoteRef/>
      </w:r>
      <w:r>
        <w:t xml:space="preserve"> </w:t>
      </w:r>
      <w:r>
        <w:tab/>
        <w:t xml:space="preserve">J </w:t>
      </w:r>
      <w:r w:rsidRPr="00AD0570">
        <w:rPr>
          <w:lang w:eastAsia="en-GB"/>
        </w:rPr>
        <w:t>Eldon</w:t>
      </w:r>
      <w:r>
        <w:rPr>
          <w:lang w:eastAsia="en-GB"/>
        </w:rPr>
        <w:t xml:space="preserve"> &amp; C</w:t>
      </w:r>
      <w:r w:rsidRPr="00AD0570">
        <w:rPr>
          <w:lang w:eastAsia="en-GB"/>
        </w:rPr>
        <w:t xml:space="preserve"> Waddington</w:t>
      </w:r>
      <w:r>
        <w:rPr>
          <w:lang w:eastAsia="en-GB"/>
        </w:rPr>
        <w:t>,</w:t>
      </w:r>
      <w:r w:rsidRPr="00AD0570">
        <w:rPr>
          <w:lang w:eastAsia="en-GB"/>
        </w:rPr>
        <w:t xml:space="preserve"> </w:t>
      </w:r>
      <w:r w:rsidRPr="00C615DC">
        <w:rPr>
          <w:i/>
          <w:lang w:eastAsia="en-GB"/>
        </w:rPr>
        <w:t>Federalism, sub-national financing and aid effectiveness,</w:t>
      </w:r>
      <w:r w:rsidRPr="00AD0570">
        <w:rPr>
          <w:lang w:eastAsia="en-GB"/>
        </w:rPr>
        <w:t xml:space="preserve"> HLSP Institute</w:t>
      </w:r>
      <w:r>
        <w:rPr>
          <w:lang w:eastAsia="en-GB"/>
        </w:rPr>
        <w:t xml:space="preserve">, London, </w:t>
      </w:r>
      <w:r w:rsidRPr="00AD0570">
        <w:rPr>
          <w:lang w:eastAsia="en-GB"/>
        </w:rPr>
        <w:t>2007</w:t>
      </w:r>
      <w:r>
        <w:rPr>
          <w:lang w:eastAsia="en-GB"/>
        </w:rPr>
        <w:t>.</w:t>
      </w:r>
    </w:p>
  </w:endnote>
  <w:endnote w:id="33">
    <w:p w14:paraId="31FF6525" w14:textId="77777777" w:rsidR="00CD4AF2" w:rsidRDefault="00CD4AF2" w:rsidP="00C959D9">
      <w:pPr>
        <w:pStyle w:val="EndnoteText"/>
        <w:ind w:left="426" w:hanging="426"/>
      </w:pPr>
      <w:r>
        <w:rPr>
          <w:rStyle w:val="EndnoteReference"/>
        </w:rPr>
        <w:endnoteRef/>
      </w:r>
      <w:r>
        <w:t xml:space="preserve"> </w:t>
      </w:r>
      <w:r>
        <w:tab/>
        <w:t xml:space="preserve">E </w:t>
      </w:r>
      <w:proofErr w:type="spellStart"/>
      <w:r>
        <w:t>Chattoe</w:t>
      </w:r>
      <w:proofErr w:type="spellEnd"/>
      <w:r>
        <w:t>-Brown,</w:t>
      </w:r>
      <w:r w:rsidRPr="000609C6">
        <w:t xml:space="preserve"> 2013</w:t>
      </w:r>
      <w:r>
        <w:t>.</w:t>
      </w:r>
    </w:p>
  </w:endnote>
  <w:endnote w:id="34">
    <w:p w14:paraId="2DD7FDEE" w14:textId="77777777" w:rsidR="00CD4AF2" w:rsidRDefault="00CD4AF2" w:rsidP="00C959D9">
      <w:pPr>
        <w:pStyle w:val="EndnoteText"/>
        <w:ind w:left="426" w:hanging="426"/>
      </w:pPr>
      <w:r>
        <w:rPr>
          <w:rStyle w:val="EndnoteReference"/>
        </w:rPr>
        <w:endnoteRef/>
      </w:r>
      <w:r>
        <w:t xml:space="preserve"> </w:t>
      </w:r>
      <w:r>
        <w:tab/>
        <w:t xml:space="preserve">R </w:t>
      </w:r>
      <w:proofErr w:type="spellStart"/>
      <w:r>
        <w:t>Lakshminarayanan</w:t>
      </w:r>
      <w:proofErr w:type="spellEnd"/>
      <w:r>
        <w:t>,</w:t>
      </w:r>
      <w:r w:rsidRPr="005D4358">
        <w:t xml:space="preserve"> Decentralisation and its implications for reproductive health: The Philippines experience</w:t>
      </w:r>
      <w:r>
        <w:t>,</w:t>
      </w:r>
      <w:r w:rsidRPr="005D4358">
        <w:t xml:space="preserve"> </w:t>
      </w:r>
      <w:r w:rsidRPr="00AF6A11">
        <w:rPr>
          <w:i/>
        </w:rPr>
        <w:t>Reproductive Health Matters</w:t>
      </w:r>
      <w:r w:rsidRPr="005D4358">
        <w:t xml:space="preserve"> 11(21):96-107</w:t>
      </w:r>
      <w:r>
        <w:t xml:space="preserve">, </w:t>
      </w:r>
      <w:r w:rsidRPr="00CB4CA7">
        <w:t>2003</w:t>
      </w:r>
      <w:r>
        <w:t>;</w:t>
      </w:r>
      <w:r w:rsidRPr="005D4358">
        <w:t xml:space="preserve"> </w:t>
      </w:r>
      <w:r>
        <w:t xml:space="preserve">as cited in C </w:t>
      </w:r>
      <w:r w:rsidRPr="005D4358">
        <w:t>Dickinson</w:t>
      </w:r>
      <w:r>
        <w:t>,</w:t>
      </w:r>
      <w:r w:rsidRPr="005D4358">
        <w:t xml:space="preserve"> </w:t>
      </w:r>
      <w:r w:rsidRPr="00AF6A11">
        <w:rPr>
          <w:i/>
        </w:rPr>
        <w:t xml:space="preserve">Summary of key literature on health services and decentralisation relevant to AusAID global programming. </w:t>
      </w:r>
      <w:r w:rsidRPr="005D4358">
        <w:t>AusAID Health Resource Facility</w:t>
      </w:r>
      <w:r>
        <w:t xml:space="preserve">, </w:t>
      </w:r>
      <w:r w:rsidRPr="00CB4CA7">
        <w:t>2013</w:t>
      </w:r>
      <w:r>
        <w:t>.</w:t>
      </w:r>
    </w:p>
  </w:endnote>
  <w:endnote w:id="35">
    <w:p w14:paraId="523563DC" w14:textId="77777777" w:rsidR="00CD4AF2" w:rsidRDefault="00CD4AF2" w:rsidP="00C959D9">
      <w:pPr>
        <w:pStyle w:val="EndnoteText"/>
        <w:ind w:left="426" w:hanging="426"/>
      </w:pPr>
      <w:r>
        <w:rPr>
          <w:rStyle w:val="EndnoteReference"/>
        </w:rPr>
        <w:endnoteRef/>
      </w:r>
      <w:r>
        <w:t xml:space="preserve"> </w:t>
      </w:r>
      <w:r>
        <w:tab/>
      </w:r>
      <w:r w:rsidRPr="00AF6A11">
        <w:rPr>
          <w:bCs/>
        </w:rPr>
        <w:t>Organisation for Economic Co-operation and Development</w:t>
      </w:r>
      <w:r>
        <w:rPr>
          <w:bCs/>
        </w:rPr>
        <w:t xml:space="preserve">, </w:t>
      </w:r>
      <w:r w:rsidRPr="00C615DC">
        <w:rPr>
          <w:bCs/>
          <w:i/>
        </w:rPr>
        <w:t xml:space="preserve">Decentralisation in Asian health sectors: friend of foe? </w:t>
      </w:r>
      <w:r w:rsidRPr="005D4358">
        <w:rPr>
          <w:bCs/>
        </w:rPr>
        <w:t xml:space="preserve">Policy Insights No 18, </w:t>
      </w:r>
      <w:r>
        <w:rPr>
          <w:bCs/>
        </w:rPr>
        <w:t xml:space="preserve">OECD, Paris, </w:t>
      </w:r>
      <w:r w:rsidRPr="005D4358">
        <w:rPr>
          <w:bCs/>
        </w:rPr>
        <w:t>2006</w:t>
      </w:r>
      <w:r>
        <w:rPr>
          <w:bCs/>
        </w:rPr>
        <w:t>, as cited in Dickinson,</w:t>
      </w:r>
      <w:r w:rsidRPr="005D4358">
        <w:rPr>
          <w:bCs/>
        </w:rPr>
        <w:t xml:space="preserve"> 2013</w:t>
      </w:r>
      <w:r>
        <w:rPr>
          <w:bCs/>
        </w:rPr>
        <w:t>.</w:t>
      </w:r>
    </w:p>
  </w:endnote>
  <w:endnote w:id="36">
    <w:p w14:paraId="6544C4F0" w14:textId="77777777" w:rsidR="00CD4AF2" w:rsidRDefault="00CD4AF2" w:rsidP="00C959D9">
      <w:pPr>
        <w:pStyle w:val="EndnoteText"/>
        <w:ind w:left="426" w:hanging="426"/>
      </w:pPr>
      <w:r>
        <w:rPr>
          <w:rStyle w:val="EndnoteReference"/>
        </w:rPr>
        <w:endnoteRef/>
      </w:r>
      <w:r>
        <w:t xml:space="preserve"> </w:t>
      </w:r>
      <w:r>
        <w:tab/>
        <w:t xml:space="preserve">E </w:t>
      </w:r>
      <w:proofErr w:type="spellStart"/>
      <w:r>
        <w:t>Chattoe</w:t>
      </w:r>
      <w:proofErr w:type="spellEnd"/>
      <w:r>
        <w:t>-Brown,</w:t>
      </w:r>
      <w:r w:rsidRPr="000609C6">
        <w:t xml:space="preserve"> 2013</w:t>
      </w:r>
      <w:r>
        <w:t>.</w:t>
      </w:r>
    </w:p>
  </w:endnote>
  <w:endnote w:id="37">
    <w:p w14:paraId="1A44191C" w14:textId="77777777" w:rsidR="00CD4AF2" w:rsidRDefault="00CD4AF2" w:rsidP="00C959D9">
      <w:pPr>
        <w:pStyle w:val="EndnoteText"/>
        <w:ind w:left="426" w:hanging="426"/>
      </w:pPr>
      <w:r>
        <w:rPr>
          <w:rStyle w:val="EndnoteReference"/>
        </w:rPr>
        <w:endnoteRef/>
      </w:r>
      <w:r>
        <w:t xml:space="preserve"> </w:t>
      </w:r>
      <w:r>
        <w:tab/>
      </w:r>
      <w:r w:rsidRPr="005D4358">
        <w:t>Partners for Health Reform Plus</w:t>
      </w:r>
      <w:r>
        <w:t>,</w:t>
      </w:r>
      <w:r w:rsidRPr="00AF6A11">
        <w:rPr>
          <w:i/>
        </w:rPr>
        <w:t xml:space="preserve"> Monitoring and evaluation of decentralisation reforms in developing country health sectors</w:t>
      </w:r>
      <w:r>
        <w:t xml:space="preserve">, </w:t>
      </w:r>
      <w:r w:rsidRPr="00B07EC7">
        <w:t>2004</w:t>
      </w:r>
      <w:r>
        <w:t>,</w:t>
      </w:r>
      <w:r w:rsidRPr="005D4358">
        <w:t xml:space="preserve"> </w:t>
      </w:r>
      <w:r>
        <w:rPr>
          <w:bCs/>
        </w:rPr>
        <w:t>as cited in Dickinson</w:t>
      </w:r>
      <w:r w:rsidRPr="005D4358">
        <w:rPr>
          <w:bCs/>
        </w:rPr>
        <w:t xml:space="preserve"> 2013</w:t>
      </w:r>
      <w:r>
        <w:rPr>
          <w:bCs/>
        </w:rPr>
        <w:t>.</w:t>
      </w:r>
    </w:p>
  </w:endnote>
  <w:endnote w:id="38">
    <w:p w14:paraId="41840C8E" w14:textId="77777777" w:rsidR="00CD4AF2" w:rsidRDefault="00CD4AF2" w:rsidP="00C959D9">
      <w:pPr>
        <w:pStyle w:val="EndnoteText"/>
        <w:ind w:left="426" w:hanging="426"/>
      </w:pPr>
      <w:r>
        <w:rPr>
          <w:rStyle w:val="EndnoteReference"/>
        </w:rPr>
        <w:endnoteRef/>
      </w:r>
      <w:r>
        <w:t xml:space="preserve"> </w:t>
      </w:r>
      <w:r>
        <w:tab/>
      </w:r>
      <w:r w:rsidRPr="005D4358">
        <w:t>Partners for Health Reform Plus</w:t>
      </w:r>
      <w:r>
        <w:t>,</w:t>
      </w:r>
      <w:r w:rsidRPr="005D4358">
        <w:t xml:space="preserve"> 2004</w:t>
      </w:r>
      <w:r>
        <w:t xml:space="preserve">, </w:t>
      </w:r>
      <w:r>
        <w:rPr>
          <w:bCs/>
        </w:rPr>
        <w:t xml:space="preserve">as cited in Dickinson, </w:t>
      </w:r>
      <w:r w:rsidRPr="005D4358">
        <w:rPr>
          <w:bCs/>
        </w:rPr>
        <w:t>2013</w:t>
      </w:r>
      <w:r>
        <w:rPr>
          <w:bCs/>
        </w:rPr>
        <w:t>.</w:t>
      </w:r>
    </w:p>
  </w:endnote>
  <w:endnote w:id="39">
    <w:p w14:paraId="01E28512" w14:textId="77777777" w:rsidR="00CD4AF2" w:rsidRDefault="00CD4AF2" w:rsidP="00C959D9">
      <w:pPr>
        <w:pStyle w:val="EndnoteText"/>
        <w:ind w:left="426" w:hanging="426"/>
      </w:pPr>
      <w:r>
        <w:rPr>
          <w:rStyle w:val="EndnoteReference"/>
        </w:rPr>
        <w:endnoteRef/>
      </w:r>
      <w:r>
        <w:t xml:space="preserve"> </w:t>
      </w:r>
      <w:r>
        <w:tab/>
        <w:t xml:space="preserve">World Bank, </w:t>
      </w:r>
      <w:r w:rsidRPr="00C615DC">
        <w:rPr>
          <w:i/>
        </w:rPr>
        <w:t>Background paper on the private health sector in Papua New Guinea,</w:t>
      </w:r>
      <w:r>
        <w:t xml:space="preserve"> World Bank, Washington DC, 2013.</w:t>
      </w:r>
    </w:p>
  </w:endnote>
  <w:endnote w:id="40">
    <w:p w14:paraId="6A17C313" w14:textId="77777777" w:rsidR="00CD4AF2" w:rsidRDefault="00CD4AF2" w:rsidP="00C959D9">
      <w:pPr>
        <w:pStyle w:val="EndnoteText"/>
        <w:ind w:left="426" w:hanging="426"/>
      </w:pPr>
      <w:r>
        <w:rPr>
          <w:rStyle w:val="EndnoteReference"/>
        </w:rPr>
        <w:endnoteRef/>
      </w:r>
      <w:r>
        <w:t xml:space="preserve"> </w:t>
      </w:r>
      <w:r>
        <w:tab/>
        <w:t xml:space="preserve">Australian Agency for International Development, </w:t>
      </w:r>
      <w:r w:rsidRPr="003E23F3">
        <w:rPr>
          <w:i/>
        </w:rPr>
        <w:t>Saving lives</w:t>
      </w:r>
      <w:r>
        <w:rPr>
          <w:i/>
        </w:rPr>
        <w:t>:</w:t>
      </w:r>
      <w:r w:rsidRPr="003E23F3">
        <w:rPr>
          <w:i/>
        </w:rPr>
        <w:t xml:space="preserve"> </w:t>
      </w:r>
      <w:r>
        <w:rPr>
          <w:i/>
        </w:rPr>
        <w:t>i</w:t>
      </w:r>
      <w:r w:rsidRPr="003E23F3">
        <w:rPr>
          <w:i/>
        </w:rPr>
        <w:t xml:space="preserve">mproving the health of the world’s poor, </w:t>
      </w:r>
      <w:r w:rsidRPr="00541B80">
        <w:t>AusAID</w:t>
      </w:r>
      <w:r>
        <w:t>, Canberra,</w:t>
      </w:r>
      <w:r w:rsidRPr="00541B80">
        <w:t xml:space="preserve"> 2011</w:t>
      </w:r>
      <w:r>
        <w:t>.</w:t>
      </w:r>
    </w:p>
  </w:endnote>
  <w:endnote w:id="41">
    <w:p w14:paraId="2CA3B14F" w14:textId="77777777" w:rsidR="00CD4AF2" w:rsidRDefault="00CD4AF2" w:rsidP="00C959D9">
      <w:pPr>
        <w:pStyle w:val="EndnoteText"/>
        <w:ind w:left="426" w:hanging="426"/>
      </w:pPr>
      <w:r>
        <w:rPr>
          <w:rStyle w:val="EndnoteReference"/>
        </w:rPr>
        <w:endnoteRef/>
      </w:r>
      <w:r>
        <w:t xml:space="preserve"> </w:t>
      </w:r>
      <w:r>
        <w:tab/>
        <w:t xml:space="preserve">Australian Agency for International Development, </w:t>
      </w:r>
      <w:r w:rsidRPr="003E23F3">
        <w:rPr>
          <w:i/>
        </w:rPr>
        <w:t xml:space="preserve">Strategic </w:t>
      </w:r>
      <w:r w:rsidRPr="00C655B1">
        <w:rPr>
          <w:i/>
        </w:rPr>
        <w:t xml:space="preserve">review </w:t>
      </w:r>
      <w:r w:rsidRPr="003E23F3">
        <w:rPr>
          <w:i/>
        </w:rPr>
        <w:t xml:space="preserve">of Australia Indonesia </w:t>
      </w:r>
      <w:r w:rsidRPr="00C655B1">
        <w:rPr>
          <w:i/>
        </w:rPr>
        <w:t xml:space="preserve">partnership for maternal and neonatal health, </w:t>
      </w:r>
      <w:r w:rsidRPr="003E23F3">
        <w:rPr>
          <w:i/>
        </w:rPr>
        <w:t>2012</w:t>
      </w:r>
      <w:r>
        <w:t xml:space="preserve">, AusAID, Canberra, </w:t>
      </w:r>
      <w:r w:rsidRPr="003E5A75">
        <w:t>2012</w:t>
      </w:r>
      <w:r>
        <w:t>.</w:t>
      </w:r>
    </w:p>
  </w:endnote>
  <w:endnote w:id="42">
    <w:p w14:paraId="1ED5E26B" w14:textId="77777777" w:rsidR="00CD4AF2" w:rsidRDefault="00CD4AF2" w:rsidP="00C959D9">
      <w:pPr>
        <w:pStyle w:val="EndnoteText"/>
        <w:ind w:left="426" w:hanging="426"/>
      </w:pPr>
      <w:r>
        <w:rPr>
          <w:rStyle w:val="EndnoteReference"/>
        </w:rPr>
        <w:endnoteRef/>
      </w:r>
      <w:r>
        <w:t xml:space="preserve"> </w:t>
      </w:r>
      <w:r>
        <w:tab/>
        <w:t xml:space="preserve">Australian Agency for International Development, </w:t>
      </w:r>
      <w:r w:rsidRPr="003E23F3">
        <w:rPr>
          <w:i/>
        </w:rPr>
        <w:t>Australia</w:t>
      </w:r>
      <w:r>
        <w:rPr>
          <w:i/>
        </w:rPr>
        <w:t>–</w:t>
      </w:r>
      <w:r w:rsidRPr="003E23F3">
        <w:rPr>
          <w:i/>
        </w:rPr>
        <w:t>Indonesia partnership for maternal and neonatal health, program design,</w:t>
      </w:r>
      <w:r>
        <w:t xml:space="preserve"> AusAID, Canberra, </w:t>
      </w:r>
      <w:r w:rsidRPr="003E5A75">
        <w:t>2008</w:t>
      </w:r>
      <w:r>
        <w:t>.</w:t>
      </w:r>
    </w:p>
  </w:endnote>
  <w:endnote w:id="43">
    <w:p w14:paraId="0E5BD7A0" w14:textId="0E469FE0" w:rsidR="00CD4AF2" w:rsidRDefault="00CD4AF2" w:rsidP="00C959D9">
      <w:pPr>
        <w:pStyle w:val="EndnoteText"/>
        <w:ind w:left="426" w:hanging="426"/>
      </w:pPr>
      <w:r>
        <w:rPr>
          <w:rStyle w:val="EndnoteReference"/>
        </w:rPr>
        <w:endnoteRef/>
      </w:r>
      <w:r>
        <w:t xml:space="preserve"> </w:t>
      </w:r>
      <w:r>
        <w:tab/>
        <w:t xml:space="preserve">AusAID, </w:t>
      </w:r>
      <w:r w:rsidRPr="003E23F3">
        <w:rPr>
          <w:i/>
        </w:rPr>
        <w:t>Australia</w:t>
      </w:r>
      <w:r>
        <w:rPr>
          <w:i/>
        </w:rPr>
        <w:t>–</w:t>
      </w:r>
      <w:r w:rsidRPr="003E23F3">
        <w:rPr>
          <w:i/>
        </w:rPr>
        <w:t>Indonesia partnership</w:t>
      </w:r>
      <w:r w:rsidRPr="009371AA">
        <w:rPr>
          <w:i/>
        </w:rPr>
        <w:t xml:space="preserve"> </w:t>
      </w:r>
      <w:r w:rsidRPr="001E49BC">
        <w:rPr>
          <w:i/>
        </w:rPr>
        <w:t>for maternal and neonatal health</w:t>
      </w:r>
      <w:r>
        <w:rPr>
          <w:i/>
        </w:rPr>
        <w:t>,</w:t>
      </w:r>
      <w:r w:rsidRPr="009371AA">
        <w:rPr>
          <w:i/>
        </w:rPr>
        <w:t xml:space="preserve"> </w:t>
      </w:r>
      <w:r w:rsidRPr="001E49BC">
        <w:rPr>
          <w:i/>
        </w:rPr>
        <w:t>program design</w:t>
      </w:r>
      <w:r>
        <w:rPr>
          <w:i/>
        </w:rPr>
        <w:t>,</w:t>
      </w:r>
      <w:r>
        <w:t xml:space="preserve"> </w:t>
      </w:r>
      <w:r w:rsidRPr="003E5A75">
        <w:t>2008</w:t>
      </w:r>
      <w:r>
        <w:t>.</w:t>
      </w:r>
    </w:p>
  </w:endnote>
  <w:endnote w:id="44">
    <w:p w14:paraId="746BC3CD" w14:textId="46701A0F" w:rsidR="00CD4AF2" w:rsidRPr="00D12896" w:rsidRDefault="00CD4AF2" w:rsidP="00C959D9">
      <w:pPr>
        <w:pStyle w:val="EndnoteText"/>
        <w:ind w:left="426" w:hanging="426"/>
        <w:rPr>
          <w:szCs w:val="16"/>
        </w:rPr>
      </w:pPr>
      <w:r w:rsidRPr="00D12896">
        <w:rPr>
          <w:rStyle w:val="EndnoteReference"/>
          <w:szCs w:val="16"/>
        </w:rPr>
        <w:endnoteRef/>
      </w:r>
      <w:r w:rsidRPr="00D12896">
        <w:rPr>
          <w:szCs w:val="16"/>
        </w:rPr>
        <w:t xml:space="preserve"> </w:t>
      </w:r>
      <w:r>
        <w:rPr>
          <w:szCs w:val="16"/>
        </w:rPr>
        <w:tab/>
      </w:r>
      <w:r>
        <w:t xml:space="preserve">Australian Agency for International Development, </w:t>
      </w:r>
      <w:r w:rsidRPr="001E49BC">
        <w:rPr>
          <w:i/>
        </w:rPr>
        <w:t>Australia</w:t>
      </w:r>
      <w:r>
        <w:rPr>
          <w:i/>
        </w:rPr>
        <w:t>–</w:t>
      </w:r>
      <w:r w:rsidRPr="009371AA">
        <w:rPr>
          <w:i/>
        </w:rPr>
        <w:t>Indonesia partnership for maternal and neonatal health,</w:t>
      </w:r>
      <w:r>
        <w:rPr>
          <w:i/>
          <w:szCs w:val="16"/>
        </w:rPr>
        <w:t xml:space="preserve"> </w:t>
      </w:r>
      <w:r w:rsidRPr="009371AA">
        <w:rPr>
          <w:i/>
          <w:szCs w:val="16"/>
        </w:rPr>
        <w:t xml:space="preserve">life of program plan, </w:t>
      </w:r>
      <w:r w:rsidRPr="003E23F3">
        <w:rPr>
          <w:i/>
          <w:szCs w:val="16"/>
        </w:rPr>
        <w:t>July 2011–June 2013,</w:t>
      </w:r>
      <w:r w:rsidRPr="00D12896">
        <w:rPr>
          <w:szCs w:val="16"/>
        </w:rPr>
        <w:t xml:space="preserve"> </w:t>
      </w:r>
      <w:r>
        <w:rPr>
          <w:szCs w:val="16"/>
        </w:rPr>
        <w:t xml:space="preserve">AusAID, Canberra, </w:t>
      </w:r>
      <w:r w:rsidRPr="003E5A75">
        <w:rPr>
          <w:szCs w:val="16"/>
        </w:rPr>
        <w:t>2011</w:t>
      </w:r>
      <w:r>
        <w:rPr>
          <w:szCs w:val="16"/>
        </w:rPr>
        <w:t>.</w:t>
      </w:r>
    </w:p>
  </w:endnote>
  <w:endnote w:id="45">
    <w:p w14:paraId="654395E4" w14:textId="0E9DD422" w:rsidR="00CD4AF2" w:rsidRPr="00D12896" w:rsidRDefault="00CD4AF2" w:rsidP="00C959D9">
      <w:pPr>
        <w:pStyle w:val="EndnoteText"/>
        <w:ind w:left="426" w:hanging="426"/>
        <w:rPr>
          <w:szCs w:val="16"/>
        </w:rPr>
      </w:pPr>
      <w:r w:rsidRPr="00D12896">
        <w:rPr>
          <w:rStyle w:val="EndnoteReference"/>
          <w:szCs w:val="16"/>
        </w:rPr>
        <w:endnoteRef/>
      </w:r>
      <w:r w:rsidRPr="00D12896">
        <w:rPr>
          <w:szCs w:val="16"/>
        </w:rPr>
        <w:t xml:space="preserve"> </w:t>
      </w:r>
      <w:r>
        <w:rPr>
          <w:szCs w:val="16"/>
        </w:rPr>
        <w:tab/>
      </w:r>
      <w:r>
        <w:t>AusAID</w:t>
      </w:r>
      <w:r>
        <w:rPr>
          <w:szCs w:val="16"/>
        </w:rPr>
        <w:t>,</w:t>
      </w:r>
      <w:r w:rsidRPr="00D12896">
        <w:rPr>
          <w:szCs w:val="16"/>
        </w:rPr>
        <w:t xml:space="preserve"> </w:t>
      </w:r>
      <w:r w:rsidRPr="001E49BC">
        <w:rPr>
          <w:i/>
        </w:rPr>
        <w:t>Australia</w:t>
      </w:r>
      <w:r>
        <w:rPr>
          <w:i/>
        </w:rPr>
        <w:t>–</w:t>
      </w:r>
      <w:r w:rsidRPr="001E49BC">
        <w:rPr>
          <w:i/>
        </w:rPr>
        <w:t>Indonesia partnership</w:t>
      </w:r>
      <w:r w:rsidRPr="009371AA">
        <w:rPr>
          <w:i/>
        </w:rPr>
        <w:t xml:space="preserve"> </w:t>
      </w:r>
      <w:r w:rsidRPr="001E49BC">
        <w:rPr>
          <w:i/>
        </w:rPr>
        <w:t>for maternal and neonatal health</w:t>
      </w:r>
      <w:r w:rsidRPr="00D12896">
        <w:rPr>
          <w:szCs w:val="16"/>
        </w:rPr>
        <w:t>, 2011</w:t>
      </w:r>
      <w:r>
        <w:rPr>
          <w:szCs w:val="16"/>
        </w:rPr>
        <w:t xml:space="preserve">, </w:t>
      </w:r>
      <w:r w:rsidRPr="00D12896">
        <w:rPr>
          <w:szCs w:val="16"/>
        </w:rPr>
        <w:t>p</w:t>
      </w:r>
      <w:r>
        <w:rPr>
          <w:szCs w:val="16"/>
        </w:rPr>
        <w:t>.</w:t>
      </w:r>
      <w:r w:rsidRPr="00D12896">
        <w:rPr>
          <w:szCs w:val="16"/>
        </w:rPr>
        <w:t>13</w:t>
      </w:r>
      <w:r>
        <w:rPr>
          <w:szCs w:val="16"/>
        </w:rPr>
        <w:t>.</w:t>
      </w:r>
    </w:p>
  </w:endnote>
  <w:endnote w:id="46">
    <w:p w14:paraId="6CDA46EF" w14:textId="2F430FA5" w:rsidR="00CD4AF2" w:rsidRPr="00D12896" w:rsidRDefault="00CD4AF2" w:rsidP="00C959D9">
      <w:pPr>
        <w:pStyle w:val="EndnoteText"/>
        <w:ind w:left="426" w:hanging="426"/>
        <w:rPr>
          <w:szCs w:val="16"/>
        </w:rPr>
      </w:pPr>
      <w:r w:rsidRPr="00D12896">
        <w:rPr>
          <w:rStyle w:val="EndnoteReference"/>
          <w:szCs w:val="16"/>
        </w:rPr>
        <w:endnoteRef/>
      </w:r>
      <w:r w:rsidRPr="00D12896">
        <w:rPr>
          <w:szCs w:val="16"/>
        </w:rPr>
        <w:t xml:space="preserve"> </w:t>
      </w:r>
      <w:r>
        <w:rPr>
          <w:szCs w:val="16"/>
        </w:rPr>
        <w:tab/>
        <w:t>Health sector staff, personal communication, February 2014.</w:t>
      </w:r>
    </w:p>
  </w:endnote>
  <w:endnote w:id="47">
    <w:p w14:paraId="0CE02960" w14:textId="57DFDC57" w:rsidR="00CD4AF2" w:rsidRPr="00D12896" w:rsidRDefault="00CD4AF2" w:rsidP="00C959D9">
      <w:pPr>
        <w:pStyle w:val="EndnoteText"/>
        <w:ind w:left="426" w:hanging="426"/>
        <w:rPr>
          <w:szCs w:val="16"/>
        </w:rPr>
      </w:pPr>
      <w:r w:rsidRPr="00D12896">
        <w:rPr>
          <w:rStyle w:val="EndnoteReference"/>
          <w:szCs w:val="16"/>
        </w:rPr>
        <w:endnoteRef/>
      </w:r>
      <w:r w:rsidRPr="00D12896">
        <w:rPr>
          <w:szCs w:val="16"/>
        </w:rPr>
        <w:t xml:space="preserve"> </w:t>
      </w:r>
      <w:r>
        <w:rPr>
          <w:szCs w:val="16"/>
        </w:rPr>
        <w:tab/>
      </w:r>
      <w:r>
        <w:t xml:space="preserve">AusAID, </w:t>
      </w:r>
      <w:r w:rsidRPr="001E49BC">
        <w:rPr>
          <w:i/>
        </w:rPr>
        <w:t>Australia</w:t>
      </w:r>
      <w:r>
        <w:rPr>
          <w:i/>
        </w:rPr>
        <w:t>–</w:t>
      </w:r>
      <w:r w:rsidRPr="001E49BC">
        <w:rPr>
          <w:i/>
        </w:rPr>
        <w:t>Indonesia partnership</w:t>
      </w:r>
      <w:r w:rsidRPr="009371AA">
        <w:rPr>
          <w:i/>
        </w:rPr>
        <w:t xml:space="preserve"> </w:t>
      </w:r>
      <w:r w:rsidRPr="001E49BC">
        <w:rPr>
          <w:i/>
        </w:rPr>
        <w:t>for maternal and neonatal health</w:t>
      </w:r>
      <w:r>
        <w:rPr>
          <w:i/>
        </w:rPr>
        <w:t>,</w:t>
      </w:r>
      <w:r w:rsidRPr="009371AA">
        <w:rPr>
          <w:i/>
        </w:rPr>
        <w:t xml:space="preserve"> </w:t>
      </w:r>
      <w:r w:rsidRPr="001E49BC">
        <w:rPr>
          <w:i/>
        </w:rPr>
        <w:t>program design</w:t>
      </w:r>
      <w:r>
        <w:rPr>
          <w:i/>
        </w:rPr>
        <w:t xml:space="preserve">, </w:t>
      </w:r>
      <w:r w:rsidRPr="003E23F3">
        <w:t>2008.</w:t>
      </w:r>
    </w:p>
  </w:endnote>
  <w:endnote w:id="48">
    <w:p w14:paraId="0EA006BE" w14:textId="4214D417" w:rsidR="00CD4AF2" w:rsidRDefault="00CD4AF2" w:rsidP="00C959D9">
      <w:pPr>
        <w:pStyle w:val="EndnoteText"/>
        <w:ind w:left="426" w:hanging="426"/>
      </w:pPr>
      <w:r>
        <w:rPr>
          <w:rStyle w:val="EndnoteReference"/>
        </w:rPr>
        <w:endnoteRef/>
      </w:r>
      <w:r>
        <w:t xml:space="preserve"> </w:t>
      </w:r>
      <w:r>
        <w:tab/>
        <w:t>Health sector staff, personal communication, February 2014.</w:t>
      </w:r>
    </w:p>
  </w:endnote>
  <w:endnote w:id="49">
    <w:p w14:paraId="2C2F69B6" w14:textId="77777777" w:rsidR="00CD4AF2" w:rsidRDefault="00CD4AF2" w:rsidP="00C959D9">
      <w:pPr>
        <w:pStyle w:val="EndnoteText"/>
        <w:ind w:left="426" w:hanging="426"/>
      </w:pPr>
      <w:r>
        <w:rPr>
          <w:rStyle w:val="EndnoteReference"/>
        </w:rPr>
        <w:endnoteRef/>
      </w:r>
      <w:r>
        <w:t xml:space="preserve"> </w:t>
      </w:r>
      <w:r>
        <w:tab/>
        <w:t>Australian Agency for International Development,</w:t>
      </w:r>
      <w:r w:rsidRPr="009371AA">
        <w:rPr>
          <w:i/>
        </w:rPr>
        <w:t xml:space="preserve"> </w:t>
      </w:r>
      <w:r w:rsidRPr="001E49BC">
        <w:rPr>
          <w:i/>
        </w:rPr>
        <w:t>Australia</w:t>
      </w:r>
      <w:r>
        <w:rPr>
          <w:i/>
        </w:rPr>
        <w:t>–</w:t>
      </w:r>
      <w:r w:rsidRPr="009371AA">
        <w:rPr>
          <w:i/>
        </w:rPr>
        <w:t>Indonesia partnership, for maternal and neonatal health</w:t>
      </w:r>
      <w:r>
        <w:t xml:space="preserve"> </w:t>
      </w:r>
      <w:r w:rsidRPr="003E23F3">
        <w:rPr>
          <w:i/>
        </w:rPr>
        <w:t>quality at implementation report,</w:t>
      </w:r>
      <w:r>
        <w:t xml:space="preserve"> AusAID, Canberra, 2013.</w:t>
      </w:r>
    </w:p>
  </w:endnote>
  <w:endnote w:id="50">
    <w:p w14:paraId="31F737EB" w14:textId="34195212" w:rsidR="00CD4AF2" w:rsidRDefault="00CD4AF2" w:rsidP="00C959D9">
      <w:pPr>
        <w:pStyle w:val="EndnoteText"/>
        <w:ind w:left="426" w:hanging="426"/>
      </w:pPr>
      <w:r>
        <w:rPr>
          <w:rStyle w:val="EndnoteReference"/>
        </w:rPr>
        <w:endnoteRef/>
      </w:r>
      <w:r>
        <w:t xml:space="preserve"> </w:t>
      </w:r>
      <w:r>
        <w:tab/>
        <w:t>Health sector staff, personal communication, February 2014.</w:t>
      </w:r>
    </w:p>
  </w:endnote>
  <w:endnote w:id="51">
    <w:p w14:paraId="7429132D"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Australia</w:t>
      </w:r>
      <w:r>
        <w:rPr>
          <w:i/>
        </w:rPr>
        <w:t>–I</w:t>
      </w:r>
      <w:r w:rsidRPr="003E23F3">
        <w:rPr>
          <w:i/>
        </w:rPr>
        <w:t xml:space="preserve">ndonesia partnership for maternal and neonatal health, program design, </w:t>
      </w:r>
      <w:r>
        <w:t>2008.</w:t>
      </w:r>
    </w:p>
  </w:endnote>
  <w:endnote w:id="52">
    <w:p w14:paraId="66D19942" w14:textId="7709D85C" w:rsidR="00CD4AF2" w:rsidRDefault="00CD4AF2" w:rsidP="00C959D9">
      <w:pPr>
        <w:pStyle w:val="EndnoteText"/>
        <w:ind w:left="426" w:hanging="426"/>
      </w:pPr>
      <w:r>
        <w:rPr>
          <w:rStyle w:val="EndnoteReference"/>
        </w:rPr>
        <w:endnoteRef/>
      </w:r>
      <w:r>
        <w:t xml:space="preserve"> </w:t>
      </w:r>
      <w:r>
        <w:tab/>
        <w:t>AusAID,</w:t>
      </w:r>
      <w:r w:rsidRPr="00460533">
        <w:t xml:space="preserve"> </w:t>
      </w:r>
      <w:r w:rsidRPr="003E23F3">
        <w:rPr>
          <w:i/>
        </w:rPr>
        <w:t>Australia–Indonesia partnership for maternal and neonatal health</w:t>
      </w:r>
      <w:r>
        <w:rPr>
          <w:i/>
        </w:rPr>
        <w:t>,</w:t>
      </w:r>
      <w:r w:rsidRPr="003E23F3">
        <w:rPr>
          <w:i/>
        </w:rPr>
        <w:t xml:space="preserve"> program design,</w:t>
      </w:r>
      <w:r w:rsidRPr="00460533">
        <w:t xml:space="preserve"> </w:t>
      </w:r>
      <w:r>
        <w:t xml:space="preserve">2008, </w:t>
      </w:r>
      <w:proofErr w:type="spellStart"/>
      <w:r w:rsidRPr="00460533">
        <w:t>p</w:t>
      </w:r>
      <w:r w:rsidRPr="002A2422">
        <w:rPr>
          <w:szCs w:val="16"/>
        </w:rPr>
        <w:t>.iii</w:t>
      </w:r>
      <w:proofErr w:type="spellEnd"/>
      <w:r w:rsidRPr="005A4CDA">
        <w:rPr>
          <w:szCs w:val="16"/>
        </w:rPr>
        <w:t>.</w:t>
      </w:r>
    </w:p>
  </w:endnote>
  <w:endnote w:id="53">
    <w:p w14:paraId="11F1792F" w14:textId="77777777" w:rsidR="00CD4AF2" w:rsidRDefault="00CD4AF2" w:rsidP="00C959D9">
      <w:pPr>
        <w:pStyle w:val="EndnoteText"/>
        <w:ind w:left="426" w:hanging="426"/>
      </w:pPr>
      <w:r>
        <w:rPr>
          <w:rStyle w:val="EndnoteReference"/>
        </w:rPr>
        <w:endnoteRef/>
      </w:r>
      <w:r>
        <w:t xml:space="preserve"> </w:t>
      </w:r>
      <w:r>
        <w:tab/>
        <w:t>Australian Agency for International Development,</w:t>
      </w:r>
      <w:r>
        <w:rPr>
          <w:i/>
        </w:rPr>
        <w:t xml:space="preserve"> </w:t>
      </w:r>
      <w:r w:rsidRPr="001E49BC">
        <w:rPr>
          <w:i/>
        </w:rPr>
        <w:t>Independent progress review (mid-term review) of the Australia</w:t>
      </w:r>
      <w:r>
        <w:rPr>
          <w:i/>
        </w:rPr>
        <w:t>–</w:t>
      </w:r>
      <w:r w:rsidRPr="001E49BC">
        <w:rPr>
          <w:i/>
        </w:rPr>
        <w:t>Indonesia partnership for maternal and neonatal health</w:t>
      </w:r>
      <w:r w:rsidRPr="00180EFA">
        <w:t xml:space="preserve">, </w:t>
      </w:r>
      <w:r>
        <w:t>AusAID, Canberra, 2010.</w:t>
      </w:r>
    </w:p>
  </w:endnote>
  <w:endnote w:id="54">
    <w:p w14:paraId="77C2AB61" w14:textId="77777777" w:rsidR="00CD4AF2" w:rsidRDefault="00CD4AF2" w:rsidP="00C959D9">
      <w:pPr>
        <w:pStyle w:val="EndnoteText"/>
        <w:ind w:left="426" w:hanging="426"/>
      </w:pPr>
      <w:r>
        <w:rPr>
          <w:rStyle w:val="EndnoteReference"/>
        </w:rPr>
        <w:endnoteRef/>
      </w:r>
      <w:r>
        <w:t xml:space="preserve"> </w:t>
      </w:r>
      <w:r>
        <w:tab/>
        <w:t xml:space="preserve">Australian Agency for International Development, </w:t>
      </w:r>
      <w:r w:rsidRPr="003E23F3">
        <w:rPr>
          <w:i/>
        </w:rPr>
        <w:t xml:space="preserve">Annual </w:t>
      </w:r>
      <w:r>
        <w:rPr>
          <w:i/>
        </w:rPr>
        <w:t>p</w:t>
      </w:r>
      <w:r w:rsidRPr="003E23F3">
        <w:rPr>
          <w:i/>
        </w:rPr>
        <w:t>rogram performance report 2010: Indonesia,</w:t>
      </w:r>
      <w:r>
        <w:t xml:space="preserve"> 2011.</w:t>
      </w:r>
    </w:p>
  </w:endnote>
  <w:endnote w:id="55">
    <w:p w14:paraId="0235A7FF" w14:textId="77777777" w:rsidR="00CD4AF2" w:rsidRDefault="00CD4AF2" w:rsidP="00C959D9">
      <w:pPr>
        <w:pStyle w:val="EndnoteText"/>
        <w:ind w:left="426" w:hanging="426"/>
      </w:pPr>
      <w:r>
        <w:rPr>
          <w:rStyle w:val="EndnoteReference"/>
        </w:rPr>
        <w:endnoteRef/>
      </w:r>
      <w:r>
        <w:t xml:space="preserve"> </w:t>
      </w:r>
      <w:r>
        <w:tab/>
        <w:t>AusAID,</w:t>
      </w:r>
      <w:r w:rsidRPr="003E23F3">
        <w:rPr>
          <w:i/>
        </w:rPr>
        <w:t xml:space="preserve"> Strategic review of Australia–Indonesia partnership of maternal and neonatal health</w:t>
      </w:r>
      <w:r>
        <w:t>, 2012.</w:t>
      </w:r>
    </w:p>
  </w:endnote>
  <w:endnote w:id="56">
    <w:p w14:paraId="5F7A8992" w14:textId="4A6E3C9A" w:rsidR="00CD4AF2" w:rsidRDefault="00CD4AF2" w:rsidP="00C959D9">
      <w:pPr>
        <w:pStyle w:val="EndnoteText"/>
        <w:ind w:left="426" w:hanging="426"/>
      </w:pPr>
      <w:r>
        <w:rPr>
          <w:rStyle w:val="EndnoteReference"/>
        </w:rPr>
        <w:endnoteRef/>
      </w:r>
      <w:r>
        <w:t xml:space="preserve"> </w:t>
      </w:r>
      <w:r>
        <w:tab/>
        <w:t>AusAID,</w:t>
      </w:r>
      <w:r>
        <w:rPr>
          <w:i/>
        </w:rPr>
        <w:t xml:space="preserve"> </w:t>
      </w:r>
      <w:r w:rsidRPr="003E23F3">
        <w:rPr>
          <w:i/>
        </w:rPr>
        <w:t>Independent progress review (mid-term review) of the Australia</w:t>
      </w:r>
      <w:r>
        <w:rPr>
          <w:i/>
        </w:rPr>
        <w:t>–</w:t>
      </w:r>
      <w:r w:rsidRPr="003E23F3">
        <w:rPr>
          <w:i/>
        </w:rPr>
        <w:t>Indonesia partnership for maternal and neonatal health</w:t>
      </w:r>
      <w:r>
        <w:t xml:space="preserve"> </w:t>
      </w:r>
      <w:r w:rsidRPr="00180EFA">
        <w:t xml:space="preserve">, </w:t>
      </w:r>
      <w:r w:rsidRPr="003E5A75">
        <w:t>2010</w:t>
      </w:r>
      <w:r>
        <w:t>,</w:t>
      </w:r>
      <w:r w:rsidRPr="00EB2913">
        <w:t xml:space="preserve"> </w:t>
      </w:r>
      <w:proofErr w:type="spellStart"/>
      <w:r>
        <w:t>p.x</w:t>
      </w:r>
      <w:proofErr w:type="spellEnd"/>
      <w:r>
        <w:t>.</w:t>
      </w:r>
    </w:p>
  </w:endnote>
  <w:endnote w:id="57">
    <w:p w14:paraId="7AFC9F1F" w14:textId="77777777" w:rsidR="00CD4AF2" w:rsidRDefault="00CD4AF2" w:rsidP="00C959D9">
      <w:pPr>
        <w:pStyle w:val="EndnoteText"/>
        <w:ind w:left="426" w:hanging="426"/>
      </w:pPr>
      <w:r>
        <w:rPr>
          <w:rStyle w:val="EndnoteReference"/>
        </w:rPr>
        <w:endnoteRef/>
      </w:r>
      <w:r>
        <w:t xml:space="preserve"> </w:t>
      </w:r>
      <w:r>
        <w:tab/>
        <w:t>AusAID,</w:t>
      </w:r>
      <w:r>
        <w:rPr>
          <w:i/>
        </w:rPr>
        <w:t xml:space="preserve"> </w:t>
      </w:r>
      <w:r w:rsidRPr="003E23F3">
        <w:rPr>
          <w:i/>
        </w:rPr>
        <w:t>Independent progress review (mid-term review) of the Australia</w:t>
      </w:r>
      <w:r>
        <w:rPr>
          <w:i/>
        </w:rPr>
        <w:t>–</w:t>
      </w:r>
      <w:r w:rsidRPr="003E23F3">
        <w:rPr>
          <w:i/>
        </w:rPr>
        <w:t>Indonesia partnership for maternal and neonatal health</w:t>
      </w:r>
      <w:r>
        <w:rPr>
          <w:i/>
        </w:rPr>
        <w:t xml:space="preserve"> </w:t>
      </w:r>
      <w:r w:rsidRPr="003E23F3">
        <w:rPr>
          <w:i/>
        </w:rPr>
        <w:t xml:space="preserve">, </w:t>
      </w:r>
      <w:r w:rsidRPr="00180EFA">
        <w:t>2010</w:t>
      </w:r>
      <w:r>
        <w:t>,</w:t>
      </w:r>
      <w:r w:rsidRPr="00EB2913">
        <w:t xml:space="preserve"> </w:t>
      </w:r>
      <w:proofErr w:type="spellStart"/>
      <w:r>
        <w:t>p.xvii</w:t>
      </w:r>
      <w:proofErr w:type="spellEnd"/>
      <w:r>
        <w:t>.</w:t>
      </w:r>
    </w:p>
  </w:endnote>
  <w:endnote w:id="58">
    <w:p w14:paraId="48716D7C"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Strategic review of Australia</w:t>
      </w:r>
      <w:r>
        <w:rPr>
          <w:i/>
        </w:rPr>
        <w:t>–</w:t>
      </w:r>
      <w:r w:rsidRPr="003E23F3">
        <w:rPr>
          <w:i/>
        </w:rPr>
        <w:t xml:space="preserve">Indonesia partnership for maternal and neonatal health, </w:t>
      </w:r>
      <w:r>
        <w:t>2012.</w:t>
      </w:r>
    </w:p>
  </w:endnote>
  <w:endnote w:id="59">
    <w:p w14:paraId="42820663"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Strategic review of Australia</w:t>
      </w:r>
      <w:r>
        <w:rPr>
          <w:i/>
        </w:rPr>
        <w:t>–</w:t>
      </w:r>
      <w:r w:rsidRPr="003E23F3">
        <w:rPr>
          <w:i/>
        </w:rPr>
        <w:t xml:space="preserve">Indonesia partnership for maternal and neonatal health, </w:t>
      </w:r>
      <w:r>
        <w:t>2012.</w:t>
      </w:r>
    </w:p>
  </w:endnote>
  <w:endnote w:id="60">
    <w:p w14:paraId="113BE3BA"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Strategic review of Australia</w:t>
      </w:r>
      <w:r>
        <w:rPr>
          <w:i/>
        </w:rPr>
        <w:t>–</w:t>
      </w:r>
      <w:r w:rsidRPr="001E49BC">
        <w:rPr>
          <w:i/>
        </w:rPr>
        <w:t xml:space="preserve">Indonesia partnership for maternal and neonatal health, </w:t>
      </w:r>
      <w:r>
        <w:t>2012.</w:t>
      </w:r>
    </w:p>
  </w:endnote>
  <w:endnote w:id="61">
    <w:p w14:paraId="419C0F4B"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Independent progress review (mid-term review) of the Australia Indonesia partnership for maternal and neonatal health</w:t>
      </w:r>
      <w:r>
        <w:t xml:space="preserve">, </w:t>
      </w:r>
      <w:r w:rsidRPr="00180EFA">
        <w:t>2010</w:t>
      </w:r>
      <w:r>
        <w:t>.</w:t>
      </w:r>
    </w:p>
  </w:endnote>
  <w:endnote w:id="62">
    <w:p w14:paraId="1B0376FB"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Strategic review of Australia</w:t>
      </w:r>
      <w:r>
        <w:rPr>
          <w:i/>
        </w:rPr>
        <w:t>–</w:t>
      </w:r>
      <w:r w:rsidRPr="001E49BC">
        <w:rPr>
          <w:i/>
        </w:rPr>
        <w:t xml:space="preserve">Indonesia partnership for maternal and neonatal health, </w:t>
      </w:r>
      <w:r>
        <w:t>2012, p.13.</w:t>
      </w:r>
    </w:p>
  </w:endnote>
  <w:endnote w:id="63">
    <w:p w14:paraId="6EF840A4"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Independent progress review (mid-term review) of the Australia Indonesia partnership for maternal and neonatal health</w:t>
      </w:r>
      <w:r>
        <w:t>, 2010, p.19.</w:t>
      </w:r>
    </w:p>
  </w:endnote>
  <w:endnote w:id="64">
    <w:p w14:paraId="44D4BC07"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Independent progress review (mid-term review) of the Australia Indonesia partnership for maternal and neonatal health</w:t>
      </w:r>
      <w:r>
        <w:rPr>
          <w:i/>
        </w:rPr>
        <w:t>,</w:t>
      </w:r>
      <w:r w:rsidDel="009D4A2C">
        <w:t xml:space="preserve"> </w:t>
      </w:r>
      <w:r>
        <w:t xml:space="preserve">2010, </w:t>
      </w:r>
      <w:proofErr w:type="spellStart"/>
      <w:r>
        <w:t>p.x</w:t>
      </w:r>
      <w:proofErr w:type="spellEnd"/>
      <w:r>
        <w:t>.</w:t>
      </w:r>
    </w:p>
  </w:endnote>
  <w:endnote w:id="65">
    <w:p w14:paraId="303E3A7A"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Australia</w:t>
      </w:r>
      <w:r>
        <w:rPr>
          <w:i/>
        </w:rPr>
        <w:t>–</w:t>
      </w:r>
      <w:r w:rsidRPr="009371AA">
        <w:rPr>
          <w:i/>
        </w:rPr>
        <w:t>Indonesia partnership for maternal and neonatal health</w:t>
      </w:r>
      <w:r>
        <w:t xml:space="preserve"> </w:t>
      </w:r>
      <w:r w:rsidRPr="001E49BC">
        <w:rPr>
          <w:i/>
        </w:rPr>
        <w:t>quality at implementation report,</w:t>
      </w:r>
      <w:r>
        <w:t xml:space="preserve"> </w:t>
      </w:r>
      <w:r w:rsidRPr="003E5A75">
        <w:t>2013</w:t>
      </w:r>
      <w:r>
        <w:t>, p.6.</w:t>
      </w:r>
    </w:p>
  </w:endnote>
  <w:endnote w:id="66">
    <w:p w14:paraId="5E561D4E"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Australia</w:t>
      </w:r>
      <w:r>
        <w:rPr>
          <w:i/>
        </w:rPr>
        <w:t>–</w:t>
      </w:r>
      <w:r w:rsidRPr="009371AA">
        <w:rPr>
          <w:i/>
        </w:rPr>
        <w:t>Indonesia partnership for maternal and neonatal health</w:t>
      </w:r>
      <w:r>
        <w:t xml:space="preserve"> </w:t>
      </w:r>
      <w:r w:rsidRPr="001E49BC">
        <w:rPr>
          <w:i/>
        </w:rPr>
        <w:t>quality at implementation report,</w:t>
      </w:r>
      <w:r>
        <w:t xml:space="preserve"> </w:t>
      </w:r>
      <w:r w:rsidRPr="003E5A75">
        <w:t>2013</w:t>
      </w:r>
      <w:r>
        <w:t>, p.6.</w:t>
      </w:r>
    </w:p>
  </w:endnote>
  <w:endnote w:id="67">
    <w:p w14:paraId="28AF2203"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Strategic review of Australia</w:t>
      </w:r>
      <w:r>
        <w:rPr>
          <w:i/>
        </w:rPr>
        <w:t>–</w:t>
      </w:r>
      <w:r w:rsidRPr="001E49BC">
        <w:rPr>
          <w:i/>
        </w:rPr>
        <w:t>Indonesia partnership for maternal and neonatal health,</w:t>
      </w:r>
      <w:r>
        <w:t xml:space="preserve"> 2012.</w:t>
      </w:r>
    </w:p>
  </w:endnote>
  <w:endnote w:id="68">
    <w:p w14:paraId="61B89D69"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Strategic review of Australia</w:t>
      </w:r>
      <w:r>
        <w:rPr>
          <w:i/>
        </w:rPr>
        <w:t>–</w:t>
      </w:r>
      <w:r w:rsidRPr="001E49BC">
        <w:rPr>
          <w:i/>
        </w:rPr>
        <w:t>Indonesia partnership for maternal and neonatal health</w:t>
      </w:r>
      <w:r>
        <w:t>, 2012, p.2.</w:t>
      </w:r>
    </w:p>
  </w:endnote>
  <w:endnote w:id="69">
    <w:p w14:paraId="027BBA90"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Independent progress review (mid-term review) of the Australia Indonesia partnership for maternal and neonatal health</w:t>
      </w:r>
      <w:r>
        <w:t xml:space="preserve">, </w:t>
      </w:r>
      <w:r w:rsidRPr="00180EFA">
        <w:t>201</w:t>
      </w:r>
      <w:r>
        <w:t xml:space="preserve">0, p.42; AusAID, </w:t>
      </w:r>
      <w:r w:rsidRPr="001E49BC">
        <w:rPr>
          <w:i/>
        </w:rPr>
        <w:t>Australia</w:t>
      </w:r>
      <w:r>
        <w:rPr>
          <w:i/>
        </w:rPr>
        <w:t>–</w:t>
      </w:r>
      <w:r w:rsidRPr="009371AA">
        <w:rPr>
          <w:i/>
        </w:rPr>
        <w:t>Indonesia partnership, for maternal and neonatal health</w:t>
      </w:r>
      <w:r>
        <w:t xml:space="preserve"> </w:t>
      </w:r>
      <w:r w:rsidRPr="001E49BC">
        <w:rPr>
          <w:i/>
        </w:rPr>
        <w:t>quality at implementation report</w:t>
      </w:r>
      <w:r>
        <w:rPr>
          <w:i/>
        </w:rPr>
        <w:t>,</w:t>
      </w:r>
      <w:r w:rsidRPr="003E5A75" w:rsidDel="00246237">
        <w:t xml:space="preserve"> </w:t>
      </w:r>
      <w:r w:rsidRPr="003E5A75">
        <w:t>2013</w:t>
      </w:r>
      <w:r>
        <w:t>.</w:t>
      </w:r>
    </w:p>
  </w:endnote>
  <w:endnote w:id="70">
    <w:p w14:paraId="5FB0CBA0"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Strategic review of Australia</w:t>
      </w:r>
      <w:r>
        <w:rPr>
          <w:i/>
        </w:rPr>
        <w:t>–</w:t>
      </w:r>
      <w:r w:rsidRPr="001E49BC">
        <w:rPr>
          <w:i/>
        </w:rPr>
        <w:t>Indonesia partnership for maternal and neonatal health</w:t>
      </w:r>
      <w:r>
        <w:t>, 2012, pp.12–13.</w:t>
      </w:r>
    </w:p>
  </w:endnote>
  <w:endnote w:id="71">
    <w:p w14:paraId="1C80A481" w14:textId="77777777" w:rsidR="00CD4AF2" w:rsidRDefault="00CD4AF2" w:rsidP="00C959D9">
      <w:pPr>
        <w:pStyle w:val="EndnoteText"/>
        <w:ind w:left="426" w:hanging="426"/>
      </w:pPr>
      <w:r>
        <w:rPr>
          <w:rStyle w:val="EndnoteReference"/>
        </w:rPr>
        <w:endnoteRef/>
      </w:r>
      <w:r>
        <w:t xml:space="preserve"> </w:t>
      </w:r>
      <w:r>
        <w:tab/>
        <w:t>AusAID,</w:t>
      </w:r>
      <w:r w:rsidRPr="003E5A75">
        <w:t xml:space="preserve"> </w:t>
      </w:r>
      <w:r w:rsidRPr="001E49BC">
        <w:rPr>
          <w:i/>
        </w:rPr>
        <w:t>Australia</w:t>
      </w:r>
      <w:r>
        <w:rPr>
          <w:i/>
        </w:rPr>
        <w:t>–</w:t>
      </w:r>
      <w:r w:rsidRPr="009371AA">
        <w:rPr>
          <w:i/>
        </w:rPr>
        <w:t>Indonesia partnership for maternal and neonatal health</w:t>
      </w:r>
      <w:r>
        <w:t xml:space="preserve"> </w:t>
      </w:r>
      <w:r w:rsidRPr="001E49BC">
        <w:rPr>
          <w:i/>
        </w:rPr>
        <w:t>quality at implementation report,</w:t>
      </w:r>
      <w:r>
        <w:t xml:space="preserve"> 2013, p.2.</w:t>
      </w:r>
    </w:p>
  </w:endnote>
  <w:endnote w:id="72">
    <w:p w14:paraId="0E339825"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Australia</w:t>
      </w:r>
      <w:r>
        <w:rPr>
          <w:i/>
        </w:rPr>
        <w:t>–</w:t>
      </w:r>
      <w:r w:rsidRPr="009371AA">
        <w:rPr>
          <w:i/>
        </w:rPr>
        <w:t>Indonesia partnership for maternal and neonatal health</w:t>
      </w:r>
      <w:r>
        <w:t xml:space="preserve"> </w:t>
      </w:r>
      <w:r w:rsidRPr="001E49BC">
        <w:rPr>
          <w:i/>
        </w:rPr>
        <w:t>quality at implementation report</w:t>
      </w:r>
      <w:r>
        <w:rPr>
          <w:i/>
        </w:rPr>
        <w:t>,</w:t>
      </w:r>
      <w:r w:rsidRPr="003E5A75" w:rsidDel="00246237">
        <w:t xml:space="preserve"> </w:t>
      </w:r>
      <w:r w:rsidRPr="003E5A75">
        <w:t>2013</w:t>
      </w:r>
      <w:r>
        <w:t>.</w:t>
      </w:r>
    </w:p>
  </w:endnote>
  <w:endnote w:id="73">
    <w:p w14:paraId="6C608E84" w14:textId="77777777" w:rsidR="00CD4AF2" w:rsidRDefault="00CD4AF2" w:rsidP="00C959D9">
      <w:pPr>
        <w:pStyle w:val="EndnoteText"/>
        <w:ind w:left="426" w:hanging="426"/>
      </w:pPr>
      <w:r>
        <w:rPr>
          <w:rStyle w:val="EndnoteReference"/>
        </w:rPr>
        <w:endnoteRef/>
      </w:r>
      <w:r>
        <w:t xml:space="preserve"> </w:t>
      </w:r>
      <w:r>
        <w:tab/>
      </w:r>
      <w:r w:rsidRPr="00180EFA">
        <w:t>AusAID</w:t>
      </w:r>
      <w:r>
        <w:t xml:space="preserve">, </w:t>
      </w:r>
      <w:r w:rsidRPr="001E49BC">
        <w:rPr>
          <w:i/>
        </w:rPr>
        <w:t>Independent progress review (mid-term review) of the Australia Indonesia partnership for maternal and neonatal health</w:t>
      </w:r>
      <w:r>
        <w:rPr>
          <w:i/>
        </w:rPr>
        <w:t>,</w:t>
      </w:r>
      <w:r>
        <w:t xml:space="preserve"> 2010, </w:t>
      </w:r>
      <w:proofErr w:type="spellStart"/>
      <w:r>
        <w:t>p.xvii</w:t>
      </w:r>
      <w:proofErr w:type="spellEnd"/>
      <w:r>
        <w:t>.</w:t>
      </w:r>
    </w:p>
  </w:endnote>
  <w:endnote w:id="74">
    <w:p w14:paraId="4F485E4E" w14:textId="77777777" w:rsidR="00CD4AF2" w:rsidRDefault="00CD4AF2" w:rsidP="00C959D9">
      <w:pPr>
        <w:pStyle w:val="EndnoteText"/>
        <w:ind w:left="426" w:hanging="426"/>
      </w:pPr>
      <w:r>
        <w:rPr>
          <w:rStyle w:val="EndnoteReference"/>
        </w:rPr>
        <w:endnoteRef/>
      </w:r>
      <w:r>
        <w:t xml:space="preserve"> </w:t>
      </w:r>
      <w:r>
        <w:tab/>
        <w:t>Australian Agency for International Development</w:t>
      </w:r>
      <w:r w:rsidRPr="008E5EC6">
        <w:t xml:space="preserve">, </w:t>
      </w:r>
      <w:r w:rsidRPr="003E23F3">
        <w:rPr>
          <w:i/>
        </w:rPr>
        <w:t>PNG Health and HIV Procurement Program 2012–20</w:t>
      </w:r>
      <w:r w:rsidRPr="008E5EC6">
        <w:t>, Program Design Document (Draft), Version 3</w:t>
      </w:r>
      <w:r>
        <w:t xml:space="preserve">, AusAID, Canberra, </w:t>
      </w:r>
      <w:r w:rsidRPr="008E5EC6">
        <w:t>2012</w:t>
      </w:r>
      <w:r>
        <w:t>.</w:t>
      </w:r>
    </w:p>
  </w:endnote>
  <w:endnote w:id="75">
    <w:p w14:paraId="2656B605" w14:textId="77777777" w:rsidR="00CD4AF2" w:rsidRDefault="00CD4AF2" w:rsidP="00C959D9">
      <w:pPr>
        <w:pStyle w:val="EndnoteText"/>
        <w:ind w:left="426" w:hanging="426"/>
      </w:pPr>
      <w:r>
        <w:rPr>
          <w:rStyle w:val="EndnoteReference"/>
        </w:rPr>
        <w:endnoteRef/>
      </w:r>
      <w:r>
        <w:t xml:space="preserve"> </w:t>
      </w:r>
      <w:r>
        <w:tab/>
      </w:r>
      <w:r w:rsidRPr="008E5EC6">
        <w:t xml:space="preserve">AusAID, </w:t>
      </w:r>
      <w:r w:rsidRPr="003E23F3">
        <w:rPr>
          <w:i/>
        </w:rPr>
        <w:t>PNG Health and HIV Procurement Program 2012–20,</w:t>
      </w:r>
      <w:r>
        <w:t xml:space="preserve"> </w:t>
      </w:r>
      <w:r w:rsidRPr="008E5EC6">
        <w:t>2012</w:t>
      </w:r>
      <w:r>
        <w:t>.</w:t>
      </w:r>
    </w:p>
  </w:endnote>
  <w:endnote w:id="76">
    <w:p w14:paraId="6791B5EE" w14:textId="77777777" w:rsidR="00CD4AF2" w:rsidRDefault="00CD4AF2" w:rsidP="00C959D9">
      <w:pPr>
        <w:pStyle w:val="EndnoteText"/>
        <w:ind w:left="426" w:hanging="426"/>
      </w:pPr>
      <w:r>
        <w:rPr>
          <w:rStyle w:val="EndnoteReference"/>
        </w:rPr>
        <w:endnoteRef/>
      </w:r>
      <w:r>
        <w:t xml:space="preserve"> </w:t>
      </w:r>
      <w:r>
        <w:tab/>
      </w:r>
      <w:r w:rsidRPr="008E5EC6">
        <w:t xml:space="preserve">AusAID, </w:t>
      </w:r>
      <w:r w:rsidRPr="001E49BC">
        <w:rPr>
          <w:i/>
        </w:rPr>
        <w:t>PNG Health and HIV Procurement Program 2012–20,</w:t>
      </w:r>
      <w:r>
        <w:t xml:space="preserve"> 2012.</w:t>
      </w:r>
    </w:p>
  </w:endnote>
  <w:endnote w:id="77">
    <w:p w14:paraId="5BFD5CAD" w14:textId="77777777" w:rsidR="00CD4AF2" w:rsidRDefault="00CD4AF2" w:rsidP="00C959D9">
      <w:pPr>
        <w:pStyle w:val="EndnoteText"/>
        <w:ind w:left="426" w:hanging="426"/>
      </w:pPr>
      <w:r>
        <w:rPr>
          <w:rStyle w:val="EndnoteReference"/>
        </w:rPr>
        <w:endnoteRef/>
      </w:r>
      <w:r>
        <w:t xml:space="preserve"> </w:t>
      </w:r>
      <w:r>
        <w:tab/>
        <w:t xml:space="preserve">Australian Agency for International Development, </w:t>
      </w:r>
      <w:r w:rsidRPr="003E23F3">
        <w:rPr>
          <w:i/>
        </w:rPr>
        <w:t>Australia–PNG Health Delivery Strategy 2011–15,</w:t>
      </w:r>
      <w:r>
        <w:rPr>
          <w:i/>
        </w:rPr>
        <w:t xml:space="preserve"> </w:t>
      </w:r>
      <w:r>
        <w:t>AusAID, Canberra, 2011.</w:t>
      </w:r>
    </w:p>
  </w:endnote>
  <w:endnote w:id="78">
    <w:p w14:paraId="21D9444C" w14:textId="77777777" w:rsidR="00CD4AF2" w:rsidRDefault="00CD4AF2" w:rsidP="00C959D9">
      <w:pPr>
        <w:pStyle w:val="EndnoteText"/>
        <w:ind w:left="426" w:hanging="426"/>
      </w:pPr>
      <w:r>
        <w:rPr>
          <w:rStyle w:val="EndnoteReference"/>
        </w:rPr>
        <w:endnoteRef/>
      </w:r>
      <w:r>
        <w:t xml:space="preserve"> </w:t>
      </w:r>
      <w:r>
        <w:tab/>
        <w:t>Australian Agency for International Development</w:t>
      </w:r>
      <w:r w:rsidRPr="008E5EC6">
        <w:t xml:space="preserve">, </w:t>
      </w:r>
      <w:r w:rsidRPr="003E23F3">
        <w:rPr>
          <w:i/>
        </w:rPr>
        <w:t xml:space="preserve">Papua New Guinea Health System Capacity Development program quality at implementation report, </w:t>
      </w:r>
      <w:r>
        <w:t>AusAID, Canberra.</w:t>
      </w:r>
    </w:p>
  </w:endnote>
  <w:endnote w:id="79">
    <w:p w14:paraId="271DDD38" w14:textId="77777777" w:rsidR="00CD4AF2" w:rsidRDefault="00CD4AF2" w:rsidP="00C959D9">
      <w:pPr>
        <w:pStyle w:val="EndnoteText"/>
        <w:ind w:left="426" w:hanging="426"/>
      </w:pPr>
      <w:r>
        <w:rPr>
          <w:rStyle w:val="EndnoteReference"/>
        </w:rPr>
        <w:endnoteRef/>
      </w:r>
      <w:r>
        <w:t xml:space="preserve"> </w:t>
      </w:r>
      <w:r>
        <w:tab/>
        <w:t>Australian Agency for International Development</w:t>
      </w:r>
      <w:r w:rsidRPr="008E5EC6">
        <w:t xml:space="preserve">, </w:t>
      </w:r>
      <w:r w:rsidRPr="003E23F3">
        <w:rPr>
          <w:i/>
        </w:rPr>
        <w:t xml:space="preserve">PNG Health System Capacity Development Program: design and implementation framework, </w:t>
      </w:r>
      <w:r>
        <w:t xml:space="preserve">AusAID, Canberra, </w:t>
      </w:r>
      <w:proofErr w:type="spellStart"/>
      <w:r>
        <w:t>n.d.</w:t>
      </w:r>
      <w:proofErr w:type="spellEnd"/>
    </w:p>
  </w:endnote>
  <w:endnote w:id="80">
    <w:p w14:paraId="3FBC7D5E" w14:textId="77777777" w:rsidR="00CD4AF2" w:rsidRDefault="00CD4AF2" w:rsidP="00C959D9">
      <w:pPr>
        <w:pStyle w:val="EndnoteText"/>
        <w:ind w:left="426" w:hanging="426"/>
      </w:pPr>
      <w:r>
        <w:rPr>
          <w:rStyle w:val="EndnoteReference"/>
        </w:rPr>
        <w:endnoteRef/>
      </w:r>
      <w:r>
        <w:t xml:space="preserve"> </w:t>
      </w:r>
      <w:r>
        <w:tab/>
      </w:r>
      <w:r w:rsidRPr="00BD7AF4">
        <w:t>Milne Bay Health &amp; HIV Development Agreement</w:t>
      </w:r>
      <w:r>
        <w:t>,</w:t>
      </w:r>
      <w:r w:rsidRPr="00BD7AF4">
        <w:t xml:space="preserve"> final draft</w:t>
      </w:r>
      <w:r>
        <w:t>,</w:t>
      </w:r>
      <w:r w:rsidRPr="00BD7AF4">
        <w:t xml:space="preserve"> 2012</w:t>
      </w:r>
      <w:r>
        <w:t>.</w:t>
      </w:r>
    </w:p>
  </w:endnote>
  <w:endnote w:id="81">
    <w:p w14:paraId="3D2258B0" w14:textId="77777777" w:rsidR="00CD4AF2" w:rsidRDefault="00CD4AF2" w:rsidP="00C959D9">
      <w:pPr>
        <w:pStyle w:val="EndnoteText"/>
        <w:ind w:left="426" w:hanging="426"/>
      </w:pPr>
      <w:r>
        <w:rPr>
          <w:rStyle w:val="EndnoteReference"/>
        </w:rPr>
        <w:endnoteRef/>
      </w:r>
      <w:r>
        <w:t xml:space="preserve"> </w:t>
      </w:r>
      <w:r>
        <w:tab/>
        <w:t>Milne Bay Health &amp; HIV Development Agreement, 2012; Eastern Highland Province Health service Agreement, 2012; Western Highlands Province Health &amp; HIV Service Agreement, 2012; Western Province Health &amp; HIV Service Agreement, 2012.</w:t>
      </w:r>
    </w:p>
  </w:endnote>
  <w:endnote w:id="82">
    <w:p w14:paraId="69B13419" w14:textId="77777777" w:rsidR="00CD4AF2" w:rsidRDefault="00CD4AF2" w:rsidP="00C959D9">
      <w:pPr>
        <w:pStyle w:val="EndnoteText"/>
        <w:ind w:left="426" w:hanging="426"/>
      </w:pPr>
      <w:r>
        <w:rPr>
          <w:rStyle w:val="EndnoteReference"/>
        </w:rPr>
        <w:endnoteRef/>
      </w:r>
      <w:r>
        <w:t xml:space="preserve"> </w:t>
      </w:r>
      <w:r>
        <w:tab/>
      </w:r>
      <w:r w:rsidRPr="000272B4">
        <w:t>AusAID,</w:t>
      </w:r>
      <w:r>
        <w:t xml:space="preserve"> </w:t>
      </w:r>
      <w:r w:rsidRPr="001E49BC">
        <w:rPr>
          <w:i/>
        </w:rPr>
        <w:t xml:space="preserve">PNG Health System Capacity Development Program: design and implementation framework, </w:t>
      </w:r>
      <w:proofErr w:type="spellStart"/>
      <w:r>
        <w:t>n.d.</w:t>
      </w:r>
      <w:proofErr w:type="spellEnd"/>
    </w:p>
  </w:endnote>
  <w:endnote w:id="83">
    <w:p w14:paraId="4E288CF5" w14:textId="77777777" w:rsidR="00CD4AF2" w:rsidRDefault="00CD4AF2" w:rsidP="00C959D9">
      <w:pPr>
        <w:pStyle w:val="EndnoteText"/>
        <w:ind w:left="426" w:hanging="426"/>
      </w:pPr>
      <w:r>
        <w:rPr>
          <w:rStyle w:val="EndnoteReference"/>
        </w:rPr>
        <w:endnoteRef/>
      </w:r>
      <w:r>
        <w:t xml:space="preserve"> </w:t>
      </w:r>
      <w:r>
        <w:tab/>
        <w:t xml:space="preserve">Australian Agency for International Development, </w:t>
      </w:r>
      <w:r w:rsidRPr="003E23F3">
        <w:rPr>
          <w:i/>
        </w:rPr>
        <w:t>Provincial Health Authority implementation review,</w:t>
      </w:r>
      <w:r w:rsidRPr="00E07E9B">
        <w:t xml:space="preserve"> </w:t>
      </w:r>
      <w:r>
        <w:t>AusAID, Canberra, 2013.</w:t>
      </w:r>
    </w:p>
  </w:endnote>
  <w:endnote w:id="84">
    <w:p w14:paraId="04B45FBC" w14:textId="77777777" w:rsidR="00CD4AF2" w:rsidRDefault="00CD4AF2" w:rsidP="00C959D9">
      <w:pPr>
        <w:pStyle w:val="EndnoteText"/>
        <w:ind w:left="426" w:hanging="426"/>
      </w:pPr>
      <w:r>
        <w:rPr>
          <w:rStyle w:val="EndnoteReference"/>
        </w:rPr>
        <w:endnoteRef/>
      </w:r>
      <w:r>
        <w:t xml:space="preserve"> </w:t>
      </w:r>
      <w:r>
        <w:tab/>
      </w:r>
      <w:r w:rsidRPr="004677A3">
        <w:t xml:space="preserve">AusAID, </w:t>
      </w:r>
      <w:r w:rsidRPr="001E49BC">
        <w:rPr>
          <w:i/>
        </w:rPr>
        <w:t xml:space="preserve">PNG Health System Capacity Development Program: design and implementation framework, </w:t>
      </w:r>
      <w:proofErr w:type="spellStart"/>
      <w:r>
        <w:rPr>
          <w:i/>
        </w:rPr>
        <w:t>n.d.</w:t>
      </w:r>
      <w:proofErr w:type="spellEnd"/>
      <w:r>
        <w:rPr>
          <w:i/>
        </w:rPr>
        <w:t xml:space="preserve"> </w:t>
      </w:r>
      <w:r>
        <w:t>p.11.</w:t>
      </w:r>
    </w:p>
  </w:endnote>
  <w:endnote w:id="85">
    <w:p w14:paraId="16C962C7" w14:textId="0217C567" w:rsidR="00CD4AF2" w:rsidRDefault="00CD4AF2" w:rsidP="00C959D9">
      <w:pPr>
        <w:pStyle w:val="EndnoteText"/>
        <w:ind w:left="426" w:hanging="426"/>
      </w:pPr>
      <w:r>
        <w:rPr>
          <w:rStyle w:val="EndnoteReference"/>
        </w:rPr>
        <w:endnoteRef/>
      </w:r>
      <w:r>
        <w:t xml:space="preserve"> </w:t>
      </w:r>
      <w:r>
        <w:tab/>
        <w:t>Milne Bay Health &amp; HIV Development Agreement, 2012.</w:t>
      </w:r>
    </w:p>
  </w:endnote>
  <w:endnote w:id="86">
    <w:p w14:paraId="46DF179A"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Provincial Health Authority implementation review,</w:t>
      </w:r>
      <w:r w:rsidRPr="00E07E9B">
        <w:t xml:space="preserve"> 2013</w:t>
      </w:r>
      <w:r>
        <w:t>.</w:t>
      </w:r>
    </w:p>
  </w:endnote>
  <w:endnote w:id="87">
    <w:p w14:paraId="77994855"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Provincial Health Authority implementation review,</w:t>
      </w:r>
      <w:r w:rsidRPr="00E07E9B">
        <w:t xml:space="preserve"> 2013</w:t>
      </w:r>
      <w:r>
        <w:t>.</w:t>
      </w:r>
    </w:p>
  </w:endnote>
  <w:endnote w:id="88">
    <w:p w14:paraId="4E78D977" w14:textId="77777777" w:rsidR="00CD4AF2" w:rsidRDefault="00CD4AF2" w:rsidP="00C959D9">
      <w:pPr>
        <w:pStyle w:val="EndnoteText"/>
        <w:ind w:left="426" w:hanging="426"/>
      </w:pPr>
      <w:r>
        <w:rPr>
          <w:rStyle w:val="EndnoteReference"/>
        </w:rPr>
        <w:endnoteRef/>
      </w:r>
      <w:r>
        <w:t xml:space="preserve"> </w:t>
      </w:r>
      <w:r>
        <w:tab/>
        <w:t>Australian Agency for International Development</w:t>
      </w:r>
      <w:r w:rsidRPr="001D45AA">
        <w:t xml:space="preserve">, </w:t>
      </w:r>
      <w:r w:rsidRPr="003E23F3">
        <w:rPr>
          <w:i/>
        </w:rPr>
        <w:t>Annual performance report 2011: Papua New Guinea,</w:t>
      </w:r>
      <w:r>
        <w:t xml:space="preserve"> AusAID, Canberra, 2012, p.12.</w:t>
      </w:r>
    </w:p>
  </w:endnote>
  <w:endnote w:id="89">
    <w:p w14:paraId="42E9CE4F" w14:textId="77777777" w:rsidR="00CD4AF2" w:rsidRDefault="00CD4AF2" w:rsidP="00C959D9">
      <w:pPr>
        <w:pStyle w:val="EndnoteText"/>
        <w:ind w:left="426" w:hanging="426"/>
      </w:pPr>
      <w:r>
        <w:rPr>
          <w:rStyle w:val="EndnoteReference"/>
        </w:rPr>
        <w:endnoteRef/>
      </w:r>
      <w:r>
        <w:t xml:space="preserve"> </w:t>
      </w:r>
      <w:r>
        <w:tab/>
      </w:r>
      <w:r w:rsidRPr="00161D52">
        <w:t xml:space="preserve">AusAID, </w:t>
      </w:r>
      <w:r w:rsidRPr="001E49BC">
        <w:rPr>
          <w:i/>
        </w:rPr>
        <w:t xml:space="preserve">PNG Health System Capacity Development Program: design and implementation framework, </w:t>
      </w:r>
      <w:proofErr w:type="spellStart"/>
      <w:r>
        <w:rPr>
          <w:i/>
        </w:rPr>
        <w:t>n.d.</w:t>
      </w:r>
      <w:proofErr w:type="spellEnd"/>
    </w:p>
  </w:endnote>
  <w:endnote w:id="90">
    <w:p w14:paraId="1E9C8D95" w14:textId="77777777" w:rsidR="00CD4AF2" w:rsidRDefault="00CD4AF2" w:rsidP="00C959D9">
      <w:pPr>
        <w:pStyle w:val="EndnoteText"/>
        <w:ind w:left="426" w:hanging="426"/>
      </w:pPr>
      <w:r>
        <w:rPr>
          <w:rStyle w:val="EndnoteReference"/>
        </w:rPr>
        <w:endnoteRef/>
      </w:r>
      <w:r>
        <w:t xml:space="preserve"> </w:t>
      </w:r>
      <w:r>
        <w:tab/>
        <w:t>Interview with Provincial Health Authority, PNG.</w:t>
      </w:r>
    </w:p>
  </w:endnote>
  <w:endnote w:id="91">
    <w:p w14:paraId="76F061A5" w14:textId="77777777" w:rsidR="00CD4AF2" w:rsidRDefault="00CD4AF2" w:rsidP="00C959D9">
      <w:pPr>
        <w:pStyle w:val="EndnoteText"/>
        <w:ind w:left="426" w:hanging="426"/>
      </w:pPr>
      <w:r>
        <w:rPr>
          <w:rStyle w:val="EndnoteReference"/>
        </w:rPr>
        <w:endnoteRef/>
      </w:r>
      <w:r>
        <w:t xml:space="preserve"> </w:t>
      </w:r>
      <w:r>
        <w:tab/>
      </w:r>
      <w:r w:rsidRPr="004677A3">
        <w:t xml:space="preserve">AusAID, </w:t>
      </w:r>
      <w:r w:rsidRPr="001E49BC">
        <w:rPr>
          <w:i/>
        </w:rPr>
        <w:t xml:space="preserve">PNG Health System Capacity Development Program: design and implementation framework, </w:t>
      </w:r>
      <w:proofErr w:type="spellStart"/>
      <w:r>
        <w:rPr>
          <w:i/>
        </w:rPr>
        <w:t>n.d.</w:t>
      </w:r>
      <w:proofErr w:type="spellEnd"/>
      <w:r>
        <w:rPr>
          <w:i/>
        </w:rPr>
        <w:t xml:space="preserve"> </w:t>
      </w:r>
      <w:r>
        <w:t>p.17.</w:t>
      </w:r>
    </w:p>
  </w:endnote>
  <w:endnote w:id="92">
    <w:p w14:paraId="7EDEF2F2"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Provincial Health Authority implementation review,</w:t>
      </w:r>
      <w:r w:rsidRPr="00E07E9B">
        <w:t xml:space="preserve"> 2013</w:t>
      </w:r>
      <w:r>
        <w:t>.</w:t>
      </w:r>
    </w:p>
  </w:endnote>
  <w:endnote w:id="93">
    <w:p w14:paraId="4A1B1F6E" w14:textId="77777777" w:rsidR="00CD4AF2" w:rsidRDefault="00CD4AF2" w:rsidP="00C959D9">
      <w:pPr>
        <w:pStyle w:val="EndnoteText"/>
        <w:ind w:left="426" w:hanging="426"/>
      </w:pPr>
      <w:r>
        <w:rPr>
          <w:rStyle w:val="EndnoteReference"/>
        </w:rPr>
        <w:endnoteRef/>
      </w:r>
      <w:r>
        <w:t xml:space="preserve"> </w:t>
      </w:r>
      <w:r>
        <w:tab/>
        <w:t xml:space="preserve">Australian Agency for International Development, </w:t>
      </w:r>
      <w:r w:rsidRPr="003E23F3">
        <w:rPr>
          <w:i/>
        </w:rPr>
        <w:t>PNG District Index by poverty and health outcomes,</w:t>
      </w:r>
      <w:r>
        <w:t xml:space="preserve"> AusAID, Canberra, 2013.</w:t>
      </w:r>
    </w:p>
  </w:endnote>
  <w:endnote w:id="94">
    <w:p w14:paraId="7A5AF9DD" w14:textId="77777777" w:rsidR="00CD4AF2" w:rsidRPr="004E6FC5" w:rsidRDefault="00CD4AF2" w:rsidP="004866AA">
      <w:pPr>
        <w:pStyle w:val="EndnoteText"/>
        <w:ind w:left="426" w:hanging="426"/>
        <w:rPr>
          <w:szCs w:val="16"/>
        </w:rPr>
      </w:pPr>
      <w:r w:rsidRPr="004E6FC5">
        <w:rPr>
          <w:rStyle w:val="EndnoteReference"/>
          <w:szCs w:val="16"/>
        </w:rPr>
        <w:endnoteRef/>
      </w:r>
      <w:r w:rsidRPr="004E6FC5">
        <w:rPr>
          <w:szCs w:val="16"/>
        </w:rPr>
        <w:t xml:space="preserve"> </w:t>
      </w:r>
      <w:r>
        <w:rPr>
          <w:szCs w:val="16"/>
        </w:rPr>
        <w:tab/>
      </w:r>
      <w:r w:rsidRPr="004E6FC5">
        <w:rPr>
          <w:szCs w:val="16"/>
        </w:rPr>
        <w:t xml:space="preserve">AusAID, </w:t>
      </w:r>
      <w:r w:rsidRPr="001E49BC">
        <w:rPr>
          <w:i/>
        </w:rPr>
        <w:t xml:space="preserve">Papua New Guinea Health System Capacity Development program quality at implementation report, </w:t>
      </w:r>
      <w:r w:rsidRPr="004E6FC5">
        <w:rPr>
          <w:szCs w:val="16"/>
        </w:rPr>
        <w:t>2012</w:t>
      </w:r>
      <w:r>
        <w:rPr>
          <w:szCs w:val="16"/>
        </w:rPr>
        <w:t>.</w:t>
      </w:r>
    </w:p>
  </w:endnote>
  <w:endnote w:id="95">
    <w:p w14:paraId="26B3B5BB" w14:textId="77777777" w:rsidR="00CD4AF2" w:rsidRDefault="00CD4AF2" w:rsidP="00C959D9">
      <w:pPr>
        <w:pStyle w:val="EndnoteText"/>
        <w:ind w:left="426" w:hanging="426"/>
      </w:pPr>
      <w:r>
        <w:rPr>
          <w:rStyle w:val="EndnoteReference"/>
        </w:rPr>
        <w:endnoteRef/>
      </w:r>
      <w:r>
        <w:t xml:space="preserve"> </w:t>
      </w:r>
      <w:r>
        <w:tab/>
        <w:t>ERF, 2011.</w:t>
      </w:r>
    </w:p>
  </w:endnote>
  <w:endnote w:id="96">
    <w:p w14:paraId="574F9455" w14:textId="77777777" w:rsidR="00CD4AF2" w:rsidRDefault="00CD4AF2" w:rsidP="00C959D9">
      <w:pPr>
        <w:pStyle w:val="EndnoteText"/>
        <w:ind w:left="426" w:hanging="426"/>
      </w:pPr>
      <w:r>
        <w:rPr>
          <w:rStyle w:val="EndnoteReference"/>
        </w:rPr>
        <w:endnoteRef/>
      </w:r>
      <w:r>
        <w:t xml:space="preserve"> </w:t>
      </w:r>
      <w:r>
        <w:tab/>
        <w:t>ERF, 2011.</w:t>
      </w:r>
    </w:p>
  </w:endnote>
  <w:endnote w:id="97">
    <w:p w14:paraId="22FA7312" w14:textId="77777777" w:rsidR="00CD4AF2" w:rsidRDefault="00CD4AF2" w:rsidP="00C959D9">
      <w:pPr>
        <w:pStyle w:val="EndnoteText"/>
        <w:ind w:left="426" w:hanging="426"/>
      </w:pPr>
      <w:r>
        <w:rPr>
          <w:rStyle w:val="EndnoteReference"/>
        </w:rPr>
        <w:endnoteRef/>
      </w:r>
      <w:r>
        <w:t xml:space="preserve"> </w:t>
      </w:r>
      <w:r>
        <w:tab/>
      </w:r>
      <w:r w:rsidRPr="00627356">
        <w:t>ERF</w:t>
      </w:r>
      <w:r>
        <w:t>,</w:t>
      </w:r>
      <w:r w:rsidRPr="00627356">
        <w:t xml:space="preserve"> 2011</w:t>
      </w:r>
      <w:r>
        <w:t>.</w:t>
      </w:r>
    </w:p>
  </w:endnote>
  <w:endnote w:id="98">
    <w:p w14:paraId="7D1D4C7B" w14:textId="77777777" w:rsidR="00CD4AF2" w:rsidRDefault="00CD4AF2" w:rsidP="00C959D9">
      <w:pPr>
        <w:pStyle w:val="EndnoteText"/>
        <w:ind w:left="426" w:hanging="426"/>
      </w:pPr>
      <w:r>
        <w:rPr>
          <w:rStyle w:val="EndnoteReference"/>
        </w:rPr>
        <w:endnoteRef/>
      </w:r>
      <w:r>
        <w:t xml:space="preserve"> </w:t>
      </w:r>
      <w:r>
        <w:tab/>
      </w:r>
      <w:r w:rsidRPr="00627356">
        <w:t>ERF</w:t>
      </w:r>
      <w:r>
        <w:t>,</w:t>
      </w:r>
      <w:r w:rsidRPr="00627356">
        <w:t xml:space="preserve"> 2011</w:t>
      </w:r>
      <w:r>
        <w:t>.</w:t>
      </w:r>
    </w:p>
  </w:endnote>
  <w:endnote w:id="99">
    <w:p w14:paraId="680C0DCE" w14:textId="77777777" w:rsidR="00CD4AF2" w:rsidRDefault="00CD4AF2" w:rsidP="00C959D9">
      <w:pPr>
        <w:pStyle w:val="EndnoteText"/>
        <w:ind w:left="426" w:hanging="426"/>
      </w:pPr>
      <w:r>
        <w:rPr>
          <w:rStyle w:val="EndnoteReference"/>
        </w:rPr>
        <w:endnoteRef/>
      </w:r>
      <w:r>
        <w:t xml:space="preserve"> </w:t>
      </w:r>
      <w:r>
        <w:tab/>
      </w:r>
      <w:r w:rsidRPr="00627356">
        <w:t>ERF</w:t>
      </w:r>
      <w:r>
        <w:t>,</w:t>
      </w:r>
      <w:r w:rsidRPr="00627356">
        <w:t xml:space="preserve"> 2011</w:t>
      </w:r>
      <w:r>
        <w:t>.</w:t>
      </w:r>
    </w:p>
  </w:endnote>
  <w:endnote w:id="100">
    <w:p w14:paraId="317A933E" w14:textId="77777777" w:rsidR="00CD4AF2" w:rsidRDefault="00CD4AF2" w:rsidP="00C959D9">
      <w:pPr>
        <w:pStyle w:val="EndnoteText"/>
        <w:ind w:left="426" w:hanging="426"/>
      </w:pPr>
      <w:r>
        <w:rPr>
          <w:rStyle w:val="EndnoteReference"/>
        </w:rPr>
        <w:endnoteRef/>
      </w:r>
      <w:r>
        <w:t xml:space="preserve"> </w:t>
      </w:r>
      <w:r>
        <w:tab/>
        <w:t xml:space="preserve">D Chen, </w:t>
      </w:r>
      <w:r w:rsidRPr="003E23F3">
        <w:rPr>
          <w:i/>
        </w:rPr>
        <w:t>School-based management, school decision-making and education outcomes in Indonesian primary schools,</w:t>
      </w:r>
      <w:r w:rsidRPr="00473AA6">
        <w:t xml:space="preserve"> Policy Research Working Paper 5809</w:t>
      </w:r>
      <w:r>
        <w:t>,</w:t>
      </w:r>
      <w:r w:rsidRPr="00473AA6">
        <w:t xml:space="preserve"> </w:t>
      </w:r>
      <w:r>
        <w:t>World Bank East Asia and Pacific Region Education Sector Unit, 2011.</w:t>
      </w:r>
    </w:p>
  </w:endnote>
  <w:endnote w:id="101">
    <w:p w14:paraId="6BC05575" w14:textId="75A88AF4" w:rsidR="00CD4AF2" w:rsidRDefault="00CD4AF2" w:rsidP="00C959D9">
      <w:pPr>
        <w:pStyle w:val="EndnoteText"/>
        <w:ind w:left="426" w:hanging="426"/>
      </w:pPr>
      <w:r>
        <w:rPr>
          <w:rStyle w:val="EndnoteReference"/>
        </w:rPr>
        <w:endnoteRef/>
      </w:r>
      <w:r>
        <w:t xml:space="preserve"> </w:t>
      </w:r>
      <w:r>
        <w:tab/>
      </w:r>
      <w:r w:rsidRPr="00436318">
        <w:t xml:space="preserve">DFAT, </w:t>
      </w:r>
      <w:r>
        <w:t>2014.</w:t>
      </w:r>
    </w:p>
  </w:endnote>
  <w:endnote w:id="102">
    <w:p w14:paraId="466F9195" w14:textId="77777777" w:rsidR="00CD4AF2" w:rsidRDefault="00CD4AF2" w:rsidP="00C959D9">
      <w:pPr>
        <w:pStyle w:val="EndnoteText"/>
        <w:ind w:left="426" w:hanging="426"/>
      </w:pPr>
      <w:r>
        <w:rPr>
          <w:rStyle w:val="EndnoteReference"/>
        </w:rPr>
        <w:endnoteRef/>
      </w:r>
      <w:r>
        <w:t xml:space="preserve"> </w:t>
      </w:r>
      <w:r>
        <w:tab/>
      </w:r>
      <w:r w:rsidRPr="00FD6EB9">
        <w:t>AusAID</w:t>
      </w:r>
      <w:r>
        <w:t xml:space="preserve">, </w:t>
      </w:r>
      <w:r w:rsidRPr="001E49BC">
        <w:rPr>
          <w:i/>
        </w:rPr>
        <w:t>Australian support for basic and secondary education 2010–15</w:t>
      </w:r>
      <w:r>
        <w:t xml:space="preserve">, </w:t>
      </w:r>
      <w:r w:rsidRPr="0027117F">
        <w:t>2010</w:t>
      </w:r>
      <w:r>
        <w:t>.</w:t>
      </w:r>
    </w:p>
  </w:endnote>
  <w:endnote w:id="103">
    <w:p w14:paraId="4130D5B9" w14:textId="77777777" w:rsidR="00CD4AF2" w:rsidRDefault="00CD4AF2" w:rsidP="00C959D9">
      <w:pPr>
        <w:pStyle w:val="EndnoteText"/>
        <w:ind w:left="426" w:hanging="426"/>
      </w:pPr>
      <w:r>
        <w:rPr>
          <w:rStyle w:val="EndnoteReference"/>
        </w:rPr>
        <w:endnoteRef/>
      </w:r>
      <w:r>
        <w:t xml:space="preserve"> </w:t>
      </w:r>
      <w:r>
        <w:tab/>
      </w:r>
      <w:r w:rsidRPr="00FD6EB9">
        <w:t>AusAID</w:t>
      </w:r>
      <w:r>
        <w:t>,</w:t>
      </w:r>
      <w:r w:rsidRPr="00FD6EB9">
        <w:t xml:space="preserve"> </w:t>
      </w:r>
      <w:r w:rsidRPr="001E49BC">
        <w:rPr>
          <w:i/>
        </w:rPr>
        <w:t>Australian support for basic and secondary education 2010–15</w:t>
      </w:r>
      <w:r>
        <w:t>,</w:t>
      </w:r>
      <w:r w:rsidRPr="00FD6EB9">
        <w:t xml:space="preserve"> </w:t>
      </w:r>
      <w:r>
        <w:t>2010.</w:t>
      </w:r>
    </w:p>
  </w:endnote>
  <w:endnote w:id="104">
    <w:p w14:paraId="0983F6D2" w14:textId="77777777" w:rsidR="00CD4AF2" w:rsidRDefault="00CD4AF2" w:rsidP="00C959D9">
      <w:pPr>
        <w:pStyle w:val="EndnoteText"/>
        <w:ind w:left="426" w:hanging="426"/>
      </w:pPr>
      <w:r>
        <w:rPr>
          <w:rStyle w:val="EndnoteReference"/>
        </w:rPr>
        <w:endnoteRef/>
      </w:r>
      <w:r>
        <w:t xml:space="preserve"> </w:t>
      </w:r>
      <w:r>
        <w:tab/>
      </w:r>
      <w:r w:rsidRPr="00FD6EB9">
        <w:t>AusAID</w:t>
      </w:r>
      <w:r>
        <w:t>,</w:t>
      </w:r>
      <w:r w:rsidRPr="00FD6EB9">
        <w:t xml:space="preserve"> </w:t>
      </w:r>
      <w:r w:rsidRPr="001E49BC">
        <w:rPr>
          <w:i/>
        </w:rPr>
        <w:t>Australian support for basic and secondary education 2010–15</w:t>
      </w:r>
      <w:r>
        <w:t>,</w:t>
      </w:r>
      <w:r w:rsidRPr="00FD6EB9">
        <w:t xml:space="preserve"> 2010</w:t>
      </w:r>
      <w:r>
        <w:t>.</w:t>
      </w:r>
    </w:p>
  </w:endnote>
  <w:endnote w:id="105">
    <w:p w14:paraId="26A09D3F"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 xml:space="preserve">, </w:t>
      </w:r>
      <w:r w:rsidRPr="00005D05">
        <w:t>2010</w:t>
      </w:r>
      <w:r>
        <w:t>.</w:t>
      </w:r>
    </w:p>
  </w:endnote>
  <w:endnote w:id="106">
    <w:p w14:paraId="7ABD543F"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w:t>
      </w:r>
      <w:r w:rsidRPr="00FD6EB9">
        <w:t xml:space="preserve"> </w:t>
      </w:r>
      <w:r>
        <w:t>2010, p.9.</w:t>
      </w:r>
    </w:p>
  </w:endnote>
  <w:endnote w:id="107">
    <w:p w14:paraId="4C55F756"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 xml:space="preserve">, </w:t>
      </w:r>
      <w:r w:rsidRPr="00005D05">
        <w:t>2010</w:t>
      </w:r>
      <w:r>
        <w:t>.</w:t>
      </w:r>
    </w:p>
  </w:endnote>
  <w:endnote w:id="108">
    <w:p w14:paraId="18FE813A"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 xml:space="preserve">, </w:t>
      </w:r>
      <w:r w:rsidRPr="00005D05">
        <w:t>2010</w:t>
      </w:r>
      <w:r>
        <w:t>.</w:t>
      </w:r>
    </w:p>
  </w:endnote>
  <w:endnote w:id="109">
    <w:p w14:paraId="76B03F85" w14:textId="77777777" w:rsidR="00CD4AF2" w:rsidRDefault="00CD4AF2" w:rsidP="00C959D9">
      <w:pPr>
        <w:pStyle w:val="EndnoteText"/>
        <w:ind w:left="426" w:hanging="426"/>
      </w:pPr>
      <w:r>
        <w:rPr>
          <w:rStyle w:val="EndnoteReference"/>
        </w:rPr>
        <w:endnoteRef/>
      </w:r>
      <w:r>
        <w:t xml:space="preserve"> </w:t>
      </w:r>
      <w:r>
        <w:tab/>
      </w:r>
      <w:r w:rsidRPr="00083E0A">
        <w:t>AusAID</w:t>
      </w:r>
      <w:r>
        <w:t>,</w:t>
      </w:r>
      <w:r w:rsidRPr="00083E0A">
        <w:t xml:space="preserve"> </w:t>
      </w:r>
      <w:r w:rsidRPr="001E49BC">
        <w:rPr>
          <w:i/>
        </w:rPr>
        <w:t>Australian support for basic and secondary education 2010–15</w:t>
      </w:r>
      <w:r>
        <w:t xml:space="preserve">, </w:t>
      </w:r>
      <w:r w:rsidRPr="00083E0A">
        <w:t>2010</w:t>
      </w:r>
      <w:r>
        <w:t>, p.37.</w:t>
      </w:r>
    </w:p>
  </w:endnote>
  <w:endnote w:id="110">
    <w:p w14:paraId="6281CD05" w14:textId="77777777" w:rsidR="00CD4AF2" w:rsidRDefault="00CD4AF2" w:rsidP="00C959D9">
      <w:pPr>
        <w:pStyle w:val="EndnoteText"/>
        <w:ind w:left="426" w:hanging="426"/>
      </w:pPr>
      <w:r>
        <w:rPr>
          <w:rStyle w:val="EndnoteReference"/>
        </w:rPr>
        <w:endnoteRef/>
      </w:r>
      <w:r>
        <w:t xml:space="preserve"> </w:t>
      </w:r>
      <w:r>
        <w:tab/>
        <w:t>Australian Agency for International Development,</w:t>
      </w:r>
      <w:r>
        <w:rPr>
          <w:i/>
        </w:rPr>
        <w:t xml:space="preserve"> </w:t>
      </w:r>
      <w:r w:rsidRPr="003E23F3">
        <w:rPr>
          <w:i/>
        </w:rPr>
        <w:t>A cluster evaluation of AusAID education projects in PNG,</w:t>
      </w:r>
      <w:r>
        <w:t xml:space="preserve"> AusAID, Canberra, 2010.</w:t>
      </w:r>
    </w:p>
  </w:endnote>
  <w:endnote w:id="111">
    <w:p w14:paraId="182E4DBC"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w:t>
      </w:r>
      <w:r w:rsidRPr="00FD6EB9">
        <w:t xml:space="preserve"> </w:t>
      </w:r>
      <w:r w:rsidRPr="00005D05">
        <w:t>2010</w:t>
      </w:r>
      <w:r>
        <w:t>,</w:t>
      </w:r>
      <w:r w:rsidRPr="00005D05">
        <w:t xml:space="preserve"> </w:t>
      </w:r>
      <w:r>
        <w:t>p.27.</w:t>
      </w:r>
    </w:p>
  </w:endnote>
  <w:endnote w:id="112">
    <w:p w14:paraId="4368D8EC"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w:t>
      </w:r>
      <w:r w:rsidRPr="00FD6EB9">
        <w:t xml:space="preserve"> </w:t>
      </w:r>
      <w:r w:rsidRPr="00005D05">
        <w:t>2010</w:t>
      </w:r>
      <w:r>
        <w:t>,</w:t>
      </w:r>
      <w:r w:rsidRPr="00005D05">
        <w:t xml:space="preserve"> </w:t>
      </w:r>
      <w:r>
        <w:t>p.38.</w:t>
      </w:r>
    </w:p>
  </w:endnote>
  <w:endnote w:id="113">
    <w:p w14:paraId="2856B558" w14:textId="77777777" w:rsidR="00CD4AF2" w:rsidRDefault="00CD4AF2" w:rsidP="00C959D9">
      <w:pPr>
        <w:pStyle w:val="EndnoteText"/>
        <w:ind w:left="426" w:hanging="426"/>
      </w:pPr>
      <w:r>
        <w:rPr>
          <w:rStyle w:val="EndnoteReference"/>
        </w:rPr>
        <w:endnoteRef/>
      </w:r>
      <w:r>
        <w:t xml:space="preserve"> </w:t>
      </w:r>
      <w:r>
        <w:tab/>
        <w:t xml:space="preserve">AusAID, </w:t>
      </w:r>
      <w:r w:rsidRPr="001E49BC">
        <w:rPr>
          <w:i/>
        </w:rPr>
        <w:t>A cluster evaluation of AusAID education projects in PNG,</w:t>
      </w:r>
      <w:r>
        <w:t xml:space="preserve"> 2010, p.12.</w:t>
      </w:r>
    </w:p>
  </w:endnote>
  <w:endnote w:id="114">
    <w:p w14:paraId="2177C21E"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 xml:space="preserve">A cluster evaluation of AusAID education projects in PNG, </w:t>
      </w:r>
      <w:r>
        <w:t xml:space="preserve">2010, </w:t>
      </w:r>
      <w:r w:rsidRPr="00070475">
        <w:t>p</w:t>
      </w:r>
      <w:r>
        <w:t>.</w:t>
      </w:r>
      <w:r w:rsidRPr="00070475">
        <w:t>12</w:t>
      </w:r>
      <w:r>
        <w:t>.</w:t>
      </w:r>
    </w:p>
  </w:endnote>
  <w:endnote w:id="115">
    <w:p w14:paraId="0A5EC7E0"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w:t>
      </w:r>
      <w:r w:rsidRPr="00FD6EB9">
        <w:t xml:space="preserve"> </w:t>
      </w:r>
      <w:r w:rsidRPr="00005D05">
        <w:t>2010</w:t>
      </w:r>
      <w:r>
        <w:t>, p.35.</w:t>
      </w:r>
    </w:p>
  </w:endnote>
  <w:endnote w:id="116">
    <w:p w14:paraId="7126A115"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w:t>
      </w:r>
      <w:r w:rsidRPr="00FD6EB9">
        <w:t xml:space="preserve"> </w:t>
      </w:r>
      <w:r w:rsidRPr="00005D05">
        <w:t>2010</w:t>
      </w:r>
      <w:r>
        <w:t>,</w:t>
      </w:r>
      <w:r w:rsidRPr="00005D05">
        <w:t xml:space="preserve"> </w:t>
      </w:r>
      <w:r>
        <w:t>p.55.</w:t>
      </w:r>
    </w:p>
  </w:endnote>
  <w:endnote w:id="117">
    <w:p w14:paraId="71FE921F"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 xml:space="preserve">, </w:t>
      </w:r>
      <w:r w:rsidRPr="001279DA">
        <w:t>2010</w:t>
      </w:r>
      <w:r>
        <w:t>.</w:t>
      </w:r>
    </w:p>
  </w:endnote>
  <w:endnote w:id="118">
    <w:p w14:paraId="4E3893E4" w14:textId="77777777" w:rsidR="00CD4AF2" w:rsidRDefault="00CD4AF2" w:rsidP="00C959D9">
      <w:pPr>
        <w:pStyle w:val="EndnoteText"/>
        <w:ind w:left="426" w:hanging="426"/>
      </w:pPr>
      <w:r>
        <w:rPr>
          <w:rStyle w:val="EndnoteReference"/>
        </w:rPr>
        <w:endnoteRef/>
      </w:r>
      <w:r>
        <w:t xml:space="preserve"> </w:t>
      </w:r>
      <w:r>
        <w:tab/>
      </w:r>
      <w:r w:rsidRPr="00005D05">
        <w:t>AusAID</w:t>
      </w:r>
      <w:r>
        <w:t>,</w:t>
      </w:r>
      <w:r w:rsidRPr="00005D05">
        <w:t xml:space="preserve"> </w:t>
      </w:r>
      <w:r w:rsidRPr="001E49BC">
        <w:rPr>
          <w:i/>
        </w:rPr>
        <w:t>Australian support for basic and secondary education 2010–15</w:t>
      </w:r>
      <w:r>
        <w:t>,</w:t>
      </w:r>
      <w:r w:rsidRPr="00FD6EB9">
        <w:t xml:space="preserve"> </w:t>
      </w:r>
      <w:r w:rsidRPr="00005D05">
        <w:t>2010</w:t>
      </w:r>
      <w:r>
        <w:t>, p.48.</w:t>
      </w:r>
    </w:p>
  </w:endnote>
  <w:endnote w:id="119">
    <w:p w14:paraId="6B8E6991" w14:textId="77777777" w:rsidR="00CD4AF2" w:rsidRPr="00396802" w:rsidRDefault="00CD4AF2" w:rsidP="00C959D9">
      <w:pPr>
        <w:pStyle w:val="Default"/>
        <w:spacing w:before="0"/>
        <w:ind w:left="426" w:hanging="426"/>
        <w:rPr>
          <w:szCs w:val="16"/>
        </w:rPr>
      </w:pPr>
      <w:r w:rsidRPr="00534CEF">
        <w:rPr>
          <w:rStyle w:val="EndnoteReference"/>
          <w:sz w:val="18"/>
        </w:rPr>
        <w:endnoteRef/>
      </w:r>
      <w:r w:rsidRPr="00534CEF">
        <w:rPr>
          <w:sz w:val="18"/>
        </w:rPr>
        <w:t xml:space="preserve"> </w:t>
      </w:r>
      <w:r>
        <w:rPr>
          <w:sz w:val="18"/>
        </w:rPr>
        <w:tab/>
      </w:r>
      <w:r w:rsidRPr="00C615DC">
        <w:rPr>
          <w:rFonts w:ascii="Franklin Gothic Book" w:eastAsia="Times New Roman" w:hAnsi="Franklin Gothic Book"/>
          <w:color w:val="auto"/>
          <w:sz w:val="20"/>
          <w:szCs w:val="20"/>
          <w:lang w:eastAsia="en-AU"/>
        </w:rPr>
        <w:t xml:space="preserve">AusAID, </w:t>
      </w:r>
      <w:r w:rsidRPr="00C615DC">
        <w:rPr>
          <w:rFonts w:ascii="Franklin Gothic Book" w:eastAsia="Times New Roman" w:hAnsi="Franklin Gothic Book"/>
          <w:i/>
          <w:color w:val="auto"/>
          <w:sz w:val="20"/>
          <w:szCs w:val="20"/>
          <w:lang w:eastAsia="en-AU"/>
        </w:rPr>
        <w:t>Australia Indonesia Partnership for Education: A contribution to the government of Indonesia’s education sector support program</w:t>
      </w:r>
      <w:r w:rsidRPr="00C615DC">
        <w:rPr>
          <w:rFonts w:ascii="Franklin Gothic Book" w:eastAsia="Times New Roman" w:hAnsi="Franklin Gothic Book"/>
          <w:color w:val="auto"/>
          <w:sz w:val="20"/>
          <w:szCs w:val="20"/>
          <w:lang w:eastAsia="en-AU"/>
        </w:rPr>
        <w:t>, 2010, p.17</w:t>
      </w:r>
    </w:p>
  </w:endnote>
  <w:endnote w:id="120">
    <w:p w14:paraId="5174D46A" w14:textId="1DBC0F19"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3E23F3">
        <w:rPr>
          <w:rFonts w:cs="Cambria"/>
          <w:i/>
          <w:szCs w:val="16"/>
        </w:rPr>
        <w:t>Governance of Basic Education Act 2001</w:t>
      </w:r>
      <w:r w:rsidRPr="005140F5">
        <w:rPr>
          <w:rFonts w:cs="Cambria"/>
          <w:szCs w:val="16"/>
        </w:rPr>
        <w:t>, referred to as Republic Act 9155, and accompanying Implementing Rules and Regulations</w:t>
      </w:r>
      <w:r>
        <w:rPr>
          <w:rFonts w:cs="Cambria"/>
          <w:szCs w:val="16"/>
        </w:rPr>
        <w:t xml:space="preserve">; </w:t>
      </w:r>
      <w:r>
        <w:t>Australian Agency for International Development,</w:t>
      </w:r>
      <w:r w:rsidRPr="005140F5" w:rsidDel="00AC1467">
        <w:rPr>
          <w:rFonts w:cs="Cambria"/>
          <w:szCs w:val="16"/>
        </w:rPr>
        <w:t xml:space="preserve"> </w:t>
      </w:r>
      <w:r w:rsidRPr="003E23F3">
        <w:rPr>
          <w:rFonts w:cs="Cambria"/>
          <w:i/>
          <w:szCs w:val="16"/>
        </w:rPr>
        <w:t xml:space="preserve">Strengthening </w:t>
      </w:r>
      <w:r w:rsidRPr="00AC1467">
        <w:rPr>
          <w:rFonts w:cs="Cambria"/>
          <w:i/>
          <w:szCs w:val="16"/>
        </w:rPr>
        <w:t xml:space="preserve">the implementation of basic education in selected provinces </w:t>
      </w:r>
      <w:r w:rsidRPr="003E23F3">
        <w:rPr>
          <w:rFonts w:cs="Cambria"/>
          <w:i/>
          <w:szCs w:val="16"/>
        </w:rPr>
        <w:t>in the Visayas (STRIVE),</w:t>
      </w:r>
      <w:r>
        <w:rPr>
          <w:rFonts w:cs="Cambria"/>
          <w:i/>
          <w:szCs w:val="16"/>
        </w:rPr>
        <w:t xml:space="preserve"> </w:t>
      </w:r>
      <w:r w:rsidRPr="005140F5">
        <w:rPr>
          <w:rFonts w:cs="Cambria"/>
          <w:szCs w:val="16"/>
        </w:rPr>
        <w:t>Stage 2</w:t>
      </w:r>
      <w:r>
        <w:rPr>
          <w:rFonts w:cs="Cambria"/>
          <w:szCs w:val="16"/>
        </w:rPr>
        <w:t xml:space="preserve">, </w:t>
      </w:r>
      <w:r w:rsidRPr="005140F5">
        <w:rPr>
          <w:rFonts w:cs="Cambria"/>
          <w:szCs w:val="16"/>
        </w:rPr>
        <w:t xml:space="preserve">Final Project Design Document, </w:t>
      </w:r>
      <w:r>
        <w:rPr>
          <w:rFonts w:cs="Cambria"/>
          <w:szCs w:val="16"/>
        </w:rPr>
        <w:t xml:space="preserve">AusAID, Canberra, </w:t>
      </w:r>
      <w:r w:rsidRPr="005140F5">
        <w:rPr>
          <w:rFonts w:cs="Cambria"/>
          <w:szCs w:val="16"/>
        </w:rPr>
        <w:t>2006</w:t>
      </w:r>
      <w:r>
        <w:rPr>
          <w:rFonts w:cs="Cambria"/>
          <w:szCs w:val="16"/>
        </w:rPr>
        <w:t>.</w:t>
      </w:r>
    </w:p>
  </w:endnote>
  <w:endnote w:id="121">
    <w:p w14:paraId="0A05C05A" w14:textId="77777777" w:rsidR="00CD4AF2" w:rsidRPr="005140F5" w:rsidRDefault="00CD4AF2" w:rsidP="00C959D9">
      <w:pPr>
        <w:spacing w:after="0"/>
        <w:ind w:left="426" w:hanging="426"/>
        <w:rPr>
          <w:rFonts w:cs="Cambria"/>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sidRPr="00C615DC">
        <w:rPr>
          <w:rFonts w:cs="Cambria"/>
          <w:sz w:val="20"/>
        </w:rPr>
        <w:t xml:space="preserve">AusAID, </w:t>
      </w:r>
      <w:r w:rsidRPr="00C615DC">
        <w:rPr>
          <w:rFonts w:cs="Cambria"/>
          <w:i/>
          <w:sz w:val="20"/>
        </w:rPr>
        <w:t>Strengthening the implementation of basic education in selected provinces in the Visayas (STRIVE),</w:t>
      </w:r>
      <w:r w:rsidRPr="00C615DC">
        <w:rPr>
          <w:rFonts w:cs="Cambria"/>
          <w:sz w:val="20"/>
        </w:rPr>
        <w:t xml:space="preserve"> 2006.</w:t>
      </w:r>
    </w:p>
  </w:endnote>
  <w:endnote w:id="122">
    <w:p w14:paraId="19B0E802" w14:textId="77777777" w:rsidR="00CD4AF2" w:rsidRPr="005140F5" w:rsidRDefault="00CD4AF2" w:rsidP="00C959D9">
      <w:pPr>
        <w:pStyle w:val="EndnoteText"/>
        <w:ind w:left="426" w:hanging="426"/>
        <w:rPr>
          <w:rFonts w:cs="Cambria"/>
        </w:rPr>
      </w:pPr>
      <w:r w:rsidRPr="005140F5">
        <w:rPr>
          <w:rStyle w:val="EndnoteReference"/>
          <w:rFonts w:cs="Cambria"/>
          <w:szCs w:val="16"/>
        </w:rPr>
        <w:endnoteRef/>
      </w:r>
      <w:r w:rsidRPr="005140F5">
        <w:rPr>
          <w:rFonts w:cs="Cambria"/>
          <w:szCs w:val="16"/>
        </w:rPr>
        <w:t xml:space="preserve"> </w:t>
      </w:r>
      <w:r>
        <w:rPr>
          <w:rFonts w:cs="Cambria"/>
          <w:szCs w:val="16"/>
        </w:rPr>
        <w:tab/>
      </w:r>
      <w:r>
        <w:t>Australian Agency for International Development,</w:t>
      </w:r>
      <w:r w:rsidRPr="005140F5" w:rsidDel="00AC1467">
        <w:rPr>
          <w:rFonts w:cs="Cambria"/>
          <w:szCs w:val="16"/>
        </w:rPr>
        <w:t xml:space="preserve"> </w:t>
      </w:r>
      <w:r w:rsidRPr="003E23F3">
        <w:rPr>
          <w:rFonts w:cs="Cambria"/>
          <w:i/>
          <w:szCs w:val="16"/>
        </w:rPr>
        <w:t>STRIVE quality at implementation report</w:t>
      </w:r>
      <w:r w:rsidRPr="005140F5">
        <w:rPr>
          <w:rFonts w:cs="Cambria"/>
          <w:szCs w:val="16"/>
        </w:rPr>
        <w:t xml:space="preserve">, </w:t>
      </w:r>
      <w:r>
        <w:rPr>
          <w:rFonts w:cs="Cambria"/>
          <w:szCs w:val="16"/>
        </w:rPr>
        <w:t xml:space="preserve">AusAID, Canberra, </w:t>
      </w:r>
      <w:r w:rsidRPr="005140F5">
        <w:rPr>
          <w:rFonts w:cs="Cambria"/>
          <w:szCs w:val="16"/>
        </w:rPr>
        <w:t>2010</w:t>
      </w:r>
      <w:r>
        <w:rPr>
          <w:rFonts w:cs="Cambria"/>
          <w:szCs w:val="16"/>
        </w:rPr>
        <w:t>, p.</w:t>
      </w:r>
      <w:r w:rsidRPr="005140F5">
        <w:rPr>
          <w:rFonts w:cs="Cambria"/>
          <w:szCs w:val="16"/>
        </w:rPr>
        <w:t>3.</w:t>
      </w:r>
    </w:p>
  </w:endnote>
  <w:endnote w:id="123">
    <w:p w14:paraId="32C147C1"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w:t>
      </w:r>
      <w:r w:rsidRPr="005140F5">
        <w:rPr>
          <w:rFonts w:cs="Cambria"/>
          <w:szCs w:val="16"/>
        </w:rPr>
        <w:t xml:space="preserve"> </w:t>
      </w:r>
      <w:r w:rsidRPr="001E49BC">
        <w:rPr>
          <w:rFonts w:cs="Cambria"/>
          <w:i/>
          <w:szCs w:val="16"/>
        </w:rPr>
        <w:t xml:space="preserve">Strengthening </w:t>
      </w:r>
      <w:r w:rsidRPr="00AC1467">
        <w:rPr>
          <w:rFonts w:cs="Cambria"/>
          <w:i/>
          <w:szCs w:val="16"/>
        </w:rPr>
        <w:t xml:space="preserve">the implementation of basic education in selected provinces </w:t>
      </w:r>
      <w:r w:rsidRPr="001E49BC">
        <w:rPr>
          <w:rFonts w:cs="Cambria"/>
          <w:i/>
          <w:szCs w:val="16"/>
        </w:rPr>
        <w:t xml:space="preserve">in the Visayas (STRIVE), </w:t>
      </w:r>
      <w:r w:rsidRPr="005140F5">
        <w:rPr>
          <w:rFonts w:cs="Cambria"/>
          <w:szCs w:val="16"/>
        </w:rPr>
        <w:t>2006.</w:t>
      </w:r>
    </w:p>
  </w:endnote>
  <w:endnote w:id="124">
    <w:p w14:paraId="3BEA8557"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t>Australian Agency for International Development,</w:t>
      </w:r>
      <w:r w:rsidRPr="005140F5" w:rsidDel="00AC1467">
        <w:rPr>
          <w:rFonts w:cs="Cambria"/>
          <w:szCs w:val="16"/>
        </w:rPr>
        <w:t xml:space="preserve"> </w:t>
      </w:r>
      <w:r w:rsidRPr="003E23F3">
        <w:rPr>
          <w:rFonts w:cs="Cambria"/>
          <w:i/>
          <w:szCs w:val="16"/>
        </w:rPr>
        <w:t>2007–11 Philippines strategy program performance report,</w:t>
      </w:r>
      <w:r w:rsidRPr="00AC1467">
        <w:rPr>
          <w:rFonts w:cs="Cambria"/>
          <w:szCs w:val="16"/>
        </w:rPr>
        <w:t xml:space="preserve"> </w:t>
      </w:r>
      <w:r>
        <w:rPr>
          <w:rFonts w:cs="Cambria"/>
          <w:szCs w:val="16"/>
        </w:rPr>
        <w:t xml:space="preserve">AusAID, Canberra, </w:t>
      </w:r>
      <w:r w:rsidRPr="005140F5">
        <w:rPr>
          <w:rFonts w:cs="Cambria"/>
          <w:szCs w:val="16"/>
        </w:rPr>
        <w:t>2011.</w:t>
      </w:r>
    </w:p>
  </w:endnote>
  <w:endnote w:id="125">
    <w:p w14:paraId="2F0A265C"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t>Australian Agency for International Development</w:t>
      </w:r>
      <w:r w:rsidRPr="005140F5">
        <w:rPr>
          <w:rFonts w:cs="Cambria"/>
          <w:szCs w:val="16"/>
        </w:rPr>
        <w:t xml:space="preserve">, </w:t>
      </w:r>
      <w:r w:rsidRPr="003E23F3">
        <w:rPr>
          <w:rFonts w:cs="Cambria"/>
          <w:i/>
          <w:szCs w:val="16"/>
        </w:rPr>
        <w:t xml:space="preserve">STRIVE in support of </w:t>
      </w:r>
      <w:r>
        <w:rPr>
          <w:rFonts w:cs="Cambria"/>
          <w:i/>
          <w:szCs w:val="16"/>
        </w:rPr>
        <w:t>BESRA</w:t>
      </w:r>
      <w:r w:rsidRPr="003E23F3">
        <w:rPr>
          <w:rFonts w:cs="Cambria"/>
          <w:i/>
          <w:szCs w:val="16"/>
        </w:rPr>
        <w:t>: independent completion report,</w:t>
      </w:r>
      <w:r w:rsidRPr="005140F5">
        <w:rPr>
          <w:rFonts w:cs="Cambria"/>
          <w:szCs w:val="16"/>
        </w:rPr>
        <w:t xml:space="preserve"> </w:t>
      </w:r>
      <w:r>
        <w:rPr>
          <w:rFonts w:cs="Cambria"/>
          <w:szCs w:val="16"/>
        </w:rPr>
        <w:t xml:space="preserve">AusAID, Canberra, </w:t>
      </w:r>
      <w:r w:rsidRPr="005140F5">
        <w:rPr>
          <w:rFonts w:cs="Cambria"/>
          <w:szCs w:val="16"/>
        </w:rPr>
        <w:t>2011.</w:t>
      </w:r>
    </w:p>
  </w:endnote>
  <w:endnote w:id="126">
    <w:p w14:paraId="336E6366"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r>
        <w:rPr>
          <w:rFonts w:cs="Cambria"/>
          <w:szCs w:val="16"/>
        </w:rPr>
        <w:t>, p.1</w:t>
      </w:r>
      <w:r w:rsidRPr="005140F5">
        <w:rPr>
          <w:rFonts w:cs="Cambria"/>
          <w:szCs w:val="16"/>
        </w:rPr>
        <w:t>.</w:t>
      </w:r>
    </w:p>
  </w:endnote>
  <w:endnote w:id="127">
    <w:p w14:paraId="2CE820F0" w14:textId="529BE2EF"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Including the PASMEP, PROBE, HIP and BEAM projects:</w:t>
      </w:r>
      <w:r w:rsidRPr="007B60FD">
        <w:rPr>
          <w:rFonts w:cs="Cambria"/>
          <w:sz w:val="16"/>
          <w:szCs w:val="16"/>
        </w:rPr>
        <w:t xml:space="preserve"> </w:t>
      </w:r>
      <w:r w:rsidRPr="005A4CDA">
        <w:rPr>
          <w:rFonts w:cs="Cambria"/>
          <w:sz w:val="18"/>
          <w:szCs w:val="16"/>
        </w:rPr>
        <w:t xml:space="preserve">AusAID, </w:t>
      </w:r>
      <w:r w:rsidRPr="00383DBF">
        <w:rPr>
          <w:rFonts w:cs="Cambria"/>
          <w:i/>
          <w:szCs w:val="16"/>
        </w:rPr>
        <w:t xml:space="preserve">Strengthening the </w:t>
      </w:r>
      <w:r w:rsidRPr="00AC1467">
        <w:rPr>
          <w:rFonts w:cs="Cambria"/>
          <w:i/>
          <w:szCs w:val="16"/>
        </w:rPr>
        <w:t xml:space="preserve">implementation of basic education in selected provinces </w:t>
      </w:r>
      <w:r w:rsidRPr="00383DBF">
        <w:rPr>
          <w:rFonts w:cs="Cambria"/>
          <w:i/>
          <w:szCs w:val="16"/>
        </w:rPr>
        <w:t>in the Visayas (STRIVE),</w:t>
      </w:r>
      <w:r w:rsidRPr="005140F5">
        <w:rPr>
          <w:rFonts w:cs="Cambria"/>
          <w:sz w:val="16"/>
          <w:szCs w:val="16"/>
        </w:rPr>
        <w:t xml:space="preserve"> 2006.</w:t>
      </w:r>
      <w:r>
        <w:rPr>
          <w:rFonts w:cs="Cambria"/>
          <w:szCs w:val="16"/>
        </w:rPr>
        <w:t xml:space="preserve"> </w:t>
      </w:r>
    </w:p>
  </w:endnote>
  <w:endnote w:id="128">
    <w:p w14:paraId="60446BB4" w14:textId="77777777" w:rsidR="00CD4AF2" w:rsidRPr="005140F5" w:rsidRDefault="00CD4AF2" w:rsidP="00C959D9">
      <w:pPr>
        <w:tabs>
          <w:tab w:val="left" w:pos="284"/>
        </w:tabs>
        <w:autoSpaceDE w:val="0"/>
        <w:autoSpaceDN w:val="0"/>
        <w:adjustRightInd w:val="0"/>
        <w:spacing w:before="0" w:after="0"/>
        <w:ind w:left="426" w:hanging="426"/>
        <w:rPr>
          <w:rFonts w:cs="Cambria"/>
          <w:bCs/>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rPr>
        <w:t xml:space="preserve">Refer to World Bank, </w:t>
      </w:r>
      <w:r w:rsidRPr="00C615DC">
        <w:rPr>
          <w:rFonts w:cs="Cambria"/>
          <w:bCs/>
          <w:i/>
          <w:sz w:val="20"/>
        </w:rPr>
        <w:t>Impact evaluation for school-based management reform,</w:t>
      </w:r>
      <w:r w:rsidRPr="00C615DC">
        <w:rPr>
          <w:rFonts w:cs="Cambria"/>
          <w:bCs/>
          <w:sz w:val="20"/>
        </w:rPr>
        <w:t xml:space="preserve"> Impact Evaluation No. 10, World Bank Thematic Group on Poverty Analysis, Monitoring and Impact Evaluation, 2007.</w:t>
      </w:r>
    </w:p>
  </w:endnote>
  <w:endnote w:id="129">
    <w:p w14:paraId="3BE4D466" w14:textId="77777777" w:rsidR="00CD4AF2" w:rsidRPr="005140F5" w:rsidRDefault="00CD4AF2" w:rsidP="00C959D9">
      <w:pPr>
        <w:tabs>
          <w:tab w:val="left" w:pos="284"/>
        </w:tabs>
        <w:spacing w:before="0" w:after="0"/>
        <w:ind w:left="426" w:hanging="426"/>
        <w:rPr>
          <w:rFonts w:cs="Cambria"/>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rPr>
        <w:t xml:space="preserve">AusAID, </w:t>
      </w:r>
      <w:r w:rsidRPr="00C615DC">
        <w:rPr>
          <w:rFonts w:cs="Cambria"/>
          <w:i/>
          <w:sz w:val="20"/>
        </w:rPr>
        <w:t>STRIVE quality at implementation report,</w:t>
      </w:r>
      <w:r w:rsidRPr="00C615DC">
        <w:rPr>
          <w:rFonts w:cs="Cambria"/>
          <w:sz w:val="20"/>
        </w:rPr>
        <w:t xml:space="preserve"> 2010.</w:t>
      </w:r>
    </w:p>
  </w:endnote>
  <w:endnote w:id="130">
    <w:p w14:paraId="54B51822" w14:textId="415DD526"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r>
        <w:rPr>
          <w:rFonts w:cs="Cambria"/>
          <w:szCs w:val="16"/>
        </w:rPr>
        <w:t>,</w:t>
      </w:r>
      <w:r w:rsidRPr="007B60FD">
        <w:rPr>
          <w:rFonts w:cs="Cambria"/>
          <w:szCs w:val="16"/>
        </w:rPr>
        <w:t xml:space="preserve"> </w:t>
      </w:r>
      <w:r w:rsidRPr="005140F5">
        <w:rPr>
          <w:rFonts w:cs="Cambria"/>
          <w:szCs w:val="16"/>
        </w:rPr>
        <w:t>p.6.</w:t>
      </w:r>
    </w:p>
  </w:endnote>
  <w:endnote w:id="131">
    <w:p w14:paraId="426BAA57" w14:textId="77777777" w:rsidR="00CD4AF2" w:rsidRPr="00760702" w:rsidRDefault="00CD4AF2" w:rsidP="00C959D9">
      <w:pPr>
        <w:pStyle w:val="EndnoteText"/>
        <w:ind w:left="426" w:hanging="426"/>
        <w:rPr>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r>
        <w:rPr>
          <w:rFonts w:cs="Cambria"/>
          <w:szCs w:val="16"/>
        </w:rPr>
        <w:t xml:space="preserve">, </w:t>
      </w:r>
      <w:proofErr w:type="spellStart"/>
      <w:r w:rsidRPr="005140F5">
        <w:rPr>
          <w:rFonts w:cs="Cambria"/>
          <w:szCs w:val="16"/>
        </w:rPr>
        <w:t>p.i</w:t>
      </w:r>
      <w:proofErr w:type="spellEnd"/>
      <w:r w:rsidRPr="005140F5">
        <w:rPr>
          <w:rFonts w:cs="Cambria"/>
          <w:szCs w:val="16"/>
        </w:rPr>
        <w:t>.</w:t>
      </w:r>
    </w:p>
  </w:endnote>
  <w:endnote w:id="132">
    <w:p w14:paraId="3772AB37"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C615DC">
        <w:rPr>
          <w:rFonts w:cs="Cambria"/>
        </w:rPr>
        <w:t xml:space="preserve">AusAID, </w:t>
      </w:r>
      <w:r w:rsidRPr="00C615DC">
        <w:rPr>
          <w:rFonts w:cs="Cambria"/>
          <w:i/>
        </w:rPr>
        <w:t>STRIVE activity completion report</w:t>
      </w:r>
      <w:r w:rsidRPr="00C615DC">
        <w:rPr>
          <w:rFonts w:cs="Cambria"/>
        </w:rPr>
        <w:t xml:space="preserve">, </w:t>
      </w:r>
      <w:r w:rsidRPr="00610727">
        <w:rPr>
          <w:rFonts w:cs="Cambria"/>
        </w:rPr>
        <w:t>2011.</w:t>
      </w:r>
    </w:p>
  </w:endnote>
  <w:endnote w:id="133">
    <w:p w14:paraId="451F2E21" w14:textId="77777777" w:rsidR="00CD4AF2" w:rsidRPr="005140F5" w:rsidRDefault="00CD4AF2" w:rsidP="00C959D9">
      <w:pPr>
        <w:tabs>
          <w:tab w:val="left" w:pos="284"/>
        </w:tabs>
        <w:spacing w:before="0" w:after="0"/>
        <w:ind w:left="426" w:hanging="426"/>
        <w:rPr>
          <w:rFonts w:cs="Cambria"/>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rPr>
        <w:t xml:space="preserve">AusAID, </w:t>
      </w:r>
      <w:r w:rsidRPr="00C615DC">
        <w:rPr>
          <w:rFonts w:cs="Cambria"/>
          <w:i/>
          <w:sz w:val="20"/>
        </w:rPr>
        <w:t>STRIVE activity completion report</w:t>
      </w:r>
      <w:r w:rsidRPr="00C615DC">
        <w:rPr>
          <w:rFonts w:cs="Cambria"/>
          <w:sz w:val="20"/>
        </w:rPr>
        <w:t>, 2011.</w:t>
      </w:r>
    </w:p>
  </w:endnote>
  <w:endnote w:id="134">
    <w:p w14:paraId="583976F6"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r>
        <w:rPr>
          <w:rFonts w:cs="Cambria"/>
          <w:szCs w:val="16"/>
        </w:rPr>
        <w:t>.</w:t>
      </w:r>
    </w:p>
  </w:endnote>
  <w:endnote w:id="135">
    <w:p w14:paraId="2F95A671" w14:textId="33FE784C" w:rsidR="00CD4AF2" w:rsidRPr="005140F5" w:rsidRDefault="00CD4AF2" w:rsidP="00C959D9">
      <w:pPr>
        <w:pStyle w:val="EndnoteText"/>
        <w:ind w:left="426" w:hanging="426"/>
        <w:rPr>
          <w:rFonts w:cs="Cambria"/>
          <w:szCs w:val="16"/>
          <w:lang w:val="en-US"/>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lang w:val="en-US"/>
        </w:rPr>
        <w:t>Cebu Core Teams</w:t>
      </w:r>
      <w:r>
        <w:rPr>
          <w:rFonts w:cs="Cambria"/>
          <w:szCs w:val="16"/>
          <w:lang w:val="en-US"/>
        </w:rPr>
        <w:t>, p</w:t>
      </w:r>
      <w:r w:rsidRPr="005140F5">
        <w:rPr>
          <w:rFonts w:cs="Cambria"/>
          <w:szCs w:val="16"/>
          <w:lang w:val="en-US"/>
        </w:rPr>
        <w:t>ersonal communication</w:t>
      </w:r>
      <w:r>
        <w:rPr>
          <w:rFonts w:cs="Cambria"/>
          <w:szCs w:val="16"/>
          <w:lang w:val="en-US"/>
        </w:rPr>
        <w:t>,</w:t>
      </w:r>
      <w:r w:rsidRPr="005140F5">
        <w:rPr>
          <w:rFonts w:cs="Cambria"/>
          <w:szCs w:val="16"/>
          <w:lang w:val="en-US"/>
        </w:rPr>
        <w:t xml:space="preserve"> in</w:t>
      </w:r>
      <w:r>
        <w:rPr>
          <w:rFonts w:cs="Cambria"/>
          <w:szCs w:val="16"/>
          <w:lang w:val="en-US"/>
        </w:rPr>
        <w:t>:</w:t>
      </w:r>
      <w:r w:rsidRPr="005140F5">
        <w:rPr>
          <w:rFonts w:cs="Cambria"/>
          <w:szCs w:val="16"/>
          <w:lang w:val="en-US"/>
        </w:rPr>
        <w:t xml:space="preserve"> </w:t>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r>
        <w:rPr>
          <w:rFonts w:cs="Cambria"/>
          <w:szCs w:val="16"/>
        </w:rPr>
        <w:t>.</w:t>
      </w:r>
    </w:p>
  </w:endnote>
  <w:endnote w:id="136">
    <w:p w14:paraId="1B1F062F"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C615DC">
        <w:rPr>
          <w:rFonts w:cs="Cambria"/>
        </w:rPr>
        <w:t xml:space="preserve">AusAID, </w:t>
      </w:r>
      <w:r w:rsidRPr="00C615DC">
        <w:rPr>
          <w:rFonts w:cs="Cambria"/>
          <w:i/>
        </w:rPr>
        <w:t>STRIVE activity completion report</w:t>
      </w:r>
      <w:r w:rsidRPr="00C615DC">
        <w:rPr>
          <w:rFonts w:cs="Cambria"/>
        </w:rPr>
        <w:t xml:space="preserve">, </w:t>
      </w:r>
      <w:r w:rsidRPr="00B17CEE">
        <w:rPr>
          <w:rFonts w:cs="Cambria"/>
        </w:rPr>
        <w:t>2011, p.23.</w:t>
      </w:r>
    </w:p>
  </w:endnote>
  <w:endnote w:id="137">
    <w:p w14:paraId="103CF758"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C615DC">
        <w:rPr>
          <w:rFonts w:cs="Cambria"/>
        </w:rPr>
        <w:t xml:space="preserve">AusAID, </w:t>
      </w:r>
      <w:r w:rsidRPr="00C615DC">
        <w:rPr>
          <w:rFonts w:cs="Cambria"/>
          <w:i/>
        </w:rPr>
        <w:t>STRIVE activity completion report</w:t>
      </w:r>
      <w:r w:rsidRPr="00C615DC">
        <w:rPr>
          <w:rFonts w:cs="Cambria"/>
        </w:rPr>
        <w:t xml:space="preserve">, </w:t>
      </w:r>
      <w:r w:rsidRPr="00B17CEE">
        <w:rPr>
          <w:rFonts w:cs="Cambria"/>
        </w:rPr>
        <w:t>2011.</w:t>
      </w:r>
    </w:p>
  </w:endnote>
  <w:endnote w:id="138">
    <w:p w14:paraId="0DE99C46"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C615DC">
        <w:rPr>
          <w:rFonts w:cs="Cambria"/>
        </w:rPr>
        <w:t xml:space="preserve">AusAID, </w:t>
      </w:r>
      <w:r w:rsidRPr="00C615DC">
        <w:rPr>
          <w:rFonts w:cs="Cambria"/>
          <w:i/>
        </w:rPr>
        <w:t>STRIVE activity completion report</w:t>
      </w:r>
      <w:r w:rsidRPr="00C615DC">
        <w:rPr>
          <w:rFonts w:cs="Cambria"/>
        </w:rPr>
        <w:t xml:space="preserve">, </w:t>
      </w:r>
      <w:r w:rsidRPr="00B17CEE">
        <w:rPr>
          <w:rFonts w:cs="Cambria"/>
        </w:rPr>
        <w:t>2011, p.23.</w:t>
      </w:r>
    </w:p>
  </w:endnote>
  <w:endnote w:id="139">
    <w:p w14:paraId="561CF0D6"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r>
        <w:rPr>
          <w:rFonts w:cs="Cambria"/>
          <w:szCs w:val="16"/>
        </w:rPr>
        <w:t xml:space="preserve">, </w:t>
      </w:r>
      <w:r w:rsidRPr="005140F5">
        <w:rPr>
          <w:rFonts w:cs="Cambria"/>
          <w:szCs w:val="16"/>
        </w:rPr>
        <w:t>p.25</w:t>
      </w:r>
      <w:r>
        <w:rPr>
          <w:rFonts w:cs="Cambria"/>
          <w:szCs w:val="16"/>
        </w:rPr>
        <w:t>.</w:t>
      </w:r>
    </w:p>
  </w:endnote>
  <w:endnote w:id="140">
    <w:p w14:paraId="2F501F8E" w14:textId="77777777" w:rsidR="00CD4AF2" w:rsidRPr="005140F5" w:rsidRDefault="00CD4AF2" w:rsidP="00C959D9">
      <w:pPr>
        <w:tabs>
          <w:tab w:val="left" w:pos="284"/>
        </w:tabs>
        <w:spacing w:before="0" w:after="0"/>
        <w:ind w:left="426" w:hanging="426"/>
        <w:rPr>
          <w:rFonts w:cs="Cambria"/>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rPr>
        <w:t xml:space="preserve">AusAID, </w:t>
      </w:r>
      <w:r w:rsidRPr="00C615DC">
        <w:rPr>
          <w:rFonts w:cs="Cambria"/>
          <w:i/>
          <w:sz w:val="20"/>
        </w:rPr>
        <w:t>STRIVE quality at implementation report,</w:t>
      </w:r>
      <w:r w:rsidRPr="00C615DC">
        <w:rPr>
          <w:rFonts w:cs="Cambria"/>
          <w:sz w:val="20"/>
        </w:rPr>
        <w:t xml:space="preserve"> 2010, p.2.</w:t>
      </w:r>
      <w:r w:rsidRPr="005140F5">
        <w:rPr>
          <w:rFonts w:cs="Cambria"/>
          <w:sz w:val="16"/>
          <w:szCs w:val="16"/>
        </w:rPr>
        <w:t xml:space="preserve"> </w:t>
      </w:r>
    </w:p>
  </w:endnote>
  <w:endnote w:id="141">
    <w:p w14:paraId="2FD74DF3" w14:textId="77777777" w:rsidR="00CD4AF2" w:rsidRDefault="00CD4AF2" w:rsidP="00C959D9">
      <w:pPr>
        <w:pStyle w:val="EndnoteText"/>
        <w:ind w:left="426" w:hanging="426"/>
      </w:pPr>
      <w:r>
        <w:rPr>
          <w:rStyle w:val="EndnoteReference"/>
        </w:rPr>
        <w:endnoteRef/>
      </w:r>
      <w:r>
        <w:t xml:space="preserve"> </w:t>
      </w:r>
      <w: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r>
        <w:rPr>
          <w:rFonts w:cs="Cambria"/>
          <w:szCs w:val="16"/>
        </w:rPr>
        <w:t xml:space="preserve">, </w:t>
      </w:r>
      <w:r>
        <w:t>p.15.</w:t>
      </w:r>
    </w:p>
  </w:endnote>
  <w:endnote w:id="142">
    <w:p w14:paraId="71D62211" w14:textId="77777777" w:rsidR="00CD4AF2" w:rsidRPr="005140F5" w:rsidRDefault="00CD4AF2" w:rsidP="00C959D9">
      <w:pPr>
        <w:tabs>
          <w:tab w:val="left" w:pos="284"/>
        </w:tabs>
        <w:spacing w:before="0" w:after="0"/>
        <w:ind w:left="426" w:hanging="426"/>
        <w:rPr>
          <w:rFonts w:cs="Cambria"/>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sz w:val="20"/>
        </w:rPr>
        <w:t>Australian Agency for International Development,</w:t>
      </w:r>
      <w:r w:rsidRPr="00C615DC" w:rsidDel="00AC1467">
        <w:rPr>
          <w:rFonts w:cs="Cambria"/>
          <w:sz w:val="20"/>
        </w:rPr>
        <w:t xml:space="preserve"> </w:t>
      </w:r>
      <w:r w:rsidRPr="00C615DC">
        <w:rPr>
          <w:rFonts w:cs="Cambria"/>
          <w:i/>
          <w:sz w:val="20"/>
        </w:rPr>
        <w:t>Independent evaluation of STRIVE: management response</w:t>
      </w:r>
      <w:r w:rsidRPr="00C615DC">
        <w:rPr>
          <w:rFonts w:cs="Cambria"/>
          <w:sz w:val="20"/>
        </w:rPr>
        <w:t>, AusAID, Canberra, 2011, p.5.</w:t>
      </w:r>
    </w:p>
  </w:endnote>
  <w:endnote w:id="143">
    <w:p w14:paraId="3EE5C842"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t xml:space="preserve">Australian Agency for International Development, </w:t>
      </w:r>
      <w:r w:rsidRPr="003E23F3">
        <w:rPr>
          <w:rFonts w:cs="Cambria"/>
          <w:i/>
          <w:szCs w:val="16"/>
        </w:rPr>
        <w:t>STRIVE</w:t>
      </w:r>
      <w:r>
        <w:rPr>
          <w:rFonts w:cs="Cambria"/>
          <w:i/>
          <w:szCs w:val="16"/>
        </w:rPr>
        <w:t xml:space="preserve"> </w:t>
      </w:r>
      <w:r w:rsidRPr="003E23F3">
        <w:rPr>
          <w:rFonts w:cs="Cambria"/>
          <w:i/>
          <w:szCs w:val="16"/>
        </w:rPr>
        <w:t>stage 2 design,</w:t>
      </w:r>
      <w:r>
        <w:rPr>
          <w:rFonts w:cs="Cambria"/>
          <w:i/>
          <w:szCs w:val="16"/>
        </w:rPr>
        <w:t xml:space="preserve"> </w:t>
      </w:r>
      <w:r w:rsidRPr="003E23F3">
        <w:rPr>
          <w:rFonts w:cs="Cambria"/>
          <w:i/>
          <w:szCs w:val="16"/>
        </w:rPr>
        <w:t>final project design document,</w:t>
      </w:r>
      <w:r>
        <w:rPr>
          <w:rFonts w:cs="Cambria"/>
          <w:szCs w:val="16"/>
        </w:rPr>
        <w:t xml:space="preserve"> AusAID, Canberra,</w:t>
      </w:r>
      <w:r w:rsidRPr="005140F5">
        <w:rPr>
          <w:rFonts w:cs="Cambria"/>
          <w:szCs w:val="16"/>
        </w:rPr>
        <w:t xml:space="preserve"> 2006.</w:t>
      </w:r>
    </w:p>
  </w:endnote>
  <w:endnote w:id="144">
    <w:p w14:paraId="10405CFA"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p>
  </w:endnote>
  <w:endnote w:id="145">
    <w:p w14:paraId="103BA3DC" w14:textId="77777777" w:rsidR="00CD4AF2" w:rsidRDefault="00CD4AF2" w:rsidP="00C959D9">
      <w:pPr>
        <w:pStyle w:val="EndnoteText"/>
        <w:ind w:left="426" w:hanging="426"/>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 </w:t>
      </w:r>
      <w:proofErr w:type="spellStart"/>
      <w:r w:rsidRPr="005140F5">
        <w:rPr>
          <w:rFonts w:cs="Cambria"/>
          <w:szCs w:val="16"/>
        </w:rPr>
        <w:t>p.iii</w:t>
      </w:r>
      <w:proofErr w:type="spellEnd"/>
      <w:r w:rsidRPr="005140F5">
        <w:rPr>
          <w:rFonts w:cs="Cambria"/>
          <w:szCs w:val="16"/>
        </w:rPr>
        <w:t>.</w:t>
      </w:r>
    </w:p>
  </w:endnote>
  <w:endnote w:id="146">
    <w:p w14:paraId="5B09FBDF"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 </w:t>
      </w:r>
      <w:proofErr w:type="spellStart"/>
      <w:r w:rsidRPr="005140F5">
        <w:rPr>
          <w:rFonts w:cs="Cambria"/>
          <w:szCs w:val="16"/>
        </w:rPr>
        <w:t>p.iii</w:t>
      </w:r>
      <w:proofErr w:type="spellEnd"/>
      <w:r w:rsidRPr="005140F5">
        <w:rPr>
          <w:rFonts w:cs="Cambria"/>
          <w:szCs w:val="16"/>
        </w:rPr>
        <w:t>.</w:t>
      </w:r>
    </w:p>
  </w:endnote>
  <w:endnote w:id="147">
    <w:p w14:paraId="291088C2"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p>
  </w:endnote>
  <w:endnote w:id="148">
    <w:p w14:paraId="7A5B3FC8"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p>
  </w:endnote>
  <w:endnote w:id="149">
    <w:p w14:paraId="19AADC89"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p>
  </w:endnote>
  <w:endnote w:id="150">
    <w:p w14:paraId="4ADB376E"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AusAID</w:t>
      </w:r>
      <w:r>
        <w:rPr>
          <w:rFonts w:cs="Cambria"/>
          <w:szCs w:val="16"/>
        </w:rPr>
        <w:t xml:space="preserve">, </w:t>
      </w:r>
      <w:r w:rsidRPr="001E49BC">
        <w:rPr>
          <w:rFonts w:cs="Cambria"/>
          <w:i/>
          <w:szCs w:val="16"/>
        </w:rPr>
        <w:t xml:space="preserve">STRIVE in support of </w:t>
      </w:r>
      <w:r>
        <w:rPr>
          <w:rFonts w:cs="Cambria"/>
          <w:i/>
          <w:szCs w:val="16"/>
        </w:rPr>
        <w:t>BESRA</w:t>
      </w:r>
      <w:r w:rsidRPr="001E49BC">
        <w:rPr>
          <w:rFonts w:cs="Cambria"/>
          <w:i/>
          <w:szCs w:val="16"/>
        </w:rPr>
        <w:t>: independent completion report,</w:t>
      </w:r>
      <w:r w:rsidRPr="005140F5">
        <w:rPr>
          <w:rFonts w:cs="Cambria"/>
          <w:szCs w:val="16"/>
        </w:rPr>
        <w:t xml:space="preserve"> 2011</w:t>
      </w:r>
    </w:p>
  </w:endnote>
  <w:endnote w:id="151">
    <w:p w14:paraId="56EA51A0" w14:textId="77777777" w:rsidR="00CD4AF2" w:rsidRPr="005140F5" w:rsidRDefault="00CD4AF2" w:rsidP="00C959D9">
      <w:pPr>
        <w:tabs>
          <w:tab w:val="left" w:pos="284"/>
        </w:tabs>
        <w:spacing w:before="0" w:after="0"/>
        <w:ind w:left="426" w:hanging="426"/>
        <w:rPr>
          <w:rFonts w:cs="Cambria"/>
          <w:color w:val="F0985D"/>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rPr>
        <w:t xml:space="preserve">AusAID, </w:t>
      </w:r>
      <w:r w:rsidRPr="00C615DC">
        <w:rPr>
          <w:rFonts w:cs="Cambria"/>
          <w:i/>
          <w:sz w:val="20"/>
        </w:rPr>
        <w:t xml:space="preserve">STRIVE in support of </w:t>
      </w:r>
      <w:r>
        <w:rPr>
          <w:rFonts w:cs="Cambria"/>
          <w:i/>
          <w:sz w:val="20"/>
        </w:rPr>
        <w:t>BESRA</w:t>
      </w:r>
      <w:r w:rsidRPr="00C615DC">
        <w:rPr>
          <w:rFonts w:cs="Cambria"/>
          <w:i/>
          <w:sz w:val="20"/>
        </w:rPr>
        <w:t>: independent completion report,</w:t>
      </w:r>
      <w:r w:rsidRPr="00C615DC">
        <w:rPr>
          <w:rFonts w:cs="Cambria"/>
          <w:sz w:val="20"/>
        </w:rPr>
        <w:t xml:space="preserve"> 2011.</w:t>
      </w:r>
    </w:p>
  </w:endnote>
  <w:endnote w:id="152">
    <w:p w14:paraId="764A38B8" w14:textId="77777777" w:rsidR="00CD4AF2" w:rsidRPr="005140F5" w:rsidRDefault="00CD4AF2" w:rsidP="00C959D9">
      <w:pPr>
        <w:tabs>
          <w:tab w:val="left" w:pos="284"/>
        </w:tabs>
        <w:spacing w:before="0" w:after="0"/>
        <w:ind w:left="426" w:hanging="426"/>
        <w:rPr>
          <w:rFonts w:cs="Cambria"/>
          <w:color w:val="F0985D"/>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rPr>
        <w:t xml:space="preserve">AusAID, </w:t>
      </w:r>
      <w:r w:rsidRPr="00C615DC">
        <w:rPr>
          <w:rFonts w:cs="Cambria"/>
          <w:i/>
          <w:sz w:val="20"/>
        </w:rPr>
        <w:t xml:space="preserve">STRIVE in support of </w:t>
      </w:r>
      <w:r>
        <w:rPr>
          <w:rFonts w:cs="Cambria"/>
          <w:i/>
          <w:sz w:val="20"/>
        </w:rPr>
        <w:t>BESRA</w:t>
      </w:r>
      <w:r w:rsidRPr="00C615DC">
        <w:rPr>
          <w:rFonts w:cs="Cambria"/>
          <w:i/>
          <w:sz w:val="20"/>
        </w:rPr>
        <w:t>: independent completion report,</w:t>
      </w:r>
      <w:r w:rsidRPr="00C615DC">
        <w:rPr>
          <w:rFonts w:cs="Cambria"/>
          <w:sz w:val="20"/>
        </w:rPr>
        <w:t xml:space="preserve"> 2011</w:t>
      </w:r>
      <w:r w:rsidRPr="005140F5">
        <w:rPr>
          <w:rFonts w:cs="Cambria"/>
          <w:sz w:val="16"/>
          <w:szCs w:val="16"/>
        </w:rPr>
        <w:t xml:space="preserve"> </w:t>
      </w:r>
    </w:p>
  </w:endnote>
  <w:endnote w:id="153">
    <w:p w14:paraId="186EE3A2" w14:textId="77777777" w:rsidR="00CD4AF2" w:rsidRDefault="00CD4AF2" w:rsidP="00C959D9">
      <w:pPr>
        <w:pStyle w:val="EndnoteText"/>
        <w:ind w:left="426" w:hanging="426"/>
      </w:pPr>
      <w:r w:rsidRPr="005140F5">
        <w:rPr>
          <w:rStyle w:val="EndnoteReference"/>
          <w:rFonts w:cs="Cambria"/>
          <w:szCs w:val="16"/>
        </w:rPr>
        <w:endnoteRef/>
      </w:r>
      <w:r w:rsidRPr="005140F5">
        <w:rPr>
          <w:rFonts w:cs="Cambria"/>
          <w:szCs w:val="16"/>
        </w:rPr>
        <w:t xml:space="preserve"> </w:t>
      </w:r>
      <w:r>
        <w:rPr>
          <w:rFonts w:cs="Cambria"/>
          <w:szCs w:val="16"/>
        </w:rPr>
        <w:tab/>
      </w:r>
      <w:r w:rsidRPr="00383DBF">
        <w:rPr>
          <w:rFonts w:cs="Cambria"/>
          <w:szCs w:val="17"/>
        </w:rPr>
        <w:t xml:space="preserve">AusAID, </w:t>
      </w:r>
      <w:r w:rsidRPr="00383DBF">
        <w:rPr>
          <w:rFonts w:cs="Cambria"/>
          <w:i/>
          <w:szCs w:val="17"/>
        </w:rPr>
        <w:t xml:space="preserve">STRIVE in support of </w:t>
      </w:r>
      <w:r>
        <w:rPr>
          <w:rFonts w:cs="Cambria"/>
          <w:i/>
          <w:szCs w:val="17"/>
        </w:rPr>
        <w:t>BESRA</w:t>
      </w:r>
      <w:r w:rsidRPr="00383DBF">
        <w:rPr>
          <w:rFonts w:cs="Cambria"/>
          <w:i/>
          <w:szCs w:val="17"/>
        </w:rPr>
        <w:t>: independent completion report,</w:t>
      </w:r>
      <w:r w:rsidRPr="005140F5">
        <w:rPr>
          <w:rFonts w:cs="Cambria"/>
          <w:szCs w:val="16"/>
        </w:rPr>
        <w:t xml:space="preserve"> 2011, p.25</w:t>
      </w:r>
      <w:r>
        <w:rPr>
          <w:rFonts w:cs="Cambria"/>
          <w:szCs w:val="16"/>
        </w:rPr>
        <w:t>.</w:t>
      </w:r>
    </w:p>
  </w:endnote>
  <w:endnote w:id="154">
    <w:p w14:paraId="711F69D5" w14:textId="77777777" w:rsidR="00CD4AF2" w:rsidRDefault="00CD4AF2" w:rsidP="00C959D9">
      <w:pPr>
        <w:pStyle w:val="EndnoteText"/>
        <w:ind w:left="426" w:hanging="426"/>
      </w:pPr>
      <w:r>
        <w:rPr>
          <w:rStyle w:val="EndnoteReference"/>
        </w:rPr>
        <w:endnoteRef/>
      </w:r>
      <w:r>
        <w:t xml:space="preserve"> </w:t>
      </w:r>
      <w:r>
        <w:tab/>
        <w:t xml:space="preserve">H Lockwood, </w:t>
      </w:r>
      <w:r w:rsidRPr="003E23F3">
        <w:rPr>
          <w:i/>
        </w:rPr>
        <w:t>Water, sanitation and decentralised government. An overview pape</w:t>
      </w:r>
      <w:r>
        <w:rPr>
          <w:i/>
        </w:rPr>
        <w:t>r,</w:t>
      </w:r>
      <w:r>
        <w:t xml:space="preserve"> prepared by </w:t>
      </w:r>
      <w:proofErr w:type="spellStart"/>
      <w:r>
        <w:t>Aquaconsult</w:t>
      </w:r>
      <w:proofErr w:type="spellEnd"/>
      <w:r>
        <w:t xml:space="preserve">, </w:t>
      </w:r>
      <w:r w:rsidRPr="00D51D60">
        <w:t>2006</w:t>
      </w:r>
      <w:r>
        <w:t>.</w:t>
      </w:r>
    </w:p>
  </w:endnote>
  <w:endnote w:id="155">
    <w:p w14:paraId="7C5A2EE8" w14:textId="77777777" w:rsidR="00CD4AF2" w:rsidRDefault="00CD4AF2" w:rsidP="00C959D9">
      <w:pPr>
        <w:pStyle w:val="EndnoteText"/>
        <w:ind w:left="426" w:hanging="426"/>
      </w:pPr>
      <w:r>
        <w:rPr>
          <w:rStyle w:val="EndnoteReference"/>
        </w:rPr>
        <w:endnoteRef/>
      </w:r>
      <w:r>
        <w:t xml:space="preserve"> </w:t>
      </w:r>
      <w:r>
        <w:tab/>
        <w:t xml:space="preserve">H </w:t>
      </w:r>
      <w:r w:rsidRPr="00891A5F">
        <w:t xml:space="preserve">Lockwood </w:t>
      </w:r>
      <w:r>
        <w:t>&amp;</w:t>
      </w:r>
      <w:r w:rsidRPr="00891A5F">
        <w:t xml:space="preserve"> </w:t>
      </w:r>
      <w:r>
        <w:t xml:space="preserve">S </w:t>
      </w:r>
      <w:r w:rsidRPr="00891A5F">
        <w:t>Smits</w:t>
      </w:r>
      <w:r>
        <w:t xml:space="preserve">, </w:t>
      </w:r>
      <w:r w:rsidRPr="003E23F3">
        <w:rPr>
          <w:i/>
        </w:rPr>
        <w:t>Support rural water supply: moving towards a service delivery approach</w:t>
      </w:r>
      <w:r>
        <w:t>, p</w:t>
      </w:r>
      <w:r w:rsidRPr="00891A5F">
        <w:t xml:space="preserve">repared by IRC Water and Sanitation Centre </w:t>
      </w:r>
      <w:r>
        <w:t>&amp;</w:t>
      </w:r>
      <w:r w:rsidRPr="00891A5F">
        <w:t xml:space="preserve"> </w:t>
      </w:r>
      <w:proofErr w:type="spellStart"/>
      <w:r w:rsidRPr="00891A5F">
        <w:t>Aquaconsult</w:t>
      </w:r>
      <w:proofErr w:type="spellEnd"/>
      <w:r w:rsidRPr="00891A5F">
        <w:t>, 2011</w:t>
      </w:r>
      <w:r>
        <w:t>.</w:t>
      </w:r>
    </w:p>
  </w:endnote>
  <w:endnote w:id="156">
    <w:p w14:paraId="2AC67DB5" w14:textId="77777777" w:rsidR="00CD4AF2" w:rsidRDefault="00CD4AF2" w:rsidP="00C959D9">
      <w:pPr>
        <w:pStyle w:val="EndnoteText"/>
        <w:ind w:left="426" w:hanging="426"/>
      </w:pPr>
    </w:p>
  </w:endnote>
  <w:endnote w:id="157">
    <w:p w14:paraId="1BD1534F" w14:textId="77777777" w:rsidR="00CD4AF2" w:rsidRDefault="00CD4AF2" w:rsidP="00C959D9">
      <w:pPr>
        <w:pStyle w:val="EndnoteText"/>
        <w:ind w:left="426" w:hanging="426"/>
      </w:pPr>
      <w:r>
        <w:rPr>
          <w:rStyle w:val="EndnoteReference"/>
        </w:rPr>
        <w:endnoteRef/>
      </w:r>
      <w:r>
        <w:t xml:space="preserve"> </w:t>
      </w:r>
      <w:r>
        <w:tab/>
      </w:r>
      <w:r w:rsidRPr="00383DBF">
        <w:rPr>
          <w:rFonts w:cs="Cambria"/>
          <w:szCs w:val="17"/>
        </w:rPr>
        <w:t>Australian Agency for International Development</w:t>
      </w:r>
      <w:r>
        <w:t xml:space="preserve">, </w:t>
      </w:r>
      <w:r w:rsidRPr="003E23F3">
        <w:rPr>
          <w:i/>
        </w:rPr>
        <w:t>Saving lives</w:t>
      </w:r>
      <w:r>
        <w:rPr>
          <w:i/>
        </w:rPr>
        <w:t>:</w:t>
      </w:r>
      <w:r w:rsidRPr="003E23F3">
        <w:rPr>
          <w:i/>
        </w:rPr>
        <w:t xml:space="preserve"> Improving public health by increasing access to safe water and sanitation,</w:t>
      </w:r>
      <w:r>
        <w:t xml:space="preserve"> AusAID, Canberra, 2011.</w:t>
      </w:r>
    </w:p>
  </w:endnote>
  <w:endnote w:id="158">
    <w:p w14:paraId="4875CD46" w14:textId="4459CF87" w:rsidR="00CD4AF2" w:rsidRPr="00096744" w:rsidRDefault="00CD4AF2" w:rsidP="00C959D9">
      <w:pPr>
        <w:autoSpaceDE w:val="0"/>
        <w:autoSpaceDN w:val="0"/>
        <w:adjustRightInd w:val="0"/>
        <w:spacing w:before="0" w:after="0" w:line="240" w:lineRule="auto"/>
        <w:ind w:left="426" w:hanging="426"/>
        <w:rPr>
          <w:sz w:val="16"/>
          <w:szCs w:val="16"/>
        </w:rPr>
      </w:pPr>
      <w:r w:rsidRPr="00096744">
        <w:rPr>
          <w:rStyle w:val="EndnoteReference"/>
          <w:sz w:val="16"/>
          <w:szCs w:val="16"/>
        </w:rPr>
        <w:endnoteRef/>
      </w:r>
      <w:r>
        <w:rPr>
          <w:sz w:val="16"/>
          <w:szCs w:val="16"/>
        </w:rPr>
        <w:t xml:space="preserve"> </w:t>
      </w:r>
      <w:r>
        <w:rPr>
          <w:sz w:val="16"/>
          <w:szCs w:val="16"/>
        </w:rPr>
        <w:tab/>
      </w:r>
      <w:r w:rsidRPr="00921A4C">
        <w:rPr>
          <w:sz w:val="20"/>
        </w:rPr>
        <w:t xml:space="preserve">Australian Agency for International Development, </w:t>
      </w:r>
      <w:r w:rsidRPr="00C615DC">
        <w:rPr>
          <w:i/>
          <w:sz w:val="20"/>
        </w:rPr>
        <w:t xml:space="preserve">Sustainable economic development: </w:t>
      </w:r>
      <w:r>
        <w:rPr>
          <w:i/>
          <w:sz w:val="20"/>
        </w:rPr>
        <w:t>t</w:t>
      </w:r>
      <w:r w:rsidRPr="00C615DC">
        <w:rPr>
          <w:i/>
          <w:sz w:val="20"/>
        </w:rPr>
        <w:t>ransport, water, urban, energy and communications infrastructure,</w:t>
      </w:r>
      <w:r w:rsidRPr="00921A4C">
        <w:rPr>
          <w:sz w:val="20"/>
        </w:rPr>
        <w:t xml:space="preserve"> AusAID, Canberra, 2011.</w:t>
      </w:r>
    </w:p>
  </w:endnote>
  <w:endnote w:id="159">
    <w:p w14:paraId="24E01EAE" w14:textId="27EC7ED4" w:rsidR="00CD4AF2" w:rsidRDefault="00CD4AF2" w:rsidP="00C959D9">
      <w:pPr>
        <w:pStyle w:val="EndnoteText"/>
        <w:ind w:left="426" w:hanging="426"/>
      </w:pPr>
      <w:r>
        <w:rPr>
          <w:rStyle w:val="EndnoteReference"/>
        </w:rPr>
        <w:endnoteRef/>
      </w:r>
      <w:r>
        <w:t xml:space="preserve"> </w:t>
      </w:r>
      <w:r>
        <w:tab/>
      </w:r>
      <w:r w:rsidRPr="009A42DE">
        <w:t xml:space="preserve">DFAT, </w:t>
      </w:r>
      <w:r>
        <w:t>2014.</w:t>
      </w:r>
    </w:p>
  </w:endnote>
  <w:endnote w:id="160">
    <w:p w14:paraId="6A50CC85" w14:textId="36CA606F" w:rsidR="00CD4AF2" w:rsidRDefault="00CD4AF2" w:rsidP="00C959D9">
      <w:pPr>
        <w:pStyle w:val="EndnoteText"/>
        <w:ind w:left="426" w:hanging="426"/>
      </w:pPr>
      <w:r>
        <w:rPr>
          <w:rStyle w:val="EndnoteReference"/>
        </w:rPr>
        <w:endnoteRef/>
      </w:r>
      <w:r>
        <w:t xml:space="preserve"> </w:t>
      </w:r>
      <w:r>
        <w:tab/>
        <w:t xml:space="preserve">AusAID, </w:t>
      </w:r>
      <w:r>
        <w:rPr>
          <w:i/>
        </w:rPr>
        <w:t xml:space="preserve">Australia’s International Development Assistance Program 2013–14—Effective aid: helping the world’s poor, </w:t>
      </w:r>
      <w:r w:rsidRPr="0016035D">
        <w:t>2013</w:t>
      </w:r>
      <w:r w:rsidRPr="008952E3">
        <w:t>.</w:t>
      </w:r>
      <w:r>
        <w:t xml:space="preserve"> </w:t>
      </w:r>
    </w:p>
  </w:endnote>
  <w:endnote w:id="161">
    <w:p w14:paraId="38C2FF35" w14:textId="77777777" w:rsidR="00CD4AF2" w:rsidRDefault="00CD4AF2" w:rsidP="00C959D9">
      <w:pPr>
        <w:pStyle w:val="EndnoteText"/>
        <w:ind w:left="426" w:hanging="426"/>
      </w:pPr>
      <w:r>
        <w:rPr>
          <w:rStyle w:val="EndnoteReference"/>
        </w:rPr>
        <w:endnoteRef/>
      </w:r>
      <w:r>
        <w:t xml:space="preserve"> </w:t>
      </w:r>
      <w:r>
        <w:tab/>
      </w:r>
      <w:r w:rsidRPr="008841C4">
        <w:t>Indonesia Infrastructure Initiative</w:t>
      </w:r>
      <w:r>
        <w:t xml:space="preserve">, </w:t>
      </w:r>
      <w:r w:rsidRPr="003E23F3">
        <w:rPr>
          <w:i/>
        </w:rPr>
        <w:t>Institutionalising hibah grants in Indonesia: Discussion paper,</w:t>
      </w:r>
      <w:r w:rsidRPr="008841C4">
        <w:t xml:space="preserve"> Technical Report, </w:t>
      </w:r>
      <w:r>
        <w:t>IndII,</w:t>
      </w:r>
      <w:r w:rsidRPr="00E12771">
        <w:rPr>
          <w:rFonts w:cs="Cambria"/>
          <w:szCs w:val="17"/>
        </w:rPr>
        <w:t xml:space="preserve"> </w:t>
      </w:r>
      <w:r w:rsidRPr="00383DBF">
        <w:rPr>
          <w:rFonts w:cs="Cambria"/>
          <w:szCs w:val="17"/>
        </w:rPr>
        <w:t>Australian Agency for International Development</w:t>
      </w:r>
      <w:r>
        <w:t>,</w:t>
      </w:r>
      <w:r w:rsidRPr="008841C4">
        <w:t xml:space="preserve"> </w:t>
      </w:r>
      <w:r w:rsidRPr="00D51D60">
        <w:t>2010</w:t>
      </w:r>
      <w:r>
        <w:t>.</w:t>
      </w:r>
    </w:p>
  </w:endnote>
  <w:endnote w:id="162">
    <w:p w14:paraId="2BC55585" w14:textId="77777777" w:rsidR="00CD4AF2" w:rsidRDefault="00CD4AF2" w:rsidP="00C959D9">
      <w:pPr>
        <w:pStyle w:val="EndnoteText"/>
        <w:ind w:left="426" w:hanging="426"/>
      </w:pPr>
      <w:r>
        <w:rPr>
          <w:rStyle w:val="EndnoteReference"/>
        </w:rPr>
        <w:endnoteRef/>
      </w:r>
      <w:r>
        <w:t xml:space="preserve"> </w:t>
      </w:r>
      <w:r>
        <w:tab/>
      </w:r>
      <w:r w:rsidRPr="00383DBF">
        <w:rPr>
          <w:rFonts w:cs="Cambria"/>
          <w:szCs w:val="17"/>
        </w:rPr>
        <w:t>Australian Agency for International Development</w:t>
      </w:r>
      <w:r>
        <w:t>,</w:t>
      </w:r>
      <w:r w:rsidRPr="003A66E2">
        <w:t xml:space="preserve"> </w:t>
      </w:r>
      <w:r w:rsidRPr="003E23F3">
        <w:rPr>
          <w:i/>
        </w:rPr>
        <w:t xml:space="preserve">Water and Sanitation Initiative </w:t>
      </w:r>
      <w:r w:rsidRPr="00E12771">
        <w:rPr>
          <w:i/>
        </w:rPr>
        <w:t xml:space="preserve">design summary </w:t>
      </w:r>
      <w:r w:rsidRPr="003E23F3">
        <w:rPr>
          <w:i/>
        </w:rPr>
        <w:t xml:space="preserve">and </w:t>
      </w:r>
      <w:r w:rsidRPr="00E12771">
        <w:rPr>
          <w:i/>
        </w:rPr>
        <w:t>implementation document</w:t>
      </w:r>
      <w:r w:rsidRPr="003E23F3">
        <w:rPr>
          <w:i/>
        </w:rPr>
        <w:t>,</w:t>
      </w:r>
      <w:r w:rsidRPr="003A66E2">
        <w:t xml:space="preserve"> </w:t>
      </w:r>
      <w:r>
        <w:t xml:space="preserve">AusAID, Canberra, </w:t>
      </w:r>
      <w:r w:rsidRPr="00D51D60">
        <w:t>2009</w:t>
      </w:r>
      <w:r>
        <w:t>.</w:t>
      </w:r>
    </w:p>
  </w:endnote>
  <w:endnote w:id="163">
    <w:p w14:paraId="4C6E8ACF" w14:textId="77777777" w:rsidR="00CD4AF2" w:rsidRDefault="00CD4AF2" w:rsidP="00C959D9">
      <w:pPr>
        <w:pStyle w:val="EndnoteText"/>
        <w:ind w:left="426" w:hanging="426"/>
      </w:pPr>
      <w:r>
        <w:rPr>
          <w:rStyle w:val="EndnoteReference"/>
        </w:rPr>
        <w:endnoteRef/>
      </w:r>
      <w:r>
        <w:t xml:space="preserve"> </w:t>
      </w:r>
      <w:r>
        <w:tab/>
      </w:r>
      <w:r w:rsidRPr="00383DBF">
        <w:rPr>
          <w:rFonts w:cs="Cambria"/>
          <w:szCs w:val="17"/>
        </w:rPr>
        <w:t>Australian Agency for International Development</w:t>
      </w:r>
      <w:r>
        <w:t>,</w:t>
      </w:r>
      <w:r w:rsidRPr="008841C4">
        <w:t xml:space="preserve"> </w:t>
      </w:r>
      <w:r w:rsidRPr="00566E65">
        <w:rPr>
          <w:i/>
        </w:rPr>
        <w:t>Independent evaluation of the Hibah Program Indonesia,</w:t>
      </w:r>
      <w:r w:rsidRPr="008841C4">
        <w:t xml:space="preserve"> </w:t>
      </w:r>
      <w:r w:rsidRPr="005A4CDA">
        <w:rPr>
          <w:i/>
        </w:rPr>
        <w:t>draft final evaluation report,</w:t>
      </w:r>
      <w:r>
        <w:t xml:space="preserve"> AusAID, Canberra,</w:t>
      </w:r>
      <w:r w:rsidRPr="008841C4">
        <w:t xml:space="preserve"> 2011</w:t>
      </w:r>
      <w:r>
        <w:t>.</w:t>
      </w:r>
    </w:p>
  </w:endnote>
  <w:endnote w:id="164">
    <w:p w14:paraId="47D00994" w14:textId="77777777" w:rsidR="00CD4AF2" w:rsidRDefault="00CD4AF2" w:rsidP="00C959D9">
      <w:pPr>
        <w:pStyle w:val="EndnoteText"/>
        <w:ind w:left="426" w:hanging="426"/>
      </w:pPr>
      <w:r>
        <w:rPr>
          <w:rStyle w:val="EndnoteReference"/>
        </w:rPr>
        <w:endnoteRef/>
      </w:r>
      <w:r>
        <w:t xml:space="preserve"> </w:t>
      </w:r>
      <w:r>
        <w:tab/>
      </w:r>
      <w:r w:rsidRPr="00824E32">
        <w:t>AusAID</w:t>
      </w:r>
      <w:r>
        <w:t>,</w:t>
      </w:r>
      <w:r w:rsidRPr="00824E32">
        <w:t xml:space="preserve"> </w:t>
      </w:r>
      <w:r w:rsidRPr="00436C7E">
        <w:rPr>
          <w:i/>
        </w:rPr>
        <w:t xml:space="preserve">Water and Sanitation Initiative </w:t>
      </w:r>
      <w:r w:rsidRPr="00E12771">
        <w:rPr>
          <w:i/>
        </w:rPr>
        <w:t xml:space="preserve">design summary </w:t>
      </w:r>
      <w:r w:rsidRPr="00436C7E">
        <w:rPr>
          <w:i/>
        </w:rPr>
        <w:t xml:space="preserve">and </w:t>
      </w:r>
      <w:r w:rsidRPr="00E12771">
        <w:rPr>
          <w:i/>
        </w:rPr>
        <w:t>implementation document</w:t>
      </w:r>
      <w:r>
        <w:rPr>
          <w:i/>
        </w:rPr>
        <w:t>,</w:t>
      </w:r>
      <w:r w:rsidRPr="00824E32" w:rsidDel="00E12771">
        <w:t xml:space="preserve"> </w:t>
      </w:r>
      <w:r w:rsidRPr="00824E32">
        <w:t>2009</w:t>
      </w:r>
      <w:r>
        <w:t xml:space="preserve">; </w:t>
      </w:r>
      <w:r w:rsidRPr="00383DBF">
        <w:rPr>
          <w:rFonts w:cs="Cambria"/>
          <w:szCs w:val="17"/>
        </w:rPr>
        <w:t>Australian Agency for International Development</w:t>
      </w:r>
      <w:r>
        <w:t>,</w:t>
      </w:r>
      <w:r w:rsidRPr="003A66E2">
        <w:t xml:space="preserve"> </w:t>
      </w:r>
      <w:r w:rsidRPr="003E23F3">
        <w:rPr>
          <w:i/>
        </w:rPr>
        <w:t>Quality at implementation report for Water and Sanitation Hibah phase 2,</w:t>
      </w:r>
      <w:r>
        <w:t xml:space="preserve"> AusAID, Canberra, </w:t>
      </w:r>
      <w:r w:rsidRPr="00F071AD">
        <w:t>2009</w:t>
      </w:r>
      <w:r>
        <w:t>.</w:t>
      </w:r>
    </w:p>
  </w:endnote>
  <w:endnote w:id="165">
    <w:p w14:paraId="130C5F91" w14:textId="77777777" w:rsidR="00CD4AF2" w:rsidRDefault="00CD4AF2" w:rsidP="00C959D9">
      <w:pPr>
        <w:pStyle w:val="EndnoteText"/>
        <w:ind w:left="426" w:hanging="426"/>
      </w:pPr>
      <w:r>
        <w:rPr>
          <w:rStyle w:val="EndnoteReference"/>
        </w:rPr>
        <w:endnoteRef/>
      </w:r>
      <w:r>
        <w:t xml:space="preserve"> </w:t>
      </w:r>
      <w:r>
        <w:tab/>
      </w:r>
      <w:r w:rsidRPr="00824E32">
        <w:t>AusAID</w:t>
      </w:r>
      <w:r>
        <w:t>,</w:t>
      </w:r>
      <w:r w:rsidRPr="00824E32">
        <w:t xml:space="preserve"> </w:t>
      </w:r>
      <w:r w:rsidRPr="00436C7E">
        <w:rPr>
          <w:i/>
        </w:rPr>
        <w:t xml:space="preserve">Water and Sanitation Initiative </w:t>
      </w:r>
      <w:r w:rsidRPr="00E12771">
        <w:rPr>
          <w:i/>
        </w:rPr>
        <w:t xml:space="preserve">design summary </w:t>
      </w:r>
      <w:r w:rsidRPr="00436C7E">
        <w:rPr>
          <w:i/>
        </w:rPr>
        <w:t xml:space="preserve">and </w:t>
      </w:r>
      <w:r w:rsidRPr="00E12771">
        <w:rPr>
          <w:i/>
        </w:rPr>
        <w:t>implementation document</w:t>
      </w:r>
      <w:r>
        <w:rPr>
          <w:i/>
        </w:rPr>
        <w:t>,</w:t>
      </w:r>
      <w:r w:rsidRPr="00824E32" w:rsidDel="00E12771">
        <w:t xml:space="preserve"> </w:t>
      </w:r>
      <w:r w:rsidRPr="00824E32">
        <w:t>2009</w:t>
      </w:r>
      <w:r>
        <w:t>.</w:t>
      </w:r>
    </w:p>
  </w:endnote>
  <w:endnote w:id="166">
    <w:p w14:paraId="5CBAE742" w14:textId="77777777" w:rsidR="00CD4AF2" w:rsidRDefault="00CD4AF2" w:rsidP="00C959D9">
      <w:pPr>
        <w:pStyle w:val="EndnoteText"/>
        <w:ind w:left="426" w:hanging="426"/>
      </w:pPr>
      <w:r>
        <w:rPr>
          <w:rStyle w:val="EndnoteReference"/>
        </w:rPr>
        <w:endnoteRef/>
      </w:r>
      <w:r>
        <w:t xml:space="preserve"> </w:t>
      </w:r>
      <w:r>
        <w:tab/>
      </w:r>
      <w:r w:rsidRPr="004874C8">
        <w:t>AusAID</w:t>
      </w:r>
      <w:r>
        <w:t>,</w:t>
      </w:r>
      <w:r w:rsidRPr="004874C8">
        <w:t xml:space="preserve"> </w:t>
      </w:r>
      <w:r w:rsidRPr="00436C7E">
        <w:rPr>
          <w:i/>
        </w:rPr>
        <w:t>Independent evaluation of the Hibah Program Indonesia,</w:t>
      </w:r>
      <w:r w:rsidRPr="008841C4">
        <w:t xml:space="preserve"> </w:t>
      </w:r>
      <w:r w:rsidRPr="004874C8">
        <w:t>2011</w:t>
      </w:r>
      <w:r>
        <w:t>.</w:t>
      </w:r>
    </w:p>
  </w:endnote>
  <w:endnote w:id="167">
    <w:p w14:paraId="0946C7EA" w14:textId="77777777" w:rsidR="00CD4AF2" w:rsidRDefault="00CD4AF2" w:rsidP="00C959D9">
      <w:pPr>
        <w:pStyle w:val="EndnoteText"/>
        <w:ind w:left="426" w:hanging="426"/>
      </w:pPr>
      <w:r>
        <w:rPr>
          <w:rStyle w:val="EndnoteReference"/>
        </w:rPr>
        <w:endnoteRef/>
      </w:r>
      <w:r>
        <w:t xml:space="preserve"> </w:t>
      </w:r>
      <w:r>
        <w:tab/>
      </w:r>
      <w:r w:rsidRPr="00985C26">
        <w:t>AusAID</w:t>
      </w:r>
      <w:r>
        <w:t>,</w:t>
      </w:r>
      <w:r w:rsidRPr="00985C26">
        <w:t xml:space="preserve"> </w:t>
      </w:r>
      <w:r w:rsidRPr="00436C7E">
        <w:rPr>
          <w:i/>
        </w:rPr>
        <w:t>Independent evaluation of the Hibah Program Indonesia,</w:t>
      </w:r>
      <w:r>
        <w:t xml:space="preserve"> 2011.</w:t>
      </w:r>
    </w:p>
  </w:endnote>
  <w:endnote w:id="168">
    <w:p w14:paraId="63B33A23" w14:textId="77777777" w:rsidR="00CD4AF2" w:rsidRDefault="00CD4AF2" w:rsidP="00C959D9">
      <w:pPr>
        <w:pStyle w:val="EndnoteText"/>
        <w:ind w:left="426" w:hanging="426"/>
      </w:pPr>
      <w:r>
        <w:rPr>
          <w:rStyle w:val="EndnoteReference"/>
        </w:rPr>
        <w:endnoteRef/>
      </w:r>
      <w:r>
        <w:t xml:space="preserve"> </w:t>
      </w:r>
      <w:r>
        <w:tab/>
      </w:r>
      <w:r w:rsidRPr="0059638C">
        <w:t>AusAID</w:t>
      </w:r>
      <w:r>
        <w:t>,</w:t>
      </w:r>
      <w:r w:rsidRPr="0059638C">
        <w:t xml:space="preserve"> </w:t>
      </w:r>
      <w:r w:rsidRPr="00436C7E">
        <w:rPr>
          <w:i/>
        </w:rPr>
        <w:t>Quality at implementation report for Water and Sanitation Hibah phase 2</w:t>
      </w:r>
      <w:r>
        <w:rPr>
          <w:i/>
        </w:rPr>
        <w:t xml:space="preserve">, </w:t>
      </w:r>
      <w:r w:rsidRPr="0059638C">
        <w:t>2011</w:t>
      </w:r>
      <w:r>
        <w:t>.</w:t>
      </w:r>
    </w:p>
  </w:endnote>
  <w:endnote w:id="169">
    <w:p w14:paraId="16060E99" w14:textId="77777777" w:rsidR="00CD4AF2" w:rsidRDefault="00CD4AF2" w:rsidP="00C959D9">
      <w:pPr>
        <w:pStyle w:val="EndnoteText"/>
        <w:ind w:left="426" w:hanging="426"/>
      </w:pPr>
      <w:r>
        <w:rPr>
          <w:rStyle w:val="EndnoteReference"/>
        </w:rPr>
        <w:endnoteRef/>
      </w:r>
      <w:r>
        <w:t xml:space="preserve"> </w:t>
      </w:r>
      <w:r>
        <w:tab/>
      </w:r>
      <w:r w:rsidRPr="000D508D">
        <w:t>AusAID</w:t>
      </w:r>
      <w:r>
        <w:t>,</w:t>
      </w:r>
      <w:r w:rsidRPr="000D508D">
        <w:t xml:space="preserve"> </w:t>
      </w:r>
      <w:r w:rsidRPr="00436C7E">
        <w:rPr>
          <w:i/>
        </w:rPr>
        <w:t>Independent evaluation of the Hibah Program Indonesia,</w:t>
      </w:r>
      <w:r>
        <w:t xml:space="preserve"> </w:t>
      </w:r>
      <w:r w:rsidRPr="000D508D">
        <w:t>2011</w:t>
      </w:r>
      <w:r>
        <w:t xml:space="preserve">; </w:t>
      </w:r>
      <w:r w:rsidRPr="008C14AA">
        <w:t>AusAID</w:t>
      </w:r>
      <w:r>
        <w:t>,</w:t>
      </w:r>
      <w:r w:rsidRPr="008C14AA">
        <w:t xml:space="preserve"> </w:t>
      </w:r>
      <w:r w:rsidRPr="00436C7E">
        <w:rPr>
          <w:i/>
        </w:rPr>
        <w:t xml:space="preserve">Water and Sanitation Initiative </w:t>
      </w:r>
      <w:r w:rsidRPr="00E12771">
        <w:rPr>
          <w:i/>
        </w:rPr>
        <w:t xml:space="preserve">design summary </w:t>
      </w:r>
      <w:r w:rsidRPr="00436C7E">
        <w:rPr>
          <w:i/>
        </w:rPr>
        <w:t xml:space="preserve">and </w:t>
      </w:r>
      <w:r w:rsidRPr="00E12771">
        <w:rPr>
          <w:i/>
        </w:rPr>
        <w:t>implementation document</w:t>
      </w:r>
      <w:r>
        <w:rPr>
          <w:i/>
        </w:rPr>
        <w:t>,</w:t>
      </w:r>
      <w:r w:rsidRPr="00824E32" w:rsidDel="00E12771">
        <w:t xml:space="preserve"> </w:t>
      </w:r>
      <w:r w:rsidRPr="008C14AA">
        <w:t>2009</w:t>
      </w:r>
      <w:r>
        <w:t xml:space="preserve">, </w:t>
      </w:r>
      <w:proofErr w:type="spellStart"/>
      <w:r>
        <w:t>p.v</w:t>
      </w:r>
      <w:proofErr w:type="spellEnd"/>
      <w:r>
        <w:t>.</w:t>
      </w:r>
    </w:p>
  </w:endnote>
  <w:endnote w:id="170">
    <w:p w14:paraId="016AD3D6" w14:textId="77777777" w:rsidR="00CD4AF2" w:rsidRDefault="00CD4AF2" w:rsidP="00C959D9">
      <w:pPr>
        <w:pStyle w:val="EndnoteText"/>
        <w:ind w:left="426" w:hanging="426"/>
      </w:pPr>
      <w:r>
        <w:rPr>
          <w:rStyle w:val="EndnoteReference"/>
        </w:rPr>
        <w:endnoteRef/>
      </w:r>
      <w:r>
        <w:t xml:space="preserve"> </w:t>
      </w:r>
      <w:r>
        <w:tab/>
      </w:r>
      <w:r w:rsidRPr="008C14AA">
        <w:t>AusAID</w:t>
      </w:r>
      <w:r>
        <w:t>,</w:t>
      </w:r>
      <w:r w:rsidRPr="008C14AA">
        <w:t xml:space="preserve"> </w:t>
      </w:r>
      <w:r w:rsidRPr="00436C7E">
        <w:rPr>
          <w:i/>
        </w:rPr>
        <w:t xml:space="preserve">Water and Sanitation Initiative </w:t>
      </w:r>
      <w:r w:rsidRPr="00E12771">
        <w:rPr>
          <w:i/>
        </w:rPr>
        <w:t xml:space="preserve">design summary </w:t>
      </w:r>
      <w:r w:rsidRPr="00436C7E">
        <w:rPr>
          <w:i/>
        </w:rPr>
        <w:t xml:space="preserve">and </w:t>
      </w:r>
      <w:r w:rsidRPr="00E12771">
        <w:rPr>
          <w:i/>
        </w:rPr>
        <w:t>implementation document</w:t>
      </w:r>
      <w:r>
        <w:rPr>
          <w:i/>
        </w:rPr>
        <w:t>,</w:t>
      </w:r>
      <w:r w:rsidRPr="00824E32" w:rsidDel="00E12771">
        <w:t xml:space="preserve"> </w:t>
      </w:r>
      <w:r w:rsidRPr="008C14AA">
        <w:t>2009</w:t>
      </w:r>
      <w:r>
        <w:t>.</w:t>
      </w:r>
    </w:p>
  </w:endnote>
  <w:endnote w:id="171">
    <w:p w14:paraId="7A4D5A75" w14:textId="77777777" w:rsidR="00CD4AF2" w:rsidRDefault="00CD4AF2" w:rsidP="00C959D9">
      <w:pPr>
        <w:pStyle w:val="EndnoteText"/>
        <w:ind w:left="426" w:hanging="426"/>
      </w:pPr>
      <w:r>
        <w:rPr>
          <w:rStyle w:val="EndnoteReference"/>
        </w:rPr>
        <w:endnoteRef/>
      </w:r>
      <w:r>
        <w:t xml:space="preserve"> </w:t>
      </w:r>
      <w:r>
        <w:tab/>
      </w:r>
      <w:r w:rsidRPr="00985C26">
        <w:t>AusAID</w:t>
      </w:r>
      <w:r>
        <w:t>,</w:t>
      </w:r>
      <w:r w:rsidRPr="00985C26">
        <w:t xml:space="preserve"> </w:t>
      </w:r>
      <w:r w:rsidRPr="00436C7E">
        <w:rPr>
          <w:i/>
        </w:rPr>
        <w:t>Independent evaluation of the Hibah Program Indonesia,</w:t>
      </w:r>
      <w:r>
        <w:t xml:space="preserve"> </w:t>
      </w:r>
      <w:r w:rsidRPr="00985C26">
        <w:t>2011, p</w:t>
      </w:r>
      <w:r>
        <w:t>.</w:t>
      </w:r>
      <w:r w:rsidRPr="00985C26">
        <w:t>16</w:t>
      </w:r>
      <w:r>
        <w:t>.</w:t>
      </w:r>
    </w:p>
  </w:endnote>
  <w:endnote w:id="172">
    <w:p w14:paraId="049430AC" w14:textId="794931A7" w:rsidR="00CD4AF2" w:rsidRPr="0032788A" w:rsidRDefault="00CD4AF2" w:rsidP="00C959D9">
      <w:pPr>
        <w:tabs>
          <w:tab w:val="left" w:pos="284"/>
        </w:tabs>
        <w:autoSpaceDE w:val="0"/>
        <w:autoSpaceDN w:val="0"/>
        <w:adjustRightInd w:val="0"/>
        <w:spacing w:before="0" w:after="0"/>
        <w:ind w:left="426" w:hanging="426"/>
        <w:rPr>
          <w:sz w:val="16"/>
          <w:szCs w:val="14"/>
        </w:rPr>
      </w:pPr>
      <w:r>
        <w:rPr>
          <w:rStyle w:val="EndnoteReference"/>
        </w:rPr>
        <w:endnoteRef/>
      </w:r>
      <w:r>
        <w:t xml:space="preserve"> </w:t>
      </w:r>
      <w:r>
        <w:tab/>
      </w:r>
      <w:r>
        <w:tab/>
      </w:r>
      <w:r w:rsidRPr="00C615DC">
        <w:rPr>
          <w:sz w:val="20"/>
        </w:rPr>
        <w:t xml:space="preserve">Australian Agency for International Development, </w:t>
      </w:r>
      <w:r w:rsidRPr="00C615DC">
        <w:rPr>
          <w:i/>
          <w:sz w:val="20"/>
        </w:rPr>
        <w:t xml:space="preserve">Quality at implementation report for Water and Sanitation Hibah phase 2, </w:t>
      </w:r>
      <w:r w:rsidRPr="00C615DC">
        <w:rPr>
          <w:sz w:val="20"/>
        </w:rPr>
        <w:t>AusAID, Canberra, 2013.</w:t>
      </w:r>
    </w:p>
  </w:endnote>
  <w:endnote w:id="173">
    <w:p w14:paraId="441BE05F" w14:textId="77777777" w:rsidR="00CD4AF2" w:rsidRDefault="00CD4AF2" w:rsidP="00C959D9">
      <w:pPr>
        <w:pStyle w:val="EndnoteText"/>
        <w:ind w:left="426" w:hanging="426"/>
      </w:pPr>
      <w:r>
        <w:rPr>
          <w:rStyle w:val="EndnoteReference"/>
        </w:rPr>
        <w:endnoteRef/>
      </w:r>
      <w:r>
        <w:t xml:space="preserve"> </w:t>
      </w:r>
      <w:r>
        <w:tab/>
      </w:r>
      <w:r w:rsidRPr="008841C4">
        <w:t>Indonesia Infrastructure Initiative</w:t>
      </w:r>
      <w:r>
        <w:t xml:space="preserve">, </w:t>
      </w:r>
      <w:r w:rsidRPr="003E23F3">
        <w:rPr>
          <w:i/>
        </w:rPr>
        <w:t xml:space="preserve">Assessment of the </w:t>
      </w:r>
      <w:proofErr w:type="spellStart"/>
      <w:r w:rsidRPr="003E23F3">
        <w:rPr>
          <w:i/>
        </w:rPr>
        <w:t>Umbulan</w:t>
      </w:r>
      <w:proofErr w:type="spellEnd"/>
      <w:r w:rsidRPr="003E23F3">
        <w:rPr>
          <w:i/>
        </w:rPr>
        <w:t xml:space="preserve"> spring and financial reform of 20 PDAMs activities,</w:t>
      </w:r>
      <w:r>
        <w:t xml:space="preserve"> IndII, </w:t>
      </w:r>
      <w:r w:rsidRPr="00383DBF">
        <w:rPr>
          <w:rFonts w:cs="Cambria"/>
          <w:szCs w:val="17"/>
        </w:rPr>
        <w:t>Australian Agency for International Development</w:t>
      </w:r>
      <w:r>
        <w:rPr>
          <w:rFonts w:cs="Cambria"/>
          <w:szCs w:val="17"/>
        </w:rPr>
        <w:t>,</w:t>
      </w:r>
      <w:r>
        <w:t xml:space="preserve"> 2010, p.6.</w:t>
      </w:r>
    </w:p>
  </w:endnote>
  <w:endnote w:id="174">
    <w:p w14:paraId="7C7B6497" w14:textId="77777777" w:rsidR="00CD4AF2" w:rsidRDefault="00CD4AF2" w:rsidP="00C959D9">
      <w:pPr>
        <w:pStyle w:val="EndnoteText"/>
        <w:ind w:left="426" w:hanging="426"/>
      </w:pPr>
      <w:r>
        <w:rPr>
          <w:rStyle w:val="EndnoteReference"/>
        </w:rPr>
        <w:endnoteRef/>
      </w:r>
      <w:r>
        <w:t xml:space="preserve"> </w:t>
      </w:r>
      <w:r>
        <w:tab/>
      </w:r>
      <w:r w:rsidRPr="00647561">
        <w:t>AusAID</w:t>
      </w:r>
      <w:r>
        <w:t>,</w:t>
      </w:r>
      <w:r w:rsidRPr="00647561">
        <w:t xml:space="preserve"> </w:t>
      </w:r>
      <w:r w:rsidRPr="00436C7E">
        <w:rPr>
          <w:i/>
        </w:rPr>
        <w:t>Independent evaluation of the Hibah Program Indonesia,</w:t>
      </w:r>
      <w:r>
        <w:t xml:space="preserve"> </w:t>
      </w:r>
      <w:r w:rsidRPr="00647561">
        <w:t>2011</w:t>
      </w:r>
      <w:r>
        <w:t>, p.6.</w:t>
      </w:r>
    </w:p>
  </w:endnote>
  <w:endnote w:id="175">
    <w:p w14:paraId="24CEEB05" w14:textId="77777777" w:rsidR="00CD4AF2" w:rsidRDefault="00CD4AF2" w:rsidP="00C959D9">
      <w:pPr>
        <w:pStyle w:val="EndnoteText"/>
        <w:ind w:left="426" w:hanging="426"/>
      </w:pPr>
      <w:r>
        <w:rPr>
          <w:rStyle w:val="EndnoteReference"/>
        </w:rPr>
        <w:endnoteRef/>
      </w:r>
      <w:r>
        <w:t xml:space="preserve"> </w:t>
      </w:r>
      <w:r>
        <w:tab/>
      </w:r>
      <w:r w:rsidRPr="00383DBF">
        <w:rPr>
          <w:rFonts w:cs="Cambria"/>
          <w:szCs w:val="17"/>
        </w:rPr>
        <w:t>Australian Agency for International Development</w:t>
      </w:r>
      <w:r>
        <w:rPr>
          <w:rFonts w:cs="Cambria"/>
          <w:szCs w:val="17"/>
        </w:rPr>
        <w:t>,</w:t>
      </w:r>
      <w:r w:rsidRPr="00E60EF8" w:rsidDel="00AB504A">
        <w:t xml:space="preserve"> </w:t>
      </w:r>
      <w:r w:rsidRPr="003E23F3">
        <w:rPr>
          <w:i/>
        </w:rPr>
        <w:t>Concept peer review minutes</w:t>
      </w:r>
      <w:r>
        <w:rPr>
          <w:i/>
        </w:rPr>
        <w:t xml:space="preserve"> </w:t>
      </w:r>
      <w:r w:rsidRPr="008904CA">
        <w:rPr>
          <w:i/>
        </w:rPr>
        <w:t>for next phase design</w:t>
      </w:r>
      <w:r w:rsidRPr="003E23F3">
        <w:rPr>
          <w:i/>
        </w:rPr>
        <w:t>,</w:t>
      </w:r>
      <w:r>
        <w:t xml:space="preserve"> AusAID, Canberra,</w:t>
      </w:r>
      <w:r w:rsidRPr="00E60EF8">
        <w:t xml:space="preserve"> September 2011</w:t>
      </w:r>
      <w:r>
        <w:t>.</w:t>
      </w:r>
    </w:p>
  </w:endnote>
  <w:endnote w:id="176">
    <w:p w14:paraId="311AE387" w14:textId="77777777" w:rsidR="00CD4AF2" w:rsidRDefault="00CD4AF2" w:rsidP="00C959D9">
      <w:pPr>
        <w:pStyle w:val="EndnoteText"/>
        <w:ind w:left="426" w:hanging="426"/>
      </w:pPr>
      <w:r>
        <w:rPr>
          <w:rStyle w:val="EndnoteReference"/>
        </w:rPr>
        <w:endnoteRef/>
      </w:r>
      <w:r>
        <w:t xml:space="preserve"> </w:t>
      </w:r>
      <w:r>
        <w:tab/>
      </w:r>
      <w:r w:rsidRPr="00E60EF8">
        <w:t>AusAID</w:t>
      </w:r>
      <w:r>
        <w:t xml:space="preserve">, </w:t>
      </w:r>
      <w:r w:rsidRPr="008904CA">
        <w:rPr>
          <w:i/>
        </w:rPr>
        <w:t>Concept peer review minutes for next phase design</w:t>
      </w:r>
      <w:r>
        <w:rPr>
          <w:i/>
        </w:rPr>
        <w:t>,</w:t>
      </w:r>
      <w:r w:rsidRPr="003E23F3" w:rsidDel="00610727">
        <w:rPr>
          <w:i/>
        </w:rPr>
        <w:t xml:space="preserve"> </w:t>
      </w:r>
      <w:r w:rsidRPr="00E60EF8">
        <w:t>2011</w:t>
      </w:r>
      <w:r>
        <w:t>, p.6.</w:t>
      </w:r>
    </w:p>
  </w:endnote>
  <w:endnote w:id="177">
    <w:p w14:paraId="6F977B2C" w14:textId="77777777" w:rsidR="00CD4AF2" w:rsidRDefault="00CD4AF2" w:rsidP="00C959D9">
      <w:pPr>
        <w:pStyle w:val="EndnoteText"/>
        <w:ind w:left="426" w:hanging="426"/>
      </w:pPr>
      <w:r>
        <w:rPr>
          <w:rStyle w:val="EndnoteReference"/>
        </w:rPr>
        <w:endnoteRef/>
      </w:r>
      <w:r>
        <w:t xml:space="preserve"> </w:t>
      </w:r>
      <w:r>
        <w:tab/>
      </w:r>
      <w:r w:rsidRPr="00383DBF">
        <w:rPr>
          <w:rFonts w:cs="Cambria"/>
          <w:szCs w:val="17"/>
        </w:rPr>
        <w:t>Australian Agency for International Development</w:t>
      </w:r>
      <w:r>
        <w:rPr>
          <w:rFonts w:cs="Cambria"/>
          <w:szCs w:val="17"/>
        </w:rPr>
        <w:t>,</w:t>
      </w:r>
      <w:r w:rsidRPr="003E23F3">
        <w:rPr>
          <w:i/>
        </w:rPr>
        <w:t xml:space="preserve"> Concept peer review for Australia-Indonesia Infrastructure grants for sanitation, water hibah and sanitation hibah, </w:t>
      </w:r>
      <w:r>
        <w:t xml:space="preserve">AusAID, Canberra, </w:t>
      </w:r>
      <w:r w:rsidRPr="004D6002">
        <w:t>2011</w:t>
      </w:r>
      <w:r>
        <w:t>, p.17.</w:t>
      </w:r>
    </w:p>
  </w:endnote>
  <w:endnote w:id="178">
    <w:p w14:paraId="215D2B9E" w14:textId="77777777" w:rsidR="00CD4AF2" w:rsidRDefault="00CD4AF2" w:rsidP="00C959D9">
      <w:pPr>
        <w:pStyle w:val="EndnoteText"/>
        <w:ind w:left="426" w:hanging="426"/>
      </w:pPr>
      <w:r>
        <w:rPr>
          <w:rStyle w:val="EndnoteReference"/>
        </w:rPr>
        <w:endnoteRef/>
      </w:r>
      <w:r>
        <w:t xml:space="preserve"> </w:t>
      </w:r>
      <w:r>
        <w:tab/>
      </w:r>
      <w:r w:rsidRPr="00E60EF8">
        <w:t>AusAID</w:t>
      </w:r>
      <w:r>
        <w:t>,</w:t>
      </w:r>
      <w:r w:rsidRPr="00E60EF8">
        <w:t xml:space="preserve"> </w:t>
      </w:r>
      <w:r w:rsidRPr="008904CA">
        <w:rPr>
          <w:i/>
        </w:rPr>
        <w:t>Concept peer review minutes for next phase design</w:t>
      </w:r>
      <w:r w:rsidRPr="003E23F3" w:rsidDel="00610727">
        <w:rPr>
          <w:i/>
        </w:rPr>
        <w:t xml:space="preserve"> </w:t>
      </w:r>
      <w:r w:rsidRPr="00E60EF8">
        <w:t>2011</w:t>
      </w:r>
      <w:r>
        <w:t>, p.4.</w:t>
      </w:r>
    </w:p>
  </w:endnote>
  <w:endnote w:id="179">
    <w:p w14:paraId="0E5EFDC8" w14:textId="77777777" w:rsidR="00CD4AF2" w:rsidRDefault="00CD4AF2" w:rsidP="00C959D9">
      <w:pPr>
        <w:pStyle w:val="EndnoteText"/>
        <w:ind w:left="426" w:hanging="426"/>
      </w:pPr>
      <w:r>
        <w:rPr>
          <w:rStyle w:val="EndnoteReference"/>
        </w:rPr>
        <w:endnoteRef/>
      </w:r>
      <w:r>
        <w:t xml:space="preserve"> </w:t>
      </w:r>
      <w:r>
        <w:tab/>
      </w:r>
      <w:r w:rsidRPr="00383DBF">
        <w:rPr>
          <w:rFonts w:cs="Cambria"/>
          <w:szCs w:val="17"/>
        </w:rPr>
        <w:t>Australian Agency for International Development</w:t>
      </w:r>
      <w:r>
        <w:rPr>
          <w:rFonts w:cs="Cambria"/>
          <w:szCs w:val="17"/>
        </w:rPr>
        <w:t>,</w:t>
      </w:r>
      <w:r w:rsidRPr="00436C7E">
        <w:rPr>
          <w:i/>
        </w:rPr>
        <w:t xml:space="preserve"> Quality at implementation report for Water and Sanitation Hibah</w:t>
      </w:r>
      <w:r>
        <w:rPr>
          <w:i/>
        </w:rPr>
        <w:t xml:space="preserve">, </w:t>
      </w:r>
      <w:r w:rsidRPr="003E23F3">
        <w:t>AusAID, Canberra,</w:t>
      </w:r>
      <w:r w:rsidRPr="00436C7E">
        <w:rPr>
          <w:i/>
        </w:rPr>
        <w:t xml:space="preserve"> </w:t>
      </w:r>
      <w:r w:rsidRPr="00182992">
        <w:t>2011</w:t>
      </w:r>
      <w:r>
        <w:t>.</w:t>
      </w:r>
    </w:p>
  </w:endnote>
  <w:endnote w:id="180">
    <w:p w14:paraId="6D3A89AA" w14:textId="77777777" w:rsidR="00CD4AF2" w:rsidRDefault="00CD4AF2" w:rsidP="00C959D9">
      <w:pPr>
        <w:pStyle w:val="EndnoteText"/>
        <w:ind w:left="426" w:hanging="426"/>
      </w:pPr>
      <w:r>
        <w:rPr>
          <w:rStyle w:val="EndnoteReference"/>
        </w:rPr>
        <w:endnoteRef/>
      </w:r>
      <w:r>
        <w:t xml:space="preserve"> </w:t>
      </w:r>
      <w:r>
        <w:tab/>
      </w:r>
      <w:r w:rsidRPr="00E60EF8">
        <w:t>AusAID</w:t>
      </w:r>
      <w:r>
        <w:t>,</w:t>
      </w:r>
      <w:r w:rsidRPr="00E60EF8">
        <w:t xml:space="preserve"> </w:t>
      </w:r>
      <w:r w:rsidRPr="008904CA">
        <w:rPr>
          <w:i/>
        </w:rPr>
        <w:t>Concept peer review minutes for next phase design</w:t>
      </w:r>
      <w:r>
        <w:rPr>
          <w:i/>
        </w:rPr>
        <w:t>,</w:t>
      </w:r>
      <w:r w:rsidRPr="003E23F3" w:rsidDel="00610727">
        <w:rPr>
          <w:i/>
        </w:rPr>
        <w:t xml:space="preserve"> </w:t>
      </w:r>
      <w:r w:rsidRPr="00E60EF8">
        <w:t>2011</w:t>
      </w:r>
      <w:r>
        <w:t>, p.4.</w:t>
      </w:r>
    </w:p>
  </w:endnote>
  <w:endnote w:id="181">
    <w:p w14:paraId="79C03ECF" w14:textId="77777777" w:rsidR="00CD4AF2" w:rsidRDefault="00CD4AF2" w:rsidP="00C959D9">
      <w:pPr>
        <w:pStyle w:val="EndnoteText"/>
        <w:ind w:left="426" w:hanging="426"/>
      </w:pPr>
      <w:r>
        <w:rPr>
          <w:rStyle w:val="EndnoteReference"/>
        </w:rPr>
        <w:endnoteRef/>
      </w:r>
      <w:r>
        <w:t xml:space="preserve"> </w:t>
      </w:r>
      <w:r>
        <w:tab/>
      </w:r>
      <w:r w:rsidRPr="00EB3791">
        <w:t>AusAID</w:t>
      </w:r>
      <w:r>
        <w:t xml:space="preserve">, </w:t>
      </w:r>
      <w:r w:rsidRPr="008904CA">
        <w:rPr>
          <w:i/>
        </w:rPr>
        <w:t>Concept peer review minutes for next phase design</w:t>
      </w:r>
      <w:r>
        <w:rPr>
          <w:i/>
        </w:rPr>
        <w:t xml:space="preserve">, </w:t>
      </w:r>
      <w:r w:rsidRPr="00C615DC">
        <w:t>2011,</w:t>
      </w:r>
      <w:r w:rsidRPr="00C615DC" w:rsidDel="00610727">
        <w:t xml:space="preserve"> </w:t>
      </w:r>
      <w:r w:rsidRPr="00610727">
        <w:t>p</w:t>
      </w:r>
      <w:r>
        <w:t>.6.</w:t>
      </w:r>
    </w:p>
  </w:endnote>
  <w:endnote w:id="182">
    <w:p w14:paraId="5F36755F" w14:textId="77777777" w:rsidR="00CD4AF2" w:rsidRDefault="00CD4AF2" w:rsidP="00C959D9">
      <w:pPr>
        <w:pStyle w:val="EndnoteText"/>
        <w:ind w:left="426" w:hanging="426"/>
      </w:pPr>
      <w:r>
        <w:rPr>
          <w:rStyle w:val="EndnoteReference"/>
        </w:rPr>
        <w:endnoteRef/>
      </w:r>
      <w:r>
        <w:t xml:space="preserve"> </w:t>
      </w:r>
      <w:r>
        <w:tab/>
      </w:r>
      <w:r w:rsidRPr="00436C7E">
        <w:t>Australian Agency for International Development,</w:t>
      </w:r>
      <w:r w:rsidRPr="0032788A">
        <w:rPr>
          <w:sz w:val="16"/>
          <w:szCs w:val="14"/>
        </w:rPr>
        <w:t xml:space="preserve"> </w:t>
      </w:r>
      <w:r w:rsidRPr="00436C7E">
        <w:rPr>
          <w:i/>
        </w:rPr>
        <w:t>Quality at implementation report for water and sanitation hibah,</w:t>
      </w:r>
      <w:r>
        <w:rPr>
          <w:i/>
        </w:rPr>
        <w:t xml:space="preserve"> </w:t>
      </w:r>
      <w:r w:rsidRPr="003E23F3">
        <w:t>AusAID, Canberra</w:t>
      </w:r>
      <w:r>
        <w:rPr>
          <w:i/>
        </w:rPr>
        <w:t xml:space="preserve">, </w:t>
      </w:r>
      <w:r w:rsidRPr="00B85232">
        <w:t>2012</w:t>
      </w:r>
      <w:r>
        <w:t>.</w:t>
      </w:r>
    </w:p>
  </w:endnote>
  <w:endnote w:id="183">
    <w:p w14:paraId="4741A630" w14:textId="77777777" w:rsidR="00CD4AF2" w:rsidRDefault="00CD4AF2" w:rsidP="00C959D9">
      <w:pPr>
        <w:pStyle w:val="EndnoteText"/>
        <w:ind w:left="426" w:hanging="426"/>
      </w:pPr>
      <w:r>
        <w:rPr>
          <w:rStyle w:val="EndnoteReference"/>
        </w:rPr>
        <w:endnoteRef/>
      </w:r>
      <w:r>
        <w:t xml:space="preserve"> </w:t>
      </w:r>
      <w:r>
        <w:tab/>
      </w:r>
      <w:r w:rsidRPr="00985C26">
        <w:t>AusAID</w:t>
      </w:r>
      <w:r>
        <w:t>,</w:t>
      </w:r>
      <w:r w:rsidRPr="00985C26">
        <w:t xml:space="preserve"> </w:t>
      </w:r>
      <w:r w:rsidRPr="00436C7E">
        <w:rPr>
          <w:i/>
        </w:rPr>
        <w:t>Independent evaluation of the Hibah Program Indonesia,</w:t>
      </w:r>
      <w:r>
        <w:t xml:space="preserve"> </w:t>
      </w:r>
      <w:r w:rsidRPr="00985C26">
        <w:t>2011</w:t>
      </w:r>
      <w:r>
        <w:t>.</w:t>
      </w:r>
    </w:p>
  </w:endnote>
  <w:endnote w:id="184">
    <w:p w14:paraId="3C914FC3" w14:textId="77777777" w:rsidR="00CD4AF2" w:rsidRDefault="00CD4AF2" w:rsidP="00C959D9">
      <w:pPr>
        <w:pStyle w:val="EndnoteText"/>
        <w:ind w:left="426" w:hanging="426"/>
      </w:pPr>
      <w:r>
        <w:rPr>
          <w:rStyle w:val="EndnoteReference"/>
        </w:rPr>
        <w:endnoteRef/>
      </w:r>
      <w:r>
        <w:t xml:space="preserve"> </w:t>
      </w:r>
      <w:r>
        <w:tab/>
      </w:r>
      <w:r w:rsidRPr="00B85232">
        <w:t>AusAID</w:t>
      </w:r>
      <w:r>
        <w:t>,</w:t>
      </w:r>
      <w:r w:rsidRPr="00B85232">
        <w:t xml:space="preserve"> </w:t>
      </w:r>
      <w:r w:rsidRPr="00436C7E">
        <w:rPr>
          <w:i/>
        </w:rPr>
        <w:t xml:space="preserve">Concept peer review for Australia-Indonesia Infrastructure grants for sanitation, water hibah and sanitation hibah, </w:t>
      </w:r>
      <w:r w:rsidRPr="00B85232">
        <w:t>2011</w:t>
      </w:r>
      <w:r>
        <w:t>.</w:t>
      </w:r>
    </w:p>
  </w:endnote>
  <w:endnote w:id="185">
    <w:p w14:paraId="2DADBAE4" w14:textId="77777777" w:rsidR="00CD4AF2" w:rsidRDefault="00CD4AF2" w:rsidP="00C959D9">
      <w:pPr>
        <w:pStyle w:val="EndnoteText"/>
        <w:ind w:left="426" w:hanging="426"/>
      </w:pPr>
      <w:r>
        <w:rPr>
          <w:rStyle w:val="EndnoteReference"/>
        </w:rPr>
        <w:endnoteRef/>
      </w:r>
      <w:r>
        <w:t xml:space="preserve"> </w:t>
      </w:r>
      <w:r>
        <w:tab/>
      </w:r>
      <w:r w:rsidRPr="00EB3791">
        <w:t>AusAID</w:t>
      </w:r>
      <w:r>
        <w:t>,</w:t>
      </w:r>
      <w:r w:rsidRPr="00EB3791">
        <w:t xml:space="preserve"> </w:t>
      </w:r>
      <w:r w:rsidRPr="008904CA">
        <w:rPr>
          <w:i/>
        </w:rPr>
        <w:t>Concept peer review minutes for next phase design</w:t>
      </w:r>
      <w:r>
        <w:rPr>
          <w:i/>
        </w:rPr>
        <w:t>,</w:t>
      </w:r>
      <w:r w:rsidRPr="003E23F3" w:rsidDel="00610727">
        <w:rPr>
          <w:i/>
        </w:rPr>
        <w:t xml:space="preserve"> </w:t>
      </w:r>
      <w:r w:rsidRPr="00EB3791">
        <w:t>2011</w:t>
      </w:r>
      <w:r>
        <w:t>.</w:t>
      </w:r>
    </w:p>
  </w:endnote>
  <w:endnote w:id="186">
    <w:p w14:paraId="7CE78881" w14:textId="77777777" w:rsidR="00CD4AF2" w:rsidRDefault="00CD4AF2" w:rsidP="00C959D9">
      <w:pPr>
        <w:pStyle w:val="EndnoteText"/>
        <w:ind w:left="426" w:hanging="426"/>
      </w:pPr>
      <w:r>
        <w:rPr>
          <w:rStyle w:val="EndnoteReference"/>
        </w:rPr>
        <w:endnoteRef/>
      </w:r>
      <w:r>
        <w:t xml:space="preserve"> </w:t>
      </w:r>
      <w:r>
        <w:tab/>
      </w:r>
      <w:r w:rsidRPr="00B71AEC">
        <w:t>National Governmen</w:t>
      </w:r>
      <w:r>
        <w:t xml:space="preserve">t to the Local </w:t>
      </w:r>
      <w:r w:rsidRPr="00B71AEC">
        <w:t>G</w:t>
      </w:r>
      <w:r>
        <w:t xml:space="preserve">overnment </w:t>
      </w:r>
      <w:r w:rsidRPr="00B71AEC">
        <w:t>U</w:t>
      </w:r>
      <w:r>
        <w:t>nit</w:t>
      </w:r>
      <w:r w:rsidRPr="00B71AEC">
        <w:t>s in 1991</w:t>
      </w:r>
      <w:r>
        <w:t xml:space="preserve">, </w:t>
      </w:r>
      <w:r w:rsidRPr="00AB33C4">
        <w:t>Republic Act</w:t>
      </w:r>
      <w:r>
        <w:t xml:space="preserve"> No.</w:t>
      </w:r>
      <w:r w:rsidRPr="00AB33C4">
        <w:t xml:space="preserve"> 7160 or</w:t>
      </w:r>
      <w:r>
        <w:t xml:space="preserve"> the Local Government Code</w:t>
      </w:r>
      <w:r w:rsidRPr="00AB33C4">
        <w:t xml:space="preserve"> of 1991</w:t>
      </w:r>
      <w:r>
        <w:t xml:space="preserve">; </w:t>
      </w:r>
      <w:r w:rsidRPr="00436C7E">
        <w:t>Australian Agency for International Development,</w:t>
      </w:r>
      <w:r w:rsidRPr="00267D98">
        <w:t xml:space="preserve"> </w:t>
      </w:r>
      <w:r w:rsidRPr="003E23F3">
        <w:rPr>
          <w:i/>
        </w:rPr>
        <w:t>Philippines provincial road management facility (PRMF) facility design</w:t>
      </w:r>
      <w:r>
        <w:rPr>
          <w:i/>
        </w:rPr>
        <w:t xml:space="preserve"> document</w:t>
      </w:r>
      <w:r w:rsidRPr="003E23F3">
        <w:rPr>
          <w:i/>
        </w:rPr>
        <w:t>,</w:t>
      </w:r>
      <w:r w:rsidRPr="00267D98">
        <w:t xml:space="preserve"> </w:t>
      </w:r>
      <w:r>
        <w:t xml:space="preserve">AusAID, Canberra, </w:t>
      </w:r>
      <w:r w:rsidRPr="00267D98">
        <w:t>2008</w:t>
      </w:r>
      <w:r>
        <w:t>.</w:t>
      </w:r>
    </w:p>
  </w:endnote>
  <w:endnote w:id="187">
    <w:p w14:paraId="596CA83C" w14:textId="77777777" w:rsidR="00CD4AF2" w:rsidRDefault="00CD4AF2" w:rsidP="00C959D9">
      <w:pPr>
        <w:pStyle w:val="EndnoteText"/>
        <w:ind w:left="426" w:hanging="426"/>
      </w:pPr>
      <w:r>
        <w:rPr>
          <w:rStyle w:val="EndnoteReference"/>
        </w:rPr>
        <w:endnoteRef/>
      </w:r>
      <w:r>
        <w:t xml:space="preserve"> </w:t>
      </w:r>
      <w:r>
        <w:tab/>
      </w:r>
      <w:r w:rsidRPr="00267D98">
        <w:t>AusAID</w:t>
      </w:r>
      <w:r>
        <w:t>,</w:t>
      </w:r>
      <w:r w:rsidRPr="00267D98">
        <w:t xml:space="preserve"> </w:t>
      </w:r>
      <w:r w:rsidRPr="00436C7E">
        <w:rPr>
          <w:i/>
        </w:rPr>
        <w:t>Philippines provincial road management facility (PRMF) facility design</w:t>
      </w:r>
      <w:r>
        <w:rPr>
          <w:i/>
        </w:rPr>
        <w:t xml:space="preserve"> document,</w:t>
      </w:r>
      <w:r w:rsidRPr="00267D98" w:rsidDel="005C2819">
        <w:t xml:space="preserve"> </w:t>
      </w:r>
      <w:r w:rsidRPr="00267D98">
        <w:t>2008</w:t>
      </w:r>
      <w:r>
        <w:t>, p.2.</w:t>
      </w:r>
    </w:p>
  </w:endnote>
  <w:endnote w:id="188">
    <w:p w14:paraId="387EEAE0" w14:textId="77777777" w:rsidR="00CD4AF2" w:rsidRDefault="00CD4AF2" w:rsidP="00C959D9">
      <w:pPr>
        <w:pStyle w:val="EndnoteText"/>
        <w:ind w:left="426" w:hanging="426"/>
      </w:pPr>
      <w:r>
        <w:rPr>
          <w:rStyle w:val="EndnoteReference"/>
        </w:rPr>
        <w:endnoteRef/>
      </w:r>
      <w:r>
        <w:t xml:space="preserve"> </w:t>
      </w:r>
      <w:r>
        <w:tab/>
      </w:r>
      <w:r w:rsidRPr="00267D98">
        <w:t>AusAID</w:t>
      </w:r>
      <w:r>
        <w:t>,</w:t>
      </w:r>
      <w:r w:rsidRPr="00267D98">
        <w:t xml:space="preserve"> </w:t>
      </w:r>
      <w:r w:rsidRPr="00436C7E">
        <w:rPr>
          <w:i/>
        </w:rPr>
        <w:t>Philippines provincial road management facility (PRMF) facility design</w:t>
      </w:r>
      <w:r>
        <w:rPr>
          <w:i/>
        </w:rPr>
        <w:t xml:space="preserve"> document,</w:t>
      </w:r>
      <w:r w:rsidRPr="00267D98" w:rsidDel="005C2819">
        <w:t xml:space="preserve"> </w:t>
      </w:r>
      <w:r w:rsidRPr="00267D98">
        <w:t>2008</w:t>
      </w:r>
      <w:r>
        <w:t>, p.22.</w:t>
      </w:r>
    </w:p>
  </w:endnote>
  <w:endnote w:id="189">
    <w:p w14:paraId="78056E7C"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szCs w:val="16"/>
        </w:rPr>
        <w:t>2008, p.5</w:t>
      </w:r>
      <w:r>
        <w:rPr>
          <w:rFonts w:cs="Cambria"/>
          <w:szCs w:val="16"/>
        </w:rPr>
        <w:t>.</w:t>
      </w:r>
    </w:p>
  </w:endnote>
  <w:endnote w:id="190">
    <w:p w14:paraId="036C8675" w14:textId="77777777" w:rsidR="00CD4AF2" w:rsidRPr="005140F5" w:rsidRDefault="00CD4AF2" w:rsidP="00C959D9">
      <w:pPr>
        <w:tabs>
          <w:tab w:val="left" w:pos="284"/>
        </w:tabs>
        <w:autoSpaceDE w:val="0"/>
        <w:autoSpaceDN w:val="0"/>
        <w:adjustRightInd w:val="0"/>
        <w:spacing w:after="0"/>
        <w:ind w:left="426" w:hanging="426"/>
        <w:rPr>
          <w:rFonts w:cs="Cambria"/>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szCs w:val="16"/>
        </w:rPr>
        <w:t xml:space="preserve">Australian Agency for International Development, </w:t>
      </w:r>
      <w:r w:rsidRPr="00C615DC">
        <w:rPr>
          <w:rFonts w:cs="Cambria"/>
          <w:i/>
          <w:sz w:val="20"/>
          <w:szCs w:val="16"/>
        </w:rPr>
        <w:t>Quality at implementation report PRMF,</w:t>
      </w:r>
      <w:r w:rsidRPr="00C615DC">
        <w:rPr>
          <w:rFonts w:cs="Cambria"/>
          <w:sz w:val="20"/>
          <w:szCs w:val="16"/>
        </w:rPr>
        <w:t xml:space="preserve"> AusAID, Canberra, 2013.</w:t>
      </w:r>
    </w:p>
  </w:endnote>
  <w:endnote w:id="191">
    <w:p w14:paraId="756EF045"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szCs w:val="16"/>
        </w:rPr>
        <w:t>2008, p.11</w:t>
      </w:r>
      <w:r>
        <w:rPr>
          <w:rFonts w:cs="Cambria"/>
          <w:szCs w:val="16"/>
        </w:rPr>
        <w:t>.</w:t>
      </w:r>
    </w:p>
  </w:endnote>
  <w:endnote w:id="192">
    <w:p w14:paraId="3C0488FE"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szCs w:val="16"/>
        </w:rPr>
        <w:t>2008</w:t>
      </w:r>
      <w:r>
        <w:rPr>
          <w:rFonts w:cs="Cambria"/>
          <w:szCs w:val="16"/>
        </w:rPr>
        <w:t>.</w:t>
      </w:r>
    </w:p>
  </w:endnote>
  <w:endnote w:id="193">
    <w:p w14:paraId="150850EB"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5140F5">
        <w:rPr>
          <w:rFonts w:cs="Cambria"/>
          <w:szCs w:val="16"/>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szCs w:val="16"/>
        </w:rPr>
        <w:t>2008</w:t>
      </w:r>
      <w:r>
        <w:rPr>
          <w:rFonts w:cs="Cambria"/>
          <w:szCs w:val="16"/>
        </w:rPr>
        <w:t>.</w:t>
      </w:r>
    </w:p>
  </w:endnote>
  <w:endnote w:id="194">
    <w:p w14:paraId="7B14F646"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rPr>
        <w:t>2008</w:t>
      </w:r>
      <w:r>
        <w:rPr>
          <w:rFonts w:cs="Cambria"/>
        </w:rPr>
        <w:t>.</w:t>
      </w:r>
    </w:p>
  </w:endnote>
  <w:endnote w:id="195">
    <w:p w14:paraId="6E38D064"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rPr>
        <w:t>2008</w:t>
      </w:r>
      <w:r>
        <w:rPr>
          <w:rFonts w:cs="Cambria"/>
        </w:rPr>
        <w:t>.</w:t>
      </w:r>
    </w:p>
  </w:endnote>
  <w:endnote w:id="196">
    <w:p w14:paraId="149F7B00" w14:textId="77777777" w:rsidR="00CD4AF2" w:rsidRDefault="00CD4AF2" w:rsidP="00C959D9">
      <w:pPr>
        <w:pStyle w:val="EndnoteText"/>
        <w:ind w:left="426" w:hanging="426"/>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i/>
        </w:rPr>
        <w:t>Philippines provincial road management facility (PRMF) facility design</w:t>
      </w:r>
      <w:r>
        <w:rPr>
          <w:i/>
        </w:rPr>
        <w:t xml:space="preserve"> document, 2008.</w:t>
      </w:r>
    </w:p>
  </w:endnote>
  <w:endnote w:id="197">
    <w:p w14:paraId="453E6D6A"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436C7E">
        <w:t>Australian Agency for International Development,</w:t>
      </w:r>
      <w:r w:rsidRPr="005140F5">
        <w:rPr>
          <w:rFonts w:cs="Cambria"/>
        </w:rPr>
        <w:t xml:space="preserve"> </w:t>
      </w:r>
      <w:r w:rsidRPr="003E23F3">
        <w:rPr>
          <w:rFonts w:cs="Cambria"/>
          <w:i/>
        </w:rPr>
        <w:t>Provincial road management facility independent progress report,</w:t>
      </w:r>
      <w:r w:rsidRPr="005140F5">
        <w:rPr>
          <w:rFonts w:cs="Cambria"/>
        </w:rPr>
        <w:t xml:space="preserve"> </w:t>
      </w:r>
      <w:r>
        <w:rPr>
          <w:rFonts w:cs="Cambria"/>
        </w:rPr>
        <w:t xml:space="preserve">AusAID, Canberra, </w:t>
      </w:r>
      <w:r w:rsidRPr="005140F5">
        <w:rPr>
          <w:rFonts w:cs="Cambria"/>
        </w:rPr>
        <w:t>2012</w:t>
      </w:r>
      <w:r>
        <w:rPr>
          <w:rFonts w:cs="Cambria"/>
        </w:rPr>
        <w:t>.</w:t>
      </w:r>
    </w:p>
  </w:endnote>
  <w:endnote w:id="198">
    <w:p w14:paraId="06F8611D"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rFonts w:cs="Cambria"/>
          <w:i/>
        </w:rPr>
        <w:t>Provincial road management facility independent progress report,</w:t>
      </w:r>
      <w:r w:rsidRPr="005140F5">
        <w:rPr>
          <w:rFonts w:cs="Cambria"/>
        </w:rPr>
        <w:t xml:space="preserve"> 2012</w:t>
      </w:r>
      <w:r>
        <w:rPr>
          <w:rFonts w:cs="Cambria"/>
        </w:rPr>
        <w:t>.</w:t>
      </w:r>
    </w:p>
  </w:endnote>
  <w:endnote w:id="199">
    <w:p w14:paraId="01B254B4"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rPr>
        <w:t>2008</w:t>
      </w:r>
      <w:r>
        <w:rPr>
          <w:rFonts w:cs="Cambria"/>
        </w:rPr>
        <w:t>.</w:t>
      </w:r>
    </w:p>
  </w:endnote>
  <w:endnote w:id="200">
    <w:p w14:paraId="31683597"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rPr>
        <w:t>2008, p.8</w:t>
      </w:r>
      <w:r>
        <w:rPr>
          <w:rFonts w:cs="Cambria"/>
        </w:rPr>
        <w:t>.</w:t>
      </w:r>
    </w:p>
  </w:endnote>
  <w:endnote w:id="201">
    <w:p w14:paraId="05DC9E2E" w14:textId="77777777" w:rsidR="00CD4AF2" w:rsidRPr="005140F5" w:rsidRDefault="00CD4AF2" w:rsidP="00C959D9">
      <w:pPr>
        <w:tabs>
          <w:tab w:val="left" w:pos="284"/>
        </w:tabs>
        <w:spacing w:after="0" w:line="240" w:lineRule="auto"/>
        <w:ind w:left="426" w:hanging="426"/>
        <w:rPr>
          <w:rFonts w:cs="Cambria"/>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sz w:val="20"/>
        </w:rPr>
        <w:t>Australian Agency for International Development</w:t>
      </w:r>
      <w:r w:rsidRPr="00C615DC">
        <w:rPr>
          <w:rFonts w:cs="Cambria"/>
          <w:sz w:val="20"/>
        </w:rPr>
        <w:t xml:space="preserve">, </w:t>
      </w:r>
      <w:r w:rsidRPr="00C615DC">
        <w:rPr>
          <w:rFonts w:cs="Cambria"/>
          <w:i/>
          <w:sz w:val="20"/>
        </w:rPr>
        <w:t>Independent appraisal, quality at entry report PRMF,</w:t>
      </w:r>
      <w:r w:rsidRPr="00C615DC">
        <w:rPr>
          <w:rFonts w:cs="Cambria"/>
          <w:sz w:val="20"/>
        </w:rPr>
        <w:t xml:space="preserve"> </w:t>
      </w:r>
      <w:r w:rsidRPr="00C615DC">
        <w:rPr>
          <w:sz w:val="20"/>
        </w:rPr>
        <w:t>AusAID, Canberra,</w:t>
      </w:r>
      <w:r w:rsidRPr="00C615DC">
        <w:rPr>
          <w:rFonts w:cs="Cambria"/>
          <w:sz w:val="20"/>
        </w:rPr>
        <w:t xml:space="preserve"> 2008. </w:t>
      </w:r>
    </w:p>
  </w:endnote>
  <w:endnote w:id="202">
    <w:p w14:paraId="7BACF74A" w14:textId="77777777" w:rsidR="00CD4AF2" w:rsidRPr="005140F5" w:rsidRDefault="00CD4AF2" w:rsidP="00C959D9">
      <w:pPr>
        <w:pStyle w:val="EndnoteText"/>
        <w:ind w:left="426" w:hanging="426"/>
        <w:rPr>
          <w:rFonts w:cs="Cambria"/>
          <w:szCs w:val="16"/>
        </w:rPr>
      </w:pPr>
      <w:r w:rsidRPr="005140F5">
        <w:rPr>
          <w:rStyle w:val="EndnoteReference"/>
          <w:rFonts w:cs="Cambria"/>
          <w:szCs w:val="16"/>
        </w:rPr>
        <w:endnoteRef/>
      </w:r>
      <w:r w:rsidRPr="005140F5">
        <w:rPr>
          <w:rFonts w:cs="Cambria"/>
          <w:szCs w:val="16"/>
        </w:rPr>
        <w:t xml:space="preserve"> </w:t>
      </w:r>
      <w:r>
        <w:rPr>
          <w:rFonts w:cs="Cambria"/>
          <w:szCs w:val="16"/>
        </w:rPr>
        <w:tab/>
      </w:r>
      <w:r w:rsidRPr="00436C7E">
        <w:t>Australian Agency for International Development</w:t>
      </w:r>
      <w:r w:rsidRPr="005140F5">
        <w:rPr>
          <w:rFonts w:cs="Cambria"/>
          <w:sz w:val="16"/>
          <w:szCs w:val="16"/>
        </w:rPr>
        <w:t>,</w:t>
      </w:r>
      <w:r w:rsidRPr="005140F5">
        <w:rPr>
          <w:rFonts w:cs="Cambria"/>
          <w:szCs w:val="16"/>
        </w:rPr>
        <w:t xml:space="preserve"> </w:t>
      </w:r>
      <w:r w:rsidRPr="003E23F3">
        <w:rPr>
          <w:rFonts w:cs="Cambria"/>
          <w:i/>
          <w:szCs w:val="16"/>
        </w:rPr>
        <w:t>Evaluation of Philippine provincial road management facility,</w:t>
      </w:r>
      <w:r>
        <w:rPr>
          <w:rFonts w:cs="Cambria"/>
          <w:i/>
          <w:szCs w:val="16"/>
        </w:rPr>
        <w:t xml:space="preserve"> </w:t>
      </w:r>
      <w:r w:rsidRPr="003E23F3">
        <w:rPr>
          <w:rFonts w:cs="Cambria"/>
          <w:i/>
          <w:szCs w:val="16"/>
        </w:rPr>
        <w:t xml:space="preserve">management response, </w:t>
      </w:r>
      <w:r>
        <w:rPr>
          <w:rFonts w:cs="Cambria"/>
          <w:szCs w:val="16"/>
        </w:rPr>
        <w:t xml:space="preserve">AusAID, Canberra, </w:t>
      </w:r>
      <w:r w:rsidRPr="005140F5">
        <w:rPr>
          <w:rFonts w:cs="Cambria"/>
          <w:szCs w:val="16"/>
        </w:rPr>
        <w:t>2012</w:t>
      </w:r>
      <w:r>
        <w:rPr>
          <w:rFonts w:cs="Cambria"/>
          <w:szCs w:val="16"/>
        </w:rPr>
        <w:t>.</w:t>
      </w:r>
    </w:p>
  </w:endnote>
  <w:endnote w:id="203">
    <w:p w14:paraId="3597D502" w14:textId="77777777" w:rsidR="00CD4AF2" w:rsidRPr="005140F5" w:rsidRDefault="00CD4AF2" w:rsidP="00C959D9">
      <w:pPr>
        <w:tabs>
          <w:tab w:val="left" w:pos="284"/>
        </w:tabs>
        <w:autoSpaceDE w:val="0"/>
        <w:autoSpaceDN w:val="0"/>
        <w:adjustRightInd w:val="0"/>
        <w:spacing w:after="0" w:line="240" w:lineRule="auto"/>
        <w:ind w:left="426" w:hanging="426"/>
        <w:rPr>
          <w:rFonts w:cs="Cambria"/>
          <w:color w:val="F0985D"/>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sz w:val="20"/>
        </w:rPr>
        <w:t>Australian Agency for International Development</w:t>
      </w:r>
      <w:r w:rsidRPr="00C615DC">
        <w:rPr>
          <w:rFonts w:cs="Cambria"/>
          <w:sz w:val="20"/>
        </w:rPr>
        <w:t xml:space="preserve">, </w:t>
      </w:r>
      <w:r w:rsidRPr="00C615DC">
        <w:rPr>
          <w:rFonts w:cs="Cambria"/>
          <w:i/>
          <w:sz w:val="20"/>
        </w:rPr>
        <w:t>Philippines provincial roads management facility annual plan, 2013–14,</w:t>
      </w:r>
      <w:r w:rsidRPr="00C615DC">
        <w:rPr>
          <w:rFonts w:cs="Cambria"/>
          <w:sz w:val="20"/>
        </w:rPr>
        <w:t xml:space="preserve"> Draft, AusAID, Canberra, 2013, p.2.</w:t>
      </w:r>
    </w:p>
  </w:endnote>
  <w:endnote w:id="204">
    <w:p w14:paraId="1CD382C6" w14:textId="77777777" w:rsidR="00CD4AF2" w:rsidRDefault="00CD4AF2" w:rsidP="00C959D9">
      <w:pPr>
        <w:pStyle w:val="EndnoteText"/>
        <w:ind w:left="426" w:hanging="426"/>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rFonts w:cs="Cambria"/>
          <w:i/>
        </w:rPr>
        <w:t>Provincial road management facility independent progress report,</w:t>
      </w:r>
      <w:r w:rsidRPr="005140F5">
        <w:rPr>
          <w:rFonts w:cs="Cambria"/>
        </w:rPr>
        <w:t xml:space="preserve"> 2012</w:t>
      </w:r>
      <w:r>
        <w:rPr>
          <w:rFonts w:cs="Cambria"/>
        </w:rPr>
        <w:t>.</w:t>
      </w:r>
    </w:p>
  </w:endnote>
  <w:endnote w:id="205">
    <w:p w14:paraId="794C9F9F"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610727">
        <w:rPr>
          <w:rFonts w:cs="Cambria"/>
        </w:rPr>
        <w:t xml:space="preserve">AusAID, </w:t>
      </w:r>
      <w:r w:rsidRPr="00C615DC">
        <w:rPr>
          <w:rFonts w:cs="Cambria"/>
          <w:i/>
        </w:rPr>
        <w:t>Philippines provincial roads management facility annual plan, 2013–14,</w:t>
      </w:r>
      <w:r w:rsidRPr="00C615DC">
        <w:rPr>
          <w:rFonts w:cs="Cambria"/>
        </w:rPr>
        <w:t xml:space="preserve"> 2013, </w:t>
      </w:r>
      <w:r w:rsidRPr="00610727">
        <w:rPr>
          <w:rFonts w:cs="Cambria"/>
        </w:rPr>
        <w:t>p.8.</w:t>
      </w:r>
    </w:p>
  </w:endnote>
  <w:endnote w:id="206">
    <w:p w14:paraId="0B9491B9"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rFonts w:cs="Cambria"/>
          <w:i/>
        </w:rPr>
        <w:t>Provincial road management facility independent progress report,</w:t>
      </w:r>
      <w:r w:rsidRPr="005140F5">
        <w:rPr>
          <w:rFonts w:cs="Cambria"/>
        </w:rPr>
        <w:t xml:space="preserve"> 2012, p.14</w:t>
      </w:r>
      <w:r>
        <w:rPr>
          <w:rFonts w:cs="Cambria"/>
        </w:rPr>
        <w:t>.</w:t>
      </w:r>
    </w:p>
  </w:endnote>
  <w:endnote w:id="207">
    <w:p w14:paraId="5DA71C87"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436C7E">
        <w:t>Australian Agency for International Development</w:t>
      </w:r>
      <w:r w:rsidRPr="005140F5">
        <w:rPr>
          <w:rFonts w:cs="Cambria"/>
          <w:sz w:val="16"/>
          <w:szCs w:val="16"/>
        </w:rPr>
        <w:t>,</w:t>
      </w:r>
      <w:r w:rsidRPr="005140F5">
        <w:rPr>
          <w:rFonts w:cs="Cambria"/>
        </w:rPr>
        <w:t xml:space="preserve"> </w:t>
      </w:r>
      <w:r w:rsidRPr="003E23F3">
        <w:rPr>
          <w:rFonts w:cs="Cambria"/>
          <w:i/>
        </w:rPr>
        <w:t>Australia–Philippines Aid Program Strategy (2012–17),</w:t>
      </w:r>
      <w:r w:rsidRPr="005140F5">
        <w:rPr>
          <w:rFonts w:cs="Cambria"/>
        </w:rPr>
        <w:t xml:space="preserve"> </w:t>
      </w:r>
      <w:r>
        <w:rPr>
          <w:rFonts w:cs="Cambria"/>
        </w:rPr>
        <w:t xml:space="preserve">AusAID, Canberra, </w:t>
      </w:r>
      <w:r w:rsidRPr="005140F5">
        <w:rPr>
          <w:rFonts w:cs="Cambria"/>
        </w:rPr>
        <w:t>2012, p.5</w:t>
      </w:r>
      <w:r>
        <w:rPr>
          <w:rFonts w:cs="Cambria"/>
        </w:rPr>
        <w:t>.</w:t>
      </w:r>
    </w:p>
  </w:endnote>
  <w:endnote w:id="208">
    <w:p w14:paraId="6EFE5B54"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rFonts w:cs="Cambria"/>
          <w:i/>
        </w:rPr>
        <w:t>Provincial road management facility independent progress report,</w:t>
      </w:r>
      <w:r w:rsidRPr="005140F5">
        <w:rPr>
          <w:rFonts w:cs="Cambria"/>
        </w:rPr>
        <w:t xml:space="preserve"> 2012, p.17</w:t>
      </w:r>
      <w:r>
        <w:rPr>
          <w:rFonts w:cs="Cambria"/>
        </w:rPr>
        <w:t>.</w:t>
      </w:r>
    </w:p>
  </w:endnote>
  <w:endnote w:id="209">
    <w:p w14:paraId="2F02A21F"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t>A</w:t>
      </w:r>
      <w:r w:rsidRPr="005140F5">
        <w:rPr>
          <w:rFonts w:cs="Cambria"/>
        </w:rPr>
        <w:t xml:space="preserve">usAID, </w:t>
      </w:r>
      <w:r w:rsidRPr="00436C7E">
        <w:rPr>
          <w:rFonts w:cs="Cambria"/>
          <w:i/>
        </w:rPr>
        <w:t>Provincial road management facility independent progress report,</w:t>
      </w:r>
      <w:r w:rsidRPr="005140F5">
        <w:rPr>
          <w:rFonts w:cs="Cambria"/>
        </w:rPr>
        <w:t xml:space="preserve"> 2012, p.17</w:t>
      </w:r>
      <w:r>
        <w:rPr>
          <w:rFonts w:cs="Cambria"/>
        </w:rPr>
        <w:t>.</w:t>
      </w:r>
    </w:p>
  </w:endnote>
  <w:endnote w:id="210">
    <w:p w14:paraId="13125BCD" w14:textId="77777777" w:rsidR="00CD4AF2" w:rsidRDefault="00CD4AF2" w:rsidP="00C959D9">
      <w:pPr>
        <w:pStyle w:val="EndnoteText"/>
        <w:ind w:left="426" w:hanging="426"/>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rFonts w:cs="Cambria"/>
          <w:i/>
        </w:rPr>
        <w:t>Provincial road management facility independent progress report,</w:t>
      </w:r>
      <w:r w:rsidRPr="005140F5">
        <w:rPr>
          <w:rFonts w:cs="Cambria"/>
        </w:rPr>
        <w:t xml:space="preserve"> 2012, p.17</w:t>
      </w:r>
      <w:r>
        <w:rPr>
          <w:rFonts w:cs="Cambria"/>
        </w:rPr>
        <w:t>.</w:t>
      </w:r>
    </w:p>
  </w:endnote>
  <w:endnote w:id="211">
    <w:p w14:paraId="42588776" w14:textId="77777777" w:rsidR="00CD4AF2" w:rsidRPr="005140F5" w:rsidRDefault="00CD4AF2" w:rsidP="00C959D9">
      <w:pPr>
        <w:tabs>
          <w:tab w:val="left" w:pos="284"/>
        </w:tabs>
        <w:autoSpaceDE w:val="0"/>
        <w:autoSpaceDN w:val="0"/>
        <w:adjustRightInd w:val="0"/>
        <w:spacing w:after="0" w:line="240" w:lineRule="auto"/>
        <w:ind w:left="426" w:hanging="426"/>
        <w:rPr>
          <w:rFonts w:cs="Cambria"/>
          <w:color w:val="F0985D"/>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sz w:val="20"/>
        </w:rPr>
        <w:t>Australian Agency for International Development</w:t>
      </w:r>
      <w:r w:rsidRPr="00C615DC">
        <w:rPr>
          <w:rFonts w:cs="Cambria"/>
          <w:sz w:val="20"/>
        </w:rPr>
        <w:t>,</w:t>
      </w:r>
      <w:r w:rsidRPr="00C615DC">
        <w:rPr>
          <w:rFonts w:cs="Cambria"/>
          <w:i/>
          <w:sz w:val="20"/>
        </w:rPr>
        <w:t xml:space="preserve"> The Provincial Road Management Facility Technical Monitoring Group fourth monitoring mission, fourth monitoring report, </w:t>
      </w:r>
      <w:r w:rsidRPr="00C615DC">
        <w:rPr>
          <w:rFonts w:cs="Cambria"/>
          <w:sz w:val="20"/>
        </w:rPr>
        <w:t>AusAID, Canberra, 2011.</w:t>
      </w:r>
    </w:p>
  </w:endnote>
  <w:endnote w:id="212">
    <w:p w14:paraId="5951985A"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B17CEE">
        <w:rPr>
          <w:rFonts w:cs="Cambria"/>
        </w:rPr>
        <w:t xml:space="preserve">AusAID, </w:t>
      </w:r>
      <w:r w:rsidRPr="00C615DC">
        <w:rPr>
          <w:rFonts w:cs="Cambria"/>
          <w:i/>
        </w:rPr>
        <w:t>Philippines provincial roads management facility annual plan, 2013–14,</w:t>
      </w:r>
      <w:r w:rsidRPr="00C615DC">
        <w:rPr>
          <w:rFonts w:cs="Cambria"/>
        </w:rPr>
        <w:t xml:space="preserve"> 2013, </w:t>
      </w:r>
      <w:r w:rsidRPr="00B17CEE">
        <w:rPr>
          <w:rFonts w:cs="Cambria"/>
        </w:rPr>
        <w:t>p.16.</w:t>
      </w:r>
    </w:p>
  </w:endnote>
  <w:endnote w:id="213">
    <w:p w14:paraId="2A4E9069"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B17CEE">
        <w:rPr>
          <w:rFonts w:cs="Cambria"/>
        </w:rPr>
        <w:t xml:space="preserve">AusAID, </w:t>
      </w:r>
      <w:r w:rsidRPr="00C615DC">
        <w:rPr>
          <w:rFonts w:cs="Cambria"/>
          <w:i/>
        </w:rPr>
        <w:t>Philippines provincial roads management facility annual plan, 2013–14</w:t>
      </w:r>
      <w:r w:rsidRPr="00B17CEE">
        <w:rPr>
          <w:rFonts w:cs="Cambria"/>
        </w:rPr>
        <w:t>, 2013, p.17.</w:t>
      </w:r>
    </w:p>
  </w:endnote>
  <w:endnote w:id="214">
    <w:p w14:paraId="2306CC36"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B17CEE">
        <w:rPr>
          <w:rFonts w:cs="Cambria"/>
        </w:rPr>
        <w:t xml:space="preserve">AusAID, </w:t>
      </w:r>
      <w:r w:rsidRPr="00C615DC">
        <w:rPr>
          <w:rFonts w:cs="Cambria"/>
          <w:i/>
        </w:rPr>
        <w:t>Philippines provincial roads management facility annual plan, 2013–14</w:t>
      </w:r>
      <w:r w:rsidRPr="00B17CEE">
        <w:rPr>
          <w:rFonts w:cs="Cambria"/>
        </w:rPr>
        <w:t>, 2013, p.17.</w:t>
      </w:r>
    </w:p>
  </w:endnote>
  <w:endnote w:id="215">
    <w:p w14:paraId="56D4F2B5" w14:textId="77777777" w:rsidR="00CD4AF2" w:rsidRPr="005140F5" w:rsidRDefault="00CD4AF2" w:rsidP="00C959D9">
      <w:pPr>
        <w:pStyle w:val="EndnoteText"/>
        <w:ind w:left="426" w:hanging="426"/>
        <w:rPr>
          <w:rFonts w:cs="Cambria"/>
        </w:rPr>
      </w:pPr>
      <w:r w:rsidRPr="005140F5">
        <w:rPr>
          <w:rStyle w:val="EndnoteReference"/>
          <w:rFonts w:cs="Cambria"/>
        </w:rPr>
        <w:endnoteRef/>
      </w:r>
      <w:r w:rsidRPr="005140F5">
        <w:rPr>
          <w:rFonts w:cs="Cambria"/>
        </w:rPr>
        <w:t xml:space="preserve"> </w:t>
      </w:r>
      <w:r>
        <w:rPr>
          <w:rFonts w:cs="Cambria"/>
        </w:rPr>
        <w:tab/>
      </w:r>
      <w:r w:rsidRPr="005140F5">
        <w:rPr>
          <w:rFonts w:cs="Cambria"/>
        </w:rPr>
        <w:t xml:space="preserve">AusAID, </w:t>
      </w:r>
      <w:r w:rsidRPr="00436C7E">
        <w:rPr>
          <w:i/>
        </w:rPr>
        <w:t>Philippines provincial road management facility (PRMF) facility design</w:t>
      </w:r>
      <w:r>
        <w:rPr>
          <w:i/>
        </w:rPr>
        <w:t xml:space="preserve"> document,</w:t>
      </w:r>
      <w:r w:rsidRPr="005140F5" w:rsidDel="005C2819">
        <w:rPr>
          <w:rFonts w:cs="Cambria"/>
          <w:szCs w:val="16"/>
        </w:rPr>
        <w:t xml:space="preserve"> </w:t>
      </w:r>
      <w:r w:rsidRPr="005140F5">
        <w:rPr>
          <w:rFonts w:cs="Cambria"/>
        </w:rPr>
        <w:t>2008</w:t>
      </w:r>
      <w:r>
        <w:rPr>
          <w:rFonts w:cs="Cambria"/>
        </w:rPr>
        <w:t>.</w:t>
      </w:r>
    </w:p>
  </w:endnote>
  <w:endnote w:id="216">
    <w:p w14:paraId="426FE158" w14:textId="77777777" w:rsidR="00CD4AF2" w:rsidRPr="00DF7F89" w:rsidRDefault="00CD4AF2" w:rsidP="00C959D9">
      <w:pPr>
        <w:tabs>
          <w:tab w:val="left" w:pos="284"/>
        </w:tabs>
        <w:autoSpaceDE w:val="0"/>
        <w:autoSpaceDN w:val="0"/>
        <w:adjustRightInd w:val="0"/>
        <w:spacing w:before="0" w:after="0"/>
        <w:ind w:left="426" w:hanging="426"/>
        <w:rPr>
          <w:rFonts w:cs="Cambria"/>
          <w:color w:val="F0985D"/>
          <w:sz w:val="16"/>
          <w:szCs w:val="16"/>
        </w:rPr>
      </w:pPr>
      <w:r w:rsidRPr="005140F5">
        <w:rPr>
          <w:rStyle w:val="EndnoteReference"/>
          <w:rFonts w:cs="Cambria"/>
          <w:sz w:val="16"/>
          <w:szCs w:val="16"/>
        </w:rPr>
        <w:end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20"/>
        </w:rPr>
        <w:t xml:space="preserve">AusAID, </w:t>
      </w:r>
      <w:r w:rsidRPr="00DF7F89">
        <w:rPr>
          <w:rFonts w:cs="Cambria"/>
          <w:i/>
          <w:sz w:val="20"/>
        </w:rPr>
        <w:t xml:space="preserve">Philippines provincial roads management facility annual plan, 2013–14, </w:t>
      </w:r>
      <w:r w:rsidRPr="00DF7F89">
        <w:rPr>
          <w:rFonts w:cs="Cambria"/>
          <w:sz w:val="20"/>
        </w:rPr>
        <w:t>2013, p.44.</w:t>
      </w:r>
    </w:p>
  </w:endnote>
  <w:endnote w:id="217">
    <w:p w14:paraId="5924D3C5" w14:textId="77777777" w:rsidR="00CD4AF2" w:rsidRPr="00DF7F89" w:rsidRDefault="00CD4AF2" w:rsidP="00C959D9">
      <w:pPr>
        <w:pStyle w:val="EndnoteText"/>
        <w:ind w:left="426" w:hanging="426"/>
        <w:rPr>
          <w:rFonts w:cs="Cambria"/>
          <w:szCs w:val="16"/>
        </w:rPr>
      </w:pPr>
      <w:r w:rsidRPr="00DF7F89">
        <w:rPr>
          <w:rStyle w:val="EndnoteReference"/>
          <w:rFonts w:cs="Cambria"/>
          <w:szCs w:val="16"/>
        </w:rPr>
        <w:endnoteRef/>
      </w:r>
      <w:r w:rsidRPr="00DF7F89">
        <w:rPr>
          <w:rFonts w:cs="Cambria"/>
          <w:szCs w:val="16"/>
        </w:rPr>
        <w:t xml:space="preserve"> </w:t>
      </w:r>
      <w:r w:rsidRPr="00DF7F89">
        <w:rPr>
          <w:rFonts w:cs="Cambria"/>
          <w:szCs w:val="16"/>
        </w:rPr>
        <w:tab/>
        <w:t xml:space="preserve">AusAID, </w:t>
      </w:r>
      <w:r w:rsidRPr="00DF7F89">
        <w:rPr>
          <w:rFonts w:cs="Cambria"/>
          <w:i/>
        </w:rPr>
        <w:t>Provincial road management facility independent progress report,</w:t>
      </w:r>
      <w:r w:rsidRPr="00DF7F89">
        <w:rPr>
          <w:rFonts w:cs="Cambria"/>
        </w:rPr>
        <w:t xml:space="preserve"> </w:t>
      </w:r>
      <w:r w:rsidRPr="00DF7F89">
        <w:rPr>
          <w:rFonts w:cs="Cambria"/>
          <w:szCs w:val="16"/>
        </w:rPr>
        <w:t>2012.</w:t>
      </w:r>
    </w:p>
  </w:endnote>
  <w:endnote w:id="218">
    <w:p w14:paraId="74DD0E7F" w14:textId="77777777" w:rsidR="00CD4AF2" w:rsidRPr="00DF7F89" w:rsidRDefault="00CD4AF2" w:rsidP="00C959D9">
      <w:pPr>
        <w:tabs>
          <w:tab w:val="left" w:pos="284"/>
        </w:tabs>
        <w:spacing w:before="0" w:after="0"/>
        <w:ind w:left="426" w:hanging="426"/>
        <w:rPr>
          <w:rFonts w:cs="Cambria"/>
          <w:sz w:val="16"/>
          <w:szCs w:val="16"/>
        </w:rPr>
      </w:pPr>
      <w:r w:rsidRPr="00DF7F89">
        <w:rPr>
          <w:rStyle w:val="EndnoteReference"/>
          <w:rFonts w:cs="Cambria"/>
          <w:sz w:val="16"/>
          <w:szCs w:val="16"/>
        </w:rPr>
        <w:endnoteRef/>
      </w:r>
      <w:r w:rsidRPr="00DF7F89">
        <w:rPr>
          <w:rFonts w:cs="Cambria"/>
          <w:sz w:val="16"/>
          <w:szCs w:val="16"/>
        </w:rPr>
        <w:t xml:space="preserve"> </w:t>
      </w:r>
      <w:r w:rsidRPr="00DF7F89">
        <w:rPr>
          <w:rFonts w:cs="Cambria"/>
          <w:sz w:val="16"/>
          <w:szCs w:val="16"/>
        </w:rPr>
        <w:tab/>
      </w:r>
      <w:r w:rsidRPr="00DF7F89">
        <w:rPr>
          <w:rFonts w:cs="Cambria"/>
          <w:sz w:val="16"/>
          <w:szCs w:val="16"/>
        </w:rPr>
        <w:tab/>
      </w:r>
      <w:r w:rsidRPr="00DF7F89">
        <w:rPr>
          <w:rFonts w:cs="Cambria"/>
          <w:sz w:val="20"/>
        </w:rPr>
        <w:t xml:space="preserve">AusAID, </w:t>
      </w:r>
      <w:r w:rsidRPr="00DF7F89">
        <w:rPr>
          <w:rFonts w:cs="Cambria"/>
          <w:i/>
          <w:sz w:val="20"/>
        </w:rPr>
        <w:t>Philippines provincial road management facility (PRMF) facility design document,</w:t>
      </w:r>
      <w:r w:rsidRPr="00DF7F89" w:rsidDel="005C2819">
        <w:rPr>
          <w:rFonts w:cs="Cambria"/>
          <w:sz w:val="20"/>
        </w:rPr>
        <w:t xml:space="preserve"> </w:t>
      </w:r>
      <w:r w:rsidRPr="00DF7F89">
        <w:rPr>
          <w:rFonts w:cs="Cambria"/>
          <w:sz w:val="20"/>
        </w:rPr>
        <w:t>2008, p.1.</w:t>
      </w:r>
    </w:p>
  </w:endnote>
  <w:endnote w:id="219">
    <w:p w14:paraId="5F82077C" w14:textId="77777777" w:rsidR="00CD4AF2" w:rsidRPr="00DF7F89" w:rsidRDefault="00CD4AF2" w:rsidP="00C959D9">
      <w:pPr>
        <w:tabs>
          <w:tab w:val="left" w:pos="284"/>
        </w:tabs>
        <w:autoSpaceDE w:val="0"/>
        <w:autoSpaceDN w:val="0"/>
        <w:adjustRightInd w:val="0"/>
        <w:spacing w:before="0" w:after="0"/>
        <w:ind w:left="426" w:hanging="426"/>
        <w:rPr>
          <w:rFonts w:cs="Cambria"/>
          <w:color w:val="F0985D"/>
          <w:sz w:val="16"/>
          <w:szCs w:val="16"/>
        </w:rPr>
      </w:pPr>
      <w:r w:rsidRPr="00DF7F89">
        <w:rPr>
          <w:rStyle w:val="EndnoteReference"/>
          <w:rFonts w:cs="Cambria"/>
          <w:sz w:val="16"/>
          <w:szCs w:val="16"/>
        </w:rPr>
        <w:endnoteRef/>
      </w:r>
      <w:r w:rsidRPr="00DF7F89">
        <w:rPr>
          <w:rFonts w:cs="Cambria"/>
          <w:sz w:val="16"/>
          <w:szCs w:val="16"/>
        </w:rPr>
        <w:t xml:space="preserve"> </w:t>
      </w:r>
      <w:r w:rsidRPr="00DF7F89">
        <w:rPr>
          <w:rFonts w:cs="Cambria"/>
          <w:sz w:val="16"/>
          <w:szCs w:val="16"/>
        </w:rPr>
        <w:tab/>
      </w:r>
      <w:r w:rsidRPr="00DF7F89">
        <w:rPr>
          <w:rFonts w:cs="Cambria"/>
          <w:sz w:val="16"/>
          <w:szCs w:val="16"/>
        </w:rPr>
        <w:tab/>
      </w:r>
      <w:r w:rsidRPr="00DF7F89">
        <w:rPr>
          <w:rFonts w:cs="Cambria"/>
          <w:sz w:val="20"/>
        </w:rPr>
        <w:t xml:space="preserve">AusAID, </w:t>
      </w:r>
      <w:r w:rsidRPr="00DF7F89">
        <w:rPr>
          <w:rFonts w:cs="Cambria"/>
          <w:i/>
          <w:sz w:val="20"/>
        </w:rPr>
        <w:t xml:space="preserve">Philippines provincial roads management facility annual plan, 2013–14, </w:t>
      </w:r>
      <w:r w:rsidRPr="00DF7F89">
        <w:rPr>
          <w:rFonts w:cs="Cambria"/>
          <w:sz w:val="20"/>
        </w:rPr>
        <w:t>2013</w:t>
      </w:r>
      <w:r w:rsidRPr="00DF7F89">
        <w:rPr>
          <w:rFonts w:cs="Cambria"/>
          <w:i/>
          <w:sz w:val="20"/>
        </w:rPr>
        <w:t xml:space="preserve">, </w:t>
      </w:r>
      <w:r w:rsidRPr="00DF7F89">
        <w:rPr>
          <w:rFonts w:cs="Cambria"/>
          <w:sz w:val="20"/>
        </w:rPr>
        <w:t>p.10.</w:t>
      </w:r>
    </w:p>
  </w:endnote>
  <w:endnote w:id="220">
    <w:p w14:paraId="1A6608E0" w14:textId="77777777" w:rsidR="00CD4AF2" w:rsidRPr="00DF7F89" w:rsidRDefault="00CD4AF2" w:rsidP="00C959D9">
      <w:pPr>
        <w:tabs>
          <w:tab w:val="left" w:pos="284"/>
        </w:tabs>
        <w:autoSpaceDE w:val="0"/>
        <w:autoSpaceDN w:val="0"/>
        <w:adjustRightInd w:val="0"/>
        <w:spacing w:before="0" w:after="0"/>
        <w:ind w:left="426" w:hanging="426"/>
      </w:pPr>
      <w:r w:rsidRPr="00DF7F89">
        <w:rPr>
          <w:rStyle w:val="EndnoteReference"/>
          <w:rFonts w:cs="Cambria"/>
          <w:sz w:val="16"/>
          <w:szCs w:val="16"/>
        </w:rPr>
        <w:endnoteRef/>
      </w:r>
      <w:r w:rsidRPr="00DF7F89">
        <w:rPr>
          <w:rFonts w:cs="Cambria"/>
          <w:sz w:val="16"/>
          <w:szCs w:val="16"/>
        </w:rPr>
        <w:t xml:space="preserve"> </w:t>
      </w:r>
      <w:r w:rsidRPr="00DF7F89">
        <w:rPr>
          <w:rFonts w:cs="Cambria"/>
          <w:sz w:val="16"/>
          <w:szCs w:val="16"/>
        </w:rPr>
        <w:tab/>
      </w:r>
      <w:r w:rsidRPr="00DF7F89">
        <w:rPr>
          <w:rFonts w:cs="Cambria"/>
          <w:sz w:val="16"/>
          <w:szCs w:val="16"/>
        </w:rPr>
        <w:tab/>
      </w:r>
      <w:r w:rsidRPr="00DF7F89">
        <w:rPr>
          <w:rFonts w:cs="Cambria"/>
          <w:sz w:val="20"/>
        </w:rPr>
        <w:t xml:space="preserve">AusAID, </w:t>
      </w:r>
      <w:r w:rsidRPr="00DF7F89">
        <w:rPr>
          <w:rFonts w:cs="Cambria"/>
          <w:i/>
          <w:sz w:val="20"/>
        </w:rPr>
        <w:t xml:space="preserve">Philippines provincial roads management facility annual plan, 2013–14, </w:t>
      </w:r>
      <w:r w:rsidRPr="00DF7F89">
        <w:rPr>
          <w:rFonts w:cs="Cambria"/>
          <w:sz w:val="20"/>
        </w:rPr>
        <w:t>2013</w:t>
      </w:r>
      <w:r w:rsidRPr="00DF7F89">
        <w:rPr>
          <w:rFonts w:cs="Cambria"/>
          <w:i/>
          <w:sz w:val="20"/>
        </w:rPr>
        <w:t>,</w:t>
      </w:r>
      <w:r w:rsidRPr="00DF7F89">
        <w:rPr>
          <w:rFonts w:cs="Cambria"/>
          <w:sz w:val="20"/>
        </w:rPr>
        <w:t xml:space="preserve"> p.10.</w:t>
      </w:r>
    </w:p>
  </w:endnote>
  <w:endnote w:id="221">
    <w:p w14:paraId="576F3145"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Vietnam Health Human Resources Sector Development Program</w:t>
      </w:r>
      <w:r w:rsidRPr="00DF7F89" w:rsidDel="00E956F1">
        <w:rPr>
          <w:i/>
        </w:rPr>
        <w:t xml:space="preserve"> </w:t>
      </w:r>
      <w:r w:rsidRPr="00DF7F89">
        <w:rPr>
          <w:i/>
        </w:rPr>
        <w:t>design document,</w:t>
      </w:r>
      <w:r w:rsidRPr="00DF7F89">
        <w:t xml:space="preserve"> AusAID, Canberra, </w:t>
      </w:r>
      <w:r w:rsidRPr="0043439F">
        <w:t>2008</w:t>
      </w:r>
      <w:r w:rsidRPr="00DF7F89">
        <w:t>, p.20.</w:t>
      </w:r>
    </w:p>
  </w:endnote>
  <w:endnote w:id="222">
    <w:p w14:paraId="5FC2113C"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PNG Transport Sector Support Program Concept Design Document,</w:t>
      </w:r>
      <w:r w:rsidRPr="00DF7F89">
        <w:t xml:space="preserve"> AusAID, Canberra, </w:t>
      </w:r>
      <w:r w:rsidRPr="0043439F">
        <w:t>2005</w:t>
      </w:r>
      <w:r w:rsidRPr="00DF7F89">
        <w:t>, p.23.</w:t>
      </w:r>
    </w:p>
  </w:endnote>
  <w:endnote w:id="223">
    <w:p w14:paraId="331C1D97"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Australia's Education Partnership with Indonesia</w:t>
      </w:r>
      <w:r w:rsidRPr="00DF7F89" w:rsidDel="00E956F1">
        <w:rPr>
          <w:i/>
        </w:rPr>
        <w:t xml:space="preserve"> </w:t>
      </w:r>
      <w:r w:rsidRPr="00DF7F89">
        <w:rPr>
          <w:i/>
        </w:rPr>
        <w:t>design</w:t>
      </w:r>
      <w:r w:rsidRPr="00DF7F89">
        <w:t xml:space="preserve"> </w:t>
      </w:r>
      <w:r w:rsidRPr="00DF7F89">
        <w:rPr>
          <w:i/>
        </w:rPr>
        <w:t>document,</w:t>
      </w:r>
      <w:r w:rsidRPr="00DF7F89">
        <w:t xml:space="preserve"> AusAID, Canberra, </w:t>
      </w:r>
      <w:r w:rsidRPr="0043439F">
        <w:t>2010.</w:t>
      </w:r>
    </w:p>
  </w:endnote>
  <w:endnote w:id="224">
    <w:p w14:paraId="58A7E7D2"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Australia-Indonesia Partnership for Maternal and Neonatal Health</w:t>
      </w:r>
      <w:r w:rsidRPr="00DF7F89" w:rsidDel="00E956F1">
        <w:rPr>
          <w:i/>
        </w:rPr>
        <w:t xml:space="preserve"> </w:t>
      </w:r>
      <w:r w:rsidRPr="00DF7F89">
        <w:rPr>
          <w:i/>
        </w:rPr>
        <w:t>design</w:t>
      </w:r>
      <w:r w:rsidRPr="00DF7F89">
        <w:t xml:space="preserve"> </w:t>
      </w:r>
      <w:r w:rsidRPr="00DF7F89">
        <w:rPr>
          <w:i/>
        </w:rPr>
        <w:t>document,</w:t>
      </w:r>
      <w:r w:rsidRPr="00DF7F89">
        <w:t xml:space="preserve"> AusAID, Canberra, </w:t>
      </w:r>
      <w:r w:rsidRPr="0043439F">
        <w:t>2007</w:t>
      </w:r>
      <w:r w:rsidRPr="00DF7F89">
        <w:t>, p.85.</w:t>
      </w:r>
    </w:p>
  </w:endnote>
  <w:endnote w:id="225">
    <w:p w14:paraId="3C754572"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Philippines education program for Muslim and indigenous people</w:t>
      </w:r>
      <w:r w:rsidRPr="00DF7F89">
        <w:t xml:space="preserve"> </w:t>
      </w:r>
      <w:r w:rsidRPr="00DF7F89">
        <w:rPr>
          <w:i/>
        </w:rPr>
        <w:t>design</w:t>
      </w:r>
      <w:r w:rsidRPr="00DF7F89">
        <w:t xml:space="preserve"> </w:t>
      </w:r>
      <w:r w:rsidRPr="00DF7F89">
        <w:rPr>
          <w:i/>
        </w:rPr>
        <w:t>document,</w:t>
      </w:r>
      <w:r w:rsidRPr="00DF7F89">
        <w:t xml:space="preserve"> AusAID, Canberra, </w:t>
      </w:r>
      <w:r w:rsidRPr="0043439F">
        <w:t>2010</w:t>
      </w:r>
      <w:r w:rsidRPr="00DF7F89">
        <w:t>, p.83.</w:t>
      </w:r>
    </w:p>
  </w:endnote>
  <w:endnote w:id="226">
    <w:p w14:paraId="79F5FE4D"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Philippines education program for Muslim and indigenous people</w:t>
      </w:r>
      <w:r w:rsidRPr="00DF7F89">
        <w:t xml:space="preserve"> </w:t>
      </w:r>
      <w:r w:rsidRPr="00DF7F89">
        <w:rPr>
          <w:i/>
        </w:rPr>
        <w:t>design</w:t>
      </w:r>
      <w:r w:rsidRPr="00DF7F89">
        <w:t xml:space="preserve"> </w:t>
      </w:r>
      <w:r w:rsidRPr="00DF7F89">
        <w:rPr>
          <w:i/>
        </w:rPr>
        <w:t>document,</w:t>
      </w:r>
      <w:r w:rsidRPr="00DF7F89">
        <w:t xml:space="preserve"> </w:t>
      </w:r>
      <w:r w:rsidRPr="0043439F">
        <w:t>2010</w:t>
      </w:r>
      <w:r w:rsidRPr="00DF7F89">
        <w:t>, p.28.</w:t>
      </w:r>
    </w:p>
  </w:endnote>
  <w:endnote w:id="227">
    <w:p w14:paraId="6D29D2A5"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 xml:space="preserve">Vietnam health resources program design document, </w:t>
      </w:r>
      <w:r w:rsidRPr="0043439F">
        <w:t>2008</w:t>
      </w:r>
      <w:r w:rsidRPr="00DF7F89">
        <w:t>, p.6.</w:t>
      </w:r>
    </w:p>
  </w:endnote>
  <w:endnote w:id="228">
    <w:p w14:paraId="7882FBC0" w14:textId="0CE25EDD"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Philippines Provincial Road Management Facility (PRMF)</w:t>
      </w:r>
      <w:r w:rsidRPr="00DF7F89">
        <w:t xml:space="preserve"> </w:t>
      </w:r>
      <w:r w:rsidRPr="00DF7F89">
        <w:rPr>
          <w:i/>
        </w:rPr>
        <w:t>design</w:t>
      </w:r>
      <w:r w:rsidRPr="00DF7F89">
        <w:t xml:space="preserve"> </w:t>
      </w:r>
      <w:r w:rsidRPr="00DF7F89">
        <w:rPr>
          <w:i/>
        </w:rPr>
        <w:t>document,</w:t>
      </w:r>
      <w:r w:rsidRPr="00DF7F89">
        <w:t xml:space="preserve"> AusAID, Canberra, </w:t>
      </w:r>
      <w:r w:rsidRPr="0043439F">
        <w:t>2008</w:t>
      </w:r>
      <w:r w:rsidRPr="00DF7F89">
        <w:t>, p.8.</w:t>
      </w:r>
    </w:p>
  </w:endnote>
  <w:endnote w:id="229">
    <w:p w14:paraId="5400DFAC"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Australia's Education Partnership with Indonesia</w:t>
      </w:r>
      <w:r w:rsidRPr="00DF7F89" w:rsidDel="00E956F1">
        <w:rPr>
          <w:i/>
        </w:rPr>
        <w:t xml:space="preserve"> </w:t>
      </w:r>
      <w:r w:rsidRPr="00DF7F89">
        <w:rPr>
          <w:i/>
        </w:rPr>
        <w:t>design</w:t>
      </w:r>
      <w:r w:rsidRPr="00DF7F89">
        <w:t xml:space="preserve"> </w:t>
      </w:r>
      <w:r w:rsidRPr="00DF7F89">
        <w:rPr>
          <w:i/>
        </w:rPr>
        <w:t>document,</w:t>
      </w:r>
      <w:r w:rsidRPr="0043439F">
        <w:t xml:space="preserve"> 2010</w:t>
      </w:r>
      <w:r w:rsidRPr="00DF7F89">
        <w:t>, p.63.</w:t>
      </w:r>
    </w:p>
  </w:endnote>
  <w:endnote w:id="230">
    <w:p w14:paraId="4091AB1E"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 xml:space="preserve">Australia's Education Partnership with Indonesia, </w:t>
      </w:r>
      <w:r w:rsidRPr="0043439F">
        <w:t>2010</w:t>
      </w:r>
      <w:r w:rsidRPr="00DF7F89">
        <w:t>, p.61.</w:t>
      </w:r>
    </w:p>
  </w:endnote>
  <w:endnote w:id="231">
    <w:p w14:paraId="2F5E6B60"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 xml:space="preserve">Vietnam Health Human Resources Sector Development Program design document, </w:t>
      </w:r>
      <w:r w:rsidRPr="0043439F">
        <w:t>2008</w:t>
      </w:r>
      <w:r w:rsidRPr="00DF7F89">
        <w:t>, p.7.</w:t>
      </w:r>
    </w:p>
  </w:endnote>
  <w:endnote w:id="232">
    <w:p w14:paraId="544A14AB"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Philippines Mindanao education program design document,</w:t>
      </w:r>
      <w:r w:rsidRPr="00DF7F89">
        <w:t xml:space="preserve"> AusAID, Canberra, </w:t>
      </w:r>
      <w:r w:rsidRPr="0043439F">
        <w:t>2011</w:t>
      </w:r>
      <w:r w:rsidRPr="00DF7F89">
        <w:t>, p.13.</w:t>
      </w:r>
    </w:p>
  </w:endnote>
  <w:endnote w:id="233">
    <w:p w14:paraId="3907D94F" w14:textId="635E0446"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AusAID Support to the Solomon Islands health Sector (2012-16): Program delivery plan,</w:t>
      </w:r>
      <w:r w:rsidRPr="00DF7F89">
        <w:t xml:space="preserve"> AusAID, Canberra, </w:t>
      </w:r>
      <w:r w:rsidRPr="0043439F">
        <w:t>2011</w:t>
      </w:r>
      <w:r w:rsidRPr="00DF7F89">
        <w:t>, p.14.</w:t>
      </w:r>
    </w:p>
  </w:endnote>
  <w:endnote w:id="234">
    <w:p w14:paraId="7D2888D5" w14:textId="77777777" w:rsidR="00CD4AF2" w:rsidRPr="00DF7F89" w:rsidRDefault="00CD4AF2" w:rsidP="00C959D9">
      <w:pPr>
        <w:pStyle w:val="EndnoteText"/>
        <w:ind w:left="426" w:hanging="426"/>
        <w:rPr>
          <w:i/>
        </w:rPr>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Bangladesh BRAC Education Programme (BEP-II) 2007-2011design document,</w:t>
      </w:r>
      <w:r w:rsidRPr="00DF7F89">
        <w:t xml:space="preserve"> AusAID, Canberra, </w:t>
      </w:r>
      <w:r w:rsidRPr="0043439F">
        <w:t>2006</w:t>
      </w:r>
      <w:r w:rsidRPr="00DF7F89">
        <w:t>, p.32.</w:t>
      </w:r>
    </w:p>
  </w:endnote>
  <w:endnote w:id="235">
    <w:p w14:paraId="17164B1E"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 xml:space="preserve">AusAID, </w:t>
      </w:r>
      <w:r w:rsidRPr="00DF7F89">
        <w:rPr>
          <w:i/>
        </w:rPr>
        <w:t>Philippines Mindanao education program design document,</w:t>
      </w:r>
      <w:r w:rsidRPr="00DF7F89">
        <w:t xml:space="preserve"> </w:t>
      </w:r>
      <w:r w:rsidRPr="0043439F">
        <w:t>2011</w:t>
      </w:r>
      <w:r w:rsidRPr="00DF7F89">
        <w:t>, p.7.</w:t>
      </w:r>
    </w:p>
  </w:endnote>
  <w:endnote w:id="236">
    <w:p w14:paraId="4D4C7B90"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Indonesian Design Summary and Implementation Document Water and Sanitation Initiative (WSI),</w:t>
      </w:r>
      <w:r w:rsidRPr="00DF7F89">
        <w:t xml:space="preserve"> AusAID, Canberra, </w:t>
      </w:r>
      <w:r w:rsidRPr="0043439F">
        <w:t>2008, p.42.</w:t>
      </w:r>
    </w:p>
  </w:endnote>
  <w:endnote w:id="237">
    <w:p w14:paraId="0A2D2FF6"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Australia's Education Partnership with Indonesia</w:t>
      </w:r>
      <w:r w:rsidRPr="00DF7F89" w:rsidDel="00E956F1">
        <w:rPr>
          <w:i/>
        </w:rPr>
        <w:t xml:space="preserve"> </w:t>
      </w:r>
      <w:r w:rsidRPr="00DF7F89">
        <w:rPr>
          <w:i/>
        </w:rPr>
        <w:t>design</w:t>
      </w:r>
      <w:r w:rsidRPr="00DF7F89">
        <w:t xml:space="preserve"> </w:t>
      </w:r>
      <w:r w:rsidRPr="00DF7F89">
        <w:rPr>
          <w:i/>
        </w:rPr>
        <w:t xml:space="preserve">document, </w:t>
      </w:r>
      <w:r w:rsidRPr="0043439F">
        <w:t>2010</w:t>
      </w:r>
      <w:r w:rsidRPr="00DF7F89">
        <w:t>, p.64.</w:t>
      </w:r>
    </w:p>
  </w:endnote>
  <w:endnote w:id="238">
    <w:p w14:paraId="0295B262"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 xml:space="preserve">Vietnam health resources program design document, </w:t>
      </w:r>
      <w:r w:rsidRPr="0043439F">
        <w:t>2008</w:t>
      </w:r>
      <w:r w:rsidRPr="00DF7F89">
        <w:t>, p.9.</w:t>
      </w:r>
    </w:p>
  </w:endnote>
  <w:endnote w:id="239">
    <w:p w14:paraId="43E90E0D"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AusAID's support to the Solomon Islands Education Sector (2011-2012): Design summary and Implementation document</w:t>
      </w:r>
      <w:r w:rsidRPr="00DF7F89" w:rsidDel="00DB39A6">
        <w:rPr>
          <w:i/>
        </w:rPr>
        <w:t xml:space="preserve"> </w:t>
      </w:r>
      <w:proofErr w:type="spellStart"/>
      <w:r w:rsidRPr="00DF7F89">
        <w:rPr>
          <w:i/>
        </w:rPr>
        <w:t>document</w:t>
      </w:r>
      <w:proofErr w:type="spellEnd"/>
      <w:r w:rsidRPr="00DF7F89">
        <w:rPr>
          <w:i/>
        </w:rPr>
        <w:t>,</w:t>
      </w:r>
      <w:r w:rsidRPr="00DF7F89">
        <w:t xml:space="preserve"> AusAID, Canberra, </w:t>
      </w:r>
      <w:r w:rsidRPr="0043439F">
        <w:t>2010</w:t>
      </w:r>
      <w:r w:rsidRPr="00DF7F89">
        <w:t>, p.33.</w:t>
      </w:r>
    </w:p>
  </w:endnote>
  <w:endnote w:id="240">
    <w:p w14:paraId="5ECCE842"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 xml:space="preserve">AusAID, </w:t>
      </w:r>
      <w:r w:rsidRPr="00DF7F89">
        <w:rPr>
          <w:i/>
        </w:rPr>
        <w:t>Philippines Mindanao education program design document,</w:t>
      </w:r>
      <w:r w:rsidRPr="00DF7F89">
        <w:t xml:space="preserve"> </w:t>
      </w:r>
      <w:r w:rsidRPr="0043439F">
        <w:t>2011</w:t>
      </w:r>
      <w:r w:rsidRPr="00DF7F89">
        <w:t>, p.25.</w:t>
      </w:r>
    </w:p>
  </w:endnote>
  <w:endnote w:id="241">
    <w:p w14:paraId="75F70D28"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Indonesian Australia-Indonesia Partnership for Maternal and Neonatal Health design</w:t>
      </w:r>
      <w:r w:rsidRPr="00DF7F89">
        <w:t xml:space="preserve"> </w:t>
      </w:r>
      <w:r w:rsidRPr="00DF7F89">
        <w:rPr>
          <w:i/>
        </w:rPr>
        <w:t xml:space="preserve">document, </w:t>
      </w:r>
      <w:r w:rsidRPr="0043439F">
        <w:t>2007</w:t>
      </w:r>
      <w:r w:rsidRPr="00DF7F89">
        <w:t>, p.29.</w:t>
      </w:r>
    </w:p>
  </w:endnote>
  <w:endnote w:id="242">
    <w:p w14:paraId="21C0A7ED"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Philippines provincial road management facility (PRMF) design document, 2008</w:t>
      </w:r>
      <w:r w:rsidRPr="00DF7F89">
        <w:t>.</w:t>
      </w:r>
    </w:p>
  </w:endnote>
  <w:endnote w:id="243">
    <w:p w14:paraId="76F6F441"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Bangladesh Design Summary and Implementation Document: Australia’s Support to the Bangladesh Health, Population and Nutrition Sector Development Plan 2011-2016,</w:t>
      </w:r>
      <w:r w:rsidRPr="00DF7F89">
        <w:t xml:space="preserve"> AusAID, Canberra, </w:t>
      </w:r>
      <w:r w:rsidRPr="0043439F">
        <w:t>2010</w:t>
      </w:r>
      <w:r w:rsidRPr="00DF7F89">
        <w:t>, p.1.</w:t>
      </w:r>
    </w:p>
  </w:endnote>
  <w:endnote w:id="244">
    <w:p w14:paraId="7B05548D"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Philippines provincial road management facility (PRMF) design document,</w:t>
      </w:r>
      <w:r w:rsidRPr="00DF7F89">
        <w:t xml:space="preserve"> </w:t>
      </w:r>
      <w:r w:rsidRPr="0043439F">
        <w:t xml:space="preserve">2008, </w:t>
      </w:r>
      <w:r w:rsidRPr="00DF7F89">
        <w:t>p.32.</w:t>
      </w:r>
    </w:p>
  </w:endnote>
  <w:endnote w:id="245">
    <w:p w14:paraId="168997A4"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Philippines education program for Muslim and indigenous people</w:t>
      </w:r>
      <w:r w:rsidRPr="00DF7F89">
        <w:t xml:space="preserve"> </w:t>
      </w:r>
      <w:r w:rsidRPr="00DF7F89">
        <w:rPr>
          <w:i/>
        </w:rPr>
        <w:t>design</w:t>
      </w:r>
      <w:r w:rsidRPr="00DF7F89">
        <w:t xml:space="preserve"> </w:t>
      </w:r>
      <w:r w:rsidRPr="00DF7F89">
        <w:rPr>
          <w:i/>
        </w:rPr>
        <w:t>document,</w:t>
      </w:r>
      <w:r w:rsidRPr="00DF7F89">
        <w:t xml:space="preserve"> </w:t>
      </w:r>
      <w:r w:rsidRPr="0043439F">
        <w:t>2010</w:t>
      </w:r>
      <w:r w:rsidRPr="00DF7F89">
        <w:t>, p.8.</w:t>
      </w:r>
    </w:p>
  </w:endnote>
  <w:endnote w:id="246">
    <w:p w14:paraId="378B3024"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 xml:space="preserve">Vietnam health resources program design document, </w:t>
      </w:r>
      <w:r w:rsidRPr="0043439F">
        <w:t>2008</w:t>
      </w:r>
      <w:r w:rsidRPr="00DF7F89">
        <w:t>, p.13.</w:t>
      </w:r>
    </w:p>
  </w:endnote>
  <w:endnote w:id="247">
    <w:p w14:paraId="71C2AC71"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Philippines provincial roads program</w:t>
      </w:r>
      <w:r w:rsidRPr="00DF7F89">
        <w:t xml:space="preserve"> </w:t>
      </w:r>
      <w:r w:rsidRPr="00DF7F89">
        <w:rPr>
          <w:i/>
        </w:rPr>
        <w:t>design</w:t>
      </w:r>
      <w:r w:rsidRPr="00DF7F89">
        <w:t xml:space="preserve"> </w:t>
      </w:r>
      <w:r w:rsidRPr="00DF7F89">
        <w:rPr>
          <w:i/>
        </w:rPr>
        <w:t>document,</w:t>
      </w:r>
      <w:r w:rsidRPr="00DF7F89">
        <w:t xml:space="preserve"> </w:t>
      </w:r>
      <w:r w:rsidRPr="0043439F">
        <w:t xml:space="preserve">2008, </w:t>
      </w:r>
      <w:r w:rsidRPr="00DF7F89">
        <w:t>p.40.</w:t>
      </w:r>
    </w:p>
  </w:endnote>
  <w:endnote w:id="248">
    <w:p w14:paraId="545E634F"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Indonesian Design Summary and Implementation Document Water and Sanitation Initiative (WSI),</w:t>
      </w:r>
      <w:r w:rsidRPr="00DF7F89">
        <w:t xml:space="preserve"> AusAID, Canberra, </w:t>
      </w:r>
      <w:r w:rsidRPr="0043439F">
        <w:t>2008</w:t>
      </w:r>
      <w:r w:rsidRPr="00DF7F89">
        <w:t>, p.25.</w:t>
      </w:r>
    </w:p>
  </w:endnote>
  <w:endnote w:id="249">
    <w:p w14:paraId="7877B287" w14:textId="77777777" w:rsidR="00CD4AF2" w:rsidRPr="00DF7F89" w:rsidRDefault="00CD4AF2" w:rsidP="00F33C82">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5A4CDA">
        <w:rPr>
          <w:rFonts w:cs="Cambria"/>
          <w:i/>
          <w:szCs w:val="16"/>
        </w:rPr>
        <w:t>Nusa Tenggara Timur Primary Education Partnership</w:t>
      </w:r>
      <w:r w:rsidRPr="005A4CDA">
        <w:rPr>
          <w:i/>
        </w:rPr>
        <w:t xml:space="preserve"> </w:t>
      </w:r>
      <w:r w:rsidRPr="00DF7F89">
        <w:rPr>
          <w:i/>
        </w:rPr>
        <w:t>evaluation report,</w:t>
      </w:r>
      <w:r w:rsidRPr="00DF7F89">
        <w:t xml:space="preserve"> AusAID, Canberra, </w:t>
      </w:r>
      <w:r w:rsidRPr="0043439F">
        <w:t>2008</w:t>
      </w:r>
      <w:r w:rsidRPr="00DF7F89">
        <w:t>, p.18.</w:t>
      </w:r>
    </w:p>
  </w:endnote>
  <w:endnote w:id="250">
    <w:p w14:paraId="2308EE04" w14:textId="77777777" w:rsidR="00CD4AF2" w:rsidRPr="00DF7F89" w:rsidRDefault="00CD4AF2" w:rsidP="00F33C82">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Indonesia Independent Review: Third Water and Sanitation for Low Income Communities Project (PAMSIMAS) and the Water Supply and Sanitation Policy Formulation and Action Planning (WASPOLA) evaluation report,</w:t>
      </w:r>
      <w:r w:rsidRPr="00DF7F89">
        <w:t xml:space="preserve"> AusAID, Canberra, </w:t>
      </w:r>
      <w:r w:rsidRPr="0043439F">
        <w:t>2013</w:t>
      </w:r>
      <w:r w:rsidRPr="00DF7F89">
        <w:t>, p.66.</w:t>
      </w:r>
    </w:p>
  </w:endnote>
  <w:endnote w:id="251">
    <w:p w14:paraId="43105044" w14:textId="53F31FB8"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 xml:space="preserve">Philippines Provincial Road Management Facility INI 171 </w:t>
      </w:r>
      <w:r>
        <w:rPr>
          <w:rFonts w:ascii="Trebuchet MS" w:hAnsi="Trebuchet MS"/>
          <w:i/>
        </w:rPr>
        <w:t>—</w:t>
      </w:r>
      <w:r w:rsidRPr="00DF7F89">
        <w:rPr>
          <w:i/>
        </w:rPr>
        <w:t xml:space="preserve"> Independent Progress Report ,</w:t>
      </w:r>
      <w:r w:rsidRPr="00DF7F89">
        <w:t xml:space="preserve"> AusAID, Canberra, </w:t>
      </w:r>
      <w:r w:rsidRPr="0043439F">
        <w:t>2012</w:t>
      </w:r>
      <w:r w:rsidRPr="00DF7F89">
        <w:t>, p.21.</w:t>
      </w:r>
    </w:p>
  </w:endnote>
  <w:endnote w:id="252">
    <w:p w14:paraId="63E428DA" w14:textId="3114BC46"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5A4CDA">
        <w:rPr>
          <w:rFonts w:cs="Cambria"/>
          <w:i/>
          <w:szCs w:val="16"/>
        </w:rPr>
        <w:t xml:space="preserve">Nusa Tenggara Timur Primary Education Partnership </w:t>
      </w:r>
      <w:r w:rsidRPr="003D3333">
        <w:rPr>
          <w:i/>
        </w:rPr>
        <w:t xml:space="preserve">evaluation </w:t>
      </w:r>
      <w:r w:rsidRPr="00DF7F89">
        <w:rPr>
          <w:i/>
        </w:rPr>
        <w:t>report,</w:t>
      </w:r>
      <w:r w:rsidRPr="00DF7F89">
        <w:t xml:space="preserve"> </w:t>
      </w:r>
      <w:r w:rsidRPr="0043439F">
        <w:t>2008</w:t>
      </w:r>
      <w:r w:rsidRPr="00DF7F89">
        <w:t>, p.16.</w:t>
      </w:r>
    </w:p>
  </w:endnote>
  <w:endnote w:id="253">
    <w:p w14:paraId="43001F78" w14:textId="03878886"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 xml:space="preserve">Vietnam Three delta </w:t>
      </w:r>
      <w:proofErr w:type="gramStart"/>
      <w:r w:rsidRPr="00DF7F89">
        <w:rPr>
          <w:i/>
        </w:rPr>
        <w:t>towns</w:t>
      </w:r>
      <w:proofErr w:type="gramEnd"/>
      <w:r w:rsidRPr="00DF7F89">
        <w:rPr>
          <w:i/>
        </w:rPr>
        <w:t xml:space="preserve"> water supply and sanitation project: Independent Completion Report,</w:t>
      </w:r>
      <w:r w:rsidRPr="00DF7F89">
        <w:t xml:space="preserve"> AusAID, Canberra, </w:t>
      </w:r>
      <w:r w:rsidRPr="0043439F">
        <w:t>2008</w:t>
      </w:r>
      <w:r w:rsidRPr="00DF7F89">
        <w:t>, p.31.</w:t>
      </w:r>
    </w:p>
  </w:endnote>
  <w:endnote w:id="254">
    <w:p w14:paraId="76C40420" w14:textId="018D2DE9"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 xml:space="preserve">Philippines Strengthening the Implementation of Basic Education in Selected Provinces in the Visayas </w:t>
      </w:r>
      <w:r>
        <w:rPr>
          <w:rFonts w:ascii="Trebuchet MS" w:hAnsi="Trebuchet MS"/>
          <w:i/>
        </w:rPr>
        <w:t>—</w:t>
      </w:r>
      <w:r w:rsidRPr="00DF7F89">
        <w:rPr>
          <w:i/>
        </w:rPr>
        <w:t xml:space="preserve"> STRIVE in support of </w:t>
      </w:r>
      <w:proofErr w:type="spellStart"/>
      <w:r w:rsidRPr="00DF7F89">
        <w:rPr>
          <w:i/>
        </w:rPr>
        <w:t>BESRAevaluation</w:t>
      </w:r>
      <w:proofErr w:type="spellEnd"/>
      <w:r w:rsidRPr="00DF7F89">
        <w:rPr>
          <w:i/>
        </w:rPr>
        <w:t xml:space="preserve"> report,</w:t>
      </w:r>
      <w:r w:rsidRPr="00DF7F89">
        <w:t xml:space="preserve"> AusAID, Canberra, </w:t>
      </w:r>
      <w:r w:rsidRPr="0043439F">
        <w:t>2011</w:t>
      </w:r>
      <w:r w:rsidRPr="00DF7F89">
        <w:t>, p.6.</w:t>
      </w:r>
    </w:p>
  </w:endnote>
  <w:endnote w:id="255">
    <w:p w14:paraId="58DF2F0B" w14:textId="20270416"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5A4CDA">
        <w:rPr>
          <w:rFonts w:cs="Cambria"/>
          <w:i/>
          <w:szCs w:val="16"/>
        </w:rPr>
        <w:t>Nusa Tenggara Timur Primary Education Partnership</w:t>
      </w:r>
      <w:r w:rsidRPr="005A4CDA">
        <w:rPr>
          <w:i/>
        </w:rPr>
        <w:t xml:space="preserve"> </w:t>
      </w:r>
      <w:r w:rsidRPr="00DF7F89">
        <w:rPr>
          <w:i/>
        </w:rPr>
        <w:t>evaluation report,</w:t>
      </w:r>
      <w:r w:rsidRPr="00DF7F89">
        <w:t xml:space="preserve"> </w:t>
      </w:r>
      <w:r w:rsidRPr="0043439F">
        <w:t>2008</w:t>
      </w:r>
      <w:r w:rsidRPr="00DF7F89">
        <w:t>, p.20.</w:t>
      </w:r>
    </w:p>
  </w:endnote>
  <w:endnote w:id="256">
    <w:p w14:paraId="051C96BC" w14:textId="13D47B90"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5A4CDA">
        <w:rPr>
          <w:rFonts w:cs="Cambria"/>
          <w:i/>
          <w:szCs w:val="16"/>
        </w:rPr>
        <w:t>Nusa Tenggara Timur Primary Education Partnership</w:t>
      </w:r>
      <w:r w:rsidRPr="005A4CDA">
        <w:rPr>
          <w:i/>
        </w:rPr>
        <w:t xml:space="preserve"> </w:t>
      </w:r>
      <w:r w:rsidRPr="00DF7F89">
        <w:rPr>
          <w:i/>
        </w:rPr>
        <w:t>evaluation report,</w:t>
      </w:r>
      <w:r w:rsidRPr="00DF7F89">
        <w:t xml:space="preserve"> </w:t>
      </w:r>
      <w:r w:rsidRPr="0043439F">
        <w:t>2008</w:t>
      </w:r>
      <w:r w:rsidRPr="00DF7F89">
        <w:t>, p.25.</w:t>
      </w:r>
    </w:p>
  </w:endnote>
  <w:endnote w:id="257">
    <w:p w14:paraId="34CF66B1"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Indonesian Independent Review: Third Water and Sanitation for Low Income Communities Project (PAMSIMAS) and the Water Supply and Sanitation Policy Formulation and Action Planning (WASPOLA),</w:t>
      </w:r>
      <w:r w:rsidRPr="00DF7F89">
        <w:t xml:space="preserve"> </w:t>
      </w:r>
      <w:r w:rsidRPr="0043439F">
        <w:t>2013</w:t>
      </w:r>
      <w:r w:rsidRPr="00DF7F89">
        <w:t>, p.68.</w:t>
      </w:r>
    </w:p>
  </w:endnote>
  <w:endnote w:id="258">
    <w:p w14:paraId="13A35737" w14:textId="599511CC" w:rsidR="00CD4AF2" w:rsidRPr="00DF7F89" w:rsidRDefault="00CD4AF2" w:rsidP="00C959D9">
      <w:pPr>
        <w:pStyle w:val="EndnoteText"/>
        <w:ind w:left="426" w:hanging="426"/>
      </w:pPr>
      <w:r w:rsidRPr="00DF7F89">
        <w:rPr>
          <w:rStyle w:val="EndnoteReference"/>
        </w:rPr>
        <w:endnoteRef/>
      </w:r>
      <w:r w:rsidRPr="00DF7F89">
        <w:t xml:space="preserve"> </w:t>
      </w:r>
      <w:r w:rsidRPr="00DF7F89">
        <w:tab/>
        <w:t>AusAID,</w:t>
      </w:r>
      <w:r w:rsidRPr="00DF7F89">
        <w:rPr>
          <w:rFonts w:cs="Cambria"/>
          <w:i/>
          <w:sz w:val="16"/>
          <w:szCs w:val="16"/>
        </w:rPr>
        <w:t xml:space="preserve"> </w:t>
      </w:r>
      <w:r w:rsidRPr="00DF7F89">
        <w:rPr>
          <w:i/>
        </w:rPr>
        <w:t xml:space="preserve">Provincial Road Management Facility INI 171 </w:t>
      </w:r>
      <w:r>
        <w:rPr>
          <w:rFonts w:ascii="Trebuchet MS" w:hAnsi="Trebuchet MS"/>
          <w:i/>
        </w:rPr>
        <w:t>—</w:t>
      </w:r>
      <w:r w:rsidRPr="00DF7F89">
        <w:rPr>
          <w:i/>
        </w:rPr>
        <w:t xml:space="preserve"> Independent Progress Report ,</w:t>
      </w:r>
      <w:r w:rsidRPr="00DF7F89">
        <w:t xml:space="preserve"> AusAID, Canberra, 2012, p.42.</w:t>
      </w:r>
    </w:p>
  </w:endnote>
  <w:endnote w:id="259">
    <w:p w14:paraId="6CE17AC5" w14:textId="77777777" w:rsidR="00CD4AF2" w:rsidRPr="00DF7F89" w:rsidRDefault="00CD4AF2" w:rsidP="00952A52">
      <w:pPr>
        <w:pStyle w:val="EndnoteText"/>
        <w:ind w:left="426" w:hanging="426"/>
      </w:pPr>
      <w:r w:rsidRPr="00DF7F89">
        <w:rPr>
          <w:rStyle w:val="EndnoteReference"/>
        </w:rPr>
        <w:endnoteRef/>
      </w:r>
      <w:r w:rsidRPr="00DF7F89">
        <w:t xml:space="preserve"> </w:t>
      </w:r>
      <w:r w:rsidRPr="00DF7F89">
        <w:tab/>
        <w:t xml:space="preserve">AusAID, </w:t>
      </w:r>
      <w:r w:rsidRPr="00DF7F89">
        <w:rPr>
          <w:i/>
        </w:rPr>
        <w:t>Saving lives,</w:t>
      </w:r>
      <w:r w:rsidRPr="00DF7F89">
        <w:t xml:space="preserve"> 2011, p.6.</w:t>
      </w:r>
    </w:p>
  </w:endnote>
  <w:endnote w:id="260">
    <w:p w14:paraId="212FB66E" w14:textId="77777777" w:rsidR="00CD4AF2" w:rsidRPr="00DF7F89" w:rsidRDefault="00CD4AF2" w:rsidP="00952A52">
      <w:pPr>
        <w:pStyle w:val="EndnoteText"/>
        <w:ind w:left="426" w:hanging="426"/>
      </w:pPr>
      <w:r w:rsidRPr="00DF7F89">
        <w:rPr>
          <w:rStyle w:val="EndnoteReference"/>
        </w:rPr>
        <w:endnoteRef/>
      </w:r>
      <w:r w:rsidRPr="00DF7F89">
        <w:t xml:space="preserve"> </w:t>
      </w:r>
      <w:r w:rsidRPr="00DF7F89">
        <w:tab/>
        <w:t xml:space="preserve">AusAID, </w:t>
      </w:r>
      <w:r w:rsidRPr="00DF7F89">
        <w:rPr>
          <w:i/>
        </w:rPr>
        <w:t>Saving lives,</w:t>
      </w:r>
      <w:r w:rsidRPr="00DF7F89">
        <w:t xml:space="preserve"> 2011, p.3. </w:t>
      </w:r>
    </w:p>
  </w:endnote>
  <w:endnote w:id="261">
    <w:p w14:paraId="3E764BCA" w14:textId="77777777" w:rsidR="00CD4AF2" w:rsidRPr="00DF7F89" w:rsidRDefault="00CD4AF2" w:rsidP="00952A52">
      <w:pPr>
        <w:pStyle w:val="EndnoteText"/>
        <w:ind w:left="426" w:hanging="426"/>
      </w:pPr>
      <w:r w:rsidRPr="00DF7F89">
        <w:rPr>
          <w:rStyle w:val="EndnoteReference"/>
        </w:rPr>
        <w:endnoteRef/>
      </w:r>
      <w:r w:rsidRPr="00DF7F89">
        <w:t xml:space="preserve"> </w:t>
      </w:r>
      <w:r w:rsidRPr="00DF7F89">
        <w:tab/>
        <w:t xml:space="preserve">AusAID, </w:t>
      </w:r>
      <w:r w:rsidRPr="00DF7F89">
        <w:rPr>
          <w:i/>
        </w:rPr>
        <w:t>Sustainable economic development,</w:t>
      </w:r>
      <w:r w:rsidRPr="00DF7F89">
        <w:t xml:space="preserve"> 2011, p.4.</w:t>
      </w:r>
    </w:p>
  </w:endnote>
  <w:endnote w:id="262">
    <w:p w14:paraId="5B465634" w14:textId="77777777" w:rsidR="00CD4AF2" w:rsidRPr="00DF7F89" w:rsidRDefault="00CD4AF2" w:rsidP="00952A52">
      <w:pPr>
        <w:pStyle w:val="EndnoteText"/>
        <w:ind w:left="426" w:hanging="426"/>
      </w:pPr>
      <w:r w:rsidRPr="00DF7F89">
        <w:rPr>
          <w:rStyle w:val="EndnoteReference"/>
        </w:rPr>
        <w:endnoteRef/>
      </w:r>
      <w:r w:rsidRPr="00DF7F89">
        <w:t xml:space="preserve"> </w:t>
      </w:r>
      <w:r w:rsidRPr="00DF7F89">
        <w:tab/>
        <w:t>Australian Agency for International Development</w:t>
      </w:r>
      <w:r w:rsidRPr="00DF7F89">
        <w:rPr>
          <w:rFonts w:cs="Cambria"/>
          <w:sz w:val="16"/>
          <w:szCs w:val="16"/>
        </w:rPr>
        <w:t>,</w:t>
      </w:r>
      <w:r w:rsidRPr="00DF7F89">
        <w:rPr>
          <w:rFonts w:cs="Cambria"/>
          <w:i/>
          <w:sz w:val="16"/>
          <w:szCs w:val="16"/>
        </w:rPr>
        <w:t xml:space="preserve"> </w:t>
      </w:r>
      <w:r w:rsidRPr="00DF7F89">
        <w:rPr>
          <w:i/>
        </w:rPr>
        <w:t>Promoting opportunities for all: education thematic strategy,</w:t>
      </w:r>
      <w:r w:rsidRPr="00DF7F89">
        <w:t xml:space="preserve"> AusAID, Canberra, 2011, p.11.</w:t>
      </w:r>
    </w:p>
  </w:endnote>
  <w:endnote w:id="263">
    <w:p w14:paraId="3465F038" w14:textId="77777777" w:rsidR="00CD4AF2" w:rsidRDefault="00CD4AF2" w:rsidP="00952A52">
      <w:pPr>
        <w:pStyle w:val="EndnoteText"/>
        <w:ind w:left="426" w:hanging="426"/>
      </w:pPr>
      <w:r w:rsidRPr="00DF7F89">
        <w:rPr>
          <w:rStyle w:val="EndnoteReference"/>
        </w:rPr>
        <w:endnoteRef/>
      </w:r>
      <w:r w:rsidRPr="00DF7F89">
        <w:t xml:space="preserve"> </w:t>
      </w:r>
      <w:r w:rsidRPr="00DF7F89">
        <w:tab/>
        <w:t xml:space="preserve">AusAID, </w:t>
      </w:r>
      <w:r w:rsidRPr="00DF7F89">
        <w:rPr>
          <w:i/>
        </w:rPr>
        <w:t>Saving lives,</w:t>
      </w:r>
      <w:r w:rsidRPr="00DF7F89">
        <w:t xml:space="preserve"> 2011, p.7.</w:t>
      </w:r>
    </w:p>
  </w:endnote>
  <w:endnote w:id="264">
    <w:p w14:paraId="1469813C" w14:textId="77777777" w:rsidR="00CD4AF2" w:rsidRDefault="00CD4AF2" w:rsidP="00BA7B34">
      <w:pPr>
        <w:pStyle w:val="EndnoteText"/>
        <w:ind w:left="426" w:hanging="426"/>
      </w:pPr>
      <w:r>
        <w:rPr>
          <w:rStyle w:val="EndnoteReference"/>
        </w:rPr>
        <w:endnoteRef/>
      </w:r>
      <w:r>
        <w:t xml:space="preserve"> </w:t>
      </w:r>
      <w:r>
        <w:tab/>
      </w:r>
      <w:r w:rsidRPr="007F1100">
        <w:t>AusAID</w:t>
      </w:r>
      <w:r>
        <w:t>,</w:t>
      </w:r>
      <w:r w:rsidRPr="007F1100">
        <w:t xml:space="preserve"> </w:t>
      </w:r>
      <w:r w:rsidRPr="003E23F3">
        <w:rPr>
          <w:i/>
        </w:rPr>
        <w:t>Saving lives,</w:t>
      </w:r>
      <w:r w:rsidRPr="007F1100">
        <w:t xml:space="preserve"> 2011</w:t>
      </w:r>
      <w:r>
        <w:t>: p.5.</w:t>
      </w:r>
    </w:p>
  </w:endnote>
  <w:endnote w:id="265">
    <w:p w14:paraId="7ACC3180"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Saving lives,</w:t>
      </w:r>
      <w:r>
        <w:t xml:space="preserve"> 2011, p.7.</w:t>
      </w:r>
    </w:p>
  </w:endnote>
  <w:endnote w:id="266">
    <w:p w14:paraId="0693E527"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Sustainable economic development,</w:t>
      </w:r>
      <w:r>
        <w:t xml:space="preserve"> 2011, p.6.</w:t>
      </w:r>
    </w:p>
  </w:endnote>
  <w:endnote w:id="267">
    <w:p w14:paraId="72CAC123" w14:textId="77777777" w:rsidR="00CD4AF2" w:rsidRDefault="00CD4AF2" w:rsidP="00C959D9">
      <w:pPr>
        <w:pStyle w:val="EndnoteText"/>
        <w:ind w:left="426" w:hanging="426"/>
      </w:pPr>
      <w:r>
        <w:rPr>
          <w:rStyle w:val="EndnoteReference"/>
        </w:rPr>
        <w:endnoteRef/>
      </w:r>
      <w:r>
        <w:t xml:space="preserve"> </w:t>
      </w:r>
      <w:r>
        <w:tab/>
      </w:r>
      <w:r w:rsidRPr="00066E14">
        <w:t>AusAID</w:t>
      </w:r>
      <w:r>
        <w:t>.</w:t>
      </w:r>
      <w:r w:rsidRPr="00066E14">
        <w:t xml:space="preserve"> </w:t>
      </w:r>
      <w:r w:rsidRPr="003E23F3">
        <w:rPr>
          <w:i/>
        </w:rPr>
        <w:t>Promoting opportunities for all,</w:t>
      </w:r>
      <w:r w:rsidRPr="00066E14">
        <w:t xml:space="preserve"> 2011</w:t>
      </w:r>
      <w:r>
        <w:t>, p.9.</w:t>
      </w:r>
    </w:p>
  </w:endnote>
  <w:endnote w:id="268">
    <w:p w14:paraId="67604FDA" w14:textId="77777777" w:rsidR="00CD4AF2" w:rsidRDefault="00CD4AF2" w:rsidP="00C959D9">
      <w:pPr>
        <w:pStyle w:val="EndnoteText"/>
        <w:ind w:left="426" w:hanging="426"/>
      </w:pPr>
      <w:r>
        <w:rPr>
          <w:rStyle w:val="EndnoteReference"/>
        </w:rPr>
        <w:endnoteRef/>
      </w:r>
      <w:r>
        <w:t xml:space="preserve"> </w:t>
      </w:r>
      <w:r>
        <w:tab/>
      </w:r>
      <w:r w:rsidRPr="00066E14">
        <w:t>AusAID</w:t>
      </w:r>
      <w:r>
        <w:t>,</w:t>
      </w:r>
      <w:r w:rsidRPr="00066E14">
        <w:t xml:space="preserve"> </w:t>
      </w:r>
      <w:r w:rsidRPr="003E23F3">
        <w:rPr>
          <w:i/>
        </w:rPr>
        <w:t>Promoting opportunities for all,</w:t>
      </w:r>
      <w:r>
        <w:t xml:space="preserve"> </w:t>
      </w:r>
      <w:r w:rsidRPr="00066E14">
        <w:t>2011</w:t>
      </w:r>
      <w:r>
        <w:t>, p.20.</w:t>
      </w:r>
    </w:p>
  </w:endnote>
  <w:endnote w:id="269">
    <w:p w14:paraId="74E44D03"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Saving lives</w:t>
      </w:r>
      <w:r>
        <w:t>, 2011, p.13.</w:t>
      </w:r>
    </w:p>
  </w:endnote>
  <w:endnote w:id="270">
    <w:p w14:paraId="756B5EBA" w14:textId="77777777" w:rsidR="00CD4AF2" w:rsidRDefault="00CD4AF2" w:rsidP="00C959D9">
      <w:pPr>
        <w:pStyle w:val="EndnoteText"/>
        <w:ind w:left="426" w:hanging="426"/>
      </w:pPr>
      <w:r>
        <w:rPr>
          <w:rStyle w:val="EndnoteReference"/>
        </w:rPr>
        <w:endnoteRef/>
      </w:r>
      <w:r>
        <w:t xml:space="preserve"> </w:t>
      </w:r>
      <w:r>
        <w:tab/>
      </w:r>
      <w:r w:rsidRPr="007F1100">
        <w:t>AusAID</w:t>
      </w:r>
      <w:r>
        <w:t xml:space="preserve">, </w:t>
      </w:r>
      <w:r w:rsidRPr="003E23F3">
        <w:rPr>
          <w:i/>
        </w:rPr>
        <w:t>Saving lives,</w:t>
      </w:r>
      <w:r>
        <w:t xml:space="preserve"> 2011, p.6.</w:t>
      </w:r>
    </w:p>
  </w:endnote>
  <w:endnote w:id="271">
    <w:p w14:paraId="331E027A"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Saving lives,</w:t>
      </w:r>
      <w:r>
        <w:t xml:space="preserve"> 2011, p.2.</w:t>
      </w:r>
    </w:p>
  </w:endnote>
  <w:endnote w:id="272">
    <w:p w14:paraId="2151D45E" w14:textId="77777777" w:rsidR="00CD4AF2" w:rsidRDefault="00CD4AF2" w:rsidP="00C959D9">
      <w:pPr>
        <w:pStyle w:val="EndnoteText"/>
        <w:ind w:left="426" w:hanging="426"/>
      </w:pPr>
      <w:r>
        <w:rPr>
          <w:rStyle w:val="EndnoteReference"/>
        </w:rPr>
        <w:endnoteRef/>
      </w:r>
      <w:r>
        <w:t xml:space="preserve"> </w:t>
      </w:r>
      <w:r>
        <w:tab/>
        <w:t xml:space="preserve">AusAID, </w:t>
      </w:r>
      <w:r w:rsidRPr="00436C7E">
        <w:rPr>
          <w:i/>
        </w:rPr>
        <w:t>Effective governance,</w:t>
      </w:r>
      <w:r>
        <w:t xml:space="preserve"> 2011,</w:t>
      </w:r>
      <w:r w:rsidRPr="006D3F9D">
        <w:t xml:space="preserve"> </w:t>
      </w:r>
      <w:r>
        <w:t>p.6.</w:t>
      </w:r>
    </w:p>
  </w:endnote>
  <w:endnote w:id="273">
    <w:p w14:paraId="5B4CF004"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Effective governance,</w:t>
      </w:r>
      <w:r>
        <w:t xml:space="preserve"> 2011, p.7.</w:t>
      </w:r>
    </w:p>
  </w:endnote>
  <w:endnote w:id="274">
    <w:p w14:paraId="31A0A970" w14:textId="77777777" w:rsidR="00CD4AF2" w:rsidRDefault="00CD4AF2" w:rsidP="00C959D9">
      <w:pPr>
        <w:pStyle w:val="EndnoteText"/>
        <w:ind w:left="426" w:hanging="426"/>
      </w:pPr>
      <w:r>
        <w:rPr>
          <w:rStyle w:val="EndnoteReference"/>
        </w:rPr>
        <w:endnoteRef/>
      </w:r>
      <w:r>
        <w:t xml:space="preserve"> </w:t>
      </w:r>
      <w:r>
        <w:tab/>
        <w:t xml:space="preserve">AusAID, </w:t>
      </w:r>
      <w:r w:rsidRPr="003E23F3">
        <w:rPr>
          <w:i/>
        </w:rPr>
        <w:t>Effective governance,</w:t>
      </w:r>
      <w:r>
        <w:t xml:space="preserve"> 2011, p.9.</w:t>
      </w:r>
    </w:p>
  </w:endnote>
  <w:endnote w:id="275">
    <w:p w14:paraId="7725B4C4" w14:textId="2D74BCAA" w:rsidR="00CD4AF2" w:rsidRPr="00DF7F89" w:rsidRDefault="00CD4AF2" w:rsidP="00F100ED">
      <w:pPr>
        <w:pStyle w:val="EndnoteText"/>
      </w:pPr>
    </w:p>
  </w:endnote>
  <w:endnote w:id="276">
    <w:p w14:paraId="6E000DCE" w14:textId="5EE50F82" w:rsidR="00CD4AF2" w:rsidRPr="00DF7F89" w:rsidRDefault="00CD4AF2" w:rsidP="00C959D9">
      <w:pPr>
        <w:pStyle w:val="EndnoteText"/>
        <w:ind w:left="426" w:hanging="426"/>
      </w:pPr>
      <w:r w:rsidRPr="00DF7F89">
        <w:rPr>
          <w:rStyle w:val="EndnoteReference"/>
        </w:rPr>
        <w:endnoteRef/>
      </w:r>
      <w:r w:rsidRPr="00DF7F89">
        <w:t xml:space="preserve"> </w:t>
      </w:r>
      <w:r w:rsidRPr="00DF7F89">
        <w:tab/>
        <w:t xml:space="preserve">AusAID, </w:t>
      </w:r>
      <w:r w:rsidRPr="00DF7F89">
        <w:rPr>
          <w:i/>
        </w:rPr>
        <w:t xml:space="preserve">AusAID guideline: delivery strategy, </w:t>
      </w:r>
      <w:r w:rsidRPr="00DF7F89">
        <w:t>2013, p.3</w:t>
      </w:r>
      <w:r>
        <w:t>.</w:t>
      </w:r>
    </w:p>
  </w:endnote>
  <w:endnote w:id="277">
    <w:p w14:paraId="131E8742" w14:textId="09AC7490" w:rsidR="00CD4AF2" w:rsidRPr="00DF7F89" w:rsidRDefault="00CD4AF2" w:rsidP="00C959D9">
      <w:pPr>
        <w:pStyle w:val="EndnoteText"/>
        <w:ind w:left="426" w:hanging="426"/>
      </w:pPr>
      <w:r w:rsidRPr="0043439F">
        <w:rPr>
          <w:rStyle w:val="EndnoteReference"/>
        </w:rPr>
        <w:endnoteRef/>
      </w:r>
      <w:r w:rsidRPr="0043439F">
        <w:t xml:space="preserve"> </w:t>
      </w:r>
      <w:r w:rsidRPr="0043439F">
        <w:tab/>
      </w:r>
      <w:r w:rsidRPr="00DF7F89">
        <w:t>SDC</w:t>
      </w:r>
      <w:r>
        <w:t>,</w:t>
      </w:r>
      <w:r w:rsidRPr="00DF7F89">
        <w:t xml:space="preserve"> 2011; GTZ</w:t>
      </w:r>
      <w:r>
        <w:t>,</w:t>
      </w:r>
      <w:r w:rsidRPr="00DF7F89">
        <w:t xml:space="preserve"> 2009</w:t>
      </w:r>
      <w:r>
        <w:t xml:space="preserve">, </w:t>
      </w:r>
      <w:r w:rsidRPr="00DF7F89">
        <w:t>p</w:t>
      </w:r>
      <w:r>
        <w:t>.</w:t>
      </w:r>
      <w:r w:rsidRPr="00DF7F89">
        <w:t>5</w:t>
      </w:r>
      <w:r>
        <w:t>.</w:t>
      </w:r>
    </w:p>
  </w:endnote>
  <w:endnote w:id="278">
    <w:p w14:paraId="1537A65A"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ERF, 2011.</w:t>
      </w:r>
    </w:p>
  </w:endnote>
  <w:endnote w:id="279">
    <w:p w14:paraId="12F58717"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T Land &amp; F Dobunaba, 2013, p.25.</w:t>
      </w:r>
    </w:p>
  </w:endnote>
  <w:endnote w:id="280">
    <w:p w14:paraId="704C4044" w14:textId="77777777" w:rsidR="00CD4AF2" w:rsidRPr="00DF7F89" w:rsidRDefault="00CD4AF2" w:rsidP="00C959D9">
      <w:pPr>
        <w:pStyle w:val="EndnoteText"/>
        <w:ind w:left="426" w:hanging="426"/>
      </w:pPr>
      <w:r w:rsidRPr="00DF7F89">
        <w:rPr>
          <w:rStyle w:val="EndnoteReference"/>
        </w:rPr>
        <w:endnoteRef/>
      </w:r>
      <w:r w:rsidRPr="00DF7F89">
        <w:t xml:space="preserve"> </w:t>
      </w:r>
      <w:r w:rsidRPr="00DF7F89">
        <w:tab/>
        <w:t xml:space="preserve">T Land, F </w:t>
      </w:r>
      <w:proofErr w:type="spellStart"/>
      <w:r w:rsidRPr="00DF7F89">
        <w:t>Dobunaba</w:t>
      </w:r>
      <w:proofErr w:type="spellEnd"/>
      <w:r w:rsidRPr="00DF7F89">
        <w:t xml:space="preserve"> &amp; J </w:t>
      </w:r>
      <w:proofErr w:type="spellStart"/>
      <w:r w:rsidRPr="00DF7F89">
        <w:t>Fargher</w:t>
      </w:r>
      <w:proofErr w:type="spellEnd"/>
      <w:r w:rsidRPr="00DF7F89">
        <w:t xml:space="preserve">, </w:t>
      </w:r>
      <w:r w:rsidRPr="00DF7F89">
        <w:rPr>
          <w:i/>
        </w:rPr>
        <w:t>PNG Sub-National Strategy (SNS): mid-term review,</w:t>
      </w:r>
      <w:r w:rsidRPr="00DF7F89">
        <w:t xml:space="preserve"> Australian Agency for International Development</w:t>
      </w:r>
      <w:r w:rsidRPr="00DF7F89">
        <w:rPr>
          <w:rFonts w:cs="Cambria"/>
          <w:sz w:val="16"/>
          <w:szCs w:val="16"/>
        </w:rPr>
        <w:t>,</w:t>
      </w:r>
      <w:r w:rsidRPr="00DF7F89">
        <w:t xml:space="preserve"> Canberra, 2009.</w:t>
      </w:r>
    </w:p>
  </w:endnote>
  <w:endnote w:id="281">
    <w:p w14:paraId="384A5269" w14:textId="011D4E1D" w:rsidR="00CD4AF2" w:rsidRDefault="00CD4AF2" w:rsidP="00C959D9">
      <w:pPr>
        <w:pStyle w:val="EndnoteText"/>
        <w:ind w:left="426" w:hanging="426"/>
      </w:pPr>
      <w:r w:rsidRPr="00DF7F89">
        <w:rPr>
          <w:rStyle w:val="EndnoteReference"/>
        </w:rPr>
        <w:endnoteRef/>
      </w:r>
      <w:r w:rsidRPr="00DF7F89">
        <w:t xml:space="preserve"> </w:t>
      </w:r>
      <w:r w:rsidRPr="00DF7F89">
        <w:tab/>
        <w:t>Australian Agency for International</w:t>
      </w:r>
      <w:r w:rsidRPr="00436C7E">
        <w:t xml:space="preserve"> Development</w:t>
      </w:r>
      <w:r w:rsidRPr="005140F5">
        <w:rPr>
          <w:rFonts w:cs="Cambria"/>
          <w:sz w:val="16"/>
          <w:szCs w:val="16"/>
        </w:rPr>
        <w:t>,</w:t>
      </w:r>
      <w:r w:rsidRPr="00436C7E">
        <w:rPr>
          <w:rFonts w:cs="Cambria"/>
          <w:i/>
          <w:sz w:val="16"/>
          <w:szCs w:val="16"/>
        </w:rPr>
        <w:t xml:space="preserve"> </w:t>
      </w:r>
      <w:r w:rsidRPr="003E23F3">
        <w:rPr>
          <w:i/>
        </w:rPr>
        <w:t xml:space="preserve">PNG governance review, </w:t>
      </w:r>
      <w:r w:rsidRPr="00FC7213">
        <w:t>draft,</w:t>
      </w:r>
      <w:r>
        <w:t xml:space="preserve"> AusAID, Canberra.</w:t>
      </w:r>
    </w:p>
  </w:endnote>
  <w:endnote w:id="282">
    <w:p w14:paraId="16485A97" w14:textId="77777777" w:rsidR="00CD4AF2" w:rsidRDefault="00CD4AF2" w:rsidP="00C959D9">
      <w:pPr>
        <w:pStyle w:val="EndnoteText"/>
        <w:ind w:left="426" w:hanging="426"/>
      </w:pPr>
      <w:r>
        <w:rPr>
          <w:rStyle w:val="EndnoteReference"/>
        </w:rPr>
        <w:endnoteRef/>
      </w:r>
      <w:r>
        <w:t xml:space="preserve"> </w:t>
      </w:r>
      <w:r>
        <w:tab/>
        <w:t xml:space="preserve">J Hampshire &amp; K Klugman, </w:t>
      </w:r>
      <w:r w:rsidRPr="003E23F3">
        <w:rPr>
          <w:i/>
        </w:rPr>
        <w:t>Independent review of two democratic governance programs in PNG: Strongim Pipol Strongim Nesen and Church Partnership Program,</w:t>
      </w:r>
      <w:r>
        <w:t xml:space="preserve"> final draft report, </w:t>
      </w:r>
      <w:r w:rsidRPr="00436C7E">
        <w:t>Australian Agency for International Development</w:t>
      </w:r>
      <w:r w:rsidRPr="005140F5">
        <w:rPr>
          <w:rFonts w:cs="Cambria"/>
          <w:sz w:val="16"/>
          <w:szCs w:val="16"/>
        </w:rPr>
        <w:t>,</w:t>
      </w:r>
      <w:r w:rsidRPr="00436C7E">
        <w:rPr>
          <w:rFonts w:cs="Cambria"/>
          <w:i/>
          <w:sz w:val="16"/>
          <w:szCs w:val="16"/>
        </w:rPr>
        <w:t xml:space="preserve"> </w:t>
      </w:r>
      <w:r w:rsidRPr="003E23F3">
        <w:rPr>
          <w:rFonts w:cs="Cambria"/>
          <w:sz w:val="16"/>
          <w:szCs w:val="16"/>
        </w:rPr>
        <w:t>Canberra</w:t>
      </w:r>
      <w:r>
        <w:rPr>
          <w:rFonts w:cs="Cambria"/>
          <w:i/>
          <w:sz w:val="16"/>
          <w:szCs w:val="16"/>
        </w:rPr>
        <w:t xml:space="preserve">, </w:t>
      </w:r>
      <w:r>
        <w:t>2013.</w:t>
      </w:r>
    </w:p>
  </w:endnote>
  <w:endnote w:id="283">
    <w:p w14:paraId="70C82187" w14:textId="77777777" w:rsidR="00CD4AF2" w:rsidRDefault="00CD4AF2" w:rsidP="00C959D9">
      <w:pPr>
        <w:pStyle w:val="EndnoteText"/>
        <w:ind w:left="426" w:hanging="426"/>
      </w:pPr>
      <w:r>
        <w:rPr>
          <w:rStyle w:val="EndnoteReference"/>
        </w:rPr>
        <w:endnoteRef/>
      </w:r>
      <w:r>
        <w:t xml:space="preserve"> </w:t>
      </w:r>
      <w:r>
        <w:tab/>
        <w:t>ERF, 2011.</w:t>
      </w:r>
    </w:p>
  </w:endnote>
  <w:endnote w:id="284">
    <w:p w14:paraId="48BB2D9B" w14:textId="77777777" w:rsidR="00CD4AF2" w:rsidRDefault="00CD4AF2" w:rsidP="00C959D9">
      <w:pPr>
        <w:pStyle w:val="EndnoteText"/>
        <w:ind w:left="426" w:hanging="426"/>
      </w:pPr>
      <w:r>
        <w:rPr>
          <w:rStyle w:val="EndnoteReference"/>
        </w:rPr>
        <w:endnoteRef/>
      </w:r>
      <w:r>
        <w:t xml:space="preserve"> </w:t>
      </w:r>
      <w:r>
        <w:tab/>
        <w:t xml:space="preserve">PNG workshop held on 25 </w:t>
      </w:r>
      <w:r w:rsidRPr="00875C59">
        <w:t xml:space="preserve">April 2013 and attended by 16 </w:t>
      </w:r>
      <w:r>
        <w:t>aid program</w:t>
      </w:r>
      <w:r w:rsidRPr="00875C59">
        <w:t xml:space="preserve"> sectoral staff.</w:t>
      </w:r>
    </w:p>
  </w:endnote>
  <w:endnote w:id="285">
    <w:p w14:paraId="4FD16CFF" w14:textId="5C4A60D0" w:rsidR="00CD4AF2" w:rsidRDefault="00CD4AF2" w:rsidP="00C959D9">
      <w:pPr>
        <w:pStyle w:val="EndnoteText"/>
        <w:ind w:left="426" w:hanging="426"/>
      </w:pPr>
      <w:r>
        <w:rPr>
          <w:rStyle w:val="EndnoteReference"/>
        </w:rPr>
        <w:endnoteRef/>
      </w:r>
      <w:r>
        <w:t xml:space="preserve"> </w:t>
      </w:r>
      <w:r>
        <w:tab/>
        <w:t xml:space="preserve">For example, Australian National Audit Office, </w:t>
      </w:r>
      <w:r w:rsidRPr="003E23F3">
        <w:rPr>
          <w:i/>
        </w:rPr>
        <w:t>AusAID’s management of the expanding aid</w:t>
      </w:r>
      <w:r>
        <w:t>, The Auditor General, Audit Report No. 15, 2009–10 Performance Audit, ANAO, Canberra, 2009.</w:t>
      </w:r>
    </w:p>
  </w:endnote>
  <w:endnote w:id="286">
    <w:p w14:paraId="304F5CBD" w14:textId="2C70E0D5" w:rsidR="00CD4AF2" w:rsidRDefault="00CD4AF2" w:rsidP="00C959D9">
      <w:pPr>
        <w:pStyle w:val="EndnoteText"/>
        <w:ind w:left="426" w:hanging="426"/>
      </w:pPr>
      <w:r>
        <w:rPr>
          <w:rStyle w:val="EndnoteReference"/>
        </w:rPr>
        <w:endnoteRef/>
      </w:r>
      <w:r>
        <w:t xml:space="preserve"> </w:t>
      </w:r>
      <w:r>
        <w:tab/>
        <w:t xml:space="preserve">C </w:t>
      </w:r>
      <w:proofErr w:type="spellStart"/>
      <w:r>
        <w:t>Tapp</w:t>
      </w:r>
      <w:proofErr w:type="spellEnd"/>
      <w:r>
        <w:t xml:space="preserve">, </w:t>
      </w:r>
      <w:r w:rsidRPr="003E23F3">
        <w:rPr>
          <w:i/>
        </w:rPr>
        <w:t>Study of Australia’s approach to aid in Indonesia: final report,</w:t>
      </w:r>
      <w:r>
        <w:t xml:space="preserve"> a report to the Panel conducting the Independent review of Aid Effectiveness, </w:t>
      </w:r>
      <w:r w:rsidRPr="00C64406">
        <w:t>2011</w:t>
      </w:r>
      <w:r>
        <w:t>.</w:t>
      </w:r>
    </w:p>
  </w:endnote>
  <w:endnote w:id="287">
    <w:p w14:paraId="6FA579ED" w14:textId="77777777" w:rsidR="00CD4AF2" w:rsidRDefault="00CD4AF2" w:rsidP="00C959D9">
      <w:pPr>
        <w:pStyle w:val="EndnoteText"/>
        <w:ind w:left="426" w:hanging="426"/>
      </w:pPr>
      <w:r>
        <w:rPr>
          <w:rStyle w:val="EndnoteReference"/>
        </w:rPr>
        <w:endnoteRef/>
      </w:r>
      <w:r>
        <w:t xml:space="preserve"> </w:t>
      </w:r>
      <w:r>
        <w:tab/>
        <w:t>T Land &amp; F Dobunaba, 2013, p.</w:t>
      </w:r>
      <w:r w:rsidRPr="001408DF">
        <w:t>27</w:t>
      </w:r>
      <w:r>
        <w:t>.</w:t>
      </w:r>
    </w:p>
  </w:endnote>
  <w:endnote w:id="288">
    <w:p w14:paraId="3A436CF0" w14:textId="77777777" w:rsidR="00CD4AF2" w:rsidRDefault="00CD4AF2" w:rsidP="00C959D9">
      <w:pPr>
        <w:pStyle w:val="EndnoteText"/>
        <w:ind w:left="426" w:hanging="426"/>
      </w:pPr>
      <w:r>
        <w:rPr>
          <w:rStyle w:val="EndnoteReference"/>
        </w:rPr>
        <w:endnoteRef/>
      </w:r>
      <w:r>
        <w:t xml:space="preserve"> </w:t>
      </w:r>
      <w:r>
        <w:tab/>
        <w:t>J Hampshire &amp; K Klugman, 2013.</w:t>
      </w:r>
    </w:p>
  </w:endnote>
  <w:endnote w:id="289">
    <w:p w14:paraId="47B70622" w14:textId="77777777" w:rsidR="00CD4AF2" w:rsidRPr="00FF5DC1" w:rsidRDefault="00CD4AF2" w:rsidP="00C959D9">
      <w:pPr>
        <w:pStyle w:val="EndnoteText"/>
        <w:ind w:left="426" w:hanging="426"/>
        <w:rPr>
          <w:sz w:val="18"/>
          <w:szCs w:val="18"/>
        </w:rPr>
      </w:pPr>
      <w:r w:rsidRPr="00FF5DC1">
        <w:rPr>
          <w:rStyle w:val="EndnoteReference"/>
          <w:sz w:val="18"/>
          <w:szCs w:val="18"/>
        </w:rPr>
        <w:endnoteRef/>
      </w:r>
      <w:r w:rsidRPr="00FF5DC1">
        <w:rPr>
          <w:sz w:val="18"/>
          <w:szCs w:val="18"/>
        </w:rPr>
        <w:t xml:space="preserve"> </w:t>
      </w:r>
      <w:r>
        <w:rPr>
          <w:sz w:val="18"/>
          <w:szCs w:val="18"/>
        </w:rPr>
        <w:tab/>
      </w:r>
      <w:r w:rsidRPr="00183F14">
        <w:t>Hurst C, Minute refocusing provincial reps, AusAID, Canberra 2012, p</w:t>
      </w:r>
      <w:r>
        <w:t>p</w:t>
      </w:r>
      <w:r w:rsidRPr="00183F14">
        <w:t>.8-9.</w:t>
      </w:r>
    </w:p>
  </w:endnote>
  <w:endnote w:id="290">
    <w:p w14:paraId="5373231D" w14:textId="77777777" w:rsidR="00CD4AF2" w:rsidRPr="00FF5DC1" w:rsidRDefault="00CD4AF2" w:rsidP="00C959D9">
      <w:pPr>
        <w:pStyle w:val="EndnoteText"/>
        <w:ind w:left="426" w:hanging="426"/>
        <w:rPr>
          <w:sz w:val="18"/>
          <w:szCs w:val="18"/>
        </w:rPr>
      </w:pPr>
      <w:r w:rsidRPr="00FF5DC1">
        <w:rPr>
          <w:rStyle w:val="EndnoteReference"/>
          <w:sz w:val="18"/>
          <w:szCs w:val="18"/>
        </w:rPr>
        <w:endnoteRef/>
      </w:r>
      <w:r w:rsidRPr="00FF5DC1">
        <w:rPr>
          <w:sz w:val="18"/>
          <w:szCs w:val="18"/>
        </w:rPr>
        <w:t xml:space="preserve"> </w:t>
      </w:r>
      <w:r>
        <w:rPr>
          <w:sz w:val="18"/>
          <w:szCs w:val="18"/>
        </w:rPr>
        <w:tab/>
      </w:r>
      <w:r w:rsidRPr="00183F14">
        <w:t>Hurst C, 2012, p.2.</w:t>
      </w:r>
    </w:p>
  </w:endnote>
  <w:endnote w:id="291">
    <w:p w14:paraId="0316E46F" w14:textId="77777777" w:rsidR="00CD4AF2" w:rsidRPr="00FF5DC1" w:rsidRDefault="00CD4AF2" w:rsidP="00C959D9">
      <w:pPr>
        <w:pStyle w:val="EndnoteText"/>
        <w:ind w:left="426" w:hanging="426"/>
        <w:rPr>
          <w:sz w:val="18"/>
          <w:szCs w:val="18"/>
        </w:rPr>
      </w:pPr>
      <w:r w:rsidRPr="00FF5DC1">
        <w:rPr>
          <w:rStyle w:val="EndnoteReference"/>
          <w:sz w:val="18"/>
          <w:szCs w:val="18"/>
        </w:rPr>
        <w:endnoteRef/>
      </w:r>
      <w:r w:rsidRPr="00FF5DC1">
        <w:rPr>
          <w:sz w:val="18"/>
          <w:szCs w:val="18"/>
        </w:rPr>
        <w:t xml:space="preserve"> </w:t>
      </w:r>
      <w:r>
        <w:rPr>
          <w:sz w:val="18"/>
          <w:szCs w:val="18"/>
        </w:rPr>
        <w:tab/>
      </w:r>
      <w:r>
        <w:t xml:space="preserve">T Land, F </w:t>
      </w:r>
      <w:proofErr w:type="spellStart"/>
      <w:r>
        <w:t>Dobunaba</w:t>
      </w:r>
      <w:proofErr w:type="spellEnd"/>
      <w:r>
        <w:t xml:space="preserve"> &amp; J</w:t>
      </w:r>
      <w:r w:rsidRPr="007B2C90">
        <w:t xml:space="preserve"> </w:t>
      </w:r>
      <w:proofErr w:type="spellStart"/>
      <w:r w:rsidRPr="007B2C90">
        <w:t>Fargher</w:t>
      </w:r>
      <w:proofErr w:type="spellEnd"/>
      <w:r w:rsidRPr="007B2C90">
        <w:t>,</w:t>
      </w:r>
      <w:r>
        <w:t xml:space="preserve"> 2009.</w:t>
      </w:r>
    </w:p>
  </w:endnote>
  <w:endnote w:id="292">
    <w:p w14:paraId="20462216" w14:textId="77777777" w:rsidR="00CD4AF2" w:rsidRPr="00FF5DC1" w:rsidRDefault="00CD4AF2" w:rsidP="00C959D9">
      <w:pPr>
        <w:pStyle w:val="EndnoteText"/>
        <w:ind w:left="426" w:hanging="426"/>
        <w:rPr>
          <w:sz w:val="18"/>
          <w:szCs w:val="18"/>
        </w:rPr>
      </w:pPr>
      <w:r w:rsidRPr="00FF5DC1">
        <w:rPr>
          <w:rStyle w:val="EndnoteReference"/>
          <w:sz w:val="18"/>
          <w:szCs w:val="18"/>
        </w:rPr>
        <w:endnoteRef/>
      </w:r>
      <w:r w:rsidRPr="00FF5DC1">
        <w:rPr>
          <w:sz w:val="18"/>
          <w:szCs w:val="18"/>
        </w:rPr>
        <w:t xml:space="preserve"> </w:t>
      </w:r>
      <w:r>
        <w:rPr>
          <w:sz w:val="18"/>
          <w:szCs w:val="18"/>
        </w:rPr>
        <w:tab/>
      </w:r>
      <w:r>
        <w:t xml:space="preserve">T Land, F </w:t>
      </w:r>
      <w:proofErr w:type="spellStart"/>
      <w:r>
        <w:t>Dobunaba</w:t>
      </w:r>
      <w:proofErr w:type="spellEnd"/>
      <w:r>
        <w:t xml:space="preserve"> &amp; J</w:t>
      </w:r>
      <w:r w:rsidRPr="007B2C90">
        <w:t xml:space="preserve"> </w:t>
      </w:r>
      <w:proofErr w:type="spellStart"/>
      <w:r w:rsidRPr="007B2C90">
        <w:t>Fargher</w:t>
      </w:r>
      <w:proofErr w:type="spellEnd"/>
      <w:r w:rsidRPr="007B2C90">
        <w:t>,</w:t>
      </w:r>
      <w:r>
        <w:t xml:space="preserve"> 2009.</w:t>
      </w:r>
      <w:r w:rsidRPr="00FF5DC1">
        <w:rPr>
          <w:sz w:val="18"/>
          <w:szCs w:val="18"/>
        </w:rPr>
        <w:t xml:space="preserve"> p.7</w:t>
      </w:r>
      <w:r>
        <w:rPr>
          <w:sz w:val="18"/>
          <w:szCs w:val="18"/>
        </w:rPr>
        <w:t>.</w:t>
      </w:r>
    </w:p>
  </w:endnote>
  <w:endnote w:id="293">
    <w:p w14:paraId="3D965C78" w14:textId="77777777" w:rsidR="00CD4AF2" w:rsidRPr="00FF5DC1" w:rsidRDefault="00CD4AF2" w:rsidP="00C959D9">
      <w:pPr>
        <w:pStyle w:val="EndnoteText"/>
        <w:ind w:left="426" w:hanging="426"/>
        <w:rPr>
          <w:sz w:val="18"/>
          <w:szCs w:val="18"/>
        </w:rPr>
      </w:pPr>
      <w:r w:rsidRPr="00FF5DC1">
        <w:rPr>
          <w:rStyle w:val="EndnoteReference"/>
          <w:sz w:val="18"/>
          <w:szCs w:val="18"/>
        </w:rPr>
        <w:endnoteRef/>
      </w:r>
      <w:r w:rsidRPr="00FF5DC1">
        <w:rPr>
          <w:sz w:val="18"/>
          <w:szCs w:val="18"/>
        </w:rPr>
        <w:t xml:space="preserve"> </w:t>
      </w:r>
      <w:r>
        <w:rPr>
          <w:sz w:val="18"/>
          <w:szCs w:val="18"/>
        </w:rPr>
        <w:tab/>
      </w:r>
      <w:r w:rsidRPr="00BD68D3">
        <w:t>Hurst C, 2012</w:t>
      </w:r>
      <w:r>
        <w:t>.</w:t>
      </w:r>
    </w:p>
  </w:endnote>
  <w:endnote w:id="294">
    <w:p w14:paraId="4C663418" w14:textId="6E655B83" w:rsidR="00CD4AF2" w:rsidRPr="00FF5DC1" w:rsidRDefault="00CD4AF2" w:rsidP="00C959D9">
      <w:pPr>
        <w:pStyle w:val="EndnoteText"/>
        <w:ind w:left="426" w:hanging="426"/>
        <w:rPr>
          <w:sz w:val="18"/>
          <w:szCs w:val="18"/>
        </w:rPr>
      </w:pPr>
      <w:r w:rsidRPr="00FF5DC1">
        <w:rPr>
          <w:rStyle w:val="EndnoteReference"/>
          <w:sz w:val="18"/>
          <w:szCs w:val="18"/>
        </w:rPr>
        <w:endnoteRef/>
      </w:r>
      <w:r w:rsidRPr="00FF5DC1">
        <w:rPr>
          <w:sz w:val="18"/>
          <w:szCs w:val="18"/>
        </w:rPr>
        <w:t xml:space="preserve"> </w:t>
      </w:r>
      <w:r>
        <w:rPr>
          <w:sz w:val="18"/>
          <w:szCs w:val="18"/>
        </w:rPr>
        <w:tab/>
        <w:t xml:space="preserve">P </w:t>
      </w:r>
      <w:r w:rsidRPr="00183F14">
        <w:t xml:space="preserve">Bridgman, </w:t>
      </w:r>
      <w:r w:rsidRPr="005A4CDA">
        <w:rPr>
          <w:i/>
        </w:rPr>
        <w:t xml:space="preserve">Sustainable service delivery evaluation: </w:t>
      </w:r>
      <w:r>
        <w:rPr>
          <w:i/>
        </w:rPr>
        <w:t>a</w:t>
      </w:r>
      <w:r w:rsidRPr="005A4CDA">
        <w:rPr>
          <w:i/>
        </w:rPr>
        <w:t>ppraisal comments/advice,</w:t>
      </w:r>
      <w:r w:rsidRPr="00183F14">
        <w:t xml:space="preserve"> Australian Government </w:t>
      </w:r>
      <w:r>
        <w:t>D</w:t>
      </w:r>
      <w:r w:rsidRPr="00183F14">
        <w:t>epartment of Foreign Affairs and Trade, Canberra, 2014.</w:t>
      </w:r>
    </w:p>
  </w:endnote>
  <w:endnote w:id="295">
    <w:p w14:paraId="07E96805" w14:textId="4174B1D7" w:rsidR="00CD4AF2" w:rsidRPr="00FF5DC1" w:rsidRDefault="00CD4AF2" w:rsidP="00C959D9">
      <w:pPr>
        <w:pStyle w:val="EndnoteText"/>
        <w:ind w:left="426" w:hanging="426"/>
        <w:rPr>
          <w:sz w:val="18"/>
          <w:szCs w:val="18"/>
        </w:rPr>
      </w:pPr>
      <w:r w:rsidRPr="00FF5DC1">
        <w:rPr>
          <w:rStyle w:val="EndnoteReference"/>
          <w:sz w:val="18"/>
          <w:szCs w:val="18"/>
        </w:rPr>
        <w:endnoteRef/>
      </w:r>
      <w:r w:rsidRPr="00FF5DC1">
        <w:rPr>
          <w:sz w:val="18"/>
          <w:szCs w:val="18"/>
        </w:rPr>
        <w:t xml:space="preserve"> </w:t>
      </w:r>
      <w:r>
        <w:rPr>
          <w:sz w:val="18"/>
          <w:szCs w:val="18"/>
        </w:rPr>
        <w:tab/>
        <w:t xml:space="preserve">C </w:t>
      </w:r>
      <w:r w:rsidRPr="00BD68D3">
        <w:t>Hurst, 2012</w:t>
      </w:r>
      <w:r w:rsidRPr="00FF5DC1">
        <w:rPr>
          <w:sz w:val="18"/>
          <w:szCs w:val="18"/>
        </w:rPr>
        <w:t>, p</w:t>
      </w:r>
      <w:r>
        <w:rPr>
          <w:sz w:val="18"/>
          <w:szCs w:val="18"/>
        </w:rPr>
        <w:t>p.</w:t>
      </w:r>
      <w:r w:rsidRPr="00FF5DC1">
        <w:rPr>
          <w:sz w:val="18"/>
          <w:szCs w:val="18"/>
        </w:rPr>
        <w:t>4</w:t>
      </w:r>
      <w:r>
        <w:rPr>
          <w:sz w:val="18"/>
          <w:szCs w:val="18"/>
        </w:rPr>
        <w:t>–</w:t>
      </w:r>
      <w:r w:rsidRPr="00FF5DC1">
        <w:rPr>
          <w:sz w:val="18"/>
          <w:szCs w:val="18"/>
        </w:rPr>
        <w:t>6</w:t>
      </w:r>
      <w:r>
        <w:rPr>
          <w:sz w:val="18"/>
          <w:szCs w:val="18"/>
        </w:rPr>
        <w:t>.</w:t>
      </w:r>
    </w:p>
  </w:endnote>
  <w:endnote w:id="296">
    <w:p w14:paraId="20483F7E" w14:textId="34D76BAF" w:rsidR="00CD4AF2" w:rsidRDefault="00CD4AF2" w:rsidP="00C959D9">
      <w:pPr>
        <w:pStyle w:val="EndnoteText"/>
        <w:ind w:left="426" w:hanging="426"/>
      </w:pPr>
      <w:r w:rsidRPr="00FF5DC1">
        <w:rPr>
          <w:rStyle w:val="EndnoteReference"/>
          <w:sz w:val="18"/>
          <w:szCs w:val="18"/>
        </w:rPr>
        <w:endnoteRef/>
      </w:r>
      <w:r w:rsidRPr="00FF5DC1">
        <w:rPr>
          <w:sz w:val="18"/>
          <w:szCs w:val="18"/>
        </w:rPr>
        <w:t xml:space="preserve"> </w:t>
      </w:r>
      <w:r>
        <w:rPr>
          <w:sz w:val="18"/>
          <w:szCs w:val="18"/>
        </w:rPr>
        <w:tab/>
        <w:t xml:space="preserve">C </w:t>
      </w:r>
      <w:r w:rsidRPr="00BD68D3">
        <w:t>Hurst, 2012</w:t>
      </w:r>
      <w:r w:rsidRPr="00FF5DC1">
        <w:rPr>
          <w:sz w:val="18"/>
          <w:szCs w:val="18"/>
        </w:rPr>
        <w:t>, p</w:t>
      </w:r>
      <w:r>
        <w:rPr>
          <w:sz w:val="18"/>
          <w:szCs w:val="18"/>
        </w:rPr>
        <w:t>.</w:t>
      </w:r>
      <w:r w:rsidRPr="00FF5DC1">
        <w:rPr>
          <w:sz w:val="18"/>
          <w:szCs w:val="18"/>
        </w:rPr>
        <w:t>4</w:t>
      </w:r>
      <w:r>
        <w:rPr>
          <w:sz w:val="18"/>
          <w:szCs w:val="18"/>
        </w:rPr>
        <w:t>.</w:t>
      </w:r>
    </w:p>
  </w:endnote>
  <w:endnote w:id="297">
    <w:p w14:paraId="0EB876AE" w14:textId="77777777" w:rsidR="00CD4AF2" w:rsidRDefault="00CD4AF2" w:rsidP="00C959D9">
      <w:pPr>
        <w:pStyle w:val="EndnoteText"/>
        <w:ind w:left="426" w:hanging="426"/>
      </w:pPr>
      <w:r>
        <w:rPr>
          <w:rStyle w:val="EndnoteReference"/>
        </w:rPr>
        <w:endnoteRef/>
      </w:r>
      <w:r>
        <w:t xml:space="preserve"> </w:t>
      </w:r>
      <w:r>
        <w:tab/>
        <w:t xml:space="preserve">T </w:t>
      </w:r>
      <w:r w:rsidRPr="001408DF">
        <w:t xml:space="preserve">Land </w:t>
      </w:r>
      <w:r>
        <w:t>&amp;</w:t>
      </w:r>
      <w:r w:rsidRPr="001408DF">
        <w:t xml:space="preserve"> </w:t>
      </w:r>
      <w:r>
        <w:t xml:space="preserve">F </w:t>
      </w:r>
      <w:r w:rsidRPr="001408DF">
        <w:t xml:space="preserve">Dobunaba, </w:t>
      </w:r>
      <w:r>
        <w:t>2013.</w:t>
      </w:r>
    </w:p>
  </w:endnote>
  <w:endnote w:id="298">
    <w:p w14:paraId="316850DD" w14:textId="77777777" w:rsidR="00CD4AF2" w:rsidRDefault="00CD4AF2" w:rsidP="00C959D9">
      <w:pPr>
        <w:pStyle w:val="EndnoteText"/>
        <w:ind w:left="426" w:hanging="426"/>
      </w:pPr>
      <w:r>
        <w:rPr>
          <w:rStyle w:val="EndnoteReference"/>
        </w:rPr>
        <w:endnoteRef/>
      </w:r>
      <w:r>
        <w:t xml:space="preserve"> </w:t>
      </w:r>
      <w:r>
        <w:tab/>
        <w:t>SDC, 2011; GTZ, 2009.</w:t>
      </w:r>
    </w:p>
  </w:endnote>
  <w:endnote w:id="299">
    <w:p w14:paraId="016B876D" w14:textId="77777777" w:rsidR="00CD4AF2" w:rsidRDefault="00CD4AF2" w:rsidP="00C959D9">
      <w:pPr>
        <w:pStyle w:val="EndnoteText"/>
        <w:ind w:left="426" w:hanging="426"/>
      </w:pPr>
      <w:r>
        <w:rPr>
          <w:rStyle w:val="EndnoteReference"/>
        </w:rPr>
        <w:endnoteRef/>
      </w:r>
      <w:r>
        <w:t xml:space="preserve"> </w:t>
      </w:r>
      <w:r>
        <w:tab/>
        <w:t xml:space="preserve">United Nations, </w:t>
      </w:r>
      <w:r w:rsidRPr="003E23F3">
        <w:rPr>
          <w:i/>
        </w:rPr>
        <w:t>Monterrey consensus on financing for development,</w:t>
      </w:r>
      <w:r>
        <w:t xml:space="preserve"> UN, 2003.</w:t>
      </w:r>
    </w:p>
  </w:endnote>
  <w:endnote w:id="300">
    <w:p w14:paraId="15370098" w14:textId="77777777" w:rsidR="00CD4AF2" w:rsidRDefault="00CD4AF2" w:rsidP="00C959D9">
      <w:pPr>
        <w:pStyle w:val="EndnoteText"/>
        <w:ind w:left="426" w:hanging="426"/>
      </w:pPr>
      <w:r>
        <w:rPr>
          <w:rStyle w:val="EndnoteReference"/>
        </w:rPr>
        <w:endnoteRef/>
      </w:r>
      <w:r>
        <w:t xml:space="preserve"> </w:t>
      </w:r>
      <w:r>
        <w:tab/>
      </w:r>
      <w:proofErr w:type="spellStart"/>
      <w:r w:rsidRPr="009F738A">
        <w:t>DeLoG</w:t>
      </w:r>
      <w:proofErr w:type="spellEnd"/>
      <w:r>
        <w:t>/GIZ, 2011, p.</w:t>
      </w:r>
      <w:r w:rsidRPr="00F50805">
        <w:t>10</w:t>
      </w:r>
      <w:r>
        <w:t xml:space="preserve">. </w:t>
      </w:r>
    </w:p>
  </w:endnote>
  <w:endnote w:id="301">
    <w:p w14:paraId="7A1E9032" w14:textId="77777777" w:rsidR="00CD4AF2" w:rsidRDefault="00CD4AF2" w:rsidP="00C959D9">
      <w:pPr>
        <w:pStyle w:val="EndnoteText"/>
        <w:ind w:left="426" w:hanging="426"/>
      </w:pPr>
      <w:r>
        <w:rPr>
          <w:rStyle w:val="EndnoteReference"/>
        </w:rPr>
        <w:endnoteRef/>
      </w:r>
      <w:r>
        <w:t xml:space="preserve"> </w:t>
      </w:r>
      <w:r>
        <w:tab/>
      </w:r>
      <w:proofErr w:type="spellStart"/>
      <w:r w:rsidRPr="009F738A">
        <w:t>DeLoG</w:t>
      </w:r>
      <w:proofErr w:type="spellEnd"/>
      <w:r>
        <w:t>/GIZ, 2011.</w:t>
      </w:r>
    </w:p>
  </w:endnote>
  <w:endnote w:id="302">
    <w:p w14:paraId="018ED6BA" w14:textId="77777777" w:rsidR="00CD4AF2" w:rsidRDefault="00CD4AF2" w:rsidP="00C959D9">
      <w:pPr>
        <w:pStyle w:val="EndnoteText"/>
        <w:ind w:left="426" w:hanging="426"/>
      </w:pPr>
      <w:r>
        <w:rPr>
          <w:rStyle w:val="EndnoteReference"/>
        </w:rPr>
        <w:endnoteRef/>
      </w:r>
      <w:r>
        <w:t xml:space="preserve"> </w:t>
      </w:r>
      <w:r>
        <w:tab/>
      </w:r>
      <w:r w:rsidRPr="00BE5966">
        <w:t>Australian Government</w:t>
      </w:r>
      <w:r>
        <w:t>,</w:t>
      </w:r>
      <w:r w:rsidRPr="00BE5966">
        <w:t xml:space="preserve"> </w:t>
      </w:r>
      <w:r w:rsidRPr="003E23F3">
        <w:rPr>
          <w:i/>
        </w:rPr>
        <w:t>The independent review of aid effectiveness,</w:t>
      </w:r>
      <w:r w:rsidRPr="00BE5966">
        <w:t xml:space="preserve"> </w:t>
      </w:r>
      <w:r>
        <w:t xml:space="preserve">Australian Government, Canberra, </w:t>
      </w:r>
      <w:r w:rsidRPr="00BE5966">
        <w:t>2011</w:t>
      </w:r>
      <w:r>
        <w:t>.</w:t>
      </w:r>
    </w:p>
  </w:endnote>
  <w:endnote w:id="303">
    <w:p w14:paraId="5FD03F83" w14:textId="77777777" w:rsidR="00CD4AF2" w:rsidRDefault="00CD4AF2" w:rsidP="00C959D9">
      <w:pPr>
        <w:pStyle w:val="EndnoteText"/>
        <w:ind w:left="426" w:hanging="426"/>
      </w:pPr>
      <w:r>
        <w:rPr>
          <w:rStyle w:val="EndnoteReference"/>
        </w:rPr>
        <w:endnoteRef/>
      </w:r>
      <w:r>
        <w:t xml:space="preserve"> </w:t>
      </w:r>
      <w:r>
        <w:tab/>
        <w:t xml:space="preserve">In particular, the 2008 Survey on Monitoring the Paris Declaration, the </w:t>
      </w:r>
      <w:r w:rsidRPr="00416D3E">
        <w:t>2008 OECD D</w:t>
      </w:r>
      <w:r>
        <w:t xml:space="preserve">evelopment </w:t>
      </w:r>
      <w:r w:rsidRPr="00416D3E">
        <w:t>A</w:t>
      </w:r>
      <w:r>
        <w:t xml:space="preserve">ssistance </w:t>
      </w:r>
      <w:r w:rsidRPr="00416D3E">
        <w:t>C</w:t>
      </w:r>
      <w:r>
        <w:t>ommittee</w:t>
      </w:r>
      <w:r w:rsidRPr="00416D3E">
        <w:t xml:space="preserve"> Review, </w:t>
      </w:r>
      <w:r>
        <w:t xml:space="preserve">the </w:t>
      </w:r>
      <w:r w:rsidRPr="00416D3E">
        <w:t xml:space="preserve">2010 Australian National Audit Office Audit, </w:t>
      </w:r>
      <w:r>
        <w:t xml:space="preserve">and the </w:t>
      </w:r>
      <w:r w:rsidRPr="00416D3E">
        <w:t>2011 Independent Review of Aid Effectiveness</w:t>
      </w:r>
      <w:r>
        <w:t>.</w:t>
      </w:r>
    </w:p>
  </w:endnote>
  <w:endnote w:id="304">
    <w:p w14:paraId="5321694B"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3E23F3">
        <w:rPr>
          <w:i/>
        </w:rPr>
        <w:t>Australian aid: promoting growth and stability,</w:t>
      </w:r>
      <w:r>
        <w:t xml:space="preserve"> </w:t>
      </w:r>
      <w:r>
        <w:rPr>
          <w:rFonts w:cs="Arial"/>
          <w:lang w:val="en-US"/>
        </w:rPr>
        <w:t>white paper on the Australian Government's overseas aid program, Australian government, Canberra,</w:t>
      </w:r>
      <w:r>
        <w:t xml:space="preserve"> 2006. </w:t>
      </w:r>
    </w:p>
  </w:endnote>
  <w:endnote w:id="305">
    <w:p w14:paraId="43D14C58" w14:textId="474AE59A" w:rsidR="00CD4AF2" w:rsidRDefault="00CD4AF2" w:rsidP="00C959D9">
      <w:pPr>
        <w:pStyle w:val="EndnoteText"/>
        <w:ind w:left="426" w:hanging="426"/>
      </w:pPr>
      <w:r>
        <w:rPr>
          <w:rStyle w:val="EndnoteReference"/>
        </w:rPr>
        <w:endnoteRef/>
      </w:r>
      <w:r>
        <w:t xml:space="preserve"> </w:t>
      </w:r>
      <w:r>
        <w:tab/>
      </w:r>
      <w:r w:rsidRPr="00EE22D1">
        <w:t>ANAO</w:t>
      </w:r>
      <w:r>
        <w:t>,</w:t>
      </w:r>
      <w:r w:rsidRPr="00EE22D1">
        <w:t xml:space="preserve"> 2009</w:t>
      </w:r>
      <w:r>
        <w:t>, Recommendation No. 3.</w:t>
      </w:r>
    </w:p>
  </w:endnote>
  <w:endnote w:id="306">
    <w:p w14:paraId="4F6AAD9A" w14:textId="6AB268CB" w:rsidR="00CD4AF2" w:rsidRDefault="00CD4AF2" w:rsidP="00C959D9">
      <w:pPr>
        <w:pStyle w:val="EndnoteText"/>
        <w:ind w:left="426" w:hanging="426"/>
      </w:pPr>
      <w:r>
        <w:rPr>
          <w:rStyle w:val="EndnoteReference"/>
        </w:rPr>
        <w:endnoteRef/>
      </w:r>
      <w:r>
        <w:t xml:space="preserve"> </w:t>
      </w:r>
      <w:r>
        <w:tab/>
      </w:r>
      <w:r w:rsidRPr="00445051">
        <w:t xml:space="preserve">OECD </w:t>
      </w:r>
      <w:r w:rsidRPr="005229FF">
        <w:rPr>
          <w:rFonts w:ascii="Arial" w:hAnsi="Arial" w:cs="Arial"/>
          <w:bCs/>
        </w:rPr>
        <w:t>Development Assistance Committee</w:t>
      </w:r>
      <w:r>
        <w:t>,</w:t>
      </w:r>
      <w:r w:rsidRPr="00445051">
        <w:t xml:space="preserve"> 2013</w:t>
      </w:r>
      <w:r>
        <w:t>,</w:t>
      </w:r>
      <w:r w:rsidRPr="00445051">
        <w:t xml:space="preserve"> Recommendation 5.2</w:t>
      </w:r>
      <w:r>
        <w:t xml:space="preserve">. </w:t>
      </w:r>
    </w:p>
  </w:endnote>
  <w:endnote w:id="307">
    <w:p w14:paraId="4A92BA6C" w14:textId="77777777" w:rsidR="00CD4AF2" w:rsidRDefault="00CD4AF2" w:rsidP="00C959D9">
      <w:pPr>
        <w:pStyle w:val="EndnoteText"/>
        <w:ind w:left="426" w:hanging="426"/>
      </w:pPr>
      <w:r>
        <w:rPr>
          <w:rStyle w:val="EndnoteReference"/>
        </w:rPr>
        <w:endnoteRef/>
      </w:r>
      <w:r>
        <w:t xml:space="preserve"> </w:t>
      </w:r>
      <w:r>
        <w:tab/>
      </w:r>
      <w:r w:rsidRPr="00445051">
        <w:t xml:space="preserve">OECD </w:t>
      </w:r>
      <w:r>
        <w:t>DAC, 2013.</w:t>
      </w:r>
    </w:p>
  </w:endnote>
  <w:endnote w:id="308">
    <w:p w14:paraId="7A069407" w14:textId="77777777" w:rsidR="00CD4AF2" w:rsidRDefault="00CD4AF2" w:rsidP="00C959D9">
      <w:pPr>
        <w:pStyle w:val="EndnoteText"/>
        <w:ind w:left="426" w:hanging="426"/>
      </w:pPr>
      <w:r>
        <w:rPr>
          <w:rStyle w:val="EndnoteReference"/>
        </w:rPr>
        <w:endnoteRef/>
      </w:r>
      <w:r>
        <w:t xml:space="preserve"> </w:t>
      </w:r>
      <w:r>
        <w:tab/>
      </w:r>
      <w:r w:rsidRPr="00C941DD">
        <w:t>Australian Government, 2011</w:t>
      </w:r>
      <w:r>
        <w:t xml:space="preserve">. </w:t>
      </w:r>
    </w:p>
  </w:endnote>
  <w:endnote w:id="309">
    <w:p w14:paraId="6969C5BB" w14:textId="77777777" w:rsidR="00CD4AF2" w:rsidRDefault="00CD4AF2" w:rsidP="00C959D9">
      <w:pPr>
        <w:pStyle w:val="EndnoteText"/>
        <w:ind w:left="426" w:hanging="426"/>
      </w:pPr>
      <w:r>
        <w:rPr>
          <w:rStyle w:val="EndnoteReference"/>
        </w:rPr>
        <w:endnoteRef/>
      </w:r>
      <w:r>
        <w:t xml:space="preserve"> </w:t>
      </w:r>
      <w:r>
        <w:tab/>
      </w:r>
      <w:r w:rsidRPr="005E6737">
        <w:t xml:space="preserve">For example, specific statements are noted in: </w:t>
      </w:r>
      <w:r w:rsidRPr="005E6737">
        <w:rPr>
          <w:i/>
          <w:iCs/>
        </w:rPr>
        <w:t>Guideline: Situation Analysis</w:t>
      </w:r>
      <w:r w:rsidRPr="005E6737">
        <w:t xml:space="preserve">, 30 May 2013, p.3; </w:t>
      </w:r>
      <w:r w:rsidRPr="005E6737">
        <w:rPr>
          <w:i/>
          <w:iCs/>
        </w:rPr>
        <w:t>Policy: Strategic Program Development</w:t>
      </w:r>
      <w:r w:rsidRPr="005E6737">
        <w:t xml:space="preserve">, 22 April 2013, p.3; </w:t>
      </w:r>
      <w:r w:rsidRPr="005E6737">
        <w:rPr>
          <w:i/>
          <w:iCs/>
        </w:rPr>
        <w:t>Instruction: How do I assess and use PGS for PFM and procurement</w:t>
      </w:r>
      <w:r w:rsidRPr="005E6737">
        <w:t>, May 2013, p.1</w:t>
      </w:r>
      <w:r>
        <w:t xml:space="preserve">. </w:t>
      </w:r>
    </w:p>
  </w:endnote>
  <w:endnote w:id="310">
    <w:p w14:paraId="19D37412"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AusAID policy: strategic program development,</w:t>
      </w:r>
      <w:r>
        <w:t xml:space="preserve"> </w:t>
      </w:r>
      <w:r w:rsidRPr="001E6BFE">
        <w:t>2013</w:t>
      </w:r>
      <w:r>
        <w:t xml:space="preserve">, </w:t>
      </w:r>
      <w:r w:rsidRPr="001E6BFE">
        <w:t>p.3.</w:t>
      </w:r>
      <w:r>
        <w:t xml:space="preserve"> </w:t>
      </w:r>
    </w:p>
  </w:endnote>
  <w:endnote w:id="311">
    <w:p w14:paraId="6018A7E9" w14:textId="77777777" w:rsidR="00CD4AF2" w:rsidRDefault="00CD4AF2" w:rsidP="00C959D9">
      <w:pPr>
        <w:pStyle w:val="EndnoteText"/>
        <w:ind w:left="426" w:hanging="426"/>
      </w:pPr>
      <w:r>
        <w:rPr>
          <w:rStyle w:val="EndnoteReference"/>
        </w:rPr>
        <w:endnoteRef/>
      </w:r>
      <w:r>
        <w:t xml:space="preserve"> </w:t>
      </w:r>
      <w:r>
        <w:tab/>
        <w:t xml:space="preserve">Office of Development Effectiveness, </w:t>
      </w:r>
      <w:r w:rsidRPr="003E23F3">
        <w:rPr>
          <w:i/>
        </w:rPr>
        <w:t>Approaches to anti-corruption through the Australian aid program: lessons from PNG, Indonesia and Solomon Islands,</w:t>
      </w:r>
      <w:r>
        <w:t xml:space="preserve"> ODE, Canberra, 2007.</w:t>
      </w:r>
    </w:p>
  </w:endnote>
  <w:endnote w:id="312">
    <w:p w14:paraId="2CEE7987"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Helping the world’s poor through effective aid</w:t>
      </w:r>
      <w:r>
        <w:rPr>
          <w:i/>
        </w:rPr>
        <w:t>,</w:t>
      </w:r>
      <w:r>
        <w:t xml:space="preserve"> 2012, </w:t>
      </w:r>
      <w:r w:rsidRPr="00232FE9">
        <w:t>p.19.</w:t>
      </w:r>
    </w:p>
  </w:endnote>
  <w:endnote w:id="313">
    <w:p w14:paraId="53B8E863" w14:textId="77777777" w:rsidR="00CD4AF2" w:rsidRPr="007057A9" w:rsidRDefault="00CD4AF2" w:rsidP="00C959D9">
      <w:pPr>
        <w:pStyle w:val="EndnoteText"/>
        <w:ind w:left="426" w:hanging="426"/>
      </w:pPr>
      <w:r>
        <w:rPr>
          <w:rStyle w:val="EndnoteReference"/>
        </w:rPr>
        <w:endnoteRef/>
      </w:r>
      <w:r>
        <w:t xml:space="preserve"> </w:t>
      </w:r>
      <w:r>
        <w:tab/>
        <w:t xml:space="preserve">Office of Development Effectiveness, </w:t>
      </w:r>
      <w:r w:rsidRPr="003E23F3">
        <w:rPr>
          <w:i/>
        </w:rPr>
        <w:t xml:space="preserve">Improving the provision of basic services for the poor: linkages with broader public sector reform, </w:t>
      </w:r>
      <w:r>
        <w:t>ODE, Canberra, 2010.</w:t>
      </w:r>
    </w:p>
  </w:endnote>
  <w:endnote w:id="314">
    <w:p w14:paraId="77B80E94" w14:textId="77777777" w:rsidR="00CD4AF2" w:rsidRPr="007057A9" w:rsidRDefault="00CD4AF2" w:rsidP="00C959D9">
      <w:pPr>
        <w:pStyle w:val="EndnoteText"/>
        <w:ind w:left="426" w:hanging="426"/>
      </w:pPr>
      <w:r>
        <w:rPr>
          <w:rStyle w:val="EndnoteReference"/>
        </w:rPr>
        <w:endnoteRef/>
      </w:r>
      <w:r>
        <w:t xml:space="preserve"> </w:t>
      </w:r>
      <w:r>
        <w:tab/>
        <w:t xml:space="preserve">Office of Development Effectiveness, </w:t>
      </w:r>
      <w:r w:rsidRPr="003E23F3">
        <w:rPr>
          <w:i/>
        </w:rPr>
        <w:t xml:space="preserve">Working beyond government: evaluation of AusAID’s engagement with civil society in development countries, </w:t>
      </w:r>
      <w:r>
        <w:t>ODE, Canberra, 2012.</w:t>
      </w:r>
    </w:p>
  </w:endnote>
  <w:endnote w:id="315">
    <w:p w14:paraId="6B144431" w14:textId="77777777" w:rsidR="00CD4AF2" w:rsidRPr="00145588" w:rsidRDefault="00CD4AF2" w:rsidP="00C959D9">
      <w:pPr>
        <w:pStyle w:val="EndnoteText"/>
        <w:ind w:left="426" w:hanging="426"/>
      </w:pPr>
      <w:r>
        <w:rPr>
          <w:rStyle w:val="EndnoteReference"/>
        </w:rPr>
        <w:endnoteRef/>
      </w:r>
      <w:r>
        <w:t xml:space="preserve"> </w:t>
      </w:r>
      <w:r>
        <w:tab/>
        <w:t xml:space="preserve">AusAID, </w:t>
      </w:r>
      <w:r w:rsidRPr="00E64A62">
        <w:rPr>
          <w:i/>
        </w:rPr>
        <w:t>An effective aid program for Australia: making a real difference</w:t>
      </w:r>
      <w:r>
        <w:rPr>
          <w:i/>
        </w:rPr>
        <w:t>—</w:t>
      </w:r>
      <w:r w:rsidRPr="00E64A62">
        <w:rPr>
          <w:i/>
        </w:rPr>
        <w:t>delivering real results</w:t>
      </w:r>
      <w:r>
        <w:t>, 2012, p.53.</w:t>
      </w:r>
    </w:p>
  </w:endnote>
  <w:endnote w:id="316">
    <w:p w14:paraId="0388F288" w14:textId="77777777" w:rsidR="00CD4AF2" w:rsidRPr="007057A9" w:rsidRDefault="00CD4AF2" w:rsidP="00C959D9">
      <w:pPr>
        <w:pStyle w:val="EndnoteText"/>
        <w:ind w:left="426" w:hanging="426"/>
      </w:pPr>
      <w:r>
        <w:rPr>
          <w:rStyle w:val="EndnoteReference"/>
        </w:rPr>
        <w:endnoteRef/>
      </w:r>
      <w:r>
        <w:t xml:space="preserve"> </w:t>
      </w:r>
      <w:r>
        <w:tab/>
        <w:t xml:space="preserve">AusAID, </w:t>
      </w:r>
      <w:r w:rsidRPr="00080B76">
        <w:rPr>
          <w:i/>
        </w:rPr>
        <w:t>Helping the world’s poor through effective aid</w:t>
      </w:r>
      <w:r>
        <w:rPr>
          <w:i/>
        </w:rPr>
        <w:t>,</w:t>
      </w:r>
      <w:r>
        <w:t xml:space="preserve"> 2012.</w:t>
      </w:r>
    </w:p>
  </w:endnote>
  <w:endnote w:id="317">
    <w:p w14:paraId="37CD0015" w14:textId="77777777" w:rsidR="00CD4AF2" w:rsidRPr="007057A9" w:rsidRDefault="00CD4AF2" w:rsidP="00C959D9">
      <w:pPr>
        <w:pStyle w:val="EndnoteText"/>
        <w:ind w:left="426" w:hanging="426"/>
      </w:pPr>
      <w:r>
        <w:rPr>
          <w:rStyle w:val="EndnoteReference"/>
        </w:rPr>
        <w:endnoteRef/>
      </w:r>
      <w:r>
        <w:t xml:space="preserve"> </w:t>
      </w:r>
      <w:r>
        <w:tab/>
        <w:t xml:space="preserve">AusAID, </w:t>
      </w:r>
      <w:r w:rsidRPr="00080B76">
        <w:rPr>
          <w:i/>
        </w:rPr>
        <w:t>Helping the world’s poor through effective aid</w:t>
      </w:r>
      <w:r>
        <w:rPr>
          <w:i/>
        </w:rPr>
        <w:t>,</w:t>
      </w:r>
      <w:r>
        <w:t xml:space="preserve"> 2012.</w:t>
      </w:r>
    </w:p>
  </w:endnote>
  <w:endnote w:id="318">
    <w:p w14:paraId="4E88F3B4"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Helping the world’s poor through effective aid</w:t>
      </w:r>
      <w:r>
        <w:rPr>
          <w:i/>
        </w:rPr>
        <w:t>,</w:t>
      </w:r>
      <w:r>
        <w:t xml:space="preserve"> 2012,</w:t>
      </w:r>
      <w:r w:rsidRPr="00107237">
        <w:t xml:space="preserve"> p.19</w:t>
      </w:r>
      <w:r>
        <w:t>.</w:t>
      </w:r>
    </w:p>
  </w:endnote>
  <w:endnote w:id="319">
    <w:p w14:paraId="76FA2491" w14:textId="77777777" w:rsidR="00CD4AF2" w:rsidRDefault="00CD4AF2" w:rsidP="00C959D9">
      <w:pPr>
        <w:pStyle w:val="EndnoteText"/>
        <w:ind w:left="426" w:hanging="426"/>
      </w:pPr>
      <w:r>
        <w:rPr>
          <w:rStyle w:val="EndnoteReference"/>
        </w:rPr>
        <w:endnoteRef/>
      </w:r>
      <w:r>
        <w:t xml:space="preserve"> </w:t>
      </w:r>
      <w:r>
        <w:tab/>
      </w:r>
      <w:r w:rsidRPr="00AA5614">
        <w:t>World Bank</w:t>
      </w:r>
      <w:r>
        <w:t>,</w:t>
      </w:r>
      <w:r w:rsidRPr="00AA5614">
        <w:t xml:space="preserve"> 2004</w:t>
      </w:r>
      <w:r>
        <w:t>.</w:t>
      </w:r>
    </w:p>
  </w:endnote>
  <w:endnote w:id="320">
    <w:p w14:paraId="7559C941" w14:textId="77777777" w:rsidR="00CD4AF2" w:rsidRDefault="00CD4AF2" w:rsidP="00C959D9">
      <w:pPr>
        <w:pStyle w:val="EndnoteText"/>
        <w:ind w:left="426" w:hanging="426"/>
      </w:pPr>
      <w:r>
        <w:rPr>
          <w:rStyle w:val="EndnoteReference"/>
        </w:rPr>
        <w:endnoteRef/>
      </w:r>
      <w:r>
        <w:t xml:space="preserve"> </w:t>
      </w:r>
      <w:r>
        <w:tab/>
        <w:t xml:space="preserve">C </w:t>
      </w:r>
      <w:proofErr w:type="spellStart"/>
      <w:r>
        <w:t>Popick</w:t>
      </w:r>
      <w:proofErr w:type="spellEnd"/>
      <w:r>
        <w:t xml:space="preserve"> &amp; M Patel, </w:t>
      </w:r>
      <w:r w:rsidRPr="003E23F3">
        <w:rPr>
          <w:i/>
        </w:rPr>
        <w:t>Decentralisation: equity and policy implications for UNICEF in East Asia and the Pacific,</w:t>
      </w:r>
      <w:r>
        <w:t xml:space="preserve"> UNICEF, 2011.</w:t>
      </w:r>
    </w:p>
  </w:endnote>
  <w:endnote w:id="321">
    <w:p w14:paraId="108AC91D" w14:textId="77777777" w:rsidR="00CD4AF2" w:rsidRDefault="00CD4AF2" w:rsidP="00C959D9">
      <w:pPr>
        <w:pStyle w:val="EndnoteText"/>
        <w:ind w:left="426" w:hanging="426"/>
      </w:pPr>
      <w:r>
        <w:rPr>
          <w:rStyle w:val="EndnoteReference"/>
        </w:rPr>
        <w:endnoteRef/>
      </w:r>
      <w:r>
        <w:t xml:space="preserve"> </w:t>
      </w:r>
      <w:r>
        <w:tab/>
      </w:r>
      <w:proofErr w:type="spellStart"/>
      <w:r>
        <w:t>DeLoG</w:t>
      </w:r>
      <w:proofErr w:type="spellEnd"/>
      <w:r>
        <w:t>, 2011.</w:t>
      </w:r>
    </w:p>
  </w:endnote>
  <w:endnote w:id="322">
    <w:p w14:paraId="375212CF" w14:textId="77777777" w:rsidR="00CD4AF2" w:rsidRDefault="00CD4AF2" w:rsidP="00C959D9">
      <w:pPr>
        <w:pStyle w:val="EndnoteText"/>
        <w:ind w:left="426" w:hanging="426"/>
      </w:pPr>
      <w:r>
        <w:rPr>
          <w:rStyle w:val="EndnoteReference"/>
        </w:rPr>
        <w:endnoteRef/>
      </w:r>
      <w:r>
        <w:t xml:space="preserve"> </w:t>
      </w:r>
      <w:r>
        <w:tab/>
        <w:t xml:space="preserve">Office of Development Effectiveness, </w:t>
      </w:r>
      <w:r w:rsidRPr="003E23F3">
        <w:rPr>
          <w:i/>
        </w:rPr>
        <w:t>Terms of reference, aid choices in decentralised contexts,</w:t>
      </w:r>
      <w:r>
        <w:t xml:space="preserve"> ODE, Canberra, 2012.</w:t>
      </w:r>
    </w:p>
  </w:endnote>
  <w:endnote w:id="323">
    <w:p w14:paraId="62A86EA8" w14:textId="77777777" w:rsidR="00CD4AF2" w:rsidRDefault="00CD4AF2" w:rsidP="00C959D9">
      <w:pPr>
        <w:pStyle w:val="EndnoteText"/>
        <w:ind w:left="426" w:hanging="426"/>
      </w:pPr>
      <w:r>
        <w:rPr>
          <w:rStyle w:val="EndnoteReference"/>
        </w:rPr>
        <w:endnoteRef/>
      </w:r>
      <w:r w:rsidRPr="00762175">
        <w:rPr>
          <w:sz w:val="18"/>
        </w:rPr>
        <w:t xml:space="preserve"> </w:t>
      </w:r>
      <w:r>
        <w:rPr>
          <w:sz w:val="18"/>
        </w:rPr>
        <w:tab/>
      </w:r>
      <w:r>
        <w:t>World B</w:t>
      </w:r>
      <w:r w:rsidRPr="00762175">
        <w:t>ank</w:t>
      </w:r>
      <w:r>
        <w:t xml:space="preserve">, </w:t>
      </w:r>
      <w:r w:rsidRPr="00762175">
        <w:t xml:space="preserve">2005; </w:t>
      </w:r>
      <w:r>
        <w:t xml:space="preserve">T Land, F </w:t>
      </w:r>
      <w:proofErr w:type="spellStart"/>
      <w:r>
        <w:t>Dobunaba</w:t>
      </w:r>
      <w:proofErr w:type="spellEnd"/>
      <w:r>
        <w:t xml:space="preserve"> &amp; J</w:t>
      </w:r>
      <w:r w:rsidRPr="007B2C90">
        <w:t xml:space="preserve"> </w:t>
      </w:r>
      <w:proofErr w:type="spellStart"/>
      <w:r w:rsidRPr="007B2C90">
        <w:t>Fargher</w:t>
      </w:r>
      <w:proofErr w:type="spellEnd"/>
      <w:r w:rsidRPr="007B2C90">
        <w:t>,</w:t>
      </w:r>
      <w:r>
        <w:t xml:space="preserve"> 2009.</w:t>
      </w:r>
    </w:p>
  </w:endnote>
  <w:endnote w:id="324">
    <w:p w14:paraId="72AA0C9A" w14:textId="39818823" w:rsidR="00CD4AF2" w:rsidRPr="003518FA" w:rsidRDefault="00CD4AF2" w:rsidP="00C959D9">
      <w:pPr>
        <w:pStyle w:val="Quote"/>
        <w:spacing w:after="0"/>
        <w:ind w:left="426" w:hanging="426"/>
      </w:pPr>
      <w:r>
        <w:rPr>
          <w:rStyle w:val="EndnoteReference"/>
        </w:rPr>
        <w:endnoteRef/>
      </w:r>
      <w:r>
        <w:t xml:space="preserve"> </w:t>
      </w:r>
      <w:r>
        <w:tab/>
      </w:r>
      <w:r w:rsidRPr="00C615DC">
        <w:rPr>
          <w:i w:val="0"/>
          <w:sz w:val="20"/>
        </w:rPr>
        <w:t xml:space="preserve">Australian International Development Agency, </w:t>
      </w:r>
      <w:r w:rsidRPr="00C615DC">
        <w:rPr>
          <w:sz w:val="20"/>
        </w:rPr>
        <w:t>Investment Design Quality Standards,</w:t>
      </w:r>
      <w:r w:rsidRPr="00C615DC">
        <w:rPr>
          <w:i w:val="0"/>
          <w:sz w:val="20"/>
        </w:rPr>
        <w:t xml:space="preserve"> </w:t>
      </w:r>
      <w:r w:rsidRPr="00B10E02">
        <w:rPr>
          <w:i w:val="0"/>
          <w:sz w:val="20"/>
        </w:rPr>
        <w:t>AusAID, Canberra.</w:t>
      </w:r>
    </w:p>
  </w:endnote>
  <w:endnote w:id="325">
    <w:p w14:paraId="00B26D88" w14:textId="77777777" w:rsidR="00CD4AF2" w:rsidRDefault="00CD4AF2" w:rsidP="00C959D9">
      <w:pPr>
        <w:pStyle w:val="EndnoteText"/>
        <w:ind w:left="426" w:hanging="426"/>
      </w:pPr>
      <w:r>
        <w:rPr>
          <w:rStyle w:val="EndnoteReference"/>
        </w:rPr>
        <w:endnoteRef/>
      </w:r>
      <w:r>
        <w:t xml:space="preserve"> </w:t>
      </w:r>
      <w:r>
        <w:tab/>
        <w:t>SDC, 2011; GTZ, 2009.</w:t>
      </w:r>
    </w:p>
  </w:endnote>
  <w:endnote w:id="326">
    <w:p w14:paraId="58209800" w14:textId="77777777" w:rsidR="00CD4AF2" w:rsidRDefault="00CD4AF2" w:rsidP="00C959D9">
      <w:pPr>
        <w:pStyle w:val="EndnoteText"/>
        <w:ind w:left="426" w:hanging="426"/>
      </w:pPr>
      <w:r>
        <w:rPr>
          <w:rStyle w:val="EndnoteReference"/>
        </w:rPr>
        <w:endnoteRef/>
      </w:r>
      <w:r>
        <w:t xml:space="preserve"> </w:t>
      </w:r>
      <w:r>
        <w:tab/>
        <w:t xml:space="preserve">Asian Development Bank, </w:t>
      </w:r>
      <w:r w:rsidRPr="003E23F3">
        <w:rPr>
          <w:i/>
        </w:rPr>
        <w:t>ADB support for decentralisation in Indonesia evaluation study,</w:t>
      </w:r>
      <w:r>
        <w:t xml:space="preserve"> ADB, 2010; World Bank IEG, 2008; GTZ, 2009.</w:t>
      </w:r>
    </w:p>
  </w:endnote>
  <w:endnote w:id="327">
    <w:p w14:paraId="75742E89" w14:textId="39507A30" w:rsidR="00CD4AF2" w:rsidRDefault="00CD4AF2" w:rsidP="00C959D9">
      <w:pPr>
        <w:pStyle w:val="EndnoteText"/>
        <w:ind w:left="426" w:hanging="426"/>
      </w:pPr>
      <w:r>
        <w:rPr>
          <w:rStyle w:val="EndnoteReference"/>
        </w:rPr>
        <w:endnoteRef/>
      </w:r>
      <w:r>
        <w:t xml:space="preserve"> </w:t>
      </w:r>
      <w:r>
        <w:tab/>
        <w:t>ERF, 2011.</w:t>
      </w:r>
    </w:p>
  </w:endnote>
  <w:endnote w:id="328">
    <w:p w14:paraId="052A30B7" w14:textId="77777777" w:rsidR="00CD4AF2" w:rsidRDefault="00CD4AF2" w:rsidP="00C959D9">
      <w:pPr>
        <w:pStyle w:val="EndnoteText"/>
        <w:ind w:left="426" w:hanging="426"/>
      </w:pPr>
      <w:r>
        <w:rPr>
          <w:rStyle w:val="EndnoteReference"/>
        </w:rPr>
        <w:endnoteRef/>
      </w:r>
      <w:r>
        <w:t xml:space="preserve"> </w:t>
      </w:r>
      <w:r>
        <w:tab/>
        <w:t xml:space="preserve">SDC, 2011; GTZ, 2009. </w:t>
      </w:r>
    </w:p>
  </w:endnote>
  <w:endnote w:id="329">
    <w:p w14:paraId="3E9B822B" w14:textId="77777777" w:rsidR="00CD4AF2" w:rsidRDefault="00CD4AF2" w:rsidP="00C959D9">
      <w:pPr>
        <w:pStyle w:val="EndnoteText"/>
        <w:ind w:left="426" w:hanging="426"/>
      </w:pPr>
      <w:r>
        <w:rPr>
          <w:rStyle w:val="EndnoteReference"/>
        </w:rPr>
        <w:endnoteRef/>
      </w:r>
      <w:r>
        <w:t xml:space="preserve"> </w:t>
      </w:r>
      <w:r>
        <w:tab/>
        <w:t>SDC, 2011;</w:t>
      </w:r>
      <w:r w:rsidRPr="002B76B3">
        <w:t xml:space="preserve"> </w:t>
      </w:r>
      <w:r>
        <w:t xml:space="preserve">GTZ, 2009,World Bank, 2004; OEDC, 2004; UNDP, 2010. </w:t>
      </w:r>
    </w:p>
  </w:endnote>
  <w:endnote w:id="330">
    <w:p w14:paraId="6EDD9378" w14:textId="77777777" w:rsidR="00CD4AF2" w:rsidRDefault="00CD4AF2" w:rsidP="00C959D9">
      <w:pPr>
        <w:pStyle w:val="EndnoteText"/>
        <w:ind w:left="426" w:hanging="426"/>
      </w:pPr>
      <w:r>
        <w:rPr>
          <w:rStyle w:val="EndnoteReference"/>
        </w:rPr>
        <w:endnoteRef/>
      </w:r>
      <w:r>
        <w:t xml:space="preserve"> </w:t>
      </w:r>
      <w:r>
        <w:tab/>
        <w:t xml:space="preserve">ERF, 2011. </w:t>
      </w:r>
    </w:p>
  </w:endnote>
  <w:endnote w:id="331">
    <w:p w14:paraId="456F595B" w14:textId="77777777" w:rsidR="00CD4AF2" w:rsidRDefault="00CD4AF2" w:rsidP="00C959D9">
      <w:pPr>
        <w:pStyle w:val="EndnoteText"/>
        <w:ind w:left="426" w:hanging="426"/>
      </w:pPr>
      <w:r>
        <w:rPr>
          <w:rStyle w:val="EndnoteReference"/>
        </w:rPr>
        <w:endnoteRef/>
      </w:r>
      <w:r>
        <w:t xml:space="preserve"> </w:t>
      </w:r>
      <w:r>
        <w:tab/>
        <w:t xml:space="preserve">World Bank IEG, 2008; OEDC DAC, 2004. </w:t>
      </w:r>
    </w:p>
  </w:endnote>
  <w:endnote w:id="332">
    <w:p w14:paraId="5BC3CE26" w14:textId="77777777" w:rsidR="00CD4AF2" w:rsidRDefault="00CD4AF2" w:rsidP="00C959D9">
      <w:pPr>
        <w:pStyle w:val="EndnoteText"/>
        <w:ind w:left="426" w:hanging="426"/>
      </w:pPr>
      <w:r>
        <w:rPr>
          <w:rStyle w:val="EndnoteReference"/>
        </w:rPr>
        <w:endnoteRef/>
      </w:r>
      <w:r>
        <w:t xml:space="preserve"> </w:t>
      </w:r>
      <w:r>
        <w:tab/>
        <w:t xml:space="preserve">SDC, 2011. </w:t>
      </w:r>
    </w:p>
  </w:endnote>
  <w:endnote w:id="333">
    <w:p w14:paraId="01C87CB2" w14:textId="77777777" w:rsidR="00CD4AF2" w:rsidRDefault="00CD4AF2" w:rsidP="00C959D9">
      <w:pPr>
        <w:pStyle w:val="EndnoteText"/>
        <w:ind w:left="426" w:hanging="426"/>
      </w:pPr>
      <w:r>
        <w:rPr>
          <w:rStyle w:val="EndnoteReference"/>
        </w:rPr>
        <w:endnoteRef/>
      </w:r>
      <w:r>
        <w:t xml:space="preserve"> </w:t>
      </w:r>
      <w:r>
        <w:tab/>
        <w:t xml:space="preserve">World Bank, 2008. </w:t>
      </w:r>
    </w:p>
  </w:endnote>
  <w:endnote w:id="334">
    <w:p w14:paraId="036479EE" w14:textId="77777777" w:rsidR="00CD4AF2" w:rsidRDefault="00CD4AF2" w:rsidP="00C959D9">
      <w:pPr>
        <w:pStyle w:val="EndnoteText"/>
        <w:ind w:left="426" w:hanging="426"/>
      </w:pPr>
      <w:r>
        <w:rPr>
          <w:rStyle w:val="EndnoteReference"/>
        </w:rPr>
        <w:endnoteRef/>
      </w:r>
      <w:r>
        <w:t xml:space="preserve"> </w:t>
      </w:r>
      <w:r>
        <w:tab/>
      </w:r>
      <w:r w:rsidRPr="00487DDD">
        <w:t>Australian Agency for International Development</w:t>
      </w:r>
      <w:r>
        <w:t xml:space="preserve">, </w:t>
      </w:r>
      <w:r w:rsidRPr="003E23F3">
        <w:rPr>
          <w:i/>
        </w:rPr>
        <w:t xml:space="preserve">Australia–Indonesia </w:t>
      </w:r>
      <w:r w:rsidRPr="00F526B3">
        <w:rPr>
          <w:i/>
        </w:rPr>
        <w:t xml:space="preserve">partnership country strategy </w:t>
      </w:r>
      <w:r w:rsidRPr="003E23F3">
        <w:rPr>
          <w:i/>
        </w:rPr>
        <w:t>2008–13,</w:t>
      </w:r>
      <w:r>
        <w:t xml:space="preserve"> </w:t>
      </w:r>
      <w:r w:rsidRPr="00033286">
        <w:t>A</w:t>
      </w:r>
      <w:r>
        <w:t>usAID, Canberra, 2008.</w:t>
      </w:r>
    </w:p>
  </w:endnote>
  <w:endnote w:id="335">
    <w:p w14:paraId="40A65AF5" w14:textId="77777777" w:rsidR="00CD4AF2" w:rsidRDefault="00CD4AF2" w:rsidP="00C959D9">
      <w:pPr>
        <w:pStyle w:val="EndnoteText"/>
        <w:ind w:left="426" w:hanging="426"/>
      </w:pPr>
      <w:r>
        <w:rPr>
          <w:rStyle w:val="EndnoteReference"/>
        </w:rPr>
        <w:endnoteRef/>
      </w:r>
      <w:r>
        <w:t xml:space="preserve"> </w:t>
      </w:r>
      <w:r>
        <w:tab/>
        <w:t xml:space="preserve">R </w:t>
      </w:r>
      <w:r w:rsidRPr="0039735F">
        <w:t xml:space="preserve">Mukherjee, </w:t>
      </w:r>
      <w:r w:rsidRPr="003E23F3">
        <w:rPr>
          <w:i/>
        </w:rPr>
        <w:t>Provincial secessionists and decentralization: Papua New Guinea, 1985-1995.</w:t>
      </w:r>
      <w:r w:rsidRPr="0039735F">
        <w:t xml:space="preserve"> Innovations for Successful Societies, Princeton University Policy Note</w:t>
      </w:r>
      <w:r>
        <w:t>, 2010.</w:t>
      </w:r>
    </w:p>
  </w:endnote>
  <w:endnote w:id="336">
    <w:p w14:paraId="48FC3C04" w14:textId="5F6C4FB7" w:rsidR="00CD4AF2" w:rsidRDefault="00CD4AF2" w:rsidP="00C959D9">
      <w:pPr>
        <w:pStyle w:val="EndnoteText"/>
        <w:ind w:left="426" w:hanging="426"/>
      </w:pPr>
      <w:r>
        <w:rPr>
          <w:rStyle w:val="EndnoteReference"/>
        </w:rPr>
        <w:endnoteRef/>
      </w:r>
      <w:r>
        <w:t xml:space="preserve"> </w:t>
      </w:r>
      <w:r>
        <w:tab/>
      </w:r>
      <w:r w:rsidRPr="0039735F">
        <w:t>World Bank</w:t>
      </w:r>
      <w:r>
        <w:t xml:space="preserve"> Group,</w:t>
      </w:r>
      <w:r w:rsidRPr="0039735F">
        <w:t xml:space="preserve"> </w:t>
      </w:r>
      <w:r w:rsidRPr="003E23F3">
        <w:rPr>
          <w:i/>
        </w:rPr>
        <w:t>Administrative decentrali</w:t>
      </w:r>
      <w:r>
        <w:rPr>
          <w:i/>
        </w:rPr>
        <w:t>z</w:t>
      </w:r>
      <w:r w:rsidRPr="003E23F3">
        <w:rPr>
          <w:i/>
        </w:rPr>
        <w:t>ation</w:t>
      </w:r>
      <w:r>
        <w:t xml:space="preserve">, WBG </w:t>
      </w:r>
      <w:r w:rsidRPr="0039735F">
        <w:t>www1.worldbank.org/publicsector/decentralization/admin.htm</w:t>
      </w:r>
      <w:r>
        <w:t>.</w:t>
      </w:r>
      <w:r w:rsidRPr="0039735F">
        <w:t xml:space="preserve"> </w:t>
      </w:r>
    </w:p>
  </w:endnote>
  <w:endnote w:id="337">
    <w:p w14:paraId="0F9739E7" w14:textId="77777777" w:rsidR="00CD4AF2" w:rsidRDefault="00CD4AF2" w:rsidP="00C959D9">
      <w:pPr>
        <w:pStyle w:val="EndnoteText"/>
        <w:ind w:left="426" w:hanging="426"/>
      </w:pPr>
      <w:r>
        <w:rPr>
          <w:rStyle w:val="EndnoteReference"/>
        </w:rPr>
        <w:endnoteRef/>
      </w:r>
      <w:r>
        <w:t xml:space="preserve"> </w:t>
      </w:r>
      <w:r>
        <w:tab/>
        <w:t xml:space="preserve">A </w:t>
      </w:r>
      <w:proofErr w:type="spellStart"/>
      <w:r>
        <w:t>Gelu</w:t>
      </w:r>
      <w:proofErr w:type="spellEnd"/>
      <w:r>
        <w:t xml:space="preserve">, The Provincial Performance Improvement Initiative (PPII): Its achievements and the future. </w:t>
      </w:r>
      <w:r w:rsidRPr="003E23F3">
        <w:rPr>
          <w:i/>
        </w:rPr>
        <w:t xml:space="preserve">Development issues, Policies and Trends, </w:t>
      </w:r>
      <w:r>
        <w:t>5(3): 2011.</w:t>
      </w:r>
    </w:p>
  </w:endnote>
  <w:endnote w:id="338">
    <w:p w14:paraId="3794FB3B" w14:textId="77777777" w:rsidR="00CD4AF2" w:rsidRDefault="00CD4AF2" w:rsidP="00C959D9">
      <w:pPr>
        <w:pStyle w:val="EndnoteText"/>
        <w:ind w:left="426" w:hanging="426"/>
      </w:pPr>
      <w:r>
        <w:rPr>
          <w:rStyle w:val="EndnoteReference"/>
        </w:rPr>
        <w:endnoteRef/>
      </w:r>
      <w:r>
        <w:t xml:space="preserve"> </w:t>
      </w:r>
      <w:r>
        <w:tab/>
        <w:t>World Bank, 2008.</w:t>
      </w:r>
    </w:p>
  </w:endnote>
  <w:endnote w:id="339">
    <w:p w14:paraId="6976D5A1" w14:textId="77777777" w:rsidR="00CD4AF2" w:rsidRDefault="00CD4AF2" w:rsidP="00C959D9">
      <w:pPr>
        <w:pStyle w:val="EndnoteText"/>
        <w:ind w:left="426" w:hanging="426"/>
      </w:pPr>
      <w:r>
        <w:rPr>
          <w:rStyle w:val="EndnoteReference"/>
        </w:rPr>
        <w:endnoteRef/>
      </w:r>
      <w:r>
        <w:t xml:space="preserve"> </w:t>
      </w:r>
      <w:r>
        <w:tab/>
        <w:t xml:space="preserve">M </w:t>
      </w:r>
      <w:proofErr w:type="spellStart"/>
      <w:r>
        <w:t>Bonoan</w:t>
      </w:r>
      <w:proofErr w:type="spellEnd"/>
      <w:r>
        <w:t xml:space="preserve">, </w:t>
      </w:r>
      <w:r w:rsidRPr="003E23F3">
        <w:rPr>
          <w:i/>
        </w:rPr>
        <w:t>Two decades of journey to local autonomy in the Philippines,</w:t>
      </w:r>
      <w:r>
        <w:t xml:space="preserve"> </w:t>
      </w:r>
      <w:r w:rsidRPr="003E23F3">
        <w:t>The Asia Foundation,</w:t>
      </w:r>
      <w:r>
        <w:rPr>
          <w:rStyle w:val="st1"/>
          <w:rFonts w:ascii="Arial" w:hAnsi="Arial" w:cs="Arial"/>
          <w:color w:val="545454"/>
          <w:lang w:val="en"/>
        </w:rPr>
        <w:t xml:space="preserve"> </w:t>
      </w:r>
      <w:r>
        <w:t>2010.</w:t>
      </w:r>
    </w:p>
  </w:endnote>
  <w:endnote w:id="340">
    <w:p w14:paraId="0EEE8178" w14:textId="77777777" w:rsidR="00CD4AF2" w:rsidRDefault="00CD4AF2" w:rsidP="00C959D9">
      <w:pPr>
        <w:pStyle w:val="EndnoteText"/>
        <w:ind w:left="426" w:hanging="426"/>
      </w:pPr>
      <w:r>
        <w:rPr>
          <w:rStyle w:val="EndnoteReference"/>
        </w:rPr>
        <w:endnoteRef/>
      </w:r>
      <w:r>
        <w:t xml:space="preserve"> </w:t>
      </w:r>
      <w:r>
        <w:tab/>
      </w:r>
      <w:r w:rsidRPr="0039735F">
        <w:t>World Bank</w:t>
      </w:r>
      <w:r>
        <w:t>,</w:t>
      </w:r>
      <w:r w:rsidRPr="0039735F">
        <w:t xml:space="preserve"> </w:t>
      </w:r>
      <w:r w:rsidRPr="003E23F3">
        <w:rPr>
          <w:i/>
        </w:rPr>
        <w:t>East Asia decentralizes—making local government work</w:t>
      </w:r>
      <w:r>
        <w:rPr>
          <w:i/>
        </w:rPr>
        <w:t>,</w:t>
      </w:r>
      <w:r w:rsidRPr="0039735F">
        <w:t xml:space="preserve"> World Bank, Washington DC</w:t>
      </w:r>
      <w:r>
        <w:t>, 2005.</w:t>
      </w:r>
    </w:p>
  </w:endnote>
  <w:endnote w:id="341">
    <w:p w14:paraId="6EE9955C" w14:textId="77777777" w:rsidR="00CD4AF2" w:rsidRDefault="00CD4AF2" w:rsidP="00C959D9">
      <w:pPr>
        <w:pStyle w:val="EndnoteText"/>
        <w:ind w:left="426" w:hanging="426"/>
      </w:pPr>
      <w:r>
        <w:rPr>
          <w:rStyle w:val="EndnoteReference"/>
        </w:rPr>
        <w:endnoteRef/>
      </w:r>
      <w:r>
        <w:t xml:space="preserve"> </w:t>
      </w:r>
      <w:r>
        <w:tab/>
      </w:r>
      <w:r w:rsidRPr="0039735F">
        <w:t>World Bank</w:t>
      </w:r>
      <w:r>
        <w:t>,</w:t>
      </w:r>
      <w:r w:rsidRPr="0039735F">
        <w:t xml:space="preserve"> 2008</w:t>
      </w:r>
      <w:r>
        <w:t>.</w:t>
      </w:r>
    </w:p>
  </w:endnote>
  <w:endnote w:id="342">
    <w:p w14:paraId="1213D02D" w14:textId="77777777" w:rsidR="00CD4AF2" w:rsidRDefault="00CD4AF2" w:rsidP="00C959D9">
      <w:pPr>
        <w:pStyle w:val="EndnoteText"/>
        <w:ind w:left="426" w:hanging="426"/>
      </w:pPr>
      <w:r>
        <w:rPr>
          <w:rStyle w:val="EndnoteReference"/>
        </w:rPr>
        <w:endnoteRef/>
      </w:r>
      <w:r>
        <w:t xml:space="preserve"> </w:t>
      </w:r>
      <w:r>
        <w:tab/>
        <w:t xml:space="preserve">World Bank, </w:t>
      </w:r>
      <w:r w:rsidRPr="003D706B">
        <w:t>2005</w:t>
      </w:r>
      <w:r>
        <w:t xml:space="preserve">. </w:t>
      </w:r>
    </w:p>
  </w:endnote>
  <w:endnote w:id="343">
    <w:p w14:paraId="1D261B9A" w14:textId="77777777" w:rsidR="00CD4AF2" w:rsidRDefault="00CD4AF2" w:rsidP="00C959D9">
      <w:pPr>
        <w:pStyle w:val="EndnoteText"/>
        <w:ind w:left="426" w:hanging="426"/>
      </w:pPr>
      <w:r>
        <w:rPr>
          <w:rStyle w:val="EndnoteReference"/>
        </w:rPr>
        <w:endnoteRef/>
      </w:r>
      <w:r>
        <w:t xml:space="preserve"> </w:t>
      </w:r>
      <w:r>
        <w:tab/>
        <w:t xml:space="preserve">S </w:t>
      </w:r>
      <w:proofErr w:type="spellStart"/>
      <w:r>
        <w:t>Fritzen</w:t>
      </w:r>
      <w:proofErr w:type="spellEnd"/>
      <w:r>
        <w:t xml:space="preserve">, Probing system limits: Decentralisation and local political accountability in Vietnam, </w:t>
      </w:r>
      <w:r w:rsidRPr="003E23F3">
        <w:rPr>
          <w:i/>
        </w:rPr>
        <w:t xml:space="preserve">Asia-Pacific Journal of Public Administration </w:t>
      </w:r>
      <w:r>
        <w:t>28 (1):1-24, 2006.</w:t>
      </w:r>
    </w:p>
  </w:endnote>
  <w:endnote w:id="344">
    <w:p w14:paraId="59FDA0D6" w14:textId="77777777" w:rsidR="00CD4AF2" w:rsidRDefault="00CD4AF2" w:rsidP="00C959D9">
      <w:pPr>
        <w:pStyle w:val="EndnoteText"/>
        <w:ind w:left="426" w:hanging="426"/>
      </w:pPr>
      <w:r>
        <w:rPr>
          <w:rStyle w:val="EndnoteReference"/>
        </w:rPr>
        <w:endnoteRef/>
      </w:r>
      <w:r>
        <w:t xml:space="preserve"> </w:t>
      </w:r>
      <w:r>
        <w:tab/>
        <w:t xml:space="preserve">G </w:t>
      </w:r>
      <w:proofErr w:type="spellStart"/>
      <w:r>
        <w:t>Suluia</w:t>
      </w:r>
      <w:proofErr w:type="spellEnd"/>
      <w:r>
        <w:t>,</w:t>
      </w:r>
      <w:r w:rsidRPr="0039735F">
        <w:t xml:space="preserve"> </w:t>
      </w:r>
      <w:r w:rsidRPr="003E23F3">
        <w:rPr>
          <w:i/>
        </w:rPr>
        <w:t>Decentralisation and central-local relations: a Solomon Islands case study on the negotiations of relations between national and provincial governments.</w:t>
      </w:r>
      <w:r w:rsidRPr="0039735F">
        <w:t xml:space="preserve"> Master of Philosophy Thesis, Massey University, New Zealand</w:t>
      </w:r>
      <w:r>
        <w:t>.</w:t>
      </w:r>
    </w:p>
  </w:endnote>
  <w:endnote w:id="345">
    <w:p w14:paraId="72100CED" w14:textId="77777777" w:rsidR="00CD4AF2" w:rsidRDefault="00CD4AF2" w:rsidP="00C959D9">
      <w:pPr>
        <w:pStyle w:val="EndnoteText"/>
        <w:ind w:left="426" w:hanging="426"/>
      </w:pPr>
      <w:r>
        <w:rPr>
          <w:rStyle w:val="EndnoteReference"/>
        </w:rPr>
        <w:endnoteRef/>
      </w:r>
      <w:r>
        <w:t xml:space="preserve"> </w:t>
      </w:r>
      <w:r>
        <w:tab/>
        <w:t xml:space="preserve">J </w:t>
      </w:r>
      <w:r w:rsidRPr="0039735F">
        <w:t xml:space="preserve">Cox </w:t>
      </w:r>
      <w:r>
        <w:t>&amp;</w:t>
      </w:r>
      <w:r w:rsidRPr="0039735F">
        <w:t xml:space="preserve"> </w:t>
      </w:r>
      <w:r>
        <w:t xml:space="preserve">J </w:t>
      </w:r>
      <w:r w:rsidRPr="0039735F">
        <w:t>Morrison</w:t>
      </w:r>
      <w:r>
        <w:t>,</w:t>
      </w:r>
      <w:r w:rsidRPr="0039735F">
        <w:t xml:space="preserve"> </w:t>
      </w:r>
      <w:r w:rsidRPr="003E23F3">
        <w:rPr>
          <w:i/>
        </w:rPr>
        <w:t xml:space="preserve">Solomon Islands provincial governance information paper. </w:t>
      </w:r>
      <w:r w:rsidRPr="0039735F">
        <w:t>Report to AusAID, 2004.</w:t>
      </w:r>
    </w:p>
  </w:endnote>
  <w:endnote w:id="346">
    <w:p w14:paraId="6CCCE278" w14:textId="77777777" w:rsidR="00CD4AF2" w:rsidRDefault="00CD4AF2" w:rsidP="00C959D9">
      <w:pPr>
        <w:pStyle w:val="EndnoteText"/>
        <w:ind w:left="426" w:hanging="426"/>
      </w:pPr>
      <w:r>
        <w:rPr>
          <w:rStyle w:val="EndnoteReference"/>
        </w:rPr>
        <w:endnoteRef/>
      </w:r>
      <w:r>
        <w:t xml:space="preserve"> </w:t>
      </w:r>
      <w:r>
        <w:tab/>
        <w:t xml:space="preserve">G </w:t>
      </w:r>
      <w:proofErr w:type="spellStart"/>
      <w:r>
        <w:t>Suluia</w:t>
      </w:r>
      <w:proofErr w:type="spellEnd"/>
      <w:r>
        <w:t>, 2012.</w:t>
      </w:r>
    </w:p>
  </w:endnote>
  <w:endnote w:id="347">
    <w:p w14:paraId="0B1917E6" w14:textId="77777777" w:rsidR="00CD4AF2" w:rsidRDefault="00CD4AF2" w:rsidP="00C959D9">
      <w:pPr>
        <w:pStyle w:val="EndnoteText"/>
        <w:ind w:left="426" w:hanging="426"/>
      </w:pPr>
      <w:r>
        <w:rPr>
          <w:rStyle w:val="EndnoteReference"/>
        </w:rPr>
        <w:endnoteRef/>
      </w:r>
      <w:r>
        <w:t xml:space="preserve"> </w:t>
      </w:r>
      <w:r>
        <w:tab/>
      </w:r>
      <w:r w:rsidRPr="0039735F">
        <w:t>World Bank</w:t>
      </w:r>
      <w:r>
        <w:t>,</w:t>
      </w:r>
      <w:r w:rsidRPr="0039735F">
        <w:t xml:space="preserve"> </w:t>
      </w:r>
      <w:r w:rsidRPr="003E23F3">
        <w:rPr>
          <w:i/>
        </w:rPr>
        <w:t>Decentralization and local governance in Bangladesh: an analysis of stakeholder perspectives</w:t>
      </w:r>
      <w:r w:rsidRPr="0039735F">
        <w:t xml:space="preserve">, Social Development Department, World Bank, </w:t>
      </w:r>
      <w:r>
        <w:t xml:space="preserve">Washington DC, </w:t>
      </w:r>
      <w:r w:rsidRPr="0039735F">
        <w:t>2007.</w:t>
      </w:r>
    </w:p>
  </w:endnote>
  <w:endnote w:id="348">
    <w:p w14:paraId="5CB6813C" w14:textId="77777777" w:rsidR="00CD4AF2" w:rsidRDefault="00CD4AF2" w:rsidP="00C959D9">
      <w:pPr>
        <w:pStyle w:val="EndnoteText"/>
        <w:ind w:left="426" w:hanging="426"/>
      </w:pPr>
      <w:r>
        <w:rPr>
          <w:rStyle w:val="EndnoteReference"/>
        </w:rPr>
        <w:endnoteRef/>
      </w:r>
      <w:r>
        <w:t xml:space="preserve"> </w:t>
      </w:r>
      <w:r>
        <w:tab/>
        <w:t xml:space="preserve">WF </w:t>
      </w:r>
      <w:r w:rsidRPr="0039735F">
        <w:t>Fox</w:t>
      </w:r>
      <w:r>
        <w:t xml:space="preserve"> &amp; B</w:t>
      </w:r>
      <w:r w:rsidRPr="0039735F">
        <w:t xml:space="preserve"> Menon</w:t>
      </w:r>
      <w:r>
        <w:t>,</w:t>
      </w:r>
      <w:r w:rsidRPr="0039735F">
        <w:t xml:space="preserve"> </w:t>
      </w:r>
      <w:r w:rsidRPr="003E23F3">
        <w:rPr>
          <w:i/>
        </w:rPr>
        <w:t>Decentralization in Bangladesh: Change has been elusive</w:t>
      </w:r>
      <w:r>
        <w:rPr>
          <w:i/>
        </w:rPr>
        <w:t>,</w:t>
      </w:r>
      <w:r w:rsidRPr="0039735F">
        <w:t xml:space="preserve"> Andrew Young School of Policy Studies, International Studies Program Working Paper 08</w:t>
      </w:r>
      <w:r>
        <w:t>–</w:t>
      </w:r>
      <w:r w:rsidRPr="0039735F">
        <w:t>29</w:t>
      </w:r>
      <w:r>
        <w:t>, 2008.</w:t>
      </w:r>
    </w:p>
  </w:endnote>
  <w:endnote w:id="349">
    <w:p w14:paraId="6088BADA" w14:textId="77777777" w:rsidR="00CD4AF2" w:rsidRDefault="00CD4AF2" w:rsidP="00C959D9">
      <w:pPr>
        <w:pStyle w:val="EndnoteText"/>
        <w:ind w:left="426" w:hanging="426"/>
      </w:pPr>
      <w:r>
        <w:rPr>
          <w:rStyle w:val="EndnoteReference"/>
        </w:rPr>
        <w:endnoteRef/>
      </w:r>
      <w:r>
        <w:t xml:space="preserve"> </w:t>
      </w:r>
      <w:r>
        <w:tab/>
      </w:r>
      <w:r w:rsidRPr="0039735F">
        <w:t>World Bank</w:t>
      </w:r>
      <w:r>
        <w:t xml:space="preserve">, </w:t>
      </w:r>
      <w:r w:rsidRPr="0039735F">
        <w:t>2007</w:t>
      </w:r>
      <w:r>
        <w:t>.</w:t>
      </w:r>
    </w:p>
  </w:endnote>
  <w:endnote w:id="350">
    <w:p w14:paraId="78753826"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p.3.</w:t>
      </w:r>
    </w:p>
  </w:endnote>
  <w:endnote w:id="351">
    <w:p w14:paraId="43F80CC8"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p.5.</w:t>
      </w:r>
    </w:p>
  </w:endnote>
  <w:endnote w:id="352">
    <w:p w14:paraId="1E0F1B9E"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p.5.</w:t>
      </w:r>
    </w:p>
  </w:endnote>
  <w:endnote w:id="353">
    <w:p w14:paraId="44A33066"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p.11.</w:t>
      </w:r>
    </w:p>
  </w:endnote>
  <w:endnote w:id="354">
    <w:p w14:paraId="43849524"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p.12.</w:t>
      </w:r>
    </w:p>
  </w:endnote>
  <w:endnote w:id="355">
    <w:p w14:paraId="505A68FC"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p.14.</w:t>
      </w:r>
    </w:p>
  </w:endnote>
  <w:endnote w:id="356">
    <w:p w14:paraId="377A5C65"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p.13.</w:t>
      </w:r>
    </w:p>
  </w:endnote>
  <w:endnote w:id="357">
    <w:p w14:paraId="6C376827"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p.13.</w:t>
      </w:r>
    </w:p>
  </w:endnote>
  <w:endnote w:id="358">
    <w:p w14:paraId="24A39BBA"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p.15.</w:t>
      </w:r>
    </w:p>
  </w:endnote>
  <w:endnote w:id="359">
    <w:p w14:paraId="3399F647" w14:textId="77777777" w:rsidR="00CD4AF2" w:rsidRDefault="00CD4AF2" w:rsidP="00C959D9">
      <w:pPr>
        <w:pStyle w:val="EndnoteText"/>
        <w:ind w:left="426" w:hanging="426"/>
      </w:pPr>
      <w:r>
        <w:rPr>
          <w:rStyle w:val="EndnoteReference"/>
        </w:rPr>
        <w:endnoteRef/>
      </w:r>
      <w:r>
        <w:t xml:space="preserve"> </w:t>
      </w:r>
      <w:r>
        <w:tab/>
        <w:t xml:space="preserve">AusAID, </w:t>
      </w:r>
      <w:r w:rsidRPr="00080B76">
        <w:rPr>
          <w:i/>
        </w:rPr>
        <w:t xml:space="preserve">Australia–Indonesia </w:t>
      </w:r>
      <w:r w:rsidRPr="00F526B3">
        <w:rPr>
          <w:i/>
        </w:rPr>
        <w:t xml:space="preserve">partnership country strategy </w:t>
      </w:r>
      <w:r w:rsidRPr="00080B76">
        <w:rPr>
          <w:i/>
        </w:rPr>
        <w:t>2008–13,</w:t>
      </w:r>
      <w:r>
        <w:t xml:space="preserve"> 2008, Appendix 1.</w:t>
      </w:r>
    </w:p>
  </w:endnote>
  <w:endnote w:id="360">
    <w:p w14:paraId="3489D51D" w14:textId="45F75669" w:rsidR="00CD4AF2" w:rsidRDefault="00CD4AF2" w:rsidP="00C959D9">
      <w:pPr>
        <w:pStyle w:val="EndnoteText"/>
        <w:ind w:left="426" w:hanging="426"/>
      </w:pPr>
      <w:r>
        <w:rPr>
          <w:rStyle w:val="EndnoteReference"/>
        </w:rPr>
        <w:endnoteRef/>
      </w:r>
      <w:r>
        <w:t xml:space="preserve"> </w:t>
      </w:r>
      <w:r>
        <w:tab/>
        <w:t>Paul Bridgeman, personal communication, PNG Program.</w:t>
      </w:r>
    </w:p>
  </w:endnote>
  <w:endnote w:id="361">
    <w:p w14:paraId="26C192C7"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3E23F3">
        <w:rPr>
          <w:i/>
        </w:rPr>
        <w:t>Papua New Guinea–Australia Development Cooperation Strategy 2006–10,</w:t>
      </w:r>
      <w:r>
        <w:t xml:space="preserve"> Australian Government, Canberra, 2006.</w:t>
      </w:r>
    </w:p>
  </w:endnote>
  <w:endnote w:id="362">
    <w:p w14:paraId="6B289C94" w14:textId="3CBAD149" w:rsidR="00CD4AF2" w:rsidRDefault="00CD4AF2" w:rsidP="00C959D9">
      <w:pPr>
        <w:pStyle w:val="EndnoteText"/>
        <w:ind w:left="426" w:hanging="426"/>
      </w:pPr>
      <w:r>
        <w:rPr>
          <w:rStyle w:val="EndnoteReference"/>
        </w:rPr>
        <w:endnoteRef/>
      </w:r>
      <w:r>
        <w:t xml:space="preserve"> </w:t>
      </w:r>
      <w:r>
        <w:tab/>
        <w:t xml:space="preserve">Australian Government, </w:t>
      </w:r>
      <w:r w:rsidRPr="003E23F3">
        <w:rPr>
          <w:i/>
        </w:rPr>
        <w:t>Australia–PNG partnership agreement</w:t>
      </w:r>
      <w:r>
        <w:t>, 2008, p.2.</w:t>
      </w:r>
    </w:p>
  </w:endnote>
  <w:endnote w:id="363">
    <w:p w14:paraId="100BD420"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Australia–PNG partnership agreement</w:t>
      </w:r>
      <w:r>
        <w:t>, 2008, p.3.</w:t>
      </w:r>
    </w:p>
  </w:endnote>
  <w:endnote w:id="364">
    <w:p w14:paraId="30D59AEE"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Australia–PNG partnership agreement</w:t>
      </w:r>
      <w:r>
        <w:t>, 2008, p.3.</w:t>
      </w:r>
    </w:p>
  </w:endnote>
  <w:endnote w:id="365">
    <w:p w14:paraId="0DA564FF"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Australia–PNG partnership agreement</w:t>
      </w:r>
      <w:r>
        <w:t>, schedule on education, 2008, p.9.</w:t>
      </w:r>
    </w:p>
  </w:endnote>
  <w:endnote w:id="366">
    <w:p w14:paraId="1D203785" w14:textId="77777777" w:rsidR="00CD4AF2" w:rsidRDefault="00CD4AF2" w:rsidP="00C959D9">
      <w:pPr>
        <w:pStyle w:val="EndnoteText"/>
        <w:ind w:left="426" w:hanging="426"/>
      </w:pPr>
      <w:r>
        <w:rPr>
          <w:rStyle w:val="EndnoteReference"/>
        </w:rPr>
        <w:endnoteRef/>
      </w:r>
      <w:r>
        <w:t xml:space="preserve"> </w:t>
      </w:r>
      <w:r>
        <w:tab/>
        <w:t>For example, the</w:t>
      </w:r>
      <w:r w:rsidRPr="001B1007">
        <w:t xml:space="preserve"> 2008 review by the National Economic and Fiscal Co</w:t>
      </w:r>
      <w:r>
        <w:t xml:space="preserve">mmission indicated that </w:t>
      </w:r>
      <w:r w:rsidRPr="001B1007">
        <w:t>over half the provincial governments received far less than half the funding needed to deliver basic services</w:t>
      </w:r>
      <w:r>
        <w:t>.</w:t>
      </w:r>
    </w:p>
  </w:endnote>
  <w:endnote w:id="367">
    <w:p w14:paraId="77FEBB96"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Australia–PNG partnership agreement</w:t>
      </w:r>
      <w:r>
        <w:t>, schedule on health, 2008, p.9.</w:t>
      </w:r>
    </w:p>
  </w:endnote>
  <w:endnote w:id="368">
    <w:p w14:paraId="026F5445" w14:textId="067BB58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Australia–PNG partnership agreement</w:t>
      </w:r>
      <w:r>
        <w:t>, schedule on health, 2008, pp.9 &amp; 11.</w:t>
      </w:r>
    </w:p>
  </w:endnote>
  <w:endnote w:id="369">
    <w:p w14:paraId="04008867"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Australia–PNG partnership agreement</w:t>
      </w:r>
      <w:r>
        <w:t>, schedule on health, 2008, p.11.</w:t>
      </w:r>
    </w:p>
  </w:endnote>
  <w:endnote w:id="370">
    <w:p w14:paraId="237D86C7"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Australia–PNG partnership agreement</w:t>
      </w:r>
      <w:r>
        <w:t>, schedule on health, 2008, p.12.</w:t>
      </w:r>
    </w:p>
  </w:endnote>
  <w:endnote w:id="371">
    <w:p w14:paraId="21A842F9"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3E23F3">
        <w:rPr>
          <w:i/>
        </w:rPr>
        <w:t xml:space="preserve">Philippines Aid Program Strategy 2012–17, </w:t>
      </w:r>
      <w:r>
        <w:t>Australian Government, Canberra, 2012, p.11.</w:t>
      </w:r>
    </w:p>
  </w:endnote>
  <w:endnote w:id="372">
    <w:p w14:paraId="4F1E0803"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Philippines Aid Program Strategy 2012–17,</w:t>
      </w:r>
      <w:r>
        <w:rPr>
          <w:i/>
        </w:rPr>
        <w:t xml:space="preserve"> </w:t>
      </w:r>
      <w:r w:rsidRPr="003E23F3">
        <w:t>2012, p.4.</w:t>
      </w:r>
    </w:p>
  </w:endnote>
  <w:endnote w:id="373">
    <w:p w14:paraId="4E262A1A"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Philippines Aid Program Strategy 2012–17,</w:t>
      </w:r>
      <w:r>
        <w:rPr>
          <w:i/>
        </w:rPr>
        <w:t xml:space="preserve"> </w:t>
      </w:r>
      <w:r>
        <w:t>2012, p.11</w:t>
      </w:r>
      <w:r w:rsidRPr="00080B76">
        <w:t>.</w:t>
      </w:r>
    </w:p>
  </w:endnote>
  <w:endnote w:id="374">
    <w:p w14:paraId="292A02DC"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Philippines Aid Program Strategy 2012–17,</w:t>
      </w:r>
      <w:r>
        <w:rPr>
          <w:i/>
        </w:rPr>
        <w:t xml:space="preserve"> </w:t>
      </w:r>
      <w:r>
        <w:t>2012, p.22</w:t>
      </w:r>
      <w:r w:rsidRPr="00080B76">
        <w:t>.</w:t>
      </w:r>
    </w:p>
  </w:endnote>
  <w:endnote w:id="375">
    <w:p w14:paraId="4BBC7C7A"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3E23F3">
        <w:rPr>
          <w:i/>
        </w:rPr>
        <w:t>Australia–Vietnam Joint Aid Program Strategy 2010–15,</w:t>
      </w:r>
      <w:r>
        <w:t xml:space="preserve"> Australian Government, Canberra, 2012, p.11.</w:t>
      </w:r>
    </w:p>
  </w:endnote>
  <w:endnote w:id="376">
    <w:p w14:paraId="190023E6"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Australia–Vietnam Joint Aid Program Strategy 2010–15,</w:t>
      </w:r>
      <w:r>
        <w:rPr>
          <w:i/>
        </w:rPr>
        <w:t xml:space="preserve"> </w:t>
      </w:r>
      <w:r w:rsidRPr="003E23F3">
        <w:t>2012, p.13.</w:t>
      </w:r>
    </w:p>
  </w:endnote>
  <w:endnote w:id="377">
    <w:p w14:paraId="356DDE49"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Australia–Vietnam Joint Aid Program Strategy 2010–15,</w:t>
      </w:r>
      <w:r>
        <w:rPr>
          <w:i/>
        </w:rPr>
        <w:t xml:space="preserve"> </w:t>
      </w:r>
      <w:r w:rsidRPr="003E23F3">
        <w:t>2012, p.</w:t>
      </w:r>
      <w:r>
        <w:t>18.</w:t>
      </w:r>
    </w:p>
  </w:endnote>
  <w:endnote w:id="378">
    <w:p w14:paraId="52F5650B" w14:textId="77777777" w:rsidR="00CD4AF2" w:rsidRDefault="00CD4AF2" w:rsidP="00C959D9">
      <w:pPr>
        <w:pStyle w:val="EndnoteText"/>
        <w:ind w:left="426" w:hanging="426"/>
      </w:pPr>
      <w:r>
        <w:rPr>
          <w:rStyle w:val="EndnoteReference"/>
        </w:rPr>
        <w:endnoteRef/>
      </w:r>
      <w:r>
        <w:t xml:space="preserve"> </w:t>
      </w:r>
      <w:r>
        <w:tab/>
        <w:t xml:space="preserve">J </w:t>
      </w:r>
      <w:r w:rsidRPr="0039735F">
        <w:t xml:space="preserve">Cox </w:t>
      </w:r>
      <w:r>
        <w:t>&amp;</w:t>
      </w:r>
      <w:r w:rsidRPr="0039735F">
        <w:t xml:space="preserve"> </w:t>
      </w:r>
      <w:r>
        <w:t xml:space="preserve">J </w:t>
      </w:r>
      <w:r w:rsidRPr="0039735F">
        <w:t>Morrison</w:t>
      </w:r>
      <w:r>
        <w:t>,</w:t>
      </w:r>
      <w:r w:rsidRPr="0039735F">
        <w:t xml:space="preserve"> 2004</w:t>
      </w:r>
      <w:r>
        <w:t xml:space="preserve">; G </w:t>
      </w:r>
      <w:proofErr w:type="spellStart"/>
      <w:r>
        <w:t>Suluia</w:t>
      </w:r>
      <w:proofErr w:type="spellEnd"/>
      <w:r>
        <w:t xml:space="preserve">, </w:t>
      </w:r>
      <w:r w:rsidRPr="000D7BBF">
        <w:t>2012</w:t>
      </w:r>
      <w:r>
        <w:t>.</w:t>
      </w:r>
    </w:p>
  </w:endnote>
  <w:endnote w:id="379">
    <w:p w14:paraId="2B323EA0" w14:textId="77777777" w:rsidR="00CD4AF2" w:rsidRDefault="00CD4AF2" w:rsidP="00C959D9">
      <w:pPr>
        <w:pStyle w:val="EndnoteText"/>
        <w:ind w:left="426" w:hanging="426"/>
      </w:pPr>
      <w:r>
        <w:rPr>
          <w:rStyle w:val="EndnoteReference"/>
        </w:rPr>
        <w:endnoteRef/>
      </w:r>
      <w:r>
        <w:t xml:space="preserve"> </w:t>
      </w:r>
      <w:r>
        <w:tab/>
        <w:t xml:space="preserve">G </w:t>
      </w:r>
      <w:proofErr w:type="spellStart"/>
      <w:r>
        <w:t>Suluia</w:t>
      </w:r>
      <w:proofErr w:type="spellEnd"/>
      <w:r>
        <w:t>,</w:t>
      </w:r>
      <w:r w:rsidRPr="000D7BBF">
        <w:t xml:space="preserve"> 2012</w:t>
      </w:r>
      <w:r>
        <w:t>.</w:t>
      </w:r>
    </w:p>
  </w:endnote>
  <w:endnote w:id="380">
    <w:p w14:paraId="41993B9E"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3E23F3">
        <w:rPr>
          <w:i/>
        </w:rPr>
        <w:t>Solomon Islands–Australia Partnership for Development,</w:t>
      </w:r>
      <w:r>
        <w:t xml:space="preserve"> Australian Government, Canberra, 2013, p.3.</w:t>
      </w:r>
    </w:p>
  </w:endnote>
  <w:endnote w:id="381">
    <w:p w14:paraId="2E90FEC8"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Solomon Islands–Australia Partnership for Development,</w:t>
      </w:r>
      <w:r>
        <w:rPr>
          <w:i/>
        </w:rPr>
        <w:t xml:space="preserve"> </w:t>
      </w:r>
      <w:r w:rsidRPr="003E23F3">
        <w:t>2013, p.5.</w:t>
      </w:r>
    </w:p>
  </w:endnote>
  <w:endnote w:id="382">
    <w:p w14:paraId="0B8B0518"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Solomon Islands–Australia Partnership for Development,</w:t>
      </w:r>
      <w:r>
        <w:rPr>
          <w:i/>
        </w:rPr>
        <w:t xml:space="preserve"> </w:t>
      </w:r>
      <w:r w:rsidRPr="003E23F3">
        <w:t>2013, p.5.</w:t>
      </w:r>
    </w:p>
  </w:endnote>
  <w:endnote w:id="383">
    <w:p w14:paraId="6F4F134D" w14:textId="77777777" w:rsidR="00CD4AF2" w:rsidRPr="00672870" w:rsidRDefault="00CD4AF2" w:rsidP="00C959D9">
      <w:pPr>
        <w:pStyle w:val="EndnoteText"/>
        <w:ind w:left="426" w:hanging="426"/>
      </w:pPr>
      <w:r>
        <w:rPr>
          <w:rStyle w:val="EndnoteReference"/>
        </w:rPr>
        <w:endnoteRef/>
      </w:r>
      <w:r>
        <w:t xml:space="preserve"> </w:t>
      </w:r>
      <w:r>
        <w:tab/>
        <w:t xml:space="preserve">S </w:t>
      </w:r>
      <w:r w:rsidRPr="005140F5">
        <w:rPr>
          <w:rFonts w:cs="Cambria"/>
        </w:rPr>
        <w:t>Paul</w:t>
      </w:r>
      <w:r>
        <w:rPr>
          <w:rFonts w:cs="Cambria"/>
        </w:rPr>
        <w:t xml:space="preserve"> &amp; PR</w:t>
      </w:r>
      <w:r w:rsidRPr="005140F5">
        <w:rPr>
          <w:rFonts w:cs="Cambria"/>
        </w:rPr>
        <w:t xml:space="preserve"> </w:t>
      </w:r>
      <w:proofErr w:type="spellStart"/>
      <w:r w:rsidRPr="005140F5">
        <w:rPr>
          <w:rFonts w:cs="Cambria"/>
        </w:rPr>
        <w:t>Goel</w:t>
      </w:r>
      <w:proofErr w:type="spellEnd"/>
      <w:r>
        <w:rPr>
          <w:rFonts w:cs="Cambria"/>
        </w:rPr>
        <w:t xml:space="preserve">, </w:t>
      </w:r>
      <w:r w:rsidRPr="003E23F3">
        <w:rPr>
          <w:rFonts w:cs="Cambria"/>
          <w:i/>
        </w:rPr>
        <w:t>Decentralisation in Bangladesh,</w:t>
      </w:r>
      <w:r w:rsidRPr="005140F5">
        <w:rPr>
          <w:rFonts w:cs="Cambria"/>
        </w:rPr>
        <w:t xml:space="preserve"> National Council of Applied Economic Research, New Delhi</w:t>
      </w:r>
      <w:r>
        <w:rPr>
          <w:rFonts w:cs="Cambria"/>
        </w:rPr>
        <w:t>, 2010.</w:t>
      </w:r>
    </w:p>
  </w:endnote>
  <w:endnote w:id="384">
    <w:p w14:paraId="47A469E8" w14:textId="77777777" w:rsidR="00CD4AF2" w:rsidRDefault="00CD4AF2" w:rsidP="00C959D9">
      <w:pPr>
        <w:pStyle w:val="EndnoteText"/>
        <w:ind w:left="426" w:hanging="426"/>
      </w:pPr>
      <w:r>
        <w:rPr>
          <w:rStyle w:val="EndnoteReference"/>
        </w:rPr>
        <w:endnoteRef/>
      </w:r>
      <w:r>
        <w:t xml:space="preserve"> </w:t>
      </w:r>
      <w:r>
        <w:tab/>
        <w:t xml:space="preserve">WF </w:t>
      </w:r>
      <w:r w:rsidRPr="0039735F">
        <w:t>Fox</w:t>
      </w:r>
      <w:r>
        <w:t xml:space="preserve"> &amp; B</w:t>
      </w:r>
      <w:r w:rsidRPr="0039735F">
        <w:t xml:space="preserve"> Menon</w:t>
      </w:r>
      <w:r>
        <w:t>,</w:t>
      </w:r>
      <w:r w:rsidRPr="0039735F">
        <w:t xml:space="preserve"> 2008</w:t>
      </w:r>
      <w:r>
        <w:t>.</w:t>
      </w:r>
    </w:p>
  </w:endnote>
  <w:endnote w:id="385">
    <w:p w14:paraId="097FC9B8" w14:textId="77777777" w:rsidR="00CD4AF2" w:rsidRDefault="00CD4AF2" w:rsidP="00C959D9">
      <w:pPr>
        <w:pStyle w:val="EndnoteText"/>
        <w:ind w:left="426" w:hanging="426"/>
      </w:pPr>
      <w:r>
        <w:rPr>
          <w:rStyle w:val="EndnoteReference"/>
        </w:rPr>
        <w:endnoteRef/>
      </w:r>
      <w:r>
        <w:t xml:space="preserve"> </w:t>
      </w:r>
      <w:r>
        <w:tab/>
        <w:t>World Bank, 2008.</w:t>
      </w:r>
    </w:p>
  </w:endnote>
  <w:endnote w:id="386">
    <w:p w14:paraId="066A428F"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3E23F3">
        <w:rPr>
          <w:i/>
        </w:rPr>
        <w:t>Australia–Bangladesh Aid Program Strategy 2012–16,</w:t>
      </w:r>
      <w:r>
        <w:t xml:space="preserve"> Australian Government, Canberra, 2012, p.10.</w:t>
      </w:r>
    </w:p>
  </w:endnote>
  <w:endnote w:id="387">
    <w:p w14:paraId="35880998"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Australia–Bangladesh Aid Program Strategy 2012–16,</w:t>
      </w:r>
      <w:r>
        <w:t xml:space="preserve"> 2012, p.10.</w:t>
      </w:r>
    </w:p>
  </w:endnote>
  <w:endnote w:id="388">
    <w:p w14:paraId="3EE4D50D" w14:textId="77777777" w:rsidR="00CD4AF2" w:rsidRDefault="00CD4AF2" w:rsidP="00C959D9">
      <w:pPr>
        <w:pStyle w:val="EndnoteText"/>
        <w:ind w:left="426" w:hanging="426"/>
      </w:pPr>
      <w:r>
        <w:rPr>
          <w:rStyle w:val="EndnoteReference"/>
        </w:rPr>
        <w:endnoteRef/>
      </w:r>
      <w:r>
        <w:t xml:space="preserve"> </w:t>
      </w:r>
      <w:r>
        <w:tab/>
        <w:t xml:space="preserve">Australian Government, </w:t>
      </w:r>
      <w:r w:rsidRPr="00080B76">
        <w:rPr>
          <w:i/>
        </w:rPr>
        <w:t>Australia–Bangladesh Aid Program Strategy 2012–16,</w:t>
      </w:r>
      <w:r>
        <w:t xml:space="preserve"> 2012, p.10.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oundersGrotesk-Regular">
    <w:altName w:val="Founders Grotesk Regular"/>
    <w:panose1 w:val="00000000000000000000"/>
    <w:charset w:val="4D"/>
    <w:family w:val="auto"/>
    <w:notTrueType/>
    <w:pitch w:val="default"/>
    <w:sig w:usb0="00000003" w:usb1="00000000" w:usb2="00000000" w:usb3="00000000" w:csb0="00000001" w:csb1="00000000"/>
  </w:font>
  <w:font w:name="MetaSerifOT-Book">
    <w:altName w:val="MetaSerifOT-Book"/>
    <w:panose1 w:val="00000000000000000000"/>
    <w:charset w:val="00"/>
    <w:family w:val="roman"/>
    <w:notTrueType/>
    <w:pitch w:val="default"/>
    <w:sig w:usb0="00000003" w:usb1="00000000" w:usb2="00000000" w:usb3="00000000" w:csb0="00000001" w:csb1="00000000"/>
  </w:font>
  <w:font w:name="HGMinchoB">
    <w:altName w:val="HG明朝B"/>
    <w:panose1 w:val="00000000000000000000"/>
    <w:charset w:val="80"/>
    <w:family w:val="roman"/>
    <w:notTrueType/>
    <w:pitch w:val="default"/>
  </w:font>
  <w:font w:name="HGGothicM">
    <w:altName w:val="HGｺﾞｼｯｸM"/>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55195" w14:textId="77777777" w:rsidR="00770FF8" w:rsidRDefault="00770F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3D80A" w14:textId="77777777" w:rsidR="00770FF8" w:rsidRDefault="00770F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074E1" w14:textId="77777777" w:rsidR="00770FF8" w:rsidRDefault="00770F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841424"/>
      <w:docPartObj>
        <w:docPartGallery w:val="Page Numbers (Bottom of Page)"/>
        <w:docPartUnique/>
      </w:docPartObj>
    </w:sdtPr>
    <w:sdtEndPr>
      <w:rPr>
        <w:noProof/>
      </w:rPr>
    </w:sdtEndPr>
    <w:sdtContent>
      <w:p w14:paraId="59747ED2" w14:textId="77777777" w:rsidR="00CD4AF2" w:rsidRDefault="00CD4AF2">
        <w:pPr>
          <w:pStyle w:val="Footer"/>
          <w:jc w:val="center"/>
        </w:pPr>
        <w:r>
          <w:fldChar w:fldCharType="begin"/>
        </w:r>
        <w:r>
          <w:instrText xml:space="preserve"> PAGE   \* MERGEFORMAT </w:instrText>
        </w:r>
        <w:r>
          <w:fldChar w:fldCharType="separate"/>
        </w:r>
        <w:r>
          <w:rPr>
            <w:noProof/>
          </w:rPr>
          <w:t>cxxix</w:t>
        </w:r>
        <w:r>
          <w:rPr>
            <w:noProof/>
          </w:rPr>
          <w:fldChar w:fldCharType="end"/>
        </w:r>
      </w:p>
    </w:sdtContent>
  </w:sdt>
  <w:p w14:paraId="65321B46" w14:textId="77777777" w:rsidR="00CD4AF2" w:rsidRDefault="00CD4A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611408"/>
      <w:docPartObj>
        <w:docPartGallery w:val="Page Numbers (Bottom of Page)"/>
        <w:docPartUnique/>
      </w:docPartObj>
    </w:sdtPr>
    <w:sdtEndPr>
      <w:rPr>
        <w:noProof/>
      </w:rPr>
    </w:sdtEndPr>
    <w:sdtContent>
      <w:p w14:paraId="03263B32" w14:textId="77777777" w:rsidR="00CD4AF2" w:rsidRDefault="00CD4AF2" w:rsidP="00AA45A4">
        <w:pPr>
          <w:pStyle w:val="Footer"/>
          <w:jc w:val="center"/>
        </w:pPr>
        <w:r>
          <w:fldChar w:fldCharType="begin"/>
        </w:r>
        <w:r>
          <w:instrText xml:space="preserve"> PAGE   \* MERGEFORMAT </w:instrText>
        </w:r>
        <w:r>
          <w:fldChar w:fldCharType="separate"/>
        </w:r>
        <w:r w:rsidR="00770FF8">
          <w:rPr>
            <w:noProof/>
          </w:rPr>
          <w:t>124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80728"/>
      <w:docPartObj>
        <w:docPartGallery w:val="Page Numbers (Bottom of Page)"/>
        <w:docPartUnique/>
      </w:docPartObj>
    </w:sdtPr>
    <w:sdtEndPr>
      <w:rPr>
        <w:noProof/>
      </w:rPr>
    </w:sdtEndPr>
    <w:sdtContent>
      <w:p w14:paraId="4B513241" w14:textId="77777777" w:rsidR="00CD4AF2" w:rsidRDefault="00CD4AF2" w:rsidP="00F94BBA">
        <w:pPr>
          <w:pStyle w:val="Footer"/>
          <w:jc w:val="center"/>
        </w:pPr>
        <w:r>
          <w:fldChar w:fldCharType="begin"/>
        </w:r>
        <w:r>
          <w:instrText xml:space="preserve"> PAGE   \* MERGEFORMAT </w:instrText>
        </w:r>
        <w:r>
          <w:fldChar w:fldCharType="separate"/>
        </w:r>
        <w:r w:rsidR="00770FF8">
          <w:rPr>
            <w:noProof/>
          </w:rPr>
          <w:t>iii</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954022"/>
      <w:docPartObj>
        <w:docPartGallery w:val="Page Numbers (Bottom of Page)"/>
        <w:docPartUnique/>
      </w:docPartObj>
    </w:sdtPr>
    <w:sdtEndPr>
      <w:rPr>
        <w:noProof/>
      </w:rPr>
    </w:sdtEndPr>
    <w:sdtContent>
      <w:p w14:paraId="2D286AAE" w14:textId="77777777" w:rsidR="00CD4AF2" w:rsidRDefault="00CD4AF2" w:rsidP="00773CBF">
        <w:pPr>
          <w:pStyle w:val="Footer"/>
          <w:jc w:val="center"/>
        </w:pPr>
        <w:r>
          <w:fldChar w:fldCharType="begin"/>
        </w:r>
        <w:r>
          <w:instrText xml:space="preserve"> PAGE   \* MERGEFORMAT </w:instrText>
        </w:r>
        <w:r>
          <w:fldChar w:fldCharType="separate"/>
        </w:r>
        <w:r w:rsidR="00770FF8">
          <w:rPr>
            <w:noProof/>
          </w:rPr>
          <w:t>vi</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894869"/>
      <w:docPartObj>
        <w:docPartGallery w:val="Page Numbers (Bottom of Page)"/>
        <w:docPartUnique/>
      </w:docPartObj>
    </w:sdtPr>
    <w:sdtEndPr>
      <w:rPr>
        <w:noProof/>
      </w:rPr>
    </w:sdtEndPr>
    <w:sdtContent>
      <w:p w14:paraId="2B010F1D" w14:textId="77777777" w:rsidR="00CD4AF2" w:rsidRDefault="00CD4AF2" w:rsidP="00AA45A4">
        <w:pPr>
          <w:pStyle w:val="Footer"/>
          <w:jc w:val="center"/>
        </w:pPr>
        <w:r>
          <w:fldChar w:fldCharType="begin"/>
        </w:r>
        <w:r>
          <w:instrText xml:space="preserve"> PAGE   \* MERGEFORMAT </w:instrText>
        </w:r>
        <w:r>
          <w:fldChar w:fldCharType="separate"/>
        </w:r>
        <w:r w:rsidR="00770FF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F55C9" w14:textId="77777777" w:rsidR="00CD4AF2" w:rsidRDefault="00CD4AF2">
      <w:pPr>
        <w:spacing w:after="0"/>
      </w:pPr>
      <w:r>
        <w:separator/>
      </w:r>
    </w:p>
  </w:footnote>
  <w:footnote w:type="continuationSeparator" w:id="0">
    <w:p w14:paraId="0418DECD" w14:textId="77777777" w:rsidR="00CD4AF2" w:rsidRDefault="00CD4AF2">
      <w:pPr>
        <w:spacing w:after="0"/>
      </w:pPr>
      <w:r>
        <w:continuationSeparator/>
      </w:r>
    </w:p>
  </w:footnote>
  <w:footnote w:id="1">
    <w:p w14:paraId="16FB317B" w14:textId="34F60BF7" w:rsidR="00CD4AF2" w:rsidRDefault="00CD4AF2" w:rsidP="00977AAA">
      <w:pPr>
        <w:pStyle w:val="FootnoteText"/>
        <w:ind w:left="426" w:hanging="426"/>
      </w:pPr>
      <w:r>
        <w:rPr>
          <w:rStyle w:val="FootnoteReference"/>
        </w:rPr>
        <w:footnoteRef/>
      </w:r>
      <w:r>
        <w:t xml:space="preserve"> </w:t>
      </w:r>
      <w:r>
        <w:tab/>
      </w:r>
      <w:r w:rsidRPr="00E42287">
        <w:t>For example, see Robinson, Introduction: Decentralising Service Delivery? Evidence and Policy Implications, IDS Bulletin vol. 38, no. 1, Institute of Development Studies, Sussex, UK. 2007. This article examines evidence in the health, education and water and sanitation sectors. It demonstrates only a few cases where outcomes in terms of equity and efficiency were improved, and only in locally supportive conditions were sustained improvements to service delivery observed</w:t>
      </w:r>
      <w:r w:rsidRPr="008D3E97">
        <w:rPr>
          <w:szCs w:val="16"/>
        </w:rPr>
        <w:t>.</w:t>
      </w:r>
    </w:p>
  </w:footnote>
  <w:footnote w:id="2">
    <w:p w14:paraId="54FD3184" w14:textId="41F4B624" w:rsidR="00CD4AF2" w:rsidRDefault="00CD4AF2" w:rsidP="003334AF">
      <w:pPr>
        <w:pStyle w:val="FootnoteText"/>
        <w:ind w:left="426" w:hanging="426"/>
      </w:pPr>
      <w:r>
        <w:rPr>
          <w:rStyle w:val="FootnoteReference"/>
        </w:rPr>
        <w:footnoteRef/>
      </w:r>
      <w:r>
        <w:t xml:space="preserve"> </w:t>
      </w:r>
      <w:r>
        <w:tab/>
        <w:t>For example, there is debate about whether justice, law and various other such social and welfare services constitute ‘basic services.’</w:t>
      </w:r>
    </w:p>
  </w:footnote>
  <w:footnote w:id="3">
    <w:p w14:paraId="5D0FADE7" w14:textId="77777777" w:rsidR="00CD4AF2" w:rsidRDefault="00CD4AF2" w:rsidP="006F6381">
      <w:pPr>
        <w:pStyle w:val="FootnoteText"/>
        <w:ind w:left="426" w:hanging="426"/>
      </w:pPr>
      <w:r>
        <w:rPr>
          <w:rStyle w:val="FootnoteReference"/>
        </w:rPr>
        <w:footnoteRef/>
      </w:r>
      <w:r>
        <w:t xml:space="preserve"> </w:t>
      </w:r>
      <w:r>
        <w:tab/>
      </w:r>
      <w:r w:rsidRPr="00656D5E">
        <w:t xml:space="preserve">The </w:t>
      </w:r>
      <w:r w:rsidRPr="00714594">
        <w:rPr>
          <w:i/>
        </w:rPr>
        <w:t>Comprehensive aid policy framework</w:t>
      </w:r>
      <w:r w:rsidRPr="00656D5E">
        <w:t xml:space="preserve"> states that by 2015</w:t>
      </w:r>
      <w:r>
        <w:t>–</w:t>
      </w:r>
      <w:r w:rsidRPr="00656D5E">
        <w:t>16, 25</w:t>
      </w:r>
      <w:r>
        <w:t> </w:t>
      </w:r>
      <w:r w:rsidRPr="00656D5E">
        <w:t>per cent of the aid budget will be spent on education assistance and governance initiatives will be integrated into sectoral programs such as health and education.</w:t>
      </w:r>
      <w:r w:rsidRPr="00151B2C">
        <w:rPr>
          <w:rStyle w:val="FootnoteReference"/>
          <w:szCs w:val="24"/>
        </w:rPr>
        <w:footnoteRef/>
      </w:r>
    </w:p>
  </w:footnote>
  <w:footnote w:id="4">
    <w:p w14:paraId="3D8F5780" w14:textId="77777777" w:rsidR="00CD4AF2" w:rsidRDefault="00CD4AF2" w:rsidP="006F6381">
      <w:pPr>
        <w:pStyle w:val="FootnoteText"/>
        <w:ind w:left="426" w:hanging="426"/>
      </w:pPr>
      <w:r>
        <w:rPr>
          <w:rStyle w:val="FootnoteReference"/>
        </w:rPr>
        <w:footnoteRef/>
      </w:r>
      <w:r>
        <w:t xml:space="preserve"> </w:t>
      </w:r>
      <w:r>
        <w:tab/>
        <w:t>These three sectors were chosen as they represent the majority of Australian support for service delivery and represent key basic needs for the poor.</w:t>
      </w:r>
    </w:p>
  </w:footnote>
  <w:footnote w:id="5">
    <w:p w14:paraId="3F1CA882" w14:textId="77777777" w:rsidR="00CD4AF2" w:rsidRDefault="00CD4AF2" w:rsidP="00FC1069">
      <w:pPr>
        <w:pStyle w:val="FootnoteText"/>
        <w:ind w:left="426" w:hanging="426"/>
      </w:pPr>
      <w:r>
        <w:rPr>
          <w:rStyle w:val="FootnoteReference"/>
        </w:rPr>
        <w:footnoteRef/>
      </w:r>
      <w:r>
        <w:t xml:space="preserve"> </w:t>
      </w:r>
      <w:r>
        <w:tab/>
      </w:r>
      <w:r>
        <w:rPr>
          <w:szCs w:val="21"/>
        </w:rPr>
        <w:t xml:space="preserve">Note, these criteria were defined specifically in relation to this evaluation topic and should not be confused with an assessment of ‘program effectiveness’ in terms of results, efficiency of specific initiatives. </w:t>
      </w:r>
    </w:p>
  </w:footnote>
  <w:footnote w:id="6">
    <w:p w14:paraId="4979695B" w14:textId="77777777" w:rsidR="00CD4AF2" w:rsidRDefault="00CD4AF2" w:rsidP="00FC1069">
      <w:pPr>
        <w:pStyle w:val="FootnoteText"/>
        <w:ind w:left="426" w:hanging="426"/>
      </w:pPr>
      <w:r>
        <w:rPr>
          <w:rStyle w:val="FootnoteReference"/>
        </w:rPr>
        <w:footnoteRef/>
      </w:r>
      <w:r>
        <w:t xml:space="preserve"> </w:t>
      </w:r>
      <w:r>
        <w:tab/>
        <w:t>This criterion does not imply that the Australian aid program should be working at all levels, across all parts of government, or across supply and demand in every initiative or sector. Rather, it means that a balance of engagement would be expected, based on sound analysis (which might include what other donors or other program areas are doing) and realistic expectations of achievable outcomes.</w:t>
      </w:r>
    </w:p>
  </w:footnote>
  <w:footnote w:id="7">
    <w:p w14:paraId="1803BFF9" w14:textId="77777777" w:rsidR="00CD4AF2" w:rsidRDefault="00CD4AF2" w:rsidP="00C959D9">
      <w:pPr>
        <w:pStyle w:val="FootnoteText"/>
        <w:ind w:left="426" w:hanging="426"/>
      </w:pPr>
      <w:r>
        <w:rPr>
          <w:rStyle w:val="FootnoteReference"/>
        </w:rPr>
        <w:footnoteRef/>
      </w:r>
      <w:r>
        <w:t xml:space="preserve"> </w:t>
      </w:r>
      <w:r>
        <w:tab/>
        <w:t>Country strategies from six countries, four thematic strategies, two delivery strategies, policy guidance and a sample of 14 sector designs and 11 sector evaluations. A selection of governance program evaluations and thematic performance frameworks were also reviewed.</w:t>
      </w:r>
    </w:p>
  </w:footnote>
  <w:footnote w:id="8">
    <w:p w14:paraId="51CB91A3" w14:textId="77777777" w:rsidR="00CD4AF2" w:rsidRDefault="00CD4AF2" w:rsidP="00DB6D0E">
      <w:pPr>
        <w:pStyle w:val="FootnoteText"/>
        <w:ind w:left="426" w:hanging="426"/>
      </w:pPr>
      <w:r>
        <w:rPr>
          <w:rStyle w:val="FootnoteReference"/>
        </w:rPr>
        <w:footnoteRef/>
      </w:r>
      <w:r>
        <w:t xml:space="preserve"> </w:t>
      </w:r>
      <w:r>
        <w:tab/>
        <w:t xml:space="preserve">PNG comprises 21 provinces (and 1 autonomous region), 89 districts, and 313 local-level governments. Decentralisation in PNG is defined in the 1995 </w:t>
      </w:r>
      <w:r w:rsidRPr="003E23F3">
        <w:rPr>
          <w:i/>
        </w:rPr>
        <w:t>Organic law on provincial and local level government.</w:t>
      </w:r>
    </w:p>
  </w:footnote>
  <w:footnote w:id="9">
    <w:p w14:paraId="099F024B" w14:textId="77777777" w:rsidR="00CD4AF2" w:rsidRDefault="00CD4AF2" w:rsidP="00DB6D0E">
      <w:pPr>
        <w:pStyle w:val="FootnoteText"/>
        <w:ind w:left="426" w:hanging="426"/>
      </w:pPr>
      <w:r>
        <w:rPr>
          <w:rStyle w:val="FootnoteReference"/>
        </w:rPr>
        <w:footnoteRef/>
      </w:r>
      <w:r>
        <w:t xml:space="preserve"> </w:t>
      </w:r>
      <w:r>
        <w:tab/>
        <w:t>B</w:t>
      </w:r>
      <w:r w:rsidRPr="00AB17E4">
        <w:t xml:space="preserve">ased on the 2007 </w:t>
      </w:r>
      <w:r w:rsidRPr="003E23F3">
        <w:rPr>
          <w:i/>
        </w:rPr>
        <w:t>Provincial Health Authorities Act</w:t>
      </w:r>
      <w:r>
        <w:t xml:space="preserve"> which </w:t>
      </w:r>
      <w:r w:rsidRPr="00BC02CE">
        <w:t>allows establish</w:t>
      </w:r>
      <w:r>
        <w:t>ment of</w:t>
      </w:r>
      <w:r w:rsidRPr="00BC02CE">
        <w:t xml:space="preserve"> a separate authority</w:t>
      </w:r>
      <w:r>
        <w:t>.</w:t>
      </w:r>
    </w:p>
  </w:footnote>
  <w:footnote w:id="10">
    <w:p w14:paraId="3427B630" w14:textId="77777777" w:rsidR="00CD4AF2" w:rsidRDefault="00CD4AF2" w:rsidP="00DB6D0E">
      <w:pPr>
        <w:pStyle w:val="FootnoteText"/>
        <w:ind w:left="426" w:hanging="426"/>
      </w:pPr>
      <w:r>
        <w:rPr>
          <w:rStyle w:val="FootnoteReference"/>
        </w:rPr>
        <w:footnoteRef/>
      </w:r>
      <w:r>
        <w:t xml:space="preserve"> </w:t>
      </w:r>
      <w:r>
        <w:tab/>
        <w:t>(i) Health Sector improvement Program—direct financing; (ii) Health and HIV Implementing Services Provider—technical assistance, grants and research support; (iii) Economic and Public Sector Program—engagement with central agencies on financing, human resources; (iv) Sub-National Program—capacity development in provincial Administration; (v) Health Procurement Program—direct procurement or distribution; (vi) Health Awards Scholarships—health worker training; (vii) Churches Partnership Program—mobilise communities in health-seeking behaviour; (viii) Strongim Pipol Strongim Nesen—grants to communities and civil society organisations for activities and involvement in local-level health planning; (ix) Incentive Fund Program—innovative projects to well-performing organisations. Sources: Milne Bay: Health &amp; HIV Development Agreement Final Draft 2012; Eastern Highland Province, Health service Agreement, 2012; Western Highlands Province, Health &amp; HIV Service Agreement, 2012; Western Province, Health &amp; HIV Service Agreement, 2012.</w:t>
      </w:r>
    </w:p>
  </w:footnote>
  <w:footnote w:id="11">
    <w:p w14:paraId="72851917" w14:textId="77777777" w:rsidR="00CD4AF2" w:rsidRDefault="00CD4AF2" w:rsidP="006F6381">
      <w:pPr>
        <w:pStyle w:val="FootnoteText"/>
        <w:ind w:left="426" w:hanging="426"/>
      </w:pPr>
      <w:r>
        <w:rPr>
          <w:rStyle w:val="FootnoteReference"/>
        </w:rPr>
        <w:footnoteRef/>
      </w:r>
      <w:r>
        <w:t xml:space="preserve"> </w:t>
      </w:r>
      <w:r>
        <w:tab/>
      </w:r>
      <w:r w:rsidRPr="00813F36">
        <w:t>The PHAs were first set up in PNG in late 2011</w:t>
      </w:r>
      <w:r>
        <w:t>;</w:t>
      </w:r>
      <w:r w:rsidRPr="00813F36">
        <w:t xml:space="preserve"> partnership agreements between Australia and priority PHAs were signed in 2012 with support starting from 2013.</w:t>
      </w:r>
    </w:p>
  </w:footnote>
  <w:footnote w:id="12">
    <w:p w14:paraId="0D3B9C5A" w14:textId="77777777" w:rsidR="00CD4AF2" w:rsidRDefault="00CD4AF2" w:rsidP="00C959D9">
      <w:pPr>
        <w:pStyle w:val="FootnoteText"/>
        <w:ind w:left="426" w:hanging="426"/>
      </w:pPr>
      <w:r>
        <w:rPr>
          <w:rStyle w:val="FootnoteReference"/>
        </w:rPr>
        <w:footnoteRef/>
      </w:r>
      <w:r>
        <w:t xml:space="preserve"> </w:t>
      </w:r>
      <w:r>
        <w:tab/>
        <w:t>Supported with salary supplements as incentives for high-quality personnel.</w:t>
      </w:r>
    </w:p>
  </w:footnote>
  <w:footnote w:id="13">
    <w:p w14:paraId="5A57EE39" w14:textId="77777777" w:rsidR="00CD4AF2" w:rsidRDefault="00CD4AF2" w:rsidP="004866AA">
      <w:pPr>
        <w:pStyle w:val="FootnoteText"/>
        <w:ind w:left="426" w:hanging="426"/>
      </w:pPr>
      <w:r>
        <w:rPr>
          <w:rStyle w:val="FootnoteReference"/>
        </w:rPr>
        <w:footnoteRef/>
      </w:r>
      <w:r>
        <w:t xml:space="preserve"> </w:t>
      </w:r>
      <w:r>
        <w:tab/>
        <w:t xml:space="preserve">There is a requirement within the </w:t>
      </w:r>
      <w:r w:rsidRPr="00BB67EB">
        <w:rPr>
          <w:i/>
        </w:rPr>
        <w:t>Prov</w:t>
      </w:r>
      <w:r>
        <w:rPr>
          <w:i/>
        </w:rPr>
        <w:t xml:space="preserve">incial Health Authority Act 2007 </w:t>
      </w:r>
      <w:r>
        <w:t xml:space="preserve">for one of nine PHA board members to be a woman. </w:t>
      </w:r>
    </w:p>
  </w:footnote>
  <w:footnote w:id="14">
    <w:p w14:paraId="336B0863" w14:textId="77777777" w:rsidR="00CD4AF2" w:rsidRDefault="00CD4AF2" w:rsidP="00FC1069">
      <w:pPr>
        <w:pStyle w:val="FootnoteText"/>
        <w:ind w:left="426" w:hanging="426"/>
      </w:pPr>
      <w:r>
        <w:rPr>
          <w:rStyle w:val="FootnoteReference"/>
        </w:rPr>
        <w:footnoteRef/>
      </w:r>
      <w:r>
        <w:t xml:space="preserve"> </w:t>
      </w:r>
      <w:r>
        <w:tab/>
        <w:t xml:space="preserve">In line with the </w:t>
      </w:r>
      <w:r w:rsidRPr="003E23F3">
        <w:rPr>
          <w:i/>
        </w:rPr>
        <w:t>Organic law on provincial and local level government;</w:t>
      </w:r>
      <w:r w:rsidRPr="00FD6EB9">
        <w:t xml:space="preserve"> AusAID</w:t>
      </w:r>
      <w:r>
        <w:t>,</w:t>
      </w:r>
      <w:r w:rsidRPr="00FD6EB9">
        <w:t xml:space="preserve"> </w:t>
      </w:r>
      <w:r w:rsidRPr="003E23F3">
        <w:rPr>
          <w:i/>
        </w:rPr>
        <w:t>Australian support for basic and secondary education 2010–2015</w:t>
      </w:r>
      <w:r>
        <w:t>.</w:t>
      </w:r>
    </w:p>
  </w:footnote>
  <w:footnote w:id="15">
    <w:p w14:paraId="2C2D9602" w14:textId="0E460499" w:rsidR="00CD4AF2" w:rsidRDefault="00CD4AF2" w:rsidP="00FC1069">
      <w:pPr>
        <w:pStyle w:val="FootnoteText"/>
        <w:ind w:left="426" w:hanging="426"/>
      </w:pPr>
      <w:r>
        <w:rPr>
          <w:rStyle w:val="FootnoteReference"/>
        </w:rPr>
        <w:footnoteRef/>
      </w:r>
      <w:r>
        <w:t xml:space="preserve"> </w:t>
      </w:r>
      <w:r>
        <w:tab/>
        <w:t xml:space="preserve">Estimated from: </w:t>
      </w:r>
      <w:r w:rsidRPr="00FD6EB9">
        <w:t>AusAID</w:t>
      </w:r>
      <w:r>
        <w:t>,</w:t>
      </w:r>
      <w:r w:rsidRPr="00FD6EB9">
        <w:t xml:space="preserve"> </w:t>
      </w:r>
      <w:r w:rsidRPr="001E49BC">
        <w:rPr>
          <w:i/>
        </w:rPr>
        <w:t>Australian support for basic and secondary education 2010–15</w:t>
      </w:r>
      <w:r>
        <w:t xml:space="preserve">, </w:t>
      </w:r>
      <w:r w:rsidRPr="00FD6EB9">
        <w:t>2010</w:t>
      </w:r>
      <w:r>
        <w:t xml:space="preserve">, assuming that the proportion of service provision funds that is spent on infrastructure stays at the level it was in 2010, which is about 60 per cent. </w:t>
      </w:r>
    </w:p>
  </w:footnote>
  <w:footnote w:id="16">
    <w:p w14:paraId="28A334D3" w14:textId="77777777" w:rsidR="00CD4AF2" w:rsidRDefault="00CD4AF2" w:rsidP="00C959D9">
      <w:pPr>
        <w:pStyle w:val="FootnoteText"/>
        <w:ind w:left="426" w:hanging="426"/>
      </w:pPr>
      <w:r>
        <w:rPr>
          <w:rStyle w:val="FootnoteReference"/>
        </w:rPr>
        <w:footnoteRef/>
      </w:r>
      <w:r>
        <w:t xml:space="preserve"> </w:t>
      </w:r>
      <w:r>
        <w:tab/>
        <w:t>For example: the National Education Plan 2005–14, the PNG Universal Basic Education Plan 2010–19 and the PNG Development Strategic Plan 2010–30.</w:t>
      </w:r>
    </w:p>
  </w:footnote>
  <w:footnote w:id="17">
    <w:p w14:paraId="6BE08E9C" w14:textId="77777777" w:rsidR="00CD4AF2" w:rsidRDefault="00CD4AF2" w:rsidP="00DB6D0E">
      <w:pPr>
        <w:pStyle w:val="FootnoteText"/>
        <w:ind w:left="426" w:hanging="426"/>
      </w:pPr>
      <w:r>
        <w:rPr>
          <w:rStyle w:val="FootnoteReference"/>
        </w:rPr>
        <w:footnoteRef/>
      </w:r>
      <w:r>
        <w:t xml:space="preserve"> </w:t>
      </w:r>
      <w:r>
        <w:tab/>
      </w:r>
      <w:r w:rsidRPr="00416970">
        <w:t>Co</w:t>
      </w:r>
      <w:r>
        <w:t xml:space="preserve">mmunity Development Scheme, </w:t>
      </w:r>
      <w:r w:rsidRPr="00416970">
        <w:t>Democ</w:t>
      </w:r>
      <w:r>
        <w:t>ratic Transition Program, and</w:t>
      </w:r>
      <w:r w:rsidRPr="00416970">
        <w:t xml:space="preserve"> the Strongim Pipol Strongim Nesen Program</w:t>
      </w:r>
      <w:r>
        <w:t>.</w:t>
      </w:r>
    </w:p>
  </w:footnote>
  <w:footnote w:id="18">
    <w:p w14:paraId="20CBE63E" w14:textId="77777777" w:rsidR="00CD4AF2" w:rsidRDefault="00CD4AF2" w:rsidP="00DB6D0E">
      <w:pPr>
        <w:pStyle w:val="FootnoteText"/>
        <w:ind w:left="426" w:hanging="426"/>
      </w:pPr>
      <w:r>
        <w:rPr>
          <w:rStyle w:val="FootnoteReference"/>
        </w:rPr>
        <w:footnoteRef/>
      </w:r>
      <w:r>
        <w:t xml:space="preserve"> </w:t>
      </w:r>
      <w:r>
        <w:tab/>
        <w:t>Other local stakeholders indicated they did not believe it would last that long, and it is also unrealistic that additions such as water supply and ablution blocks will remain functional without maintenance.</w:t>
      </w:r>
    </w:p>
  </w:footnote>
  <w:footnote w:id="19">
    <w:p w14:paraId="494C9DD5" w14:textId="77777777" w:rsidR="00CD4AF2" w:rsidRDefault="00CD4AF2" w:rsidP="00DB6D0E">
      <w:pPr>
        <w:pStyle w:val="FootnoteText"/>
        <w:ind w:left="426" w:hanging="426"/>
      </w:pPr>
      <w:r>
        <w:rPr>
          <w:rStyle w:val="FootnoteReference"/>
        </w:rPr>
        <w:footnoteRef/>
      </w:r>
      <w:r>
        <w:t xml:space="preserve"> </w:t>
      </w:r>
      <w:r>
        <w:tab/>
        <w:t>Provincial Performance Improvement Initiative.</w:t>
      </w:r>
    </w:p>
  </w:footnote>
  <w:footnote w:id="20">
    <w:p w14:paraId="1B4FCEE5" w14:textId="77777777" w:rsidR="00CD4AF2" w:rsidRDefault="00CD4AF2" w:rsidP="00DB6D0E">
      <w:pPr>
        <w:pStyle w:val="FootnoteText"/>
        <w:ind w:left="426" w:hanging="426"/>
      </w:pPr>
      <w:r>
        <w:rPr>
          <w:rStyle w:val="FootnoteReference"/>
        </w:rPr>
        <w:footnoteRef/>
      </w:r>
      <w:r>
        <w:t xml:space="preserve"> </w:t>
      </w:r>
      <w:r>
        <w:tab/>
      </w:r>
      <w:r w:rsidRPr="007021A6">
        <w:t>Namely</w:t>
      </w:r>
      <w:r>
        <w:t>,</w:t>
      </w:r>
      <w:r w:rsidRPr="007021A6">
        <w:t xml:space="preserve"> </w:t>
      </w:r>
      <w:r>
        <w:t xml:space="preserve">Region 6 (Western Visayas), </w:t>
      </w:r>
      <w:r w:rsidRPr="007021A6">
        <w:t xml:space="preserve">Region 7 (Central Visayas), </w:t>
      </w:r>
      <w:r>
        <w:t>Region 8 (Eastern Visayas).</w:t>
      </w:r>
    </w:p>
  </w:footnote>
  <w:footnote w:id="21">
    <w:p w14:paraId="5FC0EADA" w14:textId="77777777" w:rsidR="00CD4AF2" w:rsidRPr="005140F5" w:rsidRDefault="00CD4AF2" w:rsidP="00DB6D0E">
      <w:pPr>
        <w:tabs>
          <w:tab w:val="left" w:pos="284"/>
        </w:tabs>
        <w:spacing w:before="0" w:after="0"/>
        <w:ind w:left="426" w:hanging="426"/>
        <w:rPr>
          <w:rFonts w:cs="Cambria"/>
          <w:color w:val="F0985D"/>
          <w:sz w:val="16"/>
          <w:szCs w:val="16"/>
        </w:rPr>
      </w:pPr>
      <w:r w:rsidRPr="005140F5">
        <w:rPr>
          <w:rStyle w:val="FootnoteReference"/>
          <w:rFonts w:cs="Cambria"/>
          <w:sz w:val="16"/>
          <w:szCs w:val="16"/>
        </w:rPr>
        <w:footnoteRef/>
      </w:r>
      <w:r w:rsidRPr="005140F5">
        <w:rPr>
          <w:rFonts w:cs="Cambria"/>
          <w:sz w:val="16"/>
          <w:szCs w:val="16"/>
        </w:rPr>
        <w:t xml:space="preserve"> </w:t>
      </w:r>
      <w:r>
        <w:rPr>
          <w:rFonts w:cs="Cambria"/>
          <w:sz w:val="16"/>
          <w:szCs w:val="16"/>
        </w:rPr>
        <w:tab/>
      </w:r>
      <w:r>
        <w:rPr>
          <w:rFonts w:cs="Cambria"/>
          <w:sz w:val="16"/>
          <w:szCs w:val="16"/>
        </w:rPr>
        <w:tab/>
      </w:r>
      <w:r w:rsidRPr="00C615DC">
        <w:rPr>
          <w:rFonts w:cs="Cambria"/>
          <w:sz w:val="17"/>
          <w:szCs w:val="17"/>
        </w:rPr>
        <w:t>Namely</w:t>
      </w:r>
      <w:r>
        <w:rPr>
          <w:rFonts w:cs="Cambria"/>
          <w:sz w:val="17"/>
          <w:szCs w:val="17"/>
        </w:rPr>
        <w:t>,</w:t>
      </w:r>
      <w:r w:rsidRPr="00C615DC">
        <w:rPr>
          <w:rFonts w:cs="Cambria"/>
          <w:sz w:val="17"/>
          <w:szCs w:val="17"/>
        </w:rPr>
        <w:t xml:space="preserve"> Negros OccidentalBohol, Tagbilaran, and Northern Samar; AusAID, </w:t>
      </w:r>
      <w:r w:rsidRPr="00C615DC">
        <w:rPr>
          <w:rFonts w:cs="Cambria"/>
          <w:i/>
          <w:sz w:val="17"/>
          <w:szCs w:val="17"/>
        </w:rPr>
        <w:t>STRIVE quality at implementation report,</w:t>
      </w:r>
      <w:r w:rsidRPr="00C615DC">
        <w:rPr>
          <w:rFonts w:cs="Cambria"/>
          <w:sz w:val="17"/>
          <w:szCs w:val="17"/>
        </w:rPr>
        <w:t xml:space="preserve"> 2010.</w:t>
      </w:r>
    </w:p>
  </w:footnote>
  <w:footnote w:id="22">
    <w:p w14:paraId="06FE87DD" w14:textId="77777777" w:rsidR="00CD4AF2" w:rsidRPr="005140F5" w:rsidRDefault="00CD4AF2" w:rsidP="00DB6D0E">
      <w:pPr>
        <w:pStyle w:val="FootnoteText"/>
        <w:ind w:left="426" w:hanging="426"/>
        <w:rPr>
          <w:rFonts w:cs="Cambria"/>
          <w:szCs w:val="16"/>
        </w:rPr>
      </w:pPr>
      <w:r w:rsidRPr="005140F5">
        <w:rPr>
          <w:rStyle w:val="FootnoteReference"/>
          <w:rFonts w:cs="Cambria"/>
          <w:szCs w:val="16"/>
        </w:rPr>
        <w:footnoteRef/>
      </w:r>
      <w:r w:rsidRPr="005140F5">
        <w:rPr>
          <w:rFonts w:cs="Cambria"/>
          <w:szCs w:val="16"/>
        </w:rPr>
        <w:t xml:space="preserve"> </w:t>
      </w:r>
      <w:r>
        <w:rPr>
          <w:rFonts w:cs="Cambria"/>
          <w:szCs w:val="16"/>
        </w:rPr>
        <w:tab/>
      </w:r>
      <w:r w:rsidRPr="005140F5">
        <w:rPr>
          <w:rFonts w:cs="Cambria"/>
          <w:szCs w:val="16"/>
        </w:rPr>
        <w:t>Quality at implementation reports scored sustainability as 4/6 (2007), 5/6 (2008), 5/6 (2009), 4/6 (2010)</w:t>
      </w:r>
      <w:r>
        <w:rPr>
          <w:rFonts w:cs="Cambria"/>
          <w:szCs w:val="16"/>
        </w:rPr>
        <w:t>.</w:t>
      </w:r>
    </w:p>
  </w:footnote>
  <w:footnote w:id="23">
    <w:p w14:paraId="6DAED484" w14:textId="77777777" w:rsidR="00CD4AF2" w:rsidRDefault="00CD4AF2" w:rsidP="003D3293">
      <w:pPr>
        <w:pStyle w:val="FootnoteText"/>
        <w:ind w:left="426" w:hanging="426"/>
      </w:pPr>
      <w:r>
        <w:rPr>
          <w:rStyle w:val="FootnoteReference"/>
        </w:rPr>
        <w:footnoteRef/>
      </w:r>
      <w:r>
        <w:t xml:space="preserve"> </w:t>
      </w:r>
      <w:r>
        <w:tab/>
        <w:t>First in 1999 (</w:t>
      </w:r>
      <w:r w:rsidRPr="00BD546E">
        <w:t>Law 22 of 1999 on regional autonomy and law 25 of 1999 on fiscal balance.</w:t>
      </w:r>
      <w:r>
        <w:t>) and later in 2004 (</w:t>
      </w:r>
      <w:r w:rsidRPr="00BD546E">
        <w:t>Law 33 of 2004 and Law 33 of 2004 revis</w:t>
      </w:r>
      <w:r>
        <w:t>ing laws 22 and 25 respectively).</w:t>
      </w:r>
    </w:p>
  </w:footnote>
  <w:footnote w:id="24">
    <w:p w14:paraId="671BC4BC" w14:textId="77777777" w:rsidR="00CD4AF2" w:rsidRDefault="00CD4AF2" w:rsidP="003D3293">
      <w:pPr>
        <w:pStyle w:val="FootnoteText"/>
        <w:ind w:left="426" w:hanging="426"/>
      </w:pPr>
      <w:r>
        <w:rPr>
          <w:rStyle w:val="FootnoteReference"/>
        </w:rPr>
        <w:footnoteRef/>
      </w:r>
      <w:r>
        <w:t xml:space="preserve"> </w:t>
      </w:r>
      <w:r>
        <w:tab/>
        <w:t>MoPW reported goals to reach the Millennium Development Goal target of 67.87 per cent access to water supply.</w:t>
      </w:r>
    </w:p>
  </w:footnote>
  <w:footnote w:id="25">
    <w:p w14:paraId="2F575902" w14:textId="702E7969" w:rsidR="00CD4AF2" w:rsidRDefault="00CD4AF2" w:rsidP="003D3293">
      <w:pPr>
        <w:pStyle w:val="FootnoteText"/>
        <w:ind w:left="426" w:hanging="426"/>
      </w:pPr>
      <w:r>
        <w:rPr>
          <w:rStyle w:val="FootnoteReference"/>
        </w:rPr>
        <w:footnoteRef/>
      </w:r>
      <w:r>
        <w:t xml:space="preserve"> </w:t>
      </w:r>
      <w:r>
        <w:tab/>
        <w:t>‘Hibah’ means ‘grant.’</w:t>
      </w:r>
    </w:p>
  </w:footnote>
  <w:footnote w:id="26">
    <w:p w14:paraId="44FE6D1B" w14:textId="77777777" w:rsidR="00CD4AF2" w:rsidRDefault="00CD4AF2" w:rsidP="00DB6D0E">
      <w:pPr>
        <w:pStyle w:val="FootnoteText"/>
        <w:ind w:left="426" w:hanging="426"/>
      </w:pPr>
      <w:r>
        <w:rPr>
          <w:rStyle w:val="FootnoteReference"/>
        </w:rPr>
        <w:footnoteRef/>
      </w:r>
      <w:r>
        <w:t xml:space="preserve"> </w:t>
      </w:r>
      <w:r>
        <w:tab/>
      </w:r>
      <w:r w:rsidRPr="003E23F3">
        <w:t>Quality at implementation</w:t>
      </w:r>
      <w:r w:rsidRPr="00436C7E">
        <w:rPr>
          <w:i/>
        </w:rPr>
        <w:t xml:space="preserve"> </w:t>
      </w:r>
      <w:r>
        <w:t>scores for 2011, 2012 and 2013 for ‘relevance’ were 5/6, 6/6 and 6/6 respectively, supporting this recognition.</w:t>
      </w:r>
    </w:p>
  </w:footnote>
  <w:footnote w:id="27">
    <w:p w14:paraId="6FAC744E" w14:textId="77777777" w:rsidR="00CD4AF2" w:rsidRDefault="00CD4AF2" w:rsidP="00DB6D0E">
      <w:pPr>
        <w:pStyle w:val="FootnoteText"/>
        <w:ind w:left="426" w:hanging="426"/>
      </w:pPr>
      <w:r>
        <w:rPr>
          <w:rStyle w:val="FootnoteReference"/>
        </w:rPr>
        <w:footnoteRef/>
      </w:r>
      <w:r>
        <w:t xml:space="preserve"> </w:t>
      </w:r>
      <w:r>
        <w:tab/>
        <w:t>There were 39 local governments in Phase 1 and 95 in Phase 2.</w:t>
      </w:r>
    </w:p>
  </w:footnote>
  <w:footnote w:id="28">
    <w:p w14:paraId="1F39F6FC" w14:textId="77777777" w:rsidR="00CD4AF2" w:rsidRDefault="00CD4AF2" w:rsidP="000447E7">
      <w:pPr>
        <w:pStyle w:val="FootnoteText"/>
        <w:ind w:left="426" w:hanging="426"/>
      </w:pPr>
      <w:r>
        <w:rPr>
          <w:rStyle w:val="FootnoteReference"/>
        </w:rPr>
        <w:footnoteRef/>
      </w:r>
      <w:r>
        <w:t xml:space="preserve"> </w:t>
      </w:r>
      <w:r>
        <w:tab/>
        <w:t>Aid program staff confirmed appointment of an adviser within MoHA who is not dedicated to the hibah, but concerned with a new sanitation grant program. The adviser is expected to contribute to institutional and regulatory initiatives for sanitation services delivered by local governments (personal communication).</w:t>
      </w:r>
    </w:p>
  </w:footnote>
  <w:footnote w:id="29">
    <w:p w14:paraId="27A9764D" w14:textId="77777777" w:rsidR="00CD4AF2" w:rsidRDefault="00CD4AF2" w:rsidP="003D3293">
      <w:pPr>
        <w:pStyle w:val="FootnoteText"/>
        <w:ind w:left="426" w:hanging="426"/>
      </w:pPr>
      <w:r>
        <w:rPr>
          <w:rStyle w:val="FootnoteReference"/>
        </w:rPr>
        <w:footnoteRef/>
      </w:r>
      <w:r>
        <w:t xml:space="preserve"> </w:t>
      </w:r>
      <w:r>
        <w:tab/>
        <w:t>This</w:t>
      </w:r>
      <w:r w:rsidRPr="00042231">
        <w:t xml:space="preserve"> examines whether households stay connected and pay for their connection for three months</w:t>
      </w:r>
      <w:r>
        <w:t>.</w:t>
      </w:r>
    </w:p>
  </w:footnote>
  <w:footnote w:id="30">
    <w:p w14:paraId="2B2C28DD" w14:textId="77777777" w:rsidR="00CD4AF2" w:rsidRDefault="00CD4AF2" w:rsidP="003D3293">
      <w:pPr>
        <w:pStyle w:val="FootnoteText"/>
        <w:ind w:left="426" w:hanging="426"/>
      </w:pPr>
      <w:r>
        <w:rPr>
          <w:rStyle w:val="FootnoteReference"/>
        </w:rPr>
        <w:footnoteRef/>
      </w:r>
      <w:r>
        <w:t xml:space="preserve"> </w:t>
      </w:r>
      <w:r>
        <w:tab/>
        <w:t xml:space="preserve">Other smaller Australian aid initiatives in </w:t>
      </w:r>
      <w:r w:rsidRPr="00FC1069">
        <w:t>Nusa Tenggara Barat</w:t>
      </w:r>
      <w:r w:rsidDel="00C338D5">
        <w:t xml:space="preserve"> </w:t>
      </w:r>
      <w:r>
        <w:t>and Nusa Tengarra Timur provinces</w:t>
      </w:r>
      <w:r w:rsidDel="00C338D5">
        <w:t xml:space="preserve"> </w:t>
      </w:r>
      <w:r>
        <w:t>do address these areas.</w:t>
      </w:r>
    </w:p>
  </w:footnote>
  <w:footnote w:id="31">
    <w:p w14:paraId="5828654C" w14:textId="77777777" w:rsidR="00CD4AF2" w:rsidRDefault="00CD4AF2" w:rsidP="00FC1069">
      <w:pPr>
        <w:pStyle w:val="FootnoteText"/>
        <w:ind w:left="426" w:hanging="426"/>
      </w:pPr>
      <w:r>
        <w:rPr>
          <w:rStyle w:val="FootnoteReference"/>
        </w:rPr>
        <w:footnoteRef/>
      </w:r>
      <w:r>
        <w:t xml:space="preserve"> </w:t>
      </w:r>
      <w:r>
        <w:tab/>
        <w:t>Through three quality at implementation</w:t>
      </w:r>
      <w:r w:rsidRPr="005B5CD1">
        <w:t xml:space="preserve"> </w:t>
      </w:r>
      <w:r>
        <w:t>reports (scoring 4/6, 4/6 and 5/6 for 2011, 2012 and 2013) and through the independent evaluation (judged as ‘</w:t>
      </w:r>
      <w:r w:rsidRPr="003E23F3">
        <w:rPr>
          <w:i/>
        </w:rPr>
        <w:t>good’</w:t>
      </w:r>
      <w:r>
        <w:t xml:space="preserve">; </w:t>
      </w:r>
      <w:r w:rsidRPr="00647561">
        <w:t>AusAID</w:t>
      </w:r>
      <w:r>
        <w:t>,</w:t>
      </w:r>
      <w:r w:rsidRPr="00647561">
        <w:t xml:space="preserve"> </w:t>
      </w:r>
      <w:r w:rsidRPr="00436C7E">
        <w:rPr>
          <w:i/>
        </w:rPr>
        <w:t>Independent evaluation of the Hibah Program Indonesia,</w:t>
      </w:r>
      <w:r>
        <w:t xml:space="preserve"> </w:t>
      </w:r>
      <w:r w:rsidRPr="00647561">
        <w:t>2011</w:t>
      </w:r>
      <w:r>
        <w:t>.</w:t>
      </w:r>
    </w:p>
  </w:footnote>
  <w:footnote w:id="32">
    <w:p w14:paraId="20C30B99" w14:textId="77777777" w:rsidR="00CD4AF2" w:rsidRDefault="00CD4AF2" w:rsidP="00FC1069">
      <w:pPr>
        <w:pStyle w:val="FootnoteText"/>
        <w:ind w:left="426" w:hanging="426"/>
      </w:pPr>
      <w:r>
        <w:rPr>
          <w:rStyle w:val="FootnoteReference"/>
        </w:rPr>
        <w:footnoteRef/>
      </w:r>
      <w:r>
        <w:t xml:space="preserve"> </w:t>
      </w:r>
      <w:r>
        <w:tab/>
        <w:t xml:space="preserve">The concept note for Phase 2 gives the clearest definition: </w:t>
      </w:r>
      <w:r>
        <w:rPr>
          <w:i/>
        </w:rPr>
        <w:t>‘</w:t>
      </w:r>
      <w:r w:rsidRPr="003E23F3">
        <w:rPr>
          <w:i/>
        </w:rPr>
        <w:t xml:space="preserve">The utilities must ensure that the expansion results in connections to low income households, 50% of which are classified as poor. Low income household in the hibah program have been defined as households with an electricity connection &lt;1.3KVA whilst poor households are those with an electricity connection &lt;0.9 KVA’; </w:t>
      </w:r>
      <w:r w:rsidRPr="00B85232">
        <w:t>AusAID</w:t>
      </w:r>
      <w:r>
        <w:t>,</w:t>
      </w:r>
      <w:r w:rsidRPr="00B85232">
        <w:t xml:space="preserve"> </w:t>
      </w:r>
      <w:r w:rsidRPr="00436C7E">
        <w:rPr>
          <w:i/>
        </w:rPr>
        <w:t xml:space="preserve">Concept peer review for Australia-Indonesia Infrastructure grants for sanitation, water hibah and sanitation hibah, </w:t>
      </w:r>
      <w:r w:rsidRPr="00B85232">
        <w:t>2011</w:t>
      </w:r>
      <w:r>
        <w:t>, pp.23–24.</w:t>
      </w:r>
    </w:p>
  </w:footnote>
  <w:footnote w:id="33">
    <w:p w14:paraId="75A0B123" w14:textId="77777777" w:rsidR="00CD4AF2" w:rsidRDefault="00CD4AF2" w:rsidP="00DB6D0E">
      <w:pPr>
        <w:pStyle w:val="FootnoteText"/>
        <w:ind w:left="426" w:hanging="426"/>
      </w:pPr>
      <w:r>
        <w:rPr>
          <w:rStyle w:val="FootnoteReference"/>
        </w:rPr>
        <w:footnoteRef/>
      </w:r>
      <w:r>
        <w:t xml:space="preserve"> </w:t>
      </w:r>
      <w:r>
        <w:tab/>
        <w:t>Originally, the PRMF w</w:t>
      </w:r>
      <w:r w:rsidRPr="00583074">
        <w:t xml:space="preserve">as managed by a Facility Managing Contractor </w:t>
      </w:r>
      <w:r>
        <w:t>that reported</w:t>
      </w:r>
      <w:r w:rsidRPr="003478B4">
        <w:t xml:space="preserve"> to a Project Steering committee comprised of AusAID and DILG</w:t>
      </w:r>
      <w:r>
        <w:t>. However, due to implementation issues identified in the 2012 independent review, the original contract was suspended</w:t>
      </w:r>
      <w:r w:rsidRPr="003478B4">
        <w:t xml:space="preserve"> in</w:t>
      </w:r>
      <w:r>
        <w:t xml:space="preserve"> late 2012, and the program came under direct AusAID management on 1 October 2012 while a new facility manager was procured.</w:t>
      </w:r>
      <w:r>
        <w:rPr>
          <w:rStyle w:val="FootnoteReference"/>
          <w:bCs/>
          <w:sz w:val="22"/>
          <w:szCs w:val="22"/>
        </w:rPr>
        <w:t xml:space="preserve"> </w:t>
      </w:r>
      <w:r w:rsidRPr="005140F5">
        <w:rPr>
          <w:bCs/>
          <w:szCs w:val="21"/>
        </w:rPr>
        <w:t>On 1 October 2013, AusAID formally ended its direct management and handed over day-to-day responsibilities to a new Support Contractor</w:t>
      </w:r>
      <w:r>
        <w:rPr>
          <w:bCs/>
          <w:szCs w:val="21"/>
        </w:rPr>
        <w:t>.</w:t>
      </w:r>
    </w:p>
  </w:footnote>
  <w:footnote w:id="34">
    <w:p w14:paraId="30B893A3" w14:textId="77777777" w:rsidR="00CD4AF2" w:rsidRDefault="00CD4AF2" w:rsidP="00DB6D0E">
      <w:pPr>
        <w:pStyle w:val="FootnoteText"/>
        <w:ind w:left="426" w:hanging="426"/>
      </w:pPr>
      <w:r>
        <w:rPr>
          <w:rStyle w:val="FootnoteReference"/>
        </w:rPr>
        <w:footnoteRef/>
      </w:r>
      <w:r>
        <w:t xml:space="preserve"> </w:t>
      </w:r>
      <w:r>
        <w:tab/>
        <w:t xml:space="preserve">It scored well in the quality at implementation report for ‘analysis and lessons’ (5/6); </w:t>
      </w:r>
      <w:r w:rsidRPr="00436C7E">
        <w:t>Australian Agency for International Development,</w:t>
      </w:r>
      <w:r w:rsidRPr="0032788A">
        <w:rPr>
          <w:sz w:val="16"/>
          <w:szCs w:val="14"/>
        </w:rPr>
        <w:t xml:space="preserve"> </w:t>
      </w:r>
      <w:r w:rsidRPr="00436C7E">
        <w:rPr>
          <w:rFonts w:cs="Cambria"/>
          <w:i/>
          <w:sz w:val="16"/>
          <w:szCs w:val="16"/>
        </w:rPr>
        <w:t xml:space="preserve">Quality at implementation report PRMF, </w:t>
      </w:r>
      <w:r w:rsidRPr="003E23F3">
        <w:rPr>
          <w:rFonts w:cs="Cambria"/>
          <w:sz w:val="16"/>
          <w:szCs w:val="16"/>
        </w:rPr>
        <w:t>AusAID, Canberra,</w:t>
      </w:r>
      <w:r>
        <w:rPr>
          <w:rFonts w:cs="Cambria"/>
          <w:sz w:val="16"/>
          <w:szCs w:val="16"/>
        </w:rPr>
        <w:t xml:space="preserve"> </w:t>
      </w:r>
      <w:r w:rsidRPr="005140F5">
        <w:rPr>
          <w:rFonts w:cs="Cambria"/>
          <w:szCs w:val="16"/>
        </w:rPr>
        <w:t>2008</w:t>
      </w:r>
      <w:r>
        <w:rPr>
          <w:rFonts w:cs="Cambria"/>
          <w:szCs w:val="16"/>
        </w:rPr>
        <w:t>.</w:t>
      </w:r>
    </w:p>
  </w:footnote>
  <w:footnote w:id="35">
    <w:p w14:paraId="34049AE0" w14:textId="77777777" w:rsidR="00CD4AF2" w:rsidRDefault="00CD4AF2" w:rsidP="00FC1069">
      <w:pPr>
        <w:pStyle w:val="FootnoteText"/>
        <w:ind w:left="426" w:hanging="426"/>
      </w:pPr>
      <w:r>
        <w:rPr>
          <w:rStyle w:val="FootnoteReference"/>
        </w:rPr>
        <w:footnoteRef/>
      </w:r>
      <w:r>
        <w:t xml:space="preserve"> </w:t>
      </w:r>
      <w:r>
        <w:tab/>
        <w:t>‘</w:t>
      </w:r>
      <w:r w:rsidRPr="002352B1">
        <w:rPr>
          <w:i/>
        </w:rPr>
        <w:t>Gender issues remain to be embedded in the initiatives of the TWG which are: (1) gender equality at the implementation level; (2) gender concerns in the reform process and monitoring; (3) the effectiveness in promoting gendered equitable access and quality basic education to Muslims and IPs in remote areas; (4) who is the responsible person identified to facilitate and monitor process of gender mainstreaming; (5) the efficacy in budgeting for access and quality with focus on pro-poor budgeting whereby gender concerns are taken into consideration</w:t>
      </w:r>
      <w:r>
        <w:rPr>
          <w:i/>
        </w:rPr>
        <w:t>.</w:t>
      </w:r>
      <w:r>
        <w:t>’; (p15).</w:t>
      </w:r>
    </w:p>
  </w:footnote>
  <w:footnote w:id="36">
    <w:p w14:paraId="2FB641DE" w14:textId="77777777" w:rsidR="00CD4AF2" w:rsidRDefault="00CD4AF2" w:rsidP="00FC1069">
      <w:pPr>
        <w:pStyle w:val="FootnoteText"/>
        <w:ind w:left="426" w:hanging="426"/>
      </w:pPr>
      <w:r>
        <w:rPr>
          <w:rStyle w:val="FootnoteReference"/>
        </w:rPr>
        <w:footnoteRef/>
      </w:r>
      <w:r>
        <w:t xml:space="preserve"> </w:t>
      </w:r>
      <w:r>
        <w:tab/>
        <w:t xml:space="preserve">Pillar 1a: Delivering better services through improved government efficiency and effectiveness and Pillar 1b: Delivering services through more accountable, open and responsive governments; </w:t>
      </w:r>
      <w:r w:rsidRPr="00436C7E">
        <w:t>Australian Agency for International Development</w:t>
      </w:r>
      <w:r w:rsidRPr="005140F5">
        <w:rPr>
          <w:rFonts w:cs="Cambria"/>
          <w:sz w:val="16"/>
          <w:szCs w:val="16"/>
        </w:rPr>
        <w:t>,</w:t>
      </w:r>
      <w:r w:rsidRPr="00436C7E">
        <w:rPr>
          <w:rFonts w:cs="Cambria"/>
          <w:i/>
          <w:sz w:val="16"/>
          <w:szCs w:val="16"/>
        </w:rPr>
        <w:t xml:space="preserve"> </w:t>
      </w:r>
      <w:r w:rsidRPr="00436C7E">
        <w:rPr>
          <w:i/>
        </w:rPr>
        <w:t>Effective governance thematic strategy,</w:t>
      </w:r>
      <w:r>
        <w:t xml:space="preserve"> AusAID, Canberra, 2011.</w:t>
      </w:r>
    </w:p>
  </w:footnote>
  <w:footnote w:id="37">
    <w:p w14:paraId="7E09A7DA" w14:textId="6C2C8A7D" w:rsidR="00CD4AF2" w:rsidRDefault="00CD4AF2" w:rsidP="00560B6D">
      <w:pPr>
        <w:pStyle w:val="FootnoteText"/>
        <w:ind w:left="426" w:hanging="426"/>
      </w:pPr>
      <w:r>
        <w:rPr>
          <w:rStyle w:val="FootnoteReference"/>
        </w:rPr>
        <w:footnoteRef/>
      </w:r>
      <w:r>
        <w:t xml:space="preserve"> </w:t>
      </w:r>
      <w:r>
        <w:tab/>
        <w:t>However, the nature of PNG documents (Partnership agreement and accompanying schedules) limits analysis.</w:t>
      </w:r>
    </w:p>
  </w:footnote>
  <w:footnote w:id="38">
    <w:p w14:paraId="53795DF7" w14:textId="77777777" w:rsidR="00CD4AF2" w:rsidRDefault="00CD4AF2" w:rsidP="00560B6D">
      <w:pPr>
        <w:pStyle w:val="FootnoteText"/>
        <w:ind w:left="426" w:hanging="426"/>
      </w:pPr>
      <w:r>
        <w:rPr>
          <w:rStyle w:val="FootnoteReference"/>
        </w:rPr>
        <w:footnoteRef/>
      </w:r>
      <w:r>
        <w:t xml:space="preserve"> </w:t>
      </w:r>
      <w:r>
        <w:tab/>
        <w:t>The previous country program strategy 2006–10 contained clear recognition of the decentralised system of government with a pillar devoted to improved service delivery and stability, including strengthening decentralised service delivery.</w:t>
      </w:r>
    </w:p>
  </w:footnote>
  <w:footnote w:id="39">
    <w:p w14:paraId="7216ABA9" w14:textId="77777777" w:rsidR="00CD4AF2" w:rsidRDefault="00CD4AF2" w:rsidP="00DB6D0E">
      <w:pPr>
        <w:pStyle w:val="FootnoteText"/>
        <w:ind w:left="426" w:hanging="426"/>
      </w:pPr>
      <w:r>
        <w:rPr>
          <w:rStyle w:val="FootnoteReference"/>
        </w:rPr>
        <w:footnoteRef/>
      </w:r>
      <w:r>
        <w:t xml:space="preserve"> </w:t>
      </w:r>
      <w:r>
        <w:tab/>
        <w:t>In PNG, this was a little unclear, and this is probably due to the status of the country strategy and partnership agreement.</w:t>
      </w:r>
    </w:p>
  </w:footnote>
  <w:footnote w:id="40">
    <w:p w14:paraId="6AC477EA" w14:textId="61DFCB7B" w:rsidR="00CD4AF2" w:rsidRDefault="00CD4AF2" w:rsidP="00DB6D0E">
      <w:pPr>
        <w:pStyle w:val="FootnoteText"/>
        <w:ind w:left="426" w:hanging="426"/>
      </w:pPr>
      <w:r>
        <w:rPr>
          <w:rStyle w:val="FootnoteReference"/>
        </w:rPr>
        <w:footnoteRef/>
      </w:r>
      <w:r>
        <w:t xml:space="preserve"> </w:t>
      </w:r>
      <w:r>
        <w:tab/>
      </w:r>
      <w:r w:rsidRPr="00B93297">
        <w:t xml:space="preserve">An internal review of the aid architecture found that sequencing can be a challenge and there </w:t>
      </w:r>
      <w:r>
        <w:t>‘</w:t>
      </w:r>
      <w:r w:rsidRPr="003E23F3">
        <w:rPr>
          <w:i/>
        </w:rPr>
        <w:t>has been a tendency for some strategies to justify existing investments rather than guiding future decisions</w:t>
      </w:r>
      <w:r>
        <w:rPr>
          <w:i/>
        </w:rPr>
        <w:t xml:space="preserve">.’ </w:t>
      </w:r>
      <w:r w:rsidRPr="00B93297">
        <w:t xml:space="preserve">It is argued that strategies can </w:t>
      </w:r>
      <w:r w:rsidRPr="003E23F3">
        <w:rPr>
          <w:i/>
        </w:rPr>
        <w:t>‘acknowledge the programming that is already fixed, while outlining where new spending will be targeted</w:t>
      </w:r>
      <w:r>
        <w:rPr>
          <w:i/>
        </w:rPr>
        <w:t xml:space="preserve">.’ </w:t>
      </w:r>
      <w:r w:rsidRPr="00B93297">
        <w:t>Further, they argue that programs need to implement the architecture ASAP and have strategies in place before making new investment decisions</w:t>
      </w:r>
      <w:r>
        <w:t xml:space="preserve">; </w:t>
      </w:r>
      <w:r w:rsidRPr="00436C7E">
        <w:t>Australian Agency for International Development</w:t>
      </w:r>
      <w:r w:rsidRPr="005140F5">
        <w:rPr>
          <w:rFonts w:cs="Cambria"/>
          <w:sz w:val="16"/>
          <w:szCs w:val="16"/>
        </w:rPr>
        <w:t>,</w:t>
      </w:r>
      <w:r>
        <w:t xml:space="preserve"> Rapid assessment of AusAID’s strategic programming architecture</w:t>
      </w:r>
      <w:r w:rsidRPr="00451A2B">
        <w:t xml:space="preserve"> </w:t>
      </w:r>
      <w:r>
        <w:t>(</w:t>
      </w:r>
      <w:r w:rsidRPr="00B93297">
        <w:t>unpublished)</w:t>
      </w:r>
      <w:r>
        <w:t xml:space="preserve">, AusAID, Canberra, </w:t>
      </w:r>
      <w:r w:rsidRPr="00451A2B">
        <w:t>2013</w:t>
      </w:r>
      <w:r>
        <w:t>.</w:t>
      </w:r>
    </w:p>
  </w:footnote>
  <w:footnote w:id="41">
    <w:p w14:paraId="0E39403A" w14:textId="0878E7A0" w:rsidR="00CD4AF2" w:rsidRDefault="00CD4AF2" w:rsidP="00F100ED">
      <w:pPr>
        <w:pStyle w:val="FootnoteText"/>
      </w:pPr>
    </w:p>
  </w:footnote>
  <w:footnote w:id="42">
    <w:p w14:paraId="45619A0E" w14:textId="77777777" w:rsidR="00CD4AF2" w:rsidRDefault="00CD4AF2" w:rsidP="00397AD9">
      <w:pPr>
        <w:pStyle w:val="FootnoteText"/>
        <w:ind w:left="426" w:hanging="426"/>
      </w:pPr>
      <w:r>
        <w:rPr>
          <w:rStyle w:val="FootnoteReference"/>
        </w:rPr>
        <w:footnoteRef/>
      </w:r>
      <w:r>
        <w:t xml:space="preserve"> </w:t>
      </w:r>
      <w:r>
        <w:tab/>
        <w:t>However, the health strategy did discuss issues within health service delivery that are primarily the result of the decentralisation.</w:t>
      </w:r>
    </w:p>
  </w:footnote>
  <w:footnote w:id="43">
    <w:p w14:paraId="4C5FF2A3" w14:textId="77777777" w:rsidR="00CD4AF2" w:rsidRDefault="00CD4AF2" w:rsidP="00DB6D0E">
      <w:pPr>
        <w:pStyle w:val="FootnoteText"/>
        <w:ind w:left="426" w:hanging="426"/>
      </w:pPr>
      <w:r>
        <w:rPr>
          <w:rStyle w:val="FootnoteReference"/>
        </w:rPr>
        <w:footnoteRef/>
      </w:r>
      <w:r>
        <w:t xml:space="preserve"> </w:t>
      </w:r>
      <w:r>
        <w:tab/>
        <w:t>Undertaken by the PNG National Economic Fiscal Commission.</w:t>
      </w:r>
    </w:p>
  </w:footnote>
  <w:footnote w:id="44">
    <w:p w14:paraId="17EC321B" w14:textId="77777777" w:rsidR="00CD4AF2" w:rsidRDefault="00CD4AF2" w:rsidP="00DB6D0E">
      <w:pPr>
        <w:pStyle w:val="FootnoteText"/>
        <w:ind w:left="426" w:hanging="426"/>
      </w:pPr>
      <w:r>
        <w:rPr>
          <w:rStyle w:val="FootnoteReference"/>
        </w:rPr>
        <w:footnoteRef/>
      </w:r>
      <w:r>
        <w:t xml:space="preserve"> </w:t>
      </w:r>
      <w:r>
        <w:tab/>
        <w:t>In Indonesia (adviser and AIPD), Philippines (advisers), and PNG (provincial representatives and initiative staff).</w:t>
      </w:r>
    </w:p>
  </w:footnote>
  <w:footnote w:id="45">
    <w:p w14:paraId="5B4AF5F2" w14:textId="77777777" w:rsidR="00CD4AF2" w:rsidRDefault="00CD4AF2" w:rsidP="005E1D3D">
      <w:pPr>
        <w:pStyle w:val="FootnoteText"/>
        <w:ind w:left="426" w:hanging="426"/>
      </w:pPr>
      <w:r>
        <w:rPr>
          <w:rStyle w:val="FootnoteReference"/>
        </w:rPr>
        <w:footnoteRef/>
      </w:r>
      <w:r>
        <w:t xml:space="preserve"> </w:t>
      </w:r>
      <w:r>
        <w:tab/>
        <w:t xml:space="preserve">For example, it was reported that </w:t>
      </w:r>
      <w:r w:rsidRPr="005140F5">
        <w:rPr>
          <w:rFonts w:cs="Cambria"/>
        </w:rPr>
        <w:t>the research, policy dialogue and legislative changes generated through our Governance Program’s support to PNG’s National Economic and Fiscal Commission (PNG’s intergovernmental financing agency) has heavily influenced the direction of health program over recent years</w:t>
      </w:r>
      <w:r>
        <w:rPr>
          <w:rFonts w:cs="Cambria"/>
        </w:rPr>
        <w:t>.</w:t>
      </w:r>
    </w:p>
  </w:footnote>
  <w:footnote w:id="46">
    <w:p w14:paraId="65CA3155" w14:textId="77777777" w:rsidR="00CD4AF2" w:rsidRDefault="00CD4AF2" w:rsidP="005E1D3D">
      <w:pPr>
        <w:pStyle w:val="FootnoteText"/>
        <w:ind w:left="426" w:hanging="426"/>
      </w:pPr>
      <w:r>
        <w:rPr>
          <w:rStyle w:val="FootnoteReference"/>
        </w:rPr>
        <w:footnoteRef/>
      </w:r>
      <w:r>
        <w:t xml:space="preserve"> </w:t>
      </w:r>
      <w:r>
        <w:tab/>
        <w:t>Recent reviews highlighted the need for greater coherence and improved delivery approaches in PNG governance programs, (e.g. T Land &amp; F Dobunaba, 2013).</w:t>
      </w:r>
    </w:p>
  </w:footnote>
  <w:footnote w:id="47">
    <w:p w14:paraId="18D383B7" w14:textId="77777777" w:rsidR="00CD4AF2" w:rsidRDefault="00CD4AF2" w:rsidP="005E1D3D">
      <w:pPr>
        <w:pStyle w:val="FootnoteText"/>
        <w:ind w:left="426" w:hanging="426"/>
      </w:pPr>
      <w:r>
        <w:rPr>
          <w:rStyle w:val="FootnoteReference"/>
        </w:rPr>
        <w:footnoteRef/>
      </w:r>
      <w:r>
        <w:t xml:space="preserve"> </w:t>
      </w:r>
      <w:r>
        <w:tab/>
        <w:t xml:space="preserve">The </w:t>
      </w:r>
      <w:r w:rsidRPr="00F205BF">
        <w:t>AusAID policy for Strategic Program Development states</w:t>
      </w:r>
      <w:r>
        <w:t xml:space="preserve"> that ‘</w:t>
      </w:r>
      <w:r w:rsidRPr="003E23F3">
        <w:rPr>
          <w:i/>
        </w:rPr>
        <w:t xml:space="preserve">programming interventions and policy dialogue should be coherent, outcomes focused and recognise/leverage the interdependencies inherent in the program portfolio’ </w:t>
      </w:r>
      <w:r w:rsidRPr="00F205BF">
        <w:t>(</w:t>
      </w:r>
      <w:r>
        <w:t xml:space="preserve">AusAID, </w:t>
      </w:r>
      <w:r w:rsidRPr="003E23F3">
        <w:rPr>
          <w:i/>
        </w:rPr>
        <w:t>AusAID policy: strategic program development,</w:t>
      </w:r>
      <w:r>
        <w:t xml:space="preserve"> 2013, p.3</w:t>
      </w:r>
      <w:r w:rsidRPr="00F205BF">
        <w:t>.</w:t>
      </w:r>
      <w:r>
        <w:t>)</w:t>
      </w:r>
    </w:p>
  </w:footnote>
  <w:footnote w:id="48">
    <w:p w14:paraId="0570C44C" w14:textId="77777777" w:rsidR="00CD4AF2" w:rsidRDefault="00CD4AF2" w:rsidP="005E1D3D">
      <w:pPr>
        <w:pStyle w:val="FootnoteText"/>
        <w:ind w:left="426" w:hanging="426"/>
      </w:pPr>
      <w:r>
        <w:rPr>
          <w:rStyle w:val="FootnoteReference"/>
        </w:rPr>
        <w:footnoteRef/>
      </w:r>
      <w:r>
        <w:t xml:space="preserve"> </w:t>
      </w:r>
      <w:r>
        <w:tab/>
        <w:t xml:space="preserve">The main formal requirements include: country level situational analysis, country/delivery strategies and initiative level designs, performance and quality reporting, reviews and evaluations. </w:t>
      </w:r>
    </w:p>
  </w:footnote>
  <w:footnote w:id="49">
    <w:p w14:paraId="52274FA8" w14:textId="77777777" w:rsidR="00CD4AF2" w:rsidRDefault="00CD4AF2" w:rsidP="00DB6D0E">
      <w:pPr>
        <w:pStyle w:val="FootnoteText"/>
        <w:ind w:left="426" w:hanging="426"/>
      </w:pPr>
      <w:r>
        <w:rPr>
          <w:rStyle w:val="FootnoteReference"/>
        </w:rPr>
        <w:footnoteRef/>
      </w:r>
      <w:r>
        <w:t xml:space="preserve"> </w:t>
      </w:r>
      <w:r>
        <w:tab/>
        <w:t>One staff member suggested a more consistent approach to monitoring of different sectors.</w:t>
      </w:r>
    </w:p>
  </w:footnote>
  <w:footnote w:id="50">
    <w:p w14:paraId="4927B4C6" w14:textId="1C97F7E0" w:rsidR="00CD4AF2" w:rsidRPr="001F00DC" w:rsidRDefault="00CD4AF2" w:rsidP="00DB6D0E">
      <w:pPr>
        <w:pStyle w:val="ListBullet"/>
        <w:numPr>
          <w:ilvl w:val="0"/>
          <w:numId w:val="0"/>
        </w:numPr>
        <w:tabs>
          <w:tab w:val="left" w:pos="284"/>
        </w:tabs>
        <w:spacing w:before="0" w:after="0"/>
        <w:ind w:left="426" w:hanging="426"/>
        <w:rPr>
          <w:sz w:val="16"/>
          <w:szCs w:val="16"/>
        </w:rPr>
      </w:pPr>
      <w:r w:rsidRPr="001F00DC">
        <w:rPr>
          <w:rStyle w:val="FootnoteReference"/>
          <w:sz w:val="16"/>
          <w:szCs w:val="16"/>
        </w:rPr>
        <w:footnoteRef/>
      </w:r>
      <w:r w:rsidRPr="001F00DC">
        <w:rPr>
          <w:sz w:val="16"/>
          <w:szCs w:val="16"/>
        </w:rPr>
        <w:t xml:space="preserve"> </w:t>
      </w:r>
      <w:r>
        <w:rPr>
          <w:sz w:val="16"/>
          <w:szCs w:val="16"/>
        </w:rPr>
        <w:tab/>
      </w:r>
      <w:r>
        <w:rPr>
          <w:sz w:val="16"/>
          <w:szCs w:val="16"/>
        </w:rPr>
        <w:tab/>
      </w:r>
      <w:r w:rsidRPr="00C615DC">
        <w:rPr>
          <w:rFonts w:ascii="Franklin Gothic Book" w:hAnsi="Franklin Gothic Book"/>
          <w:color w:val="auto"/>
          <w:sz w:val="17"/>
          <w:szCs w:val="17"/>
        </w:rPr>
        <w:t>Suggestions for management</w:t>
      </w:r>
      <w:r>
        <w:rPr>
          <w:rFonts w:ascii="Franklin Gothic Book" w:hAnsi="Franklin Gothic Book"/>
          <w:color w:val="auto"/>
          <w:sz w:val="17"/>
          <w:szCs w:val="17"/>
        </w:rPr>
        <w:t xml:space="preserve"> included flexible recruitment and </w:t>
      </w:r>
      <w:r w:rsidRPr="00C615DC">
        <w:rPr>
          <w:rFonts w:ascii="Franklin Gothic Book" w:hAnsi="Franklin Gothic Book"/>
          <w:color w:val="auto"/>
          <w:sz w:val="17"/>
          <w:szCs w:val="17"/>
        </w:rPr>
        <w:t>incentives for staff to work across sector</w:t>
      </w:r>
      <w:r>
        <w:rPr>
          <w:rFonts w:ascii="Franklin Gothic Book" w:hAnsi="Franklin Gothic Book"/>
          <w:color w:val="auto"/>
          <w:sz w:val="17"/>
          <w:szCs w:val="17"/>
        </w:rPr>
        <w:t>s</w:t>
      </w:r>
      <w:r w:rsidRPr="00C615DC">
        <w:rPr>
          <w:rFonts w:ascii="Franklin Gothic Book" w:hAnsi="Franklin Gothic Book"/>
          <w:color w:val="auto"/>
          <w:sz w:val="17"/>
          <w:szCs w:val="17"/>
        </w:rPr>
        <w:t>.</w:t>
      </w:r>
    </w:p>
  </w:footnote>
  <w:footnote w:id="51">
    <w:p w14:paraId="134EFA7B" w14:textId="77777777" w:rsidR="00CD4AF2" w:rsidRDefault="00CD4AF2" w:rsidP="00DB6D0E">
      <w:pPr>
        <w:pStyle w:val="FootnoteText"/>
        <w:ind w:left="426" w:hanging="426"/>
      </w:pPr>
      <w:r>
        <w:rPr>
          <w:rStyle w:val="FootnoteReference"/>
        </w:rPr>
        <w:footnoteRef/>
      </w:r>
      <w:r>
        <w:t xml:space="preserve"> </w:t>
      </w:r>
      <w:r>
        <w:tab/>
        <w:t>Other suggestions included co-location of Australian aid staff as well as with contractors and government, location of Australian aid offices in the provinces, and increased engagement with less developed provinces.</w:t>
      </w:r>
    </w:p>
  </w:footnote>
  <w:footnote w:id="52">
    <w:p w14:paraId="57EBFF66" w14:textId="7BE6A910" w:rsidR="00CD4AF2" w:rsidRPr="003E23F3" w:rsidRDefault="00CD4AF2" w:rsidP="00DB6D0E">
      <w:pPr>
        <w:pStyle w:val="ListBullet"/>
        <w:numPr>
          <w:ilvl w:val="0"/>
          <w:numId w:val="0"/>
        </w:numPr>
        <w:tabs>
          <w:tab w:val="left" w:pos="284"/>
        </w:tabs>
        <w:spacing w:before="0" w:after="0"/>
        <w:ind w:left="426" w:hanging="426"/>
        <w:rPr>
          <w:rFonts w:ascii="Franklin Gothic Book" w:hAnsi="Franklin Gothic Book"/>
          <w:color w:val="auto"/>
          <w:sz w:val="17"/>
        </w:rPr>
      </w:pPr>
      <w:r w:rsidRPr="006A0271">
        <w:rPr>
          <w:rStyle w:val="FootnoteReference"/>
          <w:sz w:val="16"/>
          <w:szCs w:val="16"/>
        </w:rPr>
        <w:footnoteRef/>
      </w:r>
      <w:r w:rsidRPr="006A0271">
        <w:rPr>
          <w:sz w:val="16"/>
          <w:szCs w:val="16"/>
        </w:rPr>
        <w:t xml:space="preserve"> </w:t>
      </w:r>
      <w:r>
        <w:rPr>
          <w:sz w:val="16"/>
          <w:szCs w:val="16"/>
        </w:rPr>
        <w:tab/>
      </w:r>
      <w:r>
        <w:rPr>
          <w:sz w:val="16"/>
          <w:szCs w:val="16"/>
        </w:rPr>
        <w:tab/>
      </w:r>
      <w:r w:rsidRPr="00C615DC">
        <w:rPr>
          <w:rFonts w:ascii="Franklin Gothic Book" w:hAnsi="Franklin Gothic Book"/>
          <w:color w:val="auto"/>
          <w:sz w:val="17"/>
          <w:szCs w:val="17"/>
        </w:rPr>
        <w:t xml:space="preserve">For example, secondments between </w:t>
      </w:r>
      <w:r>
        <w:rPr>
          <w:rFonts w:ascii="Franklin Gothic Book" w:hAnsi="Franklin Gothic Book"/>
          <w:color w:val="auto"/>
          <w:sz w:val="17"/>
          <w:szCs w:val="17"/>
        </w:rPr>
        <w:t>DFAT</w:t>
      </w:r>
      <w:r w:rsidRPr="00C615DC">
        <w:rPr>
          <w:rFonts w:ascii="Franklin Gothic Book" w:hAnsi="Franklin Gothic Book"/>
          <w:color w:val="auto"/>
          <w:sz w:val="17"/>
          <w:szCs w:val="17"/>
        </w:rPr>
        <w:t>, government and provinces, as well as overseas staff and Canberra/Posts.</w:t>
      </w:r>
    </w:p>
  </w:footnote>
  <w:footnote w:id="53">
    <w:p w14:paraId="13B1C72C" w14:textId="7DD0CD01" w:rsidR="00CD4AF2" w:rsidRDefault="00CD4AF2" w:rsidP="00D2236B">
      <w:pPr>
        <w:pStyle w:val="FootnoteText"/>
        <w:spacing w:before="0"/>
        <w:ind w:left="426" w:hanging="426"/>
      </w:pPr>
      <w:r>
        <w:rPr>
          <w:rStyle w:val="FootnoteReference"/>
        </w:rPr>
        <w:footnoteRef/>
      </w:r>
      <w:r>
        <w:t xml:space="preserve"> </w:t>
      </w:r>
      <w:r>
        <w:tab/>
        <w:t xml:space="preserve">These definitions are taken from the glossary of World Bank International Evaluation Group, </w:t>
      </w:r>
      <w:r w:rsidRPr="005A4CDA">
        <w:rPr>
          <w:i/>
        </w:rPr>
        <w:t xml:space="preserve">Decentralization in </w:t>
      </w:r>
      <w:r w:rsidRPr="00D2236B">
        <w:rPr>
          <w:i/>
        </w:rPr>
        <w:t>client countries</w:t>
      </w:r>
      <w:r>
        <w:rPr>
          <w:i/>
        </w:rPr>
        <w:t>:</w:t>
      </w:r>
      <w:r w:rsidRPr="00D2236B">
        <w:rPr>
          <w:i/>
        </w:rPr>
        <w:t xml:space="preserve"> an evaluation of world bank support</w:t>
      </w:r>
      <w:r w:rsidRPr="005A4CDA">
        <w:rPr>
          <w:i/>
        </w:rPr>
        <w:t>,</w:t>
      </w:r>
      <w:r>
        <w:rPr>
          <w:i/>
        </w:rPr>
        <w:t xml:space="preserve"> </w:t>
      </w:r>
      <w:r w:rsidRPr="005A4CDA">
        <w:rPr>
          <w:i/>
        </w:rPr>
        <w:t>1990–2007</w:t>
      </w:r>
      <w:r>
        <w:t xml:space="preserve">, 2008, p.xi. </w:t>
      </w:r>
    </w:p>
  </w:footnote>
  <w:footnote w:id="54">
    <w:p w14:paraId="263291AB" w14:textId="35CD7BA6" w:rsidR="00CD4AF2" w:rsidRPr="00A77665" w:rsidRDefault="00CD4AF2" w:rsidP="00D2236B">
      <w:pPr>
        <w:tabs>
          <w:tab w:val="left" w:pos="426"/>
        </w:tabs>
        <w:autoSpaceDE w:val="0"/>
        <w:autoSpaceDN w:val="0"/>
        <w:adjustRightInd w:val="0"/>
        <w:spacing w:before="0" w:after="0"/>
        <w:ind w:left="426" w:hanging="426"/>
        <w:rPr>
          <w:sz w:val="16"/>
          <w:szCs w:val="16"/>
        </w:rPr>
      </w:pPr>
      <w:r w:rsidRPr="008912CC">
        <w:rPr>
          <w:rStyle w:val="FootnoteReference"/>
          <w:rFonts w:cs="Calibri"/>
        </w:rPr>
        <w:footnoteRef/>
      </w:r>
      <w:r w:rsidRPr="008912CC">
        <w:rPr>
          <w:rFonts w:cs="Calibri"/>
        </w:rPr>
        <w:t xml:space="preserve"> </w:t>
      </w:r>
      <w:r>
        <w:rPr>
          <w:rFonts w:cs="Calibri"/>
        </w:rPr>
        <w:tab/>
      </w:r>
      <w:r w:rsidRPr="00CE2729">
        <w:rPr>
          <w:rFonts w:cs="Calibri"/>
          <w:sz w:val="17"/>
          <w:szCs w:val="17"/>
        </w:rPr>
        <w:t>These definitions are taken from the glossary of World Bank International Evaluation Group, 2008</w:t>
      </w:r>
      <w:r>
        <w:rPr>
          <w:rFonts w:cs="Calibri"/>
          <w:sz w:val="17"/>
          <w:szCs w:val="17"/>
        </w:rPr>
        <w:t>, p.xi.</w:t>
      </w:r>
    </w:p>
  </w:footnote>
  <w:footnote w:id="55">
    <w:p w14:paraId="7D0B06D0" w14:textId="77777777" w:rsidR="00CD4AF2" w:rsidRDefault="00CD4AF2" w:rsidP="005A4CDA">
      <w:pPr>
        <w:pStyle w:val="FootnoteText"/>
        <w:ind w:left="426" w:hanging="426"/>
      </w:pPr>
      <w:r>
        <w:rPr>
          <w:rStyle w:val="FootnoteReference"/>
        </w:rPr>
        <w:footnoteRef/>
      </w:r>
      <w:r>
        <w:t xml:space="preserve"> </w:t>
      </w:r>
      <w:r>
        <w:tab/>
        <w:t xml:space="preserve">For example, the AusAID </w:t>
      </w:r>
      <w:r w:rsidRPr="00080B76">
        <w:rPr>
          <w:i/>
        </w:rPr>
        <w:t>Investment Design Quality Standards</w:t>
      </w:r>
      <w:r>
        <w:rPr>
          <w:i/>
        </w:rPr>
        <w:t xml:space="preserve"> </w:t>
      </w:r>
      <w:r>
        <w:t xml:space="preserve">specify </w:t>
      </w:r>
      <w:r w:rsidRPr="003E23F3">
        <w:rPr>
          <w:i/>
        </w:rPr>
        <w:t>‘</w:t>
      </w:r>
      <w:r w:rsidRPr="003E23F3">
        <w:rPr>
          <w:rFonts w:cs="Arial"/>
          <w:i/>
        </w:rPr>
        <w:t>the investment takes into account the priorities of the partner government’</w:t>
      </w:r>
      <w:r>
        <w:t xml:space="preserve"> without any elaboration about which parts of partner government.</w:t>
      </w:r>
    </w:p>
  </w:footnote>
  <w:footnote w:id="56">
    <w:p w14:paraId="2B115485" w14:textId="77777777" w:rsidR="00CD4AF2" w:rsidRDefault="00CD4AF2" w:rsidP="005A4CDA">
      <w:pPr>
        <w:pStyle w:val="FootnoteText"/>
        <w:ind w:left="426" w:hanging="426"/>
      </w:pPr>
      <w:r>
        <w:rPr>
          <w:rStyle w:val="FootnoteReference"/>
        </w:rPr>
        <w:footnoteRef/>
      </w:r>
      <w:r>
        <w:t xml:space="preserve"> </w:t>
      </w:r>
      <w:r>
        <w:tab/>
        <w:t>For example:</w:t>
      </w:r>
      <w:r w:rsidRPr="00AB157B">
        <w:t xml:space="preserve"> The Rural Water Supply Network provides evidence across 20 countries of hand-pump failure rates lying mostly from 20 to 50</w:t>
      </w:r>
      <w:r>
        <w:t> per cent</w:t>
      </w:r>
      <w:r w:rsidRPr="00AB157B">
        <w:t>.</w:t>
      </w:r>
      <w:r>
        <w:t xml:space="preserve"> </w:t>
      </w:r>
      <w:r w:rsidRPr="00AB157B">
        <w:t>A recent survey in Ghana estimated that 70</w:t>
      </w:r>
      <w:r>
        <w:t> per cent</w:t>
      </w:r>
      <w:r w:rsidRPr="00AB157B">
        <w:t xml:space="preserve"> of rural point source water supplies functioned at a substandard level</w:t>
      </w:r>
      <w:r>
        <w:t xml:space="preserve"> </w:t>
      </w:r>
      <w:r w:rsidRPr="00AB157B">
        <w:t>and a study in India reports average ‘slippage’ (loss of access to services) at 30</w:t>
      </w:r>
      <w:r>
        <w:t> per cent</w:t>
      </w:r>
      <w:r w:rsidRPr="00AB157B">
        <w:t xml:space="preserve"> across the country.</w:t>
      </w:r>
      <w:r>
        <w:t xml:space="preserve"> </w:t>
      </w:r>
      <w:r w:rsidRPr="00AB157B">
        <w:t>In 2009</w:t>
      </w:r>
      <w:r>
        <w:t>,</w:t>
      </w:r>
      <w:r w:rsidRPr="00AB157B">
        <w:t xml:space="preserve"> World Bank assessed mechanised bore-hole and piped schemes to be 25</w:t>
      </w:r>
      <w:r>
        <w:t> per cent</w:t>
      </w:r>
      <w:r w:rsidRPr="00AB157B">
        <w:t xml:space="preserve"> non-functional.</w:t>
      </w:r>
      <w:r>
        <w:t xml:space="preserve"> </w:t>
      </w:r>
    </w:p>
  </w:footnote>
  <w:footnote w:id="57">
    <w:p w14:paraId="52E44F00" w14:textId="77777777" w:rsidR="00CD4AF2" w:rsidRDefault="00CD4AF2" w:rsidP="005A4CDA">
      <w:pPr>
        <w:pStyle w:val="FootnoteText"/>
        <w:ind w:left="426" w:hanging="426"/>
      </w:pPr>
      <w:r w:rsidRPr="008022D2">
        <w:rPr>
          <w:rStyle w:val="FootnoteReference"/>
        </w:rPr>
        <w:footnoteRef/>
      </w:r>
      <w:r w:rsidRPr="008022D2">
        <w:t xml:space="preserve"> </w:t>
      </w:r>
      <w:r>
        <w:tab/>
      </w:r>
      <w:r w:rsidRPr="008022D2">
        <w:t xml:space="preserve">This concept design does not stipulate the level of </w:t>
      </w:r>
      <w:r>
        <w:t>Australian</w:t>
      </w:r>
      <w:r w:rsidRPr="008022D2">
        <w:t xml:space="preserve"> financial support for TSSP, because this will depend entirely on </w:t>
      </w:r>
      <w:r>
        <w:t xml:space="preserve">the </w:t>
      </w:r>
      <w:r w:rsidRPr="008022D2">
        <w:t>PNG</w:t>
      </w:r>
      <w:r>
        <w:t xml:space="preserve"> Government</w:t>
      </w:r>
      <w:r w:rsidRPr="008022D2">
        <w:t>’s commitments on a year</w:t>
      </w:r>
      <w:r>
        <w:t>-</w:t>
      </w:r>
      <w:r w:rsidRPr="008022D2">
        <w:t>by</w:t>
      </w:r>
      <w:r>
        <w:t>-</w:t>
      </w:r>
      <w:r w:rsidRPr="008022D2">
        <w:t>year basis. However</w:t>
      </w:r>
      <w:r>
        <w:t>,</w:t>
      </w:r>
      <w:r w:rsidRPr="008022D2">
        <w:t xml:space="preserve"> it is suggested that </w:t>
      </w:r>
      <w:r>
        <w:t>Australia’s</w:t>
      </w:r>
      <w:r w:rsidRPr="008022D2">
        <w:t xml:space="preserve"> financial commitments could be similar to expenditures it has made in recent years ($50</w:t>
      </w:r>
      <w:r>
        <w:t>–</w:t>
      </w:r>
      <w:r w:rsidRPr="008022D2">
        <w:t>60</w:t>
      </w:r>
      <w:r>
        <w:t> </w:t>
      </w:r>
      <w:r w:rsidRPr="008022D2">
        <w:t xml:space="preserve">million per </w:t>
      </w:r>
      <w:r>
        <w:t>year</w:t>
      </w:r>
      <w:r w:rsidRPr="008022D2">
        <w:t>)</w:t>
      </w:r>
      <w:r>
        <w:t>.</w:t>
      </w:r>
    </w:p>
  </w:footnote>
  <w:footnote w:id="58">
    <w:p w14:paraId="1BB7A74B" w14:textId="77777777" w:rsidR="00CD4AF2" w:rsidRDefault="00CD4AF2" w:rsidP="005A4CDA">
      <w:pPr>
        <w:pStyle w:val="FootnoteText"/>
        <w:ind w:left="426" w:hanging="426"/>
      </w:pPr>
      <w:r>
        <w:rPr>
          <w:rStyle w:val="FootnoteReference"/>
        </w:rPr>
        <w:footnoteRef/>
      </w:r>
      <w:r>
        <w:t xml:space="preserve"> </w:t>
      </w:r>
      <w:r>
        <w:tab/>
        <w:t>The previous country program strategy contained clear recognition of the decentralised system of government with a pillar of the strategy to improved service delivery and stability, which included strengthening decentralised service delivery.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3D8BD" w14:textId="77777777" w:rsidR="00770FF8" w:rsidRDefault="00770F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151BC" w14:textId="77777777" w:rsidR="00770FF8" w:rsidRDefault="00770F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A483" w14:textId="77777777" w:rsidR="00770FF8" w:rsidRDefault="00770F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2FD6F" w14:textId="612CB6F4" w:rsidR="00CD4AF2" w:rsidRDefault="00770FF8">
    <w:pPr>
      <w:pStyle w:val="Header"/>
    </w:pPr>
    <w:r>
      <w:fldChar w:fldCharType="begin"/>
    </w:r>
    <w:r>
      <w:instrText xml:space="preserve"> FILENAME   \* MERGEFORMAT </w:instrText>
    </w:r>
    <w:r>
      <w:fldChar w:fldCharType="separate"/>
    </w:r>
    <w:r w:rsidR="00D6764B">
      <w:rPr>
        <w:noProof/>
      </w:rPr>
      <w:t>2) Working in Decentralised service systems -final full report</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44F5F" w14:textId="77777777" w:rsidR="00CD4AF2" w:rsidRPr="00AA45A4" w:rsidRDefault="00CD4AF2" w:rsidP="00AA45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29E24" w14:textId="77777777" w:rsidR="00CD4AF2" w:rsidRPr="00AA45A4" w:rsidRDefault="00CD4AF2" w:rsidP="00AA45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5FA51" w14:textId="77777777" w:rsidR="00CD4AF2" w:rsidRPr="00AA45A4" w:rsidRDefault="00CD4AF2" w:rsidP="00AA4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nsid w:val="03D94539"/>
    <w:multiLevelType w:val="hybridMultilevel"/>
    <w:tmpl w:val="22463E60"/>
    <w:lvl w:ilvl="0" w:tplc="A8FC52A6">
      <w:start w:val="1"/>
      <w:numFmt w:val="lowerLetter"/>
      <w:pStyle w:val="BoxListNumber2"/>
      <w:lvlText w:val="%1."/>
      <w:lvlJc w:val="left"/>
      <w:pPr>
        <w:tabs>
          <w:tab w:val="num" w:pos="567"/>
        </w:tabs>
        <w:ind w:left="567" w:hanging="283"/>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3D7532"/>
    <w:multiLevelType w:val="hybridMultilevel"/>
    <w:tmpl w:val="E5963DF4"/>
    <w:lvl w:ilvl="0" w:tplc="3B7202E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7452A2"/>
    <w:multiLevelType w:val="hybridMultilevel"/>
    <w:tmpl w:val="84701B52"/>
    <w:lvl w:ilvl="0" w:tplc="0C4E4E76">
      <w:start w:val="1"/>
      <w:numFmt w:val="bullet"/>
      <w:pStyle w:val="QuoteBullet"/>
      <w:lvlText w:val=""/>
      <w:lvlJc w:val="left"/>
      <w:pPr>
        <w:tabs>
          <w:tab w:val="num" w:pos="851"/>
        </w:tabs>
        <w:ind w:left="851" w:hanging="284"/>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7B1CB1"/>
    <w:multiLevelType w:val="hybridMultilevel"/>
    <w:tmpl w:val="1BCEED34"/>
    <w:lvl w:ilvl="0" w:tplc="E5126550">
      <w:start w:val="1"/>
      <w:numFmt w:val="lowerLetter"/>
      <w:pStyle w:val="TableListNumber20"/>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8">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0">
    <w:nsid w:val="180665BC"/>
    <w:multiLevelType w:val="hybridMultilevel"/>
    <w:tmpl w:val="02C8271A"/>
    <w:lvl w:ilvl="0" w:tplc="666EE2CE">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1">
    <w:nsid w:val="1C701AE9"/>
    <w:multiLevelType w:val="hybridMultilevel"/>
    <w:tmpl w:val="A1861090"/>
    <w:lvl w:ilvl="0" w:tplc="0936D832">
      <w:start w:val="1"/>
      <w:numFmt w:val="decimal"/>
      <w:lvlRestart w:val="0"/>
      <w:pStyle w:val="BoxListNumber"/>
      <w:lvlText w:val="%1."/>
      <w:lvlJc w:val="left"/>
      <w:pPr>
        <w:tabs>
          <w:tab w:val="num" w:pos="284"/>
        </w:tabs>
        <w:ind w:left="284" w:hanging="284"/>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BB70F5"/>
    <w:multiLevelType w:val="hybridMultilevel"/>
    <w:tmpl w:val="BA16952C"/>
    <w:lvl w:ilvl="0" w:tplc="F29E255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F28729E"/>
    <w:multiLevelType w:val="hybridMultilevel"/>
    <w:tmpl w:val="B9C2C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5">
    <w:nsid w:val="21DB75B2"/>
    <w:multiLevelType w:val="hybridMultilevel"/>
    <w:tmpl w:val="1F102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932D33"/>
    <w:multiLevelType w:val="multilevel"/>
    <w:tmpl w:val="6F7AF6E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5FC5EFF"/>
    <w:multiLevelType w:val="hybridMultilevel"/>
    <w:tmpl w:val="38A0C8C6"/>
    <w:lvl w:ilvl="0" w:tplc="69FE925C">
      <w:start w:val="1"/>
      <w:numFmt w:val="bullet"/>
      <w:pStyle w:val="QuoteBullet0"/>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2FBD11B4"/>
    <w:multiLevelType w:val="multilevel"/>
    <w:tmpl w:val="06646E74"/>
    <w:lvl w:ilvl="0">
      <w:start w:val="1"/>
      <w:numFmt w:val="decimal"/>
      <w:pStyle w:val="List-number-1"/>
      <w:lvlText w:val="%1."/>
      <w:lvlJc w:val="left"/>
      <w:pPr>
        <w:tabs>
          <w:tab w:val="num" w:pos="360"/>
        </w:tabs>
        <w:ind w:left="360" w:hanging="360"/>
      </w:pPr>
      <w:rPr>
        <w:rFonts w:hint="default"/>
        <w:i w:val="0"/>
        <w:sz w:val="22"/>
        <w:szCs w:val="22"/>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25774AA"/>
    <w:multiLevelType w:val="hybridMultilevel"/>
    <w:tmpl w:val="129AFE2E"/>
    <w:lvl w:ilvl="0" w:tplc="B972EED4">
      <w:start w:val="1"/>
      <w:numFmt w:val="bullet"/>
      <w:pStyle w:val="TableListBullet"/>
      <w:lvlText w:val=""/>
      <w:lvlJc w:val="left"/>
      <w:pPr>
        <w:tabs>
          <w:tab w:val="num" w:pos="284"/>
        </w:tabs>
        <w:ind w:left="284" w:hanging="284"/>
      </w:pPr>
      <w:rPr>
        <w:rFonts w:ascii="Symbol" w:hAnsi="Symbol" w:hint="default"/>
        <w:color w:val="auto"/>
        <w:spacing w:val="0"/>
        <w:w w:val="100"/>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444BA1"/>
    <w:multiLevelType w:val="hybridMultilevel"/>
    <w:tmpl w:val="49E4141C"/>
    <w:lvl w:ilvl="0" w:tplc="C7EE9B2A">
      <w:start w:val="1"/>
      <w:numFmt w:val="bullet"/>
      <w:pStyle w:val="ListBullet2"/>
      <w:lvlText w:val="–"/>
      <w:lvlJc w:val="left"/>
      <w:pPr>
        <w:tabs>
          <w:tab w:val="num" w:pos="567"/>
        </w:tabs>
        <w:ind w:left="567" w:hanging="283"/>
      </w:pPr>
      <w:rPr>
        <w:rFonts w:hint="default"/>
        <w:color w:val="auto"/>
        <w:position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F468E9"/>
    <w:multiLevelType w:val="hybridMultilevel"/>
    <w:tmpl w:val="AD10D614"/>
    <w:lvl w:ilvl="0" w:tplc="6CB85CAA">
      <w:start w:val="1"/>
      <w:numFmt w:val="decimal"/>
      <w:pStyle w:val="ListNumber"/>
      <w:lvlText w:val="%1."/>
      <w:lvlJc w:val="left"/>
      <w:pPr>
        <w:tabs>
          <w:tab w:val="num" w:pos="284"/>
        </w:tabs>
        <w:ind w:left="284" w:hanging="28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62F4A0B"/>
    <w:multiLevelType w:val="hybridMultilevel"/>
    <w:tmpl w:val="AD52AE40"/>
    <w:lvl w:ilvl="0" w:tplc="46908ECC">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B0418F7"/>
    <w:multiLevelType w:val="hybridMultilevel"/>
    <w:tmpl w:val="3FD2D9F8"/>
    <w:lvl w:ilvl="0" w:tplc="587042D8">
      <w:start w:val="1"/>
      <w:numFmt w:val="bullet"/>
      <w:pStyle w:val="TableListBullet2"/>
      <w:lvlText w:val="–"/>
      <w:lvlJc w:val="left"/>
      <w:pPr>
        <w:tabs>
          <w:tab w:val="num" w:pos="567"/>
        </w:tabs>
        <w:ind w:left="567" w:hanging="283"/>
      </w:pPr>
      <w:rPr>
        <w:rFonts w:hint="default"/>
        <w:color w:val="auto"/>
      </w:rPr>
    </w:lvl>
    <w:lvl w:ilvl="1" w:tplc="E596520E" w:tentative="1">
      <w:start w:val="1"/>
      <w:numFmt w:val="bullet"/>
      <w:lvlText w:val="o"/>
      <w:lvlJc w:val="left"/>
      <w:pPr>
        <w:tabs>
          <w:tab w:val="num" w:pos="1440"/>
        </w:tabs>
        <w:ind w:left="1440" w:hanging="360"/>
      </w:pPr>
      <w:rPr>
        <w:rFonts w:ascii="Courier New" w:hAnsi="Courier New" w:cs="Courier New" w:hint="default"/>
      </w:rPr>
    </w:lvl>
    <w:lvl w:ilvl="2" w:tplc="3B7E9B22" w:tentative="1">
      <w:start w:val="1"/>
      <w:numFmt w:val="bullet"/>
      <w:lvlText w:val=""/>
      <w:lvlJc w:val="left"/>
      <w:pPr>
        <w:tabs>
          <w:tab w:val="num" w:pos="2160"/>
        </w:tabs>
        <w:ind w:left="2160" w:hanging="360"/>
      </w:pPr>
      <w:rPr>
        <w:rFonts w:ascii="Wingdings" w:hAnsi="Wingdings" w:hint="default"/>
      </w:rPr>
    </w:lvl>
    <w:lvl w:ilvl="3" w:tplc="0214134C" w:tentative="1">
      <w:start w:val="1"/>
      <w:numFmt w:val="bullet"/>
      <w:lvlText w:val=""/>
      <w:lvlJc w:val="left"/>
      <w:pPr>
        <w:tabs>
          <w:tab w:val="num" w:pos="2880"/>
        </w:tabs>
        <w:ind w:left="2880" w:hanging="360"/>
      </w:pPr>
      <w:rPr>
        <w:rFonts w:ascii="Symbol" w:hAnsi="Symbol" w:hint="default"/>
      </w:rPr>
    </w:lvl>
    <w:lvl w:ilvl="4" w:tplc="B916F99C" w:tentative="1">
      <w:start w:val="1"/>
      <w:numFmt w:val="bullet"/>
      <w:lvlText w:val="o"/>
      <w:lvlJc w:val="left"/>
      <w:pPr>
        <w:tabs>
          <w:tab w:val="num" w:pos="3600"/>
        </w:tabs>
        <w:ind w:left="3600" w:hanging="360"/>
      </w:pPr>
      <w:rPr>
        <w:rFonts w:ascii="Courier New" w:hAnsi="Courier New" w:cs="Courier New" w:hint="default"/>
      </w:rPr>
    </w:lvl>
    <w:lvl w:ilvl="5" w:tplc="9BF0B0AE" w:tentative="1">
      <w:start w:val="1"/>
      <w:numFmt w:val="bullet"/>
      <w:lvlText w:val=""/>
      <w:lvlJc w:val="left"/>
      <w:pPr>
        <w:tabs>
          <w:tab w:val="num" w:pos="4320"/>
        </w:tabs>
        <w:ind w:left="4320" w:hanging="360"/>
      </w:pPr>
      <w:rPr>
        <w:rFonts w:ascii="Wingdings" w:hAnsi="Wingdings" w:hint="default"/>
      </w:rPr>
    </w:lvl>
    <w:lvl w:ilvl="6" w:tplc="ADBCAC1C" w:tentative="1">
      <w:start w:val="1"/>
      <w:numFmt w:val="bullet"/>
      <w:lvlText w:val=""/>
      <w:lvlJc w:val="left"/>
      <w:pPr>
        <w:tabs>
          <w:tab w:val="num" w:pos="5040"/>
        </w:tabs>
        <w:ind w:left="5040" w:hanging="360"/>
      </w:pPr>
      <w:rPr>
        <w:rFonts w:ascii="Symbol" w:hAnsi="Symbol" w:hint="default"/>
      </w:rPr>
    </w:lvl>
    <w:lvl w:ilvl="7" w:tplc="2ADCB080" w:tentative="1">
      <w:start w:val="1"/>
      <w:numFmt w:val="bullet"/>
      <w:lvlText w:val="o"/>
      <w:lvlJc w:val="left"/>
      <w:pPr>
        <w:tabs>
          <w:tab w:val="num" w:pos="5760"/>
        </w:tabs>
        <w:ind w:left="5760" w:hanging="360"/>
      </w:pPr>
      <w:rPr>
        <w:rFonts w:ascii="Courier New" w:hAnsi="Courier New" w:cs="Courier New" w:hint="default"/>
      </w:rPr>
    </w:lvl>
    <w:lvl w:ilvl="8" w:tplc="AE54723C" w:tentative="1">
      <w:start w:val="1"/>
      <w:numFmt w:val="bullet"/>
      <w:lvlText w:val=""/>
      <w:lvlJc w:val="left"/>
      <w:pPr>
        <w:tabs>
          <w:tab w:val="num" w:pos="6480"/>
        </w:tabs>
        <w:ind w:left="6480" w:hanging="360"/>
      </w:pPr>
      <w:rPr>
        <w:rFonts w:ascii="Wingdings" w:hAnsi="Wingdings" w:hint="default"/>
      </w:rPr>
    </w:lvl>
  </w:abstractNum>
  <w:abstractNum w:abstractNumId="25">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F953E2A"/>
    <w:multiLevelType w:val="hybridMultilevel"/>
    <w:tmpl w:val="1250D702"/>
    <w:lvl w:ilvl="0" w:tplc="39A4C794">
      <w:start w:val="1"/>
      <w:numFmt w:val="bullet"/>
      <w:pStyle w:val="ListBullet"/>
      <w:lvlText w:val=""/>
      <w:lvlJc w:val="left"/>
      <w:pPr>
        <w:tabs>
          <w:tab w:val="num" w:pos="284"/>
        </w:tabs>
        <w:ind w:left="284" w:hanging="284"/>
      </w:pPr>
      <w:rPr>
        <w:rFonts w:ascii="Symbol" w:hAnsi="Symbol" w:hint="default"/>
        <w:color w:val="auto"/>
        <w:position w:val="0"/>
      </w:rPr>
    </w:lvl>
    <w:lvl w:ilvl="1" w:tplc="FAAA09AE" w:tentative="1">
      <w:start w:val="1"/>
      <w:numFmt w:val="bullet"/>
      <w:lvlText w:val="o"/>
      <w:lvlJc w:val="left"/>
      <w:pPr>
        <w:tabs>
          <w:tab w:val="num" w:pos="1440"/>
        </w:tabs>
        <w:ind w:left="1440" w:hanging="360"/>
      </w:pPr>
      <w:rPr>
        <w:rFonts w:ascii="Courier New" w:hAnsi="Courier New" w:cs="Courier New" w:hint="default"/>
      </w:rPr>
    </w:lvl>
    <w:lvl w:ilvl="2" w:tplc="9DBA5554" w:tentative="1">
      <w:start w:val="1"/>
      <w:numFmt w:val="bullet"/>
      <w:lvlText w:val=""/>
      <w:lvlJc w:val="left"/>
      <w:pPr>
        <w:tabs>
          <w:tab w:val="num" w:pos="2160"/>
        </w:tabs>
        <w:ind w:left="2160" w:hanging="360"/>
      </w:pPr>
      <w:rPr>
        <w:rFonts w:ascii="Wingdings" w:hAnsi="Wingdings" w:hint="default"/>
      </w:rPr>
    </w:lvl>
    <w:lvl w:ilvl="3" w:tplc="F9E8DF42" w:tentative="1">
      <w:start w:val="1"/>
      <w:numFmt w:val="bullet"/>
      <w:lvlText w:val=""/>
      <w:lvlJc w:val="left"/>
      <w:pPr>
        <w:tabs>
          <w:tab w:val="num" w:pos="2880"/>
        </w:tabs>
        <w:ind w:left="2880" w:hanging="360"/>
      </w:pPr>
      <w:rPr>
        <w:rFonts w:ascii="Symbol" w:hAnsi="Symbol" w:hint="default"/>
      </w:rPr>
    </w:lvl>
    <w:lvl w:ilvl="4" w:tplc="904AF4AC" w:tentative="1">
      <w:start w:val="1"/>
      <w:numFmt w:val="bullet"/>
      <w:lvlText w:val="o"/>
      <w:lvlJc w:val="left"/>
      <w:pPr>
        <w:tabs>
          <w:tab w:val="num" w:pos="3600"/>
        </w:tabs>
        <w:ind w:left="3600" w:hanging="360"/>
      </w:pPr>
      <w:rPr>
        <w:rFonts w:ascii="Courier New" w:hAnsi="Courier New" w:cs="Courier New" w:hint="default"/>
      </w:rPr>
    </w:lvl>
    <w:lvl w:ilvl="5" w:tplc="31643B92" w:tentative="1">
      <w:start w:val="1"/>
      <w:numFmt w:val="bullet"/>
      <w:lvlText w:val=""/>
      <w:lvlJc w:val="left"/>
      <w:pPr>
        <w:tabs>
          <w:tab w:val="num" w:pos="4320"/>
        </w:tabs>
        <w:ind w:left="4320" w:hanging="360"/>
      </w:pPr>
      <w:rPr>
        <w:rFonts w:ascii="Wingdings" w:hAnsi="Wingdings" w:hint="default"/>
      </w:rPr>
    </w:lvl>
    <w:lvl w:ilvl="6" w:tplc="B1466E46" w:tentative="1">
      <w:start w:val="1"/>
      <w:numFmt w:val="bullet"/>
      <w:lvlText w:val=""/>
      <w:lvlJc w:val="left"/>
      <w:pPr>
        <w:tabs>
          <w:tab w:val="num" w:pos="5040"/>
        </w:tabs>
        <w:ind w:left="5040" w:hanging="360"/>
      </w:pPr>
      <w:rPr>
        <w:rFonts w:ascii="Symbol" w:hAnsi="Symbol" w:hint="default"/>
      </w:rPr>
    </w:lvl>
    <w:lvl w:ilvl="7" w:tplc="FA00548A" w:tentative="1">
      <w:start w:val="1"/>
      <w:numFmt w:val="bullet"/>
      <w:lvlText w:val="o"/>
      <w:lvlJc w:val="left"/>
      <w:pPr>
        <w:tabs>
          <w:tab w:val="num" w:pos="5760"/>
        </w:tabs>
        <w:ind w:left="5760" w:hanging="360"/>
      </w:pPr>
      <w:rPr>
        <w:rFonts w:ascii="Courier New" w:hAnsi="Courier New" w:cs="Courier New" w:hint="default"/>
      </w:rPr>
    </w:lvl>
    <w:lvl w:ilvl="8" w:tplc="B638EFBA" w:tentative="1">
      <w:start w:val="1"/>
      <w:numFmt w:val="bullet"/>
      <w:lvlText w:val=""/>
      <w:lvlJc w:val="left"/>
      <w:pPr>
        <w:tabs>
          <w:tab w:val="num" w:pos="6480"/>
        </w:tabs>
        <w:ind w:left="6480" w:hanging="360"/>
      </w:pPr>
      <w:rPr>
        <w:rFonts w:ascii="Wingdings" w:hAnsi="Wingdings" w:hint="default"/>
      </w:rPr>
    </w:lvl>
  </w:abstractNum>
  <w:abstractNum w:abstractNumId="27">
    <w:nsid w:val="52F37AA8"/>
    <w:multiLevelType w:val="hybridMultilevel"/>
    <w:tmpl w:val="8176030C"/>
    <w:lvl w:ilvl="0" w:tplc="ACFA9CFC">
      <w:start w:val="1"/>
      <w:numFmt w:val="decimal"/>
      <w:pStyle w:val="TableListNumber0"/>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4127EA3"/>
    <w:multiLevelType w:val="hybridMultilevel"/>
    <w:tmpl w:val="8CD2E994"/>
    <w:lvl w:ilvl="0" w:tplc="BC1041F4">
      <w:start w:val="1"/>
      <w:numFmt w:val="bullet"/>
      <w:pStyle w:val="BoxListBullet"/>
      <w:lvlText w:val=""/>
      <w:lvlJc w:val="left"/>
      <w:pPr>
        <w:tabs>
          <w:tab w:val="num" w:pos="284"/>
        </w:tabs>
        <w:ind w:left="284" w:hanging="284"/>
      </w:pPr>
      <w:rPr>
        <w:rFonts w:ascii="Symbol" w:hAnsi="Symbol" w:hint="default"/>
        <w:b w:val="0"/>
        <w:i w:val="0"/>
        <w:color w:val="auto"/>
        <w:spacing w:val="0"/>
        <w:w w:val="100"/>
        <w:position w:val="0"/>
        <w:sz w:val="19"/>
        <w:szCs w:val="19"/>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553A66B7"/>
    <w:multiLevelType w:val="hybridMultilevel"/>
    <w:tmpl w:val="B3A42456"/>
    <w:lvl w:ilvl="0" w:tplc="FAD2CF84">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8B84A21"/>
    <w:multiLevelType w:val="hybridMultilevel"/>
    <w:tmpl w:val="C6040D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A970970"/>
    <w:multiLevelType w:val="hybridMultilevel"/>
    <w:tmpl w:val="82F8DA62"/>
    <w:lvl w:ilvl="0" w:tplc="E7A651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C6264B4"/>
    <w:multiLevelType w:val="hybridMultilevel"/>
    <w:tmpl w:val="04C2F852"/>
    <w:lvl w:ilvl="0" w:tplc="2E5E2236">
      <w:start w:val="1"/>
      <w:numFmt w:val="bullet"/>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CB43DDF"/>
    <w:multiLevelType w:val="hybridMultilevel"/>
    <w:tmpl w:val="435A44C8"/>
    <w:lvl w:ilvl="0" w:tplc="B78A9C58">
      <w:start w:val="1"/>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4C0F83"/>
    <w:multiLevelType w:val="multilevel"/>
    <w:tmpl w:val="8FB493BA"/>
    <w:lvl w:ilvl="0">
      <w:start w:val="2"/>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7">
    <w:nsid w:val="66E1246F"/>
    <w:multiLevelType w:val="hybridMultilevel"/>
    <w:tmpl w:val="A686FA22"/>
    <w:lvl w:ilvl="0" w:tplc="01D472D0">
      <w:start w:val="1"/>
      <w:numFmt w:val="lowerLetter"/>
      <w:pStyle w:val="ListNumber2"/>
      <w:lvlText w:val="%1."/>
      <w:lvlJc w:val="left"/>
      <w:pPr>
        <w:tabs>
          <w:tab w:val="num" w:pos="567"/>
        </w:tabs>
        <w:ind w:left="567" w:hanging="283"/>
      </w:pPr>
      <w:rPr>
        <w:rFonts w:hint="default"/>
        <w:color w:val="auto"/>
        <w:position w:val="0"/>
      </w:rPr>
    </w:lvl>
    <w:lvl w:ilvl="1" w:tplc="3A8EDDBA" w:tentative="1">
      <w:start w:val="1"/>
      <w:numFmt w:val="bullet"/>
      <w:lvlText w:val="o"/>
      <w:lvlJc w:val="left"/>
      <w:pPr>
        <w:tabs>
          <w:tab w:val="num" w:pos="1440"/>
        </w:tabs>
        <w:ind w:left="1440" w:hanging="360"/>
      </w:pPr>
      <w:rPr>
        <w:rFonts w:ascii="Courier New" w:hAnsi="Courier New" w:cs="Courier New" w:hint="default"/>
      </w:rPr>
    </w:lvl>
    <w:lvl w:ilvl="2" w:tplc="A1C22FF0" w:tentative="1">
      <w:start w:val="1"/>
      <w:numFmt w:val="bullet"/>
      <w:lvlText w:val=""/>
      <w:lvlJc w:val="left"/>
      <w:pPr>
        <w:tabs>
          <w:tab w:val="num" w:pos="2160"/>
        </w:tabs>
        <w:ind w:left="2160" w:hanging="360"/>
      </w:pPr>
      <w:rPr>
        <w:rFonts w:ascii="Wingdings" w:hAnsi="Wingdings" w:hint="default"/>
      </w:rPr>
    </w:lvl>
    <w:lvl w:ilvl="3" w:tplc="8AF6940A" w:tentative="1">
      <w:start w:val="1"/>
      <w:numFmt w:val="bullet"/>
      <w:lvlText w:val=""/>
      <w:lvlJc w:val="left"/>
      <w:pPr>
        <w:tabs>
          <w:tab w:val="num" w:pos="2880"/>
        </w:tabs>
        <w:ind w:left="2880" w:hanging="360"/>
      </w:pPr>
      <w:rPr>
        <w:rFonts w:ascii="Symbol" w:hAnsi="Symbol" w:hint="default"/>
      </w:rPr>
    </w:lvl>
    <w:lvl w:ilvl="4" w:tplc="CA1067F8" w:tentative="1">
      <w:start w:val="1"/>
      <w:numFmt w:val="bullet"/>
      <w:lvlText w:val="o"/>
      <w:lvlJc w:val="left"/>
      <w:pPr>
        <w:tabs>
          <w:tab w:val="num" w:pos="3600"/>
        </w:tabs>
        <w:ind w:left="3600" w:hanging="360"/>
      </w:pPr>
      <w:rPr>
        <w:rFonts w:ascii="Courier New" w:hAnsi="Courier New" w:cs="Courier New" w:hint="default"/>
      </w:rPr>
    </w:lvl>
    <w:lvl w:ilvl="5" w:tplc="11A4018E" w:tentative="1">
      <w:start w:val="1"/>
      <w:numFmt w:val="bullet"/>
      <w:lvlText w:val=""/>
      <w:lvlJc w:val="left"/>
      <w:pPr>
        <w:tabs>
          <w:tab w:val="num" w:pos="4320"/>
        </w:tabs>
        <w:ind w:left="4320" w:hanging="360"/>
      </w:pPr>
      <w:rPr>
        <w:rFonts w:ascii="Wingdings" w:hAnsi="Wingdings" w:hint="default"/>
      </w:rPr>
    </w:lvl>
    <w:lvl w:ilvl="6" w:tplc="E986382A" w:tentative="1">
      <w:start w:val="1"/>
      <w:numFmt w:val="bullet"/>
      <w:lvlText w:val=""/>
      <w:lvlJc w:val="left"/>
      <w:pPr>
        <w:tabs>
          <w:tab w:val="num" w:pos="5040"/>
        </w:tabs>
        <w:ind w:left="5040" w:hanging="360"/>
      </w:pPr>
      <w:rPr>
        <w:rFonts w:ascii="Symbol" w:hAnsi="Symbol" w:hint="default"/>
      </w:rPr>
    </w:lvl>
    <w:lvl w:ilvl="7" w:tplc="34FE3D92" w:tentative="1">
      <w:start w:val="1"/>
      <w:numFmt w:val="bullet"/>
      <w:lvlText w:val="o"/>
      <w:lvlJc w:val="left"/>
      <w:pPr>
        <w:tabs>
          <w:tab w:val="num" w:pos="5760"/>
        </w:tabs>
        <w:ind w:left="5760" w:hanging="360"/>
      </w:pPr>
      <w:rPr>
        <w:rFonts w:ascii="Courier New" w:hAnsi="Courier New" w:cs="Courier New" w:hint="default"/>
      </w:rPr>
    </w:lvl>
    <w:lvl w:ilvl="8" w:tplc="9EA4A9C4" w:tentative="1">
      <w:start w:val="1"/>
      <w:numFmt w:val="bullet"/>
      <w:lvlText w:val=""/>
      <w:lvlJc w:val="left"/>
      <w:pPr>
        <w:tabs>
          <w:tab w:val="num" w:pos="6480"/>
        </w:tabs>
        <w:ind w:left="6480" w:hanging="360"/>
      </w:pPr>
      <w:rPr>
        <w:rFonts w:ascii="Wingdings" w:hAnsi="Wingdings" w:hint="default"/>
      </w:rPr>
    </w:lvl>
  </w:abstractNum>
  <w:abstractNum w:abstractNumId="38">
    <w:nsid w:val="6F572B06"/>
    <w:multiLevelType w:val="hybridMultilevel"/>
    <w:tmpl w:val="F4307968"/>
    <w:lvl w:ilvl="0" w:tplc="278CB2C2">
      <w:start w:val="1"/>
      <w:numFmt w:val="bullet"/>
      <w:pStyle w:val="List1"/>
      <w:lvlText w:val=""/>
      <w:lvlJc w:val="left"/>
      <w:pPr>
        <w:tabs>
          <w:tab w:val="num" w:pos="7231"/>
        </w:tabs>
        <w:ind w:left="7231" w:hanging="284"/>
      </w:pPr>
      <w:rPr>
        <w:rFonts w:ascii="Symbol" w:hAnsi="Symbol" w:hint="default"/>
      </w:rPr>
    </w:lvl>
    <w:lvl w:ilvl="1" w:tplc="47F4B984">
      <w:start w:val="1"/>
      <w:numFmt w:val="bullet"/>
      <w:lvlText w:val=""/>
      <w:lvlJc w:val="left"/>
      <w:pPr>
        <w:tabs>
          <w:tab w:val="num" w:pos="567"/>
        </w:tabs>
        <w:ind w:left="567" w:hanging="283"/>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A10E69"/>
    <w:multiLevelType w:val="singleLevel"/>
    <w:tmpl w:val="11DEC4B4"/>
    <w:lvl w:ilvl="0">
      <w:start w:val="1"/>
      <w:numFmt w:val="lowerLetter"/>
      <w:lvlRestart w:val="0"/>
      <w:pStyle w:val="NoteNumber"/>
      <w:lvlText w:val="%1"/>
      <w:lvlJc w:val="left"/>
      <w:pPr>
        <w:tabs>
          <w:tab w:val="num" w:pos="170"/>
        </w:tabs>
        <w:ind w:left="0" w:firstLine="0"/>
      </w:pPr>
      <w:rPr>
        <w:rFonts w:hint="default"/>
        <w:b w:val="0"/>
        <w:i w:val="0"/>
        <w:color w:val="4F5150"/>
        <w:position w:val="4"/>
        <w:sz w:val="16"/>
        <w:szCs w:val="16"/>
      </w:rPr>
    </w:lvl>
  </w:abstractNum>
  <w:abstractNum w:abstractNumId="40">
    <w:nsid w:val="7EC23710"/>
    <w:multiLevelType w:val="hybridMultilevel"/>
    <w:tmpl w:val="1F740A1E"/>
    <w:lvl w:ilvl="0" w:tplc="205E12C2">
      <w:start w:val="1"/>
      <w:numFmt w:val="bullet"/>
      <w:pStyle w:val="BoxListBullet2"/>
      <w:lvlText w:val="–"/>
      <w:lvlJc w:val="left"/>
      <w:pPr>
        <w:tabs>
          <w:tab w:val="num" w:pos="567"/>
        </w:tabs>
        <w:ind w:left="567" w:hanging="283"/>
      </w:pPr>
      <w:rPr>
        <w:rFonts w:ascii="Arial" w:hAnsi="Arial" w:hint="default"/>
        <w:b w:val="0"/>
        <w:i w:val="0"/>
        <w:color w:val="7C3D00"/>
        <w:position w:val="0"/>
        <w:sz w:val="20"/>
        <w:szCs w:val="20"/>
      </w:rPr>
    </w:lvl>
    <w:lvl w:ilvl="1" w:tplc="22546ABA" w:tentative="1">
      <w:start w:val="1"/>
      <w:numFmt w:val="bullet"/>
      <w:lvlText w:val="o"/>
      <w:lvlJc w:val="left"/>
      <w:pPr>
        <w:tabs>
          <w:tab w:val="num" w:pos="1440"/>
        </w:tabs>
        <w:ind w:left="1440" w:hanging="360"/>
      </w:pPr>
      <w:rPr>
        <w:rFonts w:ascii="Courier New" w:hAnsi="Courier New" w:cs="Courier New" w:hint="default"/>
      </w:rPr>
    </w:lvl>
    <w:lvl w:ilvl="2" w:tplc="F7367AC0" w:tentative="1">
      <w:start w:val="1"/>
      <w:numFmt w:val="bullet"/>
      <w:lvlText w:val=""/>
      <w:lvlJc w:val="left"/>
      <w:pPr>
        <w:tabs>
          <w:tab w:val="num" w:pos="2160"/>
        </w:tabs>
        <w:ind w:left="2160" w:hanging="360"/>
      </w:pPr>
      <w:rPr>
        <w:rFonts w:ascii="Wingdings" w:hAnsi="Wingdings" w:hint="default"/>
      </w:rPr>
    </w:lvl>
    <w:lvl w:ilvl="3" w:tplc="858A6D72" w:tentative="1">
      <w:start w:val="1"/>
      <w:numFmt w:val="bullet"/>
      <w:lvlText w:val=""/>
      <w:lvlJc w:val="left"/>
      <w:pPr>
        <w:tabs>
          <w:tab w:val="num" w:pos="2880"/>
        </w:tabs>
        <w:ind w:left="2880" w:hanging="360"/>
      </w:pPr>
      <w:rPr>
        <w:rFonts w:ascii="Symbol" w:hAnsi="Symbol" w:hint="default"/>
      </w:rPr>
    </w:lvl>
    <w:lvl w:ilvl="4" w:tplc="2DAECCF0" w:tentative="1">
      <w:start w:val="1"/>
      <w:numFmt w:val="bullet"/>
      <w:lvlText w:val="o"/>
      <w:lvlJc w:val="left"/>
      <w:pPr>
        <w:tabs>
          <w:tab w:val="num" w:pos="3600"/>
        </w:tabs>
        <w:ind w:left="3600" w:hanging="360"/>
      </w:pPr>
      <w:rPr>
        <w:rFonts w:ascii="Courier New" w:hAnsi="Courier New" w:cs="Courier New" w:hint="default"/>
      </w:rPr>
    </w:lvl>
    <w:lvl w:ilvl="5" w:tplc="92C4DD04" w:tentative="1">
      <w:start w:val="1"/>
      <w:numFmt w:val="bullet"/>
      <w:lvlText w:val=""/>
      <w:lvlJc w:val="left"/>
      <w:pPr>
        <w:tabs>
          <w:tab w:val="num" w:pos="4320"/>
        </w:tabs>
        <w:ind w:left="4320" w:hanging="360"/>
      </w:pPr>
      <w:rPr>
        <w:rFonts w:ascii="Wingdings" w:hAnsi="Wingdings" w:hint="default"/>
      </w:rPr>
    </w:lvl>
    <w:lvl w:ilvl="6" w:tplc="7792C266" w:tentative="1">
      <w:start w:val="1"/>
      <w:numFmt w:val="bullet"/>
      <w:lvlText w:val=""/>
      <w:lvlJc w:val="left"/>
      <w:pPr>
        <w:tabs>
          <w:tab w:val="num" w:pos="5040"/>
        </w:tabs>
        <w:ind w:left="5040" w:hanging="360"/>
      </w:pPr>
      <w:rPr>
        <w:rFonts w:ascii="Symbol" w:hAnsi="Symbol" w:hint="default"/>
      </w:rPr>
    </w:lvl>
    <w:lvl w:ilvl="7" w:tplc="5B901882" w:tentative="1">
      <w:start w:val="1"/>
      <w:numFmt w:val="bullet"/>
      <w:lvlText w:val="o"/>
      <w:lvlJc w:val="left"/>
      <w:pPr>
        <w:tabs>
          <w:tab w:val="num" w:pos="5760"/>
        </w:tabs>
        <w:ind w:left="5760" w:hanging="360"/>
      </w:pPr>
      <w:rPr>
        <w:rFonts w:ascii="Courier New" w:hAnsi="Courier New" w:cs="Courier New" w:hint="default"/>
      </w:rPr>
    </w:lvl>
    <w:lvl w:ilvl="8" w:tplc="8A6E0C10" w:tentative="1">
      <w:start w:val="1"/>
      <w:numFmt w:val="bullet"/>
      <w:lvlText w:val=""/>
      <w:lvlJc w:val="left"/>
      <w:pPr>
        <w:tabs>
          <w:tab w:val="num" w:pos="6480"/>
        </w:tabs>
        <w:ind w:left="6480" w:hanging="360"/>
      </w:pPr>
      <w:rPr>
        <w:rFonts w:ascii="Wingdings" w:hAnsi="Wingdings" w:hint="default"/>
      </w:rPr>
    </w:lvl>
  </w:abstractNum>
  <w:abstractNum w:abstractNumId="41">
    <w:nsid w:val="7F7A528B"/>
    <w:multiLevelType w:val="hybridMultilevel"/>
    <w:tmpl w:val="E71A6964"/>
    <w:lvl w:ilvl="0" w:tplc="7870CCAE">
      <w:start w:val="1"/>
      <w:numFmt w:val="bullet"/>
      <w:pStyle w:val="Bullet"/>
      <w:lvlText w:val="›"/>
      <w:lvlJc w:val="left"/>
      <w:pPr>
        <w:ind w:left="644"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7"/>
  </w:num>
  <w:num w:numId="4">
    <w:abstractNumId w:val="8"/>
  </w:num>
  <w:num w:numId="5">
    <w:abstractNumId w:val="22"/>
  </w:num>
  <w:num w:numId="6">
    <w:abstractNumId w:val="25"/>
  </w:num>
  <w:num w:numId="7">
    <w:abstractNumId w:val="2"/>
  </w:num>
  <w:num w:numId="8">
    <w:abstractNumId w:val="14"/>
  </w:num>
  <w:num w:numId="9">
    <w:abstractNumId w:val="41"/>
  </w:num>
  <w:num w:numId="10">
    <w:abstractNumId w:val="36"/>
  </w:num>
  <w:num w:numId="11">
    <w:abstractNumId w:val="7"/>
  </w:num>
  <w:num w:numId="12">
    <w:abstractNumId w:val="31"/>
  </w:num>
  <w:num w:numId="13">
    <w:abstractNumId w:val="9"/>
  </w:num>
  <w:num w:numId="14">
    <w:abstractNumId w:val="28"/>
  </w:num>
  <w:num w:numId="15">
    <w:abstractNumId w:val="40"/>
  </w:num>
  <w:num w:numId="16">
    <w:abstractNumId w:val="11"/>
  </w:num>
  <w:num w:numId="17">
    <w:abstractNumId w:val="3"/>
  </w:num>
  <w:num w:numId="18">
    <w:abstractNumId w:val="26"/>
  </w:num>
  <w:num w:numId="19">
    <w:abstractNumId w:val="20"/>
  </w:num>
  <w:num w:numId="20">
    <w:abstractNumId w:val="21"/>
  </w:num>
  <w:num w:numId="21">
    <w:abstractNumId w:val="37"/>
  </w:num>
  <w:num w:numId="22">
    <w:abstractNumId w:val="39"/>
  </w:num>
  <w:num w:numId="23">
    <w:abstractNumId w:val="5"/>
  </w:num>
  <w:num w:numId="24">
    <w:abstractNumId w:val="19"/>
  </w:num>
  <w:num w:numId="25">
    <w:abstractNumId w:val="24"/>
  </w:num>
  <w:num w:numId="26">
    <w:abstractNumId w:val="27"/>
  </w:num>
  <w:num w:numId="27">
    <w:abstractNumId w:val="6"/>
  </w:num>
  <w:num w:numId="28">
    <w:abstractNumId w:val="38"/>
  </w:num>
  <w:num w:numId="29">
    <w:abstractNumId w:val="18"/>
  </w:num>
  <w:num w:numId="30">
    <w:abstractNumId w:val="32"/>
  </w:num>
  <w:num w:numId="31">
    <w:abstractNumId w:val="16"/>
  </w:num>
  <w:num w:numId="32">
    <w:abstractNumId w:val="35"/>
  </w:num>
  <w:num w:numId="33">
    <w:abstractNumId w:val="15"/>
  </w:num>
  <w:num w:numId="34">
    <w:abstractNumId w:val="13"/>
  </w:num>
  <w:num w:numId="35">
    <w:abstractNumId w:val="30"/>
  </w:num>
  <w:num w:numId="36">
    <w:abstractNumId w:val="34"/>
  </w:num>
  <w:num w:numId="37">
    <w:abstractNumId w:val="10"/>
  </w:num>
  <w:num w:numId="38">
    <w:abstractNumId w:val="4"/>
  </w:num>
  <w:num w:numId="39">
    <w:abstractNumId w:val="29"/>
  </w:num>
  <w:num w:numId="40">
    <w:abstractNumId w:val="23"/>
  </w:num>
  <w:num w:numId="41">
    <w:abstractNumId w:val="33"/>
  </w:num>
  <w:num w:numId="4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A18"/>
    <w:rsid w:val="000028BF"/>
    <w:rsid w:val="000041C9"/>
    <w:rsid w:val="000059B5"/>
    <w:rsid w:val="00006FB0"/>
    <w:rsid w:val="000131EA"/>
    <w:rsid w:val="0001372C"/>
    <w:rsid w:val="00013A29"/>
    <w:rsid w:val="000158DC"/>
    <w:rsid w:val="00020488"/>
    <w:rsid w:val="00020AE5"/>
    <w:rsid w:val="000239EB"/>
    <w:rsid w:val="00026A31"/>
    <w:rsid w:val="00026DD6"/>
    <w:rsid w:val="000301E6"/>
    <w:rsid w:val="0003036B"/>
    <w:rsid w:val="00034526"/>
    <w:rsid w:val="00037302"/>
    <w:rsid w:val="0004090F"/>
    <w:rsid w:val="000429EA"/>
    <w:rsid w:val="000447E7"/>
    <w:rsid w:val="00044B9D"/>
    <w:rsid w:val="00047BBA"/>
    <w:rsid w:val="000553B7"/>
    <w:rsid w:val="000576FD"/>
    <w:rsid w:val="0005773B"/>
    <w:rsid w:val="0006077D"/>
    <w:rsid w:val="000631EE"/>
    <w:rsid w:val="000659B3"/>
    <w:rsid w:val="00066EE8"/>
    <w:rsid w:val="00070F02"/>
    <w:rsid w:val="00075E33"/>
    <w:rsid w:val="0007619D"/>
    <w:rsid w:val="00076DF5"/>
    <w:rsid w:val="00080D92"/>
    <w:rsid w:val="00080EA9"/>
    <w:rsid w:val="000818B6"/>
    <w:rsid w:val="0008441A"/>
    <w:rsid w:val="000868CE"/>
    <w:rsid w:val="00091CC3"/>
    <w:rsid w:val="00094FBB"/>
    <w:rsid w:val="00096BF4"/>
    <w:rsid w:val="0009775C"/>
    <w:rsid w:val="000A0694"/>
    <w:rsid w:val="000A17BD"/>
    <w:rsid w:val="000A5FE0"/>
    <w:rsid w:val="000B4D59"/>
    <w:rsid w:val="000B5A3A"/>
    <w:rsid w:val="000C0A59"/>
    <w:rsid w:val="000C10BA"/>
    <w:rsid w:val="000C567C"/>
    <w:rsid w:val="000D1659"/>
    <w:rsid w:val="000D310F"/>
    <w:rsid w:val="000D5560"/>
    <w:rsid w:val="000D75D8"/>
    <w:rsid w:val="000E03D7"/>
    <w:rsid w:val="000E328E"/>
    <w:rsid w:val="000E4729"/>
    <w:rsid w:val="000E7274"/>
    <w:rsid w:val="000E78B1"/>
    <w:rsid w:val="000F1020"/>
    <w:rsid w:val="000F5473"/>
    <w:rsid w:val="000F5602"/>
    <w:rsid w:val="000F599E"/>
    <w:rsid w:val="000F6430"/>
    <w:rsid w:val="000F733D"/>
    <w:rsid w:val="00100909"/>
    <w:rsid w:val="00104E39"/>
    <w:rsid w:val="00105E90"/>
    <w:rsid w:val="001136F2"/>
    <w:rsid w:val="00113869"/>
    <w:rsid w:val="00114BAC"/>
    <w:rsid w:val="00114F69"/>
    <w:rsid w:val="00115766"/>
    <w:rsid w:val="001204DD"/>
    <w:rsid w:val="00123B51"/>
    <w:rsid w:val="00125331"/>
    <w:rsid w:val="00127531"/>
    <w:rsid w:val="00130BFF"/>
    <w:rsid w:val="001346AA"/>
    <w:rsid w:val="00134922"/>
    <w:rsid w:val="00136B02"/>
    <w:rsid w:val="00140291"/>
    <w:rsid w:val="00140BDD"/>
    <w:rsid w:val="00143258"/>
    <w:rsid w:val="001435F3"/>
    <w:rsid w:val="00145452"/>
    <w:rsid w:val="00147B33"/>
    <w:rsid w:val="0015166E"/>
    <w:rsid w:val="00151FA9"/>
    <w:rsid w:val="00154F64"/>
    <w:rsid w:val="001563C1"/>
    <w:rsid w:val="001566C1"/>
    <w:rsid w:val="00157404"/>
    <w:rsid w:val="001575E0"/>
    <w:rsid w:val="001576B7"/>
    <w:rsid w:val="00161290"/>
    <w:rsid w:val="001649E2"/>
    <w:rsid w:val="00165127"/>
    <w:rsid w:val="00166274"/>
    <w:rsid w:val="00170AEA"/>
    <w:rsid w:val="00174BBE"/>
    <w:rsid w:val="00175F43"/>
    <w:rsid w:val="00183A9D"/>
    <w:rsid w:val="00183F14"/>
    <w:rsid w:val="00184CA5"/>
    <w:rsid w:val="001863B5"/>
    <w:rsid w:val="001904C0"/>
    <w:rsid w:val="0019295A"/>
    <w:rsid w:val="00193291"/>
    <w:rsid w:val="0019576E"/>
    <w:rsid w:val="001963F1"/>
    <w:rsid w:val="001971AD"/>
    <w:rsid w:val="00197A18"/>
    <w:rsid w:val="001A00B4"/>
    <w:rsid w:val="001A017D"/>
    <w:rsid w:val="001A2583"/>
    <w:rsid w:val="001A4270"/>
    <w:rsid w:val="001A57B7"/>
    <w:rsid w:val="001B1CA9"/>
    <w:rsid w:val="001B2951"/>
    <w:rsid w:val="001B2A8B"/>
    <w:rsid w:val="001B454D"/>
    <w:rsid w:val="001B595C"/>
    <w:rsid w:val="001B69E4"/>
    <w:rsid w:val="001B6F67"/>
    <w:rsid w:val="001C0D23"/>
    <w:rsid w:val="001C3C29"/>
    <w:rsid w:val="001C3EDA"/>
    <w:rsid w:val="001C5C63"/>
    <w:rsid w:val="001D12F4"/>
    <w:rsid w:val="001D2389"/>
    <w:rsid w:val="001D2EDB"/>
    <w:rsid w:val="001D4D1F"/>
    <w:rsid w:val="001D5BD9"/>
    <w:rsid w:val="001E259C"/>
    <w:rsid w:val="001F05D0"/>
    <w:rsid w:val="001F15D6"/>
    <w:rsid w:val="001F2FB6"/>
    <w:rsid w:val="00200506"/>
    <w:rsid w:val="00200C28"/>
    <w:rsid w:val="00201707"/>
    <w:rsid w:val="0020319C"/>
    <w:rsid w:val="00211442"/>
    <w:rsid w:val="00217324"/>
    <w:rsid w:val="002212D3"/>
    <w:rsid w:val="00223521"/>
    <w:rsid w:val="002246FB"/>
    <w:rsid w:val="00224DB1"/>
    <w:rsid w:val="0022632D"/>
    <w:rsid w:val="0023001A"/>
    <w:rsid w:val="00240627"/>
    <w:rsid w:val="00246237"/>
    <w:rsid w:val="00247755"/>
    <w:rsid w:val="00250112"/>
    <w:rsid w:val="00250ECE"/>
    <w:rsid w:val="00253112"/>
    <w:rsid w:val="002572F7"/>
    <w:rsid w:val="00267261"/>
    <w:rsid w:val="0027006E"/>
    <w:rsid w:val="00270486"/>
    <w:rsid w:val="00271B40"/>
    <w:rsid w:val="00271C79"/>
    <w:rsid w:val="00274FE2"/>
    <w:rsid w:val="00275772"/>
    <w:rsid w:val="00277A53"/>
    <w:rsid w:val="00284611"/>
    <w:rsid w:val="00284F00"/>
    <w:rsid w:val="00290C53"/>
    <w:rsid w:val="0029274E"/>
    <w:rsid w:val="0029345F"/>
    <w:rsid w:val="002A1747"/>
    <w:rsid w:val="002A1DAB"/>
    <w:rsid w:val="002A2422"/>
    <w:rsid w:val="002A3E0F"/>
    <w:rsid w:val="002A7465"/>
    <w:rsid w:val="002B0D3F"/>
    <w:rsid w:val="002B28A4"/>
    <w:rsid w:val="002B3BC0"/>
    <w:rsid w:val="002B53F8"/>
    <w:rsid w:val="002B69E4"/>
    <w:rsid w:val="002B70A3"/>
    <w:rsid w:val="002C0C9F"/>
    <w:rsid w:val="002C19BF"/>
    <w:rsid w:val="002C3F92"/>
    <w:rsid w:val="002C61F5"/>
    <w:rsid w:val="002C6D12"/>
    <w:rsid w:val="002C6FAF"/>
    <w:rsid w:val="002D0313"/>
    <w:rsid w:val="002D0691"/>
    <w:rsid w:val="002D4903"/>
    <w:rsid w:val="002D79C7"/>
    <w:rsid w:val="002E6060"/>
    <w:rsid w:val="002F1901"/>
    <w:rsid w:val="002F5DCE"/>
    <w:rsid w:val="002F7446"/>
    <w:rsid w:val="00300365"/>
    <w:rsid w:val="00302D4B"/>
    <w:rsid w:val="0030586E"/>
    <w:rsid w:val="00307EBE"/>
    <w:rsid w:val="00312F3D"/>
    <w:rsid w:val="00312F7A"/>
    <w:rsid w:val="003160B0"/>
    <w:rsid w:val="00316BE6"/>
    <w:rsid w:val="00316F6F"/>
    <w:rsid w:val="00317679"/>
    <w:rsid w:val="00317ED3"/>
    <w:rsid w:val="00320A3E"/>
    <w:rsid w:val="003238BE"/>
    <w:rsid w:val="0033188B"/>
    <w:rsid w:val="0033252A"/>
    <w:rsid w:val="003334AF"/>
    <w:rsid w:val="00337492"/>
    <w:rsid w:val="003375F1"/>
    <w:rsid w:val="003400D7"/>
    <w:rsid w:val="00342F27"/>
    <w:rsid w:val="00350771"/>
    <w:rsid w:val="003518FA"/>
    <w:rsid w:val="003523AF"/>
    <w:rsid w:val="0035342F"/>
    <w:rsid w:val="00353D64"/>
    <w:rsid w:val="00355BD2"/>
    <w:rsid w:val="003574B1"/>
    <w:rsid w:val="00360464"/>
    <w:rsid w:val="0036168A"/>
    <w:rsid w:val="0036236E"/>
    <w:rsid w:val="003641CD"/>
    <w:rsid w:val="00364813"/>
    <w:rsid w:val="00366524"/>
    <w:rsid w:val="003720C9"/>
    <w:rsid w:val="00372AE5"/>
    <w:rsid w:val="00377423"/>
    <w:rsid w:val="00377938"/>
    <w:rsid w:val="00377D6F"/>
    <w:rsid w:val="0039361E"/>
    <w:rsid w:val="00394DD8"/>
    <w:rsid w:val="00396139"/>
    <w:rsid w:val="003961B4"/>
    <w:rsid w:val="00396500"/>
    <w:rsid w:val="00396F45"/>
    <w:rsid w:val="00397A31"/>
    <w:rsid w:val="00397AD9"/>
    <w:rsid w:val="003A0186"/>
    <w:rsid w:val="003A04A0"/>
    <w:rsid w:val="003A32F0"/>
    <w:rsid w:val="003B1C3D"/>
    <w:rsid w:val="003B336C"/>
    <w:rsid w:val="003B57E0"/>
    <w:rsid w:val="003B5F1B"/>
    <w:rsid w:val="003B7EFB"/>
    <w:rsid w:val="003C41F3"/>
    <w:rsid w:val="003C5B7D"/>
    <w:rsid w:val="003C7E77"/>
    <w:rsid w:val="003D00A8"/>
    <w:rsid w:val="003D0620"/>
    <w:rsid w:val="003D1DCA"/>
    <w:rsid w:val="003D3293"/>
    <w:rsid w:val="003D3333"/>
    <w:rsid w:val="003D5002"/>
    <w:rsid w:val="003D5CD8"/>
    <w:rsid w:val="003D7EB2"/>
    <w:rsid w:val="003E23F3"/>
    <w:rsid w:val="003E2D3C"/>
    <w:rsid w:val="003E31A7"/>
    <w:rsid w:val="003E4198"/>
    <w:rsid w:val="003E5CD5"/>
    <w:rsid w:val="003E6943"/>
    <w:rsid w:val="003E75A6"/>
    <w:rsid w:val="003F0D08"/>
    <w:rsid w:val="003F2FAE"/>
    <w:rsid w:val="003F490C"/>
    <w:rsid w:val="003F666A"/>
    <w:rsid w:val="003F6FF6"/>
    <w:rsid w:val="0040163A"/>
    <w:rsid w:val="00402C5C"/>
    <w:rsid w:val="0040650C"/>
    <w:rsid w:val="00406A27"/>
    <w:rsid w:val="004078BD"/>
    <w:rsid w:val="00407E39"/>
    <w:rsid w:val="004108FD"/>
    <w:rsid w:val="00415579"/>
    <w:rsid w:val="004164C0"/>
    <w:rsid w:val="0042033E"/>
    <w:rsid w:val="00422EF0"/>
    <w:rsid w:val="00423A51"/>
    <w:rsid w:val="00424B0F"/>
    <w:rsid w:val="00425819"/>
    <w:rsid w:val="00425ABB"/>
    <w:rsid w:val="00425E89"/>
    <w:rsid w:val="00426821"/>
    <w:rsid w:val="00427A61"/>
    <w:rsid w:val="00430B60"/>
    <w:rsid w:val="0043225A"/>
    <w:rsid w:val="0043439F"/>
    <w:rsid w:val="00436122"/>
    <w:rsid w:val="0044143B"/>
    <w:rsid w:val="00442E4B"/>
    <w:rsid w:val="00443EFA"/>
    <w:rsid w:val="00446491"/>
    <w:rsid w:val="004464EB"/>
    <w:rsid w:val="004478BD"/>
    <w:rsid w:val="004578B5"/>
    <w:rsid w:val="00465A7D"/>
    <w:rsid w:val="004733CC"/>
    <w:rsid w:val="004761A3"/>
    <w:rsid w:val="00481044"/>
    <w:rsid w:val="00481C97"/>
    <w:rsid w:val="004822BC"/>
    <w:rsid w:val="0048295D"/>
    <w:rsid w:val="004861A4"/>
    <w:rsid w:val="004866AA"/>
    <w:rsid w:val="00486F53"/>
    <w:rsid w:val="0048716B"/>
    <w:rsid w:val="004900B9"/>
    <w:rsid w:val="00490C27"/>
    <w:rsid w:val="004957C3"/>
    <w:rsid w:val="004962AC"/>
    <w:rsid w:val="00497306"/>
    <w:rsid w:val="00497A62"/>
    <w:rsid w:val="00497D20"/>
    <w:rsid w:val="004B425C"/>
    <w:rsid w:val="004B5478"/>
    <w:rsid w:val="004C0AAD"/>
    <w:rsid w:val="004C435A"/>
    <w:rsid w:val="004C77E8"/>
    <w:rsid w:val="004D130F"/>
    <w:rsid w:val="004D4B62"/>
    <w:rsid w:val="004D6008"/>
    <w:rsid w:val="004D77D6"/>
    <w:rsid w:val="004D79BE"/>
    <w:rsid w:val="004E19BF"/>
    <w:rsid w:val="004E39F3"/>
    <w:rsid w:val="004E3A5B"/>
    <w:rsid w:val="004E3C43"/>
    <w:rsid w:val="004E510E"/>
    <w:rsid w:val="004F05AC"/>
    <w:rsid w:val="004F0F15"/>
    <w:rsid w:val="004F1CA8"/>
    <w:rsid w:val="00501C92"/>
    <w:rsid w:val="005024B8"/>
    <w:rsid w:val="00504677"/>
    <w:rsid w:val="005078F1"/>
    <w:rsid w:val="0051604C"/>
    <w:rsid w:val="00516D95"/>
    <w:rsid w:val="00517689"/>
    <w:rsid w:val="00525DF3"/>
    <w:rsid w:val="0053049F"/>
    <w:rsid w:val="0053191E"/>
    <w:rsid w:val="00532550"/>
    <w:rsid w:val="005340F7"/>
    <w:rsid w:val="005412BB"/>
    <w:rsid w:val="00542614"/>
    <w:rsid w:val="00542B0C"/>
    <w:rsid w:val="00546631"/>
    <w:rsid w:val="005524B2"/>
    <w:rsid w:val="005529A9"/>
    <w:rsid w:val="00560B6D"/>
    <w:rsid w:val="005615FF"/>
    <w:rsid w:val="00563633"/>
    <w:rsid w:val="005643C1"/>
    <w:rsid w:val="005647EB"/>
    <w:rsid w:val="005649EE"/>
    <w:rsid w:val="005757EF"/>
    <w:rsid w:val="00575E54"/>
    <w:rsid w:val="0058027B"/>
    <w:rsid w:val="005834AE"/>
    <w:rsid w:val="00583E3D"/>
    <w:rsid w:val="0058476B"/>
    <w:rsid w:val="00585F82"/>
    <w:rsid w:val="00586479"/>
    <w:rsid w:val="00586647"/>
    <w:rsid w:val="00594848"/>
    <w:rsid w:val="0059515A"/>
    <w:rsid w:val="00595A68"/>
    <w:rsid w:val="00596039"/>
    <w:rsid w:val="005A0529"/>
    <w:rsid w:val="005A1B3B"/>
    <w:rsid w:val="005A3244"/>
    <w:rsid w:val="005A4CDA"/>
    <w:rsid w:val="005A520B"/>
    <w:rsid w:val="005A63D0"/>
    <w:rsid w:val="005A72C4"/>
    <w:rsid w:val="005B07CC"/>
    <w:rsid w:val="005B0EB8"/>
    <w:rsid w:val="005B3B6E"/>
    <w:rsid w:val="005B40B5"/>
    <w:rsid w:val="005B4166"/>
    <w:rsid w:val="005B4B1A"/>
    <w:rsid w:val="005C0C92"/>
    <w:rsid w:val="005C218A"/>
    <w:rsid w:val="005C2819"/>
    <w:rsid w:val="005C3DA6"/>
    <w:rsid w:val="005C3EF8"/>
    <w:rsid w:val="005C69F9"/>
    <w:rsid w:val="005C6BAA"/>
    <w:rsid w:val="005C7654"/>
    <w:rsid w:val="005D0EE9"/>
    <w:rsid w:val="005D5136"/>
    <w:rsid w:val="005D63C9"/>
    <w:rsid w:val="005E1D3D"/>
    <w:rsid w:val="005E36D2"/>
    <w:rsid w:val="005E44EE"/>
    <w:rsid w:val="005F0AAA"/>
    <w:rsid w:val="005F1827"/>
    <w:rsid w:val="005F339E"/>
    <w:rsid w:val="005F5328"/>
    <w:rsid w:val="005F6431"/>
    <w:rsid w:val="00600D70"/>
    <w:rsid w:val="0060127F"/>
    <w:rsid w:val="006068DE"/>
    <w:rsid w:val="006103DB"/>
    <w:rsid w:val="00610727"/>
    <w:rsid w:val="00616058"/>
    <w:rsid w:val="00617B74"/>
    <w:rsid w:val="00621BCE"/>
    <w:rsid w:val="00621EBF"/>
    <w:rsid w:val="00627A4D"/>
    <w:rsid w:val="0063069E"/>
    <w:rsid w:val="00636332"/>
    <w:rsid w:val="00636344"/>
    <w:rsid w:val="00636F11"/>
    <w:rsid w:val="00637B68"/>
    <w:rsid w:val="006406F5"/>
    <w:rsid w:val="0064085B"/>
    <w:rsid w:val="006408ED"/>
    <w:rsid w:val="00640ECB"/>
    <w:rsid w:val="00646D6B"/>
    <w:rsid w:val="00646F6F"/>
    <w:rsid w:val="006503BB"/>
    <w:rsid w:val="00653F23"/>
    <w:rsid w:val="00655405"/>
    <w:rsid w:val="00660D55"/>
    <w:rsid w:val="00664D61"/>
    <w:rsid w:val="00665624"/>
    <w:rsid w:val="0066662D"/>
    <w:rsid w:val="0066733A"/>
    <w:rsid w:val="00667730"/>
    <w:rsid w:val="00673238"/>
    <w:rsid w:val="00673597"/>
    <w:rsid w:val="006757E9"/>
    <w:rsid w:val="00675E65"/>
    <w:rsid w:val="00676B41"/>
    <w:rsid w:val="00681133"/>
    <w:rsid w:val="00681444"/>
    <w:rsid w:val="00685241"/>
    <w:rsid w:val="00686D4F"/>
    <w:rsid w:val="0069137D"/>
    <w:rsid w:val="0069153E"/>
    <w:rsid w:val="006922E5"/>
    <w:rsid w:val="006928ED"/>
    <w:rsid w:val="006929C2"/>
    <w:rsid w:val="00692B58"/>
    <w:rsid w:val="0069387E"/>
    <w:rsid w:val="00693EB8"/>
    <w:rsid w:val="00695807"/>
    <w:rsid w:val="00695FA8"/>
    <w:rsid w:val="006962F8"/>
    <w:rsid w:val="00697295"/>
    <w:rsid w:val="00697D07"/>
    <w:rsid w:val="006A0281"/>
    <w:rsid w:val="006A0A01"/>
    <w:rsid w:val="006A3A42"/>
    <w:rsid w:val="006A5309"/>
    <w:rsid w:val="006A5EC2"/>
    <w:rsid w:val="006B0266"/>
    <w:rsid w:val="006B4086"/>
    <w:rsid w:val="006C102C"/>
    <w:rsid w:val="006C3FEB"/>
    <w:rsid w:val="006C62B2"/>
    <w:rsid w:val="006D15E2"/>
    <w:rsid w:val="006D2050"/>
    <w:rsid w:val="006D43F6"/>
    <w:rsid w:val="006D53CD"/>
    <w:rsid w:val="006D567A"/>
    <w:rsid w:val="006D7535"/>
    <w:rsid w:val="006E1C7E"/>
    <w:rsid w:val="006E27C9"/>
    <w:rsid w:val="006E2F25"/>
    <w:rsid w:val="006E5A87"/>
    <w:rsid w:val="006E5EB4"/>
    <w:rsid w:val="006E7FEC"/>
    <w:rsid w:val="006F3E72"/>
    <w:rsid w:val="006F4490"/>
    <w:rsid w:val="006F5743"/>
    <w:rsid w:val="006F6381"/>
    <w:rsid w:val="00701941"/>
    <w:rsid w:val="00701B3F"/>
    <w:rsid w:val="00702AB1"/>
    <w:rsid w:val="0070335F"/>
    <w:rsid w:val="00703FCD"/>
    <w:rsid w:val="00704A75"/>
    <w:rsid w:val="00704FE3"/>
    <w:rsid w:val="007056BE"/>
    <w:rsid w:val="0070748E"/>
    <w:rsid w:val="0071396B"/>
    <w:rsid w:val="007143EA"/>
    <w:rsid w:val="007153BC"/>
    <w:rsid w:val="00715728"/>
    <w:rsid w:val="00715EA4"/>
    <w:rsid w:val="00717286"/>
    <w:rsid w:val="00721310"/>
    <w:rsid w:val="007216E7"/>
    <w:rsid w:val="0072237B"/>
    <w:rsid w:val="007263B4"/>
    <w:rsid w:val="007267B3"/>
    <w:rsid w:val="00736D19"/>
    <w:rsid w:val="00741BC6"/>
    <w:rsid w:val="0074232E"/>
    <w:rsid w:val="00743960"/>
    <w:rsid w:val="0074540C"/>
    <w:rsid w:val="0075277E"/>
    <w:rsid w:val="007532F6"/>
    <w:rsid w:val="007534EB"/>
    <w:rsid w:val="007537FF"/>
    <w:rsid w:val="0075467D"/>
    <w:rsid w:val="007546CD"/>
    <w:rsid w:val="00754C9A"/>
    <w:rsid w:val="00761A8D"/>
    <w:rsid w:val="00762412"/>
    <w:rsid w:val="007673B0"/>
    <w:rsid w:val="00770969"/>
    <w:rsid w:val="00770FF8"/>
    <w:rsid w:val="007727AA"/>
    <w:rsid w:val="00772D67"/>
    <w:rsid w:val="00773806"/>
    <w:rsid w:val="00773CBF"/>
    <w:rsid w:val="007754ED"/>
    <w:rsid w:val="00785A85"/>
    <w:rsid w:val="0079294E"/>
    <w:rsid w:val="00793655"/>
    <w:rsid w:val="00793721"/>
    <w:rsid w:val="0079510B"/>
    <w:rsid w:val="00795B53"/>
    <w:rsid w:val="00796B28"/>
    <w:rsid w:val="007A5993"/>
    <w:rsid w:val="007B04C1"/>
    <w:rsid w:val="007B1D9F"/>
    <w:rsid w:val="007B33F1"/>
    <w:rsid w:val="007B60FD"/>
    <w:rsid w:val="007B6376"/>
    <w:rsid w:val="007C1C15"/>
    <w:rsid w:val="007C1D1B"/>
    <w:rsid w:val="007C3B62"/>
    <w:rsid w:val="007C5648"/>
    <w:rsid w:val="007D0D46"/>
    <w:rsid w:val="007D38B4"/>
    <w:rsid w:val="007D711F"/>
    <w:rsid w:val="007E40F8"/>
    <w:rsid w:val="007E5F3B"/>
    <w:rsid w:val="007E6C63"/>
    <w:rsid w:val="007F064A"/>
    <w:rsid w:val="007F0878"/>
    <w:rsid w:val="007F1CBC"/>
    <w:rsid w:val="007F305E"/>
    <w:rsid w:val="007F3CD1"/>
    <w:rsid w:val="007F4BE5"/>
    <w:rsid w:val="007F74F9"/>
    <w:rsid w:val="007F79C3"/>
    <w:rsid w:val="00801AFD"/>
    <w:rsid w:val="00803C90"/>
    <w:rsid w:val="00804924"/>
    <w:rsid w:val="00805646"/>
    <w:rsid w:val="00805815"/>
    <w:rsid w:val="00807B6A"/>
    <w:rsid w:val="00812E83"/>
    <w:rsid w:val="0081332A"/>
    <w:rsid w:val="00813C05"/>
    <w:rsid w:val="008156F0"/>
    <w:rsid w:val="00816161"/>
    <w:rsid w:val="008257C6"/>
    <w:rsid w:val="008257FD"/>
    <w:rsid w:val="00827AEF"/>
    <w:rsid w:val="00833D87"/>
    <w:rsid w:val="00836306"/>
    <w:rsid w:val="00836A09"/>
    <w:rsid w:val="00840EA3"/>
    <w:rsid w:val="00843559"/>
    <w:rsid w:val="008447F1"/>
    <w:rsid w:val="00846B7F"/>
    <w:rsid w:val="00847680"/>
    <w:rsid w:val="00851E3D"/>
    <w:rsid w:val="0085275A"/>
    <w:rsid w:val="00853646"/>
    <w:rsid w:val="0085681D"/>
    <w:rsid w:val="008618B3"/>
    <w:rsid w:val="0086534F"/>
    <w:rsid w:val="0087016B"/>
    <w:rsid w:val="008715B9"/>
    <w:rsid w:val="00872157"/>
    <w:rsid w:val="008728AF"/>
    <w:rsid w:val="008751E1"/>
    <w:rsid w:val="008764B9"/>
    <w:rsid w:val="008772C8"/>
    <w:rsid w:val="008777B4"/>
    <w:rsid w:val="0088030E"/>
    <w:rsid w:val="00880E5D"/>
    <w:rsid w:val="008814C6"/>
    <w:rsid w:val="00881A18"/>
    <w:rsid w:val="0088668D"/>
    <w:rsid w:val="00887FA3"/>
    <w:rsid w:val="00892BC6"/>
    <w:rsid w:val="008952E3"/>
    <w:rsid w:val="008A0022"/>
    <w:rsid w:val="008A42F1"/>
    <w:rsid w:val="008A7D71"/>
    <w:rsid w:val="008B3437"/>
    <w:rsid w:val="008B35F7"/>
    <w:rsid w:val="008B429C"/>
    <w:rsid w:val="008B62D4"/>
    <w:rsid w:val="008B68CE"/>
    <w:rsid w:val="008B7077"/>
    <w:rsid w:val="008B7E8E"/>
    <w:rsid w:val="008C125D"/>
    <w:rsid w:val="008C1443"/>
    <w:rsid w:val="008D09FB"/>
    <w:rsid w:val="008D32BA"/>
    <w:rsid w:val="008D3530"/>
    <w:rsid w:val="008D5825"/>
    <w:rsid w:val="008E1349"/>
    <w:rsid w:val="008E3E05"/>
    <w:rsid w:val="008E4F71"/>
    <w:rsid w:val="008E5F67"/>
    <w:rsid w:val="008F1E4F"/>
    <w:rsid w:val="008F3AA8"/>
    <w:rsid w:val="0090079C"/>
    <w:rsid w:val="0090091D"/>
    <w:rsid w:val="00901D59"/>
    <w:rsid w:val="00902174"/>
    <w:rsid w:val="00902BA9"/>
    <w:rsid w:val="00907005"/>
    <w:rsid w:val="00912945"/>
    <w:rsid w:val="00913166"/>
    <w:rsid w:val="0091463B"/>
    <w:rsid w:val="0091555A"/>
    <w:rsid w:val="00915E42"/>
    <w:rsid w:val="00921A4C"/>
    <w:rsid w:val="009260AF"/>
    <w:rsid w:val="009302CF"/>
    <w:rsid w:val="00931D12"/>
    <w:rsid w:val="00931EA3"/>
    <w:rsid w:val="0093238C"/>
    <w:rsid w:val="00932C6D"/>
    <w:rsid w:val="00932ECF"/>
    <w:rsid w:val="00933B60"/>
    <w:rsid w:val="00934BE3"/>
    <w:rsid w:val="00934DF3"/>
    <w:rsid w:val="009371AA"/>
    <w:rsid w:val="009435A6"/>
    <w:rsid w:val="0094522E"/>
    <w:rsid w:val="00945E3D"/>
    <w:rsid w:val="00946F0C"/>
    <w:rsid w:val="0094748F"/>
    <w:rsid w:val="00952A52"/>
    <w:rsid w:val="00960764"/>
    <w:rsid w:val="0096081E"/>
    <w:rsid w:val="00961243"/>
    <w:rsid w:val="00964162"/>
    <w:rsid w:val="00964590"/>
    <w:rsid w:val="00965236"/>
    <w:rsid w:val="00967288"/>
    <w:rsid w:val="00973666"/>
    <w:rsid w:val="00976D59"/>
    <w:rsid w:val="00977859"/>
    <w:rsid w:val="00977AAA"/>
    <w:rsid w:val="009814A3"/>
    <w:rsid w:val="009818E8"/>
    <w:rsid w:val="00982665"/>
    <w:rsid w:val="0098333F"/>
    <w:rsid w:val="009833AF"/>
    <w:rsid w:val="0098521C"/>
    <w:rsid w:val="009855B8"/>
    <w:rsid w:val="00986298"/>
    <w:rsid w:val="009877F5"/>
    <w:rsid w:val="0099106E"/>
    <w:rsid w:val="009914F0"/>
    <w:rsid w:val="009951AE"/>
    <w:rsid w:val="00995BFD"/>
    <w:rsid w:val="009A42DE"/>
    <w:rsid w:val="009A4567"/>
    <w:rsid w:val="009A503F"/>
    <w:rsid w:val="009A6512"/>
    <w:rsid w:val="009B047E"/>
    <w:rsid w:val="009B05AB"/>
    <w:rsid w:val="009B0C9F"/>
    <w:rsid w:val="009B28A2"/>
    <w:rsid w:val="009C2395"/>
    <w:rsid w:val="009C7BA5"/>
    <w:rsid w:val="009D02CE"/>
    <w:rsid w:val="009D1E8C"/>
    <w:rsid w:val="009D2EAB"/>
    <w:rsid w:val="009D4A2C"/>
    <w:rsid w:val="009D58A6"/>
    <w:rsid w:val="009D6F65"/>
    <w:rsid w:val="009E2C87"/>
    <w:rsid w:val="009E2CC1"/>
    <w:rsid w:val="009E2D93"/>
    <w:rsid w:val="009E3B68"/>
    <w:rsid w:val="009E77C2"/>
    <w:rsid w:val="009F3C1A"/>
    <w:rsid w:val="009F5B4D"/>
    <w:rsid w:val="00A00E8E"/>
    <w:rsid w:val="00A04F2B"/>
    <w:rsid w:val="00A064F8"/>
    <w:rsid w:val="00A07996"/>
    <w:rsid w:val="00A07DE4"/>
    <w:rsid w:val="00A104FB"/>
    <w:rsid w:val="00A10FCB"/>
    <w:rsid w:val="00A14962"/>
    <w:rsid w:val="00A14B60"/>
    <w:rsid w:val="00A14FBB"/>
    <w:rsid w:val="00A200A7"/>
    <w:rsid w:val="00A2399B"/>
    <w:rsid w:val="00A23F6C"/>
    <w:rsid w:val="00A25238"/>
    <w:rsid w:val="00A25624"/>
    <w:rsid w:val="00A26312"/>
    <w:rsid w:val="00A26F74"/>
    <w:rsid w:val="00A27C59"/>
    <w:rsid w:val="00A30724"/>
    <w:rsid w:val="00A35C74"/>
    <w:rsid w:val="00A403EA"/>
    <w:rsid w:val="00A43B61"/>
    <w:rsid w:val="00A45BC8"/>
    <w:rsid w:val="00A47E5C"/>
    <w:rsid w:val="00A5287C"/>
    <w:rsid w:val="00A52F24"/>
    <w:rsid w:val="00A5371B"/>
    <w:rsid w:val="00A53C2A"/>
    <w:rsid w:val="00A5491A"/>
    <w:rsid w:val="00A564A7"/>
    <w:rsid w:val="00A60766"/>
    <w:rsid w:val="00A6424B"/>
    <w:rsid w:val="00A66BD8"/>
    <w:rsid w:val="00A72825"/>
    <w:rsid w:val="00A73DC7"/>
    <w:rsid w:val="00A74CDA"/>
    <w:rsid w:val="00A7775C"/>
    <w:rsid w:val="00A86C60"/>
    <w:rsid w:val="00A926F1"/>
    <w:rsid w:val="00A9331B"/>
    <w:rsid w:val="00A938B7"/>
    <w:rsid w:val="00A94802"/>
    <w:rsid w:val="00A974CA"/>
    <w:rsid w:val="00A97BCA"/>
    <w:rsid w:val="00A97DA9"/>
    <w:rsid w:val="00AA45A4"/>
    <w:rsid w:val="00AA5DE7"/>
    <w:rsid w:val="00AB2BBC"/>
    <w:rsid w:val="00AB504A"/>
    <w:rsid w:val="00AB5B4C"/>
    <w:rsid w:val="00AB6262"/>
    <w:rsid w:val="00AC1467"/>
    <w:rsid w:val="00AC2FB8"/>
    <w:rsid w:val="00AC4176"/>
    <w:rsid w:val="00AC558C"/>
    <w:rsid w:val="00AC5F7C"/>
    <w:rsid w:val="00AC65E9"/>
    <w:rsid w:val="00AD0CD0"/>
    <w:rsid w:val="00AD124F"/>
    <w:rsid w:val="00AE2162"/>
    <w:rsid w:val="00AE2331"/>
    <w:rsid w:val="00AE3A41"/>
    <w:rsid w:val="00AF1419"/>
    <w:rsid w:val="00AF440F"/>
    <w:rsid w:val="00AF4C52"/>
    <w:rsid w:val="00AF6247"/>
    <w:rsid w:val="00AF6856"/>
    <w:rsid w:val="00AF6A11"/>
    <w:rsid w:val="00AF7268"/>
    <w:rsid w:val="00AF7C45"/>
    <w:rsid w:val="00B0060A"/>
    <w:rsid w:val="00B06443"/>
    <w:rsid w:val="00B07A77"/>
    <w:rsid w:val="00B10E02"/>
    <w:rsid w:val="00B11559"/>
    <w:rsid w:val="00B11A0D"/>
    <w:rsid w:val="00B11DF6"/>
    <w:rsid w:val="00B14E1E"/>
    <w:rsid w:val="00B1647E"/>
    <w:rsid w:val="00B166F2"/>
    <w:rsid w:val="00B17CEE"/>
    <w:rsid w:val="00B22095"/>
    <w:rsid w:val="00B22637"/>
    <w:rsid w:val="00B22799"/>
    <w:rsid w:val="00B24C8F"/>
    <w:rsid w:val="00B25863"/>
    <w:rsid w:val="00B35095"/>
    <w:rsid w:val="00B36AFB"/>
    <w:rsid w:val="00B41326"/>
    <w:rsid w:val="00B43D61"/>
    <w:rsid w:val="00B474B5"/>
    <w:rsid w:val="00B50CA7"/>
    <w:rsid w:val="00B50D30"/>
    <w:rsid w:val="00B52AD8"/>
    <w:rsid w:val="00B52C72"/>
    <w:rsid w:val="00B55F41"/>
    <w:rsid w:val="00B572C5"/>
    <w:rsid w:val="00B60A18"/>
    <w:rsid w:val="00B62111"/>
    <w:rsid w:val="00B62653"/>
    <w:rsid w:val="00B64994"/>
    <w:rsid w:val="00B66B5B"/>
    <w:rsid w:val="00B7037D"/>
    <w:rsid w:val="00B71C3E"/>
    <w:rsid w:val="00B71F67"/>
    <w:rsid w:val="00B7286F"/>
    <w:rsid w:val="00B72DD5"/>
    <w:rsid w:val="00B73BB8"/>
    <w:rsid w:val="00B74369"/>
    <w:rsid w:val="00B743B7"/>
    <w:rsid w:val="00B74AC5"/>
    <w:rsid w:val="00B77283"/>
    <w:rsid w:val="00B77C31"/>
    <w:rsid w:val="00B81DD0"/>
    <w:rsid w:val="00B859E2"/>
    <w:rsid w:val="00B86701"/>
    <w:rsid w:val="00B87839"/>
    <w:rsid w:val="00B92F54"/>
    <w:rsid w:val="00B93922"/>
    <w:rsid w:val="00B9479A"/>
    <w:rsid w:val="00BA18EF"/>
    <w:rsid w:val="00BA36EF"/>
    <w:rsid w:val="00BA4259"/>
    <w:rsid w:val="00BA5205"/>
    <w:rsid w:val="00BA5917"/>
    <w:rsid w:val="00BA76D2"/>
    <w:rsid w:val="00BA7B34"/>
    <w:rsid w:val="00BA7CAC"/>
    <w:rsid w:val="00BB1574"/>
    <w:rsid w:val="00BB1A75"/>
    <w:rsid w:val="00BB1BA3"/>
    <w:rsid w:val="00BB295A"/>
    <w:rsid w:val="00BB2D07"/>
    <w:rsid w:val="00BB3F03"/>
    <w:rsid w:val="00BB5800"/>
    <w:rsid w:val="00BC2C6E"/>
    <w:rsid w:val="00BC3249"/>
    <w:rsid w:val="00BC49C8"/>
    <w:rsid w:val="00BC556F"/>
    <w:rsid w:val="00BC7E0A"/>
    <w:rsid w:val="00BC7F19"/>
    <w:rsid w:val="00BD346C"/>
    <w:rsid w:val="00BD3E15"/>
    <w:rsid w:val="00BE10F8"/>
    <w:rsid w:val="00BE3345"/>
    <w:rsid w:val="00BE6B3A"/>
    <w:rsid w:val="00BE6CD9"/>
    <w:rsid w:val="00BE6E18"/>
    <w:rsid w:val="00BE7094"/>
    <w:rsid w:val="00BE7C84"/>
    <w:rsid w:val="00BF1BFB"/>
    <w:rsid w:val="00BF32FE"/>
    <w:rsid w:val="00BF6E6C"/>
    <w:rsid w:val="00C049B6"/>
    <w:rsid w:val="00C04E11"/>
    <w:rsid w:val="00C079DC"/>
    <w:rsid w:val="00C1305E"/>
    <w:rsid w:val="00C14163"/>
    <w:rsid w:val="00C15DB3"/>
    <w:rsid w:val="00C16AE9"/>
    <w:rsid w:val="00C16F3E"/>
    <w:rsid w:val="00C17849"/>
    <w:rsid w:val="00C20670"/>
    <w:rsid w:val="00C23E5C"/>
    <w:rsid w:val="00C26138"/>
    <w:rsid w:val="00C268CF"/>
    <w:rsid w:val="00C276DE"/>
    <w:rsid w:val="00C30B0E"/>
    <w:rsid w:val="00C332D8"/>
    <w:rsid w:val="00C338D5"/>
    <w:rsid w:val="00C433AB"/>
    <w:rsid w:val="00C43684"/>
    <w:rsid w:val="00C43897"/>
    <w:rsid w:val="00C45C28"/>
    <w:rsid w:val="00C46939"/>
    <w:rsid w:val="00C50B76"/>
    <w:rsid w:val="00C53304"/>
    <w:rsid w:val="00C53D9C"/>
    <w:rsid w:val="00C615DC"/>
    <w:rsid w:val="00C61FB7"/>
    <w:rsid w:val="00C620C6"/>
    <w:rsid w:val="00C655B1"/>
    <w:rsid w:val="00C66F55"/>
    <w:rsid w:val="00C70AF9"/>
    <w:rsid w:val="00C75DE5"/>
    <w:rsid w:val="00C831DF"/>
    <w:rsid w:val="00C8536A"/>
    <w:rsid w:val="00C864A0"/>
    <w:rsid w:val="00C870C2"/>
    <w:rsid w:val="00C87829"/>
    <w:rsid w:val="00C90C19"/>
    <w:rsid w:val="00C92341"/>
    <w:rsid w:val="00C936C7"/>
    <w:rsid w:val="00C94C82"/>
    <w:rsid w:val="00C94FA7"/>
    <w:rsid w:val="00C95285"/>
    <w:rsid w:val="00C9562E"/>
    <w:rsid w:val="00C959D9"/>
    <w:rsid w:val="00C962EA"/>
    <w:rsid w:val="00CA15C8"/>
    <w:rsid w:val="00CA22A7"/>
    <w:rsid w:val="00CB0894"/>
    <w:rsid w:val="00CB2308"/>
    <w:rsid w:val="00CB3907"/>
    <w:rsid w:val="00CB592D"/>
    <w:rsid w:val="00CC20DE"/>
    <w:rsid w:val="00CC26FE"/>
    <w:rsid w:val="00CC5E93"/>
    <w:rsid w:val="00CD0AA1"/>
    <w:rsid w:val="00CD2150"/>
    <w:rsid w:val="00CD44B7"/>
    <w:rsid w:val="00CD4AF2"/>
    <w:rsid w:val="00CD4E02"/>
    <w:rsid w:val="00CD6E87"/>
    <w:rsid w:val="00CE06D8"/>
    <w:rsid w:val="00CE08DA"/>
    <w:rsid w:val="00CE0985"/>
    <w:rsid w:val="00CE0EB4"/>
    <w:rsid w:val="00CE2729"/>
    <w:rsid w:val="00CE2B88"/>
    <w:rsid w:val="00CE432D"/>
    <w:rsid w:val="00CE4D34"/>
    <w:rsid w:val="00CE555A"/>
    <w:rsid w:val="00CE633D"/>
    <w:rsid w:val="00CE7C7F"/>
    <w:rsid w:val="00CF085E"/>
    <w:rsid w:val="00CF15B0"/>
    <w:rsid w:val="00CF1679"/>
    <w:rsid w:val="00CF4C32"/>
    <w:rsid w:val="00CF4CBA"/>
    <w:rsid w:val="00CF6C64"/>
    <w:rsid w:val="00CF6CEF"/>
    <w:rsid w:val="00D018E7"/>
    <w:rsid w:val="00D020BE"/>
    <w:rsid w:val="00D03383"/>
    <w:rsid w:val="00D0393C"/>
    <w:rsid w:val="00D063ED"/>
    <w:rsid w:val="00D06663"/>
    <w:rsid w:val="00D07E8E"/>
    <w:rsid w:val="00D13626"/>
    <w:rsid w:val="00D158FA"/>
    <w:rsid w:val="00D20648"/>
    <w:rsid w:val="00D20FD9"/>
    <w:rsid w:val="00D2236B"/>
    <w:rsid w:val="00D229C7"/>
    <w:rsid w:val="00D234F2"/>
    <w:rsid w:val="00D23E2A"/>
    <w:rsid w:val="00D312DD"/>
    <w:rsid w:val="00D31980"/>
    <w:rsid w:val="00D41406"/>
    <w:rsid w:val="00D43F60"/>
    <w:rsid w:val="00D52450"/>
    <w:rsid w:val="00D52E6F"/>
    <w:rsid w:val="00D52E89"/>
    <w:rsid w:val="00D56B77"/>
    <w:rsid w:val="00D57B9C"/>
    <w:rsid w:val="00D60A73"/>
    <w:rsid w:val="00D60D75"/>
    <w:rsid w:val="00D640AB"/>
    <w:rsid w:val="00D6764B"/>
    <w:rsid w:val="00D73DBF"/>
    <w:rsid w:val="00D74314"/>
    <w:rsid w:val="00D75AC5"/>
    <w:rsid w:val="00D77882"/>
    <w:rsid w:val="00D85147"/>
    <w:rsid w:val="00D85971"/>
    <w:rsid w:val="00D87471"/>
    <w:rsid w:val="00D87A31"/>
    <w:rsid w:val="00D939C8"/>
    <w:rsid w:val="00D94846"/>
    <w:rsid w:val="00D96F7C"/>
    <w:rsid w:val="00D97AAF"/>
    <w:rsid w:val="00DA2BD2"/>
    <w:rsid w:val="00DA2EA3"/>
    <w:rsid w:val="00DA3F41"/>
    <w:rsid w:val="00DA485D"/>
    <w:rsid w:val="00DA5989"/>
    <w:rsid w:val="00DA6A24"/>
    <w:rsid w:val="00DB050E"/>
    <w:rsid w:val="00DB0DA7"/>
    <w:rsid w:val="00DB39A6"/>
    <w:rsid w:val="00DB6D0E"/>
    <w:rsid w:val="00DC0BD9"/>
    <w:rsid w:val="00DC122C"/>
    <w:rsid w:val="00DC29EB"/>
    <w:rsid w:val="00DC3B5F"/>
    <w:rsid w:val="00DC3D07"/>
    <w:rsid w:val="00DC58D6"/>
    <w:rsid w:val="00DC69F4"/>
    <w:rsid w:val="00DC7351"/>
    <w:rsid w:val="00DC7817"/>
    <w:rsid w:val="00DC7C5E"/>
    <w:rsid w:val="00DD0285"/>
    <w:rsid w:val="00DD351A"/>
    <w:rsid w:val="00DD3BCC"/>
    <w:rsid w:val="00DD4ABE"/>
    <w:rsid w:val="00DD4F49"/>
    <w:rsid w:val="00DD62E3"/>
    <w:rsid w:val="00DD77F2"/>
    <w:rsid w:val="00DD77F8"/>
    <w:rsid w:val="00DE061C"/>
    <w:rsid w:val="00DE0CAE"/>
    <w:rsid w:val="00DE3865"/>
    <w:rsid w:val="00DE3CD6"/>
    <w:rsid w:val="00DE3FBF"/>
    <w:rsid w:val="00DE4429"/>
    <w:rsid w:val="00DF1B3A"/>
    <w:rsid w:val="00DF56DD"/>
    <w:rsid w:val="00DF7EA9"/>
    <w:rsid w:val="00DF7F89"/>
    <w:rsid w:val="00E02324"/>
    <w:rsid w:val="00E02652"/>
    <w:rsid w:val="00E0354F"/>
    <w:rsid w:val="00E05D02"/>
    <w:rsid w:val="00E0736D"/>
    <w:rsid w:val="00E07AD9"/>
    <w:rsid w:val="00E07D7E"/>
    <w:rsid w:val="00E10142"/>
    <w:rsid w:val="00E11746"/>
    <w:rsid w:val="00E11A95"/>
    <w:rsid w:val="00E12771"/>
    <w:rsid w:val="00E13739"/>
    <w:rsid w:val="00E16F2A"/>
    <w:rsid w:val="00E208EB"/>
    <w:rsid w:val="00E21112"/>
    <w:rsid w:val="00E2410F"/>
    <w:rsid w:val="00E241C5"/>
    <w:rsid w:val="00E24257"/>
    <w:rsid w:val="00E31DDC"/>
    <w:rsid w:val="00E337E0"/>
    <w:rsid w:val="00E33A0A"/>
    <w:rsid w:val="00E35DF1"/>
    <w:rsid w:val="00E373AE"/>
    <w:rsid w:val="00E403DE"/>
    <w:rsid w:val="00E42287"/>
    <w:rsid w:val="00E43130"/>
    <w:rsid w:val="00E437BF"/>
    <w:rsid w:val="00E4507A"/>
    <w:rsid w:val="00E47D4A"/>
    <w:rsid w:val="00E50CBE"/>
    <w:rsid w:val="00E511E5"/>
    <w:rsid w:val="00E5273A"/>
    <w:rsid w:val="00E53B54"/>
    <w:rsid w:val="00E560FC"/>
    <w:rsid w:val="00E56E22"/>
    <w:rsid w:val="00E56F06"/>
    <w:rsid w:val="00E60E4F"/>
    <w:rsid w:val="00E61CC5"/>
    <w:rsid w:val="00E65E85"/>
    <w:rsid w:val="00E677D7"/>
    <w:rsid w:val="00E718A6"/>
    <w:rsid w:val="00E73954"/>
    <w:rsid w:val="00E73BD4"/>
    <w:rsid w:val="00E73CA1"/>
    <w:rsid w:val="00E75C22"/>
    <w:rsid w:val="00E8373D"/>
    <w:rsid w:val="00E85BF1"/>
    <w:rsid w:val="00E903B7"/>
    <w:rsid w:val="00E914CA"/>
    <w:rsid w:val="00E92611"/>
    <w:rsid w:val="00E92F8F"/>
    <w:rsid w:val="00E93D4F"/>
    <w:rsid w:val="00E956F1"/>
    <w:rsid w:val="00E95DFE"/>
    <w:rsid w:val="00EA07E7"/>
    <w:rsid w:val="00EA2945"/>
    <w:rsid w:val="00EA579F"/>
    <w:rsid w:val="00EA7533"/>
    <w:rsid w:val="00EA7579"/>
    <w:rsid w:val="00EB025E"/>
    <w:rsid w:val="00EB0D4C"/>
    <w:rsid w:val="00EB11D3"/>
    <w:rsid w:val="00EB2913"/>
    <w:rsid w:val="00EB40F1"/>
    <w:rsid w:val="00EB4AC2"/>
    <w:rsid w:val="00ED0653"/>
    <w:rsid w:val="00ED1315"/>
    <w:rsid w:val="00ED422B"/>
    <w:rsid w:val="00ED51A5"/>
    <w:rsid w:val="00ED5383"/>
    <w:rsid w:val="00ED5B6F"/>
    <w:rsid w:val="00ED78FA"/>
    <w:rsid w:val="00ED7E0D"/>
    <w:rsid w:val="00EE06A8"/>
    <w:rsid w:val="00EE07A1"/>
    <w:rsid w:val="00EE288D"/>
    <w:rsid w:val="00EE3173"/>
    <w:rsid w:val="00EE792F"/>
    <w:rsid w:val="00EE7B06"/>
    <w:rsid w:val="00EF106E"/>
    <w:rsid w:val="00EF46CE"/>
    <w:rsid w:val="00EF6BCF"/>
    <w:rsid w:val="00F00F2F"/>
    <w:rsid w:val="00F03388"/>
    <w:rsid w:val="00F04000"/>
    <w:rsid w:val="00F06F90"/>
    <w:rsid w:val="00F100ED"/>
    <w:rsid w:val="00F14ACC"/>
    <w:rsid w:val="00F16995"/>
    <w:rsid w:val="00F17EA4"/>
    <w:rsid w:val="00F23C5B"/>
    <w:rsid w:val="00F25930"/>
    <w:rsid w:val="00F2730B"/>
    <w:rsid w:val="00F27597"/>
    <w:rsid w:val="00F27933"/>
    <w:rsid w:val="00F3170A"/>
    <w:rsid w:val="00F32364"/>
    <w:rsid w:val="00F326F3"/>
    <w:rsid w:val="00F33C82"/>
    <w:rsid w:val="00F34334"/>
    <w:rsid w:val="00F4156E"/>
    <w:rsid w:val="00F50C5F"/>
    <w:rsid w:val="00F52639"/>
    <w:rsid w:val="00F526B3"/>
    <w:rsid w:val="00F5473E"/>
    <w:rsid w:val="00F548EA"/>
    <w:rsid w:val="00F61D79"/>
    <w:rsid w:val="00F65C7D"/>
    <w:rsid w:val="00F711FD"/>
    <w:rsid w:val="00F719E7"/>
    <w:rsid w:val="00F72149"/>
    <w:rsid w:val="00F732C1"/>
    <w:rsid w:val="00F73E44"/>
    <w:rsid w:val="00F73E4F"/>
    <w:rsid w:val="00F749A4"/>
    <w:rsid w:val="00F80C79"/>
    <w:rsid w:val="00F81115"/>
    <w:rsid w:val="00F81C9C"/>
    <w:rsid w:val="00F83A4D"/>
    <w:rsid w:val="00F857AD"/>
    <w:rsid w:val="00F86D4B"/>
    <w:rsid w:val="00F87374"/>
    <w:rsid w:val="00F93E2F"/>
    <w:rsid w:val="00F94875"/>
    <w:rsid w:val="00F94BBA"/>
    <w:rsid w:val="00F94F9E"/>
    <w:rsid w:val="00F95196"/>
    <w:rsid w:val="00F9550C"/>
    <w:rsid w:val="00FA1368"/>
    <w:rsid w:val="00FA1A79"/>
    <w:rsid w:val="00FA381C"/>
    <w:rsid w:val="00FA54B2"/>
    <w:rsid w:val="00FA5DE1"/>
    <w:rsid w:val="00FA7923"/>
    <w:rsid w:val="00FB13D3"/>
    <w:rsid w:val="00FB201E"/>
    <w:rsid w:val="00FB2882"/>
    <w:rsid w:val="00FB2918"/>
    <w:rsid w:val="00FB3250"/>
    <w:rsid w:val="00FB39D9"/>
    <w:rsid w:val="00FB3A40"/>
    <w:rsid w:val="00FB4494"/>
    <w:rsid w:val="00FB4E1F"/>
    <w:rsid w:val="00FB798A"/>
    <w:rsid w:val="00FC1069"/>
    <w:rsid w:val="00FC22BD"/>
    <w:rsid w:val="00FC31F4"/>
    <w:rsid w:val="00FC3FE1"/>
    <w:rsid w:val="00FC540D"/>
    <w:rsid w:val="00FC6064"/>
    <w:rsid w:val="00FC606D"/>
    <w:rsid w:val="00FC6CD4"/>
    <w:rsid w:val="00FC7881"/>
    <w:rsid w:val="00FC7B2C"/>
    <w:rsid w:val="00FC7B4D"/>
    <w:rsid w:val="00FD08E3"/>
    <w:rsid w:val="00FD28BB"/>
    <w:rsid w:val="00FD2FAD"/>
    <w:rsid w:val="00FD615C"/>
    <w:rsid w:val="00FD68A3"/>
    <w:rsid w:val="00FD7E38"/>
    <w:rsid w:val="00FE0051"/>
    <w:rsid w:val="00FE0269"/>
    <w:rsid w:val="00FE248F"/>
    <w:rsid w:val="00FE2CE1"/>
    <w:rsid w:val="00FE37CC"/>
    <w:rsid w:val="00FE64E2"/>
    <w:rsid w:val="00FE7D21"/>
    <w:rsid w:val="00FF337B"/>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A13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29"/>
    <w:lsdException w:name="heading 7" w:uiPriority="29" w:qFormat="1"/>
    <w:lsdException w:name="heading 8" w:uiPriority="29" w:qFormat="1"/>
    <w:lsdException w:name="heading 9" w:uiPriority="29" w:qFormat="1"/>
    <w:lsdException w:name="index 1" w:uiPriority="0"/>
    <w:lsdException w:name="index 2" w:uiPriority="0"/>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1" w:qFormat="1"/>
    <w:lsdException w:name="List Number" w:uiPriority="1" w:qFormat="1"/>
    <w:lsdException w:name="List Bullet 2" w:uiPriority="1" w:qFormat="1"/>
    <w:lsdException w:name="List Bullet 3" w:uiPriority="0"/>
    <w:lsdException w:name="List Number 2" w:uiPriority="1"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A2EA3"/>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DA2EA3"/>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DA2EA3"/>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DA2EA3"/>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DA2EA3"/>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DA2EA3"/>
    <w:pPr>
      <w:keepNext/>
      <w:spacing w:before="60" w:after="60"/>
      <w:outlineLvl w:val="4"/>
    </w:pPr>
    <w:rPr>
      <w:rFonts w:ascii="Arial" w:hAnsi="Arial"/>
      <w:bCs/>
      <w:i/>
      <w:iCs/>
      <w:sz w:val="22"/>
      <w:szCs w:val="26"/>
    </w:rPr>
  </w:style>
  <w:style w:type="paragraph" w:styleId="Heading6">
    <w:name w:val="heading 6"/>
    <w:aliases w:val="Appendix Heading 1"/>
    <w:next w:val="BodyText"/>
    <w:link w:val="Heading6Char"/>
    <w:uiPriority w:val="29"/>
    <w:rsid w:val="00197A18"/>
    <w:pPr>
      <w:keepNext/>
      <w:pageBreakBefore/>
      <w:spacing w:after="360" w:line="288" w:lineRule="auto"/>
      <w:outlineLvl w:val="5"/>
    </w:pPr>
    <w:rPr>
      <w:rFonts w:ascii="Calibri" w:hAnsi="Calibri"/>
      <w:b/>
      <w:bCs/>
      <w:color w:val="0087A2"/>
      <w:kern w:val="28"/>
      <w:sz w:val="44"/>
      <w:szCs w:val="44"/>
    </w:rPr>
  </w:style>
  <w:style w:type="paragraph" w:styleId="Heading7">
    <w:name w:val="heading 7"/>
    <w:aliases w:val="Appendix Heading 2"/>
    <w:next w:val="BodyText"/>
    <w:link w:val="Heading7Char"/>
    <w:uiPriority w:val="29"/>
    <w:rsid w:val="00197A18"/>
    <w:pPr>
      <w:keepNext/>
      <w:spacing w:before="360" w:after="240" w:line="288" w:lineRule="auto"/>
      <w:outlineLvl w:val="6"/>
    </w:pPr>
    <w:rPr>
      <w:rFonts w:ascii="Calibri" w:hAnsi="Calibri"/>
      <w:b/>
      <w:color w:val="C75B12"/>
      <w:kern w:val="28"/>
      <w:sz w:val="32"/>
      <w:szCs w:val="32"/>
    </w:rPr>
  </w:style>
  <w:style w:type="paragraph" w:styleId="Heading8">
    <w:name w:val="heading 8"/>
    <w:aliases w:val="Appendix Heading 3"/>
    <w:basedOn w:val="Heading3"/>
    <w:next w:val="BodyText"/>
    <w:link w:val="Heading8Char"/>
    <w:uiPriority w:val="29"/>
    <w:rsid w:val="00197A18"/>
    <w:pPr>
      <w:spacing w:before="120" w:line="288" w:lineRule="auto"/>
      <w:ind w:left="0" w:firstLine="0"/>
      <w:outlineLvl w:val="7"/>
    </w:pPr>
    <w:rPr>
      <w:rFonts w:ascii="Calibri" w:hAnsi="Calibri" w:cs="Times New Roman"/>
      <w:b/>
      <w:bCs w:val="0"/>
      <w:color w:val="14434B"/>
      <w:kern w:val="28"/>
      <w:szCs w:val="21"/>
    </w:rPr>
  </w:style>
  <w:style w:type="paragraph" w:styleId="Heading9">
    <w:name w:val="heading 9"/>
    <w:aliases w:val="Appendix Heading 4"/>
    <w:basedOn w:val="Heading4"/>
    <w:next w:val="BodyText"/>
    <w:link w:val="Heading9Char"/>
    <w:uiPriority w:val="29"/>
    <w:rsid w:val="00197A18"/>
    <w:pPr>
      <w:spacing w:before="120"/>
      <w:outlineLvl w:val="8"/>
    </w:pPr>
    <w:rPr>
      <w:rFonts w:ascii="Cambria" w:hAnsi="Cambria"/>
      <w:bCs w:val="0"/>
      <w:color w:val="000000"/>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DA2EA3"/>
    <w:pPr>
      <w:spacing w:after="600"/>
    </w:pPr>
    <w:rPr>
      <w:i/>
      <w:iCs/>
    </w:rPr>
  </w:style>
  <w:style w:type="paragraph" w:customStyle="1" w:styleId="PullQuote">
    <w:name w:val="PullQuote"/>
    <w:basedOn w:val="Normal"/>
    <w:next w:val="Normal"/>
    <w:rsid w:val="00DA2EA3"/>
    <w:rPr>
      <w:rFonts w:ascii="Trebuchet MS" w:hAnsi="Trebuchet MS"/>
      <w:b/>
      <w:i/>
      <w:color w:val="007FAD"/>
    </w:rPr>
  </w:style>
  <w:style w:type="paragraph" w:customStyle="1" w:styleId="ReportDate">
    <w:name w:val="ReportDate"/>
    <w:basedOn w:val="Normal"/>
    <w:rsid w:val="00DA2EA3"/>
    <w:pPr>
      <w:spacing w:before="960"/>
    </w:pPr>
    <w:rPr>
      <w:rFonts w:asciiTheme="minorHAnsi" w:hAnsiTheme="minorHAnsi"/>
      <w:sz w:val="28"/>
    </w:rPr>
  </w:style>
  <w:style w:type="paragraph" w:customStyle="1" w:styleId="Heading1a">
    <w:name w:val="Heading 1a"/>
    <w:basedOn w:val="Heading1"/>
    <w:next w:val="Normal"/>
    <w:rsid w:val="00DA2EA3"/>
    <w:pPr>
      <w:outlineLvl w:val="9"/>
    </w:pPr>
  </w:style>
  <w:style w:type="paragraph" w:customStyle="1" w:styleId="Heading2a">
    <w:name w:val="Heading 2a"/>
    <w:basedOn w:val="Heading2"/>
    <w:next w:val="Normal"/>
    <w:rsid w:val="00DA2EA3"/>
    <w:pPr>
      <w:ind w:left="0" w:firstLine="0"/>
      <w:outlineLvl w:val="9"/>
    </w:pPr>
  </w:style>
  <w:style w:type="paragraph" w:customStyle="1" w:styleId="Heading3a">
    <w:name w:val="Heading 3a"/>
    <w:basedOn w:val="Heading3"/>
    <w:next w:val="Normal"/>
    <w:rsid w:val="00DA2EA3"/>
    <w:pPr>
      <w:ind w:left="0" w:firstLine="0"/>
      <w:outlineLvl w:val="9"/>
    </w:pPr>
  </w:style>
  <w:style w:type="paragraph" w:styleId="Header">
    <w:name w:val="header"/>
    <w:basedOn w:val="Normal"/>
    <w:link w:val="HeaderChar"/>
    <w:uiPriority w:val="99"/>
    <w:rsid w:val="00DA2EA3"/>
    <w:pPr>
      <w:tabs>
        <w:tab w:val="right" w:pos="9000"/>
      </w:tabs>
      <w:spacing w:after="0"/>
    </w:pPr>
    <w:rPr>
      <w:sz w:val="18"/>
    </w:rPr>
  </w:style>
  <w:style w:type="paragraph" w:styleId="Footer">
    <w:name w:val="footer"/>
    <w:basedOn w:val="Normal"/>
    <w:link w:val="FooterChar"/>
    <w:uiPriority w:val="99"/>
    <w:rsid w:val="00DA2EA3"/>
    <w:pPr>
      <w:tabs>
        <w:tab w:val="right" w:pos="9000"/>
      </w:tabs>
      <w:spacing w:after="0"/>
    </w:pPr>
    <w:rPr>
      <w:sz w:val="20"/>
    </w:rPr>
  </w:style>
  <w:style w:type="character" w:styleId="PageNumber">
    <w:name w:val="page number"/>
    <w:basedOn w:val="DefaultParagraphFont"/>
    <w:semiHidden/>
    <w:rsid w:val="00DA2EA3"/>
    <w:rPr>
      <w:rFonts w:ascii="Times New Roman" w:hAnsi="Times New Roman"/>
      <w:b/>
      <w:sz w:val="20"/>
    </w:rPr>
  </w:style>
  <w:style w:type="paragraph" w:customStyle="1" w:styleId="TableText">
    <w:name w:val="TableText"/>
    <w:basedOn w:val="Normal"/>
    <w:rsid w:val="00DA2EA3"/>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DA2EA3"/>
    <w:pPr>
      <w:keepNext w:val="0"/>
      <w:keepLines/>
      <w:spacing w:after="360"/>
      <w:ind w:left="170" w:hanging="170"/>
    </w:pPr>
    <w:rPr>
      <w:sz w:val="16"/>
      <w:szCs w:val="18"/>
    </w:rPr>
  </w:style>
  <w:style w:type="paragraph" w:customStyle="1" w:styleId="TFListNotes">
    <w:name w:val="TFListNotes"/>
    <w:basedOn w:val="TFListNotesSpace"/>
    <w:rsid w:val="00DA2EA3"/>
    <w:pPr>
      <w:keepNext/>
      <w:spacing w:after="0"/>
    </w:pPr>
  </w:style>
  <w:style w:type="paragraph" w:customStyle="1" w:styleId="TableName">
    <w:name w:val="TableName"/>
    <w:basedOn w:val="TableText"/>
    <w:rsid w:val="00DA2EA3"/>
    <w:pPr>
      <w:tabs>
        <w:tab w:val="left" w:pos="1080"/>
      </w:tabs>
      <w:spacing w:before="80" w:after="120"/>
      <w:ind w:left="1077" w:hanging="1077"/>
    </w:pPr>
    <w:rPr>
      <w:b/>
      <w:bCs/>
      <w:color w:val="auto"/>
      <w:sz w:val="22"/>
    </w:rPr>
  </w:style>
  <w:style w:type="paragraph" w:customStyle="1" w:styleId="TableHeading">
    <w:name w:val="TableHeading"/>
    <w:basedOn w:val="TableText"/>
    <w:rsid w:val="00DA2EA3"/>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DA2EA3"/>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DA2EA3"/>
    <w:pPr>
      <w:spacing w:before="120" w:after="60"/>
    </w:pPr>
    <w:rPr>
      <w:sz w:val="18"/>
    </w:rPr>
  </w:style>
  <w:style w:type="paragraph" w:styleId="Quote">
    <w:name w:val="Quote"/>
    <w:basedOn w:val="Normal"/>
    <w:link w:val="QuoteChar"/>
    <w:rsid w:val="00DA2EA3"/>
    <w:pPr>
      <w:ind w:left="567" w:right="567"/>
    </w:pPr>
    <w:rPr>
      <w:i/>
    </w:rPr>
  </w:style>
  <w:style w:type="paragraph" w:customStyle="1" w:styleId="References">
    <w:name w:val="References"/>
    <w:basedOn w:val="Normal"/>
    <w:rsid w:val="00DA2EA3"/>
    <w:pPr>
      <w:keepLines/>
      <w:ind w:left="284" w:hanging="284"/>
    </w:pPr>
  </w:style>
  <w:style w:type="character" w:customStyle="1" w:styleId="FooterChar">
    <w:name w:val="Footer Char"/>
    <w:basedOn w:val="DefaultParagraphFont"/>
    <w:link w:val="Footer"/>
    <w:uiPriority w:val="99"/>
    <w:rsid w:val="00DA2EA3"/>
    <w:rPr>
      <w:rFonts w:ascii="Franklin Gothic Book" w:hAnsi="Franklin Gothic Book"/>
    </w:rPr>
  </w:style>
  <w:style w:type="paragraph" w:styleId="FootnoteText">
    <w:name w:val="footnote text"/>
    <w:aliases w:val="DBW Footnote Text"/>
    <w:basedOn w:val="Normal"/>
    <w:link w:val="FootnoteTextChar"/>
    <w:uiPriority w:val="99"/>
    <w:rsid w:val="00DA2EA3"/>
    <w:pPr>
      <w:spacing w:after="0"/>
      <w:ind w:left="360" w:hanging="360"/>
    </w:pPr>
    <w:rPr>
      <w:sz w:val="17"/>
    </w:rPr>
  </w:style>
  <w:style w:type="character" w:styleId="FootnoteReference">
    <w:name w:val="footnote reference"/>
    <w:basedOn w:val="DefaultParagraphFont"/>
    <w:rsid w:val="00DA2EA3"/>
    <w:rPr>
      <w:vertAlign w:val="superscript"/>
    </w:rPr>
  </w:style>
  <w:style w:type="paragraph" w:customStyle="1" w:styleId="FigTabPara">
    <w:name w:val="FigTabPara"/>
    <w:basedOn w:val="Normal"/>
    <w:next w:val="Normal"/>
    <w:rsid w:val="00DA2EA3"/>
    <w:pPr>
      <w:keepNext/>
      <w:ind w:left="1077"/>
    </w:pPr>
    <w:rPr>
      <w:sz w:val="20"/>
    </w:rPr>
  </w:style>
  <w:style w:type="paragraph" w:customStyle="1" w:styleId="TableBullet">
    <w:name w:val="TableBullet"/>
    <w:basedOn w:val="Normal"/>
    <w:rsid w:val="00DA2EA3"/>
    <w:pPr>
      <w:numPr>
        <w:numId w:val="10"/>
      </w:numPr>
      <w:spacing w:after="40" w:line="240" w:lineRule="auto"/>
    </w:pPr>
    <w:rPr>
      <w:rFonts w:eastAsia="Calibri"/>
      <w:sz w:val="17"/>
      <w:szCs w:val="17"/>
      <w:lang w:eastAsia="en-US"/>
    </w:rPr>
  </w:style>
  <w:style w:type="paragraph" w:customStyle="1" w:styleId="TFAbbrevs">
    <w:name w:val="TFAbbrevs"/>
    <w:basedOn w:val="TFListNotes"/>
    <w:rsid w:val="00DA2EA3"/>
    <w:pPr>
      <w:ind w:left="0" w:firstLine="0"/>
    </w:pPr>
  </w:style>
  <w:style w:type="paragraph" w:styleId="TOC1">
    <w:name w:val="toc 1"/>
    <w:basedOn w:val="Normal"/>
    <w:next w:val="Normal"/>
    <w:autoRedefine/>
    <w:uiPriority w:val="39"/>
    <w:rsid w:val="00DA2EA3"/>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DA2EA3"/>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DA2EA3"/>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DA2EA3"/>
    <w:pPr>
      <w:numPr>
        <w:numId w:val="11"/>
      </w:numPr>
    </w:pPr>
  </w:style>
  <w:style w:type="paragraph" w:customStyle="1" w:styleId="Bullet">
    <w:name w:val="Bullet"/>
    <w:basedOn w:val="Normal"/>
    <w:qFormat/>
    <w:rsid w:val="00DA2EA3"/>
    <w:pPr>
      <w:numPr>
        <w:numId w:val="9"/>
      </w:numPr>
      <w:spacing w:before="0" w:after="80" w:line="280" w:lineRule="exact"/>
      <w:ind w:left="284" w:hanging="284"/>
    </w:pPr>
  </w:style>
  <w:style w:type="paragraph" w:customStyle="1" w:styleId="BulletLast">
    <w:name w:val="BulletLast"/>
    <w:basedOn w:val="Bullet"/>
    <w:qFormat/>
    <w:rsid w:val="00DA2EA3"/>
    <w:pPr>
      <w:spacing w:after="160"/>
    </w:pPr>
  </w:style>
  <w:style w:type="paragraph" w:customStyle="1" w:styleId="Dash">
    <w:name w:val="Dash"/>
    <w:basedOn w:val="Normal"/>
    <w:rsid w:val="00DA2EA3"/>
    <w:pPr>
      <w:numPr>
        <w:numId w:val="8"/>
      </w:numPr>
      <w:spacing w:before="0" w:after="80" w:line="280" w:lineRule="exact"/>
      <w:ind w:left="568" w:hanging="284"/>
    </w:pPr>
    <w:rPr>
      <w:szCs w:val="24"/>
    </w:rPr>
  </w:style>
  <w:style w:type="paragraph" w:customStyle="1" w:styleId="DashLast">
    <w:name w:val="DashLast"/>
    <w:basedOn w:val="Dash"/>
    <w:rsid w:val="00DA2EA3"/>
    <w:pPr>
      <w:spacing w:after="120"/>
    </w:pPr>
  </w:style>
  <w:style w:type="paragraph" w:customStyle="1" w:styleId="DashLastSpace">
    <w:name w:val="DashLast+Space"/>
    <w:basedOn w:val="DashLast"/>
    <w:rsid w:val="00DA2EA3"/>
    <w:pPr>
      <w:spacing w:after="240"/>
    </w:pPr>
  </w:style>
  <w:style w:type="paragraph" w:customStyle="1" w:styleId="NormalBeforeBullet">
    <w:name w:val="NormalBeforeBullet"/>
    <w:basedOn w:val="Normal"/>
    <w:qFormat/>
    <w:rsid w:val="00DA2EA3"/>
    <w:pPr>
      <w:keepNext/>
      <w:spacing w:before="0" w:after="80"/>
    </w:pPr>
  </w:style>
  <w:style w:type="paragraph" w:customStyle="1" w:styleId="BoxName">
    <w:name w:val="BoxName"/>
    <w:basedOn w:val="BoxText"/>
    <w:rsid w:val="00DA2EA3"/>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DA2EA3"/>
    <w:pPr>
      <w:keepNext/>
      <w:spacing w:before="360" w:after="60"/>
    </w:pPr>
    <w:rPr>
      <w:b/>
      <w:bCs/>
      <w:sz w:val="22"/>
    </w:rPr>
  </w:style>
  <w:style w:type="paragraph" w:customStyle="1" w:styleId="BoxBullet">
    <w:name w:val="BoxBullet"/>
    <w:basedOn w:val="BoxText"/>
    <w:link w:val="BoxBulletChar"/>
    <w:rsid w:val="00DA2EA3"/>
    <w:pPr>
      <w:numPr>
        <w:numId w:val="4"/>
      </w:numPr>
    </w:pPr>
  </w:style>
  <w:style w:type="character" w:customStyle="1" w:styleId="BoxBulletChar">
    <w:name w:val="BoxBullet Char"/>
    <w:basedOn w:val="BoxTextChar"/>
    <w:link w:val="BoxBullet"/>
    <w:rsid w:val="00DA2EA3"/>
    <w:rPr>
      <w:rFonts w:ascii="Franklin Gothic Book" w:hAnsi="Franklin Gothic Book"/>
      <w:sz w:val="21"/>
      <w:shd w:val="clear" w:color="auto" w:fill="ECF1F7"/>
    </w:rPr>
  </w:style>
  <w:style w:type="paragraph" w:customStyle="1" w:styleId="BoxHeading2">
    <w:name w:val="BoxHeading2"/>
    <w:basedOn w:val="BoxHeading"/>
    <w:link w:val="BoxHeading2Char"/>
    <w:qFormat/>
    <w:rsid w:val="00DA2EA3"/>
    <w:pPr>
      <w:spacing w:before="240"/>
    </w:pPr>
    <w:rPr>
      <w:i/>
      <w:sz w:val="21"/>
    </w:rPr>
  </w:style>
  <w:style w:type="paragraph" w:customStyle="1" w:styleId="FigureName">
    <w:name w:val="FigureName"/>
    <w:basedOn w:val="Normal"/>
    <w:next w:val="Normal"/>
    <w:rsid w:val="00DA2EA3"/>
    <w:pPr>
      <w:keepNext/>
      <w:keepLines/>
      <w:tabs>
        <w:tab w:val="left" w:pos="1080"/>
      </w:tabs>
      <w:spacing w:before="80" w:after="80"/>
      <w:ind w:left="1077" w:hanging="1077"/>
    </w:pPr>
    <w:rPr>
      <w:b/>
      <w:bCs/>
      <w:sz w:val="22"/>
    </w:rPr>
  </w:style>
  <w:style w:type="paragraph" w:styleId="Index1">
    <w:name w:val="index 1"/>
    <w:basedOn w:val="Normal"/>
    <w:next w:val="Normal"/>
    <w:rsid w:val="00DA2EA3"/>
    <w:pPr>
      <w:spacing w:after="0"/>
      <w:ind w:left="518" w:hanging="518"/>
    </w:pPr>
    <w:rPr>
      <w:noProof/>
      <w:sz w:val="22"/>
    </w:rPr>
  </w:style>
  <w:style w:type="paragraph" w:styleId="Index2">
    <w:name w:val="index 2"/>
    <w:basedOn w:val="Index1"/>
    <w:next w:val="Normal"/>
    <w:rsid w:val="00DA2EA3"/>
    <w:pPr>
      <w:ind w:left="816" w:hanging="476"/>
    </w:pPr>
  </w:style>
  <w:style w:type="paragraph" w:styleId="TOC4">
    <w:name w:val="toc 4"/>
    <w:basedOn w:val="Normal"/>
    <w:next w:val="Normal"/>
    <w:autoRedefine/>
    <w:rsid w:val="00DA2EA3"/>
    <w:pPr>
      <w:tabs>
        <w:tab w:val="right" w:leader="dot" w:pos="9016"/>
      </w:tabs>
      <w:spacing w:after="0"/>
      <w:ind w:left="2160" w:right="720"/>
    </w:pPr>
    <w:rPr>
      <w:noProof/>
      <w:szCs w:val="24"/>
    </w:rPr>
  </w:style>
  <w:style w:type="paragraph" w:customStyle="1" w:styleId="NumberList">
    <w:name w:val="NumberList"/>
    <w:basedOn w:val="Normal"/>
    <w:rsid w:val="00DA2EA3"/>
    <w:pPr>
      <w:tabs>
        <w:tab w:val="left" w:pos="360"/>
      </w:tabs>
      <w:ind w:left="360" w:hanging="360"/>
    </w:pPr>
  </w:style>
  <w:style w:type="paragraph" w:customStyle="1" w:styleId="TFNoteSourceSpace">
    <w:name w:val="TFNoteSource+Space"/>
    <w:basedOn w:val="TFListNotesSpace"/>
    <w:next w:val="Normal"/>
    <w:rsid w:val="00DA2EA3"/>
    <w:pPr>
      <w:ind w:left="624" w:hanging="624"/>
    </w:pPr>
  </w:style>
  <w:style w:type="paragraph" w:customStyle="1" w:styleId="TFNoteSource">
    <w:name w:val="TFNoteSource"/>
    <w:basedOn w:val="TFNoteSourceSpace"/>
    <w:rsid w:val="00DA2EA3"/>
    <w:pPr>
      <w:spacing w:after="0"/>
    </w:pPr>
  </w:style>
  <w:style w:type="paragraph" w:customStyle="1" w:styleId="TFAbbrevsSpace">
    <w:name w:val="TFAbbrevs+Space"/>
    <w:basedOn w:val="TFAbbrevs"/>
    <w:next w:val="Normal"/>
    <w:rsid w:val="00DA2EA3"/>
    <w:pPr>
      <w:spacing w:after="360"/>
    </w:pPr>
  </w:style>
  <w:style w:type="character" w:styleId="Strong">
    <w:name w:val="Strong"/>
    <w:basedOn w:val="DefaultParagraphFont"/>
    <w:uiPriority w:val="22"/>
    <w:qFormat/>
    <w:rsid w:val="00DA2EA3"/>
    <w:rPr>
      <w:b/>
      <w:bCs/>
    </w:rPr>
  </w:style>
  <w:style w:type="character" w:styleId="Emphasis">
    <w:name w:val="Emphasis"/>
    <w:basedOn w:val="DefaultParagraphFont"/>
    <w:uiPriority w:val="20"/>
    <w:qFormat/>
    <w:rsid w:val="00DA2EA3"/>
    <w:rPr>
      <w:i/>
      <w:iCs/>
    </w:rPr>
  </w:style>
  <w:style w:type="character" w:customStyle="1" w:styleId="Roman">
    <w:name w:val="Roman"/>
    <w:uiPriority w:val="1"/>
    <w:rsid w:val="00DA2EA3"/>
    <w:rPr>
      <w:b w:val="0"/>
      <w:i/>
    </w:rPr>
  </w:style>
  <w:style w:type="character" w:customStyle="1" w:styleId="TableDashChar">
    <w:name w:val="TableDash Char"/>
    <w:link w:val="TableDash"/>
    <w:rsid w:val="00DA2EA3"/>
    <w:rPr>
      <w:rFonts w:ascii="Franklin Gothic Book" w:eastAsia="Calibri" w:hAnsi="Franklin Gothic Book"/>
      <w:sz w:val="17"/>
      <w:szCs w:val="17"/>
      <w:lang w:eastAsia="en-US"/>
    </w:rPr>
  </w:style>
  <w:style w:type="table" w:styleId="TableGrid">
    <w:name w:val="Table Grid"/>
    <w:basedOn w:val="TableNormal"/>
    <w:rsid w:val="00DA2EA3"/>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DA2EA3"/>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DA2EA3"/>
    <w:rPr>
      <w:rFonts w:ascii="Franklin Gothic Book" w:hAnsi="Franklin Gothic Book"/>
      <w:sz w:val="21"/>
      <w:shd w:val="clear" w:color="auto" w:fill="ECF1F7"/>
    </w:rPr>
  </w:style>
  <w:style w:type="character" w:customStyle="1" w:styleId="Subscript">
    <w:name w:val="Subscript"/>
    <w:basedOn w:val="DefaultParagraphFont"/>
    <w:uiPriority w:val="1"/>
    <w:rsid w:val="00DA2EA3"/>
    <w:rPr>
      <w:noProof/>
      <w:vertAlign w:val="subscript"/>
    </w:rPr>
  </w:style>
  <w:style w:type="character" w:customStyle="1" w:styleId="Superscript">
    <w:name w:val="Superscript"/>
    <w:basedOn w:val="DefaultParagraphFont"/>
    <w:uiPriority w:val="1"/>
    <w:rsid w:val="00DA2EA3"/>
    <w:rPr>
      <w:noProof/>
      <w:vertAlign w:val="superscript"/>
    </w:rPr>
  </w:style>
  <w:style w:type="character" w:customStyle="1" w:styleId="Symbol">
    <w:name w:val="Symbol"/>
    <w:basedOn w:val="DefaultParagraphFont"/>
    <w:uiPriority w:val="1"/>
    <w:rsid w:val="00DA2EA3"/>
    <w:rPr>
      <w:noProof/>
    </w:rPr>
  </w:style>
  <w:style w:type="character" w:customStyle="1" w:styleId="BoxHeadingChar">
    <w:name w:val="BoxHeading Char"/>
    <w:basedOn w:val="BoxTextChar"/>
    <w:link w:val="BoxHeading"/>
    <w:rsid w:val="00DA2EA3"/>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DA2EA3"/>
    <w:rPr>
      <w:rFonts w:ascii="Franklin Gothic Book" w:hAnsi="Franklin Gothic Book"/>
      <w:b/>
      <w:bCs/>
      <w:i/>
      <w:sz w:val="21"/>
      <w:shd w:val="clear" w:color="auto" w:fill="ECF1F7"/>
    </w:rPr>
  </w:style>
  <w:style w:type="character" w:customStyle="1" w:styleId="DateChar">
    <w:name w:val="Date Char"/>
    <w:link w:val="Date"/>
    <w:rsid w:val="00DA2E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DA2EA3"/>
    <w:pPr>
      <w:numPr>
        <w:numId w:val="13"/>
      </w:numPr>
    </w:pPr>
  </w:style>
  <w:style w:type="paragraph" w:customStyle="1" w:styleId="ImprintText">
    <w:name w:val="ImprintText"/>
    <w:basedOn w:val="Normal"/>
    <w:rsid w:val="00DA2EA3"/>
    <w:pPr>
      <w:spacing w:line="240" w:lineRule="auto"/>
    </w:pPr>
  </w:style>
  <w:style w:type="paragraph" w:styleId="Subtitle">
    <w:name w:val="Subtitle"/>
    <w:basedOn w:val="Title"/>
    <w:next w:val="Date"/>
    <w:link w:val="SubtitleChar"/>
    <w:qFormat/>
    <w:rsid w:val="00DA2EA3"/>
    <w:pPr>
      <w:pageBreakBefore w:val="0"/>
      <w:spacing w:before="200" w:after="0" w:line="380" w:lineRule="atLeast"/>
    </w:pPr>
    <w:rPr>
      <w:sz w:val="32"/>
      <w:szCs w:val="32"/>
    </w:rPr>
  </w:style>
  <w:style w:type="paragraph" w:styleId="Caption">
    <w:name w:val="caption"/>
    <w:basedOn w:val="Normal"/>
    <w:next w:val="Credit"/>
    <w:uiPriority w:val="35"/>
    <w:unhideWhenUsed/>
    <w:rsid w:val="00DA2EA3"/>
    <w:pPr>
      <w:spacing w:after="0"/>
    </w:pPr>
    <w:rPr>
      <w:b/>
      <w:bCs/>
      <w:sz w:val="20"/>
      <w:szCs w:val="18"/>
    </w:rPr>
  </w:style>
  <w:style w:type="paragraph" w:customStyle="1" w:styleId="Credit">
    <w:name w:val="Credit"/>
    <w:basedOn w:val="Caption"/>
    <w:next w:val="Normal"/>
    <w:rsid w:val="00DA2EA3"/>
    <w:pPr>
      <w:spacing w:after="240"/>
    </w:pPr>
    <w:rPr>
      <w:b w:val="0"/>
      <w:noProof/>
    </w:rPr>
  </w:style>
  <w:style w:type="character" w:customStyle="1" w:styleId="SubtitleChar">
    <w:name w:val="Subtitle Char"/>
    <w:link w:val="Subtitle"/>
    <w:rsid w:val="00DA2EA3"/>
    <w:rPr>
      <w:rFonts w:ascii="Helvetica" w:hAnsi="Helvetica"/>
      <w:noProof/>
      <w:color w:val="FFFFFF"/>
      <w:kern w:val="28"/>
      <w:sz w:val="32"/>
      <w:szCs w:val="32"/>
      <w:lang w:val="en-US" w:eastAsia="en-US"/>
    </w:rPr>
  </w:style>
  <w:style w:type="paragraph" w:customStyle="1" w:styleId="TableHeadingCA">
    <w:name w:val="TableHeadingCA"/>
    <w:basedOn w:val="TableHeading"/>
    <w:rsid w:val="00DA2EA3"/>
    <w:pPr>
      <w:jc w:val="center"/>
    </w:pPr>
  </w:style>
  <w:style w:type="paragraph" w:customStyle="1" w:styleId="TableTextCA">
    <w:name w:val="TableTextCA"/>
    <w:basedOn w:val="TableText"/>
    <w:rsid w:val="00DA2EA3"/>
    <w:pPr>
      <w:jc w:val="center"/>
    </w:pPr>
  </w:style>
  <w:style w:type="paragraph" w:customStyle="1" w:styleId="TableTextDecimalAlign">
    <w:name w:val="TableTextDecimalAlign"/>
    <w:basedOn w:val="TableText"/>
    <w:rsid w:val="00DA2EA3"/>
    <w:pPr>
      <w:tabs>
        <w:tab w:val="decimal" w:pos="1119"/>
      </w:tabs>
    </w:pPr>
  </w:style>
  <w:style w:type="paragraph" w:customStyle="1" w:styleId="NormalIndent">
    <w:name w:val="NormalIndent"/>
    <w:basedOn w:val="Normal"/>
    <w:rsid w:val="00DA2EA3"/>
    <w:pPr>
      <w:ind w:left="357"/>
    </w:pPr>
  </w:style>
  <w:style w:type="paragraph" w:styleId="BalloonText">
    <w:name w:val="Balloon Text"/>
    <w:basedOn w:val="Normal"/>
    <w:link w:val="BalloonTextChar"/>
    <w:uiPriority w:val="99"/>
    <w:semiHidden/>
    <w:unhideWhenUsed/>
    <w:rsid w:val="00DA2E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EA3"/>
    <w:rPr>
      <w:rFonts w:ascii="Tahoma" w:hAnsi="Tahoma" w:cs="Tahoma"/>
      <w:sz w:val="16"/>
      <w:szCs w:val="16"/>
    </w:rPr>
  </w:style>
  <w:style w:type="paragraph" w:customStyle="1" w:styleId="RecommendationText">
    <w:name w:val="RecommendationText"/>
    <w:basedOn w:val="BoxText"/>
    <w:link w:val="RecommendationTextChar"/>
    <w:qFormat/>
    <w:rsid w:val="00DA2EA3"/>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DA2EA3"/>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DA2EA3"/>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DA2EA3"/>
    <w:pPr>
      <w:pageBreakBefore/>
    </w:pPr>
    <w:rPr>
      <w:rFonts w:ascii="Arial" w:hAnsi="Arial"/>
      <w:b/>
      <w:color w:val="124486"/>
      <w:sz w:val="50"/>
    </w:rPr>
  </w:style>
  <w:style w:type="paragraph" w:customStyle="1" w:styleId="SectionSubtitle">
    <w:name w:val="SectionSubtitle"/>
    <w:basedOn w:val="Normal"/>
    <w:rsid w:val="00DA2EA3"/>
    <w:pPr>
      <w:spacing w:after="0"/>
    </w:pPr>
    <w:rPr>
      <w:rFonts w:asciiTheme="minorHAnsi" w:hAnsiTheme="minorHAnsi"/>
      <w:color w:val="007FAD"/>
      <w:sz w:val="32"/>
    </w:rPr>
  </w:style>
  <w:style w:type="paragraph" w:customStyle="1" w:styleId="QuoteNumberList">
    <w:name w:val="QuoteNumberList"/>
    <w:basedOn w:val="Quote"/>
    <w:rsid w:val="00DA2EA3"/>
    <w:pPr>
      <w:ind w:left="1117" w:hanging="397"/>
    </w:pPr>
    <w:rPr>
      <w:noProof/>
    </w:rPr>
  </w:style>
  <w:style w:type="paragraph" w:customStyle="1" w:styleId="QuoteBullet0">
    <w:name w:val="QuoteBullet"/>
    <w:basedOn w:val="Quote"/>
    <w:rsid w:val="00DA2EA3"/>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DA2EA3"/>
    <w:rPr>
      <w:rFonts w:ascii="Franklin Gothic Book" w:hAnsi="Franklin Gothic Book"/>
      <w:sz w:val="18"/>
    </w:rPr>
  </w:style>
  <w:style w:type="paragraph" w:customStyle="1" w:styleId="TableNumberedList">
    <w:name w:val="TableNumberedList"/>
    <w:basedOn w:val="TableText"/>
    <w:autoRedefine/>
    <w:qFormat/>
    <w:rsid w:val="00DA2EA3"/>
    <w:pPr>
      <w:numPr>
        <w:numId w:val="5"/>
      </w:numPr>
      <w:ind w:left="357" w:hanging="357"/>
    </w:pPr>
  </w:style>
  <w:style w:type="paragraph" w:customStyle="1" w:styleId="TableListNumber">
    <w:name w:val="TableListNumber"/>
    <w:basedOn w:val="Normal"/>
    <w:qFormat/>
    <w:rsid w:val="00DA2EA3"/>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DA2EA3"/>
    <w:pPr>
      <w:numPr>
        <w:numId w:val="7"/>
      </w:numPr>
      <w:tabs>
        <w:tab w:val="clear" w:pos="216"/>
        <w:tab w:val="left" w:pos="284"/>
      </w:tabs>
      <w:ind w:left="430" w:hanging="215"/>
    </w:pPr>
  </w:style>
  <w:style w:type="paragraph" w:customStyle="1" w:styleId="TableHeading2">
    <w:name w:val="TableHeading2"/>
    <w:basedOn w:val="TableHeading"/>
    <w:qFormat/>
    <w:rsid w:val="00DA2EA3"/>
    <w:rPr>
      <w:i/>
    </w:rPr>
  </w:style>
  <w:style w:type="paragraph" w:customStyle="1" w:styleId="Draftingnote">
    <w:name w:val="Drafting note"/>
    <w:basedOn w:val="Normal"/>
    <w:link w:val="DraftingnoteChar"/>
    <w:qFormat/>
    <w:rsid w:val="00DA2EA3"/>
    <w:rPr>
      <w:b/>
      <w:color w:val="FF0000"/>
      <w:sz w:val="20"/>
      <w:u w:val="dotted"/>
    </w:rPr>
  </w:style>
  <w:style w:type="character" w:customStyle="1" w:styleId="DraftingnoteChar">
    <w:name w:val="Drafting note Char"/>
    <w:basedOn w:val="DefaultParagraphFont"/>
    <w:link w:val="Draftingnote"/>
    <w:rsid w:val="00DA2EA3"/>
    <w:rPr>
      <w:rFonts w:ascii="Franklin Gothic Book" w:hAnsi="Franklin Gothic Book"/>
      <w:b/>
      <w:color w:val="FF0000"/>
      <w:u w:val="dotted"/>
    </w:rPr>
  </w:style>
  <w:style w:type="character" w:styleId="Hyperlink">
    <w:name w:val="Hyperlink"/>
    <w:basedOn w:val="DefaultParagraphFont"/>
    <w:uiPriority w:val="99"/>
    <w:unhideWhenUsed/>
    <w:rsid w:val="00DA2EA3"/>
    <w:rPr>
      <w:color w:val="007FAD"/>
      <w:u w:val="single"/>
    </w:rPr>
  </w:style>
  <w:style w:type="character" w:styleId="CommentReference">
    <w:name w:val="annotation reference"/>
    <w:basedOn w:val="DefaultParagraphFont"/>
    <w:uiPriority w:val="99"/>
    <w:semiHidden/>
    <w:unhideWhenUsed/>
    <w:rsid w:val="00DA2EA3"/>
    <w:rPr>
      <w:sz w:val="16"/>
      <w:szCs w:val="16"/>
    </w:rPr>
  </w:style>
  <w:style w:type="paragraph" w:styleId="CommentText">
    <w:name w:val="annotation text"/>
    <w:basedOn w:val="Normal"/>
    <w:link w:val="CommentTextChar"/>
    <w:uiPriority w:val="99"/>
    <w:unhideWhenUsed/>
    <w:rsid w:val="00DA2EA3"/>
    <w:pPr>
      <w:spacing w:line="240" w:lineRule="auto"/>
    </w:pPr>
    <w:rPr>
      <w:sz w:val="20"/>
    </w:rPr>
  </w:style>
  <w:style w:type="character" w:customStyle="1" w:styleId="CommentTextChar">
    <w:name w:val="Comment Text Char"/>
    <w:basedOn w:val="DefaultParagraphFont"/>
    <w:link w:val="CommentText"/>
    <w:uiPriority w:val="99"/>
    <w:rsid w:val="00DA2EA3"/>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DA2EA3"/>
    <w:rPr>
      <w:b/>
      <w:bCs/>
    </w:rPr>
  </w:style>
  <w:style w:type="character" w:customStyle="1" w:styleId="CommentSubjectChar">
    <w:name w:val="Comment Subject Char"/>
    <w:basedOn w:val="CommentTextChar"/>
    <w:link w:val="CommentSubject"/>
    <w:uiPriority w:val="99"/>
    <w:semiHidden/>
    <w:rsid w:val="00DA2EA3"/>
    <w:rPr>
      <w:rFonts w:ascii="Franklin Gothic Book" w:hAnsi="Franklin Gothic Book"/>
      <w:b/>
      <w:bCs/>
    </w:rPr>
  </w:style>
  <w:style w:type="table" w:styleId="LightShading">
    <w:name w:val="Light Shading"/>
    <w:basedOn w:val="TableNormal"/>
    <w:uiPriority w:val="60"/>
    <w:rsid w:val="00DA2EA3"/>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A2EA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DBW Footnote Text Char"/>
    <w:basedOn w:val="DefaultParagraphFont"/>
    <w:link w:val="FootnoteText"/>
    <w:uiPriority w:val="99"/>
    <w:rsid w:val="00DA2EA3"/>
    <w:rPr>
      <w:rFonts w:ascii="Franklin Gothic Book" w:hAnsi="Franklin Gothic Book"/>
      <w:sz w:val="17"/>
    </w:rPr>
  </w:style>
  <w:style w:type="paragraph" w:customStyle="1" w:styleId="Numberlist2">
    <w:name w:val="Numberlist2"/>
    <w:basedOn w:val="Normal"/>
    <w:rsid w:val="00DA2EA3"/>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A2EA3"/>
    <w:pPr>
      <w:numPr>
        <w:numId w:val="1"/>
      </w:numPr>
      <w:spacing w:before="0" w:line="280" w:lineRule="exact"/>
      <w:ind w:left="851" w:hanging="284"/>
      <w:contextualSpacing/>
    </w:pPr>
    <w:rPr>
      <w:szCs w:val="24"/>
    </w:rPr>
  </w:style>
  <w:style w:type="paragraph" w:customStyle="1" w:styleId="BoxDash">
    <w:name w:val="BoxDash"/>
    <w:basedOn w:val="BoxText"/>
    <w:rsid w:val="00DA2EA3"/>
    <w:pPr>
      <w:tabs>
        <w:tab w:val="left" w:pos="360"/>
        <w:tab w:val="left" w:pos="720"/>
      </w:tabs>
      <w:ind w:left="720" w:hanging="720"/>
    </w:pPr>
  </w:style>
  <w:style w:type="paragraph" w:styleId="EndnoteText">
    <w:name w:val="endnote text"/>
    <w:basedOn w:val="Normal"/>
    <w:link w:val="EndnoteTextChar"/>
    <w:uiPriority w:val="99"/>
    <w:unhideWhenUsed/>
    <w:rsid w:val="00DA2EA3"/>
    <w:pPr>
      <w:spacing w:before="0" w:after="0" w:line="240" w:lineRule="auto"/>
    </w:pPr>
    <w:rPr>
      <w:sz w:val="20"/>
    </w:rPr>
  </w:style>
  <w:style w:type="character" w:customStyle="1" w:styleId="EndnoteTextChar">
    <w:name w:val="Endnote Text Char"/>
    <w:basedOn w:val="DefaultParagraphFont"/>
    <w:link w:val="EndnoteText"/>
    <w:uiPriority w:val="99"/>
    <w:rsid w:val="00DA2EA3"/>
    <w:rPr>
      <w:rFonts w:ascii="Franklin Gothic Book" w:hAnsi="Franklin Gothic Book"/>
    </w:rPr>
  </w:style>
  <w:style w:type="character" w:styleId="EndnoteReference">
    <w:name w:val="endnote reference"/>
    <w:basedOn w:val="DefaultParagraphFont"/>
    <w:uiPriority w:val="99"/>
    <w:semiHidden/>
    <w:unhideWhenUsed/>
    <w:rsid w:val="00DA2EA3"/>
    <w:rPr>
      <w:vertAlign w:val="superscript"/>
    </w:rPr>
  </w:style>
  <w:style w:type="paragraph" w:customStyle="1" w:styleId="BoxQuote">
    <w:name w:val="BoxQuote"/>
    <w:basedOn w:val="BoxText"/>
    <w:next w:val="BoxQuoteSource"/>
    <w:link w:val="BoxQuoteChar"/>
    <w:qFormat/>
    <w:rsid w:val="00967288"/>
    <w:pPr>
      <w:spacing w:after="0"/>
    </w:pPr>
    <w:rPr>
      <w:i/>
    </w:rPr>
  </w:style>
  <w:style w:type="paragraph" w:customStyle="1" w:styleId="BoxQuoteSource">
    <w:name w:val="BoxQuoteSource"/>
    <w:basedOn w:val="BoxText"/>
    <w:link w:val="BoxQuoteSourceChar"/>
    <w:qFormat/>
    <w:rsid w:val="00DA2EA3"/>
    <w:pPr>
      <w:jc w:val="right"/>
    </w:pPr>
    <w:rPr>
      <w:noProof/>
    </w:rPr>
  </w:style>
  <w:style w:type="paragraph" w:customStyle="1" w:styleId="QuoteSource">
    <w:name w:val="QuoteSource"/>
    <w:basedOn w:val="Quote"/>
    <w:link w:val="QuoteSourceChar"/>
    <w:qFormat/>
    <w:rsid w:val="00DA2EA3"/>
    <w:pPr>
      <w:spacing w:after="240"/>
      <w:jc w:val="right"/>
    </w:pPr>
    <w:rPr>
      <w:i w:val="0"/>
    </w:rPr>
  </w:style>
  <w:style w:type="character" w:customStyle="1" w:styleId="BoxQuoteChar">
    <w:name w:val="BoxQuote Char"/>
    <w:basedOn w:val="BoxTextChar"/>
    <w:link w:val="BoxQuote"/>
    <w:rsid w:val="0096728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DA2EA3"/>
    <w:rPr>
      <w:rFonts w:ascii="Franklin Gothic Book" w:hAnsi="Franklin Gothic Book"/>
      <w:noProof/>
      <w:sz w:val="21"/>
      <w:shd w:val="clear" w:color="auto" w:fill="ECF1F7"/>
    </w:rPr>
  </w:style>
  <w:style w:type="character" w:customStyle="1" w:styleId="QuoteChar">
    <w:name w:val="Quote Char"/>
    <w:basedOn w:val="DefaultParagraphFont"/>
    <w:link w:val="Quote"/>
    <w:rsid w:val="00DA2EA3"/>
    <w:rPr>
      <w:rFonts w:ascii="Franklin Gothic Book" w:hAnsi="Franklin Gothic Book"/>
      <w:i/>
      <w:sz w:val="21"/>
    </w:rPr>
  </w:style>
  <w:style w:type="character" w:customStyle="1" w:styleId="QuoteSourceChar">
    <w:name w:val="QuoteSource Char"/>
    <w:basedOn w:val="QuoteChar"/>
    <w:link w:val="QuoteSource"/>
    <w:rsid w:val="00DA2EA3"/>
    <w:rPr>
      <w:rFonts w:ascii="Franklin Gothic Book" w:hAnsi="Franklin Gothic Book"/>
      <w:i w:val="0"/>
      <w:sz w:val="21"/>
    </w:rPr>
  </w:style>
  <w:style w:type="paragraph" w:customStyle="1" w:styleId="RecommendationSub">
    <w:name w:val="RecommendationSub"/>
    <w:basedOn w:val="RecommendationText"/>
    <w:link w:val="RecommendationSubChar"/>
    <w:qFormat/>
    <w:rsid w:val="00DA2EA3"/>
    <w:pPr>
      <w:ind w:left="357" w:hanging="357"/>
    </w:pPr>
  </w:style>
  <w:style w:type="character" w:customStyle="1" w:styleId="RecommendationTextChar">
    <w:name w:val="RecommendationText Char"/>
    <w:basedOn w:val="BoxTextChar"/>
    <w:link w:val="RecommendationText"/>
    <w:rsid w:val="00DA2EA3"/>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DA2EA3"/>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DA2EA3"/>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DA2EA3"/>
    <w:rPr>
      <w:rFonts w:ascii="Arial Bold" w:hAnsi="Arial Bold"/>
      <w:b/>
      <w:color w:val="EB0029"/>
      <w:sz w:val="24"/>
      <w:shd w:val="clear" w:color="auto" w:fill="ECF1F7"/>
    </w:rPr>
  </w:style>
  <w:style w:type="paragraph" w:styleId="BodyText">
    <w:name w:val="Body Text"/>
    <w:link w:val="BodyTextChar"/>
    <w:qFormat/>
    <w:rsid w:val="00197A18"/>
    <w:pPr>
      <w:spacing w:before="57" w:after="142" w:line="288" w:lineRule="auto"/>
    </w:pPr>
    <w:rPr>
      <w:rFonts w:ascii="Cambria" w:hAnsi="Cambria"/>
      <w:color w:val="000000"/>
      <w:sz w:val="21"/>
      <w:szCs w:val="24"/>
    </w:rPr>
  </w:style>
  <w:style w:type="character" w:customStyle="1" w:styleId="BodyTextChar">
    <w:name w:val="Body Text Char"/>
    <w:basedOn w:val="DefaultParagraphFont"/>
    <w:link w:val="BodyText"/>
    <w:rsid w:val="00197A18"/>
    <w:rPr>
      <w:rFonts w:ascii="Cambria" w:hAnsi="Cambria"/>
      <w:color w:val="000000"/>
      <w:sz w:val="21"/>
      <w:szCs w:val="24"/>
    </w:rPr>
  </w:style>
  <w:style w:type="character" w:customStyle="1" w:styleId="Heading6Char">
    <w:name w:val="Heading 6 Char"/>
    <w:aliases w:val="Appendix Heading 1 Char"/>
    <w:basedOn w:val="DefaultParagraphFont"/>
    <w:link w:val="Heading6"/>
    <w:uiPriority w:val="29"/>
    <w:rsid w:val="00197A18"/>
    <w:rPr>
      <w:rFonts w:ascii="Calibri" w:hAnsi="Calibri"/>
      <w:b/>
      <w:bCs/>
      <w:color w:val="0087A2"/>
      <w:kern w:val="28"/>
      <w:sz w:val="44"/>
      <w:szCs w:val="44"/>
    </w:rPr>
  </w:style>
  <w:style w:type="character" w:customStyle="1" w:styleId="Heading7Char">
    <w:name w:val="Heading 7 Char"/>
    <w:aliases w:val="Appendix Heading 2 Char"/>
    <w:basedOn w:val="DefaultParagraphFont"/>
    <w:link w:val="Heading7"/>
    <w:uiPriority w:val="29"/>
    <w:rsid w:val="00197A18"/>
    <w:rPr>
      <w:rFonts w:ascii="Calibri" w:hAnsi="Calibri"/>
      <w:b/>
      <w:color w:val="C75B12"/>
      <w:kern w:val="28"/>
      <w:sz w:val="32"/>
      <w:szCs w:val="32"/>
    </w:rPr>
  </w:style>
  <w:style w:type="character" w:customStyle="1" w:styleId="Heading8Char">
    <w:name w:val="Heading 8 Char"/>
    <w:aliases w:val="Appendix Heading 3 Char"/>
    <w:basedOn w:val="DefaultParagraphFont"/>
    <w:link w:val="Heading8"/>
    <w:uiPriority w:val="29"/>
    <w:rsid w:val="00197A18"/>
    <w:rPr>
      <w:rFonts w:ascii="Calibri" w:hAnsi="Calibri"/>
      <w:b/>
      <w:color w:val="14434B"/>
      <w:kern w:val="28"/>
      <w:sz w:val="24"/>
      <w:szCs w:val="21"/>
    </w:rPr>
  </w:style>
  <w:style w:type="character" w:customStyle="1" w:styleId="Heading9Char">
    <w:name w:val="Heading 9 Char"/>
    <w:aliases w:val="Appendix Heading 4 Char"/>
    <w:basedOn w:val="DefaultParagraphFont"/>
    <w:link w:val="Heading9"/>
    <w:uiPriority w:val="29"/>
    <w:rsid w:val="00197A18"/>
    <w:rPr>
      <w:rFonts w:ascii="Cambria" w:hAnsi="Cambria"/>
      <w:b/>
      <w:color w:val="000000"/>
      <w:kern w:val="28"/>
      <w:sz w:val="21"/>
      <w:szCs w:val="21"/>
    </w:rPr>
  </w:style>
  <w:style w:type="character" w:customStyle="1" w:styleId="Heading1Char">
    <w:name w:val="Heading 1 Char"/>
    <w:link w:val="Heading1"/>
    <w:rsid w:val="00197A18"/>
    <w:rPr>
      <w:rFonts w:ascii="Arial" w:hAnsi="Arial" w:cs="Arial"/>
      <w:bCs/>
      <w:color w:val="FFFFFF" w:themeColor="background1"/>
      <w:sz w:val="44"/>
      <w:szCs w:val="32"/>
    </w:rPr>
  </w:style>
  <w:style w:type="character" w:customStyle="1" w:styleId="Heading2Char">
    <w:name w:val="Heading 2 Char"/>
    <w:link w:val="Heading2"/>
    <w:rsid w:val="00197A18"/>
    <w:rPr>
      <w:rFonts w:ascii="Arial" w:hAnsi="Arial" w:cs="Arial"/>
      <w:b/>
      <w:bCs/>
      <w:iCs/>
      <w:color w:val="124486"/>
      <w:sz w:val="28"/>
      <w:szCs w:val="28"/>
    </w:rPr>
  </w:style>
  <w:style w:type="character" w:customStyle="1" w:styleId="Heading3Char">
    <w:name w:val="Heading 3 Char"/>
    <w:link w:val="Heading3"/>
    <w:rsid w:val="00197A18"/>
    <w:rPr>
      <w:rFonts w:ascii="Arial" w:hAnsi="Arial" w:cs="Arial"/>
      <w:bCs/>
      <w:color w:val="007FAD"/>
      <w:sz w:val="24"/>
      <w:szCs w:val="26"/>
    </w:rPr>
  </w:style>
  <w:style w:type="character" w:customStyle="1" w:styleId="Heading4Char">
    <w:name w:val="Heading 4 Char"/>
    <w:link w:val="Heading4"/>
    <w:rsid w:val="00197A18"/>
    <w:rPr>
      <w:rFonts w:ascii="Arial" w:hAnsi="Arial"/>
      <w:b/>
      <w:bCs/>
      <w:sz w:val="22"/>
      <w:szCs w:val="28"/>
    </w:rPr>
  </w:style>
  <w:style w:type="character" w:customStyle="1" w:styleId="Heading5Char">
    <w:name w:val="Heading 5 Char"/>
    <w:link w:val="Heading5"/>
    <w:rsid w:val="00197A18"/>
    <w:rPr>
      <w:rFonts w:ascii="Arial" w:hAnsi="Arial"/>
      <w:bCs/>
      <w:i/>
      <w:iCs/>
      <w:sz w:val="22"/>
      <w:szCs w:val="26"/>
    </w:rPr>
  </w:style>
  <w:style w:type="paragraph" w:customStyle="1" w:styleId="AuthorName">
    <w:name w:val="Author Name"/>
    <w:uiPriority w:val="40"/>
    <w:rsid w:val="00197A18"/>
    <w:pPr>
      <w:spacing w:before="120" w:line="288" w:lineRule="auto"/>
    </w:pPr>
    <w:rPr>
      <w:rFonts w:ascii="Calibri" w:hAnsi="Calibri"/>
      <w:caps/>
      <w:color w:val="14434B"/>
      <w:spacing w:val="-2"/>
      <w:kern w:val="28"/>
      <w:sz w:val="25"/>
      <w:szCs w:val="25"/>
    </w:rPr>
  </w:style>
  <w:style w:type="paragraph" w:customStyle="1" w:styleId="BoxHeading1">
    <w:name w:val="Box Heading 1"/>
    <w:next w:val="BodyText"/>
    <w:uiPriority w:val="21"/>
    <w:rsid w:val="00197A18"/>
    <w:pPr>
      <w:spacing w:after="120" w:line="288" w:lineRule="auto"/>
    </w:pPr>
    <w:rPr>
      <w:rFonts w:ascii="Arial Narrow" w:hAnsi="Arial Narrow"/>
      <w:b/>
      <w:color w:val="14434B"/>
      <w:sz w:val="21"/>
      <w:szCs w:val="19"/>
    </w:rPr>
  </w:style>
  <w:style w:type="paragraph" w:customStyle="1" w:styleId="BoxHeading20">
    <w:name w:val="Box Heading 2"/>
    <w:basedOn w:val="BoxHeading1"/>
    <w:next w:val="BoxText0"/>
    <w:uiPriority w:val="21"/>
    <w:rsid w:val="00197A18"/>
    <w:pPr>
      <w:spacing w:before="140"/>
    </w:pPr>
    <w:rPr>
      <w:i/>
    </w:rPr>
  </w:style>
  <w:style w:type="paragraph" w:customStyle="1" w:styleId="BoxText0">
    <w:name w:val="Box Text"/>
    <w:link w:val="BoxTextChar0"/>
    <w:uiPriority w:val="19"/>
    <w:rsid w:val="00197A18"/>
    <w:pPr>
      <w:spacing w:after="57" w:line="288" w:lineRule="auto"/>
    </w:pPr>
    <w:rPr>
      <w:rFonts w:ascii="Arial" w:hAnsi="Arial"/>
      <w:color w:val="000000"/>
      <w:sz w:val="19"/>
      <w:szCs w:val="19"/>
    </w:rPr>
  </w:style>
  <w:style w:type="character" w:customStyle="1" w:styleId="BoxTextChar0">
    <w:name w:val="Box Text Char"/>
    <w:link w:val="BoxText0"/>
    <w:uiPriority w:val="19"/>
    <w:rsid w:val="00197A18"/>
    <w:rPr>
      <w:rFonts w:ascii="Arial" w:hAnsi="Arial"/>
      <w:color w:val="000000"/>
      <w:sz w:val="19"/>
      <w:szCs w:val="19"/>
    </w:rPr>
  </w:style>
  <w:style w:type="paragraph" w:customStyle="1" w:styleId="BoxListBullet">
    <w:name w:val="Box List Bullet"/>
    <w:basedOn w:val="BoxText0"/>
    <w:uiPriority w:val="20"/>
    <w:rsid w:val="00197A18"/>
    <w:pPr>
      <w:keepLines/>
      <w:numPr>
        <w:numId w:val="14"/>
      </w:numPr>
      <w:tabs>
        <w:tab w:val="clear" w:pos="284"/>
        <w:tab w:val="num" w:pos="643"/>
      </w:tabs>
      <w:ind w:left="643" w:hanging="360"/>
    </w:pPr>
  </w:style>
  <w:style w:type="paragraph" w:customStyle="1" w:styleId="BoxListBullet2">
    <w:name w:val="Box List Bullet 2"/>
    <w:basedOn w:val="BoxText0"/>
    <w:uiPriority w:val="20"/>
    <w:rsid w:val="00197A18"/>
    <w:pPr>
      <w:numPr>
        <w:numId w:val="15"/>
      </w:numPr>
      <w:tabs>
        <w:tab w:val="clear" w:pos="567"/>
      </w:tabs>
      <w:ind w:left="926" w:hanging="360"/>
    </w:pPr>
    <w:rPr>
      <w:szCs w:val="18"/>
    </w:rPr>
  </w:style>
  <w:style w:type="paragraph" w:customStyle="1" w:styleId="BoxListNumber">
    <w:name w:val="Box List Number"/>
    <w:basedOn w:val="BoxText0"/>
    <w:uiPriority w:val="20"/>
    <w:rsid w:val="00197A18"/>
    <w:pPr>
      <w:numPr>
        <w:numId w:val="16"/>
      </w:numPr>
      <w:tabs>
        <w:tab w:val="clear" w:pos="284"/>
      </w:tabs>
      <w:spacing w:before="60"/>
      <w:ind w:left="1440" w:hanging="360"/>
    </w:pPr>
  </w:style>
  <w:style w:type="paragraph" w:customStyle="1" w:styleId="BoxListNumber2">
    <w:name w:val="Box List Number 2"/>
    <w:basedOn w:val="BoxText0"/>
    <w:uiPriority w:val="20"/>
    <w:rsid w:val="00197A18"/>
    <w:pPr>
      <w:numPr>
        <w:numId w:val="17"/>
      </w:numPr>
      <w:tabs>
        <w:tab w:val="clear" w:pos="567"/>
        <w:tab w:val="num" w:pos="357"/>
      </w:tabs>
      <w:ind w:left="357" w:hanging="357"/>
    </w:pPr>
  </w:style>
  <w:style w:type="paragraph" w:customStyle="1" w:styleId="BoxNoteSource">
    <w:name w:val="Box Note/Source"/>
    <w:uiPriority w:val="24"/>
    <w:semiHidden/>
    <w:rsid w:val="00197A18"/>
    <w:pPr>
      <w:spacing w:before="120" w:after="240" w:line="288" w:lineRule="auto"/>
    </w:pPr>
    <w:rPr>
      <w:rFonts w:ascii="Arial Narrow" w:hAnsi="Arial Narrow"/>
      <w:color w:val="000000"/>
      <w:sz w:val="16"/>
      <w:szCs w:val="14"/>
    </w:rPr>
  </w:style>
  <w:style w:type="paragraph" w:customStyle="1" w:styleId="BoxQuote0">
    <w:name w:val="Box Quote"/>
    <w:basedOn w:val="BoxText0"/>
    <w:uiPriority w:val="22"/>
    <w:rsid w:val="00197A18"/>
    <w:pPr>
      <w:ind w:left="284" w:right="284"/>
    </w:pPr>
    <w:rPr>
      <w:i/>
    </w:rPr>
  </w:style>
  <w:style w:type="paragraph" w:customStyle="1" w:styleId="BoxTitle">
    <w:name w:val="Box Title"/>
    <w:uiPriority w:val="99"/>
    <w:semiHidden/>
    <w:rsid w:val="00197A18"/>
    <w:pPr>
      <w:keepNext/>
      <w:spacing w:before="57" w:after="77" w:line="240" w:lineRule="atLeast"/>
    </w:pPr>
    <w:rPr>
      <w:rFonts w:ascii="Arial Narrow" w:hAnsi="Arial Narrow"/>
      <w:b/>
      <w:caps/>
      <w:color w:val="FFFFFF"/>
      <w:sz w:val="18"/>
      <w:szCs w:val="18"/>
      <w:lang w:eastAsia="en-US"/>
    </w:rPr>
  </w:style>
  <w:style w:type="paragraph" w:customStyle="1" w:styleId="Captionheading">
    <w:name w:val="Caption heading"/>
    <w:basedOn w:val="TOC1"/>
    <w:next w:val="BodyText"/>
    <w:uiPriority w:val="36"/>
    <w:rsid w:val="00197A18"/>
    <w:pPr>
      <w:keepNext/>
      <w:tabs>
        <w:tab w:val="clear" w:pos="720"/>
        <w:tab w:val="clear" w:pos="9016"/>
        <w:tab w:val="right" w:pos="8505"/>
      </w:tabs>
      <w:spacing w:before="0" w:after="57" w:line="288" w:lineRule="auto"/>
      <w:ind w:left="0" w:right="0" w:firstLine="0"/>
      <w:contextualSpacing/>
    </w:pPr>
    <w:rPr>
      <w:rFonts w:ascii="Calibri" w:hAnsi="Calibri"/>
      <w:b/>
      <w:bCs w:val="0"/>
      <w:noProof w:val="0"/>
      <w:color w:val="0087A2"/>
      <w:kern w:val="28"/>
      <w:sz w:val="32"/>
      <w:szCs w:val="32"/>
    </w:rPr>
  </w:style>
  <w:style w:type="paragraph" w:customStyle="1" w:styleId="Contents">
    <w:name w:val="Contents"/>
    <w:basedOn w:val="Heading1"/>
    <w:next w:val="BodyText"/>
    <w:semiHidden/>
    <w:rsid w:val="00197A18"/>
    <w:pPr>
      <w:spacing w:before="0" w:after="600" w:line="288" w:lineRule="auto"/>
      <w:ind w:left="0" w:firstLine="0"/>
      <w:outlineLvl w:val="9"/>
    </w:pPr>
    <w:rPr>
      <w:rFonts w:ascii="Calibri" w:hAnsi="Calibri" w:cs="Times New Roman"/>
      <w:b/>
      <w:bCs w:val="0"/>
      <w:color w:val="0087A2"/>
      <w:kern w:val="28"/>
      <w:szCs w:val="44"/>
    </w:rPr>
  </w:style>
  <w:style w:type="paragraph" w:customStyle="1" w:styleId="Source">
    <w:name w:val="Source"/>
    <w:uiPriority w:val="8"/>
    <w:qFormat/>
    <w:rsid w:val="00197A18"/>
    <w:pPr>
      <w:keepLines/>
      <w:spacing w:before="120" w:after="240" w:line="288" w:lineRule="auto"/>
    </w:pPr>
    <w:rPr>
      <w:rFonts w:ascii="Arial Narrow" w:hAnsi="Arial Narrow"/>
      <w:color w:val="000000"/>
      <w:sz w:val="16"/>
      <w:szCs w:val="14"/>
      <w:lang w:eastAsia="en-US"/>
    </w:rPr>
  </w:style>
  <w:style w:type="character" w:customStyle="1" w:styleId="DraftingNote0">
    <w:name w:val="Drafting Note"/>
    <w:uiPriority w:val="10"/>
    <w:qFormat/>
    <w:rsid w:val="00197A18"/>
    <w:rPr>
      <w:rFonts w:ascii="Cambria" w:hAnsi="Cambria"/>
      <w:b/>
      <w:color w:val="FF0000"/>
      <w:sz w:val="20"/>
      <w:szCs w:val="20"/>
      <w:u w:val="dotted"/>
    </w:rPr>
  </w:style>
  <w:style w:type="character" w:styleId="FollowedHyperlink">
    <w:name w:val="FollowedHyperlink"/>
    <w:uiPriority w:val="99"/>
    <w:semiHidden/>
    <w:rsid w:val="00197A18"/>
    <w:rPr>
      <w:color w:val="333399"/>
      <w:u w:val="none"/>
    </w:rPr>
  </w:style>
  <w:style w:type="paragraph" w:customStyle="1" w:styleId="Heading1unnumbered">
    <w:name w:val="Heading 1 unnumbered"/>
    <w:basedOn w:val="Heading1"/>
    <w:next w:val="BodyText"/>
    <w:link w:val="Heading1unnumberedChar"/>
    <w:uiPriority w:val="2"/>
    <w:qFormat/>
    <w:rsid w:val="00197A18"/>
    <w:pPr>
      <w:spacing w:before="0" w:after="360" w:line="288" w:lineRule="auto"/>
      <w:ind w:left="0" w:firstLine="0"/>
    </w:pPr>
    <w:rPr>
      <w:rFonts w:ascii="Calibri" w:hAnsi="Calibri" w:cs="Times New Roman"/>
      <w:b/>
      <w:bCs w:val="0"/>
      <w:color w:val="0087A2"/>
      <w:kern w:val="28"/>
      <w:szCs w:val="44"/>
    </w:rPr>
  </w:style>
  <w:style w:type="character" w:customStyle="1" w:styleId="Heading1unnumberedChar">
    <w:name w:val="Heading 1 unnumbered Char"/>
    <w:link w:val="Heading1unnumbered"/>
    <w:uiPriority w:val="2"/>
    <w:rsid w:val="00197A18"/>
    <w:rPr>
      <w:rFonts w:ascii="Calibri" w:hAnsi="Calibri"/>
      <w:b/>
      <w:color w:val="0087A2"/>
      <w:kern w:val="28"/>
      <w:sz w:val="44"/>
      <w:szCs w:val="44"/>
    </w:rPr>
  </w:style>
  <w:style w:type="paragraph" w:customStyle="1" w:styleId="Heading2unnumbered">
    <w:name w:val="Heading 2 unnumbered"/>
    <w:basedOn w:val="Heading2"/>
    <w:next w:val="BodyText"/>
    <w:link w:val="Heading2unnumberedChar"/>
    <w:uiPriority w:val="2"/>
    <w:qFormat/>
    <w:rsid w:val="00197A18"/>
    <w:pPr>
      <w:spacing w:before="360" w:after="240" w:line="288" w:lineRule="auto"/>
      <w:ind w:left="0" w:firstLine="0"/>
    </w:pPr>
    <w:rPr>
      <w:rFonts w:ascii="Calibri" w:hAnsi="Calibri" w:cs="Times New Roman"/>
      <w:bCs w:val="0"/>
      <w:iCs w:val="0"/>
      <w:color w:val="C75B12"/>
      <w:kern w:val="28"/>
      <w:sz w:val="32"/>
      <w:szCs w:val="32"/>
    </w:rPr>
  </w:style>
  <w:style w:type="character" w:customStyle="1" w:styleId="Heading2unnumberedChar">
    <w:name w:val="Heading 2 unnumbered Char"/>
    <w:link w:val="Heading2unnumbered"/>
    <w:uiPriority w:val="2"/>
    <w:rsid w:val="00197A18"/>
    <w:rPr>
      <w:rFonts w:ascii="Calibri" w:hAnsi="Calibri"/>
      <w:b/>
      <w:color w:val="C75B12"/>
      <w:kern w:val="28"/>
      <w:sz w:val="32"/>
      <w:szCs w:val="32"/>
    </w:rPr>
  </w:style>
  <w:style w:type="paragraph" w:customStyle="1" w:styleId="AppendixHeading2unnumbered">
    <w:name w:val="Appendix Heading 2 unnumbered"/>
    <w:basedOn w:val="Heading7"/>
    <w:next w:val="BodyText"/>
    <w:link w:val="AppendixHeading2unnumberedChar"/>
    <w:uiPriority w:val="29"/>
    <w:rsid w:val="00197A18"/>
  </w:style>
  <w:style w:type="character" w:customStyle="1" w:styleId="AppendixHeading2unnumberedChar">
    <w:name w:val="Appendix Heading 2 unnumbered Char"/>
    <w:link w:val="AppendixHeading2unnumbered"/>
    <w:uiPriority w:val="29"/>
    <w:rsid w:val="00197A18"/>
    <w:rPr>
      <w:rFonts w:ascii="Calibri" w:hAnsi="Calibri"/>
      <w:b/>
      <w:color w:val="C75B12"/>
      <w:kern w:val="28"/>
      <w:sz w:val="32"/>
      <w:szCs w:val="32"/>
    </w:rPr>
  </w:style>
  <w:style w:type="paragraph" w:customStyle="1" w:styleId="Invisiblepara">
    <w:name w:val="Invisible para"/>
    <w:next w:val="BodyText"/>
    <w:semiHidden/>
    <w:rsid w:val="00197A18"/>
    <w:pPr>
      <w:keepNext/>
      <w:spacing w:before="240" w:line="110" w:lineRule="atLeast"/>
    </w:pPr>
    <w:rPr>
      <w:rFonts w:ascii="Cambria" w:hAnsi="Cambria"/>
      <w:vanish/>
      <w:color w:val="000000"/>
      <w:sz w:val="8"/>
      <w:szCs w:val="8"/>
    </w:rPr>
  </w:style>
  <w:style w:type="paragraph" w:customStyle="1" w:styleId="Invisiblepara2">
    <w:name w:val="Invisible para 2"/>
    <w:basedOn w:val="Invisiblepara"/>
    <w:next w:val="BodyText"/>
    <w:semiHidden/>
    <w:rsid w:val="00197A18"/>
    <w:pPr>
      <w:keepNext w:val="0"/>
      <w:spacing w:before="0" w:after="240"/>
    </w:pPr>
  </w:style>
  <w:style w:type="paragraph" w:styleId="ListBullet">
    <w:name w:val="List Bullet"/>
    <w:basedOn w:val="BodyText"/>
    <w:uiPriority w:val="1"/>
    <w:qFormat/>
    <w:rsid w:val="00197A18"/>
    <w:pPr>
      <w:numPr>
        <w:numId w:val="18"/>
      </w:numPr>
    </w:pPr>
    <w:rPr>
      <w:szCs w:val="20"/>
    </w:rPr>
  </w:style>
  <w:style w:type="paragraph" w:styleId="ListBullet2">
    <w:name w:val="List Bullet 2"/>
    <w:basedOn w:val="BodyText"/>
    <w:uiPriority w:val="1"/>
    <w:qFormat/>
    <w:rsid w:val="00197A18"/>
    <w:pPr>
      <w:numPr>
        <w:numId w:val="19"/>
      </w:numPr>
    </w:pPr>
  </w:style>
  <w:style w:type="paragraph" w:styleId="ListNumber">
    <w:name w:val="List Number"/>
    <w:basedOn w:val="BodyText"/>
    <w:uiPriority w:val="1"/>
    <w:qFormat/>
    <w:rsid w:val="00197A18"/>
    <w:pPr>
      <w:numPr>
        <w:numId w:val="20"/>
      </w:numPr>
    </w:pPr>
    <w:rPr>
      <w:szCs w:val="20"/>
    </w:rPr>
  </w:style>
  <w:style w:type="paragraph" w:styleId="ListNumber2">
    <w:name w:val="List Number 2"/>
    <w:basedOn w:val="BodyText"/>
    <w:uiPriority w:val="1"/>
    <w:qFormat/>
    <w:rsid w:val="00197A18"/>
    <w:pPr>
      <w:numPr>
        <w:numId w:val="21"/>
      </w:numPr>
    </w:pPr>
  </w:style>
  <w:style w:type="paragraph" w:customStyle="1" w:styleId="Note">
    <w:name w:val="Note"/>
    <w:uiPriority w:val="6"/>
    <w:qFormat/>
    <w:rsid w:val="00197A18"/>
    <w:pPr>
      <w:spacing w:before="120" w:after="240" w:line="288" w:lineRule="auto"/>
    </w:pPr>
    <w:rPr>
      <w:rFonts w:ascii="Arial Narrow" w:hAnsi="Arial Narrow"/>
      <w:color w:val="000000"/>
      <w:sz w:val="16"/>
      <w:szCs w:val="16"/>
      <w:lang w:eastAsia="en-US"/>
    </w:rPr>
  </w:style>
  <w:style w:type="character" w:customStyle="1" w:styleId="NoteLabel">
    <w:name w:val="Note Label"/>
    <w:uiPriority w:val="6"/>
    <w:semiHidden/>
    <w:rsid w:val="00197A18"/>
    <w:rPr>
      <w:rFonts w:ascii="Arial Narrow" w:hAnsi="Arial Narrow"/>
      <w:b/>
      <w:color w:val="000000"/>
      <w:position w:val="4"/>
      <w:sz w:val="16"/>
      <w:szCs w:val="14"/>
    </w:rPr>
  </w:style>
  <w:style w:type="paragraph" w:customStyle="1" w:styleId="NoteNumber">
    <w:name w:val="Note Number"/>
    <w:basedOn w:val="Note"/>
    <w:next w:val="Note"/>
    <w:uiPriority w:val="6"/>
    <w:qFormat/>
    <w:rsid w:val="00197A18"/>
    <w:pPr>
      <w:numPr>
        <w:numId w:val="22"/>
      </w:numPr>
      <w:spacing w:after="0"/>
    </w:pPr>
    <w:rPr>
      <w:szCs w:val="14"/>
    </w:rPr>
  </w:style>
  <w:style w:type="paragraph" w:customStyle="1" w:styleId="QuoteBullet">
    <w:name w:val="Quote Bullet"/>
    <w:basedOn w:val="Quote"/>
    <w:uiPriority w:val="7"/>
    <w:qFormat/>
    <w:rsid w:val="00197A18"/>
    <w:pPr>
      <w:numPr>
        <w:numId w:val="23"/>
      </w:numPr>
      <w:spacing w:after="50"/>
    </w:pPr>
    <w:rPr>
      <w:rFonts w:ascii="Cambria" w:hAnsi="Cambria"/>
      <w:color w:val="000000"/>
      <w:szCs w:val="18"/>
    </w:rPr>
  </w:style>
  <w:style w:type="paragraph" w:customStyle="1" w:styleId="Reference">
    <w:name w:val="Reference"/>
    <w:uiPriority w:val="9"/>
    <w:qFormat/>
    <w:rsid w:val="00197A18"/>
    <w:pPr>
      <w:keepLines/>
      <w:spacing w:before="57" w:after="142" w:line="288" w:lineRule="auto"/>
      <w:ind w:left="284" w:hanging="284"/>
    </w:pPr>
    <w:rPr>
      <w:rFonts w:ascii="Cambria" w:hAnsi="Cambria"/>
      <w:color w:val="000000"/>
      <w:sz w:val="21"/>
      <w:szCs w:val="18"/>
    </w:rPr>
  </w:style>
  <w:style w:type="paragraph" w:customStyle="1" w:styleId="TableDataColumnHeading">
    <w:name w:val="Table Data Column Heading"/>
    <w:rsid w:val="00197A18"/>
    <w:pPr>
      <w:keepNext/>
      <w:spacing w:after="57" w:line="288" w:lineRule="auto"/>
      <w:jc w:val="right"/>
    </w:pPr>
    <w:rPr>
      <w:rFonts w:ascii="Arial Narrow" w:hAnsi="Arial Narrow"/>
      <w:b/>
      <w:color w:val="14434B"/>
      <w:sz w:val="19"/>
      <w:szCs w:val="17"/>
      <w:lang w:eastAsia="en-US"/>
    </w:rPr>
  </w:style>
  <w:style w:type="paragraph" w:customStyle="1" w:styleId="TableTextEntries">
    <w:name w:val="Table Text Entries"/>
    <w:uiPriority w:val="24"/>
    <w:rsid w:val="00197A18"/>
    <w:pPr>
      <w:keepLines/>
      <w:spacing w:after="57" w:line="288" w:lineRule="auto"/>
    </w:pPr>
    <w:rPr>
      <w:rFonts w:ascii="Arial Narrow" w:hAnsi="Arial Narrow"/>
      <w:color w:val="000000"/>
      <w:sz w:val="19"/>
      <w:szCs w:val="17"/>
      <w:lang w:eastAsia="en-US"/>
    </w:rPr>
  </w:style>
  <w:style w:type="paragraph" w:customStyle="1" w:styleId="TableDataEntries">
    <w:name w:val="Table Data Entries"/>
    <w:basedOn w:val="TableTextEntries"/>
    <w:rsid w:val="00197A18"/>
    <w:pPr>
      <w:jc w:val="right"/>
    </w:pPr>
  </w:style>
  <w:style w:type="paragraph" w:customStyle="1" w:styleId="TableHeading1">
    <w:name w:val="Table Heading 1"/>
    <w:basedOn w:val="TableTextEntries"/>
    <w:next w:val="TableTextEntries"/>
    <w:uiPriority w:val="26"/>
    <w:rsid w:val="00197A18"/>
    <w:rPr>
      <w:b/>
      <w:color w:val="14434B"/>
    </w:rPr>
  </w:style>
  <w:style w:type="paragraph" w:customStyle="1" w:styleId="TableHeading20">
    <w:name w:val="Table Heading 2"/>
    <w:basedOn w:val="TableHeading1"/>
    <w:next w:val="TableTextEntries"/>
    <w:uiPriority w:val="26"/>
    <w:rsid w:val="00197A18"/>
    <w:rPr>
      <w:b w:val="0"/>
      <w:i/>
    </w:rPr>
  </w:style>
  <w:style w:type="paragraph" w:customStyle="1" w:styleId="TableListBullet">
    <w:name w:val="Table List Bullet"/>
    <w:basedOn w:val="TableTextEntries"/>
    <w:uiPriority w:val="25"/>
    <w:rsid w:val="00197A18"/>
    <w:pPr>
      <w:numPr>
        <w:numId w:val="24"/>
      </w:numPr>
    </w:pPr>
  </w:style>
  <w:style w:type="paragraph" w:customStyle="1" w:styleId="TableListBullet2">
    <w:name w:val="Table List Bullet 2"/>
    <w:basedOn w:val="TableTextEntries"/>
    <w:uiPriority w:val="25"/>
    <w:rsid w:val="00197A18"/>
    <w:pPr>
      <w:numPr>
        <w:numId w:val="25"/>
      </w:numPr>
    </w:pPr>
  </w:style>
  <w:style w:type="paragraph" w:customStyle="1" w:styleId="TableListNumber0">
    <w:name w:val="Table List Number"/>
    <w:basedOn w:val="TableTextEntries"/>
    <w:uiPriority w:val="25"/>
    <w:rsid w:val="00197A18"/>
    <w:pPr>
      <w:numPr>
        <w:numId w:val="26"/>
      </w:numPr>
    </w:pPr>
  </w:style>
  <w:style w:type="paragraph" w:customStyle="1" w:styleId="TableListNumber20">
    <w:name w:val="Table List Number 2"/>
    <w:basedOn w:val="TableTextEntries"/>
    <w:uiPriority w:val="25"/>
    <w:rsid w:val="00197A18"/>
    <w:pPr>
      <w:numPr>
        <w:numId w:val="27"/>
      </w:numPr>
    </w:pPr>
  </w:style>
  <w:style w:type="paragraph" w:customStyle="1" w:styleId="TableTextColumnHeading">
    <w:name w:val="Table Text Column Heading"/>
    <w:uiPriority w:val="27"/>
    <w:rsid w:val="00197A18"/>
    <w:pPr>
      <w:keepNext/>
      <w:spacing w:after="57" w:line="288" w:lineRule="auto"/>
    </w:pPr>
    <w:rPr>
      <w:rFonts w:ascii="Arial Narrow" w:hAnsi="Arial Narrow"/>
      <w:b/>
      <w:color w:val="14434B"/>
      <w:sz w:val="19"/>
      <w:szCs w:val="17"/>
      <w:lang w:eastAsia="en-US"/>
    </w:rPr>
  </w:style>
  <w:style w:type="table" w:customStyle="1" w:styleId="TableODE">
    <w:name w:val="Table_ODE"/>
    <w:basedOn w:val="TableGrid"/>
    <w:semiHidden/>
    <w:rsid w:val="00197A18"/>
    <w:rPr>
      <w:rFonts w:ascii="Arial Narrow" w:hAnsi="Arial Narrow"/>
    </w:rPr>
    <w:tblPr>
      <w:tblInd w:w="0" w:type="dxa"/>
      <w:tblBorders>
        <w:top w:val="single" w:sz="4" w:space="0" w:color="007FAD"/>
        <w:bottom w:val="single" w:sz="4" w:space="0" w:color="007FAD"/>
        <w:insideH w:val="single" w:sz="4" w:space="0" w:color="007FAD"/>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BodyText"/>
    <w:autoRedefine/>
    <w:uiPriority w:val="39"/>
    <w:qFormat/>
    <w:rsid w:val="00197A18"/>
    <w:pPr>
      <w:tabs>
        <w:tab w:val="right" w:pos="8488"/>
      </w:tabs>
      <w:spacing w:line="288" w:lineRule="auto"/>
      <w:ind w:left="567"/>
    </w:pPr>
    <w:rPr>
      <w:rFonts w:ascii="Calibri" w:hAnsi="Calibri"/>
      <w:color w:val="0087A2"/>
      <w:sz w:val="21"/>
      <w:szCs w:val="24"/>
    </w:rPr>
  </w:style>
  <w:style w:type="paragraph" w:customStyle="1" w:styleId="InfoHead">
    <w:name w:val="Info Head"/>
    <w:basedOn w:val="BoxTitle"/>
    <w:semiHidden/>
    <w:qFormat/>
    <w:rsid w:val="00197A18"/>
    <w:pPr>
      <w:framePr w:hSpace="181" w:wrap="around" w:hAnchor="margin" w:yAlign="bottom"/>
      <w:suppressOverlap/>
    </w:pPr>
  </w:style>
  <w:style w:type="character" w:styleId="PlaceholderText">
    <w:name w:val="Placeholder Text"/>
    <w:uiPriority w:val="99"/>
    <w:semiHidden/>
    <w:rsid w:val="00197A18"/>
    <w:rPr>
      <w:color w:val="808080"/>
    </w:rPr>
  </w:style>
  <w:style w:type="paragraph" w:styleId="NoSpacing">
    <w:name w:val="No Spacing"/>
    <w:uiPriority w:val="1"/>
    <w:qFormat/>
    <w:rsid w:val="00197A18"/>
    <w:rPr>
      <w:rFonts w:ascii="Cambria" w:hAnsi="Cambria"/>
      <w:color w:val="000000"/>
      <w:sz w:val="21"/>
      <w:szCs w:val="24"/>
    </w:rPr>
  </w:style>
  <w:style w:type="paragraph" w:customStyle="1" w:styleId="BodyText2">
    <w:name w:val="Body Text2"/>
    <w:semiHidden/>
    <w:rsid w:val="00197A18"/>
    <w:rPr>
      <w:rFonts w:ascii="Arial" w:hAnsi="Arial"/>
      <w:szCs w:val="24"/>
      <w:lang w:eastAsia="en-US"/>
    </w:rPr>
  </w:style>
  <w:style w:type="table" w:customStyle="1" w:styleId="ODETable">
    <w:name w:val="ODE Table"/>
    <w:basedOn w:val="TableNormal"/>
    <w:uiPriority w:val="99"/>
    <w:rsid w:val="00197A18"/>
    <w:rPr>
      <w:rFonts w:ascii="Courier" w:hAnsi="Courier"/>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57" w:type="dxa"/>
        <w:bottom w:w="113" w:type="dxa"/>
        <w:right w:w="57" w:type="dxa"/>
      </w:tblCellMar>
    </w:tblPr>
    <w:tcPr>
      <w:shd w:val="clear" w:color="auto" w:fill="EEEFEE"/>
    </w:tcPr>
    <w:tblStylePr w:type="firstRow">
      <w:tblPr/>
      <w:tcPr>
        <w:shd w:val="clear" w:color="auto" w:fill="92C3CA"/>
      </w:tcPr>
    </w:tblStylePr>
  </w:style>
  <w:style w:type="paragraph" w:styleId="ListParagraph">
    <w:name w:val="List Paragraph"/>
    <w:basedOn w:val="Normal"/>
    <w:link w:val="ListParagraphChar"/>
    <w:uiPriority w:val="34"/>
    <w:qFormat/>
    <w:rsid w:val="00197A18"/>
    <w:pPr>
      <w:spacing w:before="0" w:after="200" w:line="276" w:lineRule="auto"/>
      <w:ind w:left="720"/>
      <w:contextualSpacing/>
    </w:pPr>
    <w:rPr>
      <w:rFonts w:ascii="Cambria" w:eastAsia="Cambria" w:hAnsi="Cambria"/>
      <w:sz w:val="22"/>
      <w:szCs w:val="22"/>
      <w:lang w:eastAsia="en-US"/>
    </w:rPr>
  </w:style>
  <w:style w:type="character" w:customStyle="1" w:styleId="ListParagraphChar">
    <w:name w:val="List Paragraph Char"/>
    <w:link w:val="ListParagraph"/>
    <w:uiPriority w:val="34"/>
    <w:rsid w:val="00197A18"/>
    <w:rPr>
      <w:rFonts w:ascii="Cambria" w:eastAsia="Cambria" w:hAnsi="Cambria"/>
      <w:sz w:val="22"/>
      <w:szCs w:val="22"/>
      <w:lang w:eastAsia="en-US"/>
    </w:rPr>
  </w:style>
  <w:style w:type="character" w:customStyle="1" w:styleId="apple-converted-space">
    <w:name w:val="apple-converted-space"/>
    <w:basedOn w:val="DefaultParagraphFont"/>
    <w:rsid w:val="00197A18"/>
  </w:style>
  <w:style w:type="paragraph" w:styleId="Revision">
    <w:name w:val="Revision"/>
    <w:hidden/>
    <w:uiPriority w:val="99"/>
    <w:semiHidden/>
    <w:rsid w:val="00197A18"/>
    <w:rPr>
      <w:rFonts w:ascii="Cambria" w:hAnsi="Cambria"/>
      <w:color w:val="000000"/>
      <w:sz w:val="21"/>
      <w:szCs w:val="24"/>
    </w:rPr>
  </w:style>
  <w:style w:type="paragraph" w:styleId="NormalWeb">
    <w:name w:val="Normal (Web)"/>
    <w:basedOn w:val="Normal"/>
    <w:uiPriority w:val="99"/>
    <w:unhideWhenUsed/>
    <w:rsid w:val="00197A18"/>
    <w:pPr>
      <w:spacing w:before="100" w:beforeAutospacing="1" w:after="100" w:afterAutospacing="1" w:line="240" w:lineRule="auto"/>
    </w:pPr>
    <w:rPr>
      <w:rFonts w:ascii="Times New Roman" w:hAnsi="Times New Roman"/>
      <w:sz w:val="24"/>
      <w:szCs w:val="24"/>
    </w:rPr>
  </w:style>
  <w:style w:type="table" w:customStyle="1" w:styleId="ColorfulGrid1">
    <w:name w:val="Colorful Grid1"/>
    <w:basedOn w:val="TableNormal"/>
    <w:rsid w:val="00197A18"/>
    <w:rPr>
      <w:rFonts w:ascii="Cambria" w:eastAsia="Cambria" w:hAnsi="Cambria"/>
      <w:color w:val="000000"/>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108" w:type="dxa"/>
        <w:bottom w:w="57" w:type="dxa"/>
        <w:right w:w="108" w:type="dxa"/>
      </w:tblCellMar>
    </w:tblPr>
    <w:tcPr>
      <w:shd w:val="clear" w:color="auto" w:fill="CCCCCC"/>
    </w:tcPr>
    <w:tblStylePr w:type="firstRow">
      <w:rPr>
        <w:rFonts w:ascii="Arial" w:hAnsi="Arial"/>
        <w:b/>
        <w:bCs/>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87A2"/>
      </w:tcPr>
    </w:tblStylePr>
    <w:tblStylePr w:type="lastRow">
      <w:rPr>
        <w:b/>
        <w:bCs/>
        <w:color w:val="000000"/>
      </w:rPr>
      <w:tblPr/>
      <w:tcPr>
        <w:shd w:val="clear" w:color="auto" w:fill="92C3CA"/>
      </w:tcPr>
    </w:tblStylePr>
    <w:tblStylePr w:type="firstCol">
      <w:rPr>
        <w:rFonts w:ascii="Arial" w:hAnsi="Arial"/>
        <w:b w:val="0"/>
        <w:color w:val="FFFFFF"/>
      </w:rPr>
      <w:tblPr/>
      <w:tcPr>
        <w:tcBorders>
          <w:top w:val="nil"/>
          <w:left w:val="nil"/>
          <w:bottom w:val="nil"/>
          <w:right w:val="nil"/>
          <w:insideH w:val="nil"/>
          <w:insideV w:val="nil"/>
        </w:tcBorders>
        <w:shd w:val="clear" w:color="auto" w:fill="0087A2"/>
      </w:tcPr>
    </w:tblStylePr>
    <w:tblStylePr w:type="lastCol">
      <w:rPr>
        <w:color w:val="auto"/>
      </w:rPr>
      <w:tblPr/>
      <w:tcPr>
        <w:shd w:val="clear" w:color="auto" w:fill="C75B12"/>
      </w:tcPr>
    </w:tblStylePr>
    <w:tblStylePr w:type="band1Vert">
      <w:tblPr/>
      <w:tcPr>
        <w:shd w:val="clear" w:color="auto" w:fill="DCDEDE"/>
      </w:tcPr>
    </w:tblStylePr>
    <w:tblStylePr w:type="band2Vert">
      <w:tblPr/>
      <w:tcPr>
        <w:shd w:val="clear" w:color="auto" w:fill="C75B12"/>
      </w:tcPr>
    </w:tblStylePr>
    <w:tblStylePr w:type="band1Horz">
      <w:tblPr/>
      <w:tcPr>
        <w:shd w:val="clear" w:color="auto" w:fill="C75B12"/>
      </w:tcPr>
    </w:tblStylePr>
    <w:tblStylePr w:type="band2Horz">
      <w:tblPr/>
      <w:tcPr>
        <w:shd w:val="clear" w:color="auto" w:fill="DCDEDE"/>
      </w:tcPr>
    </w:tblStylePr>
  </w:style>
  <w:style w:type="paragraph" w:customStyle="1" w:styleId="List1">
    <w:name w:val="List1"/>
    <w:basedOn w:val="Normal"/>
    <w:rsid w:val="00197A18"/>
    <w:pPr>
      <w:numPr>
        <w:numId w:val="28"/>
      </w:numPr>
      <w:tabs>
        <w:tab w:val="clear" w:pos="7231"/>
        <w:tab w:val="num" w:pos="284"/>
        <w:tab w:val="num" w:pos="360"/>
      </w:tabs>
      <w:suppressAutoHyphens/>
      <w:autoSpaceDE w:val="0"/>
      <w:autoSpaceDN w:val="0"/>
      <w:adjustRightInd w:val="0"/>
      <w:spacing w:before="120" w:after="120" w:line="300" w:lineRule="auto"/>
      <w:ind w:left="284" w:hanging="360"/>
      <w:jc w:val="both"/>
      <w:textAlignment w:val="center"/>
    </w:pPr>
    <w:rPr>
      <w:rFonts w:ascii="Cambria" w:eastAsia="MS Mincho" w:hAnsi="Cambria" w:cs="FoundersGrotesk-Regular"/>
      <w:color w:val="000000"/>
      <w:sz w:val="22"/>
      <w:szCs w:val="21"/>
      <w:lang w:eastAsia="en-US"/>
    </w:rPr>
  </w:style>
  <w:style w:type="paragraph" w:customStyle="1" w:styleId="Tablebullet0">
    <w:name w:val="Table bullet"/>
    <w:basedOn w:val="List1"/>
    <w:qFormat/>
    <w:rsid w:val="00197A18"/>
    <w:pPr>
      <w:tabs>
        <w:tab w:val="clear" w:pos="284"/>
        <w:tab w:val="clear" w:pos="360"/>
        <w:tab w:val="num" w:pos="7231"/>
      </w:tabs>
      <w:spacing w:line="240" w:lineRule="auto"/>
      <w:ind w:left="7231" w:hanging="284"/>
    </w:pPr>
    <w:rPr>
      <w:rFonts w:ascii="Arial" w:hAnsi="Arial" w:cs="Arial"/>
      <w:sz w:val="20"/>
      <w:szCs w:val="20"/>
    </w:rPr>
  </w:style>
  <w:style w:type="table" w:customStyle="1" w:styleId="TableGrid51">
    <w:name w:val="Table Grid51"/>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A3"/>
    <w:uiPriority w:val="99"/>
    <w:rsid w:val="00197A18"/>
    <w:rPr>
      <w:rFonts w:cs="MetaSerifOT-Book"/>
      <w:color w:val="211D1E"/>
      <w:sz w:val="13"/>
      <w:szCs w:val="13"/>
    </w:rPr>
  </w:style>
  <w:style w:type="character" w:styleId="IntenseEmphasis">
    <w:name w:val="Intense Emphasis"/>
    <w:uiPriority w:val="21"/>
    <w:qFormat/>
    <w:rsid w:val="00197A18"/>
    <w:rPr>
      <w:b/>
      <w:bCs/>
      <w:i/>
      <w:iCs/>
      <w:color w:val="0087A2"/>
    </w:rPr>
  </w:style>
  <w:style w:type="table" w:customStyle="1" w:styleId="TableGrid1">
    <w:name w:val="Table Grid1"/>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97A18"/>
    <w:pPr>
      <w:autoSpaceDE w:val="0"/>
      <w:autoSpaceDN w:val="0"/>
      <w:adjustRightInd w:val="0"/>
      <w:spacing w:before="200"/>
    </w:pPr>
    <w:rPr>
      <w:rFonts w:eastAsia="HGMinchoB"/>
      <w:color w:val="000000"/>
      <w:sz w:val="24"/>
      <w:szCs w:val="24"/>
      <w:lang w:eastAsia="en-US"/>
    </w:rPr>
  </w:style>
  <w:style w:type="paragraph" w:styleId="PlainText">
    <w:name w:val="Plain Text"/>
    <w:basedOn w:val="Normal"/>
    <w:link w:val="PlainTextChar"/>
    <w:uiPriority w:val="99"/>
    <w:unhideWhenUsed/>
    <w:rsid w:val="00197A18"/>
    <w:pPr>
      <w:spacing w:before="0" w:after="0" w:line="240" w:lineRule="auto"/>
    </w:pPr>
    <w:rPr>
      <w:rFonts w:ascii="Calibri" w:eastAsia="Cambria" w:hAnsi="Calibri"/>
      <w:sz w:val="22"/>
      <w:szCs w:val="21"/>
      <w:lang w:eastAsia="en-US"/>
    </w:rPr>
  </w:style>
  <w:style w:type="character" w:customStyle="1" w:styleId="PlainTextChar">
    <w:name w:val="Plain Text Char"/>
    <w:basedOn w:val="DefaultParagraphFont"/>
    <w:link w:val="PlainText"/>
    <w:uiPriority w:val="99"/>
    <w:rsid w:val="00197A18"/>
    <w:rPr>
      <w:rFonts w:ascii="Calibri" w:eastAsia="Cambria" w:hAnsi="Calibri"/>
      <w:sz w:val="22"/>
      <w:szCs w:val="21"/>
      <w:lang w:eastAsia="en-US"/>
    </w:rPr>
  </w:style>
  <w:style w:type="paragraph" w:styleId="TOCHeading">
    <w:name w:val="TOC Heading"/>
    <w:basedOn w:val="Heading1"/>
    <w:next w:val="Normal"/>
    <w:uiPriority w:val="39"/>
    <w:semiHidden/>
    <w:unhideWhenUsed/>
    <w:qFormat/>
    <w:rsid w:val="00197A18"/>
    <w:pPr>
      <w:keepLines/>
      <w:pageBreakBefore w:val="0"/>
      <w:spacing w:after="0" w:line="276" w:lineRule="auto"/>
      <w:ind w:left="0" w:firstLine="0"/>
      <w:outlineLvl w:val="9"/>
    </w:pPr>
    <w:rPr>
      <w:rFonts w:ascii="Calibri" w:eastAsia="HGGothicM" w:hAnsi="Calibri" w:cs="Times New Roman"/>
      <w:b/>
      <w:color w:val="006479"/>
      <w:sz w:val="28"/>
      <w:szCs w:val="28"/>
      <w:lang w:val="en-US" w:eastAsia="ja-JP"/>
    </w:rPr>
  </w:style>
  <w:style w:type="table" w:customStyle="1" w:styleId="TableGrid2">
    <w:name w:val="Table Grid2"/>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number-2">
    <w:name w:val="List-number-2"/>
    <w:basedOn w:val="Normal"/>
    <w:rsid w:val="00197A18"/>
    <w:pPr>
      <w:numPr>
        <w:ilvl w:val="1"/>
        <w:numId w:val="29"/>
      </w:numPr>
      <w:spacing w:before="60" w:after="0" w:line="240" w:lineRule="auto"/>
    </w:pPr>
    <w:rPr>
      <w:rFonts w:ascii="Arial" w:hAnsi="Arial"/>
      <w:sz w:val="18"/>
      <w:szCs w:val="24"/>
      <w:lang w:eastAsia="en-US"/>
    </w:rPr>
  </w:style>
  <w:style w:type="paragraph" w:customStyle="1" w:styleId="List-number-1">
    <w:name w:val="List-number-1"/>
    <w:basedOn w:val="Normal"/>
    <w:link w:val="List-number-1CharChar"/>
    <w:rsid w:val="00197A18"/>
    <w:pPr>
      <w:numPr>
        <w:numId w:val="29"/>
      </w:numPr>
      <w:spacing w:before="160" w:after="0" w:line="240" w:lineRule="auto"/>
    </w:pPr>
    <w:rPr>
      <w:rFonts w:ascii="Arial" w:hAnsi="Arial"/>
      <w:sz w:val="18"/>
      <w:szCs w:val="24"/>
      <w:lang w:eastAsia="en-US"/>
    </w:rPr>
  </w:style>
  <w:style w:type="character" w:customStyle="1" w:styleId="List-number-1CharChar">
    <w:name w:val="List-number-1 Char Char"/>
    <w:link w:val="List-number-1"/>
    <w:rsid w:val="00197A18"/>
    <w:rPr>
      <w:rFonts w:ascii="Arial" w:hAnsi="Arial"/>
      <w:sz w:val="18"/>
      <w:szCs w:val="24"/>
      <w:lang w:eastAsia="en-US"/>
    </w:rPr>
  </w:style>
  <w:style w:type="paragraph" w:styleId="TOC5">
    <w:name w:val="toc 5"/>
    <w:basedOn w:val="Normal"/>
    <w:next w:val="Normal"/>
    <w:autoRedefine/>
    <w:uiPriority w:val="39"/>
    <w:unhideWhenUsed/>
    <w:rsid w:val="00197A18"/>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97A18"/>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97A18"/>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97A18"/>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97A18"/>
    <w:pPr>
      <w:spacing w:before="0" w:after="100" w:line="276" w:lineRule="auto"/>
      <w:ind w:left="1760"/>
    </w:pPr>
    <w:rPr>
      <w:rFonts w:ascii="Calibri" w:hAnsi="Calibri"/>
      <w:sz w:val="22"/>
      <w:szCs w:val="22"/>
    </w:rPr>
  </w:style>
  <w:style w:type="character" w:customStyle="1" w:styleId="st1">
    <w:name w:val="st1"/>
    <w:basedOn w:val="DefaultParagraphFont"/>
    <w:rsid w:val="00BA76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29"/>
    <w:lsdException w:name="heading 7" w:uiPriority="29" w:qFormat="1"/>
    <w:lsdException w:name="heading 8" w:uiPriority="29" w:qFormat="1"/>
    <w:lsdException w:name="heading 9" w:uiPriority="29" w:qFormat="1"/>
    <w:lsdException w:name="index 1" w:uiPriority="0"/>
    <w:lsdException w:name="index 2" w:uiPriority="0"/>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w:uiPriority="1" w:qFormat="1"/>
    <w:lsdException w:name="List Number" w:uiPriority="1" w:qFormat="1"/>
    <w:lsdException w:name="List Bullet 2" w:uiPriority="1" w:qFormat="1"/>
    <w:lsdException w:name="List Bullet 3" w:uiPriority="0"/>
    <w:lsdException w:name="List Number 2" w:uiPriority="1"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A2EA3"/>
    <w:pPr>
      <w:spacing w:before="40" w:after="160" w:line="288" w:lineRule="auto"/>
    </w:pPr>
    <w:rPr>
      <w:rFonts w:ascii="Franklin Gothic Book" w:hAnsi="Franklin Gothic Book"/>
      <w:sz w:val="21"/>
    </w:rPr>
  </w:style>
  <w:style w:type="paragraph" w:styleId="Heading1">
    <w:name w:val="heading 1"/>
    <w:basedOn w:val="Normal"/>
    <w:next w:val="Normal"/>
    <w:link w:val="Heading1Char"/>
    <w:qFormat/>
    <w:rsid w:val="00DA2EA3"/>
    <w:pPr>
      <w:keepNext/>
      <w:pageBreakBefore/>
      <w:spacing w:before="480" w:after="1560" w:line="540" w:lineRule="atLeast"/>
      <w:ind w:left="720" w:hanging="720"/>
      <w:outlineLvl w:val="0"/>
    </w:pPr>
    <w:rPr>
      <w:rFonts w:ascii="Arial" w:hAnsi="Arial" w:cs="Arial"/>
      <w:bCs/>
      <w:color w:val="FFFFFF" w:themeColor="background1"/>
      <w:sz w:val="44"/>
      <w:szCs w:val="32"/>
    </w:rPr>
  </w:style>
  <w:style w:type="paragraph" w:styleId="Heading2">
    <w:name w:val="heading 2"/>
    <w:basedOn w:val="Normal"/>
    <w:next w:val="Normal"/>
    <w:link w:val="Heading2Char"/>
    <w:qFormat/>
    <w:rsid w:val="00DA2EA3"/>
    <w:pPr>
      <w:keepNext/>
      <w:spacing w:before="480" w:after="120" w:line="240" w:lineRule="auto"/>
      <w:ind w:left="720" w:hanging="720"/>
      <w:outlineLvl w:val="1"/>
    </w:pPr>
    <w:rPr>
      <w:rFonts w:ascii="Arial" w:hAnsi="Arial" w:cs="Arial"/>
      <w:b/>
      <w:bCs/>
      <w:iCs/>
      <w:color w:val="124486"/>
      <w:sz w:val="28"/>
      <w:szCs w:val="28"/>
    </w:rPr>
  </w:style>
  <w:style w:type="paragraph" w:styleId="Heading3">
    <w:name w:val="heading 3"/>
    <w:basedOn w:val="Normal"/>
    <w:next w:val="Normal"/>
    <w:link w:val="Heading3Char"/>
    <w:qFormat/>
    <w:rsid w:val="00DA2EA3"/>
    <w:pPr>
      <w:keepNext/>
      <w:spacing w:before="360" w:after="120" w:line="240" w:lineRule="auto"/>
      <w:ind w:left="720" w:hanging="720"/>
      <w:outlineLvl w:val="2"/>
    </w:pPr>
    <w:rPr>
      <w:rFonts w:ascii="Arial" w:hAnsi="Arial" w:cs="Arial"/>
      <w:bCs/>
      <w:color w:val="007FAD"/>
      <w:sz w:val="24"/>
      <w:szCs w:val="26"/>
    </w:rPr>
  </w:style>
  <w:style w:type="paragraph" w:styleId="Heading4">
    <w:name w:val="heading 4"/>
    <w:basedOn w:val="Normal"/>
    <w:next w:val="Normal"/>
    <w:link w:val="Heading4Char"/>
    <w:rsid w:val="00DA2EA3"/>
    <w:pPr>
      <w:keepNext/>
      <w:spacing w:before="240" w:after="120"/>
      <w:outlineLvl w:val="3"/>
    </w:pPr>
    <w:rPr>
      <w:rFonts w:ascii="Arial" w:hAnsi="Arial"/>
      <w:b/>
      <w:bCs/>
      <w:sz w:val="22"/>
      <w:szCs w:val="28"/>
    </w:rPr>
  </w:style>
  <w:style w:type="paragraph" w:styleId="Heading5">
    <w:name w:val="heading 5"/>
    <w:basedOn w:val="Normal"/>
    <w:next w:val="Normal"/>
    <w:link w:val="Heading5Char"/>
    <w:rsid w:val="00DA2EA3"/>
    <w:pPr>
      <w:keepNext/>
      <w:spacing w:before="60" w:after="60"/>
      <w:outlineLvl w:val="4"/>
    </w:pPr>
    <w:rPr>
      <w:rFonts w:ascii="Arial" w:hAnsi="Arial"/>
      <w:bCs/>
      <w:i/>
      <w:iCs/>
      <w:sz w:val="22"/>
      <w:szCs w:val="26"/>
    </w:rPr>
  </w:style>
  <w:style w:type="paragraph" w:styleId="Heading6">
    <w:name w:val="heading 6"/>
    <w:aliases w:val="Appendix Heading 1"/>
    <w:next w:val="BodyText"/>
    <w:link w:val="Heading6Char"/>
    <w:uiPriority w:val="29"/>
    <w:rsid w:val="00197A18"/>
    <w:pPr>
      <w:keepNext/>
      <w:pageBreakBefore/>
      <w:spacing w:after="360" w:line="288" w:lineRule="auto"/>
      <w:outlineLvl w:val="5"/>
    </w:pPr>
    <w:rPr>
      <w:rFonts w:ascii="Calibri" w:hAnsi="Calibri"/>
      <w:b/>
      <w:bCs/>
      <w:color w:val="0087A2"/>
      <w:kern w:val="28"/>
      <w:sz w:val="44"/>
      <w:szCs w:val="44"/>
    </w:rPr>
  </w:style>
  <w:style w:type="paragraph" w:styleId="Heading7">
    <w:name w:val="heading 7"/>
    <w:aliases w:val="Appendix Heading 2"/>
    <w:next w:val="BodyText"/>
    <w:link w:val="Heading7Char"/>
    <w:uiPriority w:val="29"/>
    <w:rsid w:val="00197A18"/>
    <w:pPr>
      <w:keepNext/>
      <w:spacing w:before="360" w:after="240" w:line="288" w:lineRule="auto"/>
      <w:outlineLvl w:val="6"/>
    </w:pPr>
    <w:rPr>
      <w:rFonts w:ascii="Calibri" w:hAnsi="Calibri"/>
      <w:b/>
      <w:color w:val="C75B12"/>
      <w:kern w:val="28"/>
      <w:sz w:val="32"/>
      <w:szCs w:val="32"/>
    </w:rPr>
  </w:style>
  <w:style w:type="paragraph" w:styleId="Heading8">
    <w:name w:val="heading 8"/>
    <w:aliases w:val="Appendix Heading 3"/>
    <w:basedOn w:val="Heading3"/>
    <w:next w:val="BodyText"/>
    <w:link w:val="Heading8Char"/>
    <w:uiPriority w:val="29"/>
    <w:rsid w:val="00197A18"/>
    <w:pPr>
      <w:spacing w:before="120" w:line="288" w:lineRule="auto"/>
      <w:ind w:left="0" w:firstLine="0"/>
      <w:outlineLvl w:val="7"/>
    </w:pPr>
    <w:rPr>
      <w:rFonts w:ascii="Calibri" w:hAnsi="Calibri" w:cs="Times New Roman"/>
      <w:b/>
      <w:bCs w:val="0"/>
      <w:color w:val="14434B"/>
      <w:kern w:val="28"/>
      <w:szCs w:val="21"/>
    </w:rPr>
  </w:style>
  <w:style w:type="paragraph" w:styleId="Heading9">
    <w:name w:val="heading 9"/>
    <w:aliases w:val="Appendix Heading 4"/>
    <w:basedOn w:val="Heading4"/>
    <w:next w:val="BodyText"/>
    <w:link w:val="Heading9Char"/>
    <w:uiPriority w:val="29"/>
    <w:rsid w:val="00197A18"/>
    <w:pPr>
      <w:spacing w:before="120"/>
      <w:outlineLvl w:val="8"/>
    </w:pPr>
    <w:rPr>
      <w:rFonts w:ascii="Cambria" w:hAnsi="Cambria"/>
      <w:bCs w:val="0"/>
      <w:color w:val="000000"/>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DA2EA3"/>
    <w:pPr>
      <w:spacing w:after="600"/>
    </w:pPr>
    <w:rPr>
      <w:i/>
      <w:iCs/>
    </w:rPr>
  </w:style>
  <w:style w:type="paragraph" w:customStyle="1" w:styleId="PullQuote">
    <w:name w:val="PullQuote"/>
    <w:basedOn w:val="Normal"/>
    <w:next w:val="Normal"/>
    <w:rsid w:val="00DA2EA3"/>
    <w:rPr>
      <w:rFonts w:ascii="Trebuchet MS" w:hAnsi="Trebuchet MS"/>
      <w:b/>
      <w:i/>
      <w:color w:val="007FAD"/>
    </w:rPr>
  </w:style>
  <w:style w:type="paragraph" w:customStyle="1" w:styleId="ReportDate">
    <w:name w:val="ReportDate"/>
    <w:basedOn w:val="Normal"/>
    <w:rsid w:val="00DA2EA3"/>
    <w:pPr>
      <w:spacing w:before="960"/>
    </w:pPr>
    <w:rPr>
      <w:rFonts w:asciiTheme="minorHAnsi" w:hAnsiTheme="minorHAnsi"/>
      <w:sz w:val="28"/>
    </w:rPr>
  </w:style>
  <w:style w:type="paragraph" w:customStyle="1" w:styleId="Heading1a">
    <w:name w:val="Heading 1a"/>
    <w:basedOn w:val="Heading1"/>
    <w:next w:val="Normal"/>
    <w:rsid w:val="00DA2EA3"/>
    <w:pPr>
      <w:outlineLvl w:val="9"/>
    </w:pPr>
  </w:style>
  <w:style w:type="paragraph" w:customStyle="1" w:styleId="Heading2a">
    <w:name w:val="Heading 2a"/>
    <w:basedOn w:val="Heading2"/>
    <w:next w:val="Normal"/>
    <w:rsid w:val="00DA2EA3"/>
    <w:pPr>
      <w:ind w:left="0" w:firstLine="0"/>
      <w:outlineLvl w:val="9"/>
    </w:pPr>
  </w:style>
  <w:style w:type="paragraph" w:customStyle="1" w:styleId="Heading3a">
    <w:name w:val="Heading 3a"/>
    <w:basedOn w:val="Heading3"/>
    <w:next w:val="Normal"/>
    <w:rsid w:val="00DA2EA3"/>
    <w:pPr>
      <w:ind w:left="0" w:firstLine="0"/>
      <w:outlineLvl w:val="9"/>
    </w:pPr>
  </w:style>
  <w:style w:type="paragraph" w:styleId="Header">
    <w:name w:val="header"/>
    <w:basedOn w:val="Normal"/>
    <w:link w:val="HeaderChar"/>
    <w:uiPriority w:val="99"/>
    <w:rsid w:val="00DA2EA3"/>
    <w:pPr>
      <w:tabs>
        <w:tab w:val="right" w:pos="9000"/>
      </w:tabs>
      <w:spacing w:after="0"/>
    </w:pPr>
    <w:rPr>
      <w:sz w:val="18"/>
    </w:rPr>
  </w:style>
  <w:style w:type="paragraph" w:styleId="Footer">
    <w:name w:val="footer"/>
    <w:basedOn w:val="Normal"/>
    <w:link w:val="FooterChar"/>
    <w:uiPriority w:val="99"/>
    <w:rsid w:val="00DA2EA3"/>
    <w:pPr>
      <w:tabs>
        <w:tab w:val="right" w:pos="9000"/>
      </w:tabs>
      <w:spacing w:after="0"/>
    </w:pPr>
    <w:rPr>
      <w:sz w:val="20"/>
    </w:rPr>
  </w:style>
  <w:style w:type="character" w:styleId="PageNumber">
    <w:name w:val="page number"/>
    <w:basedOn w:val="DefaultParagraphFont"/>
    <w:semiHidden/>
    <w:rsid w:val="00DA2EA3"/>
    <w:rPr>
      <w:rFonts w:ascii="Times New Roman" w:hAnsi="Times New Roman"/>
      <w:b/>
      <w:sz w:val="20"/>
    </w:rPr>
  </w:style>
  <w:style w:type="paragraph" w:customStyle="1" w:styleId="TableText">
    <w:name w:val="TableText"/>
    <w:basedOn w:val="Normal"/>
    <w:rsid w:val="00DA2EA3"/>
    <w:pPr>
      <w:keepNext/>
      <w:spacing w:after="40" w:line="200" w:lineRule="atLeast"/>
    </w:pPr>
    <w:rPr>
      <w:color w:val="000000" w:themeColor="text1"/>
      <w:sz w:val="17"/>
      <w:szCs w:val="21"/>
    </w:rPr>
  </w:style>
  <w:style w:type="paragraph" w:customStyle="1" w:styleId="TFListNotesSpace">
    <w:name w:val="TFListNotes+Space"/>
    <w:basedOn w:val="TableText"/>
    <w:next w:val="Normal"/>
    <w:rsid w:val="00DA2EA3"/>
    <w:pPr>
      <w:keepNext w:val="0"/>
      <w:keepLines/>
      <w:spacing w:after="360"/>
      <w:ind w:left="170" w:hanging="170"/>
    </w:pPr>
    <w:rPr>
      <w:sz w:val="16"/>
      <w:szCs w:val="18"/>
    </w:rPr>
  </w:style>
  <w:style w:type="paragraph" w:customStyle="1" w:styleId="TFListNotes">
    <w:name w:val="TFListNotes"/>
    <w:basedOn w:val="TFListNotesSpace"/>
    <w:rsid w:val="00DA2EA3"/>
    <w:pPr>
      <w:keepNext/>
      <w:spacing w:after="0"/>
    </w:pPr>
  </w:style>
  <w:style w:type="paragraph" w:customStyle="1" w:styleId="TableName">
    <w:name w:val="TableName"/>
    <w:basedOn w:val="TableText"/>
    <w:rsid w:val="00DA2EA3"/>
    <w:pPr>
      <w:tabs>
        <w:tab w:val="left" w:pos="1080"/>
      </w:tabs>
      <w:spacing w:before="80" w:after="120"/>
      <w:ind w:left="1077" w:hanging="1077"/>
    </w:pPr>
    <w:rPr>
      <w:b/>
      <w:bCs/>
      <w:color w:val="auto"/>
      <w:sz w:val="22"/>
    </w:rPr>
  </w:style>
  <w:style w:type="paragraph" w:customStyle="1" w:styleId="TableHeading">
    <w:name w:val="TableHeading"/>
    <w:basedOn w:val="TableText"/>
    <w:rsid w:val="00DA2EA3"/>
    <w:pPr>
      <w:spacing w:before="80" w:after="80"/>
    </w:pPr>
    <w:rPr>
      <w:rFonts w:ascii="Arial" w:hAnsi="Arial"/>
      <w:b/>
      <w:bCs/>
      <w:color w:val="FFFFFF" w:themeColor="background1"/>
      <w:sz w:val="20"/>
    </w:rPr>
  </w:style>
  <w:style w:type="paragraph" w:customStyle="1" w:styleId="BoxText">
    <w:name w:val="BoxText"/>
    <w:basedOn w:val="Normal"/>
    <w:link w:val="BoxTextChar"/>
    <w:qFormat/>
    <w:rsid w:val="00DA2EA3"/>
    <w:pPr>
      <w:pBdr>
        <w:top w:val="single" w:sz="4" w:space="4" w:color="007FAD"/>
        <w:left w:val="single" w:sz="4" w:space="4" w:color="007FAD"/>
        <w:bottom w:val="single" w:sz="4" w:space="4" w:color="007FAD"/>
        <w:right w:val="single" w:sz="4" w:space="4" w:color="007FAD"/>
      </w:pBdr>
      <w:shd w:val="clear" w:color="auto" w:fill="ECF1F7"/>
      <w:spacing w:before="0" w:after="120" w:line="240" w:lineRule="auto"/>
    </w:pPr>
  </w:style>
  <w:style w:type="paragraph" w:customStyle="1" w:styleId="BoxNotes">
    <w:name w:val="BoxNotes"/>
    <w:basedOn w:val="BoxText"/>
    <w:rsid w:val="00DA2EA3"/>
    <w:pPr>
      <w:spacing w:before="120" w:after="60"/>
    </w:pPr>
    <w:rPr>
      <w:sz w:val="18"/>
    </w:rPr>
  </w:style>
  <w:style w:type="paragraph" w:styleId="Quote">
    <w:name w:val="Quote"/>
    <w:basedOn w:val="Normal"/>
    <w:link w:val="QuoteChar"/>
    <w:rsid w:val="00DA2EA3"/>
    <w:pPr>
      <w:ind w:left="567" w:right="567"/>
    </w:pPr>
    <w:rPr>
      <w:i/>
    </w:rPr>
  </w:style>
  <w:style w:type="paragraph" w:customStyle="1" w:styleId="References">
    <w:name w:val="References"/>
    <w:basedOn w:val="Normal"/>
    <w:rsid w:val="00DA2EA3"/>
    <w:pPr>
      <w:keepLines/>
      <w:ind w:left="284" w:hanging="284"/>
    </w:pPr>
  </w:style>
  <w:style w:type="character" w:customStyle="1" w:styleId="FooterChar">
    <w:name w:val="Footer Char"/>
    <w:basedOn w:val="DefaultParagraphFont"/>
    <w:link w:val="Footer"/>
    <w:uiPriority w:val="99"/>
    <w:rsid w:val="00DA2EA3"/>
    <w:rPr>
      <w:rFonts w:ascii="Franklin Gothic Book" w:hAnsi="Franklin Gothic Book"/>
    </w:rPr>
  </w:style>
  <w:style w:type="paragraph" w:styleId="FootnoteText">
    <w:name w:val="footnote text"/>
    <w:aliases w:val="DBW Footnote Text"/>
    <w:basedOn w:val="Normal"/>
    <w:link w:val="FootnoteTextChar"/>
    <w:uiPriority w:val="99"/>
    <w:rsid w:val="00DA2EA3"/>
    <w:pPr>
      <w:spacing w:after="0"/>
      <w:ind w:left="360" w:hanging="360"/>
    </w:pPr>
    <w:rPr>
      <w:sz w:val="17"/>
    </w:rPr>
  </w:style>
  <w:style w:type="character" w:styleId="FootnoteReference">
    <w:name w:val="footnote reference"/>
    <w:basedOn w:val="DefaultParagraphFont"/>
    <w:rsid w:val="00DA2EA3"/>
    <w:rPr>
      <w:vertAlign w:val="superscript"/>
    </w:rPr>
  </w:style>
  <w:style w:type="paragraph" w:customStyle="1" w:styleId="FigTabPara">
    <w:name w:val="FigTabPara"/>
    <w:basedOn w:val="Normal"/>
    <w:next w:val="Normal"/>
    <w:rsid w:val="00DA2EA3"/>
    <w:pPr>
      <w:keepNext/>
      <w:ind w:left="1077"/>
    </w:pPr>
    <w:rPr>
      <w:sz w:val="20"/>
    </w:rPr>
  </w:style>
  <w:style w:type="paragraph" w:customStyle="1" w:styleId="TableBullet">
    <w:name w:val="TableBullet"/>
    <w:basedOn w:val="Normal"/>
    <w:rsid w:val="00DA2EA3"/>
    <w:pPr>
      <w:numPr>
        <w:numId w:val="10"/>
      </w:numPr>
      <w:spacing w:after="40" w:line="240" w:lineRule="auto"/>
    </w:pPr>
    <w:rPr>
      <w:rFonts w:eastAsia="Calibri"/>
      <w:sz w:val="17"/>
      <w:szCs w:val="17"/>
      <w:lang w:eastAsia="en-US"/>
    </w:rPr>
  </w:style>
  <w:style w:type="paragraph" w:customStyle="1" w:styleId="TFAbbrevs">
    <w:name w:val="TFAbbrevs"/>
    <w:basedOn w:val="TFListNotes"/>
    <w:rsid w:val="00DA2EA3"/>
    <w:pPr>
      <w:ind w:left="0" w:firstLine="0"/>
    </w:pPr>
  </w:style>
  <w:style w:type="paragraph" w:styleId="TOC1">
    <w:name w:val="toc 1"/>
    <w:basedOn w:val="Normal"/>
    <w:next w:val="Normal"/>
    <w:autoRedefine/>
    <w:uiPriority w:val="39"/>
    <w:rsid w:val="00DA2EA3"/>
    <w:pPr>
      <w:tabs>
        <w:tab w:val="left" w:pos="720"/>
        <w:tab w:val="right" w:leader="dot" w:pos="9016"/>
      </w:tabs>
      <w:spacing w:before="120" w:after="120" w:line="240" w:lineRule="auto"/>
      <w:ind w:left="720" w:right="720" w:hanging="720"/>
    </w:pPr>
    <w:rPr>
      <w:rFonts w:ascii="Arial" w:hAnsi="Arial"/>
      <w:bCs/>
      <w:noProof/>
      <w:color w:val="007FAD"/>
      <w:sz w:val="24"/>
    </w:rPr>
  </w:style>
  <w:style w:type="paragraph" w:styleId="TOC2">
    <w:name w:val="toc 2"/>
    <w:basedOn w:val="Normal"/>
    <w:next w:val="Normal"/>
    <w:autoRedefine/>
    <w:uiPriority w:val="39"/>
    <w:rsid w:val="00DA2EA3"/>
    <w:pPr>
      <w:tabs>
        <w:tab w:val="left" w:pos="1440"/>
        <w:tab w:val="right" w:leader="dot" w:pos="9016"/>
      </w:tabs>
      <w:spacing w:before="120" w:after="120" w:line="240" w:lineRule="auto"/>
      <w:ind w:left="1440" w:right="720" w:hanging="720"/>
    </w:pPr>
    <w:rPr>
      <w:rFonts w:ascii="Arial" w:hAnsi="Arial"/>
      <w:sz w:val="24"/>
    </w:rPr>
  </w:style>
  <w:style w:type="paragraph" w:styleId="TableofFigures">
    <w:name w:val="table of figures"/>
    <w:basedOn w:val="Normal"/>
    <w:next w:val="Normal"/>
    <w:uiPriority w:val="99"/>
    <w:rsid w:val="00DA2EA3"/>
    <w:pPr>
      <w:tabs>
        <w:tab w:val="left" w:pos="1080"/>
        <w:tab w:val="right" w:leader="dot" w:pos="9000"/>
      </w:tabs>
      <w:ind w:left="1080" w:right="720" w:hangingChars="450" w:hanging="1080"/>
    </w:pPr>
    <w:rPr>
      <w:rFonts w:ascii="Arial" w:hAnsi="Arial"/>
      <w:sz w:val="22"/>
    </w:rPr>
  </w:style>
  <w:style w:type="paragraph" w:customStyle="1" w:styleId="TableDash">
    <w:name w:val="TableDash"/>
    <w:basedOn w:val="TableBullet"/>
    <w:link w:val="TableDashChar"/>
    <w:rsid w:val="00DA2EA3"/>
    <w:pPr>
      <w:numPr>
        <w:numId w:val="11"/>
      </w:numPr>
    </w:pPr>
  </w:style>
  <w:style w:type="paragraph" w:customStyle="1" w:styleId="Bullet">
    <w:name w:val="Bullet"/>
    <w:basedOn w:val="Normal"/>
    <w:qFormat/>
    <w:rsid w:val="00DA2EA3"/>
    <w:pPr>
      <w:numPr>
        <w:numId w:val="9"/>
      </w:numPr>
      <w:spacing w:before="0" w:after="80" w:line="280" w:lineRule="exact"/>
      <w:ind w:left="284" w:hanging="284"/>
    </w:pPr>
  </w:style>
  <w:style w:type="paragraph" w:customStyle="1" w:styleId="BulletLast">
    <w:name w:val="BulletLast"/>
    <w:basedOn w:val="Bullet"/>
    <w:qFormat/>
    <w:rsid w:val="00DA2EA3"/>
    <w:pPr>
      <w:spacing w:after="160"/>
    </w:pPr>
  </w:style>
  <w:style w:type="paragraph" w:customStyle="1" w:styleId="Dash">
    <w:name w:val="Dash"/>
    <w:basedOn w:val="Normal"/>
    <w:rsid w:val="00DA2EA3"/>
    <w:pPr>
      <w:numPr>
        <w:numId w:val="8"/>
      </w:numPr>
      <w:spacing w:before="0" w:after="80" w:line="280" w:lineRule="exact"/>
      <w:ind w:left="568" w:hanging="284"/>
    </w:pPr>
    <w:rPr>
      <w:szCs w:val="24"/>
    </w:rPr>
  </w:style>
  <w:style w:type="paragraph" w:customStyle="1" w:styleId="DashLast">
    <w:name w:val="DashLast"/>
    <w:basedOn w:val="Dash"/>
    <w:rsid w:val="00DA2EA3"/>
    <w:pPr>
      <w:spacing w:after="120"/>
    </w:pPr>
  </w:style>
  <w:style w:type="paragraph" w:customStyle="1" w:styleId="DashLastSpace">
    <w:name w:val="DashLast+Space"/>
    <w:basedOn w:val="DashLast"/>
    <w:rsid w:val="00DA2EA3"/>
    <w:pPr>
      <w:spacing w:after="240"/>
    </w:pPr>
  </w:style>
  <w:style w:type="paragraph" w:customStyle="1" w:styleId="NormalBeforeBullet">
    <w:name w:val="NormalBeforeBullet"/>
    <w:basedOn w:val="Normal"/>
    <w:qFormat/>
    <w:rsid w:val="00DA2EA3"/>
    <w:pPr>
      <w:keepNext/>
      <w:spacing w:before="0" w:after="80"/>
    </w:pPr>
  </w:style>
  <w:style w:type="paragraph" w:customStyle="1" w:styleId="BoxName">
    <w:name w:val="BoxName"/>
    <w:basedOn w:val="BoxText"/>
    <w:rsid w:val="00DA2EA3"/>
    <w:pPr>
      <w:keepNext/>
      <w:shd w:val="clear" w:color="auto" w:fill="007FAD"/>
      <w:spacing w:before="180" w:after="240"/>
      <w:ind w:left="1077" w:hanging="1077"/>
    </w:pPr>
    <w:rPr>
      <w:rFonts w:ascii="Arial" w:hAnsi="Arial"/>
      <w:b/>
      <w:bCs/>
      <w:color w:val="FFFFFF" w:themeColor="background1"/>
      <w:sz w:val="24"/>
    </w:rPr>
  </w:style>
  <w:style w:type="paragraph" w:customStyle="1" w:styleId="BoxHeading">
    <w:name w:val="BoxHeading"/>
    <w:basedOn w:val="BoxText"/>
    <w:link w:val="BoxHeadingChar"/>
    <w:rsid w:val="00DA2EA3"/>
    <w:pPr>
      <w:keepNext/>
      <w:spacing w:before="360" w:after="60"/>
    </w:pPr>
    <w:rPr>
      <w:b/>
      <w:bCs/>
      <w:sz w:val="22"/>
    </w:rPr>
  </w:style>
  <w:style w:type="paragraph" w:customStyle="1" w:styleId="BoxBullet">
    <w:name w:val="BoxBullet"/>
    <w:basedOn w:val="BoxText"/>
    <w:link w:val="BoxBulletChar"/>
    <w:rsid w:val="00DA2EA3"/>
    <w:pPr>
      <w:numPr>
        <w:numId w:val="4"/>
      </w:numPr>
    </w:pPr>
  </w:style>
  <w:style w:type="character" w:customStyle="1" w:styleId="BoxBulletChar">
    <w:name w:val="BoxBullet Char"/>
    <w:basedOn w:val="BoxTextChar"/>
    <w:link w:val="BoxBullet"/>
    <w:rsid w:val="00DA2EA3"/>
    <w:rPr>
      <w:rFonts w:ascii="Franklin Gothic Book" w:hAnsi="Franklin Gothic Book"/>
      <w:sz w:val="21"/>
      <w:shd w:val="clear" w:color="auto" w:fill="ECF1F7"/>
    </w:rPr>
  </w:style>
  <w:style w:type="paragraph" w:customStyle="1" w:styleId="BoxHeading2">
    <w:name w:val="BoxHeading2"/>
    <w:basedOn w:val="BoxHeading"/>
    <w:link w:val="BoxHeading2Char"/>
    <w:qFormat/>
    <w:rsid w:val="00DA2EA3"/>
    <w:pPr>
      <w:spacing w:before="240"/>
    </w:pPr>
    <w:rPr>
      <w:i/>
      <w:sz w:val="21"/>
    </w:rPr>
  </w:style>
  <w:style w:type="paragraph" w:customStyle="1" w:styleId="FigureName">
    <w:name w:val="FigureName"/>
    <w:basedOn w:val="Normal"/>
    <w:next w:val="Normal"/>
    <w:rsid w:val="00DA2EA3"/>
    <w:pPr>
      <w:keepNext/>
      <w:keepLines/>
      <w:tabs>
        <w:tab w:val="left" w:pos="1080"/>
      </w:tabs>
      <w:spacing w:before="80" w:after="80"/>
      <w:ind w:left="1077" w:hanging="1077"/>
    </w:pPr>
    <w:rPr>
      <w:b/>
      <w:bCs/>
      <w:sz w:val="22"/>
    </w:rPr>
  </w:style>
  <w:style w:type="paragraph" w:styleId="Index1">
    <w:name w:val="index 1"/>
    <w:basedOn w:val="Normal"/>
    <w:next w:val="Normal"/>
    <w:rsid w:val="00DA2EA3"/>
    <w:pPr>
      <w:spacing w:after="0"/>
      <w:ind w:left="518" w:hanging="518"/>
    </w:pPr>
    <w:rPr>
      <w:noProof/>
      <w:sz w:val="22"/>
    </w:rPr>
  </w:style>
  <w:style w:type="paragraph" w:styleId="Index2">
    <w:name w:val="index 2"/>
    <w:basedOn w:val="Index1"/>
    <w:next w:val="Normal"/>
    <w:rsid w:val="00DA2EA3"/>
    <w:pPr>
      <w:ind w:left="816" w:hanging="476"/>
    </w:pPr>
  </w:style>
  <w:style w:type="paragraph" w:styleId="TOC4">
    <w:name w:val="toc 4"/>
    <w:basedOn w:val="Normal"/>
    <w:next w:val="Normal"/>
    <w:autoRedefine/>
    <w:rsid w:val="00DA2EA3"/>
    <w:pPr>
      <w:tabs>
        <w:tab w:val="right" w:leader="dot" w:pos="9016"/>
      </w:tabs>
      <w:spacing w:after="0"/>
      <w:ind w:left="2160" w:right="720"/>
    </w:pPr>
    <w:rPr>
      <w:noProof/>
      <w:szCs w:val="24"/>
    </w:rPr>
  </w:style>
  <w:style w:type="paragraph" w:customStyle="1" w:styleId="NumberList">
    <w:name w:val="NumberList"/>
    <w:basedOn w:val="Normal"/>
    <w:rsid w:val="00DA2EA3"/>
    <w:pPr>
      <w:tabs>
        <w:tab w:val="left" w:pos="360"/>
      </w:tabs>
      <w:ind w:left="360" w:hanging="360"/>
    </w:pPr>
  </w:style>
  <w:style w:type="paragraph" w:customStyle="1" w:styleId="TFNoteSourceSpace">
    <w:name w:val="TFNoteSource+Space"/>
    <w:basedOn w:val="TFListNotesSpace"/>
    <w:next w:val="Normal"/>
    <w:rsid w:val="00DA2EA3"/>
    <w:pPr>
      <w:ind w:left="624" w:hanging="624"/>
    </w:pPr>
  </w:style>
  <w:style w:type="paragraph" w:customStyle="1" w:styleId="TFNoteSource">
    <w:name w:val="TFNoteSource"/>
    <w:basedOn w:val="TFNoteSourceSpace"/>
    <w:rsid w:val="00DA2EA3"/>
    <w:pPr>
      <w:spacing w:after="0"/>
    </w:pPr>
  </w:style>
  <w:style w:type="paragraph" w:customStyle="1" w:styleId="TFAbbrevsSpace">
    <w:name w:val="TFAbbrevs+Space"/>
    <w:basedOn w:val="TFAbbrevs"/>
    <w:next w:val="Normal"/>
    <w:rsid w:val="00DA2EA3"/>
    <w:pPr>
      <w:spacing w:after="360"/>
    </w:pPr>
  </w:style>
  <w:style w:type="character" w:styleId="Strong">
    <w:name w:val="Strong"/>
    <w:basedOn w:val="DefaultParagraphFont"/>
    <w:uiPriority w:val="22"/>
    <w:qFormat/>
    <w:rsid w:val="00DA2EA3"/>
    <w:rPr>
      <w:b/>
      <w:bCs/>
    </w:rPr>
  </w:style>
  <w:style w:type="character" w:styleId="Emphasis">
    <w:name w:val="Emphasis"/>
    <w:basedOn w:val="DefaultParagraphFont"/>
    <w:uiPriority w:val="20"/>
    <w:qFormat/>
    <w:rsid w:val="00DA2EA3"/>
    <w:rPr>
      <w:i/>
      <w:iCs/>
    </w:rPr>
  </w:style>
  <w:style w:type="character" w:customStyle="1" w:styleId="Roman">
    <w:name w:val="Roman"/>
    <w:uiPriority w:val="1"/>
    <w:rsid w:val="00DA2EA3"/>
    <w:rPr>
      <w:b w:val="0"/>
      <w:i/>
    </w:rPr>
  </w:style>
  <w:style w:type="character" w:customStyle="1" w:styleId="TableDashChar">
    <w:name w:val="TableDash Char"/>
    <w:link w:val="TableDash"/>
    <w:rsid w:val="00DA2EA3"/>
    <w:rPr>
      <w:rFonts w:ascii="Franklin Gothic Book" w:eastAsia="Calibri" w:hAnsi="Franklin Gothic Book"/>
      <w:sz w:val="17"/>
      <w:szCs w:val="17"/>
      <w:lang w:eastAsia="en-US"/>
    </w:rPr>
  </w:style>
  <w:style w:type="table" w:styleId="TableGrid">
    <w:name w:val="Table Grid"/>
    <w:basedOn w:val="TableNormal"/>
    <w:rsid w:val="00DA2EA3"/>
    <w:tblPr>
      <w:tblInd w:w="0" w:type="dxa"/>
      <w:tblBorders>
        <w:top w:val="single" w:sz="4" w:space="0" w:color="007FAD"/>
        <w:bottom w:val="single" w:sz="4" w:space="0" w:color="007FAD"/>
        <w:insideH w:val="single" w:sz="4" w:space="0" w:color="007FAD"/>
      </w:tblBorders>
      <w:tblCellMar>
        <w:top w:w="85" w:type="dxa"/>
        <w:left w:w="108" w:type="dxa"/>
        <w:bottom w:w="85" w:type="dxa"/>
        <w:right w:w="108" w:type="dxa"/>
      </w:tblCellMar>
    </w:tblPr>
    <w:tcPr>
      <w:shd w:val="clear" w:color="auto" w:fill="FFFFFF" w:themeFill="background1"/>
    </w:tcPr>
    <w:tblStylePr w:type="firstRow">
      <w:tblPr/>
      <w:tcPr>
        <w:shd w:val="clear" w:color="auto" w:fill="007FAD"/>
      </w:tcPr>
    </w:tblStylePr>
  </w:style>
  <w:style w:type="paragraph" w:customStyle="1" w:styleId="TableNumberList">
    <w:name w:val="TableNumberList"/>
    <w:basedOn w:val="Normal"/>
    <w:rsid w:val="00DA2EA3"/>
    <w:pPr>
      <w:numPr>
        <w:numId w:val="12"/>
      </w:numPr>
      <w:spacing w:after="40" w:line="240" w:lineRule="auto"/>
    </w:pPr>
    <w:rPr>
      <w:rFonts w:eastAsia="Calibri"/>
      <w:sz w:val="17"/>
      <w:szCs w:val="17"/>
      <w:lang w:eastAsia="en-US"/>
    </w:rPr>
  </w:style>
  <w:style w:type="character" w:customStyle="1" w:styleId="BoxTextChar">
    <w:name w:val="BoxText Char"/>
    <w:basedOn w:val="DefaultParagraphFont"/>
    <w:link w:val="BoxText"/>
    <w:rsid w:val="00DA2EA3"/>
    <w:rPr>
      <w:rFonts w:ascii="Franklin Gothic Book" w:hAnsi="Franklin Gothic Book"/>
      <w:sz w:val="21"/>
      <w:shd w:val="clear" w:color="auto" w:fill="ECF1F7"/>
    </w:rPr>
  </w:style>
  <w:style w:type="character" w:customStyle="1" w:styleId="Subscript">
    <w:name w:val="Subscript"/>
    <w:basedOn w:val="DefaultParagraphFont"/>
    <w:uiPriority w:val="1"/>
    <w:rsid w:val="00DA2EA3"/>
    <w:rPr>
      <w:noProof/>
      <w:vertAlign w:val="subscript"/>
    </w:rPr>
  </w:style>
  <w:style w:type="character" w:customStyle="1" w:styleId="Superscript">
    <w:name w:val="Superscript"/>
    <w:basedOn w:val="DefaultParagraphFont"/>
    <w:uiPriority w:val="1"/>
    <w:rsid w:val="00DA2EA3"/>
    <w:rPr>
      <w:noProof/>
      <w:vertAlign w:val="superscript"/>
    </w:rPr>
  </w:style>
  <w:style w:type="character" w:customStyle="1" w:styleId="Symbol">
    <w:name w:val="Symbol"/>
    <w:basedOn w:val="DefaultParagraphFont"/>
    <w:uiPriority w:val="1"/>
    <w:rsid w:val="00DA2EA3"/>
    <w:rPr>
      <w:noProof/>
    </w:rPr>
  </w:style>
  <w:style w:type="character" w:customStyle="1" w:styleId="BoxHeadingChar">
    <w:name w:val="BoxHeading Char"/>
    <w:basedOn w:val="BoxTextChar"/>
    <w:link w:val="BoxHeading"/>
    <w:rsid w:val="00DA2EA3"/>
    <w:rPr>
      <w:rFonts w:ascii="Franklin Gothic Book" w:hAnsi="Franklin Gothic Book"/>
      <w:b/>
      <w:bCs/>
      <w:sz w:val="22"/>
      <w:shd w:val="clear" w:color="auto" w:fill="ECF1F7"/>
    </w:rPr>
  </w:style>
  <w:style w:type="character" w:customStyle="1" w:styleId="BoxHeading2Char">
    <w:name w:val="BoxHeading2 Char"/>
    <w:basedOn w:val="BoxHeadingChar"/>
    <w:link w:val="BoxHeading2"/>
    <w:rsid w:val="00DA2EA3"/>
    <w:rPr>
      <w:rFonts w:ascii="Franklin Gothic Book" w:hAnsi="Franklin Gothic Book"/>
      <w:b/>
      <w:bCs/>
      <w:i/>
      <w:sz w:val="21"/>
      <w:shd w:val="clear" w:color="auto" w:fill="ECF1F7"/>
    </w:rPr>
  </w:style>
  <w:style w:type="character" w:customStyle="1" w:styleId="DateChar">
    <w:name w:val="Date Char"/>
    <w:link w:val="Date"/>
    <w:rsid w:val="00DA2EA3"/>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DA2EA3"/>
    <w:pPr>
      <w:numPr>
        <w:numId w:val="13"/>
      </w:numPr>
    </w:pPr>
  </w:style>
  <w:style w:type="paragraph" w:customStyle="1" w:styleId="ImprintText">
    <w:name w:val="ImprintText"/>
    <w:basedOn w:val="Normal"/>
    <w:rsid w:val="00DA2EA3"/>
    <w:pPr>
      <w:spacing w:line="240" w:lineRule="auto"/>
    </w:pPr>
  </w:style>
  <w:style w:type="paragraph" w:styleId="Subtitle">
    <w:name w:val="Subtitle"/>
    <w:basedOn w:val="Title"/>
    <w:next w:val="Date"/>
    <w:link w:val="SubtitleChar"/>
    <w:qFormat/>
    <w:rsid w:val="00DA2EA3"/>
    <w:pPr>
      <w:pageBreakBefore w:val="0"/>
      <w:spacing w:before="200" w:after="0" w:line="380" w:lineRule="atLeast"/>
    </w:pPr>
    <w:rPr>
      <w:sz w:val="32"/>
      <w:szCs w:val="32"/>
    </w:rPr>
  </w:style>
  <w:style w:type="paragraph" w:styleId="Caption">
    <w:name w:val="caption"/>
    <w:basedOn w:val="Normal"/>
    <w:next w:val="Credit"/>
    <w:uiPriority w:val="35"/>
    <w:unhideWhenUsed/>
    <w:rsid w:val="00DA2EA3"/>
    <w:pPr>
      <w:spacing w:after="0"/>
    </w:pPr>
    <w:rPr>
      <w:b/>
      <w:bCs/>
      <w:sz w:val="20"/>
      <w:szCs w:val="18"/>
    </w:rPr>
  </w:style>
  <w:style w:type="paragraph" w:customStyle="1" w:styleId="Credit">
    <w:name w:val="Credit"/>
    <w:basedOn w:val="Caption"/>
    <w:next w:val="Normal"/>
    <w:rsid w:val="00DA2EA3"/>
    <w:pPr>
      <w:spacing w:after="240"/>
    </w:pPr>
    <w:rPr>
      <w:b w:val="0"/>
      <w:noProof/>
    </w:rPr>
  </w:style>
  <w:style w:type="character" w:customStyle="1" w:styleId="SubtitleChar">
    <w:name w:val="Subtitle Char"/>
    <w:link w:val="Subtitle"/>
    <w:rsid w:val="00DA2EA3"/>
    <w:rPr>
      <w:rFonts w:ascii="Helvetica" w:hAnsi="Helvetica"/>
      <w:noProof/>
      <w:color w:val="FFFFFF"/>
      <w:kern w:val="28"/>
      <w:sz w:val="32"/>
      <w:szCs w:val="32"/>
      <w:lang w:val="en-US" w:eastAsia="en-US"/>
    </w:rPr>
  </w:style>
  <w:style w:type="paragraph" w:customStyle="1" w:styleId="TableHeadingCA">
    <w:name w:val="TableHeadingCA"/>
    <w:basedOn w:val="TableHeading"/>
    <w:rsid w:val="00DA2EA3"/>
    <w:pPr>
      <w:jc w:val="center"/>
    </w:pPr>
  </w:style>
  <w:style w:type="paragraph" w:customStyle="1" w:styleId="TableTextCA">
    <w:name w:val="TableTextCA"/>
    <w:basedOn w:val="TableText"/>
    <w:rsid w:val="00DA2EA3"/>
    <w:pPr>
      <w:jc w:val="center"/>
    </w:pPr>
  </w:style>
  <w:style w:type="paragraph" w:customStyle="1" w:styleId="TableTextDecimalAlign">
    <w:name w:val="TableTextDecimalAlign"/>
    <w:basedOn w:val="TableText"/>
    <w:rsid w:val="00DA2EA3"/>
    <w:pPr>
      <w:tabs>
        <w:tab w:val="decimal" w:pos="1119"/>
      </w:tabs>
    </w:pPr>
  </w:style>
  <w:style w:type="paragraph" w:customStyle="1" w:styleId="NormalIndent">
    <w:name w:val="NormalIndent"/>
    <w:basedOn w:val="Normal"/>
    <w:rsid w:val="00DA2EA3"/>
    <w:pPr>
      <w:ind w:left="357"/>
    </w:pPr>
  </w:style>
  <w:style w:type="paragraph" w:styleId="BalloonText">
    <w:name w:val="Balloon Text"/>
    <w:basedOn w:val="Normal"/>
    <w:link w:val="BalloonTextChar"/>
    <w:uiPriority w:val="99"/>
    <w:semiHidden/>
    <w:unhideWhenUsed/>
    <w:rsid w:val="00DA2E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EA3"/>
    <w:rPr>
      <w:rFonts w:ascii="Tahoma" w:hAnsi="Tahoma" w:cs="Tahoma"/>
      <w:sz w:val="16"/>
      <w:szCs w:val="16"/>
    </w:rPr>
  </w:style>
  <w:style w:type="paragraph" w:customStyle="1" w:styleId="RecommendationText">
    <w:name w:val="RecommendationText"/>
    <w:basedOn w:val="BoxText"/>
    <w:link w:val="RecommendationTextChar"/>
    <w:qFormat/>
    <w:rsid w:val="00DA2EA3"/>
    <w:pPr>
      <w:pBdr>
        <w:top w:val="single" w:sz="4" w:space="4" w:color="124486"/>
        <w:left w:val="none" w:sz="0" w:space="0" w:color="auto"/>
        <w:bottom w:val="single" w:sz="4" w:space="4" w:color="124486"/>
        <w:right w:val="none" w:sz="0" w:space="0" w:color="auto"/>
      </w:pBdr>
      <w:shd w:val="clear" w:color="auto" w:fill="auto"/>
    </w:pPr>
  </w:style>
  <w:style w:type="paragraph" w:styleId="Title">
    <w:name w:val="Title"/>
    <w:basedOn w:val="Normal"/>
    <w:next w:val="Subtitle"/>
    <w:link w:val="TitleChar"/>
    <w:qFormat/>
    <w:rsid w:val="00DA2EA3"/>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DA2EA3"/>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DA2EA3"/>
    <w:pPr>
      <w:pageBreakBefore/>
    </w:pPr>
    <w:rPr>
      <w:rFonts w:ascii="Arial" w:hAnsi="Arial"/>
      <w:b/>
      <w:color w:val="124486"/>
      <w:sz w:val="50"/>
    </w:rPr>
  </w:style>
  <w:style w:type="paragraph" w:customStyle="1" w:styleId="SectionSubtitle">
    <w:name w:val="SectionSubtitle"/>
    <w:basedOn w:val="Normal"/>
    <w:rsid w:val="00DA2EA3"/>
    <w:pPr>
      <w:spacing w:after="0"/>
    </w:pPr>
    <w:rPr>
      <w:rFonts w:asciiTheme="minorHAnsi" w:hAnsiTheme="minorHAnsi"/>
      <w:color w:val="007FAD"/>
      <w:sz w:val="32"/>
    </w:rPr>
  </w:style>
  <w:style w:type="paragraph" w:customStyle="1" w:styleId="QuoteNumberList">
    <w:name w:val="QuoteNumberList"/>
    <w:basedOn w:val="Quote"/>
    <w:rsid w:val="00DA2EA3"/>
    <w:pPr>
      <w:ind w:left="1117" w:hanging="397"/>
    </w:pPr>
    <w:rPr>
      <w:noProof/>
    </w:rPr>
  </w:style>
  <w:style w:type="paragraph" w:customStyle="1" w:styleId="QuoteBullet0">
    <w:name w:val="QuoteBullet"/>
    <w:basedOn w:val="Quote"/>
    <w:rsid w:val="00DA2EA3"/>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DA2EA3"/>
    <w:rPr>
      <w:rFonts w:ascii="Franklin Gothic Book" w:hAnsi="Franklin Gothic Book"/>
      <w:sz w:val="18"/>
    </w:rPr>
  </w:style>
  <w:style w:type="paragraph" w:customStyle="1" w:styleId="TableNumberedList">
    <w:name w:val="TableNumberedList"/>
    <w:basedOn w:val="TableText"/>
    <w:autoRedefine/>
    <w:qFormat/>
    <w:rsid w:val="00DA2EA3"/>
    <w:pPr>
      <w:numPr>
        <w:numId w:val="5"/>
      </w:numPr>
      <w:ind w:left="357" w:hanging="357"/>
    </w:pPr>
  </w:style>
  <w:style w:type="paragraph" w:customStyle="1" w:styleId="TableListNumber">
    <w:name w:val="TableListNumber"/>
    <w:basedOn w:val="Normal"/>
    <w:qFormat/>
    <w:rsid w:val="00DA2EA3"/>
    <w:pPr>
      <w:keepNext/>
      <w:numPr>
        <w:numId w:val="6"/>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DA2EA3"/>
    <w:pPr>
      <w:numPr>
        <w:numId w:val="7"/>
      </w:numPr>
      <w:tabs>
        <w:tab w:val="clear" w:pos="216"/>
        <w:tab w:val="left" w:pos="284"/>
      </w:tabs>
      <w:ind w:left="430" w:hanging="215"/>
    </w:pPr>
  </w:style>
  <w:style w:type="paragraph" w:customStyle="1" w:styleId="TableHeading2">
    <w:name w:val="TableHeading2"/>
    <w:basedOn w:val="TableHeading"/>
    <w:qFormat/>
    <w:rsid w:val="00DA2EA3"/>
    <w:rPr>
      <w:i/>
    </w:rPr>
  </w:style>
  <w:style w:type="paragraph" w:customStyle="1" w:styleId="Draftingnote">
    <w:name w:val="Drafting note"/>
    <w:basedOn w:val="Normal"/>
    <w:link w:val="DraftingnoteChar"/>
    <w:qFormat/>
    <w:rsid w:val="00DA2EA3"/>
    <w:rPr>
      <w:b/>
      <w:color w:val="FF0000"/>
      <w:sz w:val="20"/>
      <w:u w:val="dotted"/>
    </w:rPr>
  </w:style>
  <w:style w:type="character" w:customStyle="1" w:styleId="DraftingnoteChar">
    <w:name w:val="Drafting note Char"/>
    <w:basedOn w:val="DefaultParagraphFont"/>
    <w:link w:val="Draftingnote"/>
    <w:rsid w:val="00DA2EA3"/>
    <w:rPr>
      <w:rFonts w:ascii="Franklin Gothic Book" w:hAnsi="Franklin Gothic Book"/>
      <w:b/>
      <w:color w:val="FF0000"/>
      <w:u w:val="dotted"/>
    </w:rPr>
  </w:style>
  <w:style w:type="character" w:styleId="Hyperlink">
    <w:name w:val="Hyperlink"/>
    <w:basedOn w:val="DefaultParagraphFont"/>
    <w:uiPriority w:val="99"/>
    <w:unhideWhenUsed/>
    <w:rsid w:val="00DA2EA3"/>
    <w:rPr>
      <w:color w:val="007FAD"/>
      <w:u w:val="single"/>
    </w:rPr>
  </w:style>
  <w:style w:type="character" w:styleId="CommentReference">
    <w:name w:val="annotation reference"/>
    <w:basedOn w:val="DefaultParagraphFont"/>
    <w:uiPriority w:val="99"/>
    <w:semiHidden/>
    <w:unhideWhenUsed/>
    <w:rsid w:val="00DA2EA3"/>
    <w:rPr>
      <w:sz w:val="16"/>
      <w:szCs w:val="16"/>
    </w:rPr>
  </w:style>
  <w:style w:type="paragraph" w:styleId="CommentText">
    <w:name w:val="annotation text"/>
    <w:basedOn w:val="Normal"/>
    <w:link w:val="CommentTextChar"/>
    <w:uiPriority w:val="99"/>
    <w:unhideWhenUsed/>
    <w:rsid w:val="00DA2EA3"/>
    <w:pPr>
      <w:spacing w:line="240" w:lineRule="auto"/>
    </w:pPr>
    <w:rPr>
      <w:sz w:val="20"/>
    </w:rPr>
  </w:style>
  <w:style w:type="character" w:customStyle="1" w:styleId="CommentTextChar">
    <w:name w:val="Comment Text Char"/>
    <w:basedOn w:val="DefaultParagraphFont"/>
    <w:link w:val="CommentText"/>
    <w:uiPriority w:val="99"/>
    <w:rsid w:val="00DA2EA3"/>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DA2EA3"/>
    <w:rPr>
      <w:b/>
      <w:bCs/>
    </w:rPr>
  </w:style>
  <w:style w:type="character" w:customStyle="1" w:styleId="CommentSubjectChar">
    <w:name w:val="Comment Subject Char"/>
    <w:basedOn w:val="CommentTextChar"/>
    <w:link w:val="CommentSubject"/>
    <w:uiPriority w:val="99"/>
    <w:semiHidden/>
    <w:rsid w:val="00DA2EA3"/>
    <w:rPr>
      <w:rFonts w:ascii="Franklin Gothic Book" w:hAnsi="Franklin Gothic Book"/>
      <w:b/>
      <w:bCs/>
    </w:rPr>
  </w:style>
  <w:style w:type="table" w:styleId="LightShading">
    <w:name w:val="Light Shading"/>
    <w:basedOn w:val="TableNormal"/>
    <w:uiPriority w:val="60"/>
    <w:rsid w:val="00DA2EA3"/>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A2EA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DBW Footnote Text Char"/>
    <w:basedOn w:val="DefaultParagraphFont"/>
    <w:link w:val="FootnoteText"/>
    <w:uiPriority w:val="99"/>
    <w:rsid w:val="00DA2EA3"/>
    <w:rPr>
      <w:rFonts w:ascii="Franklin Gothic Book" w:hAnsi="Franklin Gothic Book"/>
      <w:sz w:val="17"/>
    </w:rPr>
  </w:style>
  <w:style w:type="paragraph" w:customStyle="1" w:styleId="Numberlist2">
    <w:name w:val="Numberlist2"/>
    <w:basedOn w:val="Normal"/>
    <w:rsid w:val="00DA2EA3"/>
    <w:pPr>
      <w:numPr>
        <w:numId w:val="2"/>
      </w:numPr>
      <w:tabs>
        <w:tab w:val="num" w:pos="567"/>
      </w:tabs>
      <w:spacing w:before="0" w:line="280" w:lineRule="exact"/>
      <w:ind w:left="568" w:hanging="284"/>
    </w:pPr>
    <w:rPr>
      <w:szCs w:val="24"/>
    </w:rPr>
  </w:style>
  <w:style w:type="paragraph" w:customStyle="1" w:styleId="NumberList3">
    <w:name w:val="NumberList3"/>
    <w:basedOn w:val="Normal"/>
    <w:rsid w:val="00DA2EA3"/>
    <w:pPr>
      <w:numPr>
        <w:numId w:val="1"/>
      </w:numPr>
      <w:spacing w:before="0" w:line="280" w:lineRule="exact"/>
      <w:ind w:left="851" w:hanging="284"/>
      <w:contextualSpacing/>
    </w:pPr>
    <w:rPr>
      <w:szCs w:val="24"/>
    </w:rPr>
  </w:style>
  <w:style w:type="paragraph" w:customStyle="1" w:styleId="BoxDash">
    <w:name w:val="BoxDash"/>
    <w:basedOn w:val="BoxText"/>
    <w:rsid w:val="00DA2EA3"/>
    <w:pPr>
      <w:tabs>
        <w:tab w:val="left" w:pos="360"/>
        <w:tab w:val="left" w:pos="720"/>
      </w:tabs>
      <w:ind w:left="720" w:hanging="720"/>
    </w:pPr>
  </w:style>
  <w:style w:type="paragraph" w:styleId="EndnoteText">
    <w:name w:val="endnote text"/>
    <w:basedOn w:val="Normal"/>
    <w:link w:val="EndnoteTextChar"/>
    <w:uiPriority w:val="99"/>
    <w:unhideWhenUsed/>
    <w:rsid w:val="00DA2EA3"/>
    <w:pPr>
      <w:spacing w:before="0" w:after="0" w:line="240" w:lineRule="auto"/>
    </w:pPr>
    <w:rPr>
      <w:sz w:val="20"/>
    </w:rPr>
  </w:style>
  <w:style w:type="character" w:customStyle="1" w:styleId="EndnoteTextChar">
    <w:name w:val="Endnote Text Char"/>
    <w:basedOn w:val="DefaultParagraphFont"/>
    <w:link w:val="EndnoteText"/>
    <w:uiPriority w:val="99"/>
    <w:rsid w:val="00DA2EA3"/>
    <w:rPr>
      <w:rFonts w:ascii="Franklin Gothic Book" w:hAnsi="Franklin Gothic Book"/>
    </w:rPr>
  </w:style>
  <w:style w:type="character" w:styleId="EndnoteReference">
    <w:name w:val="endnote reference"/>
    <w:basedOn w:val="DefaultParagraphFont"/>
    <w:uiPriority w:val="99"/>
    <w:semiHidden/>
    <w:unhideWhenUsed/>
    <w:rsid w:val="00DA2EA3"/>
    <w:rPr>
      <w:vertAlign w:val="superscript"/>
    </w:rPr>
  </w:style>
  <w:style w:type="paragraph" w:customStyle="1" w:styleId="BoxQuote">
    <w:name w:val="BoxQuote"/>
    <w:basedOn w:val="BoxText"/>
    <w:next w:val="BoxQuoteSource"/>
    <w:link w:val="BoxQuoteChar"/>
    <w:qFormat/>
    <w:rsid w:val="00967288"/>
    <w:pPr>
      <w:spacing w:after="0"/>
    </w:pPr>
    <w:rPr>
      <w:i/>
    </w:rPr>
  </w:style>
  <w:style w:type="paragraph" w:customStyle="1" w:styleId="BoxQuoteSource">
    <w:name w:val="BoxQuoteSource"/>
    <w:basedOn w:val="BoxText"/>
    <w:link w:val="BoxQuoteSourceChar"/>
    <w:qFormat/>
    <w:rsid w:val="00DA2EA3"/>
    <w:pPr>
      <w:jc w:val="right"/>
    </w:pPr>
    <w:rPr>
      <w:noProof/>
    </w:rPr>
  </w:style>
  <w:style w:type="paragraph" w:customStyle="1" w:styleId="QuoteSource">
    <w:name w:val="QuoteSource"/>
    <w:basedOn w:val="Quote"/>
    <w:link w:val="QuoteSourceChar"/>
    <w:qFormat/>
    <w:rsid w:val="00DA2EA3"/>
    <w:pPr>
      <w:spacing w:after="240"/>
      <w:jc w:val="right"/>
    </w:pPr>
    <w:rPr>
      <w:i w:val="0"/>
    </w:rPr>
  </w:style>
  <w:style w:type="character" w:customStyle="1" w:styleId="BoxQuoteChar">
    <w:name w:val="BoxQuote Char"/>
    <w:basedOn w:val="BoxTextChar"/>
    <w:link w:val="BoxQuote"/>
    <w:rsid w:val="00967288"/>
    <w:rPr>
      <w:rFonts w:ascii="Franklin Gothic Book" w:hAnsi="Franklin Gothic Book"/>
      <w:i/>
      <w:sz w:val="21"/>
      <w:shd w:val="clear" w:color="auto" w:fill="ECF1F7"/>
    </w:rPr>
  </w:style>
  <w:style w:type="character" w:customStyle="1" w:styleId="BoxQuoteSourceChar">
    <w:name w:val="BoxQuoteSource Char"/>
    <w:basedOn w:val="BoxTextChar"/>
    <w:link w:val="BoxQuoteSource"/>
    <w:rsid w:val="00DA2EA3"/>
    <w:rPr>
      <w:rFonts w:ascii="Franklin Gothic Book" w:hAnsi="Franklin Gothic Book"/>
      <w:noProof/>
      <w:sz w:val="21"/>
      <w:shd w:val="clear" w:color="auto" w:fill="ECF1F7"/>
    </w:rPr>
  </w:style>
  <w:style w:type="character" w:customStyle="1" w:styleId="QuoteChar">
    <w:name w:val="Quote Char"/>
    <w:basedOn w:val="DefaultParagraphFont"/>
    <w:link w:val="Quote"/>
    <w:rsid w:val="00DA2EA3"/>
    <w:rPr>
      <w:rFonts w:ascii="Franklin Gothic Book" w:hAnsi="Franklin Gothic Book"/>
      <w:i/>
      <w:sz w:val="21"/>
    </w:rPr>
  </w:style>
  <w:style w:type="character" w:customStyle="1" w:styleId="QuoteSourceChar">
    <w:name w:val="QuoteSource Char"/>
    <w:basedOn w:val="QuoteChar"/>
    <w:link w:val="QuoteSource"/>
    <w:rsid w:val="00DA2EA3"/>
    <w:rPr>
      <w:rFonts w:ascii="Franklin Gothic Book" w:hAnsi="Franklin Gothic Book"/>
      <w:i w:val="0"/>
      <w:sz w:val="21"/>
    </w:rPr>
  </w:style>
  <w:style w:type="paragraph" w:customStyle="1" w:styleId="RecommendationSub">
    <w:name w:val="RecommendationSub"/>
    <w:basedOn w:val="RecommendationText"/>
    <w:link w:val="RecommendationSubChar"/>
    <w:qFormat/>
    <w:rsid w:val="00DA2EA3"/>
    <w:pPr>
      <w:ind w:left="357" w:hanging="357"/>
    </w:pPr>
  </w:style>
  <w:style w:type="character" w:customStyle="1" w:styleId="RecommendationTextChar">
    <w:name w:val="RecommendationText Char"/>
    <w:basedOn w:val="BoxTextChar"/>
    <w:link w:val="RecommendationText"/>
    <w:rsid w:val="00DA2EA3"/>
    <w:rPr>
      <w:rFonts w:ascii="Franklin Gothic Book" w:hAnsi="Franklin Gothic Book"/>
      <w:sz w:val="21"/>
      <w:shd w:val="clear" w:color="auto" w:fill="ECF1F7"/>
    </w:rPr>
  </w:style>
  <w:style w:type="paragraph" w:customStyle="1" w:styleId="RecommendationName">
    <w:name w:val="RecommendationName"/>
    <w:basedOn w:val="RecommendationText"/>
    <w:link w:val="RecommendationNameChar"/>
    <w:qFormat/>
    <w:rsid w:val="00DA2EA3"/>
    <w:pPr>
      <w:spacing w:before="120"/>
    </w:pPr>
    <w:rPr>
      <w:rFonts w:ascii="Arial Bold" w:hAnsi="Arial Bold"/>
      <w:b/>
      <w:color w:val="EB0029"/>
      <w:sz w:val="24"/>
    </w:rPr>
  </w:style>
  <w:style w:type="character" w:customStyle="1" w:styleId="RecommendationSubChar">
    <w:name w:val="RecommendationSub Char"/>
    <w:basedOn w:val="RecommendationTextChar"/>
    <w:link w:val="RecommendationSub"/>
    <w:rsid w:val="00DA2EA3"/>
    <w:rPr>
      <w:rFonts w:ascii="Franklin Gothic Book" w:hAnsi="Franklin Gothic Book"/>
      <w:sz w:val="21"/>
      <w:shd w:val="clear" w:color="auto" w:fill="ECF1F7"/>
    </w:rPr>
  </w:style>
  <w:style w:type="character" w:customStyle="1" w:styleId="RecommendationNameChar">
    <w:name w:val="RecommendationName Char"/>
    <w:basedOn w:val="RecommendationTextChar"/>
    <w:link w:val="RecommendationName"/>
    <w:rsid w:val="00DA2EA3"/>
    <w:rPr>
      <w:rFonts w:ascii="Arial Bold" w:hAnsi="Arial Bold"/>
      <w:b/>
      <w:color w:val="EB0029"/>
      <w:sz w:val="24"/>
      <w:shd w:val="clear" w:color="auto" w:fill="ECF1F7"/>
    </w:rPr>
  </w:style>
  <w:style w:type="paragraph" w:styleId="BodyText">
    <w:name w:val="Body Text"/>
    <w:link w:val="BodyTextChar"/>
    <w:qFormat/>
    <w:rsid w:val="00197A18"/>
    <w:pPr>
      <w:spacing w:before="57" w:after="142" w:line="288" w:lineRule="auto"/>
    </w:pPr>
    <w:rPr>
      <w:rFonts w:ascii="Cambria" w:hAnsi="Cambria"/>
      <w:color w:val="000000"/>
      <w:sz w:val="21"/>
      <w:szCs w:val="24"/>
    </w:rPr>
  </w:style>
  <w:style w:type="character" w:customStyle="1" w:styleId="BodyTextChar">
    <w:name w:val="Body Text Char"/>
    <w:basedOn w:val="DefaultParagraphFont"/>
    <w:link w:val="BodyText"/>
    <w:rsid w:val="00197A18"/>
    <w:rPr>
      <w:rFonts w:ascii="Cambria" w:hAnsi="Cambria"/>
      <w:color w:val="000000"/>
      <w:sz w:val="21"/>
      <w:szCs w:val="24"/>
    </w:rPr>
  </w:style>
  <w:style w:type="character" w:customStyle="1" w:styleId="Heading6Char">
    <w:name w:val="Heading 6 Char"/>
    <w:aliases w:val="Appendix Heading 1 Char"/>
    <w:basedOn w:val="DefaultParagraphFont"/>
    <w:link w:val="Heading6"/>
    <w:uiPriority w:val="29"/>
    <w:rsid w:val="00197A18"/>
    <w:rPr>
      <w:rFonts w:ascii="Calibri" w:hAnsi="Calibri"/>
      <w:b/>
      <w:bCs/>
      <w:color w:val="0087A2"/>
      <w:kern w:val="28"/>
      <w:sz w:val="44"/>
      <w:szCs w:val="44"/>
    </w:rPr>
  </w:style>
  <w:style w:type="character" w:customStyle="1" w:styleId="Heading7Char">
    <w:name w:val="Heading 7 Char"/>
    <w:aliases w:val="Appendix Heading 2 Char"/>
    <w:basedOn w:val="DefaultParagraphFont"/>
    <w:link w:val="Heading7"/>
    <w:uiPriority w:val="29"/>
    <w:rsid w:val="00197A18"/>
    <w:rPr>
      <w:rFonts w:ascii="Calibri" w:hAnsi="Calibri"/>
      <w:b/>
      <w:color w:val="C75B12"/>
      <w:kern w:val="28"/>
      <w:sz w:val="32"/>
      <w:szCs w:val="32"/>
    </w:rPr>
  </w:style>
  <w:style w:type="character" w:customStyle="1" w:styleId="Heading8Char">
    <w:name w:val="Heading 8 Char"/>
    <w:aliases w:val="Appendix Heading 3 Char"/>
    <w:basedOn w:val="DefaultParagraphFont"/>
    <w:link w:val="Heading8"/>
    <w:uiPriority w:val="29"/>
    <w:rsid w:val="00197A18"/>
    <w:rPr>
      <w:rFonts w:ascii="Calibri" w:hAnsi="Calibri"/>
      <w:b/>
      <w:color w:val="14434B"/>
      <w:kern w:val="28"/>
      <w:sz w:val="24"/>
      <w:szCs w:val="21"/>
    </w:rPr>
  </w:style>
  <w:style w:type="character" w:customStyle="1" w:styleId="Heading9Char">
    <w:name w:val="Heading 9 Char"/>
    <w:aliases w:val="Appendix Heading 4 Char"/>
    <w:basedOn w:val="DefaultParagraphFont"/>
    <w:link w:val="Heading9"/>
    <w:uiPriority w:val="29"/>
    <w:rsid w:val="00197A18"/>
    <w:rPr>
      <w:rFonts w:ascii="Cambria" w:hAnsi="Cambria"/>
      <w:b/>
      <w:color w:val="000000"/>
      <w:kern w:val="28"/>
      <w:sz w:val="21"/>
      <w:szCs w:val="21"/>
    </w:rPr>
  </w:style>
  <w:style w:type="character" w:customStyle="1" w:styleId="Heading1Char">
    <w:name w:val="Heading 1 Char"/>
    <w:link w:val="Heading1"/>
    <w:rsid w:val="00197A18"/>
    <w:rPr>
      <w:rFonts w:ascii="Arial" w:hAnsi="Arial" w:cs="Arial"/>
      <w:bCs/>
      <w:color w:val="FFFFFF" w:themeColor="background1"/>
      <w:sz w:val="44"/>
      <w:szCs w:val="32"/>
    </w:rPr>
  </w:style>
  <w:style w:type="character" w:customStyle="1" w:styleId="Heading2Char">
    <w:name w:val="Heading 2 Char"/>
    <w:link w:val="Heading2"/>
    <w:rsid w:val="00197A18"/>
    <w:rPr>
      <w:rFonts w:ascii="Arial" w:hAnsi="Arial" w:cs="Arial"/>
      <w:b/>
      <w:bCs/>
      <w:iCs/>
      <w:color w:val="124486"/>
      <w:sz w:val="28"/>
      <w:szCs w:val="28"/>
    </w:rPr>
  </w:style>
  <w:style w:type="character" w:customStyle="1" w:styleId="Heading3Char">
    <w:name w:val="Heading 3 Char"/>
    <w:link w:val="Heading3"/>
    <w:rsid w:val="00197A18"/>
    <w:rPr>
      <w:rFonts w:ascii="Arial" w:hAnsi="Arial" w:cs="Arial"/>
      <w:bCs/>
      <w:color w:val="007FAD"/>
      <w:sz w:val="24"/>
      <w:szCs w:val="26"/>
    </w:rPr>
  </w:style>
  <w:style w:type="character" w:customStyle="1" w:styleId="Heading4Char">
    <w:name w:val="Heading 4 Char"/>
    <w:link w:val="Heading4"/>
    <w:rsid w:val="00197A18"/>
    <w:rPr>
      <w:rFonts w:ascii="Arial" w:hAnsi="Arial"/>
      <w:b/>
      <w:bCs/>
      <w:sz w:val="22"/>
      <w:szCs w:val="28"/>
    </w:rPr>
  </w:style>
  <w:style w:type="character" w:customStyle="1" w:styleId="Heading5Char">
    <w:name w:val="Heading 5 Char"/>
    <w:link w:val="Heading5"/>
    <w:rsid w:val="00197A18"/>
    <w:rPr>
      <w:rFonts w:ascii="Arial" w:hAnsi="Arial"/>
      <w:bCs/>
      <w:i/>
      <w:iCs/>
      <w:sz w:val="22"/>
      <w:szCs w:val="26"/>
    </w:rPr>
  </w:style>
  <w:style w:type="paragraph" w:customStyle="1" w:styleId="AuthorName">
    <w:name w:val="Author Name"/>
    <w:uiPriority w:val="40"/>
    <w:rsid w:val="00197A18"/>
    <w:pPr>
      <w:spacing w:before="120" w:line="288" w:lineRule="auto"/>
    </w:pPr>
    <w:rPr>
      <w:rFonts w:ascii="Calibri" w:hAnsi="Calibri"/>
      <w:caps/>
      <w:color w:val="14434B"/>
      <w:spacing w:val="-2"/>
      <w:kern w:val="28"/>
      <w:sz w:val="25"/>
      <w:szCs w:val="25"/>
    </w:rPr>
  </w:style>
  <w:style w:type="paragraph" w:customStyle="1" w:styleId="BoxHeading1">
    <w:name w:val="Box Heading 1"/>
    <w:next w:val="BodyText"/>
    <w:uiPriority w:val="21"/>
    <w:rsid w:val="00197A18"/>
    <w:pPr>
      <w:spacing w:after="120" w:line="288" w:lineRule="auto"/>
    </w:pPr>
    <w:rPr>
      <w:rFonts w:ascii="Arial Narrow" w:hAnsi="Arial Narrow"/>
      <w:b/>
      <w:color w:val="14434B"/>
      <w:sz w:val="21"/>
      <w:szCs w:val="19"/>
    </w:rPr>
  </w:style>
  <w:style w:type="paragraph" w:customStyle="1" w:styleId="BoxHeading20">
    <w:name w:val="Box Heading 2"/>
    <w:basedOn w:val="BoxHeading1"/>
    <w:next w:val="BoxText0"/>
    <w:uiPriority w:val="21"/>
    <w:rsid w:val="00197A18"/>
    <w:pPr>
      <w:spacing w:before="140"/>
    </w:pPr>
    <w:rPr>
      <w:i/>
    </w:rPr>
  </w:style>
  <w:style w:type="paragraph" w:customStyle="1" w:styleId="BoxText0">
    <w:name w:val="Box Text"/>
    <w:link w:val="BoxTextChar0"/>
    <w:uiPriority w:val="19"/>
    <w:rsid w:val="00197A18"/>
    <w:pPr>
      <w:spacing w:after="57" w:line="288" w:lineRule="auto"/>
    </w:pPr>
    <w:rPr>
      <w:rFonts w:ascii="Arial" w:hAnsi="Arial"/>
      <w:color w:val="000000"/>
      <w:sz w:val="19"/>
      <w:szCs w:val="19"/>
    </w:rPr>
  </w:style>
  <w:style w:type="character" w:customStyle="1" w:styleId="BoxTextChar0">
    <w:name w:val="Box Text Char"/>
    <w:link w:val="BoxText0"/>
    <w:uiPriority w:val="19"/>
    <w:rsid w:val="00197A18"/>
    <w:rPr>
      <w:rFonts w:ascii="Arial" w:hAnsi="Arial"/>
      <w:color w:val="000000"/>
      <w:sz w:val="19"/>
      <w:szCs w:val="19"/>
    </w:rPr>
  </w:style>
  <w:style w:type="paragraph" w:customStyle="1" w:styleId="BoxListBullet">
    <w:name w:val="Box List Bullet"/>
    <w:basedOn w:val="BoxText0"/>
    <w:uiPriority w:val="20"/>
    <w:rsid w:val="00197A18"/>
    <w:pPr>
      <w:keepLines/>
      <w:numPr>
        <w:numId w:val="14"/>
      </w:numPr>
      <w:tabs>
        <w:tab w:val="clear" w:pos="284"/>
        <w:tab w:val="num" w:pos="643"/>
      </w:tabs>
      <w:ind w:left="643" w:hanging="360"/>
    </w:pPr>
  </w:style>
  <w:style w:type="paragraph" w:customStyle="1" w:styleId="BoxListBullet2">
    <w:name w:val="Box List Bullet 2"/>
    <w:basedOn w:val="BoxText0"/>
    <w:uiPriority w:val="20"/>
    <w:rsid w:val="00197A18"/>
    <w:pPr>
      <w:numPr>
        <w:numId w:val="15"/>
      </w:numPr>
      <w:tabs>
        <w:tab w:val="clear" w:pos="567"/>
      </w:tabs>
      <w:ind w:left="926" w:hanging="360"/>
    </w:pPr>
    <w:rPr>
      <w:szCs w:val="18"/>
    </w:rPr>
  </w:style>
  <w:style w:type="paragraph" w:customStyle="1" w:styleId="BoxListNumber">
    <w:name w:val="Box List Number"/>
    <w:basedOn w:val="BoxText0"/>
    <w:uiPriority w:val="20"/>
    <w:rsid w:val="00197A18"/>
    <w:pPr>
      <w:numPr>
        <w:numId w:val="16"/>
      </w:numPr>
      <w:tabs>
        <w:tab w:val="clear" w:pos="284"/>
      </w:tabs>
      <w:spacing w:before="60"/>
      <w:ind w:left="1440" w:hanging="360"/>
    </w:pPr>
  </w:style>
  <w:style w:type="paragraph" w:customStyle="1" w:styleId="BoxListNumber2">
    <w:name w:val="Box List Number 2"/>
    <w:basedOn w:val="BoxText0"/>
    <w:uiPriority w:val="20"/>
    <w:rsid w:val="00197A18"/>
    <w:pPr>
      <w:numPr>
        <w:numId w:val="17"/>
      </w:numPr>
      <w:tabs>
        <w:tab w:val="clear" w:pos="567"/>
        <w:tab w:val="num" w:pos="357"/>
      </w:tabs>
      <w:ind w:left="357" w:hanging="357"/>
    </w:pPr>
  </w:style>
  <w:style w:type="paragraph" w:customStyle="1" w:styleId="BoxNoteSource">
    <w:name w:val="Box Note/Source"/>
    <w:uiPriority w:val="24"/>
    <w:semiHidden/>
    <w:rsid w:val="00197A18"/>
    <w:pPr>
      <w:spacing w:before="120" w:after="240" w:line="288" w:lineRule="auto"/>
    </w:pPr>
    <w:rPr>
      <w:rFonts w:ascii="Arial Narrow" w:hAnsi="Arial Narrow"/>
      <w:color w:val="000000"/>
      <w:sz w:val="16"/>
      <w:szCs w:val="14"/>
    </w:rPr>
  </w:style>
  <w:style w:type="paragraph" w:customStyle="1" w:styleId="BoxQuote0">
    <w:name w:val="Box Quote"/>
    <w:basedOn w:val="BoxText0"/>
    <w:uiPriority w:val="22"/>
    <w:rsid w:val="00197A18"/>
    <w:pPr>
      <w:ind w:left="284" w:right="284"/>
    </w:pPr>
    <w:rPr>
      <w:i/>
    </w:rPr>
  </w:style>
  <w:style w:type="paragraph" w:customStyle="1" w:styleId="BoxTitle">
    <w:name w:val="Box Title"/>
    <w:uiPriority w:val="99"/>
    <w:semiHidden/>
    <w:rsid w:val="00197A18"/>
    <w:pPr>
      <w:keepNext/>
      <w:spacing w:before="57" w:after="77" w:line="240" w:lineRule="atLeast"/>
    </w:pPr>
    <w:rPr>
      <w:rFonts w:ascii="Arial Narrow" w:hAnsi="Arial Narrow"/>
      <w:b/>
      <w:caps/>
      <w:color w:val="FFFFFF"/>
      <w:sz w:val="18"/>
      <w:szCs w:val="18"/>
      <w:lang w:eastAsia="en-US"/>
    </w:rPr>
  </w:style>
  <w:style w:type="paragraph" w:customStyle="1" w:styleId="Captionheading">
    <w:name w:val="Caption heading"/>
    <w:basedOn w:val="TOC1"/>
    <w:next w:val="BodyText"/>
    <w:uiPriority w:val="36"/>
    <w:rsid w:val="00197A18"/>
    <w:pPr>
      <w:keepNext/>
      <w:tabs>
        <w:tab w:val="clear" w:pos="720"/>
        <w:tab w:val="clear" w:pos="9016"/>
        <w:tab w:val="right" w:pos="8505"/>
      </w:tabs>
      <w:spacing w:before="0" w:after="57" w:line="288" w:lineRule="auto"/>
      <w:ind w:left="0" w:right="0" w:firstLine="0"/>
      <w:contextualSpacing/>
    </w:pPr>
    <w:rPr>
      <w:rFonts w:ascii="Calibri" w:hAnsi="Calibri"/>
      <w:b/>
      <w:bCs w:val="0"/>
      <w:noProof w:val="0"/>
      <w:color w:val="0087A2"/>
      <w:kern w:val="28"/>
      <w:sz w:val="32"/>
      <w:szCs w:val="32"/>
    </w:rPr>
  </w:style>
  <w:style w:type="paragraph" w:customStyle="1" w:styleId="Contents">
    <w:name w:val="Contents"/>
    <w:basedOn w:val="Heading1"/>
    <w:next w:val="BodyText"/>
    <w:semiHidden/>
    <w:rsid w:val="00197A18"/>
    <w:pPr>
      <w:spacing w:before="0" w:after="600" w:line="288" w:lineRule="auto"/>
      <w:ind w:left="0" w:firstLine="0"/>
      <w:outlineLvl w:val="9"/>
    </w:pPr>
    <w:rPr>
      <w:rFonts w:ascii="Calibri" w:hAnsi="Calibri" w:cs="Times New Roman"/>
      <w:b/>
      <w:bCs w:val="0"/>
      <w:color w:val="0087A2"/>
      <w:kern w:val="28"/>
      <w:szCs w:val="44"/>
    </w:rPr>
  </w:style>
  <w:style w:type="paragraph" w:customStyle="1" w:styleId="Source">
    <w:name w:val="Source"/>
    <w:uiPriority w:val="8"/>
    <w:qFormat/>
    <w:rsid w:val="00197A18"/>
    <w:pPr>
      <w:keepLines/>
      <w:spacing w:before="120" w:after="240" w:line="288" w:lineRule="auto"/>
    </w:pPr>
    <w:rPr>
      <w:rFonts w:ascii="Arial Narrow" w:hAnsi="Arial Narrow"/>
      <w:color w:val="000000"/>
      <w:sz w:val="16"/>
      <w:szCs w:val="14"/>
      <w:lang w:eastAsia="en-US"/>
    </w:rPr>
  </w:style>
  <w:style w:type="character" w:customStyle="1" w:styleId="DraftingNote0">
    <w:name w:val="Drafting Note"/>
    <w:uiPriority w:val="10"/>
    <w:qFormat/>
    <w:rsid w:val="00197A18"/>
    <w:rPr>
      <w:rFonts w:ascii="Cambria" w:hAnsi="Cambria"/>
      <w:b/>
      <w:color w:val="FF0000"/>
      <w:sz w:val="20"/>
      <w:szCs w:val="20"/>
      <w:u w:val="dotted"/>
    </w:rPr>
  </w:style>
  <w:style w:type="character" w:styleId="FollowedHyperlink">
    <w:name w:val="FollowedHyperlink"/>
    <w:uiPriority w:val="99"/>
    <w:semiHidden/>
    <w:rsid w:val="00197A18"/>
    <w:rPr>
      <w:color w:val="333399"/>
      <w:u w:val="none"/>
    </w:rPr>
  </w:style>
  <w:style w:type="paragraph" w:customStyle="1" w:styleId="Heading1unnumbered">
    <w:name w:val="Heading 1 unnumbered"/>
    <w:basedOn w:val="Heading1"/>
    <w:next w:val="BodyText"/>
    <w:link w:val="Heading1unnumberedChar"/>
    <w:uiPriority w:val="2"/>
    <w:qFormat/>
    <w:rsid w:val="00197A18"/>
    <w:pPr>
      <w:spacing w:before="0" w:after="360" w:line="288" w:lineRule="auto"/>
      <w:ind w:left="0" w:firstLine="0"/>
    </w:pPr>
    <w:rPr>
      <w:rFonts w:ascii="Calibri" w:hAnsi="Calibri" w:cs="Times New Roman"/>
      <w:b/>
      <w:bCs w:val="0"/>
      <w:color w:val="0087A2"/>
      <w:kern w:val="28"/>
      <w:szCs w:val="44"/>
    </w:rPr>
  </w:style>
  <w:style w:type="character" w:customStyle="1" w:styleId="Heading1unnumberedChar">
    <w:name w:val="Heading 1 unnumbered Char"/>
    <w:link w:val="Heading1unnumbered"/>
    <w:uiPriority w:val="2"/>
    <w:rsid w:val="00197A18"/>
    <w:rPr>
      <w:rFonts w:ascii="Calibri" w:hAnsi="Calibri"/>
      <w:b/>
      <w:color w:val="0087A2"/>
      <w:kern w:val="28"/>
      <w:sz w:val="44"/>
      <w:szCs w:val="44"/>
    </w:rPr>
  </w:style>
  <w:style w:type="paragraph" w:customStyle="1" w:styleId="Heading2unnumbered">
    <w:name w:val="Heading 2 unnumbered"/>
    <w:basedOn w:val="Heading2"/>
    <w:next w:val="BodyText"/>
    <w:link w:val="Heading2unnumberedChar"/>
    <w:uiPriority w:val="2"/>
    <w:qFormat/>
    <w:rsid w:val="00197A18"/>
    <w:pPr>
      <w:spacing w:before="360" w:after="240" w:line="288" w:lineRule="auto"/>
      <w:ind w:left="0" w:firstLine="0"/>
    </w:pPr>
    <w:rPr>
      <w:rFonts w:ascii="Calibri" w:hAnsi="Calibri" w:cs="Times New Roman"/>
      <w:bCs w:val="0"/>
      <w:iCs w:val="0"/>
      <w:color w:val="C75B12"/>
      <w:kern w:val="28"/>
      <w:sz w:val="32"/>
      <w:szCs w:val="32"/>
    </w:rPr>
  </w:style>
  <w:style w:type="character" w:customStyle="1" w:styleId="Heading2unnumberedChar">
    <w:name w:val="Heading 2 unnumbered Char"/>
    <w:link w:val="Heading2unnumbered"/>
    <w:uiPriority w:val="2"/>
    <w:rsid w:val="00197A18"/>
    <w:rPr>
      <w:rFonts w:ascii="Calibri" w:hAnsi="Calibri"/>
      <w:b/>
      <w:color w:val="C75B12"/>
      <w:kern w:val="28"/>
      <w:sz w:val="32"/>
      <w:szCs w:val="32"/>
    </w:rPr>
  </w:style>
  <w:style w:type="paragraph" w:customStyle="1" w:styleId="AppendixHeading2unnumbered">
    <w:name w:val="Appendix Heading 2 unnumbered"/>
    <w:basedOn w:val="Heading7"/>
    <w:next w:val="BodyText"/>
    <w:link w:val="AppendixHeading2unnumberedChar"/>
    <w:uiPriority w:val="29"/>
    <w:rsid w:val="00197A18"/>
  </w:style>
  <w:style w:type="character" w:customStyle="1" w:styleId="AppendixHeading2unnumberedChar">
    <w:name w:val="Appendix Heading 2 unnumbered Char"/>
    <w:link w:val="AppendixHeading2unnumbered"/>
    <w:uiPriority w:val="29"/>
    <w:rsid w:val="00197A18"/>
    <w:rPr>
      <w:rFonts w:ascii="Calibri" w:hAnsi="Calibri"/>
      <w:b/>
      <w:color w:val="C75B12"/>
      <w:kern w:val="28"/>
      <w:sz w:val="32"/>
      <w:szCs w:val="32"/>
    </w:rPr>
  </w:style>
  <w:style w:type="paragraph" w:customStyle="1" w:styleId="Invisiblepara">
    <w:name w:val="Invisible para"/>
    <w:next w:val="BodyText"/>
    <w:semiHidden/>
    <w:rsid w:val="00197A18"/>
    <w:pPr>
      <w:keepNext/>
      <w:spacing w:before="240" w:line="110" w:lineRule="atLeast"/>
    </w:pPr>
    <w:rPr>
      <w:rFonts w:ascii="Cambria" w:hAnsi="Cambria"/>
      <w:vanish/>
      <w:color w:val="000000"/>
      <w:sz w:val="8"/>
      <w:szCs w:val="8"/>
    </w:rPr>
  </w:style>
  <w:style w:type="paragraph" w:customStyle="1" w:styleId="Invisiblepara2">
    <w:name w:val="Invisible para 2"/>
    <w:basedOn w:val="Invisiblepara"/>
    <w:next w:val="BodyText"/>
    <w:semiHidden/>
    <w:rsid w:val="00197A18"/>
    <w:pPr>
      <w:keepNext w:val="0"/>
      <w:spacing w:before="0" w:after="240"/>
    </w:pPr>
  </w:style>
  <w:style w:type="paragraph" w:styleId="ListBullet">
    <w:name w:val="List Bullet"/>
    <w:basedOn w:val="BodyText"/>
    <w:uiPriority w:val="1"/>
    <w:qFormat/>
    <w:rsid w:val="00197A18"/>
    <w:pPr>
      <w:numPr>
        <w:numId w:val="18"/>
      </w:numPr>
    </w:pPr>
    <w:rPr>
      <w:szCs w:val="20"/>
    </w:rPr>
  </w:style>
  <w:style w:type="paragraph" w:styleId="ListBullet2">
    <w:name w:val="List Bullet 2"/>
    <w:basedOn w:val="BodyText"/>
    <w:uiPriority w:val="1"/>
    <w:qFormat/>
    <w:rsid w:val="00197A18"/>
    <w:pPr>
      <w:numPr>
        <w:numId w:val="19"/>
      </w:numPr>
    </w:pPr>
  </w:style>
  <w:style w:type="paragraph" w:styleId="ListNumber">
    <w:name w:val="List Number"/>
    <w:basedOn w:val="BodyText"/>
    <w:uiPriority w:val="1"/>
    <w:qFormat/>
    <w:rsid w:val="00197A18"/>
    <w:pPr>
      <w:numPr>
        <w:numId w:val="20"/>
      </w:numPr>
    </w:pPr>
    <w:rPr>
      <w:szCs w:val="20"/>
    </w:rPr>
  </w:style>
  <w:style w:type="paragraph" w:styleId="ListNumber2">
    <w:name w:val="List Number 2"/>
    <w:basedOn w:val="BodyText"/>
    <w:uiPriority w:val="1"/>
    <w:qFormat/>
    <w:rsid w:val="00197A18"/>
    <w:pPr>
      <w:numPr>
        <w:numId w:val="21"/>
      </w:numPr>
    </w:pPr>
  </w:style>
  <w:style w:type="paragraph" w:customStyle="1" w:styleId="Note">
    <w:name w:val="Note"/>
    <w:uiPriority w:val="6"/>
    <w:qFormat/>
    <w:rsid w:val="00197A18"/>
    <w:pPr>
      <w:spacing w:before="120" w:after="240" w:line="288" w:lineRule="auto"/>
    </w:pPr>
    <w:rPr>
      <w:rFonts w:ascii="Arial Narrow" w:hAnsi="Arial Narrow"/>
      <w:color w:val="000000"/>
      <w:sz w:val="16"/>
      <w:szCs w:val="16"/>
      <w:lang w:eastAsia="en-US"/>
    </w:rPr>
  </w:style>
  <w:style w:type="character" w:customStyle="1" w:styleId="NoteLabel">
    <w:name w:val="Note Label"/>
    <w:uiPriority w:val="6"/>
    <w:semiHidden/>
    <w:rsid w:val="00197A18"/>
    <w:rPr>
      <w:rFonts w:ascii="Arial Narrow" w:hAnsi="Arial Narrow"/>
      <w:b/>
      <w:color w:val="000000"/>
      <w:position w:val="4"/>
      <w:sz w:val="16"/>
      <w:szCs w:val="14"/>
    </w:rPr>
  </w:style>
  <w:style w:type="paragraph" w:customStyle="1" w:styleId="NoteNumber">
    <w:name w:val="Note Number"/>
    <w:basedOn w:val="Note"/>
    <w:next w:val="Note"/>
    <w:uiPriority w:val="6"/>
    <w:qFormat/>
    <w:rsid w:val="00197A18"/>
    <w:pPr>
      <w:numPr>
        <w:numId w:val="22"/>
      </w:numPr>
      <w:spacing w:after="0"/>
    </w:pPr>
    <w:rPr>
      <w:szCs w:val="14"/>
    </w:rPr>
  </w:style>
  <w:style w:type="paragraph" w:customStyle="1" w:styleId="QuoteBullet">
    <w:name w:val="Quote Bullet"/>
    <w:basedOn w:val="Quote"/>
    <w:uiPriority w:val="7"/>
    <w:qFormat/>
    <w:rsid w:val="00197A18"/>
    <w:pPr>
      <w:numPr>
        <w:numId w:val="23"/>
      </w:numPr>
      <w:spacing w:after="50"/>
    </w:pPr>
    <w:rPr>
      <w:rFonts w:ascii="Cambria" w:hAnsi="Cambria"/>
      <w:color w:val="000000"/>
      <w:szCs w:val="18"/>
    </w:rPr>
  </w:style>
  <w:style w:type="paragraph" w:customStyle="1" w:styleId="Reference">
    <w:name w:val="Reference"/>
    <w:uiPriority w:val="9"/>
    <w:qFormat/>
    <w:rsid w:val="00197A18"/>
    <w:pPr>
      <w:keepLines/>
      <w:spacing w:before="57" w:after="142" w:line="288" w:lineRule="auto"/>
      <w:ind w:left="284" w:hanging="284"/>
    </w:pPr>
    <w:rPr>
      <w:rFonts w:ascii="Cambria" w:hAnsi="Cambria"/>
      <w:color w:val="000000"/>
      <w:sz w:val="21"/>
      <w:szCs w:val="18"/>
    </w:rPr>
  </w:style>
  <w:style w:type="paragraph" w:customStyle="1" w:styleId="TableDataColumnHeading">
    <w:name w:val="Table Data Column Heading"/>
    <w:rsid w:val="00197A18"/>
    <w:pPr>
      <w:keepNext/>
      <w:spacing w:after="57" w:line="288" w:lineRule="auto"/>
      <w:jc w:val="right"/>
    </w:pPr>
    <w:rPr>
      <w:rFonts w:ascii="Arial Narrow" w:hAnsi="Arial Narrow"/>
      <w:b/>
      <w:color w:val="14434B"/>
      <w:sz w:val="19"/>
      <w:szCs w:val="17"/>
      <w:lang w:eastAsia="en-US"/>
    </w:rPr>
  </w:style>
  <w:style w:type="paragraph" w:customStyle="1" w:styleId="TableTextEntries">
    <w:name w:val="Table Text Entries"/>
    <w:uiPriority w:val="24"/>
    <w:rsid w:val="00197A18"/>
    <w:pPr>
      <w:keepLines/>
      <w:spacing w:after="57" w:line="288" w:lineRule="auto"/>
    </w:pPr>
    <w:rPr>
      <w:rFonts w:ascii="Arial Narrow" w:hAnsi="Arial Narrow"/>
      <w:color w:val="000000"/>
      <w:sz w:val="19"/>
      <w:szCs w:val="17"/>
      <w:lang w:eastAsia="en-US"/>
    </w:rPr>
  </w:style>
  <w:style w:type="paragraph" w:customStyle="1" w:styleId="TableDataEntries">
    <w:name w:val="Table Data Entries"/>
    <w:basedOn w:val="TableTextEntries"/>
    <w:rsid w:val="00197A18"/>
    <w:pPr>
      <w:jc w:val="right"/>
    </w:pPr>
  </w:style>
  <w:style w:type="paragraph" w:customStyle="1" w:styleId="TableHeading1">
    <w:name w:val="Table Heading 1"/>
    <w:basedOn w:val="TableTextEntries"/>
    <w:next w:val="TableTextEntries"/>
    <w:uiPriority w:val="26"/>
    <w:rsid w:val="00197A18"/>
    <w:rPr>
      <w:b/>
      <w:color w:val="14434B"/>
    </w:rPr>
  </w:style>
  <w:style w:type="paragraph" w:customStyle="1" w:styleId="TableHeading20">
    <w:name w:val="Table Heading 2"/>
    <w:basedOn w:val="TableHeading1"/>
    <w:next w:val="TableTextEntries"/>
    <w:uiPriority w:val="26"/>
    <w:rsid w:val="00197A18"/>
    <w:rPr>
      <w:b w:val="0"/>
      <w:i/>
    </w:rPr>
  </w:style>
  <w:style w:type="paragraph" w:customStyle="1" w:styleId="TableListBullet">
    <w:name w:val="Table List Bullet"/>
    <w:basedOn w:val="TableTextEntries"/>
    <w:uiPriority w:val="25"/>
    <w:rsid w:val="00197A18"/>
    <w:pPr>
      <w:numPr>
        <w:numId w:val="24"/>
      </w:numPr>
    </w:pPr>
  </w:style>
  <w:style w:type="paragraph" w:customStyle="1" w:styleId="TableListBullet2">
    <w:name w:val="Table List Bullet 2"/>
    <w:basedOn w:val="TableTextEntries"/>
    <w:uiPriority w:val="25"/>
    <w:rsid w:val="00197A18"/>
    <w:pPr>
      <w:numPr>
        <w:numId w:val="25"/>
      </w:numPr>
    </w:pPr>
  </w:style>
  <w:style w:type="paragraph" w:customStyle="1" w:styleId="TableListNumber0">
    <w:name w:val="Table List Number"/>
    <w:basedOn w:val="TableTextEntries"/>
    <w:uiPriority w:val="25"/>
    <w:rsid w:val="00197A18"/>
    <w:pPr>
      <w:numPr>
        <w:numId w:val="26"/>
      </w:numPr>
    </w:pPr>
  </w:style>
  <w:style w:type="paragraph" w:customStyle="1" w:styleId="TableListNumber20">
    <w:name w:val="Table List Number 2"/>
    <w:basedOn w:val="TableTextEntries"/>
    <w:uiPriority w:val="25"/>
    <w:rsid w:val="00197A18"/>
    <w:pPr>
      <w:numPr>
        <w:numId w:val="27"/>
      </w:numPr>
    </w:pPr>
  </w:style>
  <w:style w:type="paragraph" w:customStyle="1" w:styleId="TableTextColumnHeading">
    <w:name w:val="Table Text Column Heading"/>
    <w:uiPriority w:val="27"/>
    <w:rsid w:val="00197A18"/>
    <w:pPr>
      <w:keepNext/>
      <w:spacing w:after="57" w:line="288" w:lineRule="auto"/>
    </w:pPr>
    <w:rPr>
      <w:rFonts w:ascii="Arial Narrow" w:hAnsi="Arial Narrow"/>
      <w:b/>
      <w:color w:val="14434B"/>
      <w:sz w:val="19"/>
      <w:szCs w:val="17"/>
      <w:lang w:eastAsia="en-US"/>
    </w:rPr>
  </w:style>
  <w:style w:type="table" w:customStyle="1" w:styleId="TableODE">
    <w:name w:val="Table_ODE"/>
    <w:basedOn w:val="TableGrid"/>
    <w:semiHidden/>
    <w:rsid w:val="00197A18"/>
    <w:rPr>
      <w:rFonts w:ascii="Arial Narrow" w:hAnsi="Arial Narrow"/>
    </w:rPr>
    <w:tblPr>
      <w:tblInd w:w="0" w:type="dxa"/>
      <w:tblBorders>
        <w:top w:val="single" w:sz="4" w:space="0" w:color="007FAD"/>
        <w:bottom w:val="single" w:sz="4" w:space="0" w:color="007FAD"/>
        <w:insideH w:val="single" w:sz="4" w:space="0" w:color="007FAD"/>
      </w:tblBorders>
      <w:tblCellMar>
        <w:top w:w="0" w:type="dxa"/>
        <w:left w:w="108" w:type="dxa"/>
        <w:bottom w:w="0" w:type="dxa"/>
        <w:right w:w="108" w:type="dxa"/>
      </w:tblCellMar>
    </w:tblPr>
    <w:tcPr>
      <w:shd w:val="clear" w:color="auto" w:fill="E6F3F6"/>
    </w:tcPr>
    <w:tblStylePr w:type="firstRow">
      <w:rPr>
        <w:rFonts w:ascii="Tahoma" w:hAnsi="Tahoma"/>
        <w:b w:val="0"/>
        <w:i w:val="0"/>
        <w:caps w:val="0"/>
        <w:smallCaps w:val="0"/>
        <w:color w:val="FFFFFF"/>
        <w:sz w:val="18"/>
        <w:szCs w:val="18"/>
      </w:rPr>
      <w:tblPr/>
      <w:tcPr>
        <w:tcBorders>
          <w:top w:val="nil"/>
          <w:left w:val="nil"/>
          <w:bottom w:val="nil"/>
          <w:right w:val="nil"/>
          <w:insideH w:val="nil"/>
          <w:insideV w:val="nil"/>
          <w:tl2br w:val="nil"/>
          <w:tr2bl w:val="nil"/>
        </w:tcBorders>
        <w:shd w:val="clear" w:color="auto" w:fill="0087A2"/>
      </w:tcPr>
    </w:tblStylePr>
  </w:style>
  <w:style w:type="paragraph" w:styleId="TOC3">
    <w:name w:val="toc 3"/>
    <w:next w:val="BodyText"/>
    <w:autoRedefine/>
    <w:uiPriority w:val="39"/>
    <w:qFormat/>
    <w:rsid w:val="00197A18"/>
    <w:pPr>
      <w:tabs>
        <w:tab w:val="right" w:pos="8488"/>
      </w:tabs>
      <w:spacing w:line="288" w:lineRule="auto"/>
      <w:ind w:left="567"/>
    </w:pPr>
    <w:rPr>
      <w:rFonts w:ascii="Calibri" w:hAnsi="Calibri"/>
      <w:color w:val="0087A2"/>
      <w:sz w:val="21"/>
      <w:szCs w:val="24"/>
    </w:rPr>
  </w:style>
  <w:style w:type="paragraph" w:customStyle="1" w:styleId="InfoHead">
    <w:name w:val="Info Head"/>
    <w:basedOn w:val="BoxTitle"/>
    <w:semiHidden/>
    <w:qFormat/>
    <w:rsid w:val="00197A18"/>
    <w:pPr>
      <w:framePr w:hSpace="181" w:wrap="around" w:hAnchor="margin" w:yAlign="bottom"/>
      <w:suppressOverlap/>
    </w:pPr>
  </w:style>
  <w:style w:type="character" w:styleId="PlaceholderText">
    <w:name w:val="Placeholder Text"/>
    <w:uiPriority w:val="99"/>
    <w:semiHidden/>
    <w:rsid w:val="00197A18"/>
    <w:rPr>
      <w:color w:val="808080"/>
    </w:rPr>
  </w:style>
  <w:style w:type="paragraph" w:styleId="NoSpacing">
    <w:name w:val="No Spacing"/>
    <w:uiPriority w:val="1"/>
    <w:qFormat/>
    <w:rsid w:val="00197A18"/>
    <w:rPr>
      <w:rFonts w:ascii="Cambria" w:hAnsi="Cambria"/>
      <w:color w:val="000000"/>
      <w:sz w:val="21"/>
      <w:szCs w:val="24"/>
    </w:rPr>
  </w:style>
  <w:style w:type="paragraph" w:customStyle="1" w:styleId="BodyText2">
    <w:name w:val="Body Text2"/>
    <w:semiHidden/>
    <w:rsid w:val="00197A18"/>
    <w:rPr>
      <w:rFonts w:ascii="Arial" w:hAnsi="Arial"/>
      <w:szCs w:val="24"/>
      <w:lang w:eastAsia="en-US"/>
    </w:rPr>
  </w:style>
  <w:style w:type="table" w:customStyle="1" w:styleId="ODETable">
    <w:name w:val="ODE Table"/>
    <w:basedOn w:val="TableNormal"/>
    <w:uiPriority w:val="99"/>
    <w:rsid w:val="00197A18"/>
    <w:rPr>
      <w:rFonts w:ascii="Courier" w:hAnsi="Courier"/>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left w:w="57" w:type="dxa"/>
        <w:bottom w:w="113" w:type="dxa"/>
        <w:right w:w="57" w:type="dxa"/>
      </w:tblCellMar>
    </w:tblPr>
    <w:tcPr>
      <w:shd w:val="clear" w:color="auto" w:fill="EEEFEE"/>
    </w:tcPr>
    <w:tblStylePr w:type="firstRow">
      <w:tblPr/>
      <w:tcPr>
        <w:shd w:val="clear" w:color="auto" w:fill="92C3CA"/>
      </w:tcPr>
    </w:tblStylePr>
  </w:style>
  <w:style w:type="paragraph" w:styleId="ListParagraph">
    <w:name w:val="List Paragraph"/>
    <w:basedOn w:val="Normal"/>
    <w:link w:val="ListParagraphChar"/>
    <w:uiPriority w:val="34"/>
    <w:qFormat/>
    <w:rsid w:val="00197A18"/>
    <w:pPr>
      <w:spacing w:before="0" w:after="200" w:line="276" w:lineRule="auto"/>
      <w:ind w:left="720"/>
      <w:contextualSpacing/>
    </w:pPr>
    <w:rPr>
      <w:rFonts w:ascii="Cambria" w:eastAsia="Cambria" w:hAnsi="Cambria"/>
      <w:sz w:val="22"/>
      <w:szCs w:val="22"/>
      <w:lang w:eastAsia="en-US"/>
    </w:rPr>
  </w:style>
  <w:style w:type="character" w:customStyle="1" w:styleId="ListParagraphChar">
    <w:name w:val="List Paragraph Char"/>
    <w:link w:val="ListParagraph"/>
    <w:uiPriority w:val="34"/>
    <w:rsid w:val="00197A18"/>
    <w:rPr>
      <w:rFonts w:ascii="Cambria" w:eastAsia="Cambria" w:hAnsi="Cambria"/>
      <w:sz w:val="22"/>
      <w:szCs w:val="22"/>
      <w:lang w:eastAsia="en-US"/>
    </w:rPr>
  </w:style>
  <w:style w:type="character" w:customStyle="1" w:styleId="apple-converted-space">
    <w:name w:val="apple-converted-space"/>
    <w:basedOn w:val="DefaultParagraphFont"/>
    <w:rsid w:val="00197A18"/>
  </w:style>
  <w:style w:type="paragraph" w:styleId="Revision">
    <w:name w:val="Revision"/>
    <w:hidden/>
    <w:uiPriority w:val="99"/>
    <w:semiHidden/>
    <w:rsid w:val="00197A18"/>
    <w:rPr>
      <w:rFonts w:ascii="Cambria" w:hAnsi="Cambria"/>
      <w:color w:val="000000"/>
      <w:sz w:val="21"/>
      <w:szCs w:val="24"/>
    </w:rPr>
  </w:style>
  <w:style w:type="paragraph" w:styleId="NormalWeb">
    <w:name w:val="Normal (Web)"/>
    <w:basedOn w:val="Normal"/>
    <w:uiPriority w:val="99"/>
    <w:unhideWhenUsed/>
    <w:rsid w:val="00197A18"/>
    <w:pPr>
      <w:spacing w:before="100" w:beforeAutospacing="1" w:after="100" w:afterAutospacing="1" w:line="240" w:lineRule="auto"/>
    </w:pPr>
    <w:rPr>
      <w:rFonts w:ascii="Times New Roman" w:hAnsi="Times New Roman"/>
      <w:sz w:val="24"/>
      <w:szCs w:val="24"/>
    </w:rPr>
  </w:style>
  <w:style w:type="table" w:customStyle="1" w:styleId="ColorfulGrid1">
    <w:name w:val="Colorful Grid1"/>
    <w:basedOn w:val="TableNormal"/>
    <w:rsid w:val="00197A18"/>
    <w:rPr>
      <w:rFonts w:ascii="Cambria" w:eastAsia="Cambria" w:hAnsi="Cambria"/>
      <w:color w:val="000000"/>
      <w:lang w:val="en-US"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108" w:type="dxa"/>
        <w:bottom w:w="57" w:type="dxa"/>
        <w:right w:w="108" w:type="dxa"/>
      </w:tblCellMar>
    </w:tblPr>
    <w:tcPr>
      <w:shd w:val="clear" w:color="auto" w:fill="CCCCCC"/>
    </w:tcPr>
    <w:tblStylePr w:type="firstRow">
      <w:rPr>
        <w:rFonts w:ascii="Arial" w:hAnsi="Arial"/>
        <w:b/>
        <w:bCs/>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87A2"/>
      </w:tcPr>
    </w:tblStylePr>
    <w:tblStylePr w:type="lastRow">
      <w:rPr>
        <w:b/>
        <w:bCs/>
        <w:color w:val="000000"/>
      </w:rPr>
      <w:tblPr/>
      <w:tcPr>
        <w:shd w:val="clear" w:color="auto" w:fill="92C3CA"/>
      </w:tcPr>
    </w:tblStylePr>
    <w:tblStylePr w:type="firstCol">
      <w:rPr>
        <w:rFonts w:ascii="Arial" w:hAnsi="Arial"/>
        <w:b w:val="0"/>
        <w:color w:val="FFFFFF"/>
      </w:rPr>
      <w:tblPr/>
      <w:tcPr>
        <w:tcBorders>
          <w:top w:val="nil"/>
          <w:left w:val="nil"/>
          <w:bottom w:val="nil"/>
          <w:right w:val="nil"/>
          <w:insideH w:val="nil"/>
          <w:insideV w:val="nil"/>
        </w:tcBorders>
        <w:shd w:val="clear" w:color="auto" w:fill="0087A2"/>
      </w:tcPr>
    </w:tblStylePr>
    <w:tblStylePr w:type="lastCol">
      <w:rPr>
        <w:color w:val="auto"/>
      </w:rPr>
      <w:tblPr/>
      <w:tcPr>
        <w:shd w:val="clear" w:color="auto" w:fill="C75B12"/>
      </w:tcPr>
    </w:tblStylePr>
    <w:tblStylePr w:type="band1Vert">
      <w:tblPr/>
      <w:tcPr>
        <w:shd w:val="clear" w:color="auto" w:fill="DCDEDE"/>
      </w:tcPr>
    </w:tblStylePr>
    <w:tblStylePr w:type="band2Vert">
      <w:tblPr/>
      <w:tcPr>
        <w:shd w:val="clear" w:color="auto" w:fill="C75B12"/>
      </w:tcPr>
    </w:tblStylePr>
    <w:tblStylePr w:type="band1Horz">
      <w:tblPr/>
      <w:tcPr>
        <w:shd w:val="clear" w:color="auto" w:fill="C75B12"/>
      </w:tcPr>
    </w:tblStylePr>
    <w:tblStylePr w:type="band2Horz">
      <w:tblPr/>
      <w:tcPr>
        <w:shd w:val="clear" w:color="auto" w:fill="DCDEDE"/>
      </w:tcPr>
    </w:tblStylePr>
  </w:style>
  <w:style w:type="paragraph" w:customStyle="1" w:styleId="List1">
    <w:name w:val="List1"/>
    <w:basedOn w:val="Normal"/>
    <w:rsid w:val="00197A18"/>
    <w:pPr>
      <w:numPr>
        <w:numId w:val="28"/>
      </w:numPr>
      <w:tabs>
        <w:tab w:val="clear" w:pos="7231"/>
        <w:tab w:val="num" w:pos="284"/>
        <w:tab w:val="num" w:pos="360"/>
      </w:tabs>
      <w:suppressAutoHyphens/>
      <w:autoSpaceDE w:val="0"/>
      <w:autoSpaceDN w:val="0"/>
      <w:adjustRightInd w:val="0"/>
      <w:spacing w:before="120" w:after="120" w:line="300" w:lineRule="auto"/>
      <w:ind w:left="284" w:hanging="360"/>
      <w:jc w:val="both"/>
      <w:textAlignment w:val="center"/>
    </w:pPr>
    <w:rPr>
      <w:rFonts w:ascii="Cambria" w:eastAsia="MS Mincho" w:hAnsi="Cambria" w:cs="FoundersGrotesk-Regular"/>
      <w:color w:val="000000"/>
      <w:sz w:val="22"/>
      <w:szCs w:val="21"/>
      <w:lang w:eastAsia="en-US"/>
    </w:rPr>
  </w:style>
  <w:style w:type="paragraph" w:customStyle="1" w:styleId="Tablebullet0">
    <w:name w:val="Table bullet"/>
    <w:basedOn w:val="List1"/>
    <w:qFormat/>
    <w:rsid w:val="00197A18"/>
    <w:pPr>
      <w:tabs>
        <w:tab w:val="clear" w:pos="284"/>
        <w:tab w:val="clear" w:pos="360"/>
        <w:tab w:val="num" w:pos="7231"/>
      </w:tabs>
      <w:spacing w:line="240" w:lineRule="auto"/>
      <w:ind w:left="7231" w:hanging="284"/>
    </w:pPr>
    <w:rPr>
      <w:rFonts w:ascii="Arial" w:hAnsi="Arial" w:cs="Arial"/>
      <w:sz w:val="20"/>
      <w:szCs w:val="20"/>
    </w:rPr>
  </w:style>
  <w:style w:type="table" w:customStyle="1" w:styleId="TableGrid51">
    <w:name w:val="Table Grid51"/>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A3"/>
    <w:uiPriority w:val="99"/>
    <w:rsid w:val="00197A18"/>
    <w:rPr>
      <w:rFonts w:cs="MetaSerifOT-Book"/>
      <w:color w:val="211D1E"/>
      <w:sz w:val="13"/>
      <w:szCs w:val="13"/>
    </w:rPr>
  </w:style>
  <w:style w:type="character" w:styleId="IntenseEmphasis">
    <w:name w:val="Intense Emphasis"/>
    <w:uiPriority w:val="21"/>
    <w:qFormat/>
    <w:rsid w:val="00197A18"/>
    <w:rPr>
      <w:b/>
      <w:bCs/>
      <w:i/>
      <w:iCs/>
      <w:color w:val="0087A2"/>
    </w:rPr>
  </w:style>
  <w:style w:type="table" w:customStyle="1" w:styleId="TableGrid1">
    <w:name w:val="Table Grid1"/>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97A18"/>
    <w:pPr>
      <w:autoSpaceDE w:val="0"/>
      <w:autoSpaceDN w:val="0"/>
      <w:adjustRightInd w:val="0"/>
      <w:spacing w:before="200"/>
    </w:pPr>
    <w:rPr>
      <w:rFonts w:eastAsia="HGMinchoB"/>
      <w:color w:val="000000"/>
      <w:sz w:val="24"/>
      <w:szCs w:val="24"/>
      <w:lang w:eastAsia="en-US"/>
    </w:rPr>
  </w:style>
  <w:style w:type="paragraph" w:styleId="PlainText">
    <w:name w:val="Plain Text"/>
    <w:basedOn w:val="Normal"/>
    <w:link w:val="PlainTextChar"/>
    <w:uiPriority w:val="99"/>
    <w:unhideWhenUsed/>
    <w:rsid w:val="00197A18"/>
    <w:pPr>
      <w:spacing w:before="0" w:after="0" w:line="240" w:lineRule="auto"/>
    </w:pPr>
    <w:rPr>
      <w:rFonts w:ascii="Calibri" w:eastAsia="Cambria" w:hAnsi="Calibri"/>
      <w:sz w:val="22"/>
      <w:szCs w:val="21"/>
      <w:lang w:eastAsia="en-US"/>
    </w:rPr>
  </w:style>
  <w:style w:type="character" w:customStyle="1" w:styleId="PlainTextChar">
    <w:name w:val="Plain Text Char"/>
    <w:basedOn w:val="DefaultParagraphFont"/>
    <w:link w:val="PlainText"/>
    <w:uiPriority w:val="99"/>
    <w:rsid w:val="00197A18"/>
    <w:rPr>
      <w:rFonts w:ascii="Calibri" w:eastAsia="Cambria" w:hAnsi="Calibri"/>
      <w:sz w:val="22"/>
      <w:szCs w:val="21"/>
      <w:lang w:eastAsia="en-US"/>
    </w:rPr>
  </w:style>
  <w:style w:type="paragraph" w:styleId="TOCHeading">
    <w:name w:val="TOC Heading"/>
    <w:basedOn w:val="Heading1"/>
    <w:next w:val="Normal"/>
    <w:uiPriority w:val="39"/>
    <w:semiHidden/>
    <w:unhideWhenUsed/>
    <w:qFormat/>
    <w:rsid w:val="00197A18"/>
    <w:pPr>
      <w:keepLines/>
      <w:pageBreakBefore w:val="0"/>
      <w:spacing w:after="0" w:line="276" w:lineRule="auto"/>
      <w:ind w:left="0" w:firstLine="0"/>
      <w:outlineLvl w:val="9"/>
    </w:pPr>
    <w:rPr>
      <w:rFonts w:ascii="Calibri" w:eastAsia="HGGothicM" w:hAnsi="Calibri" w:cs="Times New Roman"/>
      <w:b/>
      <w:color w:val="006479"/>
      <w:sz w:val="28"/>
      <w:szCs w:val="28"/>
      <w:lang w:val="en-US" w:eastAsia="ja-JP"/>
    </w:rPr>
  </w:style>
  <w:style w:type="table" w:customStyle="1" w:styleId="TableGrid2">
    <w:name w:val="Table Grid2"/>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97A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number-2">
    <w:name w:val="List-number-2"/>
    <w:basedOn w:val="Normal"/>
    <w:rsid w:val="00197A18"/>
    <w:pPr>
      <w:numPr>
        <w:ilvl w:val="1"/>
        <w:numId w:val="29"/>
      </w:numPr>
      <w:spacing w:before="60" w:after="0" w:line="240" w:lineRule="auto"/>
    </w:pPr>
    <w:rPr>
      <w:rFonts w:ascii="Arial" w:hAnsi="Arial"/>
      <w:sz w:val="18"/>
      <w:szCs w:val="24"/>
      <w:lang w:eastAsia="en-US"/>
    </w:rPr>
  </w:style>
  <w:style w:type="paragraph" w:customStyle="1" w:styleId="List-number-1">
    <w:name w:val="List-number-1"/>
    <w:basedOn w:val="Normal"/>
    <w:link w:val="List-number-1CharChar"/>
    <w:rsid w:val="00197A18"/>
    <w:pPr>
      <w:numPr>
        <w:numId w:val="29"/>
      </w:numPr>
      <w:spacing w:before="160" w:after="0" w:line="240" w:lineRule="auto"/>
    </w:pPr>
    <w:rPr>
      <w:rFonts w:ascii="Arial" w:hAnsi="Arial"/>
      <w:sz w:val="18"/>
      <w:szCs w:val="24"/>
      <w:lang w:eastAsia="en-US"/>
    </w:rPr>
  </w:style>
  <w:style w:type="character" w:customStyle="1" w:styleId="List-number-1CharChar">
    <w:name w:val="List-number-1 Char Char"/>
    <w:link w:val="List-number-1"/>
    <w:rsid w:val="00197A18"/>
    <w:rPr>
      <w:rFonts w:ascii="Arial" w:hAnsi="Arial"/>
      <w:sz w:val="18"/>
      <w:szCs w:val="24"/>
      <w:lang w:eastAsia="en-US"/>
    </w:rPr>
  </w:style>
  <w:style w:type="paragraph" w:styleId="TOC5">
    <w:name w:val="toc 5"/>
    <w:basedOn w:val="Normal"/>
    <w:next w:val="Normal"/>
    <w:autoRedefine/>
    <w:uiPriority w:val="39"/>
    <w:unhideWhenUsed/>
    <w:rsid w:val="00197A18"/>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97A18"/>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97A18"/>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97A18"/>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97A18"/>
    <w:pPr>
      <w:spacing w:before="0" w:after="100" w:line="276" w:lineRule="auto"/>
      <w:ind w:left="1760"/>
    </w:pPr>
    <w:rPr>
      <w:rFonts w:ascii="Calibri" w:hAnsi="Calibri"/>
      <w:sz w:val="22"/>
      <w:szCs w:val="22"/>
    </w:rPr>
  </w:style>
  <w:style w:type="character" w:customStyle="1" w:styleId="st1">
    <w:name w:val="st1"/>
    <w:basedOn w:val="DefaultParagraphFont"/>
    <w:rsid w:val="00BA7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13081">
      <w:bodyDiv w:val="1"/>
      <w:marLeft w:val="0"/>
      <w:marRight w:val="0"/>
      <w:marTop w:val="0"/>
      <w:marBottom w:val="0"/>
      <w:divBdr>
        <w:top w:val="none" w:sz="0" w:space="0" w:color="auto"/>
        <w:left w:val="none" w:sz="0" w:space="0" w:color="auto"/>
        <w:bottom w:val="none" w:sz="0" w:space="0" w:color="auto"/>
        <w:right w:val="none" w:sz="0" w:space="0" w:color="auto"/>
      </w:divBdr>
    </w:div>
    <w:div w:id="299388557">
      <w:bodyDiv w:val="1"/>
      <w:marLeft w:val="0"/>
      <w:marRight w:val="0"/>
      <w:marTop w:val="0"/>
      <w:marBottom w:val="0"/>
      <w:divBdr>
        <w:top w:val="none" w:sz="0" w:space="0" w:color="auto"/>
        <w:left w:val="none" w:sz="0" w:space="0" w:color="auto"/>
        <w:bottom w:val="none" w:sz="0" w:space="0" w:color="auto"/>
        <w:right w:val="none" w:sz="0" w:space="0" w:color="auto"/>
      </w:divBdr>
    </w:div>
    <w:div w:id="916592227">
      <w:bodyDiv w:val="1"/>
      <w:marLeft w:val="0"/>
      <w:marRight w:val="0"/>
      <w:marTop w:val="0"/>
      <w:marBottom w:val="0"/>
      <w:divBdr>
        <w:top w:val="none" w:sz="0" w:space="0" w:color="auto"/>
        <w:left w:val="none" w:sz="0" w:space="0" w:color="auto"/>
        <w:bottom w:val="none" w:sz="0" w:space="0" w:color="auto"/>
        <w:right w:val="none" w:sz="0" w:space="0" w:color="auto"/>
      </w:divBdr>
      <w:divsChild>
        <w:div w:id="700472862">
          <w:marLeft w:val="720"/>
          <w:marRight w:val="0"/>
          <w:marTop w:val="0"/>
          <w:marBottom w:val="0"/>
          <w:divBdr>
            <w:top w:val="none" w:sz="0" w:space="0" w:color="auto"/>
            <w:left w:val="none" w:sz="0" w:space="0" w:color="auto"/>
            <w:bottom w:val="none" w:sz="0" w:space="0" w:color="auto"/>
            <w:right w:val="none" w:sz="0" w:space="0" w:color="auto"/>
          </w:divBdr>
        </w:div>
      </w:divsChild>
    </w:div>
    <w:div w:id="923563246">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182932769">
      <w:bodyDiv w:val="1"/>
      <w:marLeft w:val="0"/>
      <w:marRight w:val="0"/>
      <w:marTop w:val="0"/>
      <w:marBottom w:val="0"/>
      <w:divBdr>
        <w:top w:val="none" w:sz="0" w:space="0" w:color="auto"/>
        <w:left w:val="none" w:sz="0" w:space="0" w:color="auto"/>
        <w:bottom w:val="none" w:sz="0" w:space="0" w:color="auto"/>
        <w:right w:val="none" w:sz="0" w:space="0" w:color="auto"/>
      </w:divBdr>
    </w:div>
    <w:div w:id="1245602141">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586301654">
      <w:bodyDiv w:val="1"/>
      <w:marLeft w:val="0"/>
      <w:marRight w:val="0"/>
      <w:marTop w:val="0"/>
      <w:marBottom w:val="0"/>
      <w:divBdr>
        <w:top w:val="none" w:sz="0" w:space="0" w:color="auto"/>
        <w:left w:val="none" w:sz="0" w:space="0" w:color="auto"/>
        <w:bottom w:val="none" w:sz="0" w:space="0" w:color="auto"/>
        <w:right w:val="none" w:sz="0" w:space="0" w:color="auto"/>
      </w:divBdr>
    </w:div>
    <w:div w:id="1680548576">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85710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header" Target="header6.xml"/><Relationship Id="rId39" Type="http://schemas.openxmlformats.org/officeDocument/2006/relationships/footer" Target="footer8.xml"/><Relationship Id="rId21" Type="http://schemas.openxmlformats.org/officeDocument/2006/relationships/hyperlink" Target="http://www.ode.dfat.gov.au" TargetMode="External"/><Relationship Id="rId34" Type="http://schemas.openxmlformats.org/officeDocument/2006/relationships/image" Target="media/image8.jpeg"/><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file:///C:/Users/plummk01/AppData/Local/Microsoft/Windows/Temporary%20Internet%20Files/Content.Outlook/WTGBO7I9/www.ode.dfat.gov.au" TargetMode="External"/><Relationship Id="rId29" Type="http://schemas.openxmlformats.org/officeDocument/2006/relationships/image" Target="media/image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0.jpeg"/><Relationship Id="rId10" Type="http://schemas.openxmlformats.org/officeDocument/2006/relationships/image" Target="media/image2.wmf"/><Relationship Id="rId19" Type="http://schemas.openxmlformats.org/officeDocument/2006/relationships/hyperlink" Target="http://www.ode.dfat.gov.au" TargetMode="External"/><Relationship Id="rId31" Type="http://schemas.openxmlformats.org/officeDocument/2006/relationships/image" Target="media/image5.jpeg"/><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jpg"/><Relationship Id="rId35" Type="http://schemas.openxmlformats.org/officeDocument/2006/relationships/image" Target="media/image9.jpe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reativecommons.org/licenses/by/3.0/au/" TargetMode="Externa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header" Target="header7.xml"/></Relationships>
</file>

<file path=word/_rels/endnotes.xml.rels><?xml version="1.0" encoding="UTF-8" standalone="yes"?>
<Relationships xmlns="http://schemas.openxmlformats.org/package/2006/relationships"><Relationship Id="rId1" Type="http://schemas.openxmlformats.org/officeDocument/2006/relationships/hyperlink" Target="http://portfolio.theglobalfund.org/en/Country/Index/ID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DB9232-CEDE-4940-A6A8-1EE4CC258751}"/>
</file>

<file path=customXml/itemProps2.xml><?xml version="1.0" encoding="utf-8"?>
<ds:datastoreItem xmlns:ds="http://schemas.openxmlformats.org/officeDocument/2006/customXml" ds:itemID="{D14A58CF-6F04-4E3D-B2C5-94631604D767}"/>
</file>

<file path=customXml/itemProps3.xml><?xml version="1.0" encoding="utf-8"?>
<ds:datastoreItem xmlns:ds="http://schemas.openxmlformats.org/officeDocument/2006/customXml" ds:itemID="{C5815908-B1CE-4215-A1AC-83E4E3552FA1}"/>
</file>

<file path=customXml/itemProps4.xml><?xml version="1.0" encoding="utf-8"?>
<ds:datastoreItem xmlns:ds="http://schemas.openxmlformats.org/officeDocument/2006/customXml" ds:itemID="{456DFA1A-7A62-4688-982E-520C4D0616FC}"/>
</file>

<file path=docProps/app.xml><?xml version="1.0" encoding="utf-8"?>
<Properties xmlns="http://schemas.openxmlformats.org/officeDocument/2006/extended-properties" xmlns:vt="http://schemas.openxmlformats.org/officeDocument/2006/docPropsVTypes">
  <Template>C720F54F</Template>
  <TotalTime>0</TotalTime>
  <Pages>130</Pages>
  <Words>48448</Words>
  <Characters>289239</Characters>
  <Application>Microsoft Office Word</Application>
  <DocSecurity>0</DocSecurity>
  <Lines>5164</Lines>
  <Paragraphs>1929</Paragraphs>
  <ScaleCrop>false</ScaleCrop>
  <Company/>
  <LinksUpToDate>false</LinksUpToDate>
  <CharactersWithSpaces>335758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2015-01-29T00:52:00Z</dcterms:created>
  <dcterms:modified xsi:type="dcterms:W3CDTF">2015-01-29T00:52:00Z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64400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