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9.xml" ContentType="application/vnd.openxmlformats-officedocument.wordprocessingml.foot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0B78F4" w14:textId="77777777" w:rsidR="00692BD4" w:rsidRDefault="00736BC6" w:rsidP="00D77F96">
      <w:pPr>
        <w:pStyle w:val="Title"/>
        <w:rPr>
          <w:noProof/>
        </w:rPr>
      </w:pPr>
      <w:r w:rsidRPr="009B64E8">
        <w:rPr>
          <w:noProof/>
        </w:rPr>
        <w:drawing>
          <wp:anchor distT="0" distB="0" distL="114300" distR="114300" simplePos="0" relativeHeight="251658241" behindDoc="0" locked="1" layoutInCell="1" allowOverlap="1" wp14:anchorId="1AE278A8" wp14:editId="1A8AB223">
            <wp:simplePos x="0" y="0"/>
            <wp:positionH relativeFrom="page">
              <wp:align>right</wp:align>
            </wp:positionH>
            <wp:positionV relativeFrom="page">
              <wp:align>top</wp:align>
            </wp:positionV>
            <wp:extent cx="7631430" cy="10789285"/>
            <wp:effectExtent l="0" t="0" r="7620" b="0"/>
            <wp:wrapNone/>
            <wp:docPr id="895845143" name="Picture 6">
              <a:extLst xmlns:a="http://schemas.openxmlformats.org/drawingml/2006/main">
                <a:ext uri="{FF2B5EF4-FFF2-40B4-BE49-F238E27FC236}">
                  <a16:creationId xmlns:a16="http://schemas.microsoft.com/office/drawing/2014/main" id="{0BEB4C1D-451F-58A0-F627-92DEC7C4046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45143" name="Picture 6">
                      <a:extLst>
                        <a:ext uri="{FF2B5EF4-FFF2-40B4-BE49-F238E27FC236}">
                          <a16:creationId xmlns:a16="http://schemas.microsoft.com/office/drawing/2014/main" id="{0BEB4C1D-451F-58A0-F627-92DEC7C40463}"/>
                        </a:ext>
                        <a:ext uri="{C183D7F6-B498-43B3-948B-1728B52AA6E4}">
                          <adec:decorative xmlns:adec="http://schemas.microsoft.com/office/drawing/2017/decorative" val="1"/>
                        </a:ext>
                      </a:extLst>
                    </pic:cNvPr>
                    <pic:cNvPicPr>
                      <a:picLocks noChangeAspect="1"/>
                    </pic:cNvPicPr>
                  </pic:nvPicPr>
                  <pic:blipFill>
                    <a:blip r:embed="rId11"/>
                    <a:srcRect t="20" b="20"/>
                    <a:stretch>
                      <a:fillRect/>
                    </a:stretch>
                  </pic:blipFill>
                  <pic:spPr bwMode="auto">
                    <a:xfrm>
                      <a:off x="0" y="0"/>
                      <a:ext cx="7631430" cy="1078928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F96">
        <w:rPr>
          <w:noProof/>
        </w:rPr>
        <w:t>Women, Peace and Security Mid-Term Review</w:t>
      </w:r>
    </w:p>
    <w:p w14:paraId="3900FB6F" w14:textId="65AD0358" w:rsidR="00D77F96" w:rsidRPr="003F41C0" w:rsidRDefault="00D77F96" w:rsidP="003F41C0">
      <w:pPr>
        <w:rPr>
          <w:lang w:eastAsia="en-AU"/>
        </w:rPr>
        <w:sectPr w:rsidR="00D77F96" w:rsidRPr="003F41C0" w:rsidSect="00A209B1">
          <w:headerReference w:type="even" r:id="rId12"/>
          <w:headerReference w:type="default" r:id="rId13"/>
          <w:footerReference w:type="even" r:id="rId14"/>
          <w:footerReference w:type="default" r:id="rId15"/>
          <w:headerReference w:type="first" r:id="rId16"/>
          <w:footerReference w:type="first" r:id="rId17"/>
          <w:type w:val="nextColumn"/>
          <w:pgSz w:w="11907" w:h="16840" w:code="1"/>
          <w:pgMar w:top="851" w:right="851" w:bottom="1134" w:left="851" w:header="680" w:footer="567" w:gutter="0"/>
          <w:cols w:space="720"/>
          <w:titlePg/>
          <w:docGrid w:linePitch="299"/>
        </w:sectPr>
      </w:pPr>
      <w:r>
        <w:rPr>
          <w:lang w:eastAsia="en-AU"/>
        </w:rPr>
        <w:t>3 Jue 2026</w:t>
      </w:r>
    </w:p>
    <w:p w14:paraId="0D84C11B" w14:textId="579DDCDE" w:rsidR="005A098F" w:rsidRPr="00D77F96" w:rsidRDefault="00736BC6" w:rsidP="00D77F96">
      <w:pPr>
        <w:pStyle w:val="Heading2"/>
        <w:ind w:right="4535"/>
        <w:rPr>
          <w:sz w:val="52"/>
          <w:szCs w:val="52"/>
        </w:rPr>
      </w:pPr>
      <w:r w:rsidRPr="00D77F96">
        <w:rPr>
          <w:noProof/>
          <w:sz w:val="52"/>
          <w:szCs w:val="52"/>
        </w:rPr>
        <w:lastRenderedPageBreak/>
        <w:drawing>
          <wp:anchor distT="0" distB="0" distL="114300" distR="114300" simplePos="0" relativeHeight="251658242" behindDoc="1" locked="1" layoutInCell="1" allowOverlap="1" wp14:anchorId="66D25FBC" wp14:editId="53B1F326">
            <wp:simplePos x="0" y="0"/>
            <wp:positionH relativeFrom="page">
              <wp:posOffset>-15240</wp:posOffset>
            </wp:positionH>
            <wp:positionV relativeFrom="page">
              <wp:posOffset>-45720</wp:posOffset>
            </wp:positionV>
            <wp:extent cx="7632000" cy="10785735"/>
            <wp:effectExtent l="0" t="0" r="7620" b="0"/>
            <wp:wrapNone/>
            <wp:docPr id="1539680065" name="Picture 6">
              <a:extLst xmlns:a="http://schemas.openxmlformats.org/drawingml/2006/main">
                <a:ext uri="{FF2B5EF4-FFF2-40B4-BE49-F238E27FC236}">
                  <a16:creationId xmlns:a16="http://schemas.microsoft.com/office/drawing/2014/main" id="{0BEB4C1D-451F-58A0-F627-92DEC7C4046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80065" name="Picture 6">
                      <a:extLst>
                        <a:ext uri="{FF2B5EF4-FFF2-40B4-BE49-F238E27FC236}">
                          <a16:creationId xmlns:a16="http://schemas.microsoft.com/office/drawing/2014/main" id="{0BEB4C1D-451F-58A0-F627-92DEC7C40463}"/>
                        </a:ext>
                        <a:ext uri="{C183D7F6-B498-43B3-948B-1728B52AA6E4}">
                          <adec:decorative xmlns:adec="http://schemas.microsoft.com/office/drawing/2017/decorative" val="1"/>
                        </a:ext>
                      </a:extLst>
                    </pic:cNvPr>
                    <pic:cNvPicPr>
                      <a:picLocks noChangeAspect="1"/>
                    </pic:cNvPicPr>
                  </pic:nvPicPr>
                  <pic:blipFill>
                    <a:blip r:embed="rId18">
                      <a:extLst>
                        <a:ext uri="{96DAC541-7B7A-43D3-8B79-37D633B846F1}">
                          <asvg:svgBlip xmlns:asvg="http://schemas.microsoft.com/office/drawing/2016/SVG/main" r:embed="rId19"/>
                        </a:ext>
                      </a:extLst>
                    </a:blip>
                    <a:srcRect t="40" b="40"/>
                    <a:stretch>
                      <a:fillRect/>
                    </a:stretch>
                  </pic:blipFill>
                  <pic:spPr bwMode="auto">
                    <a:xfrm>
                      <a:off x="0" y="0"/>
                      <a:ext cx="7632000" cy="1078573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098F" w:rsidRPr="00D77F96">
        <w:rPr>
          <w:sz w:val="52"/>
          <w:szCs w:val="52"/>
        </w:rPr>
        <w:t>Acknowledgement of Country</w:t>
      </w:r>
    </w:p>
    <w:p w14:paraId="38F0E44D" w14:textId="77777777" w:rsidR="005A098F" w:rsidRPr="00746E8E" w:rsidRDefault="005A098F" w:rsidP="00746E8E">
      <w:pPr>
        <w:pStyle w:val="AoC2"/>
      </w:pPr>
      <w:r w:rsidRPr="00746E8E">
        <w:t>KPMG acknowledges Aboriginal and Torres Strait Islander peoples as the First Peoples of Australia. We pay our respects to Elders past, present, and future as the Traditional Custodians of the land, water and skies of where we work.</w:t>
      </w:r>
    </w:p>
    <w:p w14:paraId="0C73405B" w14:textId="2343628D" w:rsidR="005A098F" w:rsidRPr="00746E8E" w:rsidRDefault="005A098F" w:rsidP="00746E8E">
      <w:pPr>
        <w:pStyle w:val="AoC4"/>
      </w:pPr>
      <w:r w:rsidRPr="00746E8E">
        <w:t>At KPMG, our future is one where all Australians are united by a shared, honest, and complete understanding of our past, present, and future. We are committed to making this future a reality. Our story celebrates and acknowledges that the cultures, histories, rights, and voices of Aboriginal and Torres Strait Islander People are heard, understood, respected, and</w:t>
      </w:r>
      <w:r w:rsidR="003C3B7E" w:rsidRPr="00746E8E">
        <w:t> </w:t>
      </w:r>
      <w:r w:rsidRPr="00746E8E">
        <w:t xml:space="preserve">celebrated. </w:t>
      </w:r>
    </w:p>
    <w:p w14:paraId="3C78A97E" w14:textId="77777777" w:rsidR="005A098F" w:rsidRPr="003F41C0" w:rsidRDefault="005A098F" w:rsidP="00746E8E">
      <w:pPr>
        <w:pStyle w:val="AoC4"/>
        <w:rPr>
          <w:rFonts w:ascii="Times New Roman" w:eastAsia="Times New Roman" w:hAnsi="Times New Roman" w:cs="Times New Roman"/>
          <w:sz w:val="24"/>
          <w:szCs w:val="24"/>
        </w:rPr>
      </w:pPr>
      <w:r w:rsidRPr="003F41C0">
        <w:t xml:space="preserve">Australia’s First Peoples continue to hold distinctive cultural, spiritual, physical and economical relationships with their land, water and skies. We take our obligations to the land and environments in which we operate seriously. </w:t>
      </w:r>
    </w:p>
    <w:p w14:paraId="7C0B16B8" w14:textId="173C0372" w:rsidR="005A098F" w:rsidRPr="003F41C0" w:rsidRDefault="005A098F" w:rsidP="00746E8E">
      <w:pPr>
        <w:pStyle w:val="AoC4"/>
        <w:rPr>
          <w:rFonts w:ascii="Times New Roman" w:eastAsia="Times New Roman" w:hAnsi="Times New Roman" w:cs="Times New Roman"/>
          <w:sz w:val="24"/>
          <w:szCs w:val="24"/>
        </w:rPr>
      </w:pPr>
      <w:r w:rsidRPr="003F41C0">
        <w:t xml:space="preserve">We look forward to making our contribution towards a new future for Aboriginal and Torres Strait Islander </w:t>
      </w:r>
      <w:proofErr w:type="gramStart"/>
      <w:r w:rsidRPr="003F41C0">
        <w:t>peoples</w:t>
      </w:r>
      <w:proofErr w:type="gramEnd"/>
      <w:r w:rsidRPr="003F41C0">
        <w:t xml:space="preserve"> so that they can chart a strong future for themselves, their families and communities. We believe we can achieve much more together than we can apart.</w:t>
      </w:r>
    </w:p>
    <w:p w14:paraId="507389C7" w14:textId="262F8EF3" w:rsidR="005A098F" w:rsidRPr="003F41C0" w:rsidRDefault="005A098F" w:rsidP="00746E8E">
      <w:pPr>
        <w:pStyle w:val="AoC4"/>
        <w:rPr>
          <w:rStyle w:val="Strong"/>
        </w:rPr>
      </w:pPr>
      <w:r w:rsidRPr="003F41C0">
        <w:rPr>
          <w:rStyle w:val="Strong"/>
        </w:rPr>
        <w:t>kpmg.com/au/rap</w:t>
      </w:r>
    </w:p>
    <w:p w14:paraId="1A56B4D8" w14:textId="77777777" w:rsidR="0018032F" w:rsidRDefault="0018032F" w:rsidP="00614ED1">
      <w:pPr>
        <w:pStyle w:val="ListBulletLast"/>
        <w:tabs>
          <w:tab w:val="num" w:pos="340"/>
        </w:tabs>
        <w:ind w:left="340" w:hanging="340"/>
        <w:rPr>
          <w:lang w:val="en-AU" w:eastAsia="en-AU"/>
        </w:rPr>
        <w:sectPr w:rsidR="0018032F" w:rsidSect="00A209B1">
          <w:headerReference w:type="first" r:id="rId20"/>
          <w:type w:val="nextColumn"/>
          <w:pgSz w:w="11907" w:h="16840" w:code="1"/>
          <w:pgMar w:top="2269" w:right="851" w:bottom="1134" w:left="851" w:header="680" w:footer="567" w:gutter="0"/>
          <w:cols w:space="720"/>
          <w:titlePg/>
          <w:docGrid w:linePitch="299"/>
        </w:sectPr>
      </w:pPr>
    </w:p>
    <w:p w14:paraId="30DAB413" w14:textId="7A64F2C0" w:rsidR="004B70B6" w:rsidRPr="00D77F96" w:rsidRDefault="004B70B6" w:rsidP="00D77F96">
      <w:pPr>
        <w:pStyle w:val="Heading2"/>
        <w:rPr>
          <w:color w:val="FFFFFF" w:themeColor="background1"/>
        </w:rPr>
      </w:pPr>
      <w:r w:rsidRPr="00D77F96">
        <w:rPr>
          <w:color w:val="FFFFFF" w:themeColor="background1"/>
        </w:rPr>
        <w:lastRenderedPageBreak/>
        <w:t>Di</w:t>
      </w:r>
      <w:r w:rsidR="003863E0" w:rsidRPr="00D77F96">
        <w:rPr>
          <w:noProof/>
          <w:color w:val="FFFFFF" w:themeColor="background1"/>
        </w:rPr>
        <w:drawing>
          <wp:anchor distT="0" distB="0" distL="114300" distR="114300" simplePos="0" relativeHeight="251660293" behindDoc="1" locked="1" layoutInCell="1" allowOverlap="1" wp14:anchorId="0DC19DAC" wp14:editId="0887FCD1">
            <wp:simplePos x="0" y="0"/>
            <wp:positionH relativeFrom="page">
              <wp:posOffset>0</wp:posOffset>
            </wp:positionH>
            <wp:positionV relativeFrom="page">
              <wp:posOffset>-9525</wp:posOffset>
            </wp:positionV>
            <wp:extent cx="7624445" cy="10785475"/>
            <wp:effectExtent l="0" t="0" r="0" b="0"/>
            <wp:wrapNone/>
            <wp:docPr id="5111041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04183"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7624445" cy="10785475"/>
                    </a:xfrm>
                    <a:prstGeom prst="rect">
                      <a:avLst/>
                    </a:prstGeom>
                  </pic:spPr>
                </pic:pic>
              </a:graphicData>
            </a:graphic>
            <wp14:sizeRelH relativeFrom="page">
              <wp14:pctWidth>0</wp14:pctWidth>
            </wp14:sizeRelH>
            <wp14:sizeRelV relativeFrom="page">
              <wp14:pctHeight>0</wp14:pctHeight>
            </wp14:sizeRelV>
          </wp:anchor>
        </w:drawing>
      </w:r>
      <w:r w:rsidRPr="00D77F96">
        <w:rPr>
          <w:color w:val="FFFFFF" w:themeColor="background1"/>
        </w:rPr>
        <w:t>sclaimer</w:t>
      </w:r>
    </w:p>
    <w:p w14:paraId="513B0A4E" w14:textId="098BD7F2" w:rsidR="004B70B6" w:rsidRPr="003C3B7E" w:rsidRDefault="004B70B6" w:rsidP="00006672">
      <w:pPr>
        <w:pStyle w:val="Normal-Disclaimer"/>
      </w:pPr>
      <w:r w:rsidRPr="003C3B7E">
        <w:rPr>
          <w:rStyle w:val="Strong"/>
          <w:color w:val="FFFFFF" w:themeColor="background1"/>
          <w:sz w:val="20"/>
          <w:szCs w:val="20"/>
        </w:rPr>
        <w:t>Inherent Limitations</w:t>
      </w:r>
    </w:p>
    <w:p w14:paraId="6107352A" w14:textId="1E91112B" w:rsidR="004B70B6" w:rsidRPr="003A7BFE" w:rsidRDefault="004B70B6" w:rsidP="00006672">
      <w:pPr>
        <w:pStyle w:val="Normal-Disclaimer"/>
      </w:pPr>
      <w:r w:rsidRPr="003A7BFE">
        <w:t xml:space="preserve">This report has been prepared as outlined with the Department of Foreign Affairs and Trade in the Scope Section of the </w:t>
      </w:r>
      <w:r w:rsidR="002B11B5" w:rsidRPr="003A7BFE">
        <w:t>order of services</w:t>
      </w:r>
      <w:r w:rsidRPr="003A7BFE">
        <w:t xml:space="preserve"> </w:t>
      </w:r>
      <w:r w:rsidR="002B11B5" w:rsidRPr="003A7BFE">
        <w:t xml:space="preserve">13 </w:t>
      </w:r>
      <w:r w:rsidR="008274F9" w:rsidRPr="003A7BFE">
        <w:t>November</w:t>
      </w:r>
      <w:r w:rsidR="002B11B5" w:rsidRPr="003A7BFE">
        <w:t xml:space="preserve"> 2025.</w:t>
      </w:r>
      <w:r w:rsidRPr="003A7BFE">
        <w:t xml:space="preserve"> </w:t>
      </w:r>
    </w:p>
    <w:p w14:paraId="6C8F7C7F" w14:textId="77777777" w:rsidR="004B70B6" w:rsidRPr="003C3B7E" w:rsidRDefault="004B70B6" w:rsidP="00006672">
      <w:pPr>
        <w:pStyle w:val="Normal-Disclaimer"/>
      </w:pPr>
      <w:r w:rsidRPr="003C3B7E">
        <w:t xml:space="preserve">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 </w:t>
      </w:r>
    </w:p>
    <w:p w14:paraId="57A81816" w14:textId="77777777" w:rsidR="004B70B6" w:rsidRPr="003C3B7E" w:rsidRDefault="004B70B6" w:rsidP="00006672">
      <w:pPr>
        <w:pStyle w:val="Normal-Disclaimer"/>
      </w:pPr>
      <w:r w:rsidRPr="003C3B7E">
        <w:t>No warranty of completeness, accuracy or reliability is given in relation to the statements and representations made by, and the information and documentation provided by, the Department of Foreign Affairs and Trade management consulted as part of the process.</w:t>
      </w:r>
    </w:p>
    <w:p w14:paraId="66B0D8E2" w14:textId="77777777" w:rsidR="004B70B6" w:rsidRPr="003C3B7E" w:rsidRDefault="004B70B6" w:rsidP="00006672">
      <w:pPr>
        <w:pStyle w:val="Normal-Disclaimer"/>
      </w:pPr>
      <w:r w:rsidRPr="003C3B7E">
        <w:t>KPMG have indicated within this report the sources of the information provided. We have not sought to independently verify those sources unless otherwise noted within the report.</w:t>
      </w:r>
    </w:p>
    <w:p w14:paraId="297D4E97" w14:textId="77777777" w:rsidR="004B70B6" w:rsidRPr="00F90607" w:rsidRDefault="004B70B6" w:rsidP="00006672">
      <w:pPr>
        <w:pStyle w:val="Normal-Disclaimer"/>
      </w:pPr>
      <w:r w:rsidRPr="00F90607">
        <w:t>KPMG is under no obligation in any circumstance to update this report, in either oral or written form, for events occurring after the report has been issued in final form.</w:t>
      </w:r>
    </w:p>
    <w:p w14:paraId="473CAD54" w14:textId="54E82652" w:rsidR="004B70B6" w:rsidRPr="00C25E0D" w:rsidRDefault="004B70B6" w:rsidP="00006672">
      <w:pPr>
        <w:pStyle w:val="Normal-Disclaimer"/>
        <w:rPr>
          <w:rStyle w:val="Strong"/>
          <w:color w:val="FFFFFF" w:themeColor="background1"/>
          <w:sz w:val="20"/>
          <w:szCs w:val="20"/>
        </w:rPr>
      </w:pPr>
      <w:r w:rsidRPr="00C25E0D">
        <w:rPr>
          <w:rStyle w:val="Strong"/>
          <w:color w:val="FFFFFF" w:themeColor="background1"/>
          <w:sz w:val="20"/>
          <w:szCs w:val="20"/>
        </w:rPr>
        <w:t>Notice to Third Parties Disclaimer</w:t>
      </w:r>
    </w:p>
    <w:p w14:paraId="7DD24B60" w14:textId="72BF1033" w:rsidR="004B70B6" w:rsidRPr="003C3B7E" w:rsidRDefault="004B70B6" w:rsidP="00006672">
      <w:pPr>
        <w:pStyle w:val="Normal-Disclaimer"/>
      </w:pPr>
      <w:r w:rsidRPr="003C3B7E">
        <w:t xml:space="preserve">This report is solely for the purpose set out in the Scope Section and for the Department of Foreign Affairs and Trade’s </w:t>
      </w:r>
      <w:proofErr w:type="gramStart"/>
      <w:r w:rsidRPr="003C3B7E">
        <w:t>information, and</w:t>
      </w:r>
      <w:proofErr w:type="gramEnd"/>
      <w:r w:rsidRPr="003C3B7E">
        <w:t xml:space="preserve"> is not to be used for any purpose not contemplated in the </w:t>
      </w:r>
      <w:r w:rsidR="00D66B3C" w:rsidRPr="003C3B7E">
        <w:t>order of services</w:t>
      </w:r>
      <w:r w:rsidRPr="003C3B7E">
        <w:t xml:space="preserve"> or to be distributed to any third party without KPMG’s prior written consent.</w:t>
      </w:r>
    </w:p>
    <w:p w14:paraId="492666DB" w14:textId="77777777" w:rsidR="00F90607" w:rsidRDefault="004B70B6" w:rsidP="00006672">
      <w:pPr>
        <w:pStyle w:val="Normal-Disclaimer"/>
      </w:pPr>
      <w:r w:rsidRPr="0056444C">
        <w:t xml:space="preserve">This report has been prepared at the request of the Department of Foreign Affairs and Trade in accordance with the terms of KPMGs </w:t>
      </w:r>
      <w:r w:rsidR="000053E6" w:rsidRPr="0056444C">
        <w:t>order of services</w:t>
      </w:r>
      <w:r w:rsidRPr="0056444C">
        <w:t xml:space="preserve"> dated </w:t>
      </w:r>
      <w:r w:rsidR="00E7513B" w:rsidRPr="0056444C">
        <w:t>13</w:t>
      </w:r>
      <w:r w:rsidRPr="0056444C">
        <w:t xml:space="preserve"> November </w:t>
      </w:r>
      <w:r w:rsidR="00E7513B" w:rsidRPr="0056444C">
        <w:t>2025</w:t>
      </w:r>
      <w:r w:rsidRPr="0056444C">
        <w:t>. Other than our responsibility to the Department of Foreign Affairs and Trade, neither KPMG nor any member or employee of KPMG undertakes responsibility arising in any way from reliance placed by a third party on this report. Any reliance placed is that party’s sole responsibility.</w:t>
      </w:r>
    </w:p>
    <w:p w14:paraId="7EC4E817" w14:textId="6912F599" w:rsidR="00F90607" w:rsidRPr="00C25E0D" w:rsidRDefault="00F90607" w:rsidP="00006672">
      <w:pPr>
        <w:pStyle w:val="Normal-Disclaimer"/>
        <w:rPr>
          <w:rStyle w:val="Strong"/>
          <w:color w:val="FFFFFF" w:themeColor="background1"/>
          <w:sz w:val="20"/>
          <w:szCs w:val="20"/>
        </w:rPr>
      </w:pPr>
      <w:r w:rsidRPr="00C25E0D">
        <w:rPr>
          <w:rStyle w:val="Strong"/>
          <w:color w:val="FFFFFF" w:themeColor="background1"/>
          <w:sz w:val="20"/>
          <w:szCs w:val="20"/>
        </w:rPr>
        <w:t>Accessibility</w:t>
      </w:r>
    </w:p>
    <w:p w14:paraId="6308C412" w14:textId="28E9AD37" w:rsidR="00F90607" w:rsidRPr="00F90607" w:rsidRDefault="00F90607" w:rsidP="00006672">
      <w:pPr>
        <w:pStyle w:val="Normal-Disclaimer"/>
      </w:pPr>
      <w:r w:rsidRPr="00F90607">
        <w:t>To comply with the Commonwealth Government’s accessibility requirements for publishing on the internet, two versions of this Report are available: a KPMG-branded PDF version and an unbranded Microsoft Word version. The KPMG-branded PDF version of this Report remains the definitive version of this</w:t>
      </w:r>
      <w:r>
        <w:t> </w:t>
      </w:r>
      <w:r w:rsidRPr="00F90607">
        <w:t>Report.</w:t>
      </w:r>
    </w:p>
    <w:p w14:paraId="3EBF03D9" w14:textId="23EDA910" w:rsidR="00614ED1" w:rsidRPr="00206B2B" w:rsidRDefault="00614ED1" w:rsidP="00006672">
      <w:pPr>
        <w:pStyle w:val="Normal-Disclaimer"/>
        <w:rPr>
          <w:lang w:eastAsia="en-AU"/>
        </w:rPr>
        <w:sectPr w:rsidR="00614ED1" w:rsidRPr="00206B2B" w:rsidSect="00006672">
          <w:headerReference w:type="first" r:id="rId23"/>
          <w:footerReference w:type="first" r:id="rId24"/>
          <w:type w:val="nextColumn"/>
          <w:pgSz w:w="11907" w:h="16840" w:code="1"/>
          <w:pgMar w:top="6237" w:right="851" w:bottom="1134" w:left="851" w:header="680" w:footer="283" w:gutter="0"/>
          <w:cols w:space="720"/>
          <w:titlePg/>
          <w:docGrid w:linePitch="299"/>
        </w:sectPr>
      </w:pPr>
    </w:p>
    <w:sdt>
      <w:sdtPr>
        <w:rPr>
          <w:rFonts w:ascii="Arial" w:eastAsiaTheme="minorEastAsia" w:hAnsi="Arial" w:cstheme="minorBidi"/>
          <w:b w:val="0"/>
          <w:bCs/>
          <w:color w:val="auto"/>
          <w:sz w:val="22"/>
          <w:szCs w:val="22"/>
          <w:lang w:eastAsia="en-US"/>
        </w:rPr>
        <w:id w:val="-1824648753"/>
        <w:docPartObj>
          <w:docPartGallery w:val="Table of Contents"/>
          <w:docPartUnique/>
        </w:docPartObj>
      </w:sdtPr>
      <w:sdtEndPr/>
      <w:sdtContent>
        <w:p w14:paraId="220926F4" w14:textId="7FF5219B" w:rsidR="00524836" w:rsidRPr="00206B2B" w:rsidRDefault="00524836" w:rsidP="00D77F96">
          <w:pPr>
            <w:pStyle w:val="Heading1"/>
          </w:pPr>
          <w:r w:rsidRPr="00D77F96">
            <w:rPr>
              <w:color w:val="FFFFFF" w:themeColor="background1"/>
              <w:sz w:val="56"/>
              <w:szCs w:val="56"/>
            </w:rPr>
            <w:t>Contents</w:t>
          </w:r>
          <w:r w:rsidR="00736BC6">
            <w:rPr>
              <w:noProof/>
            </w:rPr>
            <w:drawing>
              <wp:anchor distT="0" distB="0" distL="114300" distR="114300" simplePos="0" relativeHeight="251658244" behindDoc="1" locked="1" layoutInCell="1" allowOverlap="1" wp14:anchorId="7A173F3A" wp14:editId="433424C4">
                <wp:simplePos x="0" y="0"/>
                <wp:positionH relativeFrom="page">
                  <wp:posOffset>0</wp:posOffset>
                </wp:positionH>
                <wp:positionV relativeFrom="page">
                  <wp:posOffset>-8255</wp:posOffset>
                </wp:positionV>
                <wp:extent cx="7581265" cy="10767060"/>
                <wp:effectExtent l="0" t="0" r="635" b="0"/>
                <wp:wrapNone/>
                <wp:docPr id="164113606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36066" name="Graphic 1">
                          <a:extLst>
                            <a:ext uri="{C183D7F6-B498-43B3-948B-1728B52AA6E4}">
                              <adec:decorative xmlns:adec="http://schemas.microsoft.com/office/drawing/2017/decorative" val="1"/>
                            </a:ext>
                          </a:extLst>
                        </pic:cNvPr>
                        <pic:cNvPicPr/>
                      </pic:nvPicPr>
                      <pic:blipFill rotWithShape="1">
                        <a:blip r:embed="rId25">
                          <a:extLst>
                            <a:ext uri="{96DAC541-7B7A-43D3-8B79-37D633B846F1}">
                              <asvg:svgBlip xmlns:asvg="http://schemas.microsoft.com/office/drawing/2016/SVG/main" r:embed="rId26"/>
                            </a:ext>
                          </a:extLst>
                        </a:blip>
                        <a:srcRect l="635"/>
                        <a:stretch>
                          <a:fillRect/>
                        </a:stretch>
                      </pic:blipFill>
                      <pic:spPr bwMode="auto">
                        <a:xfrm>
                          <a:off x="0" y="0"/>
                          <a:ext cx="7581265" cy="10767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23C03" w14:textId="08266149" w:rsidR="005F6B29" w:rsidRDefault="00664A6B">
          <w:pPr>
            <w:pStyle w:val="TOC1"/>
            <w:rPr>
              <w:rFonts w:asciiTheme="minorHAnsi" w:hAnsiTheme="minorHAnsi"/>
              <w:noProof/>
              <w:color w:val="auto"/>
              <w:kern w:val="2"/>
              <w:sz w:val="24"/>
              <w:szCs w:val="24"/>
              <w:lang w:eastAsia="en-AU"/>
              <w14:ligatures w14:val="standardContextual"/>
            </w:rPr>
          </w:pPr>
          <w:r>
            <w:fldChar w:fldCharType="begin"/>
          </w:r>
          <w:r>
            <w:instrText xml:space="preserve"> TOC \o "1-1" \h \z \u </w:instrText>
          </w:r>
          <w:r>
            <w:fldChar w:fldCharType="separate"/>
          </w:r>
          <w:hyperlink w:anchor="_Toc230774039" w:history="1">
            <w:r w:rsidR="005F6B29" w:rsidRPr="00F96AA2">
              <w:rPr>
                <w:rStyle w:val="Hyperlink"/>
                <w:noProof/>
              </w:rPr>
              <w:t>Glossary</w:t>
            </w:r>
            <w:r w:rsidR="005F6B29">
              <w:rPr>
                <w:noProof/>
                <w:webHidden/>
              </w:rPr>
              <w:tab/>
            </w:r>
            <w:r w:rsidR="005F6B29">
              <w:rPr>
                <w:noProof/>
                <w:webHidden/>
              </w:rPr>
              <w:fldChar w:fldCharType="begin"/>
            </w:r>
            <w:r w:rsidR="005F6B29">
              <w:rPr>
                <w:noProof/>
                <w:webHidden/>
              </w:rPr>
              <w:instrText xml:space="preserve"> PAGEREF _Toc230774039 \h </w:instrText>
            </w:r>
            <w:r w:rsidR="005F6B29">
              <w:rPr>
                <w:noProof/>
                <w:webHidden/>
              </w:rPr>
            </w:r>
            <w:r w:rsidR="005F6B29">
              <w:rPr>
                <w:noProof/>
                <w:webHidden/>
              </w:rPr>
              <w:fldChar w:fldCharType="separate"/>
            </w:r>
            <w:r w:rsidR="009E05C9">
              <w:rPr>
                <w:noProof/>
                <w:webHidden/>
              </w:rPr>
              <w:t>5</w:t>
            </w:r>
            <w:r w:rsidR="005F6B29">
              <w:rPr>
                <w:noProof/>
                <w:webHidden/>
              </w:rPr>
              <w:fldChar w:fldCharType="end"/>
            </w:r>
          </w:hyperlink>
        </w:p>
        <w:p w14:paraId="61252F2E" w14:textId="381E9A4A" w:rsidR="005F6B29" w:rsidRDefault="005F6B29">
          <w:pPr>
            <w:pStyle w:val="TOC1"/>
            <w:rPr>
              <w:rFonts w:asciiTheme="minorHAnsi" w:hAnsiTheme="minorHAnsi"/>
              <w:noProof/>
              <w:color w:val="auto"/>
              <w:kern w:val="2"/>
              <w:sz w:val="24"/>
              <w:szCs w:val="24"/>
              <w:lang w:eastAsia="en-AU"/>
              <w14:ligatures w14:val="standardContextual"/>
            </w:rPr>
          </w:pPr>
          <w:hyperlink w:anchor="_Toc230774040" w:history="1">
            <w:r w:rsidRPr="00F96AA2">
              <w:rPr>
                <w:rStyle w:val="Hyperlink"/>
                <w:noProof/>
              </w:rPr>
              <w:t>Executive Summary</w:t>
            </w:r>
            <w:r>
              <w:rPr>
                <w:noProof/>
                <w:webHidden/>
              </w:rPr>
              <w:tab/>
            </w:r>
            <w:r>
              <w:rPr>
                <w:noProof/>
                <w:webHidden/>
              </w:rPr>
              <w:fldChar w:fldCharType="begin"/>
            </w:r>
            <w:r>
              <w:rPr>
                <w:noProof/>
                <w:webHidden/>
              </w:rPr>
              <w:instrText xml:space="preserve"> PAGEREF _Toc230774040 \h </w:instrText>
            </w:r>
            <w:r>
              <w:rPr>
                <w:noProof/>
                <w:webHidden/>
              </w:rPr>
            </w:r>
            <w:r>
              <w:rPr>
                <w:noProof/>
                <w:webHidden/>
              </w:rPr>
              <w:fldChar w:fldCharType="separate"/>
            </w:r>
            <w:r w:rsidR="009E05C9">
              <w:rPr>
                <w:noProof/>
                <w:webHidden/>
              </w:rPr>
              <w:t>6</w:t>
            </w:r>
            <w:r>
              <w:rPr>
                <w:noProof/>
                <w:webHidden/>
              </w:rPr>
              <w:fldChar w:fldCharType="end"/>
            </w:r>
          </w:hyperlink>
        </w:p>
        <w:p w14:paraId="6A8FEDB9" w14:textId="0F1F5A47" w:rsidR="005F6B29" w:rsidRDefault="005F6B29">
          <w:pPr>
            <w:pStyle w:val="TOC1"/>
            <w:rPr>
              <w:rFonts w:asciiTheme="minorHAnsi" w:hAnsiTheme="minorHAnsi"/>
              <w:noProof/>
              <w:color w:val="auto"/>
              <w:kern w:val="2"/>
              <w:sz w:val="24"/>
              <w:szCs w:val="24"/>
              <w:lang w:eastAsia="en-AU"/>
              <w14:ligatures w14:val="standardContextual"/>
            </w:rPr>
          </w:pPr>
          <w:hyperlink w:anchor="_Toc230774041" w:history="1">
            <w:r w:rsidRPr="00F96AA2">
              <w:rPr>
                <w:rStyle w:val="Hyperlink"/>
                <w:noProof/>
              </w:rPr>
              <w:t>Introduction</w:t>
            </w:r>
            <w:r>
              <w:rPr>
                <w:noProof/>
                <w:webHidden/>
              </w:rPr>
              <w:tab/>
            </w:r>
            <w:r>
              <w:rPr>
                <w:noProof/>
                <w:webHidden/>
              </w:rPr>
              <w:fldChar w:fldCharType="begin"/>
            </w:r>
            <w:r>
              <w:rPr>
                <w:noProof/>
                <w:webHidden/>
              </w:rPr>
              <w:instrText xml:space="preserve"> PAGEREF _Toc230774041 \h </w:instrText>
            </w:r>
            <w:r>
              <w:rPr>
                <w:noProof/>
                <w:webHidden/>
              </w:rPr>
            </w:r>
            <w:r>
              <w:rPr>
                <w:noProof/>
                <w:webHidden/>
              </w:rPr>
              <w:fldChar w:fldCharType="separate"/>
            </w:r>
            <w:r w:rsidR="009E05C9">
              <w:rPr>
                <w:noProof/>
                <w:webHidden/>
              </w:rPr>
              <w:t>16</w:t>
            </w:r>
            <w:r>
              <w:rPr>
                <w:noProof/>
                <w:webHidden/>
              </w:rPr>
              <w:fldChar w:fldCharType="end"/>
            </w:r>
          </w:hyperlink>
        </w:p>
        <w:p w14:paraId="2E9FAF45" w14:textId="1593E1D8" w:rsidR="005F6B29" w:rsidRDefault="005F6B29">
          <w:pPr>
            <w:pStyle w:val="TOC1"/>
            <w:rPr>
              <w:rFonts w:asciiTheme="minorHAnsi" w:hAnsiTheme="minorHAnsi"/>
              <w:noProof/>
              <w:color w:val="auto"/>
              <w:kern w:val="2"/>
              <w:sz w:val="24"/>
              <w:szCs w:val="24"/>
              <w:lang w:eastAsia="en-AU"/>
              <w14:ligatures w14:val="standardContextual"/>
            </w:rPr>
          </w:pPr>
          <w:hyperlink w:anchor="_Toc230774042" w:history="1">
            <w:r w:rsidRPr="00F96AA2">
              <w:rPr>
                <w:rStyle w:val="Hyperlink"/>
                <w:noProof/>
              </w:rPr>
              <w:t>Strategic Context</w:t>
            </w:r>
            <w:r>
              <w:rPr>
                <w:noProof/>
                <w:webHidden/>
              </w:rPr>
              <w:tab/>
            </w:r>
            <w:r>
              <w:rPr>
                <w:noProof/>
                <w:webHidden/>
              </w:rPr>
              <w:fldChar w:fldCharType="begin"/>
            </w:r>
            <w:r>
              <w:rPr>
                <w:noProof/>
                <w:webHidden/>
              </w:rPr>
              <w:instrText xml:space="preserve"> PAGEREF _Toc230774042 \h </w:instrText>
            </w:r>
            <w:r>
              <w:rPr>
                <w:noProof/>
                <w:webHidden/>
              </w:rPr>
            </w:r>
            <w:r>
              <w:rPr>
                <w:noProof/>
                <w:webHidden/>
              </w:rPr>
              <w:fldChar w:fldCharType="separate"/>
            </w:r>
            <w:r w:rsidR="009E05C9">
              <w:rPr>
                <w:noProof/>
                <w:webHidden/>
              </w:rPr>
              <w:t>18</w:t>
            </w:r>
            <w:r>
              <w:rPr>
                <w:noProof/>
                <w:webHidden/>
              </w:rPr>
              <w:fldChar w:fldCharType="end"/>
            </w:r>
          </w:hyperlink>
        </w:p>
        <w:p w14:paraId="3F13B478" w14:textId="28EA249B" w:rsidR="005F6B29" w:rsidRDefault="005F6B29">
          <w:pPr>
            <w:pStyle w:val="TOC1"/>
            <w:rPr>
              <w:rFonts w:asciiTheme="minorHAnsi" w:hAnsiTheme="minorHAnsi"/>
              <w:noProof/>
              <w:color w:val="auto"/>
              <w:kern w:val="2"/>
              <w:sz w:val="24"/>
              <w:szCs w:val="24"/>
              <w:lang w:eastAsia="en-AU"/>
              <w14:ligatures w14:val="standardContextual"/>
            </w:rPr>
          </w:pPr>
          <w:hyperlink w:anchor="_Toc230774043" w:history="1">
            <w:r w:rsidRPr="00F96AA2">
              <w:rPr>
                <w:rStyle w:val="Hyperlink"/>
                <w:noProof/>
              </w:rPr>
              <w:t>Australia’s WPS Approach in Comparison to International Peers</w:t>
            </w:r>
            <w:r>
              <w:rPr>
                <w:noProof/>
                <w:webHidden/>
              </w:rPr>
              <w:tab/>
            </w:r>
            <w:r>
              <w:rPr>
                <w:noProof/>
                <w:webHidden/>
              </w:rPr>
              <w:fldChar w:fldCharType="begin"/>
            </w:r>
            <w:r>
              <w:rPr>
                <w:noProof/>
                <w:webHidden/>
              </w:rPr>
              <w:instrText xml:space="preserve"> PAGEREF _Toc230774043 \h </w:instrText>
            </w:r>
            <w:r>
              <w:rPr>
                <w:noProof/>
                <w:webHidden/>
              </w:rPr>
            </w:r>
            <w:r>
              <w:rPr>
                <w:noProof/>
                <w:webHidden/>
              </w:rPr>
              <w:fldChar w:fldCharType="separate"/>
            </w:r>
            <w:r w:rsidR="009E05C9">
              <w:rPr>
                <w:noProof/>
                <w:webHidden/>
              </w:rPr>
              <w:t>22</w:t>
            </w:r>
            <w:r>
              <w:rPr>
                <w:noProof/>
                <w:webHidden/>
              </w:rPr>
              <w:fldChar w:fldCharType="end"/>
            </w:r>
          </w:hyperlink>
        </w:p>
        <w:p w14:paraId="71FF4797" w14:textId="25E44147" w:rsidR="005F6B29" w:rsidRDefault="005F6B29">
          <w:pPr>
            <w:pStyle w:val="TOC1"/>
            <w:rPr>
              <w:rFonts w:asciiTheme="minorHAnsi" w:hAnsiTheme="minorHAnsi"/>
              <w:noProof/>
              <w:color w:val="auto"/>
              <w:kern w:val="2"/>
              <w:sz w:val="24"/>
              <w:szCs w:val="24"/>
              <w:lang w:eastAsia="en-AU"/>
              <w14:ligatures w14:val="standardContextual"/>
            </w:rPr>
          </w:pPr>
          <w:hyperlink w:anchor="_Toc230774044" w:history="1">
            <w:r w:rsidRPr="00F96AA2">
              <w:rPr>
                <w:rStyle w:val="Hyperlink"/>
                <w:noProof/>
              </w:rPr>
              <w:t>Progress Against Outcomes</w:t>
            </w:r>
            <w:r>
              <w:rPr>
                <w:noProof/>
                <w:webHidden/>
              </w:rPr>
              <w:tab/>
            </w:r>
            <w:r>
              <w:rPr>
                <w:noProof/>
                <w:webHidden/>
              </w:rPr>
              <w:fldChar w:fldCharType="begin"/>
            </w:r>
            <w:r>
              <w:rPr>
                <w:noProof/>
                <w:webHidden/>
              </w:rPr>
              <w:instrText xml:space="preserve"> PAGEREF _Toc230774044 \h </w:instrText>
            </w:r>
            <w:r>
              <w:rPr>
                <w:noProof/>
                <w:webHidden/>
              </w:rPr>
            </w:r>
            <w:r>
              <w:rPr>
                <w:noProof/>
                <w:webHidden/>
              </w:rPr>
              <w:fldChar w:fldCharType="separate"/>
            </w:r>
            <w:r w:rsidR="009E05C9">
              <w:rPr>
                <w:noProof/>
                <w:webHidden/>
              </w:rPr>
              <w:t>25</w:t>
            </w:r>
            <w:r>
              <w:rPr>
                <w:noProof/>
                <w:webHidden/>
              </w:rPr>
              <w:fldChar w:fldCharType="end"/>
            </w:r>
          </w:hyperlink>
        </w:p>
        <w:p w14:paraId="696A708D" w14:textId="30925FFE" w:rsidR="005F6B29" w:rsidRDefault="005F6B29">
          <w:pPr>
            <w:pStyle w:val="TOC1"/>
            <w:rPr>
              <w:rFonts w:asciiTheme="minorHAnsi" w:hAnsiTheme="minorHAnsi"/>
              <w:noProof/>
              <w:color w:val="auto"/>
              <w:kern w:val="2"/>
              <w:sz w:val="24"/>
              <w:szCs w:val="24"/>
              <w:lang w:eastAsia="en-AU"/>
              <w14:ligatures w14:val="standardContextual"/>
            </w:rPr>
          </w:pPr>
          <w:hyperlink w:anchor="_Toc230774045" w:history="1">
            <w:r w:rsidRPr="00F96AA2">
              <w:rPr>
                <w:rStyle w:val="Hyperlink"/>
                <w:noProof/>
              </w:rPr>
              <w:t>Implementation Analysis</w:t>
            </w:r>
            <w:r>
              <w:rPr>
                <w:noProof/>
                <w:webHidden/>
              </w:rPr>
              <w:tab/>
            </w:r>
            <w:r>
              <w:rPr>
                <w:noProof/>
                <w:webHidden/>
              </w:rPr>
              <w:fldChar w:fldCharType="begin"/>
            </w:r>
            <w:r>
              <w:rPr>
                <w:noProof/>
                <w:webHidden/>
              </w:rPr>
              <w:instrText xml:space="preserve"> PAGEREF _Toc230774045 \h </w:instrText>
            </w:r>
            <w:r>
              <w:rPr>
                <w:noProof/>
                <w:webHidden/>
              </w:rPr>
            </w:r>
            <w:r>
              <w:rPr>
                <w:noProof/>
                <w:webHidden/>
              </w:rPr>
              <w:fldChar w:fldCharType="separate"/>
            </w:r>
            <w:r w:rsidR="009E05C9">
              <w:rPr>
                <w:noProof/>
                <w:webHidden/>
              </w:rPr>
              <w:t>43</w:t>
            </w:r>
            <w:r>
              <w:rPr>
                <w:noProof/>
                <w:webHidden/>
              </w:rPr>
              <w:fldChar w:fldCharType="end"/>
            </w:r>
          </w:hyperlink>
        </w:p>
        <w:p w14:paraId="336CC570" w14:textId="1E534F1B" w:rsidR="005F6B29" w:rsidRDefault="005F6B29">
          <w:pPr>
            <w:pStyle w:val="TOC1"/>
            <w:rPr>
              <w:rFonts w:asciiTheme="minorHAnsi" w:hAnsiTheme="minorHAnsi"/>
              <w:noProof/>
              <w:color w:val="auto"/>
              <w:kern w:val="2"/>
              <w:sz w:val="24"/>
              <w:szCs w:val="24"/>
              <w:lang w:eastAsia="en-AU"/>
              <w14:ligatures w14:val="standardContextual"/>
            </w:rPr>
          </w:pPr>
          <w:hyperlink w:anchor="_Toc230774046" w:history="1">
            <w:r w:rsidRPr="00F96AA2">
              <w:rPr>
                <w:rStyle w:val="Hyperlink"/>
                <w:noProof/>
              </w:rPr>
              <w:t>Emerging Issues and Lessons Learned</w:t>
            </w:r>
            <w:r>
              <w:rPr>
                <w:noProof/>
                <w:webHidden/>
              </w:rPr>
              <w:tab/>
            </w:r>
            <w:r>
              <w:rPr>
                <w:noProof/>
                <w:webHidden/>
              </w:rPr>
              <w:fldChar w:fldCharType="begin"/>
            </w:r>
            <w:r>
              <w:rPr>
                <w:noProof/>
                <w:webHidden/>
              </w:rPr>
              <w:instrText xml:space="preserve"> PAGEREF _Toc230774046 \h </w:instrText>
            </w:r>
            <w:r>
              <w:rPr>
                <w:noProof/>
                <w:webHidden/>
              </w:rPr>
            </w:r>
            <w:r>
              <w:rPr>
                <w:noProof/>
                <w:webHidden/>
              </w:rPr>
              <w:fldChar w:fldCharType="separate"/>
            </w:r>
            <w:r w:rsidR="009E05C9">
              <w:rPr>
                <w:noProof/>
                <w:webHidden/>
              </w:rPr>
              <w:t>54</w:t>
            </w:r>
            <w:r>
              <w:rPr>
                <w:noProof/>
                <w:webHidden/>
              </w:rPr>
              <w:fldChar w:fldCharType="end"/>
            </w:r>
          </w:hyperlink>
        </w:p>
        <w:p w14:paraId="6EDF28F6" w14:textId="334AF241" w:rsidR="005F6B29" w:rsidRDefault="005F6B29">
          <w:pPr>
            <w:pStyle w:val="TOC1"/>
            <w:rPr>
              <w:rFonts w:asciiTheme="minorHAnsi" w:hAnsiTheme="minorHAnsi"/>
              <w:noProof/>
              <w:color w:val="auto"/>
              <w:kern w:val="2"/>
              <w:sz w:val="24"/>
              <w:szCs w:val="24"/>
              <w:lang w:eastAsia="en-AU"/>
              <w14:ligatures w14:val="standardContextual"/>
            </w:rPr>
          </w:pPr>
          <w:hyperlink w:anchor="_Toc230774047" w:history="1">
            <w:r w:rsidRPr="00F96AA2">
              <w:rPr>
                <w:rStyle w:val="Hyperlink"/>
                <w:noProof/>
              </w:rPr>
              <w:t>Recommendations</w:t>
            </w:r>
            <w:r>
              <w:rPr>
                <w:noProof/>
                <w:webHidden/>
              </w:rPr>
              <w:tab/>
            </w:r>
            <w:r>
              <w:rPr>
                <w:noProof/>
                <w:webHidden/>
              </w:rPr>
              <w:fldChar w:fldCharType="begin"/>
            </w:r>
            <w:r>
              <w:rPr>
                <w:noProof/>
                <w:webHidden/>
              </w:rPr>
              <w:instrText xml:space="preserve"> PAGEREF _Toc230774047 \h </w:instrText>
            </w:r>
            <w:r>
              <w:rPr>
                <w:noProof/>
                <w:webHidden/>
              </w:rPr>
            </w:r>
            <w:r>
              <w:rPr>
                <w:noProof/>
                <w:webHidden/>
              </w:rPr>
              <w:fldChar w:fldCharType="separate"/>
            </w:r>
            <w:r w:rsidR="009E05C9">
              <w:rPr>
                <w:noProof/>
                <w:webHidden/>
              </w:rPr>
              <w:t>59</w:t>
            </w:r>
            <w:r>
              <w:rPr>
                <w:noProof/>
                <w:webHidden/>
              </w:rPr>
              <w:fldChar w:fldCharType="end"/>
            </w:r>
          </w:hyperlink>
        </w:p>
        <w:p w14:paraId="023345F4" w14:textId="747B999B" w:rsidR="005F6B29" w:rsidRDefault="005F6B29">
          <w:pPr>
            <w:pStyle w:val="TOC1"/>
            <w:rPr>
              <w:rFonts w:asciiTheme="minorHAnsi" w:hAnsiTheme="minorHAnsi"/>
              <w:noProof/>
              <w:color w:val="auto"/>
              <w:kern w:val="2"/>
              <w:sz w:val="24"/>
              <w:szCs w:val="24"/>
              <w:lang w:eastAsia="en-AU"/>
              <w14:ligatures w14:val="standardContextual"/>
            </w:rPr>
          </w:pPr>
          <w:hyperlink w:anchor="_Toc230774048" w:history="1">
            <w:r w:rsidRPr="00F96AA2">
              <w:rPr>
                <w:rStyle w:val="Hyperlink"/>
                <w:noProof/>
              </w:rPr>
              <w:t>Strategic shift required</w:t>
            </w:r>
            <w:r>
              <w:rPr>
                <w:noProof/>
                <w:webHidden/>
              </w:rPr>
              <w:tab/>
            </w:r>
            <w:r>
              <w:rPr>
                <w:noProof/>
                <w:webHidden/>
              </w:rPr>
              <w:fldChar w:fldCharType="begin"/>
            </w:r>
            <w:r>
              <w:rPr>
                <w:noProof/>
                <w:webHidden/>
              </w:rPr>
              <w:instrText xml:space="preserve"> PAGEREF _Toc230774048 \h </w:instrText>
            </w:r>
            <w:r>
              <w:rPr>
                <w:noProof/>
                <w:webHidden/>
              </w:rPr>
            </w:r>
            <w:r>
              <w:rPr>
                <w:noProof/>
                <w:webHidden/>
              </w:rPr>
              <w:fldChar w:fldCharType="separate"/>
            </w:r>
            <w:r w:rsidR="009E05C9">
              <w:rPr>
                <w:noProof/>
                <w:webHidden/>
              </w:rPr>
              <w:t>70</w:t>
            </w:r>
            <w:r>
              <w:rPr>
                <w:noProof/>
                <w:webHidden/>
              </w:rPr>
              <w:fldChar w:fldCharType="end"/>
            </w:r>
          </w:hyperlink>
        </w:p>
        <w:p w14:paraId="040F5A5E" w14:textId="2FD51527" w:rsidR="005F6B29" w:rsidRDefault="005F6B29">
          <w:pPr>
            <w:pStyle w:val="TOC1"/>
            <w:rPr>
              <w:rFonts w:asciiTheme="minorHAnsi" w:hAnsiTheme="minorHAnsi"/>
              <w:noProof/>
              <w:color w:val="auto"/>
              <w:kern w:val="2"/>
              <w:sz w:val="24"/>
              <w:szCs w:val="24"/>
              <w:lang w:eastAsia="en-AU"/>
              <w14:ligatures w14:val="standardContextual"/>
            </w:rPr>
          </w:pPr>
          <w:hyperlink w:anchor="_Toc230774049" w:history="1">
            <w:r w:rsidRPr="00F96AA2">
              <w:rPr>
                <w:rStyle w:val="Hyperlink"/>
                <w:noProof/>
              </w:rPr>
              <w:t>Appendix A: Terms of Reference</w:t>
            </w:r>
            <w:r>
              <w:rPr>
                <w:noProof/>
                <w:webHidden/>
              </w:rPr>
              <w:tab/>
            </w:r>
            <w:r>
              <w:rPr>
                <w:noProof/>
                <w:webHidden/>
              </w:rPr>
              <w:fldChar w:fldCharType="begin"/>
            </w:r>
            <w:r>
              <w:rPr>
                <w:noProof/>
                <w:webHidden/>
              </w:rPr>
              <w:instrText xml:space="preserve"> PAGEREF _Toc230774049 \h </w:instrText>
            </w:r>
            <w:r>
              <w:rPr>
                <w:noProof/>
                <w:webHidden/>
              </w:rPr>
            </w:r>
            <w:r>
              <w:rPr>
                <w:noProof/>
                <w:webHidden/>
              </w:rPr>
              <w:fldChar w:fldCharType="separate"/>
            </w:r>
            <w:r w:rsidR="009E05C9">
              <w:rPr>
                <w:noProof/>
                <w:webHidden/>
              </w:rPr>
              <w:t>72</w:t>
            </w:r>
            <w:r>
              <w:rPr>
                <w:noProof/>
                <w:webHidden/>
              </w:rPr>
              <w:fldChar w:fldCharType="end"/>
            </w:r>
          </w:hyperlink>
        </w:p>
        <w:p w14:paraId="5C0A6885" w14:textId="4165A1A6" w:rsidR="005F6B29" w:rsidRDefault="005F6B29">
          <w:pPr>
            <w:pStyle w:val="TOC1"/>
            <w:rPr>
              <w:rFonts w:asciiTheme="minorHAnsi" w:hAnsiTheme="minorHAnsi"/>
              <w:noProof/>
              <w:color w:val="auto"/>
              <w:kern w:val="2"/>
              <w:sz w:val="24"/>
              <w:szCs w:val="24"/>
              <w:lang w:eastAsia="en-AU"/>
              <w14:ligatures w14:val="standardContextual"/>
            </w:rPr>
          </w:pPr>
          <w:hyperlink w:anchor="_Toc230774050" w:history="1">
            <w:r w:rsidRPr="00F96AA2">
              <w:rPr>
                <w:rStyle w:val="Hyperlink"/>
                <w:noProof/>
              </w:rPr>
              <w:t>Appendix B: International Comparator Analysis</w:t>
            </w:r>
            <w:r>
              <w:rPr>
                <w:noProof/>
                <w:webHidden/>
              </w:rPr>
              <w:tab/>
            </w:r>
            <w:r>
              <w:rPr>
                <w:noProof/>
                <w:webHidden/>
              </w:rPr>
              <w:fldChar w:fldCharType="begin"/>
            </w:r>
            <w:r>
              <w:rPr>
                <w:noProof/>
                <w:webHidden/>
              </w:rPr>
              <w:instrText xml:space="preserve"> PAGEREF _Toc230774050 \h </w:instrText>
            </w:r>
            <w:r>
              <w:rPr>
                <w:noProof/>
                <w:webHidden/>
              </w:rPr>
            </w:r>
            <w:r>
              <w:rPr>
                <w:noProof/>
                <w:webHidden/>
              </w:rPr>
              <w:fldChar w:fldCharType="separate"/>
            </w:r>
            <w:r w:rsidR="009E05C9">
              <w:rPr>
                <w:noProof/>
                <w:webHidden/>
              </w:rPr>
              <w:t>76</w:t>
            </w:r>
            <w:r>
              <w:rPr>
                <w:noProof/>
                <w:webHidden/>
              </w:rPr>
              <w:fldChar w:fldCharType="end"/>
            </w:r>
          </w:hyperlink>
        </w:p>
        <w:p w14:paraId="165892C5" w14:textId="10508086" w:rsidR="005F6B29" w:rsidRDefault="005F6B29">
          <w:pPr>
            <w:pStyle w:val="TOC1"/>
            <w:rPr>
              <w:rFonts w:asciiTheme="minorHAnsi" w:hAnsiTheme="minorHAnsi"/>
              <w:noProof/>
              <w:color w:val="auto"/>
              <w:kern w:val="2"/>
              <w:sz w:val="24"/>
              <w:szCs w:val="24"/>
              <w:lang w:eastAsia="en-AU"/>
              <w14:ligatures w14:val="standardContextual"/>
            </w:rPr>
          </w:pPr>
          <w:hyperlink w:anchor="_Toc230774051" w:history="1">
            <w:r w:rsidRPr="00F96AA2">
              <w:rPr>
                <w:rStyle w:val="Hyperlink"/>
                <w:noProof/>
              </w:rPr>
              <w:t>Appendix C: Stakeholder consultation</w:t>
            </w:r>
            <w:r w:rsidRPr="00F96AA2">
              <w:rPr>
                <w:rStyle w:val="Hyperlink"/>
                <w:rFonts w:ascii="Calibri" w:hAnsi="Calibri" w:cs="Calibri"/>
                <w:noProof/>
              </w:rPr>
              <w:t> </w:t>
            </w:r>
            <w:r w:rsidRPr="00F96AA2">
              <w:rPr>
                <w:rStyle w:val="Hyperlink"/>
                <w:noProof/>
              </w:rPr>
              <w:t>summary</w:t>
            </w:r>
            <w:r>
              <w:rPr>
                <w:noProof/>
                <w:webHidden/>
              </w:rPr>
              <w:tab/>
            </w:r>
            <w:r>
              <w:rPr>
                <w:noProof/>
                <w:webHidden/>
              </w:rPr>
              <w:fldChar w:fldCharType="begin"/>
            </w:r>
            <w:r>
              <w:rPr>
                <w:noProof/>
                <w:webHidden/>
              </w:rPr>
              <w:instrText xml:space="preserve"> PAGEREF _Toc230774051 \h </w:instrText>
            </w:r>
            <w:r>
              <w:rPr>
                <w:noProof/>
                <w:webHidden/>
              </w:rPr>
            </w:r>
            <w:r>
              <w:rPr>
                <w:noProof/>
                <w:webHidden/>
              </w:rPr>
              <w:fldChar w:fldCharType="separate"/>
            </w:r>
            <w:r w:rsidR="009E05C9">
              <w:rPr>
                <w:noProof/>
                <w:webHidden/>
              </w:rPr>
              <w:t>81</w:t>
            </w:r>
            <w:r>
              <w:rPr>
                <w:noProof/>
                <w:webHidden/>
              </w:rPr>
              <w:fldChar w:fldCharType="end"/>
            </w:r>
          </w:hyperlink>
        </w:p>
        <w:p w14:paraId="542826B9" w14:textId="5F035FAA" w:rsidR="00524836" w:rsidRPr="00206B2B" w:rsidRDefault="00664A6B">
          <w:r>
            <w:rPr>
              <w:color w:val="FFFFFF" w:themeColor="background1"/>
            </w:rPr>
            <w:fldChar w:fldCharType="end"/>
          </w:r>
        </w:p>
      </w:sdtContent>
    </w:sdt>
    <w:p w14:paraId="2E183583" w14:textId="6EDA1941" w:rsidR="00524836" w:rsidRPr="00206B2B" w:rsidRDefault="00524836" w:rsidP="003E7AF8">
      <w:pPr>
        <w:pStyle w:val="BodyText"/>
        <w:rPr>
          <w:lang w:eastAsia="en-AU"/>
        </w:rPr>
        <w:sectPr w:rsidR="00524836" w:rsidRPr="00206B2B" w:rsidSect="00A209B1">
          <w:headerReference w:type="even" r:id="rId27"/>
          <w:headerReference w:type="default" r:id="rId28"/>
          <w:footerReference w:type="even" r:id="rId29"/>
          <w:footerReference w:type="default" r:id="rId30"/>
          <w:headerReference w:type="first" r:id="rId31"/>
          <w:footerReference w:type="first" r:id="rId32"/>
          <w:type w:val="nextColumn"/>
          <w:pgSz w:w="11907" w:h="16840" w:code="1"/>
          <w:pgMar w:top="851" w:right="851" w:bottom="1134" w:left="851" w:header="680" w:footer="567" w:gutter="0"/>
          <w:cols w:space="720"/>
          <w:docGrid w:linePitch="360"/>
        </w:sectPr>
      </w:pPr>
    </w:p>
    <w:p w14:paraId="6857F8A0" w14:textId="07E7C425" w:rsidR="002B5719" w:rsidRPr="00944D24" w:rsidRDefault="00614ED1" w:rsidP="00944D24">
      <w:pPr>
        <w:pStyle w:val="Heading1"/>
      </w:pPr>
      <w:bookmarkStart w:id="0" w:name="_Toc230774039"/>
      <w:r w:rsidRPr="00944D24">
        <w:lastRenderedPageBreak/>
        <w:t>Glossary</w:t>
      </w:r>
      <w:bookmarkEnd w:id="0"/>
    </w:p>
    <w:tbl>
      <w:tblPr>
        <w:tblStyle w:val="KPMGTable"/>
        <w:tblW w:w="5085" w:type="pct"/>
        <w:tblLook w:val="0620" w:firstRow="1" w:lastRow="0" w:firstColumn="0" w:lastColumn="0" w:noHBand="1" w:noVBand="1"/>
      </w:tblPr>
      <w:tblGrid>
        <w:gridCol w:w="1135"/>
        <w:gridCol w:w="3917"/>
        <w:gridCol w:w="1357"/>
        <w:gridCol w:w="3969"/>
      </w:tblGrid>
      <w:tr w:rsidR="007364BC" w:rsidRPr="00206B2B" w14:paraId="75367BD2" w14:textId="36659F82" w:rsidTr="00371434">
        <w:trPr>
          <w:cnfStyle w:val="100000000000" w:firstRow="1" w:lastRow="0" w:firstColumn="0" w:lastColumn="0" w:oddVBand="0" w:evenVBand="0" w:oddHBand="0" w:evenHBand="0" w:firstRowFirstColumn="0" w:firstRowLastColumn="0" w:lastRowFirstColumn="0" w:lastRowLastColumn="0"/>
          <w:trHeight w:val="27"/>
        </w:trPr>
        <w:tc>
          <w:tcPr>
            <w:tcW w:w="547" w:type="pct"/>
          </w:tcPr>
          <w:p w14:paraId="5E235C39" w14:textId="6D8CAF2E" w:rsidR="007364BC" w:rsidRPr="003C3B7E" w:rsidRDefault="007364BC" w:rsidP="003C3B7E">
            <w:r w:rsidRPr="003C3B7E">
              <w:t>Acronym</w:t>
            </w:r>
          </w:p>
        </w:tc>
        <w:tc>
          <w:tcPr>
            <w:tcW w:w="1887" w:type="pct"/>
          </w:tcPr>
          <w:p w14:paraId="5B15FA77" w14:textId="071551FD" w:rsidR="007364BC" w:rsidRPr="003C3B7E" w:rsidRDefault="007364BC" w:rsidP="003C3B7E">
            <w:r w:rsidRPr="003C3B7E">
              <w:t>Term</w:t>
            </w:r>
          </w:p>
        </w:tc>
        <w:tc>
          <w:tcPr>
            <w:tcW w:w="654" w:type="pct"/>
          </w:tcPr>
          <w:p w14:paraId="6DC90E67" w14:textId="4866120B" w:rsidR="007364BC" w:rsidRPr="003C3B7E" w:rsidRDefault="007364BC" w:rsidP="003C3B7E">
            <w:r>
              <w:t>Acronym</w:t>
            </w:r>
          </w:p>
        </w:tc>
        <w:tc>
          <w:tcPr>
            <w:tcW w:w="1912" w:type="pct"/>
          </w:tcPr>
          <w:p w14:paraId="73A521A7" w14:textId="76185BF7" w:rsidR="007364BC" w:rsidRPr="003C3B7E" w:rsidRDefault="007364BC" w:rsidP="003C3B7E">
            <w:r>
              <w:t>Term</w:t>
            </w:r>
          </w:p>
        </w:tc>
      </w:tr>
      <w:tr w:rsidR="007364BC" w:rsidRPr="00206B2B" w14:paraId="080BE2C3" w14:textId="5B64D5A0" w:rsidTr="00371434">
        <w:trPr>
          <w:trHeight w:val="454"/>
        </w:trPr>
        <w:tc>
          <w:tcPr>
            <w:tcW w:w="547" w:type="pct"/>
          </w:tcPr>
          <w:p w14:paraId="6DD56247" w14:textId="76E30CDB" w:rsidR="007364BC" w:rsidRPr="00C25E0D" w:rsidRDefault="007364BC" w:rsidP="007364BC">
            <w:pPr>
              <w:pStyle w:val="TableText"/>
              <w:rPr>
                <w:b/>
                <w:bCs/>
                <w:szCs w:val="20"/>
              </w:rPr>
            </w:pPr>
            <w:r w:rsidRPr="00C25E0D">
              <w:rPr>
                <w:b/>
                <w:bCs/>
              </w:rPr>
              <w:t>AIMR</w:t>
            </w:r>
          </w:p>
        </w:tc>
        <w:tc>
          <w:tcPr>
            <w:tcW w:w="1887" w:type="pct"/>
          </w:tcPr>
          <w:p w14:paraId="1A1739AA" w14:textId="706D1B95" w:rsidR="007364BC" w:rsidRPr="00206B2B" w:rsidRDefault="007364BC" w:rsidP="007364BC">
            <w:pPr>
              <w:pStyle w:val="TableText"/>
            </w:pPr>
            <w:r w:rsidRPr="00206B2B">
              <w:rPr>
                <w:rFonts w:cstheme="minorHAnsi"/>
              </w:rPr>
              <w:t>Annual Investment Monitoring Report</w:t>
            </w:r>
          </w:p>
        </w:tc>
        <w:tc>
          <w:tcPr>
            <w:tcW w:w="654" w:type="pct"/>
          </w:tcPr>
          <w:p w14:paraId="660479C9" w14:textId="782C0F2C" w:rsidR="007364BC" w:rsidRPr="00371434" w:rsidRDefault="00371434" w:rsidP="007364BC">
            <w:pPr>
              <w:pStyle w:val="TableText"/>
              <w:rPr>
                <w:rFonts w:cstheme="minorHAnsi"/>
                <w:b/>
                <w:bCs/>
              </w:rPr>
            </w:pPr>
            <w:r w:rsidRPr="00371434">
              <w:rPr>
                <w:rFonts w:cstheme="minorHAnsi"/>
                <w:b/>
                <w:bCs/>
              </w:rPr>
              <w:t>IAEA</w:t>
            </w:r>
          </w:p>
        </w:tc>
        <w:tc>
          <w:tcPr>
            <w:tcW w:w="1912" w:type="pct"/>
          </w:tcPr>
          <w:p w14:paraId="46644EBD" w14:textId="0B4CE714" w:rsidR="007364BC" w:rsidRPr="00206B2B" w:rsidRDefault="007364BC" w:rsidP="007364BC">
            <w:pPr>
              <w:pStyle w:val="TableText"/>
              <w:rPr>
                <w:rFonts w:cstheme="minorHAnsi"/>
              </w:rPr>
            </w:pPr>
            <w:r w:rsidRPr="00206B2B">
              <w:rPr>
                <w:rFonts w:cstheme="minorHAnsi"/>
              </w:rPr>
              <w:t>International Atomic Energy Agency</w:t>
            </w:r>
          </w:p>
        </w:tc>
      </w:tr>
      <w:tr w:rsidR="007364BC" w:rsidRPr="00206B2B" w14:paraId="25B1B831" w14:textId="29A4022D" w:rsidTr="00371434">
        <w:trPr>
          <w:trHeight w:val="454"/>
        </w:trPr>
        <w:tc>
          <w:tcPr>
            <w:tcW w:w="547" w:type="pct"/>
          </w:tcPr>
          <w:p w14:paraId="36358CF2" w14:textId="5E2D095D" w:rsidR="007364BC" w:rsidRPr="00C25E0D" w:rsidRDefault="007364BC" w:rsidP="007364BC">
            <w:pPr>
              <w:pStyle w:val="TableText"/>
              <w:rPr>
                <w:b/>
                <w:bCs/>
                <w:szCs w:val="20"/>
              </w:rPr>
            </w:pPr>
            <w:r w:rsidRPr="00C25E0D">
              <w:rPr>
                <w:b/>
                <w:bCs/>
              </w:rPr>
              <w:t>ASEAN</w:t>
            </w:r>
          </w:p>
        </w:tc>
        <w:tc>
          <w:tcPr>
            <w:tcW w:w="1887" w:type="pct"/>
          </w:tcPr>
          <w:p w14:paraId="67E05F37" w14:textId="24C82834" w:rsidR="007364BC" w:rsidRPr="00206B2B" w:rsidRDefault="007364BC" w:rsidP="007364BC">
            <w:pPr>
              <w:pStyle w:val="TableText"/>
            </w:pPr>
            <w:r w:rsidRPr="00206B2B">
              <w:rPr>
                <w:rFonts w:cstheme="minorHAnsi"/>
              </w:rPr>
              <w:t>Association of Southeast Asian Nations</w:t>
            </w:r>
          </w:p>
        </w:tc>
        <w:tc>
          <w:tcPr>
            <w:tcW w:w="654" w:type="pct"/>
          </w:tcPr>
          <w:p w14:paraId="5905E3D4" w14:textId="2049A4C9" w:rsidR="007364BC" w:rsidRPr="00371434" w:rsidRDefault="007364BC" w:rsidP="007364BC">
            <w:pPr>
              <w:pStyle w:val="TableText"/>
              <w:rPr>
                <w:rFonts w:cstheme="minorHAnsi"/>
                <w:b/>
                <w:bCs/>
              </w:rPr>
            </w:pPr>
            <w:r w:rsidRPr="00371434">
              <w:rPr>
                <w:b/>
                <w:bCs/>
              </w:rPr>
              <w:t>LAW</w:t>
            </w:r>
          </w:p>
        </w:tc>
        <w:tc>
          <w:tcPr>
            <w:tcW w:w="1912" w:type="pct"/>
          </w:tcPr>
          <w:p w14:paraId="13F4544A" w14:textId="4443878A" w:rsidR="007364BC" w:rsidRPr="00206B2B" w:rsidRDefault="007364BC" w:rsidP="007364BC">
            <w:pPr>
              <w:pStyle w:val="TableText"/>
              <w:rPr>
                <w:rFonts w:cstheme="minorHAnsi"/>
              </w:rPr>
            </w:pPr>
            <w:r w:rsidRPr="00206B2B">
              <w:rPr>
                <w:rFonts w:cstheme="minorHAnsi"/>
              </w:rPr>
              <w:t>Legal Action Worldwide</w:t>
            </w:r>
          </w:p>
        </w:tc>
      </w:tr>
      <w:tr w:rsidR="007364BC" w:rsidRPr="00206B2B" w14:paraId="538A212F" w14:textId="74111C36" w:rsidTr="00371434">
        <w:trPr>
          <w:trHeight w:val="454"/>
        </w:trPr>
        <w:tc>
          <w:tcPr>
            <w:tcW w:w="547" w:type="pct"/>
          </w:tcPr>
          <w:p w14:paraId="2A515D17" w14:textId="191B1607" w:rsidR="007364BC" w:rsidRPr="00C25E0D" w:rsidRDefault="007364BC" w:rsidP="007364BC">
            <w:pPr>
              <w:pStyle w:val="TableText"/>
              <w:rPr>
                <w:b/>
                <w:bCs/>
                <w:szCs w:val="20"/>
              </w:rPr>
            </w:pPr>
            <w:r w:rsidRPr="00C25E0D">
              <w:rPr>
                <w:b/>
                <w:bCs/>
              </w:rPr>
              <w:t>AGD</w:t>
            </w:r>
          </w:p>
        </w:tc>
        <w:tc>
          <w:tcPr>
            <w:tcW w:w="1887" w:type="pct"/>
          </w:tcPr>
          <w:p w14:paraId="06144AE7" w14:textId="2DBB1D25" w:rsidR="007364BC" w:rsidRPr="00206B2B" w:rsidRDefault="007364BC" w:rsidP="007364BC">
            <w:pPr>
              <w:pStyle w:val="TableText"/>
            </w:pPr>
            <w:r w:rsidRPr="00206B2B">
              <w:rPr>
                <w:rFonts w:cstheme="minorHAnsi"/>
              </w:rPr>
              <w:t>Attorney General’s Department</w:t>
            </w:r>
          </w:p>
        </w:tc>
        <w:tc>
          <w:tcPr>
            <w:tcW w:w="654" w:type="pct"/>
          </w:tcPr>
          <w:p w14:paraId="6D35DA00" w14:textId="6DB38EC6" w:rsidR="007364BC" w:rsidRPr="00371434" w:rsidRDefault="007364BC" w:rsidP="007364BC">
            <w:pPr>
              <w:pStyle w:val="TableText"/>
              <w:rPr>
                <w:rFonts w:cstheme="minorHAnsi"/>
                <w:b/>
                <w:bCs/>
              </w:rPr>
            </w:pPr>
            <w:r w:rsidRPr="00371434">
              <w:rPr>
                <w:rFonts w:cstheme="minorHAnsi"/>
                <w:b/>
                <w:bCs/>
              </w:rPr>
              <w:t>LGBTQIA+</w:t>
            </w:r>
          </w:p>
        </w:tc>
        <w:tc>
          <w:tcPr>
            <w:tcW w:w="1912" w:type="pct"/>
          </w:tcPr>
          <w:p w14:paraId="4F744637" w14:textId="1C793360" w:rsidR="007364BC" w:rsidRPr="00206B2B" w:rsidRDefault="007364BC" w:rsidP="007364BC">
            <w:pPr>
              <w:pStyle w:val="TableText"/>
              <w:rPr>
                <w:rFonts w:cstheme="minorHAnsi"/>
              </w:rPr>
            </w:pPr>
            <w:r w:rsidRPr="00206B2B">
              <w:t>Lesbian, gay, bisexual, transgender, queer, intersex and asexual</w:t>
            </w:r>
          </w:p>
        </w:tc>
      </w:tr>
      <w:tr w:rsidR="007364BC" w:rsidRPr="00206B2B" w14:paraId="66D60373" w14:textId="4E550F15" w:rsidTr="00371434">
        <w:trPr>
          <w:trHeight w:val="454"/>
        </w:trPr>
        <w:tc>
          <w:tcPr>
            <w:tcW w:w="547" w:type="pct"/>
          </w:tcPr>
          <w:p w14:paraId="141544EF" w14:textId="395EC91F" w:rsidR="007364BC" w:rsidRPr="00C25E0D" w:rsidRDefault="007364BC" w:rsidP="007364BC">
            <w:pPr>
              <w:pStyle w:val="TableText"/>
              <w:rPr>
                <w:b/>
                <w:bCs/>
                <w:szCs w:val="20"/>
              </w:rPr>
            </w:pPr>
            <w:r w:rsidRPr="00C25E0D">
              <w:rPr>
                <w:b/>
                <w:bCs/>
              </w:rPr>
              <w:t>AIGES</w:t>
            </w:r>
          </w:p>
        </w:tc>
        <w:tc>
          <w:tcPr>
            <w:tcW w:w="1887" w:type="pct"/>
          </w:tcPr>
          <w:p w14:paraId="19CCF4BF" w14:textId="7E59EE80" w:rsidR="007364BC" w:rsidRPr="00206B2B" w:rsidRDefault="007364BC" w:rsidP="007364BC">
            <w:pPr>
              <w:pStyle w:val="TableText"/>
            </w:pPr>
            <w:r w:rsidRPr="00206B2B">
              <w:rPr>
                <w:rFonts w:cstheme="minorHAnsi"/>
              </w:rPr>
              <w:t>Australia’s International Gender Equality Strategy</w:t>
            </w:r>
          </w:p>
        </w:tc>
        <w:tc>
          <w:tcPr>
            <w:tcW w:w="654" w:type="pct"/>
          </w:tcPr>
          <w:p w14:paraId="6B1BF2E9" w14:textId="70B49DA6" w:rsidR="007364BC" w:rsidRPr="00371434" w:rsidRDefault="007364BC" w:rsidP="007364BC">
            <w:pPr>
              <w:pStyle w:val="TableText"/>
              <w:rPr>
                <w:rFonts w:cstheme="minorHAnsi"/>
                <w:b/>
                <w:bCs/>
              </w:rPr>
            </w:pPr>
            <w:r w:rsidRPr="00371434">
              <w:rPr>
                <w:b/>
                <w:bCs/>
              </w:rPr>
              <w:t>M&amp;E</w:t>
            </w:r>
          </w:p>
        </w:tc>
        <w:tc>
          <w:tcPr>
            <w:tcW w:w="1912" w:type="pct"/>
          </w:tcPr>
          <w:p w14:paraId="30306728" w14:textId="5C10D6D9" w:rsidR="007364BC" w:rsidRPr="00206B2B" w:rsidRDefault="007364BC" w:rsidP="007364BC">
            <w:pPr>
              <w:pStyle w:val="TableText"/>
              <w:rPr>
                <w:rFonts w:cstheme="minorHAnsi"/>
              </w:rPr>
            </w:pPr>
            <w:r w:rsidRPr="00206B2B">
              <w:rPr>
                <w:rFonts w:cstheme="minorHAnsi"/>
              </w:rPr>
              <w:t>Monitoring and Evaluation</w:t>
            </w:r>
          </w:p>
        </w:tc>
      </w:tr>
      <w:tr w:rsidR="007364BC" w:rsidRPr="00206B2B" w14:paraId="7F7357FA" w14:textId="2771E954" w:rsidTr="00371434">
        <w:trPr>
          <w:trHeight w:val="454"/>
        </w:trPr>
        <w:tc>
          <w:tcPr>
            <w:tcW w:w="547" w:type="pct"/>
          </w:tcPr>
          <w:p w14:paraId="189197E4" w14:textId="5DAB18FF" w:rsidR="007364BC" w:rsidRPr="00C25E0D" w:rsidRDefault="007364BC" w:rsidP="007364BC">
            <w:pPr>
              <w:pStyle w:val="TableText"/>
              <w:rPr>
                <w:b/>
                <w:bCs/>
                <w:szCs w:val="20"/>
              </w:rPr>
            </w:pPr>
            <w:r w:rsidRPr="00C25E0D">
              <w:rPr>
                <w:b/>
                <w:bCs/>
              </w:rPr>
              <w:t>ABF</w:t>
            </w:r>
          </w:p>
        </w:tc>
        <w:tc>
          <w:tcPr>
            <w:tcW w:w="1887" w:type="pct"/>
          </w:tcPr>
          <w:p w14:paraId="692D0706" w14:textId="5B1FB170" w:rsidR="007364BC" w:rsidRPr="00206B2B" w:rsidRDefault="007364BC" w:rsidP="007364BC">
            <w:pPr>
              <w:pStyle w:val="TableText"/>
            </w:pPr>
            <w:r w:rsidRPr="00206B2B">
              <w:rPr>
                <w:rFonts w:cstheme="minorHAnsi"/>
              </w:rPr>
              <w:t>Australian Border Force</w:t>
            </w:r>
          </w:p>
        </w:tc>
        <w:tc>
          <w:tcPr>
            <w:tcW w:w="654" w:type="pct"/>
          </w:tcPr>
          <w:p w14:paraId="0E247133" w14:textId="0D0F3241" w:rsidR="007364BC" w:rsidRPr="00371434" w:rsidRDefault="007364BC" w:rsidP="007364BC">
            <w:pPr>
              <w:pStyle w:val="TableText"/>
              <w:rPr>
                <w:rFonts w:cstheme="minorHAnsi"/>
                <w:b/>
                <w:bCs/>
              </w:rPr>
            </w:pPr>
            <w:r w:rsidRPr="00371434">
              <w:rPr>
                <w:b/>
                <w:bCs/>
              </w:rPr>
              <w:t>MEL</w:t>
            </w:r>
          </w:p>
        </w:tc>
        <w:tc>
          <w:tcPr>
            <w:tcW w:w="1912" w:type="pct"/>
          </w:tcPr>
          <w:p w14:paraId="581101F2" w14:textId="1B079EEA" w:rsidR="007364BC" w:rsidRPr="00206B2B" w:rsidRDefault="007364BC" w:rsidP="007364BC">
            <w:pPr>
              <w:pStyle w:val="TableText"/>
              <w:rPr>
                <w:rFonts w:cstheme="minorHAnsi"/>
              </w:rPr>
            </w:pPr>
            <w:r w:rsidRPr="00206B2B">
              <w:rPr>
                <w:rFonts w:cstheme="minorHAnsi"/>
              </w:rPr>
              <w:t>Monitoring, Evaluation and Learning</w:t>
            </w:r>
          </w:p>
        </w:tc>
      </w:tr>
      <w:tr w:rsidR="007364BC" w:rsidRPr="00206B2B" w14:paraId="31BDADA6" w14:textId="6EFD99DC" w:rsidTr="00371434">
        <w:trPr>
          <w:trHeight w:val="454"/>
        </w:trPr>
        <w:tc>
          <w:tcPr>
            <w:tcW w:w="547" w:type="pct"/>
          </w:tcPr>
          <w:p w14:paraId="1DEA1580" w14:textId="6030E5CC" w:rsidR="007364BC" w:rsidRPr="00C25E0D" w:rsidRDefault="007364BC" w:rsidP="007364BC">
            <w:pPr>
              <w:pStyle w:val="TableText"/>
              <w:rPr>
                <w:b/>
                <w:bCs/>
                <w:szCs w:val="20"/>
              </w:rPr>
            </w:pPr>
            <w:r w:rsidRPr="00C25E0D">
              <w:rPr>
                <w:b/>
                <w:bCs/>
              </w:rPr>
              <w:t>ACMC</w:t>
            </w:r>
          </w:p>
        </w:tc>
        <w:tc>
          <w:tcPr>
            <w:tcW w:w="1887" w:type="pct"/>
          </w:tcPr>
          <w:p w14:paraId="1D0DB3F6" w14:textId="69E70926" w:rsidR="007364BC" w:rsidRPr="00206B2B" w:rsidRDefault="007364BC" w:rsidP="007364BC">
            <w:pPr>
              <w:pStyle w:val="TableText"/>
            </w:pPr>
            <w:r w:rsidRPr="00206B2B">
              <w:rPr>
                <w:rFonts w:cstheme="minorHAnsi"/>
              </w:rPr>
              <w:t>Australian Civil Military Centre</w:t>
            </w:r>
          </w:p>
        </w:tc>
        <w:tc>
          <w:tcPr>
            <w:tcW w:w="654" w:type="pct"/>
          </w:tcPr>
          <w:p w14:paraId="7EFD0A59" w14:textId="0E682C6F" w:rsidR="007364BC" w:rsidRPr="00371434" w:rsidRDefault="007364BC" w:rsidP="007364BC">
            <w:pPr>
              <w:pStyle w:val="TableText"/>
              <w:rPr>
                <w:rFonts w:cstheme="minorHAnsi"/>
                <w:b/>
                <w:bCs/>
              </w:rPr>
            </w:pPr>
            <w:r w:rsidRPr="00371434">
              <w:rPr>
                <w:b/>
                <w:bCs/>
              </w:rPr>
              <w:t>MEAL</w:t>
            </w:r>
          </w:p>
        </w:tc>
        <w:tc>
          <w:tcPr>
            <w:tcW w:w="1912" w:type="pct"/>
          </w:tcPr>
          <w:p w14:paraId="1204766D" w14:textId="4D7D655B" w:rsidR="007364BC" w:rsidRPr="00206B2B" w:rsidRDefault="007364BC" w:rsidP="007364BC">
            <w:pPr>
              <w:pStyle w:val="TableText"/>
              <w:rPr>
                <w:rFonts w:cstheme="minorHAnsi"/>
              </w:rPr>
            </w:pPr>
            <w:r w:rsidRPr="00206B2B">
              <w:rPr>
                <w:rFonts w:cstheme="minorHAnsi"/>
              </w:rPr>
              <w:t>Monitoring, Evaluation, Accountability, and Learning</w:t>
            </w:r>
          </w:p>
        </w:tc>
      </w:tr>
      <w:tr w:rsidR="007364BC" w:rsidRPr="00206B2B" w14:paraId="74491DD2" w14:textId="28920FCA" w:rsidTr="00371434">
        <w:trPr>
          <w:trHeight w:val="454"/>
        </w:trPr>
        <w:tc>
          <w:tcPr>
            <w:tcW w:w="547" w:type="pct"/>
          </w:tcPr>
          <w:p w14:paraId="12EAF3A1" w14:textId="5DEB6609" w:rsidR="007364BC" w:rsidRPr="00C25E0D" w:rsidRDefault="007364BC" w:rsidP="007364BC">
            <w:pPr>
              <w:pStyle w:val="TableText"/>
              <w:rPr>
                <w:b/>
                <w:bCs/>
                <w:szCs w:val="20"/>
              </w:rPr>
            </w:pPr>
            <w:r w:rsidRPr="00C25E0D">
              <w:rPr>
                <w:b/>
                <w:bCs/>
              </w:rPr>
              <w:t>A</w:t>
            </w:r>
            <w:r w:rsidRPr="00C25E0D">
              <w:rPr>
                <w:b/>
                <w:bCs/>
                <w:szCs w:val="20"/>
              </w:rPr>
              <w:t>USCO</w:t>
            </w:r>
          </w:p>
        </w:tc>
        <w:tc>
          <w:tcPr>
            <w:tcW w:w="1887" w:type="pct"/>
          </w:tcPr>
          <w:p w14:paraId="38FD9BA7" w14:textId="5F56F37C" w:rsidR="007364BC" w:rsidRPr="00206B2B" w:rsidRDefault="007364BC" w:rsidP="007364BC">
            <w:pPr>
              <w:pStyle w:val="TableText"/>
            </w:pPr>
            <w:r w:rsidRPr="00206B2B">
              <w:rPr>
                <w:rFonts w:cstheme="minorHAnsi"/>
              </w:rPr>
              <w:t>Australian Cultural Orientation Program</w:t>
            </w:r>
          </w:p>
        </w:tc>
        <w:tc>
          <w:tcPr>
            <w:tcW w:w="654" w:type="pct"/>
          </w:tcPr>
          <w:p w14:paraId="3FBA7144" w14:textId="5EA63564" w:rsidR="007364BC" w:rsidRPr="00371434" w:rsidRDefault="007364BC" w:rsidP="007364BC">
            <w:pPr>
              <w:pStyle w:val="TableText"/>
              <w:rPr>
                <w:rFonts w:cstheme="minorHAnsi"/>
                <w:b/>
                <w:bCs/>
              </w:rPr>
            </w:pPr>
            <w:r w:rsidRPr="00371434">
              <w:rPr>
                <w:b/>
                <w:bCs/>
              </w:rPr>
              <w:t>NAP</w:t>
            </w:r>
          </w:p>
        </w:tc>
        <w:tc>
          <w:tcPr>
            <w:tcW w:w="1912" w:type="pct"/>
          </w:tcPr>
          <w:p w14:paraId="06747D05" w14:textId="295B154C" w:rsidR="007364BC" w:rsidRPr="00206B2B" w:rsidRDefault="007364BC" w:rsidP="007364BC">
            <w:pPr>
              <w:pStyle w:val="TableText"/>
              <w:rPr>
                <w:rFonts w:cstheme="minorHAnsi"/>
              </w:rPr>
            </w:pPr>
            <w:r w:rsidRPr="00206B2B">
              <w:rPr>
                <w:rFonts w:cstheme="minorHAnsi"/>
              </w:rPr>
              <w:t>National Action Plan</w:t>
            </w:r>
          </w:p>
        </w:tc>
      </w:tr>
      <w:tr w:rsidR="007364BC" w:rsidRPr="00206B2B" w14:paraId="7E8A8906" w14:textId="144EF555" w:rsidTr="00371434">
        <w:trPr>
          <w:trHeight w:val="454"/>
        </w:trPr>
        <w:tc>
          <w:tcPr>
            <w:tcW w:w="547" w:type="pct"/>
          </w:tcPr>
          <w:p w14:paraId="6BD0D460" w14:textId="1515B5F9" w:rsidR="007364BC" w:rsidRPr="00C25E0D" w:rsidRDefault="007364BC" w:rsidP="007364BC">
            <w:pPr>
              <w:pStyle w:val="TableText"/>
              <w:rPr>
                <w:b/>
                <w:bCs/>
                <w:szCs w:val="20"/>
              </w:rPr>
            </w:pPr>
            <w:r w:rsidRPr="00C25E0D">
              <w:rPr>
                <w:b/>
                <w:bCs/>
              </w:rPr>
              <w:t>ADF</w:t>
            </w:r>
          </w:p>
        </w:tc>
        <w:tc>
          <w:tcPr>
            <w:tcW w:w="1887" w:type="pct"/>
          </w:tcPr>
          <w:p w14:paraId="7E7235E5" w14:textId="25C7BF7B" w:rsidR="007364BC" w:rsidRPr="00206B2B" w:rsidRDefault="007364BC" w:rsidP="007364BC">
            <w:pPr>
              <w:pStyle w:val="TableText"/>
            </w:pPr>
            <w:r w:rsidRPr="00206B2B">
              <w:rPr>
                <w:rFonts w:cstheme="minorHAnsi"/>
              </w:rPr>
              <w:t>Australian Defence Force</w:t>
            </w:r>
          </w:p>
        </w:tc>
        <w:tc>
          <w:tcPr>
            <w:tcW w:w="654" w:type="pct"/>
          </w:tcPr>
          <w:p w14:paraId="34A4E10F" w14:textId="264CC187" w:rsidR="007364BC" w:rsidRPr="00371434" w:rsidRDefault="007364BC" w:rsidP="007364BC">
            <w:pPr>
              <w:pStyle w:val="TableText"/>
              <w:rPr>
                <w:rFonts w:cstheme="minorHAnsi"/>
                <w:b/>
                <w:bCs/>
              </w:rPr>
            </w:pPr>
            <w:r w:rsidRPr="00371434">
              <w:rPr>
                <w:b/>
                <w:bCs/>
              </w:rPr>
              <w:t>NATO</w:t>
            </w:r>
          </w:p>
        </w:tc>
        <w:tc>
          <w:tcPr>
            <w:tcW w:w="1912" w:type="pct"/>
          </w:tcPr>
          <w:p w14:paraId="342688CF" w14:textId="69A9255E" w:rsidR="007364BC" w:rsidRPr="00206B2B" w:rsidRDefault="007364BC" w:rsidP="007364BC">
            <w:pPr>
              <w:pStyle w:val="TableText"/>
              <w:rPr>
                <w:rFonts w:cstheme="minorHAnsi"/>
              </w:rPr>
            </w:pPr>
            <w:r w:rsidRPr="00206B2B">
              <w:rPr>
                <w:rFonts w:cstheme="minorHAnsi"/>
              </w:rPr>
              <w:t>North Atlantic Treaty Organisation</w:t>
            </w:r>
          </w:p>
        </w:tc>
      </w:tr>
      <w:tr w:rsidR="007364BC" w:rsidRPr="00206B2B" w14:paraId="36CC89E1" w14:textId="1DCB99D9" w:rsidTr="00371434">
        <w:trPr>
          <w:trHeight w:val="454"/>
        </w:trPr>
        <w:tc>
          <w:tcPr>
            <w:tcW w:w="547" w:type="pct"/>
          </w:tcPr>
          <w:p w14:paraId="0FC67CB8" w14:textId="5072E25E" w:rsidR="007364BC" w:rsidRPr="00C25E0D" w:rsidRDefault="007364BC" w:rsidP="007364BC">
            <w:pPr>
              <w:pStyle w:val="TableText"/>
              <w:rPr>
                <w:b/>
                <w:bCs/>
                <w:szCs w:val="20"/>
              </w:rPr>
            </w:pPr>
            <w:r w:rsidRPr="00C25E0D">
              <w:rPr>
                <w:b/>
                <w:bCs/>
              </w:rPr>
              <w:t>AFP</w:t>
            </w:r>
          </w:p>
        </w:tc>
        <w:tc>
          <w:tcPr>
            <w:tcW w:w="1887" w:type="pct"/>
          </w:tcPr>
          <w:p w14:paraId="58B51AA8" w14:textId="7B098694" w:rsidR="007364BC" w:rsidRPr="00206B2B" w:rsidRDefault="007364BC" w:rsidP="007364BC">
            <w:pPr>
              <w:pStyle w:val="TableText"/>
            </w:pPr>
            <w:r w:rsidRPr="00206B2B">
              <w:rPr>
                <w:rFonts w:cstheme="minorHAnsi"/>
              </w:rPr>
              <w:t>Australian Federal Police</w:t>
            </w:r>
          </w:p>
        </w:tc>
        <w:tc>
          <w:tcPr>
            <w:tcW w:w="654" w:type="pct"/>
          </w:tcPr>
          <w:p w14:paraId="4EE38245" w14:textId="190B7260" w:rsidR="007364BC" w:rsidRPr="00371434" w:rsidRDefault="007364BC" w:rsidP="007364BC">
            <w:pPr>
              <w:pStyle w:val="TableText"/>
              <w:rPr>
                <w:rFonts w:cstheme="minorHAnsi"/>
                <w:b/>
                <w:bCs/>
              </w:rPr>
            </w:pPr>
            <w:r w:rsidRPr="00371434">
              <w:rPr>
                <w:b/>
                <w:bCs/>
              </w:rPr>
              <w:t>NEMA</w:t>
            </w:r>
          </w:p>
        </w:tc>
        <w:tc>
          <w:tcPr>
            <w:tcW w:w="1912" w:type="pct"/>
          </w:tcPr>
          <w:p w14:paraId="26D9C97D" w14:textId="672F7D94" w:rsidR="007364BC" w:rsidRPr="00206B2B" w:rsidRDefault="007364BC" w:rsidP="007364BC">
            <w:pPr>
              <w:pStyle w:val="TableText"/>
              <w:rPr>
                <w:rFonts w:cstheme="minorHAnsi"/>
              </w:rPr>
            </w:pPr>
            <w:r w:rsidRPr="00206B2B">
              <w:rPr>
                <w:rFonts w:cstheme="minorHAnsi"/>
              </w:rPr>
              <w:t>National Emergency Management Agency</w:t>
            </w:r>
          </w:p>
        </w:tc>
      </w:tr>
      <w:tr w:rsidR="007364BC" w:rsidRPr="00206B2B" w14:paraId="2711EDFC" w14:textId="04BCFBCE" w:rsidTr="00371434">
        <w:trPr>
          <w:trHeight w:val="454"/>
        </w:trPr>
        <w:tc>
          <w:tcPr>
            <w:tcW w:w="547" w:type="pct"/>
          </w:tcPr>
          <w:p w14:paraId="5D6006D0" w14:textId="47F40971" w:rsidR="007364BC" w:rsidRPr="00C25E0D" w:rsidRDefault="007364BC" w:rsidP="007364BC">
            <w:pPr>
              <w:pStyle w:val="TableText"/>
              <w:rPr>
                <w:b/>
                <w:bCs/>
                <w:szCs w:val="20"/>
              </w:rPr>
            </w:pPr>
            <w:r w:rsidRPr="00C25E0D">
              <w:rPr>
                <w:b/>
                <w:bCs/>
              </w:rPr>
              <w:t>APS</w:t>
            </w:r>
          </w:p>
        </w:tc>
        <w:tc>
          <w:tcPr>
            <w:tcW w:w="1887" w:type="pct"/>
          </w:tcPr>
          <w:p w14:paraId="236CFC25" w14:textId="377CE51C" w:rsidR="007364BC" w:rsidRPr="00206B2B" w:rsidRDefault="007364BC" w:rsidP="007364BC">
            <w:pPr>
              <w:pStyle w:val="TableText"/>
              <w:rPr>
                <w:rFonts w:cstheme="minorHAnsi"/>
              </w:rPr>
            </w:pPr>
            <w:r w:rsidRPr="00206B2B">
              <w:rPr>
                <w:rFonts w:cstheme="minorHAnsi"/>
              </w:rPr>
              <w:t>Australian Public Service</w:t>
            </w:r>
          </w:p>
        </w:tc>
        <w:tc>
          <w:tcPr>
            <w:tcW w:w="654" w:type="pct"/>
          </w:tcPr>
          <w:p w14:paraId="135F7503" w14:textId="23F17327" w:rsidR="007364BC" w:rsidRPr="00371434" w:rsidRDefault="007364BC" w:rsidP="007364BC">
            <w:pPr>
              <w:pStyle w:val="TableText"/>
              <w:rPr>
                <w:rFonts w:cstheme="minorHAnsi"/>
                <w:b/>
                <w:bCs/>
              </w:rPr>
            </w:pPr>
            <w:r w:rsidRPr="00371434">
              <w:rPr>
                <w:b/>
                <w:bCs/>
              </w:rPr>
              <w:t>NGO</w:t>
            </w:r>
          </w:p>
        </w:tc>
        <w:tc>
          <w:tcPr>
            <w:tcW w:w="1912" w:type="pct"/>
          </w:tcPr>
          <w:p w14:paraId="6114CD60" w14:textId="00DB7796" w:rsidR="007364BC" w:rsidRPr="00206B2B" w:rsidRDefault="007364BC" w:rsidP="007364BC">
            <w:pPr>
              <w:pStyle w:val="TableText"/>
              <w:rPr>
                <w:rFonts w:cstheme="minorHAnsi"/>
              </w:rPr>
            </w:pPr>
            <w:r w:rsidRPr="00206B2B">
              <w:rPr>
                <w:rFonts w:cstheme="minorHAnsi"/>
              </w:rPr>
              <w:t>Non-Government Organisation</w:t>
            </w:r>
          </w:p>
        </w:tc>
      </w:tr>
      <w:tr w:rsidR="007364BC" w:rsidRPr="00206B2B" w14:paraId="4B416929" w14:textId="1A89F2F6" w:rsidTr="00371434">
        <w:trPr>
          <w:trHeight w:val="454"/>
        </w:trPr>
        <w:tc>
          <w:tcPr>
            <w:tcW w:w="547" w:type="pct"/>
          </w:tcPr>
          <w:p w14:paraId="611C3F36" w14:textId="7D9948FA" w:rsidR="007364BC" w:rsidRPr="00C25E0D" w:rsidRDefault="007364BC" w:rsidP="007364BC">
            <w:pPr>
              <w:pStyle w:val="TableText"/>
              <w:rPr>
                <w:b/>
                <w:bCs/>
                <w:szCs w:val="20"/>
              </w:rPr>
            </w:pPr>
            <w:r w:rsidRPr="00C25E0D">
              <w:rPr>
                <w:b/>
                <w:bCs/>
              </w:rPr>
              <w:t>BARMM</w:t>
            </w:r>
          </w:p>
        </w:tc>
        <w:tc>
          <w:tcPr>
            <w:tcW w:w="1887" w:type="pct"/>
          </w:tcPr>
          <w:p w14:paraId="3AAAF337" w14:textId="4D6E3B10" w:rsidR="007364BC" w:rsidRPr="00206B2B" w:rsidRDefault="007364BC" w:rsidP="007364BC">
            <w:pPr>
              <w:pStyle w:val="TableText"/>
            </w:pPr>
            <w:r w:rsidRPr="00206B2B">
              <w:rPr>
                <w:rFonts w:cstheme="minorHAnsi"/>
              </w:rPr>
              <w:t>Bangsamoro Autonomous Region in Muslim Mindanao</w:t>
            </w:r>
          </w:p>
        </w:tc>
        <w:tc>
          <w:tcPr>
            <w:tcW w:w="654" w:type="pct"/>
          </w:tcPr>
          <w:p w14:paraId="0A3BB937" w14:textId="7E8775DA" w:rsidR="007364BC" w:rsidRPr="00371434" w:rsidRDefault="007364BC" w:rsidP="007364BC">
            <w:pPr>
              <w:pStyle w:val="TableText"/>
              <w:rPr>
                <w:rFonts w:cstheme="minorHAnsi"/>
                <w:b/>
                <w:bCs/>
              </w:rPr>
            </w:pPr>
            <w:r w:rsidRPr="00371434">
              <w:rPr>
                <w:b/>
                <w:bCs/>
              </w:rPr>
              <w:t>NATO</w:t>
            </w:r>
          </w:p>
        </w:tc>
        <w:tc>
          <w:tcPr>
            <w:tcW w:w="1912" w:type="pct"/>
          </w:tcPr>
          <w:p w14:paraId="393A8329" w14:textId="2DC12D86" w:rsidR="007364BC" w:rsidRPr="00206B2B" w:rsidRDefault="007364BC" w:rsidP="007364BC">
            <w:pPr>
              <w:pStyle w:val="TableText"/>
              <w:rPr>
                <w:rFonts w:cstheme="minorHAnsi"/>
              </w:rPr>
            </w:pPr>
            <w:r w:rsidRPr="00206B2B">
              <w:rPr>
                <w:rFonts w:cstheme="minorHAnsi"/>
              </w:rPr>
              <w:t>North Atlantic Treaty Organisation</w:t>
            </w:r>
          </w:p>
        </w:tc>
      </w:tr>
      <w:tr w:rsidR="007364BC" w:rsidRPr="00206B2B" w14:paraId="26C161AF" w14:textId="72692853" w:rsidTr="00371434">
        <w:trPr>
          <w:trHeight w:val="454"/>
        </w:trPr>
        <w:tc>
          <w:tcPr>
            <w:tcW w:w="547" w:type="pct"/>
          </w:tcPr>
          <w:p w14:paraId="7129B4D5" w14:textId="5A00AA24" w:rsidR="007364BC" w:rsidRPr="00C25E0D" w:rsidRDefault="007364BC" w:rsidP="007364BC">
            <w:pPr>
              <w:pStyle w:val="TableText"/>
              <w:rPr>
                <w:b/>
                <w:bCs/>
                <w:szCs w:val="20"/>
              </w:rPr>
            </w:pPr>
            <w:r w:rsidRPr="00C25E0D">
              <w:rPr>
                <w:b/>
                <w:bCs/>
              </w:rPr>
              <w:t>CPS</w:t>
            </w:r>
          </w:p>
        </w:tc>
        <w:tc>
          <w:tcPr>
            <w:tcW w:w="1887" w:type="pct"/>
          </w:tcPr>
          <w:p w14:paraId="79CC1EAA" w14:textId="18DCB120" w:rsidR="007364BC" w:rsidRPr="00206B2B" w:rsidRDefault="007364BC" w:rsidP="007364BC">
            <w:pPr>
              <w:pStyle w:val="TableText"/>
            </w:pPr>
            <w:r w:rsidRPr="00206B2B">
              <w:rPr>
                <w:rFonts w:cstheme="minorHAnsi"/>
              </w:rPr>
              <w:t>Climate–Peace–Security</w:t>
            </w:r>
          </w:p>
        </w:tc>
        <w:tc>
          <w:tcPr>
            <w:tcW w:w="654" w:type="pct"/>
          </w:tcPr>
          <w:p w14:paraId="1445A175" w14:textId="66FC4053" w:rsidR="007364BC" w:rsidRPr="00371434" w:rsidRDefault="007364BC" w:rsidP="007364BC">
            <w:pPr>
              <w:pStyle w:val="TableText"/>
              <w:rPr>
                <w:rFonts w:cstheme="minorHAnsi"/>
                <w:b/>
                <w:bCs/>
              </w:rPr>
            </w:pPr>
            <w:r w:rsidRPr="00371434">
              <w:rPr>
                <w:b/>
                <w:bCs/>
              </w:rPr>
              <w:t>OFW</w:t>
            </w:r>
          </w:p>
        </w:tc>
        <w:tc>
          <w:tcPr>
            <w:tcW w:w="1912" w:type="pct"/>
          </w:tcPr>
          <w:p w14:paraId="473CE300" w14:textId="763C9767" w:rsidR="007364BC" w:rsidRPr="00206B2B" w:rsidRDefault="007364BC" w:rsidP="007364BC">
            <w:pPr>
              <w:pStyle w:val="TableText"/>
              <w:rPr>
                <w:rFonts w:cstheme="minorHAnsi"/>
              </w:rPr>
            </w:pPr>
            <w:r w:rsidRPr="00206B2B">
              <w:rPr>
                <w:rFonts w:cstheme="minorHAnsi"/>
              </w:rPr>
              <w:t>Office for Women</w:t>
            </w:r>
          </w:p>
        </w:tc>
      </w:tr>
      <w:tr w:rsidR="007364BC" w:rsidRPr="00206B2B" w14:paraId="731653D9" w14:textId="03FDB760" w:rsidTr="00371434">
        <w:trPr>
          <w:trHeight w:val="454"/>
        </w:trPr>
        <w:tc>
          <w:tcPr>
            <w:tcW w:w="547" w:type="pct"/>
          </w:tcPr>
          <w:p w14:paraId="132B99BF" w14:textId="75BB0292" w:rsidR="007364BC" w:rsidRPr="00C25E0D" w:rsidRDefault="007364BC" w:rsidP="007364BC">
            <w:pPr>
              <w:pStyle w:val="TableText"/>
              <w:rPr>
                <w:b/>
                <w:bCs/>
                <w:szCs w:val="20"/>
              </w:rPr>
            </w:pPr>
            <w:r w:rsidRPr="00C25E0D">
              <w:rPr>
                <w:b/>
                <w:bCs/>
              </w:rPr>
              <w:t>CSW</w:t>
            </w:r>
          </w:p>
        </w:tc>
        <w:tc>
          <w:tcPr>
            <w:tcW w:w="1887" w:type="pct"/>
          </w:tcPr>
          <w:p w14:paraId="5664C63F" w14:textId="6583EA12" w:rsidR="007364BC" w:rsidRPr="00206B2B" w:rsidRDefault="007364BC" w:rsidP="007364BC">
            <w:pPr>
              <w:pStyle w:val="TableText"/>
            </w:pPr>
            <w:r w:rsidRPr="00206B2B">
              <w:rPr>
                <w:rFonts w:cstheme="minorHAnsi"/>
              </w:rPr>
              <w:t>Commission on the Status of Women</w:t>
            </w:r>
          </w:p>
        </w:tc>
        <w:tc>
          <w:tcPr>
            <w:tcW w:w="654" w:type="pct"/>
          </w:tcPr>
          <w:p w14:paraId="209654EE" w14:textId="0D892FCD" w:rsidR="007364BC" w:rsidRPr="00371434" w:rsidRDefault="007364BC" w:rsidP="007364BC">
            <w:pPr>
              <w:pStyle w:val="TableText"/>
              <w:rPr>
                <w:rFonts w:cstheme="minorHAnsi"/>
                <w:b/>
                <w:bCs/>
              </w:rPr>
            </w:pPr>
            <w:r w:rsidRPr="00371434">
              <w:rPr>
                <w:b/>
                <w:bCs/>
              </w:rPr>
              <w:t>PIF</w:t>
            </w:r>
          </w:p>
        </w:tc>
        <w:tc>
          <w:tcPr>
            <w:tcW w:w="1912" w:type="pct"/>
          </w:tcPr>
          <w:p w14:paraId="37708A3C" w14:textId="62FB75CE" w:rsidR="007364BC" w:rsidRPr="00206B2B" w:rsidRDefault="007364BC" w:rsidP="007364BC">
            <w:pPr>
              <w:pStyle w:val="TableText"/>
              <w:rPr>
                <w:rFonts w:cstheme="minorHAnsi"/>
              </w:rPr>
            </w:pPr>
            <w:r w:rsidRPr="00206B2B">
              <w:rPr>
                <w:rFonts w:cstheme="minorHAnsi"/>
              </w:rPr>
              <w:t>Pacific Islands Forum</w:t>
            </w:r>
          </w:p>
        </w:tc>
      </w:tr>
      <w:tr w:rsidR="007364BC" w:rsidRPr="00206B2B" w14:paraId="152510A3" w14:textId="28CA9F3F" w:rsidTr="00371434">
        <w:trPr>
          <w:trHeight w:val="454"/>
        </w:trPr>
        <w:tc>
          <w:tcPr>
            <w:tcW w:w="547" w:type="pct"/>
          </w:tcPr>
          <w:p w14:paraId="56D74E8C" w14:textId="67F7AC08" w:rsidR="007364BC" w:rsidRPr="00C25E0D" w:rsidRDefault="007364BC" w:rsidP="007364BC">
            <w:pPr>
              <w:pStyle w:val="TableText"/>
              <w:rPr>
                <w:b/>
                <w:bCs/>
                <w:szCs w:val="20"/>
              </w:rPr>
            </w:pPr>
            <w:r w:rsidRPr="00C25E0D">
              <w:rPr>
                <w:b/>
                <w:bCs/>
              </w:rPr>
              <w:t>CRSV</w:t>
            </w:r>
          </w:p>
        </w:tc>
        <w:tc>
          <w:tcPr>
            <w:tcW w:w="1887" w:type="pct"/>
          </w:tcPr>
          <w:p w14:paraId="7E802554" w14:textId="10B79F64" w:rsidR="007364BC" w:rsidRPr="00206B2B" w:rsidRDefault="007364BC" w:rsidP="007364BC">
            <w:pPr>
              <w:pStyle w:val="TableText"/>
            </w:pPr>
            <w:r w:rsidRPr="00206B2B">
              <w:rPr>
                <w:rFonts w:cstheme="minorHAnsi"/>
              </w:rPr>
              <w:t>Conflict-related sexual violence</w:t>
            </w:r>
          </w:p>
        </w:tc>
        <w:tc>
          <w:tcPr>
            <w:tcW w:w="654" w:type="pct"/>
          </w:tcPr>
          <w:p w14:paraId="6F2CEDE2" w14:textId="63E351BA" w:rsidR="007364BC" w:rsidRPr="00371434" w:rsidRDefault="007364BC" w:rsidP="007364BC">
            <w:pPr>
              <w:pStyle w:val="TableText"/>
              <w:rPr>
                <w:rFonts w:cstheme="minorHAnsi"/>
                <w:b/>
                <w:bCs/>
              </w:rPr>
            </w:pPr>
            <w:r w:rsidRPr="00371434">
              <w:rPr>
                <w:b/>
                <w:bCs/>
              </w:rPr>
              <w:t>PSAT</w:t>
            </w:r>
          </w:p>
        </w:tc>
        <w:tc>
          <w:tcPr>
            <w:tcW w:w="1912" w:type="pct"/>
          </w:tcPr>
          <w:p w14:paraId="004C02DE" w14:textId="22C32A02" w:rsidR="007364BC" w:rsidRPr="00206B2B" w:rsidRDefault="007364BC" w:rsidP="007364BC">
            <w:pPr>
              <w:pStyle w:val="TableText"/>
              <w:rPr>
                <w:rFonts w:cstheme="minorHAnsi"/>
              </w:rPr>
            </w:pPr>
            <w:r w:rsidRPr="00206B2B">
              <w:rPr>
                <w:rFonts w:cstheme="minorHAnsi"/>
              </w:rPr>
              <w:t>Pacific Special Advisory Team</w:t>
            </w:r>
          </w:p>
        </w:tc>
      </w:tr>
      <w:tr w:rsidR="007364BC" w:rsidRPr="00206B2B" w14:paraId="0F9C3E1C" w14:textId="6C777137" w:rsidTr="00371434">
        <w:trPr>
          <w:trHeight w:val="454"/>
        </w:trPr>
        <w:tc>
          <w:tcPr>
            <w:tcW w:w="547" w:type="pct"/>
          </w:tcPr>
          <w:p w14:paraId="4E2D313A" w14:textId="2FEC0981" w:rsidR="007364BC" w:rsidRPr="00C25E0D" w:rsidRDefault="007364BC" w:rsidP="007364BC">
            <w:pPr>
              <w:pStyle w:val="TableText"/>
              <w:rPr>
                <w:b/>
                <w:bCs/>
                <w:szCs w:val="20"/>
              </w:rPr>
            </w:pPr>
            <w:r w:rsidRPr="00C25E0D">
              <w:rPr>
                <w:b/>
                <w:bCs/>
              </w:rPr>
              <w:t>CEDAW</w:t>
            </w:r>
          </w:p>
        </w:tc>
        <w:tc>
          <w:tcPr>
            <w:tcW w:w="1887" w:type="pct"/>
          </w:tcPr>
          <w:p w14:paraId="63A36D12" w14:textId="6F6A738D" w:rsidR="007364BC" w:rsidRPr="00206B2B" w:rsidRDefault="007364BC" w:rsidP="007364BC">
            <w:pPr>
              <w:pStyle w:val="TableText"/>
            </w:pPr>
            <w:r w:rsidRPr="00206B2B">
              <w:rPr>
                <w:rFonts w:cstheme="minorHAnsi"/>
              </w:rPr>
              <w:t>Convention on the Elimination of All Forms of Discrimination against Women</w:t>
            </w:r>
          </w:p>
        </w:tc>
        <w:tc>
          <w:tcPr>
            <w:tcW w:w="654" w:type="pct"/>
          </w:tcPr>
          <w:p w14:paraId="016B90AF" w14:textId="342F559C" w:rsidR="007364BC" w:rsidRPr="00371434" w:rsidRDefault="007364BC" w:rsidP="007364BC">
            <w:pPr>
              <w:pStyle w:val="TableText"/>
              <w:rPr>
                <w:rFonts w:cstheme="minorHAnsi"/>
                <w:b/>
                <w:bCs/>
              </w:rPr>
            </w:pPr>
            <w:r w:rsidRPr="00371434">
              <w:rPr>
                <w:b/>
                <w:bCs/>
              </w:rPr>
              <w:t>PWMN</w:t>
            </w:r>
          </w:p>
        </w:tc>
        <w:tc>
          <w:tcPr>
            <w:tcW w:w="1912" w:type="pct"/>
          </w:tcPr>
          <w:p w14:paraId="3D3F4437" w14:textId="16F41512" w:rsidR="007364BC" w:rsidRPr="00206B2B" w:rsidRDefault="007364BC" w:rsidP="007364BC">
            <w:pPr>
              <w:pStyle w:val="TableText"/>
              <w:rPr>
                <w:rFonts w:cstheme="minorHAnsi"/>
              </w:rPr>
            </w:pPr>
            <w:r w:rsidRPr="00206B2B">
              <w:rPr>
                <w:rFonts w:cstheme="minorHAnsi"/>
              </w:rPr>
              <w:t>Pacific Women Mediators Network</w:t>
            </w:r>
          </w:p>
        </w:tc>
      </w:tr>
      <w:tr w:rsidR="007364BC" w:rsidRPr="00206B2B" w14:paraId="3CC0217C" w14:textId="50B71C71" w:rsidTr="00371434">
        <w:trPr>
          <w:trHeight w:val="454"/>
        </w:trPr>
        <w:tc>
          <w:tcPr>
            <w:tcW w:w="547" w:type="pct"/>
          </w:tcPr>
          <w:p w14:paraId="525B4CF0" w14:textId="083CA343" w:rsidR="007364BC" w:rsidRPr="00C25E0D" w:rsidRDefault="007364BC" w:rsidP="007364BC">
            <w:pPr>
              <w:pStyle w:val="TableText"/>
              <w:rPr>
                <w:b/>
                <w:bCs/>
                <w:szCs w:val="20"/>
              </w:rPr>
            </w:pPr>
            <w:r w:rsidRPr="00C25E0D">
              <w:rPr>
                <w:b/>
                <w:bCs/>
              </w:rPr>
              <w:t>COP</w:t>
            </w:r>
          </w:p>
        </w:tc>
        <w:tc>
          <w:tcPr>
            <w:tcW w:w="1887" w:type="pct"/>
          </w:tcPr>
          <w:p w14:paraId="4E2A02F4" w14:textId="61DFD936" w:rsidR="007364BC" w:rsidRPr="00206B2B" w:rsidRDefault="007364BC" w:rsidP="007364BC">
            <w:pPr>
              <w:pStyle w:val="TableText"/>
            </w:pPr>
            <w:r w:rsidRPr="00206B2B">
              <w:rPr>
                <w:rFonts w:cstheme="minorHAnsi"/>
              </w:rPr>
              <w:t>Conference of Parties</w:t>
            </w:r>
          </w:p>
        </w:tc>
        <w:tc>
          <w:tcPr>
            <w:tcW w:w="654" w:type="pct"/>
          </w:tcPr>
          <w:p w14:paraId="5959D361" w14:textId="2CD90D63" w:rsidR="007364BC" w:rsidRPr="00371434" w:rsidRDefault="007364BC" w:rsidP="007364BC">
            <w:pPr>
              <w:pStyle w:val="TableText"/>
              <w:rPr>
                <w:rFonts w:cstheme="minorHAnsi"/>
                <w:b/>
                <w:bCs/>
              </w:rPr>
            </w:pPr>
            <w:r w:rsidRPr="00371434">
              <w:rPr>
                <w:b/>
                <w:bCs/>
              </w:rPr>
              <w:t>RRW</w:t>
            </w:r>
          </w:p>
        </w:tc>
        <w:tc>
          <w:tcPr>
            <w:tcW w:w="1912" w:type="pct"/>
          </w:tcPr>
          <w:p w14:paraId="1BCAFC29" w14:textId="1DE34B22" w:rsidR="007364BC" w:rsidRPr="00206B2B" w:rsidRDefault="007364BC" w:rsidP="007364BC">
            <w:pPr>
              <w:pStyle w:val="TableText"/>
              <w:rPr>
                <w:rFonts w:cstheme="minorHAnsi"/>
              </w:rPr>
            </w:pPr>
            <w:r w:rsidRPr="00206B2B">
              <w:rPr>
                <w:rFonts w:cstheme="minorHAnsi"/>
              </w:rPr>
              <w:t>Rapid Response Window</w:t>
            </w:r>
          </w:p>
        </w:tc>
      </w:tr>
      <w:tr w:rsidR="007364BC" w:rsidRPr="00206B2B" w14:paraId="73E281E4" w14:textId="384C87B9" w:rsidTr="00371434">
        <w:trPr>
          <w:trHeight w:val="454"/>
        </w:trPr>
        <w:tc>
          <w:tcPr>
            <w:tcW w:w="547" w:type="pct"/>
          </w:tcPr>
          <w:p w14:paraId="22B6A4FB" w14:textId="22F4CF56" w:rsidR="007364BC" w:rsidRPr="00C25E0D" w:rsidRDefault="007364BC" w:rsidP="007364BC">
            <w:pPr>
              <w:pStyle w:val="TableText"/>
              <w:rPr>
                <w:b/>
                <w:bCs/>
                <w:szCs w:val="20"/>
              </w:rPr>
            </w:pPr>
            <w:r w:rsidRPr="00C25E0D">
              <w:rPr>
                <w:b/>
                <w:bCs/>
              </w:rPr>
              <w:t>CSP</w:t>
            </w:r>
          </w:p>
        </w:tc>
        <w:tc>
          <w:tcPr>
            <w:tcW w:w="1887" w:type="pct"/>
          </w:tcPr>
          <w:p w14:paraId="476474D2" w14:textId="639CE985" w:rsidR="007364BC" w:rsidRPr="00206B2B" w:rsidRDefault="007364BC" w:rsidP="007364BC">
            <w:pPr>
              <w:pStyle w:val="TableText"/>
            </w:pPr>
            <w:r w:rsidRPr="00206B2B">
              <w:rPr>
                <w:rFonts w:cstheme="minorHAnsi"/>
              </w:rPr>
              <w:t>Cyber Safety Pasifika</w:t>
            </w:r>
          </w:p>
        </w:tc>
        <w:tc>
          <w:tcPr>
            <w:tcW w:w="654" w:type="pct"/>
          </w:tcPr>
          <w:p w14:paraId="29D4A328" w14:textId="33C62BB9" w:rsidR="007364BC" w:rsidRPr="00371434" w:rsidRDefault="007364BC" w:rsidP="007364BC">
            <w:pPr>
              <w:pStyle w:val="TableText"/>
              <w:rPr>
                <w:rFonts w:cstheme="minorHAnsi"/>
                <w:b/>
                <w:bCs/>
              </w:rPr>
            </w:pPr>
            <w:r w:rsidRPr="00371434">
              <w:rPr>
                <w:b/>
                <w:bCs/>
              </w:rPr>
              <w:t>SGBV</w:t>
            </w:r>
          </w:p>
        </w:tc>
        <w:tc>
          <w:tcPr>
            <w:tcW w:w="1912" w:type="pct"/>
          </w:tcPr>
          <w:p w14:paraId="6AFF93B4" w14:textId="54881FEA" w:rsidR="007364BC" w:rsidRPr="00206B2B" w:rsidRDefault="007364BC" w:rsidP="007364BC">
            <w:pPr>
              <w:pStyle w:val="TableText"/>
              <w:rPr>
                <w:rFonts w:cstheme="minorHAnsi"/>
              </w:rPr>
            </w:pPr>
            <w:r w:rsidRPr="00206B2B">
              <w:rPr>
                <w:rFonts w:cstheme="minorHAnsi"/>
              </w:rPr>
              <w:t>Sexual and Gender-Based Violence</w:t>
            </w:r>
          </w:p>
        </w:tc>
      </w:tr>
      <w:tr w:rsidR="007364BC" w:rsidRPr="00206B2B" w14:paraId="74E661F2" w14:textId="2D6575DB" w:rsidTr="00371434">
        <w:trPr>
          <w:trHeight w:val="454"/>
        </w:trPr>
        <w:tc>
          <w:tcPr>
            <w:tcW w:w="547" w:type="pct"/>
          </w:tcPr>
          <w:p w14:paraId="1ED59DC7" w14:textId="719150D6" w:rsidR="007364BC" w:rsidRPr="00C25E0D" w:rsidRDefault="007364BC" w:rsidP="007364BC">
            <w:pPr>
              <w:pStyle w:val="TableText"/>
              <w:rPr>
                <w:b/>
                <w:bCs/>
                <w:szCs w:val="20"/>
              </w:rPr>
            </w:pPr>
            <w:r w:rsidRPr="00C25E0D">
              <w:rPr>
                <w:b/>
                <w:bCs/>
              </w:rPr>
              <w:t>DCCEEW</w:t>
            </w:r>
          </w:p>
        </w:tc>
        <w:tc>
          <w:tcPr>
            <w:tcW w:w="1887" w:type="pct"/>
          </w:tcPr>
          <w:p w14:paraId="6CA79AB1" w14:textId="15B78BA7" w:rsidR="007364BC" w:rsidRPr="00206B2B" w:rsidRDefault="007364BC" w:rsidP="007364BC">
            <w:pPr>
              <w:pStyle w:val="TableText"/>
            </w:pPr>
            <w:r w:rsidRPr="00206B2B">
              <w:rPr>
                <w:rFonts w:cstheme="minorHAnsi"/>
              </w:rPr>
              <w:t>Department of Climate Change, Energy, the Environment and Water</w:t>
            </w:r>
          </w:p>
        </w:tc>
        <w:tc>
          <w:tcPr>
            <w:tcW w:w="654" w:type="pct"/>
          </w:tcPr>
          <w:p w14:paraId="2047446C" w14:textId="053D2755" w:rsidR="007364BC" w:rsidRPr="00371434" w:rsidRDefault="007364BC" w:rsidP="007364BC">
            <w:pPr>
              <w:pStyle w:val="TableText"/>
              <w:rPr>
                <w:rFonts w:cstheme="minorHAnsi"/>
                <w:b/>
                <w:bCs/>
              </w:rPr>
            </w:pPr>
            <w:r w:rsidRPr="00371434">
              <w:rPr>
                <w:b/>
                <w:bCs/>
              </w:rPr>
              <w:t>SPDMM</w:t>
            </w:r>
          </w:p>
        </w:tc>
        <w:tc>
          <w:tcPr>
            <w:tcW w:w="1912" w:type="pct"/>
          </w:tcPr>
          <w:p w14:paraId="28671193" w14:textId="161A9AC2" w:rsidR="007364BC" w:rsidRPr="00206B2B" w:rsidRDefault="007364BC" w:rsidP="007364BC">
            <w:pPr>
              <w:pStyle w:val="TableText"/>
              <w:rPr>
                <w:rFonts w:cstheme="minorHAnsi"/>
              </w:rPr>
            </w:pPr>
            <w:r w:rsidRPr="00206B2B">
              <w:rPr>
                <w:rFonts w:cstheme="minorHAnsi"/>
              </w:rPr>
              <w:t>South Pacific Defence Ministers’ Meeting</w:t>
            </w:r>
          </w:p>
        </w:tc>
      </w:tr>
      <w:tr w:rsidR="007364BC" w:rsidRPr="00206B2B" w14:paraId="06FAC4BE" w14:textId="7E3AA100" w:rsidTr="00371434">
        <w:trPr>
          <w:trHeight w:val="454"/>
        </w:trPr>
        <w:tc>
          <w:tcPr>
            <w:tcW w:w="547" w:type="pct"/>
          </w:tcPr>
          <w:p w14:paraId="633A450B" w14:textId="38CB6877" w:rsidR="007364BC" w:rsidRPr="00C25E0D" w:rsidRDefault="007364BC" w:rsidP="007364BC">
            <w:pPr>
              <w:pStyle w:val="TableText"/>
              <w:rPr>
                <w:b/>
                <w:bCs/>
                <w:szCs w:val="20"/>
              </w:rPr>
            </w:pPr>
            <w:r w:rsidRPr="00C25E0D">
              <w:rPr>
                <w:b/>
                <w:bCs/>
              </w:rPr>
              <w:t>DFAT</w:t>
            </w:r>
          </w:p>
        </w:tc>
        <w:tc>
          <w:tcPr>
            <w:tcW w:w="1887" w:type="pct"/>
          </w:tcPr>
          <w:p w14:paraId="0A3AA5E4" w14:textId="3D755491" w:rsidR="007364BC" w:rsidRPr="00206B2B" w:rsidRDefault="007364BC" w:rsidP="007364BC">
            <w:pPr>
              <w:pStyle w:val="TableText"/>
            </w:pPr>
            <w:r w:rsidRPr="00206B2B">
              <w:rPr>
                <w:rFonts w:cstheme="minorHAnsi"/>
              </w:rPr>
              <w:t>Department of Foreign Affairs and Trade</w:t>
            </w:r>
          </w:p>
        </w:tc>
        <w:tc>
          <w:tcPr>
            <w:tcW w:w="654" w:type="pct"/>
          </w:tcPr>
          <w:p w14:paraId="390D7330" w14:textId="15AFC4C5" w:rsidR="007364BC" w:rsidRPr="00371434" w:rsidRDefault="007364BC" w:rsidP="007364BC">
            <w:pPr>
              <w:pStyle w:val="TableText"/>
              <w:rPr>
                <w:rFonts w:cstheme="minorHAnsi"/>
                <w:b/>
                <w:bCs/>
              </w:rPr>
            </w:pPr>
            <w:r w:rsidRPr="00371434">
              <w:rPr>
                <w:b/>
                <w:bCs/>
              </w:rPr>
              <w:t>SEAWPM</w:t>
            </w:r>
          </w:p>
        </w:tc>
        <w:tc>
          <w:tcPr>
            <w:tcW w:w="1912" w:type="pct"/>
          </w:tcPr>
          <w:p w14:paraId="2A3F69DF" w14:textId="131C6733" w:rsidR="007364BC" w:rsidRPr="00206B2B" w:rsidRDefault="007364BC" w:rsidP="007364BC">
            <w:pPr>
              <w:pStyle w:val="TableText"/>
              <w:rPr>
                <w:rFonts w:cstheme="minorHAnsi"/>
              </w:rPr>
            </w:pPr>
            <w:r w:rsidRPr="00206B2B">
              <w:rPr>
                <w:rFonts w:cstheme="minorHAnsi"/>
              </w:rPr>
              <w:t>Southeast Asian Women Peace Mediators</w:t>
            </w:r>
          </w:p>
        </w:tc>
      </w:tr>
      <w:tr w:rsidR="007364BC" w:rsidRPr="00206B2B" w14:paraId="1F4A0B89" w14:textId="0074E332" w:rsidTr="00371434">
        <w:trPr>
          <w:trHeight w:val="454"/>
        </w:trPr>
        <w:tc>
          <w:tcPr>
            <w:tcW w:w="547" w:type="pct"/>
          </w:tcPr>
          <w:p w14:paraId="03787D6D" w14:textId="05AD1E7B" w:rsidR="007364BC" w:rsidRPr="00C25E0D" w:rsidRDefault="007364BC" w:rsidP="007364BC">
            <w:pPr>
              <w:pStyle w:val="TableText"/>
              <w:rPr>
                <w:b/>
                <w:bCs/>
                <w:szCs w:val="20"/>
              </w:rPr>
            </w:pPr>
            <w:r w:rsidRPr="00C25E0D">
              <w:rPr>
                <w:b/>
                <w:bCs/>
              </w:rPr>
              <w:t>DRR</w:t>
            </w:r>
          </w:p>
        </w:tc>
        <w:tc>
          <w:tcPr>
            <w:tcW w:w="1887" w:type="pct"/>
          </w:tcPr>
          <w:p w14:paraId="70379488" w14:textId="593A22C7" w:rsidR="007364BC" w:rsidRPr="00206B2B" w:rsidRDefault="007364BC" w:rsidP="007364BC">
            <w:pPr>
              <w:pStyle w:val="TableText"/>
            </w:pPr>
            <w:r w:rsidRPr="00206B2B">
              <w:rPr>
                <w:rFonts w:cstheme="minorHAnsi"/>
              </w:rPr>
              <w:t>Disaster Risk Reduction</w:t>
            </w:r>
          </w:p>
        </w:tc>
        <w:tc>
          <w:tcPr>
            <w:tcW w:w="654" w:type="pct"/>
          </w:tcPr>
          <w:p w14:paraId="21CB4A20" w14:textId="43AFDAC1" w:rsidR="007364BC" w:rsidRPr="00371434" w:rsidRDefault="007364BC" w:rsidP="007364BC">
            <w:pPr>
              <w:pStyle w:val="TableText"/>
              <w:rPr>
                <w:rFonts w:cstheme="minorHAnsi"/>
                <w:b/>
                <w:bCs/>
              </w:rPr>
            </w:pPr>
            <w:r w:rsidRPr="00371434">
              <w:rPr>
                <w:b/>
                <w:bCs/>
              </w:rPr>
              <w:t>UK</w:t>
            </w:r>
          </w:p>
        </w:tc>
        <w:tc>
          <w:tcPr>
            <w:tcW w:w="1912" w:type="pct"/>
          </w:tcPr>
          <w:p w14:paraId="1F3CB528" w14:textId="4C68060A" w:rsidR="007364BC" w:rsidRPr="00206B2B" w:rsidRDefault="007364BC" w:rsidP="007364BC">
            <w:pPr>
              <w:pStyle w:val="TableText"/>
              <w:rPr>
                <w:rFonts w:cstheme="minorHAnsi"/>
              </w:rPr>
            </w:pPr>
            <w:r w:rsidRPr="00206B2B">
              <w:rPr>
                <w:rFonts w:cstheme="minorHAnsi"/>
              </w:rPr>
              <w:t>United Kingdom</w:t>
            </w:r>
          </w:p>
        </w:tc>
      </w:tr>
      <w:tr w:rsidR="007364BC" w:rsidRPr="00206B2B" w14:paraId="0A8F2AF5" w14:textId="2DCA34DA" w:rsidTr="00371434">
        <w:trPr>
          <w:trHeight w:val="454"/>
        </w:trPr>
        <w:tc>
          <w:tcPr>
            <w:tcW w:w="547" w:type="pct"/>
          </w:tcPr>
          <w:p w14:paraId="3C2F75FA" w14:textId="509181AD" w:rsidR="007364BC" w:rsidRPr="00C25E0D" w:rsidRDefault="007364BC" w:rsidP="007364BC">
            <w:pPr>
              <w:pStyle w:val="TableText"/>
              <w:rPr>
                <w:b/>
                <w:bCs/>
                <w:szCs w:val="20"/>
              </w:rPr>
            </w:pPr>
            <w:r w:rsidRPr="00C25E0D">
              <w:rPr>
                <w:b/>
                <w:bCs/>
              </w:rPr>
              <w:t>FAIR</w:t>
            </w:r>
          </w:p>
        </w:tc>
        <w:tc>
          <w:tcPr>
            <w:tcW w:w="1887" w:type="pct"/>
          </w:tcPr>
          <w:p w14:paraId="03CDD5C9" w14:textId="7440B54E" w:rsidR="007364BC" w:rsidRPr="00206B2B" w:rsidRDefault="007364BC" w:rsidP="007364BC">
            <w:pPr>
              <w:pStyle w:val="TableText"/>
              <w:rPr>
                <w:rFonts w:cstheme="minorHAnsi"/>
              </w:rPr>
            </w:pPr>
            <w:r w:rsidRPr="00206B2B">
              <w:t>Fostering Advancement of Inclusive and Rights-Based Justice Program</w:t>
            </w:r>
          </w:p>
        </w:tc>
        <w:tc>
          <w:tcPr>
            <w:tcW w:w="654" w:type="pct"/>
          </w:tcPr>
          <w:p w14:paraId="4FDC83BE" w14:textId="4DBC8500" w:rsidR="007364BC" w:rsidRPr="00371434" w:rsidRDefault="007364BC" w:rsidP="007364BC">
            <w:pPr>
              <w:pStyle w:val="TableText"/>
              <w:rPr>
                <w:b/>
                <w:bCs/>
              </w:rPr>
            </w:pPr>
            <w:r w:rsidRPr="00371434">
              <w:rPr>
                <w:b/>
                <w:bCs/>
              </w:rPr>
              <w:t>UNFPA</w:t>
            </w:r>
          </w:p>
        </w:tc>
        <w:tc>
          <w:tcPr>
            <w:tcW w:w="1912" w:type="pct"/>
          </w:tcPr>
          <w:p w14:paraId="415A655D" w14:textId="544722E5" w:rsidR="007364BC" w:rsidRPr="00206B2B" w:rsidRDefault="007364BC" w:rsidP="007364BC">
            <w:pPr>
              <w:pStyle w:val="TableText"/>
            </w:pPr>
            <w:r w:rsidRPr="00206B2B">
              <w:rPr>
                <w:rFonts w:cstheme="minorHAnsi"/>
              </w:rPr>
              <w:t>United Nations Population Fund</w:t>
            </w:r>
          </w:p>
        </w:tc>
      </w:tr>
      <w:tr w:rsidR="007364BC" w:rsidRPr="00206B2B" w14:paraId="221F3B21" w14:textId="1BCFF6D8" w:rsidTr="00371434">
        <w:trPr>
          <w:trHeight w:val="454"/>
        </w:trPr>
        <w:tc>
          <w:tcPr>
            <w:tcW w:w="547" w:type="pct"/>
          </w:tcPr>
          <w:p w14:paraId="65AAD2CF" w14:textId="5F86115B" w:rsidR="007364BC" w:rsidRPr="00C25E0D" w:rsidRDefault="007364BC" w:rsidP="007364BC">
            <w:pPr>
              <w:pStyle w:val="TableText"/>
              <w:rPr>
                <w:b/>
                <w:bCs/>
                <w:szCs w:val="20"/>
              </w:rPr>
            </w:pPr>
            <w:r w:rsidRPr="00C25E0D">
              <w:rPr>
                <w:b/>
                <w:bCs/>
              </w:rPr>
              <w:t>FTE</w:t>
            </w:r>
          </w:p>
        </w:tc>
        <w:tc>
          <w:tcPr>
            <w:tcW w:w="1887" w:type="pct"/>
          </w:tcPr>
          <w:p w14:paraId="587F2E47" w14:textId="26551FE9" w:rsidR="007364BC" w:rsidRPr="00206B2B" w:rsidRDefault="007364BC" w:rsidP="007364BC">
            <w:pPr>
              <w:pStyle w:val="TableText"/>
            </w:pPr>
            <w:r w:rsidRPr="00206B2B">
              <w:rPr>
                <w:rFonts w:cstheme="minorHAnsi"/>
              </w:rPr>
              <w:t>Full Time Equivalent</w:t>
            </w:r>
          </w:p>
        </w:tc>
        <w:tc>
          <w:tcPr>
            <w:tcW w:w="654" w:type="pct"/>
          </w:tcPr>
          <w:p w14:paraId="00ADF28B" w14:textId="4812997C" w:rsidR="007364BC" w:rsidRPr="00371434" w:rsidRDefault="007364BC" w:rsidP="007364BC">
            <w:pPr>
              <w:pStyle w:val="TableText"/>
              <w:rPr>
                <w:rFonts w:cstheme="minorHAnsi"/>
                <w:b/>
                <w:bCs/>
              </w:rPr>
            </w:pPr>
            <w:r w:rsidRPr="00371434">
              <w:rPr>
                <w:b/>
                <w:bCs/>
              </w:rPr>
              <w:t>UNSCR 1325</w:t>
            </w:r>
          </w:p>
        </w:tc>
        <w:tc>
          <w:tcPr>
            <w:tcW w:w="1912" w:type="pct"/>
          </w:tcPr>
          <w:p w14:paraId="143D74F8" w14:textId="0C971247" w:rsidR="007364BC" w:rsidRPr="00206B2B" w:rsidRDefault="007364BC" w:rsidP="007364BC">
            <w:pPr>
              <w:pStyle w:val="TableText"/>
              <w:rPr>
                <w:rFonts w:cstheme="minorHAnsi"/>
              </w:rPr>
            </w:pPr>
            <w:r w:rsidRPr="00206B2B">
              <w:rPr>
                <w:rFonts w:cstheme="minorHAnsi"/>
              </w:rPr>
              <w:t>United Nations Security Council Resolution 1325</w:t>
            </w:r>
          </w:p>
        </w:tc>
      </w:tr>
      <w:tr w:rsidR="007364BC" w:rsidRPr="00206B2B" w14:paraId="5175220A" w14:textId="344478EA" w:rsidTr="00371434">
        <w:trPr>
          <w:trHeight w:val="454"/>
        </w:trPr>
        <w:tc>
          <w:tcPr>
            <w:tcW w:w="547" w:type="pct"/>
          </w:tcPr>
          <w:p w14:paraId="1B1B3AE2" w14:textId="3CC30437" w:rsidR="007364BC" w:rsidRPr="00C25E0D" w:rsidRDefault="007364BC" w:rsidP="007364BC">
            <w:pPr>
              <w:pStyle w:val="TableText"/>
              <w:rPr>
                <w:b/>
                <w:bCs/>
                <w:szCs w:val="20"/>
              </w:rPr>
            </w:pPr>
            <w:r w:rsidRPr="00C25E0D">
              <w:rPr>
                <w:b/>
                <w:bCs/>
              </w:rPr>
              <w:t>GENAD</w:t>
            </w:r>
          </w:p>
        </w:tc>
        <w:tc>
          <w:tcPr>
            <w:tcW w:w="1887" w:type="pct"/>
          </w:tcPr>
          <w:p w14:paraId="6CD20E22" w14:textId="2AB5EB89" w:rsidR="007364BC" w:rsidRPr="00206B2B" w:rsidRDefault="007364BC" w:rsidP="007364BC">
            <w:pPr>
              <w:pStyle w:val="TableText"/>
            </w:pPr>
            <w:r w:rsidRPr="00206B2B">
              <w:rPr>
                <w:rFonts w:cstheme="minorHAnsi"/>
              </w:rPr>
              <w:t>Gender Adviser</w:t>
            </w:r>
          </w:p>
        </w:tc>
        <w:tc>
          <w:tcPr>
            <w:tcW w:w="654" w:type="pct"/>
          </w:tcPr>
          <w:p w14:paraId="761CC76A" w14:textId="1AA4D44F" w:rsidR="007364BC" w:rsidRPr="00371434" w:rsidRDefault="007364BC" w:rsidP="007364BC">
            <w:pPr>
              <w:pStyle w:val="TableText"/>
              <w:rPr>
                <w:rFonts w:cstheme="minorHAnsi"/>
                <w:b/>
                <w:bCs/>
              </w:rPr>
            </w:pPr>
            <w:r w:rsidRPr="00371434">
              <w:rPr>
                <w:b/>
                <w:bCs/>
              </w:rPr>
              <w:t>UN WOMEN</w:t>
            </w:r>
          </w:p>
        </w:tc>
        <w:tc>
          <w:tcPr>
            <w:tcW w:w="1912" w:type="pct"/>
          </w:tcPr>
          <w:p w14:paraId="41DF6EFE" w14:textId="40719C1D" w:rsidR="007364BC" w:rsidRPr="00206B2B" w:rsidRDefault="007364BC" w:rsidP="007364BC">
            <w:pPr>
              <w:pStyle w:val="TableText"/>
              <w:rPr>
                <w:rFonts w:cstheme="minorHAnsi"/>
              </w:rPr>
            </w:pPr>
            <w:r w:rsidRPr="00206B2B">
              <w:rPr>
                <w:rFonts w:cstheme="minorHAnsi"/>
              </w:rPr>
              <w:t>United Nations Women</w:t>
            </w:r>
          </w:p>
        </w:tc>
      </w:tr>
      <w:tr w:rsidR="007364BC" w:rsidRPr="00206B2B" w14:paraId="5A17C283" w14:textId="58A04C1B" w:rsidTr="00371434">
        <w:trPr>
          <w:trHeight w:val="454"/>
        </w:trPr>
        <w:tc>
          <w:tcPr>
            <w:tcW w:w="547" w:type="pct"/>
          </w:tcPr>
          <w:p w14:paraId="3D1E591B" w14:textId="5CDC5B71" w:rsidR="007364BC" w:rsidRPr="00C25E0D" w:rsidRDefault="007364BC" w:rsidP="007364BC">
            <w:pPr>
              <w:pStyle w:val="TableText"/>
              <w:rPr>
                <w:b/>
                <w:bCs/>
                <w:szCs w:val="20"/>
              </w:rPr>
            </w:pPr>
            <w:r w:rsidRPr="00C25E0D">
              <w:rPr>
                <w:b/>
                <w:bCs/>
              </w:rPr>
              <w:t>GBV</w:t>
            </w:r>
          </w:p>
        </w:tc>
        <w:tc>
          <w:tcPr>
            <w:tcW w:w="1887" w:type="pct"/>
          </w:tcPr>
          <w:p w14:paraId="6037DCA0" w14:textId="2019C1F6" w:rsidR="007364BC" w:rsidRPr="00206B2B" w:rsidRDefault="007364BC" w:rsidP="007364BC">
            <w:pPr>
              <w:pStyle w:val="TableText"/>
            </w:pPr>
            <w:r w:rsidRPr="00206B2B">
              <w:rPr>
                <w:rFonts w:cstheme="minorHAnsi"/>
              </w:rPr>
              <w:t>Gender-Based Violence</w:t>
            </w:r>
          </w:p>
        </w:tc>
        <w:tc>
          <w:tcPr>
            <w:tcW w:w="654" w:type="pct"/>
          </w:tcPr>
          <w:p w14:paraId="50B07980" w14:textId="617ECDF7" w:rsidR="007364BC" w:rsidRPr="00371434" w:rsidRDefault="007364BC" w:rsidP="007364BC">
            <w:pPr>
              <w:pStyle w:val="TableText"/>
              <w:rPr>
                <w:rFonts w:cstheme="minorHAnsi"/>
                <w:b/>
                <w:bCs/>
              </w:rPr>
            </w:pPr>
            <w:r w:rsidRPr="00371434">
              <w:rPr>
                <w:b/>
                <w:bCs/>
              </w:rPr>
              <w:t>VAWG</w:t>
            </w:r>
          </w:p>
        </w:tc>
        <w:tc>
          <w:tcPr>
            <w:tcW w:w="1912" w:type="pct"/>
          </w:tcPr>
          <w:p w14:paraId="18948014" w14:textId="58B056DE" w:rsidR="007364BC" w:rsidRPr="00206B2B" w:rsidRDefault="007364BC" w:rsidP="007364BC">
            <w:pPr>
              <w:pStyle w:val="TableText"/>
              <w:rPr>
                <w:rFonts w:cstheme="minorHAnsi"/>
              </w:rPr>
            </w:pPr>
            <w:r w:rsidRPr="00206B2B">
              <w:rPr>
                <w:rFonts w:cstheme="minorHAnsi"/>
              </w:rPr>
              <w:t>Violence Against Women and Girls</w:t>
            </w:r>
          </w:p>
        </w:tc>
      </w:tr>
      <w:tr w:rsidR="007364BC" w:rsidRPr="00206B2B" w14:paraId="2279D863" w14:textId="34ECDF96" w:rsidTr="00371434">
        <w:trPr>
          <w:trHeight w:val="454"/>
        </w:trPr>
        <w:tc>
          <w:tcPr>
            <w:tcW w:w="547" w:type="pct"/>
          </w:tcPr>
          <w:p w14:paraId="387DFEAE" w14:textId="162C6410" w:rsidR="007364BC" w:rsidRPr="00C25E0D" w:rsidRDefault="007364BC" w:rsidP="007364BC">
            <w:pPr>
              <w:pStyle w:val="TableText"/>
              <w:rPr>
                <w:b/>
                <w:bCs/>
                <w:szCs w:val="20"/>
              </w:rPr>
            </w:pPr>
            <w:r w:rsidRPr="00C25E0D">
              <w:rPr>
                <w:b/>
                <w:bCs/>
              </w:rPr>
              <w:t>GFP</w:t>
            </w:r>
          </w:p>
        </w:tc>
        <w:tc>
          <w:tcPr>
            <w:tcW w:w="1887" w:type="pct"/>
          </w:tcPr>
          <w:p w14:paraId="54A03E10" w14:textId="69918F89" w:rsidR="007364BC" w:rsidRPr="00206B2B" w:rsidRDefault="007364BC" w:rsidP="007364BC">
            <w:pPr>
              <w:pStyle w:val="TableText"/>
              <w:rPr>
                <w:rFonts w:cstheme="minorHAnsi"/>
              </w:rPr>
            </w:pPr>
            <w:r w:rsidRPr="00206B2B">
              <w:rPr>
                <w:rFonts w:cstheme="minorHAnsi"/>
              </w:rPr>
              <w:t>Gender Focal Point</w:t>
            </w:r>
          </w:p>
        </w:tc>
        <w:tc>
          <w:tcPr>
            <w:tcW w:w="654" w:type="pct"/>
          </w:tcPr>
          <w:p w14:paraId="63ED86B9" w14:textId="00017033" w:rsidR="007364BC" w:rsidRPr="00371434" w:rsidRDefault="007364BC" w:rsidP="007364BC">
            <w:pPr>
              <w:pStyle w:val="TableText"/>
              <w:rPr>
                <w:rFonts w:cstheme="minorHAnsi"/>
                <w:b/>
                <w:bCs/>
              </w:rPr>
            </w:pPr>
            <w:r w:rsidRPr="00371434">
              <w:rPr>
                <w:b/>
                <w:bCs/>
              </w:rPr>
              <w:t>WOG</w:t>
            </w:r>
          </w:p>
        </w:tc>
        <w:tc>
          <w:tcPr>
            <w:tcW w:w="1912" w:type="pct"/>
          </w:tcPr>
          <w:p w14:paraId="7E4A4678" w14:textId="5239F712" w:rsidR="007364BC" w:rsidRPr="00206B2B" w:rsidRDefault="007364BC" w:rsidP="007364BC">
            <w:pPr>
              <w:pStyle w:val="TableText"/>
              <w:rPr>
                <w:rFonts w:cstheme="minorHAnsi"/>
              </w:rPr>
            </w:pPr>
            <w:r w:rsidRPr="00206B2B">
              <w:rPr>
                <w:rFonts w:cstheme="minorHAnsi"/>
              </w:rPr>
              <w:t>Whole-of-Government</w:t>
            </w:r>
          </w:p>
        </w:tc>
      </w:tr>
      <w:tr w:rsidR="007364BC" w:rsidRPr="00206B2B" w14:paraId="63549A51" w14:textId="72DABA82" w:rsidTr="00371434">
        <w:trPr>
          <w:trHeight w:val="454"/>
        </w:trPr>
        <w:tc>
          <w:tcPr>
            <w:tcW w:w="547" w:type="pct"/>
          </w:tcPr>
          <w:p w14:paraId="40DB5811" w14:textId="2D2CCFC2" w:rsidR="007364BC" w:rsidRPr="00C25E0D" w:rsidRDefault="007364BC" w:rsidP="007364BC">
            <w:pPr>
              <w:pStyle w:val="TableText"/>
              <w:rPr>
                <w:b/>
                <w:bCs/>
                <w:szCs w:val="20"/>
              </w:rPr>
            </w:pPr>
            <w:r w:rsidRPr="00C25E0D">
              <w:rPr>
                <w:b/>
                <w:bCs/>
              </w:rPr>
              <w:t>GPS</w:t>
            </w:r>
          </w:p>
        </w:tc>
        <w:tc>
          <w:tcPr>
            <w:tcW w:w="1887" w:type="pct"/>
          </w:tcPr>
          <w:p w14:paraId="4CD6B117" w14:textId="1732B005" w:rsidR="007364BC" w:rsidRPr="00206B2B" w:rsidRDefault="007364BC" w:rsidP="007364BC">
            <w:pPr>
              <w:pStyle w:val="TableText"/>
            </w:pPr>
            <w:r w:rsidRPr="00206B2B">
              <w:rPr>
                <w:rFonts w:cstheme="minorHAnsi"/>
              </w:rPr>
              <w:t>Gender, Peace and Security Steering Group</w:t>
            </w:r>
          </w:p>
        </w:tc>
        <w:tc>
          <w:tcPr>
            <w:tcW w:w="654" w:type="pct"/>
          </w:tcPr>
          <w:p w14:paraId="06AD8551" w14:textId="14C83D44" w:rsidR="007364BC" w:rsidRPr="00371434" w:rsidRDefault="007364BC" w:rsidP="007364BC">
            <w:pPr>
              <w:pStyle w:val="TableText"/>
              <w:rPr>
                <w:rFonts w:cstheme="minorHAnsi"/>
                <w:b/>
                <w:bCs/>
              </w:rPr>
            </w:pPr>
            <w:r w:rsidRPr="00371434">
              <w:rPr>
                <w:b/>
                <w:bCs/>
              </w:rPr>
              <w:t>WPS</w:t>
            </w:r>
          </w:p>
        </w:tc>
        <w:tc>
          <w:tcPr>
            <w:tcW w:w="1912" w:type="pct"/>
          </w:tcPr>
          <w:p w14:paraId="4C3204F6" w14:textId="60E3253B" w:rsidR="007364BC" w:rsidRPr="00206B2B" w:rsidRDefault="007364BC" w:rsidP="007364BC">
            <w:pPr>
              <w:pStyle w:val="TableText"/>
              <w:rPr>
                <w:rFonts w:cstheme="minorHAnsi"/>
              </w:rPr>
            </w:pPr>
            <w:r w:rsidRPr="00206B2B">
              <w:rPr>
                <w:rFonts w:cstheme="minorHAnsi"/>
              </w:rPr>
              <w:t>Women, Peace and Security</w:t>
            </w:r>
          </w:p>
        </w:tc>
      </w:tr>
      <w:tr w:rsidR="007364BC" w:rsidRPr="00206B2B" w14:paraId="2C31FC9F" w14:textId="0F2CDB9F" w:rsidTr="00371434">
        <w:trPr>
          <w:trHeight w:val="454"/>
        </w:trPr>
        <w:tc>
          <w:tcPr>
            <w:tcW w:w="547" w:type="pct"/>
          </w:tcPr>
          <w:p w14:paraId="153A148F" w14:textId="4C66217E" w:rsidR="007364BC" w:rsidRPr="00C25E0D" w:rsidRDefault="007364BC" w:rsidP="007364BC">
            <w:pPr>
              <w:pStyle w:val="TableText"/>
              <w:rPr>
                <w:b/>
                <w:bCs/>
                <w:szCs w:val="20"/>
              </w:rPr>
            </w:pPr>
            <w:r w:rsidRPr="00C25E0D">
              <w:rPr>
                <w:b/>
                <w:bCs/>
              </w:rPr>
              <w:t>IDC</w:t>
            </w:r>
          </w:p>
        </w:tc>
        <w:tc>
          <w:tcPr>
            <w:tcW w:w="1887" w:type="pct"/>
          </w:tcPr>
          <w:p w14:paraId="04C8F37F" w14:textId="0E976565" w:rsidR="007364BC" w:rsidRPr="00206B2B" w:rsidRDefault="007364BC" w:rsidP="007364BC">
            <w:pPr>
              <w:pStyle w:val="TableText"/>
            </w:pPr>
            <w:r w:rsidRPr="00206B2B">
              <w:rPr>
                <w:rFonts w:cstheme="minorHAnsi"/>
              </w:rPr>
              <w:t>Interdepartmental Committee</w:t>
            </w:r>
          </w:p>
        </w:tc>
        <w:tc>
          <w:tcPr>
            <w:tcW w:w="654" w:type="pct"/>
          </w:tcPr>
          <w:p w14:paraId="004570A1" w14:textId="051825E0" w:rsidR="007364BC" w:rsidRPr="00371434" w:rsidRDefault="007364BC" w:rsidP="007364BC">
            <w:pPr>
              <w:pStyle w:val="TableText"/>
              <w:rPr>
                <w:rFonts w:cstheme="minorHAnsi"/>
                <w:b/>
                <w:bCs/>
              </w:rPr>
            </w:pPr>
            <w:r w:rsidRPr="00371434">
              <w:rPr>
                <w:b/>
                <w:bCs/>
              </w:rPr>
              <w:t>WPHF</w:t>
            </w:r>
          </w:p>
        </w:tc>
        <w:tc>
          <w:tcPr>
            <w:tcW w:w="1912" w:type="pct"/>
          </w:tcPr>
          <w:p w14:paraId="46F21736" w14:textId="0A71A2E6" w:rsidR="007364BC" w:rsidRPr="00206B2B" w:rsidRDefault="007364BC" w:rsidP="007364BC">
            <w:pPr>
              <w:pStyle w:val="TableText"/>
              <w:rPr>
                <w:rFonts w:cstheme="minorHAnsi"/>
              </w:rPr>
            </w:pPr>
            <w:r w:rsidRPr="00206B2B">
              <w:rPr>
                <w:rFonts w:cstheme="minorHAnsi"/>
              </w:rPr>
              <w:t>Women’s Peace and Humanitarian Fund</w:t>
            </w:r>
          </w:p>
        </w:tc>
      </w:tr>
    </w:tbl>
    <w:p w14:paraId="7ECEF4B1" w14:textId="77777777" w:rsidR="001F480B" w:rsidRDefault="001F480B" w:rsidP="001F480B">
      <w:pPr>
        <w:rPr>
          <w:color w:val="000000" w:themeColor="text1"/>
        </w:rPr>
      </w:pPr>
    </w:p>
    <w:p w14:paraId="47488042" w14:textId="77777777" w:rsidR="002B5719" w:rsidRPr="00206B2B" w:rsidRDefault="002B5719" w:rsidP="001F480B">
      <w:pPr>
        <w:sectPr w:rsidR="002B5719" w:rsidRPr="00206B2B" w:rsidSect="00C548A0">
          <w:headerReference w:type="even" r:id="rId33"/>
          <w:headerReference w:type="default" r:id="rId34"/>
          <w:footerReference w:type="default" r:id="rId35"/>
          <w:headerReference w:type="first" r:id="rId36"/>
          <w:type w:val="nextColumn"/>
          <w:pgSz w:w="11907" w:h="16840" w:code="1"/>
          <w:pgMar w:top="851" w:right="851" w:bottom="1134" w:left="851" w:header="680" w:footer="283" w:gutter="0"/>
          <w:cols w:space="720"/>
          <w:docGrid w:linePitch="360"/>
        </w:sectPr>
      </w:pPr>
    </w:p>
    <w:p w14:paraId="11F22935" w14:textId="615C6AD3" w:rsidR="00101086" w:rsidRPr="0096443C" w:rsidRDefault="009970EF" w:rsidP="00944D24">
      <w:pPr>
        <w:pStyle w:val="Heading1"/>
      </w:pPr>
      <w:bookmarkStart w:id="1" w:name="_Toc230774040"/>
      <w:r w:rsidRPr="0096443C">
        <w:lastRenderedPageBreak/>
        <w:t>Executive Summary</w:t>
      </w:r>
      <w:bookmarkEnd w:id="1"/>
    </w:p>
    <w:p w14:paraId="01142757" w14:textId="7FDB2E10" w:rsidR="0098229A" w:rsidRPr="00633414" w:rsidRDefault="0098229A" w:rsidP="00633414">
      <w:r w:rsidRPr="00633414">
        <w:t>KPMG has been engaged</w:t>
      </w:r>
      <w:r w:rsidR="003B385A" w:rsidRPr="00633414">
        <w:t xml:space="preserve"> by the Department of Foreign Affairs and Trade (DFAT)</w:t>
      </w:r>
      <w:r w:rsidRPr="00633414">
        <w:t xml:space="preserve"> to undertake the mid</w:t>
      </w:r>
      <w:r w:rsidRPr="00633414">
        <w:noBreakHyphen/>
        <w:t xml:space="preserve">term review of Australia’s </w:t>
      </w:r>
      <w:r w:rsidR="006D1035" w:rsidRPr="00633414">
        <w:t>S</w:t>
      </w:r>
      <w:r w:rsidR="00E261AE" w:rsidRPr="00633414">
        <w:t xml:space="preserve">econd </w:t>
      </w:r>
      <w:r w:rsidRPr="00633414">
        <w:t>National Action Plan on Women, Peace and Security</w:t>
      </w:r>
      <w:r w:rsidR="00E261AE" w:rsidRPr="00633414">
        <w:t xml:space="preserve"> (2021–2031) (the NAP)</w:t>
      </w:r>
      <w:r w:rsidR="0090174F" w:rsidRPr="00633414">
        <w:t xml:space="preserve">. The </w:t>
      </w:r>
      <w:r w:rsidR="00AA24E6" w:rsidRPr="00633414">
        <w:t xml:space="preserve">mid-term review </w:t>
      </w:r>
      <w:r w:rsidRPr="00633414">
        <w:t>assess</w:t>
      </w:r>
      <w:r w:rsidR="00AA24E6" w:rsidRPr="00633414">
        <w:t>es</w:t>
      </w:r>
      <w:r w:rsidRPr="00633414">
        <w:t xml:space="preserve"> progress to date </w:t>
      </w:r>
      <w:r w:rsidR="0010778E" w:rsidRPr="00633414">
        <w:t>toward</w:t>
      </w:r>
      <w:r w:rsidRPr="00633414">
        <w:t xml:space="preserve"> planned outcomes, the effectiveness of current governance and delivery arrangements, and provid</w:t>
      </w:r>
      <w:r w:rsidR="00B77AAB" w:rsidRPr="00633414">
        <w:t>es</w:t>
      </w:r>
      <w:r w:rsidRPr="00633414">
        <w:t xml:space="preserve"> evidence</w:t>
      </w:r>
      <w:r w:rsidRPr="00633414">
        <w:noBreakHyphen/>
        <w:t>based insights to strengthen implementation for the remainder of the NAP period.</w:t>
      </w:r>
    </w:p>
    <w:p w14:paraId="5B01C1E4" w14:textId="4BDF2BFD" w:rsidR="00A10402" w:rsidRPr="00206B2B" w:rsidRDefault="00A10402" w:rsidP="00944D24">
      <w:pPr>
        <w:pStyle w:val="Heading2"/>
      </w:pPr>
      <w:r w:rsidRPr="00944D24">
        <w:t xml:space="preserve">Background </w:t>
      </w:r>
      <w:r w:rsidRPr="00206B2B">
        <w:t>and context</w:t>
      </w:r>
    </w:p>
    <w:p w14:paraId="75FF63AD" w14:textId="09D4E497" w:rsidR="007F60E9" w:rsidRPr="00206B2B" w:rsidRDefault="00AC785F" w:rsidP="006979E2">
      <w:pPr>
        <w:pStyle w:val="BodyText"/>
      </w:pPr>
      <w:r w:rsidRPr="00206B2B">
        <w:t>Grounded in Australia’s commitments under U</w:t>
      </w:r>
      <w:r w:rsidR="0022592E" w:rsidRPr="00206B2B">
        <w:t xml:space="preserve">nited </w:t>
      </w:r>
      <w:r w:rsidRPr="00206B2B">
        <w:t>N</w:t>
      </w:r>
      <w:r w:rsidR="0022592E" w:rsidRPr="00206B2B">
        <w:t>ations</w:t>
      </w:r>
      <w:r w:rsidRPr="00206B2B">
        <w:t xml:space="preserve"> Security Council Resolution 1325</w:t>
      </w:r>
      <w:r w:rsidR="00A5741D" w:rsidRPr="00206B2B">
        <w:t xml:space="preserve"> (UNSCR</w:t>
      </w:r>
      <w:r w:rsidR="00D71B2B">
        <w:t> </w:t>
      </w:r>
      <w:r w:rsidR="00A5741D" w:rsidRPr="00206B2B">
        <w:t>1325)</w:t>
      </w:r>
      <w:r w:rsidRPr="00206B2B">
        <w:t xml:space="preserve">, </w:t>
      </w:r>
      <w:r w:rsidR="00860716" w:rsidRPr="00206B2B">
        <w:t>Australia’s</w:t>
      </w:r>
      <w:r w:rsidRPr="00206B2B">
        <w:t xml:space="preserve"> NAP advances four objectives: preventing conflict and sexual and gender</w:t>
      </w:r>
      <w:r w:rsidRPr="00206B2B">
        <w:noBreakHyphen/>
        <w:t>based violence (</w:t>
      </w:r>
      <w:r w:rsidR="007B3574" w:rsidRPr="00206B2B">
        <w:t>SGBV</w:t>
      </w:r>
      <w:r w:rsidRPr="00206B2B">
        <w:t>); promoting women’s participation in peace and security decision</w:t>
      </w:r>
      <w:r w:rsidRPr="00206B2B">
        <w:noBreakHyphen/>
        <w:t>making; protecting human rights; and ensuring the needs and agency of women and girls are central to relief and</w:t>
      </w:r>
      <w:r w:rsidR="00564E63">
        <w:t> </w:t>
      </w:r>
      <w:r w:rsidRPr="00206B2B">
        <w:t>recovery.</w:t>
      </w:r>
      <w:r w:rsidR="004D72BF" w:rsidRPr="00206B2B">
        <w:rPr>
          <w:rStyle w:val="FootnoteReference"/>
        </w:rPr>
        <w:footnoteReference w:id="1"/>
      </w:r>
    </w:p>
    <w:p w14:paraId="1B72F722" w14:textId="3545AE70" w:rsidR="00F22A56" w:rsidRPr="00206B2B" w:rsidRDefault="00AC785F" w:rsidP="006979E2">
      <w:pPr>
        <w:pStyle w:val="BodyText"/>
      </w:pPr>
      <w:r w:rsidRPr="00206B2B">
        <w:t>These objectives sit within a global environment where momentum on W</w:t>
      </w:r>
      <w:r w:rsidR="00EF414C" w:rsidRPr="00206B2B">
        <w:t xml:space="preserve">omen, Peace and </w:t>
      </w:r>
      <w:r w:rsidR="00963A1D" w:rsidRPr="00206B2B">
        <w:t>Security</w:t>
      </w:r>
      <w:r w:rsidR="00EF414C" w:rsidRPr="00206B2B">
        <w:t xml:space="preserve"> (</w:t>
      </w:r>
      <w:r w:rsidRPr="00206B2B">
        <w:t>WPS</w:t>
      </w:r>
      <w:r w:rsidR="00EF414C" w:rsidRPr="00206B2B">
        <w:t>)</w:t>
      </w:r>
      <w:r w:rsidRPr="00206B2B">
        <w:t xml:space="preserve"> is under pressure</w:t>
      </w:r>
      <w:r w:rsidR="00A5423E" w:rsidRPr="00206B2B">
        <w:t>.</w:t>
      </w:r>
      <w:r w:rsidR="00EF414C" w:rsidRPr="00206B2B">
        <w:rPr>
          <w:rStyle w:val="FootnoteReference"/>
        </w:rPr>
        <w:footnoteReference w:id="2"/>
      </w:r>
      <w:r w:rsidRPr="00206B2B">
        <w:t xml:space="preserve"> Rising conflict</w:t>
      </w:r>
      <w:r w:rsidRPr="00206B2B">
        <w:noBreakHyphen/>
        <w:t xml:space="preserve">related </w:t>
      </w:r>
      <w:r w:rsidR="004F5EE6" w:rsidRPr="00206B2B">
        <w:t>SGBV</w:t>
      </w:r>
      <w:r w:rsidR="007F60E9" w:rsidRPr="00206B2B">
        <w:t xml:space="preserve"> </w:t>
      </w:r>
      <w:r w:rsidRPr="00206B2B">
        <w:t>underscores the urgency of Australia’s efforts.</w:t>
      </w:r>
      <w:r w:rsidR="005B344B" w:rsidRPr="00206B2B">
        <w:rPr>
          <w:rStyle w:val="FootnoteReference"/>
        </w:rPr>
        <w:footnoteReference w:id="3"/>
      </w:r>
      <w:r w:rsidRPr="00206B2B">
        <w:t xml:space="preserve"> Addressing </w:t>
      </w:r>
      <w:r w:rsidR="004F5EE6" w:rsidRPr="00206B2B">
        <w:t>SGBV</w:t>
      </w:r>
      <w:r w:rsidRPr="00206B2B">
        <w:t xml:space="preserve"> is also a core priority of Australia’s International Gender Equality Strategy (AIGES), which elevates WPS alongside gender</w:t>
      </w:r>
      <w:r w:rsidRPr="00206B2B">
        <w:noBreakHyphen/>
        <w:t>responsive climate and humanitarian action, women’s economic empowerment, and locally led leadership.</w:t>
      </w:r>
      <w:r w:rsidR="005B344B" w:rsidRPr="00206B2B">
        <w:rPr>
          <w:rStyle w:val="FootnoteReference"/>
        </w:rPr>
        <w:footnoteReference w:id="4"/>
      </w:r>
      <w:r w:rsidRPr="00206B2B">
        <w:t xml:space="preserve"> Both the NAP and AIGES place particular responsibility on Australia to maintain WPS leadership across the Indo</w:t>
      </w:r>
      <w:r w:rsidRPr="00206B2B">
        <w:noBreakHyphen/>
        <w:t>Pacific</w:t>
      </w:r>
      <w:r w:rsidR="0036735F" w:rsidRPr="00206B2B">
        <w:t xml:space="preserve"> if Australia is to achieve its objectives in </w:t>
      </w:r>
      <w:r w:rsidR="0035581F" w:rsidRPr="00206B2B">
        <w:t xml:space="preserve">the </w:t>
      </w:r>
      <w:r w:rsidR="0036735F" w:rsidRPr="00206B2B">
        <w:t>region.</w:t>
      </w:r>
    </w:p>
    <w:p w14:paraId="76FD8FFC" w14:textId="5A228A41" w:rsidR="006F18FA" w:rsidRPr="00206B2B" w:rsidRDefault="00504D00" w:rsidP="006979E2">
      <w:pPr>
        <w:pStyle w:val="BodyText"/>
      </w:pPr>
      <w:r w:rsidRPr="00206B2B">
        <w:t>Southeast Asia and the Pacific</w:t>
      </w:r>
      <w:r w:rsidR="00FC7939" w:rsidRPr="00206B2B">
        <w:t xml:space="preserve"> region</w:t>
      </w:r>
      <w:r w:rsidRPr="00206B2B">
        <w:t xml:space="preserve"> face an increasingly complex security environment where political tensions, conflict dynamics, and climate</w:t>
      </w:r>
      <w:r w:rsidRPr="00206B2B">
        <w:noBreakHyphen/>
        <w:t>related shocks intersect with persistent gender inequality.</w:t>
      </w:r>
      <w:r w:rsidR="00FB60BE" w:rsidRPr="00206B2B">
        <w:rPr>
          <w:rStyle w:val="FootnoteReference"/>
        </w:rPr>
        <w:footnoteReference w:id="5"/>
      </w:r>
      <w:r w:rsidRPr="00206B2B">
        <w:t xml:space="preserve"> In parts of Southeast Asia, including Myanmar and areas of the southern Philippines and Thailand, ongoing instability continues to pose heightened risks for women and girls, including increased vulnerability to </w:t>
      </w:r>
      <w:r w:rsidR="00A605D7" w:rsidRPr="00206B2B">
        <w:t>SGBV</w:t>
      </w:r>
      <w:r w:rsidRPr="00206B2B">
        <w:t>.</w:t>
      </w:r>
      <w:r w:rsidR="00FB60BE" w:rsidRPr="00206B2B">
        <w:rPr>
          <w:rStyle w:val="FootnoteReference"/>
        </w:rPr>
        <w:footnoteReference w:id="6"/>
      </w:r>
      <w:r w:rsidRPr="00206B2B">
        <w:t xml:space="preserve"> Across the Pacific, countries experience some of the highest global rates of violence against women, compounded by the impacts of climate change, natural disasters and displacement, which can deepen protection risks and intensify existing inequalities.</w:t>
      </w:r>
      <w:r w:rsidR="00FB60BE" w:rsidRPr="00206B2B">
        <w:rPr>
          <w:rStyle w:val="FootnoteReference"/>
        </w:rPr>
        <w:footnoteReference w:id="7"/>
      </w:r>
      <w:r w:rsidR="00783846" w:rsidRPr="00206B2B">
        <w:t xml:space="preserve"> </w:t>
      </w:r>
      <w:r w:rsidR="006C269D" w:rsidRPr="00206B2B">
        <w:t xml:space="preserve">Climate-induced displacement </w:t>
      </w:r>
      <w:r w:rsidR="004C28B1" w:rsidRPr="00206B2B">
        <w:t xml:space="preserve">increases the risk of </w:t>
      </w:r>
      <w:r w:rsidR="004C28B1" w:rsidRPr="0057309E">
        <w:t>gender-based violence</w:t>
      </w:r>
      <w:r w:rsidR="002670B2" w:rsidRPr="0057309E">
        <w:t xml:space="preserve"> (GBV</w:t>
      </w:r>
      <w:r w:rsidR="002670B2" w:rsidRPr="00982119">
        <w:t>)</w:t>
      </w:r>
      <w:r w:rsidR="00B0705A" w:rsidRPr="00982119">
        <w:t>,</w:t>
      </w:r>
      <w:r w:rsidR="00B0705A" w:rsidRPr="00206B2B">
        <w:t xml:space="preserve"> exploitation and abuse. Women and girls in displaced communities are</w:t>
      </w:r>
      <w:r w:rsidR="00C778BE" w:rsidRPr="00206B2B">
        <w:t xml:space="preserve"> more vulnerable to trafficking</w:t>
      </w:r>
      <w:r w:rsidR="00744FF6" w:rsidRPr="00206B2B">
        <w:t>, domestic violence and</w:t>
      </w:r>
      <w:r w:rsidR="00E95215" w:rsidRPr="00206B2B">
        <w:t xml:space="preserve"> other forms of exploitation.</w:t>
      </w:r>
      <w:r w:rsidR="007F7E1E" w:rsidRPr="00206B2B">
        <w:rPr>
          <w:rStyle w:val="FootnoteReference"/>
        </w:rPr>
        <w:footnoteReference w:id="8"/>
      </w:r>
    </w:p>
    <w:p w14:paraId="0F8A5D8F" w14:textId="023C7A5B" w:rsidR="00FF2567" w:rsidRPr="00206B2B" w:rsidRDefault="00FC1E33" w:rsidP="006979E2">
      <w:pPr>
        <w:pStyle w:val="BodyText"/>
      </w:pPr>
      <w:r w:rsidRPr="00206B2B">
        <w:lastRenderedPageBreak/>
        <w:t>Across the Indo</w:t>
      </w:r>
      <w:r w:rsidRPr="00206B2B">
        <w:noBreakHyphen/>
        <w:t xml:space="preserve">Pacific, </w:t>
      </w:r>
      <w:r w:rsidR="00534BC6" w:rsidRPr="00206B2B">
        <w:t>gender</w:t>
      </w:r>
      <w:r w:rsidR="00AD0716" w:rsidRPr="00206B2B">
        <w:t xml:space="preserve">ed </w:t>
      </w:r>
      <w:r w:rsidR="00F86CA8" w:rsidRPr="00206B2B">
        <w:t>dynamics</w:t>
      </w:r>
      <w:r w:rsidR="005F08F0" w:rsidRPr="00206B2B">
        <w:t xml:space="preserve"> </w:t>
      </w:r>
      <w:r w:rsidR="00BF2E59" w:rsidRPr="00206B2B">
        <w:t>and inequalities</w:t>
      </w:r>
      <w:r w:rsidR="00D0158A" w:rsidRPr="00206B2B">
        <w:t xml:space="preserve"> </w:t>
      </w:r>
      <w:r w:rsidR="00534BC6" w:rsidRPr="00206B2B">
        <w:t>are</w:t>
      </w:r>
      <w:r w:rsidRPr="00206B2B">
        <w:t xml:space="preserve"> increasingly </w:t>
      </w:r>
      <w:r w:rsidR="00534BC6" w:rsidRPr="00206B2B">
        <w:t>leveraged</w:t>
      </w:r>
      <w:r w:rsidRPr="00206B2B">
        <w:t xml:space="preserve"> in ways that </w:t>
      </w:r>
      <w:r w:rsidR="00534BC6" w:rsidRPr="00206B2B">
        <w:t>exacerbate</w:t>
      </w:r>
      <w:r w:rsidRPr="00206B2B">
        <w:t xml:space="preserve"> insecurity and undermine social cohesion.</w:t>
      </w:r>
      <w:r w:rsidR="007326D9" w:rsidRPr="00206B2B">
        <w:rPr>
          <w:rStyle w:val="FootnoteReference"/>
        </w:rPr>
        <w:footnoteReference w:id="9"/>
      </w:r>
      <w:r w:rsidRPr="00206B2B">
        <w:t xml:space="preserve"> Conflict actors, extremists and political groups have used gendered disinformation, targeted online harassment, and </w:t>
      </w:r>
      <w:r w:rsidR="00B22FE8" w:rsidRPr="00206B2B">
        <w:t>SGBV</w:t>
      </w:r>
      <w:r w:rsidRPr="00206B2B">
        <w:t xml:space="preserve"> to intimidate women, restrict their participation in public life, and weaken democratic and peacebuilding processes.</w:t>
      </w:r>
      <w:r w:rsidR="007326D9" w:rsidRPr="00206B2B">
        <w:rPr>
          <w:rStyle w:val="FootnoteReference"/>
        </w:rPr>
        <w:footnoteReference w:id="10"/>
      </w:r>
      <w:r w:rsidRPr="00206B2B">
        <w:t xml:space="preserve"> These tactics not only amplify existing inequalities but also erode the resilience of communities and institutions. </w:t>
      </w:r>
      <w:r w:rsidR="00F97CBC" w:rsidRPr="00206B2B">
        <w:t>As noted by stakeholders, a</w:t>
      </w:r>
      <w:r w:rsidRPr="00206B2B">
        <w:t xml:space="preserve">ddressing the </w:t>
      </w:r>
      <w:r w:rsidR="00A326F2" w:rsidRPr="00206B2B">
        <w:t>“</w:t>
      </w:r>
      <w:r w:rsidRPr="00206B2B">
        <w:t>weaponisation of gender</w:t>
      </w:r>
      <w:r w:rsidR="00A326F2" w:rsidRPr="00206B2B">
        <w:t>”</w:t>
      </w:r>
      <w:r w:rsidRPr="00206B2B">
        <w:t xml:space="preserve"> is therefore central to strengthening stability, safeguarding civic space, and ensuring that women can contribute fully to peace, security and decision</w:t>
      </w:r>
      <w:r w:rsidRPr="00206B2B">
        <w:noBreakHyphen/>
        <w:t>making across the region.</w:t>
      </w:r>
    </w:p>
    <w:p w14:paraId="4A340147" w14:textId="25CEAFA6" w:rsidR="00FF2567" w:rsidRPr="00206B2B" w:rsidRDefault="00FF2567" w:rsidP="00944D24">
      <w:pPr>
        <w:pStyle w:val="Heading2"/>
      </w:pPr>
      <w:r w:rsidRPr="00206B2B">
        <w:t>Scope of the mid-term review</w:t>
      </w:r>
    </w:p>
    <w:p w14:paraId="56E13E1B" w14:textId="6976D152" w:rsidR="00FF2567" w:rsidRPr="00D451A9" w:rsidRDefault="00FF2567" w:rsidP="00D451A9">
      <w:r w:rsidRPr="00D451A9">
        <w:t>The mid</w:t>
      </w:r>
      <w:r w:rsidRPr="00D451A9">
        <w:noBreakHyphen/>
        <w:t xml:space="preserve">term review assessed Australia’s progress in implementing the </w:t>
      </w:r>
      <w:r w:rsidR="001A7D51" w:rsidRPr="00D451A9">
        <w:t>NAP</w:t>
      </w:r>
      <w:r w:rsidRPr="00D451A9">
        <w:t xml:space="preserve"> across the four WPS pillars. It </w:t>
      </w:r>
      <w:r w:rsidR="003056E2" w:rsidRPr="00D451A9">
        <w:t>considered</w:t>
      </w:r>
      <w:r w:rsidRPr="00D451A9">
        <w:t xml:space="preserve"> the </w:t>
      </w:r>
      <w:r w:rsidR="00404F0D" w:rsidRPr="00D451A9">
        <w:t>appropriateness</w:t>
      </w:r>
      <w:r w:rsidRPr="00D451A9">
        <w:t>, relevance and coherence of activities undertaken during the first half of the NAP period and the extent to which implementation remained aligned with Australia’s commitments under UNSCR 1325. The review analysed governance arrangements, inter</w:t>
      </w:r>
      <w:r w:rsidRPr="00D451A9">
        <w:noBreakHyphen/>
        <w:t xml:space="preserve">agency coordination and resourcing across Australian </w:t>
      </w:r>
      <w:r w:rsidR="00232AA5" w:rsidRPr="00D451A9">
        <w:t>Government</w:t>
      </w:r>
      <w:r w:rsidR="004B606D" w:rsidRPr="00D451A9">
        <w:t xml:space="preserve"> agency implementing </w:t>
      </w:r>
      <w:r w:rsidRPr="00D451A9">
        <w:t>partners. Evidence was drawn from document review, comparative analysis, and consultation with key stakeholders to evaluate how well the NAP was positioned to advance its intended outcomes and respond to evolving regional and global security dynamics.</w:t>
      </w:r>
    </w:p>
    <w:p w14:paraId="39C9243B" w14:textId="46E54565" w:rsidR="00FF2567" w:rsidRPr="00206B2B" w:rsidRDefault="00FF2567" w:rsidP="006979E2">
      <w:pPr>
        <w:pStyle w:val="BodyText"/>
      </w:pPr>
      <w:r w:rsidRPr="00206B2B">
        <w:t>In line with the agreed Terms of Reference (</w:t>
      </w:r>
      <w:r w:rsidR="00D21110" w:rsidRPr="00206B2B">
        <w:t xml:space="preserve">see </w:t>
      </w:r>
      <w:hyperlink w:anchor="_Appendix_A:_Terms" w:history="1">
        <w:r w:rsidR="00D21110" w:rsidRPr="00206B2B">
          <w:rPr>
            <w:rStyle w:val="Hyperlink"/>
            <w:color w:val="000000" w:themeColor="text1"/>
          </w:rPr>
          <w:t>Appe</w:t>
        </w:r>
        <w:bookmarkStart w:id="2" w:name="_Hlt219109542"/>
        <w:r w:rsidR="00D21110" w:rsidRPr="00206B2B">
          <w:rPr>
            <w:rStyle w:val="Hyperlink"/>
            <w:color w:val="000000" w:themeColor="text1"/>
          </w:rPr>
          <w:t>n</w:t>
        </w:r>
        <w:bookmarkEnd w:id="2"/>
        <w:r w:rsidR="00D21110" w:rsidRPr="00206B2B">
          <w:rPr>
            <w:rStyle w:val="Hyperlink"/>
            <w:color w:val="000000" w:themeColor="text1"/>
          </w:rPr>
          <w:t>dix A</w:t>
        </w:r>
      </w:hyperlink>
      <w:r w:rsidRPr="00206B2B">
        <w:t>), the review provide</w:t>
      </w:r>
      <w:r w:rsidR="00DE0C6D" w:rsidRPr="00206B2B">
        <w:t>s</w:t>
      </w:r>
      <w:r w:rsidRPr="00206B2B">
        <w:t xml:space="preserve"> a high</w:t>
      </w:r>
      <w:r w:rsidRPr="00206B2B">
        <w:noBreakHyphen/>
        <w:t xml:space="preserve">level assessment rather than a detailed impact evaluation, identifying strengths, challenges and opportunities to guide the remaining five years of NAP implementation. It </w:t>
      </w:r>
      <w:r w:rsidR="006D6AE3" w:rsidRPr="00206B2B">
        <w:t>draws on consideration of</w:t>
      </w:r>
      <w:r w:rsidRPr="00206B2B">
        <w:t xml:space="preserve"> the quality of engagement with civil society, First Nations women, and Australia’s regional partners in Southeast Asia and the Pacific, </w:t>
      </w:r>
      <w:r w:rsidR="000F60EC" w:rsidRPr="00206B2B">
        <w:t xml:space="preserve">DFAT Post engagement globally on WPS initiatives, </w:t>
      </w:r>
      <w:r w:rsidRPr="00206B2B">
        <w:t xml:space="preserve">as well as the adequacy of </w:t>
      </w:r>
      <w:r w:rsidR="00C31DB0" w:rsidRPr="00206B2B">
        <w:t>M&amp;E</w:t>
      </w:r>
      <w:r w:rsidRPr="00206B2B">
        <w:t xml:space="preserve"> arrangements to support accountability and </w:t>
      </w:r>
      <w:r w:rsidR="00F111A0" w:rsidRPr="00206B2B">
        <w:t>demonstration of success.</w:t>
      </w:r>
      <w:r w:rsidRPr="00206B2B">
        <w:t xml:space="preserve"> The review did not undertake primary data collection involving vulnerable individuals. </w:t>
      </w:r>
      <w:r w:rsidR="006D6AE3" w:rsidRPr="00206B2B">
        <w:t>The</w:t>
      </w:r>
      <w:r w:rsidRPr="00206B2B">
        <w:t xml:space="preserve"> findings and recommendations are intended to support more effective coordination, sharpen strategic focus and ensure the NAP remains fit</w:t>
      </w:r>
      <w:r w:rsidRPr="00206B2B">
        <w:noBreakHyphen/>
        <w:t>for</w:t>
      </w:r>
      <w:r w:rsidRPr="00206B2B">
        <w:noBreakHyphen/>
        <w:t>purpose for the next phase of delivery across the Indo</w:t>
      </w:r>
      <w:r w:rsidRPr="00206B2B">
        <w:noBreakHyphen/>
        <w:t>Pacific.</w:t>
      </w:r>
    </w:p>
    <w:p w14:paraId="326FA6D7" w14:textId="05353240" w:rsidR="00A132D6" w:rsidRPr="00206B2B" w:rsidRDefault="00A132D6" w:rsidP="00944D24">
      <w:pPr>
        <w:pStyle w:val="Heading2"/>
      </w:pPr>
      <w:r w:rsidRPr="00206B2B">
        <w:t>Alignment with Australian Government priorities</w:t>
      </w:r>
    </w:p>
    <w:p w14:paraId="1EA04494" w14:textId="4E4EAABA" w:rsidR="0019157D" w:rsidRDefault="00652521" w:rsidP="007E73D0">
      <w:pPr>
        <w:pStyle w:val="BodyText"/>
      </w:pPr>
      <w:r w:rsidRPr="00B9718E">
        <w:t xml:space="preserve">Australia’s </w:t>
      </w:r>
      <w:r w:rsidR="004B5534" w:rsidRPr="00B9718E">
        <w:t xml:space="preserve">WPS </w:t>
      </w:r>
      <w:r w:rsidR="00DC02BD" w:rsidRPr="00B9718E">
        <w:t>NAP intends to</w:t>
      </w:r>
      <w:r w:rsidRPr="00B9718E">
        <w:t xml:space="preserve"> </w:t>
      </w:r>
      <w:r w:rsidR="00DC02BD" w:rsidRPr="00B9718E">
        <w:t>reinforce</w:t>
      </w:r>
      <w:r w:rsidRPr="00B9718E">
        <w:t xml:space="preserve"> the Government’s commitment to a peaceful, stable and inclusive Indo</w:t>
      </w:r>
      <w:r w:rsidRPr="00B9718E">
        <w:noBreakHyphen/>
        <w:t>Pacific. By integrating gender perspectives into conflict prevention, humanitarian response and governance, WPS strengthens regional resilience and supports Australia’s broader foreign policy objectives. The agenda also complements national priorities on climate adaptation, digital safety and inclusive economic development, positioning Australia as a trusted partner in promoting security and stability across the region.</w:t>
      </w:r>
      <w:r w:rsidR="0019157D">
        <w:br w:type="page"/>
      </w:r>
    </w:p>
    <w:p w14:paraId="7CD56200" w14:textId="78E81E18" w:rsidR="007E5385" w:rsidRPr="00206B2B" w:rsidRDefault="007E5385" w:rsidP="007E73D0">
      <w:pPr>
        <w:pStyle w:val="BodyText"/>
      </w:pPr>
      <w:r w:rsidRPr="00206B2B">
        <w:lastRenderedPageBreak/>
        <w:t>The NAP</w:t>
      </w:r>
      <w:r w:rsidR="00652521" w:rsidRPr="00206B2B">
        <w:t xml:space="preserve"> is a foundational component of Australia’s national security approach, reflecting evidence that peace processes and institutions are more durable and effective when women participate meaningfully in decision</w:t>
      </w:r>
      <w:r w:rsidR="00652521" w:rsidRPr="00206B2B">
        <w:noBreakHyphen/>
        <w:t>making. Current national discussions on gender equality as a security and economic imperative underline the relevance of WPS in shaping adaptive, future</w:t>
      </w:r>
      <w:r w:rsidR="00652521" w:rsidRPr="00206B2B">
        <w:noBreakHyphen/>
        <w:t>focused policy settings.</w:t>
      </w:r>
      <w:r w:rsidR="00334D25" w:rsidRPr="00206B2B">
        <w:rPr>
          <w:rStyle w:val="FootnoteReference"/>
          <w:color w:val="auto"/>
        </w:rPr>
        <w:footnoteReference w:id="11"/>
      </w:r>
      <w:r w:rsidR="00652521" w:rsidRPr="00206B2B">
        <w:t xml:space="preserve"> WPS also aligns with Australia’s international development policy by linking gender equality with crisis response, climate resilience, cyber and e</w:t>
      </w:r>
      <w:r w:rsidR="00652521" w:rsidRPr="00206B2B">
        <w:noBreakHyphen/>
        <w:t>safety</w:t>
      </w:r>
      <w:r w:rsidR="008F7DEE" w:rsidRPr="00206B2B">
        <w:t>,</w:t>
      </w:r>
      <w:r w:rsidR="00652521" w:rsidRPr="00206B2B">
        <w:t xml:space="preserve"> and whole</w:t>
      </w:r>
      <w:r w:rsidR="00652521" w:rsidRPr="00206B2B">
        <w:noBreakHyphen/>
        <w:t>of</w:t>
      </w:r>
      <w:r w:rsidR="00652521" w:rsidRPr="00206B2B">
        <w:noBreakHyphen/>
        <w:t>government</w:t>
      </w:r>
      <w:r w:rsidR="003F60CF" w:rsidRPr="00206B2B">
        <w:t xml:space="preserve"> </w:t>
      </w:r>
      <w:r w:rsidR="00652521" w:rsidRPr="00206B2B">
        <w:t>efforts to advance peace, prosperity and human rights throughout the Indo</w:t>
      </w:r>
      <w:r w:rsidR="00652521" w:rsidRPr="00206B2B">
        <w:noBreakHyphen/>
        <w:t>Pacific.</w:t>
      </w:r>
      <w:r w:rsidR="008B79BB" w:rsidRPr="00206B2B">
        <w:t xml:space="preserve"> Australia’s NAP also emphasises stronger monitoring and evaluation (M&amp;E), inclusive governance, and deeper engagement with civil society.</w:t>
      </w:r>
      <w:r w:rsidR="008B79BB" w:rsidRPr="00206B2B">
        <w:rPr>
          <w:rStyle w:val="FootnoteReference"/>
        </w:rPr>
        <w:footnoteReference w:id="12"/>
      </w:r>
      <w:r w:rsidR="008B79BB" w:rsidRPr="00206B2B">
        <w:t xml:space="preserve"> </w:t>
      </w:r>
    </w:p>
    <w:p w14:paraId="3479F0CA" w14:textId="64D5648A" w:rsidR="00D61019" w:rsidRPr="00206B2B" w:rsidRDefault="00DD3366" w:rsidP="00944D24">
      <w:pPr>
        <w:pStyle w:val="Heading2"/>
      </w:pPr>
      <w:r w:rsidRPr="00206B2B">
        <w:t xml:space="preserve">International </w:t>
      </w:r>
      <w:r w:rsidR="00D61019" w:rsidRPr="00206B2B">
        <w:t>Comparator Analysis</w:t>
      </w:r>
    </w:p>
    <w:p w14:paraId="3BF0F8DC" w14:textId="7BD768F7" w:rsidR="00BD52D5" w:rsidRPr="00206B2B" w:rsidRDefault="001D75C0" w:rsidP="00CA4010">
      <w:pPr>
        <w:pStyle w:val="BodyText"/>
        <w:rPr>
          <w:rStyle w:val="BodyTextChar"/>
        </w:rPr>
      </w:pPr>
      <w:r w:rsidRPr="00206B2B">
        <w:t xml:space="preserve">International approaches from Japan, the </w:t>
      </w:r>
      <w:r w:rsidR="00863D81" w:rsidRPr="00206B2B">
        <w:t>United Kingdom</w:t>
      </w:r>
      <w:r w:rsidRPr="00206B2B">
        <w:t xml:space="preserve"> </w:t>
      </w:r>
      <w:r w:rsidR="004E00E9" w:rsidRPr="00206B2B">
        <w:t>(UK)</w:t>
      </w:r>
      <w:r w:rsidR="009261FB" w:rsidRPr="00206B2B">
        <w:t>,</w:t>
      </w:r>
      <w:r w:rsidRPr="00206B2B">
        <w:t xml:space="preserve"> Canada</w:t>
      </w:r>
      <w:r w:rsidR="00AB2744" w:rsidRPr="00206B2B">
        <w:t xml:space="preserve"> </w:t>
      </w:r>
      <w:r w:rsidRPr="00206B2B">
        <w:t xml:space="preserve">and </w:t>
      </w:r>
      <w:r w:rsidR="00AB2744" w:rsidRPr="00206B2B">
        <w:t>the Philippines</w:t>
      </w:r>
      <w:r w:rsidRPr="00206B2B">
        <w:t xml:space="preserve"> highlight opportunities for Australia to further strengthen its WPS leadership and respond to persistent gaps across the </w:t>
      </w:r>
      <w:r w:rsidR="00F111A0" w:rsidRPr="00206B2B">
        <w:t>Indo</w:t>
      </w:r>
      <w:r w:rsidRPr="00206B2B">
        <w:t>–Pacific region. Japan’s flexible, initiative</w:t>
      </w:r>
      <w:r w:rsidRPr="00206B2B">
        <w:noBreakHyphen/>
        <w:t>based design and use of independent expert evaluation demonstrate how adaptive monitoring can support continuous improvement, while the UK’s rigorous governance architecture and strong domestic commitments model the value of structured accountability and whole</w:t>
      </w:r>
      <w:r w:rsidRPr="00206B2B">
        <w:noBreakHyphen/>
        <w:t>of</w:t>
      </w:r>
      <w:r w:rsidRPr="00206B2B">
        <w:noBreakHyphen/>
        <w:t>government oversight. Canada’s formal partnerships with civil society and Indigenous organisations illustrate how inclusive governance can embed lived experience into national decision</w:t>
      </w:r>
      <w:r w:rsidRPr="00206B2B">
        <w:noBreakHyphen/>
        <w:t xml:space="preserve">making. </w:t>
      </w:r>
      <w:r w:rsidR="008E7CEF" w:rsidRPr="00206B2B">
        <w:t>The Philippines</w:t>
      </w:r>
      <w:r w:rsidR="0046590A" w:rsidRPr="00206B2B">
        <w:t xml:space="preserve">’ comprehensive </w:t>
      </w:r>
      <w:r w:rsidR="0046590A" w:rsidRPr="00206B2B">
        <w:rPr>
          <w:rStyle w:val="BodyTextChar"/>
        </w:rPr>
        <w:t>Monitoring, Evaluation, Accountability, and Learning (MEAL) system mandates annual public reporting, triennial multi</w:t>
      </w:r>
      <w:r w:rsidR="0046590A" w:rsidRPr="00206B2B">
        <w:rPr>
          <w:rStyle w:val="BodyTextChar"/>
          <w:rFonts w:ascii="Cambria Math" w:hAnsi="Cambria Math" w:cs="Cambria Math"/>
        </w:rPr>
        <w:t>‑</w:t>
      </w:r>
      <w:r w:rsidR="0046590A" w:rsidRPr="00206B2B">
        <w:rPr>
          <w:rStyle w:val="BodyTextChar"/>
        </w:rPr>
        <w:t>stakeholder mid</w:t>
      </w:r>
      <w:r w:rsidR="0046590A" w:rsidRPr="00206B2B">
        <w:rPr>
          <w:rStyle w:val="BodyTextChar"/>
          <w:rFonts w:ascii="Cambria Math" w:hAnsi="Cambria Math" w:cs="Cambria Math"/>
        </w:rPr>
        <w:t>‑</w:t>
      </w:r>
      <w:r w:rsidR="0046590A" w:rsidRPr="00206B2B">
        <w:rPr>
          <w:rStyle w:val="BodyTextChar"/>
        </w:rPr>
        <w:t>term reviews, a terminal evaluation</w:t>
      </w:r>
      <w:r w:rsidR="00C15976" w:rsidRPr="00206B2B">
        <w:rPr>
          <w:rStyle w:val="BodyTextChar"/>
        </w:rPr>
        <w:t xml:space="preserve"> and</w:t>
      </w:r>
      <w:r w:rsidR="0046590A" w:rsidRPr="00206B2B">
        <w:rPr>
          <w:rStyle w:val="BodyTextChar"/>
        </w:rPr>
        <w:t xml:space="preserve"> the development of a consolidated national WPS database</w:t>
      </w:r>
      <w:r w:rsidR="00C15976" w:rsidRPr="00206B2B">
        <w:rPr>
          <w:rStyle w:val="BodyTextChar"/>
        </w:rPr>
        <w:t>. The Philippines also have published</w:t>
      </w:r>
      <w:r w:rsidR="000E22DC" w:rsidRPr="00206B2B">
        <w:rPr>
          <w:rStyle w:val="BodyTextChar"/>
        </w:rPr>
        <w:t xml:space="preserve"> a detailed Indicator Handbook</w:t>
      </w:r>
      <w:r w:rsidR="00C15976" w:rsidRPr="00206B2B">
        <w:rPr>
          <w:rStyle w:val="BodyTextChar"/>
        </w:rPr>
        <w:t xml:space="preserve"> and have </w:t>
      </w:r>
      <w:r w:rsidR="0063539C" w:rsidRPr="00206B2B">
        <w:rPr>
          <w:rStyle w:val="BodyTextChar"/>
        </w:rPr>
        <w:t>comprehensive mid-term objectives with a sound measurement methodology.</w:t>
      </w:r>
    </w:p>
    <w:p w14:paraId="1707A730" w14:textId="393D8827" w:rsidR="001D75C0" w:rsidRPr="00206B2B" w:rsidRDefault="001D75C0" w:rsidP="00CA4010">
      <w:pPr>
        <w:pStyle w:val="BodyText"/>
      </w:pPr>
      <w:r w:rsidRPr="00206B2B">
        <w:t>Together, these models point to opportunities for Australia to deepen partnerships, sharpen evaluation systems and expand domestic</w:t>
      </w:r>
      <w:r w:rsidR="00FF2567" w:rsidRPr="00206B2B">
        <w:t xml:space="preserve"> and </w:t>
      </w:r>
      <w:r w:rsidRPr="00206B2B">
        <w:t xml:space="preserve">international coherence </w:t>
      </w:r>
      <w:r w:rsidR="00FF2567" w:rsidRPr="00206B2B">
        <w:t>links</w:t>
      </w:r>
      <w:r w:rsidR="00031BF6" w:rsidRPr="00206B2B">
        <w:t xml:space="preserve">. </w:t>
      </w:r>
      <w:r w:rsidR="00DB23B7" w:rsidRPr="00206B2B">
        <w:t xml:space="preserve">These </w:t>
      </w:r>
      <w:r w:rsidR="005E60F0" w:rsidRPr="00206B2B">
        <w:t>adjustments</w:t>
      </w:r>
      <w:r w:rsidR="004121B1" w:rsidRPr="00206B2B">
        <w:t xml:space="preserve"> c</w:t>
      </w:r>
      <w:r w:rsidR="00D8270D" w:rsidRPr="00206B2B">
        <w:t>an</w:t>
      </w:r>
      <w:r w:rsidR="004121B1" w:rsidRPr="00206B2B">
        <w:t xml:space="preserve"> </w:t>
      </w:r>
      <w:r w:rsidRPr="00206B2B">
        <w:t xml:space="preserve">position Australia to </w:t>
      </w:r>
      <w:r w:rsidR="004121B1" w:rsidRPr="00206B2B">
        <w:t>better</w:t>
      </w:r>
      <w:r w:rsidRPr="00206B2B">
        <w:t xml:space="preserve"> address regional gaps such as uneven NAP uptake, limited localisation and variable institutional capacity across the Pacific and Southeast Asia, and to play a more catalytic role in advancing WPS outcomes in the region.</w:t>
      </w:r>
    </w:p>
    <w:p w14:paraId="239C9BE7" w14:textId="697EF12D" w:rsidR="003F589F" w:rsidRPr="00206B2B" w:rsidRDefault="00154E2B" w:rsidP="00944D24">
      <w:pPr>
        <w:pStyle w:val="Heading2"/>
      </w:pPr>
      <w:r w:rsidRPr="00206B2B">
        <w:t>Key findings of the mid-term review</w:t>
      </w:r>
    </w:p>
    <w:p w14:paraId="7FA57BB0" w14:textId="5CDAF470" w:rsidR="0019157D" w:rsidRDefault="00DE4FBA" w:rsidP="00CA4010">
      <w:pPr>
        <w:pStyle w:val="BodyText"/>
      </w:pPr>
      <w:r w:rsidRPr="00206B2B">
        <w:t>The findings from this mid</w:t>
      </w:r>
      <w:r w:rsidRPr="00206B2B">
        <w:noBreakHyphen/>
        <w:t xml:space="preserve">term review provide a consolidated assessment of progress to date, drawing on evidence from consultations, monitoring data, and document analysis to identify </w:t>
      </w:r>
      <w:r w:rsidR="005B698E" w:rsidRPr="00206B2B">
        <w:t>progress</w:t>
      </w:r>
      <w:r w:rsidRPr="00206B2B">
        <w:t>, enablers, key challenges and emerging risks. Together, they highlight the systemic and contextual factors shaping the effectiveness of program delivery across the WPS agenda, including regional dynamics that influence Australia’s positioning and capability to lead. These insights form the foundation for determining the strategic shifts and operational priorities required to strengthen performance and guide implementation over the next five years.</w:t>
      </w:r>
      <w:r w:rsidR="0019157D">
        <w:br w:type="page"/>
      </w:r>
    </w:p>
    <w:p w14:paraId="6C4ED731" w14:textId="01B73FB5" w:rsidR="000956BE" w:rsidRDefault="007323A0" w:rsidP="000956BE">
      <w:r>
        <w:rPr>
          <w:noProof/>
        </w:rPr>
        <w:lastRenderedPageBreak/>
        <w:drawing>
          <wp:inline distT="0" distB="0" distL="0" distR="0" wp14:anchorId="1BCD59E6" wp14:editId="7C578159">
            <wp:extent cx="6316980" cy="723900"/>
            <wp:effectExtent l="0" t="0" r="7620" b="0"/>
            <wp:docPr id="168562321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23210" name="Picture 2">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3A19F47" w14:textId="45F72C88" w:rsidR="005D40EC" w:rsidRDefault="005D40EC" w:rsidP="000B5747">
      <w:pPr>
        <w:pStyle w:val="Heading3"/>
      </w:pPr>
      <w:r w:rsidRPr="00300EC6">
        <w:t>Finding 1. Strong progress toward women’s meaningful participation, driven by regional networks and institutional strengthening is evident</w:t>
      </w:r>
    </w:p>
    <w:p w14:paraId="55AFF7A3" w14:textId="72068D43" w:rsidR="000A1935" w:rsidRPr="00206B2B" w:rsidRDefault="000C5F14" w:rsidP="00E22791">
      <w:pPr>
        <w:pStyle w:val="BodyText"/>
      </w:pPr>
      <w:r w:rsidRPr="00206B2B">
        <w:t xml:space="preserve">Regional </w:t>
      </w:r>
      <w:r w:rsidR="001C0255" w:rsidRPr="00206B2B">
        <w:t>women’s</w:t>
      </w:r>
      <w:r w:rsidRPr="00206B2B">
        <w:t xml:space="preserve"> mediator networks and partnerships</w:t>
      </w:r>
      <w:r w:rsidR="001C0255" w:rsidRPr="00206B2B">
        <w:t xml:space="preserve"> with </w:t>
      </w:r>
      <w:r w:rsidRPr="00206B2B">
        <w:t>U</w:t>
      </w:r>
      <w:r w:rsidR="00322274" w:rsidRPr="00206B2B">
        <w:t xml:space="preserve">nited </w:t>
      </w:r>
      <w:r w:rsidRPr="00206B2B">
        <w:t>N</w:t>
      </w:r>
      <w:r w:rsidR="00322274" w:rsidRPr="00206B2B">
        <w:t>ations</w:t>
      </w:r>
      <w:r w:rsidRPr="00206B2B">
        <w:t xml:space="preserve"> Women</w:t>
      </w:r>
      <w:r w:rsidR="00322274" w:rsidRPr="00206B2B">
        <w:t xml:space="preserve"> (UN Women)</w:t>
      </w:r>
      <w:r w:rsidRPr="00206B2B">
        <w:t xml:space="preserve"> have enhanced women’s role in peace processes across Southeast Asia and the Pacific, supporting </w:t>
      </w:r>
      <w:r w:rsidR="00267861" w:rsidRPr="00206B2B">
        <w:t>agenda setting</w:t>
      </w:r>
      <w:r w:rsidRPr="00206B2B">
        <w:t xml:space="preserve">, dispute resolution, and normative change. </w:t>
      </w:r>
      <w:r w:rsidR="00756DB8" w:rsidRPr="00206B2B">
        <w:t>However, c</w:t>
      </w:r>
      <w:r w:rsidR="000A1935" w:rsidRPr="00206B2B">
        <w:t>ivil society</w:t>
      </w:r>
      <w:r w:rsidR="00565368" w:rsidRPr="00206B2B">
        <w:t xml:space="preserve"> </w:t>
      </w:r>
      <w:r w:rsidR="00DC41A5" w:rsidRPr="00206B2B">
        <w:t>stakeholders</w:t>
      </w:r>
      <w:r w:rsidR="000A1935" w:rsidRPr="00206B2B">
        <w:t xml:space="preserve"> recognised </w:t>
      </w:r>
      <w:r w:rsidR="00DC41A5" w:rsidRPr="00206B2B">
        <w:t xml:space="preserve">there are </w:t>
      </w:r>
      <w:r w:rsidR="000A1935" w:rsidRPr="00206B2B">
        <w:t xml:space="preserve">opportunities </w:t>
      </w:r>
      <w:r w:rsidR="00DC41A5" w:rsidRPr="00206B2B">
        <w:t>for Australia</w:t>
      </w:r>
      <w:r w:rsidR="000A1935" w:rsidRPr="00206B2B">
        <w:t xml:space="preserve"> to </w:t>
      </w:r>
      <w:r w:rsidR="00DC41A5" w:rsidRPr="00206B2B">
        <w:t>strengthen</w:t>
      </w:r>
      <w:r w:rsidR="000A1935" w:rsidRPr="00206B2B">
        <w:t xml:space="preserve"> efforts </w:t>
      </w:r>
      <w:r w:rsidR="00DC41A5" w:rsidRPr="00206B2B">
        <w:t>and support for</w:t>
      </w:r>
      <w:r w:rsidR="000A1935" w:rsidRPr="00206B2B">
        <w:t xml:space="preserve"> humanitarian crises globally.</w:t>
      </w:r>
    </w:p>
    <w:p w14:paraId="5B002EB7" w14:textId="07296C29" w:rsidR="00300EC6" w:rsidRDefault="008F0B36" w:rsidP="00E22791">
      <w:pPr>
        <w:pStyle w:val="BodyText"/>
      </w:pPr>
      <w:r>
        <w:rPr>
          <w:noProof/>
        </w:rPr>
        <w:drawing>
          <wp:inline distT="0" distB="0" distL="0" distR="0" wp14:anchorId="4BEF5B58" wp14:editId="579E528C">
            <wp:extent cx="6316980" cy="723900"/>
            <wp:effectExtent l="0" t="0" r="7620" b="0"/>
            <wp:docPr id="2719254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25413" name="Picture 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73BD6E48" w14:textId="36742770" w:rsidR="000956BE" w:rsidRDefault="000956BE" w:rsidP="000B5747">
      <w:pPr>
        <w:pStyle w:val="Heading3"/>
      </w:pPr>
      <w:r w:rsidRPr="00300EC6">
        <w:t>Finding 2. Progress made toward reducing sexual and gender-based violence is uneven and not consistently captured across agencies</w:t>
      </w:r>
    </w:p>
    <w:p w14:paraId="0365CFE0" w14:textId="7C86059B" w:rsidR="002606FF" w:rsidRPr="00206B2B" w:rsidRDefault="00ED766D" w:rsidP="00E22791">
      <w:pPr>
        <w:pStyle w:val="BodyText"/>
      </w:pPr>
      <w:r w:rsidRPr="00206B2B">
        <w:t xml:space="preserve">Australia funds and </w:t>
      </w:r>
      <w:r w:rsidR="00340D91" w:rsidRPr="00206B2B">
        <w:t>delivers SGBV</w:t>
      </w:r>
      <w:r w:rsidRPr="00206B2B">
        <w:t xml:space="preserve"> prevention and response initiatives (e.g., Australian Federal Police’s (AFP) regional programs and Home Affairs’ </w:t>
      </w:r>
      <w:r w:rsidRPr="00206B2B">
        <w:rPr>
          <w:i/>
        </w:rPr>
        <w:t>Women at Risk</w:t>
      </w:r>
      <w:r w:rsidRPr="00206B2B">
        <w:t xml:space="preserve"> visa scheme), but these are not fully reported within the NAP framework. Fragmentation, inconsistent coordination, </w:t>
      </w:r>
      <w:r w:rsidR="00F227CA" w:rsidRPr="00206B2B">
        <w:t xml:space="preserve">limited data collection mechanisms </w:t>
      </w:r>
      <w:r w:rsidRPr="00206B2B">
        <w:t>and under</w:t>
      </w:r>
      <w:r w:rsidR="00D31DC3" w:rsidRPr="00206B2B">
        <w:t xml:space="preserve"> </w:t>
      </w:r>
      <w:r w:rsidRPr="00206B2B">
        <w:t>recognition of frontline civil society contributions limit the ability to assess national progress. Best practice also emphasises the importance of creating formal avenues for survivors of conflict</w:t>
      </w:r>
      <w:r w:rsidR="00767B45" w:rsidRPr="00206B2B">
        <w:t>-</w:t>
      </w:r>
      <w:r w:rsidRPr="00206B2B">
        <w:t>related sexual violence</w:t>
      </w:r>
      <w:r w:rsidR="00DE4FA2" w:rsidRPr="00206B2B">
        <w:t xml:space="preserve"> (CRSV)</w:t>
      </w:r>
      <w:r w:rsidRPr="00206B2B">
        <w:t xml:space="preserve"> to inform and influence policy; however, Australia does not currently have structured mechanisms to ensure</w:t>
      </w:r>
      <w:r w:rsidR="00DE4FA2" w:rsidRPr="00206B2B">
        <w:t xml:space="preserve"> </w:t>
      </w:r>
      <w:r w:rsidRPr="00206B2B">
        <w:t>CRSV survivor voices are integrated into the design, monitoring, and evaluation of these initiatives.</w:t>
      </w:r>
    </w:p>
    <w:p w14:paraId="3515975A" w14:textId="06605FD3" w:rsidR="00300EC6" w:rsidRPr="00206B2B" w:rsidRDefault="008F0B36" w:rsidP="00E22791">
      <w:pPr>
        <w:pStyle w:val="BodyText"/>
      </w:pPr>
      <w:r>
        <w:rPr>
          <w:noProof/>
        </w:rPr>
        <w:drawing>
          <wp:inline distT="0" distB="0" distL="0" distR="0" wp14:anchorId="1693411E" wp14:editId="40D0C6F8">
            <wp:extent cx="6316980" cy="723900"/>
            <wp:effectExtent l="0" t="0" r="7620" b="0"/>
            <wp:docPr id="160644867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48672" name="Picture 4">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362A7766" w14:textId="2119B8D9" w:rsidR="000956BE" w:rsidRDefault="000956BE" w:rsidP="000B5747">
      <w:pPr>
        <w:pStyle w:val="Heading3"/>
      </w:pPr>
      <w:r w:rsidRPr="00300EC6">
        <w:t>Finding 3. NAP implementation on CRSV lacks sufficient whole-of-government coordination, survivor engagement, and integration across security and humanitarian</w:t>
      </w:r>
      <w:r w:rsidR="00BF3651">
        <w:t> </w:t>
      </w:r>
      <w:r w:rsidRPr="00300EC6">
        <w:t>domains</w:t>
      </w:r>
    </w:p>
    <w:p w14:paraId="4BEADA36" w14:textId="77777777" w:rsidR="00D47BA2" w:rsidRDefault="002606FF" w:rsidP="002606FF">
      <w:pPr>
        <w:pStyle w:val="BodyText"/>
      </w:pPr>
      <w:r w:rsidRPr="00206B2B">
        <w:t>Despite CRS</w:t>
      </w:r>
      <w:r w:rsidR="00B745E2" w:rsidRPr="00206B2B">
        <w:t>V</w:t>
      </w:r>
      <w:r w:rsidRPr="00206B2B">
        <w:t xml:space="preserve"> being a core priority of the NAP, consultations highlighted significant gaps in coordination, consistency, and capability across agencies involved in NAP delivery. Stakeholders noted that CRSV is often treated as a peripheral or specialised issue rather than integrated into Australia’s broader conflict prevention, stabilisation, peacebuilding, humanitarian, and security efforts. In addition, Australia does not yet have structured mechanisms for survivor</w:t>
      </w:r>
      <w:r w:rsidRPr="00206B2B">
        <w:noBreakHyphen/>
        <w:t>centred engagement, limiting the extent to which CRSV survivors</w:t>
      </w:r>
      <w:r w:rsidR="00FB7176" w:rsidRPr="00206B2B">
        <w:t xml:space="preserve"> </w:t>
      </w:r>
      <w:r w:rsidR="00FC4650" w:rsidRPr="00206B2B">
        <w:t>(including women, men, gender-diverse people and children)</w:t>
      </w:r>
      <w:r w:rsidRPr="00206B2B">
        <w:t xml:space="preserve"> and frontline women’s organisations can shape policy, influence early</w:t>
      </w:r>
      <w:r w:rsidRPr="00206B2B">
        <w:noBreakHyphen/>
        <w:t>warning systems, or guide accountability efforts.</w:t>
      </w:r>
      <w:r w:rsidR="00120DFD" w:rsidRPr="00206B2B">
        <w:t xml:space="preserve"> </w:t>
      </w:r>
      <w:r w:rsidR="00034DD7" w:rsidRPr="00206B2B">
        <w:t xml:space="preserve">There is also </w:t>
      </w:r>
      <w:r w:rsidR="000F787D" w:rsidRPr="00206B2B">
        <w:t xml:space="preserve">opportunity to </w:t>
      </w:r>
      <w:r w:rsidR="000B1833" w:rsidRPr="00206B2B">
        <w:t>consider</w:t>
      </w:r>
      <w:r w:rsidR="000F787D" w:rsidRPr="00206B2B">
        <w:t xml:space="preserve"> embed</w:t>
      </w:r>
      <w:r w:rsidR="000B1833" w:rsidRPr="00206B2B">
        <w:t>ding</w:t>
      </w:r>
      <w:r w:rsidR="000F787D" w:rsidRPr="00206B2B">
        <w:t xml:space="preserve"> a transitional justice-based approach </w:t>
      </w:r>
      <w:r w:rsidR="007A5C2F" w:rsidRPr="00206B2B">
        <w:t xml:space="preserve">and reparations-oriented approach into </w:t>
      </w:r>
      <w:r w:rsidR="00E237CE" w:rsidRPr="00206B2B">
        <w:t>humanitarian settings and Australia’s WPS activities.</w:t>
      </w:r>
      <w:r w:rsidR="00A67C85" w:rsidRPr="00206B2B">
        <w:t xml:space="preserve"> Civil society stakeholders e</w:t>
      </w:r>
      <w:r w:rsidR="0013671B" w:rsidRPr="00206B2B">
        <w:t>mphasised that Australia could be</w:t>
      </w:r>
      <w:r w:rsidR="00152D15" w:rsidRPr="00206B2B">
        <w:t>come</w:t>
      </w:r>
      <w:r w:rsidR="0013671B" w:rsidRPr="00206B2B">
        <w:t xml:space="preserve"> a leader in </w:t>
      </w:r>
      <w:r w:rsidR="00152D15" w:rsidRPr="00206B2B">
        <w:t xml:space="preserve">prosecuting </w:t>
      </w:r>
      <w:r w:rsidR="0018549A" w:rsidRPr="00206B2B">
        <w:t>CRSV crimes</w:t>
      </w:r>
      <w:r w:rsidR="00C95817" w:rsidRPr="00206B2B">
        <w:t xml:space="preserve">. </w:t>
      </w:r>
      <w:r w:rsidR="00D47BA2">
        <w:br w:type="page"/>
      </w:r>
    </w:p>
    <w:p w14:paraId="457F46A5" w14:textId="52C7894B" w:rsidR="002606FF" w:rsidRPr="00206B2B" w:rsidRDefault="00C95817" w:rsidP="002606FF">
      <w:pPr>
        <w:pStyle w:val="BodyText"/>
      </w:pPr>
      <w:r w:rsidRPr="00206B2B">
        <w:lastRenderedPageBreak/>
        <w:t>This would build</w:t>
      </w:r>
      <w:r w:rsidR="00E67887" w:rsidRPr="00206B2B">
        <w:t xml:space="preserve"> on from Australia’s </w:t>
      </w:r>
      <w:r w:rsidR="0082510F" w:rsidRPr="00206B2B">
        <w:t xml:space="preserve">action </w:t>
      </w:r>
      <w:r w:rsidR="00D5656F" w:rsidRPr="00206B2B">
        <w:t xml:space="preserve">to hold Afghanistan to account </w:t>
      </w:r>
      <w:r w:rsidR="004B7C88" w:rsidRPr="00206B2B">
        <w:t xml:space="preserve">for violating the </w:t>
      </w:r>
      <w:r w:rsidR="00FF2156" w:rsidRPr="00206B2B">
        <w:t>Convention on the Elimination of All Forms of Discrimination against Women (CEDAW)</w:t>
      </w:r>
      <w:r w:rsidR="008124D4" w:rsidRPr="00206B2B">
        <w:t xml:space="preserve"> and DFAT’s support </w:t>
      </w:r>
      <w:r w:rsidR="00667A3A" w:rsidRPr="00206B2B">
        <w:t xml:space="preserve">for the Australian Institute for International Affairs and </w:t>
      </w:r>
      <w:r w:rsidRPr="00206B2B">
        <w:t xml:space="preserve">the </w:t>
      </w:r>
      <w:r w:rsidR="00867F06" w:rsidRPr="00206B2B">
        <w:t>Australian Research Council</w:t>
      </w:r>
      <w:r w:rsidRPr="00206B2B">
        <w:t xml:space="preserve"> Centre of Excellence for the Elimination of Violence against Women to host an international conference on CRSV</w:t>
      </w:r>
      <w:r w:rsidR="00EB5166" w:rsidRPr="00206B2B">
        <w:t xml:space="preserve"> in 2025</w:t>
      </w:r>
      <w:r w:rsidRPr="00206B2B">
        <w:t>.</w:t>
      </w:r>
    </w:p>
    <w:p w14:paraId="1C16778E" w14:textId="423DFE06" w:rsidR="002606FF" w:rsidRPr="00206B2B" w:rsidRDefault="002606FF" w:rsidP="00E22791">
      <w:pPr>
        <w:pStyle w:val="BodyText"/>
      </w:pPr>
      <w:r w:rsidRPr="00206B2B">
        <w:t>Opportunities also exist to better align the NAP’s international CRSV commitments with Australia’s domestic agenda on SGBV. While both policy domains share common principles such as trauma</w:t>
      </w:r>
      <w:r w:rsidRPr="00206B2B">
        <w:noBreakHyphen/>
        <w:t>informed practice, prevention, and accountability, current linkages are inconsistent and underutilised, missing opportunities to leverage shared investments, expertise, and evidence.</w:t>
      </w:r>
      <w:r w:rsidR="007719B3" w:rsidRPr="00206B2B">
        <w:rPr>
          <w:rStyle w:val="FootnoteReference"/>
        </w:rPr>
        <w:footnoteReference w:id="13"/>
      </w:r>
      <w:r w:rsidR="007719B3" w:rsidRPr="00206B2B">
        <w:t xml:space="preserve"> </w:t>
      </w:r>
      <w:r w:rsidRPr="00206B2B">
        <w:t>Without strengthened whole</w:t>
      </w:r>
      <w:r w:rsidRPr="00206B2B">
        <w:noBreakHyphen/>
        <w:t>of</w:t>
      </w:r>
      <w:r w:rsidRPr="00206B2B">
        <w:noBreakHyphen/>
        <w:t>government coordination, clearer integration across security and humanitarian mandates, and more systematic survivor engagement, Australia’s ability to deliver on its CRSV obligations under the NAP and to maintain credibility in regional and multilateral WPS leadership will remain constrained.</w:t>
      </w:r>
    </w:p>
    <w:p w14:paraId="697618EF" w14:textId="2568ECD4" w:rsidR="00300EC6" w:rsidRPr="00206B2B" w:rsidRDefault="008F0B36" w:rsidP="00E22791">
      <w:pPr>
        <w:pStyle w:val="BodyText"/>
      </w:pPr>
      <w:r>
        <w:rPr>
          <w:noProof/>
        </w:rPr>
        <w:drawing>
          <wp:inline distT="0" distB="0" distL="0" distR="0" wp14:anchorId="5D77110D" wp14:editId="2799BE80">
            <wp:extent cx="6316980" cy="723900"/>
            <wp:effectExtent l="0" t="0" r="7620" b="0"/>
            <wp:docPr id="24366380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63805" name="Picture 5">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1300E9D4" w14:textId="72D52968" w:rsidR="000956BE" w:rsidRDefault="000956BE" w:rsidP="000B5747">
      <w:pPr>
        <w:pStyle w:val="Heading3"/>
      </w:pPr>
      <w:r w:rsidRPr="00300EC6">
        <w:t>Finding 4. Australia’s WPS architecture requires a strategic shift from a development centred model to a security integrated approach</w:t>
      </w:r>
    </w:p>
    <w:p w14:paraId="44FBA4A9" w14:textId="0683C2D8" w:rsidR="00C30B90" w:rsidRDefault="00C30B90" w:rsidP="00300EC6">
      <w:pPr>
        <w:pStyle w:val="BodyText"/>
        <w:rPr>
          <w:bCs/>
        </w:rPr>
      </w:pPr>
      <w:r w:rsidRPr="00206B2B">
        <w:t xml:space="preserve">Consultations highlighted that WPS is still perceived internally as a development or organisational culture issue rather than part of Australia’s core foreign policy, security strategy, and geopolitical posture. Integrating WPS into </w:t>
      </w:r>
      <w:r w:rsidR="00377B92" w:rsidRPr="00F97BE6">
        <w:rPr>
          <w:bCs/>
        </w:rPr>
        <w:t>a whole-of-government priority focusing on</w:t>
      </w:r>
      <w:r w:rsidRPr="00F97BE6">
        <w:rPr>
          <w:bCs/>
        </w:rPr>
        <w:t xml:space="preserve"> conflict prevention, cyber policy, climate security, crisis response architectures, and peacebuilding is critical to remain credible in an increasingly contested Indo</w:t>
      </w:r>
      <w:r w:rsidRPr="00F97BE6">
        <w:rPr>
          <w:bCs/>
        </w:rPr>
        <w:noBreakHyphen/>
        <w:t>Pacific. Such integration is not only essential for Australia’s credibility but also for the overall effectiveness and impact of its foreign and security policy.</w:t>
      </w:r>
    </w:p>
    <w:p w14:paraId="04705A8B" w14:textId="4537B30A" w:rsidR="00E905CB" w:rsidRDefault="00797C8A" w:rsidP="00300EC6">
      <w:pPr>
        <w:pStyle w:val="BodyText"/>
        <w:rPr>
          <w:bCs/>
        </w:rPr>
      </w:pPr>
      <w:r>
        <w:rPr>
          <w:bCs/>
          <w:noProof/>
        </w:rPr>
        <w:drawing>
          <wp:inline distT="0" distB="0" distL="0" distR="0" wp14:anchorId="6AAF31C7" wp14:editId="0EBE55C0">
            <wp:extent cx="6316980" cy="723900"/>
            <wp:effectExtent l="0" t="0" r="7620" b="0"/>
            <wp:docPr id="50367739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77393" name="Picture 6">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68F09E96" w14:textId="76A26D0B" w:rsidR="000956BE" w:rsidRDefault="000956BE" w:rsidP="000B5747">
      <w:pPr>
        <w:pStyle w:val="Heading3"/>
      </w:pPr>
      <w:r w:rsidRPr="00300EC6">
        <w:t>Finding 5. Climate, regional and national security, cyber harms, and mis- and disinformation have become major WPS challenges but are not fully integrated into NAP implementation</w:t>
      </w:r>
    </w:p>
    <w:p w14:paraId="18A8A069" w14:textId="334140E2" w:rsidR="00D47BA2" w:rsidRDefault="1DCEA025" w:rsidP="001C657E">
      <w:pPr>
        <w:pStyle w:val="BodyText"/>
      </w:pPr>
      <w:r w:rsidRPr="00206B2B">
        <w:t xml:space="preserve">Stakeholders consistently identified climate change, displacement, gendered online harms, and </w:t>
      </w:r>
      <w:r w:rsidR="00AA20D4" w:rsidRPr="00206B2B">
        <w:t xml:space="preserve">mis- and </w:t>
      </w:r>
      <w:r w:rsidRPr="00206B2B">
        <w:t>disinformation as escalating threats to women’s participation, safety, and cohesion. These crosscutting issues are central to regional</w:t>
      </w:r>
      <w:r w:rsidR="00471CEB" w:rsidRPr="00206B2B">
        <w:t xml:space="preserve"> and national</w:t>
      </w:r>
      <w:r w:rsidRPr="00206B2B">
        <w:t xml:space="preserve"> security but </w:t>
      </w:r>
      <w:r w:rsidR="00166902" w:rsidRPr="00206B2B">
        <w:t>are</w:t>
      </w:r>
      <w:r w:rsidRPr="00206B2B">
        <w:t xml:space="preserve"> insufficiently embedded in current WPS programming, governance, and indicators.</w:t>
      </w:r>
      <w:r w:rsidR="00D47BA2">
        <w:br w:type="page"/>
      </w:r>
    </w:p>
    <w:p w14:paraId="4311805E" w14:textId="2E68B4F8" w:rsidR="00E905CB" w:rsidRDefault="00797C8A" w:rsidP="001C657E">
      <w:pPr>
        <w:pStyle w:val="BodyText"/>
      </w:pPr>
      <w:r>
        <w:rPr>
          <w:noProof/>
        </w:rPr>
        <w:lastRenderedPageBreak/>
        <w:drawing>
          <wp:inline distT="0" distB="0" distL="0" distR="0" wp14:anchorId="25197CC0" wp14:editId="25EC221F">
            <wp:extent cx="6316980" cy="723900"/>
            <wp:effectExtent l="0" t="0" r="7620" b="0"/>
            <wp:docPr id="197027364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73645" name="Picture 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079FDCE0" w14:textId="503E3F59" w:rsidR="000956BE" w:rsidRDefault="000956BE" w:rsidP="000B5747">
      <w:pPr>
        <w:pStyle w:val="Heading3"/>
      </w:pPr>
      <w:r w:rsidRPr="00300EC6">
        <w:t>Finding 6. Australia remains a trusted and principled regional WPS leader, but its influence is increasingly constrained by global headwinds</w:t>
      </w:r>
    </w:p>
    <w:p w14:paraId="67AF35F9" w14:textId="1C1301A6" w:rsidR="001C657E" w:rsidRPr="00206B2B" w:rsidRDefault="001C657E" w:rsidP="00CF0C62">
      <w:pPr>
        <w:pStyle w:val="BodyText2"/>
      </w:pPr>
      <w:r w:rsidRPr="00206B2B">
        <w:rPr>
          <w:b w:val="0"/>
        </w:rPr>
        <w:t>Stakeholders identified that Australia is seen as a credible and stabilising actor in the Indo</w:t>
      </w:r>
      <w:r w:rsidR="00781F4E" w:rsidRPr="00206B2B">
        <w:rPr>
          <w:b w:val="0"/>
        </w:rPr>
        <w:t>-</w:t>
      </w:r>
      <w:r w:rsidRPr="00206B2B">
        <w:rPr>
          <w:b w:val="0"/>
        </w:rPr>
        <w:t>Pacific, particularly through sustained support to women mediators, civil society, and multilateral institutions.</w:t>
      </w:r>
      <w:r w:rsidR="00DF0BAC">
        <w:rPr>
          <w:b w:val="0"/>
        </w:rPr>
        <w:t xml:space="preserve"> </w:t>
      </w:r>
      <w:proofErr w:type="gramStart"/>
      <w:r w:rsidR="00DF0BAC">
        <w:rPr>
          <w:b w:val="0"/>
        </w:rPr>
        <w:t>In particular, stakeholders</w:t>
      </w:r>
      <w:proofErr w:type="gramEnd"/>
      <w:r w:rsidR="00DF0BAC">
        <w:rPr>
          <w:b w:val="0"/>
        </w:rPr>
        <w:t xml:space="preserve"> acknowledged the critical role </w:t>
      </w:r>
      <w:r w:rsidR="006956E6">
        <w:rPr>
          <w:b w:val="0"/>
        </w:rPr>
        <w:t xml:space="preserve">that WPS engagement plays in </w:t>
      </w:r>
      <w:r w:rsidR="00370B76">
        <w:rPr>
          <w:b w:val="0"/>
        </w:rPr>
        <w:t>s</w:t>
      </w:r>
      <w:r w:rsidR="00426C56">
        <w:rPr>
          <w:b w:val="0"/>
        </w:rPr>
        <w:t xml:space="preserve">upporting </w:t>
      </w:r>
      <w:r w:rsidR="00D81FD6">
        <w:rPr>
          <w:b w:val="0"/>
        </w:rPr>
        <w:t>security relationships around the globe</w:t>
      </w:r>
      <w:r w:rsidR="00373C60">
        <w:rPr>
          <w:b w:val="0"/>
        </w:rPr>
        <w:t xml:space="preserve">, with WPS often recognised as a </w:t>
      </w:r>
      <w:r w:rsidR="004A5581">
        <w:rPr>
          <w:b w:val="0"/>
        </w:rPr>
        <w:t>trusted</w:t>
      </w:r>
      <w:r w:rsidR="00373C60">
        <w:rPr>
          <w:b w:val="0"/>
        </w:rPr>
        <w:t xml:space="preserve"> entry point for </w:t>
      </w:r>
      <w:r w:rsidR="009F6DE3">
        <w:rPr>
          <w:b w:val="0"/>
        </w:rPr>
        <w:t xml:space="preserve">collaboration or </w:t>
      </w:r>
      <w:r w:rsidR="00FA30E5">
        <w:rPr>
          <w:b w:val="0"/>
        </w:rPr>
        <w:t xml:space="preserve">discussions regarding broader </w:t>
      </w:r>
      <w:r w:rsidR="00E944ED">
        <w:rPr>
          <w:b w:val="0"/>
        </w:rPr>
        <w:t>security strategy.</w:t>
      </w:r>
      <w:r w:rsidRPr="00206B2B">
        <w:rPr>
          <w:b w:val="0"/>
        </w:rPr>
        <w:t xml:space="preserve"> However, the growing anti</w:t>
      </w:r>
      <w:r w:rsidR="00781F4E" w:rsidRPr="00206B2B">
        <w:rPr>
          <w:b w:val="0"/>
        </w:rPr>
        <w:t>-</w:t>
      </w:r>
      <w:r w:rsidRPr="00206B2B">
        <w:rPr>
          <w:b w:val="0"/>
        </w:rPr>
        <w:t xml:space="preserve">gender equality movement poses a significant risk to the sustainability and impact of global WPS efforts. In this context, expectations are intensifying for Australia </w:t>
      </w:r>
      <w:r w:rsidR="004F71F5" w:rsidRPr="00206B2B">
        <w:rPr>
          <w:b w:val="0"/>
        </w:rPr>
        <w:t xml:space="preserve">to </w:t>
      </w:r>
      <w:r w:rsidRPr="00206B2B">
        <w:rPr>
          <w:b w:val="0"/>
        </w:rPr>
        <w:t>not only shoulder a greater share of visible leadership, but also to invest more substantially in core WPS and gender equality partnerships and institutions to maintain momentum and counteract these regressive pressures.</w:t>
      </w:r>
    </w:p>
    <w:p w14:paraId="6342EF29" w14:textId="175149E2" w:rsidR="0019157D" w:rsidRDefault="00797C8A" w:rsidP="0019157D">
      <w:r>
        <w:rPr>
          <w:noProof/>
        </w:rPr>
        <w:drawing>
          <wp:inline distT="0" distB="0" distL="0" distR="0" wp14:anchorId="48B8492B" wp14:editId="00036BEF">
            <wp:extent cx="6316980" cy="723900"/>
            <wp:effectExtent l="0" t="0" r="7620" b="0"/>
            <wp:docPr id="199410589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05891" name="Picture 8">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3F6E3285" w14:textId="7F111903" w:rsidR="000956BE" w:rsidRDefault="000956BE" w:rsidP="000B5747">
      <w:pPr>
        <w:pStyle w:val="Heading3"/>
      </w:pPr>
      <w:r w:rsidRPr="00300EC6">
        <w:t>Finding 7. Whole of government coordination and implementation remains limited. There are clear opportunities to strengthen strategic and operational integration to accelerate WPS outcomes</w:t>
      </w:r>
    </w:p>
    <w:p w14:paraId="7F66B7B5" w14:textId="7F3E1FA5" w:rsidR="00CC4E63" w:rsidRPr="004D0743" w:rsidRDefault="00CC4E63" w:rsidP="001F480B">
      <w:pPr>
        <w:pStyle w:val="BodyText"/>
        <w:keepNext/>
        <w:keepLines/>
      </w:pPr>
      <w:r>
        <w:t>T</w:t>
      </w:r>
      <w:r w:rsidRPr="0057309E">
        <w:t>here are significant opportunities to deepen integration across agencies</w:t>
      </w:r>
      <w:r>
        <w:t xml:space="preserve">, </w:t>
      </w:r>
      <w:r w:rsidRPr="0057309E">
        <w:t>strategically and operationally</w:t>
      </w:r>
      <w:r>
        <w:t xml:space="preserve">, </w:t>
      </w:r>
      <w:r w:rsidRPr="0057309E">
        <w:t>to accelerate</w:t>
      </w:r>
      <w:r>
        <w:t xml:space="preserve"> </w:t>
      </w:r>
      <w:r w:rsidRPr="0057309E">
        <w:t>WPS outcomes. These include strengthening joint policy development, embedding shared performance frameworks, enhancing cross</w:t>
      </w:r>
      <w:r w:rsidRPr="0057309E">
        <w:noBreakHyphen/>
        <w:t>agency governance, and expanding coordinated delivery mechanisms at country, regional and multilateral levels.</w:t>
      </w:r>
      <w:r w:rsidRPr="00CC4E63">
        <w:t xml:space="preserve"> </w:t>
      </w:r>
      <w:r w:rsidR="00EC75D9">
        <w:t>Critical</w:t>
      </w:r>
      <w:r w:rsidRPr="004D0743">
        <w:t xml:space="preserve"> </w:t>
      </w:r>
      <w:r>
        <w:t>Australian Public Service (</w:t>
      </w:r>
      <w:r w:rsidRPr="004D0743">
        <w:t>APS</w:t>
      </w:r>
      <w:r>
        <w:t>)</w:t>
      </w:r>
      <w:r w:rsidRPr="004D0743">
        <w:t xml:space="preserve"> agencies such as the </w:t>
      </w:r>
      <w:r>
        <w:t>National Emergency Management Agency (</w:t>
      </w:r>
      <w:r w:rsidRPr="004D0743">
        <w:t>NEMA</w:t>
      </w:r>
      <w:r>
        <w:t>)</w:t>
      </w:r>
      <w:r w:rsidRPr="004D0743">
        <w:t>, e</w:t>
      </w:r>
      <w:r>
        <w:t>-</w:t>
      </w:r>
      <w:r w:rsidRPr="004D0743">
        <w:t>Safety</w:t>
      </w:r>
      <w:r>
        <w:t xml:space="preserve"> Commissioner</w:t>
      </w:r>
      <w:r w:rsidRPr="004D0743">
        <w:t xml:space="preserve">, </w:t>
      </w:r>
      <w:r>
        <w:t xml:space="preserve">Department of Climate Change, Energy, the Environment and Water (DCCEEW), and </w:t>
      </w:r>
      <w:r w:rsidRPr="004D0743">
        <w:t xml:space="preserve">cyber/intelligence agencies are not systematically integrated into WPS coordination. This undermines policy coherence, particularly on </w:t>
      </w:r>
      <w:r>
        <w:t>climate security</w:t>
      </w:r>
      <w:r w:rsidRPr="004D0743">
        <w:t xml:space="preserve">, digital harms, misinformation, and domestic </w:t>
      </w:r>
      <w:r>
        <w:t>gender security</w:t>
      </w:r>
      <w:r w:rsidRPr="004D0743">
        <w:t xml:space="preserve"> issues. </w:t>
      </w:r>
    </w:p>
    <w:p w14:paraId="7529C9F8" w14:textId="39C42AE2" w:rsidR="00300EC6" w:rsidRPr="00206B2B" w:rsidRDefault="00797C8A" w:rsidP="00CF0C62">
      <w:pPr>
        <w:pStyle w:val="BodyText"/>
      </w:pPr>
      <w:r>
        <w:rPr>
          <w:noProof/>
        </w:rPr>
        <w:drawing>
          <wp:inline distT="0" distB="0" distL="0" distR="0" wp14:anchorId="34B75335" wp14:editId="0F5FB73B">
            <wp:extent cx="6316980" cy="723900"/>
            <wp:effectExtent l="0" t="0" r="7620" b="0"/>
            <wp:docPr id="1825310750"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10750" name="Picture 9">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09EC7BAF" w14:textId="4DF98691" w:rsidR="000956BE" w:rsidRDefault="000956BE" w:rsidP="000B5747">
      <w:pPr>
        <w:pStyle w:val="Heading3"/>
      </w:pPr>
      <w:r w:rsidRPr="00300EC6">
        <w:t>Finding 8. Monitoring and Evaluation systems remain output heavy and lack the sophistication of international best practice</w:t>
      </w:r>
    </w:p>
    <w:p w14:paraId="78F02FE5" w14:textId="5E01B54D" w:rsidR="000C5F14" w:rsidRPr="00206B2B" w:rsidRDefault="000C5F14" w:rsidP="00CF0C62">
      <w:pPr>
        <w:pStyle w:val="BodyText"/>
      </w:pPr>
      <w:r w:rsidRPr="00206B2B">
        <w:t xml:space="preserve">Australia’s </w:t>
      </w:r>
      <w:r w:rsidR="00CC5F70" w:rsidRPr="0057309E">
        <w:t>WPS NAP</w:t>
      </w:r>
      <w:r w:rsidR="00CC5F70" w:rsidRPr="00206B2B">
        <w:t xml:space="preserve"> </w:t>
      </w:r>
      <w:r w:rsidRPr="00206B2B">
        <w:t>M</w:t>
      </w:r>
      <w:r w:rsidR="00677433" w:rsidRPr="00206B2B">
        <w:t xml:space="preserve">onitoring </w:t>
      </w:r>
      <w:r w:rsidRPr="00206B2B">
        <w:t>&amp;</w:t>
      </w:r>
      <w:r w:rsidR="00677433" w:rsidRPr="00206B2B">
        <w:t xml:space="preserve"> </w:t>
      </w:r>
      <w:r w:rsidRPr="00206B2B">
        <w:t>E</w:t>
      </w:r>
      <w:r w:rsidR="00677433" w:rsidRPr="00206B2B">
        <w:t>valuation (M&amp;E)</w:t>
      </w:r>
      <w:r w:rsidRPr="00206B2B">
        <w:t xml:space="preserve"> approach captures activities </w:t>
      </w:r>
      <w:r w:rsidR="0064318D" w:rsidRPr="00206B2B">
        <w:t>delivered</w:t>
      </w:r>
      <w:r w:rsidRPr="00206B2B">
        <w:t xml:space="preserve"> but not outcomes.</w:t>
      </w:r>
      <w:r w:rsidR="0064318D" w:rsidRPr="00206B2B">
        <w:t xml:space="preserve"> It </w:t>
      </w:r>
      <w:r w:rsidR="00F11F29" w:rsidRPr="00206B2B">
        <w:t xml:space="preserve">aims to </w:t>
      </w:r>
      <w:r w:rsidR="0064318D" w:rsidRPr="00206B2B">
        <w:t xml:space="preserve">report on qualitative insights and case studies to identify progress and </w:t>
      </w:r>
      <w:r w:rsidR="00B963B7" w:rsidRPr="00206B2B">
        <w:t xml:space="preserve">relies heavily on </w:t>
      </w:r>
      <w:r w:rsidR="00553F29" w:rsidRPr="00206B2B">
        <w:t xml:space="preserve">activity and output data to evidence </w:t>
      </w:r>
      <w:r w:rsidR="00B963B7" w:rsidRPr="00206B2B">
        <w:t xml:space="preserve">impact </w:t>
      </w:r>
      <w:r w:rsidR="0064318D" w:rsidRPr="00206B2B">
        <w:t>of programs.</w:t>
      </w:r>
      <w:r w:rsidRPr="00206B2B">
        <w:t xml:space="preserve"> </w:t>
      </w:r>
      <w:r w:rsidR="00E265AD" w:rsidRPr="00206B2B">
        <w:t xml:space="preserve">This approach </w:t>
      </w:r>
      <w:r w:rsidR="00C52354" w:rsidRPr="00206B2B">
        <w:t>results in limitations in the ability to attribute</w:t>
      </w:r>
      <w:r w:rsidR="00E265AD" w:rsidRPr="00206B2B">
        <w:t xml:space="preserve"> </w:t>
      </w:r>
      <w:r w:rsidR="00B32E0B" w:rsidRPr="00206B2B">
        <w:t>impact from the programs.</w:t>
      </w:r>
      <w:r w:rsidRPr="00206B2B">
        <w:t xml:space="preserve"> In contrast, the UK uses baseline studies, midterm evaluations, refined indicators, and parliamentary reporting to demonstrate impact and enable adaptive management. </w:t>
      </w:r>
      <w:r w:rsidR="00216831" w:rsidRPr="00206B2B">
        <w:t>The Philippines</w:t>
      </w:r>
      <w:r w:rsidR="00C25317" w:rsidRPr="00206B2B">
        <w:t xml:space="preserve"> has a comprehensive MEAL system</w:t>
      </w:r>
      <w:r w:rsidR="00C01EB5" w:rsidRPr="00206B2B">
        <w:t>, and Indicator Handbook and mid-term objectives</w:t>
      </w:r>
      <w:r w:rsidR="00C25317" w:rsidRPr="00206B2B">
        <w:t xml:space="preserve"> </w:t>
      </w:r>
      <w:r w:rsidR="00ED34A6" w:rsidRPr="00206B2B">
        <w:t xml:space="preserve">with </w:t>
      </w:r>
      <w:r w:rsidR="00C01EB5" w:rsidRPr="00206B2B">
        <w:t xml:space="preserve">a robust methodology for </w:t>
      </w:r>
      <w:r w:rsidR="00F608C1" w:rsidRPr="00206B2B">
        <w:t>measuring progress.</w:t>
      </w:r>
      <w:r w:rsidRPr="00206B2B">
        <w:t xml:space="preserve"> Australia lacks a similarly structured, cyclical, and </w:t>
      </w:r>
      <w:r w:rsidR="00267861" w:rsidRPr="00206B2B">
        <w:t>outcome focused</w:t>
      </w:r>
      <w:r w:rsidRPr="00206B2B">
        <w:t xml:space="preserve"> system</w:t>
      </w:r>
      <w:r w:rsidR="0078069A" w:rsidRPr="00206B2B">
        <w:t>s</w:t>
      </w:r>
      <w:r w:rsidRPr="00206B2B">
        <w:t xml:space="preserve">. </w:t>
      </w:r>
    </w:p>
    <w:p w14:paraId="70D0E961" w14:textId="1583FAEB" w:rsidR="00300EC6" w:rsidRPr="00206B2B" w:rsidRDefault="00825711" w:rsidP="00CF0C62">
      <w:pPr>
        <w:pStyle w:val="BodyText"/>
      </w:pPr>
      <w:r>
        <w:rPr>
          <w:noProof/>
        </w:rPr>
        <w:lastRenderedPageBreak/>
        <w:drawing>
          <wp:inline distT="0" distB="0" distL="0" distR="0" wp14:anchorId="3F51F0E5" wp14:editId="6D0F173A">
            <wp:extent cx="6316980" cy="723900"/>
            <wp:effectExtent l="0" t="0" r="7620" b="0"/>
            <wp:docPr id="153038577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85773" name="Picture 10">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35452309" w14:textId="78AC59E4" w:rsidR="000956BE" w:rsidRDefault="000956BE" w:rsidP="000B5747">
      <w:pPr>
        <w:pStyle w:val="Heading3"/>
      </w:pPr>
      <w:r w:rsidRPr="00300EC6">
        <w:t>Finding 9. Civil society partnerships are high impact but increasingly uneven and transactional</w:t>
      </w:r>
    </w:p>
    <w:p w14:paraId="47142FF7" w14:textId="6965EFDC" w:rsidR="000C5F14" w:rsidRPr="00206B2B" w:rsidRDefault="00A30C72" w:rsidP="7B521993">
      <w:pPr>
        <w:pStyle w:val="BodyText"/>
      </w:pPr>
      <w:r w:rsidRPr="00206B2B">
        <w:t xml:space="preserve">Australia’s longstanding relationships with civil society remain a major asset, supporting legitimacy, localisation, and context specific problem solving. </w:t>
      </w:r>
      <w:r w:rsidR="00E97994" w:rsidRPr="00206B2B">
        <w:t xml:space="preserve">Globally, Australia is </w:t>
      </w:r>
      <w:r w:rsidR="00BA4A58" w:rsidRPr="00206B2B">
        <w:t>viewed as a leader on genuine engagement and partnership with civil society.</w:t>
      </w:r>
      <w:r w:rsidRPr="00206B2B">
        <w:t xml:space="preserve"> However, </w:t>
      </w:r>
      <w:r w:rsidR="00B51087" w:rsidRPr="00206B2B">
        <w:t>domestically</w:t>
      </w:r>
      <w:r w:rsidRPr="00206B2B">
        <w:t xml:space="preserve">, engagement has become inconsistent across agencies, with </w:t>
      </w:r>
      <w:r w:rsidR="00E95A08">
        <w:t>less transparent</w:t>
      </w:r>
      <w:r w:rsidR="00E95A08" w:rsidRPr="00206B2B">
        <w:t xml:space="preserve"> </w:t>
      </w:r>
      <w:r w:rsidRPr="00206B2B">
        <w:t xml:space="preserve">feedback loops and reduced predictability. Civil society emphasised a growing disconnect between consultation and policy decision making. </w:t>
      </w:r>
    </w:p>
    <w:p w14:paraId="316A5303" w14:textId="5169211C" w:rsidR="000C5F14" w:rsidRPr="00206B2B" w:rsidRDefault="00825711" w:rsidP="7B521993">
      <w:pPr>
        <w:pStyle w:val="BodyText"/>
        <w:rPr>
          <w:b/>
        </w:rPr>
      </w:pPr>
      <w:r>
        <w:rPr>
          <w:b/>
          <w:noProof/>
        </w:rPr>
        <w:drawing>
          <wp:inline distT="0" distB="0" distL="0" distR="0" wp14:anchorId="536359AB" wp14:editId="173B14CE">
            <wp:extent cx="6316980" cy="723900"/>
            <wp:effectExtent l="0" t="0" r="7620" b="0"/>
            <wp:docPr id="68547542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75423" name="Picture 11">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D782C5C" w14:textId="07016B47" w:rsidR="000956BE" w:rsidRDefault="000956BE" w:rsidP="000B5747">
      <w:pPr>
        <w:pStyle w:val="Heading3"/>
      </w:pPr>
      <w:r w:rsidRPr="00300EC6">
        <w:t>Finding 10. Domestic–international divide reduces policy coherence and weakens Australia’s</w:t>
      </w:r>
      <w:r w:rsidR="0019157D">
        <w:t> </w:t>
      </w:r>
      <w:r w:rsidRPr="00300EC6">
        <w:t>credibility</w:t>
      </w:r>
    </w:p>
    <w:p w14:paraId="56FF6671" w14:textId="28B82792" w:rsidR="000C5F14" w:rsidRPr="00206B2B" w:rsidRDefault="000C5F14" w:rsidP="00907650">
      <w:pPr>
        <w:pStyle w:val="BodyText"/>
      </w:pPr>
      <w:r w:rsidRPr="00206B2B">
        <w:t>Compared with the UK</w:t>
      </w:r>
      <w:r w:rsidR="007F617E" w:rsidRPr="00206B2B">
        <w:t xml:space="preserve">, </w:t>
      </w:r>
      <w:r w:rsidR="00BB489A">
        <w:t xml:space="preserve">Canada, </w:t>
      </w:r>
      <w:r w:rsidR="007F617E" w:rsidRPr="00206B2B">
        <w:t>Philippines</w:t>
      </w:r>
      <w:r w:rsidRPr="00206B2B">
        <w:t xml:space="preserve"> and Japan, Australia’s NAP embeds limited domestic commitments, despite significant relevant work occurring across Home Affairs, AFP and </w:t>
      </w:r>
      <w:r w:rsidR="00267861" w:rsidRPr="00206B2B">
        <w:t>state level</w:t>
      </w:r>
      <w:r w:rsidRPr="00206B2B">
        <w:t xml:space="preserve"> institutions. The absence of domestic reporting or integration into the NAP reduces visibility of achievements and creates misalignment between international leadership and internal practice. </w:t>
      </w:r>
    </w:p>
    <w:p w14:paraId="215E35DE" w14:textId="5C7D488D" w:rsidR="002E64DC" w:rsidRPr="00206B2B" w:rsidRDefault="00154E2B" w:rsidP="00944D24">
      <w:pPr>
        <w:pStyle w:val="Heading2"/>
      </w:pPr>
      <w:r w:rsidRPr="00206B2B">
        <w:t>Recommendations</w:t>
      </w:r>
      <w:r w:rsidR="00C44EB4" w:rsidRPr="00206B2B">
        <w:t xml:space="preserve"> to support the next five years of delivery</w:t>
      </w:r>
    </w:p>
    <w:p w14:paraId="427A85BD" w14:textId="34754F6C" w:rsidR="003D0C2B" w:rsidRPr="00206B2B" w:rsidRDefault="006653DC" w:rsidP="005F2944">
      <w:pPr>
        <w:pStyle w:val="BodyText"/>
        <w:rPr>
          <w:b/>
          <w:bCs/>
        </w:rPr>
      </w:pPr>
      <w:r w:rsidRPr="00206B2B">
        <w:t>The recommendations that follow outline the strategic and operational actions required to accelerate progress and position the program to achieve its objectives over the remaining five years. They build directly on the findings of this mid</w:t>
      </w:r>
      <w:r w:rsidRPr="00206B2B">
        <w:noBreakHyphen/>
        <w:t xml:space="preserve">term review, identifying the key shifts needed to strengthen implementation, enhance partnerships, and respond to emerging regional dynamics. Together, these recommendations aim to reinforce Australia’s leadership on </w:t>
      </w:r>
      <w:r w:rsidR="00E2062B" w:rsidRPr="00206B2B">
        <w:t>WPS</w:t>
      </w:r>
      <w:r w:rsidRPr="00206B2B">
        <w:t xml:space="preserve"> and ensure the program delivers sustained, measurable impact through to the end of the strategy period</w:t>
      </w:r>
      <w:r w:rsidRPr="00206B2B">
        <w:rPr>
          <w:b/>
          <w:bCs/>
        </w:rPr>
        <w:t>.</w:t>
      </w:r>
      <w:r w:rsidR="00C641C3" w:rsidRPr="00206B2B">
        <w:rPr>
          <w:b/>
          <w:bCs/>
        </w:rPr>
        <w:t xml:space="preserve"> </w:t>
      </w:r>
    </w:p>
    <w:p w14:paraId="2B257242" w14:textId="7B94E23A" w:rsidR="001A54B0" w:rsidRDefault="003B5551" w:rsidP="0021270B">
      <w:pPr>
        <w:pStyle w:val="BodyText"/>
        <w:rPr>
          <w:color w:val="auto"/>
        </w:rPr>
      </w:pPr>
      <w:r w:rsidRPr="00206B2B">
        <w:t>Further detail on each o</w:t>
      </w:r>
      <w:r w:rsidR="00A42BE5" w:rsidRPr="00206B2B">
        <w:t>f</w:t>
      </w:r>
      <w:r w:rsidRPr="00206B2B">
        <w:t xml:space="preserve"> these recommendations, including activities w</w:t>
      </w:r>
      <w:r w:rsidR="00A42BE5" w:rsidRPr="00206B2B">
        <w:t>h</w:t>
      </w:r>
      <w:r w:rsidRPr="00206B2B">
        <w:t>ic</w:t>
      </w:r>
      <w:r w:rsidR="00A42BE5" w:rsidRPr="00206B2B">
        <w:t>h</w:t>
      </w:r>
      <w:r w:rsidRPr="00206B2B">
        <w:t xml:space="preserve"> may be considered, </w:t>
      </w:r>
      <w:r w:rsidR="00A42BE5" w:rsidRPr="00206B2B">
        <w:t xml:space="preserve">expected impact and implementation considerations, are </w:t>
      </w:r>
      <w:r w:rsidR="00A42BE5" w:rsidRPr="00206B2B">
        <w:rPr>
          <w:color w:val="auto"/>
        </w:rPr>
        <w:t>available</w:t>
      </w:r>
      <w:r w:rsidR="00982B41" w:rsidRPr="00206B2B">
        <w:rPr>
          <w:color w:val="auto"/>
        </w:rPr>
        <w:t xml:space="preserve"> in the</w:t>
      </w:r>
      <w:r w:rsidR="00A42BE5" w:rsidRPr="00206B2B">
        <w:rPr>
          <w:color w:val="auto"/>
        </w:rPr>
        <w:t xml:space="preserve"> </w:t>
      </w:r>
      <w:hyperlink w:anchor="_Recommendations" w:history="1">
        <w:r w:rsidR="00982B41" w:rsidRPr="00206B2B">
          <w:rPr>
            <w:rStyle w:val="Hyperlink"/>
            <w:color w:val="auto"/>
          </w:rPr>
          <w:t>recommendations</w:t>
        </w:r>
      </w:hyperlink>
      <w:r w:rsidR="00982B41" w:rsidRPr="00206B2B">
        <w:rPr>
          <w:color w:val="auto"/>
        </w:rPr>
        <w:t xml:space="preserve"> section of this report.</w:t>
      </w:r>
      <w:r w:rsidR="001A54B0">
        <w:rPr>
          <w:color w:val="auto"/>
        </w:rPr>
        <w:br w:type="page"/>
      </w:r>
    </w:p>
    <w:p w14:paraId="278E5408" w14:textId="57B2B90C" w:rsidR="003161AF" w:rsidRPr="001A54B0" w:rsidRDefault="00E44AE1" w:rsidP="001A54B0">
      <w:pPr>
        <w:pStyle w:val="NoSpacing"/>
      </w:pPr>
      <w:r>
        <w:rPr>
          <w:noProof/>
        </w:rPr>
        <w:lastRenderedPageBreak/>
        <w:drawing>
          <wp:inline distT="0" distB="0" distL="0" distR="0" wp14:anchorId="1AE6BB77" wp14:editId="59020C9E">
            <wp:extent cx="6286500" cy="647700"/>
            <wp:effectExtent l="0" t="0" r="0" b="0"/>
            <wp:docPr id="625933680" name="Picture 18" descr="Graphic header with text: Priority A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33680" name="Picture 18" descr="Graphic header with text: Priority Area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86500" cy="647700"/>
                    </a:xfrm>
                    <a:prstGeom prst="rect">
                      <a:avLst/>
                    </a:prstGeom>
                    <a:noFill/>
                  </pic:spPr>
                </pic:pic>
              </a:graphicData>
            </a:graphic>
          </wp:inline>
        </w:drawing>
      </w:r>
    </w:p>
    <w:p w14:paraId="164857B1" w14:textId="4D55272F" w:rsidR="00A64CEE" w:rsidRPr="00A64CEE" w:rsidRDefault="00A64CEE" w:rsidP="008F2C22">
      <w:pPr>
        <w:pStyle w:val="Heading3"/>
      </w:pPr>
      <w:r w:rsidRPr="00A64CEE">
        <w:t>Enhance Whole of Government Coordination, Coherence and Accountability</w:t>
      </w:r>
    </w:p>
    <w:p w14:paraId="7058CC3B" w14:textId="77777777" w:rsidR="00A64CEE" w:rsidRPr="00206B2B" w:rsidRDefault="00A64CEE">
      <w:pPr>
        <w:pStyle w:val="BodyText"/>
      </w:pPr>
      <w:r w:rsidRPr="00206B2B">
        <w:rPr>
          <w:b/>
          <w:szCs w:val="20"/>
        </w:rPr>
        <w:t xml:space="preserve">Recommendation 1. </w:t>
      </w:r>
      <w:r w:rsidRPr="00206B2B">
        <w:rPr>
          <w:szCs w:val="20"/>
        </w:rPr>
        <w:t>Expand IDC membership to include additional APS agencies and dedicated operational partners, while strengthening civil society engagement to embed WPS</w:t>
      </w:r>
      <w:r w:rsidRPr="00206B2B">
        <w:rPr>
          <w:szCs w:val="20"/>
        </w:rPr>
        <w:noBreakHyphen/>
        <w:t>aligned, whole</w:t>
      </w:r>
      <w:r w:rsidRPr="00206B2B">
        <w:rPr>
          <w:szCs w:val="20"/>
        </w:rPr>
        <w:noBreakHyphen/>
        <w:t>of</w:t>
      </w:r>
      <w:r w:rsidRPr="00206B2B">
        <w:rPr>
          <w:szCs w:val="20"/>
        </w:rPr>
        <w:noBreakHyphen/>
        <w:t>government crisis coordination with real</w:t>
      </w:r>
      <w:r w:rsidRPr="00206B2B">
        <w:rPr>
          <w:szCs w:val="20"/>
        </w:rPr>
        <w:noBreakHyphen/>
        <w:t>time response capability.</w:t>
      </w:r>
    </w:p>
    <w:p w14:paraId="199FF6B6" w14:textId="77777777" w:rsidR="00A64CEE" w:rsidRPr="00206B2B" w:rsidRDefault="00A64CEE">
      <w:pPr>
        <w:pStyle w:val="BodyText"/>
      </w:pPr>
      <w:r w:rsidRPr="00206B2B">
        <w:rPr>
          <w:b/>
          <w:szCs w:val="20"/>
        </w:rPr>
        <w:t xml:space="preserve">Recommendation 2. </w:t>
      </w:r>
      <w:r w:rsidRPr="00206B2B">
        <w:rPr>
          <w:szCs w:val="20"/>
        </w:rPr>
        <w:t>Align WPS accountability within DFAT and relevant agencies to a security function to integrate emerging risks, improve coordination with national security partners, and drive mission</w:t>
      </w:r>
      <w:r w:rsidRPr="00206B2B">
        <w:rPr>
          <w:szCs w:val="20"/>
        </w:rPr>
        <w:noBreakHyphen/>
        <w:t>aligned, whole</w:t>
      </w:r>
      <w:r w:rsidRPr="00206B2B">
        <w:rPr>
          <w:szCs w:val="20"/>
        </w:rPr>
        <w:noBreakHyphen/>
        <w:t>of</w:t>
      </w:r>
      <w:r w:rsidRPr="00206B2B">
        <w:rPr>
          <w:szCs w:val="20"/>
        </w:rPr>
        <w:noBreakHyphen/>
        <w:t>APS engagement on security and crisis outcomes.</w:t>
      </w:r>
    </w:p>
    <w:p w14:paraId="28C86096" w14:textId="77777777" w:rsidR="00A64CEE" w:rsidRPr="00206B2B" w:rsidRDefault="00A64CEE">
      <w:pPr>
        <w:pStyle w:val="BodyText"/>
      </w:pPr>
      <w:r w:rsidRPr="00206B2B">
        <w:rPr>
          <w:b/>
          <w:szCs w:val="20"/>
        </w:rPr>
        <w:t xml:space="preserve">Recommendation 3. </w:t>
      </w:r>
      <w:r w:rsidRPr="00206B2B">
        <w:rPr>
          <w:szCs w:val="20"/>
        </w:rPr>
        <w:t>Integrate Women, Peace and Security considerations into existing scenario</w:t>
      </w:r>
      <w:r w:rsidRPr="00206B2B">
        <w:rPr>
          <w:szCs w:val="20"/>
        </w:rPr>
        <w:noBreakHyphen/>
        <w:t>based disaster, cyber, and disinformation exercises to strengthen coordination, test safeguards, improve whole</w:t>
      </w:r>
      <w:r w:rsidRPr="00206B2B">
        <w:rPr>
          <w:szCs w:val="20"/>
        </w:rPr>
        <w:noBreakHyphen/>
        <w:t>of</w:t>
      </w:r>
      <w:r w:rsidRPr="00206B2B">
        <w:rPr>
          <w:szCs w:val="20"/>
        </w:rPr>
        <w:noBreakHyphen/>
        <w:t>government readiness, and ensure broad participation.</w:t>
      </w:r>
    </w:p>
    <w:p w14:paraId="2A2E2460" w14:textId="77777777" w:rsidR="00A64CEE" w:rsidRPr="00206B2B" w:rsidRDefault="00A64CEE">
      <w:pPr>
        <w:pStyle w:val="BodyText"/>
      </w:pPr>
      <w:r w:rsidRPr="00206B2B">
        <w:rPr>
          <w:b/>
          <w:szCs w:val="20"/>
        </w:rPr>
        <w:t xml:space="preserve">Recommendation 4. </w:t>
      </w:r>
      <w:r w:rsidRPr="00206B2B">
        <w:rPr>
          <w:rFonts w:asciiTheme="minorHAnsi" w:eastAsia="Times New Roman" w:hAnsiTheme="minorHAnsi" w:cstheme="minorHAnsi"/>
          <w:szCs w:val="20"/>
          <w:lang w:eastAsia="en-AU"/>
        </w:rPr>
        <w:t>Update the M&amp;E framework to align indicators and measures with current data and revised priorities, focusing on clear, actionable outcomes tailored to each delivery partner.</w:t>
      </w:r>
    </w:p>
    <w:p w14:paraId="47362E19" w14:textId="77777777" w:rsidR="00A64CEE" w:rsidRPr="00206B2B" w:rsidRDefault="00A64CEE">
      <w:pPr>
        <w:pStyle w:val="BodyText"/>
      </w:pPr>
      <w:r w:rsidRPr="00206B2B">
        <w:rPr>
          <w:b/>
          <w:szCs w:val="20"/>
        </w:rPr>
        <w:t xml:space="preserve">Recommendation 5. </w:t>
      </w:r>
      <w:r w:rsidRPr="00206B2B">
        <w:rPr>
          <w:rFonts w:asciiTheme="minorHAnsi" w:eastAsia="Times New Roman" w:hAnsiTheme="minorHAnsi" w:cstheme="minorHAnsi"/>
          <w:szCs w:val="20"/>
          <w:lang w:eastAsia="en-AU"/>
        </w:rPr>
        <w:t>Increase Women, Peace and Security operational capacity by deploying specialised advisers in conflict</w:t>
      </w:r>
      <w:r w:rsidRPr="00206B2B">
        <w:rPr>
          <w:rFonts w:asciiTheme="minorHAnsi" w:eastAsia="Times New Roman" w:hAnsiTheme="minorHAnsi" w:cstheme="minorHAnsi"/>
          <w:szCs w:val="20"/>
          <w:lang w:eastAsia="en-AU"/>
        </w:rPr>
        <w:noBreakHyphen/>
        <w:t>affected areas, upskilling current practitioners, and building a sustainable pipeline of future WPS advisers to support regional security programs.</w:t>
      </w:r>
    </w:p>
    <w:p w14:paraId="049349E8" w14:textId="77777777" w:rsidR="00A64CEE" w:rsidRDefault="00A64CEE">
      <w:pPr>
        <w:pStyle w:val="BodyText"/>
        <w:rPr>
          <w:szCs w:val="20"/>
        </w:rPr>
      </w:pPr>
      <w:r w:rsidRPr="00206B2B">
        <w:rPr>
          <w:b/>
          <w:szCs w:val="20"/>
        </w:rPr>
        <w:t xml:space="preserve">Recommendation 6. </w:t>
      </w:r>
      <w:r w:rsidRPr="00206B2B">
        <w:rPr>
          <w:szCs w:val="20"/>
        </w:rPr>
        <w:t>Strengthen Australia’s response to conflict</w:t>
      </w:r>
      <w:r w:rsidRPr="00206B2B">
        <w:rPr>
          <w:szCs w:val="20"/>
        </w:rPr>
        <w:noBreakHyphen/>
        <w:t>related sexual violence by improving whole</w:t>
      </w:r>
      <w:r w:rsidRPr="00206B2B">
        <w:rPr>
          <w:szCs w:val="20"/>
        </w:rPr>
        <w:noBreakHyphen/>
        <w:t>of</w:t>
      </w:r>
      <w:r w:rsidRPr="00206B2B">
        <w:rPr>
          <w:szCs w:val="20"/>
        </w:rPr>
        <w:noBreakHyphen/>
        <w:t>government coordination, survivor</w:t>
      </w:r>
      <w:r w:rsidRPr="00206B2B">
        <w:rPr>
          <w:szCs w:val="20"/>
        </w:rPr>
        <w:noBreakHyphen/>
        <w:t>centred practice, and alignment across international and domestic policy, operations, accountability mechanisms, and regional and multilateral partnerships under the NAP.</w:t>
      </w:r>
    </w:p>
    <w:p w14:paraId="473953A4" w14:textId="6DFA60FF" w:rsidR="00E44AE1" w:rsidRDefault="004F29AC">
      <w:pPr>
        <w:pStyle w:val="BodyText"/>
        <w:rPr>
          <w:szCs w:val="20"/>
        </w:rPr>
      </w:pPr>
      <w:r>
        <w:rPr>
          <w:noProof/>
          <w:szCs w:val="20"/>
        </w:rPr>
        <w:drawing>
          <wp:inline distT="0" distB="0" distL="0" distR="0" wp14:anchorId="327F6A99" wp14:editId="02647165">
            <wp:extent cx="6286500" cy="647700"/>
            <wp:effectExtent l="0" t="0" r="0" b="0"/>
            <wp:docPr id="1604897001" name="Picture 19" descr="Graphic header with text: Priority Are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7001" name="Picture 19" descr="Graphic header with text: Priority Area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6500" cy="647700"/>
                    </a:xfrm>
                    <a:prstGeom prst="rect">
                      <a:avLst/>
                    </a:prstGeom>
                    <a:noFill/>
                  </pic:spPr>
                </pic:pic>
              </a:graphicData>
            </a:graphic>
          </wp:inline>
        </w:drawing>
      </w:r>
    </w:p>
    <w:p w14:paraId="2186EE13" w14:textId="56CD075F" w:rsidR="00A64CEE" w:rsidRPr="00B636F8" w:rsidRDefault="00A64CEE" w:rsidP="008F2C22">
      <w:pPr>
        <w:pStyle w:val="Heading3"/>
      </w:pPr>
      <w:r w:rsidRPr="00B636F8">
        <w:t>Establish Gender-responsive Early Warning, Data and Monitoring Systems</w:t>
      </w:r>
    </w:p>
    <w:p w14:paraId="5068097F" w14:textId="77777777" w:rsidR="00A64CEE" w:rsidRPr="00206B2B" w:rsidRDefault="00A64CEE">
      <w:pPr>
        <w:pStyle w:val="BodyText"/>
        <w:rPr>
          <w:szCs w:val="20"/>
        </w:rPr>
      </w:pPr>
      <w:r w:rsidRPr="00206B2B">
        <w:rPr>
          <w:b/>
          <w:szCs w:val="20"/>
        </w:rPr>
        <w:t xml:space="preserve">Recommendation 7. </w:t>
      </w:r>
      <w:r w:rsidRPr="00206B2B">
        <w:rPr>
          <w:szCs w:val="20"/>
        </w:rPr>
        <w:t>Conduct a feasibility study to assess the value of a unified, gender</w:t>
      </w:r>
      <w:r w:rsidRPr="00206B2B">
        <w:rPr>
          <w:szCs w:val="20"/>
        </w:rPr>
        <w:noBreakHyphen/>
        <w:t>sensitive risk dashboard that integrates climate, disaster, cyber, and online safety data to support faster, more coordinated decision</w:t>
      </w:r>
      <w:r w:rsidRPr="00206B2B">
        <w:rPr>
          <w:szCs w:val="20"/>
        </w:rPr>
        <w:noBreakHyphen/>
        <w:t>making and regional crisis response.</w:t>
      </w:r>
    </w:p>
    <w:p w14:paraId="424128A0" w14:textId="1BF3F5B6" w:rsidR="001A54B0" w:rsidRDefault="00A64CEE">
      <w:pPr>
        <w:pStyle w:val="BodyText"/>
        <w:rPr>
          <w:szCs w:val="20"/>
        </w:rPr>
      </w:pPr>
      <w:r w:rsidRPr="00206B2B">
        <w:rPr>
          <w:b/>
          <w:szCs w:val="20"/>
        </w:rPr>
        <w:t xml:space="preserve">Recommendation 8. </w:t>
      </w:r>
      <w:r w:rsidRPr="00206B2B">
        <w:rPr>
          <w:szCs w:val="20"/>
        </w:rPr>
        <w:t>Embed Women, Peace and Security considerations across government early</w:t>
      </w:r>
      <w:r w:rsidRPr="00206B2B">
        <w:rPr>
          <w:szCs w:val="20"/>
        </w:rPr>
        <w:noBreakHyphen/>
        <w:t>warning systems by strengthening coordination, integrating gender</w:t>
      </w:r>
      <w:r w:rsidRPr="00206B2B">
        <w:rPr>
          <w:szCs w:val="20"/>
        </w:rPr>
        <w:noBreakHyphen/>
        <w:t>sensitive risk indicators, and enabling rapid, shared alerts to prevent and respond to emerging instability.</w:t>
      </w:r>
      <w:r w:rsidR="001A54B0">
        <w:rPr>
          <w:szCs w:val="20"/>
        </w:rPr>
        <w:br w:type="page"/>
      </w:r>
    </w:p>
    <w:p w14:paraId="4343FA0A" w14:textId="36DFCE95" w:rsidR="001A54B0" w:rsidRPr="001A54B0" w:rsidRDefault="004F29AC" w:rsidP="001A54B0">
      <w:pPr>
        <w:pStyle w:val="NoSpacing"/>
      </w:pPr>
      <w:r>
        <w:rPr>
          <w:noProof/>
        </w:rPr>
        <w:lastRenderedPageBreak/>
        <w:drawing>
          <wp:inline distT="0" distB="0" distL="0" distR="0" wp14:anchorId="540AA339" wp14:editId="2EE230EC">
            <wp:extent cx="6286500" cy="647700"/>
            <wp:effectExtent l="0" t="0" r="0" b="0"/>
            <wp:docPr id="452521748" name="Picture 20" descr="Graphic header with text: Priority Are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21748" name="Picture 20" descr="Graphic header with text: Priority Area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647700"/>
                    </a:xfrm>
                    <a:prstGeom prst="rect">
                      <a:avLst/>
                    </a:prstGeom>
                    <a:noFill/>
                  </pic:spPr>
                </pic:pic>
              </a:graphicData>
            </a:graphic>
          </wp:inline>
        </w:drawing>
      </w:r>
    </w:p>
    <w:p w14:paraId="58C053A5" w14:textId="12A0A46D" w:rsidR="00A64CEE" w:rsidRPr="00206B2B" w:rsidRDefault="00A64CEE" w:rsidP="008F2C22">
      <w:pPr>
        <w:pStyle w:val="Heading3"/>
      </w:pPr>
      <w:r w:rsidRPr="00206B2B">
        <w:t>Regional and International Partnerships to Scale WPS Impacts</w:t>
      </w:r>
    </w:p>
    <w:p w14:paraId="6555D2C1" w14:textId="77777777" w:rsidR="00A64CEE" w:rsidRPr="00206B2B" w:rsidRDefault="00A64CEE" w:rsidP="001F480B">
      <w:pPr>
        <w:pStyle w:val="BodyText"/>
        <w:keepNext/>
        <w:keepLines/>
        <w:rPr>
          <w:rFonts w:asciiTheme="minorHAnsi" w:eastAsia="Times New Roman" w:hAnsiTheme="minorHAnsi" w:cstheme="minorHAnsi"/>
          <w:szCs w:val="20"/>
          <w:lang w:eastAsia="en-AU"/>
        </w:rPr>
      </w:pPr>
      <w:r w:rsidRPr="00206B2B">
        <w:rPr>
          <w:b/>
          <w:szCs w:val="20"/>
        </w:rPr>
        <w:t xml:space="preserve">Recommendation 9. </w:t>
      </w:r>
      <w:r w:rsidRPr="00206B2B">
        <w:rPr>
          <w:rFonts w:asciiTheme="minorHAnsi" w:eastAsia="Times New Roman" w:hAnsiTheme="minorHAnsi" w:cstheme="minorHAnsi"/>
          <w:szCs w:val="20"/>
          <w:lang w:eastAsia="en-AU"/>
        </w:rPr>
        <w:t>Co</w:t>
      </w:r>
      <w:r w:rsidRPr="00206B2B">
        <w:rPr>
          <w:rFonts w:asciiTheme="minorHAnsi" w:eastAsia="Times New Roman" w:hAnsiTheme="minorHAnsi" w:cstheme="minorHAnsi"/>
          <w:szCs w:val="20"/>
          <w:lang w:eastAsia="en-AU"/>
        </w:rPr>
        <w:noBreakHyphen/>
        <w:t>fund Women, Peace and Security initiatives with regional and multilateral partners to scale impact across the Pacific and Southeast Asia through shared expertise, joint training, regional data standards, and coordinated long</w:t>
      </w:r>
      <w:r w:rsidRPr="00206B2B">
        <w:rPr>
          <w:rFonts w:asciiTheme="minorHAnsi" w:eastAsia="Times New Roman" w:hAnsiTheme="minorHAnsi" w:cstheme="minorHAnsi"/>
          <w:szCs w:val="20"/>
          <w:lang w:eastAsia="en-AU"/>
        </w:rPr>
        <w:noBreakHyphen/>
        <w:t>term collaboration.</w:t>
      </w:r>
    </w:p>
    <w:p w14:paraId="288332F2" w14:textId="77777777" w:rsidR="00A64CEE" w:rsidRDefault="00A64CEE" w:rsidP="001F480B">
      <w:pPr>
        <w:pStyle w:val="BodyText"/>
        <w:keepNext/>
        <w:keepLines/>
        <w:rPr>
          <w:szCs w:val="20"/>
        </w:rPr>
      </w:pPr>
      <w:r w:rsidRPr="00206B2B">
        <w:rPr>
          <w:b/>
          <w:szCs w:val="20"/>
        </w:rPr>
        <w:t xml:space="preserve">Recommendation 10. </w:t>
      </w:r>
      <w:r w:rsidRPr="00206B2B">
        <w:rPr>
          <w:szCs w:val="20"/>
        </w:rPr>
        <w:t>Establish structured two</w:t>
      </w:r>
      <w:r w:rsidRPr="00206B2B">
        <w:rPr>
          <w:szCs w:val="20"/>
        </w:rPr>
        <w:noBreakHyphen/>
        <w:t>way knowledge</w:t>
      </w:r>
      <w:r w:rsidRPr="00206B2B">
        <w:rPr>
          <w:szCs w:val="20"/>
        </w:rPr>
        <w:noBreakHyphen/>
        <w:t>sharing mechanisms that connect Australia’s domestic gender</w:t>
      </w:r>
      <w:r w:rsidRPr="00206B2B">
        <w:rPr>
          <w:szCs w:val="20"/>
        </w:rPr>
        <w:noBreakHyphen/>
        <w:t>responsive, resilience, and inclusive security approaches with its international WPS work, to strengthen policy coherence and First Nations leadership, and enhance Australia’s credibility and impact in regional engagement.</w:t>
      </w:r>
    </w:p>
    <w:p w14:paraId="4058193A" w14:textId="54EB1A44" w:rsidR="001A54B0" w:rsidRPr="00750311" w:rsidRDefault="005E454D" w:rsidP="00B63606">
      <w:r w:rsidRPr="00B63606">
        <w:rPr>
          <w:noProof/>
        </w:rPr>
        <w:drawing>
          <wp:inline distT="0" distB="0" distL="0" distR="0" wp14:anchorId="2EC3D337" wp14:editId="731D2C96">
            <wp:extent cx="6286500" cy="647700"/>
            <wp:effectExtent l="0" t="0" r="0" b="0"/>
            <wp:docPr id="1697585063" name="Picture 21" descr="Graphic header with text: Priority Ar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85063" name="Picture 21" descr="Graphic header with text: Priority Area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647700"/>
                    </a:xfrm>
                    <a:prstGeom prst="rect">
                      <a:avLst/>
                    </a:prstGeom>
                    <a:noFill/>
                  </pic:spPr>
                </pic:pic>
              </a:graphicData>
            </a:graphic>
          </wp:inline>
        </w:drawing>
      </w:r>
    </w:p>
    <w:p w14:paraId="4C4638EB" w14:textId="37D0A611" w:rsidR="00A64CEE" w:rsidRPr="00206B2B" w:rsidRDefault="00A64CEE" w:rsidP="008F2C22">
      <w:pPr>
        <w:pStyle w:val="Heading3"/>
      </w:pPr>
      <w:r w:rsidRPr="00206B2B">
        <w:t xml:space="preserve">Addressing Emerging and Non-Traditional Security Risks through WPS  </w:t>
      </w:r>
    </w:p>
    <w:p w14:paraId="3D026264" w14:textId="77777777" w:rsidR="00A64CEE" w:rsidRPr="00206B2B" w:rsidRDefault="00A64CEE">
      <w:pPr>
        <w:pStyle w:val="BodyText"/>
        <w:rPr>
          <w:szCs w:val="20"/>
        </w:rPr>
      </w:pPr>
      <w:r w:rsidRPr="00206B2B">
        <w:rPr>
          <w:b/>
          <w:szCs w:val="20"/>
        </w:rPr>
        <w:t xml:space="preserve">Recommendation 11. </w:t>
      </w:r>
      <w:r w:rsidRPr="00206B2B">
        <w:rPr>
          <w:szCs w:val="20"/>
        </w:rPr>
        <w:t>Strengthen women’s leadership in climate adaptation by supporting their roles in planning, early warning systems, and community resilience through community</w:t>
      </w:r>
      <w:r w:rsidRPr="00206B2B">
        <w:rPr>
          <w:szCs w:val="20"/>
        </w:rPr>
        <w:noBreakHyphen/>
        <w:t>led initiatives, gender</w:t>
      </w:r>
      <w:r w:rsidRPr="00206B2B">
        <w:rPr>
          <w:szCs w:val="20"/>
        </w:rPr>
        <w:noBreakHyphen/>
        <w:t>responsive disaster risk reduction policies, and regional climate security engagement.</w:t>
      </w:r>
    </w:p>
    <w:p w14:paraId="1F857A0F" w14:textId="77777777" w:rsidR="00A64CEE" w:rsidRDefault="00A64CEE">
      <w:pPr>
        <w:pStyle w:val="BodyText"/>
        <w:rPr>
          <w:szCs w:val="20"/>
        </w:rPr>
      </w:pPr>
      <w:r w:rsidRPr="00206B2B">
        <w:rPr>
          <w:b/>
          <w:szCs w:val="20"/>
        </w:rPr>
        <w:t xml:space="preserve">Recommendation 12. </w:t>
      </w:r>
      <w:r w:rsidRPr="00206B2B">
        <w:rPr>
          <w:szCs w:val="20"/>
        </w:rPr>
        <w:t>Embed digital safety and counter</w:t>
      </w:r>
      <w:r w:rsidRPr="00206B2B">
        <w:rPr>
          <w:szCs w:val="20"/>
        </w:rPr>
        <w:noBreakHyphen/>
        <w:t>disinformation as core WPS priorities within Australia’s conflict prevention and regional security agenda to protect women online, counter harmful narratives, strengthen early warning, and amplify women’s participation in peace and security processes.</w:t>
      </w:r>
    </w:p>
    <w:p w14:paraId="65B297AB" w14:textId="574D5983" w:rsidR="001A54B0" w:rsidRPr="00206B2B" w:rsidRDefault="00B63606">
      <w:pPr>
        <w:pStyle w:val="BodyText"/>
        <w:rPr>
          <w:szCs w:val="20"/>
        </w:rPr>
      </w:pPr>
      <w:r>
        <w:rPr>
          <w:noProof/>
          <w:szCs w:val="20"/>
        </w:rPr>
        <w:drawing>
          <wp:inline distT="0" distB="0" distL="0" distR="0" wp14:anchorId="3BF86A85" wp14:editId="4F7816B7">
            <wp:extent cx="6286500" cy="647700"/>
            <wp:effectExtent l="0" t="0" r="0" b="0"/>
            <wp:docPr id="1790808465" name="Picture 22" descr="Graphic header with text: Priority Are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08465" name="Picture 22" descr="Graphic header with text: Priority Area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6500" cy="647700"/>
                    </a:xfrm>
                    <a:prstGeom prst="rect">
                      <a:avLst/>
                    </a:prstGeom>
                    <a:noFill/>
                  </pic:spPr>
                </pic:pic>
              </a:graphicData>
            </a:graphic>
          </wp:inline>
        </w:drawing>
      </w:r>
    </w:p>
    <w:p w14:paraId="5EA86238" w14:textId="5A7FA40E" w:rsidR="00A64CEE" w:rsidRPr="00206B2B" w:rsidRDefault="00A64CEE" w:rsidP="008F2C22">
      <w:pPr>
        <w:pStyle w:val="Heading3"/>
      </w:pPr>
      <w:r w:rsidRPr="00206B2B">
        <w:t xml:space="preserve">Resourcing WPS for Conflict Prevention and Peacebuilding  </w:t>
      </w:r>
    </w:p>
    <w:p w14:paraId="7CCCF733" w14:textId="77777777" w:rsidR="00A64CEE" w:rsidRPr="00206B2B" w:rsidRDefault="00A64CEE">
      <w:pPr>
        <w:pStyle w:val="BodyText"/>
        <w:rPr>
          <w:szCs w:val="20"/>
        </w:rPr>
      </w:pPr>
      <w:r w:rsidRPr="00206B2B">
        <w:rPr>
          <w:b/>
          <w:szCs w:val="20"/>
        </w:rPr>
        <w:t xml:space="preserve">Recommendation 13. </w:t>
      </w:r>
      <w:r w:rsidRPr="00206B2B">
        <w:rPr>
          <w:szCs w:val="20"/>
        </w:rPr>
        <w:t>Expand support for women’s peace leadership by increasing funding for women mediators and community</w:t>
      </w:r>
      <w:r w:rsidRPr="00206B2B">
        <w:rPr>
          <w:szCs w:val="20"/>
        </w:rPr>
        <w:noBreakHyphen/>
        <w:t>led peacebuilding and justice initiatives, strengthening training, mentoring, and survivor</w:t>
      </w:r>
      <w:r w:rsidRPr="00206B2B">
        <w:rPr>
          <w:szCs w:val="20"/>
        </w:rPr>
        <w:noBreakHyphen/>
        <w:t>centred approaches across the Pacific, Southeast Asia, and globally.</w:t>
      </w:r>
    </w:p>
    <w:p w14:paraId="5E345F34" w14:textId="77777777" w:rsidR="00A64CEE" w:rsidRPr="00206B2B" w:rsidRDefault="00A64CEE">
      <w:pPr>
        <w:pStyle w:val="BodyText"/>
        <w:rPr>
          <w:szCs w:val="20"/>
        </w:rPr>
      </w:pPr>
      <w:r w:rsidRPr="00206B2B">
        <w:rPr>
          <w:b/>
          <w:szCs w:val="20"/>
        </w:rPr>
        <w:t xml:space="preserve">Recommendation 14. </w:t>
      </w:r>
      <w:r w:rsidRPr="00206B2B">
        <w:rPr>
          <w:szCs w:val="20"/>
        </w:rPr>
        <w:t xml:space="preserve">Use an existing rapid funding </w:t>
      </w:r>
      <w:proofErr w:type="gramStart"/>
      <w:r w:rsidRPr="00206B2B">
        <w:rPr>
          <w:szCs w:val="20"/>
        </w:rPr>
        <w:t>mechanism, or</w:t>
      </w:r>
      <w:proofErr w:type="gramEnd"/>
      <w:r w:rsidRPr="00206B2B">
        <w:rPr>
          <w:szCs w:val="20"/>
        </w:rPr>
        <w:t xml:space="preserve"> establish a WPS Rapid Response Fund if none exists, to provide fast, flexible support to women’s organisations involved in peace negotiations and crisis response across the Pacific and Southeast Asia.</w:t>
      </w:r>
    </w:p>
    <w:p w14:paraId="71D64695" w14:textId="77777777" w:rsidR="00516C7D" w:rsidRDefault="00516C7D" w:rsidP="00B344EA">
      <w:pPr>
        <w:pStyle w:val="BodyText"/>
        <w:rPr>
          <w:b/>
          <w:bCs/>
        </w:rPr>
        <w:sectPr w:rsidR="00516C7D" w:rsidSect="00C548A0">
          <w:headerReference w:type="even" r:id="rId52"/>
          <w:headerReference w:type="default" r:id="rId53"/>
          <w:headerReference w:type="first" r:id="rId54"/>
          <w:type w:val="nextColumn"/>
          <w:pgSz w:w="11907" w:h="16840" w:code="1"/>
          <w:pgMar w:top="851" w:right="851" w:bottom="1134" w:left="851" w:header="680" w:footer="283" w:gutter="0"/>
          <w:cols w:space="720"/>
          <w:docGrid w:linePitch="360"/>
        </w:sectPr>
      </w:pPr>
    </w:p>
    <w:p w14:paraId="49CADF6E" w14:textId="34BD056D" w:rsidR="00731762" w:rsidRPr="00206B2B" w:rsidRDefault="00736BC6" w:rsidP="00621472">
      <w:pPr>
        <w:spacing w:before="0" w:after="200" w:line="276" w:lineRule="auto"/>
        <w:rPr>
          <w:b/>
          <w:bCs/>
        </w:rPr>
        <w:sectPr w:rsidR="00731762" w:rsidRPr="00206B2B" w:rsidSect="00C548A0">
          <w:headerReference w:type="default" r:id="rId55"/>
          <w:type w:val="nextColumn"/>
          <w:pgSz w:w="11907" w:h="16840" w:code="1"/>
          <w:pgMar w:top="851" w:right="851" w:bottom="1134" w:left="851" w:header="680" w:footer="283" w:gutter="0"/>
          <w:cols w:space="720"/>
          <w:docGrid w:linePitch="360"/>
        </w:sectPr>
      </w:pPr>
      <w:r>
        <w:rPr>
          <w:noProof/>
        </w:rPr>
        <w:lastRenderedPageBreak/>
        <w:drawing>
          <wp:anchor distT="0" distB="0" distL="114300" distR="114300" simplePos="0" relativeHeight="251658245" behindDoc="1" locked="1" layoutInCell="1" allowOverlap="1" wp14:anchorId="5285F87E" wp14:editId="5EE353B3">
            <wp:simplePos x="0" y="0"/>
            <wp:positionH relativeFrom="page">
              <wp:align>left</wp:align>
            </wp:positionH>
            <wp:positionV relativeFrom="margin">
              <wp:align>center</wp:align>
            </wp:positionV>
            <wp:extent cx="7632000" cy="10794667"/>
            <wp:effectExtent l="0" t="0" r="7620" b="6985"/>
            <wp:wrapNone/>
            <wp:docPr id="95352945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29451" name="Graphic 1">
                      <a:extLst>
                        <a:ext uri="{C183D7F6-B498-43B3-948B-1728B52AA6E4}">
                          <adec:decorative xmlns:adec="http://schemas.microsoft.com/office/drawing/2017/decorative" val="1"/>
                        </a:ext>
                      </a:extLst>
                    </pic:cNvPr>
                    <pic:cNvPicPr/>
                  </pic:nvPicPr>
                  <pic:blipFill>
                    <a:blip r:embed="rId56"/>
                    <a:stretch>
                      <a:fillRect/>
                    </a:stretch>
                  </pic:blipFill>
                  <pic:spPr>
                    <a:xfrm>
                      <a:off x="0" y="0"/>
                      <a:ext cx="7632000" cy="10794667"/>
                    </a:xfrm>
                    <a:prstGeom prst="rect">
                      <a:avLst/>
                    </a:prstGeom>
                  </pic:spPr>
                </pic:pic>
              </a:graphicData>
            </a:graphic>
            <wp14:sizeRelH relativeFrom="page">
              <wp14:pctWidth>0</wp14:pctWidth>
            </wp14:sizeRelH>
            <wp14:sizeRelV relativeFrom="page">
              <wp14:pctHeight>0</wp14:pctHeight>
            </wp14:sizeRelV>
          </wp:anchor>
        </w:drawing>
      </w:r>
    </w:p>
    <w:p w14:paraId="5B9855FB" w14:textId="6DC58AAB" w:rsidR="00AE5992" w:rsidRPr="00206B2B" w:rsidRDefault="009970EF" w:rsidP="00944D24">
      <w:pPr>
        <w:pStyle w:val="Heading1"/>
      </w:pPr>
      <w:bookmarkStart w:id="3" w:name="_Toc230774041"/>
      <w:r w:rsidRPr="00206B2B">
        <w:lastRenderedPageBreak/>
        <w:t>Introduction</w:t>
      </w:r>
      <w:bookmarkEnd w:id="3"/>
    </w:p>
    <w:p w14:paraId="5EDF255E" w14:textId="145ED22B" w:rsidR="00905D0E" w:rsidRPr="00206B2B" w:rsidRDefault="00905D0E" w:rsidP="00944D24">
      <w:pPr>
        <w:pStyle w:val="Heading2"/>
      </w:pPr>
      <w:r w:rsidRPr="00206B2B">
        <w:t xml:space="preserve">Purpose of the review </w:t>
      </w:r>
    </w:p>
    <w:p w14:paraId="00199B7B" w14:textId="3E39E934" w:rsidR="00CE77A2" w:rsidRPr="00206B2B" w:rsidRDefault="00CE77A2" w:rsidP="00862B5E">
      <w:pPr>
        <w:pStyle w:val="BodyText"/>
      </w:pPr>
      <w:r w:rsidRPr="00206B2B">
        <w:t>The review was commissioned to assess progress</w:t>
      </w:r>
      <w:r w:rsidR="006924CF" w:rsidRPr="00206B2B">
        <w:t xml:space="preserve"> towards objectives</w:t>
      </w:r>
      <w:r w:rsidRPr="00206B2B">
        <w:t xml:space="preserve"> and alignment of Australia’s implementation of the WPS agenda under the Second National Action Plan (2021–2031). It aims to:</w:t>
      </w:r>
    </w:p>
    <w:p w14:paraId="716E60AD" w14:textId="77777777" w:rsidR="00CE77A2" w:rsidRPr="00206B2B" w:rsidRDefault="00CE77A2" w:rsidP="00AF7387">
      <w:pPr>
        <w:pStyle w:val="ListBullet"/>
      </w:pPr>
      <w:r w:rsidRPr="00206B2B">
        <w:t>Evaluate how well commitments under UNSCR 1325 and subsequent resolutions have been integrated across government agencies.</w:t>
      </w:r>
    </w:p>
    <w:p w14:paraId="327FB704" w14:textId="38DABB18" w:rsidR="00CE77A2" w:rsidRPr="00206B2B" w:rsidRDefault="00CE77A2" w:rsidP="00AF7387">
      <w:pPr>
        <w:pStyle w:val="ListBullet"/>
      </w:pPr>
      <w:r w:rsidRPr="00206B2B">
        <w:t xml:space="preserve">Identify </w:t>
      </w:r>
      <w:r w:rsidR="000318A8" w:rsidRPr="00206B2B">
        <w:t>progress</w:t>
      </w:r>
      <w:r w:rsidRPr="00206B2B">
        <w:t>, gaps, and emerging priorities (e.g., climate-security, cyber threats, First Nations perspectives).</w:t>
      </w:r>
    </w:p>
    <w:p w14:paraId="6F086CF5" w14:textId="21316A02" w:rsidR="0052709D" w:rsidRPr="00206B2B" w:rsidRDefault="00CE77A2" w:rsidP="00AF7387">
      <w:pPr>
        <w:pStyle w:val="ListBullet"/>
      </w:pPr>
      <w:r w:rsidRPr="00206B2B">
        <w:t>Inform future policy directions and resource allocation to strengthen WPS outcomes globally and</w:t>
      </w:r>
      <w:r w:rsidR="003F41C0">
        <w:t> </w:t>
      </w:r>
      <w:r w:rsidRPr="00206B2B">
        <w:t>regionally.</w:t>
      </w:r>
    </w:p>
    <w:p w14:paraId="7425FCAD" w14:textId="14B16668" w:rsidR="00905D0E" w:rsidRPr="00206B2B" w:rsidRDefault="00905D0E" w:rsidP="00944D24">
      <w:pPr>
        <w:pStyle w:val="Heading2"/>
      </w:pPr>
      <w:r w:rsidRPr="00206B2B">
        <w:t>Review scope</w:t>
      </w:r>
    </w:p>
    <w:p w14:paraId="06C6E059" w14:textId="3A5DA69D" w:rsidR="00C10E2C" w:rsidRPr="00206B2B" w:rsidRDefault="00C10E2C" w:rsidP="001E2C0B">
      <w:pPr>
        <w:pStyle w:val="BodyText"/>
      </w:pPr>
      <w:r w:rsidRPr="00206B2B">
        <w:t>The review covers:</w:t>
      </w:r>
    </w:p>
    <w:p w14:paraId="16996E3B" w14:textId="419C6C8D" w:rsidR="00C10E2C" w:rsidRPr="00206B2B" w:rsidRDefault="00C10E2C" w:rsidP="0099388F">
      <w:pPr>
        <w:pStyle w:val="BodyText"/>
      </w:pPr>
      <w:r w:rsidRPr="00AF7387">
        <w:rPr>
          <w:rStyle w:val="Strong"/>
        </w:rPr>
        <w:t>Timeframe:</w:t>
      </w:r>
      <w:r w:rsidRPr="00206B2B">
        <w:t xml:space="preserve"> Activities implemented since the launch of the Second National Action Plan in </w:t>
      </w:r>
      <w:r w:rsidRPr="00206B2B">
        <w:rPr>
          <w:b/>
        </w:rPr>
        <w:t>2021</w:t>
      </w:r>
      <w:r w:rsidR="00AF7387">
        <w:rPr>
          <w:b/>
        </w:rPr>
        <w:t> </w:t>
      </w:r>
      <w:r w:rsidRPr="00206B2B">
        <w:rPr>
          <w:b/>
        </w:rPr>
        <w:t>through 202</w:t>
      </w:r>
      <w:r w:rsidR="001E56EF" w:rsidRPr="00206B2B">
        <w:rPr>
          <w:b/>
        </w:rPr>
        <w:t>5</w:t>
      </w:r>
      <w:r w:rsidRPr="00206B2B">
        <w:t xml:space="preserve"> (mid-term review).</w:t>
      </w:r>
    </w:p>
    <w:p w14:paraId="1726943E" w14:textId="14479D39" w:rsidR="00C10E2C" w:rsidRPr="00206B2B" w:rsidRDefault="00C10E2C" w:rsidP="0099388F">
      <w:pPr>
        <w:pStyle w:val="BodyText"/>
      </w:pPr>
      <w:r w:rsidRPr="00AF7387">
        <w:rPr>
          <w:rStyle w:val="Strong"/>
        </w:rPr>
        <w:t>Scope of Activities:</w:t>
      </w:r>
      <w:r w:rsidRPr="00206B2B">
        <w:t xml:space="preserve"> Whole-of-government actions across DFAT, Defence, AFP, </w:t>
      </w:r>
      <w:r w:rsidR="00E02641" w:rsidRPr="00206B2B">
        <w:t>Post</w:t>
      </w:r>
      <w:r w:rsidRPr="00206B2B">
        <w:t xml:space="preserve"> and the Australian Civil-Military Centre</w:t>
      </w:r>
      <w:r w:rsidR="00FD20EA" w:rsidRPr="00206B2B">
        <w:t xml:space="preserve"> (ACMC)</w:t>
      </w:r>
      <w:r w:rsidRPr="00206B2B">
        <w:t xml:space="preserve">, including: </w:t>
      </w:r>
    </w:p>
    <w:p w14:paraId="3E11DAF3" w14:textId="77777777" w:rsidR="00C10E2C" w:rsidRPr="00206B2B" w:rsidRDefault="00C10E2C" w:rsidP="00AF7387">
      <w:pPr>
        <w:pStyle w:val="ListBullet"/>
      </w:pPr>
      <w:r w:rsidRPr="00206B2B">
        <w:t>Diplomatic engagement and advocacy in multilateral forums.</w:t>
      </w:r>
    </w:p>
    <w:p w14:paraId="4E09809B" w14:textId="77777777" w:rsidR="00C10E2C" w:rsidRPr="00206B2B" w:rsidRDefault="00C10E2C" w:rsidP="00AF7387">
      <w:pPr>
        <w:pStyle w:val="ListBullet"/>
      </w:pPr>
      <w:r w:rsidRPr="00206B2B">
        <w:t>Capacity-building programs in Asia-Pacific.</w:t>
      </w:r>
    </w:p>
    <w:p w14:paraId="5D979C77" w14:textId="77777777" w:rsidR="00C10E2C" w:rsidRPr="00206B2B" w:rsidRDefault="00C10E2C" w:rsidP="00AF7387">
      <w:pPr>
        <w:pStyle w:val="ListBullet"/>
      </w:pPr>
      <w:r w:rsidRPr="00206B2B">
        <w:t>Integration of gender perspectives in peacekeeping, humanitarian response, and security operations.</w:t>
      </w:r>
    </w:p>
    <w:p w14:paraId="73F4FC17" w14:textId="261733E4" w:rsidR="006B5B48" w:rsidRPr="00206B2B" w:rsidRDefault="00C10E2C" w:rsidP="00AF7387">
      <w:pPr>
        <w:pStyle w:val="ListBullet"/>
      </w:pPr>
      <w:r w:rsidRPr="00206B2B">
        <w:t>Partnerships with civil society and regional organi</w:t>
      </w:r>
      <w:r w:rsidR="00792DED" w:rsidRPr="00206B2B">
        <w:t>s</w:t>
      </w:r>
      <w:r w:rsidRPr="00206B2B">
        <w:t>ations.</w:t>
      </w:r>
    </w:p>
    <w:p w14:paraId="098FE7A8" w14:textId="74B272C1" w:rsidR="00905D0E" w:rsidRPr="00206B2B" w:rsidRDefault="00905D0E" w:rsidP="00944D24">
      <w:pPr>
        <w:pStyle w:val="Heading2"/>
      </w:pPr>
      <w:r w:rsidRPr="00206B2B">
        <w:t>Approach</w:t>
      </w:r>
    </w:p>
    <w:p w14:paraId="431567BA" w14:textId="5C198F73" w:rsidR="00CD2A75" w:rsidRDefault="00AD7E68" w:rsidP="0099388F">
      <w:pPr>
        <w:pStyle w:val="BodyText"/>
      </w:pPr>
      <w:r w:rsidRPr="00206B2B">
        <w:t>The review employs a mixed</w:t>
      </w:r>
      <w:r w:rsidRPr="00206B2B">
        <w:noBreakHyphen/>
        <w:t>methods approach, integrating qualitative and quantitative techniques to ensure a comprehensive assessment. Data collection involved a systematic document and literature review of key policy documents, including progress reports, agency implementation plans</w:t>
      </w:r>
      <w:r w:rsidR="00E41A11" w:rsidRPr="00206B2B">
        <w:t xml:space="preserve"> (where possible)</w:t>
      </w:r>
      <w:r w:rsidRPr="00206B2B">
        <w:t>, relevant legislation, academic research and grey literature, to identify key policy frameworks, international commitments and global best practices. This was complemented by stakeholder consultations conducted through semi</w:t>
      </w:r>
      <w:r w:rsidRPr="00206B2B">
        <w:noBreakHyphen/>
        <w:t xml:space="preserve">structured interviews and focus groups with a sample of </w:t>
      </w:r>
      <w:r w:rsidR="00A23360" w:rsidRPr="00206B2B">
        <w:t>APS</w:t>
      </w:r>
      <w:r w:rsidRPr="00206B2B">
        <w:t xml:space="preserve"> implementing partners, DFAT investment partners, civil society stakeholders, and DFAT posts</w:t>
      </w:r>
      <w:r w:rsidR="00DF3163" w:rsidRPr="00206B2B">
        <w:t>.</w:t>
      </w:r>
      <w:r w:rsidRPr="00206B2B">
        <w:t xml:space="preserve"> Stakeholders who were unable to attend in</w:t>
      </w:r>
      <w:r w:rsidRPr="00206B2B">
        <w:noBreakHyphen/>
        <w:t>person consultations were invited to contribute via an online form, which was also made available to all participants to provide additional insights following the consultations.</w:t>
      </w:r>
      <w:r w:rsidR="00C267CA" w:rsidRPr="00206B2B">
        <w:t xml:space="preserve"> </w:t>
      </w:r>
      <w:r w:rsidRPr="00206B2B">
        <w:t xml:space="preserve">Case studies of selected domestic and international initiatives, drawn from consultations and the document and literature review, were examined for relevance, effectiveness, sustainability and lessons learned. Data analysis </w:t>
      </w:r>
      <w:r w:rsidR="006456C0" w:rsidRPr="00206B2B">
        <w:t>primarily included</w:t>
      </w:r>
      <w:r w:rsidRPr="00206B2B">
        <w:t xml:space="preserve"> thematic analysis to identify trends, gaps and success factors, </w:t>
      </w:r>
      <w:r w:rsidR="00586B63" w:rsidRPr="00206B2B">
        <w:t>considering</w:t>
      </w:r>
      <w:r w:rsidRPr="00206B2B">
        <w:t xml:space="preserve"> progress against the planned </w:t>
      </w:r>
      <w:r w:rsidR="009207E8" w:rsidRPr="00206B2B">
        <w:t>objectives</w:t>
      </w:r>
      <w:r w:rsidRPr="00206B2B">
        <w:t xml:space="preserve"> and anticipated outcomes. </w:t>
      </w:r>
      <w:r w:rsidR="00CD2A75">
        <w:br w:type="page"/>
      </w:r>
    </w:p>
    <w:p w14:paraId="2ADE296E" w14:textId="7CE9412F" w:rsidR="00905D0E" w:rsidRPr="00206B2B" w:rsidRDefault="00905D0E" w:rsidP="00944D24">
      <w:pPr>
        <w:pStyle w:val="Heading2"/>
      </w:pPr>
      <w:r w:rsidRPr="00206B2B">
        <w:lastRenderedPageBreak/>
        <w:t>Limitations</w:t>
      </w:r>
    </w:p>
    <w:p w14:paraId="0FEBB894" w14:textId="3989BCDB" w:rsidR="000B3FE4" w:rsidRPr="00CD2A75" w:rsidRDefault="000B3FE4" w:rsidP="00CD2A75">
      <w:r w:rsidRPr="00206B2B">
        <w:t>T</w:t>
      </w:r>
      <w:r w:rsidRPr="00CD2A75">
        <w:t>he review drew on a mix of quantitative and qualitative inputs, including progress reports, strategy and policy documents, contemporary literature, and extensive stakeholder consultations. However, the current M&amp;E framework does not require implementing agencies to report quantitative data against specific measures or objectives. This significantly limits the ability to assess progress against intended outcomes or evaluate the effectiveness of initiatives under the NAP.</w:t>
      </w:r>
    </w:p>
    <w:p w14:paraId="715C01A6" w14:textId="77777777" w:rsidR="00591A2C" w:rsidRPr="00CD2A75" w:rsidRDefault="000B3FE4" w:rsidP="00CD2A75">
      <w:r w:rsidRPr="00CD2A75">
        <w:t>As a result, progress has largely been measured through the completion of activities rather than demonstrable impact. Consequently, this independent mid-term review relied primarily on case studies, qualitative evidence, and consultation insights provided by implementing agencies, investment partners, and civil society to analyse progress against objectives and outcomes.</w:t>
      </w:r>
    </w:p>
    <w:p w14:paraId="53B7E64F" w14:textId="2C5D980A" w:rsidR="0008099D" w:rsidRPr="00591A2C" w:rsidRDefault="00591A2C" w:rsidP="00CD2A75">
      <w:pPr>
        <w:rPr>
          <w:iCs/>
        </w:rPr>
      </w:pPr>
      <w:r w:rsidRPr="00CD2A75">
        <w:t>The snapshot summaries provided under each outcome in this report offer a high</w:t>
      </w:r>
      <w:r w:rsidRPr="00CD2A75">
        <w:rPr>
          <w:rFonts w:ascii="Cambria Math" w:hAnsi="Cambria Math" w:cs="Cambria Math"/>
        </w:rPr>
        <w:t>‑</w:t>
      </w:r>
      <w:r w:rsidRPr="00CD2A75">
        <w:t>level overview of sele</w:t>
      </w:r>
      <w:r w:rsidRPr="00591A2C">
        <w:rPr>
          <w:iCs/>
        </w:rPr>
        <w:t>ctive WPS activities undertaken by implementing partners. They are intended as illustrative highlights and should not be regarded as a comprehensive account of all activities conducted.</w:t>
      </w:r>
      <w:r w:rsidR="0008099D" w:rsidRPr="00591A2C">
        <w:rPr>
          <w:iCs/>
        </w:rPr>
        <w:br w:type="page"/>
      </w:r>
    </w:p>
    <w:p w14:paraId="273928E8" w14:textId="1B7697A5" w:rsidR="00AE5992" w:rsidRPr="00206B2B" w:rsidRDefault="009970EF" w:rsidP="00944D24">
      <w:pPr>
        <w:pStyle w:val="Heading1"/>
      </w:pPr>
      <w:bookmarkStart w:id="4" w:name="_Toc230774042"/>
      <w:r w:rsidRPr="00206B2B">
        <w:lastRenderedPageBreak/>
        <w:t>Strategic Context</w:t>
      </w:r>
      <w:bookmarkEnd w:id="4"/>
    </w:p>
    <w:p w14:paraId="2961DC23" w14:textId="0695CE16" w:rsidR="00D96D87" w:rsidRPr="00206B2B" w:rsidRDefault="00D96D87" w:rsidP="006979E2">
      <w:pPr>
        <w:pStyle w:val="BodyText"/>
      </w:pPr>
      <w:r w:rsidRPr="00206B2B">
        <w:t>The global WPS agenda has undergone significant evolution since its inception in 2000. The adoption of UN</w:t>
      </w:r>
      <w:r w:rsidR="0025609A" w:rsidRPr="00206B2B">
        <w:t>SCR</w:t>
      </w:r>
      <w:r w:rsidRPr="00206B2B">
        <w:t xml:space="preserve"> 1325 marked a turning point by recogni</w:t>
      </w:r>
      <w:r w:rsidR="008F485C" w:rsidRPr="00206B2B">
        <w:t>s</w:t>
      </w:r>
      <w:r w:rsidRPr="00206B2B">
        <w:t>ing women as active agents in peacebuilding rather than passive victims of conflict.</w:t>
      </w:r>
      <w:r w:rsidR="00EA3ECD" w:rsidRPr="00206B2B">
        <w:rPr>
          <w:rStyle w:val="FootnoteReference"/>
        </w:rPr>
        <w:footnoteReference w:id="14"/>
      </w:r>
      <w:r w:rsidR="00EA3ECD" w:rsidRPr="00206B2B">
        <w:t xml:space="preserve"> </w:t>
      </w:r>
      <w:r w:rsidRPr="00206B2B">
        <w:t>This foundational shift paved the way for a series of ten subsequent Security Council resolutions that broadened the WPS framework, embedding gender perspectives into peacekeeping operations, mediation efforts, and post-conflict recovery strategies.</w:t>
      </w:r>
    </w:p>
    <w:p w14:paraId="7B4BA66A" w14:textId="1C9E911A" w:rsidR="004A5CD6" w:rsidRPr="00206B2B" w:rsidRDefault="00D96D87" w:rsidP="006979E2">
      <w:pPr>
        <w:pStyle w:val="BodyText"/>
      </w:pPr>
      <w:r w:rsidRPr="00206B2B">
        <w:t>Over the past two decades, WPS has been institutionali</w:t>
      </w:r>
      <w:r w:rsidR="00B57DB9" w:rsidRPr="00206B2B">
        <w:t>s</w:t>
      </w:r>
      <w:r w:rsidRPr="00206B2B">
        <w:t xml:space="preserve">ed at both national and regional levels. More than 100 countries have developed </w:t>
      </w:r>
      <w:r w:rsidR="00FD5D1E" w:rsidRPr="00206B2B">
        <w:t>NAP</w:t>
      </w:r>
      <w:r w:rsidRPr="00206B2B">
        <w:t>s to operationali</w:t>
      </w:r>
      <w:r w:rsidR="00B57DB9" w:rsidRPr="00206B2B">
        <w:t>s</w:t>
      </w:r>
      <w:r w:rsidRPr="00206B2B">
        <w:t>e WPS commitments, while regional organi</w:t>
      </w:r>
      <w:r w:rsidR="00B57DB9" w:rsidRPr="00206B2B">
        <w:t>s</w:t>
      </w:r>
      <w:r w:rsidRPr="00206B2B">
        <w:t>ations such as the European Union, African Union,</w:t>
      </w:r>
      <w:r w:rsidR="000F776C" w:rsidRPr="00206B2B">
        <w:t xml:space="preserve"> ASEAN </w:t>
      </w:r>
      <w:r w:rsidRPr="00206B2B">
        <w:t>and N</w:t>
      </w:r>
      <w:r w:rsidR="00C05674" w:rsidRPr="00206B2B">
        <w:t xml:space="preserve">orth </w:t>
      </w:r>
      <w:r w:rsidRPr="00206B2B">
        <w:t>A</w:t>
      </w:r>
      <w:r w:rsidR="00C05674" w:rsidRPr="00206B2B">
        <w:t xml:space="preserve">tlantic </w:t>
      </w:r>
      <w:r w:rsidRPr="00206B2B">
        <w:t>T</w:t>
      </w:r>
      <w:r w:rsidR="00C05674" w:rsidRPr="00206B2B">
        <w:t xml:space="preserve">reaty </w:t>
      </w:r>
      <w:r w:rsidRPr="00206B2B">
        <w:t>O</w:t>
      </w:r>
      <w:r w:rsidR="00C05674" w:rsidRPr="00206B2B">
        <w:t>rganisation (NATO)</w:t>
      </w:r>
      <w:r w:rsidRPr="00206B2B">
        <w:t xml:space="preserve"> have integrated WPS principles into their security and defen</w:t>
      </w:r>
      <w:r w:rsidR="00CD7646" w:rsidRPr="00206B2B">
        <w:t>c</w:t>
      </w:r>
      <w:r w:rsidRPr="00206B2B">
        <w:t>e frameworks.</w:t>
      </w:r>
      <w:r w:rsidR="00C07071" w:rsidRPr="00206B2B">
        <w:rPr>
          <w:rStyle w:val="FootnoteReference"/>
        </w:rPr>
        <w:footnoteReference w:id="15"/>
      </w:r>
      <w:r w:rsidRPr="00206B2B">
        <w:t xml:space="preserve"> </w:t>
      </w:r>
      <w:r w:rsidR="00C97D6B" w:rsidRPr="00206B2B">
        <w:t xml:space="preserve">The South Pacific </w:t>
      </w:r>
      <w:r w:rsidR="007F65EF" w:rsidRPr="00206B2B">
        <w:t>Defence Ministers’ Meeting (SPDMM)</w:t>
      </w:r>
      <w:r w:rsidR="00A85632" w:rsidRPr="00206B2B">
        <w:t xml:space="preserve"> has</w:t>
      </w:r>
      <w:r w:rsidR="008E479E" w:rsidRPr="00206B2B">
        <w:t xml:space="preserve"> also</w:t>
      </w:r>
      <w:r w:rsidR="00A85632" w:rsidRPr="00206B2B">
        <w:t xml:space="preserve"> integrated WPS into </w:t>
      </w:r>
      <w:r w:rsidR="00C00FB1" w:rsidRPr="00206B2B">
        <w:t>its governance framework</w:t>
      </w:r>
      <w:r w:rsidR="00EE5E8A" w:rsidRPr="00206B2B">
        <w:t xml:space="preserve"> and is developing a WPS Guidance Note for consideration at the next SPDMM in 2026.</w:t>
      </w:r>
      <w:r w:rsidR="00EE5E8A" w:rsidRPr="00206B2B">
        <w:rPr>
          <w:rStyle w:val="FootnoteReference"/>
        </w:rPr>
        <w:footnoteReference w:id="16"/>
      </w:r>
      <w:r w:rsidR="00C00FB1" w:rsidRPr="00206B2B">
        <w:t xml:space="preserve"> </w:t>
      </w:r>
    </w:p>
    <w:p w14:paraId="2A46EC34" w14:textId="739D34E3" w:rsidR="00D96D87" w:rsidRPr="00206B2B" w:rsidRDefault="00D96D87" w:rsidP="006979E2">
      <w:pPr>
        <w:pStyle w:val="BodyText"/>
      </w:pPr>
      <w:r w:rsidRPr="00206B2B">
        <w:t>Within the U</w:t>
      </w:r>
      <w:r w:rsidR="00B75029" w:rsidRPr="00206B2B">
        <w:t xml:space="preserve">nited </w:t>
      </w:r>
      <w:r w:rsidRPr="00206B2B">
        <w:t>N</w:t>
      </w:r>
      <w:r w:rsidR="00B75029" w:rsidRPr="00206B2B">
        <w:t>ations</w:t>
      </w:r>
      <w:r w:rsidRPr="00206B2B">
        <w:t xml:space="preserve"> </w:t>
      </w:r>
      <w:r w:rsidR="00B75029" w:rsidRPr="00206B2B">
        <w:t xml:space="preserve">(UN) </w:t>
      </w:r>
      <w:r w:rsidRPr="00206B2B">
        <w:t>system, gender advisers</w:t>
      </w:r>
      <w:r w:rsidR="008F4EF6" w:rsidRPr="00206B2B">
        <w:t xml:space="preserve"> (GENADs)</w:t>
      </w:r>
      <w:r w:rsidRPr="00206B2B">
        <w:t xml:space="preserve"> and WPS focal points have become standard features of peacekeeping missions, </w:t>
      </w:r>
      <w:r w:rsidR="005848C1" w:rsidRPr="00206B2B">
        <w:t>signalling</w:t>
      </w:r>
      <w:r w:rsidRPr="00206B2B">
        <w:t xml:space="preserve"> a systemic shift toward gender-responsive approaches.</w:t>
      </w:r>
      <w:r w:rsidR="00175620" w:rsidRPr="00206B2B">
        <w:rPr>
          <w:rStyle w:val="FootnoteReference"/>
        </w:rPr>
        <w:footnoteReference w:id="17"/>
      </w:r>
      <w:r w:rsidR="00F10783" w:rsidRPr="00206B2B">
        <w:t xml:space="preserve"> </w:t>
      </w:r>
      <w:r w:rsidR="000E6FA5" w:rsidRPr="00206B2B">
        <w:t>Q</w:t>
      </w:r>
      <w:r w:rsidR="00A96F80" w:rsidRPr="00206B2B">
        <w:t xml:space="preserve">uantitative analysis </w:t>
      </w:r>
      <w:r w:rsidR="00240ADF" w:rsidRPr="00206B2B">
        <w:t>by Laurel Stone</w:t>
      </w:r>
      <w:r w:rsidR="00102304" w:rsidRPr="00206B2B">
        <w:t>, as cited</w:t>
      </w:r>
      <w:r w:rsidR="00240ADF" w:rsidRPr="00206B2B">
        <w:t xml:space="preserve"> </w:t>
      </w:r>
      <w:r w:rsidR="002C5175" w:rsidRPr="00206B2B">
        <w:t xml:space="preserve">in </w:t>
      </w:r>
      <w:r w:rsidR="009216AF" w:rsidRPr="00206B2B">
        <w:t>UN Women</w:t>
      </w:r>
      <w:r w:rsidR="002C5175" w:rsidRPr="00206B2B">
        <w:t xml:space="preserve">’s </w:t>
      </w:r>
      <w:r w:rsidR="005836C4" w:rsidRPr="00206B2B">
        <w:t>g</w:t>
      </w:r>
      <w:r w:rsidR="002C5175" w:rsidRPr="00206B2B">
        <w:t>l</w:t>
      </w:r>
      <w:r w:rsidR="00240ADF" w:rsidRPr="00206B2B">
        <w:t xml:space="preserve">obal </w:t>
      </w:r>
      <w:r w:rsidR="005836C4" w:rsidRPr="00206B2B">
        <w:t>s</w:t>
      </w:r>
      <w:r w:rsidR="00240ADF" w:rsidRPr="00206B2B">
        <w:t>tudy</w:t>
      </w:r>
      <w:r w:rsidR="005F119A" w:rsidRPr="00206B2B">
        <w:t xml:space="preserve"> on</w:t>
      </w:r>
      <w:r w:rsidR="003F3591" w:rsidRPr="00206B2B">
        <w:t xml:space="preserve"> the </w:t>
      </w:r>
      <w:r w:rsidR="001D3D62" w:rsidRPr="00206B2B">
        <w:t>i</w:t>
      </w:r>
      <w:r w:rsidR="00132881" w:rsidRPr="00206B2B">
        <w:t>mplementation of UNSCR 1325</w:t>
      </w:r>
      <w:r w:rsidR="00240ADF" w:rsidRPr="00206B2B">
        <w:t>,</w:t>
      </w:r>
      <w:r w:rsidR="00D91E2D" w:rsidRPr="00206B2B">
        <w:t xml:space="preserve"> indicates</w:t>
      </w:r>
      <w:r w:rsidR="009216AF" w:rsidRPr="00206B2B">
        <w:t xml:space="preserve"> that</w:t>
      </w:r>
      <w:r w:rsidR="003F3591" w:rsidRPr="00206B2B">
        <w:t xml:space="preserve"> peace agreements are 35</w:t>
      </w:r>
      <w:r w:rsidR="00D437A0" w:rsidRPr="00206B2B">
        <w:t xml:space="preserve"> per cent</w:t>
      </w:r>
      <w:r w:rsidR="003F3591" w:rsidRPr="00206B2B">
        <w:t xml:space="preserve"> more likely to </w:t>
      </w:r>
      <w:r w:rsidR="0039582C" w:rsidRPr="00206B2B">
        <w:t>endure for</w:t>
      </w:r>
      <w:r w:rsidR="003F3591" w:rsidRPr="00206B2B">
        <w:t xml:space="preserve"> at least 15 years when women are involved in their creation</w:t>
      </w:r>
      <w:r w:rsidR="00A23B92" w:rsidRPr="00206B2B">
        <w:t>.</w:t>
      </w:r>
      <w:r w:rsidR="00A23B92" w:rsidRPr="00206B2B">
        <w:rPr>
          <w:rStyle w:val="FootnoteReference"/>
        </w:rPr>
        <w:footnoteReference w:id="18"/>
      </w:r>
    </w:p>
    <w:p w14:paraId="2BDD7C87" w14:textId="3D2BE49C" w:rsidR="00B57DB9" w:rsidRPr="00206B2B" w:rsidRDefault="00D96D87" w:rsidP="006979E2">
      <w:pPr>
        <w:pStyle w:val="BodyText"/>
      </w:pPr>
      <w:r w:rsidRPr="00206B2B">
        <w:t>Despite these advances, progress remains uneven. Women’s participation in UN peacekeeping has doubled since 2017, and gender provisions are increasingly included in peace agreements.</w:t>
      </w:r>
      <w:r w:rsidR="00175620" w:rsidRPr="00206B2B">
        <w:rPr>
          <w:rStyle w:val="FootnoteReference"/>
        </w:rPr>
        <w:footnoteReference w:id="19"/>
      </w:r>
      <w:r w:rsidRPr="00206B2B">
        <w:t xml:space="preserve"> However, women still account for less than 10</w:t>
      </w:r>
      <w:r w:rsidR="002F137F" w:rsidRPr="00206B2B">
        <w:t xml:space="preserve"> </w:t>
      </w:r>
      <w:r w:rsidR="00C32713" w:rsidRPr="00206B2B">
        <w:t>per cent</w:t>
      </w:r>
      <w:r w:rsidRPr="00206B2B">
        <w:t xml:space="preserve"> of negotiators globally, and funding for women-led peacebuilding initiatives remains critically low</w:t>
      </w:r>
      <w:r w:rsidR="0001474A" w:rsidRPr="00206B2B">
        <w:t>, with</w:t>
      </w:r>
      <w:r w:rsidR="00B57DB9" w:rsidRPr="00206B2B">
        <w:t xml:space="preserve"> </w:t>
      </w:r>
      <w:r w:rsidRPr="00206B2B">
        <w:t xml:space="preserve">under </w:t>
      </w:r>
      <w:r w:rsidR="00DA02AD" w:rsidRPr="00206B2B">
        <w:t>1</w:t>
      </w:r>
      <w:r w:rsidR="00552C85" w:rsidRPr="00206B2B">
        <w:t xml:space="preserve"> per cent</w:t>
      </w:r>
      <w:r w:rsidRPr="00206B2B">
        <w:t xml:space="preserve"> of aid directed to conflict-affected states.</w:t>
      </w:r>
      <w:r w:rsidR="00B61112" w:rsidRPr="00206B2B">
        <w:rPr>
          <w:rStyle w:val="FootnoteReference"/>
        </w:rPr>
        <w:footnoteReference w:id="20"/>
      </w:r>
      <w:r w:rsidRPr="00206B2B">
        <w:t xml:space="preserve"> These gaps highlight persistent structural and resource barriers to full implementation of the WPS agenda.</w:t>
      </w:r>
    </w:p>
    <w:p w14:paraId="04BC270B" w14:textId="61F79189" w:rsidR="00D90100" w:rsidRDefault="00D96D87" w:rsidP="006979E2">
      <w:pPr>
        <w:pStyle w:val="BodyText"/>
      </w:pPr>
      <w:r w:rsidRPr="00206B2B">
        <w:t>The WPS landscape is also adapting to emerging global challenges. Issues such as climate insecurity, cyber threats, violent extremism, and backlash against women’s rights have complicated implementation, requiring a broader interpretation of WPS beyond traditional conflict settings.</w:t>
      </w:r>
      <w:r w:rsidR="00A6089F" w:rsidRPr="00206B2B">
        <w:rPr>
          <w:rStyle w:val="FootnoteReference"/>
        </w:rPr>
        <w:footnoteReference w:id="21"/>
      </w:r>
      <w:r w:rsidRPr="00206B2B">
        <w:t xml:space="preserve"> Today, WPS is increasingly linked to disaster response, digital security, and climate-related displacement, reflecting the interconnected nature of modern security threats. </w:t>
      </w:r>
      <w:r w:rsidR="00D90100">
        <w:br w:type="page"/>
      </w:r>
    </w:p>
    <w:p w14:paraId="4CE4205E" w14:textId="77A15EBB" w:rsidR="00962DBD" w:rsidRPr="00206B2B" w:rsidRDefault="00D96D87" w:rsidP="006979E2">
      <w:pPr>
        <w:pStyle w:val="BodyText"/>
      </w:pPr>
      <w:r w:rsidRPr="00206B2B">
        <w:lastRenderedPageBreak/>
        <w:t>This evolution underscores the need for intersectional approaches, stronger accountability mechanisms, and greater investment in grassroots women’s organi</w:t>
      </w:r>
      <w:r w:rsidR="00B57DB9" w:rsidRPr="00206B2B">
        <w:t>s</w:t>
      </w:r>
      <w:r w:rsidRPr="00206B2B">
        <w:t>ations to sustain progress.</w:t>
      </w:r>
    </w:p>
    <w:p w14:paraId="0E3C47C0" w14:textId="2BE7144A" w:rsidR="006C1DD3" w:rsidRPr="00206B2B" w:rsidRDefault="0041002C" w:rsidP="006979E2">
      <w:pPr>
        <w:pStyle w:val="BodyText"/>
      </w:pPr>
      <w:r w:rsidRPr="00206B2B">
        <w:t>In multilateral forums, some permanent members of the Security Council have expressed reservations about aspects of the WPS agenda, often emphasising concerns around sovereignty, mandate scope, and prioriti</w:t>
      </w:r>
      <w:r w:rsidR="00626838" w:rsidRPr="00206B2B">
        <w:t>s</w:t>
      </w:r>
      <w:r w:rsidRPr="00206B2B">
        <w:t>ation of core security issues.</w:t>
      </w:r>
      <w:r w:rsidR="00053D38" w:rsidRPr="00206B2B">
        <w:rPr>
          <w:rStyle w:val="FootnoteReference"/>
        </w:rPr>
        <w:footnoteReference w:id="22"/>
      </w:r>
      <w:r w:rsidRPr="00206B2B">
        <w:t xml:space="preserve"> These positions typically manifest through calls for more limited language in resolutions, caution against expanding WPS provisions beyond traditional conflict settings, and resistance to linking gender considerations with broader peacekeeping or sanctions frameworks.</w:t>
      </w:r>
      <w:r w:rsidR="00ED4017" w:rsidRPr="00206B2B">
        <w:rPr>
          <w:rStyle w:val="FootnoteReference"/>
        </w:rPr>
        <w:footnoteReference w:id="23"/>
      </w:r>
      <w:r w:rsidRPr="00206B2B">
        <w:t xml:space="preserve"> While these perspectives do not reject WPS outright, they reflect a preference for a narrower interpretation</w:t>
      </w:r>
      <w:r w:rsidR="004432B1" w:rsidRPr="00206B2B">
        <w:t xml:space="preserve">. </w:t>
      </w:r>
      <w:r w:rsidR="00D84709" w:rsidRPr="00206B2B">
        <w:t>This cautious stance at the global level often translates into slower or more limited implementation of WPS commitments in regional contexts, including the Asia-Pacific.</w:t>
      </w:r>
      <w:r w:rsidR="005030C8" w:rsidRPr="00206B2B">
        <w:rPr>
          <w:rStyle w:val="FootnoteReference"/>
        </w:rPr>
        <w:t xml:space="preserve"> </w:t>
      </w:r>
      <w:r w:rsidR="005030C8" w:rsidRPr="00206B2B">
        <w:t xml:space="preserve"> </w:t>
      </w:r>
      <w:r w:rsidR="00D84709" w:rsidRPr="00206B2B">
        <w:t>When international frameworks lack strong language or clear mandates, regional organi</w:t>
      </w:r>
      <w:r w:rsidR="00A9087B" w:rsidRPr="00206B2B">
        <w:t>s</w:t>
      </w:r>
      <w:r w:rsidR="00D84709" w:rsidRPr="00206B2B">
        <w:t>ations and national governments may adopt narrower interpretations, focusing on technical compliance rather than transformative change.</w:t>
      </w:r>
      <w:r w:rsidR="001C09A7" w:rsidRPr="00206B2B">
        <w:rPr>
          <w:rStyle w:val="FootnoteReference"/>
        </w:rPr>
        <w:footnoteReference w:id="24"/>
      </w:r>
      <w:r w:rsidR="00D84709" w:rsidRPr="00206B2B">
        <w:t xml:space="preserve"> This can result in gaps in funding, reduced prioriti</w:t>
      </w:r>
      <w:r w:rsidR="0046744C" w:rsidRPr="00206B2B">
        <w:t>s</w:t>
      </w:r>
      <w:r w:rsidR="00D84709" w:rsidRPr="00206B2B">
        <w:t>ation of gender-sensitive security measures, and limited support for grassroots women’s organisations particularly in regions where cultural norms already constrain women’s participation in decision-making.</w:t>
      </w:r>
    </w:p>
    <w:p w14:paraId="47E0F67C" w14:textId="0F7557C9" w:rsidR="006C1DD3" w:rsidRPr="00206B2B" w:rsidRDefault="0046744C" w:rsidP="00944D24">
      <w:pPr>
        <w:pStyle w:val="Heading2"/>
      </w:pPr>
      <w:r w:rsidRPr="00206B2B">
        <w:t xml:space="preserve">The </w:t>
      </w:r>
      <w:r w:rsidR="006C1DD3" w:rsidRPr="00206B2B">
        <w:t xml:space="preserve">Asia-Pacific </w:t>
      </w:r>
      <w:r w:rsidRPr="00206B2B">
        <w:t>R</w:t>
      </w:r>
      <w:r w:rsidR="006C1DD3" w:rsidRPr="00206B2B">
        <w:t>egion</w:t>
      </w:r>
    </w:p>
    <w:p w14:paraId="560A4A03" w14:textId="13C98833" w:rsidR="00CE7E68" w:rsidRPr="00206B2B" w:rsidRDefault="006C1DD3" w:rsidP="006979E2">
      <w:pPr>
        <w:pStyle w:val="BodyText"/>
      </w:pPr>
      <w:r w:rsidRPr="00206B2B">
        <w:t>The WPS agenda in the Asia-Pacific region has gained momentum in recent years, marked by significant policy developments and regional collaboration. A major milestone was the adoption of ASEAN’s Regional Plan of Action on WPS in 2022, which provides a framework for member states to integrate gender perspectives into peace and security initiatives.</w:t>
      </w:r>
      <w:r w:rsidR="00B56BC7" w:rsidRPr="00206B2B">
        <w:rPr>
          <w:rStyle w:val="FootnoteReference"/>
        </w:rPr>
        <w:footnoteReference w:id="25"/>
      </w:r>
      <w:r w:rsidRPr="00206B2B">
        <w:t xml:space="preserve"> Similarly, the Pacific Islands Forum </w:t>
      </w:r>
      <w:r w:rsidR="0046744C" w:rsidRPr="00206B2B">
        <w:t xml:space="preserve">(PIF) </w:t>
      </w:r>
      <w:r w:rsidRPr="00206B2B">
        <w:t>has embedded WPS principles within its resilience frameworks, reflecting the region’s commitment to addressing security challenges through inclusive approaches.</w:t>
      </w:r>
      <w:r w:rsidR="00C054A8" w:rsidRPr="00206B2B">
        <w:rPr>
          <w:rStyle w:val="FootnoteReference"/>
        </w:rPr>
        <w:footnoteReference w:id="26"/>
      </w:r>
      <w:r w:rsidR="00827BF4" w:rsidRPr="00206B2B">
        <w:t xml:space="preserve"> </w:t>
      </w:r>
      <w:r w:rsidR="00C11D4A" w:rsidRPr="00206B2B">
        <w:t xml:space="preserve">Through the </w:t>
      </w:r>
      <w:r w:rsidR="00C11D4A" w:rsidRPr="00206B2B">
        <w:rPr>
          <w:i/>
        </w:rPr>
        <w:t>Bo</w:t>
      </w:r>
      <w:r w:rsidR="0004633A" w:rsidRPr="00206B2B">
        <w:rPr>
          <w:i/>
        </w:rPr>
        <w:t>e</w:t>
      </w:r>
      <w:r w:rsidR="00C11D4A" w:rsidRPr="00206B2B">
        <w:rPr>
          <w:i/>
        </w:rPr>
        <w:t xml:space="preserve"> Declaration on Regional Security 2018</w:t>
      </w:r>
      <w:r w:rsidR="0062542E" w:rsidRPr="00206B2B">
        <w:t xml:space="preserve">, the PIF has recognised </w:t>
      </w:r>
      <w:r w:rsidR="00042841" w:rsidRPr="00206B2B">
        <w:t>intersecting regional challenges</w:t>
      </w:r>
      <w:r w:rsidR="00C40AB4" w:rsidRPr="00206B2B">
        <w:t>.</w:t>
      </w:r>
      <w:r w:rsidR="00E466F9" w:rsidRPr="00206B2B">
        <w:rPr>
          <w:rStyle w:val="FootnoteReference"/>
        </w:rPr>
        <w:footnoteReference w:id="27"/>
      </w:r>
      <w:r w:rsidR="00C40AB4" w:rsidRPr="00206B2B">
        <w:t xml:space="preserve"> This includes climate change as the greatest threat to security and livelihoods</w:t>
      </w:r>
      <w:r w:rsidR="00EA16C3" w:rsidRPr="00206B2B">
        <w:t xml:space="preserve"> and expanding </w:t>
      </w:r>
      <w:r w:rsidR="00776F17" w:rsidRPr="00206B2B">
        <w:t xml:space="preserve">the concept of security to include </w:t>
      </w:r>
      <w:r w:rsidR="00B70A9F" w:rsidRPr="00206B2B">
        <w:t>human security, environmental and resource security, transnational crime and cybersecurity.</w:t>
      </w:r>
      <w:r w:rsidR="00B70A9F" w:rsidRPr="00206B2B">
        <w:rPr>
          <w:rStyle w:val="FootnoteReference"/>
        </w:rPr>
        <w:footnoteReference w:id="28"/>
      </w:r>
      <w:r w:rsidR="002E0E65" w:rsidRPr="00206B2B">
        <w:t xml:space="preserve"> </w:t>
      </w:r>
    </w:p>
    <w:p w14:paraId="0D61244B" w14:textId="44D0ADBF" w:rsidR="00105D31" w:rsidRDefault="00247D4E" w:rsidP="006979E2">
      <w:pPr>
        <w:pStyle w:val="BodyText"/>
      </w:pPr>
      <w:r w:rsidRPr="00206B2B">
        <w:t xml:space="preserve">The PIF’s </w:t>
      </w:r>
      <w:r w:rsidR="00C3798A" w:rsidRPr="00206B2B">
        <w:rPr>
          <w:i/>
          <w:iCs/>
        </w:rPr>
        <w:t>Blue Pacific Continent Strategy 2050</w:t>
      </w:r>
      <w:r w:rsidR="00C3798A" w:rsidRPr="00206B2B">
        <w:t xml:space="preserve"> outlines Peace and Security as one the seven key thematic areas</w:t>
      </w:r>
      <w:r w:rsidR="00A57851" w:rsidRPr="00206B2B">
        <w:t xml:space="preserve"> </w:t>
      </w:r>
      <w:r w:rsidR="000826F9" w:rsidRPr="00206B2B">
        <w:t>which</w:t>
      </w:r>
      <w:r w:rsidR="00675EA2" w:rsidRPr="00206B2B">
        <w:t xml:space="preserve"> </w:t>
      </w:r>
      <w:r w:rsidR="00A57851" w:rsidRPr="00206B2B">
        <w:t>emphasis</w:t>
      </w:r>
      <w:r w:rsidR="00675EA2" w:rsidRPr="00206B2B">
        <w:t>es</w:t>
      </w:r>
      <w:r w:rsidR="00A57851" w:rsidRPr="00206B2B">
        <w:t xml:space="preserve"> the importance of </w:t>
      </w:r>
      <w:r w:rsidR="00AB448A" w:rsidRPr="00206B2B">
        <w:t>regional collaboration</w:t>
      </w:r>
      <w:r w:rsidR="00592DB7" w:rsidRPr="00206B2B">
        <w:t xml:space="preserve"> to respond to emerging security challenges</w:t>
      </w:r>
      <w:r w:rsidR="000826F9" w:rsidRPr="00206B2B">
        <w:t>. Within the Peace and Security thematic area, the Pacific</w:t>
      </w:r>
      <w:r w:rsidR="007A7D19" w:rsidRPr="00206B2B">
        <w:t xml:space="preserve"> </w:t>
      </w:r>
      <w:r w:rsidR="00327911" w:rsidRPr="00206B2B">
        <w:t>aims to ensure</w:t>
      </w:r>
      <w:r w:rsidR="001F0F57" w:rsidRPr="00206B2B">
        <w:t xml:space="preserve"> there is full</w:t>
      </w:r>
      <w:r w:rsidR="000826F9" w:rsidRPr="00206B2B">
        <w:t>, equal and effective participation of women and girls in all peace processes, conflict prevention, conflict resolution and peacebuilding</w:t>
      </w:r>
      <w:r w:rsidR="00675EA2" w:rsidRPr="00206B2B">
        <w:t>.</w:t>
      </w:r>
      <w:r w:rsidR="00675EA2" w:rsidRPr="00206B2B">
        <w:rPr>
          <w:rStyle w:val="FootnoteReference"/>
        </w:rPr>
        <w:footnoteReference w:id="29"/>
      </w:r>
      <w:r w:rsidR="00B96EE6" w:rsidRPr="00206B2B">
        <w:t xml:space="preserve"> </w:t>
      </w:r>
      <w:r w:rsidR="00105D31">
        <w:br w:type="page"/>
      </w:r>
    </w:p>
    <w:p w14:paraId="399D6CB8" w14:textId="414DE856" w:rsidR="009E12D5" w:rsidRPr="00206B2B" w:rsidRDefault="009E12D5" w:rsidP="006979E2">
      <w:pPr>
        <w:pStyle w:val="BodyText"/>
      </w:pPr>
      <w:r w:rsidRPr="00206B2B">
        <w:lastRenderedPageBreak/>
        <w:t>The PIF’s</w:t>
      </w:r>
      <w:r w:rsidR="0064251F" w:rsidRPr="00206B2B">
        <w:t xml:space="preserve"> most</w:t>
      </w:r>
      <w:r w:rsidRPr="00206B2B">
        <w:t xml:space="preserve"> recent</w:t>
      </w:r>
      <w:r w:rsidR="0064251F" w:rsidRPr="00206B2B">
        <w:t xml:space="preserve"> </w:t>
      </w:r>
      <w:r w:rsidR="008473C3" w:rsidRPr="00206B2B">
        <w:t>g</w:t>
      </w:r>
      <w:r w:rsidRPr="00206B2B">
        <w:t xml:space="preserve">uidance </w:t>
      </w:r>
      <w:r w:rsidR="008473C3" w:rsidRPr="00206B2B">
        <w:t>n</w:t>
      </w:r>
      <w:r w:rsidRPr="00206B2B">
        <w:t>ote on WPS reinforces this commitment by outlining practical, high</w:t>
      </w:r>
      <w:r w:rsidRPr="00206B2B">
        <w:rPr>
          <w:rFonts w:ascii="Cambria Math" w:hAnsi="Cambria Math" w:cs="Cambria Math"/>
        </w:rPr>
        <w:t>‑</w:t>
      </w:r>
      <w:r w:rsidRPr="00206B2B">
        <w:t xml:space="preserve">impact </w:t>
      </w:r>
      <w:r w:rsidR="000D328F" w:rsidRPr="00206B2B">
        <w:t>recommendations</w:t>
      </w:r>
      <w:r w:rsidRPr="00206B2B">
        <w:t xml:space="preserve"> for</w:t>
      </w:r>
      <w:r w:rsidR="00D75C23" w:rsidRPr="00206B2B">
        <w:t xml:space="preserve"> further</w:t>
      </w:r>
      <w:r w:rsidRPr="00206B2B">
        <w:t xml:space="preserve"> integrating WPS principles into regional and national security policy.</w:t>
      </w:r>
      <w:r w:rsidR="0061738F" w:rsidRPr="00206B2B">
        <w:rPr>
          <w:rStyle w:val="FootnoteReference"/>
        </w:rPr>
        <w:footnoteReference w:id="30"/>
      </w:r>
      <w:r w:rsidR="008473C3" w:rsidRPr="00206B2B">
        <w:t xml:space="preserve"> The Pacific also developed a Regional Action Plan for WPS for 2012-2015, however no updated plan has been developed.</w:t>
      </w:r>
      <w:r w:rsidR="008473C3" w:rsidRPr="00206B2B">
        <w:rPr>
          <w:rStyle w:val="FootnoteReference"/>
        </w:rPr>
        <w:footnoteReference w:id="31"/>
      </w:r>
      <w:r w:rsidR="008473C3" w:rsidRPr="00206B2B">
        <w:t xml:space="preserve"> </w:t>
      </w:r>
      <w:r w:rsidRPr="00206B2B">
        <w:t xml:space="preserve"> </w:t>
      </w:r>
    </w:p>
    <w:p w14:paraId="37A3AD51" w14:textId="749BDC9F" w:rsidR="0046744C" w:rsidRPr="00206B2B" w:rsidRDefault="006C1DD3" w:rsidP="006979E2">
      <w:pPr>
        <w:pStyle w:val="BodyText"/>
      </w:pPr>
      <w:r w:rsidRPr="00206B2B">
        <w:t>At the national level, 1</w:t>
      </w:r>
      <w:r w:rsidR="00F76BBC" w:rsidRPr="00206B2B">
        <w:t>4</w:t>
      </w:r>
      <w:r w:rsidRPr="00206B2B">
        <w:t xml:space="preserve"> countries in the Asia-Pacific have developed NAPs to operationali</w:t>
      </w:r>
      <w:r w:rsidR="00783688" w:rsidRPr="00206B2B">
        <w:t>s</w:t>
      </w:r>
      <w:r w:rsidRPr="00206B2B">
        <w:t>e WPS commitments.</w:t>
      </w:r>
      <w:r w:rsidR="00D12591" w:rsidRPr="00206B2B">
        <w:rPr>
          <w:rStyle w:val="FootnoteReference"/>
        </w:rPr>
        <w:footnoteReference w:id="32"/>
      </w:r>
      <w:r w:rsidRPr="00206B2B">
        <w:t xml:space="preserve"> Regional initiatives such as AMPLIFY, led by the Asia Foundation, and Quad commitments have further strengthened engagement, promoting capacity-building and coordination among governments, civil society, and development partners.</w:t>
      </w:r>
      <w:r w:rsidR="00CF589C" w:rsidRPr="00206B2B">
        <w:rPr>
          <w:rStyle w:val="FootnoteReference"/>
        </w:rPr>
        <w:footnoteReference w:id="33"/>
      </w:r>
      <w:r w:rsidRPr="00206B2B">
        <w:t xml:space="preserve"> These efforts underscore growing recognition of the critical role women play in peacebuilding and conflict prevention across diverse contexts in the region.</w:t>
      </w:r>
    </w:p>
    <w:p w14:paraId="1150A32A" w14:textId="302F353E" w:rsidR="006C1DD3" w:rsidRPr="00206B2B" w:rsidRDefault="006C1DD3" w:rsidP="006979E2">
      <w:pPr>
        <w:pStyle w:val="BodyText"/>
        <w:rPr>
          <w:b/>
        </w:rPr>
      </w:pPr>
      <w:r w:rsidRPr="00206B2B">
        <w:t>Despite these advances, significant gaps remain. Women hold only around 20% of parliamentary seats, the lowest regional average globally, and cultural norms</w:t>
      </w:r>
      <w:r w:rsidR="003269CD" w:rsidRPr="00206B2B">
        <w:t>,</w:t>
      </w:r>
      <w:r w:rsidR="00235EC1" w:rsidRPr="00206B2B">
        <w:t xml:space="preserve"> </w:t>
      </w:r>
      <w:r w:rsidRPr="00206B2B">
        <w:t>particularly in parts of the Pacific</w:t>
      </w:r>
      <w:r w:rsidR="001105CB" w:rsidRPr="00206B2B">
        <w:t>,</w:t>
      </w:r>
      <w:r w:rsidR="00BC1C20" w:rsidRPr="00206B2B">
        <w:t xml:space="preserve"> </w:t>
      </w:r>
      <w:r w:rsidRPr="00206B2B">
        <w:t>continue to limit women’s participation in security decision-making.</w:t>
      </w:r>
      <w:r w:rsidR="009E7E70" w:rsidRPr="00206B2B">
        <w:rPr>
          <w:rStyle w:val="FootnoteReference"/>
        </w:rPr>
        <w:footnoteReference w:id="34"/>
      </w:r>
      <w:r w:rsidRPr="00206B2B">
        <w:t xml:space="preserve"> These structural and sociocultural barriers highlight the need for sustained investment in gender equality, leadership development, and inclusive governance to fully reali</w:t>
      </w:r>
      <w:r w:rsidR="003269CD" w:rsidRPr="00206B2B">
        <w:t>s</w:t>
      </w:r>
      <w:r w:rsidRPr="00206B2B">
        <w:t>e the WPS agenda in the Asia-Pacific</w:t>
      </w:r>
      <w:r w:rsidRPr="00206B2B">
        <w:rPr>
          <w:b/>
        </w:rPr>
        <w:t>.</w:t>
      </w:r>
    </w:p>
    <w:p w14:paraId="780B9550" w14:textId="23B56CBF" w:rsidR="005D3472" w:rsidRPr="00206B2B" w:rsidRDefault="005D3472" w:rsidP="00944D24">
      <w:pPr>
        <w:pStyle w:val="Heading2"/>
      </w:pPr>
      <w:r w:rsidRPr="00206B2B">
        <w:t>Australian specific context</w:t>
      </w:r>
    </w:p>
    <w:p w14:paraId="659B1D28" w14:textId="6CDC83D0" w:rsidR="00662E18" w:rsidRDefault="00CD1518" w:rsidP="006979E2">
      <w:pPr>
        <w:pStyle w:val="BodyText"/>
        <w:rPr>
          <w:rStyle w:val="BodyTextChar"/>
          <w:rFonts w:asciiTheme="minorHAnsi" w:hAnsiTheme="minorHAnsi" w:cstheme="minorHAnsi"/>
        </w:rPr>
      </w:pPr>
      <w:r w:rsidRPr="00206B2B">
        <w:t xml:space="preserve">The WPS agenda aligns closely with </w:t>
      </w:r>
      <w:r w:rsidR="00BF7BEB" w:rsidRPr="00206B2B">
        <w:t xml:space="preserve">the </w:t>
      </w:r>
      <w:r w:rsidRPr="00206B2B">
        <w:t xml:space="preserve">Minister </w:t>
      </w:r>
      <w:r w:rsidR="00BF7BEB" w:rsidRPr="00206B2B">
        <w:t>for Foreign Affairs</w:t>
      </w:r>
      <w:r w:rsidRPr="00206B2B">
        <w:t xml:space="preserve"> </w:t>
      </w:r>
      <w:r w:rsidR="003C5C8E" w:rsidRPr="00206B2B">
        <w:t>public statements relating</w:t>
      </w:r>
      <w:r w:rsidRPr="00206B2B">
        <w:t xml:space="preserve"> to a peaceful, stable, and inclusive Indo-Pacific</w:t>
      </w:r>
      <w:r w:rsidR="003C5C8E" w:rsidRPr="00206B2B">
        <w:t>.</w:t>
      </w:r>
      <w:r w:rsidR="00E24654" w:rsidRPr="00206B2B">
        <w:rPr>
          <w:rStyle w:val="FootnoteReference"/>
        </w:rPr>
        <w:footnoteReference w:id="35"/>
      </w:r>
      <w:r w:rsidRPr="00206B2B">
        <w:t xml:space="preserve"> Minister Wong has emphasised that Australia’s foreign policy must advance gender equality, strengthen regional resilience, and uphold human security as core priorities.</w:t>
      </w:r>
      <w:r w:rsidR="00E96644" w:rsidRPr="00206B2B">
        <w:rPr>
          <w:rStyle w:val="FootnoteReference"/>
        </w:rPr>
        <w:footnoteReference w:id="36"/>
      </w:r>
      <w:r w:rsidRPr="00206B2B">
        <w:t xml:space="preserve"> WPS directly supports these objectives by embedding gender perspectives into conflict prevention, humanitarian response, and governance</w:t>
      </w:r>
      <w:r w:rsidR="002C5AF1" w:rsidRPr="00206B2B">
        <w:t>,</w:t>
      </w:r>
      <w:r w:rsidRPr="00206B2B">
        <w:t xml:space="preserve"> ensuring that women are active participants in shaping peace and stability. It also complements Australia’s focus on climate adaptation, digital safety, and inclusive economic growth, reinforcing </w:t>
      </w:r>
      <w:r w:rsidR="00517261" w:rsidRPr="00206B2B">
        <w:t>Australia’s</w:t>
      </w:r>
      <w:r w:rsidRPr="00206B2B">
        <w:t xml:space="preserve"> role as a trusted partner in the region. By integrating WPS into diplomacy, development, and security initiatives, DFAT can deliver on the government’s vision for an Indo-Pacific that is secure, prosperous, and equitable.</w:t>
      </w:r>
      <w:r w:rsidR="00590C36" w:rsidRPr="00206B2B">
        <w:rPr>
          <w:rStyle w:val="FootnoteReference"/>
        </w:rPr>
        <w:footnoteReference w:id="37"/>
      </w:r>
      <w:r w:rsidR="00662E18" w:rsidRPr="00662E18">
        <w:rPr>
          <w:rStyle w:val="BodyTextChar"/>
          <w:rFonts w:asciiTheme="minorHAnsi" w:hAnsiTheme="minorHAnsi" w:cstheme="minorHAnsi"/>
        </w:rPr>
        <w:t xml:space="preserve"> </w:t>
      </w:r>
    </w:p>
    <w:p w14:paraId="25BCA7DD" w14:textId="0A1B9A45" w:rsidR="00F45AEC" w:rsidRPr="00206B2B" w:rsidRDefault="00662E18" w:rsidP="006979E2">
      <w:pPr>
        <w:pStyle w:val="BodyText"/>
      </w:pPr>
      <w:r w:rsidRPr="00206B2B">
        <w:rPr>
          <w:rStyle w:val="BodyTextChar"/>
          <w:rFonts w:asciiTheme="minorHAnsi" w:hAnsiTheme="minorHAnsi" w:cstheme="minorHAnsi"/>
        </w:rPr>
        <w:t>The Joint Standing Committee on Foreign Affairs, Defence and Trade is currently conducting an Inquiry into Gender Equality as a National Security and Economic Security Imperative, providing an important opportunity to consider how embedding WPS objectives into Australia’s</w:t>
      </w:r>
      <w:r w:rsidRPr="00206B2B">
        <w:rPr>
          <w:rStyle w:val="BodyTextChar"/>
        </w:rPr>
        <w:t xml:space="preserve"> defence, foreign policy, and security frameworks can deliver stronger, more adaptive national security outcomes.</w:t>
      </w:r>
      <w:r w:rsidRPr="00206B2B">
        <w:rPr>
          <w:rStyle w:val="FootnoteReference"/>
        </w:rPr>
        <w:footnoteReference w:id="38"/>
      </w:r>
    </w:p>
    <w:p w14:paraId="52697D5B" w14:textId="0219B41B" w:rsidR="00DC46D8" w:rsidRPr="00105D31" w:rsidRDefault="00DC46D8" w:rsidP="00944D24">
      <w:pPr>
        <w:pStyle w:val="Heading2"/>
      </w:pPr>
      <w:r w:rsidRPr="00105D31">
        <w:lastRenderedPageBreak/>
        <w:t>Strategic importance of WPS</w:t>
      </w:r>
    </w:p>
    <w:p w14:paraId="3A5D90FB" w14:textId="1309E14D" w:rsidR="00842748" w:rsidRDefault="00D45A2F" w:rsidP="00D45298">
      <w:pPr>
        <w:pStyle w:val="BodyText"/>
      </w:pPr>
      <w:r w:rsidRPr="00206B2B">
        <w:t xml:space="preserve">WPS </w:t>
      </w:r>
      <w:r w:rsidR="004758EB" w:rsidRPr="00206B2B">
        <w:t>complements commitments to gender equality under Australia’s international development policy and supports objectives in foreign affairs, defence, and humanitarian response.</w:t>
      </w:r>
      <w:r w:rsidR="007F492D" w:rsidRPr="00206B2B">
        <w:rPr>
          <w:rStyle w:val="FootnoteReference"/>
        </w:rPr>
        <w:footnoteReference w:id="39"/>
      </w:r>
      <w:r w:rsidR="004758EB" w:rsidRPr="00206B2B">
        <w:t xml:space="preserve"> WPS reinforces national security strategies by embedding gender perspectives into conflict prevention and crisis management, while linking to climate adaptation and disaster resilience priorities through agencies such as NEMA. It also aligns with cyber and e-safety agendas by addressing gendered disinformation and online harms, ensuring women’s participation in digital spaces. By integrating WPS into trade, diplomacy, and security frameworks, the program </w:t>
      </w:r>
      <w:r w:rsidR="000A7C9A" w:rsidRPr="00206B2B">
        <w:t xml:space="preserve">aims to </w:t>
      </w:r>
      <w:r w:rsidR="004758EB" w:rsidRPr="00206B2B">
        <w:t>deliver on Australia’s broader goals of promoting peace, prosperity, and human rights through a coordinated, whole-of-government approach.</w:t>
      </w:r>
    </w:p>
    <w:p w14:paraId="222D1C78" w14:textId="134BFBD5" w:rsidR="007C5075" w:rsidRPr="00206B2B" w:rsidRDefault="00194AD0" w:rsidP="005D0E54">
      <w:pPr>
        <w:spacing w:before="120" w:after="160"/>
        <w:rPr>
          <w:b/>
          <w:bCs/>
        </w:rPr>
      </w:pPr>
      <w:r w:rsidRPr="00206B2B">
        <w:rPr>
          <w:rStyle w:val="BodyTextChar"/>
        </w:rPr>
        <w:t>Peace and stability are more sustainable when women are actively involved in security decision-making.</w:t>
      </w:r>
      <w:r w:rsidRPr="00206B2B">
        <w:rPr>
          <w:rStyle w:val="FootnoteReference"/>
          <w:color w:val="000000" w:themeColor="text1"/>
        </w:rPr>
        <w:footnoteReference w:id="40"/>
      </w:r>
      <w:r w:rsidRPr="00206B2B">
        <w:rPr>
          <w:rStyle w:val="BodyTextChar"/>
        </w:rPr>
        <w:t xml:space="preserve"> </w:t>
      </w:r>
      <w:r w:rsidRPr="00206B2B">
        <w:rPr>
          <w:rStyle w:val="BodyTextChar"/>
          <w:rFonts w:asciiTheme="minorHAnsi" w:hAnsiTheme="minorHAnsi" w:cstheme="minorHAnsi"/>
        </w:rPr>
        <w:t>National security outcomes are closely linked to the WPS Agenda. Research shows that countries with higher levels of gender equality experience lower rates of conflict and greater resilience to crises.</w:t>
      </w:r>
      <w:r w:rsidRPr="00206B2B">
        <w:rPr>
          <w:rStyle w:val="BodyTextChar"/>
          <w:rFonts w:asciiTheme="minorHAnsi" w:hAnsiTheme="minorHAnsi" w:cstheme="minorHAnsi"/>
          <w:vertAlign w:val="superscript"/>
        </w:rPr>
        <w:footnoteReference w:id="41"/>
      </w:r>
      <w:r w:rsidRPr="00206B2B">
        <w:rPr>
          <w:rStyle w:val="BodyTextChar"/>
          <w:rFonts w:asciiTheme="minorHAnsi" w:hAnsiTheme="minorHAnsi" w:cstheme="minorHAnsi"/>
        </w:rPr>
        <w:t xml:space="preserve"> Including women in peace negotiations significantly increases the likelihood that agreements will be implemented and endure over time.</w:t>
      </w:r>
      <w:r w:rsidRPr="00206B2B">
        <w:rPr>
          <w:rStyle w:val="BodyTextChar"/>
          <w:rFonts w:asciiTheme="minorHAnsi" w:hAnsiTheme="minorHAnsi" w:cstheme="minorHAnsi"/>
          <w:vertAlign w:val="superscript"/>
        </w:rPr>
        <w:footnoteReference w:id="42"/>
      </w:r>
      <w:r w:rsidRPr="00206B2B">
        <w:rPr>
          <w:rStyle w:val="BodyTextChar"/>
          <w:rFonts w:asciiTheme="minorHAnsi" w:hAnsiTheme="minorHAnsi" w:cstheme="minorHAnsi"/>
        </w:rPr>
        <w:t xml:space="preserve"> WPS principles such as participation, protection, and prevention, aim to strengthen national security by improving governance, reducing violence, and fostering inclusive institutions. </w:t>
      </w:r>
      <w:r w:rsidR="007C5075" w:rsidRPr="00206B2B">
        <w:rPr>
          <w:b/>
          <w:bCs/>
        </w:rPr>
        <w:br w:type="page"/>
      </w:r>
    </w:p>
    <w:p w14:paraId="1F8C6384" w14:textId="2F1F25AF" w:rsidR="008F7B81" w:rsidRPr="00206B2B" w:rsidRDefault="008F7B81" w:rsidP="00944D24">
      <w:pPr>
        <w:pStyle w:val="Heading1"/>
      </w:pPr>
      <w:bookmarkStart w:id="5" w:name="_Toc230774043"/>
      <w:r w:rsidRPr="00206B2B">
        <w:lastRenderedPageBreak/>
        <w:t>Australia’s WPS Approach in Comparison to International Peers</w:t>
      </w:r>
      <w:bookmarkEnd w:id="5"/>
      <w:r w:rsidRPr="00206B2B">
        <w:t xml:space="preserve"> </w:t>
      </w:r>
    </w:p>
    <w:p w14:paraId="3B693948" w14:textId="6BFD9880" w:rsidR="001A2BA7" w:rsidRPr="00206B2B" w:rsidRDefault="008F7B81" w:rsidP="004A2420">
      <w:pPr>
        <w:pStyle w:val="BodyText"/>
      </w:pPr>
      <w:r w:rsidRPr="00206B2B">
        <w:t>Australia’s Second National Action Plan on Women, Peace and Security 2021–2031 positions Australia as a globally engaged</w:t>
      </w:r>
      <w:r w:rsidR="00865649" w:rsidRPr="00206B2B">
        <w:t>,</w:t>
      </w:r>
      <w:r w:rsidRPr="00206B2B">
        <w:t xml:space="preserve"> predominantly internationally oriented WPS actor, with implementation driven by DFAT and </w:t>
      </w:r>
      <w:r w:rsidR="00C60238" w:rsidRPr="00206B2B">
        <w:t>cross agency</w:t>
      </w:r>
      <w:r w:rsidRPr="00206B2B">
        <w:t xml:space="preserve"> coordination.</w:t>
      </w:r>
      <w:r w:rsidR="00E47CDE" w:rsidRPr="00206B2B">
        <w:t xml:space="preserve"> </w:t>
      </w:r>
      <w:r w:rsidRPr="00206B2B">
        <w:t>When compared with international peers such as Japan</w:t>
      </w:r>
      <w:r w:rsidR="00DF38CE" w:rsidRPr="00206B2B">
        <w:t>,</w:t>
      </w:r>
      <w:r w:rsidR="00C90302" w:rsidRPr="00206B2B">
        <w:t xml:space="preserve"> the</w:t>
      </w:r>
      <w:r w:rsidR="00A27F61" w:rsidRPr="00206B2B">
        <w:t xml:space="preserve"> </w:t>
      </w:r>
      <w:r w:rsidR="00C90302" w:rsidRPr="00206B2B">
        <w:t>UK</w:t>
      </w:r>
      <w:r w:rsidR="005539B3" w:rsidRPr="00206B2B">
        <w:t>,</w:t>
      </w:r>
      <w:r w:rsidR="00DF38CE" w:rsidRPr="00206B2B">
        <w:t xml:space="preserve"> Canada</w:t>
      </w:r>
      <w:r w:rsidR="005539B3" w:rsidRPr="00206B2B">
        <w:t xml:space="preserve"> and the Philippines</w:t>
      </w:r>
      <w:r w:rsidRPr="00206B2B">
        <w:t>, clear differences emerge in strategic design, domestic integration, M&amp;E and leadership priorities.</w:t>
      </w:r>
      <w:r w:rsidR="00B2124E" w:rsidRPr="00206B2B">
        <w:t xml:space="preserve"> Refer to</w:t>
      </w:r>
      <w:r w:rsidR="00B2124E" w:rsidRPr="00870C8A">
        <w:t xml:space="preserve"> </w:t>
      </w:r>
      <w:hyperlink w:anchor="_Appendix_B:_International" w:history="1">
        <w:r w:rsidR="00034581" w:rsidRPr="00870C8A">
          <w:rPr>
            <w:rStyle w:val="Hyperlink"/>
            <w:color w:val="000000" w:themeColor="text1"/>
          </w:rPr>
          <w:t>Appe</w:t>
        </w:r>
        <w:bookmarkStart w:id="6" w:name="_Hlt219109557"/>
        <w:bookmarkStart w:id="7" w:name="_Hlt219109595"/>
        <w:r w:rsidR="00034581" w:rsidRPr="00870C8A">
          <w:rPr>
            <w:rStyle w:val="Hyperlink"/>
            <w:color w:val="000000" w:themeColor="text1"/>
          </w:rPr>
          <w:t>n</w:t>
        </w:r>
        <w:bookmarkEnd w:id="6"/>
        <w:bookmarkEnd w:id="7"/>
        <w:r w:rsidR="00034581" w:rsidRPr="00870C8A">
          <w:rPr>
            <w:rStyle w:val="Hyperlink"/>
            <w:color w:val="000000" w:themeColor="text1"/>
          </w:rPr>
          <w:t>dix B:</w:t>
        </w:r>
        <w:r w:rsidR="00B2124E" w:rsidRPr="00870C8A">
          <w:rPr>
            <w:rStyle w:val="Hyperlink"/>
            <w:color w:val="000000" w:themeColor="text1"/>
          </w:rPr>
          <w:t xml:space="preserve"> International Comparator Analysis</w:t>
        </w:r>
      </w:hyperlink>
      <w:r w:rsidR="00437E8E" w:rsidRPr="00870C8A">
        <w:t>,</w:t>
      </w:r>
      <w:r w:rsidR="00B2124E" w:rsidRPr="00870C8A">
        <w:t xml:space="preserve"> for</w:t>
      </w:r>
      <w:r w:rsidR="00B2124E" w:rsidRPr="00206B2B">
        <w:t xml:space="preserve"> a </w:t>
      </w:r>
      <w:r w:rsidR="001750F6" w:rsidRPr="00206B2B">
        <w:t>more detailed</w:t>
      </w:r>
      <w:r w:rsidR="00B2124E" w:rsidRPr="00206B2B">
        <w:t xml:space="preserve"> summary of </w:t>
      </w:r>
      <w:r w:rsidR="00855515" w:rsidRPr="00206B2B">
        <w:t>each country’s NAP</w:t>
      </w:r>
      <w:r w:rsidR="0079124F" w:rsidRPr="00206B2B">
        <w:t xml:space="preserve">. </w:t>
      </w:r>
    </w:p>
    <w:p w14:paraId="50DF6225" w14:textId="713E9A50" w:rsidR="00191766" w:rsidRPr="00206B2B" w:rsidRDefault="00191766" w:rsidP="00944D24">
      <w:pPr>
        <w:pStyle w:val="Heading2"/>
      </w:pPr>
      <w:r w:rsidRPr="00206B2B">
        <w:t>Japan</w:t>
      </w:r>
    </w:p>
    <w:p w14:paraId="4119AE95" w14:textId="2104373F" w:rsidR="00281BD1" w:rsidRPr="00206B2B" w:rsidRDefault="008F7B81" w:rsidP="006C4412">
      <w:pPr>
        <w:pStyle w:val="BodyText"/>
      </w:pPr>
      <w:r w:rsidRPr="00206B2B">
        <w:t xml:space="preserve">Japan’s </w:t>
      </w:r>
      <w:r w:rsidR="00946B3D" w:rsidRPr="00206B2B">
        <w:t>t</w:t>
      </w:r>
      <w:r w:rsidRPr="00206B2B">
        <w:t xml:space="preserve">hird NAP (2023–2028) departs from traditional UNSCR 1325 </w:t>
      </w:r>
      <w:r w:rsidR="00391670" w:rsidRPr="00206B2B">
        <w:t xml:space="preserve">four </w:t>
      </w:r>
      <w:r w:rsidRPr="00206B2B">
        <w:t xml:space="preserve">pillar structures and instead adopts an </w:t>
      </w:r>
      <w:r w:rsidR="005B0F0A" w:rsidRPr="00206B2B">
        <w:t>initiative</w:t>
      </w:r>
      <w:r w:rsidR="00503E31" w:rsidRPr="00206B2B">
        <w:t>-</w:t>
      </w:r>
      <w:r w:rsidR="005B0F0A" w:rsidRPr="00206B2B">
        <w:t>based</w:t>
      </w:r>
      <w:r w:rsidRPr="00206B2B">
        <w:t xml:space="preserve"> design, intentionally simplifying indicators to improve usability for implementing ministries.</w:t>
      </w:r>
      <w:r w:rsidR="00AF19F6" w:rsidRPr="00206B2B">
        <w:rPr>
          <w:rStyle w:val="FootnoteReference"/>
        </w:rPr>
        <w:footnoteReference w:id="43"/>
      </w:r>
      <w:r w:rsidRPr="00206B2B">
        <w:t xml:space="preserve"> </w:t>
      </w:r>
      <w:r w:rsidR="00C143BD" w:rsidRPr="00206B2B">
        <w:t>Japan’s NAP does not outline any priority countries and instead broadly targets conflict-affected countries and fragile states</w:t>
      </w:r>
      <w:r w:rsidR="00D323F3" w:rsidRPr="00206B2B">
        <w:t>,</w:t>
      </w:r>
      <w:r w:rsidR="00C143BD" w:rsidRPr="00206B2B">
        <w:t xml:space="preserve"> with a particular emphasis on disaster mitigation</w:t>
      </w:r>
      <w:r w:rsidR="00A52562" w:rsidRPr="00206B2B">
        <w:t>,</w:t>
      </w:r>
      <w:r w:rsidR="00C143BD" w:rsidRPr="00206B2B">
        <w:t xml:space="preserve"> recovery</w:t>
      </w:r>
      <w:r w:rsidR="00A52562" w:rsidRPr="00206B2B">
        <w:t>,</w:t>
      </w:r>
      <w:r w:rsidR="00C143BD" w:rsidRPr="00206B2B">
        <w:t xml:space="preserve"> and risk reduction. </w:t>
      </w:r>
    </w:p>
    <w:p w14:paraId="7F52D30E" w14:textId="040A10DC" w:rsidR="008F7B81" w:rsidRPr="00206B2B" w:rsidRDefault="00281BD1" w:rsidP="006C4412">
      <w:pPr>
        <w:pStyle w:val="BodyText"/>
      </w:pPr>
      <w:r w:rsidRPr="00206B2B">
        <w:t xml:space="preserve">Key lessons that can be drawn from </w:t>
      </w:r>
      <w:r w:rsidR="008F7B81" w:rsidRPr="00206B2B">
        <w:t xml:space="preserve">Japan’s NAP </w:t>
      </w:r>
      <w:r w:rsidRPr="00206B2B">
        <w:t xml:space="preserve">include an </w:t>
      </w:r>
      <w:r w:rsidR="008F7B81" w:rsidRPr="00206B2B">
        <w:t>explicit divide</w:t>
      </w:r>
      <w:r w:rsidRPr="00206B2B">
        <w:t xml:space="preserve"> between</w:t>
      </w:r>
      <w:r w:rsidR="008F7B81" w:rsidRPr="00206B2B">
        <w:t xml:space="preserve"> domestic and international commitments </w:t>
      </w:r>
      <w:r w:rsidR="00CC2D3F" w:rsidRPr="00206B2B">
        <w:t>with separate</w:t>
      </w:r>
      <w:r w:rsidR="008F7B81" w:rsidRPr="00206B2B">
        <w:t xml:space="preserve"> measures </w:t>
      </w:r>
      <w:r w:rsidR="00CC2D3F" w:rsidRPr="00206B2B">
        <w:t xml:space="preserve">for each. Some domestic measures include </w:t>
      </w:r>
      <w:r w:rsidR="008F7B81" w:rsidRPr="00206B2B">
        <w:t>establishing gender officers</w:t>
      </w:r>
      <w:r w:rsidR="009D5990" w:rsidRPr="00206B2B">
        <w:t xml:space="preserve"> within each ministry</w:t>
      </w:r>
      <w:r w:rsidR="008F7B81" w:rsidRPr="00206B2B">
        <w:t xml:space="preserve">, strengthening human rights protections for </w:t>
      </w:r>
      <w:r w:rsidR="00AE4719" w:rsidRPr="00206B2B">
        <w:t>all</w:t>
      </w:r>
      <w:r w:rsidR="008F7B81" w:rsidRPr="00206B2B">
        <w:t xml:space="preserve"> women</w:t>
      </w:r>
      <w:r w:rsidR="00AE4719" w:rsidRPr="00206B2B">
        <w:t xml:space="preserve"> in Japan, including those who are not citizens</w:t>
      </w:r>
      <w:r w:rsidR="008F7B81" w:rsidRPr="00206B2B">
        <w:t xml:space="preserve">, and expanding training across ministries. </w:t>
      </w:r>
      <w:r w:rsidR="00B801F8" w:rsidRPr="00206B2B">
        <w:t xml:space="preserve">Regarding </w:t>
      </w:r>
      <w:r w:rsidR="00C31DB0" w:rsidRPr="00206B2B">
        <w:t>M&amp;E</w:t>
      </w:r>
      <w:r w:rsidR="00B801F8" w:rsidRPr="00206B2B">
        <w:t xml:space="preserve">, Japan utilises an </w:t>
      </w:r>
      <w:r w:rsidR="005274FE" w:rsidRPr="00206B2B">
        <w:t>e</w:t>
      </w:r>
      <w:r w:rsidR="00B801F8" w:rsidRPr="00206B2B">
        <w:t xml:space="preserve">valuation </w:t>
      </w:r>
      <w:r w:rsidR="005274FE" w:rsidRPr="00206B2B">
        <w:t>c</w:t>
      </w:r>
      <w:r w:rsidR="00B801F8" w:rsidRPr="00206B2B">
        <w:t>ommittee that is made up of external experts</w:t>
      </w:r>
      <w:r w:rsidR="00F13E77" w:rsidRPr="00206B2B">
        <w:t xml:space="preserve"> that consult with international </w:t>
      </w:r>
      <w:r w:rsidR="000F5CA7" w:rsidRPr="00206B2B">
        <w:t>non-government organisation</w:t>
      </w:r>
      <w:r w:rsidR="00F13E77" w:rsidRPr="00206B2B">
        <w:t>s</w:t>
      </w:r>
      <w:r w:rsidR="000F5CA7" w:rsidRPr="00206B2B">
        <w:t xml:space="preserve"> (NGOs)</w:t>
      </w:r>
      <w:r w:rsidR="00B2124E" w:rsidRPr="00206B2B">
        <w:t xml:space="preserve"> and civil society.</w:t>
      </w:r>
      <w:r w:rsidR="00512135" w:rsidRPr="00206B2B">
        <w:t xml:space="preserve"> </w:t>
      </w:r>
      <w:r w:rsidR="00096930" w:rsidRPr="00206B2B">
        <w:t xml:space="preserve">Japan submits annual reports on implementation that are evaluated by </w:t>
      </w:r>
      <w:r w:rsidR="007B2D68" w:rsidRPr="00206B2B">
        <w:t xml:space="preserve">the </w:t>
      </w:r>
      <w:r w:rsidR="00096930" w:rsidRPr="00206B2B">
        <w:t>external experts</w:t>
      </w:r>
      <w:r w:rsidR="007B2D68" w:rsidRPr="00206B2B">
        <w:t xml:space="preserve">, and the </w:t>
      </w:r>
      <w:r w:rsidR="005274FE" w:rsidRPr="00206B2B">
        <w:t>E</w:t>
      </w:r>
      <w:r w:rsidR="00DC090F" w:rsidRPr="00206B2B">
        <w:t xml:space="preserve">valuation </w:t>
      </w:r>
      <w:r w:rsidR="005274FE" w:rsidRPr="00206B2B">
        <w:t>C</w:t>
      </w:r>
      <w:r w:rsidR="00DC090F" w:rsidRPr="00206B2B">
        <w:t>ommittee can</w:t>
      </w:r>
      <w:r w:rsidR="00A9060B" w:rsidRPr="00206B2B">
        <w:t xml:space="preserve"> recommend revisions to the Action Plan and its goals, measures and indicators.</w:t>
      </w:r>
    </w:p>
    <w:p w14:paraId="2EE42D19" w14:textId="09B2E634" w:rsidR="00191766" w:rsidRPr="00206B2B" w:rsidRDefault="00191766" w:rsidP="00944D24">
      <w:pPr>
        <w:pStyle w:val="Heading2"/>
      </w:pPr>
      <w:r w:rsidRPr="00206B2B">
        <w:t>United Kingdom</w:t>
      </w:r>
    </w:p>
    <w:p w14:paraId="2777C5C3" w14:textId="4EEEF2DE" w:rsidR="008F7B81" w:rsidRPr="00206B2B" w:rsidRDefault="008F7B81" w:rsidP="00AC2DBB">
      <w:pPr>
        <w:pStyle w:val="BodyText"/>
      </w:pPr>
      <w:r w:rsidRPr="00206B2B">
        <w:t xml:space="preserve">The UK’s </w:t>
      </w:r>
      <w:r w:rsidR="00946B3D" w:rsidRPr="00206B2B">
        <w:t>f</w:t>
      </w:r>
      <w:r w:rsidRPr="00206B2B">
        <w:t>ifth NAP (2023–2027) represents a more expansive and highly institutionalised model. It introduces strengthened governance structures, a focus-country model spanning 12 priority contexts, and</w:t>
      </w:r>
      <w:r w:rsidR="00BB3BF4" w:rsidRPr="00206B2B">
        <w:t xml:space="preserve">, </w:t>
      </w:r>
      <w:r w:rsidRPr="00206B2B">
        <w:t>for the first time</w:t>
      </w:r>
      <w:r w:rsidR="00244541" w:rsidRPr="00206B2B">
        <w:t xml:space="preserve"> in the UK</w:t>
      </w:r>
      <w:r w:rsidR="00BB3BF4" w:rsidRPr="00206B2B">
        <w:t xml:space="preserve">, </w:t>
      </w:r>
      <w:r w:rsidRPr="00206B2B">
        <w:t>domestic WPS commitments.</w:t>
      </w:r>
      <w:r w:rsidR="00F11DB2" w:rsidRPr="00206B2B">
        <w:rPr>
          <w:rStyle w:val="FootnoteReference"/>
        </w:rPr>
        <w:footnoteReference w:id="44"/>
      </w:r>
      <w:r w:rsidRPr="00206B2B">
        <w:t xml:space="preserve"> These include largescale investments in violence prevention, expanded support for survivors, and initiatives to increase women’s participation in defence and diplomacy.</w:t>
      </w:r>
      <w:r w:rsidR="003F75B9" w:rsidRPr="00206B2B">
        <w:t xml:space="preserve"> For the UK, WPS sits under the Foreign, Commonwealth and Development Office’s conflict prevention structures rather than their gender equality and development teams.</w:t>
      </w:r>
      <w:r w:rsidRPr="00206B2B">
        <w:t xml:space="preserve"> </w:t>
      </w:r>
      <w:r w:rsidR="003F75B9" w:rsidRPr="00206B2B">
        <w:t>There is</w:t>
      </w:r>
      <w:r w:rsidR="00124323" w:rsidRPr="00206B2B">
        <w:t xml:space="preserve"> an All-Party Parliamentary Group on </w:t>
      </w:r>
      <w:r w:rsidR="00CA2357" w:rsidRPr="00206B2B">
        <w:t>WPS</w:t>
      </w:r>
      <w:r w:rsidR="00124323" w:rsidRPr="00206B2B">
        <w:t xml:space="preserve"> and a Minister serving as the Prime Minister’s Special Representative on Preventing Sexual Violence in Conflict. </w:t>
      </w:r>
      <w:r w:rsidRPr="00206B2B">
        <w:t>The UK’s approach to accountability is notably robust</w:t>
      </w:r>
      <w:r w:rsidR="003D63E7" w:rsidRPr="00206B2B">
        <w:t>. I</w:t>
      </w:r>
      <w:r w:rsidRPr="00206B2B">
        <w:t>t includes parliamentary reporting every two years, dedicated baseline studies, midterm and final evaluations, and whole</w:t>
      </w:r>
      <w:r w:rsidR="00194FDB" w:rsidRPr="00206B2B">
        <w:t>-</w:t>
      </w:r>
      <w:r w:rsidRPr="00206B2B">
        <w:t>of</w:t>
      </w:r>
      <w:r w:rsidR="00194FDB" w:rsidRPr="00206B2B">
        <w:t>-</w:t>
      </w:r>
      <w:r w:rsidRPr="00206B2B">
        <w:t xml:space="preserve">government boards overseeing delivery. The result is a system with strong transparency, high visibility of progress, and clearly delineated responsibilities. </w:t>
      </w:r>
    </w:p>
    <w:p w14:paraId="246E498D" w14:textId="2F36052D" w:rsidR="00191766" w:rsidRPr="00206B2B" w:rsidRDefault="00191766" w:rsidP="00944D24">
      <w:pPr>
        <w:pStyle w:val="Heading2"/>
      </w:pPr>
      <w:r w:rsidRPr="00206B2B">
        <w:t>Canada</w:t>
      </w:r>
    </w:p>
    <w:p w14:paraId="61632AB8" w14:textId="3430BD56" w:rsidR="00F86C01" w:rsidRPr="00206B2B" w:rsidRDefault="00762211" w:rsidP="00AC2DBB">
      <w:pPr>
        <w:spacing w:before="120" w:after="120"/>
        <w:rPr>
          <w:rStyle w:val="BodyTextChar"/>
        </w:rPr>
      </w:pPr>
      <w:r w:rsidRPr="00206B2B">
        <w:rPr>
          <w:rStyle w:val="BodyTextChar"/>
        </w:rPr>
        <w:t>Implemented</w:t>
      </w:r>
      <w:r w:rsidR="00445D95" w:rsidRPr="00206B2B">
        <w:rPr>
          <w:rStyle w:val="BodyTextChar"/>
        </w:rPr>
        <w:t xml:space="preserve"> by 10 federal partners, </w:t>
      </w:r>
      <w:r w:rsidR="00B42A51" w:rsidRPr="00206B2B">
        <w:rPr>
          <w:rStyle w:val="BodyTextChar"/>
        </w:rPr>
        <w:t>Canada’s third NAP (2023</w:t>
      </w:r>
      <w:r w:rsidR="00731222" w:rsidRPr="00206B2B">
        <w:rPr>
          <w:rStyle w:val="BodyTextChar"/>
        </w:rPr>
        <w:softHyphen/>
      </w:r>
      <w:r w:rsidR="00731222" w:rsidRPr="00206B2B">
        <w:rPr>
          <w:rStyle w:val="BodyTextChar"/>
        </w:rPr>
        <w:softHyphen/>
      </w:r>
      <w:r w:rsidR="00731222" w:rsidRPr="00206B2B">
        <w:rPr>
          <w:rStyle w:val="BodyTextChar"/>
        </w:rPr>
        <w:softHyphen/>
      </w:r>
      <w:r w:rsidR="00731222" w:rsidRPr="00206B2B">
        <w:rPr>
          <w:rStyle w:val="BodyTextChar"/>
        </w:rPr>
        <w:softHyphen/>
      </w:r>
      <w:r w:rsidR="00262A4A" w:rsidRPr="00206B2B">
        <w:rPr>
          <w:rStyle w:val="BodyTextChar"/>
        </w:rPr>
        <w:t>–</w:t>
      </w:r>
      <w:r w:rsidR="00A94D98" w:rsidRPr="00206B2B">
        <w:rPr>
          <w:rStyle w:val="BodyTextChar"/>
        </w:rPr>
        <w:t xml:space="preserve">2029) </w:t>
      </w:r>
      <w:r w:rsidR="00E85795" w:rsidRPr="00206B2B">
        <w:rPr>
          <w:rStyle w:val="BodyTextChar"/>
        </w:rPr>
        <w:t xml:space="preserve">extends beyond the scope </w:t>
      </w:r>
      <w:r w:rsidR="00371C79" w:rsidRPr="00206B2B">
        <w:rPr>
          <w:rStyle w:val="BodyTextChar"/>
        </w:rPr>
        <w:t xml:space="preserve">of the UN Security Council resolutions, </w:t>
      </w:r>
      <w:r w:rsidR="005505EF" w:rsidRPr="00206B2B">
        <w:rPr>
          <w:rStyle w:val="BodyTextChar"/>
        </w:rPr>
        <w:t>adopt</w:t>
      </w:r>
      <w:r w:rsidR="00371C79" w:rsidRPr="00206B2B">
        <w:rPr>
          <w:rStyle w:val="BodyTextChar"/>
        </w:rPr>
        <w:t>ing</w:t>
      </w:r>
      <w:r w:rsidR="005505EF" w:rsidRPr="00206B2B">
        <w:rPr>
          <w:rStyle w:val="BodyTextChar"/>
        </w:rPr>
        <w:t xml:space="preserve"> a thematic structure organised around six focus areas</w:t>
      </w:r>
      <w:r w:rsidR="00DD4442" w:rsidRPr="00206B2B">
        <w:rPr>
          <w:rStyle w:val="BodyTextChar"/>
        </w:rPr>
        <w:t>.</w:t>
      </w:r>
      <w:r w:rsidR="00BD1EFA" w:rsidRPr="00206B2B">
        <w:rPr>
          <w:rStyle w:val="FootnoteReference"/>
          <w:color w:val="000000" w:themeColor="text1"/>
        </w:rPr>
        <w:footnoteReference w:id="45"/>
      </w:r>
      <w:r w:rsidR="006E66CE" w:rsidRPr="00206B2B">
        <w:rPr>
          <w:rStyle w:val="BodyTextChar"/>
        </w:rPr>
        <w:t xml:space="preserve"> </w:t>
      </w:r>
      <w:r w:rsidR="00E308E6" w:rsidRPr="00206B2B">
        <w:rPr>
          <w:rStyle w:val="BodyTextChar"/>
        </w:rPr>
        <w:t>The Canadian NAP</w:t>
      </w:r>
      <w:r w:rsidR="006E66CE" w:rsidRPr="00206B2B">
        <w:rPr>
          <w:rStyle w:val="BodyTextChar"/>
        </w:rPr>
        <w:t xml:space="preserve"> distinguishes itself</w:t>
      </w:r>
      <w:r w:rsidR="00637B17" w:rsidRPr="00206B2B">
        <w:rPr>
          <w:rStyle w:val="BodyTextChar"/>
        </w:rPr>
        <w:t xml:space="preserve"> through a strong intersectional and explicitly anti-racist </w:t>
      </w:r>
      <w:r w:rsidR="00FC1D3D" w:rsidRPr="00206B2B">
        <w:rPr>
          <w:rStyle w:val="BodyTextChar"/>
        </w:rPr>
        <w:t>positioning</w:t>
      </w:r>
      <w:r w:rsidR="00930720" w:rsidRPr="00206B2B">
        <w:rPr>
          <w:rStyle w:val="BodyTextChar"/>
        </w:rPr>
        <w:t>,</w:t>
      </w:r>
      <w:r w:rsidR="00930720" w:rsidRPr="00206B2B">
        <w:t xml:space="preserve"> </w:t>
      </w:r>
      <w:r w:rsidR="00930720" w:rsidRPr="00206B2B">
        <w:rPr>
          <w:rStyle w:val="BodyTextChar"/>
        </w:rPr>
        <w:lastRenderedPageBreak/>
        <w:t>formali</w:t>
      </w:r>
      <w:r w:rsidR="00C35C99" w:rsidRPr="00206B2B">
        <w:rPr>
          <w:rStyle w:val="BodyTextChar"/>
        </w:rPr>
        <w:t>s</w:t>
      </w:r>
      <w:r w:rsidR="00930720" w:rsidRPr="00206B2B">
        <w:rPr>
          <w:rStyle w:val="BodyTextChar"/>
        </w:rPr>
        <w:t xml:space="preserve">ed civil society and Indigenous partnerships via a co-chaired advisory group, and explicit integration of domestic </w:t>
      </w:r>
      <w:r w:rsidR="0017736E" w:rsidRPr="00206B2B">
        <w:rPr>
          <w:rStyle w:val="BodyTextChar"/>
        </w:rPr>
        <w:t xml:space="preserve">priorities such as addressing </w:t>
      </w:r>
      <w:r w:rsidR="009962BB" w:rsidRPr="00206B2B">
        <w:rPr>
          <w:rStyle w:val="BodyTextChar"/>
        </w:rPr>
        <w:t xml:space="preserve">technology-facilitated </w:t>
      </w:r>
      <w:r w:rsidR="003D4D98" w:rsidRPr="00206B2B">
        <w:rPr>
          <w:rStyle w:val="BodyTextChar"/>
        </w:rPr>
        <w:t>GBV</w:t>
      </w:r>
      <w:r w:rsidR="00A0332A" w:rsidRPr="00206B2B">
        <w:rPr>
          <w:rStyle w:val="BodyTextChar"/>
        </w:rPr>
        <w:t xml:space="preserve"> and implementing the Missing and </w:t>
      </w:r>
      <w:r w:rsidR="00691255" w:rsidRPr="00206B2B">
        <w:rPr>
          <w:rStyle w:val="BodyTextChar"/>
        </w:rPr>
        <w:t>Murdered</w:t>
      </w:r>
      <w:r w:rsidR="00A0332A" w:rsidRPr="00206B2B">
        <w:rPr>
          <w:rStyle w:val="BodyTextChar"/>
        </w:rPr>
        <w:t xml:space="preserve"> Indigenous Women and Girls National Action Plan. Canada’s approach to </w:t>
      </w:r>
      <w:r w:rsidR="00A7602E" w:rsidRPr="00206B2B">
        <w:rPr>
          <w:rStyle w:val="BodyTextChar"/>
        </w:rPr>
        <w:t>M&amp;E</w:t>
      </w:r>
      <w:r w:rsidR="00A0332A" w:rsidRPr="00206B2B">
        <w:rPr>
          <w:rStyle w:val="BodyTextChar"/>
        </w:rPr>
        <w:t xml:space="preserve"> emphasi</w:t>
      </w:r>
      <w:r w:rsidR="009F1C4D" w:rsidRPr="00206B2B">
        <w:rPr>
          <w:rStyle w:val="BodyTextChar"/>
        </w:rPr>
        <w:t>s</w:t>
      </w:r>
      <w:r w:rsidR="00A0332A" w:rsidRPr="00206B2B">
        <w:rPr>
          <w:rStyle w:val="BodyTextChar"/>
        </w:rPr>
        <w:t>es feminist methodologies, prioriti</w:t>
      </w:r>
      <w:r w:rsidR="009F1C4D" w:rsidRPr="00206B2B">
        <w:rPr>
          <w:rStyle w:val="BodyTextChar"/>
        </w:rPr>
        <w:t>s</w:t>
      </w:r>
      <w:r w:rsidR="00362716" w:rsidRPr="00206B2B">
        <w:rPr>
          <w:rStyle w:val="BodyTextChar"/>
        </w:rPr>
        <w:t>ing</w:t>
      </w:r>
      <w:r w:rsidR="00A0332A" w:rsidRPr="00206B2B">
        <w:rPr>
          <w:rStyle w:val="BodyTextChar"/>
        </w:rPr>
        <w:t xml:space="preserve"> qualitative impact and adaptive learning over activity counts</w:t>
      </w:r>
      <w:r w:rsidR="00047636" w:rsidRPr="00206B2B">
        <w:rPr>
          <w:rStyle w:val="BodyTextChar"/>
        </w:rPr>
        <w:t xml:space="preserve">. </w:t>
      </w:r>
      <w:r w:rsidR="00CF16F4" w:rsidRPr="00206B2B">
        <w:rPr>
          <w:rStyle w:val="BodyTextChar"/>
        </w:rPr>
        <w:t>In addition to</w:t>
      </w:r>
      <w:r w:rsidR="004C0E49" w:rsidRPr="00206B2B">
        <w:rPr>
          <w:rStyle w:val="BodyTextChar"/>
        </w:rPr>
        <w:t xml:space="preserve"> being the first country in the world to appoint an ambassador for </w:t>
      </w:r>
      <w:r w:rsidR="0058451B" w:rsidRPr="00206B2B">
        <w:rPr>
          <w:rStyle w:val="BodyTextChar"/>
        </w:rPr>
        <w:t>WPS</w:t>
      </w:r>
      <w:r w:rsidR="004C0E49" w:rsidRPr="00206B2B">
        <w:rPr>
          <w:rStyle w:val="BodyTextChar"/>
        </w:rPr>
        <w:t>, t</w:t>
      </w:r>
      <w:r w:rsidR="004A722F" w:rsidRPr="00206B2B">
        <w:rPr>
          <w:rStyle w:val="BodyTextChar"/>
        </w:rPr>
        <w:t xml:space="preserve">he </w:t>
      </w:r>
      <w:r w:rsidR="004C0E49" w:rsidRPr="00206B2B">
        <w:rPr>
          <w:rStyle w:val="BodyTextChar"/>
        </w:rPr>
        <w:t>Canadian</w:t>
      </w:r>
      <w:r w:rsidR="00047636" w:rsidRPr="00206B2B">
        <w:rPr>
          <w:rStyle w:val="BodyTextChar"/>
        </w:rPr>
        <w:t xml:space="preserve"> NAP is</w:t>
      </w:r>
      <w:r w:rsidR="00A0332A" w:rsidRPr="00206B2B">
        <w:rPr>
          <w:rStyle w:val="BodyTextChar"/>
        </w:rPr>
        <w:t xml:space="preserve"> supported by annual parliamentary reporting and a dedicated </w:t>
      </w:r>
      <w:r w:rsidR="004258A8" w:rsidRPr="00206B2B">
        <w:rPr>
          <w:rStyle w:val="BodyTextChar"/>
        </w:rPr>
        <w:t xml:space="preserve">government </w:t>
      </w:r>
      <w:r w:rsidR="00A0332A" w:rsidRPr="00206B2B">
        <w:rPr>
          <w:rStyle w:val="BodyTextChar"/>
        </w:rPr>
        <w:t>coo</w:t>
      </w:r>
      <w:r w:rsidR="002420D7" w:rsidRPr="00206B2B">
        <w:rPr>
          <w:rStyle w:val="BodyTextChar"/>
        </w:rPr>
        <w:t xml:space="preserve">rdination hub at Global Affairs Canada. While less prescriptive than the UK’s focus country model, Canada’s NAP positions inclusion and </w:t>
      </w:r>
      <w:r w:rsidR="009C6C5B" w:rsidRPr="00206B2B">
        <w:rPr>
          <w:rStyle w:val="BodyTextChar"/>
        </w:rPr>
        <w:t>institutional</w:t>
      </w:r>
      <w:r w:rsidR="002420D7" w:rsidRPr="00206B2B">
        <w:rPr>
          <w:rStyle w:val="BodyTextChar"/>
        </w:rPr>
        <w:t xml:space="preserve"> capacity-building as central to its leadership strategy, aiming to mainstream WPS across government and strengthen accountability </w:t>
      </w:r>
      <w:r w:rsidR="009C6C5B" w:rsidRPr="00206B2B">
        <w:rPr>
          <w:rStyle w:val="BodyTextChar"/>
        </w:rPr>
        <w:t>through collaborative governance.</w:t>
      </w:r>
    </w:p>
    <w:p w14:paraId="2204A783" w14:textId="4671503C" w:rsidR="00371B40" w:rsidRPr="00206B2B" w:rsidRDefault="00371B40" w:rsidP="00944D24">
      <w:pPr>
        <w:pStyle w:val="Heading2"/>
      </w:pPr>
      <w:r w:rsidRPr="00206B2B">
        <w:t>Philippines</w:t>
      </w:r>
    </w:p>
    <w:p w14:paraId="0F18B1B9" w14:textId="6424A5F0" w:rsidR="00371B40" w:rsidRPr="00206B2B" w:rsidRDefault="00742122" w:rsidP="00AC2DBB">
      <w:pPr>
        <w:spacing w:before="120" w:after="120"/>
        <w:rPr>
          <w:rStyle w:val="BodyTextChar"/>
        </w:rPr>
      </w:pPr>
      <w:r w:rsidRPr="00206B2B">
        <w:rPr>
          <w:rStyle w:val="BodyTextChar"/>
        </w:rPr>
        <w:t>The Philippines’ fourth generation NAP (2023-2033)</w:t>
      </w:r>
      <w:r w:rsidR="00C419BF" w:rsidRPr="00206B2B">
        <w:rPr>
          <w:rStyle w:val="BodyTextChar"/>
        </w:rPr>
        <w:t xml:space="preserve"> maintains a domestic focus, structured around </w:t>
      </w:r>
      <w:r w:rsidR="00890A10" w:rsidRPr="00206B2B">
        <w:rPr>
          <w:rStyle w:val="BodyTextChar"/>
        </w:rPr>
        <w:t>two core pillars o</w:t>
      </w:r>
      <w:r w:rsidR="00C548B9" w:rsidRPr="00206B2B">
        <w:rPr>
          <w:rStyle w:val="BodyTextChar"/>
        </w:rPr>
        <w:t>f</w:t>
      </w:r>
      <w:r w:rsidR="00890A10" w:rsidRPr="00206B2B">
        <w:rPr>
          <w:rStyle w:val="BodyTextChar"/>
        </w:rPr>
        <w:t xml:space="preserve"> participation and protection, and two support pillars o</w:t>
      </w:r>
      <w:r w:rsidR="00C548B9" w:rsidRPr="00206B2B">
        <w:rPr>
          <w:rStyle w:val="BodyTextChar"/>
        </w:rPr>
        <w:t>f</w:t>
      </w:r>
      <w:r w:rsidR="00890A10" w:rsidRPr="00206B2B">
        <w:rPr>
          <w:rStyle w:val="BodyTextChar"/>
        </w:rPr>
        <w:t xml:space="preserve"> mainstreaming and monitoring.</w:t>
      </w:r>
      <w:r w:rsidR="00AD27C1" w:rsidRPr="00206B2B">
        <w:rPr>
          <w:rStyle w:val="FootnoteReference"/>
          <w:color w:val="000000" w:themeColor="text1"/>
        </w:rPr>
        <w:footnoteReference w:id="46"/>
      </w:r>
      <w:r w:rsidR="00A445FB" w:rsidRPr="00206B2B">
        <w:rPr>
          <w:rStyle w:val="BodyTextChar"/>
        </w:rPr>
        <w:t xml:space="preserve"> </w:t>
      </w:r>
      <w:r w:rsidR="002C7BB5" w:rsidRPr="00206B2B">
        <w:rPr>
          <w:rStyle w:val="BodyTextChar"/>
        </w:rPr>
        <w:t>The Philippines’</w:t>
      </w:r>
      <w:r w:rsidR="00DE0533" w:rsidRPr="00206B2B">
        <w:rPr>
          <w:rStyle w:val="BodyTextChar"/>
        </w:rPr>
        <w:t xml:space="preserve"> </w:t>
      </w:r>
      <w:r w:rsidR="00A7602E" w:rsidRPr="00206B2B">
        <w:rPr>
          <w:rStyle w:val="BodyTextChar"/>
        </w:rPr>
        <w:t>M&amp;E</w:t>
      </w:r>
      <w:r w:rsidR="00DE0533" w:rsidRPr="00206B2B">
        <w:rPr>
          <w:rStyle w:val="BodyTextChar"/>
        </w:rPr>
        <w:t xml:space="preserve"> architecture advances beyond conventional practice to a comprehensive </w:t>
      </w:r>
      <w:bookmarkStart w:id="8" w:name="_Hlk220938792"/>
      <w:r w:rsidR="00246331" w:rsidRPr="00206B2B">
        <w:rPr>
          <w:rStyle w:val="BodyTextChar"/>
        </w:rPr>
        <w:t>MEAL</w:t>
      </w:r>
      <w:bookmarkEnd w:id="8"/>
      <w:r w:rsidR="00DE0533" w:rsidRPr="00206B2B">
        <w:rPr>
          <w:rStyle w:val="BodyTextChar"/>
        </w:rPr>
        <w:t xml:space="preserve"> system that mandates annual public reporting, triennial multi</w:t>
      </w:r>
      <w:r w:rsidR="00DE0533" w:rsidRPr="00206B2B">
        <w:rPr>
          <w:rStyle w:val="BodyTextChar"/>
          <w:rFonts w:ascii="Cambria Math" w:hAnsi="Cambria Math" w:cs="Cambria Math"/>
        </w:rPr>
        <w:t>‑</w:t>
      </w:r>
      <w:r w:rsidR="00DE0533" w:rsidRPr="00206B2B">
        <w:rPr>
          <w:rStyle w:val="BodyTextChar"/>
        </w:rPr>
        <w:t>stakeholder mid</w:t>
      </w:r>
      <w:r w:rsidR="00DE0533" w:rsidRPr="00206B2B">
        <w:rPr>
          <w:rStyle w:val="BodyTextChar"/>
          <w:rFonts w:ascii="Cambria Math" w:hAnsi="Cambria Math" w:cs="Cambria Math"/>
        </w:rPr>
        <w:t>‑</w:t>
      </w:r>
      <w:r w:rsidR="00DE0533" w:rsidRPr="00206B2B">
        <w:rPr>
          <w:rStyle w:val="BodyTextChar"/>
        </w:rPr>
        <w:t xml:space="preserve">term reviews, a terminal evaluation, and the development of a consolidated national </w:t>
      </w:r>
      <w:r w:rsidR="00246331" w:rsidRPr="00206B2B">
        <w:rPr>
          <w:rStyle w:val="BodyTextChar"/>
        </w:rPr>
        <w:t>WPS</w:t>
      </w:r>
      <w:r w:rsidR="00DE0533" w:rsidRPr="00206B2B">
        <w:rPr>
          <w:rStyle w:val="BodyTextChar"/>
        </w:rPr>
        <w:t xml:space="preserve"> database with minimum sex, age and disability</w:t>
      </w:r>
      <w:r w:rsidR="00246331" w:rsidRPr="00206B2B">
        <w:rPr>
          <w:rStyle w:val="BodyTextChar"/>
          <w:rFonts w:ascii="Cambria Math" w:hAnsi="Cambria Math" w:cs="Cambria Math"/>
        </w:rPr>
        <w:t xml:space="preserve"> </w:t>
      </w:r>
      <w:r w:rsidR="00DE0533" w:rsidRPr="00206B2B">
        <w:rPr>
          <w:rStyle w:val="BodyTextChar"/>
        </w:rPr>
        <w:t>disaggregated data.</w:t>
      </w:r>
      <w:r w:rsidR="00081F46" w:rsidRPr="00206B2B">
        <w:rPr>
          <w:rStyle w:val="BodyTextChar"/>
        </w:rPr>
        <w:t xml:space="preserve"> </w:t>
      </w:r>
      <w:r w:rsidR="000F2C3E" w:rsidRPr="00206B2B">
        <w:rPr>
          <w:rStyle w:val="BodyTextChar"/>
        </w:rPr>
        <w:t xml:space="preserve">Produced in accordance with the NAP </w:t>
      </w:r>
      <w:r w:rsidR="008D3EBE" w:rsidRPr="00206B2B">
        <w:rPr>
          <w:rStyle w:val="BodyTextChar"/>
        </w:rPr>
        <w:t>M</w:t>
      </w:r>
      <w:r w:rsidR="00831847" w:rsidRPr="00206B2B">
        <w:rPr>
          <w:rStyle w:val="BodyTextChar"/>
        </w:rPr>
        <w:t xml:space="preserve">&amp;E </w:t>
      </w:r>
      <w:r w:rsidR="000F2C3E" w:rsidRPr="00206B2B">
        <w:rPr>
          <w:rStyle w:val="BodyTextChar"/>
        </w:rPr>
        <w:t>roadmap, m</w:t>
      </w:r>
      <w:r w:rsidR="00A83D67" w:rsidRPr="00206B2B">
        <w:rPr>
          <w:rStyle w:val="BodyTextChar"/>
        </w:rPr>
        <w:t>idterm outcomes and associated indicators are extensively outlined in the separate Indicator Handbook.</w:t>
      </w:r>
      <w:r w:rsidR="00184C5A" w:rsidRPr="00206B2B">
        <w:rPr>
          <w:rStyle w:val="FootnoteReference"/>
          <w:color w:val="000000" w:themeColor="text1"/>
        </w:rPr>
        <w:footnoteReference w:id="47"/>
      </w:r>
      <w:r w:rsidR="00A83D67" w:rsidRPr="00206B2B">
        <w:rPr>
          <w:rStyle w:val="BodyTextChar"/>
        </w:rPr>
        <w:t xml:space="preserve"> </w:t>
      </w:r>
      <w:r w:rsidR="00394EED" w:rsidRPr="00206B2B">
        <w:rPr>
          <w:rStyle w:val="BodyTextChar"/>
        </w:rPr>
        <w:t xml:space="preserve">The Philippine NAP proactively </w:t>
      </w:r>
      <w:r w:rsidR="001C3163" w:rsidRPr="00206B2B">
        <w:rPr>
          <w:rStyle w:val="BodyTextChar"/>
        </w:rPr>
        <w:t>operates on a renewed commitment to address the root causes of conflict</w:t>
      </w:r>
      <w:r w:rsidR="003069F0" w:rsidRPr="00206B2B">
        <w:rPr>
          <w:rStyle w:val="BodyTextChar"/>
        </w:rPr>
        <w:t xml:space="preserve">, especially as </w:t>
      </w:r>
      <w:r w:rsidR="008E6FD0" w:rsidRPr="00206B2B">
        <w:rPr>
          <w:rStyle w:val="BodyTextChar"/>
        </w:rPr>
        <w:t>they</w:t>
      </w:r>
      <w:r w:rsidR="003069F0" w:rsidRPr="00206B2B">
        <w:rPr>
          <w:rStyle w:val="BodyTextChar"/>
        </w:rPr>
        <w:t xml:space="preserve"> intersect with new and emerging </w:t>
      </w:r>
      <w:r w:rsidR="004C4D52" w:rsidRPr="00206B2B">
        <w:rPr>
          <w:rStyle w:val="BodyTextChar"/>
        </w:rPr>
        <w:t>priorities such as local armed conflicts, climate change, engaging diverse populations, cybersecurity, and the role of women in normali</w:t>
      </w:r>
      <w:r w:rsidR="006C44A9" w:rsidRPr="00206B2B">
        <w:rPr>
          <w:rStyle w:val="BodyTextChar"/>
        </w:rPr>
        <w:t>s</w:t>
      </w:r>
      <w:r w:rsidR="004C4D52" w:rsidRPr="00206B2B">
        <w:rPr>
          <w:rStyle w:val="BodyTextChar"/>
        </w:rPr>
        <w:t>ation processes.</w:t>
      </w:r>
      <w:r w:rsidR="00790C16" w:rsidRPr="00206B2B">
        <w:rPr>
          <w:rStyle w:val="BodyTextChar"/>
        </w:rPr>
        <w:t xml:space="preserve"> </w:t>
      </w:r>
      <w:r w:rsidR="00E12A11" w:rsidRPr="00206B2B">
        <w:rPr>
          <w:rStyle w:val="BodyTextChar"/>
        </w:rPr>
        <w:t>The NAP is</w:t>
      </w:r>
      <w:r w:rsidR="00324195" w:rsidRPr="00206B2B">
        <w:rPr>
          <w:rStyle w:val="BodyTextChar"/>
        </w:rPr>
        <w:t xml:space="preserve"> underpinned by a whole</w:t>
      </w:r>
      <w:r w:rsidR="00324195" w:rsidRPr="00206B2B">
        <w:rPr>
          <w:rStyle w:val="BodyTextChar"/>
          <w:rFonts w:ascii="Cambria Math" w:hAnsi="Cambria Math" w:cs="Cambria Math"/>
        </w:rPr>
        <w:t>‑</w:t>
      </w:r>
      <w:r w:rsidR="00324195" w:rsidRPr="00206B2B">
        <w:rPr>
          <w:rStyle w:val="BodyTextChar"/>
        </w:rPr>
        <w:t>of</w:t>
      </w:r>
      <w:r w:rsidR="00324195" w:rsidRPr="00206B2B">
        <w:rPr>
          <w:rStyle w:val="BodyTextChar"/>
          <w:rFonts w:ascii="Cambria Math" w:hAnsi="Cambria Math" w:cs="Cambria Math"/>
        </w:rPr>
        <w:t>‑</w:t>
      </w:r>
      <w:r w:rsidR="00324195" w:rsidRPr="00206B2B">
        <w:rPr>
          <w:rStyle w:val="BodyTextChar"/>
        </w:rPr>
        <w:t xml:space="preserve">government coordination model led by the National Steering Committee on </w:t>
      </w:r>
      <w:r w:rsidR="00055A45" w:rsidRPr="00206B2B">
        <w:rPr>
          <w:rStyle w:val="BodyTextChar"/>
        </w:rPr>
        <w:t>WPS</w:t>
      </w:r>
      <w:r w:rsidR="00324195" w:rsidRPr="00206B2B">
        <w:rPr>
          <w:rStyle w:val="BodyTextChar"/>
        </w:rPr>
        <w:t>, which brings together key national agencies and mandates integration of WPS commitments across all levels of government.</w:t>
      </w:r>
    </w:p>
    <w:p w14:paraId="68E15270" w14:textId="041FF32E" w:rsidR="00DE6DBE" w:rsidRPr="00206B2B" w:rsidRDefault="00DE6DBE" w:rsidP="00944D24">
      <w:pPr>
        <w:pStyle w:val="Heading2"/>
      </w:pPr>
      <w:bookmarkStart w:id="9" w:name="_Hlk220671933"/>
      <w:r w:rsidRPr="00206B2B">
        <w:t>Australia</w:t>
      </w:r>
    </w:p>
    <w:bookmarkEnd w:id="9"/>
    <w:p w14:paraId="53831F87" w14:textId="620D966E" w:rsidR="008F7B81" w:rsidRPr="00206B2B" w:rsidRDefault="008F7B81" w:rsidP="000928FF">
      <w:pPr>
        <w:pStyle w:val="BodyText"/>
      </w:pPr>
      <w:r w:rsidRPr="00206B2B">
        <w:t xml:space="preserve">Against this backdrop, Australia performs strongly on alignment with global WPS principles but shows opportunities for refinement. </w:t>
      </w:r>
      <w:r w:rsidR="00CE1353" w:rsidRPr="00206B2B">
        <w:t>Compared with Japan</w:t>
      </w:r>
      <w:r w:rsidR="00406382" w:rsidRPr="00206B2B">
        <w:t xml:space="preserve">, </w:t>
      </w:r>
      <w:r w:rsidR="00CE1353" w:rsidRPr="00206B2B">
        <w:t xml:space="preserve">the UK, </w:t>
      </w:r>
      <w:r w:rsidR="00406382" w:rsidRPr="00206B2B">
        <w:t xml:space="preserve">and the </w:t>
      </w:r>
      <w:r w:rsidR="0010370C" w:rsidRPr="00206B2B">
        <w:t>Philippines</w:t>
      </w:r>
      <w:r w:rsidR="00406382" w:rsidRPr="00206B2B">
        <w:t>,</w:t>
      </w:r>
      <w:r w:rsidR="00CE1353" w:rsidRPr="00206B2B">
        <w:t xml:space="preserve"> Australia’s </w:t>
      </w:r>
      <w:r w:rsidRPr="00206B2B">
        <w:t>M&amp;E framework is less formalised</w:t>
      </w:r>
      <w:r w:rsidR="00E02E5B" w:rsidRPr="00206B2B">
        <w:t>. A</w:t>
      </w:r>
      <w:r w:rsidRPr="00206B2B">
        <w:t>lthough progress reporting and independent reviews exist</w:t>
      </w:r>
      <w:r w:rsidR="00DC3E65" w:rsidRPr="00206B2B">
        <w:t xml:space="preserve">, </w:t>
      </w:r>
      <w:r w:rsidRPr="00206B2B">
        <w:t>including interim assessments of earlier NAPs</w:t>
      </w:r>
      <w:r w:rsidR="00DC3E65" w:rsidRPr="00206B2B">
        <w:t xml:space="preserve">, </w:t>
      </w:r>
      <w:r w:rsidRPr="00206B2B">
        <w:t xml:space="preserve">they do not match the UK’s </w:t>
      </w:r>
      <w:r w:rsidR="009B12B9" w:rsidRPr="00206B2B">
        <w:t>robust</w:t>
      </w:r>
      <w:r w:rsidR="00D80B92" w:rsidRPr="00206B2B">
        <w:t>, multi-level</w:t>
      </w:r>
      <w:r w:rsidRPr="00206B2B">
        <w:t xml:space="preserve"> evaluation cycle or its explicit parliamentary oversight</w:t>
      </w:r>
      <w:r w:rsidR="00CE1353" w:rsidRPr="00206B2B">
        <w:t xml:space="preserve"> and </w:t>
      </w:r>
      <w:r w:rsidR="002B4EA7" w:rsidRPr="00206B2B">
        <w:t>actionable, quantitative indicators</w:t>
      </w:r>
      <w:r w:rsidRPr="00206B2B">
        <w:t>.</w:t>
      </w:r>
      <w:r w:rsidR="00CE1353" w:rsidRPr="00206B2B">
        <w:t xml:space="preserve"> Australia could consider</w:t>
      </w:r>
      <w:r w:rsidR="002B4EA7" w:rsidRPr="00206B2B">
        <w:t xml:space="preserve"> implementing </w:t>
      </w:r>
      <w:r w:rsidR="00C130DB" w:rsidRPr="00206B2B">
        <w:t xml:space="preserve">an external evaluation committee </w:t>
      </w:r>
      <w:proofErr w:type="gramStart"/>
      <w:r w:rsidR="00C130DB" w:rsidRPr="00206B2B">
        <w:t>similar to</w:t>
      </w:r>
      <w:proofErr w:type="gramEnd"/>
      <w:r w:rsidR="00C130DB" w:rsidRPr="00206B2B">
        <w:t xml:space="preserve"> Japan, that leverages experts from academi</w:t>
      </w:r>
      <w:r w:rsidR="008F7B58" w:rsidRPr="00206B2B">
        <w:t>a</w:t>
      </w:r>
      <w:r w:rsidR="00C130DB" w:rsidRPr="00206B2B">
        <w:t>, NGOs and civil society.</w:t>
      </w:r>
    </w:p>
    <w:p w14:paraId="0BA816AB" w14:textId="77777777" w:rsidR="00AF7387" w:rsidRDefault="008F7B81" w:rsidP="00AF7387">
      <w:r w:rsidRPr="00206B2B">
        <w:t>Australia’s domestic dimension also differs significantly. Whereas Japan</w:t>
      </w:r>
      <w:r w:rsidR="002E6562" w:rsidRPr="00206B2B">
        <w:t>, Canada</w:t>
      </w:r>
      <w:r w:rsidR="00875917" w:rsidRPr="00206B2B">
        <w:t>, the Philippines,</w:t>
      </w:r>
      <w:r w:rsidRPr="00206B2B">
        <w:t xml:space="preserve"> and the UK embed clear domestic reforms within their NAPs, Australia’s domestic integration is more limited, reflecting its focus on international peacebuilding, humanitarian assistance, and multilateral engagement. </w:t>
      </w:r>
      <w:r w:rsidR="00AF7387">
        <w:br w:type="page"/>
      </w:r>
    </w:p>
    <w:p w14:paraId="6354247E" w14:textId="1C4E8745" w:rsidR="008F7B81" w:rsidRPr="00206B2B" w:rsidRDefault="008F7B81" w:rsidP="00AF7387">
      <w:r w:rsidRPr="00206B2B">
        <w:lastRenderedPageBreak/>
        <w:t>This provides Australia with strong international credibility</w:t>
      </w:r>
      <w:r w:rsidR="00741141" w:rsidRPr="00206B2B">
        <w:t xml:space="preserve">, </w:t>
      </w:r>
      <w:r w:rsidRPr="00206B2B">
        <w:t>supported by contributions to peacekeeping, humanitarian financing, and global WPS mechanisms</w:t>
      </w:r>
      <w:r w:rsidR="00C9048A" w:rsidRPr="00206B2B">
        <w:t>. However, it also</w:t>
      </w:r>
      <w:r w:rsidRPr="00206B2B">
        <w:t xml:space="preserve"> limits opportunities to demonstrate domestic system change comparable to UK initiatives such as its Tackling V</w:t>
      </w:r>
      <w:r w:rsidR="003A78FF" w:rsidRPr="00206B2B">
        <w:t xml:space="preserve">iolence </w:t>
      </w:r>
      <w:r w:rsidRPr="00206B2B">
        <w:t>A</w:t>
      </w:r>
      <w:r w:rsidR="003A78FF" w:rsidRPr="00206B2B">
        <w:t xml:space="preserve">gainst </w:t>
      </w:r>
      <w:r w:rsidRPr="00206B2B">
        <w:t>W</w:t>
      </w:r>
      <w:r w:rsidR="003A78FF" w:rsidRPr="00206B2B">
        <w:t xml:space="preserve">omen and </w:t>
      </w:r>
      <w:r w:rsidRPr="00206B2B">
        <w:t>G</w:t>
      </w:r>
      <w:r w:rsidR="003A78FF" w:rsidRPr="00206B2B">
        <w:t>irls</w:t>
      </w:r>
      <w:r w:rsidRPr="00206B2B">
        <w:t xml:space="preserve"> </w:t>
      </w:r>
      <w:r w:rsidR="00E0313A" w:rsidRPr="00206B2B">
        <w:t xml:space="preserve">(VAWG) </w:t>
      </w:r>
      <w:r w:rsidRPr="00206B2B">
        <w:t xml:space="preserve">Strategy or Japan’s </w:t>
      </w:r>
      <w:r w:rsidR="00CE385D" w:rsidRPr="00206B2B">
        <w:t>ministry level</w:t>
      </w:r>
      <w:r w:rsidRPr="00206B2B">
        <w:t xml:space="preserve"> </w:t>
      </w:r>
      <w:r w:rsidR="00CE385D" w:rsidRPr="00206B2B">
        <w:t>gender mainstreaming</w:t>
      </w:r>
      <w:r w:rsidRPr="00206B2B">
        <w:t xml:space="preserve"> reforms. </w:t>
      </w:r>
    </w:p>
    <w:p w14:paraId="2E08D6F5" w14:textId="5BAB7AED" w:rsidR="008F7B81" w:rsidRPr="00206B2B" w:rsidRDefault="008F7B81" w:rsidP="000928FF">
      <w:pPr>
        <w:pStyle w:val="BodyText"/>
      </w:pPr>
      <w:r w:rsidRPr="00206B2B">
        <w:t xml:space="preserve">Australia’s international engagement profile differs from peers. Unlike the UK’s explicitly identified </w:t>
      </w:r>
      <w:r w:rsidR="008C1DFC" w:rsidRPr="00206B2B">
        <w:t>twelve</w:t>
      </w:r>
      <w:r w:rsidRPr="00206B2B">
        <w:t xml:space="preserve"> focus countries or Japan’s </w:t>
      </w:r>
      <w:r w:rsidR="00CE385D" w:rsidRPr="00206B2B">
        <w:t>conflict affected</w:t>
      </w:r>
      <w:r w:rsidRPr="00206B2B">
        <w:t xml:space="preserve"> </w:t>
      </w:r>
      <w:r w:rsidR="00727813" w:rsidRPr="00206B2B">
        <w:t xml:space="preserve">country </w:t>
      </w:r>
      <w:r w:rsidRPr="00206B2B">
        <w:t>emphasis, Australia</w:t>
      </w:r>
      <w:r w:rsidR="00F32130" w:rsidRPr="00206B2B">
        <w:t>’s NAP broadly applies to the Indo-Pacific</w:t>
      </w:r>
      <w:r w:rsidRPr="00206B2B">
        <w:t xml:space="preserve">. </w:t>
      </w:r>
      <w:r w:rsidR="008C1DFC" w:rsidRPr="00206B2B">
        <w:t>Australia’s</w:t>
      </w:r>
      <w:r w:rsidRPr="00206B2B">
        <w:t xml:space="preserve"> WPS leadership is </w:t>
      </w:r>
      <w:r w:rsidR="008C1DFC" w:rsidRPr="00206B2B">
        <w:t xml:space="preserve">instead </w:t>
      </w:r>
      <w:r w:rsidRPr="00206B2B">
        <w:t xml:space="preserve">expressed through multilateral engagement, funding partnerships, and institutional advocacy. While this supports wide engagement, adopting </w:t>
      </w:r>
      <w:r w:rsidR="00CE385D" w:rsidRPr="00206B2B">
        <w:t>focus country</w:t>
      </w:r>
      <w:r w:rsidRPr="00206B2B">
        <w:t xml:space="preserve"> or thematic targeting could enhance measurement, accountability, and diplomatic influence.</w:t>
      </w:r>
    </w:p>
    <w:p w14:paraId="2C507F14" w14:textId="71E9F8A8" w:rsidR="006F4133" w:rsidRPr="00206B2B" w:rsidRDefault="008F7B81" w:rsidP="001C12F8">
      <w:pPr>
        <w:pStyle w:val="BodyText"/>
      </w:pPr>
      <w:r w:rsidRPr="00206B2B">
        <w:t>Overall, Australia’s WPS approach is principled</w:t>
      </w:r>
      <w:r w:rsidR="00F02852" w:rsidRPr="00206B2B">
        <w:t xml:space="preserve"> </w:t>
      </w:r>
      <w:r w:rsidRPr="00206B2B">
        <w:t>and globally engaged, but opportunities exist to strengthen domestic commitments</w:t>
      </w:r>
      <w:r w:rsidR="004466C2" w:rsidRPr="00206B2B">
        <w:t xml:space="preserve"> and governmental coordination</w:t>
      </w:r>
      <w:r w:rsidRPr="00206B2B">
        <w:t xml:space="preserve">, adopt more </w:t>
      </w:r>
      <w:r w:rsidR="00B54658" w:rsidRPr="00206B2B">
        <w:t>actionable</w:t>
      </w:r>
      <w:r w:rsidRPr="00206B2B">
        <w:t xml:space="preserve"> indicators, establish a more structured M&amp;E cycle, and consider</w:t>
      </w:r>
      <w:r w:rsidR="005B0F0A" w:rsidRPr="00206B2B">
        <w:t xml:space="preserve"> more targeted initiatives within the Southeast Asia and Pacific Islands region.</w:t>
      </w:r>
      <w:r w:rsidR="006F4133" w:rsidRPr="00206B2B">
        <w:br w:type="page"/>
      </w:r>
    </w:p>
    <w:p w14:paraId="66595220" w14:textId="796B2117" w:rsidR="00553573" w:rsidRPr="00206B2B" w:rsidRDefault="00A10402" w:rsidP="00944D24">
      <w:pPr>
        <w:pStyle w:val="Heading1"/>
      </w:pPr>
      <w:bookmarkStart w:id="10" w:name="_Toc230774044"/>
      <w:r w:rsidRPr="00206B2B">
        <w:lastRenderedPageBreak/>
        <w:t>Progress Against O</w:t>
      </w:r>
      <w:r w:rsidR="005A6FAC" w:rsidRPr="00206B2B">
        <w:t>utcomes</w:t>
      </w:r>
      <w:bookmarkEnd w:id="10"/>
    </w:p>
    <w:p w14:paraId="21E2CC4C" w14:textId="1768B592" w:rsidR="0047320C" w:rsidRPr="00206B2B" w:rsidRDefault="009A3018" w:rsidP="00007B8A">
      <w:pPr>
        <w:pStyle w:val="BodyText"/>
      </w:pPr>
      <w:r w:rsidRPr="00206B2B">
        <w:t xml:space="preserve">This section analyses </w:t>
      </w:r>
      <w:r w:rsidR="00D16D79" w:rsidRPr="00206B2B">
        <w:t>the progress of outcomes and objectives against the four pillars of Australia’s NAP</w:t>
      </w:r>
      <w:r w:rsidR="00716DED" w:rsidRPr="00206B2B">
        <w:t xml:space="preserve">. </w:t>
      </w:r>
      <w:r w:rsidR="00B946AF" w:rsidRPr="00206B2B">
        <w:t xml:space="preserve">This analysis was informed by </w:t>
      </w:r>
      <w:r w:rsidR="003D2C22" w:rsidRPr="00206B2B">
        <w:t xml:space="preserve">quantitative and qualitative data captured through </w:t>
      </w:r>
      <w:r w:rsidR="003A30CD" w:rsidRPr="00206B2B">
        <w:t xml:space="preserve">progress </w:t>
      </w:r>
      <w:r w:rsidR="003D2C22" w:rsidRPr="00206B2B">
        <w:t xml:space="preserve">reporting, strategy and policy guidance, review of contemporary literature and </w:t>
      </w:r>
      <w:r w:rsidR="00E34A90" w:rsidRPr="00206B2B">
        <w:t xml:space="preserve">insights from stakeholder consultations. </w:t>
      </w:r>
      <w:r w:rsidR="00716DED" w:rsidRPr="00206B2B">
        <w:t xml:space="preserve">For a more detailed methodology of the review framework, refer to </w:t>
      </w:r>
      <w:hyperlink w:anchor="_Appendix_A:_Terms" w:history="1">
        <w:r w:rsidR="00727101" w:rsidRPr="00206B2B">
          <w:rPr>
            <w:rStyle w:val="Hyperlink"/>
            <w:color w:val="000000" w:themeColor="text1"/>
          </w:rPr>
          <w:t>A</w:t>
        </w:r>
        <w:r w:rsidR="003A30CD" w:rsidRPr="00206B2B">
          <w:rPr>
            <w:rStyle w:val="Hyperlink"/>
            <w:color w:val="000000" w:themeColor="text1"/>
          </w:rPr>
          <w:t>ppen</w:t>
        </w:r>
        <w:bookmarkStart w:id="11" w:name="_Hlt219109588"/>
        <w:r w:rsidR="003A30CD" w:rsidRPr="00206B2B">
          <w:rPr>
            <w:rStyle w:val="Hyperlink"/>
            <w:color w:val="000000" w:themeColor="text1"/>
          </w:rPr>
          <w:t>d</w:t>
        </w:r>
        <w:bookmarkEnd w:id="11"/>
        <w:r w:rsidR="003A30CD" w:rsidRPr="00206B2B">
          <w:rPr>
            <w:rStyle w:val="Hyperlink"/>
            <w:color w:val="000000" w:themeColor="text1"/>
          </w:rPr>
          <w:t>ix</w:t>
        </w:r>
        <w:r w:rsidR="00727101" w:rsidRPr="00206B2B">
          <w:rPr>
            <w:rStyle w:val="Hyperlink"/>
            <w:color w:val="000000" w:themeColor="text1"/>
          </w:rPr>
          <w:t xml:space="preserve"> A</w:t>
        </w:r>
      </w:hyperlink>
      <w:r w:rsidR="00716DED" w:rsidRPr="00206B2B">
        <w:t>.</w:t>
      </w:r>
    </w:p>
    <w:p w14:paraId="53A55B64" w14:textId="2FEE3520" w:rsidR="004C4FC6" w:rsidRPr="00206B2B" w:rsidRDefault="00860F60" w:rsidP="00007B8A">
      <w:pPr>
        <w:pStyle w:val="BodyText"/>
      </w:pPr>
      <w:r w:rsidRPr="00206B2B">
        <w:t>The WPS NAP is structured with pillars, outcomes and objectives. The four pillars that underpin Australia’s WPS agenda include:</w:t>
      </w:r>
    </w:p>
    <w:p w14:paraId="1D96CD83" w14:textId="03772616" w:rsidR="001D2DA6" w:rsidRPr="00206B2B" w:rsidRDefault="00605E3A" w:rsidP="001C12F8">
      <w:pPr>
        <w:pStyle w:val="ListBullet"/>
      </w:pPr>
      <w:r w:rsidRPr="00206B2B">
        <w:t>P</w:t>
      </w:r>
      <w:r w:rsidR="001D2DA6" w:rsidRPr="00206B2B">
        <w:t>reventing conflict and sexual and gender-based violence in fragile and conflict-affected contexts,</w:t>
      </w:r>
    </w:p>
    <w:p w14:paraId="252D9D49" w14:textId="5871D121" w:rsidR="001D2DA6" w:rsidRPr="00206B2B" w:rsidRDefault="00605E3A" w:rsidP="001C12F8">
      <w:pPr>
        <w:pStyle w:val="ListBullet"/>
      </w:pPr>
      <w:r w:rsidRPr="00206B2B">
        <w:t>P</w:t>
      </w:r>
      <w:r w:rsidR="001D2DA6" w:rsidRPr="00206B2B">
        <w:t xml:space="preserve">romoting women’s full and meaningful participation, and gender equality in peace and security decision-making processes, </w:t>
      </w:r>
    </w:p>
    <w:p w14:paraId="7A7A164B" w14:textId="7C80ADE8" w:rsidR="001D2DA6" w:rsidRPr="00206B2B" w:rsidRDefault="00605E3A" w:rsidP="001C12F8">
      <w:pPr>
        <w:pStyle w:val="ListBullet"/>
      </w:pPr>
      <w:r w:rsidRPr="00206B2B">
        <w:t>P</w:t>
      </w:r>
      <w:r w:rsidR="001D2DA6" w:rsidRPr="00206B2B">
        <w:t xml:space="preserve">rotecting human rights, including reducing sexual and gender-based violence, and </w:t>
      </w:r>
    </w:p>
    <w:p w14:paraId="18849C89" w14:textId="6CFEE04C" w:rsidR="00860F60" w:rsidRPr="00206B2B" w:rsidRDefault="00605E3A" w:rsidP="001C12F8">
      <w:pPr>
        <w:pStyle w:val="ListBullet"/>
      </w:pPr>
      <w:r w:rsidRPr="00206B2B">
        <w:t>M</w:t>
      </w:r>
      <w:r w:rsidR="001D2DA6" w:rsidRPr="00206B2B">
        <w:t>eeting the needs of women and girls and reinforcing their agency in relief and recovery efforts.</w:t>
      </w:r>
      <w:r w:rsidR="001D2DA6" w:rsidRPr="00206B2B">
        <w:rPr>
          <w:rStyle w:val="FootnoteReference"/>
        </w:rPr>
        <w:footnoteReference w:id="48"/>
      </w:r>
    </w:p>
    <w:p w14:paraId="302C5861" w14:textId="090431DA" w:rsidR="001D2DA6" w:rsidRPr="00206B2B" w:rsidRDefault="00626092" w:rsidP="00007B8A">
      <w:pPr>
        <w:pStyle w:val="BodyText"/>
      </w:pPr>
      <w:r w:rsidRPr="00206B2B">
        <w:t>The NAP then identifies four key outcomes to guide Australia’s international efforts in WPS</w:t>
      </w:r>
      <w:r w:rsidR="00D125A6" w:rsidRPr="00206B2B">
        <w:t>, which are supported by medium-term objectives</w:t>
      </w:r>
      <w:r w:rsidR="006C10D1" w:rsidRPr="00206B2B">
        <w:t>. The four outcomes are:</w:t>
      </w:r>
    </w:p>
    <w:p w14:paraId="5A6692E1" w14:textId="2F399C79" w:rsidR="00605E3A" w:rsidRPr="00206B2B" w:rsidRDefault="00605E3A" w:rsidP="001C12F8">
      <w:pPr>
        <w:pStyle w:val="ListBullet"/>
      </w:pPr>
      <w:r w:rsidRPr="00206B2B">
        <w:t>Support women and girls’ meaningful participation and needs in conflict prevention and peace processes,</w:t>
      </w:r>
    </w:p>
    <w:p w14:paraId="0C66447A" w14:textId="0B83F7E9" w:rsidR="00605E3A" w:rsidRPr="00206B2B" w:rsidRDefault="00605E3A" w:rsidP="001C12F8">
      <w:pPr>
        <w:pStyle w:val="ListBullet"/>
      </w:pPr>
      <w:r w:rsidRPr="00206B2B">
        <w:t>Reduce sexual and gender-based violence,</w:t>
      </w:r>
    </w:p>
    <w:p w14:paraId="6BC511E6" w14:textId="4EA4421B" w:rsidR="00605E3A" w:rsidRPr="00206B2B" w:rsidRDefault="00605E3A" w:rsidP="001C12F8">
      <w:pPr>
        <w:pStyle w:val="ListBullet"/>
      </w:pPr>
      <w:r w:rsidRPr="00206B2B">
        <w:t xml:space="preserve">Support resilience, crisis response, and security, law and justice sector efforts to meet the needs and rights of women and girls, and </w:t>
      </w:r>
    </w:p>
    <w:p w14:paraId="57E00487" w14:textId="5A0CE4D3" w:rsidR="00771382" w:rsidRPr="00206B2B" w:rsidRDefault="00605E3A" w:rsidP="001C12F8">
      <w:pPr>
        <w:pStyle w:val="ListBullet"/>
      </w:pPr>
      <w:r w:rsidRPr="00206B2B">
        <w:t>Demonstrate leadership and accountability for the Women, Peace and Security agenda.</w:t>
      </w:r>
    </w:p>
    <w:p w14:paraId="6B7D0785" w14:textId="21817B61" w:rsidR="00B263B8" w:rsidRPr="00206B2B" w:rsidRDefault="0016759F" w:rsidP="00172062">
      <w:pPr>
        <w:pStyle w:val="BodyText"/>
      </w:pPr>
      <w:r w:rsidRPr="00206B2B">
        <w:t xml:space="preserve">As the M&amp;E framework does not require departments and organisations to provide quantitative data against measures and objectives, progress is primarily measured through activities completed under the objectives. </w:t>
      </w:r>
      <w:r w:rsidR="00440BA4" w:rsidRPr="00206B2B">
        <w:t>Th</w:t>
      </w:r>
      <w:r w:rsidR="002B1883" w:rsidRPr="00206B2B">
        <w:t>e</w:t>
      </w:r>
      <w:r w:rsidR="00440BA4" w:rsidRPr="00206B2B">
        <w:t xml:space="preserve"> independent mid-term review </w:t>
      </w:r>
      <w:r w:rsidR="000C500C" w:rsidRPr="00206B2B">
        <w:t xml:space="preserve">analysed progress against outcomes and mid-term objectives, based on case studies, qualitative data and consultation insights provided by the implementing agencies, investment partners and civil society. </w:t>
      </w:r>
    </w:p>
    <w:p w14:paraId="300CAF96" w14:textId="406FE860" w:rsidR="0015229C" w:rsidRPr="00862B5E" w:rsidRDefault="00A74DFE" w:rsidP="00471E2A">
      <w:pPr>
        <w:pStyle w:val="Bodytextnavyhighlight"/>
        <w:rPr>
          <w:rStyle w:val="Heading2Char"/>
          <w:rFonts w:ascii="Arial" w:eastAsiaTheme="minorEastAsia" w:hAnsi="Arial" w:cstheme="minorBidi"/>
          <w:color w:val="000000" w:themeColor="text1"/>
          <w:sz w:val="20"/>
          <w:szCs w:val="22"/>
        </w:rPr>
      </w:pPr>
      <w:r w:rsidRPr="003B3732">
        <w:t>The snapshot summaries provided under each outcome in this report offer a high</w:t>
      </w:r>
      <w:r w:rsidRPr="003B3732">
        <w:rPr>
          <w:rFonts w:ascii="Cambria Math" w:hAnsi="Cambria Math" w:cs="Cambria Math"/>
        </w:rPr>
        <w:t>‑</w:t>
      </w:r>
      <w:r w:rsidRPr="003B3732">
        <w:t xml:space="preserve">level </w:t>
      </w:r>
      <w:r w:rsidR="00CC11C7" w:rsidRPr="003B3732">
        <w:t>overview</w:t>
      </w:r>
      <w:r w:rsidRPr="003B3732">
        <w:t xml:space="preserve"> of </w:t>
      </w:r>
      <w:r w:rsidR="00846D26" w:rsidRPr="003B3732">
        <w:t xml:space="preserve">selective </w:t>
      </w:r>
      <w:r w:rsidRPr="003B3732">
        <w:t>WPS activities undertaken by implementing partners. They are intended as illustrative highlights and should not be regarded as a comprehensive account of all activities conducted</w:t>
      </w:r>
      <w:r w:rsidRPr="00206B2B">
        <w:rPr>
          <w:iCs/>
        </w:rPr>
        <w:t>.</w:t>
      </w:r>
      <w:r w:rsidR="0015229C" w:rsidRPr="00862B5E">
        <w:rPr>
          <w:rStyle w:val="Heading2Char"/>
          <w:rFonts w:ascii="Arial" w:eastAsiaTheme="minorEastAsia" w:hAnsi="Arial" w:cstheme="minorBidi"/>
          <w:color w:val="000000" w:themeColor="text1"/>
          <w:sz w:val="20"/>
          <w:szCs w:val="22"/>
        </w:rPr>
        <w:br w:type="page"/>
      </w:r>
    </w:p>
    <w:p w14:paraId="39C8F1CD" w14:textId="22A22955" w:rsidR="009C5CE5" w:rsidRPr="00944D24" w:rsidRDefault="00E52850" w:rsidP="00944D24">
      <w:pPr>
        <w:pStyle w:val="Heading2"/>
      </w:pPr>
      <w:r w:rsidRPr="00944D24">
        <w:rPr>
          <w:rStyle w:val="Heading2Char"/>
          <w:b/>
        </w:rPr>
        <w:lastRenderedPageBreak/>
        <w:t xml:space="preserve">Outcome 1. </w:t>
      </w:r>
      <w:r w:rsidR="00716DED" w:rsidRPr="00944D24">
        <w:rPr>
          <w:rStyle w:val="Heading2Char"/>
          <w:b/>
        </w:rPr>
        <w:t>S</w:t>
      </w:r>
      <w:r w:rsidR="009C5CE5" w:rsidRPr="00944D24">
        <w:rPr>
          <w:rStyle w:val="Heading2Char"/>
          <w:b/>
        </w:rPr>
        <w:t>upporting Women’s Meaningful Participation and Needs in Peace</w:t>
      </w:r>
      <w:r w:rsidR="00471E2A" w:rsidRPr="00944D24">
        <w:rPr>
          <w:rStyle w:val="Heading2Char"/>
          <w:b/>
        </w:rPr>
        <w:t> </w:t>
      </w:r>
      <w:r w:rsidR="009C5CE5" w:rsidRPr="00944D24">
        <w:rPr>
          <w:rStyle w:val="Heading2Char"/>
          <w:b/>
        </w:rPr>
        <w:t>Processes</w:t>
      </w:r>
    </w:p>
    <w:p w14:paraId="14FCABCF" w14:textId="027826CB" w:rsidR="00BD3170" w:rsidRPr="006A5D41" w:rsidRDefault="009C5CE5" w:rsidP="006A5D41">
      <w:r w:rsidRPr="006A5D41">
        <w:t>This outcome focuses on increasing women’s involvement in conflict prevention and peace processes. It aims to enhance women’s representation in public institutions, peace negotiations, and ensure peace agreements reflect gender priorities.</w:t>
      </w:r>
      <w:r w:rsidR="00261E96" w:rsidRPr="006A5D41">
        <w:t xml:space="preserve"> </w:t>
      </w:r>
    </w:p>
    <w:p w14:paraId="0E61F78F" w14:textId="15DAD4BB" w:rsidR="00471E2A" w:rsidRPr="00E24EDA" w:rsidRDefault="00471E2A" w:rsidP="00E24EDA">
      <w:pPr>
        <w:pStyle w:val="Heading3blue"/>
      </w:pPr>
      <w:r w:rsidRPr="00E24EDA">
        <w:t>Snapshot summary highlighting progress towards medium term objectives</w:t>
      </w:r>
    </w:p>
    <w:p w14:paraId="5F62CEC9" w14:textId="77777777" w:rsidR="00471E2A" w:rsidRPr="00D87D60" w:rsidRDefault="00471E2A" w:rsidP="00514DE1">
      <w:pPr>
        <w:pStyle w:val="Normal-blue"/>
      </w:pPr>
      <w:r w:rsidRPr="00206B2B">
        <w:t>1.1 Increase women’s meaningful participation in conflict prevention.</w:t>
      </w:r>
    </w:p>
    <w:p w14:paraId="6CA3EACE" w14:textId="77777777" w:rsidR="00471E2A" w:rsidRPr="00514DE1" w:rsidRDefault="00471E2A" w:rsidP="00514DE1">
      <w:pPr>
        <w:pStyle w:val="Listbulletblue"/>
      </w:pPr>
      <w:r w:rsidRPr="00514DE1">
        <w:t>The Pacific Women Mediators Network (PWMN) influenced the Ocean of Peace Declaration to embed gender, peace and security commitments, enabled through dedicated funding support.</w:t>
      </w:r>
    </w:p>
    <w:p w14:paraId="6773CF5A" w14:textId="77777777" w:rsidR="00471E2A" w:rsidRPr="00514DE1" w:rsidRDefault="00471E2A" w:rsidP="00514DE1">
      <w:pPr>
        <w:pStyle w:val="Listbulletblue"/>
      </w:pPr>
      <w:r w:rsidRPr="00514DE1">
        <w:t>The AFP has facilitated leadership and technical training for women in police from across the Asia-Pacific region and in South Africa. The Royal Soloman Islands Police Force and AFP Policing Partnership Program has provided mentoring and coaching to 21 women since September 2023.</w:t>
      </w:r>
    </w:p>
    <w:p w14:paraId="60E6ACE6" w14:textId="77777777" w:rsidR="00471E2A" w:rsidRPr="00514DE1" w:rsidRDefault="00471E2A" w:rsidP="00514DE1">
      <w:pPr>
        <w:pStyle w:val="Listbulletblue"/>
      </w:pPr>
      <w:r w:rsidRPr="00514DE1">
        <w:t>Since 2021, the Australian Border Force (ABF) has delivered Women’s Professional Development Programs to 192 women working for customs authorities across 30 Asia-Pacific countries, which develop leadership capability for women in customs leadership roles.</w:t>
      </w:r>
    </w:p>
    <w:p w14:paraId="0C83E167" w14:textId="77777777" w:rsidR="00471E2A" w:rsidRPr="00D87D60" w:rsidRDefault="00471E2A" w:rsidP="00471E2A">
      <w:pPr>
        <w:pStyle w:val="BodyText"/>
        <w:pBdr>
          <w:top w:val="single" w:sz="8" w:space="6" w:color="CAF1FF" w:themeColor="accent4" w:themeTint="33"/>
          <w:left w:val="single" w:sz="8" w:space="6" w:color="CAF1FF" w:themeColor="accent4" w:themeTint="33"/>
          <w:bottom w:val="single" w:sz="8" w:space="6" w:color="CAF1FF" w:themeColor="accent4" w:themeTint="33"/>
          <w:right w:val="single" w:sz="8" w:space="6" w:color="CAF1FF" w:themeColor="accent4" w:themeTint="33"/>
        </w:pBdr>
        <w:shd w:val="clear" w:color="auto" w:fill="CAF1FF" w:themeFill="accent4" w:themeFillTint="33"/>
        <w:rPr>
          <w:b/>
        </w:rPr>
      </w:pPr>
      <w:r w:rsidRPr="00D87D60">
        <w:rPr>
          <w:b/>
        </w:rPr>
        <w:t>1.2 Increase women’s meaningful participation in peace processes.</w:t>
      </w:r>
    </w:p>
    <w:p w14:paraId="3A6AEAD5" w14:textId="77777777" w:rsidR="00471E2A" w:rsidRPr="00514DE1" w:rsidRDefault="00471E2A" w:rsidP="00514DE1">
      <w:pPr>
        <w:pStyle w:val="Listbulletblue"/>
      </w:pPr>
      <w:r w:rsidRPr="00514DE1">
        <w:t xml:space="preserve">Funding provided for the Southeast Asian Women Peace Mediators (SEAWPM) who facilitated the Tuban Process between East Timor and displaced groups in West Timor. </w:t>
      </w:r>
    </w:p>
    <w:p w14:paraId="32BFD2FC" w14:textId="77777777" w:rsidR="00471E2A" w:rsidRPr="00514DE1" w:rsidRDefault="00471E2A" w:rsidP="00514DE1">
      <w:pPr>
        <w:pStyle w:val="Listbulletblue"/>
      </w:pPr>
      <w:r w:rsidRPr="00514DE1">
        <w:t>Australia supported the Centre for Humanitarian Dialogue to establish the ‘Bae Mediators Group’ in Bangsamoro Autonomous Region in Muslim Mindanao (BARMM) (August 2024), comprising 35 women peace mediators. Since formation, they have handled six community conflicts and successfully settled four, earning First Place in the UN Women Asia Pacific Civil Society Peace Award (June 2025).</w:t>
      </w:r>
    </w:p>
    <w:p w14:paraId="642B0594" w14:textId="0678294A" w:rsidR="00354EC0" w:rsidRPr="00206B2B" w:rsidRDefault="00A9554E" w:rsidP="006979E2">
      <w:pPr>
        <w:pStyle w:val="BodyText"/>
      </w:pPr>
      <w:r w:rsidRPr="00206B2B">
        <w:t>DFAT</w:t>
      </w:r>
      <w:r w:rsidR="00B2259A" w:rsidRPr="00206B2B">
        <w:t xml:space="preserve">’s </w:t>
      </w:r>
      <w:r w:rsidR="00463D20" w:rsidRPr="00206B2B">
        <w:t xml:space="preserve">Annual Investment Monitoring Report (AIMR) 2025 demonstrates strong progress against Objective One – </w:t>
      </w:r>
      <w:r w:rsidR="00463D20" w:rsidRPr="00206B2B">
        <w:rPr>
          <w:i/>
        </w:rPr>
        <w:t>supporting women’s meaningful participation and needs in peace processes</w:t>
      </w:r>
      <w:r w:rsidR="00463D20" w:rsidRPr="00206B2B">
        <w:t>. The report shows that the investment is highly aligned with End</w:t>
      </w:r>
      <w:r w:rsidR="0009024B" w:rsidRPr="00206B2B">
        <w:t xml:space="preserve"> </w:t>
      </w:r>
      <w:r w:rsidR="00463D20" w:rsidRPr="00206B2B">
        <w:t>of</w:t>
      </w:r>
      <w:r w:rsidR="0009024B" w:rsidRPr="00206B2B">
        <w:t xml:space="preserve"> </w:t>
      </w:r>
      <w:r w:rsidR="00463D20" w:rsidRPr="00206B2B">
        <w:t xml:space="preserve">Program Outcome 1, with tangible evidence of women influencing peace and security processes across Asia, the Pacific, and beyond. </w:t>
      </w:r>
      <w:r w:rsidR="0079648A" w:rsidRPr="00206B2B">
        <w:t xml:space="preserve">Through Australia’s support of </w:t>
      </w:r>
      <w:r w:rsidR="00463D20" w:rsidRPr="00206B2B">
        <w:t>UN Women</w:t>
      </w:r>
      <w:r w:rsidR="0079648A" w:rsidRPr="00206B2B">
        <w:t>, this has</w:t>
      </w:r>
      <w:r w:rsidR="00997701" w:rsidRPr="00206B2B">
        <w:t xml:space="preserve"> </w:t>
      </w:r>
      <w:r w:rsidR="004F6DFF" w:rsidRPr="00206B2B">
        <w:t>facilitated</w:t>
      </w:r>
      <w:r w:rsidR="00463D20" w:rsidRPr="00206B2B">
        <w:t xml:space="preserve"> support for new and updated WPS </w:t>
      </w:r>
      <w:r w:rsidR="00A7158E" w:rsidRPr="00206B2B">
        <w:t>NAP</w:t>
      </w:r>
      <w:r w:rsidR="00463D20" w:rsidRPr="00206B2B">
        <w:t xml:space="preserve">s in Vietnam, </w:t>
      </w:r>
      <w:r w:rsidR="0009024B" w:rsidRPr="00206B2B">
        <w:t>Timor-Leste</w:t>
      </w:r>
      <w:r w:rsidR="00463D20" w:rsidRPr="00206B2B">
        <w:t xml:space="preserve"> and the Philippines, along with ongoing technical support across the region</w:t>
      </w:r>
      <w:r w:rsidR="00EE076F" w:rsidRPr="00206B2B">
        <w:t>. This</w:t>
      </w:r>
      <w:r w:rsidR="00463D20" w:rsidRPr="00206B2B">
        <w:t xml:space="preserve"> illustrates </w:t>
      </w:r>
      <w:r w:rsidR="00662943" w:rsidRPr="00206B2B">
        <w:t>how</w:t>
      </w:r>
      <w:r w:rsidR="00463D20" w:rsidRPr="00206B2B">
        <w:t xml:space="preserve"> institutional frameworks </w:t>
      </w:r>
      <w:r w:rsidR="00662943" w:rsidRPr="00206B2B">
        <w:t>have been strengthened to</w:t>
      </w:r>
      <w:r w:rsidR="00463D20" w:rsidRPr="00206B2B">
        <w:t xml:space="preserve"> embed women’s participation in peace and conflict prevention systems. Likewise, regional networks such as the SEAWPM and the PWMN are creating concrete and visible pathways for women to shape early warning, mediation, and diplomatic engagement. </w:t>
      </w:r>
    </w:p>
    <w:p w14:paraId="567B7F98" w14:textId="711CFE2B" w:rsidR="007B6612" w:rsidRDefault="00463D20" w:rsidP="006979E2">
      <w:pPr>
        <w:pStyle w:val="BodyText"/>
      </w:pPr>
      <w:r w:rsidRPr="00206B2B">
        <w:t xml:space="preserve">The AIMR demonstrates that participation is not only occurring but is substantive. SEAWPM’s advisory role to Malaysia’s ASEAN Envoy Team, PWMN’s influence on the Pacific Troika Mission and Fiji’s WPS NAP, and ActionAid’s support to African networks on </w:t>
      </w:r>
      <w:r w:rsidR="004F3F94" w:rsidRPr="00206B2B">
        <w:t>CRSV</w:t>
      </w:r>
      <w:r w:rsidRPr="00206B2B">
        <w:t xml:space="preserve"> illustrate women playing agenda</w:t>
      </w:r>
      <w:r w:rsidRPr="00206B2B">
        <w:noBreakHyphen/>
        <w:t>setting and decision</w:t>
      </w:r>
      <w:r w:rsidRPr="00206B2B">
        <w:noBreakHyphen/>
        <w:t>shaping roles. These examples substantiate claims of “meaningful” participation, showing real influence on peace processes and policymaking rather than simple representation.</w:t>
      </w:r>
      <w:r w:rsidR="007B6612">
        <w:br w:type="page"/>
      </w:r>
    </w:p>
    <w:p w14:paraId="1BF27EFE" w14:textId="3ECD5953" w:rsidR="0060677A" w:rsidRPr="00206B2B" w:rsidRDefault="0060677A" w:rsidP="006979E2">
      <w:pPr>
        <w:pStyle w:val="BodyText"/>
        <w:rPr>
          <w:b/>
        </w:rPr>
      </w:pPr>
      <w:r w:rsidRPr="00206B2B">
        <w:lastRenderedPageBreak/>
        <w:t xml:space="preserve">The following case study </w:t>
      </w:r>
      <w:r w:rsidR="00C96894" w:rsidRPr="00206B2B">
        <w:t>provides insight into</w:t>
      </w:r>
      <w:r w:rsidRPr="00206B2B">
        <w:t xml:space="preserve"> how Australia has supported the development of regional women’s peace mediator networks including the SEAWPM and the PWMN</w:t>
      </w:r>
      <w:r w:rsidRPr="00206B2B">
        <w:rPr>
          <w:b/>
        </w:rPr>
        <w:t xml:space="preserve">. </w:t>
      </w:r>
      <w:r w:rsidR="000C3765" w:rsidRPr="00206B2B">
        <w:t>These women peace mediator networks’ successes demonstrate how empowering local, culturally embedded networks can enable gender-responsive peacebuilding, offering contextually driven, innovative advances to the WPS</w:t>
      </w:r>
      <w:r w:rsidR="007B6612">
        <w:t> </w:t>
      </w:r>
      <w:r w:rsidR="000C3765" w:rsidRPr="00206B2B">
        <w:t>agenda.</w:t>
      </w:r>
    </w:p>
    <w:p w14:paraId="48A09FD4" w14:textId="08EFA3F9" w:rsidR="007B6612" w:rsidRPr="007B6612" w:rsidRDefault="007B6612" w:rsidP="007B6612">
      <w:pPr>
        <w:pStyle w:val="Normal-casestudy"/>
        <w:rPr>
          <w:rStyle w:val="Strong"/>
        </w:rPr>
      </w:pPr>
      <w:r w:rsidRPr="007B6612">
        <w:rPr>
          <w:rStyle w:val="Strong"/>
        </w:rPr>
        <w:t>Case Study: Australia’s support for women peace mediators in the Asia-Pacific</w:t>
      </w:r>
    </w:p>
    <w:p w14:paraId="55206FDE" w14:textId="77777777" w:rsidR="007B6612" w:rsidRPr="00206B2B" w:rsidRDefault="007B6612" w:rsidP="007B6612">
      <w:pPr>
        <w:pStyle w:val="Normal-casestudy"/>
      </w:pPr>
      <w:r w:rsidRPr="00206B2B">
        <w:t>Launched in Fiji in June 2023, PWMN strengthens Pacific Islander women’s leadership in peacebuilding, political mediation and multilateral advocacy. The network bridges silos between climate, disaster risk reduction (DRR), and security agendas, influencing the PIF to embed gender perspectives in the 2050 Strategy for the Blue Pacific Continent. Since inception, PWMN has convened six regional meetings and an inaugural colloquium in the Solomon Islands, engaging 64 women mediators and over 250 local peacebuilders, and reaching more than 2,000 policymakers. Its impact includes briefing Forum Leaders, securing language on women mediators in communiqués, contributing to UN Security Council debates and developing a Pacific-led Gender, Peace, Security and Development Certificate Course.</w:t>
      </w:r>
    </w:p>
    <w:p w14:paraId="28787805" w14:textId="77777777" w:rsidR="007B6612" w:rsidRDefault="007B6612" w:rsidP="007B6612">
      <w:pPr>
        <w:pStyle w:val="BodyText"/>
        <w:pBdr>
          <w:top w:val="single" w:sz="8" w:space="6" w:color="F2F2F2" w:themeColor="background1" w:themeShade="F2"/>
          <w:left w:val="single" w:sz="8" w:space="6" w:color="F2F2F2" w:themeColor="background1" w:themeShade="F2"/>
          <w:bottom w:val="single" w:sz="8" w:space="6" w:color="F2F2F2" w:themeColor="background1" w:themeShade="F2"/>
          <w:right w:val="single" w:sz="8" w:space="6" w:color="F2F2F2" w:themeColor="background1" w:themeShade="F2"/>
        </w:pBdr>
        <w:shd w:val="clear" w:color="auto" w:fill="F2F2F2" w:themeFill="background1" w:themeFillShade="F2"/>
        <w:sectPr w:rsidR="007B6612" w:rsidSect="00C548A0">
          <w:headerReference w:type="default" r:id="rId57"/>
          <w:type w:val="nextColumn"/>
          <w:pgSz w:w="11907" w:h="16840" w:code="1"/>
          <w:pgMar w:top="851" w:right="851" w:bottom="1134" w:left="851" w:header="680" w:footer="283" w:gutter="0"/>
          <w:cols w:space="720"/>
          <w:docGrid w:linePitch="360"/>
        </w:sectPr>
      </w:pPr>
      <w:r w:rsidRPr="00206B2B">
        <w:t>The SEAWPM is a platform of Southeast Asian women engaged in mediating, negotiating and facilitating peace processes with the purpose to facilitate and engage in efforts aimed at preventing or resolving the escalation of violent conflicts.</w:t>
      </w:r>
      <w:r w:rsidRPr="00206B2B">
        <w:rPr>
          <w:b/>
          <w:bCs/>
        </w:rPr>
        <w:t xml:space="preserve"> </w:t>
      </w:r>
      <w:r w:rsidRPr="00206B2B">
        <w:t>SEAWPM adopts a quiet diplomacy and trauma-informed approach to facilitating dialogue between conflict parties, offering trusted accompaniment in some of the world’s most complex and protracted conflicts. As an independent yet complementary organisation to ASEAN, SEAWPM is uniquely placed to accompany ASEAN as a mechanism for advancing the role of women in responding to emerging opportunities for mediation and the facilitation of peace processes in the Southeast Asian region. Leveraging trust developed through local and regional relationships, SEAWPM is agile and sensitive to the distinct needs of communities.</w:t>
      </w:r>
    </w:p>
    <w:p w14:paraId="1D172A92" w14:textId="6C722B58" w:rsidR="007B6612" w:rsidRPr="007B6612" w:rsidRDefault="007B6612" w:rsidP="007B6612">
      <w:pPr>
        <w:pStyle w:val="Normal-casestudy"/>
        <w:rPr>
          <w:rStyle w:val="Strong"/>
        </w:rPr>
      </w:pPr>
      <w:r w:rsidRPr="007B6612">
        <w:rPr>
          <w:rStyle w:val="Strong"/>
        </w:rPr>
        <w:t>Case Study: Advancing gender-equality in peace processes through the International Atomic Energy Agency (IAEA)</w:t>
      </w:r>
    </w:p>
    <w:p w14:paraId="1CC8F3AA" w14:textId="77777777" w:rsidR="007B6612" w:rsidRPr="00206B2B" w:rsidRDefault="007B6612" w:rsidP="007B6612">
      <w:pPr>
        <w:pStyle w:val="Normal-casestudy"/>
      </w:pPr>
      <w:r w:rsidRPr="00206B2B">
        <w:t xml:space="preserve">Australia provides extrabudgetary funding to the United Nations’ IAEA which supports flagship gender equality initiatives. Focused on our partners in the Indo-Pacific, this support aims to </w:t>
      </w:r>
      <w:r w:rsidRPr="0057309E">
        <w:t>builds equal and effective representation and leadership of women in discussions on peace and security. The programs seek to attract and retain women professionals in the sector and support the development of indigenous national capacity to facilitate involvement in UN nuclear discussions.</w:t>
      </w:r>
    </w:p>
    <w:p w14:paraId="64388551" w14:textId="77777777" w:rsidR="007B6612" w:rsidRPr="0057309E" w:rsidRDefault="007B6612" w:rsidP="007B6612">
      <w:pPr>
        <w:pStyle w:val="Normal-casestudy"/>
      </w:pPr>
      <w:r w:rsidRPr="00206B2B">
        <w:t xml:space="preserve">Australia provides funding for the </w:t>
      </w:r>
      <w:r w:rsidRPr="0057309E">
        <w:t>Marie Sklodowska-Curie Fellowship Program to encourage women to pursue a career in nuclear science and technology, nuclear safety and security, non-proliferation or nuclear law. This program has supported fellowships for 61 women, with at least three women from the Pacific Islands.</w:t>
      </w:r>
    </w:p>
    <w:p w14:paraId="2DD866AA" w14:textId="482081E9" w:rsidR="007B6612" w:rsidRDefault="007B6612" w:rsidP="007B6612">
      <w:pPr>
        <w:pStyle w:val="Normal-casestudy"/>
      </w:pPr>
      <w:r w:rsidRPr="0057309E">
        <w:t>Australia’s funding for the Lise Meitner Program will support 24 early- and mid</w:t>
      </w:r>
      <w:r w:rsidRPr="0057309E">
        <w:noBreakHyphen/>
        <w:t>career women professionals from Indo-Pacific region countries to participate in a multiweek visiting professional program at Australia’s nuclear facilities and advance their technical and soft skills.</w:t>
      </w:r>
      <w:r>
        <w:br w:type="page"/>
      </w:r>
    </w:p>
    <w:p w14:paraId="2294F5E2" w14:textId="69D0D9A4" w:rsidR="00514DE1" w:rsidRPr="00514DE1" w:rsidRDefault="00825711" w:rsidP="00514DE1">
      <w:r>
        <w:rPr>
          <w:noProof/>
        </w:rPr>
        <w:lastRenderedPageBreak/>
        <w:drawing>
          <wp:inline distT="0" distB="0" distL="0" distR="0" wp14:anchorId="0C3A4D36" wp14:editId="392062D3">
            <wp:extent cx="6316980" cy="723900"/>
            <wp:effectExtent l="0" t="0" r="7620" b="0"/>
            <wp:docPr id="4909326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32662" name="Picture 2">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24737B3" w14:textId="071FBDCA" w:rsidR="007B6612" w:rsidRPr="00514DE1" w:rsidRDefault="007B6612" w:rsidP="000B5747">
      <w:pPr>
        <w:pStyle w:val="Heading3"/>
      </w:pPr>
      <w:r w:rsidRPr="00514DE1">
        <w:t>Finding 1. Strong progress toward women’s meaningful participation, driven by regional networks and institutional strengthening is evident</w:t>
      </w:r>
    </w:p>
    <w:p w14:paraId="4130A16C" w14:textId="77777777" w:rsidR="007B6612" w:rsidRPr="00AF7387" w:rsidRDefault="007B6612" w:rsidP="00AF7387">
      <w:r w:rsidRPr="00AF7387">
        <w:t>Regional women’s mediator networks and partnerships with UN Women have enhanced women’s role in peace processes across Southeast Asia and the Pacific, supporting agenda setting, dispute resolution, and normative change. However, civil society stakeholders recognised there are opportunities for Australia to strengthen efforts and support for humanitarian crises globally.</w:t>
      </w:r>
    </w:p>
    <w:p w14:paraId="10D85BFD" w14:textId="237DBA41" w:rsidR="003A4161" w:rsidRPr="00944D24" w:rsidRDefault="00DE4731" w:rsidP="00085E10">
      <w:pPr>
        <w:pStyle w:val="Heading4"/>
        <w:rPr>
          <w:rStyle w:val="IntenseEmphasis"/>
          <w:rFonts w:cstheme="minorHAnsi"/>
          <w:iCs w:val="0"/>
          <w:color w:val="540EAF" w:themeColor="accent5" w:themeShade="BF"/>
          <w:sz w:val="28"/>
          <w:szCs w:val="28"/>
        </w:rPr>
      </w:pPr>
      <w:r w:rsidRPr="00944D24">
        <w:rPr>
          <w:rStyle w:val="IntenseEmphasis"/>
          <w:rFonts w:cstheme="minorHAnsi"/>
          <w:iCs w:val="0"/>
          <w:color w:val="540EAF" w:themeColor="accent5" w:themeShade="BF"/>
          <w:sz w:val="28"/>
          <w:szCs w:val="28"/>
        </w:rPr>
        <w:t xml:space="preserve">Australia’s support for WPS in </w:t>
      </w:r>
      <w:r w:rsidR="003A4161" w:rsidRPr="00944D24">
        <w:rPr>
          <w:rStyle w:val="IntenseEmphasis"/>
          <w:rFonts w:cstheme="minorHAnsi"/>
          <w:iCs w:val="0"/>
          <w:color w:val="540EAF" w:themeColor="accent5" w:themeShade="BF"/>
          <w:sz w:val="28"/>
          <w:szCs w:val="28"/>
        </w:rPr>
        <w:t>Afghanistan</w:t>
      </w:r>
    </w:p>
    <w:p w14:paraId="1D5E5DE0" w14:textId="77777777" w:rsidR="008416A5" w:rsidRPr="00206B2B" w:rsidRDefault="00845EA0" w:rsidP="00242979">
      <w:r w:rsidRPr="00206B2B">
        <w:t xml:space="preserve">Australia’s role under </w:t>
      </w:r>
      <w:r w:rsidR="001F0476" w:rsidRPr="00206B2B">
        <w:t>the</w:t>
      </w:r>
      <w:r w:rsidRPr="00206B2B">
        <w:t xml:space="preserve"> CEDAW places clear obligations on the government to advance and protect the rights of women and girls, including those in conflict and crisis contexts such as Afghanistan. Participants emphasised that, as a CEDAW state party, Australia has a responsibility to support Afghan women’s meaningful participation in peace processes and to address the severe restrictions currently imposed on their rights. This requires building domestic capacity for women within Afghanistan, alongside supporting Afghan women living outside the country who may later return with strengthened skills and leadership capability. Stakeholders also noted that although Australia continues to engage in Afghanistan through longstanding operational and humanitarian partnerships, much of this work</w:t>
      </w:r>
      <w:r w:rsidR="00767943" w:rsidRPr="00206B2B">
        <w:t>,</w:t>
      </w:r>
      <w:r w:rsidRPr="00206B2B">
        <w:t xml:space="preserve"> particularly efforts led by Home Affairs and other agencies to support Afghan women and local organisations</w:t>
      </w:r>
      <w:r w:rsidR="00767943" w:rsidRPr="00206B2B">
        <w:t>,</w:t>
      </w:r>
      <w:r w:rsidRPr="00206B2B">
        <w:t xml:space="preserve"> is not captured in current WPS NAP reporting. </w:t>
      </w:r>
    </w:p>
    <w:p w14:paraId="0E3BDE4F" w14:textId="59EE1311" w:rsidR="00B31E59" w:rsidRPr="00206B2B" w:rsidRDefault="00600F1B" w:rsidP="006979E2">
      <w:pPr>
        <w:pStyle w:val="BodyText"/>
      </w:pPr>
      <w:r w:rsidRPr="00206B2B">
        <w:t xml:space="preserve">Civil society stakeholders also </w:t>
      </w:r>
      <w:r w:rsidR="008521BD" w:rsidRPr="00206B2B">
        <w:t xml:space="preserve">advised that Australia could better </w:t>
      </w:r>
      <w:r w:rsidR="00AC2AD2" w:rsidRPr="00206B2B">
        <w:t xml:space="preserve">engage Afghan diaspora in Australia </w:t>
      </w:r>
      <w:r w:rsidR="002A6FAF" w:rsidRPr="00206B2B">
        <w:t>by building more community-level networks to</w:t>
      </w:r>
      <w:r w:rsidR="008C2B79" w:rsidRPr="00206B2B">
        <w:t xml:space="preserve"> provide better support to </w:t>
      </w:r>
      <w:r w:rsidR="0060248A" w:rsidRPr="00206B2B">
        <w:t xml:space="preserve">both Afghan women that </w:t>
      </w:r>
      <w:r w:rsidR="008F178B" w:rsidRPr="00206B2B">
        <w:t xml:space="preserve">relocate to Australia, and to provide ongoing support for those already in Australia. </w:t>
      </w:r>
      <w:r w:rsidR="00845EA0" w:rsidRPr="00206B2B">
        <w:t>Bringing this work into the reporting framework would better reflect Australia’s CEDAW</w:t>
      </w:r>
      <w:r w:rsidR="009A7441" w:rsidRPr="00206B2B">
        <w:t xml:space="preserve"> </w:t>
      </w:r>
      <w:r w:rsidR="00845EA0" w:rsidRPr="00206B2B">
        <w:t>aligned responsibilities and demonstrate its continued commitment to upholding women’s rights in one of the world’s most restrictive environments.</w:t>
      </w:r>
    </w:p>
    <w:p w14:paraId="4F101EFB" w14:textId="20F92D1A" w:rsidR="0074285D" w:rsidRPr="00085E10" w:rsidRDefault="0070438A" w:rsidP="00085E10">
      <w:pPr>
        <w:pStyle w:val="Heading4"/>
      </w:pPr>
      <w:r w:rsidRPr="00944D24">
        <w:rPr>
          <w:rStyle w:val="IntenseEmphasis"/>
          <w:rFonts w:cstheme="minorHAnsi"/>
          <w:iCs w:val="0"/>
          <w:color w:val="540EAF" w:themeColor="accent5" w:themeShade="BF"/>
          <w:sz w:val="28"/>
          <w:szCs w:val="28"/>
        </w:rPr>
        <w:t>Climate</w:t>
      </w:r>
      <w:r w:rsidR="009A7441" w:rsidRPr="00085E10">
        <w:rPr>
          <w:rStyle w:val="IntenseEmphasis"/>
          <w:bCs w:val="0"/>
          <w:iCs w:val="0"/>
          <w:color w:val="540EAF" w:themeColor="accent5" w:themeShade="BF"/>
          <w:sz w:val="32"/>
        </w:rPr>
        <w:t xml:space="preserve"> </w:t>
      </w:r>
      <w:r w:rsidR="009A7441" w:rsidRPr="00944D24">
        <w:rPr>
          <w:rStyle w:val="IntenseEmphasis"/>
          <w:rFonts w:cstheme="minorHAnsi"/>
          <w:iCs w:val="0"/>
          <w:color w:val="540EAF" w:themeColor="accent5" w:themeShade="BF"/>
          <w:sz w:val="28"/>
          <w:szCs w:val="28"/>
        </w:rPr>
        <w:t>Change</w:t>
      </w:r>
      <w:r w:rsidR="009A7441" w:rsidRPr="00085E10">
        <w:rPr>
          <w:rStyle w:val="IntenseEmphasis"/>
          <w:bCs w:val="0"/>
          <w:iCs w:val="0"/>
          <w:color w:val="540EAF" w:themeColor="accent5" w:themeShade="BF"/>
          <w:sz w:val="32"/>
        </w:rPr>
        <w:t xml:space="preserve"> </w:t>
      </w:r>
    </w:p>
    <w:p w14:paraId="05E2B5C2" w14:textId="5B223C6B" w:rsidR="00E51BD1" w:rsidRDefault="00A12202" w:rsidP="006979E2">
      <w:pPr>
        <w:pStyle w:val="BodyText"/>
      </w:pPr>
      <w:r w:rsidRPr="00206B2B">
        <w:t>Women are disproportionately affected by displacement and the rise of conflict post-</w:t>
      </w:r>
      <w:r w:rsidR="00244ED7" w:rsidRPr="00206B2B">
        <w:t>climate disaster</w:t>
      </w:r>
      <w:r w:rsidR="0074285D" w:rsidRPr="00206B2B">
        <w:t>.</w:t>
      </w:r>
      <w:r w:rsidR="007B69E4" w:rsidRPr="00206B2B">
        <w:rPr>
          <w:rStyle w:val="FootnoteReference"/>
        </w:rPr>
        <w:footnoteReference w:id="49"/>
      </w:r>
      <w:r w:rsidR="0074285D" w:rsidRPr="00206B2B">
        <w:t xml:space="preserve"> Climate </w:t>
      </w:r>
      <w:r w:rsidR="00E51CEF" w:rsidRPr="00206B2B">
        <w:t xml:space="preserve">change </w:t>
      </w:r>
      <w:r w:rsidR="0074285D" w:rsidRPr="00206B2B">
        <w:t xml:space="preserve">emerged as a consistently raised issue across consultations, with partners emphasising that climate change is now inseparable from peace, security, and gendered vulnerability. Stakeholders highlighted that Pacific and Southeast Asian communities are already experiencing </w:t>
      </w:r>
      <w:r w:rsidR="002A6AE9" w:rsidRPr="00206B2B">
        <w:t>forced relocation due to rising sea levels</w:t>
      </w:r>
      <w:r w:rsidR="00045755" w:rsidRPr="00206B2B">
        <w:t xml:space="preserve"> and </w:t>
      </w:r>
      <w:r w:rsidR="0074285D" w:rsidRPr="00206B2B">
        <w:t>climate</w:t>
      </w:r>
      <w:r w:rsidR="00B91D8D" w:rsidRPr="00206B2B">
        <w:t xml:space="preserve"> </w:t>
      </w:r>
      <w:r w:rsidR="0074285D" w:rsidRPr="00206B2B">
        <w:t>driven displacement, ecological loss, and emerging protection risks</w:t>
      </w:r>
      <w:r w:rsidR="00721452" w:rsidRPr="00206B2B">
        <w:t>, which can create tension when displaced groups move into others’ traditional lands. Th</w:t>
      </w:r>
      <w:r w:rsidR="00647064" w:rsidRPr="00206B2B">
        <w:t xml:space="preserve">ese dynamics underscore </w:t>
      </w:r>
      <w:r w:rsidR="0074285D" w:rsidRPr="00206B2B">
        <w:t xml:space="preserve">the need for a stronger </w:t>
      </w:r>
      <w:r w:rsidR="0096699B" w:rsidRPr="00206B2B">
        <w:t>climate</w:t>
      </w:r>
      <w:r w:rsidR="00647064" w:rsidRPr="00206B2B">
        <w:t>-</w:t>
      </w:r>
      <w:r w:rsidR="0096699B" w:rsidRPr="00206B2B">
        <w:t>security</w:t>
      </w:r>
      <w:r w:rsidR="0074285D" w:rsidRPr="00206B2B">
        <w:t xml:space="preserve"> lens in WPS work</w:t>
      </w:r>
      <w:r w:rsidR="0046610B" w:rsidRPr="00206B2B">
        <w:t xml:space="preserve">, as relocation can trigger disputes over land rights, </w:t>
      </w:r>
      <w:r w:rsidR="00FC7427" w:rsidRPr="00206B2B">
        <w:t xml:space="preserve">cultural identity and </w:t>
      </w:r>
      <w:r w:rsidR="00555442" w:rsidRPr="00206B2B">
        <w:t>livelihoods</w:t>
      </w:r>
      <w:r w:rsidR="00FC7427" w:rsidRPr="00206B2B">
        <w:t>.</w:t>
      </w:r>
      <w:r w:rsidR="00844ADE" w:rsidRPr="00206B2B">
        <w:t xml:space="preserve"> </w:t>
      </w:r>
      <w:r w:rsidR="000C15F8" w:rsidRPr="00206B2B">
        <w:t>Feedback from implementing partners indicated that a</w:t>
      </w:r>
      <w:r w:rsidR="00844ADE" w:rsidRPr="00206B2B">
        <w:t xml:space="preserve">s </w:t>
      </w:r>
      <w:r w:rsidR="00555442" w:rsidRPr="00206B2B">
        <w:t xml:space="preserve">climate impacts intensify, </w:t>
      </w:r>
      <w:r w:rsidR="00851166" w:rsidRPr="00206B2B">
        <w:t>peace mediators will need to increasingly</w:t>
      </w:r>
      <w:r w:rsidR="00BF43CD" w:rsidRPr="00206B2B">
        <w:t xml:space="preserve"> consider how they</w:t>
      </w:r>
      <w:r w:rsidR="00851166" w:rsidRPr="00206B2B">
        <w:t xml:space="preserve"> </w:t>
      </w:r>
      <w:r w:rsidR="008D08C0" w:rsidRPr="00206B2B">
        <w:t>address conflict prevention in the context of climate-induced displacement and supporting communities that experience loss and damage.</w:t>
      </w:r>
      <w:r w:rsidR="00B249E0" w:rsidRPr="00206B2B">
        <w:t xml:space="preserve"> </w:t>
      </w:r>
      <w:r w:rsidR="00E51BD1">
        <w:br w:type="page"/>
      </w:r>
    </w:p>
    <w:p w14:paraId="1AD0EF78" w14:textId="7BB7CA20" w:rsidR="00B31E59" w:rsidRPr="00206B2B" w:rsidRDefault="0074285D" w:rsidP="006979E2">
      <w:pPr>
        <w:pStyle w:val="BodyText"/>
      </w:pPr>
      <w:r w:rsidRPr="00206B2B">
        <w:lastRenderedPageBreak/>
        <w:t xml:space="preserve">Participants stressed that Australia must better integrate climate, gender, and security across the NAP, noting that current government and multilateral systems often treat these as siloed domains. Civil society, particularly Pacific </w:t>
      </w:r>
      <w:r w:rsidR="00525436" w:rsidRPr="00206B2B">
        <w:t>and Southeast Asia</w:t>
      </w:r>
      <w:r w:rsidRPr="00206B2B">
        <w:t xml:space="preserve"> women mediators, emphasised that climate impacts are deeply connected to human security, identity, and conflict prevention, and that women peacebuilders play a critical role in mediating </w:t>
      </w:r>
      <w:r w:rsidR="0096699B" w:rsidRPr="00206B2B">
        <w:t>community level</w:t>
      </w:r>
      <w:r w:rsidRPr="00206B2B">
        <w:t xml:space="preserve"> tensions linked to </w:t>
      </w:r>
      <w:r w:rsidR="0096699B" w:rsidRPr="00206B2B">
        <w:t>climate related</w:t>
      </w:r>
      <w:r w:rsidRPr="00206B2B">
        <w:t xml:space="preserve"> loss and damage. They urged Australia to elevate </w:t>
      </w:r>
      <w:r w:rsidR="0096699B" w:rsidRPr="00206B2B">
        <w:t>climate security</w:t>
      </w:r>
      <w:r w:rsidRPr="00206B2B">
        <w:t xml:space="preserve"> as a core WPS priority and to support locally led, approaches that reflect lived experience in </w:t>
      </w:r>
      <w:r w:rsidR="0096699B" w:rsidRPr="00206B2B">
        <w:t>climate affected</w:t>
      </w:r>
      <w:r w:rsidR="007E3972" w:rsidRPr="00206B2B">
        <w:t xml:space="preserve"> communities.</w:t>
      </w:r>
    </w:p>
    <w:p w14:paraId="1AB449B9" w14:textId="77777777" w:rsidR="00042B6D" w:rsidRPr="00944D24" w:rsidRDefault="00042B6D" w:rsidP="00085E10">
      <w:pPr>
        <w:pStyle w:val="Heading4"/>
        <w:rPr>
          <w:rStyle w:val="IntenseEmphasis"/>
          <w:rFonts w:cstheme="minorHAnsi"/>
          <w:iCs w:val="0"/>
          <w:color w:val="540EAF" w:themeColor="accent5" w:themeShade="BF"/>
          <w:sz w:val="28"/>
          <w:szCs w:val="28"/>
        </w:rPr>
      </w:pPr>
      <w:r w:rsidRPr="00944D24">
        <w:rPr>
          <w:rStyle w:val="IntenseEmphasis"/>
          <w:rFonts w:cstheme="minorHAnsi"/>
          <w:iCs w:val="0"/>
          <w:color w:val="540EAF" w:themeColor="accent5" w:themeShade="BF"/>
          <w:sz w:val="28"/>
          <w:szCs w:val="28"/>
        </w:rPr>
        <w:t>Areas for further development</w:t>
      </w:r>
    </w:p>
    <w:p w14:paraId="117CF6EE" w14:textId="21043473" w:rsidR="00042B6D" w:rsidRPr="00206B2B" w:rsidRDefault="00042B6D" w:rsidP="006979E2">
      <w:pPr>
        <w:pStyle w:val="BodyText"/>
      </w:pPr>
      <w:r w:rsidRPr="00206B2B">
        <w:t xml:space="preserve">Overall, the AIMR positions </w:t>
      </w:r>
      <w:r w:rsidR="004467D4" w:rsidRPr="00206B2B">
        <w:t>o</w:t>
      </w:r>
      <w:r w:rsidR="00284180" w:rsidRPr="00206B2B">
        <w:t>utcome</w:t>
      </w:r>
      <w:r w:rsidRPr="00206B2B">
        <w:t xml:space="preserve"> </w:t>
      </w:r>
      <w:r w:rsidR="004467D4" w:rsidRPr="00206B2B">
        <w:t>o</w:t>
      </w:r>
      <w:r w:rsidRPr="00206B2B">
        <w:t>ne as a strong area of performance, with clear evidence of impact through regional networks, technical leadership, and institutional strengthening. With greater clarity on definitions and more explicit analysis of barriers, the narrative could more sharply convey the investment’s contribution to system level change in women’s roles in peace processes.</w:t>
      </w:r>
    </w:p>
    <w:p w14:paraId="54161CA3" w14:textId="0B013EF2" w:rsidR="00580174" w:rsidRPr="008C207B" w:rsidRDefault="00042B6D" w:rsidP="008C207B">
      <w:pPr>
        <w:pStyle w:val="BodyText"/>
      </w:pPr>
      <w:r w:rsidRPr="00206B2B">
        <w:t xml:space="preserve">To strengthen </w:t>
      </w:r>
      <w:r w:rsidR="007B7EA6" w:rsidRPr="00206B2B">
        <w:t>outcome one</w:t>
      </w:r>
      <w:r w:rsidRPr="00206B2B">
        <w:t xml:space="preserve"> further, the AIMR would benefit from more explicit articulation of what “meaningful participation” means in measurable terms. While the report provides rich qualitative examples, defining clear indicators such as leadership roles held, influence on decisions, or policy changes resulting from women’s engagement would improve evaluability of </w:t>
      </w:r>
      <w:r w:rsidR="00E76363" w:rsidRPr="00206B2B">
        <w:t xml:space="preserve">objectives against </w:t>
      </w:r>
      <w:r w:rsidR="007529B0" w:rsidRPr="00206B2B">
        <w:t>outcome one</w:t>
      </w:r>
      <w:r w:rsidRPr="00206B2B">
        <w:t xml:space="preserve">. Additionally, the report could more directly connect persistent barriers (including shrinking civic space, safety threats to women human rights defenders, and reliance on DFAT as a sole funder for several partners) to the challenges of achieving deeper structural change in participation. These risks are acknowledged in other sections of the report but could be brought forward to contextualise progress against </w:t>
      </w:r>
      <w:r w:rsidR="0077621A" w:rsidRPr="00206B2B">
        <w:t>outcome one.</w:t>
      </w:r>
      <w:r w:rsidR="00580174" w:rsidRPr="00206B2B">
        <w:br w:type="page"/>
      </w:r>
    </w:p>
    <w:p w14:paraId="06E8BBFA" w14:textId="67C0962B" w:rsidR="009C5CE5" w:rsidRPr="00206B2B" w:rsidRDefault="00E52850" w:rsidP="00944D24">
      <w:pPr>
        <w:pStyle w:val="Heading2"/>
      </w:pPr>
      <w:r w:rsidRPr="00206B2B">
        <w:lastRenderedPageBreak/>
        <w:t xml:space="preserve">Outcome </w:t>
      </w:r>
      <w:r w:rsidR="009C5CE5" w:rsidRPr="00206B2B">
        <w:t>2. Reducing Sexual and Gender</w:t>
      </w:r>
      <w:r w:rsidR="00D3595B" w:rsidRPr="00206B2B">
        <w:t>-</w:t>
      </w:r>
      <w:r w:rsidR="009C5CE5" w:rsidRPr="00206B2B">
        <w:t>Based Violence</w:t>
      </w:r>
    </w:p>
    <w:p w14:paraId="1B01D727" w14:textId="69E37CD8" w:rsidR="00580174" w:rsidRDefault="005C7919" w:rsidP="00580174">
      <w:pPr>
        <w:pStyle w:val="BodyText"/>
      </w:pPr>
      <w:r w:rsidRPr="00206B2B">
        <w:t xml:space="preserve">Targeting systemic and harmful gender norms, this </w:t>
      </w:r>
      <w:r w:rsidR="00580174" w:rsidRPr="00206B2B">
        <w:t xml:space="preserve">outcome </w:t>
      </w:r>
      <w:r w:rsidRPr="00206B2B">
        <w:t>seeks to lessen violence against women and girls. It includes measures to improve safety, access to justice, and strengthen legal frameworks</w:t>
      </w:r>
      <w:r w:rsidR="00182265" w:rsidRPr="00206B2B">
        <w:t xml:space="preserve"> addressing </w:t>
      </w:r>
      <w:r w:rsidR="003D4D98" w:rsidRPr="00206B2B">
        <w:t>SGBV</w:t>
      </w:r>
      <w:r w:rsidR="00182265" w:rsidRPr="00206B2B">
        <w:t xml:space="preserve">. </w:t>
      </w:r>
    </w:p>
    <w:p w14:paraId="7021ABEB" w14:textId="624DDAC4" w:rsidR="00514DE1" w:rsidRPr="00E24EDA" w:rsidRDefault="00514DE1" w:rsidP="00E24EDA">
      <w:pPr>
        <w:pStyle w:val="Heading3blue"/>
      </w:pPr>
      <w:r w:rsidRPr="00E24EDA">
        <w:t>Snapshot summary highlighting progress towards medium term objectives</w:t>
      </w:r>
    </w:p>
    <w:p w14:paraId="56CD4231" w14:textId="77777777" w:rsidR="00514DE1" w:rsidRPr="001F480B" w:rsidRDefault="00514DE1" w:rsidP="00330AC2">
      <w:pPr>
        <w:pStyle w:val="Normal-blue"/>
        <w:rPr>
          <w:shd w:val="clear" w:color="auto" w:fill="CAF1FF" w:themeFill="accent4" w:themeFillTint="33"/>
        </w:rPr>
      </w:pPr>
      <w:r w:rsidRPr="001F480B">
        <w:rPr>
          <w:shd w:val="clear" w:color="auto" w:fill="CAF1FF" w:themeFill="accent4" w:themeFillTint="33"/>
        </w:rPr>
        <w:t>2.1: Reduce harmful gender norms</w:t>
      </w:r>
    </w:p>
    <w:p w14:paraId="1B713A54"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Through the Pacific Community for Law Enforcement Cooperation, the AFP supported gender diversity training in the Northern Mariana Islands, improving police engagement with LGBTQIA+ communities.</w:t>
      </w:r>
    </w:p>
    <w:p w14:paraId="61D76AE6"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Australia supports the Pacific Women Lead program which has trained over 1,500 male advocates and engaged law enforcement to challenge harmful masculinities. In 2025 alone, more than 35,000 people participated in activities promoting women’s rights and respectful relationships.</w:t>
      </w:r>
    </w:p>
    <w:p w14:paraId="202CF736"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 xml:space="preserve">Home Affairs funds the Australian Cultural Orientation Program (AUSCO) through the International Organisation for Migration. This program is offered to refugee and special humanitarian program entrants and supports women’s safety by providing information on Australian law pertaining to gender equality, violence, sexual assault and forced marriages. This was accessed by 21,556 people between July 2023 and June 2025.  </w:t>
      </w:r>
    </w:p>
    <w:p w14:paraId="78149D8B" w14:textId="77777777" w:rsidR="00514DE1" w:rsidRPr="001F480B" w:rsidRDefault="00514DE1" w:rsidP="00330AC2">
      <w:pPr>
        <w:pStyle w:val="Normal-blue"/>
        <w:rPr>
          <w:shd w:val="clear" w:color="auto" w:fill="CAF1FF" w:themeFill="accent4" w:themeFillTint="33"/>
        </w:rPr>
      </w:pPr>
      <w:r w:rsidRPr="001F480B">
        <w:rPr>
          <w:shd w:val="clear" w:color="auto" w:fill="CAF1FF" w:themeFill="accent4" w:themeFillTint="33"/>
        </w:rPr>
        <w:t>2.2: Increase safety and security for women and girls.</w:t>
      </w:r>
    </w:p>
    <w:p w14:paraId="49ECCFE9"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AFP supports a variety of efforts to tackle cybercrime in the Asia-Pacific region, with emphasis on responding to technology facilitated SGBV. The AFP has provided advisory support to the Royal Soloman Islands Police Force Sexual Assault team to address online abuse and sexual assault.</w:t>
      </w:r>
    </w:p>
    <w:p w14:paraId="1CF10593"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 xml:space="preserve">The Pacific Response Group’s Pacific Special Advisory Team is a Brisbane based team that is readily deployable to support civilian-led disaster response planning. </w:t>
      </w:r>
      <w:proofErr w:type="gramStart"/>
      <w:r w:rsidRPr="001F480B">
        <w:rPr>
          <w:shd w:val="clear" w:color="auto" w:fill="CAF1FF" w:themeFill="accent4" w:themeFillTint="33"/>
        </w:rPr>
        <w:t>All of</w:t>
      </w:r>
      <w:proofErr w:type="gramEnd"/>
      <w:r w:rsidRPr="001F480B">
        <w:rPr>
          <w:shd w:val="clear" w:color="auto" w:fill="CAF1FF" w:themeFill="accent4" w:themeFillTint="33"/>
        </w:rPr>
        <w:t xml:space="preserve"> its members completed the ADF’s Gender Focal Point (GFP) course which strengthened understanding of how to integrate gender perspectives into operations.</w:t>
      </w:r>
    </w:p>
    <w:p w14:paraId="656F8967"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Home Affairs is providing domestic and family violence support for refugee and vulnerable women through the Settlement Engagement and Transition Support Program. This program provides specialised services including crisis intervention, legal education and respectful relationship training and has been delivered to more than 3800 individuals – 83 per cent of whom were women.</w:t>
      </w:r>
    </w:p>
    <w:p w14:paraId="02F72CAF" w14:textId="77777777" w:rsidR="00514DE1" w:rsidRPr="001F480B" w:rsidRDefault="00514DE1" w:rsidP="00330AC2">
      <w:pPr>
        <w:pStyle w:val="Normal-blue"/>
        <w:rPr>
          <w:shd w:val="clear" w:color="auto" w:fill="CAF1FF" w:themeFill="accent4" w:themeFillTint="33"/>
        </w:rPr>
      </w:pPr>
      <w:r w:rsidRPr="001F480B">
        <w:rPr>
          <w:shd w:val="clear" w:color="auto" w:fill="CAF1FF" w:themeFill="accent4" w:themeFillTint="33"/>
        </w:rPr>
        <w:t>2.3: Increase access to justice for victims and survivors of SGBV</w:t>
      </w:r>
    </w:p>
    <w:p w14:paraId="5F79D724" w14:textId="77777777" w:rsidR="00514DE1" w:rsidRPr="001F480B" w:rsidRDefault="00514DE1" w:rsidP="00514DE1">
      <w:pPr>
        <w:pStyle w:val="Listbulletblue"/>
        <w:rPr>
          <w:shd w:val="clear" w:color="auto" w:fill="CAF1FF" w:themeFill="accent4" w:themeFillTint="33"/>
        </w:rPr>
      </w:pPr>
      <w:r w:rsidRPr="001F480B">
        <w:rPr>
          <w:shd w:val="clear" w:color="auto" w:fill="CAF1FF" w:themeFill="accent4" w:themeFillTint="33"/>
        </w:rPr>
        <w:t>In partnership with the United Nations Population Fund (UNFPA), UN Women, UN International Children’s Emergency Fund (UNICEF), and the Government of Vietnam, Australia is supporting the Elimination of Violence Against Women and Children in Vietnam Program which strengthens coordinated prevention, response, and legal reform efforts. This resulted in the revision on Vietnam’s Domestic Violence and Prevention Law which introduced protection orders.</w:t>
      </w:r>
    </w:p>
    <w:p w14:paraId="7609C6EF" w14:textId="750E147B" w:rsidR="00330AC2" w:rsidRDefault="00514DE1" w:rsidP="00580174">
      <w:pPr>
        <w:pStyle w:val="Listbulletblue"/>
      </w:pPr>
      <w:r w:rsidRPr="00B66E98">
        <w:rPr>
          <w:shd w:val="clear" w:color="auto" w:fill="CAF1FF" w:themeFill="accent4" w:themeFillTint="33"/>
        </w:rPr>
        <w:t>The Papua New Guinea Women Lead program established four crisis support centres delivering integrated, survivor-centred services to over 5,500 survivors. This included medical care, legal and policing support, safe housing, counselling and economic empowerment tools.</w:t>
      </w:r>
      <w:r w:rsidR="00330AC2">
        <w:br w:type="page"/>
      </w:r>
    </w:p>
    <w:p w14:paraId="06E4CC5C" w14:textId="38D7B78D" w:rsidR="008D577F" w:rsidRPr="00206B2B" w:rsidRDefault="00DC2636" w:rsidP="00C00D24">
      <w:pPr>
        <w:pStyle w:val="BodyText"/>
        <w:keepNext/>
        <w:keepLines/>
      </w:pPr>
      <w:r w:rsidRPr="00206B2B">
        <w:lastRenderedPageBreak/>
        <w:t xml:space="preserve">Across consultations, stakeholders acknowledged that while reducing </w:t>
      </w:r>
      <w:r w:rsidR="008F4EF6" w:rsidRPr="00206B2B">
        <w:t>SGBV</w:t>
      </w:r>
      <w:r w:rsidRPr="00206B2B">
        <w:t xml:space="preserve"> remains a core pillar of the WPS agenda, progress is uneven and fragmented, with many </w:t>
      </w:r>
      <w:r w:rsidR="00FA475F" w:rsidRPr="00206B2B">
        <w:t xml:space="preserve">established programs and efforts, </w:t>
      </w:r>
      <w:r w:rsidRPr="00206B2B">
        <w:t xml:space="preserve">but </w:t>
      </w:r>
      <w:r w:rsidR="00FA475F" w:rsidRPr="00206B2B">
        <w:t xml:space="preserve">it is </w:t>
      </w:r>
      <w:r w:rsidRPr="00206B2B">
        <w:t xml:space="preserve">not consistently captured or coordinated under the NAP. Agencies highlighted ongoing work in family violence, trafficking, and </w:t>
      </w:r>
      <w:r w:rsidR="00131D19" w:rsidRPr="00206B2B">
        <w:t>technology facilitated</w:t>
      </w:r>
      <w:r w:rsidRPr="00206B2B">
        <w:t xml:space="preserve"> </w:t>
      </w:r>
      <w:r w:rsidR="008F4EF6" w:rsidRPr="00206B2B">
        <w:t>GBV</w:t>
      </w:r>
      <w:r w:rsidRPr="00206B2B">
        <w:t xml:space="preserve">, including specialist programs in the Pacific and new regional postings focused on strengthening responses to domestic and </w:t>
      </w:r>
      <w:r w:rsidR="00F05AE5" w:rsidRPr="00206B2B">
        <w:t>gender-based violence.</w:t>
      </w:r>
      <w:r w:rsidRPr="00206B2B">
        <w:t xml:space="preserve"> </w:t>
      </w:r>
    </w:p>
    <w:p w14:paraId="191A6DF6" w14:textId="581E833B" w:rsidR="00980943" w:rsidRPr="00206B2B" w:rsidRDefault="00DC2636" w:rsidP="006979E2">
      <w:pPr>
        <w:pStyle w:val="BodyText"/>
      </w:pPr>
      <w:r w:rsidRPr="00206B2B">
        <w:t xml:space="preserve">Several participants also highlighted that </w:t>
      </w:r>
      <w:r w:rsidR="008F4EF6" w:rsidRPr="00206B2B">
        <w:t>GBV</w:t>
      </w:r>
      <w:r w:rsidR="00ED0D02" w:rsidRPr="00206B2B">
        <w:t xml:space="preserve"> </w:t>
      </w:r>
      <w:r w:rsidRPr="00206B2B">
        <w:t xml:space="preserve">related work undertaken by agencies like Home Affairs is not currently reflected in NAP reporting, meaning contributions to </w:t>
      </w:r>
      <w:r w:rsidR="00E86DEB" w:rsidRPr="00206B2B">
        <w:t>SGBV</w:t>
      </w:r>
      <w:r w:rsidRPr="00206B2B">
        <w:t xml:space="preserve"> prevention and survivor support are </w:t>
      </w:r>
      <w:r w:rsidR="00ED0D02" w:rsidRPr="00206B2B">
        <w:t>under</w:t>
      </w:r>
      <w:r w:rsidR="004F19F8" w:rsidRPr="00206B2B">
        <w:t xml:space="preserve"> </w:t>
      </w:r>
      <w:r w:rsidR="00ED0D02" w:rsidRPr="00206B2B">
        <w:t>recognised</w:t>
      </w:r>
      <w:r w:rsidRPr="00206B2B">
        <w:t xml:space="preserve">, and opportunities for a more coordinated </w:t>
      </w:r>
      <w:r w:rsidR="00ED0D02" w:rsidRPr="00206B2B">
        <w:t>whole</w:t>
      </w:r>
      <w:r w:rsidR="00194FDB" w:rsidRPr="00206B2B">
        <w:t>-</w:t>
      </w:r>
      <w:r w:rsidR="00ED0D02" w:rsidRPr="00206B2B">
        <w:t>of</w:t>
      </w:r>
      <w:r w:rsidR="00194FDB" w:rsidRPr="00206B2B">
        <w:t>-</w:t>
      </w:r>
      <w:r w:rsidR="00ED0D02" w:rsidRPr="00206B2B">
        <w:t>government</w:t>
      </w:r>
      <w:r w:rsidRPr="00206B2B">
        <w:t xml:space="preserve"> response remain</w:t>
      </w:r>
      <w:r w:rsidR="00330AC2">
        <w:t> </w:t>
      </w:r>
      <w:r w:rsidRPr="00206B2B">
        <w:t>unrealised.</w:t>
      </w:r>
    </w:p>
    <w:p w14:paraId="46695181" w14:textId="28227306" w:rsidR="00483D2D" w:rsidRPr="00944D24" w:rsidRDefault="00415126" w:rsidP="00085E10">
      <w:pPr>
        <w:pStyle w:val="Heading4"/>
        <w:rPr>
          <w:b w:val="0"/>
          <w:bCs/>
        </w:rPr>
      </w:pPr>
      <w:r w:rsidRPr="00944D24">
        <w:rPr>
          <w:rStyle w:val="IntenseEmphasis"/>
          <w:rFonts w:cstheme="minorHAnsi"/>
          <w:b/>
          <w:bCs w:val="0"/>
          <w:color w:val="540EAF" w:themeColor="accent5" w:themeShade="BF"/>
          <w:sz w:val="28"/>
          <w:szCs w:val="28"/>
        </w:rPr>
        <w:t>Reducing</w:t>
      </w:r>
      <w:r w:rsidRPr="00944D24">
        <w:rPr>
          <w:b w:val="0"/>
          <w:bCs/>
        </w:rPr>
        <w:t xml:space="preserve"> </w:t>
      </w:r>
      <w:r w:rsidRPr="00944D24">
        <w:rPr>
          <w:rStyle w:val="IntenseEmphasis"/>
          <w:rFonts w:cstheme="minorHAnsi"/>
          <w:b/>
          <w:bCs w:val="0"/>
          <w:color w:val="540EAF" w:themeColor="accent5" w:themeShade="BF"/>
          <w:sz w:val="28"/>
          <w:szCs w:val="28"/>
        </w:rPr>
        <w:t>Sexual</w:t>
      </w:r>
      <w:r w:rsidRPr="00944D24">
        <w:rPr>
          <w:b w:val="0"/>
          <w:bCs/>
        </w:rPr>
        <w:t xml:space="preserve"> </w:t>
      </w:r>
      <w:r w:rsidRPr="00944D24">
        <w:rPr>
          <w:rStyle w:val="IntenseEmphasis"/>
          <w:rFonts w:cstheme="minorHAnsi"/>
          <w:b/>
          <w:bCs w:val="0"/>
          <w:color w:val="540EAF" w:themeColor="accent5" w:themeShade="BF"/>
          <w:sz w:val="28"/>
          <w:szCs w:val="28"/>
        </w:rPr>
        <w:t>and</w:t>
      </w:r>
      <w:r w:rsidRPr="00944D24">
        <w:rPr>
          <w:b w:val="0"/>
          <w:bCs/>
        </w:rPr>
        <w:t xml:space="preserve"> </w:t>
      </w:r>
      <w:r w:rsidRPr="00944D24">
        <w:rPr>
          <w:rStyle w:val="IntenseEmphasis"/>
          <w:rFonts w:cstheme="minorHAnsi"/>
          <w:b/>
          <w:bCs w:val="0"/>
          <w:color w:val="540EAF" w:themeColor="accent5" w:themeShade="BF"/>
          <w:sz w:val="28"/>
          <w:szCs w:val="28"/>
        </w:rPr>
        <w:t>Gender</w:t>
      </w:r>
      <w:r w:rsidRPr="00944D24">
        <w:rPr>
          <w:b w:val="0"/>
          <w:bCs/>
        </w:rPr>
        <w:t>-</w:t>
      </w:r>
      <w:r w:rsidRPr="00944D24">
        <w:rPr>
          <w:rStyle w:val="IntenseEmphasis"/>
          <w:rFonts w:cstheme="minorHAnsi"/>
          <w:b/>
          <w:bCs w:val="0"/>
          <w:iCs w:val="0"/>
          <w:color w:val="540EAF" w:themeColor="accent5" w:themeShade="BF"/>
          <w:sz w:val="28"/>
          <w:szCs w:val="28"/>
        </w:rPr>
        <w:t>Based</w:t>
      </w:r>
      <w:r w:rsidRPr="00944D24">
        <w:rPr>
          <w:b w:val="0"/>
          <w:bCs/>
        </w:rPr>
        <w:t xml:space="preserve"> </w:t>
      </w:r>
      <w:r w:rsidRPr="00944D24">
        <w:rPr>
          <w:rStyle w:val="IntenseEmphasis"/>
          <w:rFonts w:cstheme="minorHAnsi"/>
          <w:b/>
          <w:bCs w:val="0"/>
          <w:color w:val="540EAF" w:themeColor="accent5" w:themeShade="BF"/>
          <w:sz w:val="28"/>
          <w:szCs w:val="28"/>
        </w:rPr>
        <w:t>Violence</w:t>
      </w:r>
      <w:r w:rsidRPr="00944D24">
        <w:rPr>
          <w:b w:val="0"/>
          <w:bCs/>
        </w:rPr>
        <w:t xml:space="preserve"> </w:t>
      </w:r>
      <w:r w:rsidRPr="00944D24">
        <w:rPr>
          <w:rStyle w:val="IntenseEmphasis"/>
          <w:rFonts w:cstheme="minorHAnsi"/>
          <w:b/>
          <w:bCs w:val="0"/>
          <w:iCs w:val="0"/>
          <w:color w:val="540EAF" w:themeColor="accent5" w:themeShade="BF"/>
          <w:sz w:val="28"/>
          <w:szCs w:val="28"/>
        </w:rPr>
        <w:t>in</w:t>
      </w:r>
      <w:r w:rsidRPr="00944D24">
        <w:rPr>
          <w:b w:val="0"/>
          <w:bCs/>
        </w:rPr>
        <w:t xml:space="preserve"> </w:t>
      </w:r>
      <w:r w:rsidRPr="00944D24">
        <w:rPr>
          <w:rStyle w:val="IntenseEmphasis"/>
          <w:rFonts w:cstheme="minorHAnsi"/>
          <w:b/>
          <w:bCs w:val="0"/>
          <w:iCs w:val="0"/>
          <w:color w:val="540EAF" w:themeColor="accent5" w:themeShade="BF"/>
          <w:sz w:val="28"/>
          <w:szCs w:val="28"/>
        </w:rPr>
        <w:t>d</w:t>
      </w:r>
      <w:r w:rsidR="00483D2D" w:rsidRPr="00944D24">
        <w:rPr>
          <w:rStyle w:val="IntenseEmphasis"/>
          <w:rFonts w:cstheme="minorHAnsi"/>
          <w:b/>
          <w:bCs w:val="0"/>
          <w:iCs w:val="0"/>
          <w:color w:val="540EAF" w:themeColor="accent5" w:themeShade="BF"/>
          <w:sz w:val="28"/>
          <w:szCs w:val="28"/>
        </w:rPr>
        <w:t>iaspora</w:t>
      </w:r>
      <w:r w:rsidR="00483D2D" w:rsidRPr="00944D24">
        <w:rPr>
          <w:b w:val="0"/>
          <w:bCs/>
        </w:rPr>
        <w:t xml:space="preserve"> </w:t>
      </w:r>
      <w:r w:rsidR="00483D2D" w:rsidRPr="00944D24">
        <w:rPr>
          <w:rStyle w:val="IntenseEmphasis"/>
          <w:rFonts w:cstheme="minorHAnsi"/>
          <w:b/>
          <w:bCs w:val="0"/>
          <w:color w:val="540EAF" w:themeColor="accent5" w:themeShade="BF"/>
          <w:sz w:val="28"/>
          <w:szCs w:val="28"/>
        </w:rPr>
        <w:t>communities</w:t>
      </w:r>
      <w:r w:rsidR="00483D2D" w:rsidRPr="00944D24">
        <w:rPr>
          <w:b w:val="0"/>
          <w:bCs/>
        </w:rPr>
        <w:t xml:space="preserve"> </w:t>
      </w:r>
      <w:r w:rsidR="00483D2D" w:rsidRPr="00944D24">
        <w:rPr>
          <w:rStyle w:val="IntenseEmphasis"/>
          <w:rFonts w:cstheme="minorHAnsi"/>
          <w:b/>
          <w:bCs w:val="0"/>
          <w:color w:val="540EAF" w:themeColor="accent5" w:themeShade="BF"/>
          <w:sz w:val="28"/>
          <w:szCs w:val="28"/>
        </w:rPr>
        <w:t>within</w:t>
      </w:r>
      <w:r w:rsidR="00944D24" w:rsidRPr="00944D24">
        <w:rPr>
          <w:rStyle w:val="IntenseEmphasis"/>
          <w:rFonts w:cstheme="minorHAnsi"/>
          <w:b/>
          <w:bCs w:val="0"/>
          <w:color w:val="540EAF" w:themeColor="accent5" w:themeShade="BF"/>
          <w:sz w:val="28"/>
          <w:szCs w:val="28"/>
        </w:rPr>
        <w:t> </w:t>
      </w:r>
      <w:r w:rsidR="00483D2D" w:rsidRPr="00944D24">
        <w:rPr>
          <w:rStyle w:val="IntenseEmphasis"/>
          <w:rFonts w:cstheme="minorHAnsi"/>
          <w:b/>
          <w:bCs w:val="0"/>
          <w:color w:val="540EAF" w:themeColor="accent5" w:themeShade="BF"/>
          <w:sz w:val="28"/>
          <w:szCs w:val="28"/>
        </w:rPr>
        <w:t>Australia</w:t>
      </w:r>
    </w:p>
    <w:p w14:paraId="4B843C19" w14:textId="72C7340E" w:rsidR="005B3D4D" w:rsidRPr="00206B2B" w:rsidRDefault="00483D2D" w:rsidP="006979E2">
      <w:pPr>
        <w:pStyle w:val="BodyText"/>
      </w:pPr>
      <w:r w:rsidRPr="00206B2B">
        <w:t xml:space="preserve">Implemented by the Home Affairs, the Women at Risk visa program is a resettlement pathway for women refugees in vulnerable situations and their dependents. Eligibility extends to individuals who face persecution, are registered as persons of concern with </w:t>
      </w:r>
      <w:r w:rsidR="00263578" w:rsidRPr="00206B2B">
        <w:t xml:space="preserve">the </w:t>
      </w:r>
      <w:r w:rsidRPr="00206B2B">
        <w:t>UN</w:t>
      </w:r>
      <w:r w:rsidR="00263578" w:rsidRPr="00206B2B">
        <w:t xml:space="preserve"> </w:t>
      </w:r>
      <w:r w:rsidRPr="00206B2B">
        <w:t>H</w:t>
      </w:r>
      <w:r w:rsidR="00263578" w:rsidRPr="00206B2B">
        <w:t xml:space="preserve">igh </w:t>
      </w:r>
      <w:r w:rsidRPr="00206B2B">
        <w:t>C</w:t>
      </w:r>
      <w:r w:rsidR="00263578" w:rsidRPr="00206B2B">
        <w:t xml:space="preserve">ommissioner for </w:t>
      </w:r>
      <w:r w:rsidRPr="00206B2B">
        <w:t>R</w:t>
      </w:r>
      <w:r w:rsidR="00263578" w:rsidRPr="00206B2B">
        <w:t>efugees (UNHCR)</w:t>
      </w:r>
      <w:r w:rsidRPr="00206B2B">
        <w:t xml:space="preserve">, and who lack the protection of a male relative or are otherwise at heightened risk of </w:t>
      </w:r>
      <w:r w:rsidR="00E86DEB" w:rsidRPr="00206B2B">
        <w:t>GBV</w:t>
      </w:r>
      <w:r w:rsidRPr="00206B2B">
        <w:t xml:space="preserve">. </w:t>
      </w:r>
    </w:p>
    <w:p w14:paraId="30A3FD1A" w14:textId="34B9D866" w:rsidR="00415126" w:rsidRDefault="00483D2D" w:rsidP="009B1940">
      <w:pPr>
        <w:pStyle w:val="BodyText"/>
      </w:pPr>
      <w:r w:rsidRPr="00206B2B">
        <w:t>Between 1 July 2023 and 30 June 2025, the program facilitated the approval of 1,733 offshore humanitarian visas, accounting for approximately 5% of all offshore humanitarian visas issued during this period.</w:t>
      </w:r>
      <w:r w:rsidR="003D3515" w:rsidRPr="00206B2B">
        <w:rPr>
          <w:rStyle w:val="FootnoteReference"/>
        </w:rPr>
        <w:footnoteReference w:id="50"/>
      </w:r>
      <w:r w:rsidRPr="00206B2B">
        <w:t xml:space="preserve"> The principal countries of origin included Afghanistan, the Democratic Republic o</w:t>
      </w:r>
      <w:r w:rsidR="0055497B" w:rsidRPr="00206B2B">
        <w:t xml:space="preserve">f </w:t>
      </w:r>
      <w:proofErr w:type="gramStart"/>
      <w:r w:rsidR="00C664BC" w:rsidRPr="00206B2B">
        <w:t xml:space="preserve">the </w:t>
      </w:r>
      <w:r w:rsidRPr="00206B2B">
        <w:t>Congo</w:t>
      </w:r>
      <w:proofErr w:type="gramEnd"/>
      <w:r w:rsidRPr="00206B2B">
        <w:t xml:space="preserve">, Venezuela, Syria, and Somalia. Support for recipients extended beyond the initial intake program with Women at Risk visa recipients representing the most significant user group of the Adult Migrant English Program and the </w:t>
      </w:r>
      <w:r w:rsidR="0011425B" w:rsidRPr="00206B2B">
        <w:t>f</w:t>
      </w:r>
      <w:r w:rsidRPr="00206B2B">
        <w:t xml:space="preserve">ree </w:t>
      </w:r>
      <w:r w:rsidR="0011425B" w:rsidRPr="00206B2B">
        <w:t>i</w:t>
      </w:r>
      <w:r w:rsidRPr="00206B2B">
        <w:t xml:space="preserve">nterpreting </w:t>
      </w:r>
      <w:r w:rsidR="0011425B" w:rsidRPr="00206B2B">
        <w:t>s</w:t>
      </w:r>
      <w:r w:rsidRPr="00206B2B">
        <w:t xml:space="preserve">ervices offered by </w:t>
      </w:r>
      <w:r w:rsidR="00086721" w:rsidRPr="00206B2B">
        <w:t>Home Affairs</w:t>
      </w:r>
      <w:r w:rsidRPr="00206B2B">
        <w:t>, improving access to essential legal, health, and social services.</w:t>
      </w:r>
      <w:r w:rsidR="00F67328" w:rsidRPr="00206B2B">
        <w:rPr>
          <w:rStyle w:val="FootnoteReference"/>
        </w:rPr>
        <w:footnoteReference w:id="51"/>
      </w:r>
      <w:r w:rsidRPr="00206B2B">
        <w:t xml:space="preserve"> This targeted resettlement initiative reflects Australia’s commitment under its WPS NAP to protect women in conflict-affected contexts and reduce the risks of </w:t>
      </w:r>
      <w:r w:rsidR="00E86DEB" w:rsidRPr="00206B2B">
        <w:t>SGBV</w:t>
      </w:r>
      <w:r w:rsidRPr="00206B2B">
        <w:t xml:space="preserve"> through safe migration pathways and sustained integration support.</w:t>
      </w:r>
    </w:p>
    <w:p w14:paraId="67619D96" w14:textId="41B4857E" w:rsidR="00514DE1" w:rsidRPr="00206B2B" w:rsidRDefault="00825711" w:rsidP="009B1940">
      <w:pPr>
        <w:pStyle w:val="BodyText"/>
      </w:pPr>
      <w:r>
        <w:rPr>
          <w:noProof/>
        </w:rPr>
        <w:drawing>
          <wp:inline distT="0" distB="0" distL="0" distR="0" wp14:anchorId="4571F862" wp14:editId="4BB47007">
            <wp:extent cx="6316980" cy="723900"/>
            <wp:effectExtent l="0" t="0" r="7620" b="0"/>
            <wp:docPr id="115890415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04158" name="Picture 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062CE747" w14:textId="11376545" w:rsidR="00514DE1" w:rsidRPr="00085E10" w:rsidRDefault="00514DE1" w:rsidP="00085E10">
      <w:pPr>
        <w:pStyle w:val="Heading3"/>
      </w:pPr>
      <w:r w:rsidRPr="00085E10">
        <w:t>Finding 2. Progress made toward reducing sexual and gender-based violence is uneven and not consistently captured across agencies</w:t>
      </w:r>
    </w:p>
    <w:p w14:paraId="41D59240" w14:textId="1DD6CFE8" w:rsidR="00C00AEF" w:rsidRDefault="00514DE1" w:rsidP="000B5747">
      <w:r w:rsidRPr="00C00AEF">
        <w:t>Australia funds and delivers SGBV prevention and response initiatives (e.g., AFP regional programs and Home Affairs’ Women at Risk visa scheme), but these are not fully reported within the NAP framework. Fragmentation, inconsistent coordination, limited data collection mechanisms and under recognition of frontline civil society contributions limit the ability to assess national progress. Best practice also emphasises the importance of creating formal avenues for survivors of CRSV to inform and influence policy; however, Australia does not currently have structured mechanisms to ensure CRSV survivor voices are integrated into the design, monitoring, and evaluation of these initiatives.</w:t>
      </w:r>
      <w:r w:rsidR="00C00AEF">
        <w:br w:type="page"/>
      </w:r>
    </w:p>
    <w:p w14:paraId="13E6286B" w14:textId="1534B9BF" w:rsidR="00DA2811" w:rsidRPr="00085E10" w:rsidRDefault="00725B07" w:rsidP="00085E10">
      <w:pPr>
        <w:pStyle w:val="Heading4"/>
      </w:pPr>
      <w:r w:rsidRPr="00085E10">
        <w:lastRenderedPageBreak/>
        <w:t xml:space="preserve">Weaponisation of </w:t>
      </w:r>
      <w:r w:rsidR="00185E64" w:rsidRPr="00085E10">
        <w:t>g</w:t>
      </w:r>
      <w:r w:rsidRPr="00085E10">
        <w:t>ender</w:t>
      </w:r>
    </w:p>
    <w:p w14:paraId="080CD6DB" w14:textId="376CD5F4" w:rsidR="007B6E04" w:rsidRPr="00206B2B" w:rsidRDefault="003B215A" w:rsidP="006979E2">
      <w:pPr>
        <w:pStyle w:val="BodyText"/>
      </w:pPr>
      <w:r w:rsidRPr="00206B2B">
        <w:t>Feedback across all consult</w:t>
      </w:r>
      <w:r w:rsidR="00C40C42" w:rsidRPr="00206B2B">
        <w:t>ation and stakeholder groups</w:t>
      </w:r>
      <w:r w:rsidRPr="00206B2B">
        <w:t xml:space="preserve"> noted that g</w:t>
      </w:r>
      <w:r w:rsidR="006760E8" w:rsidRPr="00206B2B">
        <w:t xml:space="preserve">ender </w:t>
      </w:r>
      <w:r w:rsidR="00522042" w:rsidRPr="00206B2B">
        <w:t>is being</w:t>
      </w:r>
      <w:r w:rsidR="006760E8" w:rsidRPr="00206B2B">
        <w:t xml:space="preserve"> </w:t>
      </w:r>
      <w:r w:rsidR="00C40C42" w:rsidRPr="00206B2B">
        <w:t>“</w:t>
      </w:r>
      <w:r w:rsidR="006760E8" w:rsidRPr="00206B2B">
        <w:t>weaponised</w:t>
      </w:r>
      <w:r w:rsidR="00C40C42" w:rsidRPr="00206B2B">
        <w:t>”</w:t>
      </w:r>
      <w:r w:rsidR="006760E8" w:rsidRPr="00206B2B">
        <w:t xml:space="preserve"> through narratives and ideology. </w:t>
      </w:r>
      <w:r w:rsidR="00522042" w:rsidRPr="00206B2B">
        <w:t xml:space="preserve">Specifically, the </w:t>
      </w:r>
      <w:r w:rsidR="006760E8" w:rsidRPr="00206B2B">
        <w:t>portray</w:t>
      </w:r>
      <w:r w:rsidR="00522042" w:rsidRPr="00206B2B">
        <w:t>al of</w:t>
      </w:r>
      <w:r w:rsidR="006760E8" w:rsidRPr="00206B2B">
        <w:t xml:space="preserve"> gender equality</w:t>
      </w:r>
      <w:r w:rsidR="007F4D4E" w:rsidRPr="00206B2B">
        <w:t xml:space="preserve"> and</w:t>
      </w:r>
      <w:r w:rsidR="006760E8" w:rsidRPr="00206B2B">
        <w:t xml:space="preserve"> leadership as threats to social order, using these narratives to justify restrictions on civic space, roll back legal protections, or defund organisations working on gender justice. In this way, gender becomes a symbolic battleground for competing political agendas, with regressive actors using it to mobilise support, divide communities, or undermine democratic processes.</w:t>
      </w:r>
      <w:r w:rsidR="00C23D79" w:rsidRPr="00206B2B">
        <w:t xml:space="preserve"> </w:t>
      </w:r>
      <w:r w:rsidR="006760E8" w:rsidRPr="00206B2B">
        <w:t xml:space="preserve">Institutional, legal, and economic systems can further entrench this weaponisation. When women’s access to justice, political representation, or economic autonomy is systematically restricted, these limitations function as tools of control that prevent individuals from exercising power or seeking accountability. Likewise, the failure to address </w:t>
      </w:r>
      <w:r w:rsidR="00E86DEB" w:rsidRPr="00206B2B">
        <w:t>SGBV</w:t>
      </w:r>
      <w:r w:rsidR="006760E8" w:rsidRPr="00206B2B">
        <w:t>, or the normalisation of impunity, reinforces gender as a tool of coercion and dominance.</w:t>
      </w:r>
    </w:p>
    <w:p w14:paraId="3A6EC3BF" w14:textId="7D625C93" w:rsidR="00FB4EAC" w:rsidRPr="00206B2B" w:rsidRDefault="00ED2624" w:rsidP="006979E2">
      <w:pPr>
        <w:pStyle w:val="BodyText"/>
      </w:pPr>
      <w:r w:rsidRPr="00206B2B">
        <w:t>Multiple agencies and civil society partners explicitly identified mis</w:t>
      </w:r>
      <w:r w:rsidR="00FE0B35" w:rsidRPr="00206B2B">
        <w:t>-</w:t>
      </w:r>
      <w:r w:rsidRPr="00206B2B">
        <w:t xml:space="preserve"> and disinformation as a growing threat that intersects with gender, civic space, and security. For example, Home Affairs confirmed that disinformation is a challenge they are monitoring, noting its links to social cohesion and emerging security threats</w:t>
      </w:r>
      <w:r w:rsidR="00596DB1" w:rsidRPr="00206B2B">
        <w:t>. The</w:t>
      </w:r>
      <w:r w:rsidR="00E20641" w:rsidRPr="00206B2B">
        <w:t xml:space="preserve"> </w:t>
      </w:r>
      <w:r w:rsidRPr="00206B2B">
        <w:t xml:space="preserve">AFP and Pacific policing partners are already attempting to counter misinformation through proactive transparency, including posting information to counter rumours in </w:t>
      </w:r>
      <w:r w:rsidR="004F19F8" w:rsidRPr="00206B2B">
        <w:t>small society</w:t>
      </w:r>
      <w:r w:rsidR="000B5747">
        <w:t> </w:t>
      </w:r>
      <w:r w:rsidRPr="00206B2B">
        <w:t>contexts.</w:t>
      </w:r>
      <w:r w:rsidR="00316CD5" w:rsidRPr="00206B2B">
        <w:t xml:space="preserve"> </w:t>
      </w:r>
    </w:p>
    <w:p w14:paraId="0429396E" w14:textId="027F8FD3" w:rsidR="003B215A" w:rsidRPr="00206B2B" w:rsidRDefault="00316CD5" w:rsidP="006979E2">
      <w:pPr>
        <w:pStyle w:val="BodyText"/>
      </w:pPr>
      <w:r w:rsidRPr="00206B2B">
        <w:t xml:space="preserve">Several consultations described how online misinformation and gendered attacks weaken participation of women and WPS actors. </w:t>
      </w:r>
      <w:r w:rsidR="003B215A" w:rsidRPr="00206B2B">
        <w:t>Civil society</w:t>
      </w:r>
      <w:r w:rsidRPr="00206B2B">
        <w:t xml:space="preserve"> reported serious backlash online, including coordinated online hostility targeting language and </w:t>
      </w:r>
      <w:r w:rsidR="004F19F8" w:rsidRPr="00206B2B">
        <w:t>rights</w:t>
      </w:r>
      <w:r w:rsidR="00163918" w:rsidRPr="00206B2B">
        <w:t>-</w:t>
      </w:r>
      <w:r w:rsidR="004F19F8" w:rsidRPr="00206B2B">
        <w:t>based</w:t>
      </w:r>
      <w:r w:rsidRPr="00206B2B">
        <w:t xml:space="preserve"> terminology. This limits the safety and visibility of activists. Civil society noted that closing civic space and mis</w:t>
      </w:r>
      <w:r w:rsidR="00FD6FBD" w:rsidRPr="00206B2B">
        <w:t xml:space="preserve">- and </w:t>
      </w:r>
      <w:r w:rsidRPr="00206B2B">
        <w:t xml:space="preserve">disinformation make it harder for women’s voices to influence government, with risk of consultations becoming performative rather than impactful. </w:t>
      </w:r>
      <w:r w:rsidR="009E7DBB" w:rsidRPr="00206B2B">
        <w:t>Civil society</w:t>
      </w:r>
      <w:r w:rsidRPr="00206B2B">
        <w:t xml:space="preserve"> warned that mis</w:t>
      </w:r>
      <w:r w:rsidR="00C60989" w:rsidRPr="00206B2B">
        <w:t xml:space="preserve">- and </w:t>
      </w:r>
      <w:r w:rsidRPr="00206B2B">
        <w:t>disinformation creates divisions in society, disrupts peacebuilding, and requires resourcing to counter its impacts both domestically and internationally.</w:t>
      </w:r>
    </w:p>
    <w:p w14:paraId="4B511463" w14:textId="64C789FF" w:rsidR="00B44B8C" w:rsidRPr="00206B2B" w:rsidRDefault="00B44B8C" w:rsidP="006979E2">
      <w:pPr>
        <w:pStyle w:val="BodyText"/>
      </w:pPr>
      <w:r w:rsidRPr="00206B2B">
        <w:t>In Senate estimates the AFP Commissioner stated that ‘</w:t>
      </w:r>
      <w:r w:rsidR="00D474DA" w:rsidRPr="00206B2B">
        <w:t>many countries share significant concerns about youth, who are becoming victims and perpetrators through online radicalisation, sextortion and corrupted masculinity.’</w:t>
      </w:r>
      <w:r w:rsidR="0040192A" w:rsidRPr="00206B2B">
        <w:rPr>
          <w:rStyle w:val="FootnoteReference"/>
        </w:rPr>
        <w:footnoteReference w:id="52"/>
      </w:r>
      <w:r w:rsidR="00D474DA" w:rsidRPr="00206B2B">
        <w:t xml:space="preserve"> </w:t>
      </w:r>
      <w:r w:rsidR="008E793E" w:rsidRPr="00206B2B">
        <w:t>Consultations echoed these concerns, with stakeholders highlighting the growing influence of extremist online content and the risks it poses to young people, particularly young men. Stakeholders emphasised that these dynamics, including the rise of toxic masculinit</w:t>
      </w:r>
      <w:r w:rsidR="00C57E89" w:rsidRPr="00206B2B">
        <w:t>y</w:t>
      </w:r>
      <w:r w:rsidR="008E793E" w:rsidRPr="00206B2B">
        <w:t>, have direct implications for the WPS agenda. They noted that harmful online narratives can exacerbate gendered insecurity, fuel violence, and undermine efforts to promote women’s participation, safety, and leadership. As such, the WPS agenda must not only focus on the protection and empowerment of women and girls but also address the broader gendered drivers of insecurity, including toxic masculinity and its impacts on community cohesion and stability.</w:t>
      </w:r>
    </w:p>
    <w:p w14:paraId="49469F54" w14:textId="22C69846" w:rsidR="00FC4C83" w:rsidRPr="00085E10" w:rsidRDefault="00FC4C83" w:rsidP="00085E10">
      <w:pPr>
        <w:pStyle w:val="Heading4"/>
      </w:pPr>
      <w:r w:rsidRPr="00085E10">
        <w:t>Areas for further development</w:t>
      </w:r>
    </w:p>
    <w:p w14:paraId="38E64630" w14:textId="77777777" w:rsidR="00E41542" w:rsidRDefault="001B3026" w:rsidP="001B3026">
      <w:pPr>
        <w:pStyle w:val="BodyText"/>
      </w:pPr>
      <w:r w:rsidRPr="00206B2B">
        <w:t>Civil society organisations outlined the need for greater involvement of civil society in crisis settings, as they are best placed to assist with inclusive approaches to relief and recovery in crisis, particularly in relation to sexual violence. Civil society also emphasised that they are often delivering frontline support in high-risk contexts such as the African Women’s Voices for Peace Network and</w:t>
      </w:r>
      <w:r w:rsidR="005465C7" w:rsidRPr="00206B2B">
        <w:t xml:space="preserve"> </w:t>
      </w:r>
      <w:proofErr w:type="gramStart"/>
      <w:r w:rsidR="005465C7" w:rsidRPr="00206B2B">
        <w:t>PWMN</w:t>
      </w:r>
      <w:r w:rsidRPr="00206B2B">
        <w:t>, yet</w:t>
      </w:r>
      <w:proofErr w:type="gramEnd"/>
      <w:r w:rsidRPr="00206B2B">
        <w:t xml:space="preserve"> noted that government engagement and resourcing can be inconsistent. </w:t>
      </w:r>
      <w:r w:rsidR="00E41542">
        <w:br w:type="page"/>
      </w:r>
    </w:p>
    <w:p w14:paraId="57FDA237" w14:textId="11565ACE" w:rsidR="00BA2A02" w:rsidRPr="00206B2B" w:rsidRDefault="001B3026" w:rsidP="001B3026">
      <w:pPr>
        <w:pStyle w:val="BodyText"/>
      </w:pPr>
      <w:r w:rsidRPr="00206B2B">
        <w:lastRenderedPageBreak/>
        <w:t xml:space="preserve">This limits their ability to scale evidence-based approaches or respond to escalating </w:t>
      </w:r>
      <w:r w:rsidR="005465C7" w:rsidRPr="00206B2B">
        <w:t>GBV</w:t>
      </w:r>
      <w:r w:rsidRPr="00206B2B">
        <w:t xml:space="preserve"> during crises. Stakeholders indicated that climate-induced and natural disasters can amplify displacement and subsequently, </w:t>
      </w:r>
      <w:r w:rsidR="005465C7" w:rsidRPr="00206B2B">
        <w:t>GBV</w:t>
      </w:r>
      <w:r w:rsidRPr="00206B2B">
        <w:t xml:space="preserve"> risks, including trafficking and sexual exploitation, underscoring a greater need for </w:t>
      </w:r>
      <w:r w:rsidR="005465C7" w:rsidRPr="00206B2B">
        <w:t>SGBV</w:t>
      </w:r>
      <w:r w:rsidRPr="00206B2B">
        <w:t xml:space="preserve"> considerations to be embedded in disaster response planning.</w:t>
      </w:r>
    </w:p>
    <w:p w14:paraId="6ACBB40B" w14:textId="44C711EF" w:rsidR="00A55B22" w:rsidRPr="00330AC2" w:rsidRDefault="00DE6326" w:rsidP="00330AC2">
      <w:r w:rsidRPr="00206B2B">
        <w:t>Civil s</w:t>
      </w:r>
      <w:r w:rsidRPr="00330AC2">
        <w:t xml:space="preserve">ociety raised concerns that </w:t>
      </w:r>
      <w:r w:rsidR="00E86DEB" w:rsidRPr="00330AC2">
        <w:t>GBV</w:t>
      </w:r>
      <w:r w:rsidRPr="00330AC2">
        <w:t xml:space="preserve"> in conflict settings such as the Democratic Republic of </w:t>
      </w:r>
      <w:proofErr w:type="gramStart"/>
      <w:r w:rsidR="00795CBE" w:rsidRPr="00330AC2">
        <w:t xml:space="preserve">the </w:t>
      </w:r>
      <w:r w:rsidRPr="00330AC2">
        <w:t>Congo</w:t>
      </w:r>
      <w:proofErr w:type="gramEnd"/>
      <w:r w:rsidRPr="00330AC2">
        <w:t xml:space="preserve">, Kenya, and Uganda remains severe, and stressed that Australia should do more to proactively integrate sexual and </w:t>
      </w:r>
      <w:r w:rsidR="009F14E6" w:rsidRPr="00330AC2">
        <w:t>GBV</w:t>
      </w:r>
      <w:r w:rsidRPr="00330AC2">
        <w:t xml:space="preserve"> prevention across humanitarian, security, and peacebuilding efforts.</w:t>
      </w:r>
    </w:p>
    <w:p w14:paraId="77A92705" w14:textId="2C6A608F" w:rsidR="00543B89" w:rsidRPr="00330AC2" w:rsidRDefault="00543B89" w:rsidP="00330AC2">
      <w:r w:rsidRPr="00330AC2">
        <w:t>Through ActionAid, DFAT has supported the establishment of the African Women Voices for Peace platform, which helps to elevate the voices of women survivors of CRSV in national and regional policy spaces. Civil society stakeholders commented that this platform was an effective way to amplify survivor voices, although more could be done to strengthen survivor-centred work through the NAP.</w:t>
      </w:r>
      <w:r w:rsidR="007914C7" w:rsidRPr="00330AC2">
        <w:t xml:space="preserve"> </w:t>
      </w:r>
      <w:r w:rsidR="00E91125" w:rsidRPr="00330AC2">
        <w:t>DFAT has</w:t>
      </w:r>
      <w:r w:rsidR="00A5652A" w:rsidRPr="00330AC2">
        <w:t xml:space="preserve"> supported Legal Action Worldwide </w:t>
      </w:r>
      <w:r w:rsidR="00C711E6" w:rsidRPr="00330AC2">
        <w:t xml:space="preserve">(LAW) </w:t>
      </w:r>
      <w:r w:rsidR="00F47826" w:rsidRPr="00330AC2">
        <w:t>to establish the Gender Justice Practitioner Hub</w:t>
      </w:r>
      <w:r w:rsidR="00895CB0" w:rsidRPr="00330AC2">
        <w:t xml:space="preserve"> to foster collaboration and knowledge-sharing amongst practitioners globally to ensure better gender justice outcomes for survivors of international crimes.</w:t>
      </w:r>
      <w:r w:rsidR="00E22561" w:rsidRPr="00330AC2">
        <w:t xml:space="preserve"> While an important initiative, stakeholders have commented that Australia’s support could expand beyond these initiatives </w:t>
      </w:r>
      <w:r w:rsidR="002D110D" w:rsidRPr="00330AC2">
        <w:t>to consider more proactively prosecuting international crimes</w:t>
      </w:r>
      <w:r w:rsidR="00986E6E" w:rsidRPr="00330AC2">
        <w:t xml:space="preserve"> under Australia’s legal frameworks, focusing on conflict-related sexual violence and gender justice. </w:t>
      </w:r>
    </w:p>
    <w:p w14:paraId="06D4EDBA" w14:textId="768B1E49" w:rsidR="001811B7" w:rsidRDefault="00AD4950" w:rsidP="00330AC2">
      <w:r w:rsidRPr="00330AC2">
        <w:t>Emerging threats were also identified, including technology-facilitated GBV, online harassment, and gendered disinformation campaigns that target women leaders. Stakeholders called for collaboration with e-Safety regulators and</w:t>
      </w:r>
      <w:r w:rsidRPr="00206B2B">
        <w:t xml:space="preserve"> technology companies to counter these harms and safeguard women’s voices in digital spaces.</w:t>
      </w:r>
    </w:p>
    <w:p w14:paraId="4CCFA3DF" w14:textId="2308D7F5" w:rsidR="00CD2A75" w:rsidRDefault="00825711" w:rsidP="00330AC2">
      <w:r>
        <w:rPr>
          <w:noProof/>
        </w:rPr>
        <w:drawing>
          <wp:inline distT="0" distB="0" distL="0" distR="0" wp14:anchorId="25519D62" wp14:editId="390489A2">
            <wp:extent cx="6316980" cy="723900"/>
            <wp:effectExtent l="0" t="0" r="7620" b="0"/>
            <wp:docPr id="86221248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12485" name="Picture 4">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6C0F677F" w14:textId="37CC7EA3" w:rsidR="00846C8C" w:rsidRPr="000B5747" w:rsidRDefault="00846C8C" w:rsidP="000B5747">
      <w:pPr>
        <w:pStyle w:val="Heading3"/>
      </w:pPr>
      <w:r w:rsidRPr="000B5747">
        <w:t>Finding 3. NAP implementation on CRSV lacks sufficient whole-of-government coordination, survivor engagement, and integration across security and humanitarian</w:t>
      </w:r>
      <w:r w:rsidR="000B5747">
        <w:t> </w:t>
      </w:r>
      <w:r w:rsidRPr="000B5747">
        <w:t>domains</w:t>
      </w:r>
    </w:p>
    <w:p w14:paraId="2CCEC684" w14:textId="77777777" w:rsidR="00C00AEF" w:rsidRPr="000B5747" w:rsidRDefault="00846C8C" w:rsidP="000B5747">
      <w:r w:rsidRPr="000B5747">
        <w:t xml:space="preserve">Despite CRSV being a core priority of the NAP, consultations highlighted significant gaps in coordination, consistency, and capability across agencies involved in NAP delivery. </w:t>
      </w:r>
    </w:p>
    <w:p w14:paraId="2602688D" w14:textId="13443983" w:rsidR="00CD2A75" w:rsidRDefault="00846C8C" w:rsidP="00C00AEF">
      <w:r w:rsidRPr="00C00AEF">
        <w:t>Stakeholders noted that CRSV is often treated as a peripheral or specialised issue rather than integrated into Australia’s broader conflict prevention, stabilisation, peacebuilding, humanitarian, and security efforts. In addition, Australia does not yet have structured mechanisms for survivor centred engagement, limiting the extent to which CRSV survivors (including women, men, gender-diverse people and children) and frontline women’s organisations can shape policy, influence early warning systems, or guide accountability efforts. There is also opportunity to consider embedding a transitional justice-based approach and reparations-oriented approach into humanitarian settings and Australia’s WPS activities. Civil society stakeholders emphasised that Australia could become a leader in prosecuting CRSV crimes. This would build on from Australia’s action to hold Afghanistan to account for violating the Convention on the Elimination of All Forms of Discrimination against Women (CEDAW) and DFAT’s support for the Australian Institute for International Affairs and the Australian Research Council Centre of Excellence for the Elimination of Violence against Women to host an international conference on CRSV in 2025.</w:t>
      </w:r>
      <w:r w:rsidR="00CD2A75">
        <w:br w:type="page"/>
      </w:r>
    </w:p>
    <w:p w14:paraId="28370A68" w14:textId="5605FA7D" w:rsidR="006120EA" w:rsidRPr="006120EA" w:rsidRDefault="00846C8C" w:rsidP="00C00AEF">
      <w:pPr>
        <w:rPr>
          <w:rStyle w:val="FootnoteTextChar"/>
          <w:vertAlign w:val="superscript"/>
        </w:rPr>
      </w:pPr>
      <w:r w:rsidRPr="00C00AEF">
        <w:lastRenderedPageBreak/>
        <w:t>Opportunities also exist to better align the NAP’s international CRSV commitments with Australia’s domestic agenda on SGBV. While both policy domains share common principles such as trauma informed practice, prevention, and accountability, current linkages are inconsistent and underutilised, missing opportunities to leverage shared investments, expertise, and evidence.</w:t>
      </w:r>
      <w:r w:rsidR="006120EA" w:rsidRPr="00C00AEF">
        <w:t xml:space="preserve"> </w:t>
      </w:r>
      <w:r w:rsidR="006120EA" w:rsidRPr="006120EA">
        <w:rPr>
          <w:rStyle w:val="FootnoteReference"/>
          <w:b/>
          <w:bCs/>
          <w:color w:val="0C233C" w:themeColor="accent2"/>
        </w:rPr>
        <w:footnoteReference w:id="53"/>
      </w:r>
    </w:p>
    <w:p w14:paraId="4571B4FA" w14:textId="51E045AA" w:rsidR="000B5747" w:rsidRDefault="00846C8C" w:rsidP="00C00AEF">
      <w:r w:rsidRPr="00C00AEF">
        <w:t>Without strengthened whole of government coordination, clearer integration across security and humanitarian mandates, and more systematic survivor engagement, Australia’s ability to deliver on its CRSV obligations under the NAP and to maintain credibility in regional and multilateral WPS leadership will remain constrained.</w:t>
      </w:r>
      <w:r w:rsidR="000B5747">
        <w:br w:type="page"/>
      </w:r>
    </w:p>
    <w:p w14:paraId="0960B8CB" w14:textId="7E6EF575" w:rsidR="009C5CE5" w:rsidRPr="00944D24" w:rsidRDefault="00816827" w:rsidP="00944D24">
      <w:pPr>
        <w:pStyle w:val="Heading2"/>
      </w:pPr>
      <w:r w:rsidRPr="00944D24">
        <w:rPr>
          <w:rStyle w:val="Heading2Char"/>
          <w:b/>
        </w:rPr>
        <w:lastRenderedPageBreak/>
        <w:t>Outcome 3: S</w:t>
      </w:r>
      <w:r w:rsidR="009C5CE5" w:rsidRPr="00944D24">
        <w:rPr>
          <w:rStyle w:val="Heading2Char"/>
          <w:b/>
        </w:rPr>
        <w:t>upporting Resilience, Crisis Response, and Security, Law and Justice</w:t>
      </w:r>
      <w:r w:rsidR="00F111B1" w:rsidRPr="00944D24">
        <w:rPr>
          <w:rStyle w:val="Heading2Char"/>
          <w:b/>
        </w:rPr>
        <w:t> </w:t>
      </w:r>
      <w:r w:rsidR="009C5CE5" w:rsidRPr="00944D24">
        <w:rPr>
          <w:rStyle w:val="Heading2Char"/>
          <w:b/>
        </w:rPr>
        <w:t>Efforts</w:t>
      </w:r>
    </w:p>
    <w:p w14:paraId="65B9DDE4" w14:textId="09427C62" w:rsidR="00DA4A96" w:rsidRDefault="009C5CE5" w:rsidP="006979E2">
      <w:pPr>
        <w:pStyle w:val="BodyText"/>
      </w:pPr>
      <w:r w:rsidRPr="00206B2B">
        <w:t>This outcome boosts efforts to meet the security and rights needs of women and girls in crisis, humanitarian, and justice settings. It encompasses law enforcement, antitrafficking, humanitarian assistance, stabili</w:t>
      </w:r>
      <w:r w:rsidR="00AC197D" w:rsidRPr="00206B2B">
        <w:t>s</w:t>
      </w:r>
      <w:r w:rsidRPr="00206B2B">
        <w:t>ation, and disaster management initiatives.</w:t>
      </w:r>
    </w:p>
    <w:p w14:paraId="7F3837F3" w14:textId="3B22F873" w:rsidR="000B5747" w:rsidRPr="00206B2B" w:rsidRDefault="000B5747" w:rsidP="000B5747">
      <w:pPr>
        <w:pStyle w:val="Heading3blue"/>
      </w:pPr>
      <w:r w:rsidRPr="00206B2B">
        <w:t>Snapshot summary highlighting progress towards medium term objectives</w:t>
      </w:r>
    </w:p>
    <w:p w14:paraId="2AC76FD2" w14:textId="77777777" w:rsidR="000B5747" w:rsidRPr="00206B2B" w:rsidRDefault="000B5747" w:rsidP="000B5747">
      <w:pPr>
        <w:pStyle w:val="Normal-blue"/>
      </w:pPr>
      <w:r w:rsidRPr="00206B2B">
        <w:t>3.1 Increase access to security, law and justice responses</w:t>
      </w:r>
    </w:p>
    <w:p w14:paraId="40199F95" w14:textId="77777777" w:rsidR="000B5747" w:rsidRPr="00206B2B" w:rsidRDefault="000B5747" w:rsidP="000B5747">
      <w:pPr>
        <w:pStyle w:val="Listbulletblue"/>
      </w:pPr>
      <w:r w:rsidRPr="00206B2B">
        <w:t>DFAT supported justice reform through the Fostering Advancement of Inclusive and Rights-Based Justice (FAIR) Program in the Philippines, which developed a manual and protocol for handling women’s legal cases, and was aligned to the Bangkok Rules on the Treatment of Women Prisoners. These resources provided trauma-informed approaches to healthcare, case tracking and non-custodial methods.</w:t>
      </w:r>
    </w:p>
    <w:p w14:paraId="320BFE3B" w14:textId="77777777" w:rsidR="000B5747" w:rsidRPr="00206B2B" w:rsidRDefault="000B5747" w:rsidP="000B5747">
      <w:pPr>
        <w:pStyle w:val="Listbulletblue"/>
      </w:pPr>
      <w:r w:rsidRPr="00206B2B">
        <w:t>The Australia Indonesia Partnership for Justice has significantly enhanced access to justice for women and girls in Indonesia by addressing gaps in legal protections, service delivery, and rights awareness. Key progress includes the Supreme Court Regulation No. 3/2017, ensuring fair treatment of women in judicial processes, and the enactment of Qanun No. 4/2025 in Aceh, embedding women’s rights in religious law and providing protections for divorced women, disaster-affected women, and survivors of human rights violations.</w:t>
      </w:r>
    </w:p>
    <w:p w14:paraId="1124F4E1" w14:textId="77777777" w:rsidR="000B5747" w:rsidRPr="00206B2B" w:rsidRDefault="000B5747" w:rsidP="000B5747">
      <w:pPr>
        <w:pStyle w:val="Normal-blue"/>
      </w:pPr>
      <w:r w:rsidRPr="00206B2B">
        <w:t>3.2: Increase access to humanitarian action, stabilisation and disaster management.</w:t>
      </w:r>
    </w:p>
    <w:p w14:paraId="51D30E3D" w14:textId="77777777" w:rsidR="000B5747" w:rsidRPr="00206B2B" w:rsidRDefault="000B5747" w:rsidP="000B5747">
      <w:pPr>
        <w:pStyle w:val="Listbulletblue"/>
      </w:pPr>
      <w:r w:rsidRPr="00206B2B">
        <w:t>Supported the UNFPA Regional Prepositioning Initiative to provide sexual and reproductive health and GBV supplies across Indo-Pacific countries when they experience disasters. In 2024, the initiative provided supplies to more than 30,000 people across 35 emergencies including for older women in Myanmar and survivors of sorcery-related violence in PNG.</w:t>
      </w:r>
    </w:p>
    <w:p w14:paraId="28D62456" w14:textId="77777777" w:rsidR="000B5747" w:rsidRPr="00206B2B" w:rsidRDefault="000B5747" w:rsidP="000B5747">
      <w:pPr>
        <w:pStyle w:val="Listbulletblue"/>
      </w:pPr>
      <w:r w:rsidRPr="00206B2B">
        <w:t>Supported the World Food Programme initiative in Myanmar that engaged women as volunteers and distribution agents to foster culturally sensitive communication and strengthen women’s resilience and food security.</w:t>
      </w:r>
    </w:p>
    <w:p w14:paraId="3A3CB97B" w14:textId="77777777" w:rsidR="000B5747" w:rsidRPr="00206B2B" w:rsidRDefault="000B5747" w:rsidP="000B5747">
      <w:pPr>
        <w:pStyle w:val="Listbulletblue"/>
      </w:pPr>
      <w:r w:rsidRPr="00206B2B">
        <w:t>Australia supported the Shifting the Power Coalition through Pacific Women Lead to promote Pacific women's leadership in climate and humanitarian action and disaster response. Programs in Papua New Guinea, Bougainville, and Fiji have trained women human rights defenders, strengthened trauma-informed peacebuilding, and embedded women’s leadership in early warning systems.</w:t>
      </w:r>
    </w:p>
    <w:p w14:paraId="7E8EDF3E" w14:textId="764697A0" w:rsidR="000B5747" w:rsidRDefault="00FC0BD8" w:rsidP="00153EEF">
      <w:pPr>
        <w:pStyle w:val="BodyText"/>
      </w:pPr>
      <w:r w:rsidRPr="00206B2B">
        <w:t xml:space="preserve">Australia’s efforts to support resilience, crisis response, and security, law and justice systems are strengthening through a combination of global </w:t>
      </w:r>
      <w:r w:rsidR="00816827" w:rsidRPr="00206B2B">
        <w:t>norm shaping</w:t>
      </w:r>
      <w:r w:rsidRPr="00206B2B">
        <w:t xml:space="preserve">, regional partnerships, and targeted investment in </w:t>
      </w:r>
      <w:r w:rsidR="00816827" w:rsidRPr="00206B2B">
        <w:t>women led</w:t>
      </w:r>
      <w:r w:rsidRPr="00206B2B">
        <w:t xml:space="preserve"> crisis architectures. </w:t>
      </w:r>
      <w:proofErr w:type="gramStart"/>
      <w:r w:rsidRPr="00206B2B">
        <w:t>The Gender Justice Practitioners Hub,</w:t>
      </w:r>
      <w:proofErr w:type="gramEnd"/>
      <w:r w:rsidRPr="00206B2B">
        <w:t xml:space="preserve"> is already shifting the international accountability landscape</w:t>
      </w:r>
      <w:r w:rsidR="00893191" w:rsidRPr="00206B2B">
        <w:t>. For example,</w:t>
      </w:r>
      <w:r w:rsidRPr="00206B2B">
        <w:t xml:space="preserve"> following its establishment, the I</w:t>
      </w:r>
      <w:r w:rsidR="00C37478" w:rsidRPr="00206B2B">
        <w:t xml:space="preserve">nternational </w:t>
      </w:r>
      <w:r w:rsidRPr="00206B2B">
        <w:t>C</w:t>
      </w:r>
      <w:r w:rsidR="00C37478" w:rsidRPr="00206B2B">
        <w:t xml:space="preserve">riminal </w:t>
      </w:r>
      <w:r w:rsidRPr="00206B2B">
        <w:t>C</w:t>
      </w:r>
      <w:r w:rsidR="00C37478" w:rsidRPr="00206B2B">
        <w:t>ourt</w:t>
      </w:r>
      <w:r w:rsidRPr="00206B2B">
        <w:t xml:space="preserve">’s Office of the Prosecutor committed to developing publicly available principles on the crime of gender persecution, marking a significant step forward in </w:t>
      </w:r>
      <w:r w:rsidR="00816827" w:rsidRPr="00206B2B">
        <w:t>survivor-centred</w:t>
      </w:r>
      <w:r w:rsidRPr="00206B2B">
        <w:t xml:space="preserve"> justice.</w:t>
      </w:r>
      <w:r w:rsidR="000B5747">
        <w:br w:type="page"/>
      </w:r>
    </w:p>
    <w:p w14:paraId="44B5CE4C" w14:textId="3E677B1B" w:rsidR="000B5747" w:rsidRPr="00314F5B" w:rsidRDefault="000B5747" w:rsidP="000B5747">
      <w:pPr>
        <w:pStyle w:val="Normal-casestudy"/>
        <w:rPr>
          <w:rStyle w:val="Strong"/>
        </w:rPr>
      </w:pPr>
      <w:r w:rsidRPr="00314F5B">
        <w:rPr>
          <w:rStyle w:val="Strong"/>
        </w:rPr>
        <w:lastRenderedPageBreak/>
        <w:t>Case Study: Pacific Response Group Gender Focal Point (GFP) Course</w:t>
      </w:r>
    </w:p>
    <w:p w14:paraId="0DB802BE" w14:textId="77777777" w:rsidR="000B5747" w:rsidRPr="00206B2B" w:rsidRDefault="000B5747" w:rsidP="000B5747">
      <w:pPr>
        <w:pStyle w:val="Normal-casestudy"/>
      </w:pPr>
      <w:r w:rsidRPr="00206B2B">
        <w:t xml:space="preserve">The Pacific Response Group’s Pacific Special Advisory Team (PSAT) became operational in 2024, supporting civilian authorities’ disaster response planning as a small, rapidly deployable team. Consisting of members from the Australian Defence Force (ADF), French Armed Forces, His Majesties Armed Forces (Tonga), the Papua New Guinean Defence Force, and the Republic of Fiji Military Forces, this diverse and highly skilled team further expanded their capabilities, strengthening regional interoperability by undertaking the ADF’s GFP Course. Conducted in-person, the training was positively received by participants who said they looked forward to opportunities to apply their new knowledge and skills as qualified GFPs in their current and future posts. </w:t>
      </w:r>
    </w:p>
    <w:p w14:paraId="674DF149" w14:textId="77777777" w:rsidR="000B5747" w:rsidRPr="00206B2B" w:rsidRDefault="000B5747" w:rsidP="000B5747">
      <w:pPr>
        <w:pStyle w:val="Normal-casestudy"/>
      </w:pPr>
      <w:r w:rsidRPr="00206B2B">
        <w:t>In executing the GFP Course for the PSAT, the importance of adapting content to the relevant regional context, fostering shared values to build trust amongst course participants, and providing equitable access to resources through localised materials was affirmed. Ending with a collaborative session to identify practical applications of WPS principles proved critical for participant engagement and ownership of their role in supporting the implementation of the WPS agenda through their disaster response planning work in the Pacific.</w:t>
      </w:r>
    </w:p>
    <w:p w14:paraId="5BB5891D" w14:textId="47A22752" w:rsidR="003B6657" w:rsidRPr="00085E10" w:rsidRDefault="003B6657" w:rsidP="00085E10">
      <w:pPr>
        <w:pStyle w:val="Heading4"/>
      </w:pPr>
      <w:r w:rsidRPr="00085E10">
        <w:t>Linking WPS to operational effectiveness</w:t>
      </w:r>
    </w:p>
    <w:p w14:paraId="2B0E9785" w14:textId="77777777" w:rsidR="006148FC" w:rsidRDefault="003B6657" w:rsidP="00D43D02">
      <w:pPr>
        <w:pStyle w:val="BodyText"/>
      </w:pPr>
      <w:r w:rsidRPr="00206B2B">
        <w:t>In consultations with the AFP, a consistent theme emerged</w:t>
      </w:r>
      <w:r w:rsidR="0098715C" w:rsidRPr="00206B2B">
        <w:t xml:space="preserve">, </w:t>
      </w:r>
      <w:r w:rsidRPr="00206B2B">
        <w:t xml:space="preserve">people buy into the WPS agenda when they see clear operational effect. AFP officers noted that WPS gains traction not as an abstract policy </w:t>
      </w:r>
      <w:r w:rsidRPr="00206B2B" w:rsidDel="0021687D">
        <w:t>commitment</w:t>
      </w:r>
      <w:r w:rsidR="0021687D" w:rsidRPr="00206B2B">
        <w:t>,</w:t>
      </w:r>
      <w:r w:rsidRPr="00206B2B">
        <w:t xml:space="preserve"> but when frontline teams witness how women’s participation improves intelligence flows, strengthens community trust, and leads to more sustainable security outcomes. Several practitioners emphasised that integrating WPS has repeatedly produced operational advantages in complex environments</w:t>
      </w:r>
      <w:r w:rsidR="00C409C3" w:rsidRPr="00206B2B">
        <w:t xml:space="preserve"> especially in international operations, human trafficking and child protection</w:t>
      </w:r>
      <w:r w:rsidRPr="00206B2B">
        <w:t xml:space="preserve">. </w:t>
      </w:r>
    </w:p>
    <w:p w14:paraId="1255E56B" w14:textId="10FFA2AE" w:rsidR="00CB44C6" w:rsidRPr="00944D24" w:rsidRDefault="003B6657" w:rsidP="00944D24">
      <w:pPr>
        <w:pStyle w:val="Quote"/>
      </w:pPr>
      <w:r w:rsidRPr="00944D24">
        <w:t>“WPS becomes real for our people when they see it helps de</w:t>
      </w:r>
      <w:r w:rsidRPr="00944D24">
        <w:noBreakHyphen/>
        <w:t>escalate tensions faster, opens doors we couldn’t access before, and ultimately makes missions safer and more effective.”</w:t>
      </w:r>
    </w:p>
    <w:p w14:paraId="4B7BFA58" w14:textId="38C2B3C7" w:rsidR="00C1468F" w:rsidRPr="000271A7" w:rsidRDefault="00D266FA" w:rsidP="000271A7">
      <w:pPr>
        <w:pStyle w:val="Quotesource"/>
      </w:pPr>
      <w:r w:rsidRPr="000271A7">
        <w:t>WPS Implementing Partner</w:t>
      </w:r>
    </w:p>
    <w:p w14:paraId="415B2D54" w14:textId="32CB62EF" w:rsidR="005B2F44" w:rsidRPr="00085E10" w:rsidRDefault="00FF02A1" w:rsidP="00085E10">
      <w:pPr>
        <w:pStyle w:val="Heading4"/>
      </w:pPr>
      <w:r w:rsidRPr="00085E10">
        <w:t>WPS as part of Australia’s broader security posture</w:t>
      </w:r>
    </w:p>
    <w:p w14:paraId="38C3D246" w14:textId="5A7572F2" w:rsidR="009C1932" w:rsidRDefault="00126027" w:rsidP="00D43D02">
      <w:pPr>
        <w:pStyle w:val="BodyText"/>
      </w:pPr>
      <w:r w:rsidRPr="00206B2B">
        <w:t>During consultations, WPS was often treated as an adjunct to the development program rather than as a core component of Australia’s broader peace and security posture. This limits its strategic impact and reinforces the perception that WPS is primarily a social</w:t>
      </w:r>
      <w:r w:rsidRPr="00206B2B">
        <w:rPr>
          <w:rFonts w:ascii="Cambria Math" w:hAnsi="Cambria Math" w:cs="Cambria Math"/>
        </w:rPr>
        <w:t>‑</w:t>
      </w:r>
      <w:r w:rsidRPr="00206B2B">
        <w:t>development or gender</w:t>
      </w:r>
      <w:r w:rsidRPr="00206B2B">
        <w:rPr>
          <w:rFonts w:ascii="Cambria Math" w:hAnsi="Cambria Math" w:cs="Cambria Math"/>
        </w:rPr>
        <w:t>‑</w:t>
      </w:r>
      <w:r w:rsidRPr="00206B2B">
        <w:t>mainstreaming add</w:t>
      </w:r>
      <w:r w:rsidRPr="00206B2B">
        <w:rPr>
          <w:rFonts w:ascii="Cambria Math" w:hAnsi="Cambria Math" w:cs="Cambria Math"/>
        </w:rPr>
        <w:t>‑</w:t>
      </w:r>
      <w:r w:rsidRPr="00206B2B">
        <w:t>on, rather than a framework explicitly rooted in conflict prevention, national security objectives, and geopolitical engagement. A more security</w:t>
      </w:r>
      <w:r w:rsidRPr="00206B2B">
        <w:rPr>
          <w:rFonts w:ascii="Cambria Math" w:hAnsi="Cambria Math" w:cs="Cambria Math"/>
        </w:rPr>
        <w:t>‑</w:t>
      </w:r>
      <w:r w:rsidRPr="00206B2B">
        <w:t xml:space="preserve">focused approach embedded across Australian Government agencies </w:t>
      </w:r>
      <w:r w:rsidR="00BD036F" w:rsidRPr="00206B2B">
        <w:t xml:space="preserve">and </w:t>
      </w:r>
      <w:r w:rsidRPr="00206B2B">
        <w:t xml:space="preserve">at post would align with the recognised role of WPS in enhancing conflict prevention, strengthening diplomatic and defence partnerships, and improving Australia’s strategic influence in regions such as Southeast Asia. </w:t>
      </w:r>
      <w:r w:rsidR="009C1932">
        <w:br w:type="page"/>
      </w:r>
    </w:p>
    <w:p w14:paraId="1831C9D8" w14:textId="6C1699EF" w:rsidR="006F1D24" w:rsidRPr="00206B2B" w:rsidRDefault="00126027" w:rsidP="00D43D02">
      <w:pPr>
        <w:pStyle w:val="BodyText"/>
      </w:pPr>
      <w:r w:rsidRPr="00206B2B">
        <w:lastRenderedPageBreak/>
        <w:t>International guidance underscores that WPS is central to peace and security decision</w:t>
      </w:r>
      <w:r w:rsidRPr="00206B2B">
        <w:rPr>
          <w:rFonts w:ascii="Cambria Math" w:hAnsi="Cambria Math" w:cs="Cambria Math"/>
        </w:rPr>
        <w:t>‑</w:t>
      </w:r>
      <w:r w:rsidRPr="00206B2B">
        <w:t xml:space="preserve">making, with the UN and major partners emphasising its value for effective conflict prevention and mission success. At a program </w:t>
      </w:r>
      <w:r w:rsidR="00B72A65" w:rsidRPr="00206B2B">
        <w:t>level</w:t>
      </w:r>
      <w:r w:rsidRPr="00206B2B">
        <w:t>, elevating WPS from a development</w:t>
      </w:r>
      <w:r w:rsidRPr="00206B2B">
        <w:rPr>
          <w:rFonts w:ascii="Cambria Math" w:hAnsi="Cambria Math" w:cs="Cambria Math"/>
        </w:rPr>
        <w:t>‑</w:t>
      </w:r>
      <w:r w:rsidRPr="00206B2B">
        <w:t>led initiative to a whole</w:t>
      </w:r>
      <w:r w:rsidRPr="00206B2B">
        <w:rPr>
          <w:rFonts w:ascii="Cambria Math" w:hAnsi="Cambria Math" w:cs="Cambria Math"/>
        </w:rPr>
        <w:t>‑</w:t>
      </w:r>
      <w:r w:rsidRPr="00206B2B">
        <w:t>of</w:t>
      </w:r>
      <w:r w:rsidRPr="00206B2B">
        <w:rPr>
          <w:rFonts w:ascii="Cambria Math" w:hAnsi="Cambria Math" w:cs="Cambria Math"/>
        </w:rPr>
        <w:t>‑</w:t>
      </w:r>
      <w:r w:rsidRPr="00206B2B">
        <w:t>government security priority, posts can better integrate gendered intelligence, early warning, stabilisation planning, and strategic engagement ensuring Australia leverages the full utility of WPS in advancing its national</w:t>
      </w:r>
      <w:r w:rsidR="000271A7">
        <w:t> </w:t>
      </w:r>
      <w:r w:rsidRPr="00206B2B">
        <w:t>interests.</w:t>
      </w:r>
    </w:p>
    <w:p w14:paraId="740CE7AE" w14:textId="296A79EE" w:rsidR="00FD1007" w:rsidRDefault="004B657A" w:rsidP="00D43D02">
      <w:pPr>
        <w:pStyle w:val="BodyText"/>
      </w:pPr>
      <w:r w:rsidRPr="00400829">
        <w:t xml:space="preserve">Positioning WPS within the national security agenda is key to elevating its strategic importance and securing its recognition as a national priority. </w:t>
      </w:r>
      <w:r w:rsidR="00A21562" w:rsidRPr="00400829">
        <w:t>However,</w:t>
      </w:r>
      <w:r w:rsidR="00495AFF" w:rsidRPr="00400829">
        <w:t xml:space="preserve"> </w:t>
      </w:r>
      <w:r w:rsidR="008700D7" w:rsidRPr="00400829">
        <w:t xml:space="preserve">civil society </w:t>
      </w:r>
      <w:r w:rsidR="00F74CF0" w:rsidRPr="00400829">
        <w:t xml:space="preserve">cautioned about taking a securitised and militarised approach in the </w:t>
      </w:r>
      <w:r w:rsidR="004308E4" w:rsidRPr="00400829">
        <w:t>Asia-Pacific region.</w:t>
      </w:r>
      <w:r w:rsidR="00A00C0D" w:rsidRPr="00400829">
        <w:t xml:space="preserve"> F</w:t>
      </w:r>
      <w:r w:rsidR="00EB1D2F" w:rsidRPr="00400829">
        <w:t xml:space="preserve">raming WPS within a securitised context can create </w:t>
      </w:r>
      <w:r w:rsidR="0050395D" w:rsidRPr="00400829">
        <w:t xml:space="preserve">institutionalised </w:t>
      </w:r>
      <w:r w:rsidR="00EB1D2F" w:rsidRPr="00400829">
        <w:t>barriers to women’s leadership at senior levels, as it tends to channel effort toward increasing women’s participation in militarised or securit</w:t>
      </w:r>
      <w:r w:rsidR="00CD1649" w:rsidRPr="00400829">
        <w:t>ised</w:t>
      </w:r>
      <w:r w:rsidR="00EB1D2F" w:rsidRPr="00400829">
        <w:t xml:space="preserve"> institutions</w:t>
      </w:r>
      <w:r w:rsidR="00D41621" w:rsidRPr="00400829">
        <w:t>, such as increasing defence or police recruits,</w:t>
      </w:r>
      <w:r w:rsidR="00CD1649" w:rsidRPr="00400829">
        <w:t xml:space="preserve"> </w:t>
      </w:r>
      <w:r w:rsidR="00EB1D2F" w:rsidRPr="00400829">
        <w:t>where women are currently under</w:t>
      </w:r>
      <w:r w:rsidR="00EB1D2F" w:rsidRPr="00400829">
        <w:rPr>
          <w:rFonts w:ascii="Cambria Math" w:hAnsi="Cambria Math" w:cs="Cambria Math"/>
        </w:rPr>
        <w:t>‑</w:t>
      </w:r>
      <w:r w:rsidR="00EB1D2F" w:rsidRPr="00400829">
        <w:t xml:space="preserve">represented. </w:t>
      </w:r>
      <w:r w:rsidR="007869CC" w:rsidRPr="00400829">
        <w:t xml:space="preserve">Civil society </w:t>
      </w:r>
      <w:r w:rsidR="009501E3" w:rsidRPr="00400829">
        <w:t>stakeholders suggested that i</w:t>
      </w:r>
      <w:r w:rsidR="00EB1D2F" w:rsidRPr="00400829">
        <w:t>n such contexts, development</w:t>
      </w:r>
      <w:r w:rsidR="00EB1D2F" w:rsidRPr="00400829">
        <w:rPr>
          <w:rFonts w:ascii="Cambria Math" w:hAnsi="Cambria Math" w:cs="Cambria Math"/>
        </w:rPr>
        <w:t>‑</w:t>
      </w:r>
      <w:r w:rsidR="00EB1D2F" w:rsidRPr="00400829">
        <w:t>focused ministries and organisations, where women</w:t>
      </w:r>
      <w:r w:rsidR="00EB1D2F" w:rsidRPr="00400829">
        <w:rPr>
          <w:rFonts w:cs="Arial"/>
        </w:rPr>
        <w:t>’</w:t>
      </w:r>
      <w:r w:rsidR="00EB1D2F" w:rsidRPr="00400829">
        <w:t xml:space="preserve">s leadership is more established, may </w:t>
      </w:r>
      <w:r w:rsidR="00976D50" w:rsidRPr="00400829">
        <w:t>be well</w:t>
      </w:r>
      <w:r w:rsidR="00EB1D2F" w:rsidRPr="00400829">
        <w:t xml:space="preserve"> positioned to advance the full breadth of the WPS agenda in ways that align with local cultural and institutional realities.</w:t>
      </w:r>
      <w:r w:rsidR="008243F2" w:rsidRPr="00400829">
        <w:t xml:space="preserve"> </w:t>
      </w:r>
      <w:r w:rsidR="004D7875" w:rsidRPr="00400829">
        <w:t xml:space="preserve">Stakeholders emphasised that inclusive governance arrangements that prioritise women’s </w:t>
      </w:r>
      <w:r w:rsidR="00350BBB" w:rsidRPr="00400829">
        <w:t>leadership</w:t>
      </w:r>
      <w:r w:rsidR="004E54B1" w:rsidRPr="00400829">
        <w:t xml:space="preserve"> and meaningful engagement is critical to </w:t>
      </w:r>
      <w:r w:rsidR="003C538E" w:rsidRPr="00400829">
        <w:t>conflict</w:t>
      </w:r>
      <w:r w:rsidR="00F378FC">
        <w:t> </w:t>
      </w:r>
      <w:r w:rsidR="003C538E" w:rsidRPr="00400829">
        <w:t>prevention.</w:t>
      </w:r>
    </w:p>
    <w:p w14:paraId="6AD172C1" w14:textId="5C179F2F" w:rsidR="00CD2A75" w:rsidRPr="00CD2A75" w:rsidRDefault="00825711" w:rsidP="00D43D02">
      <w:pPr>
        <w:pStyle w:val="BodyText"/>
      </w:pPr>
      <w:r>
        <w:rPr>
          <w:noProof/>
        </w:rPr>
        <w:drawing>
          <wp:inline distT="0" distB="0" distL="0" distR="0" wp14:anchorId="1142C73D" wp14:editId="7129A81F">
            <wp:extent cx="6316980" cy="723900"/>
            <wp:effectExtent l="0" t="0" r="7620" b="0"/>
            <wp:docPr id="50469093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90930" name="Picture 5">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7059557" w14:textId="3F9F451D" w:rsidR="00314F5B" w:rsidRPr="00085E10" w:rsidRDefault="00314F5B" w:rsidP="00085E10">
      <w:pPr>
        <w:pStyle w:val="Heading3"/>
      </w:pPr>
      <w:r w:rsidRPr="00085E10">
        <w:t>Finding 4. Australia’s WPS architecture requires a strategic shift from a development centred model to a security integrated approach</w:t>
      </w:r>
    </w:p>
    <w:p w14:paraId="0FBD68DD" w14:textId="6AEF87A7" w:rsidR="00C716D4" w:rsidRPr="00CD2A75" w:rsidRDefault="00314F5B" w:rsidP="00CD2A75">
      <w:r w:rsidRPr="00CD2A75">
        <w:t>Consultations highlighted that WPS is still perceived internally as a development or organisational culture issue rather than part of Australia’s core foreign policy, security strategy, and geopolitical posture. Integrating WPS into a whole-of-government priority focusing on conflict prevention, cyber policy, climate security, crisis response architectures, and peacebuilding is critical to remain credible in an increasingly contested Indo Pacific. Such integration is not only essential for Australia’s credibility but also for the overall effectiveness and impact of its foreign and security policy.</w:t>
      </w:r>
    </w:p>
    <w:p w14:paraId="42F6DC35" w14:textId="5C2B3EA7" w:rsidR="008E3FC2" w:rsidRPr="00085E10" w:rsidRDefault="00C87BCB" w:rsidP="00085E10">
      <w:pPr>
        <w:pStyle w:val="Heading4"/>
      </w:pPr>
      <w:r w:rsidRPr="00085E10">
        <w:t xml:space="preserve">Areas </w:t>
      </w:r>
      <w:r w:rsidR="00191998" w:rsidRPr="00085E10">
        <w:t xml:space="preserve">for further </w:t>
      </w:r>
      <w:r w:rsidR="008E3FC2" w:rsidRPr="00085E10">
        <w:t>development</w:t>
      </w:r>
    </w:p>
    <w:p w14:paraId="70A72E09" w14:textId="4794F30D" w:rsidR="00AF7387" w:rsidRDefault="00FC0BD8" w:rsidP="000E10D9">
      <w:pPr>
        <w:pStyle w:val="BodyText"/>
      </w:pPr>
      <w:r w:rsidRPr="00206B2B">
        <w:t>Australi</w:t>
      </w:r>
      <w:r w:rsidR="00CF7917">
        <w:t>S</w:t>
      </w:r>
      <w:r w:rsidRPr="00206B2B">
        <w:t>a has also bolstered local resilience and humanitarian action through its contribution of $8 million to the Women’s Peace and Humanitarian Fund (WPHF), enabling 188 new grants supporting 293 civil society organisations</w:t>
      </w:r>
      <w:r w:rsidR="00B4014A" w:rsidRPr="00206B2B">
        <w:t>.</w:t>
      </w:r>
      <w:r w:rsidRPr="00206B2B">
        <w:t xml:space="preserve"> 89</w:t>
      </w:r>
      <w:r w:rsidR="00E10664" w:rsidRPr="00206B2B">
        <w:t xml:space="preserve"> per cent</w:t>
      </w:r>
      <w:r w:rsidRPr="00206B2B">
        <w:t xml:space="preserve"> of </w:t>
      </w:r>
      <w:r w:rsidR="00B4014A" w:rsidRPr="00206B2B">
        <w:t>these grants</w:t>
      </w:r>
      <w:r w:rsidRPr="00206B2B">
        <w:t xml:space="preserve"> operate at local and subnational levels, directly resourcing </w:t>
      </w:r>
      <w:r w:rsidR="00816827" w:rsidRPr="00206B2B">
        <w:t>women led</w:t>
      </w:r>
      <w:r w:rsidRPr="00206B2B">
        <w:t xml:space="preserve"> relief, recovery, and stabilisation efforts. Alongside these global investments, consultation feedback highlights the expanding pressures of climate impacts, digital harms, displacement, and </w:t>
      </w:r>
      <w:r w:rsidR="00816827" w:rsidRPr="00206B2B">
        <w:t>technology facilitated</w:t>
      </w:r>
      <w:r w:rsidRPr="00206B2B">
        <w:t xml:space="preserve"> </w:t>
      </w:r>
      <w:r w:rsidR="00E86DEB" w:rsidRPr="00206B2B">
        <w:t>GBV</w:t>
      </w:r>
      <w:r w:rsidRPr="00206B2B">
        <w:t xml:space="preserve"> across the Indo</w:t>
      </w:r>
      <w:r w:rsidR="00816827" w:rsidRPr="00206B2B">
        <w:t>-</w:t>
      </w:r>
      <w:r w:rsidRPr="00206B2B">
        <w:t>Pacific</w:t>
      </w:r>
      <w:r w:rsidR="00A477B7" w:rsidRPr="00206B2B">
        <w:t xml:space="preserve">. </w:t>
      </w:r>
      <w:r w:rsidRPr="00206B2B">
        <w:t xml:space="preserve">AFP, Home Affairs, Defence and ACMC all engaged in operational and </w:t>
      </w:r>
      <w:r w:rsidR="00816827" w:rsidRPr="00206B2B">
        <w:t>capacity building</w:t>
      </w:r>
      <w:r w:rsidRPr="00206B2B">
        <w:t xml:space="preserve"> initiatives that strengthen crisis response and justice outcomes on the ground. However, many of these activities remain </w:t>
      </w:r>
      <w:r w:rsidR="00816827" w:rsidRPr="00206B2B">
        <w:t>under recognised</w:t>
      </w:r>
      <w:r w:rsidRPr="00206B2B">
        <w:t xml:space="preserve"> in current NAP reporting, signalling the need for improved </w:t>
      </w:r>
      <w:r w:rsidR="00816827" w:rsidRPr="00206B2B">
        <w:t>whole</w:t>
      </w:r>
      <w:r w:rsidR="00194FDB" w:rsidRPr="00206B2B">
        <w:t>-</w:t>
      </w:r>
      <w:r w:rsidR="00816827" w:rsidRPr="00206B2B">
        <w:t>of</w:t>
      </w:r>
      <w:r w:rsidR="00194FDB" w:rsidRPr="00206B2B">
        <w:t>-</w:t>
      </w:r>
      <w:r w:rsidR="00816827" w:rsidRPr="00206B2B">
        <w:t>government</w:t>
      </w:r>
      <w:r w:rsidRPr="00206B2B">
        <w:t xml:space="preserve"> coordination and data capture to ensure Australia’s contributions to resilience, crisis response, and </w:t>
      </w:r>
      <w:r w:rsidR="00816827" w:rsidRPr="00206B2B">
        <w:t>gender responsive</w:t>
      </w:r>
      <w:r w:rsidRPr="00206B2B">
        <w:t xml:space="preserve"> justice systems are fully reflected and leveraged in future planning.</w:t>
      </w:r>
      <w:r w:rsidR="000E10D9" w:rsidRPr="00206B2B">
        <w:t xml:space="preserve"> </w:t>
      </w:r>
      <w:r w:rsidR="00AF7387">
        <w:br w:type="page"/>
      </w:r>
    </w:p>
    <w:p w14:paraId="3584DB8B" w14:textId="6D87E408" w:rsidR="00CD2A75" w:rsidRPr="00206B2B" w:rsidRDefault="00825711" w:rsidP="000E10D9">
      <w:pPr>
        <w:pStyle w:val="BodyText"/>
      </w:pPr>
      <w:r>
        <w:rPr>
          <w:bCs/>
          <w:noProof/>
        </w:rPr>
        <w:lastRenderedPageBreak/>
        <w:drawing>
          <wp:inline distT="0" distB="0" distL="0" distR="0" wp14:anchorId="1143EE9C" wp14:editId="7E86A538">
            <wp:extent cx="6316980" cy="723900"/>
            <wp:effectExtent l="0" t="0" r="7620" b="0"/>
            <wp:docPr id="82437076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70761" name="Picture 6">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705A560" w14:textId="020F73B3" w:rsidR="00314F5B" w:rsidRPr="00085E10" w:rsidRDefault="00314F5B" w:rsidP="00085E10">
      <w:pPr>
        <w:pStyle w:val="Heading3"/>
      </w:pPr>
      <w:r w:rsidRPr="00085E10">
        <w:t>Finding 5. Climate, regional and national security, cyber harms, and mis- and disinformation have become major WPS challenges but are not fully integrated into NAP implementation</w:t>
      </w:r>
    </w:p>
    <w:p w14:paraId="3C855B7E" w14:textId="3A07B18C" w:rsidR="009E7024" w:rsidRPr="00AC5D75" w:rsidRDefault="00314F5B" w:rsidP="00314F5B">
      <w:r w:rsidRPr="00314F5B">
        <w:t>Stakeholders consistently identified climate change, displacement, gendered online harms, and mis- and disinformation as escalating threats to women’s participation, safety, and cohesion. These crosscutting issues are central to regional and national security but insufficiently embedded in current WPS programming, governance, and indicators.</w:t>
      </w:r>
      <w:r w:rsidR="009E7024" w:rsidRPr="00206B2B">
        <w:br w:type="page"/>
      </w:r>
    </w:p>
    <w:p w14:paraId="12E130D5" w14:textId="25D64424" w:rsidR="009C5CE5" w:rsidRPr="00206B2B" w:rsidRDefault="00816827" w:rsidP="00944D24">
      <w:pPr>
        <w:pStyle w:val="Heading2"/>
      </w:pPr>
      <w:r w:rsidRPr="00206B2B">
        <w:lastRenderedPageBreak/>
        <w:t xml:space="preserve">Outcome 4: </w:t>
      </w:r>
      <w:r w:rsidR="009C5CE5" w:rsidRPr="00206B2B">
        <w:t>Demonstrating Leadership and Accountability for WPS</w:t>
      </w:r>
    </w:p>
    <w:p w14:paraId="40DC0425" w14:textId="140F4644" w:rsidR="004F5B2A" w:rsidRDefault="009C5CE5" w:rsidP="006979E2">
      <w:pPr>
        <w:pStyle w:val="BodyText"/>
      </w:pPr>
      <w:r w:rsidRPr="00206B2B">
        <w:t>Australia commits to global leadership on WPS and ensuring a results-driven approach. This includes strengthening partnerships with civil society, enhancing evidence-based programming, and reinforcing whole-of-government responsibility.</w:t>
      </w:r>
    </w:p>
    <w:p w14:paraId="4E05505B" w14:textId="2800CFB4" w:rsidR="009C1932" w:rsidRPr="00206B2B" w:rsidRDefault="009C1932" w:rsidP="009C1932">
      <w:pPr>
        <w:pStyle w:val="Heading3blue"/>
      </w:pPr>
      <w:r w:rsidRPr="00206B2B">
        <w:t>Snapshot summary highlighting progress towards medium term objectives</w:t>
      </w:r>
    </w:p>
    <w:p w14:paraId="3CE8815C" w14:textId="77777777" w:rsidR="009C1932" w:rsidRPr="00206B2B" w:rsidRDefault="009C1932" w:rsidP="009C1932">
      <w:pPr>
        <w:pStyle w:val="Normal-blue"/>
      </w:pPr>
      <w:r w:rsidRPr="00206B2B">
        <w:t>4.1 The Australian Government demonstrates commitment to, and leadership of, the WPS agenda.</w:t>
      </w:r>
    </w:p>
    <w:p w14:paraId="3EB77925" w14:textId="77777777" w:rsidR="009C1932" w:rsidRPr="00206B2B" w:rsidRDefault="009C1932" w:rsidP="009C1932">
      <w:pPr>
        <w:pStyle w:val="Listbulletblue"/>
      </w:pPr>
      <w:r w:rsidRPr="00206B2B">
        <w:t>In 2024, the Foreign Minister, together with her Canadian, Dutch and German counterparts, announced a joint legal initiative to hold Afghanistan to account for violations of the CEDAW.</w:t>
      </w:r>
    </w:p>
    <w:p w14:paraId="1FAF484D" w14:textId="22EA91A7" w:rsidR="009C1932" w:rsidRPr="00206B2B" w:rsidRDefault="009C1932" w:rsidP="009C1932">
      <w:pPr>
        <w:pStyle w:val="Listbulletblue"/>
      </w:pPr>
      <w:r w:rsidRPr="00206B2B">
        <w:t>DFAT supported the Australian Civil Society Coalition on WPS to convene 60 civil society leaders from 18 countries across the Asia-Pacific region to review progress on the WPS agenda from the past 25 years. Insights from this Regional Convening formed a set of key recommendations for how national governments can better advance the WPS agenda.</w:t>
      </w:r>
      <w:r w:rsidRPr="00206B2B">
        <w:rPr>
          <w:vertAlign w:val="superscript"/>
        </w:rPr>
        <w:t xml:space="preserve">49 </w:t>
      </w:r>
    </w:p>
    <w:p w14:paraId="22756CDE" w14:textId="77777777" w:rsidR="009C1932" w:rsidRPr="00206B2B" w:rsidRDefault="009C1932" w:rsidP="009C1932">
      <w:pPr>
        <w:pStyle w:val="Normal-blue"/>
      </w:pPr>
      <w:r w:rsidRPr="00206B2B">
        <w:t>4.2 The Australian Government demonstrates effective accountability for its WPS efforts.</w:t>
      </w:r>
    </w:p>
    <w:p w14:paraId="0DDE51A6" w14:textId="77777777" w:rsidR="009C1932" w:rsidRPr="00206B2B" w:rsidRDefault="009C1932" w:rsidP="009C1932">
      <w:pPr>
        <w:pStyle w:val="Listbulletblue"/>
      </w:pPr>
      <w:r w:rsidRPr="00206B2B">
        <w:t>The ACMC holds an annual Government – Civil Society Dialogue to discuss the WPS agenda and progress against the NAP. 120 people attended (30 per cent Government and 70 per cent civil society) and discussed emerging issues such as climate change and queer-inclusive WPS approaches. However, it is unclear how the dialogue practically advances WPS policy or progresses NAP implementation.</w:t>
      </w:r>
    </w:p>
    <w:p w14:paraId="24EF0E58" w14:textId="77777777" w:rsidR="009C1932" w:rsidRPr="00206B2B" w:rsidRDefault="009C1932" w:rsidP="009C1932">
      <w:pPr>
        <w:pStyle w:val="Listbulletblue"/>
      </w:pPr>
      <w:r w:rsidRPr="00206B2B">
        <w:t>Defence established a biannual Gender, Peace and Security (GPS) Steering Group in 2024. Defence also conducted an internal audit to assess progress of implementation against the NAP.</w:t>
      </w:r>
    </w:p>
    <w:p w14:paraId="020612ED" w14:textId="77777777" w:rsidR="009C1932" w:rsidRPr="00400829" w:rsidRDefault="009C1932" w:rsidP="009C1932">
      <w:pPr>
        <w:pStyle w:val="Listbulletblue"/>
      </w:pPr>
      <w:r w:rsidRPr="00400829">
        <w:t>Home Affairs is working towards the delivery of a new Home Affairs Implementation Plan for 2025-2027, conducting widespread consultation and awareness raising across the department to drive diverse business areas’ knowledge of and engagement with the WPS agenda.</w:t>
      </w:r>
    </w:p>
    <w:p w14:paraId="3E10B01E" w14:textId="77777777" w:rsidR="009C1932" w:rsidRPr="00206B2B" w:rsidRDefault="009C1932" w:rsidP="009C1932">
      <w:pPr>
        <w:pStyle w:val="Normal-blue"/>
      </w:pPr>
      <w:r w:rsidRPr="00206B2B">
        <w:t>4.3 Australia’s efforts to support the WPS agenda are harmonised</w:t>
      </w:r>
    </w:p>
    <w:p w14:paraId="21413436" w14:textId="77777777" w:rsidR="009C1932" w:rsidRPr="00206B2B" w:rsidRDefault="009C1932" w:rsidP="009C1932">
      <w:pPr>
        <w:pStyle w:val="Listbulletblue"/>
      </w:pPr>
      <w:r w:rsidRPr="00206B2B">
        <w:t>Defence continues to work towards the inclusion of GENADs, GFPs and a gender balance in the deployed force composition on operations, exercises and planning groups.</w:t>
      </w:r>
    </w:p>
    <w:p w14:paraId="730927A7" w14:textId="542CB034" w:rsidR="009C1932" w:rsidRDefault="00D33906" w:rsidP="00EF2995">
      <w:pPr>
        <w:pStyle w:val="BodyText"/>
      </w:pPr>
      <w:r w:rsidRPr="00206B2B">
        <w:t>Australia’s leadership and accountability for the WPS agenda is recognised across partners, but consultations highlight the need for a more coherent, system</w:t>
      </w:r>
      <w:r w:rsidR="00852E44" w:rsidRPr="00206B2B">
        <w:t>-</w:t>
      </w:r>
      <w:r w:rsidRPr="00206B2B">
        <w:t>wide approach to sustain and strengthen this role. Agencies described Australia as a trusted and principled actor, particularly in the Pacific and Southeast Asia, valued for its longstanding support to women peacebuilders, mediation networks, and civil society, and for investing in mechanisms such as the WPS Coalition dialogues, P</w:t>
      </w:r>
      <w:r w:rsidR="00CF4EED" w:rsidRPr="00206B2B">
        <w:t>WMN</w:t>
      </w:r>
      <w:r w:rsidRPr="00206B2B">
        <w:t>, and global gender justice initiatives</w:t>
      </w:r>
      <w:r w:rsidRPr="009E5AE5">
        <w:t>.</w:t>
      </w:r>
      <w:r w:rsidR="009E5AE5" w:rsidRPr="009E5AE5">
        <w:t xml:space="preserve"> </w:t>
      </w:r>
      <w:r w:rsidR="00B252C5">
        <w:t>Notably, s</w:t>
      </w:r>
      <w:r w:rsidR="009E5AE5" w:rsidRPr="0057309E">
        <w:t xml:space="preserve">takeholders acknowledged the critical role that WPS engagement plays in supporting security relationships around the globe, with WPS often recognised as a trusted entry point for collaboration or discussions regarding broader security strategy. </w:t>
      </w:r>
      <w:r w:rsidR="00C35055">
        <w:t>This was</w:t>
      </w:r>
      <w:r w:rsidR="00B46DA1">
        <w:t xml:space="preserve"> identified </w:t>
      </w:r>
      <w:r w:rsidR="00C35055">
        <w:t>as an unintended benefit of WPS</w:t>
      </w:r>
      <w:r w:rsidR="00F97CC6">
        <w:t>.</w:t>
      </w:r>
      <w:r w:rsidR="005414F1">
        <w:t xml:space="preserve"> </w:t>
      </w:r>
      <w:r w:rsidRPr="009E5AE5">
        <w:t>Yet partners also noted growing expectations of Australia to lead by example, including by addressing policy coherence gaps, strengthening</w:t>
      </w:r>
      <w:r w:rsidRPr="00206B2B">
        <w:t xml:space="preserve"> whole</w:t>
      </w:r>
      <w:r w:rsidR="00194FDB" w:rsidRPr="00206B2B">
        <w:t>-</w:t>
      </w:r>
      <w:r w:rsidRPr="00206B2B">
        <w:t>of</w:t>
      </w:r>
      <w:r w:rsidR="00194FDB" w:rsidRPr="00206B2B">
        <w:t>-</w:t>
      </w:r>
      <w:r w:rsidRPr="00206B2B">
        <w:t>government coordination, and ensuring domestic and international commitments align, especially in areas such as climate security, digital harms, civic</w:t>
      </w:r>
      <w:r w:rsidR="0017339B" w:rsidRPr="00206B2B">
        <w:t xml:space="preserve"> </w:t>
      </w:r>
      <w:r w:rsidRPr="00206B2B">
        <w:t>space protection, and responses to global anti</w:t>
      </w:r>
      <w:r w:rsidR="0017339B" w:rsidRPr="00206B2B">
        <w:t>-</w:t>
      </w:r>
      <w:r w:rsidRPr="00206B2B">
        <w:t xml:space="preserve">gender movements. </w:t>
      </w:r>
      <w:r w:rsidR="009C1932">
        <w:br w:type="page"/>
      </w:r>
    </w:p>
    <w:p w14:paraId="5140EEBC" w14:textId="1D3AC7A1" w:rsidR="000A16AC" w:rsidRPr="00206B2B" w:rsidRDefault="00D33906" w:rsidP="00EF2995">
      <w:pPr>
        <w:pStyle w:val="BodyText"/>
      </w:pPr>
      <w:r w:rsidRPr="00206B2B">
        <w:lastRenderedPageBreak/>
        <w:t>Civil society emphasised that leadership requires consistent, meaningful engagement rather than transactional interactions, and that government must actively integrate diverse voices, including First Nations women, diaspora communities, youth, LGBTQIA+ groups, and women from conflict</w:t>
      </w:r>
      <w:r w:rsidR="0017339B" w:rsidRPr="00206B2B">
        <w:t xml:space="preserve"> </w:t>
      </w:r>
      <w:r w:rsidRPr="00206B2B">
        <w:t>affected regions, into policy design and decision</w:t>
      </w:r>
      <w:r w:rsidR="0017339B" w:rsidRPr="00206B2B">
        <w:t xml:space="preserve"> </w:t>
      </w:r>
      <w:r w:rsidRPr="00206B2B">
        <w:t xml:space="preserve">making. </w:t>
      </w:r>
    </w:p>
    <w:p w14:paraId="0647EECC" w14:textId="7226B028" w:rsidR="00EF2995" w:rsidRPr="00206B2B" w:rsidRDefault="00D33906" w:rsidP="00EF2995">
      <w:pPr>
        <w:pStyle w:val="BodyText"/>
      </w:pPr>
      <w:r w:rsidRPr="00206B2B">
        <w:t>Accountability was also seen as needing reinforcement through clearer governance structures, better reporting across agencies, and a stronger feedback loop between Government and civil society</w:t>
      </w:r>
      <w:r w:rsidR="008342B8" w:rsidRPr="00206B2B">
        <w:t>.</w:t>
      </w:r>
      <w:r w:rsidRPr="00206B2B">
        <w:t xml:space="preserve"> Collectively, the consultations point to an opportunity for Australia to reassert global WPS leadership through principled diplomacy, predictable resourcing, and more inclusive, transparent mechanisms that reflect the complexity and evolving nature of peace and security challenges.</w:t>
      </w:r>
    </w:p>
    <w:p w14:paraId="1669E8B8" w14:textId="1BE27B27" w:rsidR="00393D9A" w:rsidRPr="00393D9A" w:rsidRDefault="00393D9A" w:rsidP="00393D9A">
      <w:pPr>
        <w:pStyle w:val="Normal-casestudy"/>
        <w:rPr>
          <w:rStyle w:val="Strong"/>
        </w:rPr>
      </w:pPr>
      <w:r w:rsidRPr="00393D9A">
        <w:rPr>
          <w:rStyle w:val="Strong"/>
        </w:rPr>
        <w:t>Case Study: UN Women Gen-Forum enhances intergenerational peacebuilding</w:t>
      </w:r>
    </w:p>
    <w:p w14:paraId="78119CA1" w14:textId="77777777" w:rsidR="00393D9A" w:rsidRPr="00400829" w:rsidRDefault="00393D9A" w:rsidP="00393D9A">
      <w:pPr>
        <w:pStyle w:val="Normal-casestudy"/>
        <w:rPr>
          <w:rFonts w:asciiTheme="minorHAnsi" w:hAnsiTheme="minorHAnsi" w:cstheme="minorHAnsi"/>
        </w:rPr>
      </w:pPr>
      <w:r w:rsidRPr="00400829">
        <w:rPr>
          <w:rFonts w:asciiTheme="minorHAnsi" w:hAnsiTheme="minorHAnsi" w:cstheme="minorHAnsi"/>
        </w:rPr>
        <w:t>One example of Australia’s recent efforts to strengthen its engagement with diverse voices in the WPS agenda is the development of the Gen</w:t>
      </w:r>
      <w:r w:rsidRPr="00400829">
        <w:rPr>
          <w:rFonts w:ascii="Cambria Math" w:hAnsi="Cambria Math" w:cs="Cambria Math"/>
        </w:rPr>
        <w:t>‑</w:t>
      </w:r>
      <w:r w:rsidRPr="00400829">
        <w:rPr>
          <w:rFonts w:asciiTheme="minorHAnsi" w:hAnsiTheme="minorHAnsi" w:cstheme="minorHAnsi"/>
        </w:rPr>
        <w:t>Forum.</w:t>
      </w:r>
    </w:p>
    <w:p w14:paraId="56B2B8C2" w14:textId="77777777" w:rsidR="00393D9A" w:rsidRPr="00400829" w:rsidRDefault="00393D9A" w:rsidP="00393D9A">
      <w:pPr>
        <w:pStyle w:val="Normal-casestudy"/>
        <w:rPr>
          <w:rFonts w:asciiTheme="minorHAnsi" w:hAnsiTheme="minorHAnsi" w:cstheme="minorHAnsi"/>
        </w:rPr>
      </w:pPr>
      <w:r w:rsidRPr="00400829">
        <w:rPr>
          <w:rFonts w:asciiTheme="minorHAnsi" w:hAnsiTheme="minorHAnsi" w:cstheme="minorHAnsi"/>
        </w:rPr>
        <w:t>Organised by UN Women in partnership with the Australian Government, the Gen-Forum 2024-26 brought together 53 young peace advocates from over 20 countries across Asia and the Pacific to examine regional peace and security challenges</w:t>
      </w:r>
      <w:r w:rsidRPr="00400829" w:rsidDel="00665B40">
        <w:rPr>
          <w:rFonts w:asciiTheme="minorHAnsi" w:hAnsiTheme="minorHAnsi" w:cstheme="minorHAnsi"/>
        </w:rPr>
        <w:t xml:space="preserve">. </w:t>
      </w:r>
      <w:r w:rsidRPr="00400829">
        <w:rPr>
          <w:rFonts w:asciiTheme="minorHAnsi" w:hAnsiTheme="minorHAnsi" w:cstheme="minorHAnsi"/>
        </w:rPr>
        <w:t>Participants were aged 18 to 35 and included Indigenous women, persons with disabilities, and LGBTQIA+ people. The Gen-Forum presented an opportunity to address rising youth disenfranchisement by integrating young women’s leadership and intergenerational collaboration.10 participants from the 2024 cohort continued their peacebuilder development by returning as mentors to the 2025-26 cohort.</w:t>
      </w:r>
    </w:p>
    <w:p w14:paraId="2166D673" w14:textId="77777777" w:rsidR="00393D9A" w:rsidRPr="00206B2B" w:rsidRDefault="00393D9A" w:rsidP="00393D9A">
      <w:pPr>
        <w:pStyle w:val="Normal-casestudy"/>
      </w:pPr>
      <w:r w:rsidRPr="00400829">
        <w:rPr>
          <w:rFonts w:asciiTheme="minorHAnsi" w:hAnsiTheme="minorHAnsi" w:cstheme="minorHAnsi"/>
        </w:rPr>
        <w:t>The Gen-Forum collaboratively developed six recommendations to support the realisation of the WPS agenda in the Asia Pacific, designed to be acted upon by government and civil society organisations. While the recommendations generated through this process align closely with many ongoing and emerging WPS initiatives in the region, there is currently no feedback loop between policy makers and the Gen-Forum.</w:t>
      </w:r>
    </w:p>
    <w:p w14:paraId="5359DB8F" w14:textId="422D06D4" w:rsidR="0016569D" w:rsidRPr="00393D9A" w:rsidRDefault="00F52DAC" w:rsidP="00B636F8">
      <w:pPr>
        <w:pStyle w:val="Heading4"/>
      </w:pPr>
      <w:r w:rsidRPr="00393D9A">
        <w:t>Areas for further development</w:t>
      </w:r>
    </w:p>
    <w:p w14:paraId="37ADC13E" w14:textId="06C6B034" w:rsidR="00521B70" w:rsidRDefault="00D12B3F" w:rsidP="005F09EF">
      <w:pPr>
        <w:pStyle w:val="BodyText"/>
      </w:pPr>
      <w:r w:rsidRPr="00206B2B">
        <w:t xml:space="preserve">Australia’s leadership and accountability for the WPS agenda requires a more integrated, </w:t>
      </w:r>
      <w:r w:rsidR="009C642D" w:rsidRPr="00206B2B">
        <w:t>whole</w:t>
      </w:r>
      <w:r w:rsidR="00194FDB" w:rsidRPr="00206B2B">
        <w:t>-</w:t>
      </w:r>
      <w:r w:rsidR="009C642D" w:rsidRPr="00206B2B">
        <w:t>of</w:t>
      </w:r>
      <w:r w:rsidR="00194FDB" w:rsidRPr="00206B2B">
        <w:t>-</w:t>
      </w:r>
      <w:r w:rsidR="009C642D" w:rsidRPr="00206B2B">
        <w:t>government</w:t>
      </w:r>
      <w:r w:rsidRPr="00206B2B">
        <w:t xml:space="preserve"> approach, and consultations highlighted that several critical domestic agencies and operational arms remain absent from WPS governance structures. Key APS agencies such as the</w:t>
      </w:r>
      <w:r w:rsidR="00A14B48" w:rsidRPr="00206B2B">
        <w:t xml:space="preserve"> </w:t>
      </w:r>
      <w:r w:rsidRPr="00206B2B">
        <w:t xml:space="preserve">OFW, NEMA, </w:t>
      </w:r>
      <w:r w:rsidR="00CA305A" w:rsidRPr="00206B2B">
        <w:t xml:space="preserve">DCCEEW, </w:t>
      </w:r>
      <w:r w:rsidRPr="00206B2B">
        <w:t>the e</w:t>
      </w:r>
      <w:r w:rsidR="000E10D9" w:rsidRPr="00206B2B">
        <w:t>-</w:t>
      </w:r>
      <w:r w:rsidRPr="00206B2B">
        <w:t xml:space="preserve">Safety Commissioner, </w:t>
      </w:r>
      <w:r w:rsidR="00656DE7" w:rsidRPr="00206B2B">
        <w:t>Attorney General’s Department (</w:t>
      </w:r>
      <w:r w:rsidRPr="00206B2B">
        <w:t>AGD</w:t>
      </w:r>
      <w:r w:rsidR="00656DE7" w:rsidRPr="00206B2B">
        <w:t>)</w:t>
      </w:r>
      <w:r w:rsidRPr="00206B2B">
        <w:t xml:space="preserve">, and cyber and intelligence agencies are not consistently engaged in </w:t>
      </w:r>
      <w:r w:rsidR="00F43832">
        <w:t>WPS governance or advisory</w:t>
      </w:r>
      <w:r w:rsidRPr="00206B2B">
        <w:t xml:space="preserve">, despite their central roles in addressing gendered impacts of disasters, cyber harms, </w:t>
      </w:r>
      <w:r w:rsidR="0024482D" w:rsidRPr="00206B2B">
        <w:t xml:space="preserve">climate change, </w:t>
      </w:r>
      <w:r w:rsidRPr="00206B2B">
        <w:t>mis</w:t>
      </w:r>
      <w:r w:rsidR="009B4C35" w:rsidRPr="00206B2B">
        <w:t>-</w:t>
      </w:r>
      <w:r w:rsidRPr="00206B2B">
        <w:t xml:space="preserve"> and dis</w:t>
      </w:r>
      <w:r w:rsidR="009B4C35" w:rsidRPr="00206B2B">
        <w:t>-</w:t>
      </w:r>
      <w:r w:rsidRPr="00206B2B">
        <w:t xml:space="preserve">information, and domestic security threats. </w:t>
      </w:r>
      <w:r w:rsidR="00E1452A">
        <w:t xml:space="preserve">While IDC membership may be one mechanism for engaging some of these agencies, there is an opportunity to consider additional mechanisms to ensure they are able to contribute to the WPS agenda and inform WPS policy. </w:t>
      </w:r>
      <w:r w:rsidR="004117E9" w:rsidRPr="004117E9">
        <w:t>Research and information</w:t>
      </w:r>
      <w:r w:rsidR="004117E9" w:rsidRPr="004117E9">
        <w:noBreakHyphen/>
        <w:t>sharing between the Office for Women and DFAT is working well, providing a reliable and effective channel for cross</w:t>
      </w:r>
      <w:r w:rsidR="004117E9" w:rsidRPr="004117E9">
        <w:noBreakHyphen/>
        <w:t>government evidence, analysis and policy insights. As the WPS function transitions to a security</w:t>
      </w:r>
      <w:r w:rsidR="004117E9" w:rsidRPr="004117E9">
        <w:noBreakHyphen/>
        <w:t>focused area within DFAT, it will be important that these mechanisms remain in place and are deliberately built upon, ensuring continuity of collaboration, preservation of existing knowledge flows, and strengthened cross</w:t>
      </w:r>
      <w:r w:rsidR="004117E9" w:rsidRPr="004117E9">
        <w:noBreakHyphen/>
        <w:t>government research capability</w:t>
      </w:r>
      <w:r w:rsidR="003B0CE1">
        <w:t>.</w:t>
      </w:r>
      <w:r w:rsidR="00521B70">
        <w:br w:type="page"/>
      </w:r>
    </w:p>
    <w:p w14:paraId="455E850A" w14:textId="7AFD9356" w:rsidR="00DA7AA8" w:rsidRPr="00206B2B" w:rsidRDefault="00D12B3F" w:rsidP="005F09EF">
      <w:pPr>
        <w:pStyle w:val="BodyText"/>
      </w:pPr>
      <w:r w:rsidRPr="00206B2B">
        <w:lastRenderedPageBreak/>
        <w:t xml:space="preserve">Partners also stressed that operational and tactical parts of agencies, including those working directly in policing, crisis response, cyber operations, frontline disaster management, and international deployments, are missing from coordination mechanisms, creating a disconnect between </w:t>
      </w:r>
      <w:r w:rsidR="009C642D" w:rsidRPr="00206B2B">
        <w:t>high-level</w:t>
      </w:r>
      <w:r w:rsidRPr="00206B2B">
        <w:t xml:space="preserve"> policy and </w:t>
      </w:r>
      <w:r w:rsidR="009C642D" w:rsidRPr="00206B2B">
        <w:t>ground-level</w:t>
      </w:r>
      <w:r w:rsidRPr="00206B2B">
        <w:t xml:space="preserve"> realities. Strengthening leadership and accountability is therefore essential not only for domestic policy coherence, but because rising geopolitical tension in the region is amplifying gendered risks, including cyber</w:t>
      </w:r>
      <w:r w:rsidR="009C642D" w:rsidRPr="00206B2B">
        <w:t>-</w:t>
      </w:r>
      <w:r w:rsidRPr="00206B2B">
        <w:t>enabled harassment, shrinking civic space, and heightened demand on crisis response systems. Ensuring these identified agencies and operational arms of government are at the table would reinforce Australia’s ability to respond credibly, cohesively, and strategically to the evolving security landscape, demonstrating genuine WPS leadership at a moment when it is increasingly</w:t>
      </w:r>
      <w:r w:rsidR="00393D9A">
        <w:t> </w:t>
      </w:r>
      <w:r w:rsidRPr="00206B2B">
        <w:t>needed.</w:t>
      </w:r>
    </w:p>
    <w:p w14:paraId="43E730DB" w14:textId="3E414FE3" w:rsidR="00320520" w:rsidRPr="00206B2B" w:rsidRDefault="00823096" w:rsidP="006979E2">
      <w:pPr>
        <w:pStyle w:val="BodyText"/>
      </w:pPr>
      <w:r w:rsidRPr="00206B2B">
        <w:t xml:space="preserve">Consultations with </w:t>
      </w:r>
      <w:r w:rsidR="00273C26" w:rsidRPr="00206B2B">
        <w:t>p</w:t>
      </w:r>
      <w:r w:rsidRPr="00206B2B">
        <w:t>osts indicated that several Australian overseas missions outside the Indo</w:t>
      </w:r>
      <w:r w:rsidRPr="00206B2B">
        <w:rPr>
          <w:rFonts w:ascii="Cambria Math" w:hAnsi="Cambria Math" w:cs="Cambria Math"/>
        </w:rPr>
        <w:t>‑</w:t>
      </w:r>
      <w:r w:rsidRPr="00206B2B">
        <w:t>Pacific are actively advancing WPS implementation, particularly in post</w:t>
      </w:r>
      <w:r w:rsidRPr="00206B2B">
        <w:rPr>
          <w:rFonts w:ascii="Cambria Math" w:hAnsi="Cambria Math" w:cs="Cambria Math"/>
        </w:rPr>
        <w:t>‑</w:t>
      </w:r>
      <w:r w:rsidRPr="00206B2B">
        <w:t>conflict settings. However, much of this work sits outside existing reporting frameworks and is therefore not captured or recognised at the departmental level. Posts noted that strengthened feedback mechanisms into DFAT, along with improved coordination</w:t>
      </w:r>
      <w:r w:rsidRPr="00206B2B">
        <w:rPr>
          <w:rFonts w:cs="Arial"/>
        </w:rPr>
        <w:t xml:space="preserve">, </w:t>
      </w:r>
      <w:r w:rsidRPr="00206B2B">
        <w:t>such as through communities of practice or regular cross</w:t>
      </w:r>
      <w:r w:rsidRPr="00206B2B">
        <w:rPr>
          <w:rFonts w:ascii="Cambria Math" w:hAnsi="Cambria Math" w:cs="Cambria Math"/>
        </w:rPr>
        <w:t>‑</w:t>
      </w:r>
      <w:r w:rsidR="002F7B58" w:rsidRPr="00206B2B">
        <w:t>p</w:t>
      </w:r>
      <w:r w:rsidRPr="00206B2B">
        <w:t>ost engagement</w:t>
      </w:r>
      <w:r w:rsidRPr="00206B2B">
        <w:rPr>
          <w:rFonts w:cs="Arial"/>
        </w:rPr>
        <w:t xml:space="preserve">, </w:t>
      </w:r>
      <w:r w:rsidRPr="00206B2B">
        <w:t>would support greater collaboration, visibility, and knowledge</w:t>
      </w:r>
      <w:r w:rsidRPr="00206B2B">
        <w:rPr>
          <w:rFonts w:ascii="Cambria Math" w:hAnsi="Cambria Math" w:cs="Cambria Math"/>
        </w:rPr>
        <w:t>‑</w:t>
      </w:r>
      <w:r w:rsidRPr="00206B2B">
        <w:t>sharing among staff contributing to WPS implementation.</w:t>
      </w:r>
      <w:r w:rsidR="002163DD" w:rsidRPr="00206B2B">
        <w:t xml:space="preserve"> Other suggestions from Post</w:t>
      </w:r>
      <w:r w:rsidR="002709BC">
        <w:t>s</w:t>
      </w:r>
      <w:r w:rsidR="002163DD" w:rsidRPr="00206B2B">
        <w:t xml:space="preserve"> included </w:t>
      </w:r>
      <w:r w:rsidR="00801D7D" w:rsidRPr="00206B2B">
        <w:t xml:space="preserve">making WPS a </w:t>
      </w:r>
      <w:r w:rsidR="00032BE0" w:rsidRPr="00206B2B">
        <w:t>priority</w:t>
      </w:r>
      <w:r w:rsidR="00801D7D" w:rsidRPr="00206B2B">
        <w:t xml:space="preserve"> for all overseas missions</w:t>
      </w:r>
      <w:r w:rsidR="00032BE0" w:rsidRPr="00206B2B">
        <w:t>;</w:t>
      </w:r>
      <w:r w:rsidR="00222AA0" w:rsidRPr="00206B2B">
        <w:t xml:space="preserve"> having committed, even if limited, resources</w:t>
      </w:r>
      <w:r w:rsidR="00AF7476" w:rsidRPr="00206B2B">
        <w:t xml:space="preserve"> and funding to </w:t>
      </w:r>
      <w:r w:rsidR="0080270F" w:rsidRPr="00206B2B">
        <w:t>ensure there is</w:t>
      </w:r>
      <w:r w:rsidR="00032BE0" w:rsidRPr="00206B2B">
        <w:t xml:space="preserve"> </w:t>
      </w:r>
      <w:r w:rsidR="004832CB" w:rsidRPr="00206B2B">
        <w:t xml:space="preserve">consistent and ongoing </w:t>
      </w:r>
      <w:r w:rsidR="00032BE0" w:rsidRPr="00206B2B">
        <w:t>WPS initiatives with local actors and civil society</w:t>
      </w:r>
      <w:r w:rsidR="004832CB" w:rsidRPr="00206B2B">
        <w:t xml:space="preserve">; and </w:t>
      </w:r>
      <w:r w:rsidR="00BE7A28" w:rsidRPr="00206B2B">
        <w:t>leveraging existing local</w:t>
      </w:r>
      <w:r w:rsidR="003548BD" w:rsidRPr="00206B2B">
        <w:t xml:space="preserve"> and international partners in</w:t>
      </w:r>
      <w:r w:rsidR="00393D9A">
        <w:t> </w:t>
      </w:r>
      <w:r w:rsidR="003548BD" w:rsidRPr="00206B2B">
        <w:t>country</w:t>
      </w:r>
      <w:r w:rsidR="005B5B1C" w:rsidRPr="00206B2B">
        <w:t>.</w:t>
      </w:r>
      <w:r w:rsidR="00032BE0" w:rsidRPr="00206B2B">
        <w:t xml:space="preserve"> </w:t>
      </w:r>
      <w:r w:rsidR="00057622" w:rsidRPr="00206B2B">
        <w:t xml:space="preserve"> </w:t>
      </w:r>
    </w:p>
    <w:p w14:paraId="103D4504" w14:textId="6652CB8D" w:rsidR="00115F70" w:rsidRPr="00206B2B" w:rsidRDefault="003F6737" w:rsidP="006979E2">
      <w:pPr>
        <w:pStyle w:val="BodyText"/>
      </w:pPr>
      <w:r w:rsidRPr="00206B2B">
        <w:t xml:space="preserve">There are significant opportunities for Australia to deepen its engagement with </w:t>
      </w:r>
      <w:r w:rsidR="00762D74" w:rsidRPr="00206B2B">
        <w:t>the North Atlantic Treaty Organisation (NATO)</w:t>
      </w:r>
      <w:r w:rsidRPr="00206B2B">
        <w:t xml:space="preserve"> and the European Union on WPS, which would reinforce Australia’s international leadership and demonstrate sustained commitment at a time when the global WPS agenda is under increasing pressure. Europea</w:t>
      </w:r>
      <w:r w:rsidR="00A75D84" w:rsidRPr="00206B2B">
        <w:t>n posts</w:t>
      </w:r>
      <w:r w:rsidRPr="00206B2B">
        <w:t xml:space="preserve"> noted that Australia and other like</w:t>
      </w:r>
      <w:r w:rsidRPr="00206B2B">
        <w:noBreakHyphen/>
        <w:t>minded partners have space to step up their leadership, including by strengthening connections between the Euro</w:t>
      </w:r>
      <w:r w:rsidRPr="00206B2B">
        <w:noBreakHyphen/>
        <w:t>Atlantic and Indo</w:t>
      </w:r>
      <w:r w:rsidRPr="00206B2B">
        <w:noBreakHyphen/>
        <w:t>Pacific regions through mechanisms such as NATO’s Indo</w:t>
      </w:r>
      <w:r w:rsidRPr="00206B2B">
        <w:noBreakHyphen/>
        <w:t>Pacific Four (ROK, Japan, New Zealand and Australia), all of which are strong supporters of WPS. Potential avenues for enhanced engagement range from low</w:t>
      </w:r>
      <w:r w:rsidRPr="00206B2B">
        <w:noBreakHyphen/>
        <w:t>intensity to more resource</w:t>
      </w:r>
      <w:r w:rsidRPr="00206B2B">
        <w:noBreakHyphen/>
        <w:t>intensive options, including continued Australian representation on NATO’s Civil Society Advisory Panel</w:t>
      </w:r>
      <w:r w:rsidR="00BA6D26" w:rsidRPr="00206B2B">
        <w:t xml:space="preserve"> and attendance at other critical European forums and civil society events</w:t>
      </w:r>
      <w:r w:rsidRPr="00206B2B">
        <w:t xml:space="preserve">; incorporating WPS messaging into existing dialogues, interventions, and speaking opportunities; coordinating </w:t>
      </w:r>
      <w:r w:rsidR="00BA6D26" w:rsidRPr="00206B2B">
        <w:t>Indo-Pacific Four</w:t>
      </w:r>
      <w:r w:rsidRPr="00206B2B">
        <w:t xml:space="preserve"> advocacy within NATO and with the EU in multilateral settings; creating new platforms to share WPS lessons between the </w:t>
      </w:r>
      <w:r w:rsidR="00FF3C21" w:rsidRPr="00206B2B">
        <w:t>Asia</w:t>
      </w:r>
      <w:r w:rsidRPr="00206B2B">
        <w:noBreakHyphen/>
        <w:t xml:space="preserve">Pacific and </w:t>
      </w:r>
      <w:r w:rsidR="00FF3C21" w:rsidRPr="00206B2B">
        <w:t>Europe</w:t>
      </w:r>
      <w:r w:rsidRPr="00206B2B">
        <w:t xml:space="preserve">; and seconding gender experts into EU </w:t>
      </w:r>
      <w:r w:rsidR="00FF3C21" w:rsidRPr="00206B2B">
        <w:t>Common Security and Defence Policy (</w:t>
      </w:r>
      <w:r w:rsidRPr="00206B2B">
        <w:t>CSDP</w:t>
      </w:r>
      <w:r w:rsidR="00FF3C21" w:rsidRPr="00206B2B">
        <w:t>)</w:t>
      </w:r>
      <w:r w:rsidRPr="00206B2B">
        <w:t xml:space="preserve"> missions or NATO gender advisor roles. To be effective and sustainable, such efforts would require additional resourcing in Canberra to support Posts with whole</w:t>
      </w:r>
      <w:r w:rsidRPr="00206B2B">
        <w:noBreakHyphen/>
        <w:t>of</w:t>
      </w:r>
      <w:r w:rsidRPr="00206B2B">
        <w:noBreakHyphen/>
        <w:t>government input, or the reprioritisation of responsibilities at Post to create capacity for ongoing engagement.</w:t>
      </w:r>
      <w:r w:rsidR="00D93CAA" w:rsidRPr="00206B2B">
        <w:t xml:space="preserve"> </w:t>
      </w:r>
      <w:r w:rsidR="004B3495" w:rsidRPr="00206B2B">
        <w:t>Posts also outlined that Australian Ministers are often invited to senior WPS related meetings outside of the Asia-Pacific region, but representation from Canberra could be increased.</w:t>
      </w:r>
    </w:p>
    <w:p w14:paraId="4D65EA29" w14:textId="7116686A" w:rsidR="00B009EA" w:rsidRDefault="000E17CB" w:rsidP="005F09EF">
      <w:pPr>
        <w:pStyle w:val="BodyText"/>
      </w:pPr>
      <w:r w:rsidRPr="00206B2B">
        <w:t xml:space="preserve">Civil society </w:t>
      </w:r>
      <w:r w:rsidR="00767C3E" w:rsidRPr="00206B2B">
        <w:t xml:space="preserve">outlined that Australia’s </w:t>
      </w:r>
      <w:r w:rsidR="00F9486B" w:rsidRPr="00206B2B">
        <w:t xml:space="preserve">foreign policy on WPS </w:t>
      </w:r>
      <w:r w:rsidR="00127418" w:rsidRPr="00206B2B">
        <w:t xml:space="preserve">is well-respected, and consequently, Australia has strong convening power that is currently under-utilised. </w:t>
      </w:r>
      <w:r w:rsidR="00C9394F" w:rsidRPr="00206B2B">
        <w:t xml:space="preserve">Stakeholders </w:t>
      </w:r>
      <w:r w:rsidR="00CE1948" w:rsidRPr="00206B2B">
        <w:t xml:space="preserve">suggested Australia could leverage its convening power </w:t>
      </w:r>
      <w:r w:rsidR="00D36292" w:rsidRPr="00206B2B">
        <w:t xml:space="preserve">to bring together </w:t>
      </w:r>
      <w:r w:rsidR="004173B9" w:rsidRPr="00206B2B">
        <w:t xml:space="preserve">countries, </w:t>
      </w:r>
      <w:r w:rsidR="00D36292" w:rsidRPr="00206B2B">
        <w:t>institutions,</w:t>
      </w:r>
      <w:r w:rsidR="004173B9" w:rsidRPr="00206B2B">
        <w:t xml:space="preserve"> and organisations to advance the WPS agenda globally.</w:t>
      </w:r>
      <w:r w:rsidR="001257AD" w:rsidRPr="00206B2B">
        <w:t xml:space="preserve"> While Australia has supported women from conflict-affected areas to attend global events such as the Commission on the Status of Women (CSW)</w:t>
      </w:r>
      <w:r w:rsidR="00BC0FEC" w:rsidRPr="00206B2B">
        <w:t>, Annual WPS in New York and Beijing+30 Review</w:t>
      </w:r>
      <w:r w:rsidR="00D36292" w:rsidRPr="00206B2B">
        <w:t xml:space="preserve"> </w:t>
      </w:r>
      <w:r w:rsidR="00B60F3C" w:rsidRPr="00206B2B">
        <w:t>Meeting</w:t>
      </w:r>
      <w:r w:rsidR="00A92AD0" w:rsidRPr="00206B2B">
        <w:t xml:space="preserve">, stakeholders commented that Australia could </w:t>
      </w:r>
      <w:r w:rsidR="00E875CC" w:rsidRPr="00206B2B">
        <w:t>step into more of a leadership role to begin convening similar meetings or events.</w:t>
      </w:r>
      <w:r w:rsidR="00B009EA">
        <w:br w:type="page"/>
      </w:r>
    </w:p>
    <w:p w14:paraId="0CC5E9E8" w14:textId="5A9B4595" w:rsidR="00B009EA" w:rsidRPr="00B009EA" w:rsidRDefault="00B009EA" w:rsidP="00B009EA">
      <w:pPr>
        <w:pStyle w:val="Normal-casestudy"/>
        <w:rPr>
          <w:rStyle w:val="Strong"/>
        </w:rPr>
      </w:pPr>
      <w:r w:rsidRPr="00B009EA">
        <w:rPr>
          <w:rStyle w:val="Strong"/>
        </w:rPr>
        <w:lastRenderedPageBreak/>
        <w:t>Case Study: Australia’s Direct Aid Program for civil society engagement in Bosnia and</w:t>
      </w:r>
      <w:r w:rsidR="008868CE">
        <w:rPr>
          <w:rStyle w:val="Strong"/>
        </w:rPr>
        <w:t> </w:t>
      </w:r>
      <w:r w:rsidRPr="00B009EA">
        <w:rPr>
          <w:rStyle w:val="Strong"/>
        </w:rPr>
        <w:t xml:space="preserve">Herzegovina </w:t>
      </w:r>
    </w:p>
    <w:p w14:paraId="1FAB2F31" w14:textId="288AB7BC" w:rsidR="00B009EA" w:rsidRPr="00206B2B" w:rsidDel="00955766" w:rsidRDefault="00B009EA" w:rsidP="00B009EA">
      <w:pPr>
        <w:pStyle w:val="Normal-casestudy"/>
        <w:rPr>
          <w:rFonts w:asciiTheme="minorHAnsi" w:hAnsiTheme="minorHAnsi" w:cstheme="minorHAnsi"/>
        </w:rPr>
      </w:pPr>
      <w:r w:rsidRPr="00206B2B">
        <w:rPr>
          <w:rFonts w:asciiTheme="minorHAnsi" w:hAnsiTheme="minorHAnsi" w:cstheme="minorHAnsi"/>
        </w:rPr>
        <w:t>Australia’s Direct Aid Program (DAP) has progressed the WPS agenda in the Western Balkans by supporting numerous civil society groups in priority areas including women’s empowerment, youth empowerment, and democracy and inclusion. In FY2024-25, Australia’s DAP included funding for four established women-led NGOs dedicated to improving women’s security and prosperity. This included cybersecurity workshops for women and marginalised youth, training in local handicraft techniques to promote economic independence, supporting education to reduce instances of domestic violence and empower survivors, and profiling the contribution of women to Bosnia and Herzegovina’s history and</w:t>
      </w:r>
      <w:r>
        <w:rPr>
          <w:rFonts w:asciiTheme="minorHAnsi" w:hAnsiTheme="minorHAnsi" w:cstheme="minorHAnsi"/>
        </w:rPr>
        <w:t> </w:t>
      </w:r>
      <w:r w:rsidRPr="00206B2B">
        <w:rPr>
          <w:rFonts w:asciiTheme="minorHAnsi" w:hAnsiTheme="minorHAnsi" w:cstheme="minorHAnsi"/>
        </w:rPr>
        <w:t>culture.</w:t>
      </w:r>
    </w:p>
    <w:p w14:paraId="053E3057" w14:textId="77777777" w:rsidR="00B009EA" w:rsidRPr="00206B2B" w:rsidRDefault="00B009EA" w:rsidP="00B009EA">
      <w:pPr>
        <w:pStyle w:val="Normal-casestudy"/>
      </w:pPr>
      <w:r w:rsidRPr="00206B2B">
        <w:rPr>
          <w:rFonts w:asciiTheme="minorHAnsi" w:hAnsiTheme="minorHAnsi" w:cstheme="minorHAnsi"/>
        </w:rPr>
        <w:t xml:space="preserve">Australia’s DAP funding has supported women’s empowerment in a post-war context. Women in Bosnia and Herzegovina are active contributors to peace and security, as well as victims of abuse, domestic violence and femicide. The DAP aims to enhance women’s empowerment </w:t>
      </w:r>
      <w:r w:rsidRPr="009431E3">
        <w:rPr>
          <w:rFonts w:asciiTheme="minorHAnsi" w:hAnsiTheme="minorHAnsi" w:cstheme="minorHAnsi"/>
          <w:color w:val="auto"/>
        </w:rPr>
        <w:t xml:space="preserve">in </w:t>
      </w:r>
      <w:r w:rsidRPr="009431E3">
        <w:rPr>
          <w:color w:val="auto"/>
        </w:rPr>
        <w:t xml:space="preserve">Bosnia and Herzegovina, while promoting post-conflict reconciliation and coexistence by supporting many women </w:t>
      </w:r>
      <w:r w:rsidRPr="00206B2B">
        <w:t>who were internally displaced and victims of war atrocities to acquire new skills and build stronger communities.</w:t>
      </w:r>
    </w:p>
    <w:p w14:paraId="1346469D" w14:textId="11B9533F" w:rsidR="00AF7387" w:rsidRDefault="00825711" w:rsidP="00AF7387">
      <w:r>
        <w:rPr>
          <w:noProof/>
        </w:rPr>
        <w:drawing>
          <wp:inline distT="0" distB="0" distL="0" distR="0" wp14:anchorId="0DBB4AFE" wp14:editId="79E5C691">
            <wp:extent cx="6316980" cy="723900"/>
            <wp:effectExtent l="0" t="0" r="7620" b="0"/>
            <wp:docPr id="158576042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60426" name="Picture 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2D5C448B" w14:textId="546BD612" w:rsidR="00B009EA" w:rsidRPr="00B009EA" w:rsidRDefault="00B009EA" w:rsidP="00B009EA">
      <w:pPr>
        <w:pStyle w:val="Heading3"/>
      </w:pPr>
      <w:r w:rsidRPr="00B009EA">
        <w:t>Finding 6.  Australia remains a trusted and principled regional WPS leader, but its influence is increasingly constrained by global headwinds</w:t>
      </w:r>
    </w:p>
    <w:p w14:paraId="74E0AB1E" w14:textId="55667E75" w:rsidR="0078556D" w:rsidRPr="00300EC6" w:rsidRDefault="00B009EA" w:rsidP="00B009EA">
      <w:r w:rsidRPr="00B009EA">
        <w:t>Stakeholders identified that Australia is seen as a credible and stabilising actor in the Indo-Pacific, particularly through sustained support to women mediators, civil society, and multilateral institutions. However, the growing anti-gender equality movement poses a significant risk to the sustainability and impact of global WPS efforts. In this context, expectations are intensifying for Australia not only to shoulder a greater share of visible leadership, but also to invest more substantially in core WPS and gender equality partnerships and institutions to maintain momentum and counteract these regressive</w:t>
      </w:r>
      <w:r>
        <w:t> </w:t>
      </w:r>
      <w:r w:rsidRPr="00B009EA">
        <w:t>pressures.</w:t>
      </w:r>
      <w:r w:rsidR="0078556D" w:rsidRPr="00300EC6">
        <w:br w:type="page"/>
      </w:r>
    </w:p>
    <w:p w14:paraId="01BD4BB0" w14:textId="48004F53" w:rsidR="00AE5992" w:rsidRPr="00B009EA" w:rsidRDefault="009970EF" w:rsidP="00944D24">
      <w:pPr>
        <w:pStyle w:val="Heading1"/>
      </w:pPr>
      <w:bookmarkStart w:id="12" w:name="_Toc230774045"/>
      <w:r w:rsidRPr="00B009EA">
        <w:lastRenderedPageBreak/>
        <w:t>Implementation Analysis</w:t>
      </w:r>
      <w:bookmarkEnd w:id="12"/>
    </w:p>
    <w:p w14:paraId="1EE4B9FB" w14:textId="0FBDB9DA" w:rsidR="00E57BA6" w:rsidRDefault="00985586" w:rsidP="00B009EA">
      <w:r w:rsidRPr="00B009EA">
        <w:t>This section of the report summarises key findings and insights relat</w:t>
      </w:r>
      <w:r w:rsidR="00B94DC8" w:rsidRPr="00B009EA">
        <w:t>ing</w:t>
      </w:r>
      <w:r w:rsidRPr="00B009EA">
        <w:t xml:space="preserve"> to the implementation of the WPS, including a focus on governance, </w:t>
      </w:r>
      <w:r w:rsidR="00A7602E" w:rsidRPr="00B009EA">
        <w:t>M&amp;E</w:t>
      </w:r>
      <w:r w:rsidR="00631893" w:rsidRPr="00B009EA">
        <w:t xml:space="preserve">, inclusivity, adaptability and resourcing. </w:t>
      </w:r>
    </w:p>
    <w:p w14:paraId="74F66C43" w14:textId="79C182D1" w:rsidR="00B009EA" w:rsidRPr="001F480B" w:rsidRDefault="00B009EA" w:rsidP="00E135B9">
      <w:pPr>
        <w:pStyle w:val="HEading2Blue"/>
        <w:rPr>
          <w:shd w:val="clear" w:color="auto" w:fill="CAF1FF" w:themeFill="accent4" w:themeFillTint="33"/>
        </w:rPr>
      </w:pPr>
      <w:r w:rsidRPr="001F480B">
        <w:rPr>
          <w:shd w:val="clear" w:color="auto" w:fill="CAF1FF" w:themeFill="accent4" w:themeFillTint="33"/>
        </w:rPr>
        <w:t xml:space="preserve">High-level summary of key implementation challenges </w:t>
      </w:r>
    </w:p>
    <w:p w14:paraId="2CA4395B"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Lack of whole-of-government integration:</w:t>
      </w:r>
      <w:r w:rsidRPr="001F480B">
        <w:rPr>
          <w:shd w:val="clear" w:color="auto" w:fill="CAF1FF" w:themeFill="accent4" w:themeFillTint="33"/>
        </w:rPr>
        <w:t xml:space="preserve"> Key domestic agencies such as NEMA, e-Safety, AGD, and cyber/intelligence actors are absent from the IDC and WPS governance mechanisms, limiting Australia’s ability to respond to emerging threats like cyber-enabled GBV, climate driven crises, and mis- and disinformation.</w:t>
      </w:r>
    </w:p>
    <w:p w14:paraId="33392B01"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Operational and tactical perspectives missing from coordination:</w:t>
      </w:r>
      <w:r w:rsidRPr="001F480B">
        <w:rPr>
          <w:shd w:val="clear" w:color="auto" w:fill="CAF1FF" w:themeFill="accent4" w:themeFillTint="33"/>
        </w:rPr>
        <w:t xml:space="preserve"> Frontline practitioners in policing, crisis response, cyber operations, disaster management and from DFAT and AFP postings are not consistently included in WPS structures, resulting in disconnects between policy design and real</w:t>
      </w:r>
      <w:r w:rsidRPr="001F480B">
        <w:rPr>
          <w:shd w:val="clear" w:color="auto" w:fill="CAF1FF" w:themeFill="accent4" w:themeFillTint="33"/>
        </w:rPr>
        <w:noBreakHyphen/>
        <w:t xml:space="preserve">world implementation. </w:t>
      </w:r>
    </w:p>
    <w:p w14:paraId="3333A220"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Entrenched organisational cultures and limited awareness:</w:t>
      </w:r>
      <w:r w:rsidRPr="001F480B">
        <w:rPr>
          <w:shd w:val="clear" w:color="auto" w:fill="CAF1FF" w:themeFill="accent4" w:themeFillTint="33"/>
        </w:rPr>
        <w:t xml:space="preserve"> Agencies described low baseline understanding of WPS, frequent conflation with diversity, equity and inclusion, and challenges gaining buy in from senior leaders. Many staff see WPS as “values driven” rather than as a peace and security imperative. </w:t>
      </w:r>
    </w:p>
    <w:p w14:paraId="5EDF7A84"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Resource constraints:</w:t>
      </w:r>
      <w:r w:rsidRPr="001F480B">
        <w:rPr>
          <w:shd w:val="clear" w:color="auto" w:fill="CAF1FF" w:themeFill="accent4" w:themeFillTint="33"/>
        </w:rPr>
        <w:t xml:space="preserve"> Many departments including Home Affairs and AFP highlighted insufficient resourcing, limited WPS dedicated FTE, and high workloads that make sustained WPS integration difficult. Civil society stressed they are under</w:t>
      </w:r>
      <w:r>
        <w:rPr>
          <w:shd w:val="clear" w:color="auto" w:fill="CAF1FF" w:themeFill="accent4" w:themeFillTint="33"/>
        </w:rPr>
        <w:t>-resourced.</w:t>
      </w:r>
    </w:p>
    <w:p w14:paraId="3E6C1270"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Fragmented reporting and poor visibility of existing work:</w:t>
      </w:r>
      <w:r w:rsidRPr="001F480B">
        <w:rPr>
          <w:shd w:val="clear" w:color="auto" w:fill="CAF1FF" w:themeFill="accent4" w:themeFillTint="33"/>
        </w:rPr>
        <w:t xml:space="preserve"> Significant WPS aligned activities e.g., Home Affairs’ work in Afghanistan and AFP’s GBV capacity building are not captured in NAP reporting, obscuring progress and preventing coordinated action. </w:t>
      </w:r>
    </w:p>
    <w:p w14:paraId="530C2F86"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Siloing between domestic and international agendas:</w:t>
      </w:r>
      <w:r w:rsidRPr="001F480B">
        <w:rPr>
          <w:shd w:val="clear" w:color="auto" w:fill="CAF1FF" w:themeFill="accent4" w:themeFillTint="33"/>
        </w:rPr>
        <w:t xml:space="preserve"> The NAP’s international</w:t>
      </w:r>
      <w:r w:rsidRPr="001F480B">
        <w:rPr>
          <w:shd w:val="clear" w:color="auto" w:fill="CAF1FF" w:themeFill="accent4" w:themeFillTint="33"/>
        </w:rPr>
        <w:noBreakHyphen/>
        <w:t>only focus creates policy incoherence, misses domestic gender</w:t>
      </w:r>
      <w:r w:rsidRPr="001F480B">
        <w:rPr>
          <w:shd w:val="clear" w:color="auto" w:fill="CAF1FF" w:themeFill="accent4" w:themeFillTint="33"/>
        </w:rPr>
        <w:noBreakHyphen/>
        <w:t xml:space="preserve">security issues (e.g., family violence, social cohesion), and diminishes Australia’s ability to lead credibly in the region. </w:t>
      </w:r>
    </w:p>
    <w:p w14:paraId="1588038B"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Rising anti-rights, anti-gender, and mis- and disinformation movements:</w:t>
      </w:r>
      <w:r w:rsidRPr="001F480B">
        <w:rPr>
          <w:shd w:val="clear" w:color="auto" w:fill="CAF1FF" w:themeFill="accent4" w:themeFillTint="33"/>
        </w:rPr>
        <w:t xml:space="preserve"> Growing backlash is closing civic space, undermining language on women’s rights at the UN, and heightening personal risks for women peacebuilders and activists. These dynamics weaken WPS progress and demand stronger government responses.</w:t>
      </w:r>
    </w:p>
    <w:p w14:paraId="1DFCB980" w14:textId="77777777" w:rsidR="00B009EA" w:rsidRPr="001F480B" w:rsidRDefault="00B009EA" w:rsidP="00784A56">
      <w:pPr>
        <w:pStyle w:val="Listbulletblue"/>
        <w:rPr>
          <w:shd w:val="clear" w:color="auto" w:fill="CAF1FF" w:themeFill="accent4" w:themeFillTint="33"/>
        </w:rPr>
      </w:pPr>
      <w:r w:rsidRPr="001F480B">
        <w:rPr>
          <w:b/>
          <w:shd w:val="clear" w:color="auto" w:fill="CAF1FF" w:themeFill="accent4" w:themeFillTint="33"/>
        </w:rPr>
        <w:t>Climate and cyber threats outpacing policy:</w:t>
      </w:r>
      <w:r w:rsidRPr="001F480B">
        <w:rPr>
          <w:shd w:val="clear" w:color="auto" w:fill="CAF1FF" w:themeFill="accent4" w:themeFillTint="33"/>
        </w:rPr>
        <w:t xml:space="preserve"> Climate related displacement, ecological loss, and cyber-enabled harms (including technology facilitated GBV) are escalating quickly, while current WPS structures do not adequately integrate climate security or cybersecurity, creating gaps in readiness and response.</w:t>
      </w:r>
    </w:p>
    <w:p w14:paraId="0A13CCA0" w14:textId="0FC48BAF" w:rsidR="00CF117C" w:rsidRPr="00784A56" w:rsidRDefault="00445EC1" w:rsidP="00944D24">
      <w:pPr>
        <w:pStyle w:val="Heading2"/>
      </w:pPr>
      <w:r w:rsidRPr="00784A56">
        <w:lastRenderedPageBreak/>
        <w:t>C</w:t>
      </w:r>
      <w:r w:rsidR="00CF117C" w:rsidRPr="00784A56">
        <w:t xml:space="preserve">ross-cutting issues </w:t>
      </w:r>
      <w:r w:rsidRPr="00784A56">
        <w:t>which</w:t>
      </w:r>
      <w:r w:rsidR="00CF117C" w:rsidRPr="00784A56">
        <w:t xml:space="preserve"> have influenced implementation</w:t>
      </w:r>
    </w:p>
    <w:p w14:paraId="349DBBBD" w14:textId="002791C6" w:rsidR="00CF117C" w:rsidRPr="00206B2B" w:rsidRDefault="00CF117C" w:rsidP="001F480B">
      <w:pPr>
        <w:pStyle w:val="BodyText"/>
        <w:keepNext/>
        <w:keepLines/>
      </w:pPr>
      <w:proofErr w:type="gramStart"/>
      <w:r w:rsidRPr="00206B2B">
        <w:t>A number of</w:t>
      </w:r>
      <w:proofErr w:type="gramEnd"/>
      <w:r w:rsidRPr="00206B2B">
        <w:t xml:space="preserve"> recurring themes and global trends have emerged as having clear and cross-cutting influence on the WPS NAP implementation. </w:t>
      </w:r>
    </w:p>
    <w:p w14:paraId="6D1B4C5E" w14:textId="2CA08DD0" w:rsidR="000E10D9" w:rsidRPr="00206B2B" w:rsidRDefault="000E10D9" w:rsidP="001F480B">
      <w:pPr>
        <w:pStyle w:val="Caption"/>
        <w:keepNext/>
        <w:keepLines/>
      </w:pPr>
      <w:r w:rsidRPr="00206B2B">
        <w:t xml:space="preserve">Table </w:t>
      </w:r>
      <w:r w:rsidRPr="00206B2B">
        <w:fldChar w:fldCharType="begin"/>
      </w:r>
      <w:r w:rsidRPr="00206B2B">
        <w:instrText xml:space="preserve"> SEQ Table \* ARABIC </w:instrText>
      </w:r>
      <w:r w:rsidRPr="00206B2B">
        <w:fldChar w:fldCharType="separate"/>
      </w:r>
      <w:r w:rsidR="009E05C9">
        <w:rPr>
          <w:noProof/>
        </w:rPr>
        <w:t>1</w:t>
      </w:r>
      <w:r w:rsidRPr="00206B2B">
        <w:fldChar w:fldCharType="end"/>
      </w:r>
      <w:r w:rsidRPr="00206B2B">
        <w:t>: Emerging and cross-cutting themes and the impact on implementation</w:t>
      </w:r>
    </w:p>
    <w:tbl>
      <w:tblPr>
        <w:tblStyle w:val="KPMGTable"/>
        <w:tblW w:w="5000" w:type="pct"/>
        <w:tblLook w:val="04A0" w:firstRow="1" w:lastRow="0" w:firstColumn="1" w:lastColumn="0" w:noHBand="0" w:noVBand="1"/>
      </w:tblPr>
      <w:tblGrid>
        <w:gridCol w:w="1957"/>
        <w:gridCol w:w="8248"/>
      </w:tblGrid>
      <w:tr w:rsidR="0011569A" w14:paraId="37473829" w14:textId="77777777" w:rsidTr="00784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5E920303" w14:textId="77777777" w:rsidR="00CF117C" w:rsidRPr="00784A56" w:rsidRDefault="00CF117C" w:rsidP="00784A56">
            <w:r w:rsidRPr="00784A56">
              <w:t xml:space="preserve">Theme </w:t>
            </w:r>
          </w:p>
        </w:tc>
        <w:tc>
          <w:tcPr>
            <w:tcW w:w="4041" w:type="pct"/>
          </w:tcPr>
          <w:p w14:paraId="228A8619" w14:textId="77777777" w:rsidR="00CF117C" w:rsidRPr="00784A56" w:rsidRDefault="00CF117C" w:rsidP="00784A56">
            <w:pPr>
              <w:cnfStyle w:val="100000000000" w:firstRow="1" w:lastRow="0" w:firstColumn="0" w:lastColumn="0" w:oddVBand="0" w:evenVBand="0" w:oddHBand="0" w:evenHBand="0" w:firstRowFirstColumn="0" w:firstRowLastColumn="0" w:lastRowFirstColumn="0" w:lastRowLastColumn="0"/>
            </w:pPr>
            <w:r w:rsidRPr="00784A56">
              <w:t>Implementation Considerations</w:t>
            </w:r>
          </w:p>
        </w:tc>
      </w:tr>
      <w:tr w:rsidR="0011569A" w14:paraId="14C44644" w14:textId="77777777" w:rsidTr="00784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424256E2" w14:textId="091018C6" w:rsidR="00CF117C" w:rsidRPr="00206B2B" w:rsidRDefault="00CF117C" w:rsidP="008471A1">
            <w:pPr>
              <w:pStyle w:val="TableText"/>
            </w:pPr>
            <w:r w:rsidRPr="00206B2B">
              <w:t>Climate change and disaster resilience</w:t>
            </w:r>
          </w:p>
        </w:tc>
        <w:tc>
          <w:tcPr>
            <w:tcW w:w="4041" w:type="pct"/>
          </w:tcPr>
          <w:p w14:paraId="060BFBB7" w14:textId="44D3E6DC" w:rsidR="00CF117C" w:rsidRPr="00206B2B" w:rsidRDefault="00CF117C" w:rsidP="006979E2">
            <w:pPr>
              <w:pStyle w:val="BodyText"/>
              <w:cnfStyle w:val="000000100000" w:firstRow="0" w:lastRow="0" w:firstColumn="0" w:lastColumn="0" w:oddVBand="0" w:evenVBand="0" w:oddHBand="1" w:evenHBand="0" w:firstRowFirstColumn="0" w:firstRowLastColumn="0" w:lastRowFirstColumn="0" w:lastRowLastColumn="0"/>
            </w:pPr>
            <w:r w:rsidRPr="00206B2B">
              <w:t>Climate change and disaster resilience have become major factors influencing WPS implementation.</w:t>
            </w:r>
            <w:r w:rsidR="00452A5B" w:rsidRPr="00206B2B">
              <w:rPr>
                <w:rStyle w:val="FootnoteReference"/>
              </w:rPr>
              <w:footnoteReference w:id="54"/>
            </w:r>
            <w:r w:rsidRPr="00206B2B">
              <w:t xml:space="preserve"> Increasingly frequent and severe climate-related shocks such as cyclones, floods, and rising sea levels disproportionately affect women and exacerbate insecurity.</w:t>
            </w:r>
            <w:r w:rsidRPr="00206B2B">
              <w:rPr>
                <w:rStyle w:val="FootnoteReference"/>
              </w:rPr>
              <w:footnoteReference w:id="55"/>
            </w:r>
            <w:r w:rsidRPr="00206B2B">
              <w:t xml:space="preserve"> These events often lead to displacement</w:t>
            </w:r>
            <w:r w:rsidR="00C172D2" w:rsidRPr="00206B2B">
              <w:t>,</w:t>
            </w:r>
            <w:r w:rsidRPr="00206B2B">
              <w:t xml:space="preserve"> heightened risks of </w:t>
            </w:r>
            <w:r w:rsidR="00EF3D1B" w:rsidRPr="00206B2B">
              <w:t>GBV</w:t>
            </w:r>
            <w:r w:rsidRPr="00206B2B">
              <w:t xml:space="preserve">, </w:t>
            </w:r>
            <w:r w:rsidR="00C172D2" w:rsidRPr="00206B2B">
              <w:t>and disruption of peacebuilding efforts</w:t>
            </w:r>
            <w:r w:rsidRPr="00206B2B">
              <w:t xml:space="preserve"> making it essential to integrate WPS principles into climate adaptation and disaster response strategies to protect vulnerable populations and maintain stability.</w:t>
            </w:r>
            <w:r w:rsidRPr="00206B2B">
              <w:rPr>
                <w:rStyle w:val="FootnoteReference"/>
              </w:rPr>
              <w:footnoteReference w:id="56"/>
            </w:r>
            <w:r w:rsidRPr="00206B2B">
              <w:t xml:space="preserve"> Feedback from Australian Government Implementing Partners indicate that it is critical to include </w:t>
            </w:r>
            <w:r w:rsidR="000A09A9">
              <w:t xml:space="preserve">disaster response and climate agencies such as </w:t>
            </w:r>
            <w:r w:rsidRPr="00206B2B">
              <w:t>NEMA and DCCEEW</w:t>
            </w:r>
            <w:r w:rsidR="000A09A9">
              <w:t>,</w:t>
            </w:r>
            <w:r w:rsidRPr="00206B2B">
              <w:t xml:space="preserve"> because climate-related disasters are increasingly driving insecurity and displacement, which disproportionately affect women and girls. </w:t>
            </w:r>
            <w:r w:rsidR="00F87FD9">
              <w:t>C</w:t>
            </w:r>
            <w:r w:rsidRPr="008F485C">
              <w:t>limate agencies</w:t>
            </w:r>
            <w:r w:rsidR="00F87FD9">
              <w:t xml:space="preserve"> such as DCCEEW can</w:t>
            </w:r>
            <w:r w:rsidRPr="00206B2B">
              <w:t xml:space="preserve"> provide foresight on </w:t>
            </w:r>
            <w:r w:rsidR="00573676">
              <w:t xml:space="preserve">current and </w:t>
            </w:r>
            <w:r w:rsidRPr="00206B2B">
              <w:t>emerging risks, ensuring WPS strategies are proactive, integrated, and effective in a rapidly changing environment.</w:t>
            </w:r>
            <w:r w:rsidRPr="00206B2B">
              <w:rPr>
                <w:rStyle w:val="FootnoteReference"/>
              </w:rPr>
              <w:footnoteReference w:id="57"/>
            </w:r>
          </w:p>
        </w:tc>
      </w:tr>
      <w:tr w:rsidR="0011569A" w14:paraId="2D0CD6DE" w14:textId="77777777" w:rsidTr="00784A56">
        <w:tc>
          <w:tcPr>
            <w:cnfStyle w:val="001000000000" w:firstRow="0" w:lastRow="0" w:firstColumn="1" w:lastColumn="0" w:oddVBand="0" w:evenVBand="0" w:oddHBand="0" w:evenHBand="0" w:firstRowFirstColumn="0" w:firstRowLastColumn="0" w:lastRowFirstColumn="0" w:lastRowLastColumn="0"/>
            <w:tcW w:w="959" w:type="pct"/>
          </w:tcPr>
          <w:p w14:paraId="48C86DAD" w14:textId="77777777" w:rsidR="00CF117C" w:rsidRPr="00206B2B" w:rsidRDefault="00CF117C" w:rsidP="008471A1">
            <w:pPr>
              <w:pStyle w:val="TableText"/>
            </w:pPr>
            <w:r w:rsidRPr="00206B2B">
              <w:t>Digital safety and cyber threats</w:t>
            </w:r>
          </w:p>
        </w:tc>
        <w:tc>
          <w:tcPr>
            <w:tcW w:w="4041" w:type="pct"/>
          </w:tcPr>
          <w:p w14:paraId="4C2470EB" w14:textId="5F52B2DE" w:rsidR="00CF117C" w:rsidRPr="00206B2B" w:rsidRDefault="00CF117C" w:rsidP="006979E2">
            <w:pPr>
              <w:pStyle w:val="BodyText"/>
              <w:cnfStyle w:val="000000000000" w:firstRow="0" w:lastRow="0" w:firstColumn="0" w:lastColumn="0" w:oddVBand="0" w:evenVBand="0" w:oddHBand="0" w:evenHBand="0" w:firstRowFirstColumn="0" w:firstRowLastColumn="0" w:lastRowFirstColumn="0" w:lastRowLastColumn="0"/>
            </w:pPr>
            <w:r w:rsidRPr="00206B2B">
              <w:t>Digital safety and cyber threats are another emerging challenge including both misinformation and disinformation.</w:t>
            </w:r>
            <w:r w:rsidRPr="00206B2B">
              <w:rPr>
                <w:rStyle w:val="FootnoteReference"/>
              </w:rPr>
              <w:footnoteReference w:id="58"/>
            </w:r>
            <w:r w:rsidRPr="00206B2B">
              <w:t xml:space="preserve"> The rise of online harassment, gendered disinformation, and cyber-enabled violence has created new risks for women in leadership and peacebuilding roles. WPS implementation now requires collaboration with e-safety regulators and technology companies to safeguard women’s voices in digital spaces and ensure their participation in governance and conflict prevention.</w:t>
            </w:r>
            <w:r w:rsidR="00D62007" w:rsidRPr="00206B2B">
              <w:t xml:space="preserve"> </w:t>
            </w:r>
            <w:r w:rsidR="00D62007" w:rsidRPr="0057309E">
              <w:t xml:space="preserve">DFAT has </w:t>
            </w:r>
            <w:r w:rsidR="004C542D" w:rsidRPr="0057309E">
              <w:t xml:space="preserve">supported capacity building </w:t>
            </w:r>
            <w:r w:rsidR="00C96F27" w:rsidRPr="0057309E">
              <w:t xml:space="preserve">of cybersecurity and digital safety through </w:t>
            </w:r>
            <w:r w:rsidR="005D3D2A" w:rsidRPr="0057309E">
              <w:t>DFAT’s Cyber and Critical Tech Cooperation Program (CCTCP)</w:t>
            </w:r>
            <w:r w:rsidR="0093729C" w:rsidRPr="0057309E">
              <w:t>. I</w:t>
            </w:r>
            <w:r w:rsidR="00E10CB4" w:rsidRPr="0057309E">
              <w:t>n</w:t>
            </w:r>
            <w:r w:rsidR="0093729C" w:rsidRPr="0057309E">
              <w:t xml:space="preserve"> partnership with UN Women,</w:t>
            </w:r>
            <w:r w:rsidR="006B4511" w:rsidRPr="0057309E">
              <w:t xml:space="preserve"> 147 participants </w:t>
            </w:r>
            <w:r w:rsidR="001F7047" w:rsidRPr="0057309E">
              <w:t>engaged in digital safety skills training to mitigate online gendered risks.</w:t>
            </w:r>
            <w:r w:rsidR="00E10CB4" w:rsidRPr="0057309E">
              <w:t xml:space="preserve"> This</w:t>
            </w:r>
            <w:r w:rsidR="00747F91" w:rsidRPr="0057309E">
              <w:t xml:space="preserve"> program could be enhanced </w:t>
            </w:r>
            <w:r w:rsidR="00405097" w:rsidRPr="0057309E">
              <w:t xml:space="preserve">by utilising a whole-of-government approach that brings in experts from </w:t>
            </w:r>
            <w:r w:rsidR="00435233" w:rsidRPr="0057309E">
              <w:t>digital safety and intelligence agencies</w:t>
            </w:r>
            <w:r w:rsidR="00513AE9" w:rsidRPr="0057309E">
              <w:t>.</w:t>
            </w:r>
          </w:p>
        </w:tc>
      </w:tr>
      <w:tr w:rsidR="0011569A" w14:paraId="2F07BC41" w14:textId="77777777" w:rsidTr="00784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609BC0EA" w14:textId="77777777" w:rsidR="00CF117C" w:rsidRPr="00206B2B" w:rsidRDefault="00CF117C" w:rsidP="008471A1">
            <w:pPr>
              <w:pStyle w:val="TableText"/>
            </w:pPr>
            <w:r w:rsidRPr="00206B2B">
              <w:t>Geostrategic competition</w:t>
            </w:r>
          </w:p>
        </w:tc>
        <w:tc>
          <w:tcPr>
            <w:tcW w:w="4041" w:type="pct"/>
          </w:tcPr>
          <w:p w14:paraId="5244A8AC" w14:textId="0B9CFC2F" w:rsidR="00CF117C" w:rsidRPr="00206B2B" w:rsidRDefault="00CF117C" w:rsidP="006979E2">
            <w:pPr>
              <w:pStyle w:val="BodyText"/>
              <w:cnfStyle w:val="000000100000" w:firstRow="0" w:lastRow="0" w:firstColumn="0" w:lastColumn="0" w:oddVBand="0" w:evenVBand="0" w:oddHBand="1" w:evenHBand="0" w:firstRowFirstColumn="0" w:firstRowLastColumn="0" w:lastRowFirstColumn="0" w:lastRowLastColumn="0"/>
            </w:pPr>
            <w:r w:rsidRPr="00206B2B">
              <w:t>Geostrategic competition in the Indo-Pacific has also reshaped priorities. Heightened regional tensions, hybrid threats, and strategic rivalry have increased the need for agile WPS frameworks that are embedded in broader foreign policy and defence strategies.</w:t>
            </w:r>
            <w:r w:rsidRPr="00206B2B">
              <w:rPr>
                <w:rStyle w:val="FootnoteReference"/>
              </w:rPr>
              <w:footnoteReference w:id="59"/>
            </w:r>
            <w:r w:rsidRPr="00206B2B">
              <w:t xml:space="preserve"> Without this integration, WPS priorities risk being sidelined in security planning despite their critical role in promoting stability.</w:t>
            </w:r>
          </w:p>
        </w:tc>
      </w:tr>
      <w:tr w:rsidR="0011569A" w14:paraId="4A88B328" w14:textId="77777777" w:rsidTr="00784A56">
        <w:tc>
          <w:tcPr>
            <w:cnfStyle w:val="001000000000" w:firstRow="0" w:lastRow="0" w:firstColumn="1" w:lastColumn="0" w:oddVBand="0" w:evenVBand="0" w:oddHBand="0" w:evenHBand="0" w:firstRowFirstColumn="0" w:firstRowLastColumn="0" w:lastRowFirstColumn="0" w:lastRowLastColumn="0"/>
            <w:tcW w:w="959" w:type="pct"/>
          </w:tcPr>
          <w:p w14:paraId="56CDE76C" w14:textId="77777777" w:rsidR="00CF117C" w:rsidRPr="00206B2B" w:rsidRDefault="00CF117C" w:rsidP="008868CE">
            <w:pPr>
              <w:pStyle w:val="TableText"/>
            </w:pPr>
            <w:r w:rsidRPr="00206B2B">
              <w:lastRenderedPageBreak/>
              <w:t>Intersectionality and inclusion</w:t>
            </w:r>
          </w:p>
        </w:tc>
        <w:tc>
          <w:tcPr>
            <w:tcW w:w="4041" w:type="pct"/>
          </w:tcPr>
          <w:p w14:paraId="343403F6" w14:textId="6637BE40" w:rsidR="00CF117C" w:rsidRPr="00206B2B" w:rsidRDefault="00CF117C" w:rsidP="001F480B">
            <w:pPr>
              <w:pStyle w:val="BodyText"/>
              <w:keepNext/>
              <w:keepLines/>
              <w:cnfStyle w:val="000000000000" w:firstRow="0" w:lastRow="0" w:firstColumn="0" w:lastColumn="0" w:oddVBand="0" w:evenVBand="0" w:oddHBand="0" w:evenHBand="0" w:firstRowFirstColumn="0" w:firstRowLastColumn="0" w:lastRowFirstColumn="0" w:lastRowLastColumn="0"/>
            </w:pPr>
            <w:r w:rsidRPr="00206B2B">
              <w:t>Intersectionality and inclusion remain fundamental considerations. Women’s experiences in conflict and peace processes are shaped by intersecting factors such as ethnicity, disability, and socio-economic status.</w:t>
            </w:r>
            <w:r w:rsidRPr="00206B2B">
              <w:rPr>
                <w:rStyle w:val="FootnoteReference"/>
              </w:rPr>
              <w:footnoteReference w:id="60"/>
            </w:r>
            <w:r w:rsidRPr="00206B2B">
              <w:t xml:space="preserve"> Effective WPS implementation must address these layers to ensure programs are equitable and responsive to diverse needs.</w:t>
            </w:r>
          </w:p>
        </w:tc>
      </w:tr>
      <w:tr w:rsidR="0011569A" w14:paraId="7704916F" w14:textId="77777777" w:rsidTr="00784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794DE79C" w14:textId="77777777" w:rsidR="00CF117C" w:rsidRPr="00206B2B" w:rsidRDefault="00CF117C" w:rsidP="008471A1">
            <w:pPr>
              <w:pStyle w:val="TableText"/>
            </w:pPr>
            <w:r w:rsidRPr="00206B2B">
              <w:t>Shared goals</w:t>
            </w:r>
          </w:p>
        </w:tc>
        <w:tc>
          <w:tcPr>
            <w:tcW w:w="4041" w:type="pct"/>
          </w:tcPr>
          <w:p w14:paraId="3CBB42F5" w14:textId="26A8583B" w:rsidR="00CF117C" w:rsidRPr="00206B2B" w:rsidRDefault="00CF117C" w:rsidP="006979E2">
            <w:pPr>
              <w:pStyle w:val="BodyText"/>
              <w:cnfStyle w:val="000000100000" w:firstRow="0" w:lastRow="0" w:firstColumn="0" w:lastColumn="0" w:oddVBand="0" w:evenVBand="0" w:oddHBand="1" w:evenHBand="0" w:firstRowFirstColumn="0" w:firstRowLastColumn="0" w:lastRowFirstColumn="0" w:lastRowLastColumn="0"/>
            </w:pPr>
            <w:r w:rsidRPr="00206B2B">
              <w:t>Feedback from civil society indicates that coalitions play a critical role in advancing WPS while strengthening local capacity. By bringing together government agencies, civil society organisations, and community leaders, coalitions create a collaborative platform that pools resources, expertise, and influence.</w:t>
            </w:r>
            <w:r w:rsidRPr="00206B2B">
              <w:rPr>
                <w:rStyle w:val="FootnoteReference"/>
              </w:rPr>
              <w:footnoteReference w:id="61"/>
            </w:r>
            <w:r w:rsidRPr="00206B2B">
              <w:t xml:space="preserve"> This collective approach enables more collaborative and impactful responses to complex challenges such as conflict prevention, </w:t>
            </w:r>
            <w:r w:rsidR="009F4B20" w:rsidRPr="00206B2B">
              <w:t>GBV</w:t>
            </w:r>
            <w:r w:rsidRPr="00206B2B">
              <w:t>, and climate-related insecurity. Importantly, coalitions foster knowledge sharing and skills development at the local level, empowering women’s organisations and community networks to lead peacebuilding initiatives.</w:t>
            </w:r>
            <w:r w:rsidRPr="00206B2B">
              <w:rPr>
                <w:rStyle w:val="FootnoteReference"/>
              </w:rPr>
              <w:footnoteReference w:id="62"/>
            </w:r>
            <w:r w:rsidRPr="00206B2B">
              <w:t xml:space="preserve"> Through joint action, these partnerships enhance sustainability, build trust, and ensure that WPS commitments translate into practical, locally driven solutions that endure beyond individual programs.</w:t>
            </w:r>
            <w:r w:rsidRPr="00206B2B">
              <w:rPr>
                <w:rStyle w:val="FootnoteReference"/>
              </w:rPr>
              <w:footnoteReference w:id="63"/>
            </w:r>
            <w:r w:rsidRPr="00206B2B">
              <w:t xml:space="preserve"> </w:t>
            </w:r>
          </w:p>
        </w:tc>
      </w:tr>
    </w:tbl>
    <w:p w14:paraId="60232C60" w14:textId="40114555" w:rsidR="006C5D54" w:rsidRPr="007C6922" w:rsidRDefault="006C5D54" w:rsidP="007C6922">
      <w:r w:rsidRPr="007C6922">
        <w:t>Source: KPMG analysis (2025)</w:t>
      </w:r>
    </w:p>
    <w:p w14:paraId="560D5483" w14:textId="022F6084" w:rsidR="00AE5992" w:rsidRPr="00E135B9" w:rsidRDefault="00551E43" w:rsidP="00944D24">
      <w:pPr>
        <w:pStyle w:val="Heading2"/>
      </w:pPr>
      <w:r w:rsidRPr="00E135B9">
        <w:t>E</w:t>
      </w:r>
      <w:r w:rsidR="009970EF" w:rsidRPr="00E135B9">
        <w:t>ffective</w:t>
      </w:r>
      <w:r w:rsidRPr="00E135B9">
        <w:t>ness</w:t>
      </w:r>
      <w:r w:rsidR="009970EF" w:rsidRPr="00E135B9">
        <w:t xml:space="preserve"> </w:t>
      </w:r>
      <w:r w:rsidRPr="00E135B9">
        <w:t>of governance and coordination</w:t>
      </w:r>
    </w:p>
    <w:p w14:paraId="2772631B" w14:textId="059872F6" w:rsidR="00CF255B" w:rsidRPr="00206B2B" w:rsidRDefault="002E510F" w:rsidP="006979E2">
      <w:pPr>
        <w:pStyle w:val="BodyText"/>
      </w:pPr>
      <w:r w:rsidRPr="00206B2B">
        <w:t xml:space="preserve">Consultations reflected that while governance structures </w:t>
      </w:r>
      <w:r w:rsidR="009333A7" w:rsidRPr="00206B2B">
        <w:t xml:space="preserve">exist </w:t>
      </w:r>
      <w:r w:rsidRPr="00206B2B">
        <w:t xml:space="preserve">and coordination across a variety of stakeholders is present, </w:t>
      </w:r>
      <w:r w:rsidR="009235F0" w:rsidRPr="00206B2B">
        <w:t xml:space="preserve">these mechanisms are not consistently driving a whole-of-government </w:t>
      </w:r>
      <w:r w:rsidR="003B74E7" w:rsidRPr="00206B2B">
        <w:t xml:space="preserve">approach to implementation. </w:t>
      </w:r>
      <w:r w:rsidR="001B0983" w:rsidRPr="00206B2B">
        <w:t>Relevant governance structures include</w:t>
      </w:r>
      <w:r w:rsidR="00D301D9" w:rsidRPr="00206B2B">
        <w:t xml:space="preserve"> the </w:t>
      </w:r>
      <w:r w:rsidR="0021495A" w:rsidRPr="00206B2B">
        <w:t>IDC</w:t>
      </w:r>
      <w:r w:rsidR="00E42702" w:rsidRPr="00206B2B">
        <w:t xml:space="preserve">, internal </w:t>
      </w:r>
      <w:r w:rsidR="00B01E9B" w:rsidRPr="00206B2B">
        <w:t>steering</w:t>
      </w:r>
      <w:r w:rsidR="00E42702" w:rsidRPr="00206B2B">
        <w:t xml:space="preserve"> groups</w:t>
      </w:r>
      <w:r w:rsidR="004665CC" w:rsidRPr="00206B2B">
        <w:t xml:space="preserve"> and reporting structures from </w:t>
      </w:r>
      <w:r w:rsidR="001373F8" w:rsidRPr="00206B2B">
        <w:t>p</w:t>
      </w:r>
      <w:r w:rsidR="004665CC" w:rsidRPr="00206B2B">
        <w:t>osts,</w:t>
      </w:r>
      <w:r w:rsidR="00056EF2" w:rsidRPr="00206B2B">
        <w:t xml:space="preserve"> Departments and civil society organisations into DFAT.</w:t>
      </w:r>
    </w:p>
    <w:p w14:paraId="53D70BC1" w14:textId="0CDB8405" w:rsidR="006B3E49" w:rsidRPr="00206B2B" w:rsidRDefault="006B3E49" w:rsidP="006979E2">
      <w:pPr>
        <w:pStyle w:val="BodyText"/>
      </w:pPr>
      <w:r w:rsidRPr="00206B2B">
        <w:t xml:space="preserve">There are notable enablers that enhance governance. </w:t>
      </w:r>
      <w:r w:rsidR="00EE6E1B" w:rsidRPr="00206B2B">
        <w:t xml:space="preserve">The Department of Defence has </w:t>
      </w:r>
      <w:r w:rsidR="00EB47F8" w:rsidRPr="00206B2B">
        <w:t xml:space="preserve">created a </w:t>
      </w:r>
      <w:r w:rsidR="00421F83" w:rsidRPr="00206B2B">
        <w:t xml:space="preserve">GPS </w:t>
      </w:r>
      <w:r w:rsidR="00EB47F8" w:rsidRPr="00206B2B">
        <w:t xml:space="preserve">Steering Group </w:t>
      </w:r>
      <w:r w:rsidR="003642FF" w:rsidRPr="00206B2B">
        <w:t xml:space="preserve">which brings together internal stakeholders within Defence that are involved in Gender, Peace and Security </w:t>
      </w:r>
      <w:r w:rsidR="001D5803" w:rsidRPr="00206B2B">
        <w:t xml:space="preserve">more broadly than just those that implement the WPS NAP. </w:t>
      </w:r>
      <w:r w:rsidR="00421F83" w:rsidRPr="00206B2B">
        <w:t xml:space="preserve">Through this steering group, the </w:t>
      </w:r>
      <w:r w:rsidR="00652D05" w:rsidRPr="00206B2B">
        <w:t>D</w:t>
      </w:r>
      <w:r w:rsidR="00421F83" w:rsidRPr="00206B2B">
        <w:t>epartment has been able to map officers responsible for implementing GPS across the entire enterprise</w:t>
      </w:r>
      <w:r w:rsidR="004E7181" w:rsidRPr="00206B2B">
        <w:t xml:space="preserve">. This has been effective in understanding relevant parties who may have a focus on cross-cutting themes such as climate change and ensuring stakeholder buy-in for GPS initiatives. </w:t>
      </w:r>
      <w:r w:rsidR="00ED5F79" w:rsidRPr="00206B2B">
        <w:t xml:space="preserve">The GPS Steering Group has been </w:t>
      </w:r>
      <w:r w:rsidR="00052069" w:rsidRPr="00206B2B">
        <w:t xml:space="preserve">implemented for the past 1.5 years and </w:t>
      </w:r>
      <w:r w:rsidR="00037041" w:rsidRPr="00206B2B">
        <w:t>invites DFAT counterparts to attend meetings to provide updates on their initiatives to enhance interdepartmental coordination.</w:t>
      </w:r>
    </w:p>
    <w:p w14:paraId="692FE877" w14:textId="06349D17" w:rsidR="007C6922" w:rsidRDefault="00801690" w:rsidP="006979E2">
      <w:pPr>
        <w:pStyle w:val="BodyText"/>
      </w:pPr>
      <w:r w:rsidRPr="00206B2B">
        <w:t>Regarding the WPS IDC</w:t>
      </w:r>
      <w:r w:rsidR="00CA5B32" w:rsidRPr="00206B2B">
        <w:t xml:space="preserve">, an implementing </w:t>
      </w:r>
      <w:r w:rsidR="004852AB" w:rsidRPr="00206B2B">
        <w:t xml:space="preserve">partner suggested </w:t>
      </w:r>
      <w:r w:rsidR="00860038" w:rsidRPr="00206B2B">
        <w:t xml:space="preserve">that </w:t>
      </w:r>
      <w:r w:rsidR="00BD23AA" w:rsidRPr="00206B2B">
        <w:t xml:space="preserve">the governance structure could be improved through </w:t>
      </w:r>
      <w:r w:rsidR="00353A2D">
        <w:t xml:space="preserve">enhanced mechanisms to engage </w:t>
      </w:r>
      <w:r w:rsidR="00F4011B">
        <w:t>external representatives. This</w:t>
      </w:r>
      <w:r w:rsidR="00996E1B">
        <w:t xml:space="preserve"> </w:t>
      </w:r>
      <w:r w:rsidR="000C657A">
        <w:t>m</w:t>
      </w:r>
      <w:r w:rsidR="00996E1B">
        <w:t xml:space="preserve">ay include </w:t>
      </w:r>
      <w:r w:rsidR="008F2029">
        <w:t>greater</w:t>
      </w:r>
      <w:r w:rsidR="007147A9">
        <w:t xml:space="preserve"> structured </w:t>
      </w:r>
      <w:r w:rsidR="00996E1B">
        <w:t xml:space="preserve">opportunities </w:t>
      </w:r>
      <w:r w:rsidR="008F2029">
        <w:t>for</w:t>
      </w:r>
      <w:r w:rsidR="007147A9">
        <w:t xml:space="preserve"> </w:t>
      </w:r>
      <w:r w:rsidR="00F426F0" w:rsidRPr="00206B2B">
        <w:t xml:space="preserve">civil society and academics to provide ongoing </w:t>
      </w:r>
      <w:r w:rsidR="00496A73" w:rsidRPr="00206B2B">
        <w:t xml:space="preserve">feedback </w:t>
      </w:r>
      <w:r w:rsidR="00900F96" w:rsidRPr="00206B2B">
        <w:t xml:space="preserve">and perspectives into </w:t>
      </w:r>
      <w:r w:rsidR="007147A9">
        <w:t>the IDC on</w:t>
      </w:r>
      <w:r w:rsidR="00234FE6">
        <w:t xml:space="preserve"> </w:t>
      </w:r>
      <w:r w:rsidR="003458D3" w:rsidRPr="00206B2B">
        <w:t>implementation</w:t>
      </w:r>
      <w:r w:rsidR="007147A9">
        <w:t xml:space="preserve"> progress</w:t>
      </w:r>
      <w:r w:rsidR="003458D3" w:rsidRPr="00206B2B">
        <w:t>.</w:t>
      </w:r>
      <w:r w:rsidR="00637FBA" w:rsidRPr="00206B2B">
        <w:t xml:space="preserve"> Incorporating these perspectives </w:t>
      </w:r>
      <w:r w:rsidR="001E5B24" w:rsidRPr="00206B2B">
        <w:t xml:space="preserve">in an ongoing manner would improve the existing structure that seeks external feedback </w:t>
      </w:r>
      <w:r w:rsidR="00D6467E" w:rsidRPr="00206B2B">
        <w:t xml:space="preserve">every two years through progress reports. </w:t>
      </w:r>
      <w:r w:rsidR="00637FBA" w:rsidRPr="00206B2B">
        <w:t xml:space="preserve"> </w:t>
      </w:r>
      <w:r w:rsidR="007C6922">
        <w:br w:type="page"/>
      </w:r>
    </w:p>
    <w:p w14:paraId="30360C94" w14:textId="3AA123AC" w:rsidR="007441F9" w:rsidRDefault="00DA096C" w:rsidP="006979E2">
      <w:pPr>
        <w:pStyle w:val="BodyText"/>
      </w:pPr>
      <w:r w:rsidRPr="00206B2B">
        <w:lastRenderedPageBreak/>
        <w:t xml:space="preserve">Various stakeholders have commented on </w:t>
      </w:r>
      <w:r w:rsidR="00C92EC8" w:rsidRPr="00206B2B">
        <w:t xml:space="preserve">interdepartmental coordination </w:t>
      </w:r>
      <w:r w:rsidR="008D2354" w:rsidRPr="00206B2B">
        <w:t xml:space="preserve">to achieve outcomes under the NAP. One common </w:t>
      </w:r>
      <w:r w:rsidR="004D6B65" w:rsidRPr="00206B2B">
        <w:t xml:space="preserve">insight was that the </w:t>
      </w:r>
      <w:r w:rsidR="00E32AD6" w:rsidRPr="00206B2B">
        <w:t xml:space="preserve">OFW </w:t>
      </w:r>
      <w:r w:rsidR="004D6B65" w:rsidRPr="00206B2B">
        <w:t xml:space="preserve">should be involved </w:t>
      </w:r>
      <w:r w:rsidR="002762C8" w:rsidRPr="00206B2B">
        <w:t xml:space="preserve">to enhance governance and oversight for any domestic efforts. </w:t>
      </w:r>
      <w:r w:rsidR="000C261C">
        <w:t>While t</w:t>
      </w:r>
      <w:r w:rsidR="007441F9" w:rsidRPr="007441F9">
        <w:t xml:space="preserve">he </w:t>
      </w:r>
      <w:r w:rsidR="007441F9">
        <w:t>OFW</w:t>
      </w:r>
      <w:r w:rsidR="007441F9" w:rsidRPr="007441F9">
        <w:t xml:space="preserve"> does not act as a delivery agency for all gender equality work directly, its core policy is to empower, enable and build capability across the</w:t>
      </w:r>
      <w:r w:rsidR="007441F9">
        <w:t xml:space="preserve"> </w:t>
      </w:r>
      <w:r w:rsidR="007441F9" w:rsidRPr="007441F9">
        <w:t>APS so that every agency carries responsibility for gender equality within its own portfolio. This whole</w:t>
      </w:r>
      <w:r w:rsidR="007441F9" w:rsidRPr="007441F9">
        <w:noBreakHyphen/>
        <w:t>of</w:t>
      </w:r>
      <w:r w:rsidR="007441F9" w:rsidRPr="007441F9">
        <w:noBreakHyphen/>
        <w:t>government enabling role is directly relevant to Australia’s WPS agenda, which similarly requires shared ownership, cross</w:t>
      </w:r>
      <w:r w:rsidR="007441F9" w:rsidRPr="007441F9">
        <w:noBreakHyphen/>
        <w:t>agency capability, and strong gender analysis across domestic and international policy settings. There remains a strong and ongoing opportunity for strategic dialogue with the Office for Women to ensure that its expertise continues to inform WPS implementation, strengthen gender</w:t>
      </w:r>
      <w:r w:rsidR="007441F9" w:rsidRPr="007441F9">
        <w:noBreakHyphen/>
        <w:t>responsive security and crisis policy, and support coherent alignment between domestic gender equality priorities and WPS commitments</w:t>
      </w:r>
    </w:p>
    <w:p w14:paraId="5732B83B" w14:textId="0A606CAE" w:rsidR="004926D4" w:rsidRPr="00206B2B" w:rsidRDefault="005D4D06" w:rsidP="006979E2">
      <w:pPr>
        <w:pStyle w:val="BodyText"/>
      </w:pPr>
      <w:r w:rsidRPr="00206B2B">
        <w:t xml:space="preserve">While the WPS NAP has a limited domestic focus, </w:t>
      </w:r>
      <w:r w:rsidR="005E2D31" w:rsidRPr="00206B2B">
        <w:t xml:space="preserve">Implementing Partners have </w:t>
      </w:r>
      <w:r w:rsidR="00484387" w:rsidRPr="00206B2B">
        <w:t>outlined their domestic efforts in progress reports</w:t>
      </w:r>
      <w:r w:rsidR="00197269" w:rsidRPr="00206B2B">
        <w:t xml:space="preserve">. Stakeholders across government and civil society have also emphasised reporting on domestic efforts can enhance Australia’s reputation and credibility internationally </w:t>
      </w:r>
      <w:proofErr w:type="gramStart"/>
      <w:r w:rsidR="00197269" w:rsidRPr="00206B2B">
        <w:t xml:space="preserve">in </w:t>
      </w:r>
      <w:r w:rsidR="006A4B53" w:rsidRPr="00206B2B">
        <w:t>regard</w:t>
      </w:r>
      <w:r w:rsidR="00197269" w:rsidRPr="00206B2B">
        <w:t xml:space="preserve"> to</w:t>
      </w:r>
      <w:proofErr w:type="gramEnd"/>
      <w:r w:rsidR="00197269" w:rsidRPr="00206B2B">
        <w:t xml:space="preserve"> WPS. </w:t>
      </w:r>
      <w:r w:rsidR="004926D4" w:rsidRPr="00206B2B">
        <w:t>This was further reiterated with consultations with the Philippines</w:t>
      </w:r>
      <w:r w:rsidR="00B84C12" w:rsidRPr="00206B2B">
        <w:t>’</w:t>
      </w:r>
      <w:r w:rsidR="004926D4" w:rsidRPr="00206B2B">
        <w:t xml:space="preserve"> DFAT post, which indicated that consultations with government stakeholders have already been undertaken to discuss lessons learned and strategies to combat </w:t>
      </w:r>
      <w:r w:rsidR="00744764" w:rsidRPr="00206B2B">
        <w:t>GBV</w:t>
      </w:r>
      <w:r w:rsidR="004926D4" w:rsidRPr="00206B2B">
        <w:t xml:space="preserve"> in respective countries.</w:t>
      </w:r>
    </w:p>
    <w:p w14:paraId="67B9BA31" w14:textId="4FD2865A" w:rsidR="0035625F" w:rsidRPr="00206B2B" w:rsidRDefault="00FB4313" w:rsidP="006979E2">
      <w:pPr>
        <w:pStyle w:val="BodyText"/>
      </w:pPr>
      <w:r w:rsidRPr="00206B2B">
        <w:t xml:space="preserve">Thus, to enhance governance mechanisms, the </w:t>
      </w:r>
      <w:r w:rsidR="009B7FB4" w:rsidRPr="00206B2B">
        <w:t xml:space="preserve">NAP may want to consider </w:t>
      </w:r>
      <w:r w:rsidR="00E32AD6" w:rsidRPr="00206B2B">
        <w:t xml:space="preserve">roles and responsibilities for the OFW and how the NAP can link to other domestic strategies such as </w:t>
      </w:r>
      <w:r w:rsidR="00D83A99" w:rsidRPr="00206B2B">
        <w:t>the National Plan to End Violence against Women and Children</w:t>
      </w:r>
      <w:r w:rsidR="00CC0EE2" w:rsidRPr="00206B2B">
        <w:t xml:space="preserve"> 2022-2032.</w:t>
      </w:r>
    </w:p>
    <w:p w14:paraId="564909C0" w14:textId="0C2539A0" w:rsidR="003C60B4" w:rsidRDefault="00D34658" w:rsidP="007C6922">
      <w:r w:rsidRPr="00206B2B">
        <w:t xml:space="preserve">Posts working in regional multilateral environments indicated that </w:t>
      </w:r>
      <w:r w:rsidR="00915F81" w:rsidRPr="00206B2B">
        <w:t>there are clear reporting and oversight processes into DFAT</w:t>
      </w:r>
      <w:r w:rsidR="00D65166" w:rsidRPr="00206B2B">
        <w:t xml:space="preserve">, although their capacity to respond to </w:t>
      </w:r>
      <w:r w:rsidR="00A80502" w:rsidRPr="00206B2B">
        <w:t>external stakeholders i</w:t>
      </w:r>
      <w:r w:rsidR="00E51FDD" w:rsidRPr="00206B2B">
        <w:t>s</w:t>
      </w:r>
      <w:r w:rsidR="00A80502" w:rsidRPr="00206B2B">
        <w:t xml:space="preserve"> constrained due t</w:t>
      </w:r>
      <w:r w:rsidR="00B520E3" w:rsidRPr="00206B2B">
        <w:t xml:space="preserve">o resourcing </w:t>
      </w:r>
      <w:r w:rsidR="00E66C0F" w:rsidRPr="00206B2B">
        <w:t xml:space="preserve">demands. </w:t>
      </w:r>
      <w:r w:rsidR="00057038" w:rsidRPr="00206B2B">
        <w:t xml:space="preserve">One </w:t>
      </w:r>
      <w:r w:rsidR="00A60659" w:rsidRPr="00206B2B">
        <w:t>p</w:t>
      </w:r>
      <w:r w:rsidR="00057038" w:rsidRPr="00206B2B">
        <w:t xml:space="preserve">ost reported that their current resourcing allows for ad hoc engagement with </w:t>
      </w:r>
      <w:r w:rsidR="00424AC8" w:rsidRPr="00206B2B">
        <w:t xml:space="preserve">civil society and multilateral partners, but they are unable to provide deeper technical advice that is requested by </w:t>
      </w:r>
      <w:r w:rsidR="006E6EB6" w:rsidRPr="00206B2B">
        <w:t>partners, such as in the capacity-building</w:t>
      </w:r>
      <w:r w:rsidR="00B05AE1" w:rsidRPr="00206B2B">
        <w:t xml:space="preserve"> and monitoring, evaluation and learning</w:t>
      </w:r>
      <w:r w:rsidR="00CE7045" w:rsidRPr="00206B2B">
        <w:t xml:space="preserve"> (MEL)</w:t>
      </w:r>
      <w:r w:rsidR="00825711">
        <w:t> </w:t>
      </w:r>
      <w:r w:rsidR="00B05AE1" w:rsidRPr="007C6922">
        <w:t xml:space="preserve">space. </w:t>
      </w:r>
    </w:p>
    <w:p w14:paraId="60A85AED" w14:textId="320850FE" w:rsidR="00F62136" w:rsidRPr="007C6922" w:rsidRDefault="00825711" w:rsidP="007C6922">
      <w:r>
        <w:rPr>
          <w:noProof/>
        </w:rPr>
        <w:drawing>
          <wp:inline distT="0" distB="0" distL="0" distR="0" wp14:anchorId="0417E6B6" wp14:editId="2DCB566B">
            <wp:extent cx="6316980" cy="723900"/>
            <wp:effectExtent l="0" t="0" r="7620" b="0"/>
            <wp:docPr id="54812496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24960" name="Picture 8">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19CF0704" w14:textId="6E96544F" w:rsidR="007C6922" w:rsidRPr="007C6922" w:rsidRDefault="007C6922" w:rsidP="00085E10">
      <w:pPr>
        <w:pStyle w:val="Heading3"/>
      </w:pPr>
      <w:r w:rsidRPr="007C6922">
        <w:t>Finding 7. Whole of government coordination and implementation remains limited. There are clear opportunities to strengthen strategic and operational integration to accelerate WPS outcomes</w:t>
      </w:r>
    </w:p>
    <w:p w14:paraId="508FFB43" w14:textId="58EED9B9" w:rsidR="007C6922" w:rsidRDefault="007C6922" w:rsidP="007C6922">
      <w:r w:rsidRPr="007C6922">
        <w:t xml:space="preserve">There are significant opportunities to deepen integration across agencies, strategically and operationally, to accelerate WPS outcomes. These include strengthening joint policy development, embedding shared performance frameworks, enhancing cross agency governance, and expanding coordinated delivery mechanisms at country, regional and multilateral levels. Critical Australian Public Service agencies such as NEMA, e-Safety Commissioner, DCCEEW, and cyber/intelligence agencies are not systematically integrated into WPS coordination. This undermines policy coherence, particularly on climate security, digital harms, misinformation, and domestic gender security issues. </w:t>
      </w:r>
      <w:r>
        <w:br w:type="page"/>
      </w:r>
    </w:p>
    <w:p w14:paraId="59E40DD2" w14:textId="182D48ED" w:rsidR="005539C5" w:rsidRPr="00E135B9" w:rsidRDefault="00551E43" w:rsidP="00944D24">
      <w:pPr>
        <w:pStyle w:val="Heading2"/>
      </w:pPr>
      <w:r w:rsidRPr="00E135B9">
        <w:lastRenderedPageBreak/>
        <w:t>Adequacy of resources</w:t>
      </w:r>
    </w:p>
    <w:p w14:paraId="37B13557" w14:textId="2E0A2527" w:rsidR="006507D2" w:rsidRPr="00206B2B" w:rsidRDefault="006507D2" w:rsidP="006979E2">
      <w:pPr>
        <w:pStyle w:val="BodyText"/>
      </w:pPr>
      <w:r w:rsidRPr="00206B2B">
        <w:t>Resources across the WPS investment are largely being used effectively, but several areas would benefit from strengthened management and strategic adjustments to maximise impact. Evidence from the</w:t>
      </w:r>
      <w:r w:rsidR="00977B9F" w:rsidRPr="00206B2B">
        <w:t xml:space="preserve"> </w:t>
      </w:r>
      <w:r w:rsidRPr="00206B2B">
        <w:t xml:space="preserve">AIMR shows that the investment is performing well overall, with strong ratings for both effectiveness and efficiency. Specifically, the program received scores of 5 out of 6 for effectiveness and 5 out of 6 for efficiency, indicating that outputs and outcomes are generally being delivered as planned and that partners are using funds responsibly and productively. This strong performance is reinforced by the tangible </w:t>
      </w:r>
      <w:r w:rsidR="00A777B0" w:rsidRPr="00206B2B">
        <w:t>progress</w:t>
      </w:r>
      <w:r w:rsidRPr="00206B2B">
        <w:t xml:space="preserve"> seen across the portfolio, such as the support provided to Vietnam and Timor-Leste in launching updated N</w:t>
      </w:r>
      <w:r w:rsidR="004169FC" w:rsidRPr="00206B2B">
        <w:t>APs</w:t>
      </w:r>
      <w:r w:rsidRPr="00206B2B">
        <w:t xml:space="preserve"> on WPS, with additional plans expected in Cambodia and the Solomon Islands. These successes demonstrate that funds directed toward UN Women are producing measurable gains in WPS localisation across the Asia</w:t>
      </w:r>
      <w:r w:rsidR="00FA3710" w:rsidRPr="00206B2B">
        <w:t xml:space="preserve"> </w:t>
      </w:r>
      <w:r w:rsidRPr="00206B2B">
        <w:t>Pacific region.</w:t>
      </w:r>
    </w:p>
    <w:p w14:paraId="24582AE4" w14:textId="0F94E373" w:rsidR="006507D2" w:rsidRPr="00206B2B" w:rsidRDefault="006507D2" w:rsidP="006979E2">
      <w:pPr>
        <w:pStyle w:val="BodyText"/>
      </w:pPr>
      <w:r w:rsidRPr="00206B2B">
        <w:t>The resilience, justice, and crisis response components of the investment also highlight effective use of resources. For instance, the Gender Justice Practitioners Hub has contributed to the ICC Office of the Prosecutor committing to develop new principles on gender persecution, signalling meaningful policy influence at international level. Meanwhile, Australia’s core funding to the WPHF has enabled large-scale delivery of frontline support, including 188 new grants to 293 civil society organisations and direct safety assistance to 369 women human rights defenders and over 1,000 dependents in 22 crisis-affected countries</w:t>
      </w:r>
      <w:r w:rsidR="009B706F" w:rsidRPr="00206B2B">
        <w:t xml:space="preserve">, </w:t>
      </w:r>
      <w:r w:rsidRPr="00206B2B">
        <w:t>evidence of highly efficient, rapid, and targeted deployment of funds in high-need</w:t>
      </w:r>
      <w:r w:rsidR="00105D31">
        <w:t> </w:t>
      </w:r>
      <w:r w:rsidRPr="00206B2B">
        <w:t>environments.</w:t>
      </w:r>
    </w:p>
    <w:p w14:paraId="6A5EB331" w14:textId="234D9B43" w:rsidR="006507D2" w:rsidRPr="00206B2B" w:rsidRDefault="006507D2" w:rsidP="006979E2">
      <w:pPr>
        <w:pStyle w:val="BodyText"/>
      </w:pPr>
      <w:r w:rsidRPr="00206B2B">
        <w:t xml:space="preserve">Resource use has also been affected by external factors such as currency losses when converting Australian dollars into USD or EUR, which </w:t>
      </w:r>
      <w:r w:rsidR="00F0347B" w:rsidRPr="00206B2B">
        <w:t xml:space="preserve">can </w:t>
      </w:r>
      <w:r w:rsidRPr="00206B2B">
        <w:t xml:space="preserve">reduce the purchasing power of funds and constrain partner delivery. </w:t>
      </w:r>
      <w:r w:rsidR="0044021A" w:rsidRPr="00206B2B">
        <w:t>A</w:t>
      </w:r>
      <w:r w:rsidRPr="00206B2B">
        <w:t>lthough gender equality performance is strong, with a score of 6 out of 6, disability inclusion remains at an “adequate” level (4 out of 6), suggesting that resources could be more intentionally directed to support inclusion of people with disabilities, including through expanded co-design with organisations of persons with disabilities and the development of tailored performance</w:t>
      </w:r>
      <w:r w:rsidR="00105D31">
        <w:t> </w:t>
      </w:r>
      <w:r w:rsidRPr="00206B2B">
        <w:t>indicators.</w:t>
      </w:r>
      <w:r w:rsidR="00F96DD3" w:rsidRPr="00206B2B">
        <w:rPr>
          <w:rStyle w:val="FootnoteReference"/>
        </w:rPr>
        <w:footnoteReference w:id="64"/>
      </w:r>
    </w:p>
    <w:p w14:paraId="4E0D3C89" w14:textId="683ADD05" w:rsidR="006507D2" w:rsidRPr="00D87D60" w:rsidRDefault="006507D2" w:rsidP="006979E2">
      <w:pPr>
        <w:pStyle w:val="BodyText"/>
      </w:pPr>
      <w:r w:rsidRPr="00206B2B">
        <w:t xml:space="preserve">Finally, while climate–peace–security </w:t>
      </w:r>
      <w:r w:rsidR="006D5659" w:rsidRPr="00206B2B">
        <w:t xml:space="preserve">(CPS) </w:t>
      </w:r>
      <w:r w:rsidRPr="00206B2B">
        <w:t xml:space="preserve">considerations are integrated as a mainstreamed theme, they have not yet been elevated to a significant or principal objective. Given the growing recognition of climate risks as a driver of conflict and insecurity, strengthening the CPS dimension would allow resources to achieve greater </w:t>
      </w:r>
      <w:r w:rsidR="00E97D1B" w:rsidRPr="00206B2B">
        <w:t>long-term</w:t>
      </w:r>
      <w:r w:rsidRPr="00206B2B">
        <w:t xml:space="preserve"> and systemic impact. Partners have already demonstrated strong momentum in this space through CPS events at </w:t>
      </w:r>
      <w:r w:rsidR="007930AC" w:rsidRPr="00206B2B">
        <w:t xml:space="preserve">the UN’s Conference of the Parties (COP), </w:t>
      </w:r>
      <w:r w:rsidRPr="00206B2B">
        <w:t xml:space="preserve">COP28 and COP29 and through new climate-security funding windows under WPHF, indicating that additional investment would likely yield strong returns. </w:t>
      </w:r>
    </w:p>
    <w:p w14:paraId="6CD83686" w14:textId="77777777" w:rsidR="006507D2" w:rsidRPr="00206B2B" w:rsidRDefault="006507D2" w:rsidP="006979E2">
      <w:pPr>
        <w:pStyle w:val="BodyText"/>
      </w:pPr>
      <w:r w:rsidRPr="00206B2B">
        <w:t>In summary, resources are being used effectively overall: the program is delivering concrete results, leveraging partners’ strengths, and providing direct support to women’s rights organisations and human rights defenders in conflict-affected contexts. However, to maximise effectiveness, the investment would benefit from accelerated spending, donor diversification, stronger partner performance management, enhanced disability inclusion, and a more explicit focus on climate–security integration.</w:t>
      </w:r>
    </w:p>
    <w:p w14:paraId="0FCB07CC" w14:textId="120341C0" w:rsidR="00DA7511" w:rsidRPr="00206B2B" w:rsidRDefault="00697E30" w:rsidP="006979E2">
      <w:pPr>
        <w:pStyle w:val="BodyText"/>
      </w:pPr>
      <w:r w:rsidRPr="00206B2B">
        <w:t xml:space="preserve">Australian based resources are </w:t>
      </w:r>
      <w:r w:rsidR="005305D9" w:rsidRPr="00206B2B">
        <w:t xml:space="preserve">limited to a single WPS advisor within the DFAT located within the development </w:t>
      </w:r>
      <w:r w:rsidR="00E42E9D" w:rsidRPr="00206B2B">
        <w:t>area, a single advisor within the Department of Home Affairs, two advisors within AFP and a dedicated WPS advisor within the ACMC</w:t>
      </w:r>
      <w:r w:rsidR="000433CF" w:rsidRPr="00206B2B">
        <w:t xml:space="preserve">. </w:t>
      </w:r>
      <w:r w:rsidR="00DA7511" w:rsidRPr="00206B2B">
        <w:t xml:space="preserve">Department of Defence maintains a Gender, Peace and Security Directorate, who support the </w:t>
      </w:r>
      <w:r w:rsidR="00DF5E1E" w:rsidRPr="00206B2B">
        <w:t>d</w:t>
      </w:r>
      <w:r w:rsidR="00DA7511" w:rsidRPr="00206B2B">
        <w:t>epartment to meet its commitments under the NAP.</w:t>
      </w:r>
    </w:p>
    <w:p w14:paraId="1F2C7C77" w14:textId="1C5357A2" w:rsidR="00AE5992" w:rsidRPr="00E135B9" w:rsidRDefault="00957542" w:rsidP="00944D24">
      <w:pPr>
        <w:pStyle w:val="Heading2"/>
      </w:pPr>
      <w:r w:rsidRPr="00E135B9">
        <w:lastRenderedPageBreak/>
        <w:t>M</w:t>
      </w:r>
      <w:r w:rsidR="009970EF" w:rsidRPr="00E135B9">
        <w:t>onitoring and evaluation systems</w:t>
      </w:r>
    </w:p>
    <w:p w14:paraId="0DFDA9F8" w14:textId="49C4B24E" w:rsidR="004B7EC1" w:rsidRPr="00206B2B" w:rsidRDefault="00A7602E" w:rsidP="006979E2">
      <w:pPr>
        <w:pStyle w:val="BodyText"/>
      </w:pPr>
      <w:r w:rsidRPr="00206B2B">
        <w:t>M&amp;E</w:t>
      </w:r>
      <w:r w:rsidR="004B7EC1" w:rsidRPr="00206B2B">
        <w:t xml:space="preserve"> under Australia’s WPS NAP</w:t>
      </w:r>
      <w:r w:rsidR="00BB44B3" w:rsidRPr="00206B2B">
        <w:t xml:space="preserve"> </w:t>
      </w:r>
      <w:r w:rsidR="004B7EC1" w:rsidRPr="00206B2B">
        <w:t>and across the Indo-Pacific</w:t>
      </w:r>
      <w:r w:rsidR="00BB44B3" w:rsidRPr="00206B2B">
        <w:t xml:space="preserve"> </w:t>
      </w:r>
      <w:r w:rsidR="004B7EC1" w:rsidRPr="00206B2B">
        <w:t xml:space="preserve">needs to move from broad activity tracking to specific, outcome-driven frameworks that reflect regional realities. Current systems often measure outputs like the number of trainings or deployments but fail to assess whether these actions lead to tangible changes, such as women influencing peace negotiations or reducing </w:t>
      </w:r>
      <w:r w:rsidR="009F4B20" w:rsidRPr="00206B2B">
        <w:t>GBV</w:t>
      </w:r>
      <w:r w:rsidR="004B7EC1" w:rsidRPr="00206B2B">
        <w:t xml:space="preserve">. This gap makes it </w:t>
      </w:r>
      <w:r w:rsidR="004E7E49" w:rsidRPr="00206B2B">
        <w:t>difficult</w:t>
      </w:r>
      <w:r w:rsidR="004B7EC1" w:rsidRPr="00206B2B">
        <w:t xml:space="preserve"> to demonstrate impact and learn from experience.</w:t>
      </w:r>
    </w:p>
    <w:p w14:paraId="0C8F5F74" w14:textId="3F85CB60" w:rsidR="00581F04" w:rsidRDefault="00C54932" w:rsidP="006979E2">
      <w:pPr>
        <w:pStyle w:val="BodyText"/>
      </w:pPr>
      <w:r>
        <w:t xml:space="preserve">Challenges exist with the current MEL, </w:t>
      </w:r>
      <w:r w:rsidR="00D074C2">
        <w:t xml:space="preserve">primarily </w:t>
      </w:r>
      <w:r>
        <w:t xml:space="preserve">related to </w:t>
      </w:r>
      <w:r w:rsidR="001A53DB">
        <w:t>the relevance of indicators</w:t>
      </w:r>
      <w:r w:rsidR="00D14E67">
        <w:t xml:space="preserve">, data sets, methodology and </w:t>
      </w:r>
      <w:r w:rsidR="00553A57">
        <w:t>monitoring in a complex operating environment</w:t>
      </w:r>
      <w:r w:rsidR="007E5475">
        <w:t>.</w:t>
      </w:r>
      <w:r w:rsidR="00553A57">
        <w:t xml:space="preserve"> </w:t>
      </w:r>
      <w:r w:rsidR="00A55E05" w:rsidRPr="00206B2B">
        <w:t xml:space="preserve">Robust quantitative and qualitative data collection and analyses are critical </w:t>
      </w:r>
      <w:r w:rsidR="00C7483C" w:rsidRPr="00206B2B">
        <w:t xml:space="preserve">for assessing effectiveness of the </w:t>
      </w:r>
      <w:r w:rsidR="00D45388" w:rsidRPr="00206B2B">
        <w:t>WPS NAP. T</w:t>
      </w:r>
      <w:r w:rsidR="004B7EC1" w:rsidRPr="00206B2B">
        <w:t xml:space="preserve">he </w:t>
      </w:r>
      <w:r w:rsidR="00A7602E" w:rsidRPr="00206B2B">
        <w:t>M&amp;E</w:t>
      </w:r>
      <w:r w:rsidR="004B7EC1" w:rsidRPr="00206B2B">
        <w:t xml:space="preserve"> framework should include clear, measurable indicators tied to regional priorities. </w:t>
      </w:r>
      <w:r w:rsidR="004352C5" w:rsidRPr="00206B2B">
        <w:t>Understandably, this becomes complex whe</w:t>
      </w:r>
      <w:r w:rsidR="005E2F20" w:rsidRPr="00206B2B">
        <w:t xml:space="preserve">n there are multiple </w:t>
      </w:r>
      <w:r w:rsidR="000A6099" w:rsidRPr="00206B2B">
        <w:t xml:space="preserve">MPS delivery partners, each with varied </w:t>
      </w:r>
      <w:r w:rsidR="00E5718F" w:rsidRPr="00206B2B">
        <w:t>action plans</w:t>
      </w:r>
      <w:r w:rsidR="004328A0" w:rsidRPr="00206B2B">
        <w:t xml:space="preserve"> and </w:t>
      </w:r>
      <w:r w:rsidR="00F668EB" w:rsidRPr="00206B2B">
        <w:t xml:space="preserve">activities delivered over </w:t>
      </w:r>
      <w:r w:rsidR="009A21DA" w:rsidRPr="00206B2B">
        <w:t>different</w:t>
      </w:r>
      <w:r w:rsidR="00F668EB" w:rsidRPr="00206B2B">
        <w:t xml:space="preserve"> time periods. Add to this the complex global environment, and the ability to </w:t>
      </w:r>
      <w:r w:rsidR="00E82D62" w:rsidRPr="00206B2B">
        <w:t xml:space="preserve">infer causal links to the </w:t>
      </w:r>
      <w:r w:rsidR="00CB4FD1" w:rsidRPr="00206B2B">
        <w:t xml:space="preserve">WPS and outcomes </w:t>
      </w:r>
      <w:r w:rsidR="00753668" w:rsidRPr="00206B2B">
        <w:t xml:space="preserve">achieved becomes </w:t>
      </w:r>
      <w:r w:rsidR="00571B45" w:rsidRPr="00206B2B">
        <w:t xml:space="preserve">difficult. </w:t>
      </w:r>
    </w:p>
    <w:p w14:paraId="6CE32D8B" w14:textId="1C6BC0E6" w:rsidR="00D30259" w:rsidRPr="00206B2B" w:rsidRDefault="00FC2508" w:rsidP="006979E2">
      <w:pPr>
        <w:pStyle w:val="BodyText"/>
      </w:pPr>
      <w:r>
        <w:t xml:space="preserve">Stakeholders consistently </w:t>
      </w:r>
      <w:r w:rsidR="0086340B">
        <w:t xml:space="preserve">stressed the </w:t>
      </w:r>
      <w:r w:rsidR="00747417">
        <w:t>need</w:t>
      </w:r>
      <w:r w:rsidR="009543A7">
        <w:t xml:space="preserve"> to address and upgrade implementing partners </w:t>
      </w:r>
      <w:r w:rsidR="00964B0D">
        <w:t xml:space="preserve">monitoring and </w:t>
      </w:r>
      <w:r w:rsidR="0000258E">
        <w:t>reporting</w:t>
      </w:r>
      <w:r w:rsidR="00964B0D">
        <w:t xml:space="preserve"> mechanisms</w:t>
      </w:r>
      <w:r w:rsidR="00EE32E9">
        <w:t xml:space="preserve"> to </w:t>
      </w:r>
      <w:r w:rsidR="004D18C1">
        <w:t>bring insights together in a systematic way</w:t>
      </w:r>
      <w:r w:rsidR="006F0E7D">
        <w:t xml:space="preserve">, </w:t>
      </w:r>
      <w:r w:rsidR="00EE32E9">
        <w:t>ensure accountability to the WPS objectives</w:t>
      </w:r>
      <w:r w:rsidR="0022202B">
        <w:t>,</w:t>
      </w:r>
      <w:r w:rsidR="00616319">
        <w:t xml:space="preserve"> and enhance</w:t>
      </w:r>
      <w:r w:rsidR="0022202B">
        <w:t xml:space="preserve"> </w:t>
      </w:r>
      <w:r w:rsidR="00EE32E9">
        <w:t xml:space="preserve">transparency </w:t>
      </w:r>
      <w:r w:rsidR="0022202B">
        <w:t>regarding</w:t>
      </w:r>
      <w:r w:rsidR="00EE32E9">
        <w:t xml:space="preserve"> the impact being achieved.</w:t>
      </w:r>
      <w:r w:rsidR="0004044C">
        <w:t xml:space="preserve"> This should also be balanced with </w:t>
      </w:r>
      <w:r w:rsidR="00C4065B">
        <w:t xml:space="preserve">a pragmatic approach to reporting which minimises administrative burden on implementing partners and </w:t>
      </w:r>
      <w:r w:rsidR="00556333">
        <w:t xml:space="preserve">considers resourcing requirements should additional data collection and reporting be required. </w:t>
      </w:r>
      <w:r w:rsidR="00867BA8">
        <w:t xml:space="preserve"> </w:t>
      </w:r>
    </w:p>
    <w:p w14:paraId="2451D81F" w14:textId="4AD138EE" w:rsidR="00F85457" w:rsidRPr="00206B2B" w:rsidRDefault="00924286" w:rsidP="006979E2">
      <w:pPr>
        <w:pStyle w:val="BodyText"/>
      </w:pPr>
      <w:r w:rsidRPr="00206B2B">
        <w:t xml:space="preserve">The longevity of the current plan also creates challenges for </w:t>
      </w:r>
      <w:r w:rsidR="00A7602E" w:rsidRPr="00206B2B">
        <w:t>M&amp;E</w:t>
      </w:r>
      <w:r w:rsidRPr="00206B2B">
        <w:t>, with d</w:t>
      </w:r>
      <w:r w:rsidR="003D4D9B" w:rsidRPr="00206B2B">
        <w:t xml:space="preserve">ata sources </w:t>
      </w:r>
      <w:r w:rsidR="0059606F" w:rsidRPr="00206B2B">
        <w:t>often becoming outdated</w:t>
      </w:r>
      <w:r w:rsidR="0028036E" w:rsidRPr="00206B2B">
        <w:t xml:space="preserve"> or obsolete. </w:t>
      </w:r>
      <w:r w:rsidR="00D3559E" w:rsidRPr="00206B2B">
        <w:t>T</w:t>
      </w:r>
      <w:r w:rsidR="00DF5D60" w:rsidRPr="00206B2B">
        <w:t xml:space="preserve">he </w:t>
      </w:r>
      <w:r w:rsidR="00A7602E" w:rsidRPr="00206B2B">
        <w:t>M&amp;E</w:t>
      </w:r>
      <w:r w:rsidR="00DF5D60" w:rsidRPr="00206B2B">
        <w:t xml:space="preserve"> framework would benefit from </w:t>
      </w:r>
      <w:r w:rsidR="00D3559E" w:rsidRPr="00206B2B">
        <w:t>an updated set of</w:t>
      </w:r>
      <w:r w:rsidR="00DF5D60" w:rsidRPr="00206B2B">
        <w:t xml:space="preserve"> indicators </w:t>
      </w:r>
      <w:r w:rsidR="00D3559E" w:rsidRPr="00206B2B">
        <w:t xml:space="preserve">which </w:t>
      </w:r>
      <w:r w:rsidR="00461345" w:rsidRPr="00206B2B">
        <w:t xml:space="preserve">prioritise contemporary data sources and </w:t>
      </w:r>
      <w:r w:rsidR="00D3559E" w:rsidRPr="00206B2B">
        <w:t xml:space="preserve">consider impact </w:t>
      </w:r>
      <w:r w:rsidR="00DF5D60" w:rsidRPr="00206B2B">
        <w:t xml:space="preserve">across </w:t>
      </w:r>
      <w:r w:rsidR="00792BCE" w:rsidRPr="00206B2B">
        <w:t>three</w:t>
      </w:r>
      <w:r w:rsidR="00DF5D60" w:rsidRPr="00206B2B">
        <w:t xml:space="preserve"> key areas: </w:t>
      </w:r>
    </w:p>
    <w:p w14:paraId="186E51F2" w14:textId="52F00DA4" w:rsidR="00542CC3" w:rsidRPr="00206B2B" w:rsidRDefault="00542CC3" w:rsidP="00542CC3">
      <w:pPr>
        <w:pStyle w:val="Caption"/>
        <w:keepNext/>
      </w:pPr>
      <w:r w:rsidRPr="00206B2B">
        <w:t xml:space="preserve">Table </w:t>
      </w:r>
      <w:r w:rsidRPr="00206B2B">
        <w:fldChar w:fldCharType="begin"/>
      </w:r>
      <w:r w:rsidRPr="00206B2B">
        <w:instrText xml:space="preserve"> SEQ Table \* ARABIC </w:instrText>
      </w:r>
      <w:r w:rsidRPr="00206B2B">
        <w:fldChar w:fldCharType="separate"/>
      </w:r>
      <w:r w:rsidR="009E05C9">
        <w:rPr>
          <w:noProof/>
        </w:rPr>
        <w:t>2</w:t>
      </w:r>
      <w:r w:rsidRPr="00206B2B">
        <w:fldChar w:fldCharType="end"/>
      </w:r>
      <w:r w:rsidRPr="00206B2B">
        <w:t>:</w:t>
      </w:r>
      <w:r w:rsidR="004D7D99" w:rsidRPr="00206B2B">
        <w:t xml:space="preserve"> Example indicators for consideration</w:t>
      </w:r>
    </w:p>
    <w:tbl>
      <w:tblPr>
        <w:tblStyle w:val="KPMGTable"/>
        <w:tblW w:w="5000" w:type="pct"/>
        <w:tblLook w:val="04A0" w:firstRow="1" w:lastRow="0" w:firstColumn="1" w:lastColumn="0" w:noHBand="0" w:noVBand="1"/>
      </w:tblPr>
      <w:tblGrid>
        <w:gridCol w:w="2333"/>
        <w:gridCol w:w="7872"/>
      </w:tblGrid>
      <w:tr w:rsidR="00293EBD" w:rsidRPr="004D0743" w14:paraId="7EF71407" w14:textId="77777777" w:rsidTr="00E13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3" w:type="pct"/>
          </w:tcPr>
          <w:p w14:paraId="31888A43" w14:textId="77777777" w:rsidR="00DF5D60" w:rsidRPr="00E135B9" w:rsidRDefault="00DF5D60" w:rsidP="00E135B9">
            <w:r w:rsidRPr="00E135B9">
              <w:t>Measurement type</w:t>
            </w:r>
          </w:p>
        </w:tc>
        <w:tc>
          <w:tcPr>
            <w:tcW w:w="3857" w:type="pct"/>
          </w:tcPr>
          <w:p w14:paraId="5E2CFD1C" w14:textId="054F69A6" w:rsidR="00DF5D60" w:rsidRPr="00E135B9" w:rsidRDefault="00D006C1" w:rsidP="00E135B9">
            <w:pPr>
              <w:cnfStyle w:val="100000000000" w:firstRow="1" w:lastRow="0" w:firstColumn="0" w:lastColumn="0" w:oddVBand="0" w:evenVBand="0" w:oddHBand="0" w:evenHBand="0" w:firstRowFirstColumn="0" w:firstRowLastColumn="0" w:lastRowFirstColumn="0" w:lastRowLastColumn="0"/>
            </w:pPr>
            <w:r w:rsidRPr="00E135B9">
              <w:t>Example Indicators</w:t>
            </w:r>
          </w:p>
        </w:tc>
      </w:tr>
      <w:tr w:rsidR="00293EBD" w:rsidRPr="004D0743" w14:paraId="274B0EB8" w14:textId="77777777" w:rsidTr="00E13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3" w:type="pct"/>
          </w:tcPr>
          <w:p w14:paraId="7321257B" w14:textId="2A9BBB71" w:rsidR="00DF5D60" w:rsidRPr="00D230F6" w:rsidRDefault="00DF5D60">
            <w:pPr>
              <w:pStyle w:val="TableText"/>
            </w:pPr>
            <w:r w:rsidRPr="00D230F6">
              <w:t>Process</w:t>
            </w:r>
            <w:r w:rsidR="001B6148" w:rsidRPr="00D230F6">
              <w:t xml:space="preserve"> </w:t>
            </w:r>
          </w:p>
        </w:tc>
        <w:tc>
          <w:tcPr>
            <w:tcW w:w="3857" w:type="pct"/>
          </w:tcPr>
          <w:p w14:paraId="6CC8D11D" w14:textId="075E950C" w:rsidR="00792BCE" w:rsidRPr="00206B2B" w:rsidRDefault="00C05792" w:rsidP="00792BCE">
            <w:pPr>
              <w:pStyle w:val="TableBullet1stlevel"/>
              <w:cnfStyle w:val="000000100000" w:firstRow="0" w:lastRow="0" w:firstColumn="0" w:lastColumn="0" w:oddVBand="0" w:evenVBand="0" w:oddHBand="1" w:evenHBand="0" w:firstRowFirstColumn="0" w:firstRowLastColumn="0" w:lastRowFirstColumn="0" w:lastRowLastColumn="0"/>
            </w:pPr>
            <w:r w:rsidRPr="00206B2B">
              <w:t>Number and types</w:t>
            </w:r>
            <w:r w:rsidR="00792BCE" w:rsidRPr="00206B2B">
              <w:t xml:space="preserve"> of initiatives and settings</w:t>
            </w:r>
          </w:p>
          <w:p w14:paraId="59A7D9D1" w14:textId="5288A3D5" w:rsidR="00DF5D60" w:rsidRPr="00206B2B" w:rsidRDefault="00DF5D60">
            <w:pPr>
              <w:pStyle w:val="TableBullet1stlevel"/>
              <w:cnfStyle w:val="000000100000" w:firstRow="0" w:lastRow="0" w:firstColumn="0" w:lastColumn="0" w:oddVBand="0" w:evenVBand="0" w:oddHBand="1" w:evenHBand="0" w:firstRowFirstColumn="0" w:firstRowLastColumn="0" w:lastRowFirstColumn="0" w:lastRowLastColumn="0"/>
            </w:pPr>
            <w:r w:rsidRPr="00206B2B">
              <w:t xml:space="preserve">Number of </w:t>
            </w:r>
            <w:r w:rsidR="00C05792" w:rsidRPr="00206B2B">
              <w:t>people</w:t>
            </w:r>
            <w:r w:rsidRPr="00206B2B">
              <w:t xml:space="preserve"> engaging with the </w:t>
            </w:r>
            <w:r w:rsidR="00C05792" w:rsidRPr="00206B2B">
              <w:t>initiatives</w:t>
            </w:r>
          </w:p>
          <w:p w14:paraId="1A61717A" w14:textId="509B6EAE" w:rsidR="00DF5D60" w:rsidRPr="00206B2B" w:rsidRDefault="00DF5D60">
            <w:pPr>
              <w:pStyle w:val="TableBullet1stlevel"/>
              <w:cnfStyle w:val="000000100000" w:firstRow="0" w:lastRow="0" w:firstColumn="0" w:lastColumn="0" w:oddVBand="0" w:evenVBand="0" w:oddHBand="1" w:evenHBand="0" w:firstRowFirstColumn="0" w:firstRowLastColumn="0" w:lastRowFirstColumn="0" w:lastRowLastColumn="0"/>
            </w:pPr>
            <w:r w:rsidRPr="00206B2B">
              <w:t>Number of partners involved</w:t>
            </w:r>
          </w:p>
        </w:tc>
      </w:tr>
      <w:tr w:rsidR="00293EBD" w:rsidRPr="004D0743" w14:paraId="00010E8D" w14:textId="77777777" w:rsidTr="00E135B9">
        <w:tc>
          <w:tcPr>
            <w:cnfStyle w:val="001000000000" w:firstRow="0" w:lastRow="0" w:firstColumn="1" w:lastColumn="0" w:oddVBand="0" w:evenVBand="0" w:oddHBand="0" w:evenHBand="0" w:firstRowFirstColumn="0" w:firstRowLastColumn="0" w:lastRowFirstColumn="0" w:lastRowLastColumn="0"/>
            <w:tcW w:w="1143" w:type="pct"/>
          </w:tcPr>
          <w:p w14:paraId="05806D12" w14:textId="77777777" w:rsidR="00DF5D60" w:rsidRPr="00D230F6" w:rsidRDefault="00DF5D60" w:rsidP="00105D31">
            <w:r w:rsidRPr="00D230F6">
              <w:t>Outcomes</w:t>
            </w:r>
          </w:p>
        </w:tc>
        <w:tc>
          <w:tcPr>
            <w:tcW w:w="3857" w:type="pct"/>
          </w:tcPr>
          <w:p w14:paraId="2AE4FA8F" w14:textId="6C3614A3" w:rsidR="00DF5D60" w:rsidRPr="00206B2B" w:rsidRDefault="00C05792" w:rsidP="001F480B">
            <w:pPr>
              <w:pStyle w:val="TableBullet1stlevel"/>
              <w:keepNext/>
              <w:keepLines/>
              <w:cnfStyle w:val="000000000000" w:firstRow="0" w:lastRow="0" w:firstColumn="0" w:lastColumn="0" w:oddVBand="0" w:evenVBand="0" w:oddHBand="0" w:evenHBand="0" w:firstRowFirstColumn="0" w:firstRowLastColumn="0" w:lastRowFirstColumn="0" w:lastRowLastColumn="0"/>
            </w:pPr>
            <w:r w:rsidRPr="00206B2B">
              <w:t xml:space="preserve">Evidence of increased awareness </w:t>
            </w:r>
          </w:p>
          <w:p w14:paraId="2D6D05D2" w14:textId="66C20E8E" w:rsidR="00DF5D60" w:rsidRPr="00206B2B" w:rsidRDefault="00C05792" w:rsidP="001F480B">
            <w:pPr>
              <w:pStyle w:val="TableBullet1stlevel"/>
              <w:keepNext/>
              <w:keepLines/>
              <w:cnfStyle w:val="000000000000" w:firstRow="0" w:lastRow="0" w:firstColumn="0" w:lastColumn="0" w:oddVBand="0" w:evenVBand="0" w:oddHBand="0" w:evenHBand="0" w:firstRowFirstColumn="0" w:firstRowLastColumn="0" w:lastRowFirstColumn="0" w:lastRowLastColumn="0"/>
            </w:pPr>
            <w:r w:rsidRPr="00206B2B">
              <w:t>Evidence of improved attitudes towards WPS</w:t>
            </w:r>
          </w:p>
          <w:p w14:paraId="4A851E85" w14:textId="41483389" w:rsidR="00DF5D60" w:rsidRPr="00206B2B" w:rsidRDefault="00C05792" w:rsidP="001F480B">
            <w:pPr>
              <w:pStyle w:val="TableBullet1stlevel"/>
              <w:keepNext/>
              <w:keepLines/>
              <w:cnfStyle w:val="000000000000" w:firstRow="0" w:lastRow="0" w:firstColumn="0" w:lastColumn="0" w:oddVBand="0" w:evenVBand="0" w:oddHBand="0" w:evenHBand="0" w:firstRowFirstColumn="0" w:firstRowLastColumn="0" w:lastRowFirstColumn="0" w:lastRowLastColumn="0"/>
            </w:pPr>
            <w:r w:rsidRPr="00206B2B">
              <w:t xml:space="preserve">Evidence of policy change regarding WPS </w:t>
            </w:r>
          </w:p>
          <w:p w14:paraId="38E3786E" w14:textId="5E68ED2A" w:rsidR="00C05792" w:rsidRPr="00206B2B" w:rsidRDefault="00C05792" w:rsidP="001F480B">
            <w:pPr>
              <w:pStyle w:val="TableBullet1stlevel"/>
              <w:keepNext/>
              <w:keepLines/>
              <w:cnfStyle w:val="000000000000" w:firstRow="0" w:lastRow="0" w:firstColumn="0" w:lastColumn="0" w:oddVBand="0" w:evenVBand="0" w:oddHBand="0" w:evenHBand="0" w:firstRowFirstColumn="0" w:firstRowLastColumn="0" w:lastRowFirstColumn="0" w:lastRowLastColumn="0"/>
            </w:pPr>
            <w:r w:rsidRPr="00206B2B">
              <w:t xml:space="preserve">Evidence of behaviour change regarding WPS </w:t>
            </w:r>
          </w:p>
          <w:p w14:paraId="6FF0B29C" w14:textId="28C747D9" w:rsidR="00DF5D60" w:rsidRPr="00206B2B" w:rsidRDefault="00DF5D60" w:rsidP="001F480B">
            <w:pPr>
              <w:pStyle w:val="TableBullet1stlevel"/>
              <w:keepNext/>
              <w:keepLines/>
              <w:cnfStyle w:val="000000000000" w:firstRow="0" w:lastRow="0" w:firstColumn="0" w:lastColumn="0" w:oddVBand="0" w:evenVBand="0" w:oddHBand="0" w:evenHBand="0" w:firstRowFirstColumn="0" w:firstRowLastColumn="0" w:lastRowFirstColumn="0" w:lastRowLastColumn="0"/>
            </w:pPr>
            <w:r w:rsidRPr="00206B2B">
              <w:t xml:space="preserve">Number and percentage of people that report improved behaviours or </w:t>
            </w:r>
            <w:r w:rsidR="00C05792" w:rsidRPr="00206B2B">
              <w:t>reduced risks</w:t>
            </w:r>
          </w:p>
        </w:tc>
      </w:tr>
      <w:tr w:rsidR="00293EBD" w:rsidRPr="004D0743" w14:paraId="1F6B50BB" w14:textId="77777777" w:rsidTr="00E13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3" w:type="pct"/>
          </w:tcPr>
          <w:p w14:paraId="4397DEB6" w14:textId="77777777" w:rsidR="00DF5D60" w:rsidRPr="00D230F6" w:rsidRDefault="00DF5D60">
            <w:pPr>
              <w:pStyle w:val="TableText"/>
            </w:pPr>
            <w:r w:rsidRPr="00D230F6">
              <w:t>Experience</w:t>
            </w:r>
          </w:p>
        </w:tc>
        <w:tc>
          <w:tcPr>
            <w:tcW w:w="3857" w:type="pct"/>
          </w:tcPr>
          <w:p w14:paraId="3447BB65" w14:textId="1DA9D2D6" w:rsidR="00DF5D60" w:rsidRPr="00206B2B" w:rsidRDefault="00DF5D60">
            <w:pPr>
              <w:pStyle w:val="TableBullet1stlevel"/>
              <w:cnfStyle w:val="000000100000" w:firstRow="0" w:lastRow="0" w:firstColumn="0" w:lastColumn="0" w:oddVBand="0" w:evenVBand="0" w:oddHBand="1" w:evenHBand="0" w:firstRowFirstColumn="0" w:firstRowLastColumn="0" w:lastRowFirstColumn="0" w:lastRowLastColumn="0"/>
            </w:pPr>
            <w:r w:rsidRPr="00206B2B">
              <w:t xml:space="preserve">Number and percentage of people that report the </w:t>
            </w:r>
            <w:r w:rsidR="00C05792" w:rsidRPr="00206B2B">
              <w:t>initiatives are</w:t>
            </w:r>
            <w:r w:rsidRPr="00206B2B">
              <w:t xml:space="preserve"> culturally safe and appropriate</w:t>
            </w:r>
          </w:p>
          <w:p w14:paraId="3EECD9C6" w14:textId="1FC92CBE" w:rsidR="00DF5D60" w:rsidRPr="00206B2B" w:rsidRDefault="00DF5D60">
            <w:pPr>
              <w:pStyle w:val="TableBullet1stlevel"/>
              <w:cnfStyle w:val="000000100000" w:firstRow="0" w:lastRow="0" w:firstColumn="0" w:lastColumn="0" w:oddVBand="0" w:evenVBand="0" w:oddHBand="1" w:evenHBand="0" w:firstRowFirstColumn="0" w:firstRowLastColumn="0" w:lastRowFirstColumn="0" w:lastRowLastColumn="0"/>
            </w:pPr>
            <w:r w:rsidRPr="00206B2B">
              <w:t xml:space="preserve">Number and percentage of people that report they were </w:t>
            </w:r>
            <w:r w:rsidR="00C05792" w:rsidRPr="00206B2B">
              <w:t>satisfied</w:t>
            </w:r>
            <w:r w:rsidRPr="00206B2B">
              <w:t xml:space="preserve"> with </w:t>
            </w:r>
            <w:r w:rsidR="00C05792" w:rsidRPr="00206B2B">
              <w:t xml:space="preserve">the </w:t>
            </w:r>
            <w:r w:rsidR="0011014F" w:rsidRPr="00206B2B">
              <w:t>initiatives</w:t>
            </w:r>
            <w:r w:rsidRPr="00206B2B">
              <w:t xml:space="preserve"> </w:t>
            </w:r>
          </w:p>
        </w:tc>
      </w:tr>
    </w:tbl>
    <w:p w14:paraId="79D81B44" w14:textId="77777777" w:rsidR="006C5D54" w:rsidRPr="00BC0F52" w:rsidRDefault="006C5D54" w:rsidP="00BC0F52">
      <w:r w:rsidRPr="00BC0F52">
        <w:t>Source: KPMG analysis (2025)</w:t>
      </w:r>
    </w:p>
    <w:p w14:paraId="7D76CE4F" w14:textId="77777777" w:rsidR="00BC0F52" w:rsidRDefault="0011014F" w:rsidP="006979E2">
      <w:pPr>
        <w:pStyle w:val="BodyText"/>
      </w:pPr>
      <w:r w:rsidRPr="00206B2B">
        <w:t xml:space="preserve">The WPS NAP outcome indicators </w:t>
      </w:r>
      <w:r w:rsidR="00182DB9" w:rsidRPr="00206B2B">
        <w:t xml:space="preserve">are currently </w:t>
      </w:r>
      <w:r w:rsidR="0083337F" w:rsidRPr="00206B2B">
        <w:t xml:space="preserve">high-level and less </w:t>
      </w:r>
      <w:r w:rsidR="008F5F77" w:rsidRPr="00206B2B">
        <w:t xml:space="preserve">closely aligned to specific priority regions or initiatives. Whilst this allows flexibility </w:t>
      </w:r>
      <w:r w:rsidR="001F14C3" w:rsidRPr="00206B2B">
        <w:t xml:space="preserve">to accommodate for various initiatives, it does make it more difficult to </w:t>
      </w:r>
      <w:r w:rsidR="00F630DD" w:rsidRPr="00206B2B">
        <w:t xml:space="preserve">demonstrate a causal link between </w:t>
      </w:r>
      <w:r w:rsidR="00D90A67" w:rsidRPr="00206B2B">
        <w:t xml:space="preserve">initiatives and outcomes. </w:t>
      </w:r>
      <w:r w:rsidR="0090710E" w:rsidRPr="00206B2B">
        <w:t>The Framework would benefit from more direct alignment with priority regions</w:t>
      </w:r>
      <w:r w:rsidR="00927759" w:rsidRPr="00206B2B">
        <w:t xml:space="preserve"> or initiatives. </w:t>
      </w:r>
      <w:r w:rsidR="004B7EC1" w:rsidRPr="00206B2B">
        <w:t xml:space="preserve">For example, in the Pacific, indicators could track women’s leadership in disaster response committees or their role in climate adaptation planning. In Southeast Asia, metrics might focus on women’s participation in cybersecurity policy or peace dialogues. </w:t>
      </w:r>
    </w:p>
    <w:p w14:paraId="1A6E1B5C" w14:textId="2FB63E0A" w:rsidR="0004044C" w:rsidRPr="00206B2B" w:rsidRDefault="004B7EC1" w:rsidP="006979E2">
      <w:pPr>
        <w:pStyle w:val="BodyText"/>
      </w:pPr>
      <w:r w:rsidRPr="00206B2B">
        <w:t>These context-specific indicators would make progress more visible and actionable.</w:t>
      </w:r>
      <w:r w:rsidR="00476E60">
        <w:t xml:space="preserve"> Specific indicators and data sources should be agreed in collaboration with </w:t>
      </w:r>
      <w:r w:rsidR="00EB25DF">
        <w:t xml:space="preserve">implementing partners. </w:t>
      </w:r>
    </w:p>
    <w:p w14:paraId="6136B5C4" w14:textId="734A2C48" w:rsidR="00E135B9" w:rsidRPr="00E135B9" w:rsidRDefault="00E135B9" w:rsidP="00E135B9">
      <w:pPr>
        <w:pStyle w:val="Normal-casestudy"/>
        <w:rPr>
          <w:rStyle w:val="Strong"/>
        </w:rPr>
      </w:pPr>
      <w:r w:rsidRPr="00E135B9">
        <w:rPr>
          <w:rStyle w:val="Strong"/>
        </w:rPr>
        <w:lastRenderedPageBreak/>
        <w:t>Case study: Best Practice Monitoring, Evaluation Framework Examples</w:t>
      </w:r>
    </w:p>
    <w:p w14:paraId="0AE81552" w14:textId="77777777" w:rsidR="00E135B9" w:rsidRPr="00206B2B" w:rsidRDefault="00E135B9" w:rsidP="00E135B9">
      <w:pPr>
        <w:pStyle w:val="Normal-casestudy"/>
      </w:pPr>
      <w:r w:rsidRPr="00206B2B">
        <w:t xml:space="preserve">Australia may look to best practice examples internationally which measure impact of WPS planning. For example, the UK NAP defines intended outcomes in a way that looks beyond outputs, to measure their impact directly linked to internal department priorities and priorities associated with focus countries. In addition to regular reporting, the UK WPS also embeds evaluation throughout the full cycle of the plan, with a baseline study conducted after one year, including focus countries. This baseline data is then used as a comparator point for the mid-point impact evaluation at two-and-a-half years and the final evaluation at five years. </w:t>
      </w:r>
    </w:p>
    <w:p w14:paraId="04869A99" w14:textId="27B89C83" w:rsidR="00E135B9" w:rsidRPr="00206B2B" w:rsidRDefault="00E135B9" w:rsidP="00E135B9">
      <w:pPr>
        <w:pStyle w:val="Normal-casestudy"/>
      </w:pPr>
      <w:r w:rsidRPr="00206B2B">
        <w:t>The Philippines’ WPS NAP also has a strong M&amp;E Framework and a separate indicator handbook that outlines the indicator and its definition, the method of computation, the data source (which lists ministries, agencies and organisations that collect the data), collection method, frequency of data collection and disaggregation (categories used to break down the data). The handbook also identifies potential indicators in addition to midterm outcomes. Potential indicators are identified where data may not exist but are recommended to be introduced as indicators over time through a phased approach for implementing agencies. The NAP also has separate indicators for the MEAL framework, one of which focuses on strengthened coordination and collaboration amongst stakeholders. The development of the indicator handbook provides a structured and uniform mechanism for measuring progress against</w:t>
      </w:r>
      <w:r>
        <w:t> </w:t>
      </w:r>
      <w:r w:rsidRPr="00206B2B">
        <w:t>outcomes.</w:t>
      </w:r>
    </w:p>
    <w:p w14:paraId="39E604C4" w14:textId="22179483" w:rsidR="004B7EC1" w:rsidRPr="00206B2B" w:rsidRDefault="004B7EC1" w:rsidP="006979E2">
      <w:pPr>
        <w:pStyle w:val="BodyText"/>
      </w:pPr>
      <w:r w:rsidRPr="00206B2B">
        <w:t>Collaboration is key to strengthening M&amp;E. Regional platforms like Pacific Women Lead and ASEAN’s WPS initiatives offer opportunities to share data, harmoni</w:t>
      </w:r>
      <w:r w:rsidR="00DD5D1A" w:rsidRPr="00206B2B">
        <w:t>s</w:t>
      </w:r>
      <w:r w:rsidRPr="00206B2B">
        <w:t>e reporting standards, and co-develop evaluation tools. Partnering with civil society and research institutions can also help build capacity for data collection and analysis, ensuring that evidence is not only generated but used to adapt programs. Joint learning exercises and regional scorecards could create accountability and foster innovation across</w:t>
      </w:r>
      <w:r w:rsidR="00E135B9">
        <w:t> </w:t>
      </w:r>
      <w:r w:rsidRPr="00206B2B">
        <w:t>countries.</w:t>
      </w:r>
    </w:p>
    <w:p w14:paraId="61E65809" w14:textId="51D5B43E" w:rsidR="00A85060" w:rsidRDefault="004B7EC1" w:rsidP="006979E2">
      <w:pPr>
        <w:pStyle w:val="BodyText"/>
      </w:pPr>
      <w:r w:rsidRPr="00206B2B">
        <w:t>By making the framework more specific and leveraging regional collaboration, WPS programming can move beyond compliance reporting to demonstrate real, transformative impact for women in peace and</w:t>
      </w:r>
      <w:r w:rsidR="00E135B9">
        <w:t> </w:t>
      </w:r>
      <w:r w:rsidRPr="00206B2B">
        <w:t>security.</w:t>
      </w:r>
    </w:p>
    <w:p w14:paraId="4B306736" w14:textId="0286685B" w:rsidR="00BC0F52" w:rsidRDefault="00825711" w:rsidP="006979E2">
      <w:pPr>
        <w:pStyle w:val="BodyText"/>
      </w:pPr>
      <w:r>
        <w:rPr>
          <w:noProof/>
        </w:rPr>
        <w:drawing>
          <wp:inline distT="0" distB="0" distL="0" distR="0" wp14:anchorId="795E0CA0" wp14:editId="7B28B9DB">
            <wp:extent cx="6316980" cy="723900"/>
            <wp:effectExtent l="0" t="0" r="7620" b="0"/>
            <wp:docPr id="128089789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97893" name="Picture 9">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4757D92C" w14:textId="4455A9C8" w:rsidR="00E135B9" w:rsidRPr="00085E10" w:rsidRDefault="00E135B9" w:rsidP="00085E10">
      <w:pPr>
        <w:pStyle w:val="Heading3"/>
      </w:pPr>
      <w:r w:rsidRPr="00085E10">
        <w:t>Finding 8. Monitoring and Evaluation systems remain output heavy and lack the sophistication of international best practice</w:t>
      </w:r>
    </w:p>
    <w:p w14:paraId="6C09098C" w14:textId="6E650B4E" w:rsidR="00300EC6" w:rsidRPr="00E135B9" w:rsidRDefault="00E135B9" w:rsidP="00E135B9">
      <w:r w:rsidRPr="00E135B9">
        <w:t>Australia’s WPS NAP M&amp;E approach captures activities delivered but not outcomes. It aims to report on qualitative insights and case studies to identify progress and relies heavily on activity and output data to evidence impact of programs. This approach results in limitations in the ability to attribute impact from the programs. In contrast, the UK uses baseline studies, midterm evaluations, refined indicators, and parliamentary reporting to demonstrate impact and enable adaptive management. The Philippines has a comprehensive MEAL system, and Indicator Handbook and mid-term objectives with a robust methodology for measuring progress. Australia lacks a similarly structured, cyclical, and outcome focused systems.</w:t>
      </w:r>
    </w:p>
    <w:p w14:paraId="678D0CD4" w14:textId="255F45E2" w:rsidR="00AE5992" w:rsidRPr="00E135B9" w:rsidRDefault="00CD293D" w:rsidP="00944D24">
      <w:pPr>
        <w:pStyle w:val="Heading2"/>
      </w:pPr>
      <w:r w:rsidRPr="00E135B9">
        <w:lastRenderedPageBreak/>
        <w:t>P</w:t>
      </w:r>
      <w:r w:rsidR="009970EF" w:rsidRPr="00E135B9">
        <w:t>artnerships with civil society and multilateral actors</w:t>
      </w:r>
    </w:p>
    <w:p w14:paraId="608DA51C" w14:textId="149F790D" w:rsidR="00162DBB" w:rsidRPr="00206B2B" w:rsidRDefault="00D26852" w:rsidP="006979E2">
      <w:pPr>
        <w:pStyle w:val="BodyText"/>
      </w:pPr>
      <w:r w:rsidRPr="00206B2B">
        <w:t>Partnerships with civil society and multilateral actors were consistently described as valuable but uneven, with strong pockets of collaboration alongside notable structural gaps. Civil society organisations emphasised that Australia is generally viewed as a trusted and principled partner, particularly in the Pacific and Southeast Asia, where sustained support for mediation networks, women peacebuilders, and regional convenings has strengthened Australia’s reputation for feminist, inclusive engagement. Many actors highlighted positive examples such as the P</w:t>
      </w:r>
      <w:r w:rsidR="00036129" w:rsidRPr="00206B2B">
        <w:t>WMN</w:t>
      </w:r>
      <w:r w:rsidRPr="00206B2B">
        <w:t>, African Women’s Voices for Peace, WPS Coalition collaborations,</w:t>
      </w:r>
      <w:r w:rsidR="00D80C30" w:rsidRPr="00206B2B">
        <w:t xml:space="preserve"> partnerships with UN Women </w:t>
      </w:r>
      <w:r w:rsidRPr="00206B2B">
        <w:t>and Australia’s constructive role in multilateral forums</w:t>
      </w:r>
      <w:r w:rsidR="00A66CB8" w:rsidRPr="00206B2B">
        <w:t>,</w:t>
      </w:r>
      <w:r w:rsidRPr="00206B2B">
        <w:t xml:space="preserve"> showing that these partnerships can produce deep influence, local legitimacy, and high</w:t>
      </w:r>
      <w:r w:rsidRPr="00206B2B">
        <w:noBreakHyphen/>
        <w:t xml:space="preserve">value political access. </w:t>
      </w:r>
    </w:p>
    <w:p w14:paraId="3AB44578" w14:textId="1F14159B" w:rsidR="00D26852" w:rsidRPr="00206B2B" w:rsidRDefault="00D26852" w:rsidP="006979E2">
      <w:pPr>
        <w:pStyle w:val="BodyText"/>
      </w:pPr>
      <w:r w:rsidRPr="00206B2B">
        <w:t>However, consultations also revealed significant challenges, including inconsistent engagement across agencies, declining formal dialogue mechanisms, and civil society feeling that government collaboration has become more transactional, with feedback loops often weak or absent. Some groups noted that funding shifts and outsourcing have disrupted long</w:t>
      </w:r>
      <w:r w:rsidRPr="00206B2B">
        <w:noBreakHyphen/>
        <w:t>standing trust</w:t>
      </w:r>
      <w:r w:rsidRPr="00206B2B">
        <w:noBreakHyphen/>
        <w:t xml:space="preserve">based relationships, and that government does not always translate civil society insights into policy or programming. Multilateral partnerships remain strong particularly through Australia’s support to UN Women, WPHF, and regional bodies, </w:t>
      </w:r>
      <w:r w:rsidR="00F83457" w:rsidRPr="00206B2B">
        <w:t>however</w:t>
      </w:r>
      <w:r w:rsidRPr="00206B2B">
        <w:t xml:space="preserve"> stakeholders observed that Australia’s leadership could be undermined if domestic agencies and operational parts of government are not better aligned with global commitments. Overall, while partnerships are high</w:t>
      </w:r>
      <w:r w:rsidRPr="00206B2B">
        <w:noBreakHyphen/>
        <w:t>impact and highly valued, they require more consistent structures, more predictable engagement, and clearer whole</w:t>
      </w:r>
      <w:r w:rsidRPr="00206B2B">
        <w:noBreakHyphen/>
        <w:t>of</w:t>
      </w:r>
      <w:r w:rsidRPr="00206B2B">
        <w:noBreakHyphen/>
        <w:t>government coordination to fully realise their potential.</w:t>
      </w:r>
    </w:p>
    <w:p w14:paraId="3F9EAB27" w14:textId="0C7DC533" w:rsidR="00E135B9" w:rsidRDefault="00CD135F" w:rsidP="006979E2">
      <w:pPr>
        <w:pStyle w:val="BodyText"/>
      </w:pPr>
      <w:r w:rsidRPr="00206B2B">
        <w:t>Participants suggested ACMC could broaden engagement by involving a wider set of stakeholders, including the O</w:t>
      </w:r>
      <w:r w:rsidR="00747994" w:rsidRPr="00206B2B">
        <w:t>FW</w:t>
      </w:r>
      <w:r w:rsidRPr="00206B2B">
        <w:t>, N</w:t>
      </w:r>
      <w:r w:rsidR="00747994" w:rsidRPr="00206B2B">
        <w:t>EMA</w:t>
      </w:r>
      <w:r w:rsidRPr="00206B2B">
        <w:t>, e</w:t>
      </w:r>
      <w:r w:rsidR="00F85457" w:rsidRPr="00206B2B">
        <w:t>-</w:t>
      </w:r>
      <w:r w:rsidRPr="00206B2B">
        <w:t>Safety</w:t>
      </w:r>
      <w:r w:rsidR="00F85457" w:rsidRPr="00206B2B">
        <w:t xml:space="preserve"> Commissioner</w:t>
      </w:r>
      <w:r w:rsidRPr="00206B2B">
        <w:t>, A</w:t>
      </w:r>
      <w:r w:rsidR="00036129" w:rsidRPr="00206B2B">
        <w:t>GD</w:t>
      </w:r>
      <w:r w:rsidRPr="00206B2B">
        <w:t xml:space="preserve">, and operational arms of Defence, AFP, and Home Affairs, so that conversations reflect the full spectrum of emerging WPS issues such as climate security, cyber harms, and shrinking civic space. Additionally, partners recommended </w:t>
      </w:r>
      <w:r w:rsidR="001901E4">
        <w:t>the WPS IDC</w:t>
      </w:r>
      <w:r w:rsidR="001901E4" w:rsidRPr="00206B2B">
        <w:t xml:space="preserve"> </w:t>
      </w:r>
      <w:r w:rsidRPr="00206B2B">
        <w:t>take a more proactive role in convening multiagency collaboration supporting scenario planning, facilitating inclusion of First Nations and diaspora voices, and ensuring civil society engagement is ongoing rather than event</w:t>
      </w:r>
      <w:r w:rsidR="00F85457" w:rsidRPr="00206B2B">
        <w:t xml:space="preserve"> </w:t>
      </w:r>
      <w:r w:rsidRPr="00206B2B">
        <w:t>based. Strengthening coordination structures, restoring more predictable partnerships, and embedding civil society expertise into working</w:t>
      </w:r>
      <w:r w:rsidR="00F85457" w:rsidRPr="00206B2B">
        <w:t xml:space="preserve"> </w:t>
      </w:r>
      <w:r w:rsidRPr="00206B2B">
        <w:t xml:space="preserve">level policy processes were all identified as </w:t>
      </w:r>
      <w:r w:rsidR="00E71307" w:rsidRPr="00206B2B">
        <w:t>keyways</w:t>
      </w:r>
      <w:r w:rsidRPr="00206B2B">
        <w:t xml:space="preserve"> ACMC could enhance its impact and reinforce Australia’s WPS leadership.</w:t>
      </w:r>
      <w:r w:rsidR="00E135B9">
        <w:br w:type="page"/>
      </w:r>
    </w:p>
    <w:p w14:paraId="7D7E2BB7" w14:textId="7F91C947" w:rsidR="00E135B9" w:rsidRPr="00E135B9" w:rsidRDefault="00E135B9" w:rsidP="00E135B9">
      <w:pPr>
        <w:pStyle w:val="Normal-casestudy"/>
        <w:rPr>
          <w:rStyle w:val="Strong"/>
        </w:rPr>
      </w:pPr>
      <w:r w:rsidRPr="00E135B9">
        <w:rPr>
          <w:rStyle w:val="Strong"/>
        </w:rPr>
        <w:lastRenderedPageBreak/>
        <w:t>Case study: Southeast Asian Network of Civil Society Organisations </w:t>
      </w:r>
    </w:p>
    <w:p w14:paraId="6C6007A3" w14:textId="77777777" w:rsidR="00E135B9" w:rsidRPr="00206B2B" w:rsidRDefault="00E135B9" w:rsidP="00E135B9">
      <w:pPr>
        <w:pStyle w:val="Normal-casestudy"/>
      </w:pPr>
      <w:r w:rsidRPr="00206B2B">
        <w:t xml:space="preserve">Coordinated by Home Affairs in partnership with Deakin University, the Southeast Asian Network of Civil Society Organisations has supported more than 60 civil society organisations across Indonesia, Malaysia, the Philippines, and Thailand to strengthen resilience against violent extremism. Since 2016, the initiative has prioritised collaboration between grassroots actors and regional institutions, building partnerships through regional forums, joint training, and digital platforms for knowledge exchange. </w:t>
      </w:r>
    </w:p>
    <w:p w14:paraId="3B11E83C" w14:textId="77777777" w:rsidR="00E135B9" w:rsidRPr="00206B2B" w:rsidRDefault="00E135B9" w:rsidP="00E135B9">
      <w:pPr>
        <w:pStyle w:val="Normal-casestudy"/>
      </w:pPr>
      <w:r w:rsidRPr="00206B2B">
        <w:t>Partnerships have enabled innovative responses to local challenges. In the BARMM, women-led programs supported by civil society and BARMM armed forces helped former ex-Abu Sayyaf widows reintegrate into their communities. These efforts combine psychosocial support with community engagement, reducing stigma and fostering reconciliation.</w:t>
      </w:r>
    </w:p>
    <w:p w14:paraId="39070E8E" w14:textId="77777777" w:rsidR="00E135B9" w:rsidRPr="00206B2B" w:rsidRDefault="00E135B9" w:rsidP="00E135B9">
      <w:pPr>
        <w:pStyle w:val="Normal-casestudy"/>
      </w:pPr>
      <w:r w:rsidRPr="00206B2B">
        <w:t>By linking local leadership with multilateral frameworks, the network is reframing women’s roles as drivers of peace and recovery. The network continues to strengthen cooperation across sectors to prevent extremism and promote inclusive, stable societies throughout Southeast Asia.</w:t>
      </w:r>
    </w:p>
    <w:p w14:paraId="51526CAB" w14:textId="78F024D1" w:rsidR="00C04607" w:rsidRPr="00C04607" w:rsidRDefault="00825711" w:rsidP="00C04607">
      <w:r>
        <w:rPr>
          <w:noProof/>
        </w:rPr>
        <w:drawing>
          <wp:inline distT="0" distB="0" distL="0" distR="0" wp14:anchorId="2FC15EF0" wp14:editId="10B9CBBB">
            <wp:extent cx="6316980" cy="723900"/>
            <wp:effectExtent l="0" t="0" r="7620" b="0"/>
            <wp:docPr id="876284134"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84134" name="Picture 10">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22FA8705" w14:textId="5308BBFA" w:rsidR="00E135B9" w:rsidRPr="00E135B9" w:rsidRDefault="00E135B9" w:rsidP="00E135B9">
      <w:pPr>
        <w:pStyle w:val="Heading3"/>
      </w:pPr>
      <w:r w:rsidRPr="00E135B9">
        <w:t>Finding 9. Civil society partnerships are high impact but increasingly uneven and</w:t>
      </w:r>
      <w:r>
        <w:t> </w:t>
      </w:r>
      <w:r w:rsidRPr="00E135B9">
        <w:t>transactional</w:t>
      </w:r>
    </w:p>
    <w:p w14:paraId="001A8903" w14:textId="77777777" w:rsidR="00E135B9" w:rsidRPr="00E135B9" w:rsidRDefault="00E135B9" w:rsidP="00E135B9">
      <w:r w:rsidRPr="00E135B9">
        <w:t>Australia’s longstanding relationships with civil society remain a major asset, supporting legitimacy, localisation, and context specific problem solving. Globally, Australia is viewed as a leader on genuine engagement and partnership with civil society. However, domestically, engagement has become inconsistent across agencies, with less transparent feedback loops and reduced predictability. Civil society emphasised a growing disconnect between consultation and policy decision making.</w:t>
      </w:r>
    </w:p>
    <w:p w14:paraId="290C5165" w14:textId="154BD998" w:rsidR="00F97A99" w:rsidRPr="00815C5F" w:rsidRDefault="00F97A99" w:rsidP="00944D24">
      <w:pPr>
        <w:pStyle w:val="Heading2"/>
        <w:rPr>
          <w:bCs/>
          <w:iCs/>
        </w:rPr>
      </w:pPr>
      <w:r w:rsidRPr="00815C5F">
        <w:t>Bridging</w:t>
      </w:r>
      <w:r w:rsidRPr="006B6F23">
        <w:rPr>
          <w:rStyle w:val="Heading2Char"/>
        </w:rPr>
        <w:t xml:space="preserve"> </w:t>
      </w:r>
      <w:r w:rsidRPr="00815C5F">
        <w:t>the</w:t>
      </w:r>
      <w:r w:rsidRPr="006B6F23">
        <w:rPr>
          <w:rStyle w:val="Heading2Char"/>
        </w:rPr>
        <w:t xml:space="preserve"> </w:t>
      </w:r>
      <w:r w:rsidR="00466108" w:rsidRPr="00815C5F">
        <w:t>international</w:t>
      </w:r>
      <w:r w:rsidRPr="006B6F23">
        <w:rPr>
          <w:rStyle w:val="Heading2Char"/>
        </w:rPr>
        <w:t xml:space="preserve"> </w:t>
      </w:r>
      <w:r w:rsidRPr="00815C5F">
        <w:t>and</w:t>
      </w:r>
      <w:r w:rsidRPr="006B6F23">
        <w:rPr>
          <w:rStyle w:val="Heading2Char"/>
        </w:rPr>
        <w:t xml:space="preserve"> </w:t>
      </w:r>
      <w:r w:rsidRPr="00815C5F">
        <w:t>d</w:t>
      </w:r>
      <w:r w:rsidR="00466108" w:rsidRPr="00815C5F">
        <w:t>omestic</w:t>
      </w:r>
      <w:r w:rsidR="00466108" w:rsidRPr="00815C5F">
        <w:rPr>
          <w:b w:val="0"/>
        </w:rPr>
        <w:t xml:space="preserve"> </w:t>
      </w:r>
      <w:r w:rsidR="00466108" w:rsidRPr="00815C5F">
        <w:t>divide</w:t>
      </w:r>
    </w:p>
    <w:p w14:paraId="5E5504E4" w14:textId="56518407" w:rsidR="00101C40" w:rsidRPr="00206B2B" w:rsidRDefault="00604596" w:rsidP="00BC2731">
      <w:pPr>
        <w:pStyle w:val="BodyText"/>
      </w:pPr>
      <w:r w:rsidRPr="00206B2B">
        <w:t xml:space="preserve">Consistent feedback from Civil Society indicated that </w:t>
      </w:r>
      <w:r w:rsidR="003475C8" w:rsidRPr="00206B2B">
        <w:t xml:space="preserve">Australia </w:t>
      </w:r>
      <w:proofErr w:type="gramStart"/>
      <w:r w:rsidR="003475C8" w:rsidRPr="00206B2B">
        <w:t>can</w:t>
      </w:r>
      <w:proofErr w:type="gramEnd"/>
      <w:r w:rsidR="003475C8" w:rsidRPr="00206B2B">
        <w:t xml:space="preserve"> bridge the international and domestic divide in the WPS agenda by fostering genuine partnerships that prioritise listening, learning, and co-creation with regional neighbours. This means supporting Pacific and Southeast Asian priorities, supporting local leadership, and ensuring WPS initiatives reflect cultural context. By embedding lessons learnt from Australia in our engagement and creating space for mutual exchange of knowledge, Australia can strengthen trust, advance regional security outcomes, and demonstrate that WPS is a shared responsibility across the region.</w:t>
      </w:r>
      <w:r w:rsidR="004758A6" w:rsidRPr="00206B2B">
        <w:t xml:space="preserve"> Specific </w:t>
      </w:r>
      <w:r w:rsidR="00D10FCD" w:rsidRPr="00206B2B">
        <w:t>actions for the future could include:</w:t>
      </w:r>
    </w:p>
    <w:p w14:paraId="754C1E0D" w14:textId="77777777" w:rsidR="00D10FCD" w:rsidRPr="00206B2B" w:rsidRDefault="00D10FCD" w:rsidP="00E135B9">
      <w:pPr>
        <w:pStyle w:val="ListBullet"/>
      </w:pPr>
      <w:r w:rsidRPr="00206B2B">
        <w:rPr>
          <w:b/>
        </w:rPr>
        <w:t>Link Domestic and Global Narratives:</w:t>
      </w:r>
      <w:r w:rsidRPr="00206B2B">
        <w:t xml:space="preserve"> Showcase First Nations leadership in regional WPS dialogues, positioning Australia as a partner that values diversity and shared learning.</w:t>
      </w:r>
    </w:p>
    <w:p w14:paraId="04B12F1B" w14:textId="42BBCC4B" w:rsidR="00742168" w:rsidRPr="00206B2B" w:rsidRDefault="00742168" w:rsidP="00E135B9">
      <w:pPr>
        <w:pStyle w:val="ListBullet"/>
      </w:pPr>
      <w:r w:rsidRPr="00206B2B">
        <w:rPr>
          <w:b/>
        </w:rPr>
        <w:t>Establish a joint tasking framework</w:t>
      </w:r>
      <w:r w:rsidRPr="00206B2B">
        <w:t xml:space="preserve"> between DFAT, A</w:t>
      </w:r>
      <w:r w:rsidR="00B97AFD" w:rsidRPr="00206B2B">
        <w:t xml:space="preserve">ustralian </w:t>
      </w:r>
      <w:r w:rsidRPr="00206B2B">
        <w:t>T</w:t>
      </w:r>
      <w:r w:rsidR="00B97AFD" w:rsidRPr="00206B2B">
        <w:t xml:space="preserve">ransactions </w:t>
      </w:r>
      <w:r w:rsidRPr="00206B2B">
        <w:t>R</w:t>
      </w:r>
      <w:r w:rsidR="00B97AFD" w:rsidRPr="00206B2B">
        <w:t xml:space="preserve">eports </w:t>
      </w:r>
      <w:r w:rsidR="005B5B85" w:rsidRPr="00206B2B">
        <w:t>and Analysis Centre</w:t>
      </w:r>
      <w:r w:rsidRPr="00206B2B">
        <w:t>, AFP</w:t>
      </w:r>
      <w:r w:rsidRPr="00206B2B" w:rsidDel="001A0BE5">
        <w:t xml:space="preserve"> </w:t>
      </w:r>
      <w:r w:rsidR="00231F54">
        <w:t>and security agencies</w:t>
      </w:r>
      <w:r w:rsidRPr="00206B2B">
        <w:t xml:space="preserve">, state/territory police, and First Nations women’s organisations to target financial flows linked to </w:t>
      </w:r>
      <w:r w:rsidR="00A84F56" w:rsidRPr="00206B2B">
        <w:t>GBV</w:t>
      </w:r>
      <w:r w:rsidRPr="00206B2B">
        <w:t xml:space="preserve"> and exploitation.</w:t>
      </w:r>
    </w:p>
    <w:p w14:paraId="6F006AFE" w14:textId="5622C275" w:rsidR="00D52039" w:rsidRPr="00C5357D" w:rsidRDefault="0061023F" w:rsidP="00E135B9">
      <w:pPr>
        <w:pStyle w:val="ListBullet"/>
        <w:rPr>
          <w:b/>
        </w:rPr>
      </w:pPr>
      <w:r w:rsidRPr="00206B2B">
        <w:rPr>
          <w:b/>
        </w:rPr>
        <w:t xml:space="preserve">Regional </w:t>
      </w:r>
      <w:r w:rsidR="00A503B7" w:rsidRPr="00206B2B">
        <w:rPr>
          <w:b/>
        </w:rPr>
        <w:t>mis-</w:t>
      </w:r>
      <w:r w:rsidRPr="00206B2B">
        <w:rPr>
          <w:b/>
        </w:rPr>
        <w:t xml:space="preserve"> and </w:t>
      </w:r>
      <w:r w:rsidR="00A503B7" w:rsidRPr="00206B2B">
        <w:rPr>
          <w:b/>
        </w:rPr>
        <w:t>d</w:t>
      </w:r>
      <w:r w:rsidRPr="00206B2B">
        <w:rPr>
          <w:b/>
        </w:rPr>
        <w:t xml:space="preserve">isinformation strategy: </w:t>
      </w:r>
      <w:r w:rsidR="00D52039" w:rsidRPr="00206B2B">
        <w:rPr>
          <w:bCs/>
        </w:rPr>
        <w:t xml:space="preserve">Develop a Regional </w:t>
      </w:r>
      <w:r w:rsidR="00A503B7" w:rsidRPr="00206B2B">
        <w:rPr>
          <w:bCs/>
        </w:rPr>
        <w:t>M</w:t>
      </w:r>
      <w:r w:rsidR="00D52039" w:rsidRPr="00206B2B">
        <w:rPr>
          <w:bCs/>
        </w:rPr>
        <w:t xml:space="preserve">is- and </w:t>
      </w:r>
      <w:r w:rsidR="00A503B7" w:rsidRPr="00206B2B">
        <w:rPr>
          <w:bCs/>
        </w:rPr>
        <w:t>D</w:t>
      </w:r>
      <w:r w:rsidR="00D52039" w:rsidRPr="00206B2B">
        <w:rPr>
          <w:bCs/>
        </w:rPr>
        <w:t>isinformation Strategy to strengthen early detection, coordinated response, and community-level resilience to harmful narratives particularly those targeting women leaders and peacebuilders by integrating cyber, diplomatic, and public information capabilities across Australia, Pacific partners, and Southeast Asia.</w:t>
      </w:r>
    </w:p>
    <w:p w14:paraId="77B4A512" w14:textId="77777777" w:rsidR="00C5357D" w:rsidRPr="00E135B9" w:rsidRDefault="00C5357D" w:rsidP="00E135B9">
      <w:pPr>
        <w:pStyle w:val="Heading3"/>
        <w:rPr>
          <w:rStyle w:val="IntenseEmphasis"/>
          <w:b/>
          <w:bCs/>
          <w:iCs w:val="0"/>
          <w:color w:val="0C233C" w:themeColor="accent2"/>
          <w:sz w:val="24"/>
        </w:rPr>
      </w:pPr>
      <w:r w:rsidRPr="00E135B9">
        <w:rPr>
          <w:rStyle w:val="IntenseEmphasis"/>
          <w:b/>
          <w:bCs/>
          <w:iCs w:val="0"/>
          <w:color w:val="0C233C" w:themeColor="accent2"/>
          <w:sz w:val="24"/>
        </w:rPr>
        <w:lastRenderedPageBreak/>
        <w:t>Meaningful First Nations engagement with WPS</w:t>
      </w:r>
    </w:p>
    <w:p w14:paraId="682DABE8" w14:textId="77777777" w:rsidR="00C5357D" w:rsidRPr="00206B2B" w:rsidRDefault="00C5357D" w:rsidP="006B6F23">
      <w:pPr>
        <w:pStyle w:val="BodyText"/>
      </w:pPr>
      <w:r w:rsidRPr="00206B2B">
        <w:t>Involvement of First Nations peoples in the WPS agenda strengthens Australia’s capacity to build lasting peace, community stability and inclusive economic participation. As Australia reinforces its WPS leadership, advancing the WPS agenda at both the domestic and regional levels, it is essential to partner with First Nations communities through genuine, ongoing participation at all levels of consultation, design, decision</w:t>
      </w:r>
      <w:r w:rsidRPr="00206B2B">
        <w:rPr>
          <w:rFonts w:ascii="Cambria Math" w:hAnsi="Cambria Math" w:cs="Cambria Math"/>
        </w:rPr>
        <w:t>‑</w:t>
      </w:r>
      <w:r w:rsidRPr="00206B2B">
        <w:t>making and implementation. Various stakeholders commented that DFAT can leverage its First Nations Ambassador and its Office for First Nations International Engagement to enhance meaningful participation of First Nations people in peace processes internationally.</w:t>
      </w:r>
    </w:p>
    <w:p w14:paraId="3B28D399" w14:textId="479CCA6F" w:rsidR="00C5357D" w:rsidRPr="00206B2B" w:rsidRDefault="00C5357D" w:rsidP="006B6F23">
      <w:pPr>
        <w:pStyle w:val="BodyText"/>
      </w:pPr>
      <w:r w:rsidRPr="00206B2B">
        <w:t>Embedding First Nations leadership and cultural knowledge in WPS supports community driven approaches to address the underlying causes of violence and inequality, resulting in more effective prevention and protection outcomes.</w:t>
      </w:r>
      <w:r w:rsidRPr="00206B2B">
        <w:rPr>
          <w:rStyle w:val="FootnoteReference"/>
        </w:rPr>
        <w:footnoteReference w:id="65"/>
      </w:r>
      <w:r w:rsidRPr="00206B2B">
        <w:t xml:space="preserve"> Meaningful participation also fosters the development of institutional trust, ensuring that peace and security reflect community priorities such as safe housing, financial security, protection from violence and the ability to exercise cultural authority on Country.</w:t>
      </w:r>
      <w:r w:rsidRPr="00206B2B">
        <w:rPr>
          <w:rStyle w:val="FootnoteReference"/>
        </w:rPr>
        <w:footnoteReference w:id="66"/>
      </w:r>
      <w:r w:rsidRPr="00206B2B">
        <w:t xml:space="preserve"> Incorporating frameworks like the UN Declaration on the Rights of Indigenous Peoples into Australia’s WPS approach can affirm self-determination and strengthen responses to emerging security challenges, including climate impacts on land, water and cultural heritage.</w:t>
      </w:r>
      <w:r w:rsidRPr="00206B2B">
        <w:rPr>
          <w:rStyle w:val="FootnoteReference"/>
        </w:rPr>
        <w:footnoteReference w:id="67"/>
      </w:r>
      <w:r w:rsidRPr="00206B2B">
        <w:t xml:space="preserve"> </w:t>
      </w:r>
    </w:p>
    <w:p w14:paraId="284A7923" w14:textId="77777777" w:rsidR="00C5357D" w:rsidRPr="00206B2B" w:rsidRDefault="00C5357D" w:rsidP="006B6F23">
      <w:pPr>
        <w:pStyle w:val="BodyText"/>
      </w:pPr>
      <w:r w:rsidRPr="00206B2B">
        <w:t>The Australian Government has facilitated some engagement between First Nations women and women from conflict-affected areas in the Pacific and Middle East through the ACMC, however, stakeholders have called for greater engagement to be facilitated by First Nations women. Additionally, while stakeholders and the Government acknowledge Australia has challenges domestically with ensuring First Nations women’s safety, there are key lessons learned that can be shared across the region.</w:t>
      </w:r>
    </w:p>
    <w:p w14:paraId="4C16046A" w14:textId="77777777" w:rsidR="00C5357D" w:rsidRDefault="00C5357D" w:rsidP="006B6F23">
      <w:pPr>
        <w:pStyle w:val="BodyText"/>
      </w:pPr>
      <w:r w:rsidRPr="00206B2B">
        <w:t>More broadly, civil society stakeholders called for Australia’s conceptualisation of WPS to</w:t>
      </w:r>
      <w:r w:rsidRPr="00206B2B" w:rsidDel="004147FF">
        <w:t xml:space="preserve"> </w:t>
      </w:r>
      <w:r w:rsidRPr="00206B2B">
        <w:t>embrace locally understood concepts of peace and security, integrating learnings from traditional and customary models of peacebuilding across First Nations, Pacific and Southeast Asian communities to reflect the lived realities of those communities and best deliver an effective regional WPS agenda.</w:t>
      </w:r>
    </w:p>
    <w:p w14:paraId="4798A862" w14:textId="32C50B47" w:rsidR="00C04607" w:rsidRPr="00206B2B" w:rsidRDefault="00825711" w:rsidP="006B6F23">
      <w:pPr>
        <w:pStyle w:val="BodyText"/>
      </w:pPr>
      <w:r>
        <w:rPr>
          <w:b/>
          <w:noProof/>
        </w:rPr>
        <w:drawing>
          <wp:inline distT="0" distB="0" distL="0" distR="0" wp14:anchorId="4C4E6A46" wp14:editId="0D9B338F">
            <wp:extent cx="6316980" cy="723900"/>
            <wp:effectExtent l="0" t="0" r="7620" b="0"/>
            <wp:docPr id="49650841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08413" name="Picture 11">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16980" cy="723900"/>
                    </a:xfrm>
                    <a:prstGeom prst="rect">
                      <a:avLst/>
                    </a:prstGeom>
                    <a:noFill/>
                  </pic:spPr>
                </pic:pic>
              </a:graphicData>
            </a:graphic>
          </wp:inline>
        </w:drawing>
      </w:r>
    </w:p>
    <w:p w14:paraId="228818A0" w14:textId="11204D99" w:rsidR="00E135B9" w:rsidRPr="00085E10" w:rsidRDefault="00E135B9" w:rsidP="00085E10">
      <w:pPr>
        <w:pStyle w:val="Heading3"/>
      </w:pPr>
      <w:r w:rsidRPr="00085E10">
        <w:t>Finding 10. Domestic–international divide reduces policy coherence and weakens Australia’s credibility</w:t>
      </w:r>
    </w:p>
    <w:p w14:paraId="5A256D51" w14:textId="4F74B750" w:rsidR="00C04607" w:rsidRDefault="00E135B9" w:rsidP="003A670C">
      <w:r w:rsidRPr="003A670C">
        <w:t>Compared with the UK, Canada, Philippines and Japan, Australia’s NAP embeds limited domestic commitments, despite significant relevant work occurring across Home Affairs, AFP and state level institutions. The absence of domestic reporting or integration into the NAP reduces visibility of achievements and creates misalignment between international leadership and internal practice.</w:t>
      </w:r>
      <w:r w:rsidR="00C04607">
        <w:br w:type="page"/>
      </w:r>
    </w:p>
    <w:p w14:paraId="261756DE" w14:textId="1F4DB004" w:rsidR="008263AE" w:rsidRPr="002C3BB2" w:rsidRDefault="006F3134" w:rsidP="00944D24">
      <w:pPr>
        <w:pStyle w:val="Heading2"/>
      </w:pPr>
      <w:r w:rsidRPr="002C3BB2">
        <w:lastRenderedPageBreak/>
        <w:t xml:space="preserve">Sustainability of the strategy </w:t>
      </w:r>
    </w:p>
    <w:p w14:paraId="1BC933E7" w14:textId="75FAA123" w:rsidR="00AE0DDA" w:rsidRPr="00364808" w:rsidRDefault="006F3134" w:rsidP="00364808">
      <w:pPr>
        <w:pStyle w:val="BodyText"/>
      </w:pPr>
      <w:r w:rsidRPr="00206B2B">
        <w:t>Australia’s ten-year NAP is challenging without adaptive or reactive mechanisms for WPS in today’s rapidly shifting geostrategic landscape. The Indo-Pacific faces accelerating challenges of climate-induced displacement, cyber threats, gendered disinformation, and rising geopolitical tensions that can destabilise communities and undermine women’s participation in peacebuilding. A static, decade-long plan risks becoming obsolete as new risks emerge, leaving gaps in protection and engagement. Without built-in review cycles, horizon scanning, and rapid response protocols, WPS frameworks cannot keep pace with hybrid threats or regional crises. To remain effective, Australia’s WPS approach must incorporate shorter feedback loops, scenario-based planning, and agile mechanisms that allow for real-time adjustments aligned with evolving security dynamics.</w:t>
      </w:r>
      <w:r w:rsidR="00AE0DDA" w:rsidRPr="00206B2B">
        <w:br w:type="page"/>
      </w:r>
    </w:p>
    <w:p w14:paraId="02903A43" w14:textId="02663D3C" w:rsidR="00AE5992" w:rsidRPr="00944D24" w:rsidRDefault="009970EF" w:rsidP="00944D24">
      <w:pPr>
        <w:pStyle w:val="Heading1"/>
      </w:pPr>
      <w:bookmarkStart w:id="13" w:name="_Toc230774046"/>
      <w:r w:rsidRPr="00944D24">
        <w:lastRenderedPageBreak/>
        <w:t>Emerging Issues and Lessons Learned</w:t>
      </w:r>
      <w:bookmarkEnd w:id="13"/>
    </w:p>
    <w:p w14:paraId="78014BD5" w14:textId="5C73FB47" w:rsidR="006D6F98" w:rsidRPr="002C3BB2" w:rsidRDefault="006D6F98" w:rsidP="00944D24">
      <w:pPr>
        <w:pStyle w:val="Heading2"/>
      </w:pPr>
      <w:r w:rsidRPr="002C3BB2">
        <w:t>Emerging risks or opportunities</w:t>
      </w:r>
    </w:p>
    <w:p w14:paraId="14DBA4AD" w14:textId="07366E74" w:rsidR="005F463C" w:rsidRPr="00206B2B" w:rsidRDefault="005F463C" w:rsidP="006979E2">
      <w:pPr>
        <w:pStyle w:val="BodyText"/>
      </w:pPr>
      <w:r w:rsidRPr="00206B2B">
        <w:t xml:space="preserve">Recent literature highlights several emerging risks for the WPS agenda. One significant concern is the rise of technology-facilitated </w:t>
      </w:r>
      <w:r w:rsidR="00410123" w:rsidRPr="00206B2B">
        <w:t>GBV</w:t>
      </w:r>
      <w:r w:rsidRPr="00206B2B">
        <w:t>, including online harassment, deepfakes, and cyberstalking. While digital platforms create opportunities for participation, they also expose women to new vulnerabilities that WPS frameworks have yet to fully address. Additionally, transnational threats such as organised crime, artificial intelligence misuse, and climate-driven displacement are increasingly shaping security landscapes</w:t>
      </w:r>
      <w:r w:rsidR="004F5B2A" w:rsidRPr="00206B2B">
        <w:t xml:space="preserve"> however</w:t>
      </w:r>
      <w:r w:rsidRPr="00206B2B">
        <w:t xml:space="preserve"> remain underrepresented in current WPS strategies. Climate-related security risks further compound these challenges, as environmental stressors disproportionately affect women, increasing their exposure to violence, displacement, and economic marginali</w:t>
      </w:r>
      <w:r w:rsidR="00EE36B6" w:rsidRPr="00206B2B">
        <w:t>s</w:t>
      </w:r>
      <w:r w:rsidRPr="00206B2B">
        <w:t>ation in fragile contexts.</w:t>
      </w:r>
    </w:p>
    <w:p w14:paraId="49494BB3" w14:textId="36185A94" w:rsidR="005F463C" w:rsidRPr="00206B2B" w:rsidRDefault="005F463C" w:rsidP="006979E2">
      <w:pPr>
        <w:pStyle w:val="BodyText"/>
      </w:pPr>
      <w:r w:rsidRPr="00206B2B">
        <w:t>Alongside these risks, new opportunities are emerging that could strengthen WPS implementation. Digital technologies, for instance, can enhance women’s access to information, networks, and leadership roles, enabling more meaningful participation in peacebuilding processes. Women-led climate and peacebuilding initiatives are also gaining traction, offering innovative solutions for resource management, social cohesion, and resilience. Scaling these efforts through integrated WPS and climate-security approaches presents a transformative opportunity. Furthermore, policy innovation, such as incorporating cybersecurity, AI governance, and climate adaptation into WPS frameworks can moderni</w:t>
      </w:r>
      <w:r w:rsidR="00410123" w:rsidRPr="00206B2B">
        <w:t>s</w:t>
      </w:r>
      <w:r w:rsidRPr="00206B2B">
        <w:t xml:space="preserve">e implementation and improve coherence across sectors. </w:t>
      </w:r>
    </w:p>
    <w:p w14:paraId="4E32A785" w14:textId="6398A750" w:rsidR="005060BB" w:rsidRPr="00206B2B" w:rsidRDefault="005F463C" w:rsidP="006979E2">
      <w:pPr>
        <w:pStyle w:val="BodyText"/>
      </w:pPr>
      <w:r w:rsidRPr="00206B2B">
        <w:t>These developments signal a critical turning point for WPS. Addressing digital threats, climate insecurity, and transnational risks while leveraging technology and women-led innovation can redefine the agenda’s relevance and impact. To seize these opportunities, WPS N</w:t>
      </w:r>
      <w:r w:rsidR="00410123" w:rsidRPr="00206B2B">
        <w:t>AP</w:t>
      </w:r>
      <w:r w:rsidRPr="00206B2B">
        <w:t>s must broaden their scope, strengthen institutional capacity, and embed intersectional approaches that ensure gender-sensitive responses across emerging domains.</w:t>
      </w:r>
      <w:r w:rsidR="0003536D">
        <w:t xml:space="preserve"> </w:t>
      </w:r>
    </w:p>
    <w:p w14:paraId="38654E17" w14:textId="687BCA14" w:rsidR="00644624" w:rsidRPr="002C3BB2" w:rsidRDefault="00876E84" w:rsidP="002C3BB2">
      <w:pPr>
        <w:pStyle w:val="Heading3"/>
      </w:pPr>
      <w:r w:rsidRPr="002C3BB2">
        <w:t>Trade and Women, Peace and Security</w:t>
      </w:r>
    </w:p>
    <w:p w14:paraId="63C68D76" w14:textId="096D4067" w:rsidR="002136C1" w:rsidRPr="00206B2B" w:rsidRDefault="002136C1" w:rsidP="00D03058">
      <w:pPr>
        <w:pStyle w:val="BodyText"/>
      </w:pPr>
      <w:r w:rsidRPr="00206B2B">
        <w:t>For Australia, embedding WPS principles into trade policy would not only support gender equality but also unlock significant economic potential across the region.</w:t>
      </w:r>
      <w:r w:rsidR="002A75A7" w:rsidRPr="00206B2B">
        <w:t xml:space="preserve"> </w:t>
      </w:r>
      <w:r w:rsidRPr="00206B2B">
        <w:t>WPS also reduces trade risk through conflict prevention. Evidence shows that countries with greater gender equality are significantly less likely to experience conflict, and inclusion of women in peace processes improves peace agreement durability by 35</w:t>
      </w:r>
      <w:r w:rsidR="00731BF8" w:rsidRPr="00206B2B">
        <w:t xml:space="preserve"> per cent</w:t>
      </w:r>
      <w:r w:rsidRPr="00206B2B">
        <w:t xml:space="preserve"> over 15 years.</w:t>
      </w:r>
      <w:r w:rsidR="00B97A18" w:rsidRPr="00206B2B">
        <w:rPr>
          <w:rStyle w:val="FootnoteReference"/>
        </w:rPr>
        <w:footnoteReference w:id="68"/>
      </w:r>
      <w:r w:rsidRPr="00206B2B">
        <w:t xml:space="preserve"> Stability reduces trade volatility and creates predictable environments essential for investment and cross-border commerce</w:t>
      </w:r>
      <w:r w:rsidR="006E7537" w:rsidRPr="00206B2B">
        <w:t xml:space="preserve"> </w:t>
      </w:r>
      <w:r w:rsidRPr="00206B2B">
        <w:t>key factors for Australia’s trade security in the Pacific and Southeast Asia.</w:t>
      </w:r>
    </w:p>
    <w:p w14:paraId="532DCAD9" w14:textId="70B1523D" w:rsidR="00105D31" w:rsidRDefault="002136C1" w:rsidP="00D03058">
      <w:pPr>
        <w:pStyle w:val="BodyText"/>
      </w:pPr>
      <w:r w:rsidRPr="00206B2B">
        <w:t>Unlocking participation in global value chains is another opportunity. A</w:t>
      </w:r>
      <w:r w:rsidR="00492872" w:rsidRPr="00206B2B">
        <w:t>sia</w:t>
      </w:r>
      <w:r w:rsidR="00F341C9" w:rsidRPr="00206B2B">
        <w:t>-</w:t>
      </w:r>
      <w:r w:rsidRPr="00206B2B">
        <w:t>P</w:t>
      </w:r>
      <w:r w:rsidR="00492872" w:rsidRPr="00206B2B">
        <w:t xml:space="preserve">acific </w:t>
      </w:r>
      <w:r w:rsidRPr="00206B2B">
        <w:t>E</w:t>
      </w:r>
      <w:r w:rsidR="00492872" w:rsidRPr="00206B2B">
        <w:t xml:space="preserve">conomic </w:t>
      </w:r>
      <w:r w:rsidRPr="00206B2B">
        <w:t>C</w:t>
      </w:r>
      <w:r w:rsidR="00492872" w:rsidRPr="00206B2B">
        <w:t>ooperation</w:t>
      </w:r>
      <w:r w:rsidRPr="00206B2B">
        <w:t>’s “Women’s Economic Empowerment through Trade Policy” initiative highlights that gender-responsive trade agreements, supported by data and analysis, expand women entrepreneurs’ integration into value chains. Diversifying who benefits from trade strengthens regional linkages and economic resilience, creating new opportunities for Australian businesses to partner with women-led enterprises.</w:t>
      </w:r>
      <w:r w:rsidR="00105D31">
        <w:br w:type="page"/>
      </w:r>
    </w:p>
    <w:p w14:paraId="7F56C5FE" w14:textId="502F0CC0" w:rsidR="00763784" w:rsidRPr="00206B2B" w:rsidRDefault="002136C1" w:rsidP="00D03058">
      <w:pPr>
        <w:pStyle w:val="BodyText"/>
        <w:rPr>
          <w:rStyle w:val="IntenseEmphasis"/>
          <w:b w:val="0"/>
          <w:i/>
          <w:color w:val="auto"/>
        </w:rPr>
      </w:pPr>
      <w:r w:rsidRPr="00206B2B">
        <w:lastRenderedPageBreak/>
        <w:t>Finally, WPS enhances digital trade and e-commerce.</w:t>
      </w:r>
      <w:r w:rsidR="009422F1" w:rsidRPr="00206B2B">
        <w:t xml:space="preserve"> The</w:t>
      </w:r>
      <w:r w:rsidRPr="00206B2B">
        <w:t xml:space="preserve"> </w:t>
      </w:r>
      <w:r w:rsidR="009422F1" w:rsidRPr="00206B2B">
        <w:t>UN Economic and Social Commission for Asia and the Pacific</w:t>
      </w:r>
      <w:r w:rsidRPr="00206B2B">
        <w:t xml:space="preserve"> notes that women face systemic barriers in sectors like digital and green economies; addressing these challenges increases participation in emerging trade areas. Enhanced digital inclusion supports cross-border e-commerce and digital trade growth in the region, opening new markets and fostering innovation.</w:t>
      </w:r>
    </w:p>
    <w:p w14:paraId="31ED0366" w14:textId="723E088E" w:rsidR="00876E84" w:rsidRPr="00206B2B" w:rsidRDefault="001567EA" w:rsidP="00D03058">
      <w:pPr>
        <w:pStyle w:val="BodyText"/>
      </w:pPr>
      <w:r w:rsidRPr="00206B2B">
        <w:t>Investing in W</w:t>
      </w:r>
      <w:r w:rsidR="009422F1" w:rsidRPr="00206B2B">
        <w:t>PS</w:t>
      </w:r>
      <w:r w:rsidRPr="00206B2B">
        <w:t xml:space="preserve"> in the Pacific supports sustainable economic growth and increased trade.</w:t>
      </w:r>
      <w:r w:rsidRPr="00206B2B">
        <w:rPr>
          <w:rStyle w:val="FootnoteReference"/>
        </w:rPr>
        <w:footnoteReference w:id="69"/>
      </w:r>
      <w:r w:rsidRPr="00206B2B">
        <w:t xml:space="preserve"> By reducing </w:t>
      </w:r>
      <w:r w:rsidR="009422F1" w:rsidRPr="00206B2B">
        <w:t>SGBV</w:t>
      </w:r>
      <w:r w:rsidRPr="00206B2B">
        <w:t>, investments in WPS aim to contribute to social stability, which is essential for increasing the participation of women in the economy and enabling cross-border trade. This fosters an environment where trade agreements can be implemented effectively, supply chains remain secure, and private sector partnerships thrive. Empowering women in leadership, governance and peacebuilding, strengthens regional stability and institutional trust, opening pathways for increased trade, investment, and shared prosperity across the Pacific. By working with the P</w:t>
      </w:r>
      <w:r w:rsidR="009422F1" w:rsidRPr="00206B2B">
        <w:t>IF</w:t>
      </w:r>
      <w:r w:rsidRPr="00206B2B">
        <w:t xml:space="preserve">, Australia can amplify its investments in WPS, promoting gender-responsive policy environments that are more supportive of trade and investment across the region. </w:t>
      </w:r>
    </w:p>
    <w:p w14:paraId="7852B632" w14:textId="44CA6936" w:rsidR="001567EA" w:rsidRPr="00206B2B" w:rsidRDefault="00FD1A97" w:rsidP="00D03058">
      <w:pPr>
        <w:pStyle w:val="BodyText"/>
      </w:pPr>
      <w:r w:rsidRPr="00206B2B">
        <w:t>While the linkages between</w:t>
      </w:r>
      <w:r w:rsidR="009422F1" w:rsidRPr="00206B2B">
        <w:t xml:space="preserve"> WPS</w:t>
      </w:r>
      <w:r w:rsidRPr="00206B2B">
        <w:t xml:space="preserve"> and regional trade are evident, a more detailed examination of the specific trade</w:t>
      </w:r>
      <w:r w:rsidRPr="00206B2B">
        <w:noBreakHyphen/>
        <w:t>related mechanisms, opportunities, and constraints falls beyond the scope of this review. A targeted piece of work</w:t>
      </w:r>
      <w:r w:rsidR="002C59D2" w:rsidRPr="00206B2B">
        <w:t xml:space="preserve"> </w:t>
      </w:r>
      <w:r w:rsidRPr="00206B2B">
        <w:t>would help clarify how Australia’s WPS investments can more deliberately shape gender</w:t>
      </w:r>
      <w:r w:rsidRPr="00206B2B">
        <w:noBreakHyphen/>
        <w:t>responsive trade policy, strengthen women’s participation in cross</w:t>
      </w:r>
      <w:r w:rsidRPr="00206B2B">
        <w:noBreakHyphen/>
        <w:t>border markets, and enhance the stability and prosperity of regional economic systems.</w:t>
      </w:r>
    </w:p>
    <w:p w14:paraId="182483F1" w14:textId="700441B2" w:rsidR="001567EA" w:rsidRPr="002C3BB2" w:rsidRDefault="001567EA" w:rsidP="002C3BB2">
      <w:pPr>
        <w:pStyle w:val="Heading3"/>
      </w:pPr>
      <w:r w:rsidRPr="002C3BB2">
        <w:t xml:space="preserve">Australian </w:t>
      </w:r>
      <w:r w:rsidR="009422F1" w:rsidRPr="002C3BB2">
        <w:t>p</w:t>
      </w:r>
      <w:r w:rsidRPr="002C3BB2">
        <w:t xml:space="preserve">rivate and </w:t>
      </w:r>
      <w:r w:rsidR="009422F1" w:rsidRPr="002C3BB2">
        <w:t>e</w:t>
      </w:r>
      <w:r w:rsidRPr="002C3BB2">
        <w:t xml:space="preserve">ducation </w:t>
      </w:r>
      <w:r w:rsidR="009422F1" w:rsidRPr="002C3BB2">
        <w:t>s</w:t>
      </w:r>
      <w:r w:rsidRPr="002C3BB2">
        <w:t xml:space="preserve">ector and </w:t>
      </w:r>
      <w:r w:rsidR="009422F1" w:rsidRPr="002C3BB2">
        <w:t>r</w:t>
      </w:r>
      <w:r w:rsidRPr="002C3BB2">
        <w:t xml:space="preserve">egional </w:t>
      </w:r>
      <w:r w:rsidR="009422F1" w:rsidRPr="002C3BB2">
        <w:t>e</w:t>
      </w:r>
      <w:r w:rsidRPr="002C3BB2">
        <w:t>ngagement</w:t>
      </w:r>
    </w:p>
    <w:p w14:paraId="4BE67E0E" w14:textId="690AABDD" w:rsidR="001567EA" w:rsidRPr="00206B2B" w:rsidRDefault="001567EA" w:rsidP="00D03058">
      <w:pPr>
        <w:pStyle w:val="BodyText"/>
      </w:pPr>
      <w:r w:rsidRPr="00206B2B">
        <w:t xml:space="preserve">Australia’s WPS agenda can be strengthened through deeper engagement with the private sector and targeted regional initiatives. Opportunities exist to leverage existing partnerships such as the Indonesia-Australia Comprehensive Economic Partnership Agreement within Southeast Asia and the Pacific Islands to advance women’s empowerment and to combat sexual exploitation and slavery. Women’s empowerment could be driven through the private and education sector to upskill in English language skills, artificial intelligence and technology, and in job markets where Australia has key gaps such as for nursing. Universities, higher education and vocational education institutions could be leveraged to implement targeted exchange programs for refugees or those impacted </w:t>
      </w:r>
      <w:r w:rsidR="00D72C2E" w:rsidRPr="00206B2B">
        <w:br/>
      </w:r>
      <w:r w:rsidRPr="00206B2B">
        <w:t xml:space="preserve">by conflict. </w:t>
      </w:r>
    </w:p>
    <w:p w14:paraId="6DA00139" w14:textId="0856D2C6" w:rsidR="002C3BB2" w:rsidRDefault="001567EA" w:rsidP="00D03058">
      <w:pPr>
        <w:pStyle w:val="BodyText"/>
      </w:pPr>
      <w:r w:rsidRPr="00206B2B">
        <w:t>Modern slavery remains a critical area for deeper engagement with the private sector. Current approaches often emphasise compliance, such as withdrawing from suppliers that fail to meet standards, rather than driving systemic change. A more effective strategy would incentivise companies to transform exploitative business models and embed women’s empowerment at the core of operations. Australian businesses can play a leadership role by linking trade and investment to gender outcomes, for example through tax concessions or preferential agreements for companies that implement upskilling programs for women, improve labour conditions, and strengthen protections against exploitation. Moving beyond compliance to proactive capacity-building creates shared value: reducing modern slavery risks while advancing economic resilience and gender equality across the Indo-Pacific.</w:t>
      </w:r>
      <w:r w:rsidR="002C3BB2">
        <w:br w:type="page"/>
      </w:r>
    </w:p>
    <w:p w14:paraId="0EFB248B" w14:textId="6E594119" w:rsidR="00AE5992" w:rsidRPr="00206B2B" w:rsidRDefault="00BD4D51" w:rsidP="00944D24">
      <w:pPr>
        <w:pStyle w:val="Heading2"/>
      </w:pPr>
      <w:r w:rsidRPr="00206B2B">
        <w:lastRenderedPageBreak/>
        <w:t>Innovative approaches</w:t>
      </w:r>
    </w:p>
    <w:p w14:paraId="438D6E24" w14:textId="49D59202" w:rsidR="009B4FB7" w:rsidRPr="00206B2B" w:rsidRDefault="009B4FB7" w:rsidP="006979E2">
      <w:pPr>
        <w:pStyle w:val="BodyText"/>
      </w:pPr>
      <w:r w:rsidRPr="00206B2B">
        <w:t xml:space="preserve">One innovative approach that has worked well is integrating WPS principles into cybersecurity initiatives. Programs such as UN Women’s “Women, Peace and Cybersecurity” in </w:t>
      </w:r>
      <w:r w:rsidR="004E1DB4" w:rsidRPr="00206B2B">
        <w:t xml:space="preserve">the </w:t>
      </w:r>
      <w:r w:rsidRPr="00206B2B">
        <w:t>Asia-Pacific have successfully supported women’s participation in cybersecurity policymaking and the prevention of technology-facilitated threats. These efforts combine capacity building with policy reform, ensuring that gender perspectives are embedded in digital security strategies. Multi-stakeholder workshops, like those convened between the U</w:t>
      </w:r>
      <w:r w:rsidR="009422F1" w:rsidRPr="00206B2B">
        <w:t xml:space="preserve">nited </w:t>
      </w:r>
      <w:r w:rsidRPr="00206B2B">
        <w:t>S</w:t>
      </w:r>
      <w:r w:rsidR="009422F1" w:rsidRPr="00206B2B">
        <w:t>tates</w:t>
      </w:r>
      <w:r w:rsidRPr="00206B2B">
        <w:t xml:space="preserve"> and Southeast Asia, have also proven effective in fostering collaboration among governments, civil society, and academia to develop inclusive cybersecurity</w:t>
      </w:r>
      <w:r w:rsidR="002C3BB2">
        <w:t> </w:t>
      </w:r>
      <w:r w:rsidRPr="00206B2B">
        <w:t>frameworks.</w:t>
      </w:r>
    </w:p>
    <w:p w14:paraId="23C72C3A" w14:textId="61450354" w:rsidR="009B4FB7" w:rsidRPr="00206B2B" w:rsidRDefault="005B27F8" w:rsidP="006979E2">
      <w:pPr>
        <w:pStyle w:val="BodyText"/>
      </w:pPr>
      <w:r w:rsidRPr="00206B2B">
        <w:t>I</w:t>
      </w:r>
      <w:r w:rsidR="009B4FB7" w:rsidRPr="00206B2B">
        <w:t>n the climate–peace nexus, locally led initiatives have demonstrated strong impact. For example, the Berghof Foundation’s Insider Peacebuilders Network in Somalia has trained over 100 women mediators to address environmental stressors such as land disputes and resource degradation. By linking gender-inclusive mediation with climate adaptation strategies, these programs strengthen social cohesion and reduce conflict drivers. Similarly, guidance from Georgetown University emphasi</w:t>
      </w:r>
      <w:r w:rsidR="006F5C53" w:rsidRPr="00206B2B">
        <w:t>s</w:t>
      </w:r>
      <w:r w:rsidR="009B4FB7" w:rsidRPr="00206B2B">
        <w:t>es embedding climate resilience into WPS N</w:t>
      </w:r>
      <w:r w:rsidR="009422F1" w:rsidRPr="00206B2B">
        <w:t>AP</w:t>
      </w:r>
      <w:r w:rsidR="009B4FB7" w:rsidRPr="00206B2B">
        <w:t>s through cross-government planning and civil society consultations, ensuring coherence and sustainability.</w:t>
      </w:r>
      <w:r w:rsidR="00827340" w:rsidRPr="00206B2B">
        <w:rPr>
          <w:rStyle w:val="FootnoteReference"/>
        </w:rPr>
        <w:footnoteReference w:id="70"/>
      </w:r>
      <w:r w:rsidR="00D83DBB" w:rsidRPr="00206B2B">
        <w:t xml:space="preserve"> The Australian WPS</w:t>
      </w:r>
      <w:r w:rsidR="00C51FA1" w:rsidRPr="00206B2B">
        <w:t xml:space="preserve"> Coalition emphasises the </w:t>
      </w:r>
      <w:r w:rsidR="00A107A0" w:rsidRPr="00206B2B">
        <w:t>importance of investing in</w:t>
      </w:r>
      <w:r w:rsidR="0038353D" w:rsidRPr="00206B2B">
        <w:t xml:space="preserve"> research</w:t>
      </w:r>
      <w:r w:rsidR="00C51FA1" w:rsidRPr="00206B2B">
        <w:t xml:space="preserve"> to </w:t>
      </w:r>
      <w:r w:rsidR="00A107A0" w:rsidRPr="00206B2B">
        <w:t>establish</w:t>
      </w:r>
      <w:r w:rsidR="00C51FA1" w:rsidRPr="00206B2B">
        <w:t xml:space="preserve"> a robust</w:t>
      </w:r>
      <w:r w:rsidR="002600CB" w:rsidRPr="00206B2B">
        <w:t xml:space="preserve"> evidence base </w:t>
      </w:r>
      <w:r w:rsidR="00C51FA1" w:rsidRPr="00206B2B">
        <w:t>on the</w:t>
      </w:r>
      <w:r w:rsidR="0038353D" w:rsidRPr="00206B2B">
        <w:t xml:space="preserve"> </w:t>
      </w:r>
      <w:r w:rsidR="00A503D4" w:rsidRPr="00206B2B">
        <w:t>gender</w:t>
      </w:r>
      <w:r w:rsidR="00A107A0" w:rsidRPr="00206B2B">
        <w:t>–</w:t>
      </w:r>
      <w:r w:rsidR="00A503D4" w:rsidRPr="00206B2B">
        <w:t>security</w:t>
      </w:r>
      <w:r w:rsidR="00A107A0" w:rsidRPr="00206B2B">
        <w:t>–climate</w:t>
      </w:r>
      <w:r w:rsidR="00C51FA1" w:rsidRPr="00206B2B">
        <w:t xml:space="preserve"> nexus, </w:t>
      </w:r>
      <w:r w:rsidR="00A107A0" w:rsidRPr="00206B2B">
        <w:t>viewing</w:t>
      </w:r>
      <w:r w:rsidR="00C51FA1" w:rsidRPr="00206B2B">
        <w:t xml:space="preserve"> this</w:t>
      </w:r>
      <w:r w:rsidR="003A31DE" w:rsidRPr="00206B2B">
        <w:t xml:space="preserve"> </w:t>
      </w:r>
      <w:r w:rsidR="00C51FA1" w:rsidRPr="00206B2B">
        <w:t xml:space="preserve">as a </w:t>
      </w:r>
      <w:r w:rsidR="00A107A0" w:rsidRPr="00206B2B">
        <w:t>strategic</w:t>
      </w:r>
      <w:r w:rsidR="003A31DE" w:rsidRPr="00206B2B">
        <w:t xml:space="preserve"> opportunity </w:t>
      </w:r>
      <w:r w:rsidR="00C51FA1" w:rsidRPr="00206B2B">
        <w:t xml:space="preserve">to </w:t>
      </w:r>
      <w:r w:rsidR="00A107A0" w:rsidRPr="00206B2B">
        <w:t>advance</w:t>
      </w:r>
      <w:r w:rsidR="00C51FA1" w:rsidRPr="00206B2B">
        <w:t xml:space="preserve"> national</w:t>
      </w:r>
      <w:r w:rsidR="003A31DE" w:rsidRPr="00206B2B">
        <w:t xml:space="preserve"> expertise and leadership</w:t>
      </w:r>
      <w:r w:rsidR="00A503D4" w:rsidRPr="00206B2B">
        <w:t>.</w:t>
      </w:r>
      <w:r w:rsidR="00A503D4" w:rsidRPr="00206B2B">
        <w:rPr>
          <w:rStyle w:val="FootnoteReference"/>
        </w:rPr>
        <w:footnoteReference w:id="71"/>
      </w:r>
    </w:p>
    <w:p w14:paraId="19BB9D12" w14:textId="49EE3944" w:rsidR="009B4FB7" w:rsidRPr="00206B2B" w:rsidRDefault="00EE5F6C" w:rsidP="002C3BB2">
      <w:r w:rsidRPr="00206B2B">
        <w:t>F</w:t>
      </w:r>
      <w:r w:rsidR="009B4FB7" w:rsidRPr="00206B2B">
        <w:t>orward-looking approaches that incorporate technology and AI governance into WPS programming are emerging as critical innovations. Policy briefs like “</w:t>
      </w:r>
      <w:r w:rsidR="009B4FB7" w:rsidRPr="002C3BB2">
        <w:t>WPS</w:t>
      </w:r>
      <w:r w:rsidR="009B4FB7" w:rsidRPr="00206B2B">
        <w:t xml:space="preserve"> in the Digital Age” highlight the need to address gendered dimensions of AI</w:t>
      </w:r>
      <w:r w:rsidRPr="00206B2B">
        <w:t xml:space="preserve"> </w:t>
      </w:r>
      <w:r w:rsidR="009B4FB7" w:rsidRPr="00206B2B">
        <w:t>such as bias, surveillance, and privacy</w:t>
      </w:r>
      <w:r w:rsidRPr="00206B2B">
        <w:t xml:space="preserve"> </w:t>
      </w:r>
      <w:r w:rsidR="009B4FB7" w:rsidRPr="00206B2B">
        <w:t>while exploring opportunities for AI to support conflict prevention and recovery.</w:t>
      </w:r>
      <w:r w:rsidR="0009612C" w:rsidRPr="00206B2B">
        <w:rPr>
          <w:rStyle w:val="FootnoteReference"/>
        </w:rPr>
        <w:footnoteReference w:id="72"/>
      </w:r>
      <w:r w:rsidR="009B4FB7" w:rsidRPr="00206B2B">
        <w:t xml:space="preserve"> Integrating gender analysis into tech governance ensures that future security solutions are equitable and inclusive.</w:t>
      </w:r>
    </w:p>
    <w:p w14:paraId="5BA5A919" w14:textId="606C2992" w:rsidR="002C3BB2" w:rsidRDefault="00182B86" w:rsidP="004B4392">
      <w:pPr>
        <w:pStyle w:val="BodyText"/>
      </w:pPr>
      <w:r w:rsidRPr="00206B2B">
        <w:t>Innovative funding models are transforming</w:t>
      </w:r>
      <w:r w:rsidR="00E31128" w:rsidRPr="00206B2B">
        <w:t xml:space="preserve"> locally</w:t>
      </w:r>
      <w:r w:rsidR="00A23FFD" w:rsidRPr="00206B2B">
        <w:t xml:space="preserve"> </w:t>
      </w:r>
      <w:r w:rsidR="00E31128" w:rsidRPr="00206B2B">
        <w:t>led</w:t>
      </w:r>
      <w:r w:rsidRPr="00206B2B">
        <w:t xml:space="preserve"> peacebuilding by providing </w:t>
      </w:r>
      <w:r w:rsidR="008E7068" w:rsidRPr="00206B2B">
        <w:t>rapid</w:t>
      </w:r>
      <w:r w:rsidRPr="00206B2B">
        <w:t>, adaptable and risk-tolerant support for women’s participation in peace processes. The</w:t>
      </w:r>
      <w:r w:rsidR="00384879" w:rsidRPr="00206B2B">
        <w:t xml:space="preserve"> UN</w:t>
      </w:r>
      <w:r w:rsidRPr="00206B2B">
        <w:t xml:space="preserve"> </w:t>
      </w:r>
      <w:r w:rsidR="00384879" w:rsidRPr="00206B2B">
        <w:t>WPHF</w:t>
      </w:r>
      <w:r w:rsidRPr="00206B2B">
        <w:t xml:space="preserve">’s Rapid Response Window (RRW) exemplifies this flexibility by accepting proposals in multiple languages and formats, including audio and video, and </w:t>
      </w:r>
      <w:r w:rsidR="007A743B" w:rsidRPr="00206B2B">
        <w:t xml:space="preserve">by </w:t>
      </w:r>
      <w:r w:rsidRPr="00206B2B">
        <w:t>allowing funds to be reprogrammed for emerging needs such as relocation, security</w:t>
      </w:r>
      <w:r w:rsidR="007A743B" w:rsidRPr="00206B2B">
        <w:t>,</w:t>
      </w:r>
      <w:r w:rsidRPr="00206B2B">
        <w:t xml:space="preserve"> or revised project scopes during crises.</w:t>
      </w:r>
      <w:r w:rsidR="00111AC8" w:rsidRPr="00206B2B">
        <w:rPr>
          <w:rStyle w:val="FootnoteReference"/>
        </w:rPr>
        <w:footnoteReference w:id="73"/>
      </w:r>
      <w:r w:rsidRPr="00206B2B">
        <w:t xml:space="preserve"> This agility proved critical in Sudan when formal negotiations collapsed after </w:t>
      </w:r>
      <w:r w:rsidR="00231D67" w:rsidRPr="00206B2B">
        <w:t>an</w:t>
      </w:r>
      <w:r w:rsidRPr="00206B2B">
        <w:t xml:space="preserve"> outbreak of armed conflict</w:t>
      </w:r>
      <w:r w:rsidR="00231D67" w:rsidRPr="00206B2B">
        <w:t xml:space="preserve"> in 2023</w:t>
      </w:r>
      <w:r w:rsidRPr="00206B2B">
        <w:t xml:space="preserve">. </w:t>
      </w:r>
      <w:r w:rsidR="00634765" w:rsidRPr="00206B2B">
        <w:t xml:space="preserve">The </w:t>
      </w:r>
      <w:r w:rsidRPr="00206B2B">
        <w:t xml:space="preserve">RRW support enabled </w:t>
      </w:r>
      <w:r w:rsidR="00AD70EB" w:rsidRPr="00206B2B">
        <w:t xml:space="preserve">civil society </w:t>
      </w:r>
      <w:r w:rsidRPr="00206B2B">
        <w:t>women’s organisations to convene consultations in Nairobi, Kampala</w:t>
      </w:r>
      <w:r w:rsidR="003B1F4A" w:rsidRPr="00206B2B">
        <w:t>,</w:t>
      </w:r>
      <w:r w:rsidRPr="00206B2B">
        <w:t xml:space="preserve"> and Cairo, producing a shadow peace agreement and action plan that articulated civil society priorities for ending violence.</w:t>
      </w:r>
      <w:r w:rsidR="00111AC8" w:rsidRPr="00206B2B">
        <w:rPr>
          <w:rStyle w:val="FootnoteReference"/>
        </w:rPr>
        <w:footnoteReference w:id="74"/>
      </w:r>
      <w:r w:rsidRPr="00206B2B">
        <w:t xml:space="preserve"> </w:t>
      </w:r>
      <w:r w:rsidR="00E36A52" w:rsidRPr="00206B2B">
        <w:t xml:space="preserve">Facilitated through </w:t>
      </w:r>
      <w:r w:rsidR="008A29F7" w:rsidRPr="00206B2B">
        <w:t xml:space="preserve">the </w:t>
      </w:r>
      <w:r w:rsidR="00E36A52" w:rsidRPr="00206B2B">
        <w:t>RRW’s design for agile and context-sensitive support</w:t>
      </w:r>
      <w:r w:rsidR="00171F33" w:rsidRPr="00206B2B">
        <w:t xml:space="preserve">, </w:t>
      </w:r>
      <w:r w:rsidR="006466CF" w:rsidRPr="00206B2B">
        <w:t>t</w:t>
      </w:r>
      <w:r w:rsidR="00171F33" w:rsidRPr="00206B2B">
        <w:t xml:space="preserve">hese initiatives advanced a </w:t>
      </w:r>
      <w:r w:rsidR="006466CF" w:rsidRPr="00206B2B">
        <w:t>WPS</w:t>
      </w:r>
      <w:r w:rsidR="00171F33" w:rsidRPr="00206B2B">
        <w:t xml:space="preserve"> agenda beyond gender-responsive provisions, </w:t>
      </w:r>
      <w:r w:rsidR="006466CF" w:rsidRPr="00206B2B">
        <w:t>addressing</w:t>
      </w:r>
      <w:r w:rsidR="00171F33" w:rsidRPr="00206B2B">
        <w:t xml:space="preserve"> emerging priorities such as ceasefire arrangements, transitional justice and accountability for human rights violations.</w:t>
      </w:r>
      <w:r w:rsidR="00111AC8" w:rsidRPr="00206B2B">
        <w:t xml:space="preserve"> </w:t>
      </w:r>
      <w:r w:rsidR="002C3BB2">
        <w:br w:type="page"/>
      </w:r>
    </w:p>
    <w:p w14:paraId="153ED816" w14:textId="48312307" w:rsidR="00FC5838" w:rsidRPr="00206B2B" w:rsidRDefault="00D55645" w:rsidP="004B4392">
      <w:pPr>
        <w:pStyle w:val="BodyText"/>
      </w:pPr>
      <w:r w:rsidRPr="00206B2B">
        <w:lastRenderedPageBreak/>
        <w:t>Australia could benefit from adopting a similarly flexible funding mechanism in the Indo-Pacific region to strengthen women’s leadership in peacebuilding</w:t>
      </w:r>
      <w:r w:rsidR="00B87483" w:rsidRPr="00206B2B">
        <w:t xml:space="preserve">, provide </w:t>
      </w:r>
      <w:r w:rsidR="002F0370" w:rsidRPr="00206B2B">
        <w:t>sustained and systemic support to community-based organisations</w:t>
      </w:r>
      <w:r w:rsidRPr="00206B2B">
        <w:t xml:space="preserve"> and ensure rapid, context-sensitive responses to emerging security challenges.</w:t>
      </w:r>
      <w:r w:rsidR="00593153" w:rsidRPr="00206B2B">
        <w:rPr>
          <w:rStyle w:val="FootnoteReference"/>
        </w:rPr>
        <w:footnoteReference w:id="75"/>
      </w:r>
      <w:r w:rsidR="009C6D3E" w:rsidRPr="00206B2B">
        <w:t xml:space="preserve"> Civil society stakeholders specifically called for </w:t>
      </w:r>
      <w:r w:rsidR="00C14CB7" w:rsidRPr="00206B2B">
        <w:t xml:space="preserve">Australia to </w:t>
      </w:r>
      <w:r w:rsidR="00003839" w:rsidRPr="00206B2B">
        <w:t>better fund and resource grassroots and community actors to drive locally grounded change.</w:t>
      </w:r>
    </w:p>
    <w:p w14:paraId="183780F3" w14:textId="20198E8C" w:rsidR="002C3BB2" w:rsidRPr="001C7541" w:rsidRDefault="002C3BB2" w:rsidP="008A0A35">
      <w:pPr>
        <w:pStyle w:val="Normal-casestudy"/>
        <w:rPr>
          <w:rStyle w:val="Strong"/>
        </w:rPr>
      </w:pPr>
      <w:r w:rsidRPr="001C7541">
        <w:rPr>
          <w:rStyle w:val="Strong"/>
        </w:rPr>
        <w:t>Case study: Cyber Safety Pasifika</w:t>
      </w:r>
    </w:p>
    <w:p w14:paraId="245AA074" w14:textId="77777777" w:rsidR="002C3BB2" w:rsidRPr="00206B2B" w:rsidRDefault="002C3BB2" w:rsidP="008A0A35">
      <w:pPr>
        <w:pStyle w:val="Normal-casestudy"/>
      </w:pPr>
      <w:r w:rsidRPr="00206B2B">
        <w:t>The Cyber Safety Pasifika (CSP) is led by the AFP with the aim to address the intersection of cybercrime and the WPS agenda. Delivered in partnership with the Women’s Services Network, the Australian peak body for specialist women’s domestic and family violence services and endorsed by the Fijian and Tongan Women’s and Children’s Crisis Centres, CSP developed training on combatting technology-enabled domestic violence. Since 2023, more than 150 frontline women’s service workers and police officers across 16 Pacific Island nations have been equipped to better protect women and children from online abuse.</w:t>
      </w:r>
    </w:p>
    <w:p w14:paraId="43CA4221" w14:textId="77777777" w:rsidR="002C3BB2" w:rsidRPr="00206B2B" w:rsidRDefault="002C3BB2" w:rsidP="008A0A35">
      <w:pPr>
        <w:pStyle w:val="Normal-casestudy"/>
      </w:pPr>
      <w:r w:rsidRPr="00206B2B">
        <w:t>CSP’s approach is distinctly ‘by the Pacific, for the Pacific.’ The invitation for former participants to co-present and then lead subsequent courses is heavily attributed to the success of the program, fostering local ownership and gender-inclusive leadership. Female police officers have taken prominent roles in cyber awareness programs and community roadshows, extending outreach to vulnerable groups and amplifying women’s voices in policing. Initiatives such as Tonga’s cybercrime unit and Fiji’s community roadshows demonstrate how CSP combines technical capability-building with cultural relevance.</w:t>
      </w:r>
    </w:p>
    <w:p w14:paraId="60B2DC8A" w14:textId="71234A99" w:rsidR="00D43C04" w:rsidRPr="00206B2B" w:rsidRDefault="00C42B81" w:rsidP="00944D24">
      <w:pPr>
        <w:pStyle w:val="Heading2"/>
      </w:pPr>
      <w:r w:rsidRPr="00206B2B">
        <w:t>I</w:t>
      </w:r>
      <w:r w:rsidR="009970EF" w:rsidRPr="00206B2B">
        <w:t>nform</w:t>
      </w:r>
      <w:r w:rsidRPr="00206B2B">
        <w:t>ing</w:t>
      </w:r>
      <w:r w:rsidR="009970EF" w:rsidRPr="00206B2B">
        <w:t xml:space="preserve"> future programming</w:t>
      </w:r>
    </w:p>
    <w:p w14:paraId="6522CD99" w14:textId="31F057C1" w:rsidR="00D43C04" w:rsidRPr="00206B2B" w:rsidRDefault="00D43C04" w:rsidP="00B4208D">
      <w:pPr>
        <w:pStyle w:val="BodyText"/>
      </w:pPr>
      <w:r w:rsidRPr="00206B2B">
        <w:t xml:space="preserve">Future WPS programming should begin by integrating emerging threats into its design. Traditional approaches focused on conflict and post-conflict settings are no longer sufficient. Digital risks such as cyber harassment, deepfakes, and technology-facilitated violence, along with challenges posed by artificial intelligence and climate-driven insecurity, need to be explicitly addressed in </w:t>
      </w:r>
      <w:r w:rsidR="00A7158E" w:rsidRPr="00206B2B">
        <w:t>NAP</w:t>
      </w:r>
      <w:r w:rsidRPr="00206B2B">
        <w:t>s and peacebuilding strategies. These issues are now central to women’s safety and participation in security</w:t>
      </w:r>
      <w:r w:rsidR="00A13AAF">
        <w:t> </w:t>
      </w:r>
      <w:r w:rsidRPr="00206B2B">
        <w:t>processes.</w:t>
      </w:r>
    </w:p>
    <w:p w14:paraId="03364200" w14:textId="3786309D" w:rsidR="00D43C04" w:rsidRPr="00206B2B" w:rsidRDefault="00D43C04" w:rsidP="00B4208D">
      <w:pPr>
        <w:pStyle w:val="BodyText"/>
      </w:pPr>
      <w:r w:rsidRPr="00206B2B">
        <w:t>Programs must also prioritise intersectionality and local contexts. Women’s experiences of insecurity vary widely based on factors such as ethnicity, age, disability, and displacement. Tailoring interventions to these realities and amplifying grassroots voices will make WPS efforts more inclusive and effective. This requires moving beyond one-size-fits-all approaches and embedding nuanced, context-specific</w:t>
      </w:r>
      <w:r w:rsidR="00A13AAF">
        <w:t> </w:t>
      </w:r>
      <w:r w:rsidRPr="00206B2B">
        <w:t>solutions.</w:t>
      </w:r>
    </w:p>
    <w:p w14:paraId="538E9E31" w14:textId="7ECA9277" w:rsidR="00D43C04" w:rsidRPr="00206B2B" w:rsidRDefault="00D43C04" w:rsidP="00B4208D">
      <w:pPr>
        <w:pStyle w:val="BodyText"/>
      </w:pPr>
      <w:r w:rsidRPr="00206B2B">
        <w:rPr>
          <w:rStyle w:val="BodyTextChar"/>
        </w:rPr>
        <w:t>Technology should be harnessed not only to mitigate risks but also to empower women. Digital platforms can provide opportunities for leadership, advocacy, and economic participation. Investments in digital</w:t>
      </w:r>
      <w:r w:rsidRPr="00206B2B">
        <w:t xml:space="preserve"> literacy, cybersecurity training, and safe online spaces will enable women to engage meaningfully in governance and peacebuilding processes.</w:t>
      </w:r>
    </w:p>
    <w:p w14:paraId="21578D61" w14:textId="77777777" w:rsidR="00D43C04" w:rsidRPr="00206B2B" w:rsidRDefault="00D43C04" w:rsidP="00B4208D">
      <w:pPr>
        <w:pStyle w:val="BodyText"/>
      </w:pPr>
      <w:r w:rsidRPr="00206B2B">
        <w:t>Another critical lesson is the need to link climate action with peacebuilding. Climate adaptation and resource management initiatives should be integrated into WPS programming, as women-led climate solutions can strengthen resilience and social cohesion while reducing conflict drivers in fragile environments. This intersection offers a powerful entry point for sustainable peace.</w:t>
      </w:r>
    </w:p>
    <w:p w14:paraId="36D788F9" w14:textId="50D9F378" w:rsidR="00D43C04" w:rsidRPr="00206B2B" w:rsidRDefault="00D43C04" w:rsidP="00B4208D">
      <w:pPr>
        <w:pStyle w:val="BodyText"/>
      </w:pPr>
      <w:r w:rsidRPr="00206B2B">
        <w:lastRenderedPageBreak/>
        <w:t>Institutional capacity and policy coherence must also be strengthened. Establishing WPS Centers of Excellence and fostering collaboration across sectors</w:t>
      </w:r>
      <w:r w:rsidR="00157BBA" w:rsidRPr="00206B2B">
        <w:t xml:space="preserve">, </w:t>
      </w:r>
      <w:r w:rsidRPr="00206B2B">
        <w:t>such as security, technology, and climate</w:t>
      </w:r>
      <w:r w:rsidR="00157BBA" w:rsidRPr="00206B2B">
        <w:t xml:space="preserve"> </w:t>
      </w:r>
      <w:r w:rsidRPr="00206B2B">
        <w:t xml:space="preserve">will improve implementation and strategic impact. Aligning WPS with broader policy agendas, including AI governance and </w:t>
      </w:r>
      <w:r w:rsidR="006E7555" w:rsidRPr="00206B2B">
        <w:t>DRR</w:t>
      </w:r>
      <w:r w:rsidRPr="00206B2B">
        <w:t>, can ensure relevance in a rapidly evolving security landscape.</w:t>
      </w:r>
    </w:p>
    <w:p w14:paraId="02F4E4CE" w14:textId="230F703C" w:rsidR="00451021" w:rsidRPr="006B6F23" w:rsidRDefault="00D43C04" w:rsidP="006B6F23">
      <w:pPr>
        <w:pStyle w:val="BodyText"/>
      </w:pPr>
      <w:r w:rsidRPr="00206B2B">
        <w:t xml:space="preserve">Finally, robust </w:t>
      </w:r>
      <w:r w:rsidR="00BD192F" w:rsidRPr="00206B2B">
        <w:t xml:space="preserve">MEL </w:t>
      </w:r>
      <w:r w:rsidRPr="00206B2B">
        <w:t xml:space="preserve">systems are essential. </w:t>
      </w:r>
      <w:r w:rsidR="00BD192F" w:rsidRPr="00206B2B">
        <w:t>MEL</w:t>
      </w:r>
      <w:r w:rsidRPr="00206B2B">
        <w:t xml:space="preserve"> frameworks that capture emerging risks and innovations will allow programs to remain </w:t>
      </w:r>
      <w:proofErr w:type="gramStart"/>
      <w:r w:rsidRPr="00206B2B">
        <w:t>flexible</w:t>
      </w:r>
      <w:proofErr w:type="gramEnd"/>
      <w:r w:rsidRPr="00206B2B">
        <w:t xml:space="preserve"> and evidence</w:t>
      </w:r>
      <w:r w:rsidR="000240E5" w:rsidRPr="00206B2B">
        <w:t xml:space="preserve"> </w:t>
      </w:r>
      <w:r w:rsidRPr="00206B2B">
        <w:t>driven. This continuous learning approach will help WPS programming evolve alongside global challenges and opportunities.</w:t>
      </w:r>
      <w:bookmarkStart w:id="14" w:name="_Recommendations"/>
      <w:bookmarkEnd w:id="14"/>
      <w:r w:rsidR="00451021" w:rsidRPr="00206B2B">
        <w:br w:type="page"/>
      </w:r>
    </w:p>
    <w:p w14:paraId="023E10CF" w14:textId="71F1CCC9" w:rsidR="00AE5992" w:rsidRPr="00206B2B" w:rsidRDefault="00DB7435" w:rsidP="00944D24">
      <w:pPr>
        <w:pStyle w:val="Heading1"/>
      </w:pPr>
      <w:bookmarkStart w:id="15" w:name="_Toc230774047"/>
      <w:r w:rsidRPr="00206B2B">
        <w:lastRenderedPageBreak/>
        <w:t>R</w:t>
      </w:r>
      <w:r w:rsidR="009970EF" w:rsidRPr="00206B2B">
        <w:t>ecommendations</w:t>
      </w:r>
      <w:bookmarkEnd w:id="15"/>
    </w:p>
    <w:p w14:paraId="328064DF" w14:textId="791979E1" w:rsidR="008C5CE6" w:rsidRPr="00053D89" w:rsidRDefault="008C5CE6" w:rsidP="00053D89">
      <w:r w:rsidRPr="00053D89">
        <w:t>The recommendations that follow outline the strategic and operational actions required to accelerate progress and position the program to achieve its objectives over the remaining five years. They build directly on the findings of this midterm review, identifying the key shifts needed to strengthen implementation, enhance partnerships, and respond to emerging regional dynamics. Together, these recommendations aim to reinforce Australia’s leadership on WPS and ensure the program delivers sustained, measurable impact through to the end of the strategy period.</w:t>
      </w:r>
    </w:p>
    <w:p w14:paraId="781CCF4D" w14:textId="7515B58A" w:rsidR="00351E75" w:rsidRPr="005200B1" w:rsidRDefault="00351E75" w:rsidP="00A50BB0">
      <w:pPr>
        <w:pStyle w:val="BodyText"/>
        <w:rPr>
          <w:b/>
        </w:rPr>
      </w:pPr>
      <w:r w:rsidRPr="00E45DC9">
        <w:t xml:space="preserve">As </w:t>
      </w:r>
      <w:r w:rsidR="00D322C5">
        <w:t>the key department providing secretariat and coordination of the</w:t>
      </w:r>
      <w:r w:rsidR="001B6A1C">
        <w:t xml:space="preserve"> WPS NAP, </w:t>
      </w:r>
      <w:r w:rsidR="005200B1">
        <w:t>DFAT</w:t>
      </w:r>
      <w:r w:rsidR="00955FD0">
        <w:t xml:space="preserve"> </w:t>
      </w:r>
      <w:r w:rsidR="001B6A1C">
        <w:t xml:space="preserve">should take a lead role in coordinating </w:t>
      </w:r>
      <w:r w:rsidR="0033303B">
        <w:t xml:space="preserve">any actions which result from these recommendations. This should be done in close collaboration and </w:t>
      </w:r>
      <w:r w:rsidR="00F27448">
        <w:t xml:space="preserve">partnership with the </w:t>
      </w:r>
      <w:r w:rsidR="005F220A">
        <w:t xml:space="preserve">IDC, </w:t>
      </w:r>
      <w:r w:rsidR="00F27448">
        <w:t>WPS implementing partners</w:t>
      </w:r>
      <w:r w:rsidR="00C320BB">
        <w:t xml:space="preserve"> and </w:t>
      </w:r>
      <w:r w:rsidR="005F220A">
        <w:t>other areas of government</w:t>
      </w:r>
      <w:r w:rsidR="009D4AC9">
        <w:t>,</w:t>
      </w:r>
      <w:r w:rsidR="005F220A">
        <w:t xml:space="preserve"> where</w:t>
      </w:r>
      <w:r w:rsidR="00955FD0">
        <w:t xml:space="preserve"> a</w:t>
      </w:r>
      <w:r w:rsidRPr="00E45DC9">
        <w:t xml:space="preserve"> </w:t>
      </w:r>
      <w:r w:rsidR="005F220A">
        <w:t>whole-of-government approach is</w:t>
      </w:r>
      <w:r w:rsidRPr="00E45DC9">
        <w:t xml:space="preserve"> </w:t>
      </w:r>
      <w:r w:rsidR="00663AE0">
        <w:t xml:space="preserve">required. </w:t>
      </w:r>
    </w:p>
    <w:p w14:paraId="37573E12" w14:textId="32F8F5CA" w:rsidR="0071601B" w:rsidRPr="00206B2B" w:rsidRDefault="00351E75" w:rsidP="006B6F23">
      <w:pPr>
        <w:pStyle w:val="BodyText"/>
      </w:pPr>
      <w:r>
        <w:t>H</w:t>
      </w:r>
      <w:r w:rsidR="0071601B">
        <w:t xml:space="preserve">igh-level implementation </w:t>
      </w:r>
      <w:r w:rsidR="0071601B" w:rsidRPr="00206B2B">
        <w:t xml:space="preserve">considerations are noted against each recommendation to support implementation planning. It is important to note that these implementation considerations have been informed by insights captured as part of the mid-term review and as such, more information may be required </w:t>
      </w:r>
      <w:proofErr w:type="gramStart"/>
      <w:r w:rsidR="0071601B" w:rsidRPr="00206B2B">
        <w:t>in order to</w:t>
      </w:r>
      <w:proofErr w:type="gramEnd"/>
      <w:r w:rsidR="0071601B" w:rsidRPr="00206B2B">
        <w:t xml:space="preserve"> provide </w:t>
      </w:r>
      <w:r w:rsidR="00D70FF2">
        <w:t>a</w:t>
      </w:r>
      <w:r w:rsidR="0071601B" w:rsidRPr="00206B2B">
        <w:t xml:space="preserve"> fulsome assessment </w:t>
      </w:r>
      <w:r w:rsidR="00F360B2">
        <w:t>of</w:t>
      </w:r>
      <w:r w:rsidR="0071601B" w:rsidRPr="00206B2B">
        <w:t xml:space="preserve"> implementation considerations. </w:t>
      </w:r>
    </w:p>
    <w:p w14:paraId="78FB0B92" w14:textId="324CF135" w:rsidR="00725787" w:rsidRDefault="0071601B" w:rsidP="006B6F23">
      <w:pPr>
        <w:pStyle w:val="BodyText"/>
      </w:pPr>
      <w:r w:rsidRPr="00206B2B">
        <w:t xml:space="preserve">The following recommendations have been grouped into five priority areas.  </w:t>
      </w:r>
    </w:p>
    <w:p w14:paraId="111C3899" w14:textId="554FA454" w:rsidR="002A6B87" w:rsidRDefault="002A6B87" w:rsidP="006B6F23">
      <w:pPr>
        <w:pStyle w:val="BodyText"/>
      </w:pPr>
      <w:r>
        <w:rPr>
          <w:noProof/>
        </w:rPr>
        <w:drawing>
          <wp:inline distT="0" distB="0" distL="0" distR="0" wp14:anchorId="495470FE" wp14:editId="5BA890BD">
            <wp:extent cx="6484620" cy="1440180"/>
            <wp:effectExtent l="0" t="0" r="0" b="7620"/>
            <wp:docPr id="410002586" name="Picture 12" descr="Graphic header with text: Priority Area 1; Enhance Whole of Government Coordination, Coherence and Accounta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02586" name="Picture 12" descr="Graphic header with text: Priority Area 1; Enhance Whole of Government Coordination, Coherence and Accountability&#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4620" cy="1440180"/>
                    </a:xfrm>
                    <a:prstGeom prst="rect">
                      <a:avLst/>
                    </a:prstGeom>
                    <a:noFill/>
                  </pic:spPr>
                </pic:pic>
              </a:graphicData>
            </a:graphic>
          </wp:inline>
        </w:drawing>
      </w:r>
    </w:p>
    <w:p w14:paraId="343FE575" w14:textId="4EF06D48" w:rsidR="00CA1EBF" w:rsidRPr="00242269" w:rsidRDefault="00C01B46" w:rsidP="00944D24">
      <w:pPr>
        <w:pStyle w:val="Heading2"/>
      </w:pPr>
      <w:r w:rsidRPr="00242269">
        <w:t xml:space="preserve">Recommendation 1 </w:t>
      </w:r>
    </w:p>
    <w:p w14:paraId="591474C2" w14:textId="18A4C580" w:rsidR="00BA7451" w:rsidRPr="00206B2B" w:rsidRDefault="00BA7451" w:rsidP="006B6F23">
      <w:pPr>
        <w:pStyle w:val="BodyText"/>
      </w:pPr>
      <w:r w:rsidRPr="00206B2B">
        <w:t>Consider expansion of the IDC membership to additional APS agencies including DCCEEW</w:t>
      </w:r>
      <w:r w:rsidRPr="00102692">
        <w:t xml:space="preserve"> and</w:t>
      </w:r>
      <w:r w:rsidRPr="00206B2B">
        <w:t xml:space="preserve"> dedicated operational personnel from current implementing partners, ensuring real time response capability, and WPS aligned practices are fully embedded into whole</w:t>
      </w:r>
      <w:r w:rsidRPr="00206B2B">
        <w:noBreakHyphen/>
        <w:t xml:space="preserve">of-government crisis coordination and decision making. </w:t>
      </w:r>
      <w:r w:rsidR="00626C41" w:rsidRPr="00206B2B">
        <w:t xml:space="preserve">Mechanisms should be implemented to enable greater knowledge sharing and integrated planning </w:t>
      </w:r>
      <w:r w:rsidR="005374CC" w:rsidRPr="00206B2B">
        <w:t xml:space="preserve">across operational personnel </w:t>
      </w:r>
      <w:r w:rsidR="00FC2A2F" w:rsidRPr="00206B2B">
        <w:t xml:space="preserve">(including at posts) </w:t>
      </w:r>
      <w:r w:rsidR="005374CC" w:rsidRPr="00206B2B">
        <w:t xml:space="preserve">and policy teams. This will ensure that </w:t>
      </w:r>
      <w:r w:rsidR="00B676D7" w:rsidRPr="00206B2B">
        <w:t xml:space="preserve">WPS is operationalised </w:t>
      </w:r>
      <w:r w:rsidR="00CA65A8" w:rsidRPr="00206B2B">
        <w:t xml:space="preserve">transparently and </w:t>
      </w:r>
      <w:r w:rsidR="00B676D7" w:rsidRPr="00206B2B">
        <w:t>in line with WPS policy</w:t>
      </w:r>
      <w:r w:rsidR="00CA65A8" w:rsidRPr="00206B2B">
        <w:t xml:space="preserve">. </w:t>
      </w:r>
    </w:p>
    <w:p w14:paraId="44FFB94F" w14:textId="45082667" w:rsidR="008B7DED" w:rsidRDefault="002B52D9" w:rsidP="00CD2F82">
      <w:pPr>
        <w:pStyle w:val="BodyText"/>
      </w:pPr>
      <w:r w:rsidRPr="00206B2B">
        <w:t>Concurrently, s</w:t>
      </w:r>
      <w:r w:rsidR="00BA7451" w:rsidRPr="00206B2B">
        <w:t>trengthen interdepartmental mechanisms to meaningfully engage civil society representatives and leverage their expertise</w:t>
      </w:r>
      <w:r w:rsidR="00D1249B" w:rsidRPr="00206B2B">
        <w:t>, including survivor lived experience.</w:t>
      </w:r>
      <w:r w:rsidR="008B7DED">
        <w:br w:type="page"/>
      </w:r>
    </w:p>
    <w:p w14:paraId="645221B5" w14:textId="789D54F8" w:rsidR="00864572" w:rsidRPr="00206B2B" w:rsidRDefault="00864572" w:rsidP="000B5747">
      <w:pPr>
        <w:pStyle w:val="Heading3"/>
        <w:rPr>
          <w:color w:val="00B8F5" w:themeColor="accent4"/>
        </w:rPr>
      </w:pPr>
      <w:r w:rsidRPr="00D230F6">
        <w:lastRenderedPageBreak/>
        <w:t xml:space="preserve">WPS NAP Outcomes </w:t>
      </w:r>
    </w:p>
    <w:p w14:paraId="4BC3BBEC" w14:textId="751A8A54" w:rsidR="00864572" w:rsidRPr="00206B2B" w:rsidRDefault="00864572" w:rsidP="00CD2F82">
      <w:pPr>
        <w:pStyle w:val="BodyText"/>
      </w:pPr>
      <w:r w:rsidRPr="00206B2B">
        <w:t>Outcome 4, MTO 4.3</w:t>
      </w:r>
    </w:p>
    <w:p w14:paraId="1F1E360C" w14:textId="3F0E4E84" w:rsidR="006D45F6" w:rsidRPr="008B7DED" w:rsidRDefault="002B240D" w:rsidP="00E96007">
      <w:pPr>
        <w:pStyle w:val="Heading3"/>
      </w:pPr>
      <w:r w:rsidRPr="00E96007">
        <w:rPr>
          <w:rStyle w:val="IntenseEmphasis"/>
          <w:b/>
        </w:rPr>
        <w:t>Implementation</w:t>
      </w:r>
      <w:r w:rsidRPr="008B7DED">
        <w:t xml:space="preserve"> </w:t>
      </w:r>
      <w:r w:rsidRPr="00E96007">
        <w:rPr>
          <w:rStyle w:val="IntenseEmphasis"/>
          <w:b/>
        </w:rPr>
        <w:t>considerations</w:t>
      </w:r>
    </w:p>
    <w:p w14:paraId="773E0B81" w14:textId="109E1ECC" w:rsidR="00B6405E" w:rsidRPr="0047640E" w:rsidRDefault="00AB66E3" w:rsidP="006B6F23">
      <w:pPr>
        <w:pStyle w:val="BodyText"/>
        <w:rPr>
          <w:noProof/>
        </w:rPr>
      </w:pPr>
      <w:r w:rsidRPr="0047640E">
        <w:t>Th</w:t>
      </w:r>
      <w:r w:rsidR="00A93B89" w:rsidRPr="0047640E">
        <w:t>is recommendation can be implemented using existing resources, with minimal additional effort</w:t>
      </w:r>
      <w:r w:rsidR="00B80C8D" w:rsidRPr="0047640E">
        <w:t xml:space="preserve"> from DFAT to coordinate new members or additional </w:t>
      </w:r>
      <w:r w:rsidR="00EC33FF" w:rsidRPr="0047640E">
        <w:t>engagement mechanisms</w:t>
      </w:r>
      <w:r w:rsidR="00FC2027" w:rsidRPr="0047640E">
        <w:t>.</w:t>
      </w:r>
      <w:r w:rsidR="00EC33FF" w:rsidRPr="0047640E">
        <w:t xml:space="preserve"> </w:t>
      </w:r>
      <w:r w:rsidR="00F97B57">
        <w:t xml:space="preserve">In the first instance, this may involve adding targeted agencies (e.g., DCCEW) and establishing a CSO advisory. </w:t>
      </w:r>
      <w:r w:rsidR="00F97B57" w:rsidRPr="0047640E">
        <w:t xml:space="preserve">    </w:t>
      </w:r>
      <w:r w:rsidR="00EC33FF" w:rsidRPr="0047640E">
        <w:t xml:space="preserve">Consideration is required regarding </w:t>
      </w:r>
      <w:r w:rsidR="001E0F7D" w:rsidRPr="0047640E">
        <w:t>the security classification of any</w:t>
      </w:r>
      <w:r w:rsidR="00EC33FF" w:rsidRPr="0047640E">
        <w:t xml:space="preserve"> new IDC members</w:t>
      </w:r>
      <w:r w:rsidR="00925AB0" w:rsidRPr="0047640E">
        <w:t>, with a view</w:t>
      </w:r>
      <w:r w:rsidR="00EC33FF" w:rsidRPr="0047640E">
        <w:t xml:space="preserve"> </w:t>
      </w:r>
      <w:r w:rsidR="001E0F7D" w:rsidRPr="0047640E">
        <w:t>to minimise barriers</w:t>
      </w:r>
      <w:r w:rsidR="00FC2027" w:rsidRPr="0047640E">
        <w:t xml:space="preserve"> </w:t>
      </w:r>
      <w:r w:rsidR="00925AB0" w:rsidRPr="0047640E">
        <w:t>to</w:t>
      </w:r>
      <w:r w:rsidR="001E0F7D" w:rsidRPr="0047640E">
        <w:t xml:space="preserve"> open and transparent information sharing. </w:t>
      </w:r>
    </w:p>
    <w:p w14:paraId="1B47B157" w14:textId="46D1AAED" w:rsidR="005B3CD4" w:rsidRPr="00242269" w:rsidRDefault="005B3CD4" w:rsidP="00944D24">
      <w:pPr>
        <w:pStyle w:val="Heading2"/>
      </w:pPr>
      <w:r w:rsidRPr="00242269">
        <w:t>Recommendation 2</w:t>
      </w:r>
    </w:p>
    <w:p w14:paraId="2E0CB230" w14:textId="67E21D7D" w:rsidR="005B3CD4" w:rsidRPr="00206B2B" w:rsidRDefault="005B3CD4" w:rsidP="00AB2FB2">
      <w:pPr>
        <w:pStyle w:val="BodyText"/>
      </w:pPr>
      <w:r w:rsidRPr="00206B2B">
        <w:t xml:space="preserve">Align WPS accountability within DFAT and relevant agencies to a security function to integrate </w:t>
      </w:r>
      <w:r w:rsidR="008D7F02" w:rsidRPr="00206B2B">
        <w:t>climate, cyber, and regional stability risks, strengthen operational coordination with national security agencies, and position Australia as a regional leader in WPS</w:t>
      </w:r>
      <w:r w:rsidR="008D7F02" w:rsidRPr="00206B2B">
        <w:noBreakHyphen/>
        <w:t xml:space="preserve">informed security engagement and crisis response. </w:t>
      </w:r>
      <w:r w:rsidR="00DF4A0A" w:rsidRPr="00206B2B">
        <w:t xml:space="preserve">This will enable </w:t>
      </w:r>
      <w:r w:rsidRPr="00206B2B">
        <w:t>mission</w:t>
      </w:r>
      <w:r w:rsidRPr="00206B2B">
        <w:noBreakHyphen/>
        <w:t>aligned, whole</w:t>
      </w:r>
      <w:r w:rsidRPr="00206B2B">
        <w:noBreakHyphen/>
        <w:t>of</w:t>
      </w:r>
      <w:r w:rsidRPr="00206B2B">
        <w:noBreakHyphen/>
        <w:t>APS engagement on security and crisis outcomes.</w:t>
      </w:r>
    </w:p>
    <w:p w14:paraId="55F575CF" w14:textId="7497113F" w:rsidR="00A4337D" w:rsidRPr="00206B2B" w:rsidRDefault="00A4337D" w:rsidP="000B5747">
      <w:pPr>
        <w:pStyle w:val="Heading3"/>
        <w:rPr>
          <w:color w:val="00B8F5" w:themeColor="accent4"/>
        </w:rPr>
      </w:pPr>
      <w:r w:rsidRPr="00206B2B">
        <w:t xml:space="preserve">WPS NAP Outcomes </w:t>
      </w:r>
    </w:p>
    <w:p w14:paraId="44B55B18" w14:textId="230FA2A9" w:rsidR="00A4337D" w:rsidRPr="00206B2B" w:rsidRDefault="00A4337D" w:rsidP="00AB2FB2">
      <w:pPr>
        <w:pStyle w:val="BodyText"/>
      </w:pPr>
      <w:r w:rsidRPr="00206B2B">
        <w:t>Outcome 4, MTO 4.</w:t>
      </w:r>
      <w:r w:rsidR="00AF0966" w:rsidRPr="00206B2B">
        <w:t>1</w:t>
      </w:r>
    </w:p>
    <w:p w14:paraId="27513E7D" w14:textId="77777777" w:rsidR="00A4337D" w:rsidRPr="00D230F6" w:rsidRDefault="00A4337D" w:rsidP="000B5747">
      <w:pPr>
        <w:pStyle w:val="Heading3"/>
        <w:rPr>
          <w:rStyle w:val="IntenseEmphasis"/>
          <w:b/>
        </w:rPr>
      </w:pPr>
      <w:r w:rsidRPr="00D230F6">
        <w:rPr>
          <w:rStyle w:val="IntenseEmphasis"/>
          <w:b/>
        </w:rPr>
        <w:t>Implementation considerations</w:t>
      </w:r>
    </w:p>
    <w:p w14:paraId="6B268FA1" w14:textId="46B7A1CE" w:rsidR="00DE33F7" w:rsidRPr="0047640E" w:rsidRDefault="0084084A" w:rsidP="006B6F23">
      <w:pPr>
        <w:pStyle w:val="BodyText"/>
      </w:pPr>
      <w:r w:rsidRPr="0047640E">
        <w:t xml:space="preserve">This recommendation relates </w:t>
      </w:r>
      <w:r w:rsidR="008A26B7" w:rsidRPr="0047640E">
        <w:t>to strategically</w:t>
      </w:r>
      <w:r w:rsidR="0029517F" w:rsidRPr="0047640E">
        <w:t xml:space="preserve"> positioning</w:t>
      </w:r>
      <w:r w:rsidR="008A26B7" w:rsidRPr="0047640E">
        <w:t xml:space="preserve"> organi</w:t>
      </w:r>
      <w:r w:rsidR="00206B2B">
        <w:t>s</w:t>
      </w:r>
      <w:r w:rsidR="008A26B7" w:rsidRPr="0047640E">
        <w:t>ational infrastructure</w:t>
      </w:r>
      <w:r w:rsidR="0029517F" w:rsidRPr="0047640E">
        <w:t>, to ensure th</w:t>
      </w:r>
      <w:r w:rsidR="00E41181" w:rsidRPr="0047640E">
        <w:t xml:space="preserve">at women’s leadership in </w:t>
      </w:r>
      <w:r w:rsidR="00DE33F7" w:rsidRPr="0047640E">
        <w:t xml:space="preserve">peace and </w:t>
      </w:r>
      <w:r w:rsidR="0029517F" w:rsidRPr="0047640E">
        <w:t>security</w:t>
      </w:r>
      <w:r w:rsidR="00F0755E" w:rsidRPr="0047640E">
        <w:t xml:space="preserve"> </w:t>
      </w:r>
      <w:r w:rsidR="00F42F92" w:rsidRPr="0047640E">
        <w:t>is</w:t>
      </w:r>
      <w:r w:rsidR="0029517F" w:rsidRPr="0047640E">
        <w:t xml:space="preserve"> maximi</w:t>
      </w:r>
      <w:r w:rsidR="00206B2B">
        <w:t>s</w:t>
      </w:r>
      <w:r w:rsidR="0029517F" w:rsidRPr="0047640E">
        <w:t xml:space="preserve">ed. </w:t>
      </w:r>
      <w:r w:rsidR="00B22E37" w:rsidRPr="0047640E">
        <w:t xml:space="preserve">This structural shift can support </w:t>
      </w:r>
      <w:r w:rsidR="00520A37" w:rsidRPr="0047640E">
        <w:t xml:space="preserve">women’s </w:t>
      </w:r>
      <w:r w:rsidR="003D7A95" w:rsidRPr="0047640E">
        <w:t xml:space="preserve">leadership and participation </w:t>
      </w:r>
      <w:r w:rsidR="00500B5C" w:rsidRPr="0047640E">
        <w:t xml:space="preserve">as integral to security and conflict prevention. </w:t>
      </w:r>
      <w:r w:rsidR="0029517F" w:rsidRPr="00102692">
        <w:t xml:space="preserve">However, it is important that this is not mis-understood </w:t>
      </w:r>
      <w:r w:rsidR="002B3543" w:rsidRPr="00102692">
        <w:t>as a move towards a more militari</w:t>
      </w:r>
      <w:r w:rsidR="00206B2B" w:rsidRPr="00102692">
        <w:t>s</w:t>
      </w:r>
      <w:r w:rsidR="002B3543" w:rsidRPr="00102692">
        <w:t xml:space="preserve">ed </w:t>
      </w:r>
      <w:r w:rsidR="00F55005" w:rsidRPr="00102692">
        <w:t>approach to WPS</w:t>
      </w:r>
      <w:r w:rsidR="00FC25C4" w:rsidRPr="00102692">
        <w:t>.</w:t>
      </w:r>
      <w:r w:rsidR="00FC25C4" w:rsidRPr="0047640E">
        <w:t xml:space="preserve"> </w:t>
      </w:r>
    </w:p>
    <w:p w14:paraId="40826054" w14:textId="5513A0D7" w:rsidR="00A4337D" w:rsidRPr="0047640E" w:rsidRDefault="00396835" w:rsidP="006B6F23">
      <w:pPr>
        <w:pStyle w:val="BodyText"/>
        <w:rPr>
          <w:noProof/>
        </w:rPr>
      </w:pPr>
      <w:r w:rsidRPr="0047640E">
        <w:t xml:space="preserve">This recommendation </w:t>
      </w:r>
      <w:proofErr w:type="gramStart"/>
      <w:r w:rsidRPr="0047640E">
        <w:t xml:space="preserve">is </w:t>
      </w:r>
      <w:r w:rsidR="00BF33C5" w:rsidRPr="0047640E">
        <w:t>able to</w:t>
      </w:r>
      <w:proofErr w:type="gramEnd"/>
      <w:r w:rsidR="00BF33C5" w:rsidRPr="0047640E">
        <w:t xml:space="preserve"> be implemented using existing resources, with internal </w:t>
      </w:r>
      <w:r w:rsidR="00A93A4F" w:rsidRPr="0047640E">
        <w:t xml:space="preserve">mechanisms needing to be activated to enable required </w:t>
      </w:r>
      <w:r w:rsidR="00B2441A" w:rsidRPr="0047640E">
        <w:t xml:space="preserve">structural shifts. There would also be benefit in the IDC </w:t>
      </w:r>
      <w:r w:rsidR="00D81986" w:rsidRPr="0047640E">
        <w:t xml:space="preserve">agreeing on a definition of security in the WPS context, to </w:t>
      </w:r>
      <w:r w:rsidR="001D3D31" w:rsidRPr="0047640E">
        <w:t>support</w:t>
      </w:r>
      <w:r w:rsidR="00D81986" w:rsidRPr="0047640E">
        <w:t xml:space="preserve"> </w:t>
      </w:r>
      <w:r w:rsidR="001D3D31" w:rsidRPr="0047640E">
        <w:t xml:space="preserve">mutual understanding. </w:t>
      </w:r>
      <w:r w:rsidR="00A4337D" w:rsidRPr="0047640E">
        <w:t xml:space="preserve">       </w:t>
      </w:r>
    </w:p>
    <w:p w14:paraId="36F1B026" w14:textId="627DA535" w:rsidR="00FF0763" w:rsidRPr="0047640E" w:rsidRDefault="00FF0763" w:rsidP="00944D24">
      <w:pPr>
        <w:pStyle w:val="Heading2"/>
      </w:pPr>
      <w:r w:rsidRPr="0047640E">
        <w:t>Recommendation 3</w:t>
      </w:r>
    </w:p>
    <w:p w14:paraId="151490A8" w14:textId="4CF4AC75" w:rsidR="00FF0763" w:rsidRPr="00206B2B" w:rsidRDefault="00FF0763" w:rsidP="00AB2FB2">
      <w:pPr>
        <w:pStyle w:val="BodyText"/>
        <w:rPr>
          <w:bCs/>
        </w:rPr>
      </w:pPr>
      <w:r w:rsidRPr="00206B2B">
        <w:rPr>
          <w:bCs/>
        </w:rPr>
        <w:t>Integrate Women, Peace and Security considerations into existing scenario</w:t>
      </w:r>
      <w:r w:rsidRPr="00206B2B">
        <w:rPr>
          <w:bCs/>
        </w:rPr>
        <w:noBreakHyphen/>
        <w:t>based disaster, cyber, and disinformation exercises to strengthen coordination, test safeguards, improve whole</w:t>
      </w:r>
      <w:r w:rsidRPr="00206B2B">
        <w:rPr>
          <w:bCs/>
        </w:rPr>
        <w:noBreakHyphen/>
        <w:t>of</w:t>
      </w:r>
      <w:r w:rsidRPr="00206B2B">
        <w:rPr>
          <w:bCs/>
        </w:rPr>
        <w:noBreakHyphen/>
        <w:t>government readiness, and ensure broad participation.</w:t>
      </w:r>
      <w:r w:rsidR="002E3807" w:rsidRPr="00206B2B">
        <w:rPr>
          <w:bCs/>
        </w:rPr>
        <w:t xml:space="preserve"> This will enable </w:t>
      </w:r>
      <w:r w:rsidR="00991B33" w:rsidRPr="00206B2B">
        <w:rPr>
          <w:bCs/>
        </w:rPr>
        <w:t xml:space="preserve">WPS to be embedded as a core component of readiness and response planning. </w:t>
      </w:r>
    </w:p>
    <w:p w14:paraId="7A7BE19E" w14:textId="0937BDE5" w:rsidR="00A85BB0" w:rsidRPr="00206B2B" w:rsidRDefault="00A85BB0" w:rsidP="000B5747">
      <w:pPr>
        <w:pStyle w:val="Heading3"/>
        <w:rPr>
          <w:color w:val="00B8F5" w:themeColor="accent4"/>
        </w:rPr>
      </w:pPr>
      <w:r w:rsidRPr="00206B2B">
        <w:t xml:space="preserve">WPS NAP Outcomes </w:t>
      </w:r>
    </w:p>
    <w:p w14:paraId="0BDDA5EA" w14:textId="703DFDDA" w:rsidR="00A85BB0" w:rsidRPr="00206B2B" w:rsidRDefault="00A85BB0" w:rsidP="00AB2FB2">
      <w:pPr>
        <w:pStyle w:val="BodyText"/>
      </w:pPr>
      <w:r w:rsidRPr="00206B2B">
        <w:t>Outcome 3, MTO 3.2</w:t>
      </w:r>
    </w:p>
    <w:p w14:paraId="623BA9C5" w14:textId="68594E37" w:rsidR="00A85BB0" w:rsidRPr="00206B2B" w:rsidRDefault="00A85BB0" w:rsidP="00AB2FB2">
      <w:pPr>
        <w:pStyle w:val="BodyText"/>
      </w:pPr>
      <w:r w:rsidRPr="00206B2B">
        <w:t>Outcome 4, MTO 4.3</w:t>
      </w:r>
    </w:p>
    <w:p w14:paraId="08F4AD00" w14:textId="187497AA" w:rsidR="00A85BB0" w:rsidRPr="00D230F6" w:rsidRDefault="00A85BB0" w:rsidP="000B5747">
      <w:pPr>
        <w:pStyle w:val="Heading3"/>
        <w:rPr>
          <w:rStyle w:val="IntenseEmphasis"/>
          <w:b/>
        </w:rPr>
      </w:pPr>
      <w:r w:rsidRPr="00D230F6">
        <w:rPr>
          <w:rStyle w:val="IntenseEmphasis"/>
          <w:b/>
        </w:rPr>
        <w:t>Implementation considerations</w:t>
      </w:r>
    </w:p>
    <w:p w14:paraId="4CE1A889" w14:textId="27BD2369" w:rsidR="00A85BB0" w:rsidRPr="0047640E" w:rsidRDefault="00F65F43" w:rsidP="00243C66">
      <w:pPr>
        <w:pStyle w:val="BodyText"/>
        <w:rPr>
          <w:noProof/>
        </w:rPr>
      </w:pPr>
      <w:r w:rsidRPr="00206B2B">
        <w:t xml:space="preserve">Noting there are many </w:t>
      </w:r>
      <w:proofErr w:type="gramStart"/>
      <w:r w:rsidRPr="00206B2B">
        <w:t>scenarios based</w:t>
      </w:r>
      <w:proofErr w:type="gramEnd"/>
      <w:r w:rsidRPr="00206B2B">
        <w:t xml:space="preserve"> exercises </w:t>
      </w:r>
      <w:r w:rsidR="00E749E7" w:rsidRPr="00206B2B">
        <w:t xml:space="preserve">across government, the </w:t>
      </w:r>
      <w:r w:rsidR="00E316AF" w:rsidRPr="00206B2B">
        <w:t>IDC should look to prioritise ones which speak to key WPS priorities in the first instance.</w:t>
      </w:r>
      <w:r w:rsidR="00781DD4" w:rsidRPr="00206B2B">
        <w:t xml:space="preserve"> Existing resources may be </w:t>
      </w:r>
      <w:r w:rsidR="00A85BB0" w:rsidRPr="00206B2B">
        <w:t>leverage</w:t>
      </w:r>
      <w:r w:rsidR="00781DD4" w:rsidRPr="00206B2B">
        <w:t xml:space="preserve">d to coordinate this recommendation, </w:t>
      </w:r>
      <w:r w:rsidR="00A85BB0" w:rsidRPr="00206B2B">
        <w:t>while some additional resourcing may also be required</w:t>
      </w:r>
      <w:r w:rsidR="00781DD4" w:rsidRPr="00206B2B">
        <w:t xml:space="preserve"> to support implementing partners participation</w:t>
      </w:r>
      <w:r w:rsidR="00A85BB0" w:rsidRPr="00206B2B">
        <w:t xml:space="preserve">. </w:t>
      </w:r>
      <w:r w:rsidR="008B69D7" w:rsidRPr="00206B2B">
        <w:t>Implementation would also be subject to broader operational demand and resourcing across government</w:t>
      </w:r>
      <w:r w:rsidR="00F44BE8" w:rsidRPr="00206B2B">
        <w:t xml:space="preserve">. </w:t>
      </w:r>
    </w:p>
    <w:p w14:paraId="50C3609F" w14:textId="3A7CB34A" w:rsidR="00FF0763" w:rsidRPr="0047640E" w:rsidRDefault="00FF0763" w:rsidP="00944D24">
      <w:pPr>
        <w:pStyle w:val="Heading2"/>
      </w:pPr>
      <w:r w:rsidRPr="0047640E">
        <w:lastRenderedPageBreak/>
        <w:t>Recommendation 4</w:t>
      </w:r>
    </w:p>
    <w:p w14:paraId="7EF4307D" w14:textId="77777777" w:rsidR="007459C5" w:rsidRPr="00206B2B" w:rsidRDefault="00A85BB0" w:rsidP="006B6F23">
      <w:pPr>
        <w:pStyle w:val="BodyText"/>
      </w:pPr>
      <w:r w:rsidRPr="00206B2B">
        <w:t xml:space="preserve">Update the M&amp;E framework, including development of indicators and measures which better align with contemporary data sets and revised priorities following the mid-term review recommendations. </w:t>
      </w:r>
    </w:p>
    <w:p w14:paraId="4CFE6E75" w14:textId="22E1022F" w:rsidR="006C05D4" w:rsidRPr="00206B2B" w:rsidRDefault="00A85BB0" w:rsidP="006B6F23">
      <w:pPr>
        <w:pStyle w:val="BodyText"/>
        <w:rPr>
          <w:lang w:eastAsia="en-AU"/>
        </w:rPr>
      </w:pPr>
      <w:r w:rsidRPr="00206B2B">
        <w:t xml:space="preserve">A revised Framework should prioritise actionable measures for outcomes, which are fit-for-purpose for </w:t>
      </w:r>
      <w:r w:rsidR="006C05D4" w:rsidRPr="00206B2B">
        <w:rPr>
          <w:lang w:eastAsia="en-AU"/>
        </w:rPr>
        <w:t xml:space="preserve">Monitoring, Evaluation and Learning. </w:t>
      </w:r>
      <w:r w:rsidR="007459C5" w:rsidRPr="00206B2B">
        <w:rPr>
          <w:lang w:eastAsia="en-AU"/>
        </w:rPr>
        <w:t xml:space="preserve">This includes opportunities to understand lessons learned and </w:t>
      </w:r>
      <w:r w:rsidR="00A037FB" w:rsidRPr="00206B2B">
        <w:rPr>
          <w:lang w:eastAsia="en-AU"/>
        </w:rPr>
        <w:t>enhanced transp</w:t>
      </w:r>
      <w:r w:rsidR="007F3789" w:rsidRPr="00206B2B">
        <w:rPr>
          <w:lang w:eastAsia="en-AU"/>
        </w:rPr>
        <w:t>arency</w:t>
      </w:r>
      <w:r w:rsidR="00565AAA" w:rsidRPr="00206B2B">
        <w:rPr>
          <w:lang w:eastAsia="en-AU"/>
        </w:rPr>
        <w:t xml:space="preserve">. </w:t>
      </w:r>
      <w:r w:rsidR="00154321" w:rsidRPr="00206B2B">
        <w:rPr>
          <w:lang w:eastAsia="en-AU"/>
        </w:rPr>
        <w:t xml:space="preserve">This may include: </w:t>
      </w:r>
    </w:p>
    <w:p w14:paraId="208632E5" w14:textId="3409A927" w:rsidR="00154321" w:rsidRPr="00206B2B" w:rsidRDefault="003B2930" w:rsidP="008B7DED">
      <w:pPr>
        <w:pStyle w:val="ListBullet"/>
        <w:rPr>
          <w:lang w:eastAsia="en-AU"/>
        </w:rPr>
      </w:pPr>
      <w:r w:rsidRPr="00206B2B">
        <w:rPr>
          <w:lang w:eastAsia="en-AU"/>
        </w:rPr>
        <w:t>Determining fit-for-</w:t>
      </w:r>
      <w:r w:rsidR="00F46690" w:rsidRPr="00206B2B">
        <w:rPr>
          <w:lang w:eastAsia="en-AU"/>
        </w:rPr>
        <w:t xml:space="preserve">purpose </w:t>
      </w:r>
      <w:r w:rsidRPr="00206B2B">
        <w:rPr>
          <w:lang w:eastAsia="en-AU"/>
        </w:rPr>
        <w:t>indicators</w:t>
      </w:r>
      <w:r w:rsidR="00F40C3A" w:rsidRPr="00206B2B">
        <w:rPr>
          <w:lang w:eastAsia="en-AU"/>
        </w:rPr>
        <w:t>, data sets</w:t>
      </w:r>
      <w:r w:rsidR="00F52481" w:rsidRPr="00206B2B">
        <w:rPr>
          <w:lang w:eastAsia="en-AU"/>
        </w:rPr>
        <w:t xml:space="preserve"> and methodologies which </w:t>
      </w:r>
      <w:r w:rsidR="006066DE" w:rsidRPr="00206B2B">
        <w:rPr>
          <w:lang w:eastAsia="en-AU"/>
        </w:rPr>
        <w:t xml:space="preserve">enable </w:t>
      </w:r>
      <w:r w:rsidR="00AA1B40" w:rsidRPr="00206B2B">
        <w:rPr>
          <w:lang w:eastAsia="en-AU"/>
        </w:rPr>
        <w:t>outcomes and</w:t>
      </w:r>
      <w:r w:rsidRPr="00206B2B">
        <w:rPr>
          <w:lang w:eastAsia="en-AU"/>
        </w:rPr>
        <w:t xml:space="preserve"> impact </w:t>
      </w:r>
      <w:r w:rsidR="005F7C3D" w:rsidRPr="00206B2B">
        <w:rPr>
          <w:lang w:eastAsia="en-AU"/>
        </w:rPr>
        <w:t>to</w:t>
      </w:r>
      <w:r w:rsidRPr="00206B2B">
        <w:rPr>
          <w:lang w:eastAsia="en-AU"/>
        </w:rPr>
        <w:t xml:space="preserve"> be clearly understood. </w:t>
      </w:r>
    </w:p>
    <w:p w14:paraId="675C8D0B" w14:textId="6A14AF93" w:rsidR="00CF358E" w:rsidRPr="00206B2B" w:rsidRDefault="00CF358E" w:rsidP="008B7DED">
      <w:pPr>
        <w:pStyle w:val="ListBullet"/>
        <w:rPr>
          <w:lang w:eastAsia="en-AU"/>
        </w:rPr>
      </w:pPr>
      <w:r w:rsidRPr="00206B2B">
        <w:rPr>
          <w:lang w:eastAsia="en-AU"/>
        </w:rPr>
        <w:t>Noting the complex and discrete roles that each implementing partner plays, there may be benefit in considering nested logics which enable variance in indicators and data sets which best match the contribution of each partner.</w:t>
      </w:r>
    </w:p>
    <w:p w14:paraId="6A808A5F" w14:textId="70779BF0" w:rsidR="00220A44" w:rsidRPr="00206B2B" w:rsidRDefault="005429A2" w:rsidP="008B7DED">
      <w:pPr>
        <w:pStyle w:val="ListBullet"/>
        <w:rPr>
          <w:lang w:eastAsia="en-AU"/>
        </w:rPr>
      </w:pPr>
      <w:r w:rsidRPr="00206B2B">
        <w:rPr>
          <w:lang w:eastAsia="en-AU"/>
        </w:rPr>
        <w:t xml:space="preserve">Updating </w:t>
      </w:r>
      <w:r w:rsidR="00641739" w:rsidRPr="00206B2B">
        <w:rPr>
          <w:lang w:eastAsia="en-AU"/>
        </w:rPr>
        <w:t xml:space="preserve">implementing partner reporting to </w:t>
      </w:r>
      <w:r w:rsidR="00F609FE" w:rsidRPr="00206B2B">
        <w:rPr>
          <w:lang w:eastAsia="en-AU"/>
        </w:rPr>
        <w:t>ensure adequate</w:t>
      </w:r>
      <w:r w:rsidR="00387B4B" w:rsidRPr="00206B2B">
        <w:rPr>
          <w:lang w:eastAsia="en-AU"/>
        </w:rPr>
        <w:t xml:space="preserve"> outcome</w:t>
      </w:r>
      <w:r w:rsidR="00DA53EC" w:rsidRPr="00206B2B">
        <w:rPr>
          <w:lang w:eastAsia="en-AU"/>
        </w:rPr>
        <w:t>s</w:t>
      </w:r>
      <w:r w:rsidR="0018415C" w:rsidRPr="00206B2B">
        <w:rPr>
          <w:lang w:eastAsia="en-AU"/>
        </w:rPr>
        <w:t xml:space="preserve"> (not just output)</w:t>
      </w:r>
      <w:r w:rsidR="00F609FE" w:rsidRPr="00206B2B">
        <w:rPr>
          <w:lang w:eastAsia="en-AU"/>
        </w:rPr>
        <w:t xml:space="preserve"> information is being captured and reported on</w:t>
      </w:r>
      <w:r w:rsidR="00F041E4" w:rsidRPr="00206B2B">
        <w:rPr>
          <w:lang w:eastAsia="en-AU"/>
        </w:rPr>
        <w:t xml:space="preserve"> in a way that supports impact measurement. </w:t>
      </w:r>
    </w:p>
    <w:p w14:paraId="2E67EDCF" w14:textId="53674C51" w:rsidR="006C05D4" w:rsidRPr="00206B2B" w:rsidRDefault="00EF5057" w:rsidP="008B7DED">
      <w:pPr>
        <w:pStyle w:val="ListBullet"/>
        <w:rPr>
          <w:lang w:eastAsia="en-AU"/>
        </w:rPr>
      </w:pPr>
      <w:r w:rsidRPr="00206B2B">
        <w:rPr>
          <w:lang w:eastAsia="en-AU"/>
        </w:rPr>
        <w:t xml:space="preserve">Incorporating stronger </w:t>
      </w:r>
      <w:r w:rsidR="00FA6435" w:rsidRPr="00206B2B">
        <w:rPr>
          <w:lang w:eastAsia="en-AU"/>
        </w:rPr>
        <w:t xml:space="preserve">‘learning’ components </w:t>
      </w:r>
      <w:r w:rsidR="00A47E57" w:rsidRPr="00206B2B">
        <w:rPr>
          <w:lang w:eastAsia="en-AU"/>
        </w:rPr>
        <w:t>by coordinating</w:t>
      </w:r>
      <w:r w:rsidR="00FA6435" w:rsidRPr="00206B2B">
        <w:rPr>
          <w:lang w:eastAsia="en-AU"/>
        </w:rPr>
        <w:t xml:space="preserve"> opportunities to share lessons learned</w:t>
      </w:r>
      <w:r w:rsidR="00DA4EDE" w:rsidRPr="00206B2B">
        <w:rPr>
          <w:lang w:eastAsia="en-AU"/>
        </w:rPr>
        <w:t xml:space="preserve">, </w:t>
      </w:r>
      <w:r w:rsidR="00301798" w:rsidRPr="00206B2B">
        <w:rPr>
          <w:lang w:eastAsia="en-AU"/>
        </w:rPr>
        <w:t xml:space="preserve">collective </w:t>
      </w:r>
      <w:r w:rsidR="007F2A17" w:rsidRPr="00206B2B">
        <w:rPr>
          <w:lang w:eastAsia="en-AU"/>
        </w:rPr>
        <w:t>knowledge sharing</w:t>
      </w:r>
      <w:r w:rsidR="00DA4EDE" w:rsidRPr="00206B2B">
        <w:rPr>
          <w:lang w:eastAsia="en-AU"/>
        </w:rPr>
        <w:t xml:space="preserve"> and enhancing transparency. </w:t>
      </w:r>
    </w:p>
    <w:p w14:paraId="1DCBB511" w14:textId="7F44DF8C" w:rsidR="00E0413C" w:rsidRPr="00206B2B" w:rsidRDefault="00DA0FBB" w:rsidP="006B6F23">
      <w:pPr>
        <w:pStyle w:val="BodyText"/>
        <w:rPr>
          <w:lang w:eastAsia="en-AU"/>
        </w:rPr>
      </w:pPr>
      <w:r w:rsidRPr="00206B2B">
        <w:rPr>
          <w:lang w:eastAsia="en-AU"/>
        </w:rPr>
        <w:t>Implementing partners</w:t>
      </w:r>
      <w:r w:rsidR="000542E2" w:rsidRPr="00206B2B">
        <w:rPr>
          <w:lang w:eastAsia="en-AU"/>
        </w:rPr>
        <w:t>, including DFAT post representatives, should be engaged as part of these updates to ensure they are able to</w:t>
      </w:r>
      <w:r w:rsidR="00A27F1B" w:rsidRPr="00206B2B">
        <w:rPr>
          <w:lang w:eastAsia="en-AU"/>
        </w:rPr>
        <w:t xml:space="preserve"> inform MEL design and</w:t>
      </w:r>
      <w:r w:rsidR="000542E2" w:rsidRPr="00206B2B">
        <w:rPr>
          <w:lang w:eastAsia="en-AU"/>
        </w:rPr>
        <w:t xml:space="preserve"> </w:t>
      </w:r>
      <w:r w:rsidR="007D112B" w:rsidRPr="00206B2B">
        <w:rPr>
          <w:lang w:eastAsia="en-AU"/>
        </w:rPr>
        <w:t xml:space="preserve">implement any required uplifts to data collection and reporting. </w:t>
      </w:r>
    </w:p>
    <w:p w14:paraId="1791F53D" w14:textId="5CF6E118" w:rsidR="00A85BB0" w:rsidRPr="00206B2B" w:rsidRDefault="00A85BB0" w:rsidP="000B5747">
      <w:pPr>
        <w:pStyle w:val="Heading3"/>
        <w:rPr>
          <w:color w:val="00B8F5" w:themeColor="accent4"/>
        </w:rPr>
      </w:pPr>
      <w:r w:rsidRPr="00206B2B">
        <w:t xml:space="preserve">WPS NAP Outcomes </w:t>
      </w:r>
    </w:p>
    <w:p w14:paraId="35B9FC21" w14:textId="0DC72C03" w:rsidR="00A85BB0" w:rsidRDefault="00A85BB0" w:rsidP="006B6F23">
      <w:pPr>
        <w:pStyle w:val="BodyText"/>
      </w:pPr>
      <w:r w:rsidRPr="0047640E">
        <w:rPr>
          <w:lang w:eastAsia="en-AU"/>
        </w:rPr>
        <w:t>Outcome 4, MTO 4.2</w:t>
      </w:r>
    </w:p>
    <w:p w14:paraId="3B0A5AD3" w14:textId="77777777" w:rsidR="00A85BB0" w:rsidRPr="00F761BB" w:rsidRDefault="00A85BB0" w:rsidP="00AC7B6D">
      <w:pPr>
        <w:pStyle w:val="Heading3"/>
        <w:rPr>
          <w:rStyle w:val="IntenseEmphasis"/>
          <w:b/>
          <w:bCs/>
        </w:rPr>
      </w:pPr>
      <w:r w:rsidRPr="00F761BB">
        <w:rPr>
          <w:rStyle w:val="IntenseEmphasis"/>
          <w:b/>
        </w:rPr>
        <w:t>Implementation considerations</w:t>
      </w:r>
    </w:p>
    <w:p w14:paraId="49E40223" w14:textId="507D4F35" w:rsidR="0091535E" w:rsidRPr="00206B2B" w:rsidRDefault="00DE0973" w:rsidP="0086184B">
      <w:pPr>
        <w:pStyle w:val="BodyText"/>
      </w:pPr>
      <w:r w:rsidRPr="00206B2B">
        <w:t xml:space="preserve">Updates to the M&amp;E Framework </w:t>
      </w:r>
      <w:r w:rsidR="004A2BC9" w:rsidRPr="00206B2B">
        <w:t xml:space="preserve">may be able to be incorporated into existing DFAT work. </w:t>
      </w:r>
      <w:r w:rsidR="006E7599" w:rsidRPr="00206B2B">
        <w:t>M</w:t>
      </w:r>
      <w:r w:rsidR="00C36625" w:rsidRPr="00206B2B">
        <w:t xml:space="preserve">inimal </w:t>
      </w:r>
      <w:r w:rsidR="004A2BC9" w:rsidRPr="00206B2B">
        <w:t>additional funding</w:t>
      </w:r>
      <w:r w:rsidR="006E7599" w:rsidRPr="00206B2B">
        <w:t xml:space="preserve"> may be required to </w:t>
      </w:r>
      <w:r w:rsidR="003C1AEE" w:rsidRPr="00206B2B">
        <w:t>engage expert MEL advice</w:t>
      </w:r>
      <w:r w:rsidR="0077724E" w:rsidRPr="00206B2B">
        <w:t xml:space="preserve">. </w:t>
      </w:r>
      <w:r w:rsidR="00DF751B">
        <w:t xml:space="preserve">Initial focus should be on establishing minimum viable indicators and data collection mechanisms. </w:t>
      </w:r>
      <w:r w:rsidR="0091535E" w:rsidRPr="00206B2B">
        <w:t xml:space="preserve">Additional funding may need consideration </w:t>
      </w:r>
      <w:r w:rsidR="009201EF" w:rsidRPr="00206B2B">
        <w:t xml:space="preserve">where implementing partners </w:t>
      </w:r>
      <w:r w:rsidR="00FB227E" w:rsidRPr="00206B2B">
        <w:t xml:space="preserve">are required to uplift data collection and reporting processes and systems. </w:t>
      </w:r>
      <w:r w:rsidR="00E0413C" w:rsidRPr="00206B2B">
        <w:t xml:space="preserve">This should be determined in consultation with Implementing partners, including DFAT posts. </w:t>
      </w:r>
    </w:p>
    <w:p w14:paraId="22EE8A6E" w14:textId="52BD32AD" w:rsidR="001E545B" w:rsidRPr="0047640E" w:rsidRDefault="00220A44" w:rsidP="00243C66">
      <w:pPr>
        <w:pStyle w:val="BodyText"/>
      </w:pPr>
      <w:r w:rsidRPr="00206B2B">
        <w:t xml:space="preserve">Should consider balancing the need for </w:t>
      </w:r>
      <w:r w:rsidR="009B7A09" w:rsidRPr="00206B2B">
        <w:t>measurable data (quantitative and qualitative) with the intent to minimise unnecessary</w:t>
      </w:r>
      <w:r w:rsidRPr="00206B2B">
        <w:t xml:space="preserve"> reporting burden</w:t>
      </w:r>
      <w:r w:rsidR="009B7A09" w:rsidRPr="00206B2B">
        <w:t xml:space="preserve"> for implementing partners. </w:t>
      </w:r>
      <w:r w:rsidR="004B1EDB" w:rsidRPr="00206B2B">
        <w:t>Improved coordination of MEL</w:t>
      </w:r>
      <w:r w:rsidR="008B7DED">
        <w:t> </w:t>
      </w:r>
      <w:r w:rsidR="004B1EDB" w:rsidRPr="00206B2B">
        <w:t xml:space="preserve">activities. </w:t>
      </w:r>
    </w:p>
    <w:p w14:paraId="61B85807" w14:textId="06262CF0" w:rsidR="00FF0763" w:rsidRPr="0047640E" w:rsidRDefault="00FF0763" w:rsidP="00944D24">
      <w:pPr>
        <w:pStyle w:val="Heading2"/>
      </w:pPr>
      <w:r w:rsidRPr="0047640E">
        <w:t xml:space="preserve">Recommendation 5 </w:t>
      </w:r>
    </w:p>
    <w:p w14:paraId="7E315708" w14:textId="3A8B611A" w:rsidR="00FF0763" w:rsidRPr="00206B2B" w:rsidRDefault="00FF0763" w:rsidP="00F95509">
      <w:pPr>
        <w:pStyle w:val="BodyText"/>
      </w:pPr>
      <w:r w:rsidRPr="00206B2B">
        <w:rPr>
          <w:lang w:eastAsia="en-AU"/>
        </w:rPr>
        <w:t>Increase Women, Peace and Security operational capacity by deploying specialised advisers in conflict</w:t>
      </w:r>
      <w:r w:rsidRPr="00206B2B">
        <w:rPr>
          <w:lang w:eastAsia="en-AU"/>
        </w:rPr>
        <w:noBreakHyphen/>
        <w:t>affected areas, upskilling current practitioners, and building a sustainable pipeline of future WPS advisers to support regional security programs.</w:t>
      </w:r>
    </w:p>
    <w:p w14:paraId="1CBEC2AA" w14:textId="5D43950C" w:rsidR="00F761BB" w:rsidRDefault="00C11B6F" w:rsidP="00F95509">
      <w:pPr>
        <w:pStyle w:val="BodyText"/>
      </w:pPr>
      <w:r w:rsidRPr="00206B2B">
        <w:t>Enh</w:t>
      </w:r>
      <w:r w:rsidR="00B57BB1" w:rsidRPr="00206B2B">
        <w:t>a</w:t>
      </w:r>
      <w:r w:rsidRPr="00206B2B">
        <w:t xml:space="preserve">nced coordination of </w:t>
      </w:r>
      <w:r w:rsidR="00B3474D" w:rsidRPr="00206B2B">
        <w:t xml:space="preserve">WPS advisors and </w:t>
      </w:r>
      <w:r w:rsidR="000B62DD" w:rsidRPr="00206B2B">
        <w:t>practitioners</w:t>
      </w:r>
      <w:r w:rsidR="00B3474D" w:rsidRPr="00206B2B">
        <w:t>,</w:t>
      </w:r>
      <w:r w:rsidR="000B62DD" w:rsidRPr="00206B2B">
        <w:t xml:space="preserve"> link</w:t>
      </w:r>
      <w:r w:rsidR="007C7156" w:rsidRPr="00206B2B">
        <w:t>ed</w:t>
      </w:r>
      <w:r w:rsidR="000B62DD" w:rsidRPr="00206B2B">
        <w:t xml:space="preserve"> to WPS policy</w:t>
      </w:r>
      <w:r w:rsidR="007C7156" w:rsidRPr="00206B2B">
        <w:t>,</w:t>
      </w:r>
      <w:r w:rsidR="000B62DD" w:rsidRPr="00206B2B">
        <w:t xml:space="preserve"> will also strengthen their impact. </w:t>
      </w:r>
      <w:r w:rsidR="008D225D" w:rsidRPr="00206B2B">
        <w:t xml:space="preserve">This includes enhancing opportunities for practitioners in conflict-affected areas to connect and share knowledge, insights and lessons learned to inform </w:t>
      </w:r>
      <w:r w:rsidR="00D33002" w:rsidRPr="00206B2B">
        <w:t xml:space="preserve">integrated practice and </w:t>
      </w:r>
      <w:r w:rsidR="008D225D" w:rsidRPr="00206B2B">
        <w:t>future policy</w:t>
      </w:r>
      <w:r w:rsidR="008B7DED">
        <w:t> </w:t>
      </w:r>
      <w:r w:rsidR="008D225D" w:rsidRPr="00206B2B">
        <w:t xml:space="preserve">decisions. </w:t>
      </w:r>
      <w:r w:rsidR="00F761BB">
        <w:br w:type="page"/>
      </w:r>
    </w:p>
    <w:p w14:paraId="46980536" w14:textId="0196B727" w:rsidR="001603E6" w:rsidRPr="00206B2B" w:rsidRDefault="001603E6" w:rsidP="000B5747">
      <w:pPr>
        <w:pStyle w:val="Heading3"/>
        <w:rPr>
          <w:color w:val="00B8F5" w:themeColor="accent4"/>
        </w:rPr>
      </w:pPr>
      <w:r w:rsidRPr="00206B2B">
        <w:lastRenderedPageBreak/>
        <w:t xml:space="preserve">WPS NAP Outcomes </w:t>
      </w:r>
    </w:p>
    <w:p w14:paraId="510CD02B" w14:textId="1F9ACBCE" w:rsidR="001603E6" w:rsidRPr="00206B2B" w:rsidRDefault="001603E6" w:rsidP="00F95509">
      <w:pPr>
        <w:pStyle w:val="BodyText"/>
      </w:pPr>
      <w:r w:rsidRPr="00206B2B">
        <w:t>Outcome 4, MTO 4.</w:t>
      </w:r>
      <w:r w:rsidR="00C04D38" w:rsidRPr="00206B2B">
        <w:t>1</w:t>
      </w:r>
    </w:p>
    <w:p w14:paraId="0154C4FF" w14:textId="77777777" w:rsidR="001603E6" w:rsidRPr="00D230F6" w:rsidRDefault="001603E6" w:rsidP="000B5747">
      <w:pPr>
        <w:pStyle w:val="Heading3"/>
        <w:rPr>
          <w:rStyle w:val="IntenseEmphasis"/>
          <w:b/>
        </w:rPr>
      </w:pPr>
      <w:r w:rsidRPr="00D230F6">
        <w:rPr>
          <w:rStyle w:val="IntenseEmphasis"/>
          <w:b/>
        </w:rPr>
        <w:t>Implementation considerations</w:t>
      </w:r>
    </w:p>
    <w:p w14:paraId="6699BB33" w14:textId="627349BE" w:rsidR="001603E6" w:rsidRPr="0047640E" w:rsidRDefault="004A0774" w:rsidP="00243C66">
      <w:pPr>
        <w:pStyle w:val="BodyText"/>
      </w:pPr>
      <w:r w:rsidRPr="00206B2B">
        <w:t>This recommendation will require additional resourcing</w:t>
      </w:r>
      <w:r w:rsidR="00AF2B55" w:rsidRPr="00206B2B">
        <w:t xml:space="preserve"> to determine </w:t>
      </w:r>
      <w:r w:rsidR="00CF400F" w:rsidRPr="00206B2B">
        <w:t>training</w:t>
      </w:r>
      <w:r w:rsidR="00AF2B55" w:rsidRPr="00206B2B">
        <w:t xml:space="preserve"> needs, identify appropriate </w:t>
      </w:r>
      <w:r w:rsidR="00653F83" w:rsidRPr="00206B2B">
        <w:t>upskilling</w:t>
      </w:r>
      <w:r w:rsidR="00AF2B55" w:rsidRPr="00206B2B">
        <w:t xml:space="preserve"> opportunities</w:t>
      </w:r>
      <w:r w:rsidR="00743AD6" w:rsidRPr="00206B2B">
        <w:t>, build a pipeline of practitioners and deploy them in</w:t>
      </w:r>
      <w:r w:rsidR="00BA55BA" w:rsidRPr="00206B2B">
        <w:t>to</w:t>
      </w:r>
      <w:r w:rsidR="00743AD6" w:rsidRPr="00206B2B">
        <w:t xml:space="preserve"> conflict-affected areas</w:t>
      </w:r>
      <w:r w:rsidR="00BA55BA" w:rsidRPr="00206B2B">
        <w:t>.</w:t>
      </w:r>
      <w:r w:rsidR="00743AD6" w:rsidRPr="00206B2B">
        <w:t xml:space="preserve"> </w:t>
      </w:r>
      <w:r w:rsidR="00A77338" w:rsidRPr="00206B2B">
        <w:t xml:space="preserve">This may also include opportunities for implementing partners to co-fund </w:t>
      </w:r>
      <w:r w:rsidR="00743B73" w:rsidRPr="00206B2B">
        <w:t xml:space="preserve">positions. </w:t>
      </w:r>
    </w:p>
    <w:p w14:paraId="335053AC" w14:textId="0DFCFCFB" w:rsidR="00FF0763" w:rsidRPr="0047640E" w:rsidRDefault="00FF0763" w:rsidP="00944D24">
      <w:pPr>
        <w:pStyle w:val="Heading2"/>
      </w:pPr>
      <w:r w:rsidRPr="0047640E">
        <w:t>Recommendation 6</w:t>
      </w:r>
    </w:p>
    <w:p w14:paraId="3725993E" w14:textId="3D3EAB09" w:rsidR="00FF0763" w:rsidRPr="00206B2B" w:rsidRDefault="00FF0763" w:rsidP="006B6F23">
      <w:pPr>
        <w:pStyle w:val="BodyText"/>
      </w:pPr>
      <w:r w:rsidRPr="00206B2B">
        <w:t>Strengthen Australia’s response to conflict</w:t>
      </w:r>
      <w:r w:rsidRPr="00206B2B">
        <w:noBreakHyphen/>
        <w:t>related sexual violence by improving whole</w:t>
      </w:r>
      <w:r w:rsidRPr="00206B2B">
        <w:noBreakHyphen/>
        <w:t>of</w:t>
      </w:r>
      <w:r w:rsidRPr="00206B2B">
        <w:noBreakHyphen/>
        <w:t>government coordination, survivor</w:t>
      </w:r>
      <w:r w:rsidRPr="00206B2B">
        <w:noBreakHyphen/>
        <w:t>centred practice, and alignment across international and domestic policy, operations, accountability mechanisms, and regional and multilateral partnerships under the NAP.</w:t>
      </w:r>
    </w:p>
    <w:p w14:paraId="4A36107A" w14:textId="4F0439AA" w:rsidR="008B1A14" w:rsidRPr="00206B2B" w:rsidRDefault="008B1A14" w:rsidP="006B6F23">
      <w:pPr>
        <w:pStyle w:val="BodyText"/>
      </w:pPr>
      <w:r w:rsidRPr="00206B2B">
        <w:t>This should include:</w:t>
      </w:r>
    </w:p>
    <w:p w14:paraId="17230592" w14:textId="77777777" w:rsidR="008B1A14" w:rsidRPr="00206B2B" w:rsidRDefault="008B1A14" w:rsidP="008B7DED">
      <w:pPr>
        <w:pStyle w:val="ListBullet"/>
      </w:pPr>
      <w:r w:rsidRPr="00206B2B">
        <w:t>Deepening integration of CRSV prevention and response across conflict prevention, stabilisation, peacebuilding, and humanitarian action, ensuring diplomatic, defence, development, and security tools are aligned and mutually reinforcing under the NAP.</w:t>
      </w:r>
    </w:p>
    <w:p w14:paraId="35995F12" w14:textId="77777777" w:rsidR="008B1A14" w:rsidRPr="00206B2B" w:rsidRDefault="008B1A14" w:rsidP="008B7DED">
      <w:pPr>
        <w:pStyle w:val="ListBullet"/>
      </w:pPr>
      <w:r w:rsidRPr="00206B2B">
        <w:t>Enhancing interoperability and coordinated action across DFAT, DCCEEW, Defence, AFP, Home Affairs, the Attorney General’s Department (AGD), and humanitarian partners, including improved information</w:t>
      </w:r>
      <w:r w:rsidRPr="00206B2B">
        <w:noBreakHyphen/>
        <w:t>sharing, joint risk analysis, and consistent operational guidance for addressing CRSV in crisis and conflict</w:t>
      </w:r>
      <w:r w:rsidRPr="00206B2B">
        <w:noBreakHyphen/>
        <w:t>affected contexts.</w:t>
      </w:r>
    </w:p>
    <w:p w14:paraId="57E115BF" w14:textId="77777777" w:rsidR="008B1A14" w:rsidRPr="00206B2B" w:rsidRDefault="008B1A14" w:rsidP="008B7DED">
      <w:pPr>
        <w:pStyle w:val="ListBullet"/>
      </w:pPr>
      <w:r w:rsidRPr="00206B2B">
        <w:t>Increasing targeted support for regional and multilateral mechanisms working on CRSV, including survivor services, documentation, justice processes, and accountability pathways that complement NAP objectives.</w:t>
      </w:r>
    </w:p>
    <w:p w14:paraId="710C22EA" w14:textId="77777777" w:rsidR="008B1A14" w:rsidRPr="00206B2B" w:rsidRDefault="008B1A14" w:rsidP="008B7DED">
      <w:pPr>
        <w:pStyle w:val="ListBullet"/>
      </w:pPr>
      <w:r w:rsidRPr="00206B2B">
        <w:t>Strengthening alignment with Australia’s domestic SGBV reform agenda, ensuring coherence between the NAP’s international commitments and national efforts to prevent and respond to SGBV.</w:t>
      </w:r>
    </w:p>
    <w:p w14:paraId="79A465BD" w14:textId="237F1FEA" w:rsidR="008B1A14" w:rsidRPr="00206B2B" w:rsidRDefault="00CE57F7" w:rsidP="008B7DED">
      <w:pPr>
        <w:pStyle w:val="ListBullet"/>
      </w:pPr>
      <w:r w:rsidRPr="00206B2B">
        <w:t>Strengthening</w:t>
      </w:r>
      <w:r w:rsidR="008B1A14" w:rsidRPr="00206B2B">
        <w:t xml:space="preserve"> mechanisms for Australia to prosecute international human rights violations such as CSRV, using a survivor-centred and reparations-oriented approach, ensuring there is collaboration between key agencies to drive these prosecutions. </w:t>
      </w:r>
    </w:p>
    <w:p w14:paraId="41F65F43" w14:textId="77777777" w:rsidR="008B1A14" w:rsidRPr="00206B2B" w:rsidRDefault="008B1A14" w:rsidP="00F95509">
      <w:pPr>
        <w:pStyle w:val="BodyText"/>
      </w:pPr>
      <w:r w:rsidRPr="00206B2B">
        <w:t>This approach reinforces the NAP’s existing priority on CRSV, elevates survivor</w:t>
      </w:r>
      <w:r w:rsidRPr="00206B2B">
        <w:noBreakHyphen/>
        <w:t>centred practice, and enhances Australia’s ability to deliver a coordinated, credible, and effective whole</w:t>
      </w:r>
      <w:r w:rsidRPr="00206B2B">
        <w:noBreakHyphen/>
        <w:t>of</w:t>
      </w:r>
      <w:r w:rsidRPr="00206B2B">
        <w:noBreakHyphen/>
        <w:t>government response.</w:t>
      </w:r>
    </w:p>
    <w:p w14:paraId="571BDE2C" w14:textId="3D81EA4C" w:rsidR="001603E6" w:rsidRPr="00206B2B" w:rsidRDefault="001603E6" w:rsidP="000B5747">
      <w:pPr>
        <w:pStyle w:val="Heading3"/>
        <w:rPr>
          <w:color w:val="00B8F5" w:themeColor="accent4"/>
        </w:rPr>
      </w:pPr>
      <w:r w:rsidRPr="00D230F6">
        <w:t xml:space="preserve">WPS NAP Outcomes </w:t>
      </w:r>
    </w:p>
    <w:p w14:paraId="197E22AE" w14:textId="3583DBCA" w:rsidR="00B61422" w:rsidRPr="00206B2B" w:rsidRDefault="00B61422" w:rsidP="00F95509">
      <w:pPr>
        <w:pStyle w:val="BodyText"/>
        <w:rPr>
          <w:bCs/>
        </w:rPr>
      </w:pPr>
      <w:r w:rsidRPr="00206B2B">
        <w:rPr>
          <w:bCs/>
        </w:rPr>
        <w:t>Outcome 1, MTO 1.1 and 1.2</w:t>
      </w:r>
    </w:p>
    <w:p w14:paraId="3B8468F2" w14:textId="13E58565" w:rsidR="00B61422" w:rsidRPr="00206B2B" w:rsidRDefault="00B61422" w:rsidP="00F95509">
      <w:pPr>
        <w:pStyle w:val="BodyText"/>
        <w:rPr>
          <w:bCs/>
        </w:rPr>
      </w:pPr>
      <w:r w:rsidRPr="00206B2B">
        <w:rPr>
          <w:bCs/>
        </w:rPr>
        <w:t>Outcome 2, MTO 2.2 and 2.3</w:t>
      </w:r>
    </w:p>
    <w:p w14:paraId="22BEF51C" w14:textId="57225A2B" w:rsidR="00B61422" w:rsidRPr="00206B2B" w:rsidRDefault="00B61422" w:rsidP="00F95509">
      <w:pPr>
        <w:pStyle w:val="BodyText"/>
        <w:rPr>
          <w:bCs/>
        </w:rPr>
      </w:pPr>
      <w:r w:rsidRPr="00206B2B">
        <w:rPr>
          <w:bCs/>
        </w:rPr>
        <w:t>Outcome 4, MTO 4.3</w:t>
      </w:r>
    </w:p>
    <w:p w14:paraId="61D07AA6" w14:textId="77777777" w:rsidR="001603E6" w:rsidRPr="00D230F6" w:rsidRDefault="001603E6" w:rsidP="000B5747">
      <w:pPr>
        <w:pStyle w:val="Heading3"/>
        <w:rPr>
          <w:rStyle w:val="IntenseEmphasis"/>
          <w:b/>
        </w:rPr>
      </w:pPr>
      <w:r w:rsidRPr="00D230F6">
        <w:rPr>
          <w:rStyle w:val="IntenseEmphasis"/>
          <w:b/>
        </w:rPr>
        <w:t>Implementation considerations</w:t>
      </w:r>
    </w:p>
    <w:p w14:paraId="04BE5FA6" w14:textId="528F121B" w:rsidR="00555219" w:rsidRPr="0057309E" w:rsidRDefault="00E55880" w:rsidP="008B7DED">
      <w:pPr>
        <w:pStyle w:val="BodyText"/>
      </w:pPr>
      <w:r w:rsidRPr="00206B2B">
        <w:t>Some</w:t>
      </w:r>
      <w:r w:rsidR="008D30F7" w:rsidRPr="00206B2B">
        <w:t xml:space="preserve"> CRSV</w:t>
      </w:r>
      <w:r w:rsidRPr="00206B2B">
        <w:t xml:space="preserve"> initiatives may be </w:t>
      </w:r>
      <w:r w:rsidR="008D30F7" w:rsidRPr="00206B2B">
        <w:t xml:space="preserve">able to be implemented using </w:t>
      </w:r>
      <w:r w:rsidRPr="00206B2B">
        <w:t>existing resources,</w:t>
      </w:r>
      <w:r w:rsidR="008D30F7" w:rsidRPr="00206B2B">
        <w:t xml:space="preserve"> particularly policy developments. O</w:t>
      </w:r>
      <w:r w:rsidRPr="00206B2B">
        <w:t xml:space="preserve">ther activities may require </w:t>
      </w:r>
      <w:r w:rsidR="007846B7" w:rsidRPr="00206B2B">
        <w:t>substantial</w:t>
      </w:r>
      <w:r w:rsidRPr="00206B2B">
        <w:t xml:space="preserve"> resourcing</w:t>
      </w:r>
      <w:r w:rsidR="000E1845" w:rsidRPr="00206B2B">
        <w:t xml:space="preserve"> across Government to achieve a truly whole-of-government approach. </w:t>
      </w:r>
      <w:r w:rsidR="00771346" w:rsidRPr="00206B2B">
        <w:t>It should be noted that while CRSV is prioritised in this recommendation, this is not in place of existing</w:t>
      </w:r>
      <w:r w:rsidR="00EF4A93" w:rsidRPr="00206B2B">
        <w:t xml:space="preserve"> efforts to address </w:t>
      </w:r>
      <w:r w:rsidR="00771346" w:rsidRPr="00206B2B">
        <w:t xml:space="preserve">broader </w:t>
      </w:r>
      <w:r w:rsidR="001E4636" w:rsidRPr="00206B2B">
        <w:t>SGBV</w:t>
      </w:r>
      <w:r w:rsidR="00771346" w:rsidRPr="00206B2B">
        <w:t xml:space="preserve"> violence.</w:t>
      </w:r>
      <w:r w:rsidR="00DC5855" w:rsidRPr="00206B2B">
        <w:t xml:space="preserve"> Rather, these priorities should be considered in addition to existing SGBV</w:t>
      </w:r>
      <w:r w:rsidR="001E4636" w:rsidRPr="00206B2B">
        <w:t xml:space="preserve"> resourcing</w:t>
      </w:r>
      <w:r w:rsidR="00DC3B69" w:rsidRPr="00206B2B">
        <w:t xml:space="preserve"> to address the growing need for conflict related interventions</w:t>
      </w:r>
      <w:r w:rsidR="001E4636" w:rsidRPr="00206B2B">
        <w:t xml:space="preserve">. </w:t>
      </w:r>
      <w:r w:rsidR="00555219" w:rsidRPr="0057309E">
        <w:br w:type="page"/>
      </w:r>
    </w:p>
    <w:p w14:paraId="41630B7F" w14:textId="1F13D1CE" w:rsidR="004A1428" w:rsidRPr="004A1428" w:rsidRDefault="002A6B87" w:rsidP="004A1428">
      <w:r>
        <w:rPr>
          <w:noProof/>
        </w:rPr>
        <w:lastRenderedPageBreak/>
        <w:drawing>
          <wp:inline distT="0" distB="0" distL="0" distR="0" wp14:anchorId="13F32CF0" wp14:editId="7A10383D">
            <wp:extent cx="6324600" cy="1432560"/>
            <wp:effectExtent l="0" t="0" r="0" b="0"/>
            <wp:docPr id="2133804923" name="Picture 14" descr="Graphic header with text: Priority Area  2; Establish Gender-responsive Earl Warning, Data and Monitoring Syste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04923" name="Picture 14" descr="Graphic header with text: Priority Area  2; Establish Gender-responsive Earl Warning, Data and Monitoring Systems&#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24600" cy="1432560"/>
                    </a:xfrm>
                    <a:prstGeom prst="rect">
                      <a:avLst/>
                    </a:prstGeom>
                    <a:noFill/>
                  </pic:spPr>
                </pic:pic>
              </a:graphicData>
            </a:graphic>
          </wp:inline>
        </w:drawing>
      </w:r>
    </w:p>
    <w:p w14:paraId="1491ABD3" w14:textId="3C064508" w:rsidR="00442F10" w:rsidRPr="0057309E" w:rsidRDefault="00966BF5" w:rsidP="00944D24">
      <w:pPr>
        <w:pStyle w:val="Heading2"/>
      </w:pPr>
      <w:r w:rsidRPr="0057309E">
        <w:t xml:space="preserve">Recommendation 7 </w:t>
      </w:r>
    </w:p>
    <w:p w14:paraId="1C76F93E" w14:textId="706BD86F" w:rsidR="00966BF5" w:rsidRPr="00206B2B" w:rsidRDefault="00966BF5" w:rsidP="004C0E6A">
      <w:pPr>
        <w:pStyle w:val="BodyText"/>
      </w:pPr>
      <w:r w:rsidRPr="00206B2B">
        <w:t>Conduct a feasibility study to assess the value of a unified, gender</w:t>
      </w:r>
      <w:r w:rsidRPr="00206B2B">
        <w:noBreakHyphen/>
        <w:t>sensitive risk dashboard that integrates climate, disaster, cyber, and online safety data</w:t>
      </w:r>
      <w:r w:rsidRPr="00206B2B">
        <w:rPr>
          <w:bCs/>
        </w:rPr>
        <w:t>.</w:t>
      </w:r>
      <w:r w:rsidR="004C0E6A" w:rsidRPr="00206B2B">
        <w:rPr>
          <w:bCs/>
        </w:rPr>
        <w:t xml:space="preserve"> </w:t>
      </w:r>
      <w:r w:rsidR="00326366" w:rsidRPr="00206B2B">
        <w:rPr>
          <w:bCs/>
        </w:rPr>
        <w:t xml:space="preserve">In an environment </w:t>
      </w:r>
      <w:r w:rsidR="00A42724" w:rsidRPr="00206B2B">
        <w:rPr>
          <w:bCs/>
        </w:rPr>
        <w:t xml:space="preserve">where vulnerabilities are emerging at alarming rates </w:t>
      </w:r>
      <w:r w:rsidR="00E22035" w:rsidRPr="00206B2B">
        <w:rPr>
          <w:bCs/>
        </w:rPr>
        <w:t xml:space="preserve">and </w:t>
      </w:r>
      <w:r w:rsidR="00A162C2" w:rsidRPr="00206B2B">
        <w:rPr>
          <w:bCs/>
        </w:rPr>
        <w:t xml:space="preserve">exploitation is rapid, </w:t>
      </w:r>
      <w:r w:rsidR="00671007" w:rsidRPr="00206B2B">
        <w:rPr>
          <w:bCs/>
        </w:rPr>
        <w:t>t</w:t>
      </w:r>
      <w:r w:rsidR="004C0E6A" w:rsidRPr="00206B2B">
        <w:rPr>
          <w:bCs/>
        </w:rPr>
        <w:t xml:space="preserve">he dashboard </w:t>
      </w:r>
      <w:r w:rsidR="00671007" w:rsidRPr="00206B2B">
        <w:rPr>
          <w:bCs/>
        </w:rPr>
        <w:t>is a critical mechanism</w:t>
      </w:r>
      <w:r w:rsidRPr="00206B2B">
        <w:t xml:space="preserve"> to </w:t>
      </w:r>
      <w:r w:rsidR="004C0E6A" w:rsidRPr="00206B2B">
        <w:rPr>
          <w:bCs/>
        </w:rPr>
        <w:t xml:space="preserve">centralise data from various agencies </w:t>
      </w:r>
      <w:r w:rsidR="0099423F" w:rsidRPr="00206B2B">
        <w:rPr>
          <w:bCs/>
        </w:rPr>
        <w:t xml:space="preserve">in one </w:t>
      </w:r>
      <w:r w:rsidR="003E3B7D" w:rsidRPr="00206B2B">
        <w:rPr>
          <w:bCs/>
        </w:rPr>
        <w:t xml:space="preserve">unified </w:t>
      </w:r>
      <w:r w:rsidR="0099423F" w:rsidRPr="00206B2B">
        <w:rPr>
          <w:bCs/>
        </w:rPr>
        <w:t xml:space="preserve">dashboard, </w:t>
      </w:r>
      <w:r w:rsidR="00545E46" w:rsidRPr="00206B2B">
        <w:rPr>
          <w:bCs/>
        </w:rPr>
        <w:t>for</w:t>
      </w:r>
      <w:r w:rsidR="0099423F" w:rsidRPr="00206B2B">
        <w:rPr>
          <w:bCs/>
        </w:rPr>
        <w:t xml:space="preserve"> better visibility and remediation. </w:t>
      </w:r>
      <w:r w:rsidR="005D089F" w:rsidRPr="00206B2B">
        <w:rPr>
          <w:bCs/>
        </w:rPr>
        <w:t>In doing this, the</w:t>
      </w:r>
      <w:r w:rsidR="0099423F" w:rsidRPr="00206B2B">
        <w:rPr>
          <w:bCs/>
        </w:rPr>
        <w:t xml:space="preserve"> unified risk dashboard </w:t>
      </w:r>
      <w:r w:rsidR="005D089F" w:rsidRPr="00206B2B">
        <w:rPr>
          <w:bCs/>
        </w:rPr>
        <w:t>will</w:t>
      </w:r>
      <w:r w:rsidR="0099423F" w:rsidRPr="00206B2B">
        <w:rPr>
          <w:bCs/>
        </w:rPr>
        <w:t xml:space="preserve"> enable </w:t>
      </w:r>
      <w:r w:rsidR="004C0E6A" w:rsidRPr="00206B2B">
        <w:t>rapid,</w:t>
      </w:r>
      <w:r w:rsidRPr="00206B2B">
        <w:t xml:space="preserve"> coordinated decision</w:t>
      </w:r>
      <w:r w:rsidRPr="00206B2B">
        <w:noBreakHyphen/>
        <w:t xml:space="preserve">making and </w:t>
      </w:r>
      <w:r w:rsidR="004C0E6A" w:rsidRPr="00206B2B">
        <w:t xml:space="preserve">strengthen Australia’s operational leadership in </w:t>
      </w:r>
      <w:r w:rsidRPr="00206B2B">
        <w:t xml:space="preserve">regional crisis </w:t>
      </w:r>
      <w:r w:rsidR="004C0E6A" w:rsidRPr="00206B2B">
        <w:t>response</w:t>
      </w:r>
      <w:r w:rsidR="00F41DBB" w:rsidRPr="00206B2B">
        <w:t>s</w:t>
      </w:r>
      <w:r w:rsidR="004C0E6A" w:rsidRPr="00206B2B">
        <w:t>.</w:t>
      </w:r>
      <w:r w:rsidR="002C6285" w:rsidRPr="00206B2B">
        <w:rPr>
          <w:bCs/>
        </w:rPr>
        <w:t xml:space="preserve"> </w:t>
      </w:r>
    </w:p>
    <w:p w14:paraId="7816B258" w14:textId="5D6486D0" w:rsidR="005B4F44" w:rsidRPr="00206B2B" w:rsidRDefault="00B0244A" w:rsidP="004C0E6A">
      <w:pPr>
        <w:pStyle w:val="BodyText"/>
        <w:rPr>
          <w:bCs/>
        </w:rPr>
      </w:pPr>
      <w:r w:rsidRPr="00206B2B">
        <w:rPr>
          <w:bCs/>
        </w:rPr>
        <w:t xml:space="preserve">Some areas to be considered for inclusion in the risk dashboard </w:t>
      </w:r>
      <w:r w:rsidR="005B4F44" w:rsidRPr="00206B2B">
        <w:rPr>
          <w:bCs/>
        </w:rPr>
        <w:t xml:space="preserve">are: </w:t>
      </w:r>
    </w:p>
    <w:p w14:paraId="0BDAD83E" w14:textId="1C2C73A9" w:rsidR="007F5C84" w:rsidRPr="00206B2B" w:rsidRDefault="007F5C84" w:rsidP="004A1428">
      <w:pPr>
        <w:pStyle w:val="ListBullet"/>
      </w:pPr>
      <w:r w:rsidRPr="00206B2B">
        <w:t>Key indicators and measures</w:t>
      </w:r>
    </w:p>
    <w:p w14:paraId="34D3FB7C" w14:textId="60A278E8" w:rsidR="00895CA4" w:rsidRPr="00206B2B" w:rsidRDefault="00895CA4" w:rsidP="004A1428">
      <w:pPr>
        <w:pStyle w:val="ListBullet"/>
      </w:pPr>
      <w:r w:rsidRPr="00206B2B">
        <w:t xml:space="preserve">Risk exposure levels </w:t>
      </w:r>
    </w:p>
    <w:p w14:paraId="6BD99CCE" w14:textId="75AFF22B" w:rsidR="00895CA4" w:rsidRPr="00206B2B" w:rsidRDefault="00895CA4" w:rsidP="004A1428">
      <w:pPr>
        <w:pStyle w:val="ListBullet"/>
      </w:pPr>
      <w:r w:rsidRPr="00206B2B">
        <w:t>Incident response times</w:t>
      </w:r>
    </w:p>
    <w:p w14:paraId="2FF99228" w14:textId="496795C1" w:rsidR="00895CA4" w:rsidRPr="00206B2B" w:rsidRDefault="00895CA4" w:rsidP="004A1428">
      <w:pPr>
        <w:pStyle w:val="ListBullet"/>
      </w:pPr>
      <w:r w:rsidRPr="00206B2B">
        <w:t>Compliance adherence rates</w:t>
      </w:r>
    </w:p>
    <w:p w14:paraId="72D4319A" w14:textId="67F64B45" w:rsidR="007E0D67" w:rsidRPr="00206B2B" w:rsidRDefault="00A471B7" w:rsidP="004A1428">
      <w:pPr>
        <w:pStyle w:val="ListBullet"/>
      </w:pPr>
      <w:r w:rsidRPr="00206B2B">
        <w:t>Risk mitigation effectiveness</w:t>
      </w:r>
    </w:p>
    <w:p w14:paraId="0E7B639D" w14:textId="46E62658" w:rsidR="007E0D67" w:rsidRPr="00206B2B" w:rsidRDefault="00B52714" w:rsidP="004A1428">
      <w:pPr>
        <w:pStyle w:val="ListBullet"/>
      </w:pPr>
      <w:r w:rsidRPr="00206B2B">
        <w:t>Impacts of risks (economic</w:t>
      </w:r>
      <w:r w:rsidR="006B7753" w:rsidRPr="00206B2B">
        <w:t>,</w:t>
      </w:r>
      <w:r w:rsidRPr="00206B2B">
        <w:t xml:space="preserve"> social</w:t>
      </w:r>
      <w:r w:rsidR="006B7753" w:rsidRPr="00206B2B">
        <w:t>, environmental and security</w:t>
      </w:r>
      <w:r w:rsidRPr="00206B2B">
        <w:t>)</w:t>
      </w:r>
    </w:p>
    <w:p w14:paraId="55E9386B" w14:textId="144E51D0" w:rsidR="008C4F6C" w:rsidRPr="00206B2B" w:rsidRDefault="00CF765A" w:rsidP="008C4F6C">
      <w:pPr>
        <w:pStyle w:val="BodyText"/>
        <w:rPr>
          <w:strike/>
        </w:rPr>
      </w:pPr>
      <w:r w:rsidRPr="00206B2B">
        <w:rPr>
          <w:bCs/>
        </w:rPr>
        <w:t>The feasibility study should consider wh</w:t>
      </w:r>
      <w:r w:rsidR="008A013A" w:rsidRPr="00206B2B">
        <w:rPr>
          <w:bCs/>
        </w:rPr>
        <w:t xml:space="preserve">ere </w:t>
      </w:r>
      <w:r w:rsidRPr="00206B2B">
        <w:rPr>
          <w:bCs/>
        </w:rPr>
        <w:t>dashboards may currently exist and whether these can be leveraged,</w:t>
      </w:r>
      <w:r w:rsidR="004C0E6A" w:rsidRPr="00206B2B">
        <w:rPr>
          <w:bCs/>
        </w:rPr>
        <w:t xml:space="preserve"> to achieve the same outcome. </w:t>
      </w:r>
    </w:p>
    <w:p w14:paraId="678BF7FC" w14:textId="579316C7" w:rsidR="001603E6" w:rsidRPr="00206B2B" w:rsidRDefault="001603E6" w:rsidP="000B5747">
      <w:pPr>
        <w:pStyle w:val="Heading3"/>
        <w:rPr>
          <w:color w:val="00B8F5" w:themeColor="accent4"/>
        </w:rPr>
      </w:pPr>
      <w:r w:rsidRPr="00206B2B">
        <w:t xml:space="preserve">WPS NAP Outcomes </w:t>
      </w:r>
    </w:p>
    <w:p w14:paraId="341F95A2" w14:textId="749F315C" w:rsidR="006E1F0B" w:rsidRPr="00206B2B" w:rsidRDefault="006E1F0B" w:rsidP="006E1F0B">
      <w:pPr>
        <w:pStyle w:val="BodyText"/>
      </w:pPr>
      <w:r w:rsidRPr="00206B2B">
        <w:t>Outcome 3, MTO 3.2</w:t>
      </w:r>
    </w:p>
    <w:p w14:paraId="22DED70C" w14:textId="49ADF53B" w:rsidR="009F0549" w:rsidRPr="009F0549" w:rsidRDefault="006E1F0B" w:rsidP="0057309E">
      <w:r w:rsidRPr="00206B2B">
        <w:t>Outcome 4, MTO 4.2 and 4.3</w:t>
      </w:r>
    </w:p>
    <w:p w14:paraId="5455E22E" w14:textId="77777777" w:rsidR="001603E6" w:rsidRPr="00D230F6" w:rsidRDefault="001603E6" w:rsidP="000B5747">
      <w:pPr>
        <w:pStyle w:val="Heading3"/>
        <w:rPr>
          <w:rStyle w:val="IntenseEmphasis"/>
          <w:b/>
        </w:rPr>
      </w:pPr>
      <w:r w:rsidRPr="00D230F6">
        <w:rPr>
          <w:rStyle w:val="IntenseEmphasis"/>
          <w:b/>
        </w:rPr>
        <w:t>Implementation considerations</w:t>
      </w:r>
    </w:p>
    <w:p w14:paraId="1D5184D2" w14:textId="28CD5E37" w:rsidR="001603E6" w:rsidRPr="0057309E" w:rsidRDefault="00B1565F" w:rsidP="00243C66">
      <w:pPr>
        <w:pStyle w:val="BodyText"/>
      </w:pPr>
      <w:r w:rsidRPr="00206B2B">
        <w:t xml:space="preserve">The feasibility would need to be funded through new resourcing. In addition, any </w:t>
      </w:r>
      <w:r w:rsidR="0080070A" w:rsidRPr="00206B2B">
        <w:t xml:space="preserve">subsequent implementation of a risk dashboard would require consideration of resourcing needs for </w:t>
      </w:r>
      <w:r w:rsidR="001E5BA7" w:rsidRPr="00206B2B">
        <w:t xml:space="preserve">development as </w:t>
      </w:r>
      <w:r w:rsidR="00EF1939" w:rsidRPr="00206B2B">
        <w:t xml:space="preserve">well as </w:t>
      </w:r>
      <w:r w:rsidR="00570D37" w:rsidRPr="00206B2B">
        <w:t xml:space="preserve">ongoing </w:t>
      </w:r>
      <w:r w:rsidR="003755D2" w:rsidRPr="00206B2B">
        <w:t xml:space="preserve">costs incurred by implementing partners to collect </w:t>
      </w:r>
      <w:r w:rsidR="00613480" w:rsidRPr="00206B2B">
        <w:t xml:space="preserve">and input data into the dashboard </w:t>
      </w:r>
      <w:r w:rsidR="00EF1939" w:rsidRPr="00206B2B">
        <w:t>and</w:t>
      </w:r>
      <w:r w:rsidR="00613480" w:rsidRPr="00206B2B">
        <w:t xml:space="preserve"> </w:t>
      </w:r>
      <w:r w:rsidR="00092FA3" w:rsidRPr="00206B2B">
        <w:t>respondin</w:t>
      </w:r>
      <w:r w:rsidR="00F57986" w:rsidRPr="00206B2B">
        <w:t xml:space="preserve">g to identified risks. </w:t>
      </w:r>
      <w:r w:rsidR="001603E6" w:rsidRPr="0057309E">
        <w:t xml:space="preserve">     </w:t>
      </w:r>
    </w:p>
    <w:p w14:paraId="539871A3" w14:textId="40DDA616" w:rsidR="008D67CF" w:rsidRPr="0057309E" w:rsidRDefault="003324EE" w:rsidP="00944D24">
      <w:pPr>
        <w:pStyle w:val="Heading2"/>
      </w:pPr>
      <w:r w:rsidRPr="0057309E">
        <w:lastRenderedPageBreak/>
        <w:t>Recommendation 8</w:t>
      </w:r>
    </w:p>
    <w:p w14:paraId="2B2488B2" w14:textId="306BEB57" w:rsidR="00E96007" w:rsidRDefault="003064C0" w:rsidP="001F480B">
      <w:pPr>
        <w:pStyle w:val="BodyText"/>
        <w:keepNext/>
        <w:keepLines/>
      </w:pPr>
      <w:r w:rsidRPr="00206B2B">
        <w:t>Embed Women, Peace and Security considerations across government early</w:t>
      </w:r>
      <w:r w:rsidRPr="00206B2B">
        <w:noBreakHyphen/>
        <w:t>warning systems by strengthening coordination, integrating gender</w:t>
      </w:r>
      <w:r w:rsidRPr="00206B2B">
        <w:noBreakHyphen/>
        <w:t>sensitive risk indicators, and enabling rapid, shared alerts to prevent and respond to emerging instability.</w:t>
      </w:r>
      <w:r w:rsidR="00B70979" w:rsidRPr="00206B2B">
        <w:t xml:space="preserve"> </w:t>
      </w:r>
      <w:r w:rsidR="002A0F75" w:rsidRPr="00206B2B">
        <w:t xml:space="preserve">While many early warning systems exist across Government, few incorporate a WPS lens. </w:t>
      </w:r>
      <w:r w:rsidR="00E96007">
        <w:br w:type="page"/>
      </w:r>
    </w:p>
    <w:p w14:paraId="5A16C3A1" w14:textId="52ABFD62" w:rsidR="002A0F75" w:rsidRPr="004A1428" w:rsidRDefault="002A0F75" w:rsidP="004A1428">
      <w:r w:rsidRPr="004A1428">
        <w:lastRenderedPageBreak/>
        <w:t xml:space="preserve">This may include the following steps:  </w:t>
      </w:r>
    </w:p>
    <w:p w14:paraId="365BD1B4" w14:textId="58BC7071" w:rsidR="002A0F75" w:rsidRPr="00206B2B" w:rsidRDefault="002A0F75" w:rsidP="004A1428">
      <w:pPr>
        <w:pStyle w:val="ListBullet"/>
      </w:pPr>
      <w:r w:rsidRPr="00206B2B">
        <w:t>Assess what systems exist across government agencies and identify opportunities for enhancing WPS focus and coordination. These systems should be enhanced to incorporate gender specific metrics within risk modelling to detect early signs of instability affecting women, including signals such as online hate</w:t>
      </w:r>
      <w:r w:rsidR="00F66842" w:rsidRPr="00206B2B">
        <w:t xml:space="preserve"> and </w:t>
      </w:r>
      <w:r w:rsidR="00EC2366" w:rsidRPr="00206B2B">
        <w:t>dis-information</w:t>
      </w:r>
      <w:r w:rsidRPr="00206B2B">
        <w:t xml:space="preserve">, political exclusion, SGBV and economic stress. </w:t>
      </w:r>
    </w:p>
    <w:p w14:paraId="7B88B48A" w14:textId="1B83D469" w:rsidR="002A0F75" w:rsidRPr="00206B2B" w:rsidRDefault="002A0F75" w:rsidP="004A1428">
      <w:pPr>
        <w:pStyle w:val="ListBullet"/>
        <w:rPr>
          <w:strike/>
        </w:rPr>
      </w:pPr>
      <w:r w:rsidRPr="00206B2B">
        <w:t xml:space="preserve">Where existing gaps are identified, consider the feasibility of creating a consolidated </w:t>
      </w:r>
      <w:r w:rsidR="00F66842" w:rsidRPr="00206B2B">
        <w:t>r</w:t>
      </w:r>
      <w:r w:rsidRPr="00206B2B">
        <w:t xml:space="preserve">egional </w:t>
      </w:r>
      <w:r w:rsidR="00F66842" w:rsidRPr="00206B2B">
        <w:t>g</w:t>
      </w:r>
      <w:r w:rsidRPr="00206B2B">
        <w:t xml:space="preserve">ender informed </w:t>
      </w:r>
      <w:r w:rsidR="00F66842" w:rsidRPr="00206B2B">
        <w:t>e</w:t>
      </w:r>
      <w:r w:rsidRPr="00206B2B">
        <w:t xml:space="preserve">arly </w:t>
      </w:r>
      <w:r w:rsidR="00F66842" w:rsidRPr="00206B2B">
        <w:t>w</w:t>
      </w:r>
      <w:r w:rsidRPr="00206B2B">
        <w:t xml:space="preserve">arning </w:t>
      </w:r>
      <w:r w:rsidR="00F66842" w:rsidRPr="00206B2B">
        <w:t>s</w:t>
      </w:r>
      <w:r w:rsidRPr="00206B2B">
        <w:t xml:space="preserve">ystem that integrates conflict, climate, cyber, economic, and social narrative indicators. As with the enhanced systems, this system should incorporate gender specific metrics within conflict risk modelling to detect early signs of instability affecting women. The system should draw on both quantitative and qualitative data to provide a holistic, gender responsive understanding of emerging risks across the region. </w:t>
      </w:r>
    </w:p>
    <w:p w14:paraId="4682FD48" w14:textId="77777777" w:rsidR="002A0F75" w:rsidRPr="00206B2B" w:rsidRDefault="002A0F75" w:rsidP="004A1428">
      <w:pPr>
        <w:pStyle w:val="ListBullet"/>
        <w:rPr>
          <w:strike/>
        </w:rPr>
      </w:pPr>
      <w:r w:rsidRPr="00206B2B">
        <w:t>In addition to considering a new gender informed early warning system, consider establishing a Rapid Alert Protocol that enables timely information sharing, preventive diplomacy, and coordinated interventions before escalation. This capability should support regional partners to respond more quickly to threats that disproportionately impact women and undermine stability.</w:t>
      </w:r>
    </w:p>
    <w:p w14:paraId="316232F3" w14:textId="12397303" w:rsidR="001603E6" w:rsidRPr="00206B2B" w:rsidRDefault="001603E6" w:rsidP="000B5747">
      <w:pPr>
        <w:pStyle w:val="Heading3"/>
        <w:rPr>
          <w:color w:val="00B8F5" w:themeColor="accent4"/>
        </w:rPr>
      </w:pPr>
      <w:r w:rsidRPr="00206B2B">
        <w:t xml:space="preserve">WPS NAP Outcomes </w:t>
      </w:r>
    </w:p>
    <w:p w14:paraId="2BFA23BD" w14:textId="6AC01263" w:rsidR="00E034A9" w:rsidRPr="00206B2B" w:rsidRDefault="00E034A9" w:rsidP="00E034A9">
      <w:pPr>
        <w:pStyle w:val="BodyText"/>
      </w:pPr>
      <w:r w:rsidRPr="00206B2B">
        <w:t>Outcome 2, MTO 2.2</w:t>
      </w:r>
    </w:p>
    <w:p w14:paraId="659A3A04" w14:textId="59C8EAD4" w:rsidR="00E034A9" w:rsidRPr="00206B2B" w:rsidRDefault="00E034A9" w:rsidP="002A5298">
      <w:pPr>
        <w:pStyle w:val="BodyText"/>
        <w:tabs>
          <w:tab w:val="left" w:pos="7310"/>
        </w:tabs>
      </w:pPr>
      <w:r w:rsidRPr="00206B2B">
        <w:t>Outcome 3, MTO 3.2</w:t>
      </w:r>
      <w:r w:rsidR="002A5298">
        <w:tab/>
      </w:r>
    </w:p>
    <w:p w14:paraId="449D5964" w14:textId="3172E6ED" w:rsidR="00E034A9" w:rsidRPr="00206B2B" w:rsidRDefault="00E034A9" w:rsidP="00E034A9">
      <w:pPr>
        <w:pStyle w:val="BodyText"/>
      </w:pPr>
      <w:r w:rsidRPr="00206B2B">
        <w:t>Outcome 4, MTO 4.3</w:t>
      </w:r>
    </w:p>
    <w:p w14:paraId="3022D56E" w14:textId="77777777" w:rsidR="001603E6" w:rsidRPr="00D230F6" w:rsidRDefault="001603E6" w:rsidP="000B5747">
      <w:pPr>
        <w:pStyle w:val="Heading3"/>
        <w:rPr>
          <w:rStyle w:val="IntenseEmphasis"/>
          <w:b/>
        </w:rPr>
      </w:pPr>
      <w:r w:rsidRPr="00D230F6">
        <w:rPr>
          <w:rStyle w:val="IntenseEmphasis"/>
          <w:b/>
        </w:rPr>
        <w:t>Implementation considerations</w:t>
      </w:r>
    </w:p>
    <w:p w14:paraId="0E5B099F" w14:textId="280655A5" w:rsidR="00555219" w:rsidRDefault="00555D96" w:rsidP="004A1428">
      <w:pPr>
        <w:pStyle w:val="BodyText"/>
      </w:pPr>
      <w:r w:rsidRPr="00206B2B">
        <w:t xml:space="preserve">Some </w:t>
      </w:r>
      <w:r w:rsidR="00A85E27" w:rsidRPr="00206B2B">
        <w:t>WPS work is already occurring in this space, as noted in the report findings, while more work is r</w:t>
      </w:r>
      <w:r w:rsidR="003D21EF" w:rsidRPr="00206B2B">
        <w:t>equired to ensure WPS is embedded more consistently acro</w:t>
      </w:r>
      <w:r w:rsidR="00895CD9" w:rsidRPr="00206B2B">
        <w:t>ss government early warning systems</w:t>
      </w:r>
      <w:r w:rsidR="00A85E27" w:rsidRPr="00206B2B">
        <w:t xml:space="preserve">. As such, some initiatives </w:t>
      </w:r>
      <w:r w:rsidRPr="00206B2B">
        <w:t>may be implement</w:t>
      </w:r>
      <w:r w:rsidR="00895CD9" w:rsidRPr="00206B2B">
        <w:t>ed</w:t>
      </w:r>
      <w:r w:rsidRPr="00206B2B">
        <w:t xml:space="preserve"> using existing resources</w:t>
      </w:r>
      <w:r w:rsidR="00895CD9" w:rsidRPr="00206B2B">
        <w:t xml:space="preserve">. There is likely a requirement for additional resourcing to support </w:t>
      </w:r>
      <w:r w:rsidR="00431C09" w:rsidRPr="00206B2B">
        <w:t xml:space="preserve">the required </w:t>
      </w:r>
      <w:r w:rsidR="00895CD9" w:rsidRPr="00206B2B">
        <w:t>enhancement</w:t>
      </w:r>
      <w:r w:rsidR="00431C09" w:rsidRPr="00206B2B">
        <w:t xml:space="preserve">. </w:t>
      </w:r>
      <w:r w:rsidR="0078062C" w:rsidRPr="00206B2B">
        <w:t xml:space="preserve">Should a regional </w:t>
      </w:r>
      <w:r w:rsidR="003B6217" w:rsidRPr="00206B2B">
        <w:t xml:space="preserve">gender informed early warning system be </w:t>
      </w:r>
      <w:r w:rsidR="00144DD0" w:rsidRPr="00206B2B">
        <w:t xml:space="preserve">developed, </w:t>
      </w:r>
      <w:r w:rsidR="004D11C2" w:rsidRPr="00206B2B">
        <w:t xml:space="preserve">significant resourcing will likely be required to </w:t>
      </w:r>
      <w:r w:rsidR="00E20DE3" w:rsidRPr="00206B2B">
        <w:t xml:space="preserve">facilitate </w:t>
      </w:r>
      <w:r w:rsidR="006C5214" w:rsidRPr="00206B2B">
        <w:t>regional coop</w:t>
      </w:r>
      <w:r w:rsidR="006C2724" w:rsidRPr="00206B2B">
        <w:t>eration and integration.</w:t>
      </w:r>
      <w:r w:rsidR="00555219" w:rsidRPr="0057309E">
        <w:br w:type="page"/>
      </w:r>
    </w:p>
    <w:p w14:paraId="0952893B" w14:textId="15BFB828" w:rsidR="00C137DB" w:rsidRPr="00C137DB" w:rsidRDefault="0012650C" w:rsidP="00C137DB">
      <w:r>
        <w:rPr>
          <w:noProof/>
        </w:rPr>
        <w:lastRenderedPageBreak/>
        <w:drawing>
          <wp:inline distT="0" distB="0" distL="0" distR="0" wp14:anchorId="6BB30303" wp14:editId="4BECFD12">
            <wp:extent cx="6324600" cy="1440180"/>
            <wp:effectExtent l="0" t="0" r="0" b="7620"/>
            <wp:docPr id="576447789" name="Picture 15" descr="Graphic header with text: Priority Area  3; Regional and International Partnerships; to Scale WPS Impa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47789" name="Picture 15" descr="Graphic header with text: Priority Area  3; Regional and International Partnerships; to Scale WPS Impacts&#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24600" cy="1440180"/>
                    </a:xfrm>
                    <a:prstGeom prst="rect">
                      <a:avLst/>
                    </a:prstGeom>
                    <a:noFill/>
                  </pic:spPr>
                </pic:pic>
              </a:graphicData>
            </a:graphic>
          </wp:inline>
        </w:drawing>
      </w:r>
    </w:p>
    <w:p w14:paraId="3AB5EDE0" w14:textId="40FDE579" w:rsidR="00EB6F67" w:rsidRPr="0057309E" w:rsidRDefault="00AB37BC" w:rsidP="00944D24">
      <w:pPr>
        <w:pStyle w:val="Heading2"/>
      </w:pPr>
      <w:r w:rsidRPr="0057309E">
        <w:t xml:space="preserve">Recommendation 9 </w:t>
      </w:r>
    </w:p>
    <w:p w14:paraId="697BC487" w14:textId="1249069D" w:rsidR="003A7B1B" w:rsidRPr="00206B2B" w:rsidRDefault="00AB37BC" w:rsidP="007D573B">
      <w:pPr>
        <w:pStyle w:val="BodyText"/>
      </w:pPr>
      <w:r w:rsidRPr="00206B2B">
        <w:rPr>
          <w:lang w:eastAsia="en-AU"/>
        </w:rPr>
        <w:t>Co</w:t>
      </w:r>
      <w:r w:rsidRPr="00206B2B">
        <w:rPr>
          <w:lang w:eastAsia="en-AU"/>
        </w:rPr>
        <w:noBreakHyphen/>
        <w:t>fund Women, Peace and Security initiatives with regional and multilateral partners to scale impact across the Pacific and Southeast Asia through shared expertise, joint training, regional data standards, and coordinated long</w:t>
      </w:r>
      <w:r w:rsidRPr="00206B2B">
        <w:rPr>
          <w:lang w:eastAsia="en-AU"/>
        </w:rPr>
        <w:noBreakHyphen/>
        <w:t>term collaboration.</w:t>
      </w:r>
      <w:r w:rsidR="000D0A8A" w:rsidRPr="00206B2B">
        <w:t xml:space="preserve"> Potential partners may include other like-minded countries, Pacific Island nations and groups such as the ASEAN and UN Women. </w:t>
      </w:r>
      <w:r w:rsidR="00933537" w:rsidRPr="00206B2B">
        <w:t>T</w:t>
      </w:r>
      <w:r w:rsidR="000D0A8A" w:rsidRPr="00206B2B">
        <w:t xml:space="preserve">hese relationships </w:t>
      </w:r>
      <w:r w:rsidR="00CA4D8D" w:rsidRPr="00206B2B">
        <w:t xml:space="preserve">should be leveraged </w:t>
      </w:r>
      <w:r w:rsidR="000D0A8A" w:rsidRPr="00206B2B">
        <w:t xml:space="preserve">to draw on existing regional initiatives </w:t>
      </w:r>
      <w:r w:rsidR="003A7B1B" w:rsidRPr="00206B2B">
        <w:t>and</w:t>
      </w:r>
      <w:r w:rsidR="000D0A8A" w:rsidRPr="00206B2B">
        <w:t xml:space="preserve"> scale impact across the Pacific and Southeast Asia. </w:t>
      </w:r>
    </w:p>
    <w:p w14:paraId="753E61E6" w14:textId="58D86C68" w:rsidR="000D0A8A" w:rsidRPr="00206B2B" w:rsidRDefault="003A7B1B" w:rsidP="007D573B">
      <w:pPr>
        <w:pStyle w:val="BodyText"/>
      </w:pPr>
      <w:r w:rsidRPr="00206B2B">
        <w:t>S</w:t>
      </w:r>
      <w:r w:rsidR="000D0A8A" w:rsidRPr="00206B2B">
        <w:t xml:space="preserve">pecific actions to support collaboration, </w:t>
      </w:r>
      <w:r w:rsidRPr="00206B2B">
        <w:t>may include</w:t>
      </w:r>
      <w:r w:rsidR="000D0A8A" w:rsidRPr="00206B2B">
        <w:t>:</w:t>
      </w:r>
    </w:p>
    <w:p w14:paraId="753EB68D" w14:textId="56FFC03F" w:rsidR="000D0A8A" w:rsidRPr="00206B2B" w:rsidRDefault="000D0A8A" w:rsidP="00C137DB">
      <w:pPr>
        <w:pStyle w:val="ListBullet"/>
      </w:pPr>
      <w:r w:rsidRPr="00206B2B">
        <w:t xml:space="preserve">Hosting a WPS Forum to exchange best practices, align priorities, and develop joint action plans to drive collaboration in over the subsequent next five years with a specific focus on the region. </w:t>
      </w:r>
      <w:r w:rsidR="003A7B1B" w:rsidRPr="00206B2B">
        <w:t>In recognition of work already happening in this space</w:t>
      </w:r>
      <w:r w:rsidR="00896AF9" w:rsidRPr="00206B2B">
        <w:t xml:space="preserve"> at smaller scales</w:t>
      </w:r>
      <w:r w:rsidR="00175770" w:rsidRPr="00206B2B">
        <w:t xml:space="preserve">, consider </w:t>
      </w:r>
      <w:r w:rsidR="00ED2313" w:rsidRPr="00206B2B">
        <w:t xml:space="preserve">opportunities to fund </w:t>
      </w:r>
      <w:r w:rsidR="00D85913" w:rsidRPr="00206B2B">
        <w:t xml:space="preserve">or co-fund civil society </w:t>
      </w:r>
      <w:r w:rsidR="00896AF9" w:rsidRPr="00206B2B">
        <w:t>to lead this</w:t>
      </w:r>
      <w:r w:rsidR="000B21D6" w:rsidRPr="00206B2B">
        <w:t xml:space="preserve"> at the enhanced scale</w:t>
      </w:r>
      <w:r w:rsidR="00896AF9" w:rsidRPr="00206B2B">
        <w:t xml:space="preserve">. </w:t>
      </w:r>
    </w:p>
    <w:p w14:paraId="01EE4520" w14:textId="306A4568" w:rsidR="000D0A8A" w:rsidRPr="00206B2B" w:rsidRDefault="000D0A8A" w:rsidP="00C137DB">
      <w:pPr>
        <w:pStyle w:val="ListBullet"/>
      </w:pPr>
      <w:r w:rsidRPr="00206B2B">
        <w:t xml:space="preserve">Develop </w:t>
      </w:r>
      <w:r w:rsidR="00BF3BE2" w:rsidRPr="00206B2B">
        <w:t>and roll out</w:t>
      </w:r>
      <w:r w:rsidRPr="00206B2B">
        <w:t xml:space="preserve"> shared training packages on gender-responsive peacebuilding and disaster response for regional security and emergency agencies.</w:t>
      </w:r>
    </w:p>
    <w:p w14:paraId="2CDE8084" w14:textId="77777777" w:rsidR="000D0A8A" w:rsidRPr="00206B2B" w:rsidRDefault="000D0A8A" w:rsidP="00C137DB">
      <w:pPr>
        <w:pStyle w:val="ListBullet"/>
      </w:pPr>
      <w:r w:rsidRPr="00206B2B">
        <w:t>Develop Regional Standards for WPS Data Collection to help ASEAN and Pacific Island partners strengthen evidence-based policymaking.</w:t>
      </w:r>
    </w:p>
    <w:p w14:paraId="10F78C23" w14:textId="67593350" w:rsidR="001603E6" w:rsidRPr="00206B2B" w:rsidRDefault="001603E6" w:rsidP="000B5747">
      <w:pPr>
        <w:pStyle w:val="Heading3"/>
        <w:rPr>
          <w:color w:val="00B8F5" w:themeColor="accent4"/>
        </w:rPr>
      </w:pPr>
      <w:r w:rsidRPr="00206B2B">
        <w:t xml:space="preserve">WPS NAP Outcomes </w:t>
      </w:r>
    </w:p>
    <w:p w14:paraId="6310745B" w14:textId="15D59752" w:rsidR="000406D8" w:rsidRPr="00206B2B" w:rsidRDefault="000406D8" w:rsidP="000406D8">
      <w:pPr>
        <w:pStyle w:val="BodyText"/>
      </w:pPr>
      <w:r w:rsidRPr="00206B2B">
        <w:t>Outcome 1</w:t>
      </w:r>
      <w:r w:rsidR="009B74C9" w:rsidRPr="00206B2B">
        <w:t xml:space="preserve">, </w:t>
      </w:r>
      <w:r w:rsidRPr="00206B2B">
        <w:t>MTO 1.2</w:t>
      </w:r>
    </w:p>
    <w:p w14:paraId="32C296A0" w14:textId="6769CC9B" w:rsidR="000406D8" w:rsidRPr="00206B2B" w:rsidRDefault="000406D8" w:rsidP="009B74C9">
      <w:pPr>
        <w:pStyle w:val="BodyText"/>
      </w:pPr>
      <w:r w:rsidRPr="00206B2B">
        <w:t>Outcome 2</w:t>
      </w:r>
      <w:r w:rsidR="009B74C9" w:rsidRPr="00206B2B">
        <w:t xml:space="preserve">, </w:t>
      </w:r>
      <w:r w:rsidRPr="00206B2B">
        <w:t>MTO 2.1</w:t>
      </w:r>
    </w:p>
    <w:p w14:paraId="5CD0B3E7" w14:textId="77777777" w:rsidR="001603E6" w:rsidRPr="00D230F6" w:rsidRDefault="001603E6" w:rsidP="000B5747">
      <w:pPr>
        <w:pStyle w:val="Heading3"/>
        <w:rPr>
          <w:rStyle w:val="IntenseEmphasis"/>
          <w:b/>
        </w:rPr>
      </w:pPr>
      <w:r w:rsidRPr="00D230F6">
        <w:rPr>
          <w:rStyle w:val="IntenseEmphasis"/>
          <w:b/>
        </w:rPr>
        <w:t>Implementation considerations</w:t>
      </w:r>
    </w:p>
    <w:p w14:paraId="09015F8C" w14:textId="5C1D267A" w:rsidR="001603E6" w:rsidRPr="0057309E" w:rsidRDefault="002F3A37" w:rsidP="00243C66">
      <w:pPr>
        <w:pStyle w:val="BodyText"/>
      </w:pPr>
      <w:r w:rsidRPr="00206B2B">
        <w:t xml:space="preserve">Noting that some work is already happening in this space, existing resourced could be utilised to strengthen efforts. </w:t>
      </w:r>
      <w:r w:rsidR="001603E6" w:rsidRPr="0057309E">
        <w:t xml:space="preserve">     </w:t>
      </w:r>
    </w:p>
    <w:p w14:paraId="631519B4" w14:textId="64127487" w:rsidR="001F5E97" w:rsidRPr="0057309E" w:rsidRDefault="001F5E97" w:rsidP="00944D24">
      <w:pPr>
        <w:pStyle w:val="Heading2"/>
      </w:pPr>
      <w:r w:rsidRPr="0057309E">
        <w:t>Recommendation 10</w:t>
      </w:r>
    </w:p>
    <w:p w14:paraId="25F10EE1" w14:textId="1BB94392" w:rsidR="001F5E97" w:rsidRPr="0057309E" w:rsidRDefault="001F5E97" w:rsidP="007D573B">
      <w:pPr>
        <w:pStyle w:val="BodyText"/>
      </w:pPr>
      <w:r w:rsidRPr="00206B2B">
        <w:t>Establish structured two</w:t>
      </w:r>
      <w:r w:rsidRPr="00206B2B">
        <w:noBreakHyphen/>
        <w:t>way knowledge</w:t>
      </w:r>
      <w:r w:rsidRPr="00206B2B">
        <w:noBreakHyphen/>
      </w:r>
      <w:r w:rsidRPr="00206B2B">
        <w:rPr>
          <w:bCs/>
        </w:rPr>
        <w:t>sharing mechanisms that connect Australia’s domestic gender</w:t>
      </w:r>
      <w:r w:rsidRPr="00206B2B">
        <w:rPr>
          <w:bCs/>
        </w:rPr>
        <w:noBreakHyphen/>
        <w:t>responsive, resilience, and inclusive security approaches with its international WPS work, to strengthen policy coherence and First Nations leadership, and enhance Australia’s credibility and impact in regional engagement.</w:t>
      </w:r>
    </w:p>
    <w:p w14:paraId="3614C47A" w14:textId="3A5F3DDA" w:rsidR="00097112" w:rsidRPr="00206B2B" w:rsidRDefault="00683F49" w:rsidP="00097112">
      <w:pPr>
        <w:pStyle w:val="BodyText"/>
      </w:pPr>
      <w:r w:rsidRPr="00206B2B">
        <w:rPr>
          <w:bCs/>
        </w:rPr>
        <w:t>These</w:t>
      </w:r>
      <w:r w:rsidR="00097112" w:rsidRPr="00206B2B">
        <w:t xml:space="preserve"> knowledge sharing mechanisms </w:t>
      </w:r>
      <w:r w:rsidR="002163CD" w:rsidRPr="00206B2B">
        <w:t>should facilitate</w:t>
      </w:r>
      <w:r w:rsidR="00097112" w:rsidRPr="00206B2B">
        <w:t xml:space="preserve"> lessons learned and highlight how domestic approaches to gender responsive policymaking, community resilience and inclusive security can inform and enhance Australia’s international WPS contributions. This should also work conversely, where lessons from Australia’s WPS activity may inform domestic approaches.  </w:t>
      </w:r>
      <w:r w:rsidR="00521B70">
        <w:br w:type="page"/>
      </w:r>
    </w:p>
    <w:p w14:paraId="19CF4801" w14:textId="349BAE28" w:rsidR="000D40FB" w:rsidRPr="00C137DB" w:rsidRDefault="000D40FB" w:rsidP="00C137DB">
      <w:r w:rsidRPr="00C137DB">
        <w:lastRenderedPageBreak/>
        <w:t>Considerations may</w:t>
      </w:r>
      <w:r w:rsidR="00097112" w:rsidRPr="00C137DB">
        <w:t xml:space="preserve"> include</w:t>
      </w:r>
      <w:r w:rsidRPr="00C137DB">
        <w:t>:</w:t>
      </w:r>
    </w:p>
    <w:p w14:paraId="0044E1EB" w14:textId="1CB41D59" w:rsidR="00097112" w:rsidRPr="00206B2B" w:rsidRDefault="009925CA" w:rsidP="00C137DB">
      <w:pPr>
        <w:pStyle w:val="ListBullet"/>
      </w:pPr>
      <w:r w:rsidRPr="00206B2B">
        <w:t>Share</w:t>
      </w:r>
      <w:r w:rsidR="00097112" w:rsidRPr="00206B2B">
        <w:t xml:space="preserve"> lessons learned from national security, emergency management, gender equality initiatives, and violence prevention frameworks, to strengthen credibility and authenticity in regional WPS engagement.</w:t>
      </w:r>
    </w:p>
    <w:p w14:paraId="6D9BB5B5" w14:textId="77777777" w:rsidR="00097112" w:rsidRPr="00206B2B" w:rsidRDefault="00097112" w:rsidP="00C137DB">
      <w:pPr>
        <w:pStyle w:val="ListBullet"/>
      </w:pPr>
      <w:r w:rsidRPr="00206B2B">
        <w:t>Systematically identify and articulate the links between existing domestic policies and WPS objectives to demonstrate coherence, reinforce Australia’s leadership, and provide practical models that regional partners can adapt.</w:t>
      </w:r>
    </w:p>
    <w:p w14:paraId="2C2C367E" w14:textId="0E87148A" w:rsidR="001B57BB" w:rsidRPr="00206B2B" w:rsidRDefault="009A703C" w:rsidP="00C137DB">
      <w:pPr>
        <w:pStyle w:val="ListBullet"/>
      </w:pPr>
      <w:r w:rsidRPr="00206B2B">
        <w:t>Building off Recommendation 6 to s</w:t>
      </w:r>
      <w:r w:rsidR="001B57BB" w:rsidRPr="00206B2B">
        <w:t xml:space="preserve">trengthen </w:t>
      </w:r>
      <w:r w:rsidR="00D600EB" w:rsidRPr="00206B2B">
        <w:t xml:space="preserve">WPS alignment with </w:t>
      </w:r>
      <w:r w:rsidRPr="00206B2B">
        <w:t>Australia’s</w:t>
      </w:r>
      <w:r w:rsidR="00D600EB" w:rsidRPr="00206B2B">
        <w:t xml:space="preserve"> domestic SGBV reform agenda, </w:t>
      </w:r>
      <w:r w:rsidR="00FE6448" w:rsidRPr="00206B2B">
        <w:t>support greater knowledge and insights sharing across the domestics and international agencies responding to SGBV</w:t>
      </w:r>
      <w:r w:rsidR="00FE7C10" w:rsidRPr="00206B2B">
        <w:t xml:space="preserve">. </w:t>
      </w:r>
    </w:p>
    <w:p w14:paraId="0996C995" w14:textId="77777777" w:rsidR="00097112" w:rsidRPr="00206B2B" w:rsidRDefault="00097112" w:rsidP="00C137DB">
      <w:pPr>
        <w:pStyle w:val="ListBullet"/>
      </w:pPr>
      <w:r w:rsidRPr="00206B2B">
        <w:t>Strengthen meaningful First Nations participation and leadership across domestic and international WPS initiatives. This includes recognising and integrating First Nations knowledge in conflict prevention and peacebuilding, and utilising DFAT’s First Nations Ambassador and Office for First Nations International Engagement to elevate First Nations perspectives and embed lessons learned.</w:t>
      </w:r>
    </w:p>
    <w:p w14:paraId="7D84C763" w14:textId="77777777" w:rsidR="00097112" w:rsidRPr="00206B2B" w:rsidRDefault="00097112" w:rsidP="00097112">
      <w:pPr>
        <w:pStyle w:val="BodyText"/>
      </w:pPr>
      <w:r w:rsidRPr="00206B2B">
        <w:t>As part of the WPS NAP evaluation, consider the benefits and risks of integrating domestic actions, priorities and outcomes into a future iteration of the WPS NAP.</w:t>
      </w:r>
    </w:p>
    <w:p w14:paraId="2EE792C1" w14:textId="330D5189" w:rsidR="001603E6" w:rsidRPr="00206B2B" w:rsidRDefault="001603E6" w:rsidP="000B5747">
      <w:pPr>
        <w:pStyle w:val="Heading3"/>
        <w:rPr>
          <w:color w:val="00B8F5" w:themeColor="accent4"/>
        </w:rPr>
      </w:pPr>
      <w:r w:rsidRPr="00206B2B">
        <w:t xml:space="preserve">WPS NAP Outcomes </w:t>
      </w:r>
    </w:p>
    <w:p w14:paraId="04F5C2B2" w14:textId="0C8904CE" w:rsidR="001603E6" w:rsidRPr="00206B2B" w:rsidRDefault="001603E6" w:rsidP="001603E6">
      <w:pPr>
        <w:pStyle w:val="BodyText"/>
      </w:pPr>
      <w:r w:rsidRPr="00206B2B">
        <w:t>Outcome 4, MTO 4.</w:t>
      </w:r>
      <w:r w:rsidR="00A34739" w:rsidRPr="00206B2B">
        <w:t>1</w:t>
      </w:r>
    </w:p>
    <w:p w14:paraId="07C9777B" w14:textId="77777777" w:rsidR="001603E6" w:rsidRPr="00D230F6" w:rsidRDefault="001603E6" w:rsidP="000B5747">
      <w:pPr>
        <w:pStyle w:val="Heading3"/>
        <w:rPr>
          <w:rStyle w:val="IntenseEmphasis"/>
          <w:b/>
        </w:rPr>
      </w:pPr>
      <w:r w:rsidRPr="00D230F6">
        <w:rPr>
          <w:rStyle w:val="IntenseEmphasis"/>
          <w:b/>
        </w:rPr>
        <w:t>Implementation considerations</w:t>
      </w:r>
    </w:p>
    <w:p w14:paraId="13A94EE5" w14:textId="62F252C9" w:rsidR="00ED14BA" w:rsidRDefault="009049FC" w:rsidP="00105D31">
      <w:pPr>
        <w:pStyle w:val="BodyText"/>
      </w:pPr>
      <w:r w:rsidRPr="00206B2B">
        <w:t xml:space="preserve">Noting that some work is already happening in this space, </w:t>
      </w:r>
      <w:r w:rsidR="001756DB" w:rsidRPr="00206B2B">
        <w:t xml:space="preserve">these enhancement activities can be implemented within </w:t>
      </w:r>
      <w:r w:rsidR="00A34739" w:rsidRPr="00206B2B">
        <w:t>existing resourcing</w:t>
      </w:r>
      <w:r w:rsidR="001756DB" w:rsidRPr="00206B2B">
        <w:t xml:space="preserve">. </w:t>
      </w:r>
      <w:r w:rsidR="00ED2645" w:rsidRPr="00206B2B">
        <w:t xml:space="preserve">Some additional resourcing may be required to bring </w:t>
      </w:r>
      <w:r w:rsidR="00EB5109" w:rsidRPr="00206B2B">
        <w:t>together domestic</w:t>
      </w:r>
      <w:r w:rsidR="00ED2645" w:rsidRPr="00206B2B">
        <w:t xml:space="preserve"> policy leaders. </w:t>
      </w:r>
      <w:r w:rsidR="001756DB" w:rsidRPr="00206B2B">
        <w:t xml:space="preserve">Implementation would benefit from mapping the existing work in the WPS knowledge sharing space and considering how </w:t>
      </w:r>
      <w:r w:rsidR="00843594" w:rsidRPr="00206B2B">
        <w:t>to integrate a domestic lens, prior to resourcing additional efforts.</w:t>
      </w:r>
      <w:r w:rsidR="00ED14BA">
        <w:br w:type="page"/>
      </w:r>
    </w:p>
    <w:p w14:paraId="5C0CDD74" w14:textId="0E0F35D7" w:rsidR="009D34BE" w:rsidRPr="0057309E" w:rsidRDefault="0012650C" w:rsidP="001603E6">
      <w:r>
        <w:rPr>
          <w:noProof/>
        </w:rPr>
        <w:lastRenderedPageBreak/>
        <w:drawing>
          <wp:inline distT="0" distB="0" distL="0" distR="0" wp14:anchorId="5BBEB771" wp14:editId="65565D56">
            <wp:extent cx="6324600" cy="1440180"/>
            <wp:effectExtent l="0" t="0" r="0" b="7620"/>
            <wp:docPr id="237109879" name="Picture 16" descr="Graphic header with text: Priority Area 4; Addressing Emerging and Non-Traditional Security Risks through WP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09879" name="Picture 16" descr="Graphic header with text: Priority Area 4; Addressing Emerging and Non-Traditional Security Risks through WPS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24600" cy="1440180"/>
                    </a:xfrm>
                    <a:prstGeom prst="rect">
                      <a:avLst/>
                    </a:prstGeom>
                    <a:noFill/>
                  </pic:spPr>
                </pic:pic>
              </a:graphicData>
            </a:graphic>
          </wp:inline>
        </w:drawing>
      </w:r>
    </w:p>
    <w:p w14:paraId="5C397DF1" w14:textId="20FDBD3A" w:rsidR="009D34BE" w:rsidRPr="0057309E" w:rsidRDefault="009D34BE" w:rsidP="00944D24">
      <w:pPr>
        <w:pStyle w:val="Heading2"/>
      </w:pPr>
      <w:r w:rsidRPr="0057309E">
        <w:t>Recommendation 11</w:t>
      </w:r>
    </w:p>
    <w:p w14:paraId="512B4762" w14:textId="4FCB91CD" w:rsidR="009D34BE" w:rsidRPr="00206B2B" w:rsidRDefault="009D34BE" w:rsidP="006D0179">
      <w:pPr>
        <w:pStyle w:val="BodyText"/>
      </w:pPr>
      <w:r w:rsidRPr="00206B2B">
        <w:t>Strengthen women’s leadership in climate adaptation by supporting their roles in planning, early warning systems, and community resilience through community</w:t>
      </w:r>
      <w:r w:rsidRPr="00206B2B">
        <w:noBreakHyphen/>
        <w:t>led initiatives, gender</w:t>
      </w:r>
      <w:r w:rsidRPr="00206B2B">
        <w:noBreakHyphen/>
        <w:t>responsive disaster risk reduction policies, and regional climate security engagement.</w:t>
      </w:r>
    </w:p>
    <w:p w14:paraId="4F9206C8" w14:textId="66423C77" w:rsidR="00CA0BEB" w:rsidRPr="00206B2B" w:rsidRDefault="00CA0BEB" w:rsidP="006D0179">
      <w:pPr>
        <w:pStyle w:val="BodyText"/>
      </w:pPr>
      <w:r w:rsidRPr="00206B2B">
        <w:t>Specific initiatives could include:</w:t>
      </w:r>
    </w:p>
    <w:p w14:paraId="301B0DFC" w14:textId="77777777" w:rsidR="00CA0BEB" w:rsidRPr="00206B2B" w:rsidRDefault="00CA0BEB" w:rsidP="00A9032C">
      <w:pPr>
        <w:pStyle w:val="ListBullet"/>
      </w:pPr>
      <w:r w:rsidRPr="00206B2B">
        <w:t>Fund community-led climate resilience initiatives ensuring women and youth shape preparedness and recovery.</w:t>
      </w:r>
    </w:p>
    <w:p w14:paraId="18F44288" w14:textId="08C76986" w:rsidR="00CA0BEB" w:rsidRPr="00206B2B" w:rsidRDefault="00CA0BEB" w:rsidP="00A9032C">
      <w:pPr>
        <w:pStyle w:val="ListBullet"/>
      </w:pPr>
      <w:r w:rsidRPr="00206B2B">
        <w:t xml:space="preserve">Embed </w:t>
      </w:r>
      <w:r w:rsidR="00504ED6" w:rsidRPr="00206B2B">
        <w:t>g</w:t>
      </w:r>
      <w:r w:rsidRPr="00206B2B">
        <w:t xml:space="preserve">ender </w:t>
      </w:r>
      <w:r w:rsidR="00504ED6" w:rsidRPr="00206B2B">
        <w:t>e</w:t>
      </w:r>
      <w:r w:rsidRPr="00206B2B">
        <w:t xml:space="preserve">quality into </w:t>
      </w:r>
      <w:r w:rsidR="00B14133" w:rsidRPr="00687F19">
        <w:t>n</w:t>
      </w:r>
      <w:r w:rsidRPr="00687F19">
        <w:t xml:space="preserve">ational </w:t>
      </w:r>
      <w:r w:rsidR="00B14133" w:rsidRPr="00687F19">
        <w:t>d</w:t>
      </w:r>
      <w:r w:rsidRPr="00687F19">
        <w:t xml:space="preserve">isaster </w:t>
      </w:r>
      <w:r w:rsidR="00B14133" w:rsidRPr="00687F19">
        <w:t>r</w:t>
      </w:r>
      <w:r w:rsidRPr="00687F19">
        <w:t xml:space="preserve">isk </w:t>
      </w:r>
      <w:r w:rsidR="00B14133" w:rsidRPr="00687F19">
        <w:t>r</w:t>
      </w:r>
      <w:r w:rsidRPr="00687F19">
        <w:t>eduction (DRR) Policies</w:t>
      </w:r>
      <w:r w:rsidRPr="00206B2B">
        <w:t xml:space="preserve"> through technical assistance and policy partnerships in the region.</w:t>
      </w:r>
    </w:p>
    <w:p w14:paraId="6DA927E8" w14:textId="77777777" w:rsidR="00CA0BEB" w:rsidRPr="00206B2B" w:rsidRDefault="00CA0BEB" w:rsidP="00A9032C">
      <w:pPr>
        <w:pStyle w:val="ListBullet"/>
      </w:pPr>
      <w:r w:rsidRPr="00206B2B">
        <w:t>Engage with Regional Climate Security Dialogues connecting WPS, resilience, and environmental security.</w:t>
      </w:r>
    </w:p>
    <w:p w14:paraId="4CA9D2D8" w14:textId="41512659" w:rsidR="001603E6" w:rsidRPr="00206B2B" w:rsidRDefault="001603E6" w:rsidP="000B5747">
      <w:pPr>
        <w:pStyle w:val="Heading3"/>
        <w:rPr>
          <w:color w:val="00B8F5" w:themeColor="accent4"/>
        </w:rPr>
      </w:pPr>
      <w:r w:rsidRPr="00206B2B">
        <w:t xml:space="preserve">WPS NAP Outcomes </w:t>
      </w:r>
    </w:p>
    <w:p w14:paraId="176B0E9B" w14:textId="3A1EF32B" w:rsidR="00387B6F" w:rsidRPr="00206B2B" w:rsidRDefault="00387B6F" w:rsidP="00387B6F">
      <w:pPr>
        <w:pStyle w:val="BodyText"/>
      </w:pPr>
      <w:r w:rsidRPr="00206B2B">
        <w:t>Outcome 2, MTO 2.2</w:t>
      </w:r>
    </w:p>
    <w:p w14:paraId="3035C658" w14:textId="7CAE11BF" w:rsidR="00387B6F" w:rsidRPr="00206B2B" w:rsidRDefault="00387B6F" w:rsidP="00387B6F">
      <w:pPr>
        <w:pStyle w:val="BodyText"/>
      </w:pPr>
      <w:r w:rsidRPr="00206B2B">
        <w:t>Outcome 3, MTO 3.2</w:t>
      </w:r>
    </w:p>
    <w:p w14:paraId="50ED4C23" w14:textId="77777777" w:rsidR="001603E6" w:rsidRPr="00D230F6" w:rsidRDefault="001603E6" w:rsidP="000B5747">
      <w:pPr>
        <w:pStyle w:val="Heading3"/>
        <w:rPr>
          <w:rStyle w:val="IntenseEmphasis"/>
          <w:b/>
        </w:rPr>
      </w:pPr>
      <w:r w:rsidRPr="00D230F6">
        <w:rPr>
          <w:rStyle w:val="IntenseEmphasis"/>
          <w:b/>
        </w:rPr>
        <w:t>Implementation considerations</w:t>
      </w:r>
    </w:p>
    <w:p w14:paraId="129CDBA3" w14:textId="533091E1" w:rsidR="001603E6" w:rsidRPr="0057309E" w:rsidRDefault="00E616D9" w:rsidP="00243C66">
      <w:pPr>
        <w:pStyle w:val="BodyText"/>
      </w:pPr>
      <w:proofErr w:type="gramStart"/>
      <w:r w:rsidRPr="00206B2B">
        <w:t>The m</w:t>
      </w:r>
      <w:r w:rsidR="005A66D1" w:rsidRPr="00206B2B">
        <w:t>ajority of</w:t>
      </w:r>
      <w:proofErr w:type="gramEnd"/>
      <w:r w:rsidR="005A66D1" w:rsidRPr="00206B2B">
        <w:t xml:space="preserve"> efforts can be implemented using existing resources, while some additional funding </w:t>
      </w:r>
      <w:r w:rsidR="00E36C24">
        <w:t xml:space="preserve">and resources </w:t>
      </w:r>
      <w:r w:rsidR="005A66D1" w:rsidRPr="00206B2B">
        <w:t>may be required for new initiatives or implementation partners.</w:t>
      </w:r>
      <w:r w:rsidR="00134E69">
        <w:t xml:space="preserve"> </w:t>
      </w:r>
      <w:r w:rsidR="00EA5634">
        <w:t xml:space="preserve">To implement this recommendation may require greater coordination </w:t>
      </w:r>
      <w:r w:rsidR="00D147CA">
        <w:t xml:space="preserve">with and involvement of </w:t>
      </w:r>
      <w:r w:rsidR="00EA5634">
        <w:t>other agencies</w:t>
      </w:r>
      <w:r w:rsidR="00D147CA">
        <w:t xml:space="preserve">. </w:t>
      </w:r>
      <w:r w:rsidR="005A66D1" w:rsidRPr="00206B2B">
        <w:t xml:space="preserve">Embedding </w:t>
      </w:r>
      <w:r w:rsidRPr="00206B2B">
        <w:t>WPS</w:t>
      </w:r>
      <w:r w:rsidR="005A66D1" w:rsidRPr="00206B2B">
        <w:t xml:space="preserve"> into DRR </w:t>
      </w:r>
      <w:r w:rsidR="00FF4318" w:rsidRPr="00206B2B">
        <w:t xml:space="preserve">could be higher effort </w:t>
      </w:r>
      <w:r w:rsidR="00B57AED" w:rsidRPr="00206B2B">
        <w:t xml:space="preserve">due to the work </w:t>
      </w:r>
      <w:r w:rsidR="005C79D7" w:rsidRPr="00206B2B">
        <w:t xml:space="preserve">required </w:t>
      </w:r>
      <w:r w:rsidR="00B57AED" w:rsidRPr="00206B2B">
        <w:t xml:space="preserve">to influence policies of other countries. </w:t>
      </w:r>
      <w:r w:rsidR="001603E6" w:rsidRPr="0057309E">
        <w:t xml:space="preserve">     </w:t>
      </w:r>
    </w:p>
    <w:p w14:paraId="4EA895EF" w14:textId="6138FAB9" w:rsidR="009D34BE" w:rsidRPr="0057309E" w:rsidRDefault="009D34BE" w:rsidP="00944D24">
      <w:pPr>
        <w:pStyle w:val="Heading2"/>
      </w:pPr>
      <w:r w:rsidRPr="0057309E">
        <w:t>Recommendation 12</w:t>
      </w:r>
    </w:p>
    <w:p w14:paraId="1B3F2707" w14:textId="23F7E1CD" w:rsidR="009D34BE" w:rsidRPr="00206B2B" w:rsidRDefault="009D34BE" w:rsidP="00150904">
      <w:pPr>
        <w:pStyle w:val="BodyText"/>
      </w:pPr>
      <w:r w:rsidRPr="00206B2B">
        <w:t>Embed digital safety and counter</w:t>
      </w:r>
      <w:r w:rsidRPr="00206B2B">
        <w:noBreakHyphen/>
        <w:t>disinformation as core WPS priorities within Australia’s conflict prevention and regional security agenda to protect women online, counter harmful narratives, strengthen early warning, and amplify women’s participation in peace and security processes.</w:t>
      </w:r>
    </w:p>
    <w:p w14:paraId="407168E9" w14:textId="756F653E" w:rsidR="00150904" w:rsidRPr="00206B2B" w:rsidRDefault="00150904" w:rsidP="00150904">
      <w:pPr>
        <w:pStyle w:val="BodyText"/>
      </w:pPr>
      <w:r w:rsidRPr="00206B2B">
        <w:t xml:space="preserve">Actions may include: </w:t>
      </w:r>
    </w:p>
    <w:p w14:paraId="59D27A5A" w14:textId="77777777" w:rsidR="00150904" w:rsidRPr="00206B2B" w:rsidRDefault="00150904" w:rsidP="00A9032C">
      <w:pPr>
        <w:pStyle w:val="ListBullet"/>
      </w:pPr>
      <w:r w:rsidRPr="00206B2B">
        <w:t xml:space="preserve">Deliver digital safety training to protect </w:t>
      </w:r>
      <w:r w:rsidRPr="00206B2B" w:rsidDel="00E83976">
        <w:t>women from</w:t>
      </w:r>
      <w:r w:rsidRPr="00206B2B">
        <w:t xml:space="preserve"> cyber harassment, disinformation, </w:t>
      </w:r>
      <w:r w:rsidRPr="00206B2B" w:rsidDel="00E83976">
        <w:t xml:space="preserve">and </w:t>
      </w:r>
      <w:r w:rsidRPr="00206B2B">
        <w:t xml:space="preserve">online abuse and technology-facilitated </w:t>
      </w:r>
      <w:proofErr w:type="gramStart"/>
      <w:r w:rsidRPr="00206B2B">
        <w:t>GBV;</w:t>
      </w:r>
      <w:proofErr w:type="gramEnd"/>
      <w:r w:rsidRPr="00206B2B">
        <w:t xml:space="preserve"> </w:t>
      </w:r>
    </w:p>
    <w:p w14:paraId="7AACA203" w14:textId="1F786D82" w:rsidR="00150904" w:rsidRPr="00206B2B" w:rsidRDefault="00150904" w:rsidP="00A9032C">
      <w:pPr>
        <w:pStyle w:val="ListBullet"/>
      </w:pPr>
      <w:r w:rsidRPr="00206B2B">
        <w:t>Support regional counter</w:t>
      </w:r>
      <w:r w:rsidRPr="00206B2B">
        <w:noBreakHyphen/>
        <w:t xml:space="preserve">disinformation strategies that safeguard elections, peace processes, and crisis </w:t>
      </w:r>
      <w:proofErr w:type="gramStart"/>
      <w:r w:rsidRPr="00206B2B">
        <w:t>response</w:t>
      </w:r>
      <w:r w:rsidR="003726B5" w:rsidRPr="00206B2B">
        <w:t>s</w:t>
      </w:r>
      <w:r w:rsidRPr="00206B2B">
        <w:t>;</w:t>
      </w:r>
      <w:proofErr w:type="gramEnd"/>
      <w:r w:rsidRPr="00206B2B">
        <w:t xml:space="preserve"> </w:t>
      </w:r>
    </w:p>
    <w:p w14:paraId="4BD04CB1" w14:textId="688401DA" w:rsidR="00150904" w:rsidRPr="00206B2B" w:rsidRDefault="00150904" w:rsidP="00A9032C">
      <w:pPr>
        <w:pStyle w:val="ListBullet"/>
      </w:pPr>
      <w:r w:rsidRPr="00206B2B">
        <w:t>Commission targeted research on the gendered impacts of mis</w:t>
      </w:r>
      <w:r w:rsidR="002954C5">
        <w:t>-</w:t>
      </w:r>
      <w:r w:rsidRPr="00206B2B">
        <w:t xml:space="preserve"> and disinformation and toxic masculinity on women</w:t>
      </w:r>
      <w:r w:rsidR="0087382B" w:rsidRPr="00206B2B">
        <w:t xml:space="preserve">, including the rising </w:t>
      </w:r>
      <w:r w:rsidR="00FA61BE" w:rsidRPr="00206B2B">
        <w:t>rates of yo</w:t>
      </w:r>
      <w:r w:rsidR="00894F92" w:rsidRPr="00206B2B">
        <w:t>ung</w:t>
      </w:r>
      <w:r w:rsidR="00FA61BE" w:rsidRPr="00206B2B">
        <w:t xml:space="preserve"> victims and perpetrators as well as </w:t>
      </w:r>
      <w:r w:rsidR="00773E28" w:rsidRPr="00206B2B">
        <w:t>impacts on women</w:t>
      </w:r>
      <w:r w:rsidRPr="00206B2B">
        <w:t xml:space="preserve">’s political participation and mediation </w:t>
      </w:r>
      <w:proofErr w:type="gramStart"/>
      <w:r w:rsidRPr="00206B2B">
        <w:t>roles;</w:t>
      </w:r>
      <w:proofErr w:type="gramEnd"/>
    </w:p>
    <w:p w14:paraId="111B0908" w14:textId="2C568B3A" w:rsidR="00150904" w:rsidRPr="00206B2B" w:rsidRDefault="00150904" w:rsidP="00A9032C">
      <w:pPr>
        <w:pStyle w:val="ListBullet"/>
      </w:pPr>
      <w:r w:rsidRPr="00206B2B">
        <w:t xml:space="preserve">Consider the feasibility of developing a Regional Data and Monitoring Hub to track harmful narratives, toxic masculinity, online sentiment shifts, and other emerging dis-information risks in real </w:t>
      </w:r>
      <w:r w:rsidRPr="00206B2B">
        <w:lastRenderedPageBreak/>
        <w:t xml:space="preserve">time. This may include consideration of how existing monitoring could be leveraged as well as opportunities to use AI enable tools to support operationalisation, and </w:t>
      </w:r>
    </w:p>
    <w:p w14:paraId="55362C81" w14:textId="77777777" w:rsidR="00150904" w:rsidRPr="00206B2B" w:rsidRDefault="00150904" w:rsidP="00A9032C">
      <w:pPr>
        <w:pStyle w:val="ListBullet"/>
      </w:pPr>
      <w:r w:rsidRPr="00206B2B">
        <w:t>Launch data</w:t>
      </w:r>
      <w:r w:rsidRPr="00206B2B">
        <w:noBreakHyphen/>
        <w:t xml:space="preserve">driven positive campaigns that highlight how gender equality contributes to economic growth, stability, and community resilience. </w:t>
      </w:r>
    </w:p>
    <w:p w14:paraId="6DA1B17C" w14:textId="5F52B01B" w:rsidR="002753F4" w:rsidRPr="00206B2B" w:rsidRDefault="003514E9" w:rsidP="00A9032C">
      <w:pPr>
        <w:pStyle w:val="ListBullet"/>
      </w:pPr>
      <w:r w:rsidRPr="00206B2B">
        <w:t xml:space="preserve">Work towards integrating WPS considerations into standard operating procedures for countering online abuse. </w:t>
      </w:r>
    </w:p>
    <w:p w14:paraId="1A563E56" w14:textId="77777777" w:rsidR="00150904" w:rsidRPr="00206B2B" w:rsidRDefault="00150904" w:rsidP="00150904">
      <w:pPr>
        <w:pStyle w:val="BodyText"/>
      </w:pPr>
      <w:r w:rsidRPr="00206B2B">
        <w:t>Together, these measures will help counter harmful narratives, create safer and more secure digital environments, and amplify women’s voices in peace and security processes thereby strengthening Australia’s ability to contribute to early warning, conflict mitigation, and regional stability.</w:t>
      </w:r>
    </w:p>
    <w:p w14:paraId="158B1BD3" w14:textId="61F7759A" w:rsidR="001603E6" w:rsidRPr="00206B2B" w:rsidRDefault="001603E6" w:rsidP="000B5747">
      <w:pPr>
        <w:pStyle w:val="Heading3"/>
        <w:rPr>
          <w:color w:val="00B8F5" w:themeColor="accent4"/>
        </w:rPr>
      </w:pPr>
      <w:r w:rsidRPr="00206B2B">
        <w:t xml:space="preserve">WPS NAP Outcomes </w:t>
      </w:r>
    </w:p>
    <w:p w14:paraId="1EED5458" w14:textId="6B34F210" w:rsidR="00AC1FDB" w:rsidRPr="00206B2B" w:rsidRDefault="00AC1FDB" w:rsidP="00AC1FDB">
      <w:pPr>
        <w:pStyle w:val="BodyText"/>
      </w:pPr>
      <w:r w:rsidRPr="00206B2B">
        <w:t>Outcome 2, MTO 2.1 and 2.2</w:t>
      </w:r>
    </w:p>
    <w:p w14:paraId="41A7D152" w14:textId="77777777" w:rsidR="001603E6" w:rsidRPr="00D230F6" w:rsidRDefault="001603E6" w:rsidP="000B5747">
      <w:pPr>
        <w:pStyle w:val="Heading3"/>
        <w:rPr>
          <w:rStyle w:val="IntenseEmphasis"/>
          <w:b/>
        </w:rPr>
      </w:pPr>
      <w:r w:rsidRPr="00D230F6">
        <w:rPr>
          <w:rStyle w:val="IntenseEmphasis"/>
          <w:b/>
        </w:rPr>
        <w:t>Implementation considerations</w:t>
      </w:r>
    </w:p>
    <w:p w14:paraId="5926BCA4" w14:textId="2385CEB5" w:rsidR="002954C5" w:rsidRDefault="0044195D" w:rsidP="006D0179">
      <w:pPr>
        <w:pStyle w:val="BodyText"/>
      </w:pPr>
      <w:r w:rsidRPr="00206B2B">
        <w:t xml:space="preserve">Some existing funding may be leveraged however </w:t>
      </w:r>
      <w:r w:rsidR="00A175C1" w:rsidRPr="00206B2B">
        <w:t>these efforts are likely to</w:t>
      </w:r>
      <w:r w:rsidRPr="00206B2B">
        <w:t xml:space="preserve"> require additional resourcing</w:t>
      </w:r>
      <w:r w:rsidR="007A15BD" w:rsidRPr="00206B2B">
        <w:t xml:space="preserve"> to enable meaningful impact</w:t>
      </w:r>
      <w:r w:rsidRPr="00206B2B">
        <w:t>.</w:t>
      </w:r>
      <w:r w:rsidR="007A15BD" w:rsidRPr="00206B2B">
        <w:t xml:space="preserve"> </w:t>
      </w:r>
      <w:r w:rsidR="00DF5E13" w:rsidRPr="00206B2B">
        <w:t>Implementation should foster engagement of practi</w:t>
      </w:r>
      <w:r w:rsidR="006E7612" w:rsidRPr="00206B2B">
        <w:t>tioners and subject matter experts on specific aspects of digital safety</w:t>
      </w:r>
      <w:r w:rsidR="006A77B6" w:rsidRPr="00206B2B">
        <w:t xml:space="preserve">, to ensure </w:t>
      </w:r>
      <w:r w:rsidR="009C4E88" w:rsidRPr="00206B2B">
        <w:t>a focus on actionable</w:t>
      </w:r>
      <w:r w:rsidR="00757327" w:rsidRPr="00206B2B">
        <w:t xml:space="preserve"> improvements</w:t>
      </w:r>
      <w:r w:rsidR="002753F4" w:rsidRPr="00206B2B">
        <w:t xml:space="preserve">. </w:t>
      </w:r>
      <w:r w:rsidR="002954C5">
        <w:br w:type="page"/>
      </w:r>
    </w:p>
    <w:p w14:paraId="4A44EC34" w14:textId="180FCA66" w:rsidR="007B25C5" w:rsidRDefault="00B66E98" w:rsidP="001603E6">
      <w:r>
        <w:rPr>
          <w:noProof/>
        </w:rPr>
        <w:lastRenderedPageBreak/>
        <w:drawing>
          <wp:inline distT="0" distB="0" distL="0" distR="0" wp14:anchorId="226D0178" wp14:editId="24F607F0">
            <wp:extent cx="6324600" cy="1432560"/>
            <wp:effectExtent l="0" t="0" r="0" b="0"/>
            <wp:docPr id="249477933" name="Picture 17" descr="Graphic header with text: Priority Area 5; Resourcing WPS for Conflict Prevention &#10;and Peacebui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77933" name="Picture 17" descr="Graphic header with text: Priority Area 5; Resourcing WPS for Conflict Prevention &#10;and Peacebuilding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24600" cy="1432560"/>
                    </a:xfrm>
                    <a:prstGeom prst="rect">
                      <a:avLst/>
                    </a:prstGeom>
                    <a:noFill/>
                  </pic:spPr>
                </pic:pic>
              </a:graphicData>
            </a:graphic>
          </wp:inline>
        </w:drawing>
      </w:r>
    </w:p>
    <w:p w14:paraId="6A750F89" w14:textId="6D679273" w:rsidR="001A0579" w:rsidRPr="0057309E" w:rsidRDefault="00A4529F" w:rsidP="00944D24">
      <w:pPr>
        <w:pStyle w:val="Heading2"/>
      </w:pPr>
      <w:r w:rsidRPr="0057309E">
        <w:t>Recommendation 13</w:t>
      </w:r>
    </w:p>
    <w:p w14:paraId="7BC5EA47" w14:textId="38703F31" w:rsidR="00032D28" w:rsidRPr="00206B2B" w:rsidRDefault="00032D28" w:rsidP="006D0179">
      <w:pPr>
        <w:pStyle w:val="BodyText"/>
      </w:pPr>
      <w:r w:rsidRPr="00206B2B">
        <w:t>Expand support for women’s peace leadership in peace and transitional justice processes by increasing funding for Women Mediators’ Networks and strengthening community</w:t>
      </w:r>
      <w:r w:rsidRPr="00206B2B">
        <w:noBreakHyphen/>
        <w:t>led peacebuilding and justice initiatives</w:t>
      </w:r>
      <w:r w:rsidR="00220960" w:rsidRPr="00206B2B">
        <w:t xml:space="preserve">. These initiatives should </w:t>
      </w:r>
      <w:r w:rsidR="00683FA1" w:rsidRPr="00206B2B">
        <w:t xml:space="preserve">prioritise involvement of </w:t>
      </w:r>
      <w:r w:rsidRPr="00206B2B">
        <w:t>women</w:t>
      </w:r>
      <w:r w:rsidR="00683FA1" w:rsidRPr="00206B2B">
        <w:t xml:space="preserve"> (including</w:t>
      </w:r>
      <w:r w:rsidRPr="00206B2B">
        <w:t xml:space="preserve"> youth</w:t>
      </w:r>
      <w:r w:rsidR="00683FA1" w:rsidRPr="00206B2B">
        <w:t>)</w:t>
      </w:r>
      <w:r w:rsidRPr="00206B2B">
        <w:t>, enabling training, mentoring, trauma</w:t>
      </w:r>
      <w:r w:rsidRPr="00206B2B">
        <w:noBreakHyphen/>
        <w:t>informed dialogue, violence prevention, reparations for survivors and resilience</w:t>
      </w:r>
      <w:r w:rsidR="007B25C5">
        <w:noBreakHyphen/>
      </w:r>
      <w:r w:rsidRPr="00206B2B">
        <w:t>building.</w:t>
      </w:r>
    </w:p>
    <w:p w14:paraId="72B98EB1" w14:textId="44D5AE16" w:rsidR="00032D28" w:rsidRPr="00206B2B" w:rsidRDefault="00032D28" w:rsidP="006D0179">
      <w:pPr>
        <w:pStyle w:val="BodyText"/>
      </w:pPr>
      <w:r w:rsidRPr="00206B2B">
        <w:t>While current investment prioriti</w:t>
      </w:r>
      <w:r w:rsidR="005D1590" w:rsidRPr="00206B2B">
        <w:t>se</w:t>
      </w:r>
      <w:r w:rsidRPr="00206B2B">
        <w:t>s</w:t>
      </w:r>
      <w:r w:rsidR="005D1590" w:rsidRPr="00206B2B">
        <w:t xml:space="preserve"> the</w:t>
      </w:r>
      <w:r w:rsidRPr="00206B2B">
        <w:t xml:space="preserve"> Pacific and Southeast Asia region</w:t>
      </w:r>
      <w:r w:rsidR="00BA2310" w:rsidRPr="00206B2B">
        <w:t>,</w:t>
      </w:r>
      <w:r w:rsidRPr="00206B2B">
        <w:t xml:space="preserve"> the NAP should also consider opportunities to invest in these initiatives and participate in leadership forums more globally.</w:t>
      </w:r>
    </w:p>
    <w:p w14:paraId="1C8DA54C" w14:textId="396A2922" w:rsidR="001603E6" w:rsidRPr="00206B2B" w:rsidRDefault="001603E6" w:rsidP="000B5747">
      <w:pPr>
        <w:pStyle w:val="Heading3"/>
        <w:rPr>
          <w:color w:val="00B8F5" w:themeColor="accent4"/>
        </w:rPr>
      </w:pPr>
      <w:r w:rsidRPr="00206B2B">
        <w:t xml:space="preserve">WPS NAP Outcomes </w:t>
      </w:r>
    </w:p>
    <w:p w14:paraId="12672D2E" w14:textId="4ED86816" w:rsidR="007F1646" w:rsidRPr="00206B2B" w:rsidRDefault="007F1646" w:rsidP="007F1646">
      <w:pPr>
        <w:pStyle w:val="BodyText"/>
        <w:rPr>
          <w:bCs/>
        </w:rPr>
      </w:pPr>
      <w:r w:rsidRPr="00206B2B">
        <w:rPr>
          <w:bCs/>
        </w:rPr>
        <w:t>Outcome 1, MTO 1.1 and 1.2</w:t>
      </w:r>
    </w:p>
    <w:p w14:paraId="029E21EA" w14:textId="3957BE9D" w:rsidR="007F1646" w:rsidRPr="00206B2B" w:rsidRDefault="007F1646" w:rsidP="007F1646">
      <w:pPr>
        <w:pStyle w:val="BodyText"/>
        <w:rPr>
          <w:bCs/>
        </w:rPr>
      </w:pPr>
      <w:r w:rsidRPr="00206B2B">
        <w:rPr>
          <w:bCs/>
        </w:rPr>
        <w:t>Outcome 2, MTO 2.2 and 2.3</w:t>
      </w:r>
    </w:p>
    <w:p w14:paraId="2E587F2A" w14:textId="77777777" w:rsidR="001603E6" w:rsidRPr="00D230F6" w:rsidRDefault="001603E6" w:rsidP="000B5747">
      <w:pPr>
        <w:pStyle w:val="Heading3"/>
        <w:rPr>
          <w:rStyle w:val="IntenseEmphasis"/>
          <w:b/>
        </w:rPr>
      </w:pPr>
      <w:r w:rsidRPr="00D230F6">
        <w:rPr>
          <w:rStyle w:val="IntenseEmphasis"/>
          <w:b/>
        </w:rPr>
        <w:t>Implementation considerations</w:t>
      </w:r>
    </w:p>
    <w:p w14:paraId="41014CEE" w14:textId="46E6A389" w:rsidR="001603E6" w:rsidRPr="0057309E" w:rsidRDefault="00C66459" w:rsidP="00243C66">
      <w:pPr>
        <w:pStyle w:val="BodyText"/>
      </w:pPr>
      <w:r w:rsidRPr="00206B2B">
        <w:t xml:space="preserve">This recommendation will likely require </w:t>
      </w:r>
      <w:r w:rsidR="007F1646" w:rsidRPr="00206B2B">
        <w:t>additional resourcing</w:t>
      </w:r>
      <w:r w:rsidRPr="00206B2B">
        <w:t xml:space="preserve"> to </w:t>
      </w:r>
      <w:r w:rsidR="004E77EA" w:rsidRPr="00206B2B">
        <w:t>expand efforts and funding</w:t>
      </w:r>
      <w:r w:rsidR="001603E6" w:rsidRPr="00206B2B">
        <w:t xml:space="preserve">.  </w:t>
      </w:r>
      <w:r w:rsidR="001603E6" w:rsidRPr="0057309E">
        <w:t xml:space="preserve">     </w:t>
      </w:r>
    </w:p>
    <w:p w14:paraId="729A9AAC" w14:textId="38B8D1CC" w:rsidR="00A4529F" w:rsidRPr="0057309E" w:rsidRDefault="00A4529F" w:rsidP="00944D24">
      <w:pPr>
        <w:pStyle w:val="Heading2"/>
      </w:pPr>
      <w:r w:rsidRPr="0057309E">
        <w:t>Recommendation 14</w:t>
      </w:r>
    </w:p>
    <w:p w14:paraId="61670314" w14:textId="77777777" w:rsidR="0008009C" w:rsidRPr="00206B2B" w:rsidRDefault="00A4529F" w:rsidP="001603E6">
      <w:pPr>
        <w:pStyle w:val="BodyText"/>
      </w:pPr>
      <w:r w:rsidRPr="00206B2B">
        <w:t>Use an existing rapid funding mechanism to provide fast, flexible support to women’s organisations involved in peace negotiations and crisis response across the Pacific and Southeast Asia.</w:t>
      </w:r>
      <w:r w:rsidR="00286BB3" w:rsidRPr="00206B2B">
        <w:t xml:space="preserve"> Where a mechanism doesn’t currently exist, consider </w:t>
      </w:r>
      <w:r w:rsidR="00AC21F0" w:rsidRPr="00206B2B">
        <w:t>e</w:t>
      </w:r>
      <w:r w:rsidR="00286BB3" w:rsidRPr="00206B2B">
        <w:t>stablish</w:t>
      </w:r>
      <w:r w:rsidR="00AC21F0" w:rsidRPr="00206B2B">
        <w:t>ing</w:t>
      </w:r>
      <w:r w:rsidR="00286BB3" w:rsidRPr="00206B2B">
        <w:t xml:space="preserve"> a WPS Rapid Response Fund </w:t>
      </w:r>
      <w:r w:rsidR="00AC21F0" w:rsidRPr="00206B2B">
        <w:t xml:space="preserve">to enable this flexible support. </w:t>
      </w:r>
    </w:p>
    <w:p w14:paraId="2079FC79" w14:textId="39FCB205" w:rsidR="001603E6" w:rsidRPr="00206B2B" w:rsidRDefault="001F181F" w:rsidP="001603E6">
      <w:pPr>
        <w:pStyle w:val="BodyText"/>
        <w:rPr>
          <w:b/>
        </w:rPr>
      </w:pPr>
      <w:r w:rsidRPr="00206B2B">
        <w:t xml:space="preserve">This recommendation should ensure fast, ongoing locally accessible assistance. </w:t>
      </w:r>
      <w:r w:rsidR="00F94F5C" w:rsidRPr="00206B2B">
        <w:t xml:space="preserve">Suitable organisations may include </w:t>
      </w:r>
      <w:r w:rsidRPr="00206B2B">
        <w:t>government and grassroots or community-based organisations. This mechanism would facilitate fast and flexible responses to emerging conflict prevention and peacebuilding opportunities.</w:t>
      </w:r>
      <w:r w:rsidRPr="00206B2B">
        <w:rPr>
          <w:b/>
          <w:bCs/>
        </w:rPr>
        <w:t xml:space="preserve"> </w:t>
      </w:r>
      <w:r w:rsidR="00F41FBA" w:rsidRPr="00206B2B">
        <w:t xml:space="preserve"> </w:t>
      </w:r>
    </w:p>
    <w:p w14:paraId="02D76EA0" w14:textId="25554DC9" w:rsidR="001603E6" w:rsidRPr="00206B2B" w:rsidRDefault="001603E6" w:rsidP="000B5747">
      <w:pPr>
        <w:pStyle w:val="Heading3"/>
        <w:rPr>
          <w:color w:val="00B8F5" w:themeColor="accent4"/>
        </w:rPr>
      </w:pPr>
      <w:r w:rsidRPr="00206B2B">
        <w:t xml:space="preserve">WPS NAP Outcomes </w:t>
      </w:r>
    </w:p>
    <w:p w14:paraId="120DE804" w14:textId="0CC3D44D" w:rsidR="00417D75" w:rsidRPr="00206B2B" w:rsidRDefault="00417D75" w:rsidP="00417D75">
      <w:pPr>
        <w:pStyle w:val="BodyText"/>
        <w:rPr>
          <w:bCs/>
        </w:rPr>
      </w:pPr>
      <w:r w:rsidRPr="00206B2B">
        <w:rPr>
          <w:bCs/>
        </w:rPr>
        <w:t>Outcome 1, MTO 1.1 and 1.2</w:t>
      </w:r>
    </w:p>
    <w:p w14:paraId="79C50C8E" w14:textId="77777777" w:rsidR="001603E6" w:rsidRPr="00D230F6" w:rsidRDefault="001603E6" w:rsidP="000B5747">
      <w:pPr>
        <w:pStyle w:val="Heading3"/>
        <w:rPr>
          <w:rStyle w:val="IntenseEmphasis"/>
          <w:b/>
        </w:rPr>
      </w:pPr>
      <w:r w:rsidRPr="00D230F6">
        <w:rPr>
          <w:rStyle w:val="IntenseEmphasis"/>
          <w:b/>
        </w:rPr>
        <w:t>Implementation considerations</w:t>
      </w:r>
    </w:p>
    <w:p w14:paraId="177EC557" w14:textId="36027743" w:rsidR="007B25C5" w:rsidRDefault="00F41FBA" w:rsidP="00243C66">
      <w:pPr>
        <w:pStyle w:val="BodyText"/>
      </w:pPr>
      <w:r w:rsidRPr="00206B2B">
        <w:t>This recommendation may</w:t>
      </w:r>
      <w:r w:rsidR="00C2414A" w:rsidRPr="00206B2B">
        <w:t xml:space="preserve"> leverage existing funding</w:t>
      </w:r>
      <w:r w:rsidRPr="00206B2B">
        <w:t>, although it</w:t>
      </w:r>
      <w:r w:rsidR="00C2414A" w:rsidRPr="00206B2B">
        <w:t xml:space="preserve"> will likely also require additional resourcing</w:t>
      </w:r>
      <w:r w:rsidR="00135A26">
        <w:t xml:space="preserve"> and </w:t>
      </w:r>
      <w:r w:rsidR="00800940">
        <w:t>a whole-of-government coordinated approach</w:t>
      </w:r>
      <w:r w:rsidR="00C2414A" w:rsidRPr="00206B2B">
        <w:t xml:space="preserve">. </w:t>
      </w:r>
      <w:r w:rsidR="00CF5B8F" w:rsidRPr="00206B2B">
        <w:t xml:space="preserve">Consideration should be given to establishing a panel of providers who can access the rapid response fund, </w:t>
      </w:r>
      <w:r w:rsidR="00895478" w:rsidRPr="00206B2B">
        <w:t xml:space="preserve">enabling rapid mobilisation. </w:t>
      </w:r>
      <w:r w:rsidR="007B25C5">
        <w:br w:type="page"/>
      </w:r>
    </w:p>
    <w:p w14:paraId="3F0E7F7F" w14:textId="5495E738" w:rsidR="00247459" w:rsidRPr="007B25C5" w:rsidRDefault="00247459" w:rsidP="00944D24">
      <w:pPr>
        <w:pStyle w:val="Heading1"/>
      </w:pPr>
      <w:bookmarkStart w:id="16" w:name="_Toc230774048"/>
      <w:r w:rsidRPr="007B25C5">
        <w:lastRenderedPageBreak/>
        <w:t>Strategic shift required</w:t>
      </w:r>
      <w:bookmarkEnd w:id="16"/>
    </w:p>
    <w:p w14:paraId="2C8215A1" w14:textId="2FF868DB" w:rsidR="005F33AC" w:rsidRPr="00206B2B" w:rsidRDefault="00247459" w:rsidP="007B25C5">
      <w:r w:rsidRPr="00206B2B">
        <w:t xml:space="preserve">Consultations with </w:t>
      </w:r>
      <w:r w:rsidR="000537C2" w:rsidRPr="00206B2B">
        <w:t>DFAT</w:t>
      </w:r>
      <w:r w:rsidRPr="00206B2B">
        <w:t xml:space="preserve"> highlighted the need for several strategic shifts to ensure the WPS agenda remains fit for purpose in a rapidly changing security environment. A key shift is moving WPS out of its current </w:t>
      </w:r>
      <w:r w:rsidR="00772EDE" w:rsidRPr="00206B2B">
        <w:t>development only</w:t>
      </w:r>
      <w:r w:rsidRPr="00206B2B">
        <w:t xml:space="preserve"> framing and anchoring it more explicitly within conflict prevention, international security, and geopolitical strategy, recognising that the agenda is currently “siloed” and not leveraged across DFAT’s broader security architecture.</w:t>
      </w:r>
      <w:r w:rsidR="00722D3B" w:rsidRPr="00206B2B">
        <w:t xml:space="preserve"> </w:t>
      </w:r>
    </w:p>
    <w:p w14:paraId="6B67A06C" w14:textId="36C1DD9D" w:rsidR="00E24578" w:rsidRDefault="00722D3B" w:rsidP="006979E2">
      <w:pPr>
        <w:pStyle w:val="BodyText"/>
      </w:pPr>
      <w:r w:rsidRPr="00206B2B">
        <w:t>Specific feedback included that</w:t>
      </w:r>
      <w:r w:rsidR="00247459" w:rsidRPr="00206B2B">
        <w:t xml:space="preserve"> Australia must adopt a greater risk appetite, engaging earlier and more confidently in conversations about women’s roles in peace negotiations including in potential flashpoints rather than treating WPS as an internal culture or</w:t>
      </w:r>
      <w:r w:rsidR="00C0799F" w:rsidRPr="00206B2B">
        <w:t xml:space="preserve"> organisational human resource issue. </w:t>
      </w:r>
      <w:r w:rsidR="00247459" w:rsidRPr="00206B2B">
        <w:t xml:space="preserve">A further strategic shift involves building greater coherence between WPS and domestic policy frameworks, including gender equality, First Nations diplomacy, and </w:t>
      </w:r>
      <w:r w:rsidR="00772EDE" w:rsidRPr="00206B2B">
        <w:t>conflict prevention</w:t>
      </w:r>
      <w:r w:rsidR="00247459" w:rsidRPr="00206B2B">
        <w:t xml:space="preserve"> efforts, to reflect the interconnected nature of threats such as radicalisation, violent extremism, and anti</w:t>
      </w:r>
      <w:r w:rsidR="00772EDE" w:rsidRPr="00206B2B">
        <w:t>-</w:t>
      </w:r>
      <w:r w:rsidR="00247459" w:rsidRPr="00206B2B">
        <w:t xml:space="preserve">gender movements. DFAT </w:t>
      </w:r>
      <w:r w:rsidR="00C0799F" w:rsidRPr="00206B2B">
        <w:t xml:space="preserve">also commented on the need </w:t>
      </w:r>
      <w:r w:rsidR="00247459" w:rsidRPr="00206B2B">
        <w:t xml:space="preserve">to develop a more </w:t>
      </w:r>
      <w:r w:rsidR="00772EDE" w:rsidRPr="00206B2B">
        <w:t>joined up</w:t>
      </w:r>
      <w:r w:rsidR="00247459" w:rsidRPr="00206B2B">
        <w:t xml:space="preserve">, </w:t>
      </w:r>
      <w:r w:rsidR="00772EDE" w:rsidRPr="00206B2B">
        <w:t>whole</w:t>
      </w:r>
      <w:r w:rsidR="00194FDB" w:rsidRPr="00206B2B">
        <w:t>-</w:t>
      </w:r>
      <w:r w:rsidR="00772EDE" w:rsidRPr="00206B2B">
        <w:t>of</w:t>
      </w:r>
      <w:r w:rsidR="006916F7" w:rsidRPr="00206B2B">
        <w:t>-</w:t>
      </w:r>
      <w:r w:rsidR="00772EDE" w:rsidRPr="00206B2B">
        <w:t>government</w:t>
      </w:r>
      <w:r w:rsidR="00247459" w:rsidRPr="00206B2B">
        <w:t xml:space="preserve"> approach to conflict prevention, climate, cyber, security issues that are increasingly core to WPS but not currently integrated in a systematic way.</w:t>
      </w:r>
    </w:p>
    <w:p w14:paraId="1BE67BF6" w14:textId="49112C8C" w:rsidR="006C2988" w:rsidRDefault="00E24578" w:rsidP="006979E2">
      <w:pPr>
        <w:pStyle w:val="BodyText"/>
      </w:pPr>
      <w:r>
        <w:t>It is important to consider this</w:t>
      </w:r>
      <w:r w:rsidR="002C1D86">
        <w:t xml:space="preserve"> strategic shift when deciding </w:t>
      </w:r>
      <w:r w:rsidR="007939E2">
        <w:t xml:space="preserve">how to prioritise the recommendations. </w:t>
      </w:r>
      <w:r w:rsidR="00F95753">
        <w:fldChar w:fldCharType="begin" w:fldLock="1"/>
      </w:r>
      <w:r w:rsidR="00F95753">
        <w:instrText xml:space="preserve"> REF _Ref222426639 \h </w:instrText>
      </w:r>
      <w:r w:rsidR="00F95753">
        <w:fldChar w:fldCharType="separate"/>
      </w:r>
      <w:r w:rsidR="00F95753">
        <w:t xml:space="preserve">Table </w:t>
      </w:r>
      <w:r w:rsidR="00F95753">
        <w:rPr>
          <w:noProof/>
        </w:rPr>
        <w:t>4</w:t>
      </w:r>
      <w:r w:rsidR="00F95753">
        <w:fldChar w:fldCharType="end"/>
      </w:r>
      <w:r w:rsidR="007939E2">
        <w:t xml:space="preserve"> provides an indicative </w:t>
      </w:r>
      <w:r w:rsidR="00584EA4">
        <w:t xml:space="preserve">prioritisation of the recommendations, </w:t>
      </w:r>
      <w:r w:rsidR="00EC5A98">
        <w:t xml:space="preserve">accounting for implementation </w:t>
      </w:r>
      <w:r w:rsidR="00822815">
        <w:t>considerations</w:t>
      </w:r>
      <w:r w:rsidR="00EC5A98">
        <w:t xml:space="preserve"> and potential to support </w:t>
      </w:r>
      <w:r w:rsidR="00DF4338">
        <w:t>t</w:t>
      </w:r>
      <w:r w:rsidR="00EC5A98">
        <w:t>his strategic shift. Recommendations which provide a strong foundation for th</w:t>
      </w:r>
      <w:r w:rsidR="00B823DA">
        <w:t xml:space="preserve">e </w:t>
      </w:r>
      <w:r w:rsidR="00FE7804">
        <w:t xml:space="preserve">NAP </w:t>
      </w:r>
      <w:r w:rsidR="00B823DA">
        <w:t>are generally prioritised for early implementation</w:t>
      </w:r>
      <w:r w:rsidR="000D1814">
        <w:t xml:space="preserve">. </w:t>
      </w:r>
      <w:r w:rsidR="00AC57A7">
        <w:t>An indicative timeframe is also provided</w:t>
      </w:r>
      <w:r w:rsidR="006C2988">
        <w:t xml:space="preserve">, using the below scale: </w:t>
      </w:r>
    </w:p>
    <w:p w14:paraId="00977813" w14:textId="47032DAD" w:rsidR="00CC3E1F" w:rsidRDefault="002B1347" w:rsidP="007B25C5">
      <w:pPr>
        <w:pStyle w:val="ListBullet"/>
      </w:pPr>
      <w:r>
        <w:t xml:space="preserve">Short </w:t>
      </w:r>
      <w:r w:rsidR="00CC3E1F">
        <w:t>t</w:t>
      </w:r>
      <w:r>
        <w:t>erm</w:t>
      </w:r>
      <w:r w:rsidR="00CC3E1F">
        <w:t xml:space="preserve"> –</w:t>
      </w:r>
      <w:r w:rsidR="004A2199">
        <w:t xml:space="preserve"> </w:t>
      </w:r>
      <w:r w:rsidR="00CC3E1F">
        <w:t>up to one year</w:t>
      </w:r>
    </w:p>
    <w:p w14:paraId="328E14FA" w14:textId="66CADB4D" w:rsidR="00110D1F" w:rsidRDefault="00CC3E1F" w:rsidP="007B25C5">
      <w:pPr>
        <w:pStyle w:val="ListBullet"/>
      </w:pPr>
      <w:r>
        <w:t>Medium term - one to three years</w:t>
      </w:r>
    </w:p>
    <w:p w14:paraId="0C261FFD" w14:textId="02A25C3C" w:rsidR="008323F4" w:rsidRDefault="004A2199" w:rsidP="007B25C5">
      <w:pPr>
        <w:pStyle w:val="ListBullet"/>
      </w:pPr>
      <w:r>
        <w:t>Long</w:t>
      </w:r>
      <w:r w:rsidR="00CC3E1F">
        <w:t xml:space="preserve"> term </w:t>
      </w:r>
      <w:r w:rsidR="00110D1F">
        <w:t>–</w:t>
      </w:r>
      <w:r w:rsidR="00CC3E1F">
        <w:t xml:space="preserve"> </w:t>
      </w:r>
      <w:r w:rsidR="00110D1F">
        <w:t>three to five years</w:t>
      </w:r>
    </w:p>
    <w:p w14:paraId="4BFAF64D" w14:textId="5844D616" w:rsidR="00695191" w:rsidRDefault="00F95753" w:rsidP="00F95753">
      <w:pPr>
        <w:pStyle w:val="Caption"/>
        <w:keepNext/>
      </w:pPr>
      <w:bookmarkStart w:id="17" w:name="_Ref222426639"/>
      <w:r>
        <w:t xml:space="preserve">Table </w:t>
      </w:r>
      <w:r>
        <w:fldChar w:fldCharType="begin"/>
      </w:r>
      <w:r>
        <w:instrText xml:space="preserve"> SEQ Table \* ARABIC </w:instrText>
      </w:r>
      <w:r>
        <w:fldChar w:fldCharType="separate"/>
      </w:r>
      <w:r w:rsidR="009E05C9">
        <w:rPr>
          <w:noProof/>
        </w:rPr>
        <w:t>3</w:t>
      </w:r>
      <w:r>
        <w:fldChar w:fldCharType="end"/>
      </w:r>
      <w:bookmarkEnd w:id="17"/>
      <w:r>
        <w:t>.</w:t>
      </w:r>
      <w:r w:rsidR="009472E7">
        <w:t xml:space="preserve"> Indicative priority of recommendations</w:t>
      </w:r>
    </w:p>
    <w:tbl>
      <w:tblPr>
        <w:tblStyle w:val="KPMGTable"/>
        <w:tblpPr w:leftFromText="180" w:rightFromText="180" w:vertAnchor="text" w:tblpY="1"/>
        <w:tblW w:w="4768" w:type="pct"/>
        <w:tblLook w:val="04A0" w:firstRow="1" w:lastRow="0" w:firstColumn="1" w:lastColumn="0" w:noHBand="0" w:noVBand="1"/>
      </w:tblPr>
      <w:tblGrid>
        <w:gridCol w:w="1258"/>
        <w:gridCol w:w="2271"/>
        <w:gridCol w:w="4795"/>
        <w:gridCol w:w="1407"/>
      </w:tblGrid>
      <w:tr w:rsidR="00293EBD" w:rsidRPr="009D1801" w14:paraId="4BDF4957" w14:textId="77777777" w:rsidTr="007B2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tcBorders>
              <w:top w:val="nil"/>
              <w:bottom w:val="single" w:sz="8" w:space="0" w:color="540EAF" w:themeColor="accent5" w:themeShade="BF"/>
            </w:tcBorders>
            <w:hideMark/>
          </w:tcPr>
          <w:p w14:paraId="0A52A47F" w14:textId="77777777" w:rsidR="00143EE0" w:rsidRPr="007B25C5" w:rsidRDefault="00143EE0" w:rsidP="007B25C5">
            <w:r w:rsidRPr="007B25C5">
              <w:t>Priority</w:t>
            </w:r>
          </w:p>
        </w:tc>
        <w:tc>
          <w:tcPr>
            <w:tcW w:w="1167" w:type="pct"/>
            <w:tcBorders>
              <w:top w:val="nil"/>
              <w:bottom w:val="single" w:sz="8" w:space="0" w:color="540EAF" w:themeColor="accent5" w:themeShade="BF"/>
            </w:tcBorders>
            <w:hideMark/>
          </w:tcPr>
          <w:p w14:paraId="1F7D5FBA" w14:textId="77777777" w:rsidR="00143EE0" w:rsidRPr="007B25C5" w:rsidRDefault="00143EE0" w:rsidP="007B25C5">
            <w:pPr>
              <w:cnfStyle w:val="100000000000" w:firstRow="1" w:lastRow="0" w:firstColumn="0" w:lastColumn="0" w:oddVBand="0" w:evenVBand="0" w:oddHBand="0" w:evenHBand="0" w:firstRowFirstColumn="0" w:firstRowLastColumn="0" w:lastRowFirstColumn="0" w:lastRowLastColumn="0"/>
            </w:pPr>
            <w:r w:rsidRPr="007B25C5">
              <w:t>Recommendation</w:t>
            </w:r>
          </w:p>
        </w:tc>
        <w:tc>
          <w:tcPr>
            <w:tcW w:w="2464" w:type="pct"/>
            <w:tcBorders>
              <w:top w:val="nil"/>
              <w:bottom w:val="single" w:sz="8" w:space="0" w:color="540EAF" w:themeColor="accent5" w:themeShade="BF"/>
            </w:tcBorders>
            <w:hideMark/>
          </w:tcPr>
          <w:p w14:paraId="27CE1B68" w14:textId="310C071B" w:rsidR="00143EE0" w:rsidRPr="007B25C5" w:rsidRDefault="00654C4F" w:rsidP="007B25C5">
            <w:pPr>
              <w:cnfStyle w:val="100000000000" w:firstRow="1" w:lastRow="0" w:firstColumn="0" w:lastColumn="0" w:oddVBand="0" w:evenVBand="0" w:oddHBand="0" w:evenHBand="0" w:firstRowFirstColumn="0" w:firstRowLastColumn="0" w:lastRowFirstColumn="0" w:lastRowLastColumn="0"/>
            </w:pPr>
            <w:r w:rsidRPr="007B25C5">
              <w:t>Initial Implementation Steps</w:t>
            </w:r>
          </w:p>
        </w:tc>
        <w:tc>
          <w:tcPr>
            <w:tcW w:w="724" w:type="pct"/>
            <w:tcBorders>
              <w:top w:val="nil"/>
              <w:bottom w:val="single" w:sz="8" w:space="0" w:color="540EAF" w:themeColor="accent5" w:themeShade="BF"/>
            </w:tcBorders>
            <w:hideMark/>
          </w:tcPr>
          <w:p w14:paraId="38894B7B" w14:textId="4828C858" w:rsidR="00143EE0" w:rsidRPr="007B25C5" w:rsidRDefault="00143EE0" w:rsidP="007B25C5">
            <w:pPr>
              <w:cnfStyle w:val="100000000000" w:firstRow="1" w:lastRow="0" w:firstColumn="0" w:lastColumn="0" w:oddVBand="0" w:evenVBand="0" w:oddHBand="0" w:evenHBand="0" w:firstRowFirstColumn="0" w:firstRowLastColumn="0" w:lastRowFirstColumn="0" w:lastRowLastColumn="0"/>
            </w:pPr>
            <w:r w:rsidRPr="007B25C5">
              <w:t>Tim</w:t>
            </w:r>
            <w:r w:rsidR="004A2199" w:rsidRPr="007B25C5">
              <w:t>eframe</w:t>
            </w:r>
          </w:p>
        </w:tc>
      </w:tr>
      <w:tr w:rsidR="00293EBD" w:rsidRPr="009D1801" w14:paraId="113866D0"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tcBorders>
              <w:top w:val="single" w:sz="8" w:space="0" w:color="540EAF" w:themeColor="accent5" w:themeShade="BF"/>
            </w:tcBorders>
            <w:hideMark/>
          </w:tcPr>
          <w:p w14:paraId="500D6DFD" w14:textId="410E9157" w:rsidR="00143EE0" w:rsidRPr="009D1801" w:rsidRDefault="006F29C7" w:rsidP="00DC2C6A">
            <w:pPr>
              <w:pStyle w:val="TableText"/>
            </w:pPr>
            <w:r>
              <w:t xml:space="preserve">Priority </w:t>
            </w:r>
            <w:r w:rsidR="00143EE0" w:rsidRPr="009D1801">
              <w:t>1</w:t>
            </w:r>
          </w:p>
        </w:tc>
        <w:tc>
          <w:tcPr>
            <w:tcW w:w="1167" w:type="pct"/>
            <w:tcBorders>
              <w:top w:val="single" w:sz="8" w:space="0" w:color="540EAF" w:themeColor="accent5" w:themeShade="BF"/>
            </w:tcBorders>
            <w:hideMark/>
          </w:tcPr>
          <w:p w14:paraId="2E416584" w14:textId="6E1151F6" w:rsidR="00143EE0" w:rsidRPr="009D1801" w:rsidRDefault="00143EE0" w:rsidP="00DC2C6A">
            <w:pPr>
              <w:pStyle w:val="TableText"/>
              <w:cnfStyle w:val="000000100000" w:firstRow="0" w:lastRow="0" w:firstColumn="0" w:lastColumn="0" w:oddVBand="0" w:evenVBand="0" w:oddHBand="1" w:evenHBand="0" w:firstRowFirstColumn="0" w:firstRowLastColumn="0" w:lastRowFirstColumn="0" w:lastRowLastColumn="0"/>
            </w:pPr>
            <w:r w:rsidRPr="009D1801">
              <w:t>R4</w:t>
            </w:r>
            <w:r w:rsidR="005D18F1">
              <w:t>:</w:t>
            </w:r>
            <w:r w:rsidRPr="009D1801">
              <w:t xml:space="preserve"> Update the M&amp;E Framework </w:t>
            </w:r>
          </w:p>
        </w:tc>
        <w:tc>
          <w:tcPr>
            <w:tcW w:w="2464" w:type="pct"/>
            <w:tcBorders>
              <w:top w:val="single" w:sz="8" w:space="0" w:color="540EAF" w:themeColor="accent5" w:themeShade="BF"/>
            </w:tcBorders>
            <w:hideMark/>
          </w:tcPr>
          <w:p w14:paraId="6F0CC2E8" w14:textId="77777777" w:rsidR="003F3F4D" w:rsidRDefault="007355D9" w:rsidP="00F95B9C">
            <w:pPr>
              <w:pStyle w:val="TableBullet1stlevel"/>
              <w:cnfStyle w:val="000000100000" w:firstRow="0" w:lastRow="0" w:firstColumn="0" w:lastColumn="0" w:oddVBand="0" w:evenVBand="0" w:oddHBand="1" w:evenHBand="0" w:firstRowFirstColumn="0" w:firstRowLastColumn="0" w:lastRowFirstColumn="0" w:lastRowLastColumn="0"/>
            </w:pPr>
            <w:r>
              <w:t>Determine m</w:t>
            </w:r>
            <w:r w:rsidRPr="007355D9">
              <w:t>inimal viable indicator</w:t>
            </w:r>
            <w:r w:rsidR="003F3F4D">
              <w:t>s</w:t>
            </w:r>
          </w:p>
          <w:p w14:paraId="1724DA92" w14:textId="77777777" w:rsidR="00C35555" w:rsidRDefault="003F3F4D" w:rsidP="00F95B9C">
            <w:pPr>
              <w:pStyle w:val="TableBullet1stlevel"/>
              <w:cnfStyle w:val="000000100000" w:firstRow="0" w:lastRow="0" w:firstColumn="0" w:lastColumn="0" w:oddVBand="0" w:evenVBand="0" w:oddHBand="1" w:evenHBand="0" w:firstRowFirstColumn="0" w:firstRowLastColumn="0" w:lastRowFirstColumn="0" w:lastRowLastColumn="0"/>
            </w:pPr>
            <w:r>
              <w:t xml:space="preserve">Develop </w:t>
            </w:r>
            <w:r w:rsidR="007355D9" w:rsidRPr="007355D9">
              <w:t xml:space="preserve">partner </w:t>
            </w:r>
            <w:r>
              <w:t xml:space="preserve">reporting </w:t>
            </w:r>
            <w:r w:rsidR="007355D9" w:rsidRPr="007355D9">
              <w:t xml:space="preserve">templates </w:t>
            </w:r>
          </w:p>
          <w:p w14:paraId="1DE0544B" w14:textId="72DFFBB0" w:rsidR="00143EE0" w:rsidRPr="009D1801" w:rsidRDefault="00C35555" w:rsidP="00F95B9C">
            <w:pPr>
              <w:pStyle w:val="TableBullet1stlevel"/>
              <w:cnfStyle w:val="000000100000" w:firstRow="0" w:lastRow="0" w:firstColumn="0" w:lastColumn="0" w:oddVBand="0" w:evenVBand="0" w:oddHBand="1" w:evenHBand="0" w:firstRowFirstColumn="0" w:firstRowLastColumn="0" w:lastRowFirstColumn="0" w:lastRowLastColumn="0"/>
            </w:pPr>
            <w:r>
              <w:t xml:space="preserve">Establish </w:t>
            </w:r>
            <w:r w:rsidR="007355D9" w:rsidRPr="007355D9">
              <w:t>quarterly learning loop</w:t>
            </w:r>
          </w:p>
        </w:tc>
        <w:tc>
          <w:tcPr>
            <w:tcW w:w="724" w:type="pct"/>
            <w:tcBorders>
              <w:top w:val="single" w:sz="8" w:space="0" w:color="540EAF" w:themeColor="accent5" w:themeShade="BF"/>
            </w:tcBorders>
            <w:hideMark/>
          </w:tcPr>
          <w:p w14:paraId="420AB313" w14:textId="1082328F" w:rsidR="00143EE0" w:rsidRPr="009D1801" w:rsidRDefault="00FD797A" w:rsidP="00DC2C6A">
            <w:pPr>
              <w:pStyle w:val="TableText"/>
              <w:cnfStyle w:val="000000100000" w:firstRow="0" w:lastRow="0" w:firstColumn="0" w:lastColumn="0" w:oddVBand="0" w:evenVBand="0" w:oddHBand="1" w:evenHBand="0" w:firstRowFirstColumn="0" w:firstRowLastColumn="0" w:lastRowFirstColumn="0" w:lastRowLastColumn="0"/>
            </w:pPr>
            <w:r w:rsidRPr="005D18F1">
              <w:t>Short-term</w:t>
            </w:r>
          </w:p>
        </w:tc>
      </w:tr>
      <w:tr w:rsidR="00293EBD" w:rsidRPr="009D1801" w14:paraId="2654860A"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3BCCE911" w14:textId="397B465E" w:rsidR="00143EE0" w:rsidRPr="009D1801" w:rsidRDefault="006F29C7" w:rsidP="00DC2C6A">
            <w:pPr>
              <w:pStyle w:val="TableText"/>
            </w:pPr>
            <w:r>
              <w:t xml:space="preserve">Priority </w:t>
            </w:r>
            <w:r w:rsidR="00143EE0" w:rsidRPr="009D1801">
              <w:t>2</w:t>
            </w:r>
          </w:p>
        </w:tc>
        <w:tc>
          <w:tcPr>
            <w:tcW w:w="1167" w:type="pct"/>
            <w:hideMark/>
          </w:tcPr>
          <w:p w14:paraId="3F161129" w14:textId="246CED27" w:rsidR="00143EE0" w:rsidRPr="009D1801" w:rsidRDefault="00143EE0" w:rsidP="00DC2C6A">
            <w:pPr>
              <w:pStyle w:val="TableText"/>
              <w:cnfStyle w:val="000000000000" w:firstRow="0" w:lastRow="0" w:firstColumn="0" w:lastColumn="0" w:oddVBand="0" w:evenVBand="0" w:oddHBand="0" w:evenHBand="0" w:firstRowFirstColumn="0" w:firstRowLastColumn="0" w:lastRowFirstColumn="0" w:lastRowLastColumn="0"/>
            </w:pPr>
            <w:r w:rsidRPr="009D1801">
              <w:t>R1</w:t>
            </w:r>
            <w:r w:rsidR="005D18F1">
              <w:t>:</w:t>
            </w:r>
            <w:r w:rsidRPr="009D1801">
              <w:t xml:space="preserve"> Expand IDC + CSO engagement</w:t>
            </w:r>
          </w:p>
        </w:tc>
        <w:tc>
          <w:tcPr>
            <w:tcW w:w="2464" w:type="pct"/>
            <w:hideMark/>
          </w:tcPr>
          <w:p w14:paraId="4C9D1F85" w14:textId="3D83C695" w:rsidR="00143EE0" w:rsidRPr="009D1801" w:rsidRDefault="000E73AD" w:rsidP="00F95B9C">
            <w:pPr>
              <w:pStyle w:val="TableBullet1stlevel"/>
              <w:cnfStyle w:val="000000000000" w:firstRow="0" w:lastRow="0" w:firstColumn="0" w:lastColumn="0" w:oddVBand="0" w:evenVBand="0" w:oddHBand="0" w:evenHBand="0" w:firstRowFirstColumn="0" w:firstRowLastColumn="0" w:lastRowFirstColumn="0" w:lastRowLastColumn="0"/>
            </w:pPr>
            <w:r w:rsidRPr="000E73AD">
              <w:t xml:space="preserve">Add targeted agencies (eSafety, DCCEEW) </w:t>
            </w:r>
            <w:r>
              <w:t>E</w:t>
            </w:r>
            <w:r w:rsidRPr="000E73AD">
              <w:t>stablish CSO advisory</w:t>
            </w:r>
          </w:p>
        </w:tc>
        <w:tc>
          <w:tcPr>
            <w:tcW w:w="724" w:type="pct"/>
            <w:hideMark/>
          </w:tcPr>
          <w:p w14:paraId="1CF4434F" w14:textId="43BAD5F3" w:rsidR="00143EE0" w:rsidRPr="009D1801" w:rsidRDefault="003F3FC8" w:rsidP="00DC2C6A">
            <w:pPr>
              <w:pStyle w:val="TableText"/>
              <w:cnfStyle w:val="000000000000" w:firstRow="0" w:lastRow="0" w:firstColumn="0" w:lastColumn="0" w:oddVBand="0" w:evenVBand="0" w:oddHBand="0" w:evenHBand="0" w:firstRowFirstColumn="0" w:firstRowLastColumn="0" w:lastRowFirstColumn="0" w:lastRowLastColumn="0"/>
            </w:pPr>
            <w:r>
              <w:t>Short-term</w:t>
            </w:r>
          </w:p>
        </w:tc>
      </w:tr>
      <w:tr w:rsidR="00293EBD" w:rsidRPr="009D1801" w14:paraId="1959D2CF"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hideMark/>
          </w:tcPr>
          <w:p w14:paraId="13A6E84E" w14:textId="701743E8" w:rsidR="00143EE0" w:rsidRPr="009D1801" w:rsidRDefault="00D13604" w:rsidP="00DC2C6A">
            <w:pPr>
              <w:pStyle w:val="TableText"/>
            </w:pPr>
            <w:r>
              <w:t xml:space="preserve">Priority </w:t>
            </w:r>
            <w:r w:rsidR="00143EE0" w:rsidRPr="009D1801">
              <w:t>3</w:t>
            </w:r>
          </w:p>
        </w:tc>
        <w:tc>
          <w:tcPr>
            <w:tcW w:w="1167" w:type="pct"/>
          </w:tcPr>
          <w:p w14:paraId="052AB46F" w14:textId="403DFCF8" w:rsidR="00143EE0" w:rsidRPr="009D1801" w:rsidRDefault="00301A88" w:rsidP="00DC2C6A">
            <w:pPr>
              <w:pStyle w:val="TableText"/>
              <w:cnfStyle w:val="000000100000" w:firstRow="0" w:lastRow="0" w:firstColumn="0" w:lastColumn="0" w:oddVBand="0" w:evenVBand="0" w:oddHBand="1" w:evenHBand="0" w:firstRowFirstColumn="0" w:firstRowLastColumn="0" w:lastRowFirstColumn="0" w:lastRowLastColumn="0"/>
            </w:pPr>
            <w:r w:rsidRPr="009D1801">
              <w:t>R2</w:t>
            </w:r>
            <w:r w:rsidR="001F485B">
              <w:t>:</w:t>
            </w:r>
            <w:r w:rsidRPr="009D1801">
              <w:t xml:space="preserve"> Align WPS to a security function </w:t>
            </w:r>
          </w:p>
        </w:tc>
        <w:tc>
          <w:tcPr>
            <w:tcW w:w="2464" w:type="pct"/>
          </w:tcPr>
          <w:p w14:paraId="5258AD5C" w14:textId="438C40A0" w:rsidR="00143EE0" w:rsidRPr="009D1801" w:rsidRDefault="008C3556" w:rsidP="00F95B9C">
            <w:pPr>
              <w:pStyle w:val="TableBullet1stlevel"/>
              <w:cnfStyle w:val="000000100000" w:firstRow="0" w:lastRow="0" w:firstColumn="0" w:lastColumn="0" w:oddVBand="0" w:evenVBand="0" w:oddHBand="1" w:evenHBand="0" w:firstRowFirstColumn="0" w:firstRowLastColumn="0" w:lastRowFirstColumn="0" w:lastRowLastColumn="0"/>
            </w:pPr>
            <w:r w:rsidRPr="008C3556">
              <w:t>Align the WPS function to a security</w:t>
            </w:r>
            <w:r w:rsidRPr="008C3556">
              <w:noBreakHyphen/>
              <w:t>focused area within DFAT</w:t>
            </w:r>
          </w:p>
        </w:tc>
        <w:tc>
          <w:tcPr>
            <w:tcW w:w="724" w:type="pct"/>
          </w:tcPr>
          <w:p w14:paraId="1DF51DFC" w14:textId="64A6AC54" w:rsidR="00143EE0" w:rsidRPr="009D1801" w:rsidRDefault="003F3FC8" w:rsidP="00DC2C6A">
            <w:pPr>
              <w:pStyle w:val="TableText"/>
              <w:cnfStyle w:val="000000100000" w:firstRow="0" w:lastRow="0" w:firstColumn="0" w:lastColumn="0" w:oddVBand="0" w:evenVBand="0" w:oddHBand="1" w:evenHBand="0" w:firstRowFirstColumn="0" w:firstRowLastColumn="0" w:lastRowFirstColumn="0" w:lastRowLastColumn="0"/>
            </w:pPr>
            <w:r>
              <w:t>Short</w:t>
            </w:r>
            <w:r w:rsidR="00536D56">
              <w:t xml:space="preserve"> to medium-term</w:t>
            </w:r>
          </w:p>
        </w:tc>
      </w:tr>
      <w:tr w:rsidR="00293EBD" w:rsidRPr="009D1801" w14:paraId="45792EE9" w14:textId="77777777" w:rsidTr="007B25C5">
        <w:tc>
          <w:tcPr>
            <w:cnfStyle w:val="001000000000" w:firstRow="0" w:lastRow="0" w:firstColumn="1" w:lastColumn="0" w:oddVBand="0" w:evenVBand="0" w:oddHBand="0" w:evenHBand="0" w:firstRowFirstColumn="0" w:firstRowLastColumn="0" w:lastRowFirstColumn="0" w:lastRowLastColumn="0"/>
            <w:tcW w:w="646" w:type="pct"/>
          </w:tcPr>
          <w:p w14:paraId="01CF0EF7" w14:textId="720F448F" w:rsidR="00301A88" w:rsidRPr="009D1801" w:rsidRDefault="009A2E11" w:rsidP="00DC2C6A">
            <w:pPr>
              <w:pStyle w:val="TableText"/>
            </w:pPr>
            <w:r>
              <w:t xml:space="preserve">Priority </w:t>
            </w:r>
            <w:r w:rsidR="00301A88" w:rsidRPr="009D1801">
              <w:t>4</w:t>
            </w:r>
          </w:p>
        </w:tc>
        <w:tc>
          <w:tcPr>
            <w:tcW w:w="1167" w:type="pct"/>
          </w:tcPr>
          <w:p w14:paraId="7F7DC1BD" w14:textId="09A171C2" w:rsidR="00301A88" w:rsidRPr="009D1801" w:rsidRDefault="00301A88" w:rsidP="00DC2C6A">
            <w:pPr>
              <w:pStyle w:val="TableText"/>
              <w:cnfStyle w:val="000000000000" w:firstRow="0" w:lastRow="0" w:firstColumn="0" w:lastColumn="0" w:oddVBand="0" w:evenVBand="0" w:oddHBand="0" w:evenHBand="0" w:firstRowFirstColumn="0" w:firstRowLastColumn="0" w:lastRowFirstColumn="0" w:lastRowLastColumn="0"/>
            </w:pPr>
            <w:r w:rsidRPr="009D1801">
              <w:t>R6</w:t>
            </w:r>
            <w:r w:rsidR="005D614B">
              <w:t>:</w:t>
            </w:r>
            <w:r w:rsidRPr="009D1801">
              <w:t xml:space="preserve"> Strengthen CRSV response </w:t>
            </w:r>
          </w:p>
        </w:tc>
        <w:tc>
          <w:tcPr>
            <w:tcW w:w="2464" w:type="pct"/>
          </w:tcPr>
          <w:p w14:paraId="596C7CB2" w14:textId="6B3C4A5E" w:rsidR="002869FB" w:rsidRDefault="002869FB" w:rsidP="00F95B9C">
            <w:pPr>
              <w:pStyle w:val="TableBullet1stlevel"/>
              <w:cnfStyle w:val="000000000000" w:firstRow="0" w:lastRow="0" w:firstColumn="0" w:lastColumn="0" w:oddVBand="0" w:evenVBand="0" w:oddHBand="0" w:evenHBand="0" w:firstRowFirstColumn="0" w:firstRowLastColumn="0" w:lastRowFirstColumn="0" w:lastRowLastColumn="0"/>
            </w:pPr>
            <w:r w:rsidRPr="002869FB">
              <w:t>Survivor</w:t>
            </w:r>
            <w:r w:rsidRPr="002869FB">
              <w:noBreakHyphen/>
              <w:t>centred WoG S</w:t>
            </w:r>
            <w:r>
              <w:t>tandard operating procedures</w:t>
            </w:r>
          </w:p>
          <w:p w14:paraId="25F9168F" w14:textId="0E3E3CF6" w:rsidR="002869FB" w:rsidRDefault="002869FB" w:rsidP="00F95B9C">
            <w:pPr>
              <w:pStyle w:val="TableBullet1stlevel"/>
              <w:cnfStyle w:val="000000000000" w:firstRow="0" w:lastRow="0" w:firstColumn="0" w:lastColumn="0" w:oddVBand="0" w:evenVBand="0" w:oddHBand="0" w:evenHBand="0" w:firstRowFirstColumn="0" w:firstRowLastColumn="0" w:lastRowFirstColumn="0" w:lastRowLastColumn="0"/>
            </w:pPr>
            <w:r>
              <w:t>Establish d</w:t>
            </w:r>
            <w:r w:rsidRPr="002869FB">
              <w:t xml:space="preserve">omestic linkages </w:t>
            </w:r>
          </w:p>
          <w:p w14:paraId="167E6FB8" w14:textId="0A4BE467" w:rsidR="00301A88" w:rsidRPr="009D1801" w:rsidRDefault="002869FB" w:rsidP="00F95B9C">
            <w:pPr>
              <w:pStyle w:val="TableBullet1stlevel"/>
              <w:cnfStyle w:val="000000000000" w:firstRow="0" w:lastRow="0" w:firstColumn="0" w:lastColumn="0" w:oddVBand="0" w:evenVBand="0" w:oddHBand="0" w:evenHBand="0" w:firstRowFirstColumn="0" w:firstRowLastColumn="0" w:lastRowFirstColumn="0" w:lastRowLastColumn="0"/>
            </w:pPr>
            <w:r>
              <w:t xml:space="preserve">Develop </w:t>
            </w:r>
            <w:r w:rsidRPr="002869FB">
              <w:t>joint risk analysis guidance</w:t>
            </w:r>
          </w:p>
        </w:tc>
        <w:tc>
          <w:tcPr>
            <w:tcW w:w="724" w:type="pct"/>
          </w:tcPr>
          <w:p w14:paraId="0B909A39" w14:textId="1235EEEC" w:rsidR="00301A88" w:rsidRPr="009D1801" w:rsidRDefault="000E6DB3" w:rsidP="00DC2C6A">
            <w:pPr>
              <w:pStyle w:val="TableText"/>
              <w:cnfStyle w:val="000000000000" w:firstRow="0" w:lastRow="0" w:firstColumn="0" w:lastColumn="0" w:oddVBand="0" w:evenVBand="0" w:oddHBand="0" w:evenHBand="0" w:firstRowFirstColumn="0" w:firstRowLastColumn="0" w:lastRowFirstColumn="0" w:lastRowLastColumn="0"/>
            </w:pPr>
            <w:r>
              <w:t>Medium to l</w:t>
            </w:r>
            <w:r w:rsidR="00E1000D">
              <w:t>ong-term</w:t>
            </w:r>
          </w:p>
        </w:tc>
      </w:tr>
      <w:tr w:rsidR="00293EBD" w:rsidRPr="009D1801" w14:paraId="6AE369FF"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tcPr>
          <w:p w14:paraId="03C5B576" w14:textId="6C131605" w:rsidR="00301A88" w:rsidRPr="009D1801" w:rsidRDefault="009A2E11" w:rsidP="00DC2C6A">
            <w:pPr>
              <w:pStyle w:val="TableText"/>
            </w:pPr>
            <w:r>
              <w:t xml:space="preserve">Priority </w:t>
            </w:r>
            <w:r w:rsidR="00301A88" w:rsidRPr="009D1801">
              <w:t>5</w:t>
            </w:r>
          </w:p>
        </w:tc>
        <w:tc>
          <w:tcPr>
            <w:tcW w:w="1167" w:type="pct"/>
          </w:tcPr>
          <w:p w14:paraId="52CF2E48" w14:textId="64087221" w:rsidR="00301A88" w:rsidRPr="009D1801" w:rsidRDefault="00301A88" w:rsidP="00DC2C6A">
            <w:pPr>
              <w:pStyle w:val="TableText"/>
              <w:cnfStyle w:val="000000100000" w:firstRow="0" w:lastRow="0" w:firstColumn="0" w:lastColumn="0" w:oddVBand="0" w:evenVBand="0" w:oddHBand="1" w:evenHBand="0" w:firstRowFirstColumn="0" w:firstRowLastColumn="0" w:lastRowFirstColumn="0" w:lastRowLastColumn="0"/>
            </w:pPr>
            <w:r w:rsidRPr="009D1801">
              <w:t>R10</w:t>
            </w:r>
            <w:r w:rsidR="00B300D0" w:rsidRPr="00C24D1D">
              <w:t>:</w:t>
            </w:r>
            <w:r w:rsidRPr="009D1801">
              <w:t xml:space="preserve"> Two</w:t>
            </w:r>
            <w:r w:rsidRPr="009D1801">
              <w:noBreakHyphen/>
              <w:t>way knowledge sharing (domestic</w:t>
            </w:r>
            <w:r w:rsidR="00B300D0" w:rsidRPr="00C24D1D">
              <w:t xml:space="preserve"> and </w:t>
            </w:r>
            <w:r w:rsidRPr="009D1801">
              <w:t xml:space="preserve">international) </w:t>
            </w:r>
          </w:p>
        </w:tc>
        <w:tc>
          <w:tcPr>
            <w:tcW w:w="2464" w:type="pct"/>
          </w:tcPr>
          <w:p w14:paraId="55335C68" w14:textId="77777777" w:rsidR="00680890" w:rsidRDefault="00301A88" w:rsidP="00F95B9C">
            <w:pPr>
              <w:pStyle w:val="TableBullet1stlevel"/>
              <w:cnfStyle w:val="000000100000" w:firstRow="0" w:lastRow="0" w:firstColumn="0" w:lastColumn="0" w:oddVBand="0" w:evenVBand="0" w:oddHBand="1" w:evenHBand="0" w:firstRowFirstColumn="0" w:firstRowLastColumn="0" w:lastRowFirstColumn="0" w:lastRowLastColumn="0"/>
            </w:pPr>
            <w:r w:rsidRPr="009D1801">
              <w:t xml:space="preserve">Bimonthly virtual seminar </w:t>
            </w:r>
          </w:p>
          <w:p w14:paraId="712F65C2" w14:textId="6991A1DF" w:rsidR="00301A88" w:rsidRPr="009D1801" w:rsidRDefault="00301A88" w:rsidP="00F95B9C">
            <w:pPr>
              <w:pStyle w:val="TableBullet1stlevel"/>
              <w:cnfStyle w:val="000000100000" w:firstRow="0" w:lastRow="0" w:firstColumn="0" w:lastColumn="0" w:oddVBand="0" w:evenVBand="0" w:oddHBand="1" w:evenHBand="0" w:firstRowFirstColumn="0" w:firstRowLastColumn="0" w:lastRowFirstColumn="0" w:lastRowLastColumn="0"/>
            </w:pPr>
            <w:r w:rsidRPr="009D1801">
              <w:t>First Nations leadership pathways</w:t>
            </w:r>
          </w:p>
        </w:tc>
        <w:tc>
          <w:tcPr>
            <w:tcW w:w="724" w:type="pct"/>
          </w:tcPr>
          <w:p w14:paraId="425FA901" w14:textId="5DAB86AC" w:rsidR="00301A88" w:rsidRPr="009D1801" w:rsidRDefault="00EA031E" w:rsidP="00DC2C6A">
            <w:pPr>
              <w:pStyle w:val="TableText"/>
              <w:cnfStyle w:val="000000100000" w:firstRow="0" w:lastRow="0" w:firstColumn="0" w:lastColumn="0" w:oddVBand="0" w:evenVBand="0" w:oddHBand="1" w:evenHBand="0" w:firstRowFirstColumn="0" w:firstRowLastColumn="0" w:lastRowFirstColumn="0" w:lastRowLastColumn="0"/>
            </w:pPr>
            <w:r w:rsidRPr="00C24D1D">
              <w:t>Short-term</w:t>
            </w:r>
          </w:p>
        </w:tc>
      </w:tr>
      <w:tr w:rsidR="00293EBD" w:rsidRPr="009D1801" w14:paraId="1758DA51"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25F92153" w14:textId="18AE3B20" w:rsidR="00143EE0" w:rsidRPr="009D1801" w:rsidRDefault="009A2E11" w:rsidP="00DC2C6A">
            <w:pPr>
              <w:pStyle w:val="TableText"/>
            </w:pPr>
            <w:r>
              <w:t xml:space="preserve">Priority </w:t>
            </w:r>
            <w:r w:rsidR="00301A88" w:rsidRPr="009D1801">
              <w:t>6</w:t>
            </w:r>
          </w:p>
        </w:tc>
        <w:tc>
          <w:tcPr>
            <w:tcW w:w="1167" w:type="pct"/>
          </w:tcPr>
          <w:p w14:paraId="618023A0" w14:textId="7B9B15D4" w:rsidR="00143EE0" w:rsidRPr="009D1801" w:rsidRDefault="00B25C2B" w:rsidP="00DC2C6A">
            <w:pPr>
              <w:pStyle w:val="TableText"/>
              <w:cnfStyle w:val="000000000000" w:firstRow="0" w:lastRow="0" w:firstColumn="0" w:lastColumn="0" w:oddVBand="0" w:evenVBand="0" w:oddHBand="0" w:evenHBand="0" w:firstRowFirstColumn="0" w:firstRowLastColumn="0" w:lastRowFirstColumn="0" w:lastRowLastColumn="0"/>
            </w:pPr>
            <w:r w:rsidRPr="009D1801">
              <w:t>R12</w:t>
            </w:r>
            <w:r w:rsidR="00926CFF" w:rsidRPr="00C24D1D">
              <w:t>:</w:t>
            </w:r>
            <w:r w:rsidRPr="009D1801">
              <w:t xml:space="preserve"> Digital safety &amp; counter</w:t>
            </w:r>
            <w:r w:rsidRPr="009D1801">
              <w:noBreakHyphen/>
              <w:t xml:space="preserve">disinformation </w:t>
            </w:r>
          </w:p>
        </w:tc>
        <w:tc>
          <w:tcPr>
            <w:tcW w:w="2464" w:type="pct"/>
          </w:tcPr>
          <w:p w14:paraId="33A167A4" w14:textId="77777777" w:rsidR="00583220" w:rsidRDefault="00583220" w:rsidP="00F95B9C">
            <w:pPr>
              <w:pStyle w:val="TableBullet1stlevel"/>
              <w:cnfStyle w:val="000000000000" w:firstRow="0" w:lastRow="0" w:firstColumn="0" w:lastColumn="0" w:oddVBand="0" w:evenVBand="0" w:oddHBand="0" w:evenHBand="0" w:firstRowFirstColumn="0" w:firstRowLastColumn="0" w:lastRowFirstColumn="0" w:lastRowLastColumn="0"/>
            </w:pPr>
            <w:r>
              <w:t>Develop p</w:t>
            </w:r>
            <w:r w:rsidRPr="00583220">
              <w:t>ractitioners’</w:t>
            </w:r>
            <w:r w:rsidR="00B25C2B" w:rsidRPr="009D1801">
              <w:t xml:space="preserve"> playbook</w:t>
            </w:r>
          </w:p>
          <w:p w14:paraId="7B17D00E" w14:textId="754FF60B" w:rsidR="00583220" w:rsidRDefault="00583220" w:rsidP="00F95B9C">
            <w:pPr>
              <w:pStyle w:val="TableBullet1stlevel"/>
              <w:cnfStyle w:val="000000000000" w:firstRow="0" w:lastRow="0" w:firstColumn="0" w:lastColumn="0" w:oddVBand="0" w:evenVBand="0" w:oddHBand="0" w:evenHBand="0" w:firstRowFirstColumn="0" w:firstRowLastColumn="0" w:lastRowFirstColumn="0" w:lastRowLastColumn="0"/>
            </w:pPr>
            <w:r>
              <w:t>Facilitate one to two</w:t>
            </w:r>
            <w:r w:rsidR="00B25C2B" w:rsidRPr="009D1801">
              <w:t xml:space="preserve"> workshops </w:t>
            </w:r>
            <w:r>
              <w:t>on digital safety and di</w:t>
            </w:r>
            <w:r w:rsidR="00DB1763">
              <w:t>sinformation</w:t>
            </w:r>
          </w:p>
          <w:p w14:paraId="0BE38CFE" w14:textId="60FA4016" w:rsidR="00143EE0" w:rsidRPr="009D1801" w:rsidRDefault="00583220" w:rsidP="00F95B9C">
            <w:pPr>
              <w:pStyle w:val="TableBullet1stlevel"/>
              <w:cnfStyle w:val="000000000000" w:firstRow="0" w:lastRow="0" w:firstColumn="0" w:lastColumn="0" w:oddVBand="0" w:evenVBand="0" w:oddHBand="0" w:evenHBand="0" w:firstRowFirstColumn="0" w:firstRowLastColumn="0" w:lastRowFirstColumn="0" w:lastRowLastColumn="0"/>
            </w:pPr>
            <w:r>
              <w:t>I</w:t>
            </w:r>
            <w:r w:rsidRPr="00583220">
              <w:t>ntegrate</w:t>
            </w:r>
            <w:r w:rsidR="00B25C2B" w:rsidRPr="009D1801">
              <w:t xml:space="preserve"> digital indicators into R8</w:t>
            </w:r>
          </w:p>
        </w:tc>
        <w:tc>
          <w:tcPr>
            <w:tcW w:w="724" w:type="pct"/>
          </w:tcPr>
          <w:p w14:paraId="4BCB2EDB" w14:textId="5703FB18" w:rsidR="00143EE0" w:rsidRPr="009D1801" w:rsidRDefault="00620ED0" w:rsidP="00DC2C6A">
            <w:pPr>
              <w:pStyle w:val="TableText"/>
              <w:cnfStyle w:val="000000000000" w:firstRow="0" w:lastRow="0" w:firstColumn="0" w:lastColumn="0" w:oddVBand="0" w:evenVBand="0" w:oddHBand="0" w:evenHBand="0" w:firstRowFirstColumn="0" w:firstRowLastColumn="0" w:lastRowFirstColumn="0" w:lastRowLastColumn="0"/>
            </w:pPr>
            <w:r w:rsidRPr="00C24D1D">
              <w:t>Short to m</w:t>
            </w:r>
            <w:r w:rsidR="00C74A92" w:rsidRPr="00C24D1D">
              <w:t>edium-term</w:t>
            </w:r>
          </w:p>
        </w:tc>
      </w:tr>
      <w:tr w:rsidR="0011569A" w:rsidRPr="009D1801" w14:paraId="314AC49A"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tcPr>
          <w:p w14:paraId="6F9443C2" w14:textId="393665D2" w:rsidR="000A3A42" w:rsidRDefault="000A3A42" w:rsidP="000A3A42">
            <w:pPr>
              <w:pStyle w:val="TableText"/>
            </w:pPr>
            <w:r>
              <w:t>Priority 7</w:t>
            </w:r>
          </w:p>
        </w:tc>
        <w:tc>
          <w:tcPr>
            <w:tcW w:w="1167" w:type="pct"/>
          </w:tcPr>
          <w:p w14:paraId="25F8518E" w14:textId="76ED0DD7"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rsidRPr="00C24D1D">
              <w:t>R7: Feasibility of a unified risk dashboard  </w:t>
            </w:r>
          </w:p>
        </w:tc>
        <w:tc>
          <w:tcPr>
            <w:tcW w:w="2464" w:type="pct"/>
          </w:tcPr>
          <w:p w14:paraId="425D739A" w14:textId="7F38E82A" w:rsidR="000A3A42"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t>12</w:t>
            </w:r>
            <w:r>
              <w:noBreakHyphen/>
              <w:t>week scoped feasibility study and federated prototype using existing data</w:t>
            </w:r>
          </w:p>
        </w:tc>
        <w:tc>
          <w:tcPr>
            <w:tcW w:w="724" w:type="pct"/>
          </w:tcPr>
          <w:p w14:paraId="1628AB92" w14:textId="452F8539" w:rsidR="000A3A42" w:rsidRPr="00C24D1D" w:rsidRDefault="000A3A42" w:rsidP="000A3A42">
            <w:pPr>
              <w:pStyle w:val="TableText"/>
              <w:cnfStyle w:val="000000100000" w:firstRow="0" w:lastRow="0" w:firstColumn="0" w:lastColumn="0" w:oddVBand="0" w:evenVBand="0" w:oddHBand="1" w:evenHBand="0" w:firstRowFirstColumn="0" w:firstRowLastColumn="0" w:lastRowFirstColumn="0" w:lastRowLastColumn="0"/>
            </w:pPr>
            <w:r w:rsidRPr="00C24D1D">
              <w:t>Medium-term</w:t>
            </w:r>
          </w:p>
        </w:tc>
      </w:tr>
      <w:tr w:rsidR="0011569A" w:rsidRPr="009D1801" w14:paraId="38D45DC4"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46BC0E25" w14:textId="30E786F3" w:rsidR="000A3A42" w:rsidRPr="009D1801" w:rsidRDefault="000A3A42" w:rsidP="000A3A42">
            <w:pPr>
              <w:pStyle w:val="TableText"/>
            </w:pPr>
            <w:r>
              <w:lastRenderedPageBreak/>
              <w:t>Priority 8</w:t>
            </w:r>
          </w:p>
        </w:tc>
        <w:tc>
          <w:tcPr>
            <w:tcW w:w="1167" w:type="pct"/>
          </w:tcPr>
          <w:p w14:paraId="37778E8A" w14:textId="5A6BC7EC"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rsidRPr="009D1801">
              <w:t>R8</w:t>
            </w:r>
            <w:r w:rsidRPr="00C24D1D">
              <w:t>:</w:t>
            </w:r>
            <w:r w:rsidRPr="009D1801">
              <w:t xml:space="preserve"> Gender</w:t>
            </w:r>
            <w:r w:rsidRPr="009D1801">
              <w:noBreakHyphen/>
              <w:t>sensitive early</w:t>
            </w:r>
            <w:r w:rsidRPr="009D1801">
              <w:noBreakHyphen/>
              <w:t xml:space="preserve">warning </w:t>
            </w:r>
            <w:r w:rsidRPr="00C24D1D">
              <w:t>systems and</w:t>
            </w:r>
            <w:r w:rsidRPr="009D1801">
              <w:t xml:space="preserve"> rapid alerts </w:t>
            </w:r>
          </w:p>
        </w:tc>
        <w:tc>
          <w:tcPr>
            <w:tcW w:w="2464" w:type="pct"/>
          </w:tcPr>
          <w:p w14:paraId="4B422B78" w14:textId="77777777" w:rsidR="000A3A42"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rsidRPr="009D1801">
              <w:t>Add 5–7 gender signals</w:t>
            </w:r>
            <w:r w:rsidRPr="00236B47">
              <w:t xml:space="preserve"> </w:t>
            </w:r>
          </w:p>
          <w:p w14:paraId="00A40998" w14:textId="4845A98B" w:rsidR="000A3A42" w:rsidRPr="009D1801"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t>S</w:t>
            </w:r>
            <w:r w:rsidRPr="00236B47">
              <w:t>mall</w:t>
            </w:r>
            <w:r w:rsidRPr="009D1801">
              <w:t xml:space="preserve"> Rapid Alert pilot</w:t>
            </w:r>
          </w:p>
        </w:tc>
        <w:tc>
          <w:tcPr>
            <w:tcW w:w="724" w:type="pct"/>
          </w:tcPr>
          <w:p w14:paraId="0FC7681F" w14:textId="2D072340"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t>Medium-term</w:t>
            </w:r>
          </w:p>
        </w:tc>
      </w:tr>
      <w:tr w:rsidR="0011569A" w:rsidRPr="009D1801" w14:paraId="7158A31A"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hideMark/>
          </w:tcPr>
          <w:p w14:paraId="0791ED4F" w14:textId="3C053546" w:rsidR="000A3A42" w:rsidRPr="009D1801" w:rsidRDefault="000A3A42" w:rsidP="000A3A42">
            <w:pPr>
              <w:pStyle w:val="TableText"/>
            </w:pPr>
            <w:r>
              <w:t>Priority 9</w:t>
            </w:r>
          </w:p>
        </w:tc>
        <w:tc>
          <w:tcPr>
            <w:tcW w:w="1167" w:type="pct"/>
          </w:tcPr>
          <w:p w14:paraId="0449A3A1" w14:textId="32BF82CB"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rsidRPr="009D1801">
              <w:t>R3</w:t>
            </w:r>
            <w:r w:rsidRPr="00C24D1D">
              <w:t>:</w:t>
            </w:r>
            <w:r w:rsidRPr="009D1801">
              <w:t xml:space="preserve"> WPS integration into disaster, cyber &amp; disinformation exercises  </w:t>
            </w:r>
          </w:p>
        </w:tc>
        <w:tc>
          <w:tcPr>
            <w:tcW w:w="2464" w:type="pct"/>
          </w:tcPr>
          <w:p w14:paraId="2E1708BA" w14:textId="77777777" w:rsidR="000A3A42"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rsidRPr="009D1801">
              <w:t>Paper</w:t>
            </w:r>
            <w:r w:rsidRPr="009D1801">
              <w:noBreakHyphen/>
              <w:t>based table</w:t>
            </w:r>
            <w:r w:rsidRPr="009D1801">
              <w:noBreakHyphen/>
              <w:t xml:space="preserve">top inject design </w:t>
            </w:r>
            <w:r>
              <w:t>in first</w:t>
            </w:r>
            <w:r w:rsidRPr="009D1801">
              <w:t xml:space="preserve"> year (no full exercises) </w:t>
            </w:r>
          </w:p>
          <w:p w14:paraId="1817063F" w14:textId="2196ABB2" w:rsidR="000A3A42" w:rsidRPr="009D1801"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t>I</w:t>
            </w:r>
            <w:r w:rsidRPr="009D1801">
              <w:t>dentify opportunities to integrate WPS into existing security scenario planning</w:t>
            </w:r>
          </w:p>
        </w:tc>
        <w:tc>
          <w:tcPr>
            <w:tcW w:w="724" w:type="pct"/>
          </w:tcPr>
          <w:p w14:paraId="20F974B3" w14:textId="63B528E8"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11569A" w:rsidRPr="009D1801" w14:paraId="44ED6DD6"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70760890" w14:textId="25786735" w:rsidR="000A3A42" w:rsidRPr="009D1801" w:rsidRDefault="000A3A42" w:rsidP="000A3A42">
            <w:pPr>
              <w:pStyle w:val="TableText"/>
            </w:pPr>
            <w:r>
              <w:t>Priority 10</w:t>
            </w:r>
          </w:p>
        </w:tc>
        <w:tc>
          <w:tcPr>
            <w:tcW w:w="1167" w:type="pct"/>
          </w:tcPr>
          <w:p w14:paraId="7B3380B5" w14:textId="56F4DCA6"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rsidRPr="009D1801">
              <w:t>R14</w:t>
            </w:r>
            <w:r w:rsidRPr="00C24D1D">
              <w:t>:</w:t>
            </w:r>
            <w:r w:rsidRPr="009D1801">
              <w:t xml:space="preserve"> Rapid Response Funding  </w:t>
            </w:r>
          </w:p>
        </w:tc>
        <w:tc>
          <w:tcPr>
            <w:tcW w:w="2464" w:type="pct"/>
          </w:tcPr>
          <w:p w14:paraId="1123126C" w14:textId="77777777" w:rsidR="000A3A42"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rsidRPr="009D1801">
              <w:t>Small ring</w:t>
            </w:r>
            <w:r w:rsidRPr="009D1801">
              <w:noBreakHyphen/>
              <w:t>fenced funding envelope</w:t>
            </w:r>
          </w:p>
          <w:p w14:paraId="01DD9E76" w14:textId="365A5D24" w:rsidR="000A3A42" w:rsidRPr="009D1801"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rsidRPr="009D1801">
              <w:t>Explore options of existing funding mechanisms</w:t>
            </w:r>
            <w:r>
              <w:t xml:space="preserve"> (n</w:t>
            </w:r>
            <w:r w:rsidRPr="009D1801">
              <w:t>o new fund establishment</w:t>
            </w:r>
            <w:r>
              <w:t>)</w:t>
            </w:r>
          </w:p>
        </w:tc>
        <w:tc>
          <w:tcPr>
            <w:tcW w:w="724" w:type="pct"/>
          </w:tcPr>
          <w:p w14:paraId="6F3C9F4B" w14:textId="1C6A5937"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t>Medium-term</w:t>
            </w:r>
          </w:p>
        </w:tc>
      </w:tr>
      <w:tr w:rsidR="0011569A" w:rsidRPr="009D1801" w14:paraId="5108636E"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hideMark/>
          </w:tcPr>
          <w:p w14:paraId="639B907E" w14:textId="21485B51" w:rsidR="000A3A42" w:rsidRPr="009D1801" w:rsidRDefault="000A3A42" w:rsidP="000A3A42">
            <w:pPr>
              <w:pStyle w:val="TableText"/>
            </w:pPr>
            <w:r>
              <w:t>Priority 11</w:t>
            </w:r>
          </w:p>
        </w:tc>
        <w:tc>
          <w:tcPr>
            <w:tcW w:w="1167" w:type="pct"/>
            <w:hideMark/>
          </w:tcPr>
          <w:p w14:paraId="6203253C" w14:textId="31FE38D5"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rsidRPr="009D1801">
              <w:t>R5</w:t>
            </w:r>
            <w:r w:rsidRPr="00C24D1D">
              <w:t>:</w:t>
            </w:r>
            <w:r w:rsidRPr="009D1801">
              <w:t xml:space="preserve"> Operational WPS capacity uplift </w:t>
            </w:r>
          </w:p>
        </w:tc>
        <w:tc>
          <w:tcPr>
            <w:tcW w:w="2464" w:type="pct"/>
            <w:hideMark/>
          </w:tcPr>
          <w:p w14:paraId="7713E4FC" w14:textId="2F9B4B67" w:rsidR="000A3A42"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t>Facilitate micro</w:t>
            </w:r>
            <w:r w:rsidRPr="009D1801">
              <w:noBreakHyphen/>
              <w:t xml:space="preserve">training </w:t>
            </w:r>
          </w:p>
          <w:p w14:paraId="2DB86B7B" w14:textId="4DE36218" w:rsidR="000A3A42" w:rsidRPr="009D1801"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t>One to two</w:t>
            </w:r>
            <w:r w:rsidRPr="009D1801">
              <w:t xml:space="preserve"> strategic adviser deployments as a pilot to consider operational benefits at post (coordinating with APS agencies and Defence).</w:t>
            </w:r>
          </w:p>
        </w:tc>
        <w:tc>
          <w:tcPr>
            <w:tcW w:w="724" w:type="pct"/>
            <w:hideMark/>
          </w:tcPr>
          <w:p w14:paraId="77A94302" w14:textId="48CB9BA2"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11569A" w:rsidRPr="009D1801" w14:paraId="37703D83"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49DB4F46" w14:textId="6C286969" w:rsidR="000A3A42" w:rsidRPr="009D1801" w:rsidRDefault="000A3A42" w:rsidP="000A3A42">
            <w:pPr>
              <w:pStyle w:val="TableText"/>
            </w:pPr>
            <w:r>
              <w:t xml:space="preserve">Priority </w:t>
            </w:r>
            <w:r w:rsidRPr="009D1801">
              <w:t>1</w:t>
            </w:r>
            <w:r>
              <w:t>2</w:t>
            </w:r>
          </w:p>
        </w:tc>
        <w:tc>
          <w:tcPr>
            <w:tcW w:w="1167" w:type="pct"/>
          </w:tcPr>
          <w:p w14:paraId="7D7D01E0" w14:textId="5CAA0D44"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rsidRPr="009D1801">
              <w:t>R13</w:t>
            </w:r>
            <w:r w:rsidRPr="00C24D1D">
              <w:t>:</w:t>
            </w:r>
            <w:r w:rsidRPr="009D1801">
              <w:t xml:space="preserve"> Expand mediator &amp; community peace</w:t>
            </w:r>
            <w:r w:rsidRPr="00C24D1D">
              <w:t xml:space="preserve"> and </w:t>
            </w:r>
            <w:r w:rsidRPr="009D1801">
              <w:t xml:space="preserve">justice leadership </w:t>
            </w:r>
          </w:p>
        </w:tc>
        <w:tc>
          <w:tcPr>
            <w:tcW w:w="2464" w:type="pct"/>
          </w:tcPr>
          <w:p w14:paraId="3FBDD939" w14:textId="1E4CEB29" w:rsidR="000A3A42" w:rsidRPr="009D1801"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rsidRPr="009D1801">
              <w:t xml:space="preserve">Small catalytic grants in </w:t>
            </w:r>
            <w:r>
              <w:t>one to two</w:t>
            </w:r>
            <w:r w:rsidRPr="009D1801">
              <w:t xml:space="preserve"> contexts</w:t>
            </w:r>
          </w:p>
        </w:tc>
        <w:tc>
          <w:tcPr>
            <w:tcW w:w="724" w:type="pct"/>
          </w:tcPr>
          <w:p w14:paraId="3B25FFFB" w14:textId="7E09753E"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t>Short to Medium term</w:t>
            </w:r>
          </w:p>
        </w:tc>
      </w:tr>
      <w:tr w:rsidR="0011569A" w:rsidRPr="009D1801" w14:paraId="4CF0A17D" w14:textId="77777777" w:rsidTr="007B2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pct"/>
            <w:hideMark/>
          </w:tcPr>
          <w:p w14:paraId="45C0522D" w14:textId="6A4691B4" w:rsidR="000A3A42" w:rsidRPr="009D1801" w:rsidRDefault="000A3A42" w:rsidP="000A3A42">
            <w:pPr>
              <w:pStyle w:val="TableText"/>
            </w:pPr>
            <w:r>
              <w:t xml:space="preserve">Priority </w:t>
            </w:r>
            <w:r w:rsidRPr="009D1801">
              <w:t>13</w:t>
            </w:r>
          </w:p>
        </w:tc>
        <w:tc>
          <w:tcPr>
            <w:tcW w:w="1167" w:type="pct"/>
          </w:tcPr>
          <w:p w14:paraId="7E1D5BBD" w14:textId="7311DD1F"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rsidRPr="009D1801">
              <w:t>R9</w:t>
            </w:r>
            <w:r w:rsidRPr="00C24D1D">
              <w:t>:</w:t>
            </w:r>
            <w:r w:rsidRPr="009D1801">
              <w:t xml:space="preserve"> Co</w:t>
            </w:r>
            <w:r w:rsidRPr="009D1801">
              <w:noBreakHyphen/>
              <w:t xml:space="preserve">fund regional WPS initiatives  </w:t>
            </w:r>
          </w:p>
        </w:tc>
        <w:tc>
          <w:tcPr>
            <w:tcW w:w="2464" w:type="pct"/>
          </w:tcPr>
          <w:p w14:paraId="4755683B" w14:textId="526171B1" w:rsidR="000A3A42" w:rsidRPr="009D1801" w:rsidRDefault="000A3A42" w:rsidP="000A3A42">
            <w:pPr>
              <w:pStyle w:val="TableBullet1stlevel"/>
              <w:cnfStyle w:val="000000100000" w:firstRow="0" w:lastRow="0" w:firstColumn="0" w:lastColumn="0" w:oddVBand="0" w:evenVBand="0" w:oddHBand="1" w:evenHBand="0" w:firstRowFirstColumn="0" w:firstRowLastColumn="0" w:lastRowFirstColumn="0" w:lastRowLastColumn="0"/>
            </w:pPr>
            <w:r>
              <w:t>Pilot co-</w:t>
            </w:r>
            <w:r w:rsidRPr="009D1801">
              <w:t>fund</w:t>
            </w:r>
            <w:r>
              <w:t>ing a</w:t>
            </w:r>
            <w:r w:rsidRPr="009D1801">
              <w:t xml:space="preserve"> project with existing partner (e.g., UN Women/ASEAN/like-minded partner country)</w:t>
            </w:r>
          </w:p>
        </w:tc>
        <w:tc>
          <w:tcPr>
            <w:tcW w:w="724" w:type="pct"/>
          </w:tcPr>
          <w:p w14:paraId="5362B519" w14:textId="598F0721" w:rsidR="000A3A42" w:rsidRPr="009D1801" w:rsidRDefault="000A3A42" w:rsidP="000A3A42">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11569A" w:rsidRPr="009D1801" w14:paraId="3E32CF69" w14:textId="77777777" w:rsidTr="007B25C5">
        <w:tc>
          <w:tcPr>
            <w:cnfStyle w:val="001000000000" w:firstRow="0" w:lastRow="0" w:firstColumn="1" w:lastColumn="0" w:oddVBand="0" w:evenVBand="0" w:oddHBand="0" w:evenHBand="0" w:firstRowFirstColumn="0" w:firstRowLastColumn="0" w:lastRowFirstColumn="0" w:lastRowLastColumn="0"/>
            <w:tcW w:w="646" w:type="pct"/>
            <w:hideMark/>
          </w:tcPr>
          <w:p w14:paraId="467011A6" w14:textId="6AE2E757" w:rsidR="000A3A42" w:rsidRPr="009D1801" w:rsidRDefault="000A3A42" w:rsidP="000A3A42">
            <w:pPr>
              <w:pStyle w:val="TableText"/>
            </w:pPr>
            <w:r>
              <w:t xml:space="preserve">Priority </w:t>
            </w:r>
            <w:r w:rsidRPr="009D1801">
              <w:t>14</w:t>
            </w:r>
          </w:p>
        </w:tc>
        <w:tc>
          <w:tcPr>
            <w:tcW w:w="1167" w:type="pct"/>
          </w:tcPr>
          <w:p w14:paraId="5461F3F5" w14:textId="2A22E30B"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rsidRPr="009D1801">
              <w:t>R11</w:t>
            </w:r>
            <w:r w:rsidRPr="00C24D1D">
              <w:t>:</w:t>
            </w:r>
            <w:r w:rsidRPr="009D1801">
              <w:t xml:space="preserve"> Women’s climate/DRR leadership </w:t>
            </w:r>
          </w:p>
        </w:tc>
        <w:tc>
          <w:tcPr>
            <w:tcW w:w="2464" w:type="pct"/>
          </w:tcPr>
          <w:p w14:paraId="4CD8D200" w14:textId="33893952" w:rsidR="000A3A42" w:rsidRPr="009D1801" w:rsidRDefault="000A3A42" w:rsidP="000A3A42">
            <w:pPr>
              <w:pStyle w:val="TableBullet1stlevel"/>
              <w:cnfStyle w:val="000000000000" w:firstRow="0" w:lastRow="0" w:firstColumn="0" w:lastColumn="0" w:oddVBand="0" w:evenVBand="0" w:oddHBand="0" w:evenHBand="0" w:firstRowFirstColumn="0" w:firstRowLastColumn="0" w:lastRowFirstColumn="0" w:lastRowLastColumn="0"/>
            </w:pPr>
            <w:r w:rsidRPr="009D1801">
              <w:t xml:space="preserve">One </w:t>
            </w:r>
            <w:r>
              <w:t xml:space="preserve">targeted </w:t>
            </w:r>
            <w:r w:rsidRPr="009D1801">
              <w:t>climate</w:t>
            </w:r>
            <w:r w:rsidRPr="009D1801">
              <w:noBreakHyphen/>
              <w:t>security DRR pilot</w:t>
            </w:r>
          </w:p>
        </w:tc>
        <w:tc>
          <w:tcPr>
            <w:tcW w:w="724" w:type="pct"/>
          </w:tcPr>
          <w:p w14:paraId="6C2439FE" w14:textId="33992039" w:rsidR="000A3A42" w:rsidRPr="009D1801" w:rsidRDefault="000A3A42" w:rsidP="000A3A42">
            <w:pPr>
              <w:pStyle w:val="TableText"/>
              <w:cnfStyle w:val="000000000000" w:firstRow="0" w:lastRow="0" w:firstColumn="0" w:lastColumn="0" w:oddVBand="0" w:evenVBand="0" w:oddHBand="0" w:evenHBand="0" w:firstRowFirstColumn="0" w:firstRowLastColumn="0" w:lastRowFirstColumn="0" w:lastRowLastColumn="0"/>
            </w:pPr>
            <w:r>
              <w:t>Medium to long-term</w:t>
            </w:r>
          </w:p>
        </w:tc>
      </w:tr>
    </w:tbl>
    <w:p w14:paraId="7498959F" w14:textId="67AD8A6D" w:rsidR="006916F7" w:rsidRPr="00206B2B" w:rsidRDefault="00CF70B4" w:rsidP="00DC2C6A">
      <w:pPr>
        <w:pStyle w:val="BodyText"/>
      </w:pPr>
      <w:r w:rsidRPr="00E45DC9">
        <w:t xml:space="preserve">As the </w:t>
      </w:r>
      <w:r w:rsidR="008F4559">
        <w:t>WPS NAP</w:t>
      </w:r>
      <w:r w:rsidRPr="00E45DC9">
        <w:t xml:space="preserve"> strategy shifts it would be important to consider the appropriateness of NAP outcomes and where they should be adapted in future </w:t>
      </w:r>
      <w:r w:rsidR="000D7C5B">
        <w:t xml:space="preserve">iterations of the </w:t>
      </w:r>
      <w:r w:rsidRPr="00E45DC9">
        <w:t>NAP</w:t>
      </w:r>
      <w:r>
        <w:t xml:space="preserve">. </w:t>
      </w:r>
    </w:p>
    <w:p w14:paraId="4769B375" w14:textId="77777777" w:rsidR="00DC2C6A" w:rsidRDefault="00DC2C6A" w:rsidP="00DC2C6A">
      <w:pPr>
        <w:pStyle w:val="BodyText"/>
        <w:sectPr w:rsidR="00DC2C6A" w:rsidSect="00C548A0">
          <w:type w:val="continuous"/>
          <w:pgSz w:w="11907" w:h="16840" w:code="1"/>
          <w:pgMar w:top="851" w:right="851" w:bottom="1134" w:left="851" w:header="680" w:footer="283" w:gutter="0"/>
          <w:cols w:space="720"/>
          <w:docGrid w:linePitch="360"/>
        </w:sectPr>
      </w:pPr>
    </w:p>
    <w:p w14:paraId="7387E07E" w14:textId="10DA7499" w:rsidR="00695191" w:rsidRPr="00DC2C6A" w:rsidRDefault="005B007A" w:rsidP="00944D24">
      <w:pPr>
        <w:pStyle w:val="Heading1"/>
      </w:pPr>
      <w:bookmarkStart w:id="18" w:name="_Toc230774049"/>
      <w:bookmarkStart w:id="19" w:name="AppendixA"/>
      <w:r w:rsidRPr="00DC2C6A">
        <w:lastRenderedPageBreak/>
        <w:t>A</w:t>
      </w:r>
      <w:r w:rsidR="00A36C4C" w:rsidRPr="00DC2C6A">
        <w:t>ppendix</w:t>
      </w:r>
      <w:r w:rsidRPr="00DC2C6A">
        <w:t xml:space="preserve"> </w:t>
      </w:r>
      <w:r w:rsidR="00CB12A1" w:rsidRPr="00DC2C6A">
        <w:t>A:</w:t>
      </w:r>
      <w:r w:rsidRPr="00DC2C6A">
        <w:t xml:space="preserve"> Terms of Reference</w:t>
      </w:r>
      <w:bookmarkEnd w:id="18"/>
    </w:p>
    <w:bookmarkEnd w:id="19"/>
    <w:p w14:paraId="0298C586" w14:textId="634EBFEF" w:rsidR="003057D9" w:rsidRPr="00206B2B" w:rsidRDefault="003057D9" w:rsidP="00944D24">
      <w:pPr>
        <w:pStyle w:val="Heading2"/>
      </w:pPr>
      <w:r w:rsidRPr="00206B2B">
        <w:t>WPS National Action Plan 2021-31</w:t>
      </w:r>
    </w:p>
    <w:p w14:paraId="39DE6359" w14:textId="5F261C59" w:rsidR="003057D9" w:rsidRPr="00206B2B" w:rsidRDefault="003057D9" w:rsidP="00DD1D9F">
      <w:pPr>
        <w:pStyle w:val="Heading3"/>
      </w:pPr>
      <w:r w:rsidRPr="00206B2B">
        <w:t>Midterm independent review - Terms of Reference (ToR)</w:t>
      </w:r>
    </w:p>
    <w:p w14:paraId="2396139F" w14:textId="541A6B15" w:rsidR="003057D9" w:rsidRPr="00206B2B" w:rsidRDefault="003057D9" w:rsidP="00DD1D9F">
      <w:pPr>
        <w:pStyle w:val="Heading4"/>
      </w:pPr>
      <w:r w:rsidRPr="00206B2B">
        <w:t>1. Background</w:t>
      </w:r>
    </w:p>
    <w:p w14:paraId="02AA9872" w14:textId="68D78F16" w:rsidR="003057D9" w:rsidRPr="00206B2B" w:rsidRDefault="003057D9" w:rsidP="00341C3D">
      <w:pPr>
        <w:pStyle w:val="BodyText"/>
      </w:pPr>
      <w:r w:rsidRPr="00206B2B">
        <w:t>Australia’s second National Action Plan on Women, Peace and Security (NAP 2021–2031) builds on the lessons learned from the first NAP (2012–2018), which was subject</w:t>
      </w:r>
      <w:r w:rsidR="00FD0BCA" w:rsidRPr="00206B2B">
        <w:t xml:space="preserve"> </w:t>
      </w:r>
      <w:r w:rsidRPr="00206B2B">
        <w:t>to both interim and final independent reviews. These reviews highlighted the</w:t>
      </w:r>
      <w:r w:rsidR="00FD0BCA" w:rsidRPr="00206B2B">
        <w:t xml:space="preserve"> </w:t>
      </w:r>
      <w:r w:rsidRPr="00206B2B">
        <w:t xml:space="preserve">importance of </w:t>
      </w:r>
      <w:r w:rsidRPr="00206B2B">
        <w:rPr>
          <w:b/>
        </w:rPr>
        <w:t xml:space="preserve">strong monitoring and evaluation </w:t>
      </w:r>
      <w:r w:rsidRPr="00206B2B">
        <w:t xml:space="preserve">(M&amp;E), </w:t>
      </w:r>
      <w:r w:rsidRPr="00206B2B">
        <w:rPr>
          <w:b/>
        </w:rPr>
        <w:t>inclusive governance</w:t>
      </w:r>
      <w:r w:rsidRPr="00206B2B">
        <w:t>, and</w:t>
      </w:r>
      <w:r w:rsidR="00FD0BCA" w:rsidRPr="00206B2B">
        <w:t xml:space="preserve"> </w:t>
      </w:r>
      <w:r w:rsidRPr="00206B2B">
        <w:t xml:space="preserve">meaningful </w:t>
      </w:r>
      <w:r w:rsidRPr="00206B2B">
        <w:rPr>
          <w:b/>
        </w:rPr>
        <w:t>civil society engagement</w:t>
      </w:r>
      <w:r w:rsidRPr="00206B2B">
        <w:t>.</w:t>
      </w:r>
    </w:p>
    <w:p w14:paraId="3D58294F" w14:textId="5BA91CD6" w:rsidR="003057D9" w:rsidRPr="00206B2B" w:rsidRDefault="003057D9" w:rsidP="00341C3D">
      <w:pPr>
        <w:pStyle w:val="BodyText"/>
      </w:pPr>
      <w:r w:rsidRPr="00206B2B">
        <w:t>The independent midterm review of the WPS NAP 2021-31 in 2025 will assess the</w:t>
      </w:r>
      <w:r w:rsidR="00FD0BCA" w:rsidRPr="00206B2B">
        <w:t xml:space="preserve"> </w:t>
      </w:r>
      <w:r w:rsidRPr="00206B2B">
        <w:t>progress, impacts, effectiveness, and relevance of the second NAP at its halfway point</w:t>
      </w:r>
      <w:r w:rsidR="00FD0BCA" w:rsidRPr="00206B2B">
        <w:t xml:space="preserve"> </w:t>
      </w:r>
      <w:r w:rsidRPr="00206B2B">
        <w:t>and provide recommendations to strengthen implementation for the remainder of the</w:t>
      </w:r>
      <w:r w:rsidR="00FD0BCA" w:rsidRPr="00206B2B">
        <w:t xml:space="preserve"> </w:t>
      </w:r>
      <w:r w:rsidRPr="00206B2B">
        <w:t>Plan’s lifecycle.</w:t>
      </w:r>
    </w:p>
    <w:p w14:paraId="7A3593A9" w14:textId="148ADBEC" w:rsidR="003057D9" w:rsidRPr="00206B2B" w:rsidRDefault="003057D9" w:rsidP="00DD1D9F">
      <w:pPr>
        <w:pStyle w:val="Heading4"/>
      </w:pPr>
      <w:r w:rsidRPr="00206B2B">
        <w:t>2. Purpose</w:t>
      </w:r>
    </w:p>
    <w:p w14:paraId="746EC409" w14:textId="3C61D65E" w:rsidR="003057D9" w:rsidRPr="00206B2B" w:rsidRDefault="003057D9" w:rsidP="00341C3D">
      <w:pPr>
        <w:spacing w:before="120" w:after="120" w:line="276" w:lineRule="auto"/>
        <w:jc w:val="both"/>
      </w:pPr>
      <w:r w:rsidRPr="00206B2B">
        <w:t>T</w:t>
      </w:r>
      <w:r w:rsidRPr="00206B2B">
        <w:rPr>
          <w:rStyle w:val="BodyTextChar"/>
        </w:rPr>
        <w:t>he purpose of the mid-term review is to:</w:t>
      </w:r>
    </w:p>
    <w:p w14:paraId="24122BE6" w14:textId="2920E5F3" w:rsidR="003057D9" w:rsidRPr="00206B2B" w:rsidRDefault="003057D9" w:rsidP="00641767">
      <w:pPr>
        <w:pStyle w:val="ListBullet"/>
      </w:pPr>
      <w:r w:rsidRPr="00206B2B">
        <w:t xml:space="preserve">Assess the effectiveness of the NAP’s </w:t>
      </w:r>
      <w:r w:rsidRPr="00206B2B">
        <w:rPr>
          <w:b/>
        </w:rPr>
        <w:t>implementation</w:t>
      </w:r>
      <w:r w:rsidRPr="00206B2B">
        <w:t xml:space="preserve"> to date, including the</w:t>
      </w:r>
      <w:r w:rsidR="00A6310E" w:rsidRPr="00206B2B">
        <w:t xml:space="preserve"> </w:t>
      </w:r>
      <w:r w:rsidRPr="00206B2B">
        <w:rPr>
          <w:b/>
        </w:rPr>
        <w:t>impact</w:t>
      </w:r>
      <w:r w:rsidRPr="00206B2B">
        <w:t xml:space="preserve"> of its activities.</w:t>
      </w:r>
    </w:p>
    <w:p w14:paraId="0F1A9393" w14:textId="77777777" w:rsidR="00A6310E" w:rsidRPr="00206B2B" w:rsidRDefault="003057D9" w:rsidP="00641767">
      <w:pPr>
        <w:pStyle w:val="ListBullet"/>
      </w:pPr>
      <w:r w:rsidRPr="00206B2B">
        <w:t xml:space="preserve">Evaluate the extent to which the NAP is achieving its intended </w:t>
      </w:r>
      <w:r w:rsidRPr="00206B2B">
        <w:rPr>
          <w:b/>
        </w:rPr>
        <w:t>outcomes</w:t>
      </w:r>
      <w:r w:rsidRPr="00206B2B">
        <w:t>.</w:t>
      </w:r>
    </w:p>
    <w:p w14:paraId="25128EA0" w14:textId="77777777" w:rsidR="00A6310E" w:rsidRPr="00206B2B" w:rsidRDefault="003057D9" w:rsidP="00641767">
      <w:pPr>
        <w:pStyle w:val="ListBullet"/>
      </w:pPr>
      <w:r w:rsidRPr="00206B2B">
        <w:t xml:space="preserve">Identify challenges, gaps, and opportunities for </w:t>
      </w:r>
      <w:r w:rsidRPr="00206B2B">
        <w:rPr>
          <w:b/>
        </w:rPr>
        <w:t>improvement</w:t>
      </w:r>
      <w:r w:rsidRPr="00206B2B">
        <w:t>.</w:t>
      </w:r>
    </w:p>
    <w:p w14:paraId="638B23A3" w14:textId="4D5DB1A0" w:rsidR="00A31AD4" w:rsidRPr="00206B2B" w:rsidRDefault="003057D9" w:rsidP="00641767">
      <w:pPr>
        <w:pStyle w:val="ListBullet"/>
      </w:pPr>
      <w:r w:rsidRPr="00206B2B">
        <w:t xml:space="preserve">Provide actionable </w:t>
      </w:r>
      <w:r w:rsidRPr="00206B2B">
        <w:rPr>
          <w:b/>
        </w:rPr>
        <w:t>recommendations</w:t>
      </w:r>
      <w:r w:rsidRPr="00206B2B">
        <w:t xml:space="preserve"> to enhance implementation, coordination,</w:t>
      </w:r>
      <w:r w:rsidR="00A6310E" w:rsidRPr="00206B2B">
        <w:t xml:space="preserve"> </w:t>
      </w:r>
      <w:r w:rsidRPr="00206B2B">
        <w:t>and accountability mechanisms for the remainder of the NAP.</w:t>
      </w:r>
      <w:r w:rsidR="00803F77" w:rsidRPr="00206B2B">
        <w:t xml:space="preserve"> </w:t>
      </w:r>
    </w:p>
    <w:p w14:paraId="2A9E54FC" w14:textId="2E23B7AA" w:rsidR="00345FCD" w:rsidRPr="00206B2B" w:rsidRDefault="00345FCD" w:rsidP="00DD1D9F">
      <w:pPr>
        <w:pStyle w:val="Heading4"/>
      </w:pPr>
      <w:r w:rsidRPr="00206B2B">
        <w:t>3. Scope</w:t>
      </w:r>
    </w:p>
    <w:p w14:paraId="172F1A32" w14:textId="77777777" w:rsidR="00345FCD" w:rsidRPr="00206B2B" w:rsidRDefault="00345FCD" w:rsidP="00341C3D">
      <w:pPr>
        <w:pStyle w:val="BodyText"/>
      </w:pPr>
      <w:r w:rsidRPr="00206B2B">
        <w:t>The review will cover:</w:t>
      </w:r>
    </w:p>
    <w:p w14:paraId="2761A549" w14:textId="3748305C" w:rsidR="00345FCD" w:rsidRPr="00206B2B" w:rsidRDefault="00345FCD" w:rsidP="00641767">
      <w:pPr>
        <w:pStyle w:val="ListBullet"/>
      </w:pPr>
      <w:r w:rsidRPr="00206B2B">
        <w:t xml:space="preserve">All </w:t>
      </w:r>
      <w:r w:rsidRPr="00206B2B">
        <w:rPr>
          <w:b/>
        </w:rPr>
        <w:t>four pillars</w:t>
      </w:r>
      <w:r w:rsidRPr="00206B2B">
        <w:t xml:space="preserve"> of the WPS agenda: Prevention, Participation, Protection, and Relief</w:t>
      </w:r>
      <w:r w:rsidR="00C53FDA" w:rsidRPr="00206B2B">
        <w:t xml:space="preserve"> </w:t>
      </w:r>
      <w:r w:rsidRPr="00206B2B">
        <w:t>and Recovery.</w:t>
      </w:r>
    </w:p>
    <w:p w14:paraId="01629548" w14:textId="2845F5F3" w:rsidR="00345FCD" w:rsidRPr="00206B2B" w:rsidRDefault="00345FCD" w:rsidP="00641767">
      <w:pPr>
        <w:pStyle w:val="ListBullet"/>
      </w:pPr>
      <w:r w:rsidRPr="00206B2B">
        <w:t xml:space="preserve">Whole-of-government </w:t>
      </w:r>
      <w:r w:rsidRPr="00206B2B">
        <w:rPr>
          <w:b/>
        </w:rPr>
        <w:t>implementation</w:t>
      </w:r>
      <w:r w:rsidRPr="00206B2B">
        <w:t>, including coordination between</w:t>
      </w:r>
      <w:r w:rsidR="00C53FDA" w:rsidRPr="00206B2B">
        <w:t xml:space="preserve"> </w:t>
      </w:r>
      <w:r w:rsidRPr="00206B2B">
        <w:t>departments and agencies.</w:t>
      </w:r>
    </w:p>
    <w:p w14:paraId="3E05AE84" w14:textId="77777777" w:rsidR="00345FCD" w:rsidRPr="00206B2B" w:rsidRDefault="00345FCD" w:rsidP="00641767">
      <w:pPr>
        <w:pStyle w:val="ListBullet"/>
      </w:pPr>
      <w:r w:rsidRPr="00206B2B">
        <w:rPr>
          <w:b/>
        </w:rPr>
        <w:t xml:space="preserve">Engagement </w:t>
      </w:r>
      <w:r w:rsidRPr="00206B2B">
        <w:t>with civil society, academia, and international partners.</w:t>
      </w:r>
    </w:p>
    <w:p w14:paraId="0589705C" w14:textId="77777777" w:rsidR="00345FCD" w:rsidRPr="00206B2B" w:rsidRDefault="00345FCD" w:rsidP="00641767">
      <w:pPr>
        <w:pStyle w:val="ListBullet"/>
      </w:pPr>
      <w:r w:rsidRPr="00206B2B">
        <w:rPr>
          <w:b/>
        </w:rPr>
        <w:t>Monitoring, evaluation, and learning</w:t>
      </w:r>
      <w:r w:rsidRPr="00206B2B">
        <w:t xml:space="preserve"> (MEL) systems and data collection.</w:t>
      </w:r>
    </w:p>
    <w:p w14:paraId="404B6232" w14:textId="77777777" w:rsidR="00345FCD" w:rsidRPr="00206B2B" w:rsidRDefault="00345FCD" w:rsidP="00641767">
      <w:pPr>
        <w:pStyle w:val="ListBullet"/>
      </w:pPr>
      <w:r w:rsidRPr="00206B2B">
        <w:rPr>
          <w:b/>
        </w:rPr>
        <w:t>Budgeting and resource allocation</w:t>
      </w:r>
      <w:r w:rsidRPr="00206B2B">
        <w:t xml:space="preserve"> for WPS activities.</w:t>
      </w:r>
    </w:p>
    <w:p w14:paraId="37559EAC" w14:textId="2B49C0D0" w:rsidR="00345FCD" w:rsidRPr="00206B2B" w:rsidRDefault="00345FCD" w:rsidP="00DD1D9F">
      <w:pPr>
        <w:pStyle w:val="Heading4"/>
      </w:pPr>
      <w:r w:rsidRPr="00206B2B">
        <w:t>4. Key Review Questions</w:t>
      </w:r>
    </w:p>
    <w:p w14:paraId="6AB50DD0" w14:textId="77777777" w:rsidR="00345FCD" w:rsidRPr="00206B2B" w:rsidRDefault="00345FCD" w:rsidP="00341C3D">
      <w:pPr>
        <w:pStyle w:val="Bullet1"/>
      </w:pPr>
      <w:r w:rsidRPr="00206B2B">
        <w:t>Effectiveness:</w:t>
      </w:r>
    </w:p>
    <w:p w14:paraId="2E10281C" w14:textId="77777777" w:rsidR="00345FCD" w:rsidRPr="00206B2B" w:rsidRDefault="00345FCD" w:rsidP="00641767">
      <w:pPr>
        <w:pStyle w:val="ListBullet2"/>
      </w:pPr>
      <w:r w:rsidRPr="00206B2B">
        <w:t>To what extent have the NAP’s objectives and outcomes been achieved to date?</w:t>
      </w:r>
    </w:p>
    <w:p w14:paraId="665DFE5B" w14:textId="77777777" w:rsidR="00345FCD" w:rsidRPr="00206B2B" w:rsidRDefault="00345FCD" w:rsidP="00641767">
      <w:pPr>
        <w:pStyle w:val="ListBullet2"/>
      </w:pPr>
      <w:r w:rsidRPr="00206B2B">
        <w:t>Are the current activities and outputs aligned with the intended outcomes?</w:t>
      </w:r>
    </w:p>
    <w:p w14:paraId="1E9F6783" w14:textId="5FD6F21A" w:rsidR="00DD1D9F" w:rsidRDefault="00A84229" w:rsidP="00641767">
      <w:pPr>
        <w:pStyle w:val="ListBullet2"/>
      </w:pPr>
      <w:r w:rsidRPr="00206B2B">
        <w:t>How does the NAP align with Australia’s broader approach to conflict</w:t>
      </w:r>
      <w:r w:rsidR="00C53FDA" w:rsidRPr="00206B2B">
        <w:t xml:space="preserve"> </w:t>
      </w:r>
      <w:r w:rsidRPr="00206B2B">
        <w:t>prevention, peace and security (such as in the Pacific)?</w:t>
      </w:r>
      <w:r w:rsidR="00DD1D9F">
        <w:br w:type="page"/>
      </w:r>
    </w:p>
    <w:p w14:paraId="6452C9BB" w14:textId="77777777" w:rsidR="00A84229" w:rsidRPr="00206B2B" w:rsidRDefault="00A84229" w:rsidP="00F84E76">
      <w:pPr>
        <w:pStyle w:val="ListBullet"/>
      </w:pPr>
      <w:r w:rsidRPr="00206B2B">
        <w:lastRenderedPageBreak/>
        <w:t>Governance and Coordination:</w:t>
      </w:r>
    </w:p>
    <w:p w14:paraId="4CD67A2D" w14:textId="0925F320" w:rsidR="00A84229" w:rsidRPr="00206B2B" w:rsidRDefault="00A84229" w:rsidP="00F84E76">
      <w:pPr>
        <w:pStyle w:val="ListBullet2"/>
      </w:pPr>
      <w:r w:rsidRPr="00206B2B">
        <w:t>How effective are the governance structures and inter-agency coordination</w:t>
      </w:r>
      <w:r w:rsidR="00C53FDA" w:rsidRPr="00206B2B">
        <w:t xml:space="preserve"> </w:t>
      </w:r>
      <w:r w:rsidRPr="00206B2B">
        <w:t>mechanisms?</w:t>
      </w:r>
    </w:p>
    <w:p w14:paraId="326550E2" w14:textId="3E53D9F9" w:rsidR="00A84229" w:rsidRPr="00206B2B" w:rsidRDefault="00A84229" w:rsidP="00F84E76">
      <w:pPr>
        <w:pStyle w:val="ListBullet2"/>
      </w:pPr>
      <w:r w:rsidRPr="00206B2B">
        <w:t>Are roles and responsibilities across the implementing partners clearly defined</w:t>
      </w:r>
      <w:r w:rsidR="00C53FDA" w:rsidRPr="00206B2B">
        <w:t xml:space="preserve"> </w:t>
      </w:r>
      <w:r w:rsidRPr="00206B2B">
        <w:t>and operational?</w:t>
      </w:r>
    </w:p>
    <w:p w14:paraId="152BE2AF" w14:textId="554C0CC1" w:rsidR="00A84229" w:rsidRPr="00206B2B" w:rsidRDefault="00A84229" w:rsidP="00F84E76">
      <w:pPr>
        <w:pStyle w:val="ListBullet2"/>
      </w:pPr>
      <w:r w:rsidRPr="00206B2B">
        <w:t xml:space="preserve">Have the roles/functions of implementing partners changed (i.e. are </w:t>
      </w:r>
      <w:proofErr w:type="gramStart"/>
      <w:r w:rsidRPr="00206B2B">
        <w:t>there</w:t>
      </w:r>
      <w:proofErr w:type="gramEnd"/>
      <w:r w:rsidRPr="00206B2B">
        <w:t xml:space="preserve"> other</w:t>
      </w:r>
      <w:r w:rsidR="00C53FDA" w:rsidRPr="00206B2B">
        <w:t xml:space="preserve"> </w:t>
      </w:r>
      <w:r w:rsidRPr="00206B2B">
        <w:t>government agencies which now hold relevant responsibilities and should be</w:t>
      </w:r>
      <w:r w:rsidR="00C53FDA" w:rsidRPr="00206B2B">
        <w:t xml:space="preserve"> </w:t>
      </w:r>
      <w:r w:rsidRPr="00206B2B">
        <w:t>included as part of the NAP?)</w:t>
      </w:r>
    </w:p>
    <w:p w14:paraId="6E2E2995" w14:textId="0CB35867" w:rsidR="00345FCD" w:rsidRPr="00206B2B" w:rsidRDefault="00A84229" w:rsidP="00F84E76">
      <w:pPr>
        <w:pStyle w:val="ListBullet2"/>
      </w:pPr>
      <w:r w:rsidRPr="00206B2B">
        <w:t>What are the opportunities for continued / further bipartisan political</w:t>
      </w:r>
      <w:r w:rsidR="00C53FDA" w:rsidRPr="00206B2B">
        <w:t xml:space="preserve"> </w:t>
      </w:r>
      <w:r w:rsidRPr="00206B2B">
        <w:t>collaboration, commitment?</w:t>
      </w:r>
    </w:p>
    <w:p w14:paraId="2D735F08" w14:textId="77777777" w:rsidR="005D50A8" w:rsidRPr="00206B2B" w:rsidRDefault="005D50A8" w:rsidP="001474D6">
      <w:pPr>
        <w:pStyle w:val="ListBullet"/>
      </w:pPr>
      <w:r w:rsidRPr="00206B2B">
        <w:t>Monitoring and Evaluation:</w:t>
      </w:r>
    </w:p>
    <w:p w14:paraId="73E92F38" w14:textId="1C8399DC" w:rsidR="005D50A8" w:rsidRPr="00206B2B" w:rsidRDefault="005D50A8" w:rsidP="00F84E76">
      <w:pPr>
        <w:pStyle w:val="ListBullet2"/>
      </w:pPr>
      <w:r w:rsidRPr="00206B2B">
        <w:t>Is the MEL framework robust, outcome-focused, and being implemented</w:t>
      </w:r>
      <w:r w:rsidR="00424E1F" w:rsidRPr="00206B2B">
        <w:t xml:space="preserve"> </w:t>
      </w:r>
      <w:r w:rsidRPr="00206B2B">
        <w:t>effectively?</w:t>
      </w:r>
    </w:p>
    <w:p w14:paraId="5AEEE490" w14:textId="074563ED" w:rsidR="005D50A8" w:rsidRPr="00206B2B" w:rsidRDefault="005D50A8" w:rsidP="00F84E76">
      <w:pPr>
        <w:pStyle w:val="ListBullet2"/>
      </w:pPr>
      <w:r w:rsidRPr="00206B2B">
        <w:t>Are there adequate data systems and indicators to track progress and impact</w:t>
      </w:r>
      <w:r w:rsidR="00424E1F" w:rsidRPr="00206B2B">
        <w:t xml:space="preserve"> </w:t>
      </w:r>
      <w:r w:rsidRPr="00206B2B">
        <w:t>(including performance evaluation)?</w:t>
      </w:r>
    </w:p>
    <w:p w14:paraId="19C34959" w14:textId="77777777" w:rsidR="005D50A8" w:rsidRPr="00206B2B" w:rsidRDefault="005D50A8" w:rsidP="001474D6">
      <w:pPr>
        <w:pStyle w:val="ListBullet"/>
      </w:pPr>
      <w:r w:rsidRPr="00206B2B">
        <w:t>Inclusivity and Participation:</w:t>
      </w:r>
    </w:p>
    <w:p w14:paraId="350EA4D5" w14:textId="03D2017C" w:rsidR="005D50A8" w:rsidRPr="00206B2B" w:rsidRDefault="005D50A8" w:rsidP="00F84E76">
      <w:pPr>
        <w:pStyle w:val="ListBullet2"/>
      </w:pPr>
      <w:r w:rsidRPr="00206B2B">
        <w:t>How effectively has civil society, particularly women’s organisations, been</w:t>
      </w:r>
      <w:r w:rsidR="00424E1F" w:rsidRPr="00206B2B">
        <w:t xml:space="preserve"> </w:t>
      </w:r>
      <w:r w:rsidRPr="00206B2B">
        <w:t>engaged?</w:t>
      </w:r>
    </w:p>
    <w:p w14:paraId="37605398" w14:textId="5206BA19" w:rsidR="005D50A8" w:rsidRPr="00206B2B" w:rsidRDefault="005D50A8" w:rsidP="00F84E76">
      <w:pPr>
        <w:pStyle w:val="ListBullet2"/>
      </w:pPr>
      <w:r w:rsidRPr="00206B2B">
        <w:t>Are diverse voices, including First Nations women and women from conflict-affected communities, being heard?</w:t>
      </w:r>
    </w:p>
    <w:p w14:paraId="0573B687" w14:textId="77777777" w:rsidR="005D50A8" w:rsidRPr="00206B2B" w:rsidRDefault="005D50A8" w:rsidP="001474D6">
      <w:pPr>
        <w:pStyle w:val="ListBullet"/>
      </w:pPr>
      <w:r w:rsidRPr="00206B2B">
        <w:t>Adaptability and Relevance:</w:t>
      </w:r>
    </w:p>
    <w:p w14:paraId="5A43E93C" w14:textId="77777777" w:rsidR="005D50A8" w:rsidRPr="00206B2B" w:rsidRDefault="005D50A8" w:rsidP="00F84E76">
      <w:pPr>
        <w:pStyle w:val="ListBullet2"/>
      </w:pPr>
      <w:r w:rsidRPr="00206B2B">
        <w:t>Is the NAP responsive to emerging global and regional WPS challenges?</w:t>
      </w:r>
    </w:p>
    <w:p w14:paraId="0BB3CF9A" w14:textId="77777777" w:rsidR="005D50A8" w:rsidRPr="00206B2B" w:rsidRDefault="005D50A8" w:rsidP="00F84E76">
      <w:pPr>
        <w:pStyle w:val="ListBullet2"/>
      </w:pPr>
      <w:r w:rsidRPr="00206B2B">
        <w:t>How well does the NAP integrate intersectional and inclusive approaches?</w:t>
      </w:r>
    </w:p>
    <w:p w14:paraId="37D08FD7" w14:textId="77777777" w:rsidR="002C0343" w:rsidRPr="00206B2B" w:rsidRDefault="002C0343" w:rsidP="001474D6">
      <w:pPr>
        <w:pStyle w:val="ListBullet"/>
      </w:pPr>
      <w:r w:rsidRPr="00206B2B">
        <w:t>Resourcing:</w:t>
      </w:r>
    </w:p>
    <w:p w14:paraId="153D43EF" w14:textId="29F7EB54" w:rsidR="002C0343" w:rsidRPr="00206B2B" w:rsidRDefault="002C0343" w:rsidP="00F84E76">
      <w:pPr>
        <w:pStyle w:val="ListBullet2"/>
      </w:pPr>
      <w:r w:rsidRPr="00206B2B">
        <w:t>Are financial and human resources adequate and appropriately allocated across</w:t>
      </w:r>
      <w:r w:rsidR="00B77D89" w:rsidRPr="00206B2B">
        <w:t xml:space="preserve"> </w:t>
      </w:r>
      <w:r w:rsidRPr="00206B2B">
        <w:t>the implementing partners?</w:t>
      </w:r>
    </w:p>
    <w:p w14:paraId="6A63D9CD" w14:textId="77777777" w:rsidR="002C0343" w:rsidRPr="00206B2B" w:rsidRDefault="002C0343" w:rsidP="00F84E76">
      <w:pPr>
        <w:pStyle w:val="ListBullet2"/>
      </w:pPr>
      <w:r w:rsidRPr="00206B2B">
        <w:t>Is there transparency and accountability in WPS-related spending?</w:t>
      </w:r>
    </w:p>
    <w:p w14:paraId="19164F85" w14:textId="4776AD0D" w:rsidR="002C0343" w:rsidRPr="00206B2B" w:rsidRDefault="002C0343" w:rsidP="00DD1D9F">
      <w:pPr>
        <w:pStyle w:val="Heading4"/>
      </w:pPr>
      <w:r w:rsidRPr="00206B2B">
        <w:t>5. Methodology</w:t>
      </w:r>
    </w:p>
    <w:p w14:paraId="4A1EE035" w14:textId="5993057D" w:rsidR="002C0343" w:rsidRPr="00206B2B" w:rsidRDefault="002C0343" w:rsidP="00341C3D">
      <w:pPr>
        <w:pStyle w:val="BodyText"/>
      </w:pPr>
      <w:r w:rsidRPr="00206B2B">
        <w:t>The review will adopt a mixed-methods approach, combining qualitative and</w:t>
      </w:r>
      <w:r w:rsidR="00F35F50" w:rsidRPr="00206B2B">
        <w:t xml:space="preserve"> </w:t>
      </w:r>
      <w:r w:rsidRPr="00206B2B">
        <w:t>quantitative data collection and analysis to ensure a comprehensive and inclusive</w:t>
      </w:r>
      <w:r w:rsidR="00F35F50" w:rsidRPr="00206B2B">
        <w:t xml:space="preserve"> </w:t>
      </w:r>
      <w:r w:rsidRPr="00206B2B">
        <w:t>assessment. The methodology will be guided by principles of participation,</w:t>
      </w:r>
      <w:r w:rsidR="00F35F50" w:rsidRPr="00206B2B">
        <w:t xml:space="preserve"> </w:t>
      </w:r>
      <w:r w:rsidRPr="00206B2B">
        <w:t>transparency, intersectionality, and accountability</w:t>
      </w:r>
    </w:p>
    <w:p w14:paraId="791878FA" w14:textId="7B67563C" w:rsidR="001D0CE0" w:rsidRPr="00206B2B" w:rsidRDefault="00915423" w:rsidP="001474D6">
      <w:pPr>
        <w:pStyle w:val="ListBullet"/>
      </w:pPr>
      <w:r w:rsidRPr="00206B2B">
        <w:t xml:space="preserve">Relevant </w:t>
      </w:r>
      <w:r w:rsidR="001D0CE0" w:rsidRPr="00206B2B">
        <w:t>Document and Literature Review:</w:t>
      </w:r>
    </w:p>
    <w:p w14:paraId="2812D76A" w14:textId="4C282524" w:rsidR="001D0CE0" w:rsidRPr="00206B2B" w:rsidRDefault="001D0CE0" w:rsidP="001474D6">
      <w:pPr>
        <w:pStyle w:val="ListBullet2"/>
      </w:pPr>
      <w:r w:rsidRPr="00206B2B">
        <w:t>Review of key policy documents, including the NAP 2021–31, agency</w:t>
      </w:r>
      <w:r w:rsidR="00F35F50" w:rsidRPr="00206B2B">
        <w:t xml:space="preserve"> </w:t>
      </w:r>
      <w:r w:rsidRPr="00206B2B">
        <w:t>implementation plans, NAP progress reports, and agency-level strategies.</w:t>
      </w:r>
    </w:p>
    <w:p w14:paraId="0310C6B5" w14:textId="0306947A" w:rsidR="001D0CE0" w:rsidRPr="00206B2B" w:rsidRDefault="001D0CE0" w:rsidP="001474D6">
      <w:pPr>
        <w:pStyle w:val="ListBullet2"/>
      </w:pPr>
      <w:r w:rsidRPr="00206B2B">
        <w:t>Analysis of relevant legislation, international commitments (e.g., UNSCR 1325</w:t>
      </w:r>
      <w:r w:rsidR="00F35F50" w:rsidRPr="00206B2B">
        <w:t xml:space="preserve"> </w:t>
      </w:r>
      <w:r w:rsidRPr="00206B2B">
        <w:t>and subsequent resolutions), and global best practices.</w:t>
      </w:r>
    </w:p>
    <w:p w14:paraId="1DC4ADC2" w14:textId="769F6DD2" w:rsidR="001D0CE0" w:rsidRPr="00206B2B" w:rsidRDefault="001D0CE0" w:rsidP="001474D6">
      <w:pPr>
        <w:pStyle w:val="ListBullet2"/>
      </w:pPr>
      <w:r w:rsidRPr="00206B2B">
        <w:t>Review of academic and grey literature on WPS implementation in Australia and</w:t>
      </w:r>
      <w:r w:rsidR="00F35F50" w:rsidRPr="00206B2B">
        <w:t xml:space="preserve"> </w:t>
      </w:r>
      <w:r w:rsidRPr="00206B2B">
        <w:t>comparable contexts.</w:t>
      </w:r>
    </w:p>
    <w:p w14:paraId="48D17E74" w14:textId="16170203" w:rsidR="001D0CE0" w:rsidRPr="00206B2B" w:rsidRDefault="001D0CE0" w:rsidP="001474D6">
      <w:pPr>
        <w:pStyle w:val="ListBullet"/>
      </w:pPr>
      <w:r w:rsidRPr="00206B2B">
        <w:t>Stakeholder Consultations (note, the number and location of stakeholder</w:t>
      </w:r>
      <w:r w:rsidR="00F35F50" w:rsidRPr="00206B2B">
        <w:t xml:space="preserve"> </w:t>
      </w:r>
      <w:r w:rsidRPr="00206B2B">
        <w:t>consultations will depend on final budget):</w:t>
      </w:r>
    </w:p>
    <w:p w14:paraId="27ECF65E" w14:textId="77777777" w:rsidR="001D0CE0" w:rsidRPr="00206B2B" w:rsidRDefault="001D0CE0" w:rsidP="001474D6">
      <w:pPr>
        <w:pStyle w:val="ListBullet2"/>
      </w:pPr>
      <w:r w:rsidRPr="00206B2B">
        <w:t>Semi-structured interviews with representatives from:</w:t>
      </w:r>
    </w:p>
    <w:p w14:paraId="46044CE5" w14:textId="4FAE11DA" w:rsidR="001D0CE0" w:rsidRPr="00206B2B" w:rsidRDefault="001D0CE0" w:rsidP="001474D6">
      <w:pPr>
        <w:pStyle w:val="ListBullet3"/>
      </w:pPr>
      <w:r w:rsidRPr="00206B2B">
        <w:t>Government departments and agencies involved in NAP implementation.</w:t>
      </w:r>
    </w:p>
    <w:p w14:paraId="24F9868D" w14:textId="5351B50E" w:rsidR="001D0CE0" w:rsidRPr="00206B2B" w:rsidRDefault="001D0CE0" w:rsidP="001474D6">
      <w:pPr>
        <w:pStyle w:val="ListBullet3"/>
      </w:pPr>
      <w:r w:rsidRPr="00206B2B">
        <w:t>Civil society implementing partners</w:t>
      </w:r>
      <w:r w:rsidR="00F35F50" w:rsidRPr="00206B2B">
        <w:t xml:space="preserve"> </w:t>
      </w:r>
      <w:r w:rsidRPr="00206B2B">
        <w:t>Civil society organisations, including women’s rights groups, First</w:t>
      </w:r>
      <w:r w:rsidR="00F35F50" w:rsidRPr="00206B2B">
        <w:t xml:space="preserve"> </w:t>
      </w:r>
      <w:r w:rsidRPr="00206B2B">
        <w:t>Nations organisations, diaspora communities, justice practitioners,</w:t>
      </w:r>
      <w:r w:rsidR="00F35F50" w:rsidRPr="00206B2B">
        <w:t xml:space="preserve"> </w:t>
      </w:r>
      <w:r w:rsidRPr="00206B2B">
        <w:t>mediator networks.</w:t>
      </w:r>
    </w:p>
    <w:p w14:paraId="13AB8ED7" w14:textId="77777777" w:rsidR="001D0CE0" w:rsidRPr="00206B2B" w:rsidRDefault="001D0CE0" w:rsidP="001474D6">
      <w:pPr>
        <w:pStyle w:val="ListBullet3"/>
      </w:pPr>
      <w:r w:rsidRPr="00206B2B">
        <w:t>Academia and research institutions.</w:t>
      </w:r>
    </w:p>
    <w:p w14:paraId="321854B5" w14:textId="227E1C27" w:rsidR="001D0CE0" w:rsidRPr="00206B2B" w:rsidRDefault="001D0CE0" w:rsidP="001474D6">
      <w:pPr>
        <w:pStyle w:val="ListBullet3"/>
      </w:pPr>
      <w:r w:rsidRPr="00206B2B">
        <w:t>International partners and multilateral organisations.</w:t>
      </w:r>
    </w:p>
    <w:p w14:paraId="7C057661" w14:textId="58DE28C1" w:rsidR="003057D9" w:rsidRPr="00206B2B" w:rsidRDefault="001D0CE0" w:rsidP="001474D6">
      <w:pPr>
        <w:pStyle w:val="ListBullet3"/>
      </w:pPr>
      <w:r w:rsidRPr="00206B2B">
        <w:t>Commonwealth departments who have responsibilities across emerging</w:t>
      </w:r>
      <w:r w:rsidR="00B53A1B" w:rsidRPr="00206B2B">
        <w:t xml:space="preserve"> </w:t>
      </w:r>
      <w:r w:rsidRPr="00206B2B">
        <w:t>priorities – e.g.</w:t>
      </w:r>
      <w:r w:rsidR="008660A8">
        <w:t> </w:t>
      </w:r>
      <w:r w:rsidRPr="00206B2B">
        <w:t>DSS,</w:t>
      </w:r>
      <w:r w:rsidR="008660A8">
        <w:t> </w:t>
      </w:r>
      <w:r w:rsidRPr="00206B2B">
        <w:t>DCCEEW.</w:t>
      </w:r>
    </w:p>
    <w:p w14:paraId="6D8EDEAC" w14:textId="77789448" w:rsidR="000B6837" w:rsidRPr="00206B2B" w:rsidRDefault="000B6837" w:rsidP="001474D6">
      <w:pPr>
        <w:pStyle w:val="ListBullet2"/>
      </w:pPr>
      <w:r w:rsidRPr="00206B2B">
        <w:lastRenderedPageBreak/>
        <w:t>Focus group discussions with:</w:t>
      </w:r>
      <w:r w:rsidR="00B53A1B" w:rsidRPr="00206B2B">
        <w:t xml:space="preserve"> </w:t>
      </w:r>
      <w:r w:rsidRPr="00206B2B">
        <w:t>Women with lived experience of conflict, displacement, CRSV.</w:t>
      </w:r>
    </w:p>
    <w:p w14:paraId="57F32D71" w14:textId="77777777" w:rsidR="000B6837" w:rsidRPr="00206B2B" w:rsidRDefault="000B6837" w:rsidP="001474D6">
      <w:pPr>
        <w:pStyle w:val="ListBullet3"/>
      </w:pPr>
      <w:r w:rsidRPr="00206B2B">
        <w:t>Youth and emerging leaders in peacebuilding.</w:t>
      </w:r>
    </w:p>
    <w:p w14:paraId="0DB1ED25" w14:textId="574904B5" w:rsidR="00105D31" w:rsidRDefault="000B6837" w:rsidP="001474D6">
      <w:pPr>
        <w:pStyle w:val="ListBullet3"/>
      </w:pPr>
      <w:r w:rsidRPr="00206B2B">
        <w:t>Defence, police, and peacekeeping personnel.</w:t>
      </w:r>
    </w:p>
    <w:p w14:paraId="16827A9B" w14:textId="77777777" w:rsidR="000B6837" w:rsidRPr="00206B2B" w:rsidRDefault="000B6837" w:rsidP="001474D6">
      <w:pPr>
        <w:pStyle w:val="ListBullet"/>
      </w:pPr>
      <w:r w:rsidRPr="00206B2B">
        <w:t>Surveys:</w:t>
      </w:r>
    </w:p>
    <w:p w14:paraId="53C449DD" w14:textId="77777777" w:rsidR="000B6837" w:rsidRPr="00206B2B" w:rsidRDefault="000B6837" w:rsidP="001474D6">
      <w:pPr>
        <w:pStyle w:val="ListBullet2"/>
      </w:pPr>
      <w:r w:rsidRPr="00206B2B">
        <w:t>Online surveys targeting:</w:t>
      </w:r>
    </w:p>
    <w:p w14:paraId="729451EF" w14:textId="77777777" w:rsidR="000B6837" w:rsidRPr="00206B2B" w:rsidRDefault="000B6837" w:rsidP="001474D6">
      <w:pPr>
        <w:pStyle w:val="ListBullet3"/>
      </w:pPr>
      <w:r w:rsidRPr="00206B2B">
        <w:t>Government staff involved in WPS programming.</w:t>
      </w:r>
    </w:p>
    <w:p w14:paraId="1E167B0E" w14:textId="77777777" w:rsidR="000B6837" w:rsidRPr="00206B2B" w:rsidRDefault="000B6837" w:rsidP="001474D6">
      <w:pPr>
        <w:pStyle w:val="ListBullet3"/>
      </w:pPr>
      <w:r w:rsidRPr="00206B2B">
        <w:t>Civil society stakeholders and community-based organisations.</w:t>
      </w:r>
    </w:p>
    <w:p w14:paraId="1FB02FF1" w14:textId="77777777" w:rsidR="000B6837" w:rsidRPr="00206B2B" w:rsidRDefault="000B6837" w:rsidP="001474D6">
      <w:pPr>
        <w:pStyle w:val="ListBullet3"/>
      </w:pPr>
      <w:r w:rsidRPr="00206B2B">
        <w:t>Broader public awareness and perception of the NAP’s impact.</w:t>
      </w:r>
    </w:p>
    <w:p w14:paraId="446F5D52" w14:textId="77777777" w:rsidR="000B6837" w:rsidRPr="00206B2B" w:rsidRDefault="000B6837" w:rsidP="001474D6">
      <w:pPr>
        <w:pStyle w:val="ListBullet"/>
      </w:pPr>
      <w:r w:rsidRPr="00206B2B">
        <w:t>Case Studies:</w:t>
      </w:r>
    </w:p>
    <w:p w14:paraId="6F6EA2A9" w14:textId="77777777" w:rsidR="00B53A1B" w:rsidRPr="00206B2B" w:rsidRDefault="000B6837" w:rsidP="001474D6">
      <w:pPr>
        <w:pStyle w:val="ListBullet2"/>
      </w:pPr>
      <w:r w:rsidRPr="00206B2B">
        <w:t>In-depth case studies of selected initiatives or programs under the NAP,</w:t>
      </w:r>
      <w:r w:rsidR="00B53A1B" w:rsidRPr="00206B2B">
        <w:t xml:space="preserve"> </w:t>
      </w:r>
      <w:r w:rsidRPr="00206B2B">
        <w:t>including:</w:t>
      </w:r>
      <w:r w:rsidR="00B53A1B" w:rsidRPr="00206B2B">
        <w:t xml:space="preserve"> </w:t>
      </w:r>
    </w:p>
    <w:p w14:paraId="09860F83" w14:textId="586E6E9A" w:rsidR="000B6837" w:rsidRPr="00206B2B" w:rsidRDefault="000B6837" w:rsidP="001474D6">
      <w:pPr>
        <w:pStyle w:val="ListBullet2"/>
      </w:pPr>
      <w:r w:rsidRPr="00206B2B">
        <w:t>Domestic initiatives (e.g., community peacebuilding, gender-based</w:t>
      </w:r>
      <w:r w:rsidR="00B53A1B" w:rsidRPr="00206B2B">
        <w:t xml:space="preserve"> </w:t>
      </w:r>
      <w:r w:rsidRPr="00206B2B">
        <w:t>violence prevention).</w:t>
      </w:r>
    </w:p>
    <w:p w14:paraId="0269B521" w14:textId="6DEE419F" w:rsidR="000B6837" w:rsidRPr="00206B2B" w:rsidRDefault="000B6837" w:rsidP="001474D6">
      <w:pPr>
        <w:pStyle w:val="ListBullet2"/>
      </w:pPr>
      <w:r w:rsidRPr="00206B2B">
        <w:t>International deployments or partnerships (e.g., peacekeeping missions,</w:t>
      </w:r>
      <w:r w:rsidR="00B53A1B" w:rsidRPr="00206B2B">
        <w:t xml:space="preserve"> </w:t>
      </w:r>
      <w:r w:rsidRPr="00206B2B">
        <w:t>regional cooperation).</w:t>
      </w:r>
    </w:p>
    <w:p w14:paraId="75C2AF4A" w14:textId="07185294" w:rsidR="000B6837" w:rsidRPr="00206B2B" w:rsidRDefault="000B6837" w:rsidP="001474D6">
      <w:pPr>
        <w:pStyle w:val="ListBullet2"/>
      </w:pPr>
      <w:r w:rsidRPr="00206B2B">
        <w:t>Each case study will assess relevance, effectiveness, sustainability, and</w:t>
      </w:r>
      <w:r w:rsidR="00B53A1B" w:rsidRPr="00206B2B">
        <w:t xml:space="preserve"> </w:t>
      </w:r>
      <w:r w:rsidRPr="00206B2B">
        <w:t>lessons learned.</w:t>
      </w:r>
    </w:p>
    <w:p w14:paraId="0B30EB59" w14:textId="77777777" w:rsidR="00A35519" w:rsidRPr="00206B2B" w:rsidRDefault="00A35519" w:rsidP="001474D6">
      <w:pPr>
        <w:pStyle w:val="ListBullet"/>
      </w:pPr>
      <w:r w:rsidRPr="00206B2B">
        <w:t>Data Analysis:</w:t>
      </w:r>
    </w:p>
    <w:p w14:paraId="6EC175D8" w14:textId="77777777" w:rsidR="00A35519" w:rsidRPr="00206B2B" w:rsidRDefault="00A35519" w:rsidP="001474D6">
      <w:pPr>
        <w:pStyle w:val="ListBullet2"/>
      </w:pPr>
      <w:r w:rsidRPr="00206B2B">
        <w:t>Quantitative analysis of available monitoring data, including indicators from the</w:t>
      </w:r>
    </w:p>
    <w:p w14:paraId="475DA360" w14:textId="77777777" w:rsidR="00A35519" w:rsidRPr="00206B2B" w:rsidRDefault="00A35519" w:rsidP="001474D6">
      <w:pPr>
        <w:pStyle w:val="ListBullet2"/>
      </w:pPr>
      <w:r w:rsidRPr="00206B2B">
        <w:t>NAP’s Monitoring, Evaluation and Learning (MEL) framework.</w:t>
      </w:r>
    </w:p>
    <w:p w14:paraId="70957A6F" w14:textId="476BA216" w:rsidR="00A35519" w:rsidRPr="00206B2B" w:rsidRDefault="00A35519" w:rsidP="001474D6">
      <w:pPr>
        <w:pStyle w:val="ListBullet2"/>
      </w:pPr>
      <w:r w:rsidRPr="00206B2B">
        <w:t>Qualitative thematic analysis of interview and focus group data to identify</w:t>
      </w:r>
      <w:r w:rsidR="00B53A1B" w:rsidRPr="00206B2B">
        <w:t xml:space="preserve"> </w:t>
      </w:r>
      <w:r w:rsidRPr="00206B2B">
        <w:t>patterns, challenges, and success factors.</w:t>
      </w:r>
    </w:p>
    <w:p w14:paraId="5983D7A2" w14:textId="7F2525AC" w:rsidR="00A35519" w:rsidRPr="00206B2B" w:rsidRDefault="00A35519" w:rsidP="001474D6">
      <w:pPr>
        <w:pStyle w:val="ListBullet2"/>
      </w:pPr>
      <w:r w:rsidRPr="00206B2B">
        <w:t>For all outcomes, assess implementation status against planned timelines and</w:t>
      </w:r>
      <w:r w:rsidR="00B53A1B" w:rsidRPr="00206B2B">
        <w:t xml:space="preserve"> </w:t>
      </w:r>
      <w:r w:rsidRPr="00206B2B">
        <w:t>anticipated outcomes.</w:t>
      </w:r>
    </w:p>
    <w:p w14:paraId="3944EBA1" w14:textId="78AA4006" w:rsidR="00A35519" w:rsidRPr="00206B2B" w:rsidRDefault="00A35519" w:rsidP="001474D6">
      <w:pPr>
        <w:pStyle w:val="ListBullet2"/>
      </w:pPr>
      <w:r w:rsidRPr="00206B2B">
        <w:t>Gap analysis to identify areas where data is missing or insufficient for tracking</w:t>
      </w:r>
      <w:r w:rsidR="00B53A1B" w:rsidRPr="00206B2B">
        <w:t xml:space="preserve"> </w:t>
      </w:r>
      <w:r w:rsidRPr="00206B2B">
        <w:t>progress.</w:t>
      </w:r>
    </w:p>
    <w:p w14:paraId="24104E77" w14:textId="77777777" w:rsidR="00A35519" w:rsidRPr="00206B2B" w:rsidRDefault="00A35519" w:rsidP="001474D6">
      <w:pPr>
        <w:pStyle w:val="ListBullet"/>
      </w:pPr>
      <w:r w:rsidRPr="00206B2B">
        <w:t>Ethical Considerations:</w:t>
      </w:r>
    </w:p>
    <w:p w14:paraId="119FFACC" w14:textId="54CBC2C9" w:rsidR="00A35519" w:rsidRPr="00206B2B" w:rsidRDefault="00A35519" w:rsidP="001474D6">
      <w:pPr>
        <w:pStyle w:val="ListBullet2"/>
      </w:pPr>
      <w:r w:rsidRPr="00206B2B">
        <w:t>The review will adhere to ethical research standards, including informed</w:t>
      </w:r>
      <w:r w:rsidR="00B53A1B" w:rsidRPr="00206B2B">
        <w:t xml:space="preserve"> </w:t>
      </w:r>
      <w:r w:rsidRPr="00206B2B">
        <w:t>consent, confidentiality, and cultural sensitivity.</w:t>
      </w:r>
    </w:p>
    <w:p w14:paraId="16B47061" w14:textId="27468B57" w:rsidR="00D83BA6" w:rsidRPr="001474D6" w:rsidRDefault="00A35519" w:rsidP="001474D6">
      <w:pPr>
        <w:pStyle w:val="ListBullet2"/>
        <w:spacing w:before="0" w:after="200" w:line="276" w:lineRule="auto"/>
        <w:rPr>
          <w:rFonts w:asciiTheme="minorHAnsi" w:eastAsiaTheme="minorHAnsi" w:hAnsiTheme="minorHAnsi"/>
          <w:kern w:val="2"/>
          <w14:ligatures w14:val="standardContextual"/>
        </w:rPr>
      </w:pPr>
      <w:r w:rsidRPr="00206B2B">
        <w:t>Special attention will be given to ensuring safe and respectful engagement with</w:t>
      </w:r>
      <w:r w:rsidR="00B53A1B" w:rsidRPr="00206B2B">
        <w:t xml:space="preserve"> </w:t>
      </w:r>
      <w:r w:rsidRPr="00206B2B">
        <w:t>vulnerable and marginalised groups.</w:t>
      </w:r>
    </w:p>
    <w:p w14:paraId="11BD73E4" w14:textId="2ED99C1F" w:rsidR="007C686A" w:rsidRPr="00206B2B" w:rsidRDefault="007C686A" w:rsidP="00DD1D9F">
      <w:pPr>
        <w:pStyle w:val="Heading4"/>
      </w:pPr>
      <w:r w:rsidRPr="00206B2B">
        <w:t>6. Deliverables</w:t>
      </w:r>
    </w:p>
    <w:p w14:paraId="3815ABFD" w14:textId="51DE8F14" w:rsidR="007C686A" w:rsidRPr="00206B2B" w:rsidRDefault="007C686A" w:rsidP="001474D6">
      <w:pPr>
        <w:pStyle w:val="ListBullet"/>
      </w:pPr>
      <w:r w:rsidRPr="00206B2B">
        <w:t>Inception Report: Detailing methodology, workplan, and stakeholder engagement</w:t>
      </w:r>
      <w:r w:rsidR="00B53A1B" w:rsidRPr="00206B2B">
        <w:t xml:space="preserve"> </w:t>
      </w:r>
      <w:r w:rsidRPr="00206B2B">
        <w:t>strategy.</w:t>
      </w:r>
    </w:p>
    <w:p w14:paraId="4BA1BAF0" w14:textId="6CF4B08A" w:rsidR="007C686A" w:rsidRPr="00206B2B" w:rsidRDefault="007C686A" w:rsidP="001474D6">
      <w:pPr>
        <w:pStyle w:val="ListBullet"/>
      </w:pPr>
      <w:r w:rsidRPr="00206B2B">
        <w:t>Draft Mid-Term Review Report: Including preliminary findings and</w:t>
      </w:r>
      <w:r w:rsidR="00B53A1B" w:rsidRPr="00206B2B">
        <w:t xml:space="preserve"> </w:t>
      </w:r>
      <w:r w:rsidRPr="00206B2B">
        <w:t>recommendations.</w:t>
      </w:r>
    </w:p>
    <w:p w14:paraId="168D77DC" w14:textId="77777777" w:rsidR="007C686A" w:rsidRPr="00206B2B" w:rsidRDefault="007C686A" w:rsidP="001474D6">
      <w:pPr>
        <w:pStyle w:val="ListBullet"/>
      </w:pPr>
      <w:r w:rsidRPr="00206B2B">
        <w:t>Final Mid-Term Review Report: Incorporating feedback and presenting final analysis.</w:t>
      </w:r>
    </w:p>
    <w:p w14:paraId="2BA3D8FF" w14:textId="26AA7E1B" w:rsidR="00DD1D9F" w:rsidRDefault="007C686A" w:rsidP="001474D6">
      <w:pPr>
        <w:pStyle w:val="ListBullet"/>
      </w:pPr>
      <w:r w:rsidRPr="00206B2B">
        <w:t>Presentation to Government and Stakeholders: Summary of key findings and</w:t>
      </w:r>
      <w:r w:rsidR="00B53A1B" w:rsidRPr="00206B2B">
        <w:t xml:space="preserve"> </w:t>
      </w:r>
      <w:r w:rsidRPr="00206B2B">
        <w:t>recommendations.</w:t>
      </w:r>
      <w:r w:rsidR="00DD1D9F">
        <w:br w:type="page"/>
      </w:r>
    </w:p>
    <w:p w14:paraId="47C86E7A" w14:textId="6D472747" w:rsidR="007C686A" w:rsidRPr="00206B2B" w:rsidRDefault="007C686A" w:rsidP="00DD1D9F">
      <w:pPr>
        <w:pStyle w:val="Heading4"/>
      </w:pPr>
      <w:r w:rsidRPr="00206B2B">
        <w:lastRenderedPageBreak/>
        <w:t>7. Governance and Oversight</w:t>
      </w:r>
    </w:p>
    <w:p w14:paraId="23D47FC6" w14:textId="108DC911" w:rsidR="007C686A" w:rsidRPr="00206B2B" w:rsidRDefault="007C686A" w:rsidP="00341C3D">
      <w:pPr>
        <w:pStyle w:val="BodyText"/>
      </w:pPr>
      <w:r w:rsidRPr="00206B2B">
        <w:t>The review will be commissioned by the DFAT, in consultation with the NAP’s</w:t>
      </w:r>
      <w:r w:rsidR="00B53A1B" w:rsidRPr="00206B2B">
        <w:t xml:space="preserve"> </w:t>
      </w:r>
      <w:r w:rsidRPr="00206B2B">
        <w:t xml:space="preserve">Monitoring and Evaluation Working Group and the NAP </w:t>
      </w:r>
      <w:r w:rsidR="0021495A" w:rsidRPr="00206B2B">
        <w:t>IDC</w:t>
      </w:r>
      <w:r w:rsidR="00B53A1B" w:rsidRPr="00206B2B">
        <w:t xml:space="preserve"> </w:t>
      </w:r>
      <w:r w:rsidRPr="00206B2B">
        <w:t>as required.</w:t>
      </w:r>
    </w:p>
    <w:p w14:paraId="3D7C1D2D" w14:textId="34FEEBE7" w:rsidR="007C686A" w:rsidRPr="00206B2B" w:rsidRDefault="007C686A" w:rsidP="00341C3D">
      <w:pPr>
        <w:pStyle w:val="BodyText"/>
      </w:pPr>
      <w:r w:rsidRPr="00206B2B">
        <w:t>An Advisory Group comprising government, civil society, and academic representatives</w:t>
      </w:r>
      <w:r w:rsidR="00B53A1B" w:rsidRPr="00206B2B">
        <w:t xml:space="preserve"> </w:t>
      </w:r>
      <w:r w:rsidRPr="00206B2B">
        <w:t>will provide oversight and guidance (TBC).</w:t>
      </w:r>
    </w:p>
    <w:p w14:paraId="08E17692" w14:textId="073A7B3E" w:rsidR="001B1AE3" w:rsidRPr="00206B2B" w:rsidRDefault="00105D31" w:rsidP="00105D31">
      <w:pPr>
        <w:pStyle w:val="Caption"/>
      </w:pPr>
      <w:r>
        <w:t xml:space="preserve">Table </w:t>
      </w:r>
      <w:r>
        <w:fldChar w:fldCharType="begin"/>
      </w:r>
      <w:r>
        <w:instrText xml:space="preserve"> SEQ Table \* ARABIC </w:instrText>
      </w:r>
      <w:r>
        <w:fldChar w:fldCharType="separate"/>
      </w:r>
      <w:r w:rsidR="009E05C9">
        <w:rPr>
          <w:noProof/>
        </w:rPr>
        <w:t>4</w:t>
      </w:r>
      <w:r>
        <w:fldChar w:fldCharType="end"/>
      </w:r>
      <w:r>
        <w:t xml:space="preserve"> </w:t>
      </w:r>
      <w:r w:rsidR="001B1AE3" w:rsidRPr="00206B2B">
        <w:t>First Addendum: Timetable</w:t>
      </w:r>
    </w:p>
    <w:tbl>
      <w:tblPr>
        <w:tblStyle w:val="KPMGTable"/>
        <w:tblW w:w="5000" w:type="pct"/>
        <w:tblLook w:val="04A0" w:firstRow="1" w:lastRow="0" w:firstColumn="1" w:lastColumn="0" w:noHBand="0" w:noVBand="1"/>
      </w:tblPr>
      <w:tblGrid>
        <w:gridCol w:w="2770"/>
        <w:gridCol w:w="7435"/>
      </w:tblGrid>
      <w:tr w:rsidR="00F20D33" w14:paraId="156ACBE7" w14:textId="77777777" w:rsidTr="00105D3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tcPr>
          <w:p w14:paraId="2D2B009E" w14:textId="18D827E3" w:rsidR="00CE5554" w:rsidRPr="00105D31" w:rsidRDefault="00CE5554" w:rsidP="00105D31">
            <w:r w:rsidRPr="00105D31">
              <w:t>Date</w:t>
            </w:r>
          </w:p>
        </w:tc>
        <w:tc>
          <w:tcPr>
            <w:tcW w:w="3643" w:type="pct"/>
          </w:tcPr>
          <w:p w14:paraId="65C36E49" w14:textId="15F52B19" w:rsidR="00CE5554" w:rsidRPr="00105D31" w:rsidRDefault="00CE5554" w:rsidP="00105D31">
            <w:pPr>
              <w:cnfStyle w:val="100000000000" w:firstRow="1" w:lastRow="0" w:firstColumn="0" w:lastColumn="0" w:oddVBand="0" w:evenVBand="0" w:oddHBand="0" w:evenHBand="0" w:firstRowFirstColumn="0" w:firstRowLastColumn="0" w:lastRowFirstColumn="0" w:lastRowLastColumn="0"/>
            </w:pPr>
            <w:r w:rsidRPr="00105D31">
              <w:t>Action</w:t>
            </w:r>
          </w:p>
        </w:tc>
      </w:tr>
      <w:tr w:rsidR="00F20D33" w14:paraId="7F471C9F" w14:textId="77777777" w:rsidTr="00105D3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tcPr>
          <w:p w14:paraId="3D1D072E" w14:textId="0D91224E" w:rsidR="00CE5554" w:rsidRPr="00206B2B" w:rsidRDefault="00CE5554" w:rsidP="00341C3D">
            <w:pPr>
              <w:pStyle w:val="TableText"/>
            </w:pPr>
            <w:r w:rsidRPr="00206B2B">
              <w:t>30 September</w:t>
            </w:r>
          </w:p>
        </w:tc>
        <w:tc>
          <w:tcPr>
            <w:tcW w:w="3643" w:type="pct"/>
          </w:tcPr>
          <w:p w14:paraId="1DA93446" w14:textId="49C63C19" w:rsidR="00CE5554" w:rsidRPr="00206B2B" w:rsidRDefault="00CE5554" w:rsidP="001A02B2">
            <w:pPr>
              <w:pStyle w:val="TableText"/>
              <w:cnfStyle w:val="000000100000" w:firstRow="0" w:lastRow="0" w:firstColumn="0" w:lastColumn="0" w:oddVBand="0" w:evenVBand="0" w:oddHBand="1" w:evenHBand="0" w:firstRowFirstColumn="0" w:firstRowLastColumn="0" w:lastRowFirstColumn="0" w:lastRowLastColumn="0"/>
            </w:pPr>
            <w:r w:rsidRPr="00206B2B">
              <w:t>Contractual arrangement with consultant commences.</w:t>
            </w:r>
          </w:p>
        </w:tc>
      </w:tr>
      <w:tr w:rsidR="00F20D33" w14:paraId="49D508E3" w14:textId="77777777" w:rsidTr="00105D31">
        <w:trPr>
          <w:trHeight w:val="20"/>
        </w:trPr>
        <w:tc>
          <w:tcPr>
            <w:cnfStyle w:val="001000000000" w:firstRow="0" w:lastRow="0" w:firstColumn="1" w:lastColumn="0" w:oddVBand="0" w:evenVBand="0" w:oddHBand="0" w:evenHBand="0" w:firstRowFirstColumn="0" w:firstRowLastColumn="0" w:lastRowFirstColumn="0" w:lastRowLastColumn="0"/>
            <w:tcW w:w="1357" w:type="pct"/>
          </w:tcPr>
          <w:p w14:paraId="6621ECA1" w14:textId="0BC7688F" w:rsidR="00CE5554" w:rsidRPr="00206B2B" w:rsidRDefault="00CE5554" w:rsidP="00341C3D">
            <w:pPr>
              <w:pStyle w:val="TableText"/>
            </w:pPr>
            <w:r w:rsidRPr="00206B2B">
              <w:t>15 October</w:t>
            </w:r>
          </w:p>
        </w:tc>
        <w:tc>
          <w:tcPr>
            <w:tcW w:w="3643" w:type="pct"/>
          </w:tcPr>
          <w:p w14:paraId="3E7FD9D8" w14:textId="30A5D1B8" w:rsidR="00CE5554" w:rsidRPr="00206B2B" w:rsidRDefault="00CE5554" w:rsidP="001A02B2">
            <w:pPr>
              <w:pStyle w:val="TableText"/>
              <w:cnfStyle w:val="000000000000" w:firstRow="0" w:lastRow="0" w:firstColumn="0" w:lastColumn="0" w:oddVBand="0" w:evenVBand="0" w:oddHBand="0" w:evenHBand="0" w:firstRowFirstColumn="0" w:firstRowLastColumn="0" w:lastRowFirstColumn="0" w:lastRowLastColumn="0"/>
            </w:pPr>
            <w:r w:rsidRPr="00206B2B">
              <w:t>Inception Report due (methodology, workplan, stakeholder engagement strategy).</w:t>
            </w:r>
          </w:p>
        </w:tc>
      </w:tr>
      <w:tr w:rsidR="00F20D33" w14:paraId="2342BA2F" w14:textId="77777777" w:rsidTr="00105D3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tcPr>
          <w:p w14:paraId="0CC2C901" w14:textId="57173C18" w:rsidR="00CE5554" w:rsidRPr="00206B2B" w:rsidRDefault="00CE5554" w:rsidP="00341C3D">
            <w:pPr>
              <w:pStyle w:val="TableText"/>
            </w:pPr>
            <w:r w:rsidRPr="00206B2B">
              <w:t>28 November</w:t>
            </w:r>
          </w:p>
        </w:tc>
        <w:tc>
          <w:tcPr>
            <w:tcW w:w="3643" w:type="pct"/>
          </w:tcPr>
          <w:p w14:paraId="27A5EB5B" w14:textId="5B72F1E8" w:rsidR="00CE5554" w:rsidRPr="00206B2B" w:rsidRDefault="00CE5554" w:rsidP="001A02B2">
            <w:pPr>
              <w:pStyle w:val="TableText"/>
              <w:cnfStyle w:val="000000100000" w:firstRow="0" w:lastRow="0" w:firstColumn="0" w:lastColumn="0" w:oddVBand="0" w:evenVBand="0" w:oddHBand="1" w:evenHBand="0" w:firstRowFirstColumn="0" w:firstRowLastColumn="0" w:lastRowFirstColumn="0" w:lastRowLastColumn="0"/>
            </w:pPr>
            <w:r w:rsidRPr="00206B2B">
              <w:t>Draft Report due (preliminary findings and recommendations)</w:t>
            </w:r>
            <w:r w:rsidR="00B77D89" w:rsidRPr="00206B2B">
              <w:t>.</w:t>
            </w:r>
          </w:p>
        </w:tc>
      </w:tr>
      <w:tr w:rsidR="00F20D33" w14:paraId="7CB43BD8" w14:textId="77777777" w:rsidTr="00105D31">
        <w:trPr>
          <w:trHeight w:val="20"/>
        </w:trPr>
        <w:tc>
          <w:tcPr>
            <w:cnfStyle w:val="001000000000" w:firstRow="0" w:lastRow="0" w:firstColumn="1" w:lastColumn="0" w:oddVBand="0" w:evenVBand="0" w:oddHBand="0" w:evenHBand="0" w:firstRowFirstColumn="0" w:firstRowLastColumn="0" w:lastRowFirstColumn="0" w:lastRowLastColumn="0"/>
            <w:tcW w:w="1357" w:type="pct"/>
          </w:tcPr>
          <w:p w14:paraId="51ED526C" w14:textId="64A2E776" w:rsidR="00CE5554" w:rsidRPr="00206B2B" w:rsidRDefault="00CE5554" w:rsidP="00341C3D">
            <w:pPr>
              <w:pStyle w:val="TableText"/>
            </w:pPr>
            <w:r w:rsidRPr="00206B2B">
              <w:t>15 December</w:t>
            </w:r>
          </w:p>
        </w:tc>
        <w:tc>
          <w:tcPr>
            <w:tcW w:w="3643" w:type="pct"/>
          </w:tcPr>
          <w:p w14:paraId="187FDFAA" w14:textId="15FDDEC8" w:rsidR="00CE5554" w:rsidRPr="00206B2B" w:rsidRDefault="00CE5554" w:rsidP="001A02B2">
            <w:pPr>
              <w:pStyle w:val="TableText"/>
              <w:cnfStyle w:val="000000000000" w:firstRow="0" w:lastRow="0" w:firstColumn="0" w:lastColumn="0" w:oddVBand="0" w:evenVBand="0" w:oddHBand="0" w:evenHBand="0" w:firstRowFirstColumn="0" w:firstRowLastColumn="0" w:lastRowFirstColumn="0" w:lastRowLastColumn="0"/>
            </w:pPr>
            <w:r w:rsidRPr="00206B2B">
              <w:t>Final Report due</w:t>
            </w:r>
            <w:r w:rsidR="00B77D89" w:rsidRPr="00206B2B">
              <w:t>.</w:t>
            </w:r>
          </w:p>
        </w:tc>
      </w:tr>
      <w:tr w:rsidR="00F20D33" w14:paraId="1C0C7C13" w14:textId="77777777" w:rsidTr="00105D3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tcPr>
          <w:p w14:paraId="2968CB6D" w14:textId="46A5DD3B" w:rsidR="00CE5554" w:rsidRPr="00206B2B" w:rsidRDefault="00CE5554" w:rsidP="00341C3D">
            <w:pPr>
              <w:pStyle w:val="TableText"/>
            </w:pPr>
            <w:r w:rsidRPr="00206B2B">
              <w:t>15 December</w:t>
            </w:r>
          </w:p>
        </w:tc>
        <w:tc>
          <w:tcPr>
            <w:tcW w:w="3643" w:type="pct"/>
          </w:tcPr>
          <w:p w14:paraId="3450D51D" w14:textId="0DD15122" w:rsidR="00CE5554" w:rsidRPr="00206B2B" w:rsidRDefault="00CE5554" w:rsidP="001A02B2">
            <w:pPr>
              <w:pStyle w:val="TableText"/>
              <w:cnfStyle w:val="000000100000" w:firstRow="0" w:lastRow="0" w:firstColumn="0" w:lastColumn="0" w:oddVBand="0" w:evenVBand="0" w:oddHBand="1" w:evenHBand="0" w:firstRowFirstColumn="0" w:firstRowLastColumn="0" w:lastRowFirstColumn="0" w:lastRowLastColumn="0"/>
            </w:pPr>
            <w:r w:rsidRPr="00206B2B">
              <w:t>Presentation to Government and Stakeholders</w:t>
            </w:r>
            <w:r w:rsidR="00B77D89" w:rsidRPr="00206B2B">
              <w:t>.</w:t>
            </w:r>
          </w:p>
        </w:tc>
      </w:tr>
      <w:tr w:rsidR="00F20D33" w14:paraId="4EC8B51E" w14:textId="77777777" w:rsidTr="00105D31">
        <w:trPr>
          <w:trHeight w:val="20"/>
        </w:trPr>
        <w:tc>
          <w:tcPr>
            <w:cnfStyle w:val="001000000000" w:firstRow="0" w:lastRow="0" w:firstColumn="1" w:lastColumn="0" w:oddVBand="0" w:evenVBand="0" w:oddHBand="0" w:evenHBand="0" w:firstRowFirstColumn="0" w:firstRowLastColumn="0" w:lastRowFirstColumn="0" w:lastRowLastColumn="0"/>
            <w:tcW w:w="1357" w:type="pct"/>
          </w:tcPr>
          <w:p w14:paraId="063CA14C" w14:textId="16207EAC" w:rsidR="00CE5554" w:rsidRPr="00206B2B" w:rsidRDefault="00CE5554" w:rsidP="00341C3D">
            <w:pPr>
              <w:pStyle w:val="TableText"/>
            </w:pPr>
            <w:r w:rsidRPr="00206B2B">
              <w:t>20 December</w:t>
            </w:r>
          </w:p>
        </w:tc>
        <w:tc>
          <w:tcPr>
            <w:tcW w:w="3643" w:type="pct"/>
          </w:tcPr>
          <w:p w14:paraId="5F049B5A" w14:textId="73AABA9F" w:rsidR="00CE5554" w:rsidRPr="00206B2B" w:rsidRDefault="00CE5554" w:rsidP="001A02B2">
            <w:pPr>
              <w:pStyle w:val="TableText"/>
              <w:cnfStyle w:val="000000000000" w:firstRow="0" w:lastRow="0" w:firstColumn="0" w:lastColumn="0" w:oddVBand="0" w:evenVBand="0" w:oddHBand="0" w:evenHBand="0" w:firstRowFirstColumn="0" w:firstRowLastColumn="0" w:lastRowFirstColumn="0" w:lastRowLastColumn="0"/>
            </w:pPr>
            <w:r w:rsidRPr="00206B2B">
              <w:t>Contract end date (with extension period)</w:t>
            </w:r>
            <w:r w:rsidR="00B77D89" w:rsidRPr="00206B2B">
              <w:t>.</w:t>
            </w:r>
          </w:p>
        </w:tc>
      </w:tr>
      <w:tr w:rsidR="00F20D33" w14:paraId="2B57A974" w14:textId="77777777" w:rsidTr="00105D3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tcPr>
          <w:p w14:paraId="04D92F8C" w14:textId="01E487A4" w:rsidR="00CE5554" w:rsidRPr="00206B2B" w:rsidRDefault="00CE5554" w:rsidP="00341C3D">
            <w:pPr>
              <w:pStyle w:val="TableText"/>
            </w:pPr>
            <w:r w:rsidRPr="00206B2B">
              <w:t>15 January</w:t>
            </w:r>
          </w:p>
        </w:tc>
        <w:tc>
          <w:tcPr>
            <w:tcW w:w="3643" w:type="pct"/>
          </w:tcPr>
          <w:p w14:paraId="1B01B3B3" w14:textId="278AE530" w:rsidR="00CE5554" w:rsidRPr="00206B2B" w:rsidRDefault="00CE5554" w:rsidP="001A02B2">
            <w:pPr>
              <w:pStyle w:val="TableText"/>
              <w:cnfStyle w:val="000000100000" w:firstRow="0" w:lastRow="0" w:firstColumn="0" w:lastColumn="0" w:oddVBand="0" w:evenVBand="0" w:oddHBand="1" w:evenHBand="0" w:firstRowFirstColumn="0" w:firstRowLastColumn="0" w:lastRowFirstColumn="0" w:lastRowLastColumn="0"/>
            </w:pPr>
            <w:r w:rsidRPr="00206B2B">
              <w:t>Final contract end date</w:t>
            </w:r>
            <w:r w:rsidR="00B77D89" w:rsidRPr="00206B2B">
              <w:t>.</w:t>
            </w:r>
          </w:p>
        </w:tc>
      </w:tr>
    </w:tbl>
    <w:p w14:paraId="5CD72127" w14:textId="77777777" w:rsidR="00A31AD4" w:rsidRPr="00206B2B" w:rsidRDefault="00A31AD4" w:rsidP="001A02B2">
      <w:pPr>
        <w:pStyle w:val="BodyText"/>
      </w:pPr>
    </w:p>
    <w:p w14:paraId="785C9F8C" w14:textId="77777777" w:rsidR="00A31AD4" w:rsidRPr="00206B2B" w:rsidRDefault="00A31AD4" w:rsidP="005B007A">
      <w:pPr>
        <w:spacing w:before="0" w:after="200" w:line="276" w:lineRule="auto"/>
        <w:sectPr w:rsidR="00A31AD4" w:rsidRPr="00206B2B" w:rsidSect="00C548A0">
          <w:type w:val="nextColumn"/>
          <w:pgSz w:w="11907" w:h="16840" w:code="1"/>
          <w:pgMar w:top="851" w:right="851" w:bottom="1134" w:left="851" w:header="680" w:footer="283" w:gutter="0"/>
          <w:cols w:space="720"/>
          <w:docGrid w:linePitch="360"/>
        </w:sectPr>
      </w:pPr>
    </w:p>
    <w:p w14:paraId="1B97FCD4" w14:textId="5DBABCB6" w:rsidR="00171714" w:rsidRDefault="00A31AD4" w:rsidP="00944D24">
      <w:pPr>
        <w:pStyle w:val="Heading1"/>
      </w:pPr>
      <w:bookmarkStart w:id="20" w:name="_Appendix_B:_International"/>
      <w:bookmarkStart w:id="21" w:name="_Toc230774050"/>
      <w:bookmarkEnd w:id="20"/>
      <w:r w:rsidRPr="00206B2B">
        <w:lastRenderedPageBreak/>
        <w:t>A</w:t>
      </w:r>
      <w:r w:rsidR="0096774C" w:rsidRPr="00206B2B">
        <w:t>ppendix B:</w:t>
      </w:r>
      <w:r w:rsidRPr="00206B2B">
        <w:t xml:space="preserve"> International Comparator Analysis</w:t>
      </w:r>
      <w:bookmarkEnd w:id="21"/>
    </w:p>
    <w:p w14:paraId="31033F15" w14:textId="1069A6CC" w:rsidR="00C42467" w:rsidRPr="005F6B29" w:rsidRDefault="00C42467" w:rsidP="0002181C">
      <w:pPr>
        <w:rPr>
          <w:rStyle w:val="Strong"/>
        </w:rPr>
      </w:pPr>
      <w:r w:rsidRPr="005F6B29">
        <w:rPr>
          <w:rStyle w:val="Strong"/>
        </w:rPr>
        <w:t>NAP Period</w:t>
      </w:r>
    </w:p>
    <w:tbl>
      <w:tblPr>
        <w:tblStyle w:val="KPMGTable"/>
        <w:tblW w:w="15314" w:type="dxa"/>
        <w:tblLayout w:type="fixed"/>
        <w:tblLook w:val="0420" w:firstRow="1" w:lastRow="0" w:firstColumn="0" w:lastColumn="0" w:noHBand="0" w:noVBand="1"/>
      </w:tblPr>
      <w:tblGrid>
        <w:gridCol w:w="2625"/>
        <w:gridCol w:w="3313"/>
        <w:gridCol w:w="3063"/>
        <w:gridCol w:w="3250"/>
        <w:gridCol w:w="3063"/>
      </w:tblGrid>
      <w:tr w:rsidR="00C42467" w:rsidRPr="00206B2B" w14:paraId="3DB97A55" w14:textId="77777777" w:rsidTr="00C42467">
        <w:trPr>
          <w:cnfStyle w:val="100000000000" w:firstRow="1" w:lastRow="0" w:firstColumn="0" w:lastColumn="0" w:oddVBand="0" w:evenVBand="0" w:oddHBand="0" w:evenHBand="0" w:firstRowFirstColumn="0" w:firstRowLastColumn="0" w:lastRowFirstColumn="0" w:lastRowLastColumn="0"/>
          <w:trHeight w:val="329"/>
        </w:trPr>
        <w:tc>
          <w:tcPr>
            <w:tcW w:w="2625" w:type="dxa"/>
            <w:tcMar>
              <w:left w:w="57" w:type="dxa"/>
              <w:right w:w="57" w:type="dxa"/>
            </w:tcMar>
          </w:tcPr>
          <w:p w14:paraId="76A310BE" w14:textId="77777777" w:rsidR="00C42467" w:rsidRPr="001A02B2" w:rsidRDefault="00C42467" w:rsidP="00F55D9A">
            <w:pPr>
              <w:pStyle w:val="TableText"/>
            </w:pPr>
            <w:r w:rsidRPr="001A02B2">
              <w:t>Japan</w:t>
            </w:r>
          </w:p>
        </w:tc>
        <w:tc>
          <w:tcPr>
            <w:tcW w:w="3313" w:type="dxa"/>
            <w:tcMar>
              <w:left w:w="57" w:type="dxa"/>
              <w:right w:w="57" w:type="dxa"/>
            </w:tcMar>
          </w:tcPr>
          <w:p w14:paraId="68C6519E" w14:textId="77777777" w:rsidR="00C42467" w:rsidRPr="001A02B2" w:rsidRDefault="00C42467" w:rsidP="00F55D9A">
            <w:pPr>
              <w:pStyle w:val="TableText"/>
            </w:pPr>
            <w:r w:rsidRPr="001A02B2">
              <w:t>United Kingdom</w:t>
            </w:r>
          </w:p>
        </w:tc>
        <w:tc>
          <w:tcPr>
            <w:tcW w:w="3063" w:type="dxa"/>
            <w:tcMar>
              <w:left w:w="57" w:type="dxa"/>
              <w:right w:w="57" w:type="dxa"/>
            </w:tcMar>
          </w:tcPr>
          <w:p w14:paraId="1B35F956" w14:textId="77777777" w:rsidR="00C42467" w:rsidRPr="001A02B2" w:rsidRDefault="00C42467" w:rsidP="00F55D9A">
            <w:pPr>
              <w:pStyle w:val="TableText"/>
            </w:pPr>
            <w:r w:rsidRPr="001A02B2">
              <w:t>Canada</w:t>
            </w:r>
          </w:p>
        </w:tc>
        <w:tc>
          <w:tcPr>
            <w:tcW w:w="3250" w:type="dxa"/>
            <w:tcMar>
              <w:left w:w="57" w:type="dxa"/>
              <w:right w:w="57" w:type="dxa"/>
            </w:tcMar>
          </w:tcPr>
          <w:p w14:paraId="706B67AD" w14:textId="54BADA0A" w:rsidR="00C42467" w:rsidRPr="001A02B2" w:rsidRDefault="00C42467" w:rsidP="00F55D9A">
            <w:pPr>
              <w:pStyle w:val="TableText"/>
            </w:pPr>
            <w:r w:rsidRPr="001A02B2">
              <w:t>Philippines</w:t>
            </w:r>
          </w:p>
        </w:tc>
        <w:tc>
          <w:tcPr>
            <w:tcW w:w="3063" w:type="dxa"/>
            <w:tcMar>
              <w:left w:w="57" w:type="dxa"/>
              <w:right w:w="57" w:type="dxa"/>
            </w:tcMar>
          </w:tcPr>
          <w:p w14:paraId="00AB110B" w14:textId="77777777" w:rsidR="00C42467" w:rsidRPr="001A02B2" w:rsidRDefault="00C42467" w:rsidP="00F55D9A">
            <w:pPr>
              <w:pStyle w:val="TableText"/>
            </w:pPr>
            <w:r w:rsidRPr="001A02B2">
              <w:t>Australia</w:t>
            </w:r>
          </w:p>
        </w:tc>
      </w:tr>
      <w:tr w:rsidR="00C42467" w:rsidRPr="00206B2B" w14:paraId="4C0F987F" w14:textId="77777777" w:rsidTr="00C42467">
        <w:trPr>
          <w:cnfStyle w:val="000000100000" w:firstRow="0" w:lastRow="0" w:firstColumn="0" w:lastColumn="0" w:oddVBand="0" w:evenVBand="0" w:oddHBand="1" w:evenHBand="0" w:firstRowFirstColumn="0" w:firstRowLastColumn="0" w:lastRowFirstColumn="0" w:lastRowLastColumn="0"/>
          <w:trHeight w:val="329"/>
        </w:trPr>
        <w:tc>
          <w:tcPr>
            <w:tcW w:w="2625" w:type="dxa"/>
            <w:tcMar>
              <w:left w:w="57" w:type="dxa"/>
              <w:right w:w="57" w:type="dxa"/>
            </w:tcMar>
          </w:tcPr>
          <w:p w14:paraId="2D7E800E" w14:textId="77777777" w:rsidR="00C42467" w:rsidRPr="00DF63CB" w:rsidRDefault="00C42467" w:rsidP="00F55D9A">
            <w:pPr>
              <w:pStyle w:val="TableText"/>
              <w:rPr>
                <w:lang w:eastAsia="en-AU"/>
              </w:rPr>
            </w:pPr>
            <w:r w:rsidRPr="00DF63CB">
              <w:rPr>
                <w:lang w:eastAsia="en-AU"/>
              </w:rPr>
              <w:t>2023-2028</w:t>
            </w:r>
          </w:p>
        </w:tc>
        <w:tc>
          <w:tcPr>
            <w:tcW w:w="3313" w:type="dxa"/>
            <w:tcMar>
              <w:left w:w="57" w:type="dxa"/>
              <w:right w:w="57" w:type="dxa"/>
            </w:tcMar>
          </w:tcPr>
          <w:p w14:paraId="69036F54" w14:textId="77777777" w:rsidR="00C42467" w:rsidRPr="00DF63CB" w:rsidRDefault="00C42467" w:rsidP="00F55D9A">
            <w:pPr>
              <w:pStyle w:val="TableText"/>
              <w:rPr>
                <w:lang w:eastAsia="en-AU"/>
              </w:rPr>
            </w:pPr>
            <w:r w:rsidRPr="00DF63CB">
              <w:rPr>
                <w:lang w:eastAsia="en-AU"/>
              </w:rPr>
              <w:t>2023-2027</w:t>
            </w:r>
          </w:p>
        </w:tc>
        <w:tc>
          <w:tcPr>
            <w:tcW w:w="3063" w:type="dxa"/>
            <w:tcMar>
              <w:left w:w="57" w:type="dxa"/>
              <w:right w:w="57" w:type="dxa"/>
            </w:tcMar>
          </w:tcPr>
          <w:p w14:paraId="43D2C5FA" w14:textId="77777777" w:rsidR="00C42467" w:rsidRPr="00DF63CB" w:rsidRDefault="00C42467" w:rsidP="00F55D9A">
            <w:pPr>
              <w:pStyle w:val="TableText"/>
              <w:rPr>
                <w:lang w:eastAsia="en-AU"/>
              </w:rPr>
            </w:pPr>
            <w:r w:rsidRPr="00DF63CB">
              <w:rPr>
                <w:lang w:eastAsia="en-AU"/>
              </w:rPr>
              <w:t>2023-2029</w:t>
            </w:r>
          </w:p>
        </w:tc>
        <w:tc>
          <w:tcPr>
            <w:tcW w:w="3250" w:type="dxa"/>
            <w:tcMar>
              <w:left w:w="57" w:type="dxa"/>
              <w:right w:w="57" w:type="dxa"/>
            </w:tcMar>
          </w:tcPr>
          <w:p w14:paraId="26A0481B" w14:textId="499B13C8" w:rsidR="00C42467" w:rsidRPr="00DF63CB" w:rsidRDefault="00C42467" w:rsidP="00F55D9A">
            <w:pPr>
              <w:pStyle w:val="TableText"/>
              <w:rPr>
                <w:lang w:eastAsia="en-AU"/>
              </w:rPr>
            </w:pPr>
            <w:r w:rsidRPr="00DF63CB">
              <w:rPr>
                <w:lang w:eastAsia="en-AU"/>
              </w:rPr>
              <w:t>2023-2033</w:t>
            </w:r>
          </w:p>
        </w:tc>
        <w:tc>
          <w:tcPr>
            <w:tcW w:w="3063" w:type="dxa"/>
            <w:tcMar>
              <w:left w:w="57" w:type="dxa"/>
              <w:right w:w="57" w:type="dxa"/>
            </w:tcMar>
          </w:tcPr>
          <w:p w14:paraId="0801E735" w14:textId="77777777" w:rsidR="00C42467" w:rsidRPr="00DF63CB" w:rsidRDefault="00C42467" w:rsidP="00F55D9A">
            <w:pPr>
              <w:pStyle w:val="TableText"/>
              <w:rPr>
                <w:lang w:eastAsia="en-AU"/>
              </w:rPr>
            </w:pPr>
            <w:r w:rsidRPr="00DF63CB">
              <w:rPr>
                <w:lang w:eastAsia="en-AU"/>
              </w:rPr>
              <w:t>2021-2031</w:t>
            </w:r>
          </w:p>
        </w:tc>
      </w:tr>
    </w:tbl>
    <w:p w14:paraId="79826B57" w14:textId="4030A0FF" w:rsidR="00137003" w:rsidRPr="005F6B29" w:rsidRDefault="00137003" w:rsidP="005F6B29">
      <w:pPr>
        <w:rPr>
          <w:rStyle w:val="Strong"/>
        </w:rPr>
      </w:pPr>
      <w:r w:rsidRPr="005F6B29">
        <w:rPr>
          <w:rStyle w:val="Strong"/>
        </w:rPr>
        <w:t>First Implemented/ Frequency of Update</w:t>
      </w:r>
    </w:p>
    <w:tbl>
      <w:tblPr>
        <w:tblStyle w:val="KPMGTable"/>
        <w:tblW w:w="15309" w:type="dxa"/>
        <w:tblLayout w:type="fixed"/>
        <w:tblLook w:val="0420" w:firstRow="1" w:lastRow="0" w:firstColumn="0" w:lastColumn="0" w:noHBand="0" w:noVBand="1"/>
      </w:tblPr>
      <w:tblGrid>
        <w:gridCol w:w="2835"/>
        <w:gridCol w:w="2835"/>
        <w:gridCol w:w="2835"/>
        <w:gridCol w:w="3402"/>
        <w:gridCol w:w="3402"/>
      </w:tblGrid>
      <w:tr w:rsidR="00C42467" w:rsidRPr="00206B2B" w14:paraId="524C7182"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2835" w:type="dxa"/>
            <w:tcMar>
              <w:left w:w="57" w:type="dxa"/>
              <w:right w:w="57" w:type="dxa"/>
            </w:tcMar>
          </w:tcPr>
          <w:p w14:paraId="6F036039" w14:textId="4E8686AA" w:rsidR="00C42467" w:rsidRPr="00206B2B" w:rsidRDefault="00C42467" w:rsidP="00C42467">
            <w:pPr>
              <w:pStyle w:val="TableText"/>
              <w:rPr>
                <w:szCs w:val="20"/>
                <w:lang w:eastAsia="en-AU"/>
              </w:rPr>
            </w:pPr>
            <w:r w:rsidRPr="001A02B2">
              <w:t>Japan</w:t>
            </w:r>
          </w:p>
        </w:tc>
        <w:tc>
          <w:tcPr>
            <w:tcW w:w="2835" w:type="dxa"/>
            <w:tcMar>
              <w:left w:w="57" w:type="dxa"/>
              <w:right w:w="57" w:type="dxa"/>
            </w:tcMar>
          </w:tcPr>
          <w:p w14:paraId="6F8F631D" w14:textId="19E8F96F" w:rsidR="00C42467" w:rsidRPr="00206B2B" w:rsidRDefault="00C42467" w:rsidP="00C42467">
            <w:pPr>
              <w:pStyle w:val="TableText"/>
              <w:rPr>
                <w:szCs w:val="20"/>
                <w:lang w:eastAsia="en-AU"/>
              </w:rPr>
            </w:pPr>
            <w:r w:rsidRPr="001A02B2">
              <w:t>United Kingdom</w:t>
            </w:r>
          </w:p>
        </w:tc>
        <w:tc>
          <w:tcPr>
            <w:tcW w:w="2835" w:type="dxa"/>
            <w:tcMar>
              <w:left w:w="57" w:type="dxa"/>
              <w:right w:w="57" w:type="dxa"/>
            </w:tcMar>
          </w:tcPr>
          <w:p w14:paraId="6ADA4BD7" w14:textId="19B5CA5A" w:rsidR="00C42467" w:rsidRPr="00206B2B" w:rsidRDefault="00C42467" w:rsidP="00C42467">
            <w:pPr>
              <w:pStyle w:val="TableText"/>
              <w:rPr>
                <w:szCs w:val="20"/>
                <w:lang w:eastAsia="en-AU"/>
              </w:rPr>
            </w:pPr>
            <w:r w:rsidRPr="001A02B2">
              <w:t>Canada</w:t>
            </w:r>
          </w:p>
        </w:tc>
        <w:tc>
          <w:tcPr>
            <w:tcW w:w="3402" w:type="dxa"/>
            <w:tcMar>
              <w:left w:w="57" w:type="dxa"/>
              <w:right w:w="57" w:type="dxa"/>
            </w:tcMar>
          </w:tcPr>
          <w:p w14:paraId="539C5E22" w14:textId="6E20ACEB" w:rsidR="00C42467" w:rsidRPr="00206B2B" w:rsidRDefault="00C42467" w:rsidP="00C42467">
            <w:pPr>
              <w:pStyle w:val="TableText"/>
              <w:rPr>
                <w:szCs w:val="20"/>
                <w:lang w:eastAsia="en-AU"/>
              </w:rPr>
            </w:pPr>
            <w:r w:rsidRPr="001A02B2">
              <w:t>Philippines</w:t>
            </w:r>
          </w:p>
        </w:tc>
        <w:tc>
          <w:tcPr>
            <w:tcW w:w="3402" w:type="dxa"/>
            <w:tcMar>
              <w:left w:w="57" w:type="dxa"/>
              <w:right w:w="57" w:type="dxa"/>
            </w:tcMar>
          </w:tcPr>
          <w:p w14:paraId="30D40EE7" w14:textId="7696A57C" w:rsidR="00C42467" w:rsidRPr="00206B2B" w:rsidRDefault="00C42467" w:rsidP="00C42467">
            <w:pPr>
              <w:pStyle w:val="TableText"/>
              <w:rPr>
                <w:szCs w:val="20"/>
                <w:lang w:eastAsia="en-AU"/>
              </w:rPr>
            </w:pPr>
            <w:r w:rsidRPr="001A02B2">
              <w:t>Australia</w:t>
            </w:r>
          </w:p>
        </w:tc>
      </w:tr>
      <w:tr w:rsidR="00C42467" w:rsidRPr="00206B2B" w14:paraId="2EC2D395" w14:textId="77777777" w:rsidTr="005F6B29">
        <w:trPr>
          <w:cnfStyle w:val="000000100000" w:firstRow="0" w:lastRow="0" w:firstColumn="0" w:lastColumn="0" w:oddVBand="0" w:evenVBand="0" w:oddHBand="1" w:evenHBand="0" w:firstRowFirstColumn="0" w:firstRowLastColumn="0" w:lastRowFirstColumn="0" w:lastRowLastColumn="0"/>
          <w:trHeight w:val="979"/>
        </w:trPr>
        <w:tc>
          <w:tcPr>
            <w:tcW w:w="2835" w:type="dxa"/>
            <w:tcMar>
              <w:left w:w="57" w:type="dxa"/>
              <w:right w:w="57" w:type="dxa"/>
            </w:tcMar>
          </w:tcPr>
          <w:p w14:paraId="54DCDAE8" w14:textId="77777777" w:rsidR="00C42467" w:rsidRPr="00206B2B" w:rsidRDefault="00C42467" w:rsidP="00C42467">
            <w:pPr>
              <w:pStyle w:val="TableText"/>
              <w:rPr>
                <w:szCs w:val="20"/>
                <w:lang w:eastAsia="en-AU"/>
              </w:rPr>
            </w:pPr>
            <w:r w:rsidRPr="00206B2B">
              <w:rPr>
                <w:szCs w:val="20"/>
                <w:lang w:eastAsia="en-AU"/>
              </w:rPr>
              <w:t>First developed in 2015 and is updated every five years. This is Japan’s third NAP.</w:t>
            </w:r>
          </w:p>
        </w:tc>
        <w:tc>
          <w:tcPr>
            <w:tcW w:w="2835" w:type="dxa"/>
            <w:tcMar>
              <w:left w:w="57" w:type="dxa"/>
              <w:right w:w="57" w:type="dxa"/>
            </w:tcMar>
          </w:tcPr>
          <w:p w14:paraId="37C6C9FA" w14:textId="77777777" w:rsidR="00C42467" w:rsidRPr="00206B2B" w:rsidRDefault="00C42467" w:rsidP="00C42467">
            <w:pPr>
              <w:pStyle w:val="TableText"/>
              <w:rPr>
                <w:szCs w:val="20"/>
                <w:lang w:eastAsia="en-AU"/>
              </w:rPr>
            </w:pPr>
            <w:r w:rsidRPr="00206B2B">
              <w:rPr>
                <w:szCs w:val="20"/>
                <w:lang w:eastAsia="en-AU"/>
              </w:rPr>
              <w:t>From 2006, the UK NAP has been updated every four years. They are currently on their fifth NAP.</w:t>
            </w:r>
          </w:p>
        </w:tc>
        <w:tc>
          <w:tcPr>
            <w:tcW w:w="2835" w:type="dxa"/>
            <w:tcMar>
              <w:left w:w="57" w:type="dxa"/>
              <w:right w:w="57" w:type="dxa"/>
            </w:tcMar>
          </w:tcPr>
          <w:p w14:paraId="603F5189" w14:textId="77777777" w:rsidR="00C42467" w:rsidRPr="00206B2B" w:rsidRDefault="00C42467" w:rsidP="00C42467">
            <w:pPr>
              <w:pStyle w:val="TableText"/>
              <w:rPr>
                <w:szCs w:val="20"/>
                <w:lang w:eastAsia="en-AU"/>
              </w:rPr>
            </w:pPr>
            <w:r w:rsidRPr="00206B2B">
              <w:rPr>
                <w:szCs w:val="20"/>
                <w:lang w:eastAsia="en-AU"/>
              </w:rPr>
              <w:t>First implemented in 2010, the NAP has been updated in 2017 and 2023. This is Canada’s third NAP.</w:t>
            </w:r>
          </w:p>
        </w:tc>
        <w:tc>
          <w:tcPr>
            <w:tcW w:w="3402" w:type="dxa"/>
            <w:tcMar>
              <w:left w:w="57" w:type="dxa"/>
              <w:right w:w="57" w:type="dxa"/>
            </w:tcMar>
          </w:tcPr>
          <w:p w14:paraId="2CB6B0E0" w14:textId="6FB7A4C3" w:rsidR="00C42467" w:rsidRPr="00206B2B" w:rsidRDefault="00C42467" w:rsidP="00C42467">
            <w:pPr>
              <w:pStyle w:val="TableText"/>
              <w:rPr>
                <w:szCs w:val="20"/>
                <w:lang w:eastAsia="en-AU"/>
              </w:rPr>
            </w:pPr>
            <w:r w:rsidRPr="00206B2B">
              <w:rPr>
                <w:szCs w:val="20"/>
                <w:lang w:eastAsia="en-AU"/>
              </w:rPr>
              <w:t>The first NAP (2010–2016, updated in 2014) was followed by the second NAP (2017–2022). The current NAP is the fourth generation and extends the planning cycle from six to ten years.</w:t>
            </w:r>
          </w:p>
        </w:tc>
        <w:tc>
          <w:tcPr>
            <w:tcW w:w="3402" w:type="dxa"/>
            <w:tcMar>
              <w:left w:w="57" w:type="dxa"/>
              <w:right w:w="57" w:type="dxa"/>
            </w:tcMar>
          </w:tcPr>
          <w:p w14:paraId="7827ED2D" w14:textId="77777777" w:rsidR="00C42467" w:rsidRPr="00206B2B" w:rsidRDefault="00C42467" w:rsidP="00C42467">
            <w:pPr>
              <w:pStyle w:val="TableText"/>
              <w:rPr>
                <w:szCs w:val="20"/>
                <w:lang w:eastAsia="en-AU"/>
              </w:rPr>
            </w:pPr>
            <w:r w:rsidRPr="00206B2B">
              <w:rPr>
                <w:szCs w:val="20"/>
                <w:lang w:eastAsia="en-AU"/>
              </w:rPr>
              <w:t>Australia’s first NAP (2012–2018) was coordinated by PM&amp;C. A second NAP drafted in 2019 was not implemented. The current NAP is the second implemented plan, led by DFAT.</w:t>
            </w:r>
          </w:p>
        </w:tc>
      </w:tr>
    </w:tbl>
    <w:p w14:paraId="6E39FF07" w14:textId="249D3C04" w:rsidR="00C42467" w:rsidRPr="005F6B29" w:rsidRDefault="00C42467" w:rsidP="005F6B29">
      <w:pPr>
        <w:rPr>
          <w:rStyle w:val="Strong"/>
        </w:rPr>
      </w:pPr>
      <w:r w:rsidRPr="005F6B29">
        <w:rPr>
          <w:rStyle w:val="Strong"/>
        </w:rPr>
        <w:t>How lessons learned are integrated into the most recent NAP</w:t>
      </w:r>
    </w:p>
    <w:tbl>
      <w:tblPr>
        <w:tblStyle w:val="KPMGTable"/>
        <w:tblW w:w="15292" w:type="dxa"/>
        <w:tblLayout w:type="fixed"/>
        <w:tblLook w:val="0420" w:firstRow="1" w:lastRow="0" w:firstColumn="0" w:lastColumn="0" w:noHBand="0" w:noVBand="1"/>
      </w:tblPr>
      <w:tblGrid>
        <w:gridCol w:w="2835"/>
        <w:gridCol w:w="3288"/>
        <w:gridCol w:w="2721"/>
        <w:gridCol w:w="3458"/>
        <w:gridCol w:w="2990"/>
      </w:tblGrid>
      <w:tr w:rsidR="00C42467" w:rsidRPr="00206B2B" w14:paraId="6297742F"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2835" w:type="dxa"/>
          </w:tcPr>
          <w:p w14:paraId="69EC4899" w14:textId="77777777" w:rsidR="00C42467" w:rsidRPr="00206B2B" w:rsidRDefault="00C42467" w:rsidP="00796633">
            <w:pPr>
              <w:pStyle w:val="TableText"/>
              <w:rPr>
                <w:szCs w:val="20"/>
                <w:lang w:eastAsia="en-AU"/>
              </w:rPr>
            </w:pPr>
            <w:r w:rsidRPr="001A02B2">
              <w:t>Japan</w:t>
            </w:r>
          </w:p>
        </w:tc>
        <w:tc>
          <w:tcPr>
            <w:tcW w:w="3288" w:type="dxa"/>
          </w:tcPr>
          <w:p w14:paraId="28AA0AB2" w14:textId="77777777" w:rsidR="00C42467" w:rsidRPr="00206B2B" w:rsidRDefault="00C42467" w:rsidP="00796633">
            <w:pPr>
              <w:pStyle w:val="TableText"/>
              <w:rPr>
                <w:szCs w:val="20"/>
                <w:lang w:eastAsia="en-AU"/>
              </w:rPr>
            </w:pPr>
            <w:r w:rsidRPr="001A02B2">
              <w:t>United Kingdom</w:t>
            </w:r>
          </w:p>
        </w:tc>
        <w:tc>
          <w:tcPr>
            <w:tcW w:w="2721" w:type="dxa"/>
          </w:tcPr>
          <w:p w14:paraId="1E6924D5" w14:textId="77777777" w:rsidR="00C42467" w:rsidRPr="00206B2B" w:rsidRDefault="00C42467" w:rsidP="00796633">
            <w:pPr>
              <w:pStyle w:val="TableText"/>
              <w:rPr>
                <w:szCs w:val="20"/>
                <w:lang w:eastAsia="en-AU"/>
              </w:rPr>
            </w:pPr>
            <w:r w:rsidRPr="001A02B2">
              <w:t>Canada</w:t>
            </w:r>
          </w:p>
        </w:tc>
        <w:tc>
          <w:tcPr>
            <w:tcW w:w="3458" w:type="dxa"/>
          </w:tcPr>
          <w:p w14:paraId="42B6D4DF" w14:textId="77777777" w:rsidR="00C42467" w:rsidRPr="00206B2B" w:rsidRDefault="00C42467" w:rsidP="00796633">
            <w:pPr>
              <w:pStyle w:val="TableText"/>
              <w:rPr>
                <w:szCs w:val="20"/>
                <w:lang w:eastAsia="en-AU"/>
              </w:rPr>
            </w:pPr>
            <w:r w:rsidRPr="001A02B2">
              <w:t>Philippines</w:t>
            </w:r>
          </w:p>
        </w:tc>
        <w:tc>
          <w:tcPr>
            <w:tcW w:w="2990" w:type="dxa"/>
          </w:tcPr>
          <w:p w14:paraId="7B115283" w14:textId="77777777" w:rsidR="00C42467" w:rsidRPr="00206B2B" w:rsidRDefault="00C42467" w:rsidP="00796633">
            <w:pPr>
              <w:pStyle w:val="TableText"/>
              <w:rPr>
                <w:szCs w:val="20"/>
                <w:lang w:eastAsia="en-AU"/>
              </w:rPr>
            </w:pPr>
            <w:r w:rsidRPr="001A02B2">
              <w:t>Australia</w:t>
            </w:r>
          </w:p>
        </w:tc>
      </w:tr>
      <w:tr w:rsidR="00C42467" w:rsidRPr="00206B2B" w14:paraId="19A7524E" w14:textId="77777777" w:rsidTr="005F6B29">
        <w:trPr>
          <w:cnfStyle w:val="000000100000" w:firstRow="0" w:lastRow="0" w:firstColumn="0" w:lastColumn="0" w:oddVBand="0" w:evenVBand="0" w:oddHBand="1" w:evenHBand="0" w:firstRowFirstColumn="0" w:firstRowLastColumn="0" w:lastRowFirstColumn="0" w:lastRowLastColumn="0"/>
          <w:trHeight w:val="297"/>
        </w:trPr>
        <w:tc>
          <w:tcPr>
            <w:tcW w:w="2835" w:type="dxa"/>
          </w:tcPr>
          <w:p w14:paraId="503F689E" w14:textId="77777777" w:rsidR="00C42467" w:rsidRPr="00206B2B" w:rsidRDefault="00C42467" w:rsidP="00C42467">
            <w:pPr>
              <w:pStyle w:val="TableBullet1stlevel"/>
              <w:rPr>
                <w:szCs w:val="20"/>
              </w:rPr>
            </w:pPr>
            <w:r w:rsidRPr="00206B2B">
              <w:rPr>
                <w:szCs w:val="20"/>
              </w:rPr>
              <w:t>Reviewed the First and Second NAP through an Evaluation Committee that was established in 2016.</w:t>
            </w:r>
          </w:p>
          <w:p w14:paraId="2B9D5D7A" w14:textId="77777777" w:rsidR="00C42467" w:rsidRPr="00206B2B" w:rsidRDefault="00C42467" w:rsidP="00C42467">
            <w:pPr>
              <w:pStyle w:val="TableBullet1stlevel"/>
              <w:rPr>
                <w:szCs w:val="20"/>
              </w:rPr>
            </w:pPr>
            <w:r w:rsidRPr="00206B2B">
              <w:rPr>
                <w:szCs w:val="20"/>
              </w:rPr>
              <w:t>Evaluation Committee consists of external experts and consults with international NGOs and civil society to draft the most recent NAP.</w:t>
            </w:r>
          </w:p>
          <w:p w14:paraId="4F17D042" w14:textId="77777777" w:rsidR="00C42467" w:rsidRPr="00206B2B" w:rsidRDefault="00C42467" w:rsidP="00C42467">
            <w:pPr>
              <w:pStyle w:val="TableBullet1stlevel"/>
              <w:rPr>
                <w:szCs w:val="20"/>
              </w:rPr>
            </w:pPr>
            <w:r w:rsidRPr="00206B2B">
              <w:rPr>
                <w:szCs w:val="20"/>
              </w:rPr>
              <w:t>Briefly outlines key changes between the second and third NAP including changes to measures and indicators.</w:t>
            </w:r>
          </w:p>
          <w:p w14:paraId="5F9D63FE" w14:textId="4E88F1CA" w:rsidR="00C42467" w:rsidRPr="00206B2B" w:rsidRDefault="00C42467" w:rsidP="00C42467">
            <w:pPr>
              <w:pStyle w:val="TableBullet1stlevel"/>
              <w:rPr>
                <w:szCs w:val="20"/>
              </w:rPr>
            </w:pPr>
            <w:r w:rsidRPr="00206B2B">
              <w:rPr>
                <w:szCs w:val="20"/>
              </w:rPr>
              <w:t>Delineation between international and national efforts.</w:t>
            </w:r>
          </w:p>
        </w:tc>
        <w:tc>
          <w:tcPr>
            <w:tcW w:w="3288" w:type="dxa"/>
          </w:tcPr>
          <w:p w14:paraId="3411F651" w14:textId="77777777" w:rsidR="00C42467" w:rsidRPr="00206B2B" w:rsidRDefault="00C42467" w:rsidP="00C42467">
            <w:pPr>
              <w:pStyle w:val="TableBullet1stlevel"/>
              <w:rPr>
                <w:szCs w:val="20"/>
              </w:rPr>
            </w:pPr>
            <w:r w:rsidRPr="00206B2B">
              <w:rPr>
                <w:szCs w:val="20"/>
              </w:rPr>
              <w:t xml:space="preserve">Annual FCDO and MoD reports track progress against NAP objectives with case studies. </w:t>
            </w:r>
          </w:p>
          <w:p w14:paraId="3023629C" w14:textId="77777777" w:rsidR="00C42467" w:rsidRPr="00206B2B" w:rsidRDefault="00C42467" w:rsidP="00C42467">
            <w:pPr>
              <w:pStyle w:val="TableBullet1stlevel"/>
              <w:rPr>
                <w:szCs w:val="20"/>
              </w:rPr>
            </w:pPr>
            <w:r w:rsidRPr="00206B2B">
              <w:rPr>
                <w:szCs w:val="20"/>
              </w:rPr>
              <w:t xml:space="preserve">NAPs refreshed every two years with civil society and All-Party Parliamentary Group consultation. </w:t>
            </w:r>
          </w:p>
          <w:p w14:paraId="588AC4B3" w14:textId="77777777" w:rsidR="00C42467" w:rsidRPr="00206B2B" w:rsidRDefault="00C42467" w:rsidP="00C42467">
            <w:pPr>
              <w:pStyle w:val="TableBullet1stlevel"/>
              <w:rPr>
                <w:szCs w:val="20"/>
              </w:rPr>
            </w:pPr>
            <w:r w:rsidRPr="00206B2B">
              <w:rPr>
                <w:szCs w:val="20"/>
              </w:rPr>
              <w:t xml:space="preserve">Independent reviews (e.g., GAPS shadow report) provide external assessment and policy advice. </w:t>
            </w:r>
          </w:p>
          <w:p w14:paraId="5EA8F28C" w14:textId="77777777" w:rsidR="00C42467" w:rsidRPr="00206B2B" w:rsidRDefault="00C42467" w:rsidP="00C42467">
            <w:pPr>
              <w:pStyle w:val="TableBullet1stlevel"/>
              <w:rPr>
                <w:szCs w:val="20"/>
              </w:rPr>
            </w:pPr>
            <w:r w:rsidRPr="00206B2B">
              <w:rPr>
                <w:szCs w:val="20"/>
              </w:rPr>
              <w:t xml:space="preserve">Latest NAP includes a summary of key changes from the previous plan. </w:t>
            </w:r>
          </w:p>
          <w:p w14:paraId="126DD7CD" w14:textId="30842E8C" w:rsidR="00C42467" w:rsidRPr="00206B2B" w:rsidRDefault="00C42467" w:rsidP="00C42467">
            <w:pPr>
              <w:pStyle w:val="TableBullet1stlevel"/>
              <w:rPr>
                <w:szCs w:val="20"/>
              </w:rPr>
            </w:pPr>
            <w:r w:rsidRPr="00206B2B">
              <w:rPr>
                <w:szCs w:val="20"/>
              </w:rPr>
              <w:t>Parliament updated every two years, supported by: Year 1 baseline study (including focus countries); Mid-point evaluation at 2.5 years; Final evaluation at Year 5.</w:t>
            </w:r>
          </w:p>
          <w:p w14:paraId="1AFC9F61" w14:textId="77777777" w:rsidR="00C42467" w:rsidRPr="00206B2B" w:rsidRDefault="00C42467" w:rsidP="00C42467">
            <w:pPr>
              <w:pStyle w:val="TableBullet1stlevel"/>
              <w:rPr>
                <w:szCs w:val="20"/>
              </w:rPr>
            </w:pPr>
            <w:r w:rsidRPr="00206B2B">
              <w:rPr>
                <w:szCs w:val="20"/>
              </w:rPr>
              <w:t xml:space="preserve">Internal and external reviews ensure objectivity and credibility. </w:t>
            </w:r>
          </w:p>
          <w:p w14:paraId="687AFFC9" w14:textId="77777777" w:rsidR="00C42467" w:rsidRPr="00206B2B" w:rsidRDefault="00C42467" w:rsidP="00C42467">
            <w:pPr>
              <w:pStyle w:val="TableBullet1stlevel"/>
              <w:rPr>
                <w:szCs w:val="20"/>
              </w:rPr>
            </w:pPr>
            <w:r w:rsidRPr="00206B2B">
              <w:rPr>
                <w:szCs w:val="20"/>
              </w:rPr>
              <w:t>Evaluation findings used flexibly to adjust activities.</w:t>
            </w:r>
          </w:p>
        </w:tc>
        <w:tc>
          <w:tcPr>
            <w:tcW w:w="2721" w:type="dxa"/>
          </w:tcPr>
          <w:p w14:paraId="51B3C106" w14:textId="77777777" w:rsidR="00C42467" w:rsidRPr="00206B2B" w:rsidRDefault="00C42467" w:rsidP="00C42467">
            <w:pPr>
              <w:pStyle w:val="TableBullet1stlevel"/>
              <w:rPr>
                <w:szCs w:val="20"/>
              </w:rPr>
            </w:pPr>
            <w:r w:rsidRPr="00206B2B">
              <w:rPr>
                <w:szCs w:val="20"/>
              </w:rPr>
              <w:t>Two publicly available thematic studies are conducted over the course of the action plan by internal and external partners. Themes may correspond to emerging peace and security challenges, relevant geopolitical issues, and geopolitical areas.</w:t>
            </w:r>
          </w:p>
          <w:p w14:paraId="7800D872" w14:textId="77777777" w:rsidR="00C42467" w:rsidRPr="00206B2B" w:rsidRDefault="00C42467" w:rsidP="00C42467">
            <w:pPr>
              <w:pStyle w:val="TableBullet1stlevel"/>
              <w:rPr>
                <w:szCs w:val="20"/>
              </w:rPr>
            </w:pPr>
            <w:r w:rsidRPr="00206B2B">
              <w:rPr>
                <w:szCs w:val="20"/>
              </w:rPr>
              <w:t>The Government of Canada reports to the Parliament annually through progress brief reports on key performance indicators, noting year-over-year changes.</w:t>
            </w:r>
          </w:p>
          <w:p w14:paraId="537C8260" w14:textId="77777777" w:rsidR="00C42467" w:rsidRPr="00206B2B" w:rsidRDefault="00C42467" w:rsidP="00C42467">
            <w:pPr>
              <w:pStyle w:val="TableBullet1stlevel"/>
              <w:rPr>
                <w:szCs w:val="20"/>
              </w:rPr>
            </w:pPr>
            <w:r w:rsidRPr="00206B2B">
              <w:rPr>
                <w:szCs w:val="20"/>
              </w:rPr>
              <w:t>Biannually, progress briefs are accompanied by narrative reports with additional details on efforts by partners.</w:t>
            </w:r>
          </w:p>
          <w:p w14:paraId="6AA28B8B" w14:textId="77777777" w:rsidR="00C42467" w:rsidRPr="00206B2B" w:rsidRDefault="00C42467" w:rsidP="00C42467">
            <w:pPr>
              <w:pStyle w:val="TableBullet1stlevel"/>
              <w:rPr>
                <w:szCs w:val="20"/>
              </w:rPr>
            </w:pPr>
            <w:r w:rsidRPr="00206B2B">
              <w:rPr>
                <w:szCs w:val="20"/>
              </w:rPr>
              <w:t>The NAP undergoes mid-term and summative evaluations.</w:t>
            </w:r>
          </w:p>
        </w:tc>
        <w:tc>
          <w:tcPr>
            <w:tcW w:w="3458" w:type="dxa"/>
          </w:tcPr>
          <w:p w14:paraId="09E39C92" w14:textId="44A7534F" w:rsidR="00C42467" w:rsidRPr="00206B2B" w:rsidRDefault="00C42467" w:rsidP="00C42467">
            <w:pPr>
              <w:pStyle w:val="TableBullet1stlevel"/>
              <w:rPr>
                <w:szCs w:val="20"/>
              </w:rPr>
            </w:pPr>
            <w:r w:rsidRPr="00206B2B">
              <w:rPr>
                <w:szCs w:val="20"/>
              </w:rPr>
              <w:t>A national, multi</w:t>
            </w:r>
            <w:r w:rsidRPr="00206B2B">
              <w:rPr>
                <w:rFonts w:ascii="Cambria Math" w:hAnsi="Cambria Math" w:cs="Cambria Math"/>
                <w:szCs w:val="20"/>
              </w:rPr>
              <w:t>‑</w:t>
            </w:r>
            <w:r w:rsidRPr="00206B2B">
              <w:rPr>
                <w:szCs w:val="20"/>
              </w:rPr>
              <w:t>stakeholder sunset review of the 2017</w:t>
            </w:r>
            <w:r w:rsidRPr="00206B2B">
              <w:rPr>
                <w:rFonts w:cs="Arial"/>
                <w:szCs w:val="20"/>
              </w:rPr>
              <w:t>–</w:t>
            </w:r>
            <w:r w:rsidRPr="00206B2B">
              <w:rPr>
                <w:szCs w:val="20"/>
              </w:rPr>
              <w:t>2022 NAP assessed achievements and gaps, generating the strategic direction for the new plan.</w:t>
            </w:r>
          </w:p>
          <w:p w14:paraId="011367A1" w14:textId="4378DFD2" w:rsidR="00C42467" w:rsidRPr="00206B2B" w:rsidRDefault="00C42467" w:rsidP="00C42467">
            <w:pPr>
              <w:pStyle w:val="TableBullet1stlevel"/>
              <w:rPr>
                <w:szCs w:val="20"/>
              </w:rPr>
            </w:pPr>
            <w:r w:rsidRPr="00206B2B">
              <w:rPr>
                <w:szCs w:val="20"/>
              </w:rPr>
              <w:t>Triennial review of the NAP to identify and implement new learnings.</w:t>
            </w:r>
          </w:p>
          <w:p w14:paraId="46CBA9A2" w14:textId="706D75D8" w:rsidR="00C42467" w:rsidRPr="00206B2B" w:rsidRDefault="00C42467" w:rsidP="00C42467">
            <w:pPr>
              <w:pStyle w:val="TableBullet1stlevel"/>
              <w:rPr>
                <w:szCs w:val="20"/>
              </w:rPr>
            </w:pPr>
            <w:r w:rsidRPr="00206B2B">
              <w:rPr>
                <w:szCs w:val="20"/>
              </w:rPr>
              <w:t>Specialised results-based management and monitoring, evaluation, accountability, and learning (MEAL) workshops were held while developing the latest</w:t>
            </w:r>
            <w:r w:rsidR="0002181C">
              <w:rPr>
                <w:szCs w:val="20"/>
              </w:rPr>
              <w:t> </w:t>
            </w:r>
            <w:r w:rsidRPr="00206B2B">
              <w:rPr>
                <w:szCs w:val="20"/>
              </w:rPr>
              <w:t>NAP.</w:t>
            </w:r>
          </w:p>
          <w:p w14:paraId="670F3058" w14:textId="4CE62FBC" w:rsidR="00C42467" w:rsidRPr="00206B2B" w:rsidRDefault="00C42467" w:rsidP="00C42467">
            <w:pPr>
              <w:pStyle w:val="TableBullet1stlevel"/>
              <w:rPr>
                <w:szCs w:val="20"/>
              </w:rPr>
            </w:pPr>
            <w:r w:rsidRPr="00206B2B">
              <w:rPr>
                <w:szCs w:val="20"/>
              </w:rPr>
              <w:t>Regular progress reporting is mandated through the MEAL system, including annual reports to the National Steering Committee (NSC) on WPS and external publics such as Congress committees.</w:t>
            </w:r>
          </w:p>
          <w:p w14:paraId="796FFD57" w14:textId="7E621252" w:rsidR="00C42467" w:rsidRPr="00206B2B" w:rsidRDefault="00C42467" w:rsidP="00C42467">
            <w:pPr>
              <w:pStyle w:val="TableBullet1stlevel"/>
              <w:rPr>
                <w:szCs w:val="20"/>
              </w:rPr>
            </w:pPr>
            <w:r w:rsidRPr="00206B2B">
              <w:rPr>
                <w:szCs w:val="20"/>
              </w:rPr>
              <w:t>BARMM Regional Action Plan WPS assessments inform localisation challenges, community</w:t>
            </w:r>
            <w:r w:rsidRPr="00206B2B">
              <w:rPr>
                <w:rFonts w:ascii="Cambria Math" w:hAnsi="Cambria Math" w:cs="Cambria Math"/>
                <w:szCs w:val="20"/>
              </w:rPr>
              <w:t>‑</w:t>
            </w:r>
            <w:r w:rsidRPr="00206B2B">
              <w:rPr>
                <w:szCs w:val="20"/>
              </w:rPr>
              <w:t>level innovations, and intersectional gaps.</w:t>
            </w:r>
          </w:p>
          <w:p w14:paraId="559E1FD7" w14:textId="74E53E32" w:rsidR="00C42467" w:rsidRPr="00206B2B" w:rsidRDefault="00C42467" w:rsidP="00C42467">
            <w:pPr>
              <w:pStyle w:val="TableBullet1stlevel"/>
              <w:rPr>
                <w:szCs w:val="20"/>
              </w:rPr>
            </w:pPr>
            <w:r w:rsidRPr="00206B2B">
              <w:rPr>
                <w:szCs w:val="20"/>
              </w:rPr>
              <w:t>Civil society provided informed improvements of the latest NAP.</w:t>
            </w:r>
          </w:p>
        </w:tc>
        <w:tc>
          <w:tcPr>
            <w:tcW w:w="2990" w:type="dxa"/>
          </w:tcPr>
          <w:p w14:paraId="78D03832" w14:textId="77777777" w:rsidR="00C42467" w:rsidRPr="00206B2B" w:rsidRDefault="00C42467" w:rsidP="00C42467">
            <w:pPr>
              <w:pStyle w:val="TableBullet1stlevel"/>
              <w:rPr>
                <w:szCs w:val="20"/>
              </w:rPr>
            </w:pPr>
            <w:r w:rsidRPr="00206B2B">
              <w:rPr>
                <w:szCs w:val="20"/>
              </w:rPr>
              <w:t>Progress reports are released every two years, primarily outlining case studies.</w:t>
            </w:r>
          </w:p>
          <w:p w14:paraId="6708DB29" w14:textId="77777777" w:rsidR="00C42467" w:rsidRPr="00206B2B" w:rsidRDefault="00C42467" w:rsidP="00C42467">
            <w:pPr>
              <w:pStyle w:val="TableBullet1stlevel"/>
              <w:rPr>
                <w:szCs w:val="20"/>
              </w:rPr>
            </w:pPr>
            <w:r w:rsidRPr="00206B2B">
              <w:rPr>
                <w:szCs w:val="20"/>
              </w:rPr>
              <w:t>An interim independent review and an independent final review are commissioned.</w:t>
            </w:r>
          </w:p>
          <w:p w14:paraId="59CC9D9E" w14:textId="77777777" w:rsidR="00C42467" w:rsidRPr="00206B2B" w:rsidRDefault="00C42467" w:rsidP="00C42467">
            <w:pPr>
              <w:pStyle w:val="TableBullet1stlevel"/>
              <w:rPr>
                <w:szCs w:val="20"/>
              </w:rPr>
            </w:pPr>
            <w:r w:rsidRPr="00206B2B">
              <w:rPr>
                <w:szCs w:val="20"/>
              </w:rPr>
              <w:t>Civil society is encouraged to produce shadow progress reports.</w:t>
            </w:r>
          </w:p>
          <w:p w14:paraId="19C79B8E" w14:textId="77777777" w:rsidR="00C42467" w:rsidRPr="00206B2B" w:rsidRDefault="00C42467" w:rsidP="00C42467">
            <w:pPr>
              <w:pStyle w:val="TableBullet1stlevel"/>
              <w:rPr>
                <w:szCs w:val="20"/>
              </w:rPr>
            </w:pPr>
            <w:r w:rsidRPr="00206B2B">
              <w:rPr>
                <w:szCs w:val="20"/>
              </w:rPr>
              <w:t>A six-month reflection period exists to review recommendations and consider amendments to be finalised after the independent review.</w:t>
            </w:r>
          </w:p>
        </w:tc>
      </w:tr>
    </w:tbl>
    <w:p w14:paraId="62312219" w14:textId="3F143614" w:rsidR="00C42467" w:rsidRPr="005F6B29" w:rsidRDefault="00C42467">
      <w:pPr>
        <w:rPr>
          <w:rStyle w:val="Strong"/>
        </w:rPr>
      </w:pPr>
      <w:r w:rsidRPr="005F6B29">
        <w:rPr>
          <w:rStyle w:val="Strong"/>
        </w:rPr>
        <w:t>Monitoring and Evaluation</w:t>
      </w:r>
    </w:p>
    <w:tbl>
      <w:tblPr>
        <w:tblStyle w:val="KPMGTable"/>
        <w:tblW w:w="15394" w:type="dxa"/>
        <w:tblLayout w:type="fixed"/>
        <w:tblLook w:val="0420" w:firstRow="1" w:lastRow="0" w:firstColumn="0" w:lastColumn="0" w:noHBand="0" w:noVBand="1"/>
      </w:tblPr>
      <w:tblGrid>
        <w:gridCol w:w="2694"/>
        <w:gridCol w:w="3402"/>
        <w:gridCol w:w="3061"/>
        <w:gridCol w:w="3572"/>
        <w:gridCol w:w="2665"/>
      </w:tblGrid>
      <w:tr w:rsidR="00AC0440" w:rsidRPr="00206B2B" w14:paraId="466CF73E"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2694" w:type="dxa"/>
          </w:tcPr>
          <w:p w14:paraId="5B21CFDA" w14:textId="77777777" w:rsidR="00AC0440" w:rsidRPr="00206B2B" w:rsidRDefault="00AC0440" w:rsidP="00796633">
            <w:pPr>
              <w:pStyle w:val="TableText"/>
              <w:rPr>
                <w:szCs w:val="20"/>
                <w:lang w:eastAsia="en-AU"/>
              </w:rPr>
            </w:pPr>
            <w:r w:rsidRPr="001A02B2">
              <w:lastRenderedPageBreak/>
              <w:t>Japan</w:t>
            </w:r>
          </w:p>
        </w:tc>
        <w:tc>
          <w:tcPr>
            <w:tcW w:w="3402" w:type="dxa"/>
          </w:tcPr>
          <w:p w14:paraId="3B2FC5E6" w14:textId="77777777" w:rsidR="00AC0440" w:rsidRPr="00206B2B" w:rsidRDefault="00AC0440" w:rsidP="00796633">
            <w:pPr>
              <w:pStyle w:val="TableText"/>
              <w:rPr>
                <w:szCs w:val="20"/>
                <w:lang w:eastAsia="en-AU"/>
              </w:rPr>
            </w:pPr>
            <w:r w:rsidRPr="001A02B2">
              <w:t>United Kingdom</w:t>
            </w:r>
          </w:p>
        </w:tc>
        <w:tc>
          <w:tcPr>
            <w:tcW w:w="3061" w:type="dxa"/>
          </w:tcPr>
          <w:p w14:paraId="32C7D967" w14:textId="77777777" w:rsidR="00AC0440" w:rsidRPr="00206B2B" w:rsidRDefault="00AC0440" w:rsidP="00796633">
            <w:pPr>
              <w:pStyle w:val="TableText"/>
              <w:rPr>
                <w:szCs w:val="20"/>
                <w:lang w:eastAsia="en-AU"/>
              </w:rPr>
            </w:pPr>
            <w:r w:rsidRPr="001A02B2">
              <w:t>Canada</w:t>
            </w:r>
          </w:p>
        </w:tc>
        <w:tc>
          <w:tcPr>
            <w:tcW w:w="3572" w:type="dxa"/>
          </w:tcPr>
          <w:p w14:paraId="37EC1DE2" w14:textId="77777777" w:rsidR="00AC0440" w:rsidRPr="00206B2B" w:rsidRDefault="00AC0440" w:rsidP="00796633">
            <w:pPr>
              <w:pStyle w:val="TableText"/>
              <w:rPr>
                <w:szCs w:val="20"/>
                <w:lang w:eastAsia="en-AU"/>
              </w:rPr>
            </w:pPr>
            <w:r w:rsidRPr="001A02B2">
              <w:t>Philippines</w:t>
            </w:r>
          </w:p>
        </w:tc>
        <w:tc>
          <w:tcPr>
            <w:tcW w:w="2665" w:type="dxa"/>
          </w:tcPr>
          <w:p w14:paraId="78433C4B" w14:textId="77777777" w:rsidR="00AC0440" w:rsidRPr="00206B2B" w:rsidRDefault="00AC0440" w:rsidP="00796633">
            <w:pPr>
              <w:pStyle w:val="TableText"/>
              <w:rPr>
                <w:szCs w:val="20"/>
                <w:lang w:eastAsia="en-AU"/>
              </w:rPr>
            </w:pPr>
            <w:r w:rsidRPr="001A02B2">
              <w:t>Australia</w:t>
            </w:r>
          </w:p>
        </w:tc>
      </w:tr>
      <w:tr w:rsidR="00C42467" w:rsidRPr="00206B2B" w14:paraId="60B343B3" w14:textId="77777777" w:rsidTr="005F6B29">
        <w:trPr>
          <w:cnfStyle w:val="000000100000" w:firstRow="0" w:lastRow="0" w:firstColumn="0" w:lastColumn="0" w:oddVBand="0" w:evenVBand="0" w:oddHBand="1" w:evenHBand="0" w:firstRowFirstColumn="0" w:firstRowLastColumn="0" w:lastRowFirstColumn="0" w:lastRowLastColumn="0"/>
          <w:trHeight w:val="5051"/>
        </w:trPr>
        <w:tc>
          <w:tcPr>
            <w:tcW w:w="2694" w:type="dxa"/>
            <w:tcMar>
              <w:left w:w="57" w:type="dxa"/>
              <w:right w:w="57" w:type="dxa"/>
            </w:tcMar>
          </w:tcPr>
          <w:p w14:paraId="6893EAA9" w14:textId="77777777" w:rsidR="00C42467" w:rsidRPr="00206B2B" w:rsidRDefault="00C42467" w:rsidP="00C42467">
            <w:pPr>
              <w:pStyle w:val="TableBullet1stlevel"/>
              <w:rPr>
                <w:szCs w:val="20"/>
              </w:rPr>
            </w:pPr>
            <w:r w:rsidRPr="00206B2B">
              <w:rPr>
                <w:szCs w:val="20"/>
              </w:rPr>
              <w:t>Annual report on implementation that is evaluated by external experts.</w:t>
            </w:r>
          </w:p>
          <w:p w14:paraId="0D9E39A7" w14:textId="77777777" w:rsidR="00C42467" w:rsidRPr="00206B2B" w:rsidRDefault="00C42467" w:rsidP="00C42467">
            <w:pPr>
              <w:pStyle w:val="TableBullet1stlevel"/>
              <w:rPr>
                <w:szCs w:val="20"/>
              </w:rPr>
            </w:pPr>
            <w:r w:rsidRPr="00206B2B">
              <w:rPr>
                <w:szCs w:val="20"/>
              </w:rPr>
              <w:t xml:space="preserve">The Evaluation Committee may request relevant ministries and agencies to report on and provide information on the status of implementation of the Action Plan </w:t>
            </w:r>
          </w:p>
          <w:p w14:paraId="0A16707F" w14:textId="77777777" w:rsidR="00C42467" w:rsidRPr="00206B2B" w:rsidRDefault="00C42467" w:rsidP="00C42467">
            <w:pPr>
              <w:pStyle w:val="TableBullet1stlevel"/>
              <w:rPr>
                <w:szCs w:val="20"/>
              </w:rPr>
            </w:pPr>
            <w:r w:rsidRPr="00206B2B">
              <w:rPr>
                <w:szCs w:val="20"/>
              </w:rPr>
              <w:t>Provides an interim report in the third year and the final report in the sixth year.</w:t>
            </w:r>
          </w:p>
          <w:p w14:paraId="19E66DCA" w14:textId="77777777" w:rsidR="00C42467" w:rsidRPr="00206B2B" w:rsidRDefault="00C42467" w:rsidP="00C42467">
            <w:pPr>
              <w:pStyle w:val="TableBullet1stlevel"/>
              <w:rPr>
                <w:szCs w:val="20"/>
              </w:rPr>
            </w:pPr>
            <w:r w:rsidRPr="00206B2B">
              <w:rPr>
                <w:szCs w:val="20"/>
              </w:rPr>
              <w:t>The Committee can recommend revisions to the Action Plan and analyse the adequacy of goals, measures and indicators.</w:t>
            </w:r>
          </w:p>
          <w:p w14:paraId="380E93F5" w14:textId="360F8624" w:rsidR="00C42467" w:rsidRPr="00206B2B" w:rsidRDefault="00C42467" w:rsidP="00C42467">
            <w:pPr>
              <w:pStyle w:val="TableBullet1stlevel"/>
              <w:rPr>
                <w:szCs w:val="20"/>
              </w:rPr>
            </w:pPr>
            <w:r w:rsidRPr="00206B2B">
              <w:rPr>
                <w:szCs w:val="20"/>
              </w:rPr>
              <w:t>The government reports on the implementation of the Action Plan in periodic reports such as the CEDAW.</w:t>
            </w:r>
          </w:p>
        </w:tc>
        <w:tc>
          <w:tcPr>
            <w:tcW w:w="3402" w:type="dxa"/>
            <w:tcMar>
              <w:left w:w="57" w:type="dxa"/>
              <w:right w:w="57" w:type="dxa"/>
            </w:tcMar>
          </w:tcPr>
          <w:p w14:paraId="224EF2FA" w14:textId="77777777" w:rsidR="00C42467" w:rsidRPr="00206B2B" w:rsidRDefault="00C42467" w:rsidP="00C42467">
            <w:pPr>
              <w:pStyle w:val="TableBullet1stlevel"/>
              <w:rPr>
                <w:szCs w:val="20"/>
              </w:rPr>
            </w:pPr>
            <w:r w:rsidRPr="00206B2B">
              <w:rPr>
                <w:szCs w:val="20"/>
              </w:rPr>
              <w:t>Draft indicators are linked to strategic objectives with quantitative and qualitative measures.</w:t>
            </w:r>
          </w:p>
          <w:p w14:paraId="49CC138C" w14:textId="77777777" w:rsidR="00C42467" w:rsidRPr="00206B2B" w:rsidRDefault="00C42467" w:rsidP="00C42467">
            <w:pPr>
              <w:pStyle w:val="TableBullet1stlevel"/>
              <w:rPr>
                <w:szCs w:val="20"/>
              </w:rPr>
            </w:pPr>
            <w:r w:rsidRPr="00206B2B">
              <w:rPr>
                <w:szCs w:val="20"/>
              </w:rPr>
              <w:t>Delivery plan integrates commitments (incl. relevant quantitative targets) alongside lead implementation partners, draft indicators, and focus country specific indicators. This is organised by the NAPs strategic objectives and priority subheadings.</w:t>
            </w:r>
          </w:p>
          <w:p w14:paraId="3516BA93" w14:textId="77777777" w:rsidR="00C42467" w:rsidRPr="00206B2B" w:rsidRDefault="00C42467" w:rsidP="00C42467">
            <w:pPr>
              <w:pStyle w:val="TableBullet1stlevel"/>
              <w:rPr>
                <w:szCs w:val="20"/>
              </w:rPr>
            </w:pPr>
            <w:r w:rsidRPr="00206B2B">
              <w:rPr>
                <w:szCs w:val="20"/>
              </w:rPr>
              <w:t>Indicators are only finalised one year after the NAP is first published through the baseline study to ensure alignment.</w:t>
            </w:r>
          </w:p>
          <w:p w14:paraId="440075A4" w14:textId="77777777" w:rsidR="00C42467" w:rsidRPr="00206B2B" w:rsidRDefault="00C42467" w:rsidP="00C42467">
            <w:pPr>
              <w:pStyle w:val="TableBullet1stlevel"/>
              <w:rPr>
                <w:szCs w:val="20"/>
              </w:rPr>
            </w:pPr>
            <w:r w:rsidRPr="00206B2B">
              <w:rPr>
                <w:szCs w:val="20"/>
              </w:rPr>
              <w:t>Indicators are localised and have been made more specific in the most recent NAP.</w:t>
            </w:r>
          </w:p>
        </w:tc>
        <w:tc>
          <w:tcPr>
            <w:tcW w:w="3061" w:type="dxa"/>
            <w:tcMar>
              <w:left w:w="57" w:type="dxa"/>
              <w:right w:w="57" w:type="dxa"/>
            </w:tcMar>
          </w:tcPr>
          <w:p w14:paraId="60ADDF0E" w14:textId="77777777" w:rsidR="00C42467" w:rsidRPr="00206B2B" w:rsidRDefault="00C42467" w:rsidP="00C42467">
            <w:pPr>
              <w:pStyle w:val="TableBullet1stlevel"/>
              <w:rPr>
                <w:szCs w:val="20"/>
              </w:rPr>
            </w:pPr>
            <w:r w:rsidRPr="00206B2B">
              <w:rPr>
                <w:szCs w:val="20"/>
              </w:rPr>
              <w:t>A feminist approach is integrated into the MEL framework, prioritising collaborative and participatory processes.</w:t>
            </w:r>
          </w:p>
          <w:p w14:paraId="09530B0F" w14:textId="77777777" w:rsidR="00C42467" w:rsidRPr="00206B2B" w:rsidRDefault="00C42467" w:rsidP="00C42467">
            <w:pPr>
              <w:pStyle w:val="TableBullet1stlevel"/>
              <w:rPr>
                <w:szCs w:val="20"/>
              </w:rPr>
            </w:pPr>
            <w:r w:rsidRPr="00206B2B">
              <w:rPr>
                <w:szCs w:val="20"/>
              </w:rPr>
              <w:t>Action plan reporting is focused on results instead of activities.</w:t>
            </w:r>
          </w:p>
          <w:p w14:paraId="51DBF24D" w14:textId="77777777" w:rsidR="00C42467" w:rsidRPr="00206B2B" w:rsidRDefault="00C42467" w:rsidP="00C42467">
            <w:pPr>
              <w:pStyle w:val="TableBullet1stlevel"/>
              <w:rPr>
                <w:szCs w:val="20"/>
              </w:rPr>
            </w:pPr>
            <w:r w:rsidRPr="00206B2B">
              <w:rPr>
                <w:szCs w:val="20"/>
              </w:rPr>
              <w:t>Only a limited number of results-oriented indicators are tracked annually.</w:t>
            </w:r>
          </w:p>
          <w:p w14:paraId="7DEB421F" w14:textId="77777777" w:rsidR="00C42467" w:rsidRPr="00206B2B" w:rsidRDefault="00C42467" w:rsidP="00C42467">
            <w:pPr>
              <w:pStyle w:val="TableBullet1stlevel"/>
              <w:rPr>
                <w:szCs w:val="20"/>
              </w:rPr>
            </w:pPr>
            <w:r w:rsidRPr="00206B2B">
              <w:rPr>
                <w:szCs w:val="20"/>
              </w:rPr>
              <w:t>Indicators are grouped into central key performance indicators and department/agency-level key performance indicators.</w:t>
            </w:r>
          </w:p>
          <w:p w14:paraId="45548A69" w14:textId="77777777" w:rsidR="00C42467" w:rsidRPr="00206B2B" w:rsidRDefault="00C42467" w:rsidP="00C42467">
            <w:pPr>
              <w:pStyle w:val="TableBullet1stlevel"/>
              <w:rPr>
                <w:szCs w:val="20"/>
              </w:rPr>
            </w:pPr>
            <w:r w:rsidRPr="00206B2B">
              <w:rPr>
                <w:szCs w:val="20"/>
              </w:rPr>
              <w:t>KPIs, focus areas, outcomes, and identification of the type of KPI are group together in the NAP.</w:t>
            </w:r>
          </w:p>
          <w:p w14:paraId="574EAE64" w14:textId="77777777" w:rsidR="00C42467" w:rsidRPr="00206B2B" w:rsidRDefault="00C42467" w:rsidP="00C42467">
            <w:pPr>
              <w:pStyle w:val="TableBullet1stlevel"/>
              <w:rPr>
                <w:szCs w:val="20"/>
              </w:rPr>
            </w:pPr>
            <w:r w:rsidRPr="00206B2B">
              <w:rPr>
                <w:szCs w:val="20"/>
              </w:rPr>
              <w:t>Annual reporting includes progress, challenges and areas for improvement.</w:t>
            </w:r>
          </w:p>
        </w:tc>
        <w:tc>
          <w:tcPr>
            <w:tcW w:w="3572" w:type="dxa"/>
            <w:tcMar>
              <w:left w:w="57" w:type="dxa"/>
              <w:right w:w="57" w:type="dxa"/>
            </w:tcMar>
          </w:tcPr>
          <w:p w14:paraId="1C116F89" w14:textId="11B0965B" w:rsidR="00C42467" w:rsidRPr="00206B2B" w:rsidRDefault="00C42467" w:rsidP="00C42467">
            <w:pPr>
              <w:pStyle w:val="TableBullet1stlevel"/>
              <w:rPr>
                <w:szCs w:val="20"/>
              </w:rPr>
            </w:pPr>
            <w:r w:rsidRPr="00206B2B">
              <w:rPr>
                <w:szCs w:val="20"/>
              </w:rPr>
              <w:t>A dedicated MEAL pillar replaces the previously limited M&amp;E system and is informed by a collaborative results-based management approach.</w:t>
            </w:r>
          </w:p>
          <w:p w14:paraId="167E86AD" w14:textId="528D5964" w:rsidR="00C42467" w:rsidRPr="00206B2B" w:rsidRDefault="00C42467" w:rsidP="00C42467">
            <w:pPr>
              <w:pStyle w:val="TableBullet1stlevel"/>
              <w:rPr>
                <w:szCs w:val="20"/>
              </w:rPr>
            </w:pPr>
            <w:r w:rsidRPr="00206B2B">
              <w:rPr>
                <w:szCs w:val="20"/>
              </w:rPr>
              <w:t>Baseline setting and indicator refinement occur through a structured MEAL roadmap.</w:t>
            </w:r>
          </w:p>
          <w:p w14:paraId="5E8E35A7" w14:textId="1C594BFE" w:rsidR="00C42467" w:rsidRPr="00206B2B" w:rsidRDefault="00C42467" w:rsidP="00C42467">
            <w:pPr>
              <w:pStyle w:val="TableBullet1stlevel"/>
              <w:rPr>
                <w:szCs w:val="20"/>
              </w:rPr>
            </w:pPr>
            <w:r w:rsidRPr="00206B2B">
              <w:rPr>
                <w:szCs w:val="20"/>
              </w:rPr>
              <w:t>Indicators are not published in the NAP. An Indicator Handbook was published.</w:t>
            </w:r>
          </w:p>
          <w:p w14:paraId="1C16FBB9" w14:textId="77777777" w:rsidR="00C42467" w:rsidRPr="00206B2B" w:rsidRDefault="00C42467" w:rsidP="00C42467">
            <w:pPr>
              <w:pStyle w:val="TableBullet1stlevel"/>
              <w:rPr>
                <w:szCs w:val="20"/>
              </w:rPr>
            </w:pPr>
            <w:r w:rsidRPr="00206B2B">
              <w:rPr>
                <w:szCs w:val="20"/>
              </w:rPr>
              <w:t>Mid-term outcomes (MO) and associated output and MO indicators are outlined, with additional information on disaggregation, focus area, definition, method of computation, data source, collection method, and frequency.</w:t>
            </w:r>
          </w:p>
          <w:p w14:paraId="0C9E3CE9" w14:textId="0FA00B53" w:rsidR="00C42467" w:rsidRPr="00206B2B" w:rsidRDefault="00C42467" w:rsidP="00C42467">
            <w:pPr>
              <w:pStyle w:val="TableBullet1stlevel"/>
              <w:rPr>
                <w:szCs w:val="20"/>
              </w:rPr>
            </w:pPr>
            <w:r w:rsidRPr="00206B2B">
              <w:rPr>
                <w:szCs w:val="20"/>
              </w:rPr>
              <w:t>Action points from the NAP are linked to specific MOs.</w:t>
            </w:r>
          </w:p>
          <w:p w14:paraId="76324A2F" w14:textId="06A90863" w:rsidR="00C42467" w:rsidRPr="00206B2B" w:rsidRDefault="00C42467" w:rsidP="00C42467">
            <w:pPr>
              <w:pStyle w:val="TableBullet1stlevel"/>
              <w:rPr>
                <w:szCs w:val="20"/>
              </w:rPr>
            </w:pPr>
            <w:r w:rsidRPr="00206B2B">
              <w:rPr>
                <w:szCs w:val="20"/>
              </w:rPr>
              <w:t>A WPS database is being introduced in each implementing agency, integrated into the gender and development database.</w:t>
            </w:r>
          </w:p>
        </w:tc>
        <w:tc>
          <w:tcPr>
            <w:tcW w:w="2665" w:type="dxa"/>
            <w:tcMar>
              <w:left w:w="57" w:type="dxa"/>
              <w:right w:w="57" w:type="dxa"/>
            </w:tcMar>
          </w:tcPr>
          <w:p w14:paraId="008520C7" w14:textId="77777777" w:rsidR="00C42467" w:rsidRPr="00206B2B" w:rsidRDefault="00C42467" w:rsidP="00C42467">
            <w:pPr>
              <w:pStyle w:val="TableBullet1stlevel"/>
              <w:rPr>
                <w:szCs w:val="20"/>
              </w:rPr>
            </w:pPr>
            <w:r w:rsidRPr="00206B2B">
              <w:rPr>
                <w:szCs w:val="20"/>
              </w:rPr>
              <w:t>Applies a results-based M&amp;E framework.</w:t>
            </w:r>
          </w:p>
          <w:p w14:paraId="0E471BBB" w14:textId="77777777" w:rsidR="00C42467" w:rsidRPr="00206B2B" w:rsidRDefault="00C42467" w:rsidP="00C42467">
            <w:pPr>
              <w:pStyle w:val="TableBullet1stlevel"/>
              <w:rPr>
                <w:szCs w:val="20"/>
              </w:rPr>
            </w:pPr>
            <w:r w:rsidRPr="00206B2B">
              <w:rPr>
                <w:szCs w:val="20"/>
              </w:rPr>
              <w:t>Sources that report on each indicator are identified in the NAP.</w:t>
            </w:r>
          </w:p>
          <w:p w14:paraId="58FF9991" w14:textId="77777777" w:rsidR="00C42467" w:rsidRPr="00206B2B" w:rsidRDefault="00C42467" w:rsidP="00C42467">
            <w:pPr>
              <w:pStyle w:val="TableBullet1stlevel"/>
              <w:rPr>
                <w:szCs w:val="20"/>
              </w:rPr>
            </w:pPr>
            <w:r w:rsidRPr="00206B2B">
              <w:rPr>
                <w:szCs w:val="20"/>
              </w:rPr>
              <w:t>Department implementation plans capture specific outputs that contribute to each outcome.</w:t>
            </w:r>
          </w:p>
        </w:tc>
      </w:tr>
    </w:tbl>
    <w:p w14:paraId="7977BF41" w14:textId="77777777" w:rsidR="005F6B29" w:rsidRPr="005F6B29" w:rsidRDefault="005F6B29" w:rsidP="005F6B29">
      <w:r>
        <w:rPr>
          <w:rStyle w:val="Strong"/>
        </w:rPr>
        <w:br w:type="page"/>
      </w:r>
    </w:p>
    <w:p w14:paraId="3CD090C3" w14:textId="7C2B871F" w:rsidR="00C42467" w:rsidRDefault="00C42467" w:rsidP="005F6B29">
      <w:r w:rsidRPr="005F6B29">
        <w:rPr>
          <w:rStyle w:val="Strong"/>
        </w:rPr>
        <w:lastRenderedPageBreak/>
        <w:t>Government</w:t>
      </w:r>
      <w:r w:rsidRPr="00C42467">
        <w:t xml:space="preserve"> </w:t>
      </w:r>
      <w:r w:rsidRPr="005F6B29">
        <w:rPr>
          <w:rStyle w:val="Strong"/>
        </w:rPr>
        <w:t>Coordination</w:t>
      </w:r>
    </w:p>
    <w:tbl>
      <w:tblPr>
        <w:tblStyle w:val="KPMGTable"/>
        <w:tblW w:w="15535" w:type="dxa"/>
        <w:tblLayout w:type="fixed"/>
        <w:tblLook w:val="0420" w:firstRow="1" w:lastRow="0" w:firstColumn="0" w:lastColumn="0" w:noHBand="0" w:noVBand="1"/>
      </w:tblPr>
      <w:tblGrid>
        <w:gridCol w:w="3107"/>
        <w:gridCol w:w="3107"/>
        <w:gridCol w:w="3107"/>
        <w:gridCol w:w="3107"/>
        <w:gridCol w:w="3107"/>
      </w:tblGrid>
      <w:tr w:rsidR="00AC0440" w:rsidRPr="00206B2B" w14:paraId="0BC7B042"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3107" w:type="dxa"/>
          </w:tcPr>
          <w:p w14:paraId="4A06A256" w14:textId="77777777" w:rsidR="00AC0440" w:rsidRPr="00206B2B" w:rsidRDefault="00AC0440" w:rsidP="00796633">
            <w:pPr>
              <w:pStyle w:val="TableText"/>
              <w:rPr>
                <w:szCs w:val="20"/>
                <w:lang w:eastAsia="en-AU"/>
              </w:rPr>
            </w:pPr>
            <w:r w:rsidRPr="001A02B2">
              <w:t>Japan</w:t>
            </w:r>
          </w:p>
        </w:tc>
        <w:tc>
          <w:tcPr>
            <w:tcW w:w="3107" w:type="dxa"/>
          </w:tcPr>
          <w:p w14:paraId="7B8E90DC" w14:textId="77777777" w:rsidR="00AC0440" w:rsidRPr="00206B2B" w:rsidRDefault="00AC0440" w:rsidP="00796633">
            <w:pPr>
              <w:pStyle w:val="TableText"/>
              <w:rPr>
                <w:szCs w:val="20"/>
                <w:lang w:eastAsia="en-AU"/>
              </w:rPr>
            </w:pPr>
            <w:r w:rsidRPr="001A02B2">
              <w:t>United Kingdom</w:t>
            </w:r>
          </w:p>
        </w:tc>
        <w:tc>
          <w:tcPr>
            <w:tcW w:w="3107" w:type="dxa"/>
          </w:tcPr>
          <w:p w14:paraId="27583D09" w14:textId="77777777" w:rsidR="00AC0440" w:rsidRPr="00206B2B" w:rsidRDefault="00AC0440" w:rsidP="00796633">
            <w:pPr>
              <w:pStyle w:val="TableText"/>
              <w:rPr>
                <w:szCs w:val="20"/>
                <w:lang w:eastAsia="en-AU"/>
              </w:rPr>
            </w:pPr>
            <w:r w:rsidRPr="001A02B2">
              <w:t>Canada</w:t>
            </w:r>
          </w:p>
        </w:tc>
        <w:tc>
          <w:tcPr>
            <w:tcW w:w="3107" w:type="dxa"/>
          </w:tcPr>
          <w:p w14:paraId="7F2A5882" w14:textId="77777777" w:rsidR="00AC0440" w:rsidRPr="00206B2B" w:rsidRDefault="00AC0440" w:rsidP="00796633">
            <w:pPr>
              <w:pStyle w:val="TableText"/>
              <w:rPr>
                <w:szCs w:val="20"/>
                <w:lang w:eastAsia="en-AU"/>
              </w:rPr>
            </w:pPr>
            <w:r w:rsidRPr="001A02B2">
              <w:t>Philippines</w:t>
            </w:r>
          </w:p>
        </w:tc>
        <w:tc>
          <w:tcPr>
            <w:tcW w:w="3107" w:type="dxa"/>
          </w:tcPr>
          <w:p w14:paraId="1692760E" w14:textId="77777777" w:rsidR="00AC0440" w:rsidRPr="00206B2B" w:rsidRDefault="00AC0440" w:rsidP="00796633">
            <w:pPr>
              <w:pStyle w:val="TableText"/>
              <w:rPr>
                <w:szCs w:val="20"/>
                <w:lang w:eastAsia="en-AU"/>
              </w:rPr>
            </w:pPr>
            <w:r w:rsidRPr="001A02B2">
              <w:t>Australia</w:t>
            </w:r>
          </w:p>
        </w:tc>
      </w:tr>
      <w:tr w:rsidR="00C42467" w:rsidRPr="00206B2B" w14:paraId="1F503D31" w14:textId="77777777" w:rsidTr="005F6B29">
        <w:trPr>
          <w:cnfStyle w:val="000000100000" w:firstRow="0" w:lastRow="0" w:firstColumn="0" w:lastColumn="0" w:oddVBand="0" w:evenVBand="0" w:oddHBand="1" w:evenHBand="0" w:firstRowFirstColumn="0" w:firstRowLastColumn="0" w:lastRowFirstColumn="0" w:lastRowLastColumn="0"/>
          <w:trHeight w:val="6470"/>
        </w:trPr>
        <w:tc>
          <w:tcPr>
            <w:tcW w:w="3107" w:type="dxa"/>
            <w:tcMar>
              <w:left w:w="57" w:type="dxa"/>
              <w:right w:w="57" w:type="dxa"/>
            </w:tcMar>
          </w:tcPr>
          <w:p w14:paraId="4A91EF00" w14:textId="77777777" w:rsidR="00C42467" w:rsidRPr="00206B2B" w:rsidRDefault="00C42467" w:rsidP="00C42467">
            <w:pPr>
              <w:pStyle w:val="TableBullet1stlevel"/>
              <w:rPr>
                <w:szCs w:val="20"/>
              </w:rPr>
            </w:pPr>
            <w:r w:rsidRPr="00206B2B">
              <w:rPr>
                <w:szCs w:val="20"/>
              </w:rPr>
              <w:t>The NAP does not describe how agencies and ministries should work together to meet the indicators.</w:t>
            </w:r>
          </w:p>
        </w:tc>
        <w:tc>
          <w:tcPr>
            <w:tcW w:w="3107" w:type="dxa"/>
            <w:tcMar>
              <w:left w:w="57" w:type="dxa"/>
              <w:right w:w="57" w:type="dxa"/>
            </w:tcMar>
          </w:tcPr>
          <w:p w14:paraId="5B8AB5C1" w14:textId="77777777" w:rsidR="00C42467" w:rsidRPr="00206B2B" w:rsidRDefault="00C42467" w:rsidP="00C42467">
            <w:pPr>
              <w:pStyle w:val="TableBullet1stlevel"/>
              <w:rPr>
                <w:szCs w:val="20"/>
              </w:rPr>
            </w:pPr>
            <w:r w:rsidRPr="00206B2B">
              <w:rPr>
                <w:szCs w:val="20"/>
              </w:rPr>
              <w:t xml:space="preserve">The UK implemented a WPS Helpdesk in 2022, a call-down facility that provides high quality, evidence informed analysis and expertise on WPS issues to provide cross-government support. </w:t>
            </w:r>
          </w:p>
          <w:p w14:paraId="736B9662" w14:textId="77777777" w:rsidR="00C42467" w:rsidRPr="00206B2B" w:rsidRDefault="00C42467" w:rsidP="00C42467">
            <w:pPr>
              <w:pStyle w:val="TableBullet1stlevel"/>
              <w:rPr>
                <w:szCs w:val="20"/>
              </w:rPr>
            </w:pPr>
            <w:r w:rsidRPr="00206B2B">
              <w:rPr>
                <w:szCs w:val="20"/>
              </w:rPr>
              <w:t>The NAP is jointly owned and lead by FCDO and MoD with further contributions from other departments.</w:t>
            </w:r>
          </w:p>
          <w:p w14:paraId="017535AD" w14:textId="2CEBAD8B" w:rsidR="00C42467" w:rsidRPr="00DF7889" w:rsidRDefault="00C42467" w:rsidP="00C42467">
            <w:pPr>
              <w:pStyle w:val="TableText"/>
              <w:rPr>
                <w:rStyle w:val="Strong"/>
              </w:rPr>
            </w:pPr>
            <w:r w:rsidRPr="00DF7889">
              <w:rPr>
                <w:rStyle w:val="Strong"/>
              </w:rPr>
              <w:t>Governance structures for coordination:</w:t>
            </w:r>
          </w:p>
          <w:p w14:paraId="0898DBEF" w14:textId="77777777" w:rsidR="00C42467" w:rsidRPr="00206B2B" w:rsidRDefault="00C42467" w:rsidP="00C42467">
            <w:pPr>
              <w:pStyle w:val="TableBullet1stlevel"/>
              <w:rPr>
                <w:szCs w:val="20"/>
              </w:rPr>
            </w:pPr>
            <w:r w:rsidRPr="00206B2B">
              <w:rPr>
                <w:szCs w:val="20"/>
              </w:rPr>
              <w:t>A ministerial WPS Steering Board meets annually for senior-level oversight and external scrutiny.</w:t>
            </w:r>
          </w:p>
          <w:p w14:paraId="6B3A0822" w14:textId="77777777" w:rsidR="00C42467" w:rsidRPr="00206B2B" w:rsidRDefault="00C42467" w:rsidP="00C42467">
            <w:pPr>
              <w:pStyle w:val="TableBullet1stlevel"/>
              <w:rPr>
                <w:szCs w:val="20"/>
              </w:rPr>
            </w:pPr>
            <w:r w:rsidRPr="00206B2B">
              <w:rPr>
                <w:szCs w:val="20"/>
              </w:rPr>
              <w:t>The Senior Officials Shadow Board holds senior officials accountable for delivery.</w:t>
            </w:r>
          </w:p>
          <w:p w14:paraId="2C57016B" w14:textId="77777777" w:rsidR="00C42467" w:rsidRPr="00206B2B" w:rsidRDefault="00C42467" w:rsidP="00C42467">
            <w:pPr>
              <w:pStyle w:val="TableBullet1stlevel"/>
              <w:rPr>
                <w:szCs w:val="20"/>
              </w:rPr>
            </w:pPr>
            <w:r w:rsidRPr="00206B2B">
              <w:rPr>
                <w:szCs w:val="20"/>
              </w:rPr>
              <w:t>The Cross-Whitehall WPS Working group holds monthly meetings to monitor progress and coordinate day-to-day implementation.</w:t>
            </w:r>
          </w:p>
          <w:p w14:paraId="20DE27E3" w14:textId="77777777" w:rsidR="00C42467" w:rsidRPr="00206B2B" w:rsidRDefault="00C42467" w:rsidP="00C42467">
            <w:pPr>
              <w:pStyle w:val="TableBullet1stlevel"/>
              <w:rPr>
                <w:szCs w:val="20"/>
              </w:rPr>
            </w:pPr>
            <w:r w:rsidRPr="00206B2B">
              <w:rPr>
                <w:szCs w:val="20"/>
              </w:rPr>
              <w:t>The WPS Focal Points Network conducts monthly check-ins with posts in focus countries for support and troubleshooting.</w:t>
            </w:r>
          </w:p>
          <w:p w14:paraId="05ACE3EB" w14:textId="77777777" w:rsidR="00C42467" w:rsidRPr="00206B2B" w:rsidRDefault="00C42467" w:rsidP="00C42467">
            <w:pPr>
              <w:pStyle w:val="TableBullet1stlevel"/>
              <w:rPr>
                <w:szCs w:val="20"/>
              </w:rPr>
            </w:pPr>
            <w:r w:rsidRPr="00206B2B">
              <w:rPr>
                <w:szCs w:val="20"/>
              </w:rPr>
              <w:t>A WPS academic engagement group has quarterly sessions to integrate research into policy.</w:t>
            </w:r>
          </w:p>
        </w:tc>
        <w:tc>
          <w:tcPr>
            <w:tcW w:w="3107" w:type="dxa"/>
            <w:tcMar>
              <w:left w:w="57" w:type="dxa"/>
              <w:right w:w="57" w:type="dxa"/>
            </w:tcMar>
          </w:tcPr>
          <w:p w14:paraId="5000EE45" w14:textId="77777777" w:rsidR="00C42467" w:rsidRPr="00206B2B" w:rsidRDefault="00C42467" w:rsidP="00C42467">
            <w:pPr>
              <w:pStyle w:val="TableBullet1stlevel"/>
              <w:rPr>
                <w:szCs w:val="20"/>
              </w:rPr>
            </w:pPr>
            <w:r w:rsidRPr="00206B2B">
              <w:rPr>
                <w:szCs w:val="20"/>
              </w:rPr>
              <w:t>A coordination hub was established at Global Affairs Canada, facilitating communication across partners and with external stakeholders.</w:t>
            </w:r>
          </w:p>
          <w:p w14:paraId="2C57DB79" w14:textId="42074135" w:rsidR="00C42467" w:rsidRPr="00206B2B" w:rsidRDefault="00C42467" w:rsidP="00C42467">
            <w:pPr>
              <w:pStyle w:val="TableBullet1stlevel"/>
              <w:rPr>
                <w:szCs w:val="20"/>
              </w:rPr>
            </w:pPr>
            <w:r w:rsidRPr="00206B2B">
              <w:rPr>
                <w:szCs w:val="20"/>
              </w:rPr>
              <w:t>The NAP is comprised of an overarching framework and implementation plans, or statements of support, by all 10 federal partners.</w:t>
            </w:r>
          </w:p>
        </w:tc>
        <w:tc>
          <w:tcPr>
            <w:tcW w:w="3107" w:type="dxa"/>
            <w:tcMar>
              <w:left w:w="57" w:type="dxa"/>
              <w:right w:w="57" w:type="dxa"/>
            </w:tcMar>
          </w:tcPr>
          <w:p w14:paraId="6059E7F3" w14:textId="20D567ED" w:rsidR="00C42467" w:rsidRPr="00206B2B" w:rsidRDefault="00C42467" w:rsidP="00C42467">
            <w:pPr>
              <w:pStyle w:val="TableBullet1stlevel"/>
              <w:rPr>
                <w:szCs w:val="20"/>
              </w:rPr>
            </w:pPr>
            <w:r w:rsidRPr="00206B2B">
              <w:rPr>
                <w:szCs w:val="20"/>
              </w:rPr>
              <w:t>NSCWPS is the central inter</w:t>
            </w:r>
            <w:r w:rsidRPr="00206B2B">
              <w:rPr>
                <w:rFonts w:ascii="Cambria Math" w:hAnsi="Cambria Math" w:cs="Cambria Math"/>
                <w:szCs w:val="20"/>
              </w:rPr>
              <w:t>‑</w:t>
            </w:r>
            <w:r w:rsidRPr="00206B2B">
              <w:rPr>
                <w:szCs w:val="20"/>
              </w:rPr>
              <w:t>agency coordination body mandated to manage, direct, integrate, monitor, evaluate and report on the implementation of the NAP.</w:t>
            </w:r>
          </w:p>
          <w:p w14:paraId="2558C396" w14:textId="1D72F697" w:rsidR="00C42467" w:rsidRPr="00206B2B" w:rsidRDefault="00C42467" w:rsidP="00C42467">
            <w:pPr>
              <w:pStyle w:val="TableBullet1stlevel"/>
              <w:rPr>
                <w:szCs w:val="20"/>
              </w:rPr>
            </w:pPr>
            <w:r w:rsidRPr="00206B2B">
              <w:rPr>
                <w:szCs w:val="20"/>
              </w:rPr>
              <w:t>The NAP explicitly adopts a whole</w:t>
            </w:r>
            <w:r w:rsidRPr="00206B2B">
              <w:rPr>
                <w:szCs w:val="20"/>
              </w:rPr>
              <w:noBreakHyphen/>
              <w:t xml:space="preserve">of- government approach to ensure harmonised action across government, civil society, and the security sector. </w:t>
            </w:r>
          </w:p>
          <w:p w14:paraId="06FC8E00" w14:textId="4D00BABF" w:rsidR="00C42467" w:rsidRPr="00206B2B" w:rsidRDefault="00C42467" w:rsidP="00C42467">
            <w:pPr>
              <w:pStyle w:val="TableBullet1stlevel"/>
              <w:rPr>
                <w:szCs w:val="20"/>
              </w:rPr>
            </w:pPr>
            <w:r w:rsidRPr="00206B2B">
              <w:rPr>
                <w:szCs w:val="20"/>
              </w:rPr>
              <w:t>A Joint Memorandum Circular between the Philippine Commission on Women and the Office of the Presidential Adviser on the Peace Process mandates agencies and Local Government Units to embed WPS in their Gender and Development planning and reporting via Gender and Development Accomplishment Reports.</w:t>
            </w:r>
          </w:p>
        </w:tc>
        <w:tc>
          <w:tcPr>
            <w:tcW w:w="3107" w:type="dxa"/>
            <w:tcMar>
              <w:left w:w="57" w:type="dxa"/>
              <w:right w:w="57" w:type="dxa"/>
            </w:tcMar>
          </w:tcPr>
          <w:p w14:paraId="418B7D3C" w14:textId="0EDCC603" w:rsidR="00C42467" w:rsidRPr="00206B2B" w:rsidRDefault="00C42467" w:rsidP="00C42467">
            <w:pPr>
              <w:pStyle w:val="TableBullet1stlevel"/>
              <w:rPr>
                <w:szCs w:val="20"/>
              </w:rPr>
            </w:pPr>
            <w:r w:rsidRPr="00206B2B">
              <w:rPr>
                <w:szCs w:val="20"/>
              </w:rPr>
              <w:t>An inter-departmental committee has been established for providing whole-of-government leadership and coordinating implementation.</w:t>
            </w:r>
          </w:p>
        </w:tc>
      </w:tr>
    </w:tbl>
    <w:p w14:paraId="1D4F7B55" w14:textId="21FF1ABC" w:rsidR="00C42467" w:rsidRDefault="00C42467">
      <w:r>
        <w:br w:type="page"/>
      </w:r>
    </w:p>
    <w:p w14:paraId="52B1610F" w14:textId="686D7BF2" w:rsidR="00C42467" w:rsidRPr="005F6B29" w:rsidRDefault="00C42467" w:rsidP="005F6B29">
      <w:pPr>
        <w:rPr>
          <w:rStyle w:val="Strong"/>
        </w:rPr>
      </w:pPr>
      <w:r w:rsidRPr="005F6B29">
        <w:rPr>
          <w:rStyle w:val="Strong"/>
        </w:rPr>
        <w:lastRenderedPageBreak/>
        <w:t>Government agencies that support actions</w:t>
      </w:r>
    </w:p>
    <w:tbl>
      <w:tblPr>
        <w:tblStyle w:val="KPMGTable"/>
        <w:tblW w:w="15438" w:type="dxa"/>
        <w:tblLayout w:type="fixed"/>
        <w:tblLook w:val="0420" w:firstRow="1" w:lastRow="0" w:firstColumn="0" w:lastColumn="0" w:noHBand="0" w:noVBand="1"/>
      </w:tblPr>
      <w:tblGrid>
        <w:gridCol w:w="3087"/>
        <w:gridCol w:w="3088"/>
        <w:gridCol w:w="3087"/>
        <w:gridCol w:w="3088"/>
        <w:gridCol w:w="3088"/>
      </w:tblGrid>
      <w:tr w:rsidR="00AC0440" w:rsidRPr="00206B2B" w14:paraId="2D95047F"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3087" w:type="dxa"/>
          </w:tcPr>
          <w:p w14:paraId="6A4A37A3" w14:textId="77777777" w:rsidR="00AC0440" w:rsidRPr="00206B2B" w:rsidRDefault="00AC0440" w:rsidP="00796633">
            <w:pPr>
              <w:pStyle w:val="TableText"/>
              <w:rPr>
                <w:szCs w:val="20"/>
                <w:lang w:eastAsia="en-AU"/>
              </w:rPr>
            </w:pPr>
            <w:r w:rsidRPr="001A02B2">
              <w:t>Japan</w:t>
            </w:r>
          </w:p>
        </w:tc>
        <w:tc>
          <w:tcPr>
            <w:tcW w:w="3088" w:type="dxa"/>
          </w:tcPr>
          <w:p w14:paraId="3C456472" w14:textId="77777777" w:rsidR="00AC0440" w:rsidRPr="00206B2B" w:rsidRDefault="00AC0440" w:rsidP="00796633">
            <w:pPr>
              <w:pStyle w:val="TableText"/>
              <w:rPr>
                <w:szCs w:val="20"/>
                <w:lang w:eastAsia="en-AU"/>
              </w:rPr>
            </w:pPr>
            <w:r w:rsidRPr="001A02B2">
              <w:t>United Kingdom</w:t>
            </w:r>
          </w:p>
        </w:tc>
        <w:tc>
          <w:tcPr>
            <w:tcW w:w="3087" w:type="dxa"/>
          </w:tcPr>
          <w:p w14:paraId="4D2B4966" w14:textId="77777777" w:rsidR="00AC0440" w:rsidRPr="00206B2B" w:rsidRDefault="00AC0440" w:rsidP="00796633">
            <w:pPr>
              <w:pStyle w:val="TableText"/>
              <w:rPr>
                <w:szCs w:val="20"/>
                <w:lang w:eastAsia="en-AU"/>
              </w:rPr>
            </w:pPr>
            <w:r w:rsidRPr="001A02B2">
              <w:t>Canada</w:t>
            </w:r>
          </w:p>
        </w:tc>
        <w:tc>
          <w:tcPr>
            <w:tcW w:w="3088" w:type="dxa"/>
          </w:tcPr>
          <w:p w14:paraId="10AB9BAF" w14:textId="77777777" w:rsidR="00AC0440" w:rsidRPr="00206B2B" w:rsidRDefault="00AC0440" w:rsidP="00796633">
            <w:pPr>
              <w:pStyle w:val="TableText"/>
              <w:rPr>
                <w:szCs w:val="20"/>
                <w:lang w:eastAsia="en-AU"/>
              </w:rPr>
            </w:pPr>
            <w:r w:rsidRPr="001A02B2">
              <w:t>Philippines</w:t>
            </w:r>
          </w:p>
        </w:tc>
        <w:tc>
          <w:tcPr>
            <w:tcW w:w="3088" w:type="dxa"/>
          </w:tcPr>
          <w:p w14:paraId="228042F2" w14:textId="77777777" w:rsidR="00AC0440" w:rsidRPr="00206B2B" w:rsidRDefault="00AC0440" w:rsidP="00796633">
            <w:pPr>
              <w:pStyle w:val="TableText"/>
              <w:rPr>
                <w:szCs w:val="20"/>
                <w:lang w:eastAsia="en-AU"/>
              </w:rPr>
            </w:pPr>
            <w:r w:rsidRPr="001A02B2">
              <w:t>Australia</w:t>
            </w:r>
          </w:p>
        </w:tc>
      </w:tr>
      <w:tr w:rsidR="00C42467" w:rsidRPr="00206B2B" w14:paraId="0BEBAFA1" w14:textId="77777777" w:rsidTr="005F6B29">
        <w:trPr>
          <w:cnfStyle w:val="000000100000" w:firstRow="0" w:lastRow="0" w:firstColumn="0" w:lastColumn="0" w:oddVBand="0" w:evenVBand="0" w:oddHBand="1" w:evenHBand="0" w:firstRowFirstColumn="0" w:firstRowLastColumn="0" w:lastRowFirstColumn="0" w:lastRowLastColumn="0"/>
          <w:trHeight w:val="6611"/>
        </w:trPr>
        <w:tc>
          <w:tcPr>
            <w:tcW w:w="3087" w:type="dxa"/>
            <w:tcMar>
              <w:left w:w="57" w:type="dxa"/>
              <w:right w:w="57" w:type="dxa"/>
            </w:tcMar>
          </w:tcPr>
          <w:p w14:paraId="6DBAA4CD" w14:textId="77777777" w:rsidR="00C42467" w:rsidRPr="00206B2B" w:rsidRDefault="00C42467" w:rsidP="00C42467">
            <w:pPr>
              <w:pStyle w:val="TableText"/>
              <w:rPr>
                <w:lang w:eastAsia="en-AU"/>
              </w:rPr>
            </w:pPr>
            <w:r w:rsidRPr="00206B2B">
              <w:rPr>
                <w:lang w:eastAsia="en-AU"/>
              </w:rPr>
              <w:t xml:space="preserve">Each pillar has different responsible ministries and agencies </w:t>
            </w:r>
            <w:proofErr w:type="gramStart"/>
            <w:r w:rsidRPr="00206B2B">
              <w:rPr>
                <w:lang w:eastAsia="en-AU"/>
              </w:rPr>
              <w:t>listed,</w:t>
            </w:r>
            <w:proofErr w:type="gramEnd"/>
            <w:r w:rsidRPr="00206B2B">
              <w:rPr>
                <w:lang w:eastAsia="en-AU"/>
              </w:rPr>
              <w:t xml:space="preserve"> however, they are not tagged to specific actions.</w:t>
            </w:r>
          </w:p>
          <w:p w14:paraId="2C51300E" w14:textId="77777777" w:rsidR="00C42467" w:rsidRPr="00206B2B" w:rsidRDefault="00C42467" w:rsidP="00C42467">
            <w:pPr>
              <w:pStyle w:val="TableBullet1stlevel"/>
              <w:rPr>
                <w:szCs w:val="20"/>
              </w:rPr>
            </w:pPr>
            <w:r w:rsidRPr="00206B2B">
              <w:rPr>
                <w:szCs w:val="20"/>
              </w:rPr>
              <w:t xml:space="preserve">Peacekeeping Officer Secretariat </w:t>
            </w:r>
          </w:p>
          <w:p w14:paraId="41AD4BFF" w14:textId="77777777" w:rsidR="00C42467" w:rsidRPr="00206B2B" w:rsidRDefault="00C42467" w:rsidP="00C42467">
            <w:pPr>
              <w:pStyle w:val="TableBullet1stlevel"/>
              <w:rPr>
                <w:szCs w:val="20"/>
              </w:rPr>
            </w:pPr>
            <w:r w:rsidRPr="00206B2B">
              <w:rPr>
                <w:szCs w:val="20"/>
              </w:rPr>
              <w:t>Foreign Affairs</w:t>
            </w:r>
          </w:p>
          <w:p w14:paraId="30495758" w14:textId="77777777" w:rsidR="00C42467" w:rsidRPr="00206B2B" w:rsidRDefault="00C42467" w:rsidP="00C42467">
            <w:pPr>
              <w:pStyle w:val="TableBullet1stlevel"/>
              <w:rPr>
                <w:szCs w:val="20"/>
              </w:rPr>
            </w:pPr>
            <w:r w:rsidRPr="00206B2B">
              <w:rPr>
                <w:szCs w:val="20"/>
              </w:rPr>
              <w:t>Defence</w:t>
            </w:r>
          </w:p>
          <w:p w14:paraId="08A89F6B" w14:textId="77777777" w:rsidR="00C42467" w:rsidRPr="00206B2B" w:rsidRDefault="00C42467" w:rsidP="00C42467">
            <w:pPr>
              <w:pStyle w:val="TableBullet1stlevel"/>
              <w:rPr>
                <w:szCs w:val="20"/>
              </w:rPr>
            </w:pPr>
            <w:r w:rsidRPr="00206B2B">
              <w:rPr>
                <w:szCs w:val="20"/>
              </w:rPr>
              <w:t>National Police Agency</w:t>
            </w:r>
          </w:p>
          <w:p w14:paraId="47F8742F" w14:textId="77777777" w:rsidR="00C42467" w:rsidRPr="00206B2B" w:rsidRDefault="00C42467" w:rsidP="00C42467">
            <w:pPr>
              <w:pStyle w:val="TableBullet1stlevel"/>
              <w:rPr>
                <w:szCs w:val="20"/>
              </w:rPr>
            </w:pPr>
            <w:r w:rsidRPr="00206B2B">
              <w:rPr>
                <w:szCs w:val="20"/>
              </w:rPr>
              <w:t>Fire and Disaster Management Agency</w:t>
            </w:r>
          </w:p>
          <w:p w14:paraId="218DFE47" w14:textId="77777777" w:rsidR="00C42467" w:rsidRPr="00206B2B" w:rsidRDefault="00C42467" w:rsidP="00C42467">
            <w:pPr>
              <w:pStyle w:val="TableBullet1stlevel"/>
              <w:rPr>
                <w:szCs w:val="20"/>
              </w:rPr>
            </w:pPr>
            <w:r w:rsidRPr="00206B2B">
              <w:rPr>
                <w:szCs w:val="20"/>
              </w:rPr>
              <w:t xml:space="preserve">Japan Cost Guard </w:t>
            </w:r>
          </w:p>
          <w:p w14:paraId="5F609D0B" w14:textId="77777777" w:rsidR="00C42467" w:rsidRPr="00206B2B" w:rsidRDefault="00C42467" w:rsidP="00C42467">
            <w:pPr>
              <w:pStyle w:val="TableBullet1stlevel"/>
              <w:rPr>
                <w:szCs w:val="20"/>
              </w:rPr>
            </w:pPr>
            <w:r w:rsidRPr="00206B2B">
              <w:rPr>
                <w:szCs w:val="20"/>
              </w:rPr>
              <w:t>Japan International Cooperation Agency</w:t>
            </w:r>
          </w:p>
          <w:p w14:paraId="18759221" w14:textId="77777777" w:rsidR="00C42467" w:rsidRPr="00206B2B" w:rsidRDefault="00C42467" w:rsidP="00C42467">
            <w:pPr>
              <w:pStyle w:val="TableBullet1stlevel"/>
              <w:rPr>
                <w:szCs w:val="20"/>
              </w:rPr>
            </w:pPr>
            <w:r w:rsidRPr="00206B2B">
              <w:rPr>
                <w:szCs w:val="20"/>
              </w:rPr>
              <w:t>Ministry of Justice</w:t>
            </w:r>
          </w:p>
          <w:p w14:paraId="7173BB60" w14:textId="77777777" w:rsidR="00C42467" w:rsidRPr="00206B2B" w:rsidRDefault="00C42467" w:rsidP="00C42467">
            <w:pPr>
              <w:pStyle w:val="TableBullet1stlevel"/>
              <w:rPr>
                <w:szCs w:val="20"/>
              </w:rPr>
            </w:pPr>
            <w:r w:rsidRPr="00206B2B">
              <w:rPr>
                <w:szCs w:val="20"/>
              </w:rPr>
              <w:t>Cabinet Office</w:t>
            </w:r>
          </w:p>
          <w:p w14:paraId="7FE84556" w14:textId="77777777" w:rsidR="00C42467" w:rsidRPr="00206B2B" w:rsidRDefault="00C42467" w:rsidP="00C42467">
            <w:pPr>
              <w:pStyle w:val="TableBullet1stlevel"/>
              <w:rPr>
                <w:szCs w:val="20"/>
              </w:rPr>
            </w:pPr>
            <w:r w:rsidRPr="00206B2B">
              <w:rPr>
                <w:szCs w:val="20"/>
              </w:rPr>
              <w:t>Ministry of Education, Culture, Sports, Science and Technology</w:t>
            </w:r>
          </w:p>
          <w:p w14:paraId="0CB8F100" w14:textId="77777777" w:rsidR="00C42467" w:rsidRPr="00206B2B" w:rsidRDefault="00C42467" w:rsidP="00C42467">
            <w:pPr>
              <w:pStyle w:val="TableBullet1stlevel"/>
              <w:rPr>
                <w:szCs w:val="20"/>
              </w:rPr>
            </w:pPr>
            <w:r w:rsidRPr="00206B2B">
              <w:rPr>
                <w:szCs w:val="20"/>
              </w:rPr>
              <w:t>Ministry of Health, Labor and Welfare</w:t>
            </w:r>
          </w:p>
        </w:tc>
        <w:tc>
          <w:tcPr>
            <w:tcW w:w="3088" w:type="dxa"/>
            <w:tcMar>
              <w:left w:w="57" w:type="dxa"/>
              <w:right w:w="57" w:type="dxa"/>
            </w:tcMar>
          </w:tcPr>
          <w:p w14:paraId="2E02511C" w14:textId="77777777" w:rsidR="00C42467" w:rsidRPr="00206B2B" w:rsidRDefault="00C42467" w:rsidP="00C42467">
            <w:pPr>
              <w:pStyle w:val="TableText"/>
            </w:pPr>
            <w:r w:rsidRPr="00206B2B">
              <w:t>The delivery plan outlines which departments lead each commitment.</w:t>
            </w:r>
          </w:p>
          <w:p w14:paraId="29EE7D49" w14:textId="4B38D392" w:rsidR="00C42467" w:rsidRPr="001B3070" w:rsidRDefault="00C42467" w:rsidP="00C42467">
            <w:pPr>
              <w:pStyle w:val="TableText"/>
              <w:rPr>
                <w:rStyle w:val="Strong"/>
              </w:rPr>
            </w:pPr>
            <w:r w:rsidRPr="001B3070">
              <w:rPr>
                <w:rStyle w:val="Strong"/>
              </w:rPr>
              <w:t>Lead departments</w:t>
            </w:r>
          </w:p>
          <w:p w14:paraId="3D491264" w14:textId="77777777" w:rsidR="00C42467" w:rsidRPr="00206B2B" w:rsidRDefault="00C42467" w:rsidP="00C42467">
            <w:pPr>
              <w:pStyle w:val="TableBullet1stlevel"/>
              <w:rPr>
                <w:szCs w:val="20"/>
              </w:rPr>
            </w:pPr>
            <w:r w:rsidRPr="00206B2B">
              <w:rPr>
                <w:szCs w:val="20"/>
              </w:rPr>
              <w:t>FCDO</w:t>
            </w:r>
          </w:p>
          <w:p w14:paraId="37535AFF" w14:textId="77777777" w:rsidR="00C42467" w:rsidRPr="00206B2B" w:rsidRDefault="00C42467" w:rsidP="00C42467">
            <w:pPr>
              <w:pStyle w:val="TableBullet1stlevel"/>
              <w:rPr>
                <w:szCs w:val="20"/>
              </w:rPr>
            </w:pPr>
            <w:r w:rsidRPr="00206B2B">
              <w:rPr>
                <w:szCs w:val="20"/>
              </w:rPr>
              <w:t>MOD</w:t>
            </w:r>
          </w:p>
          <w:p w14:paraId="13D6CC38" w14:textId="5E196E04" w:rsidR="00C42467" w:rsidRPr="001B3070" w:rsidRDefault="00C42467" w:rsidP="00C42467">
            <w:pPr>
              <w:pStyle w:val="TableText"/>
              <w:rPr>
                <w:rStyle w:val="Strong"/>
              </w:rPr>
            </w:pPr>
            <w:r w:rsidRPr="001B3070">
              <w:rPr>
                <w:rStyle w:val="Strong"/>
              </w:rPr>
              <w:t>Additional departments</w:t>
            </w:r>
          </w:p>
          <w:p w14:paraId="3265432E" w14:textId="77777777" w:rsidR="00C42467" w:rsidRPr="00206B2B" w:rsidRDefault="00C42467" w:rsidP="00C42467">
            <w:pPr>
              <w:pStyle w:val="TableBullet1stlevel"/>
              <w:rPr>
                <w:szCs w:val="20"/>
              </w:rPr>
            </w:pPr>
            <w:r w:rsidRPr="00206B2B">
              <w:rPr>
                <w:szCs w:val="20"/>
              </w:rPr>
              <w:t>Home Office: domestic implementation, Violence Against Women and Girls (VAWG), forced marriage, migrant victim support</w:t>
            </w:r>
          </w:p>
          <w:p w14:paraId="71CF1672" w14:textId="77777777" w:rsidR="00C42467" w:rsidRPr="00206B2B" w:rsidRDefault="00C42467" w:rsidP="00C42467">
            <w:pPr>
              <w:pStyle w:val="TableBullet1stlevel"/>
              <w:rPr>
                <w:szCs w:val="20"/>
              </w:rPr>
            </w:pPr>
            <w:r w:rsidRPr="00206B2B">
              <w:rPr>
                <w:szCs w:val="20"/>
              </w:rPr>
              <w:t>Ministry of Justice: criminal justice reforms, victim support, Victims Bill</w:t>
            </w:r>
          </w:p>
          <w:p w14:paraId="309D1258" w14:textId="77777777" w:rsidR="00C42467" w:rsidRPr="00206B2B" w:rsidRDefault="00C42467" w:rsidP="00C42467">
            <w:pPr>
              <w:pStyle w:val="TableBullet1stlevel"/>
              <w:rPr>
                <w:szCs w:val="20"/>
              </w:rPr>
            </w:pPr>
            <w:r w:rsidRPr="00206B2B">
              <w:rPr>
                <w:szCs w:val="20"/>
              </w:rPr>
              <w:t>Northern Ireland Office (NIO)</w:t>
            </w:r>
          </w:p>
          <w:p w14:paraId="14D5886C" w14:textId="109E7176" w:rsidR="00C42467" w:rsidRPr="001B3070" w:rsidRDefault="00C42467" w:rsidP="00C42467">
            <w:pPr>
              <w:pStyle w:val="TableText"/>
              <w:rPr>
                <w:rStyle w:val="Strong"/>
                <w:lang w:eastAsia="en-AU"/>
              </w:rPr>
            </w:pPr>
            <w:r w:rsidRPr="001B3070">
              <w:rPr>
                <w:rStyle w:val="Strong"/>
                <w:lang w:eastAsia="en-AU"/>
              </w:rPr>
              <w:t>Other supporting structures</w:t>
            </w:r>
          </w:p>
          <w:p w14:paraId="5EDF5187" w14:textId="77777777" w:rsidR="00C42467" w:rsidRPr="00206B2B" w:rsidRDefault="00C42467" w:rsidP="00C42467">
            <w:pPr>
              <w:pStyle w:val="TableBullet1stlevel"/>
              <w:rPr>
                <w:szCs w:val="20"/>
              </w:rPr>
            </w:pPr>
            <w:r w:rsidRPr="00206B2B">
              <w:rPr>
                <w:szCs w:val="20"/>
              </w:rPr>
              <w:t>Conflict, Stability and Security Fund: funds WPS programming and provides the WPS Helpdesk</w:t>
            </w:r>
          </w:p>
          <w:p w14:paraId="38478E05" w14:textId="77777777" w:rsidR="00C42467" w:rsidRPr="00206B2B" w:rsidRDefault="00C42467" w:rsidP="00C42467">
            <w:pPr>
              <w:pStyle w:val="TableBullet1stlevel"/>
              <w:rPr>
                <w:szCs w:val="20"/>
              </w:rPr>
            </w:pPr>
            <w:r w:rsidRPr="00206B2B">
              <w:rPr>
                <w:szCs w:val="20"/>
              </w:rPr>
              <w:t>Cross-Whitehall WPS Working Group: coordinates delivery across departments and ensures policy coherence</w:t>
            </w:r>
          </w:p>
          <w:p w14:paraId="2C2037D3" w14:textId="77777777" w:rsidR="00C42467" w:rsidRPr="00206B2B" w:rsidRDefault="00C42467" w:rsidP="00C42467">
            <w:pPr>
              <w:pStyle w:val="TableBullet1stlevel"/>
              <w:rPr>
                <w:szCs w:val="20"/>
              </w:rPr>
            </w:pPr>
            <w:r w:rsidRPr="00206B2B">
              <w:rPr>
                <w:szCs w:val="20"/>
              </w:rPr>
              <w:t>Ministerial WPS Steering Board &amp; Senior Officials Shadow Board</w:t>
            </w:r>
          </w:p>
        </w:tc>
        <w:tc>
          <w:tcPr>
            <w:tcW w:w="3087" w:type="dxa"/>
            <w:tcMar>
              <w:left w:w="57" w:type="dxa"/>
              <w:right w:w="57" w:type="dxa"/>
            </w:tcMar>
          </w:tcPr>
          <w:p w14:paraId="6B0A639B" w14:textId="77777777" w:rsidR="00C42467" w:rsidRPr="00206B2B" w:rsidRDefault="00C42467" w:rsidP="00C42467">
            <w:pPr>
              <w:pStyle w:val="TableBullet1stlevel"/>
              <w:numPr>
                <w:ilvl w:val="0"/>
                <w:numId w:val="0"/>
              </w:numPr>
              <w:rPr>
                <w:szCs w:val="20"/>
              </w:rPr>
            </w:pPr>
            <w:r w:rsidRPr="00206B2B">
              <w:rPr>
                <w:szCs w:val="20"/>
              </w:rPr>
              <w:t>Most partners have department or agency-specific implementation plans.</w:t>
            </w:r>
          </w:p>
          <w:p w14:paraId="089C15DE" w14:textId="77777777" w:rsidR="00C42467" w:rsidRPr="00206B2B" w:rsidRDefault="00C42467" w:rsidP="00C42467">
            <w:pPr>
              <w:pStyle w:val="TableBullet1stlevel"/>
              <w:rPr>
                <w:szCs w:val="20"/>
              </w:rPr>
            </w:pPr>
            <w:r w:rsidRPr="00206B2B">
              <w:rPr>
                <w:szCs w:val="20"/>
              </w:rPr>
              <w:t>Department of National Defence and Canadian Armed Forces</w:t>
            </w:r>
          </w:p>
          <w:p w14:paraId="66FF9021" w14:textId="77777777" w:rsidR="00C42467" w:rsidRPr="00206B2B" w:rsidRDefault="00C42467" w:rsidP="00C42467">
            <w:pPr>
              <w:pStyle w:val="TableBullet1stlevel"/>
              <w:rPr>
                <w:szCs w:val="20"/>
              </w:rPr>
            </w:pPr>
            <w:r w:rsidRPr="00206B2B">
              <w:rPr>
                <w:szCs w:val="20"/>
              </w:rPr>
              <w:t>Crown-Indigenous Relations and Northern Affairs Canada</w:t>
            </w:r>
          </w:p>
          <w:p w14:paraId="754941D0" w14:textId="77777777" w:rsidR="00C42467" w:rsidRPr="00206B2B" w:rsidRDefault="00C42467" w:rsidP="00C42467">
            <w:pPr>
              <w:pStyle w:val="TableBullet1stlevel"/>
              <w:rPr>
                <w:szCs w:val="20"/>
              </w:rPr>
            </w:pPr>
            <w:r w:rsidRPr="00206B2B">
              <w:rPr>
                <w:szCs w:val="20"/>
              </w:rPr>
              <w:t>Department of Justice Canada</w:t>
            </w:r>
          </w:p>
          <w:p w14:paraId="166EC41F" w14:textId="77777777" w:rsidR="00C42467" w:rsidRPr="00206B2B" w:rsidRDefault="00C42467" w:rsidP="00C42467">
            <w:pPr>
              <w:pStyle w:val="TableBullet1stlevel"/>
              <w:rPr>
                <w:szCs w:val="20"/>
              </w:rPr>
            </w:pPr>
            <w:r w:rsidRPr="00206B2B">
              <w:rPr>
                <w:szCs w:val="20"/>
              </w:rPr>
              <w:t>Global Affairs Canada</w:t>
            </w:r>
          </w:p>
          <w:p w14:paraId="3266A0F8" w14:textId="77777777" w:rsidR="00C42467" w:rsidRPr="00206B2B" w:rsidRDefault="00C42467" w:rsidP="00C42467">
            <w:pPr>
              <w:pStyle w:val="TableBullet1stlevel"/>
              <w:rPr>
                <w:szCs w:val="20"/>
              </w:rPr>
            </w:pPr>
            <w:r w:rsidRPr="00206B2B">
              <w:rPr>
                <w:szCs w:val="20"/>
              </w:rPr>
              <w:t>Immigration, Refugees and Citizenship Canada</w:t>
            </w:r>
          </w:p>
          <w:p w14:paraId="4F5FC090" w14:textId="77777777" w:rsidR="00C42467" w:rsidRPr="00206B2B" w:rsidRDefault="00C42467" w:rsidP="00C42467">
            <w:pPr>
              <w:pStyle w:val="TableBullet1stlevel"/>
              <w:rPr>
                <w:szCs w:val="20"/>
              </w:rPr>
            </w:pPr>
            <w:r w:rsidRPr="00206B2B">
              <w:rPr>
                <w:szCs w:val="20"/>
              </w:rPr>
              <w:t>Canadian Armed Forces and Department of National Defence</w:t>
            </w:r>
          </w:p>
          <w:p w14:paraId="276B3040" w14:textId="77777777" w:rsidR="00C42467" w:rsidRPr="00206B2B" w:rsidRDefault="00C42467" w:rsidP="00C42467">
            <w:pPr>
              <w:pStyle w:val="TableBullet1stlevel"/>
              <w:rPr>
                <w:szCs w:val="20"/>
              </w:rPr>
            </w:pPr>
            <w:r w:rsidRPr="00206B2B">
              <w:rPr>
                <w:szCs w:val="20"/>
              </w:rPr>
              <w:t>Crown-Indigenous Relations and Northern Affairs Canada</w:t>
            </w:r>
          </w:p>
          <w:p w14:paraId="5626DC38" w14:textId="77777777" w:rsidR="00C42467" w:rsidRPr="00206B2B" w:rsidRDefault="00C42467" w:rsidP="00C42467">
            <w:pPr>
              <w:pStyle w:val="TableBullet1stlevel"/>
              <w:rPr>
                <w:szCs w:val="20"/>
              </w:rPr>
            </w:pPr>
            <w:r w:rsidRPr="00206B2B">
              <w:rPr>
                <w:szCs w:val="20"/>
              </w:rPr>
              <w:t>Department of Justice Canada</w:t>
            </w:r>
          </w:p>
          <w:p w14:paraId="2BDB296F" w14:textId="77777777" w:rsidR="00C42467" w:rsidRPr="00206B2B" w:rsidRDefault="00C42467" w:rsidP="00C42467">
            <w:pPr>
              <w:pStyle w:val="TableBullet1stlevel"/>
              <w:rPr>
                <w:szCs w:val="20"/>
              </w:rPr>
            </w:pPr>
            <w:r w:rsidRPr="00206B2B">
              <w:rPr>
                <w:szCs w:val="20"/>
              </w:rPr>
              <w:t>Global Affairs Canada</w:t>
            </w:r>
          </w:p>
          <w:p w14:paraId="11D1600B" w14:textId="77777777" w:rsidR="00C42467" w:rsidRPr="00206B2B" w:rsidRDefault="00C42467" w:rsidP="00C42467">
            <w:pPr>
              <w:pStyle w:val="TableBullet1stlevel"/>
              <w:rPr>
                <w:szCs w:val="20"/>
              </w:rPr>
            </w:pPr>
            <w:r w:rsidRPr="00206B2B">
              <w:rPr>
                <w:szCs w:val="20"/>
              </w:rPr>
              <w:t>Immigration, Refugees and Citizenship Canada</w:t>
            </w:r>
          </w:p>
          <w:p w14:paraId="285E3BDF" w14:textId="77777777" w:rsidR="00C42467" w:rsidRPr="00206B2B" w:rsidRDefault="00C42467" w:rsidP="00C42467">
            <w:pPr>
              <w:pStyle w:val="TableBullet1stlevel"/>
              <w:rPr>
                <w:szCs w:val="20"/>
              </w:rPr>
            </w:pPr>
            <w:r w:rsidRPr="00206B2B">
              <w:rPr>
                <w:szCs w:val="20"/>
              </w:rPr>
              <w:t>Indigenous Services Canada</w:t>
            </w:r>
          </w:p>
          <w:p w14:paraId="422BA47E" w14:textId="77777777" w:rsidR="00C42467" w:rsidRPr="00206B2B" w:rsidRDefault="00C42467" w:rsidP="00C42467">
            <w:pPr>
              <w:pStyle w:val="TableBullet1stlevel"/>
              <w:rPr>
                <w:szCs w:val="20"/>
              </w:rPr>
            </w:pPr>
            <w:r w:rsidRPr="00206B2B">
              <w:rPr>
                <w:szCs w:val="20"/>
              </w:rPr>
              <w:t>Public Safety Canada (with contributions from the Correctional Service of Canada)</w:t>
            </w:r>
          </w:p>
          <w:p w14:paraId="1F523E62" w14:textId="77777777" w:rsidR="00C42467" w:rsidRPr="00206B2B" w:rsidRDefault="00C42467" w:rsidP="00C42467">
            <w:pPr>
              <w:pStyle w:val="TableBullet1stlevel"/>
              <w:rPr>
                <w:szCs w:val="20"/>
              </w:rPr>
            </w:pPr>
            <w:r w:rsidRPr="00206B2B">
              <w:rPr>
                <w:szCs w:val="20"/>
              </w:rPr>
              <w:t>Royal Canadian Mounted Police</w:t>
            </w:r>
          </w:p>
          <w:p w14:paraId="312FE974" w14:textId="77777777" w:rsidR="00C42467" w:rsidRPr="00206B2B" w:rsidRDefault="00C42467" w:rsidP="00C42467">
            <w:pPr>
              <w:pStyle w:val="TableBullet1stlevel"/>
              <w:rPr>
                <w:szCs w:val="20"/>
              </w:rPr>
            </w:pPr>
            <w:r w:rsidRPr="00206B2B">
              <w:rPr>
                <w:szCs w:val="20"/>
              </w:rPr>
              <w:t>Veterans Affairs Canada</w:t>
            </w:r>
          </w:p>
          <w:p w14:paraId="74440067" w14:textId="0F7F53EF" w:rsidR="00C42467" w:rsidRPr="00206B2B" w:rsidRDefault="00C42467" w:rsidP="00C42467">
            <w:pPr>
              <w:pStyle w:val="TableBullet1stlevel"/>
              <w:rPr>
                <w:szCs w:val="20"/>
              </w:rPr>
            </w:pPr>
            <w:r w:rsidRPr="00206B2B">
              <w:rPr>
                <w:szCs w:val="20"/>
              </w:rPr>
              <w:t>Women and Gender Equality Canada</w:t>
            </w:r>
          </w:p>
        </w:tc>
        <w:tc>
          <w:tcPr>
            <w:tcW w:w="3088" w:type="dxa"/>
            <w:tcMar>
              <w:left w:w="57" w:type="dxa"/>
              <w:right w:w="57" w:type="dxa"/>
            </w:tcMar>
          </w:tcPr>
          <w:p w14:paraId="7EEE0732" w14:textId="73A717BB" w:rsidR="00C42467" w:rsidRPr="00206B2B" w:rsidRDefault="00C42467" w:rsidP="00C42467">
            <w:pPr>
              <w:pStyle w:val="TableText"/>
            </w:pPr>
            <w:r w:rsidRPr="00206B2B">
              <w:t>The NSCWPS brings together key agencies including, but not limited to:</w:t>
            </w:r>
          </w:p>
          <w:p w14:paraId="26C25CF8" w14:textId="77777777" w:rsidR="00C42467" w:rsidRPr="00206B2B" w:rsidRDefault="00C42467" w:rsidP="00C42467">
            <w:pPr>
              <w:pStyle w:val="TableBullet1stlevel"/>
              <w:rPr>
                <w:szCs w:val="20"/>
              </w:rPr>
            </w:pPr>
            <w:r w:rsidRPr="00206B2B">
              <w:rPr>
                <w:szCs w:val="20"/>
              </w:rPr>
              <w:t>The Office of the Presidential Adviser on Peace</w:t>
            </w:r>
          </w:p>
          <w:p w14:paraId="7BCB39D5" w14:textId="77777777" w:rsidR="00C42467" w:rsidRPr="00206B2B" w:rsidRDefault="00C42467" w:rsidP="00C42467">
            <w:pPr>
              <w:pStyle w:val="TableBullet1stlevel"/>
              <w:rPr>
                <w:szCs w:val="20"/>
              </w:rPr>
            </w:pPr>
            <w:r w:rsidRPr="00206B2B">
              <w:rPr>
                <w:szCs w:val="20"/>
              </w:rPr>
              <w:t>Reconciliation and Unity, the Philippine Commission on Women</w:t>
            </w:r>
          </w:p>
          <w:p w14:paraId="08F90033" w14:textId="77777777" w:rsidR="00C42467" w:rsidRPr="00206B2B" w:rsidRDefault="00C42467" w:rsidP="00C42467">
            <w:pPr>
              <w:pStyle w:val="TableBullet1stlevel"/>
              <w:rPr>
                <w:szCs w:val="20"/>
              </w:rPr>
            </w:pPr>
            <w:r w:rsidRPr="00206B2B">
              <w:rPr>
                <w:szCs w:val="20"/>
              </w:rPr>
              <w:t>The Department of National Defense</w:t>
            </w:r>
          </w:p>
          <w:p w14:paraId="45CA3B54" w14:textId="77777777" w:rsidR="00C42467" w:rsidRPr="00206B2B" w:rsidRDefault="00C42467" w:rsidP="00C42467">
            <w:pPr>
              <w:pStyle w:val="TableBullet1stlevel"/>
              <w:rPr>
                <w:szCs w:val="20"/>
              </w:rPr>
            </w:pPr>
            <w:r w:rsidRPr="00206B2B">
              <w:rPr>
                <w:szCs w:val="20"/>
              </w:rPr>
              <w:t>The Department of Foreign Affairs</w:t>
            </w:r>
          </w:p>
          <w:p w14:paraId="2BCFF36C" w14:textId="77777777" w:rsidR="00C42467" w:rsidRPr="00206B2B" w:rsidRDefault="00C42467" w:rsidP="00C42467">
            <w:pPr>
              <w:pStyle w:val="TableBullet1stlevel"/>
              <w:rPr>
                <w:szCs w:val="20"/>
              </w:rPr>
            </w:pPr>
            <w:r w:rsidRPr="00206B2B">
              <w:rPr>
                <w:szCs w:val="20"/>
              </w:rPr>
              <w:t>The Department of Justice</w:t>
            </w:r>
          </w:p>
          <w:p w14:paraId="16CDF54E" w14:textId="77777777" w:rsidR="00C42467" w:rsidRPr="00206B2B" w:rsidRDefault="00C42467" w:rsidP="00C42467">
            <w:pPr>
              <w:pStyle w:val="TableBullet1stlevel"/>
              <w:rPr>
                <w:szCs w:val="20"/>
              </w:rPr>
            </w:pPr>
            <w:r w:rsidRPr="00206B2B">
              <w:rPr>
                <w:szCs w:val="20"/>
              </w:rPr>
              <w:t>The Department of Social Welfare and Development</w:t>
            </w:r>
          </w:p>
          <w:p w14:paraId="1D9294E7" w14:textId="2317490C" w:rsidR="00C42467" w:rsidRPr="00206B2B" w:rsidRDefault="00C42467" w:rsidP="00C42467">
            <w:pPr>
              <w:pStyle w:val="TableBullet1stlevel"/>
              <w:rPr>
                <w:szCs w:val="20"/>
              </w:rPr>
            </w:pPr>
            <w:r w:rsidRPr="00206B2B">
              <w:rPr>
                <w:szCs w:val="20"/>
              </w:rPr>
              <w:t>The National Commission on Indigenous People</w:t>
            </w:r>
          </w:p>
        </w:tc>
        <w:tc>
          <w:tcPr>
            <w:tcW w:w="3088" w:type="dxa"/>
            <w:tcMar>
              <w:left w:w="57" w:type="dxa"/>
              <w:right w:w="57" w:type="dxa"/>
            </w:tcMar>
          </w:tcPr>
          <w:p w14:paraId="6FD06D25" w14:textId="4A8E8EEB" w:rsidR="00C42467" w:rsidRPr="00206B2B" w:rsidRDefault="00C42467" w:rsidP="00C42467">
            <w:pPr>
              <w:pStyle w:val="TableBullet1stlevel"/>
              <w:rPr>
                <w:szCs w:val="20"/>
              </w:rPr>
            </w:pPr>
            <w:r w:rsidRPr="00206B2B">
              <w:rPr>
                <w:szCs w:val="20"/>
              </w:rPr>
              <w:t>The Minister of Foreign Affairs leads the NAP, supported by DFAT.</w:t>
            </w:r>
          </w:p>
          <w:p w14:paraId="29F81CDA" w14:textId="77777777" w:rsidR="00C42467" w:rsidRPr="00206B2B" w:rsidRDefault="00C42467" w:rsidP="00C42467">
            <w:pPr>
              <w:pStyle w:val="TableBullet1stlevel"/>
              <w:rPr>
                <w:szCs w:val="20"/>
              </w:rPr>
            </w:pPr>
            <w:r w:rsidRPr="00206B2B">
              <w:rPr>
                <w:szCs w:val="20"/>
              </w:rPr>
              <w:t>The NAP is a coordinated whole-of-government partnership.</w:t>
            </w:r>
          </w:p>
          <w:p w14:paraId="2E77AD24" w14:textId="0C07D73D" w:rsidR="00C42467" w:rsidRPr="00206B2B" w:rsidRDefault="00C42467" w:rsidP="00C42467">
            <w:pPr>
              <w:pStyle w:val="TableBullet1stlevel"/>
              <w:rPr>
                <w:szCs w:val="20"/>
              </w:rPr>
            </w:pPr>
            <w:r w:rsidRPr="00206B2B">
              <w:rPr>
                <w:szCs w:val="20"/>
              </w:rPr>
              <w:t>The Department of Defence, the Department of Home Affairs, the ADF, and the Australian Civil-Military Centre are implementing partners.</w:t>
            </w:r>
          </w:p>
          <w:p w14:paraId="4039FEAB" w14:textId="77777777" w:rsidR="00C42467" w:rsidRPr="00206B2B" w:rsidRDefault="00C42467" w:rsidP="00C42467">
            <w:pPr>
              <w:pStyle w:val="TableBullet1stlevel"/>
              <w:rPr>
                <w:szCs w:val="20"/>
              </w:rPr>
            </w:pPr>
            <w:r w:rsidRPr="00206B2B">
              <w:rPr>
                <w:szCs w:val="20"/>
              </w:rPr>
              <w:t>Each partner develops their own implementation plan.</w:t>
            </w:r>
          </w:p>
        </w:tc>
      </w:tr>
    </w:tbl>
    <w:p w14:paraId="0D3B34DD" w14:textId="4749FA25" w:rsidR="00C42467" w:rsidRDefault="00C42467">
      <w:r>
        <w:br w:type="page"/>
      </w:r>
    </w:p>
    <w:p w14:paraId="7C0E2A17" w14:textId="1FD7082B" w:rsidR="00C42467" w:rsidRDefault="00C42467">
      <w:r w:rsidRPr="005F6B29">
        <w:rPr>
          <w:rStyle w:val="Strong"/>
        </w:rPr>
        <w:lastRenderedPageBreak/>
        <w:t>Domestic</w:t>
      </w:r>
      <w:r w:rsidRPr="00C42467">
        <w:t xml:space="preserve"> </w:t>
      </w:r>
      <w:r w:rsidRPr="005F6B29">
        <w:rPr>
          <w:rStyle w:val="Strong"/>
        </w:rPr>
        <w:t>actions</w:t>
      </w:r>
    </w:p>
    <w:tbl>
      <w:tblPr>
        <w:tblStyle w:val="KPMGTable"/>
        <w:tblW w:w="15425" w:type="dxa"/>
        <w:tblLayout w:type="fixed"/>
        <w:tblLook w:val="0420" w:firstRow="1" w:lastRow="0" w:firstColumn="0" w:lastColumn="0" w:noHBand="0" w:noVBand="1"/>
      </w:tblPr>
      <w:tblGrid>
        <w:gridCol w:w="3085"/>
        <w:gridCol w:w="3085"/>
        <w:gridCol w:w="3085"/>
        <w:gridCol w:w="3085"/>
        <w:gridCol w:w="3085"/>
      </w:tblGrid>
      <w:tr w:rsidR="00EA61E1" w:rsidRPr="00206B2B" w14:paraId="416B80F0"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3085" w:type="dxa"/>
          </w:tcPr>
          <w:p w14:paraId="6FA47184" w14:textId="77777777" w:rsidR="00EA61E1" w:rsidRPr="00206B2B" w:rsidRDefault="00EA61E1" w:rsidP="00796633">
            <w:pPr>
              <w:pStyle w:val="TableText"/>
              <w:rPr>
                <w:szCs w:val="20"/>
                <w:lang w:eastAsia="en-AU"/>
              </w:rPr>
            </w:pPr>
            <w:r w:rsidRPr="001A02B2">
              <w:t>Japan</w:t>
            </w:r>
          </w:p>
        </w:tc>
        <w:tc>
          <w:tcPr>
            <w:tcW w:w="3085" w:type="dxa"/>
          </w:tcPr>
          <w:p w14:paraId="12A3B550" w14:textId="77777777" w:rsidR="00EA61E1" w:rsidRPr="00206B2B" w:rsidRDefault="00EA61E1" w:rsidP="00796633">
            <w:pPr>
              <w:pStyle w:val="TableText"/>
              <w:rPr>
                <w:szCs w:val="20"/>
                <w:lang w:eastAsia="en-AU"/>
              </w:rPr>
            </w:pPr>
            <w:r w:rsidRPr="001A02B2">
              <w:t>United Kingdom</w:t>
            </w:r>
          </w:p>
        </w:tc>
        <w:tc>
          <w:tcPr>
            <w:tcW w:w="3085" w:type="dxa"/>
          </w:tcPr>
          <w:p w14:paraId="2D6F8851" w14:textId="77777777" w:rsidR="00EA61E1" w:rsidRPr="00206B2B" w:rsidRDefault="00EA61E1" w:rsidP="00796633">
            <w:pPr>
              <w:pStyle w:val="TableText"/>
              <w:rPr>
                <w:szCs w:val="20"/>
                <w:lang w:eastAsia="en-AU"/>
              </w:rPr>
            </w:pPr>
            <w:r w:rsidRPr="001A02B2">
              <w:t>Canada</w:t>
            </w:r>
          </w:p>
        </w:tc>
        <w:tc>
          <w:tcPr>
            <w:tcW w:w="3085" w:type="dxa"/>
          </w:tcPr>
          <w:p w14:paraId="2ACD657E" w14:textId="77777777" w:rsidR="00EA61E1" w:rsidRPr="00206B2B" w:rsidRDefault="00EA61E1" w:rsidP="00796633">
            <w:pPr>
              <w:pStyle w:val="TableText"/>
              <w:rPr>
                <w:szCs w:val="20"/>
                <w:lang w:eastAsia="en-AU"/>
              </w:rPr>
            </w:pPr>
            <w:r w:rsidRPr="001A02B2">
              <w:t>Philippines</w:t>
            </w:r>
          </w:p>
        </w:tc>
        <w:tc>
          <w:tcPr>
            <w:tcW w:w="3085" w:type="dxa"/>
          </w:tcPr>
          <w:p w14:paraId="24BB52FD" w14:textId="77777777" w:rsidR="00EA61E1" w:rsidRPr="00206B2B" w:rsidRDefault="00EA61E1" w:rsidP="00796633">
            <w:pPr>
              <w:pStyle w:val="TableText"/>
              <w:rPr>
                <w:szCs w:val="20"/>
                <w:lang w:eastAsia="en-AU"/>
              </w:rPr>
            </w:pPr>
            <w:r w:rsidRPr="001A02B2">
              <w:t>Australia</w:t>
            </w:r>
          </w:p>
        </w:tc>
      </w:tr>
      <w:tr w:rsidR="00C42467" w:rsidRPr="00206B2B" w14:paraId="22045CAB" w14:textId="77777777" w:rsidTr="005F6B29">
        <w:trPr>
          <w:cnfStyle w:val="000000100000" w:firstRow="0" w:lastRow="0" w:firstColumn="0" w:lastColumn="0" w:oddVBand="0" w:evenVBand="0" w:oddHBand="1" w:evenHBand="0" w:firstRowFirstColumn="0" w:firstRowLastColumn="0" w:lastRowFirstColumn="0" w:lastRowLastColumn="0"/>
          <w:trHeight w:val="4625"/>
        </w:trPr>
        <w:tc>
          <w:tcPr>
            <w:tcW w:w="3085" w:type="dxa"/>
            <w:tcMar>
              <w:left w:w="57" w:type="dxa"/>
              <w:right w:w="57" w:type="dxa"/>
            </w:tcMar>
          </w:tcPr>
          <w:p w14:paraId="11B2E3DF" w14:textId="77777777" w:rsidR="00C42467" w:rsidRPr="00206B2B" w:rsidRDefault="00C42467" w:rsidP="00C42467">
            <w:pPr>
              <w:pStyle w:val="TableBullet1stlevel"/>
              <w:rPr>
                <w:szCs w:val="20"/>
              </w:rPr>
            </w:pPr>
            <w:r w:rsidRPr="00206B2B">
              <w:rPr>
                <w:szCs w:val="20"/>
              </w:rPr>
              <w:t>Promote women’s participation in decision-making processes.</w:t>
            </w:r>
          </w:p>
          <w:p w14:paraId="16DC9677" w14:textId="77777777" w:rsidR="00C42467" w:rsidRPr="00206B2B" w:rsidRDefault="00C42467" w:rsidP="00C42467">
            <w:pPr>
              <w:pStyle w:val="TableBullet1stlevel"/>
              <w:rPr>
                <w:szCs w:val="20"/>
              </w:rPr>
            </w:pPr>
            <w:r w:rsidRPr="00206B2B">
              <w:rPr>
                <w:szCs w:val="20"/>
              </w:rPr>
              <w:t>Provide training on WPS, women’s human rights and gender equality.</w:t>
            </w:r>
          </w:p>
          <w:p w14:paraId="27850C67" w14:textId="77777777" w:rsidR="00C42467" w:rsidRPr="00206B2B" w:rsidRDefault="00C42467" w:rsidP="00C42467">
            <w:pPr>
              <w:pStyle w:val="TableBullet1stlevel"/>
              <w:rPr>
                <w:szCs w:val="20"/>
              </w:rPr>
            </w:pPr>
            <w:r w:rsidRPr="00206B2B">
              <w:rPr>
                <w:szCs w:val="20"/>
              </w:rPr>
              <w:t>Establish a gender officer in each department.</w:t>
            </w:r>
          </w:p>
          <w:p w14:paraId="36399599" w14:textId="77777777" w:rsidR="00C42467" w:rsidRPr="00206B2B" w:rsidRDefault="00C42467" w:rsidP="00C42467">
            <w:pPr>
              <w:pStyle w:val="TableBullet1stlevel"/>
              <w:rPr>
                <w:szCs w:val="20"/>
              </w:rPr>
            </w:pPr>
            <w:r w:rsidRPr="00206B2B">
              <w:rPr>
                <w:szCs w:val="20"/>
              </w:rPr>
              <w:t>Improve awareness in relevant ministries for the protection of human rights of all women in Japan.</w:t>
            </w:r>
          </w:p>
        </w:tc>
        <w:tc>
          <w:tcPr>
            <w:tcW w:w="3085" w:type="dxa"/>
            <w:tcMar>
              <w:left w:w="57" w:type="dxa"/>
              <w:right w:w="57" w:type="dxa"/>
            </w:tcMar>
          </w:tcPr>
          <w:p w14:paraId="5A2CE1AD" w14:textId="77777777" w:rsidR="00C42467" w:rsidRPr="00206B2B" w:rsidRDefault="00C42467" w:rsidP="00C42467">
            <w:pPr>
              <w:pStyle w:val="TableBullet1stlevel"/>
              <w:rPr>
                <w:szCs w:val="20"/>
              </w:rPr>
            </w:pPr>
            <w:r w:rsidRPr="00206B2B">
              <w:rPr>
                <w:szCs w:val="20"/>
              </w:rPr>
              <w:t>Utilise existing UK expertise, from MOD Human Security Advisors, the PSVI Team of Experts, academics, and civil society communities.</w:t>
            </w:r>
          </w:p>
          <w:p w14:paraId="06DA948D" w14:textId="77777777" w:rsidR="00C42467" w:rsidRPr="00206B2B" w:rsidRDefault="00C42467" w:rsidP="00C42467">
            <w:pPr>
              <w:pStyle w:val="TableBullet1stlevel"/>
              <w:rPr>
                <w:szCs w:val="20"/>
              </w:rPr>
            </w:pPr>
            <w:r w:rsidRPr="00206B2B">
              <w:rPr>
                <w:szCs w:val="20"/>
              </w:rPr>
              <w:t>Committed to implementing a world-leading domestic approach on the prevention and response to VAWG.</w:t>
            </w:r>
          </w:p>
          <w:p w14:paraId="0A818B84" w14:textId="77777777" w:rsidR="00C42467" w:rsidRPr="00206B2B" w:rsidRDefault="00C42467" w:rsidP="00C42467">
            <w:pPr>
              <w:pStyle w:val="TableBullet1stlevel"/>
              <w:rPr>
                <w:szCs w:val="20"/>
              </w:rPr>
            </w:pPr>
            <w:r w:rsidRPr="00206B2B">
              <w:rPr>
                <w:szCs w:val="20"/>
              </w:rPr>
              <w:t>Embedding WPS ideals in domestic systems, policies, military cooperation, and diplomacy.</w:t>
            </w:r>
          </w:p>
        </w:tc>
        <w:tc>
          <w:tcPr>
            <w:tcW w:w="3085" w:type="dxa"/>
            <w:tcMar>
              <w:left w:w="57" w:type="dxa"/>
              <w:right w:w="57" w:type="dxa"/>
            </w:tcMar>
          </w:tcPr>
          <w:p w14:paraId="26D1F376" w14:textId="3DEB2AAE" w:rsidR="00C42467" w:rsidRPr="00206B2B" w:rsidRDefault="00C42467" w:rsidP="00C42467">
            <w:pPr>
              <w:pStyle w:val="TableBullet1stlevel"/>
              <w:rPr>
                <w:szCs w:val="20"/>
              </w:rPr>
            </w:pPr>
            <w:r w:rsidRPr="00206B2B">
              <w:rPr>
                <w:szCs w:val="20"/>
              </w:rPr>
              <w:t>Addressing GBV and discrimination through action plans like the Missing and Murder Indigenous Women, Girls and 2SLGBTQQIA+ Action Plan.</w:t>
            </w:r>
          </w:p>
          <w:p w14:paraId="5F75CBA9" w14:textId="77777777" w:rsidR="00C42467" w:rsidRPr="00206B2B" w:rsidRDefault="00C42467" w:rsidP="00C42467">
            <w:pPr>
              <w:pStyle w:val="TableBullet1stlevel"/>
              <w:rPr>
                <w:szCs w:val="20"/>
              </w:rPr>
            </w:pPr>
            <w:r w:rsidRPr="00206B2B">
              <w:rPr>
                <w:szCs w:val="20"/>
              </w:rPr>
              <w:t>Committed to meaningful engagement with Indigenous Peoples and organisations in shaping WPS efforts.</w:t>
            </w:r>
          </w:p>
          <w:p w14:paraId="4512EB69" w14:textId="77777777" w:rsidR="00C42467" w:rsidRPr="00206B2B" w:rsidRDefault="00C42467" w:rsidP="00C42467">
            <w:pPr>
              <w:pStyle w:val="TableBullet1stlevel"/>
              <w:rPr>
                <w:szCs w:val="20"/>
              </w:rPr>
            </w:pPr>
            <w:r w:rsidRPr="00206B2B">
              <w:rPr>
                <w:szCs w:val="20"/>
              </w:rPr>
              <w:t>Security sector reform to support recruitment, retention, and career progression of women and gender diverse people.</w:t>
            </w:r>
          </w:p>
          <w:p w14:paraId="01DDECE5" w14:textId="77777777" w:rsidR="00C42467" w:rsidRPr="00206B2B" w:rsidRDefault="00C42467" w:rsidP="00C42467">
            <w:pPr>
              <w:pStyle w:val="TableBullet1stlevel"/>
              <w:rPr>
                <w:szCs w:val="20"/>
              </w:rPr>
            </w:pPr>
            <w:r w:rsidRPr="00206B2B">
              <w:rPr>
                <w:szCs w:val="20"/>
              </w:rPr>
              <w:t>Targeted settlement supports for refugees and immigrants.</w:t>
            </w:r>
          </w:p>
          <w:p w14:paraId="39D5C730" w14:textId="77777777" w:rsidR="00C42467" w:rsidRPr="00206B2B" w:rsidRDefault="00C42467" w:rsidP="00C42467">
            <w:pPr>
              <w:pStyle w:val="TableBullet1stlevel"/>
              <w:rPr>
                <w:szCs w:val="20"/>
              </w:rPr>
            </w:pPr>
            <w:r w:rsidRPr="00206B2B">
              <w:rPr>
                <w:szCs w:val="20"/>
              </w:rPr>
              <w:t>Countering online harassment and extremism.</w:t>
            </w:r>
          </w:p>
          <w:p w14:paraId="5947468B" w14:textId="77777777" w:rsidR="00C42467" w:rsidRPr="00206B2B" w:rsidRDefault="00C42467" w:rsidP="00C42467">
            <w:pPr>
              <w:pStyle w:val="TableBullet1stlevel"/>
              <w:rPr>
                <w:szCs w:val="20"/>
              </w:rPr>
            </w:pPr>
            <w:r w:rsidRPr="00206B2B">
              <w:rPr>
                <w:szCs w:val="20"/>
              </w:rPr>
              <w:t>Applying gender-based analysis plus to all policies and programs.</w:t>
            </w:r>
          </w:p>
        </w:tc>
        <w:tc>
          <w:tcPr>
            <w:tcW w:w="3085" w:type="dxa"/>
            <w:tcMar>
              <w:left w:w="57" w:type="dxa"/>
              <w:right w:w="57" w:type="dxa"/>
            </w:tcMar>
          </w:tcPr>
          <w:p w14:paraId="21AA2AF3" w14:textId="77777777" w:rsidR="00C42467" w:rsidRPr="00206B2B" w:rsidRDefault="00C42467" w:rsidP="00C42467">
            <w:pPr>
              <w:pStyle w:val="TableBullet1stlevel"/>
              <w:rPr>
                <w:szCs w:val="20"/>
              </w:rPr>
            </w:pPr>
            <w:r w:rsidRPr="00206B2B">
              <w:rPr>
                <w:szCs w:val="20"/>
              </w:rPr>
              <w:t xml:space="preserve">The NAP primarily and overwhelmingly is concerned with domestic actions. </w:t>
            </w:r>
          </w:p>
          <w:p w14:paraId="2C758621" w14:textId="0C6534E0" w:rsidR="00C42467" w:rsidRPr="00206B2B" w:rsidRDefault="00C42467" w:rsidP="00C42467">
            <w:pPr>
              <w:pStyle w:val="TableBullet1stlevel"/>
              <w:rPr>
                <w:szCs w:val="20"/>
              </w:rPr>
            </w:pPr>
            <w:r w:rsidRPr="00206B2B">
              <w:rPr>
                <w:szCs w:val="20"/>
              </w:rPr>
              <w:t>The impact statement reads “The NAPWPS 2023-2033 is committed to transforming the peace and security landscape of the Philippines by guaranteeing equitable access to vital resources and opportunities to women in all their diverse and intersecting identities, leading to their substantive and meaningful representation, participation, and leadership in decision-making of the country’s peace and security policies and programs.”</w:t>
            </w:r>
          </w:p>
          <w:p w14:paraId="78438210" w14:textId="0081FB92" w:rsidR="00C42467" w:rsidRPr="00206B2B" w:rsidRDefault="00C42467" w:rsidP="00C42467">
            <w:pPr>
              <w:pStyle w:val="TableBullet1stlevel"/>
              <w:numPr>
                <w:ilvl w:val="0"/>
                <w:numId w:val="0"/>
              </w:numPr>
              <w:rPr>
                <w:szCs w:val="20"/>
              </w:rPr>
            </w:pPr>
            <w:r w:rsidRPr="00206B2B">
              <w:rPr>
                <w:szCs w:val="20"/>
              </w:rPr>
              <w:t>The outward facing actions involve:</w:t>
            </w:r>
          </w:p>
          <w:p w14:paraId="50E1A123" w14:textId="7B89467B" w:rsidR="00C42467" w:rsidRPr="00206B2B" w:rsidRDefault="00C42467" w:rsidP="00C42467">
            <w:pPr>
              <w:pStyle w:val="TableBullet1stlevel"/>
              <w:rPr>
                <w:szCs w:val="20"/>
              </w:rPr>
            </w:pPr>
            <w:r w:rsidRPr="00206B2B">
              <w:rPr>
                <w:szCs w:val="20"/>
              </w:rPr>
              <w:t>Participation in international committees and peacekeeping.</w:t>
            </w:r>
          </w:p>
          <w:p w14:paraId="532C96B8" w14:textId="65BD761E" w:rsidR="00C42467" w:rsidRPr="00206B2B" w:rsidRDefault="00C42467" w:rsidP="00C42467">
            <w:pPr>
              <w:pStyle w:val="TableBullet1stlevel"/>
              <w:rPr>
                <w:szCs w:val="20"/>
              </w:rPr>
            </w:pPr>
            <w:r w:rsidRPr="00206B2B">
              <w:rPr>
                <w:szCs w:val="20"/>
              </w:rPr>
              <w:t>Alignment with international reporting (e.g., CEDAW, UNSCR 1325, ASEAN RPA WPS).</w:t>
            </w:r>
          </w:p>
        </w:tc>
        <w:tc>
          <w:tcPr>
            <w:tcW w:w="3085" w:type="dxa"/>
            <w:tcMar>
              <w:left w:w="57" w:type="dxa"/>
              <w:right w:w="57" w:type="dxa"/>
            </w:tcMar>
          </w:tcPr>
          <w:p w14:paraId="1E6A25A1" w14:textId="77777777" w:rsidR="00C42467" w:rsidRPr="00206B2B" w:rsidRDefault="00C42467" w:rsidP="00C42467">
            <w:pPr>
              <w:pStyle w:val="TableBullet1stlevel"/>
              <w:rPr>
                <w:szCs w:val="20"/>
              </w:rPr>
            </w:pPr>
            <w:r w:rsidRPr="00206B2B">
              <w:rPr>
                <w:szCs w:val="20"/>
              </w:rPr>
              <w:t>Mainstreaming gender analysis through civil-military-police education and training.</w:t>
            </w:r>
          </w:p>
          <w:p w14:paraId="693250E0" w14:textId="77777777" w:rsidR="00C42467" w:rsidRPr="00206B2B" w:rsidRDefault="00C42467" w:rsidP="00C42467">
            <w:pPr>
              <w:pStyle w:val="TableBullet1stlevel"/>
              <w:rPr>
                <w:szCs w:val="20"/>
              </w:rPr>
            </w:pPr>
            <w:r w:rsidRPr="00206B2B">
              <w:rPr>
                <w:szCs w:val="20"/>
              </w:rPr>
              <w:t>Increasing women’s participation and leadership at all levels of implementing departments and agencies.</w:t>
            </w:r>
          </w:p>
          <w:p w14:paraId="4A5594D7" w14:textId="77777777" w:rsidR="00C42467" w:rsidRPr="00206B2B" w:rsidRDefault="00C42467" w:rsidP="00C42467">
            <w:pPr>
              <w:pStyle w:val="TableBullet1stlevel"/>
              <w:rPr>
                <w:szCs w:val="20"/>
              </w:rPr>
            </w:pPr>
            <w:r w:rsidRPr="00206B2B">
              <w:rPr>
                <w:szCs w:val="20"/>
              </w:rPr>
              <w:t>Supporting research that clarifies the connections between gender, conflict and peace.</w:t>
            </w:r>
          </w:p>
          <w:p w14:paraId="503BD26C" w14:textId="77777777" w:rsidR="00C42467" w:rsidRPr="00206B2B" w:rsidRDefault="00C42467" w:rsidP="00C42467">
            <w:pPr>
              <w:pStyle w:val="TableBullet1stlevel"/>
              <w:rPr>
                <w:szCs w:val="20"/>
              </w:rPr>
            </w:pPr>
            <w:r w:rsidRPr="00206B2B">
              <w:rPr>
                <w:szCs w:val="20"/>
              </w:rPr>
              <w:t>Australia is committed to supporting women’s economic security, leadership aspirations and taking action to ensure women and children are safe from violence domestically.</w:t>
            </w:r>
          </w:p>
        </w:tc>
      </w:tr>
    </w:tbl>
    <w:p w14:paraId="3367B29D" w14:textId="17612527" w:rsidR="00C42467" w:rsidRPr="005F6B29" w:rsidRDefault="00C42467">
      <w:pPr>
        <w:rPr>
          <w:rStyle w:val="Strong"/>
        </w:rPr>
      </w:pPr>
      <w:r w:rsidRPr="005F6B29">
        <w:rPr>
          <w:rStyle w:val="Strong"/>
        </w:rPr>
        <w:t>Cross-cutting themes</w:t>
      </w:r>
    </w:p>
    <w:tbl>
      <w:tblPr>
        <w:tblStyle w:val="KPMGTable"/>
        <w:tblW w:w="15535" w:type="dxa"/>
        <w:tblLayout w:type="fixed"/>
        <w:tblLook w:val="0420" w:firstRow="1" w:lastRow="0" w:firstColumn="0" w:lastColumn="0" w:noHBand="0" w:noVBand="1"/>
      </w:tblPr>
      <w:tblGrid>
        <w:gridCol w:w="3107"/>
        <w:gridCol w:w="3107"/>
        <w:gridCol w:w="3107"/>
        <w:gridCol w:w="3107"/>
        <w:gridCol w:w="3107"/>
      </w:tblGrid>
      <w:tr w:rsidR="00EA61E1" w:rsidRPr="00206B2B" w14:paraId="3847C8EF" w14:textId="77777777" w:rsidTr="005F6B29">
        <w:trPr>
          <w:cnfStyle w:val="100000000000" w:firstRow="1" w:lastRow="0" w:firstColumn="0" w:lastColumn="0" w:oddVBand="0" w:evenVBand="0" w:oddHBand="0" w:evenHBand="0" w:firstRowFirstColumn="0" w:firstRowLastColumn="0" w:lastRowFirstColumn="0" w:lastRowLastColumn="0"/>
          <w:trHeight w:val="245"/>
        </w:trPr>
        <w:tc>
          <w:tcPr>
            <w:tcW w:w="3107" w:type="dxa"/>
          </w:tcPr>
          <w:p w14:paraId="30F9F508" w14:textId="77777777" w:rsidR="00EA61E1" w:rsidRPr="00206B2B" w:rsidRDefault="00EA61E1" w:rsidP="00796633">
            <w:pPr>
              <w:pStyle w:val="TableText"/>
              <w:rPr>
                <w:szCs w:val="20"/>
                <w:lang w:eastAsia="en-AU"/>
              </w:rPr>
            </w:pPr>
            <w:r w:rsidRPr="001A02B2">
              <w:t>Japan</w:t>
            </w:r>
          </w:p>
        </w:tc>
        <w:tc>
          <w:tcPr>
            <w:tcW w:w="3107" w:type="dxa"/>
          </w:tcPr>
          <w:p w14:paraId="0039FC84" w14:textId="77777777" w:rsidR="00EA61E1" w:rsidRPr="00206B2B" w:rsidRDefault="00EA61E1" w:rsidP="00796633">
            <w:pPr>
              <w:pStyle w:val="TableText"/>
              <w:rPr>
                <w:szCs w:val="20"/>
                <w:lang w:eastAsia="en-AU"/>
              </w:rPr>
            </w:pPr>
            <w:r w:rsidRPr="001A02B2">
              <w:t>United Kingdom</w:t>
            </w:r>
          </w:p>
        </w:tc>
        <w:tc>
          <w:tcPr>
            <w:tcW w:w="3107" w:type="dxa"/>
          </w:tcPr>
          <w:p w14:paraId="4B9907CE" w14:textId="77777777" w:rsidR="00EA61E1" w:rsidRPr="00206B2B" w:rsidRDefault="00EA61E1" w:rsidP="00796633">
            <w:pPr>
              <w:pStyle w:val="TableText"/>
              <w:rPr>
                <w:szCs w:val="20"/>
                <w:lang w:eastAsia="en-AU"/>
              </w:rPr>
            </w:pPr>
            <w:r w:rsidRPr="001A02B2">
              <w:t>Canada</w:t>
            </w:r>
          </w:p>
        </w:tc>
        <w:tc>
          <w:tcPr>
            <w:tcW w:w="3107" w:type="dxa"/>
          </w:tcPr>
          <w:p w14:paraId="48CD37FD" w14:textId="77777777" w:rsidR="00EA61E1" w:rsidRPr="00206B2B" w:rsidRDefault="00EA61E1" w:rsidP="00796633">
            <w:pPr>
              <w:pStyle w:val="TableText"/>
              <w:rPr>
                <w:szCs w:val="20"/>
                <w:lang w:eastAsia="en-AU"/>
              </w:rPr>
            </w:pPr>
            <w:r w:rsidRPr="001A02B2">
              <w:t>Philippines</w:t>
            </w:r>
          </w:p>
        </w:tc>
        <w:tc>
          <w:tcPr>
            <w:tcW w:w="3107" w:type="dxa"/>
          </w:tcPr>
          <w:p w14:paraId="03E9B816" w14:textId="77777777" w:rsidR="00EA61E1" w:rsidRPr="00206B2B" w:rsidRDefault="00EA61E1" w:rsidP="00796633">
            <w:pPr>
              <w:pStyle w:val="TableText"/>
              <w:rPr>
                <w:szCs w:val="20"/>
                <w:lang w:eastAsia="en-AU"/>
              </w:rPr>
            </w:pPr>
            <w:r w:rsidRPr="001A02B2">
              <w:t>Australia</w:t>
            </w:r>
          </w:p>
        </w:tc>
      </w:tr>
      <w:tr w:rsidR="00C42467" w:rsidRPr="00206B2B" w14:paraId="70726C40" w14:textId="77777777" w:rsidTr="005F6B29">
        <w:trPr>
          <w:cnfStyle w:val="000000100000" w:firstRow="0" w:lastRow="0" w:firstColumn="0" w:lastColumn="0" w:oddVBand="0" w:evenVBand="0" w:oddHBand="1" w:evenHBand="0" w:firstRowFirstColumn="0" w:firstRowLastColumn="0" w:lastRowFirstColumn="0" w:lastRowLastColumn="0"/>
          <w:trHeight w:val="3375"/>
        </w:trPr>
        <w:tc>
          <w:tcPr>
            <w:tcW w:w="3107" w:type="dxa"/>
            <w:tcMar>
              <w:left w:w="57" w:type="dxa"/>
              <w:right w:w="57" w:type="dxa"/>
            </w:tcMar>
          </w:tcPr>
          <w:p w14:paraId="16445120" w14:textId="5B90CCB5" w:rsidR="00C42467" w:rsidRPr="00206B2B" w:rsidRDefault="00C42467" w:rsidP="00C42467">
            <w:pPr>
              <w:pStyle w:val="TableBullet1stlevel"/>
              <w:rPr>
                <w:szCs w:val="20"/>
              </w:rPr>
            </w:pPr>
            <w:r w:rsidRPr="00206B2B">
              <w:rPr>
                <w:szCs w:val="20"/>
              </w:rPr>
              <w:t>CRSV and impacts on women, sexual minorities and men.</w:t>
            </w:r>
          </w:p>
          <w:p w14:paraId="55E8F17F" w14:textId="1FE4BB20" w:rsidR="00C42467" w:rsidRPr="00206B2B" w:rsidRDefault="00C42467" w:rsidP="00C42467">
            <w:pPr>
              <w:pStyle w:val="TableBullet1stlevel"/>
              <w:rPr>
                <w:szCs w:val="20"/>
              </w:rPr>
            </w:pPr>
            <w:r w:rsidRPr="00206B2B">
              <w:rPr>
                <w:szCs w:val="20"/>
              </w:rPr>
              <w:t>DRR and disaster response and response to climate change.</w:t>
            </w:r>
          </w:p>
          <w:p w14:paraId="648569CE" w14:textId="6E16B8C4" w:rsidR="00C42467" w:rsidRPr="00206B2B" w:rsidRDefault="00C42467" w:rsidP="00C42467">
            <w:pPr>
              <w:pStyle w:val="TableBullet1stlevel"/>
              <w:rPr>
                <w:szCs w:val="20"/>
              </w:rPr>
            </w:pPr>
            <w:r w:rsidRPr="00206B2B">
              <w:rPr>
                <w:szCs w:val="20"/>
              </w:rPr>
              <w:t>GBV during disasters/conflict.</w:t>
            </w:r>
          </w:p>
        </w:tc>
        <w:tc>
          <w:tcPr>
            <w:tcW w:w="3107" w:type="dxa"/>
            <w:tcMar>
              <w:left w:w="57" w:type="dxa"/>
              <w:right w:w="57" w:type="dxa"/>
            </w:tcMar>
          </w:tcPr>
          <w:p w14:paraId="6D38E76A" w14:textId="77777777" w:rsidR="00C42467" w:rsidRPr="00206B2B" w:rsidRDefault="00C42467" w:rsidP="00C42467">
            <w:pPr>
              <w:pStyle w:val="TableBullet1stlevel"/>
              <w:rPr>
                <w:szCs w:val="20"/>
              </w:rPr>
            </w:pPr>
            <w:r w:rsidRPr="00206B2B">
              <w:rPr>
                <w:szCs w:val="20"/>
              </w:rPr>
              <w:t>Climate change and environmental security’s link with conflict; disaster induced risks, GBV.</w:t>
            </w:r>
          </w:p>
          <w:p w14:paraId="3B12B6B5" w14:textId="77777777" w:rsidR="00C42467" w:rsidRPr="00206B2B" w:rsidRDefault="00C42467" w:rsidP="00C42467">
            <w:pPr>
              <w:pStyle w:val="TableBullet1stlevel"/>
              <w:rPr>
                <w:szCs w:val="20"/>
              </w:rPr>
            </w:pPr>
            <w:r w:rsidRPr="00206B2B">
              <w:rPr>
                <w:szCs w:val="20"/>
              </w:rPr>
              <w:t>Cybercrime and emerging tech; the use of digital spaces by belligerent actors.</w:t>
            </w:r>
          </w:p>
          <w:p w14:paraId="57F8187E" w14:textId="77777777" w:rsidR="00C42467" w:rsidRPr="00206B2B" w:rsidRDefault="00C42467" w:rsidP="00C42467">
            <w:pPr>
              <w:pStyle w:val="TableBullet1stlevel"/>
              <w:rPr>
                <w:szCs w:val="20"/>
              </w:rPr>
            </w:pPr>
            <w:r w:rsidRPr="00206B2B">
              <w:rPr>
                <w:szCs w:val="20"/>
              </w:rPr>
              <w:t>Countering violent extremism and terrorist groups: how gender is used in their recruitment methods, communication and propaganda activities, and planning and execution of extremist operations.</w:t>
            </w:r>
          </w:p>
          <w:p w14:paraId="63D07256" w14:textId="77777777" w:rsidR="00C42467" w:rsidRPr="00206B2B" w:rsidRDefault="00C42467" w:rsidP="00C42467">
            <w:pPr>
              <w:pStyle w:val="TableBullet1stlevel"/>
              <w:rPr>
                <w:szCs w:val="20"/>
              </w:rPr>
            </w:pPr>
            <w:r w:rsidRPr="00206B2B">
              <w:rPr>
                <w:szCs w:val="20"/>
              </w:rPr>
              <w:t>The proliferation of weapons, particularly small arms and light weapons.</w:t>
            </w:r>
          </w:p>
        </w:tc>
        <w:tc>
          <w:tcPr>
            <w:tcW w:w="3107" w:type="dxa"/>
            <w:tcMar>
              <w:left w:w="57" w:type="dxa"/>
              <w:right w:w="57" w:type="dxa"/>
            </w:tcMar>
          </w:tcPr>
          <w:p w14:paraId="4EBF41E8" w14:textId="77777777" w:rsidR="00C42467" w:rsidRPr="00206B2B" w:rsidRDefault="00C42467" w:rsidP="00C42467">
            <w:pPr>
              <w:pStyle w:val="TableBullet1stlevel"/>
              <w:rPr>
                <w:szCs w:val="20"/>
              </w:rPr>
            </w:pPr>
            <w:r w:rsidRPr="00206B2B">
              <w:rPr>
                <w:szCs w:val="20"/>
              </w:rPr>
              <w:t>Rise in climate emergencies.</w:t>
            </w:r>
          </w:p>
          <w:p w14:paraId="1A503401" w14:textId="76932975" w:rsidR="00C42467" w:rsidRPr="00206B2B" w:rsidRDefault="00C42467" w:rsidP="00C42467">
            <w:pPr>
              <w:pStyle w:val="TableBullet1stlevel"/>
              <w:rPr>
                <w:szCs w:val="20"/>
              </w:rPr>
            </w:pPr>
            <w:r w:rsidRPr="00206B2B">
              <w:rPr>
                <w:szCs w:val="20"/>
              </w:rPr>
              <w:t>Increases in technology facilitated, GBV.</w:t>
            </w:r>
          </w:p>
          <w:p w14:paraId="11E7D239" w14:textId="77777777" w:rsidR="00C42467" w:rsidRPr="00206B2B" w:rsidRDefault="00C42467" w:rsidP="00C42467">
            <w:pPr>
              <w:pStyle w:val="TableBullet1stlevel"/>
              <w:rPr>
                <w:szCs w:val="20"/>
              </w:rPr>
            </w:pPr>
            <w:r w:rsidRPr="00206B2B">
              <w:rPr>
                <w:szCs w:val="20"/>
              </w:rPr>
              <w:t>Significant consideration for Indigenous women, girls, Two Spirit, and gender diverse people; anti-racist perspectives.</w:t>
            </w:r>
          </w:p>
          <w:p w14:paraId="05788F9B" w14:textId="77777777" w:rsidR="00C42467" w:rsidRPr="00206B2B" w:rsidRDefault="00C42467" w:rsidP="00C42467">
            <w:pPr>
              <w:pStyle w:val="TableBullet1stlevel"/>
              <w:rPr>
                <w:szCs w:val="20"/>
              </w:rPr>
            </w:pPr>
            <w:r w:rsidRPr="00206B2B">
              <w:rPr>
                <w:szCs w:val="20"/>
              </w:rPr>
              <w:t>Growth of anti-gender and anti-feminist movements, and the backlash against human rights.</w:t>
            </w:r>
          </w:p>
        </w:tc>
        <w:tc>
          <w:tcPr>
            <w:tcW w:w="3107" w:type="dxa"/>
            <w:tcMar>
              <w:left w:w="57" w:type="dxa"/>
              <w:right w:w="57" w:type="dxa"/>
            </w:tcMar>
          </w:tcPr>
          <w:p w14:paraId="2F6DDCA0" w14:textId="2D3EB497" w:rsidR="00C42467" w:rsidRPr="00206B2B" w:rsidRDefault="00C42467" w:rsidP="00C42467">
            <w:pPr>
              <w:pStyle w:val="TableBullet1stlevel"/>
              <w:rPr>
                <w:szCs w:val="20"/>
              </w:rPr>
            </w:pPr>
            <w:r w:rsidRPr="00206B2B">
              <w:rPr>
                <w:szCs w:val="20"/>
              </w:rPr>
              <w:t>DRR management and climate security.</w:t>
            </w:r>
          </w:p>
          <w:p w14:paraId="29FDFE47" w14:textId="1F484744" w:rsidR="00C42467" w:rsidRPr="00206B2B" w:rsidRDefault="00C42467" w:rsidP="00C42467">
            <w:pPr>
              <w:pStyle w:val="TableBullet1stlevel"/>
              <w:rPr>
                <w:szCs w:val="20"/>
              </w:rPr>
            </w:pPr>
            <w:r w:rsidRPr="00206B2B">
              <w:rPr>
                <w:szCs w:val="20"/>
              </w:rPr>
              <w:t>Health Security.</w:t>
            </w:r>
          </w:p>
          <w:p w14:paraId="0317B807" w14:textId="32E2B3E7" w:rsidR="00C42467" w:rsidRPr="00206B2B" w:rsidRDefault="00C42467" w:rsidP="00C42467">
            <w:pPr>
              <w:pStyle w:val="TableBullet1stlevel"/>
              <w:rPr>
                <w:szCs w:val="20"/>
              </w:rPr>
            </w:pPr>
            <w:r w:rsidRPr="00206B2B">
              <w:rPr>
                <w:szCs w:val="20"/>
              </w:rPr>
              <w:t>Human rights, access to justice and legal reforms, and transitional justice.</w:t>
            </w:r>
          </w:p>
          <w:p w14:paraId="7E53A90B" w14:textId="4D097BF8" w:rsidR="00C42467" w:rsidRPr="00206B2B" w:rsidRDefault="00C42467" w:rsidP="00C42467">
            <w:pPr>
              <w:pStyle w:val="TableBullet1stlevel"/>
              <w:rPr>
                <w:szCs w:val="20"/>
              </w:rPr>
            </w:pPr>
            <w:r w:rsidRPr="00206B2B">
              <w:rPr>
                <w:szCs w:val="20"/>
              </w:rPr>
              <w:t>Masculinities and intersectionality.</w:t>
            </w:r>
          </w:p>
          <w:p w14:paraId="4CF369E4" w14:textId="61CB1D1A" w:rsidR="00C42467" w:rsidRPr="00206B2B" w:rsidRDefault="00C42467" w:rsidP="00C42467">
            <w:pPr>
              <w:pStyle w:val="TableBullet1stlevel"/>
              <w:rPr>
                <w:szCs w:val="20"/>
              </w:rPr>
            </w:pPr>
            <w:r w:rsidRPr="00206B2B">
              <w:rPr>
                <w:szCs w:val="20"/>
              </w:rPr>
              <w:t>Digital peace and security.</w:t>
            </w:r>
          </w:p>
          <w:p w14:paraId="569ED877" w14:textId="48285446" w:rsidR="00C42467" w:rsidRPr="00206B2B" w:rsidRDefault="00C42467" w:rsidP="00C42467">
            <w:pPr>
              <w:pStyle w:val="TableBullet1stlevel"/>
              <w:rPr>
                <w:szCs w:val="20"/>
              </w:rPr>
            </w:pPr>
            <w:r w:rsidRPr="00206B2B">
              <w:rPr>
                <w:szCs w:val="20"/>
              </w:rPr>
              <w:t>Promoting a culture of peace and tolerance through peace education in formal and informal channels.</w:t>
            </w:r>
          </w:p>
        </w:tc>
        <w:tc>
          <w:tcPr>
            <w:tcW w:w="3107" w:type="dxa"/>
            <w:tcMar>
              <w:left w:w="57" w:type="dxa"/>
              <w:right w:w="57" w:type="dxa"/>
            </w:tcMar>
          </w:tcPr>
          <w:p w14:paraId="7D29D7F0" w14:textId="77777777" w:rsidR="00C42467" w:rsidRPr="00206B2B" w:rsidRDefault="00C42467" w:rsidP="00C42467">
            <w:pPr>
              <w:pStyle w:val="TableBullet1stlevel"/>
              <w:rPr>
                <w:szCs w:val="20"/>
              </w:rPr>
            </w:pPr>
            <w:r w:rsidRPr="00206B2B">
              <w:rPr>
                <w:szCs w:val="20"/>
              </w:rPr>
              <w:t>Support for women’s leadership and participation in climate policy decision making.</w:t>
            </w:r>
          </w:p>
          <w:p w14:paraId="494E1FF4" w14:textId="77777777" w:rsidR="00C42467" w:rsidRPr="00206B2B" w:rsidRDefault="00C42467" w:rsidP="00C42467">
            <w:pPr>
              <w:pStyle w:val="TableBullet1stlevel"/>
              <w:rPr>
                <w:szCs w:val="20"/>
              </w:rPr>
            </w:pPr>
            <w:r w:rsidRPr="00206B2B">
              <w:rPr>
                <w:szCs w:val="20"/>
              </w:rPr>
              <w:t>Recognises health pandemics (e.g., COVID-19) as exacerbating gendered vulnerabilities in crisis contexts.</w:t>
            </w:r>
          </w:p>
          <w:p w14:paraId="552CA097" w14:textId="77777777" w:rsidR="00C42467" w:rsidRPr="00206B2B" w:rsidRDefault="00C42467" w:rsidP="00C42467">
            <w:pPr>
              <w:pStyle w:val="TableBullet1stlevel"/>
              <w:rPr>
                <w:szCs w:val="20"/>
              </w:rPr>
            </w:pPr>
            <w:r w:rsidRPr="00206B2B">
              <w:rPr>
                <w:szCs w:val="20"/>
              </w:rPr>
              <w:t>Preventing and countering violent extremism.</w:t>
            </w:r>
          </w:p>
          <w:p w14:paraId="2C19AF9A" w14:textId="77777777" w:rsidR="00C42467" w:rsidRPr="00206B2B" w:rsidRDefault="00C42467" w:rsidP="00C42467">
            <w:pPr>
              <w:pStyle w:val="TableBullet1stlevel"/>
              <w:rPr>
                <w:szCs w:val="20"/>
              </w:rPr>
            </w:pPr>
            <w:r w:rsidRPr="00206B2B">
              <w:rPr>
                <w:szCs w:val="20"/>
              </w:rPr>
              <w:t>International Humanitarian Law, International Human Rights Law; strengthening connections between WPS and human rights mechanisms.</w:t>
            </w:r>
          </w:p>
        </w:tc>
      </w:tr>
    </w:tbl>
    <w:p w14:paraId="6D16E07E" w14:textId="25967F86" w:rsidR="009E277D" w:rsidRPr="00F55D9A" w:rsidRDefault="006C5D54" w:rsidP="00F55D9A">
      <w:r w:rsidRPr="00F55D9A">
        <w:t>Source: KPMG analysis (2025)</w:t>
      </w:r>
    </w:p>
    <w:p w14:paraId="2DB1E381" w14:textId="77777777" w:rsidR="00081452" w:rsidRDefault="00081452" w:rsidP="00EF6253">
      <w:pPr>
        <w:spacing w:before="0" w:after="200" w:line="276" w:lineRule="auto"/>
        <w:sectPr w:rsidR="00081452" w:rsidSect="00C63BC7">
          <w:headerReference w:type="even" r:id="rId63"/>
          <w:headerReference w:type="default" r:id="rId64"/>
          <w:headerReference w:type="first" r:id="rId65"/>
          <w:pgSz w:w="16840" w:h="11907" w:code="1"/>
          <w:pgMar w:top="624" w:right="680" w:bottom="397" w:left="680" w:header="227" w:footer="170" w:gutter="0"/>
          <w:cols w:space="720"/>
          <w:docGrid w:linePitch="360"/>
        </w:sectPr>
      </w:pPr>
    </w:p>
    <w:p w14:paraId="50387F94" w14:textId="6DBE51E6" w:rsidR="007740E2" w:rsidRPr="00A8628C" w:rsidRDefault="001A08AF" w:rsidP="00944D24">
      <w:pPr>
        <w:pStyle w:val="Heading1"/>
      </w:pPr>
      <w:bookmarkStart w:id="22" w:name="_Toc230774051"/>
      <w:r w:rsidRPr="00A8628C">
        <w:lastRenderedPageBreak/>
        <w:t>Appendix C</w:t>
      </w:r>
      <w:r w:rsidR="0096774C" w:rsidRPr="00A8628C">
        <w:t xml:space="preserve">: </w:t>
      </w:r>
      <w:r w:rsidR="009E277D" w:rsidRPr="00A8628C">
        <w:t>Stakeholder consultation</w:t>
      </w:r>
      <w:r w:rsidR="00F55D9A">
        <w:rPr>
          <w:rFonts w:ascii="Calibri" w:hAnsi="Calibri" w:cs="Calibri"/>
        </w:rPr>
        <w:t> </w:t>
      </w:r>
      <w:r w:rsidR="009E277D" w:rsidRPr="00A8628C">
        <w:t>summary</w:t>
      </w:r>
      <w:bookmarkEnd w:id="22"/>
    </w:p>
    <w:p w14:paraId="62078332" w14:textId="6A3379CD" w:rsidR="00107839" w:rsidRPr="00206B2B" w:rsidRDefault="00025159" w:rsidP="007C56B7">
      <w:pPr>
        <w:pStyle w:val="BodyText"/>
        <w:rPr>
          <w:lang w:eastAsia="en-AU"/>
        </w:rPr>
      </w:pPr>
      <w:r w:rsidRPr="00206B2B">
        <w:rPr>
          <w:lang w:eastAsia="en-AU"/>
        </w:rPr>
        <w:t xml:space="preserve">As part of this </w:t>
      </w:r>
      <w:r w:rsidR="00CA1C8A" w:rsidRPr="00206B2B">
        <w:rPr>
          <w:lang w:eastAsia="en-AU"/>
        </w:rPr>
        <w:t xml:space="preserve">independent mid-term review, </w:t>
      </w:r>
      <w:r w:rsidR="00662935" w:rsidRPr="00206B2B">
        <w:rPr>
          <w:lang w:eastAsia="en-AU"/>
        </w:rPr>
        <w:t xml:space="preserve">various stakeholders were consulted </w:t>
      </w:r>
      <w:r w:rsidR="00CE5B5C" w:rsidRPr="00206B2B">
        <w:rPr>
          <w:lang w:eastAsia="en-AU"/>
        </w:rPr>
        <w:t xml:space="preserve">across Government, implementing and investment partners, and civil society. </w:t>
      </w:r>
      <w:r w:rsidR="005E78A7" w:rsidRPr="00206B2B">
        <w:rPr>
          <w:lang w:eastAsia="en-AU"/>
        </w:rPr>
        <w:t xml:space="preserve">As part of the review framework, questions were asked under the broad themes of effectiveness, governance, monitoring, evaluation and learning, inclusivity, adaptability and resourcing. </w:t>
      </w:r>
      <w:r w:rsidR="00CE5B5C" w:rsidRPr="00206B2B">
        <w:rPr>
          <w:lang w:eastAsia="en-AU"/>
        </w:rPr>
        <w:t>A summary of sta</w:t>
      </w:r>
      <w:r w:rsidR="00D102C3" w:rsidRPr="00206B2B">
        <w:rPr>
          <w:lang w:eastAsia="en-AU"/>
        </w:rPr>
        <w:t xml:space="preserve">keholders is provided </w:t>
      </w:r>
      <w:r w:rsidR="00E61753">
        <w:rPr>
          <w:lang w:eastAsia="en-AU"/>
        </w:rPr>
        <w:t>below</w:t>
      </w:r>
      <w:r w:rsidR="005E78A7" w:rsidRPr="00206B2B">
        <w:rPr>
          <w:lang w:eastAsia="en-AU"/>
        </w:rPr>
        <w:t>.</w:t>
      </w:r>
      <w:r w:rsidR="00CE5B5C" w:rsidRPr="00206B2B">
        <w:rPr>
          <w:lang w:eastAsia="en-AU"/>
        </w:rPr>
        <w:t xml:space="preserve"> </w:t>
      </w:r>
      <w:r w:rsidR="00F175B3" w:rsidRPr="00206B2B">
        <w:rPr>
          <w:lang w:eastAsia="en-AU"/>
        </w:rPr>
        <w:t xml:space="preserve">Additional Posts </w:t>
      </w:r>
      <w:r w:rsidR="00CF291F" w:rsidRPr="00206B2B">
        <w:rPr>
          <w:lang w:eastAsia="en-AU"/>
        </w:rPr>
        <w:t xml:space="preserve">and civil society </w:t>
      </w:r>
      <w:r w:rsidR="001B6899" w:rsidRPr="00206B2B">
        <w:rPr>
          <w:lang w:eastAsia="en-AU"/>
        </w:rPr>
        <w:t>and investment partners were contacted for consultation but declined.</w:t>
      </w:r>
    </w:p>
    <w:p w14:paraId="23EDC014" w14:textId="04DB003F" w:rsidR="00D86C95" w:rsidRPr="00C548A0" w:rsidRDefault="00D86C95" w:rsidP="00C548A0">
      <w:pPr>
        <w:rPr>
          <w:rStyle w:val="Strong"/>
        </w:rPr>
      </w:pPr>
      <w:r w:rsidRPr="00C548A0">
        <w:rPr>
          <w:rStyle w:val="Strong"/>
        </w:rPr>
        <w:t>APS Implementing Partners</w:t>
      </w:r>
    </w:p>
    <w:p w14:paraId="72EE9355" w14:textId="77777777" w:rsidR="00D86C95" w:rsidRPr="00C548A0" w:rsidRDefault="00D86C95" w:rsidP="00C548A0">
      <w:r w:rsidRPr="00005838">
        <w:t>Depar</w:t>
      </w:r>
      <w:r w:rsidRPr="00C548A0">
        <w:t>tment of Defence</w:t>
      </w:r>
    </w:p>
    <w:p w14:paraId="45971C70" w14:textId="77777777" w:rsidR="00D86C95" w:rsidRPr="00C548A0" w:rsidRDefault="00D86C95" w:rsidP="00C548A0">
      <w:r w:rsidRPr="00C548A0">
        <w:t>Australian Federal Police (AFP)</w:t>
      </w:r>
    </w:p>
    <w:p w14:paraId="512AD891" w14:textId="77777777" w:rsidR="00D86C95" w:rsidRPr="00C548A0" w:rsidRDefault="00D86C95" w:rsidP="00C548A0">
      <w:r w:rsidRPr="00C548A0">
        <w:t>Department of Home Affairs</w:t>
      </w:r>
    </w:p>
    <w:p w14:paraId="73C31162" w14:textId="77777777" w:rsidR="00D86C95" w:rsidRPr="00005838" w:rsidRDefault="00D86C95" w:rsidP="00C548A0">
      <w:r w:rsidRPr="00C548A0">
        <w:t>Austral</w:t>
      </w:r>
      <w:r w:rsidRPr="00005838">
        <w:t>ian Civil-Military Centre (ACMC)</w:t>
      </w:r>
    </w:p>
    <w:p w14:paraId="1D7ECD39" w14:textId="60A51167" w:rsidR="00D86C95" w:rsidRPr="00C548A0" w:rsidRDefault="00D86C95" w:rsidP="00C548A0">
      <w:pPr>
        <w:rPr>
          <w:rStyle w:val="Strong"/>
        </w:rPr>
      </w:pPr>
      <w:r w:rsidRPr="00C548A0">
        <w:rPr>
          <w:rStyle w:val="Strong"/>
        </w:rPr>
        <w:t>DFAT posts and teams</w:t>
      </w:r>
    </w:p>
    <w:p w14:paraId="2493B77C" w14:textId="77777777" w:rsidR="00D86C95" w:rsidRPr="00C548A0" w:rsidRDefault="00D86C95" w:rsidP="00C548A0">
      <w:r w:rsidRPr="00206B2B">
        <w:t>Myan</w:t>
      </w:r>
      <w:r w:rsidRPr="00C548A0">
        <w:t>mar</w:t>
      </w:r>
    </w:p>
    <w:p w14:paraId="51F2D73A" w14:textId="77777777" w:rsidR="00D86C95" w:rsidRPr="00C548A0" w:rsidRDefault="00D86C95" w:rsidP="00C548A0">
      <w:r w:rsidRPr="00C548A0">
        <w:t>The Philippines</w:t>
      </w:r>
    </w:p>
    <w:p w14:paraId="6C37BB56" w14:textId="77777777" w:rsidR="00D86C95" w:rsidRPr="00C548A0" w:rsidRDefault="00D86C95" w:rsidP="00C548A0">
      <w:r w:rsidRPr="00C548A0">
        <w:t>The Hague (The Netherlands)</w:t>
      </w:r>
    </w:p>
    <w:p w14:paraId="311AC855" w14:textId="77777777" w:rsidR="00D86C95" w:rsidRPr="00C548A0" w:rsidRDefault="00D86C95" w:rsidP="00C548A0">
      <w:r w:rsidRPr="00C548A0">
        <w:t>Australian Permanent Mission to ASEAN</w:t>
      </w:r>
    </w:p>
    <w:p w14:paraId="6B84228B" w14:textId="77777777" w:rsidR="00D86C95" w:rsidRPr="00C548A0" w:rsidRDefault="00D86C95" w:rsidP="00C548A0">
      <w:r w:rsidRPr="00C548A0">
        <w:t xml:space="preserve">Australian Permanent Mission to the United Nations, Vienna </w:t>
      </w:r>
    </w:p>
    <w:p w14:paraId="472E1B24" w14:textId="77777777" w:rsidR="00D86C95" w:rsidRPr="00C548A0" w:rsidRDefault="00D86C95" w:rsidP="00C548A0">
      <w:r w:rsidRPr="00C548A0">
        <w:t>Australian Mission to the European Union and NATO</w:t>
      </w:r>
    </w:p>
    <w:p w14:paraId="4ED41C9A" w14:textId="77777777" w:rsidR="00D86C95" w:rsidRPr="00C548A0" w:rsidRDefault="00D86C95" w:rsidP="00C548A0">
      <w:r w:rsidRPr="00C548A0">
        <w:t>Addis Ababa, Ethiopia (Africa Union)</w:t>
      </w:r>
    </w:p>
    <w:p w14:paraId="3A5A28B2" w14:textId="77777777" w:rsidR="00D86C95" w:rsidRPr="00C548A0" w:rsidRDefault="00D86C95" w:rsidP="00C548A0">
      <w:r w:rsidRPr="00C548A0">
        <w:t>Multilateral Peace and Commonwealth Section</w:t>
      </w:r>
    </w:p>
    <w:p w14:paraId="2FD80BF5" w14:textId="77777777" w:rsidR="00D86C95" w:rsidRPr="00C548A0" w:rsidRDefault="00D86C95" w:rsidP="00C548A0">
      <w:r w:rsidRPr="00C548A0">
        <w:t>Gender Equality, Disability and Social Inclusion Branch</w:t>
      </w:r>
    </w:p>
    <w:p w14:paraId="0E4F80F0" w14:textId="77777777" w:rsidR="00D86C95" w:rsidRPr="00206B2B" w:rsidRDefault="00D86C95" w:rsidP="00C548A0">
      <w:r w:rsidRPr="00C548A0">
        <w:t>Australia’s Amba</w:t>
      </w:r>
      <w:r w:rsidRPr="00206B2B">
        <w:t>ssador for Gender Equality</w:t>
      </w:r>
    </w:p>
    <w:p w14:paraId="1B121CE1" w14:textId="3799962D" w:rsidR="00D86C95" w:rsidRPr="00C548A0" w:rsidRDefault="00D86C95" w:rsidP="00C548A0">
      <w:pPr>
        <w:rPr>
          <w:rStyle w:val="Strong"/>
        </w:rPr>
      </w:pPr>
      <w:r w:rsidRPr="00C548A0">
        <w:rPr>
          <w:rStyle w:val="Strong"/>
        </w:rPr>
        <w:t>Ministerial Advisors</w:t>
      </w:r>
    </w:p>
    <w:p w14:paraId="20EAA53A" w14:textId="77777777" w:rsidR="00D86C95" w:rsidRPr="00105D31" w:rsidRDefault="00D86C95" w:rsidP="00105D31">
      <w:r w:rsidRPr="00206B2B">
        <w:t xml:space="preserve">Chief </w:t>
      </w:r>
      <w:r w:rsidRPr="00105D31">
        <w:t>of Staff to Special Envoy for Climate Adaptation and Resilience</w:t>
      </w:r>
    </w:p>
    <w:p w14:paraId="64D17277" w14:textId="77777777" w:rsidR="00D86C95" w:rsidRPr="00105D31" w:rsidRDefault="00D86C95" w:rsidP="00105D31">
      <w:r w:rsidRPr="00105D31">
        <w:t>Advisor to the Minister of Foreign Affairs</w:t>
      </w:r>
    </w:p>
    <w:p w14:paraId="52213B9C" w14:textId="77777777" w:rsidR="00D86C95" w:rsidRPr="00105D31" w:rsidRDefault="00D86C95" w:rsidP="00105D31">
      <w:r w:rsidRPr="00105D31">
        <w:t>Women’s Advisor for the Prime Minister</w:t>
      </w:r>
    </w:p>
    <w:p w14:paraId="5FF8BD97" w14:textId="77777777" w:rsidR="00D86C95" w:rsidRPr="00105D31" w:rsidRDefault="00D86C95" w:rsidP="00105D31">
      <w:r w:rsidRPr="00105D31">
        <w:t>Women’s Advisor for the Minister for Finance, Minister for Women, Minister for the Public Service</w:t>
      </w:r>
    </w:p>
    <w:p w14:paraId="648E359A" w14:textId="77777777" w:rsidR="00D86C95" w:rsidRPr="00206B2B" w:rsidRDefault="00D86C95" w:rsidP="00105D31">
      <w:r w:rsidRPr="00105D31">
        <w:t xml:space="preserve">Advisor to </w:t>
      </w:r>
      <w:r w:rsidRPr="00206B2B">
        <w:t xml:space="preserve">the Pacific Island Affairs Minister </w:t>
      </w:r>
    </w:p>
    <w:p w14:paraId="3EAB366D" w14:textId="1A231C8F" w:rsidR="00D86C95" w:rsidRPr="00C548A0" w:rsidRDefault="00D86C95" w:rsidP="00C548A0">
      <w:pPr>
        <w:rPr>
          <w:rStyle w:val="Strong"/>
        </w:rPr>
      </w:pPr>
      <w:r w:rsidRPr="00C548A0">
        <w:rPr>
          <w:rStyle w:val="Strong"/>
        </w:rPr>
        <w:t>Other Government Agencies</w:t>
      </w:r>
    </w:p>
    <w:p w14:paraId="4953D980" w14:textId="77777777" w:rsidR="00D86C95" w:rsidRPr="00105D31" w:rsidRDefault="00D86C95" w:rsidP="00105D31">
      <w:r w:rsidRPr="00206B2B">
        <w:t>The Depa</w:t>
      </w:r>
      <w:r w:rsidRPr="00105D31">
        <w:t>rtment of Climate Change, Energy, the Environment and Water (DCCEEW)</w:t>
      </w:r>
    </w:p>
    <w:p w14:paraId="30CBDE8A" w14:textId="77777777" w:rsidR="00D86C95" w:rsidRPr="00206B2B" w:rsidRDefault="00D86C95" w:rsidP="00105D31">
      <w:r w:rsidRPr="00105D31">
        <w:t>Office for</w:t>
      </w:r>
      <w:r w:rsidRPr="00206B2B">
        <w:t xml:space="preserve"> Women</w:t>
      </w:r>
    </w:p>
    <w:p w14:paraId="18252236" w14:textId="500B561E" w:rsidR="00D86C95" w:rsidRPr="00C548A0" w:rsidRDefault="00D86C95" w:rsidP="00C548A0">
      <w:pPr>
        <w:rPr>
          <w:rStyle w:val="Strong"/>
        </w:rPr>
      </w:pPr>
      <w:r w:rsidRPr="00C548A0">
        <w:rPr>
          <w:rStyle w:val="Strong"/>
        </w:rPr>
        <w:t>DFAT WPS investment partners</w:t>
      </w:r>
    </w:p>
    <w:p w14:paraId="639E2F6E" w14:textId="77777777" w:rsidR="00D86C95" w:rsidRPr="00105D31" w:rsidRDefault="00D86C95" w:rsidP="00105D31">
      <w:r w:rsidRPr="00206B2B">
        <w:t>ActionAid</w:t>
      </w:r>
      <w:r w:rsidRPr="00105D31">
        <w:t xml:space="preserve"> Australia</w:t>
      </w:r>
    </w:p>
    <w:p w14:paraId="468E898B" w14:textId="77777777" w:rsidR="00D86C95" w:rsidRPr="00105D31" w:rsidRDefault="00D86C95" w:rsidP="00105D31">
      <w:r w:rsidRPr="00105D31">
        <w:t>Pacific Women Mediators Network</w:t>
      </w:r>
    </w:p>
    <w:p w14:paraId="653F79A1" w14:textId="77777777" w:rsidR="00D86C95" w:rsidRPr="00105D31" w:rsidRDefault="00D86C95" w:rsidP="00105D31">
      <w:r w:rsidRPr="00105D31">
        <w:t xml:space="preserve">Southeast Asian Women Peace Mediators </w:t>
      </w:r>
    </w:p>
    <w:p w14:paraId="4F29F10D" w14:textId="77777777" w:rsidR="00D86C95" w:rsidRPr="00105D31" w:rsidRDefault="00D86C95" w:rsidP="00105D31">
      <w:r w:rsidRPr="00105D31">
        <w:t xml:space="preserve">Legal Action Worldwide </w:t>
      </w:r>
    </w:p>
    <w:p w14:paraId="17115837" w14:textId="77777777" w:rsidR="00D86C95" w:rsidRPr="00206B2B" w:rsidRDefault="00D86C95" w:rsidP="00105D31">
      <w:r w:rsidRPr="00105D31">
        <w:t>UN Wom</w:t>
      </w:r>
      <w:r w:rsidRPr="00206B2B">
        <w:t>en</w:t>
      </w:r>
    </w:p>
    <w:p w14:paraId="0F71FD51" w14:textId="5DF39144" w:rsidR="00D86C95" w:rsidRPr="00C548A0" w:rsidRDefault="00D86C95" w:rsidP="00C548A0">
      <w:pPr>
        <w:rPr>
          <w:rStyle w:val="Strong"/>
        </w:rPr>
      </w:pPr>
      <w:r w:rsidRPr="00C548A0">
        <w:rPr>
          <w:rStyle w:val="Strong"/>
        </w:rPr>
        <w:t>Civil Society</w:t>
      </w:r>
    </w:p>
    <w:p w14:paraId="230FBCE8" w14:textId="77777777" w:rsidR="00D86C95" w:rsidRPr="00105D31" w:rsidRDefault="00D86C95" w:rsidP="00105D31">
      <w:r w:rsidRPr="00206B2B">
        <w:t>Australian</w:t>
      </w:r>
      <w:r w:rsidRPr="00105D31">
        <w:t xml:space="preserve"> Civil Society Coalition on Women, Peace and Security </w:t>
      </w:r>
    </w:p>
    <w:p w14:paraId="2DCED7C4" w14:textId="77777777" w:rsidR="00D86C95" w:rsidRPr="00105D31" w:rsidRDefault="00D86C95" w:rsidP="00105D31">
      <w:r w:rsidRPr="00105D31">
        <w:lastRenderedPageBreak/>
        <w:t>Global Survivors Fund</w:t>
      </w:r>
    </w:p>
    <w:p w14:paraId="7338389E" w14:textId="77777777" w:rsidR="00D86C95" w:rsidRPr="00105D31" w:rsidRDefault="00D86C95" w:rsidP="00105D31">
      <w:r w:rsidRPr="00105D31">
        <w:t>The Humanitarian Advisory Group</w:t>
      </w:r>
    </w:p>
    <w:p w14:paraId="21C63C64" w14:textId="376F017C" w:rsidR="008D0C4C" w:rsidRPr="00C548A0" w:rsidRDefault="00027EEC" w:rsidP="00105D31">
      <w:pPr>
        <w:rPr>
          <w:lang w:eastAsia="en-AU"/>
        </w:rPr>
      </w:pPr>
      <w:r w:rsidRPr="00105D31">
        <w:rPr>
          <w:lang w:eastAsia="en-AU"/>
        </w:rPr>
        <w:t>A summar</w:t>
      </w:r>
      <w:r w:rsidRPr="00C548A0">
        <w:rPr>
          <w:lang w:eastAsia="en-AU"/>
        </w:rPr>
        <w:t xml:space="preserve">y of consultation findings </w:t>
      </w:r>
      <w:r w:rsidR="00C265FE" w:rsidRPr="00C548A0">
        <w:rPr>
          <w:lang w:eastAsia="en-AU"/>
        </w:rPr>
        <w:t>is</w:t>
      </w:r>
      <w:r w:rsidRPr="00C548A0">
        <w:rPr>
          <w:lang w:eastAsia="en-AU"/>
        </w:rPr>
        <w:t xml:space="preserve"> provided below, group</w:t>
      </w:r>
      <w:r w:rsidR="00C265FE" w:rsidRPr="00C548A0">
        <w:rPr>
          <w:lang w:eastAsia="en-AU"/>
        </w:rPr>
        <w:t>ed</w:t>
      </w:r>
      <w:r w:rsidRPr="00C548A0">
        <w:rPr>
          <w:lang w:eastAsia="en-AU"/>
        </w:rPr>
        <w:t xml:space="preserve"> by thematic area.</w:t>
      </w:r>
    </w:p>
    <w:p w14:paraId="0B80F5D8" w14:textId="70C2C893" w:rsidR="008D0C4C" w:rsidRPr="00206B2B" w:rsidRDefault="008D0C4C" w:rsidP="00944D24">
      <w:pPr>
        <w:pStyle w:val="Heading2"/>
        <w:rPr>
          <w:bCs/>
          <w:lang w:eastAsia="en-AU"/>
        </w:rPr>
      </w:pPr>
      <w:r w:rsidRPr="00206B2B">
        <w:rPr>
          <w:lang w:eastAsia="en-AU"/>
        </w:rPr>
        <w:t>Effectiveness</w:t>
      </w:r>
    </w:p>
    <w:p w14:paraId="6D641DBB" w14:textId="14CE9997" w:rsidR="008D0C4C" w:rsidRPr="00206B2B" w:rsidRDefault="00B92BEC" w:rsidP="00E61753">
      <w:pPr>
        <w:pStyle w:val="ListBullet"/>
        <w:rPr>
          <w:lang w:eastAsia="en-AU"/>
        </w:rPr>
      </w:pPr>
      <w:r w:rsidRPr="00206B2B">
        <w:rPr>
          <w:b/>
          <w:bCs/>
          <w:lang w:eastAsia="en-AU"/>
        </w:rPr>
        <w:t xml:space="preserve">Progress </w:t>
      </w:r>
      <w:r w:rsidR="008B7490" w:rsidRPr="00206B2B">
        <w:rPr>
          <w:b/>
          <w:bCs/>
          <w:lang w:eastAsia="en-AU"/>
        </w:rPr>
        <w:t>T</w:t>
      </w:r>
      <w:r w:rsidRPr="00206B2B">
        <w:rPr>
          <w:b/>
          <w:bCs/>
          <w:lang w:eastAsia="en-AU"/>
        </w:rPr>
        <w:t>owards</w:t>
      </w:r>
      <w:r w:rsidR="008D0C4C" w:rsidRPr="00206B2B">
        <w:rPr>
          <w:b/>
          <w:bCs/>
          <w:lang w:eastAsia="en-AU"/>
        </w:rPr>
        <w:t xml:space="preserve"> Objectives:</w:t>
      </w:r>
      <w:r w:rsidR="008D0C4C" w:rsidRPr="00206B2B">
        <w:rPr>
          <w:lang w:eastAsia="en-AU"/>
        </w:rPr>
        <w:t xml:space="preserve"> Progress is uneven. Some agencies (e.g., Defence, AFP) have integrated WPS into operations and training, but implementation is often ad hoc and siloed. Civil society notes that Australia’s NAP is largely </w:t>
      </w:r>
      <w:proofErr w:type="gramStart"/>
      <w:r w:rsidR="008D0C4C" w:rsidRPr="00206B2B">
        <w:rPr>
          <w:lang w:eastAsia="en-AU"/>
        </w:rPr>
        <w:t>outward-facing</w:t>
      </w:r>
      <w:proofErr w:type="gramEnd"/>
      <w:r w:rsidR="008D0C4C" w:rsidRPr="00206B2B">
        <w:rPr>
          <w:lang w:eastAsia="en-AU"/>
        </w:rPr>
        <w:t>, with limited domestic integration.</w:t>
      </w:r>
    </w:p>
    <w:p w14:paraId="34D58CF7" w14:textId="77777777" w:rsidR="008D0C4C" w:rsidRPr="00206B2B" w:rsidRDefault="008D0C4C" w:rsidP="00E61753">
      <w:pPr>
        <w:pStyle w:val="ListBullet"/>
        <w:rPr>
          <w:lang w:eastAsia="en-AU"/>
        </w:rPr>
      </w:pPr>
      <w:r w:rsidRPr="00206B2B">
        <w:rPr>
          <w:b/>
          <w:bCs/>
          <w:lang w:eastAsia="en-AU"/>
        </w:rPr>
        <w:t>Alignment of Activities:</w:t>
      </w:r>
      <w:r w:rsidRPr="00206B2B">
        <w:rPr>
          <w:lang w:eastAsia="en-AU"/>
        </w:rPr>
        <w:t xml:space="preserve"> Many activities align broadly with NAP objectives but lack clear linkage to outcomes. Some programs are rebranded as WPS without substantive change.</w:t>
      </w:r>
    </w:p>
    <w:p w14:paraId="7F8DA749" w14:textId="3AED347A" w:rsidR="008D0C4C" w:rsidRPr="00206B2B" w:rsidRDefault="008D0C4C" w:rsidP="00E61753">
      <w:pPr>
        <w:pStyle w:val="ListBullet"/>
        <w:rPr>
          <w:lang w:eastAsia="en-AU"/>
        </w:rPr>
      </w:pPr>
      <w:r w:rsidRPr="00206B2B">
        <w:rPr>
          <w:b/>
          <w:bCs/>
          <w:lang w:eastAsia="en-AU"/>
        </w:rPr>
        <w:t>Integration with Broader Policy:</w:t>
      </w:r>
      <w:r w:rsidRPr="00206B2B">
        <w:rPr>
          <w:lang w:eastAsia="en-AU"/>
        </w:rPr>
        <w:t xml:space="preserve"> WPS is increasingly linked to regional security priorities (Pacific partnerships, disaster response), but connections to climate security and </w:t>
      </w:r>
      <w:r w:rsidR="004C74EB" w:rsidRPr="00206B2B">
        <w:rPr>
          <w:lang w:eastAsia="en-AU"/>
        </w:rPr>
        <w:t xml:space="preserve">technology-facilitated </w:t>
      </w:r>
      <w:r w:rsidR="00E86DEB" w:rsidRPr="00206B2B">
        <w:rPr>
          <w:lang w:eastAsia="en-AU"/>
        </w:rPr>
        <w:t>GBV</w:t>
      </w:r>
      <w:r w:rsidR="004C74EB" w:rsidRPr="00206B2B">
        <w:rPr>
          <w:lang w:eastAsia="en-AU"/>
        </w:rPr>
        <w:t xml:space="preserve"> </w:t>
      </w:r>
      <w:r w:rsidRPr="00206B2B">
        <w:rPr>
          <w:lang w:eastAsia="en-AU"/>
        </w:rPr>
        <w:t>remain underdeveloped.</w:t>
      </w:r>
    </w:p>
    <w:p w14:paraId="50ED1D56" w14:textId="7B959E5E" w:rsidR="008D0C4C" w:rsidRPr="00206B2B" w:rsidRDefault="008D0C4C" w:rsidP="00944D24">
      <w:pPr>
        <w:pStyle w:val="Heading2"/>
        <w:rPr>
          <w:bCs/>
          <w:lang w:eastAsia="en-AU"/>
        </w:rPr>
      </w:pPr>
      <w:r w:rsidRPr="00206B2B">
        <w:rPr>
          <w:lang w:eastAsia="en-AU"/>
        </w:rPr>
        <w:t>Governance</w:t>
      </w:r>
    </w:p>
    <w:p w14:paraId="338B39CB" w14:textId="19983023" w:rsidR="008D0C4C" w:rsidRPr="00206B2B" w:rsidRDefault="008D0C4C" w:rsidP="00E61753">
      <w:pPr>
        <w:pStyle w:val="ListBullet"/>
        <w:rPr>
          <w:lang w:eastAsia="en-AU"/>
        </w:rPr>
      </w:pPr>
      <w:r w:rsidRPr="00206B2B">
        <w:rPr>
          <w:b/>
          <w:bCs/>
          <w:lang w:eastAsia="en-AU"/>
        </w:rPr>
        <w:t>Structures &amp; Coordination:</w:t>
      </w:r>
      <w:r w:rsidRPr="00206B2B">
        <w:rPr>
          <w:lang w:eastAsia="en-AU"/>
        </w:rPr>
        <w:t xml:space="preserve"> </w:t>
      </w:r>
      <w:r w:rsidR="006A6945" w:rsidRPr="00206B2B">
        <w:rPr>
          <w:lang w:eastAsia="en-AU"/>
        </w:rPr>
        <w:t>The IDC and</w:t>
      </w:r>
      <w:r w:rsidRPr="00206B2B">
        <w:rPr>
          <w:lang w:eastAsia="en-AU"/>
        </w:rPr>
        <w:t xml:space="preserve"> working groups exist but are seen as insufficiently responsive and siloed. Agencies call for clearer roles, stronger cross-agency collaboration, and inclusion of </w:t>
      </w:r>
      <w:r w:rsidR="001136B4" w:rsidRPr="00206B2B">
        <w:rPr>
          <w:lang w:eastAsia="en-AU"/>
        </w:rPr>
        <w:t xml:space="preserve">other departments such as </w:t>
      </w:r>
      <w:r w:rsidRPr="00206B2B">
        <w:rPr>
          <w:lang w:eastAsia="en-AU"/>
        </w:rPr>
        <w:t xml:space="preserve">OFW and </w:t>
      </w:r>
      <w:r w:rsidR="001136B4" w:rsidRPr="00206B2B">
        <w:rPr>
          <w:lang w:eastAsia="en-AU"/>
        </w:rPr>
        <w:t>the DCCEEW.</w:t>
      </w:r>
    </w:p>
    <w:p w14:paraId="4E22E7E7" w14:textId="77777777" w:rsidR="00BE03AA" w:rsidRPr="00206B2B" w:rsidRDefault="008D0C4C" w:rsidP="00E61753">
      <w:pPr>
        <w:pStyle w:val="ListBullet"/>
        <w:rPr>
          <w:lang w:eastAsia="en-AU"/>
        </w:rPr>
      </w:pPr>
      <w:r w:rsidRPr="00206B2B">
        <w:rPr>
          <w:b/>
          <w:bCs/>
          <w:lang w:eastAsia="en-AU"/>
        </w:rPr>
        <w:t>Role Clarity:</w:t>
      </w:r>
      <w:r w:rsidRPr="00206B2B">
        <w:rPr>
          <w:lang w:eastAsia="en-AU"/>
        </w:rPr>
        <w:t xml:space="preserve"> Roles are broadly understood but need updating to reflect emerging themes (cybersecurity, climate). </w:t>
      </w:r>
    </w:p>
    <w:p w14:paraId="7F34FA82" w14:textId="0687079D" w:rsidR="008D0C4C" w:rsidRPr="00206B2B" w:rsidRDefault="00BE03AA" w:rsidP="00E61753">
      <w:pPr>
        <w:pStyle w:val="ListBullet"/>
        <w:rPr>
          <w:lang w:eastAsia="en-AU"/>
        </w:rPr>
      </w:pPr>
      <w:r w:rsidRPr="00206B2B">
        <w:rPr>
          <w:b/>
          <w:bCs/>
          <w:lang w:eastAsia="en-AU"/>
        </w:rPr>
        <w:t>Civil Society Engagement:</w:t>
      </w:r>
      <w:r w:rsidRPr="00206B2B">
        <w:rPr>
          <w:lang w:eastAsia="en-AU"/>
        </w:rPr>
        <w:t xml:space="preserve"> </w:t>
      </w:r>
      <w:r w:rsidR="008D0C4C" w:rsidRPr="00206B2B">
        <w:rPr>
          <w:lang w:eastAsia="en-AU"/>
        </w:rPr>
        <w:t xml:space="preserve">Civil society engagement </w:t>
      </w:r>
      <w:r w:rsidRPr="00206B2B">
        <w:rPr>
          <w:lang w:eastAsia="en-AU"/>
        </w:rPr>
        <w:t xml:space="preserve">is seen internationally as best practice, although </w:t>
      </w:r>
      <w:r w:rsidR="00B72C00" w:rsidRPr="00206B2B">
        <w:rPr>
          <w:lang w:eastAsia="en-AU"/>
        </w:rPr>
        <w:t xml:space="preserve">domestically, </w:t>
      </w:r>
      <w:r w:rsidR="00991E64" w:rsidRPr="00206B2B">
        <w:rPr>
          <w:lang w:eastAsia="en-AU"/>
        </w:rPr>
        <w:t>civil society seeks greater involvement in policy feedback mechanisms and being part of governance structures.</w:t>
      </w:r>
    </w:p>
    <w:p w14:paraId="4453E033" w14:textId="35E97CCD" w:rsidR="008D0C4C" w:rsidRPr="00206B2B" w:rsidRDefault="008D0C4C" w:rsidP="00944D24">
      <w:pPr>
        <w:pStyle w:val="Heading2"/>
        <w:rPr>
          <w:bCs/>
          <w:lang w:eastAsia="en-AU"/>
        </w:rPr>
      </w:pPr>
      <w:r w:rsidRPr="00206B2B">
        <w:rPr>
          <w:lang w:eastAsia="en-AU"/>
        </w:rPr>
        <w:t>Monitoring, Evaluation &amp; Learning (MEL)</w:t>
      </w:r>
    </w:p>
    <w:p w14:paraId="60CCCFAE" w14:textId="77777777" w:rsidR="008D0C4C" w:rsidRPr="00206B2B" w:rsidRDefault="008D0C4C" w:rsidP="00E61753">
      <w:pPr>
        <w:pStyle w:val="ListBullet"/>
        <w:rPr>
          <w:lang w:eastAsia="en-AU"/>
        </w:rPr>
      </w:pPr>
      <w:r w:rsidRPr="00206B2B">
        <w:rPr>
          <w:b/>
          <w:bCs/>
          <w:lang w:eastAsia="en-AU"/>
        </w:rPr>
        <w:t>Framework Robustness:</w:t>
      </w:r>
      <w:r w:rsidRPr="00206B2B">
        <w:rPr>
          <w:lang w:eastAsia="en-AU"/>
        </w:rPr>
        <w:t xml:space="preserve"> MEL systems are inconsistent. Defence and AFP rely on case studies and qualitative data; quantitative indicators are limited and skewed by external factors.</w:t>
      </w:r>
    </w:p>
    <w:p w14:paraId="2C48272B" w14:textId="4729007F" w:rsidR="008D0C4C" w:rsidRPr="00206B2B" w:rsidRDefault="008D0C4C" w:rsidP="00E61753">
      <w:pPr>
        <w:pStyle w:val="ListBullet"/>
        <w:rPr>
          <w:lang w:eastAsia="en-AU"/>
        </w:rPr>
      </w:pPr>
      <w:r w:rsidRPr="00206B2B">
        <w:rPr>
          <w:b/>
          <w:bCs/>
          <w:lang w:eastAsia="en-AU"/>
        </w:rPr>
        <w:t>Data Gaps:</w:t>
      </w:r>
      <w:r w:rsidRPr="00206B2B">
        <w:rPr>
          <w:lang w:eastAsia="en-AU"/>
        </w:rPr>
        <w:t xml:space="preserve"> Lack of gender-disaggregated data and baseline metrics hampers impact assessment. Posts </w:t>
      </w:r>
      <w:r w:rsidR="00A04F95" w:rsidRPr="00206B2B">
        <w:rPr>
          <w:lang w:eastAsia="en-AU"/>
        </w:rPr>
        <w:t>are</w:t>
      </w:r>
      <w:r w:rsidRPr="00206B2B">
        <w:rPr>
          <w:lang w:eastAsia="en-AU"/>
        </w:rPr>
        <w:t xml:space="preserve"> request</w:t>
      </w:r>
      <w:r w:rsidR="00A04F95" w:rsidRPr="00206B2B">
        <w:rPr>
          <w:lang w:eastAsia="en-AU"/>
        </w:rPr>
        <w:t>ed to provide</w:t>
      </w:r>
      <w:r w:rsidRPr="00206B2B">
        <w:rPr>
          <w:lang w:eastAsia="en-AU"/>
        </w:rPr>
        <w:t xml:space="preserve"> technical support for MEL systems, especially in multilateral contexts</w:t>
      </w:r>
      <w:r w:rsidR="00A04F95" w:rsidRPr="00206B2B">
        <w:rPr>
          <w:lang w:eastAsia="en-AU"/>
        </w:rPr>
        <w:t xml:space="preserve"> but lack the resourcing to </w:t>
      </w:r>
      <w:r w:rsidR="00044BF4" w:rsidRPr="00206B2B">
        <w:rPr>
          <w:lang w:eastAsia="en-AU"/>
        </w:rPr>
        <w:t>provide this support beyond an ad hoc basis.</w:t>
      </w:r>
    </w:p>
    <w:p w14:paraId="4CA8C71E" w14:textId="596599AA" w:rsidR="008D0C4C" w:rsidRPr="00206B2B" w:rsidRDefault="008D0C4C" w:rsidP="00944D24">
      <w:pPr>
        <w:pStyle w:val="Heading2"/>
        <w:rPr>
          <w:bCs/>
          <w:lang w:eastAsia="en-AU"/>
        </w:rPr>
      </w:pPr>
      <w:r w:rsidRPr="00206B2B">
        <w:rPr>
          <w:lang w:eastAsia="en-AU"/>
        </w:rPr>
        <w:t>Inclusivity</w:t>
      </w:r>
    </w:p>
    <w:p w14:paraId="5C248B92" w14:textId="133D302B" w:rsidR="005B019C" w:rsidRPr="00206B2B" w:rsidRDefault="008D0C4C" w:rsidP="00E61753">
      <w:pPr>
        <w:pStyle w:val="ListBullet"/>
        <w:rPr>
          <w:lang w:eastAsia="en-AU"/>
        </w:rPr>
      </w:pPr>
      <w:r w:rsidRPr="00206B2B">
        <w:rPr>
          <w:b/>
          <w:bCs/>
          <w:lang w:eastAsia="en-AU"/>
        </w:rPr>
        <w:t>Civil Society Engagement:</w:t>
      </w:r>
      <w:r w:rsidRPr="00206B2B">
        <w:rPr>
          <w:lang w:eastAsia="en-AU"/>
        </w:rPr>
        <w:t xml:space="preserve"> Engagement is </w:t>
      </w:r>
      <w:r w:rsidR="00D55200" w:rsidRPr="00206B2B">
        <w:rPr>
          <w:lang w:eastAsia="en-AU"/>
        </w:rPr>
        <w:t xml:space="preserve">streamlined through the ACMC and </w:t>
      </w:r>
      <w:r w:rsidR="006B136A" w:rsidRPr="00206B2B">
        <w:rPr>
          <w:lang w:eastAsia="en-AU"/>
        </w:rPr>
        <w:t xml:space="preserve">while civil society finds the dialogues with ACMC useful, they question </w:t>
      </w:r>
      <w:r w:rsidR="002B6BCA" w:rsidRPr="00206B2B">
        <w:rPr>
          <w:lang w:eastAsia="en-AU"/>
        </w:rPr>
        <w:t>the effectiveness of these mechanisms.</w:t>
      </w:r>
    </w:p>
    <w:p w14:paraId="4776E106" w14:textId="1A9513ED" w:rsidR="008D0C4C" w:rsidRPr="00206B2B" w:rsidRDefault="008D0C4C" w:rsidP="00E61753">
      <w:pPr>
        <w:pStyle w:val="ListBullet"/>
        <w:rPr>
          <w:lang w:eastAsia="en-AU"/>
        </w:rPr>
      </w:pPr>
      <w:r w:rsidRPr="00206B2B">
        <w:rPr>
          <w:b/>
          <w:bCs/>
          <w:lang w:eastAsia="en-AU"/>
        </w:rPr>
        <w:t>Diverse Voices:</w:t>
      </w:r>
      <w:r w:rsidRPr="00206B2B">
        <w:rPr>
          <w:lang w:eastAsia="en-AU"/>
        </w:rPr>
        <w:t xml:space="preserve"> First Nations perspectives are underrepresented; some efforts exist but are fragmented. LGBTQIA+ and disability inclusion is emerging but not mainstreamed. Regional voices are engaged </w:t>
      </w:r>
      <w:r w:rsidR="00B3149E" w:rsidRPr="00206B2B">
        <w:rPr>
          <w:lang w:eastAsia="en-AU"/>
        </w:rPr>
        <w:t xml:space="preserve">effectively in program delivery (e.g. the Mediators networks) </w:t>
      </w:r>
      <w:r w:rsidRPr="00206B2B">
        <w:rPr>
          <w:lang w:eastAsia="en-AU"/>
        </w:rPr>
        <w:t>but influence on policy is</w:t>
      </w:r>
      <w:r w:rsidR="00E61753">
        <w:rPr>
          <w:lang w:eastAsia="en-AU"/>
        </w:rPr>
        <w:t> </w:t>
      </w:r>
      <w:r w:rsidRPr="00206B2B">
        <w:rPr>
          <w:lang w:eastAsia="en-AU"/>
        </w:rPr>
        <w:t>limited.</w:t>
      </w:r>
    </w:p>
    <w:p w14:paraId="375C6460" w14:textId="29C4FCC1" w:rsidR="008D0C4C" w:rsidRPr="00206B2B" w:rsidRDefault="008D0C4C" w:rsidP="00944D24">
      <w:pPr>
        <w:pStyle w:val="Heading2"/>
        <w:rPr>
          <w:bCs/>
          <w:lang w:eastAsia="en-AU"/>
        </w:rPr>
      </w:pPr>
      <w:r w:rsidRPr="00206B2B">
        <w:rPr>
          <w:lang w:eastAsia="en-AU"/>
        </w:rPr>
        <w:t>Adaptability</w:t>
      </w:r>
    </w:p>
    <w:p w14:paraId="6E837B0F" w14:textId="77777777" w:rsidR="008D0C4C" w:rsidRPr="00206B2B" w:rsidRDefault="008D0C4C" w:rsidP="00E61753">
      <w:pPr>
        <w:pStyle w:val="ListBullet"/>
        <w:rPr>
          <w:lang w:eastAsia="en-AU"/>
        </w:rPr>
      </w:pPr>
      <w:r w:rsidRPr="00206B2B">
        <w:rPr>
          <w:b/>
          <w:bCs/>
          <w:lang w:eastAsia="en-AU"/>
        </w:rPr>
        <w:t>Emerging Challenges:</w:t>
      </w:r>
      <w:r w:rsidRPr="00206B2B">
        <w:rPr>
          <w:lang w:eastAsia="en-AU"/>
        </w:rPr>
        <w:t xml:space="preserve"> Cybercrime, technology-facilitated GBV, climate-related security risks, and shrinking civic space are major concerns. Current NAP is seen as flexible but lacks proactive programming in these areas.</w:t>
      </w:r>
    </w:p>
    <w:p w14:paraId="4514D387" w14:textId="36382B3D" w:rsidR="008D0C4C" w:rsidRPr="00206B2B" w:rsidRDefault="008D0C4C" w:rsidP="00E61753">
      <w:pPr>
        <w:pStyle w:val="ListBullet"/>
        <w:rPr>
          <w:lang w:eastAsia="en-AU"/>
        </w:rPr>
      </w:pPr>
      <w:r w:rsidRPr="00206B2B">
        <w:rPr>
          <w:b/>
          <w:bCs/>
          <w:lang w:eastAsia="en-AU"/>
        </w:rPr>
        <w:t>Intersectionality:</w:t>
      </w:r>
      <w:r w:rsidRPr="00206B2B">
        <w:rPr>
          <w:lang w:eastAsia="en-AU"/>
        </w:rPr>
        <w:t xml:space="preserve"> Agencies and </w:t>
      </w:r>
      <w:r w:rsidR="002D6C5A" w:rsidRPr="00206B2B">
        <w:rPr>
          <w:lang w:eastAsia="en-AU"/>
        </w:rPr>
        <w:t>civil so</w:t>
      </w:r>
      <w:r w:rsidR="00002033" w:rsidRPr="00206B2B">
        <w:rPr>
          <w:lang w:eastAsia="en-AU"/>
        </w:rPr>
        <w:t>ciety</w:t>
      </w:r>
      <w:r w:rsidRPr="00206B2B">
        <w:rPr>
          <w:lang w:eastAsia="en-AU"/>
        </w:rPr>
        <w:t xml:space="preserve"> stress the need to integrate gender-climate-security nexus and youth engagement. Current efforts are piecemeal.</w:t>
      </w:r>
    </w:p>
    <w:p w14:paraId="697F5C71" w14:textId="05214478" w:rsidR="008D0C4C" w:rsidRPr="00206B2B" w:rsidRDefault="008D0C4C" w:rsidP="00944D24">
      <w:pPr>
        <w:pStyle w:val="Heading2"/>
        <w:rPr>
          <w:lang w:eastAsia="en-AU"/>
        </w:rPr>
      </w:pPr>
      <w:r w:rsidRPr="00206B2B">
        <w:rPr>
          <w:lang w:eastAsia="en-AU"/>
        </w:rPr>
        <w:lastRenderedPageBreak/>
        <w:t>Resourcing</w:t>
      </w:r>
    </w:p>
    <w:p w14:paraId="560A5D5A" w14:textId="0A71517D" w:rsidR="008D0C4C" w:rsidRPr="00FB4558" w:rsidRDefault="008D0C4C" w:rsidP="00E61753">
      <w:pPr>
        <w:pStyle w:val="ListBullet"/>
      </w:pPr>
      <w:r w:rsidRPr="00206B2B">
        <w:rPr>
          <w:b/>
          <w:bCs/>
          <w:lang w:eastAsia="en-AU"/>
        </w:rPr>
        <w:t>Adequacy:</w:t>
      </w:r>
      <w:r w:rsidRPr="00206B2B">
        <w:rPr>
          <w:lang w:eastAsia="en-AU"/>
        </w:rPr>
        <w:t xml:space="preserve"> </w:t>
      </w:r>
      <w:r w:rsidRPr="00FB4558">
        <w:t xml:space="preserve">Dedicated WPS budgets are rare; most agencies rely on mainstreamed funding. </w:t>
      </w:r>
      <w:r w:rsidR="00F221DA" w:rsidRPr="00FB4558">
        <w:t>P</w:t>
      </w:r>
      <w:r w:rsidRPr="00FB4558">
        <w:t>osts</w:t>
      </w:r>
      <w:r w:rsidR="00F221DA" w:rsidRPr="00FB4558">
        <w:t xml:space="preserve"> and Departments</w:t>
      </w:r>
      <w:r w:rsidRPr="00FB4558">
        <w:t xml:space="preserve"> report resource constraints limiting impact.</w:t>
      </w:r>
    </w:p>
    <w:p w14:paraId="66AC1AA9" w14:textId="77777777" w:rsidR="008D0C4C" w:rsidRPr="00206B2B" w:rsidRDefault="008D0C4C" w:rsidP="00E61753">
      <w:pPr>
        <w:pStyle w:val="ListBullet"/>
        <w:rPr>
          <w:lang w:eastAsia="en-AU"/>
        </w:rPr>
      </w:pPr>
      <w:r w:rsidRPr="00206B2B">
        <w:rPr>
          <w:b/>
          <w:bCs/>
          <w:lang w:eastAsia="en-AU"/>
        </w:rPr>
        <w:t>Allocation &amp; Transparency:</w:t>
      </w:r>
      <w:r w:rsidRPr="00206B2B">
        <w:rPr>
          <w:lang w:eastAsia="en-AU"/>
        </w:rPr>
        <w:t xml:space="preserve"> Funding streams for WPS initiatives are drying up globally; Australia risks losing leadership unless it institutionalises and resources commitments.</w:t>
      </w:r>
    </w:p>
    <w:p w14:paraId="7387C4D8" w14:textId="77777777" w:rsidR="008D0C4C" w:rsidRPr="00206B2B" w:rsidRDefault="008D0C4C" w:rsidP="00E61753">
      <w:pPr>
        <w:pStyle w:val="ListBullet"/>
        <w:rPr>
          <w:lang w:eastAsia="en-AU"/>
        </w:rPr>
      </w:pPr>
      <w:r w:rsidRPr="00206B2B">
        <w:rPr>
          <w:b/>
          <w:bCs/>
          <w:lang w:eastAsia="en-AU"/>
        </w:rPr>
        <w:t>Greatest Impact:</w:t>
      </w:r>
      <w:r w:rsidRPr="00206B2B">
        <w:rPr>
          <w:lang w:eastAsia="en-AU"/>
        </w:rPr>
        <w:t xml:space="preserve"> Investment in capacity building, convening spaces, and technical support for MEL and gender mainstreaming identified as priorities.</w:t>
      </w:r>
    </w:p>
    <w:p w14:paraId="316BF03D" w14:textId="684C6697" w:rsidR="00C57815" w:rsidRPr="003F41C0" w:rsidRDefault="00C57815" w:rsidP="00944D24">
      <w:pPr>
        <w:pStyle w:val="Heading2"/>
        <w:rPr>
          <w:lang w:eastAsia="en-AU"/>
        </w:rPr>
      </w:pPr>
      <w:r w:rsidRPr="00206B2B">
        <w:rPr>
          <w:lang w:eastAsia="en-AU"/>
        </w:rPr>
        <w:t>Emerging the</w:t>
      </w:r>
      <w:r w:rsidRPr="003F41C0">
        <w:rPr>
          <w:lang w:eastAsia="en-AU"/>
        </w:rPr>
        <w:t>mes</w:t>
      </w:r>
    </w:p>
    <w:p w14:paraId="5D8CD80F" w14:textId="77777777" w:rsidR="00233F3F" w:rsidRPr="00206B2B" w:rsidRDefault="00C57815" w:rsidP="00E61753">
      <w:pPr>
        <w:pStyle w:val="ListBullet"/>
        <w:rPr>
          <w:lang w:eastAsia="en-AU"/>
        </w:rPr>
      </w:pPr>
      <w:r w:rsidRPr="00206B2B">
        <w:rPr>
          <w:lang w:eastAsia="en-AU"/>
        </w:rPr>
        <w:t xml:space="preserve">Domestic integration: various stakeholders called for greater integration of domestic initiatives into the NAP, as having </w:t>
      </w:r>
      <w:proofErr w:type="gramStart"/>
      <w:r w:rsidRPr="00206B2B">
        <w:rPr>
          <w:lang w:eastAsia="en-AU"/>
        </w:rPr>
        <w:t>a</w:t>
      </w:r>
      <w:proofErr w:type="gramEnd"/>
      <w:r w:rsidRPr="00206B2B">
        <w:rPr>
          <w:lang w:eastAsia="en-AU"/>
        </w:rPr>
        <w:t xml:space="preserve"> </w:t>
      </w:r>
      <w:r w:rsidR="00481F6A" w:rsidRPr="00206B2B">
        <w:rPr>
          <w:lang w:eastAsia="en-AU"/>
        </w:rPr>
        <w:t xml:space="preserve">international focus can </w:t>
      </w:r>
      <w:r w:rsidR="00A32656" w:rsidRPr="00206B2B">
        <w:rPr>
          <w:lang w:eastAsia="en-AU"/>
        </w:rPr>
        <w:t xml:space="preserve">feel ‘paternalistic’ towards other countries. </w:t>
      </w:r>
      <w:r w:rsidR="0024749C" w:rsidRPr="00206B2B">
        <w:rPr>
          <w:lang w:eastAsia="en-AU"/>
        </w:rPr>
        <w:t>Australia can show leadership on its own domestic challenges while providing support for international WPS challenges.</w:t>
      </w:r>
      <w:r w:rsidR="00D667A9" w:rsidRPr="00206B2B">
        <w:rPr>
          <w:lang w:eastAsia="en-AU"/>
        </w:rPr>
        <w:t xml:space="preserve"> </w:t>
      </w:r>
    </w:p>
    <w:p w14:paraId="4156E53B" w14:textId="7096A034" w:rsidR="00C57815" w:rsidRPr="00206B2B" w:rsidRDefault="00D667A9" w:rsidP="00E61753">
      <w:pPr>
        <w:pStyle w:val="ListBullet2"/>
        <w:rPr>
          <w:lang w:eastAsia="en-AU"/>
        </w:rPr>
      </w:pPr>
      <w:r w:rsidRPr="00206B2B">
        <w:rPr>
          <w:lang w:eastAsia="en-AU"/>
        </w:rPr>
        <w:t xml:space="preserve">First Nations voices can be better integrated into </w:t>
      </w:r>
      <w:r w:rsidR="006C7F24" w:rsidRPr="00206B2B">
        <w:rPr>
          <w:lang w:eastAsia="en-AU"/>
        </w:rPr>
        <w:t xml:space="preserve">domestic </w:t>
      </w:r>
      <w:r w:rsidR="00EF6531" w:rsidRPr="00206B2B">
        <w:rPr>
          <w:lang w:eastAsia="en-AU"/>
        </w:rPr>
        <w:t>initiatives</w:t>
      </w:r>
      <w:r w:rsidR="006C7F24" w:rsidRPr="00206B2B">
        <w:rPr>
          <w:lang w:eastAsia="en-AU"/>
        </w:rPr>
        <w:t xml:space="preserve">, as well as consultation with diaspora communities </w:t>
      </w:r>
      <w:r w:rsidR="00EF6531" w:rsidRPr="00206B2B">
        <w:rPr>
          <w:lang w:eastAsia="en-AU"/>
        </w:rPr>
        <w:t>to enhance social cohesion within Australia.</w:t>
      </w:r>
    </w:p>
    <w:p w14:paraId="49210D4B" w14:textId="2608757E" w:rsidR="00233F3F" w:rsidRPr="00206B2B" w:rsidRDefault="00250CB0" w:rsidP="00E61753">
      <w:pPr>
        <w:pStyle w:val="ListBullet2"/>
        <w:rPr>
          <w:lang w:eastAsia="en-AU"/>
        </w:rPr>
      </w:pPr>
      <w:r w:rsidRPr="00206B2B">
        <w:rPr>
          <w:lang w:eastAsia="en-AU"/>
        </w:rPr>
        <w:t xml:space="preserve">There were numerous calls to align Australia’s NAP with other domestic </w:t>
      </w:r>
      <w:r w:rsidR="001B345C" w:rsidRPr="00206B2B">
        <w:rPr>
          <w:lang w:eastAsia="en-AU"/>
        </w:rPr>
        <w:t>p</w:t>
      </w:r>
      <w:r w:rsidRPr="00206B2B">
        <w:rPr>
          <w:lang w:eastAsia="en-AU"/>
        </w:rPr>
        <w:t>lans, strategies and policies</w:t>
      </w:r>
      <w:r w:rsidR="001B345C" w:rsidRPr="00206B2B">
        <w:rPr>
          <w:lang w:eastAsia="en-AU"/>
        </w:rPr>
        <w:t xml:space="preserve"> to leverage shared resources.</w:t>
      </w:r>
    </w:p>
    <w:p w14:paraId="6B1B0326" w14:textId="3E9A3A5C" w:rsidR="0024749C" w:rsidRPr="00206B2B" w:rsidRDefault="00EF6531" w:rsidP="00E61753">
      <w:pPr>
        <w:pStyle w:val="ListBullet"/>
        <w:rPr>
          <w:lang w:eastAsia="en-AU"/>
        </w:rPr>
      </w:pPr>
      <w:r w:rsidRPr="00FB4558">
        <w:rPr>
          <w:lang w:eastAsia="en-AU"/>
        </w:rPr>
        <w:t xml:space="preserve">Climate security: </w:t>
      </w:r>
      <w:r w:rsidR="00A42F12" w:rsidRPr="00206B2B">
        <w:rPr>
          <w:lang w:eastAsia="en-AU"/>
        </w:rPr>
        <w:t xml:space="preserve">Civil society emphasised </w:t>
      </w:r>
      <w:r w:rsidR="00255199" w:rsidRPr="00206B2B">
        <w:rPr>
          <w:lang w:eastAsia="en-AU"/>
        </w:rPr>
        <w:t xml:space="preserve">there would be increasing </w:t>
      </w:r>
      <w:r w:rsidR="00E11530" w:rsidRPr="00206B2B">
        <w:rPr>
          <w:lang w:eastAsia="en-AU"/>
        </w:rPr>
        <w:t xml:space="preserve">demand for </w:t>
      </w:r>
      <w:r w:rsidR="00255199" w:rsidRPr="00206B2B">
        <w:rPr>
          <w:lang w:eastAsia="en-AU"/>
        </w:rPr>
        <w:t xml:space="preserve">mediation </w:t>
      </w:r>
      <w:r w:rsidR="00E11530" w:rsidRPr="00206B2B">
        <w:rPr>
          <w:lang w:eastAsia="en-AU"/>
        </w:rPr>
        <w:t>for climate change induced conflicts</w:t>
      </w:r>
      <w:r w:rsidR="00696621" w:rsidRPr="00206B2B">
        <w:rPr>
          <w:lang w:eastAsia="en-AU"/>
        </w:rPr>
        <w:t xml:space="preserve">. </w:t>
      </w:r>
    </w:p>
    <w:p w14:paraId="7216A400" w14:textId="4EC42DBC" w:rsidR="00F118C6" w:rsidRPr="00206B2B" w:rsidRDefault="008B53A3" w:rsidP="00E61753">
      <w:pPr>
        <w:pStyle w:val="ListBullet"/>
        <w:rPr>
          <w:lang w:eastAsia="en-AU"/>
        </w:rPr>
      </w:pPr>
      <w:r w:rsidRPr="00FB4558">
        <w:rPr>
          <w:lang w:eastAsia="en-AU"/>
        </w:rPr>
        <w:t>Youth and intergenerational leadership:</w:t>
      </w:r>
      <w:r w:rsidRPr="00206B2B">
        <w:rPr>
          <w:lang w:eastAsia="en-AU"/>
        </w:rPr>
        <w:t xml:space="preserve"> </w:t>
      </w:r>
      <w:r w:rsidR="004B69B3" w:rsidRPr="00206B2B">
        <w:rPr>
          <w:lang w:eastAsia="en-AU"/>
        </w:rPr>
        <w:t>stakeholder consistently called out the importance of mentoring the next generation of leaders, especially in the mediation and conflict prevention space.</w:t>
      </w:r>
    </w:p>
    <w:p w14:paraId="33449CEF" w14:textId="0E717236" w:rsidR="009E277D" w:rsidRPr="00206B2B" w:rsidRDefault="00F90376" w:rsidP="003F41C0">
      <w:pPr>
        <w:pStyle w:val="ListBullet"/>
        <w:rPr>
          <w:lang w:eastAsia="en-AU"/>
        </w:rPr>
        <w:sectPr w:rsidR="009E277D" w:rsidRPr="00206B2B" w:rsidSect="00D2649A">
          <w:headerReference w:type="even" r:id="rId66"/>
          <w:headerReference w:type="default" r:id="rId67"/>
          <w:headerReference w:type="first" r:id="rId68"/>
          <w:pgSz w:w="11907" w:h="16840" w:code="1"/>
          <w:pgMar w:top="851" w:right="851" w:bottom="1134" w:left="851" w:header="680" w:footer="283" w:gutter="0"/>
          <w:cols w:space="720"/>
          <w:docGrid w:linePitch="360"/>
        </w:sectPr>
      </w:pPr>
      <w:r w:rsidRPr="00FB4558">
        <w:rPr>
          <w:lang w:eastAsia="en-AU"/>
        </w:rPr>
        <w:t>Language barriers:</w:t>
      </w:r>
      <w:r w:rsidRPr="00206B2B">
        <w:rPr>
          <w:lang w:eastAsia="en-AU"/>
        </w:rPr>
        <w:t xml:space="preserve"> Some stakeholders emphasised regional engagement can be hindered by English language requirements in progra</w:t>
      </w:r>
      <w:r w:rsidR="00BC6D2B" w:rsidRPr="00206B2B">
        <w:rPr>
          <w:lang w:eastAsia="en-AU"/>
        </w:rPr>
        <w:t>ms, with recommendations to consider have emerging technology can be leveraged in translation</w:t>
      </w:r>
      <w:r w:rsidR="001764E9">
        <w:rPr>
          <w:lang w:eastAsia="en-AU"/>
        </w:rPr>
        <w:t>.</w:t>
      </w:r>
    </w:p>
    <w:p w14:paraId="7E71B5C6" w14:textId="77777777" w:rsidR="00385E08" w:rsidRPr="00385E08" w:rsidRDefault="00385E08" w:rsidP="00385E08">
      <w:pPr>
        <w:rPr>
          <w:sz w:val="20"/>
          <w:szCs w:val="20"/>
        </w:rPr>
      </w:pPr>
      <w:r w:rsidRPr="00385E08">
        <w:rPr>
          <w:sz w:val="20"/>
          <w:szCs w:val="20"/>
        </w:rPr>
        <w:lastRenderedPageBreak/>
        <w:t>©2026 KPMG, an Australian partnership and a member firm of the KPMG global organisation of independent member firms affiliated with KPMG International Limited, a private English company limited by guarantee. All rights reserved.</w:t>
      </w:r>
    </w:p>
    <w:p w14:paraId="6B575B72" w14:textId="77777777" w:rsidR="00385E08" w:rsidRPr="00385E08" w:rsidRDefault="00385E08" w:rsidP="00385E08">
      <w:pPr>
        <w:rPr>
          <w:sz w:val="20"/>
          <w:szCs w:val="20"/>
        </w:rPr>
      </w:pPr>
      <w:r w:rsidRPr="00385E08">
        <w:rPr>
          <w:sz w:val="20"/>
          <w:szCs w:val="20"/>
        </w:rPr>
        <w:t>The KPMG name and logo are trademarks used under license by the independent member firms of the KPMG global organisation.</w:t>
      </w:r>
    </w:p>
    <w:p w14:paraId="115C219F" w14:textId="77777777" w:rsidR="00385E08" w:rsidRPr="00385E08" w:rsidRDefault="00385E08" w:rsidP="00385E08">
      <w:pPr>
        <w:rPr>
          <w:sz w:val="20"/>
          <w:szCs w:val="20"/>
        </w:rPr>
      </w:pPr>
      <w:r w:rsidRPr="00385E08">
        <w:rPr>
          <w:sz w:val="20"/>
          <w:szCs w:val="20"/>
        </w:rPr>
        <w:t xml:space="preserve">The information contained in this document is of a general nature and is not intended to address the objectives, financial situation or needs of any </w:t>
      </w:r>
      <w:proofErr w:type="gramStart"/>
      <w:r w:rsidRPr="00385E08">
        <w:rPr>
          <w:sz w:val="20"/>
          <w:szCs w:val="20"/>
        </w:rPr>
        <w:t>particular individual</w:t>
      </w:r>
      <w:proofErr w:type="gramEnd"/>
      <w:r w:rsidRPr="00385E08">
        <w:rPr>
          <w:sz w:val="20"/>
          <w:szCs w:val="20"/>
        </w:rPr>
        <w:t xml:space="preserve"> or entity. It is provided for information purposes only and does not constitute, nor should it be regarded in any manner whatsoever, as advice and is not intended to influence a person in </w:t>
      </w:r>
      <w:proofErr w:type="gramStart"/>
      <w:r w:rsidRPr="00385E08">
        <w:rPr>
          <w:sz w:val="20"/>
          <w:szCs w:val="20"/>
        </w:rPr>
        <w:t>making a decision</w:t>
      </w:r>
      <w:proofErr w:type="gramEnd"/>
      <w:r w:rsidRPr="00385E08">
        <w:rPr>
          <w:sz w:val="20"/>
          <w:szCs w:val="20"/>
        </w:rPr>
        <w:t xml:space="preserve">, including, if applicable, in relation to any financial product or an interest in a financial product.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proofErr w:type="gramStart"/>
      <w:r w:rsidRPr="00385E08">
        <w:rPr>
          <w:sz w:val="20"/>
          <w:szCs w:val="20"/>
        </w:rPr>
        <w:t>particular situation</w:t>
      </w:r>
      <w:proofErr w:type="gramEnd"/>
      <w:r w:rsidRPr="00385E08">
        <w:rPr>
          <w:sz w:val="20"/>
          <w:szCs w:val="20"/>
        </w:rPr>
        <w:t>.</w:t>
      </w:r>
    </w:p>
    <w:p w14:paraId="16829852" w14:textId="77777777" w:rsidR="00385E08" w:rsidRPr="00385E08" w:rsidRDefault="00385E08" w:rsidP="00385E08">
      <w:pPr>
        <w:rPr>
          <w:sz w:val="20"/>
          <w:szCs w:val="20"/>
        </w:rPr>
      </w:pPr>
      <w:r w:rsidRPr="00385E08">
        <w:rPr>
          <w:sz w:val="20"/>
          <w:szCs w:val="20"/>
        </w:rPr>
        <w:t>To the extent permissible by law, KPMG and its associated entities shall not be liable for any errors, omissions, defects or misrepresentations in the information or for any loss or damage suffered by persons who use or rely on such information (including for reasons of negligence, negligent misstatement or otherwise).</w:t>
      </w:r>
    </w:p>
    <w:p w14:paraId="442BBEE0" w14:textId="2B1A472D" w:rsidR="004D061E" w:rsidRPr="00385E08" w:rsidRDefault="00385E08" w:rsidP="00385E08">
      <w:pPr>
        <w:rPr>
          <w:sz w:val="20"/>
          <w:szCs w:val="20"/>
        </w:rPr>
      </w:pPr>
      <w:r w:rsidRPr="00385E08">
        <w:rPr>
          <w:sz w:val="20"/>
          <w:szCs w:val="20"/>
        </w:rPr>
        <w:t>Liability limited by a scheme approved under Professional Standards Legislation.</w:t>
      </w:r>
      <w:r w:rsidR="00736BC6" w:rsidRPr="00385E08">
        <w:rPr>
          <w:noProof/>
          <w:sz w:val="20"/>
          <w:szCs w:val="20"/>
        </w:rPr>
        <w:drawing>
          <wp:anchor distT="0" distB="0" distL="114300" distR="114300" simplePos="0" relativeHeight="251658240" behindDoc="0" locked="1" layoutInCell="1" allowOverlap="1" wp14:anchorId="7750ED82" wp14:editId="346D07C1">
            <wp:simplePos x="0" y="0"/>
            <wp:positionH relativeFrom="margin">
              <wp:align>center</wp:align>
            </wp:positionH>
            <wp:positionV relativeFrom="page">
              <wp:align>top</wp:align>
            </wp:positionV>
            <wp:extent cx="7585075" cy="10727690"/>
            <wp:effectExtent l="0" t="0" r="0" b="0"/>
            <wp:wrapNone/>
            <wp:docPr id="42801893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18931" name="Picture 6">
                      <a:extLst>
                        <a:ext uri="{C183D7F6-B498-43B3-948B-1728B52AA6E4}">
                          <adec:decorative xmlns:adec="http://schemas.microsoft.com/office/drawing/2017/decorative" val="1"/>
                        </a:ext>
                      </a:extLst>
                    </pic:cNvPr>
                    <pic:cNvPicPr>
                      <a:picLocks noChangeAspect="1" noChangeArrowheads="1"/>
                    </pic:cNvPicPr>
                  </pic:nvPicPr>
                  <pic:blipFill>
                    <a:blip r:embed="rId69"/>
                    <a:stretch>
                      <a:fillRect/>
                    </a:stretch>
                  </pic:blipFill>
                  <pic:spPr bwMode="auto">
                    <a:xfrm>
                      <a:off x="0" y="0"/>
                      <a:ext cx="7585075" cy="10727690"/>
                    </a:xfrm>
                    <a:prstGeom prst="rect">
                      <a:avLst/>
                    </a:prstGeom>
                  </pic:spPr>
                </pic:pic>
              </a:graphicData>
            </a:graphic>
            <wp14:sizeRelH relativeFrom="margin">
              <wp14:pctWidth>0</wp14:pctWidth>
            </wp14:sizeRelH>
            <wp14:sizeRelV relativeFrom="margin">
              <wp14:pctHeight>0</wp14:pctHeight>
            </wp14:sizeRelV>
          </wp:anchor>
        </w:drawing>
      </w:r>
    </w:p>
    <w:sectPr w:rsidR="004D061E" w:rsidRPr="00385E08" w:rsidSect="00385E08">
      <w:headerReference w:type="even" r:id="rId70"/>
      <w:headerReference w:type="default" r:id="rId71"/>
      <w:footerReference w:type="default" r:id="rId72"/>
      <w:headerReference w:type="first" r:id="rId73"/>
      <w:type w:val="nextColumn"/>
      <w:pgSz w:w="11907" w:h="16840" w:code="1"/>
      <w:pgMar w:top="1134" w:right="851" w:bottom="1134" w:left="851" w:header="680" w:footer="5547" w:gutter="0"/>
      <w:pgNumType w:start="1"/>
      <w:cols w:space="708"/>
      <w:vAlign w:val="bottom"/>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6028F7" w14:textId="77777777" w:rsidR="00830A7B" w:rsidRPr="00206B2B" w:rsidRDefault="00830A7B" w:rsidP="00614ED1">
      <w:pPr>
        <w:spacing w:before="0" w:after="0"/>
      </w:pPr>
      <w:r w:rsidRPr="00206B2B">
        <w:separator/>
      </w:r>
    </w:p>
  </w:endnote>
  <w:endnote w:type="continuationSeparator" w:id="0">
    <w:p w14:paraId="22582EC7" w14:textId="77777777" w:rsidR="00830A7B" w:rsidRPr="00206B2B" w:rsidRDefault="00830A7B" w:rsidP="00614ED1">
      <w:pPr>
        <w:spacing w:before="0" w:after="0"/>
      </w:pPr>
      <w:r w:rsidRPr="00206B2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embedRegular r:id="rId1" w:fontKey="{794F07F6-934D-4775-9DED-E0056AB7E7EA}"/>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KPMG Bold">
    <w:charset w:val="00"/>
    <w:family w:val="swiss"/>
    <w:pitch w:val="variable"/>
    <w:sig w:usb0="00000287" w:usb1="00000000" w:usb2="00000000" w:usb3="00000000" w:csb0="0000009F" w:csb1="00000000"/>
    <w:embedRegular r:id="rId2" w:fontKey="{518E031D-F203-4254-8EF8-88638CE92F2C}"/>
    <w:embedBold r:id="rId3" w:fontKey="{70D5AB42-CA87-4B16-B14B-C3045EBAE9D7}"/>
    <w:embedItalic r:id="rId4" w:fontKey="{B45D11F5-CF90-403F-B6C8-346E829FAFB2}"/>
  </w:font>
  <w:font w:name="Courier">
    <w:panose1 w:val="020704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5" w:fontKey="{277543A5-9BB1-434E-9643-DBADCC63FD49}"/>
  </w:font>
  <w:font w:name="Consolas">
    <w:panose1 w:val="020B0609020204030204"/>
    <w:charset w:val="00"/>
    <w:family w:val="modern"/>
    <w:pitch w:val="fixed"/>
    <w:sig w:usb0="E00006FF" w:usb1="0000FCFF" w:usb2="00000001" w:usb3="00000000" w:csb0="0000019F" w:csb1="00000000"/>
    <w:embedRegular r:id="rId6" w:fontKey="{8CA79F44-635D-4CBF-B692-DCD831A494E0}"/>
  </w:font>
  <w:font w:name="Aptos">
    <w:charset w:val="00"/>
    <w:family w:val="swiss"/>
    <w:pitch w:val="variable"/>
    <w:sig w:usb0="20000287" w:usb1="00000003" w:usb2="00000000" w:usb3="00000000" w:csb0="0000019F" w:csb1="00000000"/>
    <w:embedRegular r:id="rId7" w:fontKey="{C3809B8B-F02A-4F64-A360-E25AB937F011}"/>
  </w:font>
  <w:font w:name="Calibri">
    <w:panose1 w:val="020F0502020204030204"/>
    <w:charset w:val="00"/>
    <w:family w:val="swiss"/>
    <w:pitch w:val="variable"/>
    <w:sig w:usb0="E4002EFF" w:usb1="C200247B" w:usb2="00000009" w:usb3="00000000" w:csb0="000001FF" w:csb1="00000000"/>
    <w:embedRegular r:id="rId8" w:fontKey="{9E328028-E6D5-45B4-B4DC-E050D68E9B38}"/>
    <w:embedBold r:id="rId9" w:fontKey="{DB69B843-1639-410F-9D33-FA6C7ED908F5}"/>
  </w:font>
  <w:font w:name="Cambria Math">
    <w:panose1 w:val="02040503050406030204"/>
    <w:charset w:val="00"/>
    <w:family w:val="roman"/>
    <w:pitch w:val="variable"/>
    <w:sig w:usb0="E00006FF" w:usb1="420024FF" w:usb2="02000000" w:usb3="00000000" w:csb0="0000019F" w:csb1="00000000"/>
    <w:embedRegular r:id="rId10" w:fontKey="{8B5C5B9C-94DE-4352-9A4F-801EC5729D69}"/>
    <w:embedBold r:id="rId11" w:fontKey="{2B3FAE71-91BC-4F9F-84C1-96326ED8A41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7FAE2" w14:textId="1980F019" w:rsidR="00B8452A" w:rsidRDefault="00B8452A">
    <w:pPr>
      <w:pStyle w:val="Footer"/>
    </w:pPr>
    <w:r>
      <w:rPr>
        <w:noProof/>
      </w:rPr>
      <mc:AlternateContent>
        <mc:Choice Requires="wps">
          <w:drawing>
            <wp:anchor distT="0" distB="0" distL="0" distR="0" simplePos="0" relativeHeight="251684864" behindDoc="0" locked="0" layoutInCell="1" allowOverlap="1" wp14:anchorId="0287A170" wp14:editId="1B44DCCB">
              <wp:simplePos x="635" y="635"/>
              <wp:positionH relativeFrom="page">
                <wp:align>center</wp:align>
              </wp:positionH>
              <wp:positionV relativeFrom="page">
                <wp:align>bottom</wp:align>
              </wp:positionV>
              <wp:extent cx="622300" cy="452120"/>
              <wp:effectExtent l="0" t="0" r="6350" b="0"/>
              <wp:wrapNone/>
              <wp:docPr id="438884557"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837845A" w14:textId="64DD683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87A170" id="_x0000_t202" coordsize="21600,21600" o:spt="202" path="m,l,21600r21600,l21600,xe">
              <v:stroke joinstyle="miter"/>
              <v:path gradientshapeok="t" o:connecttype="rect"/>
            </v:shapetype>
            <v:shape id="Text Box 27" o:spid="_x0000_s1028" type="#_x0000_t202" alt="OFFICIAL" style="position:absolute;margin-left:0;margin-top:0;width:49pt;height:35.6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BlzPX2DgIAABwE&#10;AAAOAAAAAAAAAAAAAAAAAC4CAABkcnMvZTJvRG9jLnhtbFBLAQItABQABgAIAAAAIQD+3yah2gAA&#10;AAMBAAAPAAAAAAAAAAAAAAAAAGgEAABkcnMvZG93bnJldi54bWxQSwUGAAAAAAQABADzAAAAbwUA&#10;AAAA&#10;" filled="f" stroked="f">
              <v:textbox style="mso-fit-shape-to-text:t" inset="0,0,0,15pt">
                <w:txbxContent>
                  <w:p w14:paraId="5837845A" w14:textId="64DD683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C5D0" w14:textId="446EB486" w:rsidR="00B8452A" w:rsidRDefault="00B8452A">
    <w:pPr>
      <w:pStyle w:val="Footer"/>
    </w:pPr>
    <w:r>
      <w:rPr>
        <w:noProof/>
      </w:rPr>
      <mc:AlternateContent>
        <mc:Choice Requires="wps">
          <w:drawing>
            <wp:anchor distT="0" distB="0" distL="0" distR="0" simplePos="0" relativeHeight="251685888" behindDoc="0" locked="0" layoutInCell="1" allowOverlap="1" wp14:anchorId="66105DD5" wp14:editId="6F8BB9D5">
              <wp:simplePos x="635" y="635"/>
              <wp:positionH relativeFrom="page">
                <wp:align>center</wp:align>
              </wp:positionH>
              <wp:positionV relativeFrom="page">
                <wp:align>bottom</wp:align>
              </wp:positionV>
              <wp:extent cx="622300" cy="452120"/>
              <wp:effectExtent l="0" t="0" r="6350" b="0"/>
              <wp:wrapNone/>
              <wp:docPr id="763693019"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6990ED1" w14:textId="78DA38F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105DD5" id="_x0000_t202" coordsize="21600,21600" o:spt="202" path="m,l,21600r21600,l21600,xe">
              <v:stroke joinstyle="miter"/>
              <v:path gradientshapeok="t" o:connecttype="rect"/>
            </v:shapetype>
            <v:shape id="Text Box 28" o:spid="_x0000_s1029" type="#_x0000_t202" alt="OFFICIAL" style="position:absolute;margin-left:0;margin-top:0;width:49pt;height:35.6pt;z-index:25168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AIc0fLDgIAABwE&#10;AAAOAAAAAAAAAAAAAAAAAC4CAABkcnMvZTJvRG9jLnhtbFBLAQItABQABgAIAAAAIQD+3yah2gAA&#10;AAMBAAAPAAAAAAAAAAAAAAAAAGgEAABkcnMvZG93bnJldi54bWxQSwUGAAAAAAQABADzAAAAbwUA&#10;AAAA&#10;" filled="f" stroked="f">
              <v:textbox style="mso-fit-shape-to-text:t" inset="0,0,0,15pt">
                <w:txbxContent>
                  <w:p w14:paraId="46990ED1" w14:textId="78DA38F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056B8" w14:textId="6B3C99BB" w:rsidR="00B8452A" w:rsidRDefault="00B8452A">
    <w:pPr>
      <w:pStyle w:val="Footer"/>
    </w:pPr>
    <w:r>
      <w:rPr>
        <w:noProof/>
      </w:rPr>
      <mc:AlternateContent>
        <mc:Choice Requires="wps">
          <w:drawing>
            <wp:anchor distT="0" distB="0" distL="0" distR="0" simplePos="0" relativeHeight="251683840" behindDoc="0" locked="0" layoutInCell="1" allowOverlap="1" wp14:anchorId="0EE27946" wp14:editId="5A13E221">
              <wp:simplePos x="542925" y="10182225"/>
              <wp:positionH relativeFrom="page">
                <wp:align>center</wp:align>
              </wp:positionH>
              <wp:positionV relativeFrom="page">
                <wp:align>bottom</wp:align>
              </wp:positionV>
              <wp:extent cx="622300" cy="452120"/>
              <wp:effectExtent l="0" t="0" r="6350" b="0"/>
              <wp:wrapNone/>
              <wp:docPr id="530951206"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72F6986" w14:textId="00F018B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E27946" id="_x0000_t202" coordsize="21600,21600" o:spt="202" path="m,l,21600r21600,l21600,xe">
              <v:stroke joinstyle="miter"/>
              <v:path gradientshapeok="t" o:connecttype="rect"/>
            </v:shapetype>
            <v:shape id="Text Box 26" o:spid="_x0000_s1031" type="#_x0000_t202" alt="OFFICIAL" style="position:absolute;margin-left:0;margin-top:0;width:49pt;height:35.6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Bm8OhGDgIAABwE&#10;AAAOAAAAAAAAAAAAAAAAAC4CAABkcnMvZTJvRG9jLnhtbFBLAQItABQABgAIAAAAIQD+3yah2gAA&#10;AAMBAAAPAAAAAAAAAAAAAAAAAGgEAABkcnMvZG93bnJldi54bWxQSwUGAAAAAAQABADzAAAAbwUA&#10;AAAA&#10;" filled="f" stroked="f">
              <v:textbox style="mso-fit-shape-to-text:t" inset="0,0,0,15pt">
                <w:txbxContent>
                  <w:p w14:paraId="472F6986" w14:textId="00F018B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050B7" w14:textId="651EEE39" w:rsidR="00BF2295" w:rsidRPr="003A7BFE" w:rsidRDefault="00B8452A" w:rsidP="009F22CA">
    <w:pPr>
      <w:pStyle w:val="Footerwhite"/>
    </w:pPr>
    <w:r>
      <w:rPr>
        <w:noProof/>
      </w:rPr>
      <mc:AlternateContent>
        <mc:Choice Requires="wps">
          <w:drawing>
            <wp:anchor distT="0" distB="0" distL="0" distR="0" simplePos="0" relativeHeight="251686912" behindDoc="0" locked="0" layoutInCell="1" allowOverlap="1" wp14:anchorId="6EA5F4D8" wp14:editId="2DB14581">
              <wp:simplePos x="635" y="635"/>
              <wp:positionH relativeFrom="page">
                <wp:align>center</wp:align>
              </wp:positionH>
              <wp:positionV relativeFrom="page">
                <wp:align>bottom</wp:align>
              </wp:positionV>
              <wp:extent cx="622300" cy="452120"/>
              <wp:effectExtent l="0" t="0" r="6350" b="0"/>
              <wp:wrapNone/>
              <wp:docPr id="151362055"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930B773" w14:textId="6CFAA34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A5F4D8" id="_x0000_t202" coordsize="21600,21600" o:spt="202" path="m,l,21600r21600,l21600,xe">
              <v:stroke joinstyle="miter"/>
              <v:path gradientshapeok="t" o:connecttype="rect"/>
            </v:shapetype>
            <v:shape id="Text Box 29" o:spid="_x0000_s1034" type="#_x0000_t202" alt="OFFICIAL" style="position:absolute;margin-left:0;margin-top:0;width:49pt;height:35.6pt;z-index:2516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CWT3S7DgIAABwE&#10;AAAOAAAAAAAAAAAAAAAAAC4CAABkcnMvZTJvRG9jLnhtbFBLAQItABQABgAIAAAAIQD+3yah2gAA&#10;AAMBAAAPAAAAAAAAAAAAAAAAAGgEAABkcnMvZG93bnJldi54bWxQSwUGAAAAAAQABADzAAAAbwUA&#10;AAAA&#10;" filled="f" stroked="f">
              <v:textbox style="mso-fit-shape-to-text:t" inset="0,0,0,15pt">
                <w:txbxContent>
                  <w:p w14:paraId="4930B773" w14:textId="6CFAA34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00FCE" w14:textId="53DD6D77" w:rsidR="00F878F4" w:rsidRPr="00206B2B" w:rsidRDefault="00B8452A">
    <w:pPr>
      <w:pStyle w:val="Footer"/>
    </w:pPr>
    <w:r>
      <w:rPr>
        <w:noProof/>
      </w:rPr>
      <mc:AlternateContent>
        <mc:Choice Requires="wps">
          <w:drawing>
            <wp:anchor distT="0" distB="0" distL="0" distR="0" simplePos="0" relativeHeight="251688960" behindDoc="0" locked="0" layoutInCell="1" allowOverlap="1" wp14:anchorId="70BD45D2" wp14:editId="565A8209">
              <wp:simplePos x="635" y="635"/>
              <wp:positionH relativeFrom="page">
                <wp:align>center</wp:align>
              </wp:positionH>
              <wp:positionV relativeFrom="page">
                <wp:align>bottom</wp:align>
              </wp:positionV>
              <wp:extent cx="622300" cy="452120"/>
              <wp:effectExtent l="0" t="0" r="6350" b="0"/>
              <wp:wrapNone/>
              <wp:docPr id="1083204834"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6124DDE" w14:textId="4742265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BD45D2" id="_x0000_t202" coordsize="21600,21600" o:spt="202" path="m,l,21600r21600,l21600,xe">
              <v:stroke joinstyle="miter"/>
              <v:path gradientshapeok="t" o:connecttype="rect"/>
            </v:shapetype>
            <v:shape id="Text Box 31" o:spid="_x0000_s1037" type="#_x0000_t202" alt="OFFICIAL" style="position:absolute;margin-left:0;margin-top:0;width:49pt;height:35.6pt;z-index:251688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" filled="f" stroked="f">
              <v:textbox style="mso-fit-shape-to-text:t" inset="0,0,0,15pt">
                <w:txbxContent>
                  <w:p w14:paraId="46124DDE" w14:textId="4742265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19387" w14:textId="27BBBE02" w:rsidR="00530CA1" w:rsidRPr="00206B2B" w:rsidRDefault="00B8452A">
    <w:pPr>
      <w:pStyle w:val="Footer"/>
    </w:pPr>
    <w:r>
      <w:rPr>
        <w:noProof/>
      </w:rPr>
      <mc:AlternateContent>
        <mc:Choice Requires="wps">
          <w:drawing>
            <wp:anchor distT="0" distB="0" distL="0" distR="0" simplePos="0" relativeHeight="251689984" behindDoc="0" locked="0" layoutInCell="1" allowOverlap="1" wp14:anchorId="68752AD7" wp14:editId="1B9A9017">
              <wp:simplePos x="635" y="635"/>
              <wp:positionH relativeFrom="page">
                <wp:align>center</wp:align>
              </wp:positionH>
              <wp:positionV relativeFrom="page">
                <wp:align>bottom</wp:align>
              </wp:positionV>
              <wp:extent cx="622300" cy="452120"/>
              <wp:effectExtent l="0" t="0" r="6350" b="0"/>
              <wp:wrapNone/>
              <wp:docPr id="2013252998"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26F02DEC" w14:textId="671E6E5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752AD7" id="_x0000_t202" coordsize="21600,21600" o:spt="202" path="m,l,21600r21600,l21600,xe">
              <v:stroke joinstyle="miter"/>
              <v:path gradientshapeok="t" o:connecttype="rect"/>
            </v:shapetype>
            <v:shape id="Text Box 32" o:spid="_x0000_s1038" type="#_x0000_t202" alt="OFFICIAL" style="position:absolute;margin-left:0;margin-top:0;width:49pt;height:35.6pt;z-index:2516899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Aci5iMDgIAAB0E&#10;AAAOAAAAAAAAAAAAAAAAAC4CAABkcnMvZTJvRG9jLnhtbFBLAQItABQABgAIAAAAIQD+3yah2gAA&#10;AAMBAAAPAAAAAAAAAAAAAAAAAGgEAABkcnMvZG93bnJldi54bWxQSwUGAAAAAAQABADzAAAAbwUA&#10;AAAA&#10;" filled="f" stroked="f">
              <v:textbox style="mso-fit-shape-to-text:t" inset="0,0,0,15pt">
                <w:txbxContent>
                  <w:p w14:paraId="26F02DEC" w14:textId="671E6E5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EF00C" w14:textId="78034B9A" w:rsidR="00F878F4" w:rsidRPr="00206B2B" w:rsidRDefault="00B8452A">
    <w:pPr>
      <w:pStyle w:val="Footer"/>
    </w:pPr>
    <w:r>
      <w:rPr>
        <w:noProof/>
      </w:rPr>
      <mc:AlternateContent>
        <mc:Choice Requires="wps">
          <w:drawing>
            <wp:anchor distT="0" distB="0" distL="0" distR="0" simplePos="0" relativeHeight="251687936" behindDoc="0" locked="0" layoutInCell="1" allowOverlap="1" wp14:anchorId="31785120" wp14:editId="5A2F6E1A">
              <wp:simplePos x="635" y="635"/>
              <wp:positionH relativeFrom="page">
                <wp:align>center</wp:align>
              </wp:positionH>
              <wp:positionV relativeFrom="page">
                <wp:align>bottom</wp:align>
              </wp:positionV>
              <wp:extent cx="622300" cy="452120"/>
              <wp:effectExtent l="0" t="0" r="6350" b="0"/>
              <wp:wrapNone/>
              <wp:docPr id="1928609115"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5C21604" w14:textId="41D38380"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785120" id="_x0000_t202" coordsize="21600,21600" o:spt="202" path="m,l,21600r21600,l21600,xe">
              <v:stroke joinstyle="miter"/>
              <v:path gradientshapeok="t" o:connecttype="rect"/>
            </v:shapetype>
            <v:shape id="Text Box 30" o:spid="_x0000_s1040" type="#_x0000_t202" alt="OFFICIAL" style="position:absolute;margin-left:0;margin-top:0;width:49pt;height:35.6pt;z-index:251687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ByCDcBDgIAAB0E&#10;AAAOAAAAAAAAAAAAAAAAAC4CAABkcnMvZTJvRG9jLnhtbFBLAQItABQABgAIAAAAIQD+3yah2gAA&#10;AAMBAAAPAAAAAAAAAAAAAAAAAGgEAABkcnMvZG93bnJldi54bWxQSwUGAAAAAAQABADzAAAAbwUA&#10;AAAA&#10;" filled="f" stroked="f">
              <v:textbox style="mso-fit-shape-to-text:t" inset="0,0,0,15pt">
                <w:txbxContent>
                  <w:p w14:paraId="45C21604" w14:textId="41D38380"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43E1D" w14:textId="12CAE929" w:rsidR="00D71B2B" w:rsidRPr="009F22CA" w:rsidRDefault="00B8452A" w:rsidP="00D71B2B">
    <w:pPr>
      <w:pStyle w:val="Header"/>
      <w:spacing w:after="120"/>
      <w:rPr>
        <w:sz w:val="12"/>
        <w:szCs w:val="12"/>
      </w:rPr>
    </w:pPr>
    <w:r>
      <w:rPr>
        <w:noProof/>
        <w:sz w:val="12"/>
        <w:szCs w:val="12"/>
      </w:rPr>
      <mc:AlternateContent>
        <mc:Choice Requires="wps">
          <w:drawing>
            <wp:anchor distT="0" distB="0" distL="0" distR="0" simplePos="0" relativeHeight="251691008" behindDoc="0" locked="0" layoutInCell="1" allowOverlap="1" wp14:anchorId="0D5F7F66" wp14:editId="7F421E7C">
              <wp:simplePos x="635" y="635"/>
              <wp:positionH relativeFrom="page">
                <wp:align>center</wp:align>
              </wp:positionH>
              <wp:positionV relativeFrom="page">
                <wp:align>bottom</wp:align>
              </wp:positionV>
              <wp:extent cx="622300" cy="452120"/>
              <wp:effectExtent l="0" t="0" r="6350" b="0"/>
              <wp:wrapNone/>
              <wp:docPr id="1784062457"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5565BEE" w14:textId="6D119938"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5F7F66" id="_x0000_t202" coordsize="21600,21600" o:spt="202" path="m,l,21600r21600,l21600,xe">
              <v:stroke joinstyle="miter"/>
              <v:path gradientshapeok="t" o:connecttype="rect"/>
            </v:shapetype>
            <v:shape id="Text Box 33" o:spid="_x0000_s1043" type="#_x0000_t202" alt="OFFICIAL" style="position:absolute;margin-left:0;margin-top:0;width:49pt;height:35.6pt;z-index:2516910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" filled="f" stroked="f">
              <v:textbox style="mso-fit-shape-to-text:t" inset="0,0,0,15pt">
                <w:txbxContent>
                  <w:p w14:paraId="55565BEE" w14:textId="6D119938"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roofErr w:type="gramStart"/>
    <w:r w:rsidR="00D71B2B" w:rsidRPr="009F22CA">
      <w:rPr>
        <w:sz w:val="12"/>
        <w:szCs w:val="12"/>
      </w:rPr>
      <w:t>KPMG  |</w:t>
    </w:r>
    <w:proofErr w:type="gramEnd"/>
    <w:r w:rsidR="00D71B2B" w:rsidRPr="009F22CA">
      <w:rPr>
        <w:sz w:val="12"/>
        <w:szCs w:val="12"/>
      </w:rPr>
      <w:t xml:space="preserve">  </w:t>
    </w:r>
    <w:r w:rsidR="00D71B2B" w:rsidRPr="009F22CA">
      <w:rPr>
        <w:sz w:val="12"/>
        <w:szCs w:val="12"/>
      </w:rPr>
      <w:fldChar w:fldCharType="begin"/>
    </w:r>
    <w:r w:rsidR="00D71B2B" w:rsidRPr="009F22CA">
      <w:rPr>
        <w:sz w:val="12"/>
        <w:szCs w:val="12"/>
      </w:rPr>
      <w:instrText xml:space="preserve"> PAGE   \* MERGEFORMAT </w:instrText>
    </w:r>
    <w:r w:rsidR="00D71B2B" w:rsidRPr="009F22CA">
      <w:rPr>
        <w:sz w:val="12"/>
        <w:szCs w:val="12"/>
      </w:rPr>
      <w:fldChar w:fldCharType="separate"/>
    </w:r>
    <w:r w:rsidR="00D71B2B" w:rsidRPr="009F22CA">
      <w:rPr>
        <w:sz w:val="12"/>
        <w:szCs w:val="12"/>
      </w:rPr>
      <w:t>8</w:t>
    </w:r>
    <w:r w:rsidR="00D71B2B" w:rsidRPr="009F22CA">
      <w:rPr>
        <w:sz w:val="12"/>
        <w:szCs w:val="12"/>
      </w:rPr>
      <w:fldChar w:fldCharType="end"/>
    </w:r>
  </w:p>
  <w:p w14:paraId="0CD2DB91" w14:textId="50CAEE6A" w:rsidR="002B5719" w:rsidRPr="00D71B2B" w:rsidRDefault="00D71B2B" w:rsidP="00D71B2B">
    <w:pPr>
      <w:pStyle w:val="Footer"/>
    </w:pPr>
    <w:r w:rsidRPr="00206B2B">
      <w:t>©202</w:t>
    </w:r>
    <w:r>
      <w:t>6</w:t>
    </w:r>
    <w:r w:rsidRPr="00206B2B">
      <w:t xml:space="preserve">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w:t>
    </w:r>
    <w:r w:rsidRPr="00206B2B">
      <w:rPr>
        <w:b/>
        <w:bCs/>
      </w:rPr>
      <w:t xml:space="preserve"> Document Classification: KPMG </w:t>
    </w:r>
    <w:r w:rsidR="006F07E3">
      <w:rPr>
        <w:b/>
        <w:bCs/>
      </w:rPr>
      <w:t xml:space="preserve">Public </w:t>
    </w:r>
    <w:r w:rsidRPr="003324F6">
      <w:t>Liability limited by a scheme approved under Professional Standards Legislation.</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1E93E" w14:textId="3F72DDF7" w:rsidR="004D061E" w:rsidRPr="00DA7B61" w:rsidRDefault="00B8452A" w:rsidP="00F70202">
    <w:pPr>
      <w:pStyle w:val="Header"/>
      <w:ind w:left="142"/>
      <w:rPr>
        <w:color w:val="FFFFFF" w:themeColor="background1"/>
        <w:sz w:val="2"/>
        <w:szCs w:val="8"/>
      </w:rPr>
    </w:pPr>
    <w:r>
      <w:rPr>
        <w:noProof/>
        <w:color w:val="FFFFFF" w:themeColor="background1"/>
        <w:sz w:val="2"/>
        <w:szCs w:val="8"/>
      </w:rPr>
      <mc:AlternateContent>
        <mc:Choice Requires="wps">
          <w:drawing>
            <wp:anchor distT="0" distB="0" distL="0" distR="0" simplePos="0" relativeHeight="251692032" behindDoc="0" locked="0" layoutInCell="1" allowOverlap="1" wp14:anchorId="34BA1FE7" wp14:editId="51D0D187">
              <wp:simplePos x="635" y="635"/>
              <wp:positionH relativeFrom="page">
                <wp:align>center</wp:align>
              </wp:positionH>
              <wp:positionV relativeFrom="page">
                <wp:align>bottom</wp:align>
              </wp:positionV>
              <wp:extent cx="622300" cy="452120"/>
              <wp:effectExtent l="0" t="0" r="6350" b="0"/>
              <wp:wrapNone/>
              <wp:docPr id="1364133527"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8C02A68" w14:textId="0F27AA2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BA1FE7" id="_x0000_t202" coordsize="21600,21600" o:spt="202" path="m,l,21600r21600,l21600,xe">
              <v:stroke joinstyle="miter"/>
              <v:path gradientshapeok="t" o:connecttype="rect"/>
            </v:shapetype>
            <v:shape id="Text Box 34" o:spid="_x0000_s1058" type="#_x0000_t202" alt="OFFICIAL" style="position:absolute;left:0;text-align:left;margin-left:0;margin-top:0;width:49pt;height:35.6pt;z-index:2516920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" filled="f" stroked="f">
              <v:textbox style="mso-fit-shape-to-text:t" inset="0,0,0,15pt">
                <w:txbxContent>
                  <w:p w14:paraId="48C02A68" w14:textId="0F27AA2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734AA" w14:textId="77777777" w:rsidR="00830A7B" w:rsidRPr="00206B2B" w:rsidRDefault="00830A7B" w:rsidP="00614ED1">
      <w:pPr>
        <w:spacing w:before="0" w:after="0"/>
      </w:pPr>
      <w:r w:rsidRPr="00206B2B">
        <w:separator/>
      </w:r>
    </w:p>
  </w:footnote>
  <w:footnote w:type="continuationSeparator" w:id="0">
    <w:p w14:paraId="74D5ADB9" w14:textId="77777777" w:rsidR="00830A7B" w:rsidRPr="00206B2B" w:rsidRDefault="00830A7B" w:rsidP="00614ED1">
      <w:pPr>
        <w:spacing w:before="0" w:after="0"/>
      </w:pPr>
      <w:r w:rsidRPr="00206B2B">
        <w:continuationSeparator/>
      </w:r>
    </w:p>
  </w:footnote>
  <w:footnote w:id="1">
    <w:p w14:paraId="3ABDC8E7" w14:textId="2DA6265A" w:rsidR="004D72BF" w:rsidRPr="00B35CA8" w:rsidRDefault="004D72BF" w:rsidP="00F36B4F">
      <w:pPr>
        <w:pStyle w:val="FootnoteText"/>
        <w:rPr>
          <w:szCs w:val="16"/>
        </w:rPr>
      </w:pPr>
      <w:r w:rsidRPr="00B35CA8">
        <w:rPr>
          <w:rStyle w:val="FootnoteReference"/>
          <w:szCs w:val="16"/>
        </w:rPr>
        <w:footnoteRef/>
      </w:r>
      <w:r w:rsidR="00F36B4F" w:rsidRPr="00B35CA8">
        <w:rPr>
          <w:szCs w:val="16"/>
        </w:rPr>
        <w:t xml:space="preserve"> </w:t>
      </w:r>
      <w:r w:rsidR="00C57121" w:rsidRPr="00B35CA8">
        <w:rPr>
          <w:szCs w:val="16"/>
        </w:rPr>
        <w:t xml:space="preserve">United Nations Security Council (UNSC), </w:t>
      </w:r>
      <w:hyperlink r:id="rId1" w:history="1">
        <w:r w:rsidR="00F36B4F" w:rsidRPr="00B35CA8">
          <w:rPr>
            <w:rStyle w:val="Hyperlink"/>
            <w:i/>
            <w:color w:val="000000" w:themeColor="text1"/>
            <w:szCs w:val="16"/>
          </w:rPr>
          <w:t>Resolution 1325</w:t>
        </w:r>
        <w:r w:rsidR="009B5127" w:rsidRPr="00B35CA8">
          <w:rPr>
            <w:rStyle w:val="Hyperlink"/>
            <w:i/>
            <w:color w:val="000000" w:themeColor="text1"/>
            <w:szCs w:val="16"/>
          </w:rPr>
          <w:t xml:space="preserve"> (2000)</w:t>
        </w:r>
      </w:hyperlink>
      <w:r w:rsidR="00F36B4F" w:rsidRPr="00B35CA8">
        <w:rPr>
          <w:szCs w:val="16"/>
        </w:rPr>
        <w:t>, S/RES/1325, 31 October 2000.</w:t>
      </w:r>
    </w:p>
  </w:footnote>
  <w:footnote w:id="2">
    <w:p w14:paraId="1215D0CB" w14:textId="2CBD4E0A" w:rsidR="00EF414C" w:rsidRPr="00B35CA8" w:rsidRDefault="00EF414C">
      <w:pPr>
        <w:pStyle w:val="FootnoteText"/>
        <w:rPr>
          <w:szCs w:val="16"/>
        </w:rPr>
      </w:pPr>
      <w:r w:rsidRPr="00B35CA8">
        <w:rPr>
          <w:rStyle w:val="FootnoteReference"/>
          <w:szCs w:val="16"/>
        </w:rPr>
        <w:footnoteRef/>
      </w:r>
      <w:r w:rsidRPr="00B35CA8">
        <w:rPr>
          <w:szCs w:val="16"/>
        </w:rPr>
        <w:t xml:space="preserve"> </w:t>
      </w:r>
      <w:r w:rsidR="00563BB4" w:rsidRPr="00B35CA8">
        <w:rPr>
          <w:szCs w:val="16"/>
        </w:rPr>
        <w:t xml:space="preserve">S Hutchinson, </w:t>
      </w:r>
      <w:r w:rsidR="006A52CC" w:rsidRPr="00B35CA8">
        <w:rPr>
          <w:szCs w:val="16"/>
        </w:rPr>
        <w:t>‘</w:t>
      </w:r>
      <w:hyperlink r:id="rId2" w:history="1">
        <w:r w:rsidR="00563BB4" w:rsidRPr="00B35CA8">
          <w:rPr>
            <w:rStyle w:val="Hyperlink"/>
            <w:color w:val="000000" w:themeColor="text1"/>
            <w:szCs w:val="16"/>
          </w:rPr>
          <w:t>US</w:t>
        </w:r>
        <w:r w:rsidR="00127703" w:rsidRPr="00B35CA8">
          <w:rPr>
            <w:rStyle w:val="Hyperlink"/>
            <w:color w:val="000000" w:themeColor="text1"/>
            <w:szCs w:val="16"/>
          </w:rPr>
          <w:t xml:space="preserve"> defense secretary cancels women, peace and security programs</w:t>
        </w:r>
      </w:hyperlink>
      <w:r w:rsidR="006A52CC" w:rsidRPr="00B35CA8">
        <w:rPr>
          <w:i/>
          <w:szCs w:val="16"/>
        </w:rPr>
        <w:t>’</w:t>
      </w:r>
      <w:r w:rsidR="00563BB4" w:rsidRPr="00B35CA8">
        <w:rPr>
          <w:szCs w:val="16"/>
        </w:rPr>
        <w:t xml:space="preserve">, </w:t>
      </w:r>
      <w:r w:rsidR="00E45400" w:rsidRPr="00B35CA8">
        <w:rPr>
          <w:i/>
          <w:szCs w:val="16"/>
        </w:rPr>
        <w:t xml:space="preserve">The </w:t>
      </w:r>
      <w:r w:rsidR="004B245C" w:rsidRPr="00B35CA8">
        <w:rPr>
          <w:i/>
          <w:szCs w:val="16"/>
        </w:rPr>
        <w:t>Strategist</w:t>
      </w:r>
      <w:r w:rsidR="004B245C" w:rsidRPr="00B35CA8">
        <w:rPr>
          <w:szCs w:val="16"/>
        </w:rPr>
        <w:t xml:space="preserve">, </w:t>
      </w:r>
      <w:r w:rsidR="00CA5C0C" w:rsidRPr="00B35CA8">
        <w:rPr>
          <w:szCs w:val="16"/>
        </w:rPr>
        <w:t>Australian Strategic Policy Institute, 9 May 2025</w:t>
      </w:r>
      <w:r w:rsidR="00FC508B" w:rsidRPr="00B35CA8">
        <w:rPr>
          <w:szCs w:val="16"/>
        </w:rPr>
        <w:t>.</w:t>
      </w:r>
    </w:p>
  </w:footnote>
  <w:footnote w:id="3">
    <w:p w14:paraId="35EBCDC9" w14:textId="0CCEFB3E" w:rsidR="005B344B" w:rsidRPr="00B35CA8" w:rsidRDefault="005B344B">
      <w:pPr>
        <w:pStyle w:val="FootnoteText"/>
        <w:rPr>
          <w:szCs w:val="16"/>
        </w:rPr>
      </w:pPr>
      <w:r w:rsidRPr="00B35CA8">
        <w:rPr>
          <w:rStyle w:val="FootnoteReference"/>
          <w:szCs w:val="16"/>
        </w:rPr>
        <w:footnoteRef/>
      </w:r>
      <w:r w:rsidRPr="00B35CA8">
        <w:rPr>
          <w:szCs w:val="16"/>
        </w:rPr>
        <w:t xml:space="preserve"> </w:t>
      </w:r>
      <w:r w:rsidR="00A50BB7" w:rsidRPr="00B35CA8">
        <w:rPr>
          <w:szCs w:val="16"/>
        </w:rPr>
        <w:t>U</w:t>
      </w:r>
      <w:r w:rsidR="00375D57" w:rsidRPr="00B35CA8">
        <w:rPr>
          <w:szCs w:val="16"/>
        </w:rPr>
        <w:t>nited Nations</w:t>
      </w:r>
      <w:r w:rsidR="00A50BB7" w:rsidRPr="00B35CA8">
        <w:rPr>
          <w:szCs w:val="16"/>
        </w:rPr>
        <w:t xml:space="preserve"> Women</w:t>
      </w:r>
      <w:r w:rsidR="00375D57" w:rsidRPr="00B35CA8">
        <w:rPr>
          <w:szCs w:val="16"/>
        </w:rPr>
        <w:t xml:space="preserve"> (UN Women)</w:t>
      </w:r>
      <w:r w:rsidR="00A50BB7" w:rsidRPr="00B35CA8">
        <w:rPr>
          <w:szCs w:val="16"/>
        </w:rPr>
        <w:t xml:space="preserve">, </w:t>
      </w:r>
      <w:hyperlink r:id="rId3" w:history="1">
        <w:r w:rsidR="00A50BB7" w:rsidRPr="00B35CA8">
          <w:rPr>
            <w:rStyle w:val="Hyperlink"/>
            <w:i/>
            <w:color w:val="000000" w:themeColor="text1"/>
            <w:szCs w:val="16"/>
          </w:rPr>
          <w:t>Wars o</w:t>
        </w:r>
        <w:r w:rsidR="00992264" w:rsidRPr="00B35CA8">
          <w:rPr>
            <w:rStyle w:val="Hyperlink"/>
            <w:i/>
            <w:color w:val="000000" w:themeColor="text1"/>
            <w:szCs w:val="16"/>
          </w:rPr>
          <w:t>n women escalate as global conflicts reach record highs</w:t>
        </w:r>
      </w:hyperlink>
      <w:r w:rsidR="00A50BB7" w:rsidRPr="00B35CA8">
        <w:rPr>
          <w:szCs w:val="16"/>
        </w:rPr>
        <w:t>, UN Women</w:t>
      </w:r>
      <w:r w:rsidR="009A0A92" w:rsidRPr="00B35CA8">
        <w:rPr>
          <w:szCs w:val="16"/>
        </w:rPr>
        <w:t xml:space="preserve"> website</w:t>
      </w:r>
      <w:r w:rsidR="00A50BB7" w:rsidRPr="00B35CA8">
        <w:rPr>
          <w:szCs w:val="16"/>
        </w:rPr>
        <w:t>, 20 October 2025.</w:t>
      </w:r>
    </w:p>
  </w:footnote>
  <w:footnote w:id="4">
    <w:p w14:paraId="4C76940C" w14:textId="5DDEB5A6" w:rsidR="005B344B" w:rsidRPr="00B35CA8" w:rsidRDefault="005B344B">
      <w:pPr>
        <w:pStyle w:val="FootnoteText"/>
        <w:rPr>
          <w:szCs w:val="16"/>
        </w:rPr>
      </w:pPr>
      <w:r w:rsidRPr="00B35CA8">
        <w:rPr>
          <w:rStyle w:val="FootnoteReference"/>
          <w:szCs w:val="16"/>
        </w:rPr>
        <w:footnoteRef/>
      </w:r>
      <w:r w:rsidRPr="00B35CA8">
        <w:rPr>
          <w:szCs w:val="16"/>
        </w:rPr>
        <w:t xml:space="preserve"> </w:t>
      </w:r>
      <w:r w:rsidR="00621814" w:rsidRPr="00B35CA8">
        <w:rPr>
          <w:szCs w:val="16"/>
        </w:rPr>
        <w:t>DFAT</w:t>
      </w:r>
      <w:r w:rsidR="00A95CE2" w:rsidRPr="00B35CA8">
        <w:rPr>
          <w:szCs w:val="16"/>
        </w:rPr>
        <w:t xml:space="preserve">, </w:t>
      </w:r>
      <w:hyperlink r:id="rId4" w:history="1">
        <w:r w:rsidR="006F7E04" w:rsidRPr="00B35CA8">
          <w:rPr>
            <w:rStyle w:val="Hyperlink"/>
            <w:i/>
            <w:color w:val="000000" w:themeColor="text1"/>
            <w:szCs w:val="16"/>
          </w:rPr>
          <w:t xml:space="preserve">Australia’s </w:t>
        </w:r>
        <w:r w:rsidR="008D3738" w:rsidRPr="00B35CA8">
          <w:rPr>
            <w:rStyle w:val="Hyperlink"/>
            <w:i/>
            <w:color w:val="000000" w:themeColor="text1"/>
            <w:szCs w:val="16"/>
          </w:rPr>
          <w:t>int</w:t>
        </w:r>
        <w:r w:rsidR="00F450F9" w:rsidRPr="00B35CA8">
          <w:rPr>
            <w:rStyle w:val="Hyperlink"/>
            <w:i/>
            <w:color w:val="000000" w:themeColor="text1"/>
            <w:szCs w:val="16"/>
          </w:rPr>
          <w:t>ernational gender equality strategy</w:t>
        </w:r>
      </w:hyperlink>
      <w:r w:rsidR="00057587" w:rsidRPr="00B35CA8">
        <w:rPr>
          <w:szCs w:val="16"/>
        </w:rPr>
        <w:t xml:space="preserve">, </w:t>
      </w:r>
      <w:r w:rsidR="00321F7F" w:rsidRPr="00B35CA8">
        <w:rPr>
          <w:szCs w:val="16"/>
        </w:rPr>
        <w:t>DFAT</w:t>
      </w:r>
      <w:r w:rsidR="00057587" w:rsidRPr="00B35CA8">
        <w:rPr>
          <w:szCs w:val="16"/>
        </w:rPr>
        <w:t xml:space="preserve">, </w:t>
      </w:r>
      <w:r w:rsidR="005E0D7C" w:rsidRPr="00B35CA8">
        <w:rPr>
          <w:szCs w:val="16"/>
        </w:rPr>
        <w:t>2025.</w:t>
      </w:r>
    </w:p>
  </w:footnote>
  <w:footnote w:id="5">
    <w:p w14:paraId="2D0E260F" w14:textId="3788939C" w:rsidR="00FB60BE" w:rsidRPr="00B35CA8" w:rsidRDefault="00FB60BE">
      <w:pPr>
        <w:pStyle w:val="FootnoteText"/>
        <w:rPr>
          <w:szCs w:val="16"/>
        </w:rPr>
      </w:pPr>
      <w:r w:rsidRPr="00B35CA8">
        <w:rPr>
          <w:rStyle w:val="FootnoteReference"/>
          <w:szCs w:val="16"/>
        </w:rPr>
        <w:footnoteRef/>
      </w:r>
      <w:r w:rsidRPr="00B35CA8">
        <w:rPr>
          <w:szCs w:val="16"/>
        </w:rPr>
        <w:t xml:space="preserve"> </w:t>
      </w:r>
      <w:r w:rsidR="003714DF" w:rsidRPr="00B35CA8">
        <w:rPr>
          <w:szCs w:val="16"/>
        </w:rPr>
        <w:t xml:space="preserve">E Howard, </w:t>
      </w:r>
      <w:r w:rsidR="009E486E" w:rsidRPr="00B35CA8">
        <w:rPr>
          <w:szCs w:val="16"/>
        </w:rPr>
        <w:t>‘</w:t>
      </w:r>
      <w:hyperlink r:id="rId5" w:history="1">
        <w:r w:rsidR="003714DF" w:rsidRPr="00B35CA8">
          <w:rPr>
            <w:rStyle w:val="Hyperlink"/>
            <w:color w:val="000000" w:themeColor="text1"/>
            <w:szCs w:val="16"/>
          </w:rPr>
          <w:t xml:space="preserve">Linking gender, climate change and security in the Pacific Islands region: </w:t>
        </w:r>
        <w:r w:rsidR="00F07E3A" w:rsidRPr="00B35CA8">
          <w:rPr>
            <w:rStyle w:val="Hyperlink"/>
            <w:color w:val="000000" w:themeColor="text1"/>
            <w:szCs w:val="16"/>
          </w:rPr>
          <w:t>a</w:t>
        </w:r>
        <w:r w:rsidR="003714DF" w:rsidRPr="00B35CA8">
          <w:rPr>
            <w:rStyle w:val="Hyperlink"/>
            <w:color w:val="000000" w:themeColor="text1"/>
            <w:szCs w:val="16"/>
          </w:rPr>
          <w:t xml:space="preserve"> systematic review</w:t>
        </w:r>
      </w:hyperlink>
      <w:r w:rsidR="009E486E" w:rsidRPr="00B35CA8">
        <w:rPr>
          <w:szCs w:val="16"/>
        </w:rPr>
        <w:t>’</w:t>
      </w:r>
      <w:r w:rsidR="003714DF" w:rsidRPr="00B35CA8">
        <w:rPr>
          <w:szCs w:val="16"/>
        </w:rPr>
        <w:t xml:space="preserve">, </w:t>
      </w:r>
      <w:r w:rsidR="003714DF" w:rsidRPr="00B35CA8">
        <w:rPr>
          <w:i/>
          <w:szCs w:val="16"/>
        </w:rPr>
        <w:t>Ambio</w:t>
      </w:r>
      <w:r w:rsidR="003714DF" w:rsidRPr="00B35CA8">
        <w:rPr>
          <w:szCs w:val="16"/>
        </w:rPr>
        <w:t>, March 2023, 52(3):518-533, doi:10.1007/s13280-022-01813-0</w:t>
      </w:r>
      <w:r w:rsidR="005569AC" w:rsidRPr="00B35CA8">
        <w:rPr>
          <w:szCs w:val="16"/>
        </w:rPr>
        <w:t xml:space="preserve">; </w:t>
      </w:r>
      <w:r w:rsidR="00BE73EF" w:rsidRPr="00B35CA8">
        <w:rPr>
          <w:szCs w:val="16"/>
        </w:rPr>
        <w:t>S Seah</w:t>
      </w:r>
      <w:r w:rsidR="00937986" w:rsidRPr="00B35CA8">
        <w:rPr>
          <w:szCs w:val="16"/>
        </w:rPr>
        <w:t>, J Lin, M Martinus, K Fong, P</w:t>
      </w:r>
      <w:r w:rsidR="00C123ED" w:rsidRPr="00B35CA8">
        <w:rPr>
          <w:szCs w:val="16"/>
        </w:rPr>
        <w:t>TP</w:t>
      </w:r>
      <w:r w:rsidR="00937986" w:rsidRPr="00B35CA8">
        <w:rPr>
          <w:szCs w:val="16"/>
        </w:rPr>
        <w:t xml:space="preserve"> Thao</w:t>
      </w:r>
      <w:r w:rsidR="006807CF" w:rsidRPr="00B35CA8">
        <w:rPr>
          <w:szCs w:val="16"/>
        </w:rPr>
        <w:t xml:space="preserve"> and </w:t>
      </w:r>
      <w:r w:rsidR="00BA4216" w:rsidRPr="00B35CA8">
        <w:rPr>
          <w:szCs w:val="16"/>
        </w:rPr>
        <w:t>IZ Aridati</w:t>
      </w:r>
      <w:r w:rsidR="006807CF" w:rsidRPr="00B35CA8">
        <w:rPr>
          <w:szCs w:val="16"/>
        </w:rPr>
        <w:t xml:space="preserve">, </w:t>
      </w:r>
      <w:hyperlink r:id="rId6" w:history="1">
        <w:r w:rsidR="001272DD" w:rsidRPr="00B35CA8">
          <w:rPr>
            <w:rStyle w:val="Hyperlink"/>
            <w:i/>
            <w:color w:val="000000" w:themeColor="text1"/>
            <w:szCs w:val="16"/>
          </w:rPr>
          <w:t>The state of Southeast Asia: 2025 survey report</w:t>
        </w:r>
      </w:hyperlink>
      <w:r w:rsidR="001272DD" w:rsidRPr="00B35CA8">
        <w:rPr>
          <w:szCs w:val="16"/>
        </w:rPr>
        <w:t xml:space="preserve">, </w:t>
      </w:r>
      <w:r w:rsidR="006C7D64" w:rsidRPr="00B35CA8">
        <w:rPr>
          <w:szCs w:val="16"/>
        </w:rPr>
        <w:t>ASEAN Studies Centre</w:t>
      </w:r>
      <w:r w:rsidR="0007297C" w:rsidRPr="00B35CA8">
        <w:rPr>
          <w:szCs w:val="16"/>
        </w:rPr>
        <w:t xml:space="preserve"> and ISEAS Yusof Isha Institute</w:t>
      </w:r>
      <w:r w:rsidR="006C7D64" w:rsidRPr="00B35CA8">
        <w:rPr>
          <w:szCs w:val="16"/>
        </w:rPr>
        <w:t>, 2025</w:t>
      </w:r>
      <w:r w:rsidR="00DE10A5" w:rsidRPr="00B35CA8">
        <w:rPr>
          <w:szCs w:val="16"/>
        </w:rPr>
        <w:t>, p</w:t>
      </w:r>
      <w:r w:rsidR="008B08FF" w:rsidRPr="00B35CA8">
        <w:rPr>
          <w:szCs w:val="16"/>
        </w:rPr>
        <w:t>p</w:t>
      </w:r>
      <w:r w:rsidR="00096A67" w:rsidRPr="00B35CA8">
        <w:rPr>
          <w:szCs w:val="16"/>
        </w:rPr>
        <w:t xml:space="preserve"> </w:t>
      </w:r>
      <w:r w:rsidR="00910F94" w:rsidRPr="00B35CA8">
        <w:rPr>
          <w:szCs w:val="16"/>
        </w:rPr>
        <w:t>14</w:t>
      </w:r>
      <w:r w:rsidR="00E74A3A" w:rsidRPr="00B35CA8">
        <w:rPr>
          <w:szCs w:val="16"/>
        </w:rPr>
        <w:t>-</w:t>
      </w:r>
      <w:r w:rsidR="00470160" w:rsidRPr="00B35CA8">
        <w:rPr>
          <w:szCs w:val="16"/>
        </w:rPr>
        <w:t>21</w:t>
      </w:r>
      <w:r w:rsidR="00DF668B" w:rsidRPr="00B35CA8">
        <w:rPr>
          <w:szCs w:val="16"/>
        </w:rPr>
        <w:t>.</w:t>
      </w:r>
    </w:p>
  </w:footnote>
  <w:footnote w:id="6">
    <w:p w14:paraId="292A9F70" w14:textId="1793C9CC" w:rsidR="00FB60BE" w:rsidRPr="00B35CA8" w:rsidRDefault="00FB60BE">
      <w:pPr>
        <w:pStyle w:val="FootnoteText"/>
        <w:rPr>
          <w:szCs w:val="16"/>
        </w:rPr>
      </w:pPr>
      <w:r w:rsidRPr="00B35CA8">
        <w:rPr>
          <w:rStyle w:val="FootnoteReference"/>
          <w:szCs w:val="16"/>
        </w:rPr>
        <w:footnoteRef/>
      </w:r>
      <w:r w:rsidRPr="00B35CA8">
        <w:rPr>
          <w:szCs w:val="16"/>
        </w:rPr>
        <w:t xml:space="preserve"> </w:t>
      </w:r>
      <w:r w:rsidR="00171FAE" w:rsidRPr="00B35CA8">
        <w:rPr>
          <w:szCs w:val="16"/>
        </w:rPr>
        <w:t>United Nations</w:t>
      </w:r>
      <w:r w:rsidR="004217BB" w:rsidRPr="00B35CA8">
        <w:rPr>
          <w:szCs w:val="16"/>
        </w:rPr>
        <w:t xml:space="preserve"> (UN)</w:t>
      </w:r>
      <w:r w:rsidR="00171FAE" w:rsidRPr="00B35CA8">
        <w:rPr>
          <w:szCs w:val="16"/>
        </w:rPr>
        <w:t xml:space="preserve">, </w:t>
      </w:r>
      <w:hyperlink r:id="rId7" w:history="1">
        <w:r w:rsidR="00FC30C0" w:rsidRPr="00B35CA8">
          <w:rPr>
            <w:rStyle w:val="Hyperlink"/>
            <w:i/>
            <w:color w:val="000000" w:themeColor="text1"/>
            <w:szCs w:val="16"/>
          </w:rPr>
          <w:t>Gender-</w:t>
        </w:r>
        <w:r w:rsidR="00954CC1" w:rsidRPr="00B35CA8">
          <w:rPr>
            <w:rStyle w:val="Hyperlink"/>
            <w:i/>
            <w:color w:val="000000" w:themeColor="text1"/>
            <w:szCs w:val="16"/>
          </w:rPr>
          <w:t>responsive arms control, ending impunity key to reverse record level of sexual violence against women, girls in conflict zones, speakers tel</w:t>
        </w:r>
        <w:r w:rsidR="00FC30C0" w:rsidRPr="00B35CA8">
          <w:rPr>
            <w:rStyle w:val="Hyperlink"/>
            <w:i/>
            <w:color w:val="000000" w:themeColor="text1"/>
            <w:szCs w:val="16"/>
          </w:rPr>
          <w:t>l Security Council</w:t>
        </w:r>
      </w:hyperlink>
      <w:r w:rsidR="00AB5F24" w:rsidRPr="00B35CA8">
        <w:rPr>
          <w:i/>
          <w:szCs w:val="16"/>
        </w:rPr>
        <w:t xml:space="preserve"> </w:t>
      </w:r>
      <w:r w:rsidR="00AB5F24" w:rsidRPr="00B35CA8">
        <w:rPr>
          <w:szCs w:val="16"/>
        </w:rPr>
        <w:t>[</w:t>
      </w:r>
      <w:r w:rsidR="00DF6E3A" w:rsidRPr="00B35CA8">
        <w:rPr>
          <w:szCs w:val="16"/>
        </w:rPr>
        <w:t>meeting coverage</w:t>
      </w:r>
      <w:r w:rsidR="00AB5F24" w:rsidRPr="00B35CA8">
        <w:rPr>
          <w:szCs w:val="16"/>
        </w:rPr>
        <w:t>]</w:t>
      </w:r>
      <w:r w:rsidR="009A3C89" w:rsidRPr="00B35CA8">
        <w:rPr>
          <w:i/>
          <w:szCs w:val="16"/>
        </w:rPr>
        <w:t>,</w:t>
      </w:r>
      <w:r w:rsidR="00BE5D2E" w:rsidRPr="00B35CA8">
        <w:rPr>
          <w:szCs w:val="16"/>
        </w:rPr>
        <w:t xml:space="preserve"> </w:t>
      </w:r>
      <w:r w:rsidR="00CF0A4A" w:rsidRPr="00B35CA8">
        <w:rPr>
          <w:szCs w:val="16"/>
        </w:rPr>
        <w:t>UN</w:t>
      </w:r>
      <w:r w:rsidR="00BE5D2E" w:rsidRPr="00B35CA8">
        <w:rPr>
          <w:szCs w:val="16"/>
        </w:rPr>
        <w:t>, 23 April</w:t>
      </w:r>
      <w:r w:rsidR="00FA10E1" w:rsidRPr="00B35CA8">
        <w:rPr>
          <w:szCs w:val="16"/>
        </w:rPr>
        <w:t xml:space="preserve"> 2024</w:t>
      </w:r>
      <w:r w:rsidR="00CC1A11" w:rsidRPr="00B35CA8">
        <w:rPr>
          <w:szCs w:val="16"/>
        </w:rPr>
        <w:t>; United Nations Human Rights Office of the High Commissioner</w:t>
      </w:r>
      <w:r w:rsidR="00DB42DE" w:rsidRPr="00B35CA8">
        <w:rPr>
          <w:szCs w:val="16"/>
        </w:rPr>
        <w:t>,</w:t>
      </w:r>
      <w:r w:rsidR="00DB42DE" w:rsidRPr="00B35CA8">
        <w:rPr>
          <w:i/>
          <w:szCs w:val="16"/>
        </w:rPr>
        <w:t xml:space="preserve"> </w:t>
      </w:r>
      <w:hyperlink r:id="rId8" w:history="1">
        <w:r w:rsidR="008437A1" w:rsidRPr="00B35CA8">
          <w:rPr>
            <w:rStyle w:val="Hyperlink"/>
            <w:i/>
            <w:color w:val="000000" w:themeColor="text1"/>
            <w:szCs w:val="16"/>
          </w:rPr>
          <w:t xml:space="preserve">Myanmar: </w:t>
        </w:r>
        <w:r w:rsidR="00F07E3A" w:rsidRPr="00B35CA8">
          <w:rPr>
            <w:rStyle w:val="Hyperlink"/>
            <w:i/>
            <w:color w:val="000000" w:themeColor="text1"/>
            <w:szCs w:val="16"/>
          </w:rPr>
          <w:t>n</w:t>
        </w:r>
        <w:r w:rsidR="008437A1" w:rsidRPr="00B35CA8">
          <w:rPr>
            <w:rStyle w:val="Hyperlink"/>
            <w:i/>
            <w:color w:val="000000" w:themeColor="text1"/>
            <w:szCs w:val="16"/>
          </w:rPr>
          <w:t>ew report urges robust support for women, girls and LGBT people in post-coup Myanmar</w:t>
        </w:r>
      </w:hyperlink>
      <w:r w:rsidR="008437A1" w:rsidRPr="00B35CA8">
        <w:rPr>
          <w:szCs w:val="16"/>
        </w:rPr>
        <w:t xml:space="preserve">, </w:t>
      </w:r>
      <w:r w:rsidR="00FC3D7C" w:rsidRPr="00B35CA8">
        <w:rPr>
          <w:szCs w:val="16"/>
        </w:rPr>
        <w:t>Press releases,</w:t>
      </w:r>
      <w:r w:rsidR="004038E7" w:rsidRPr="00B35CA8">
        <w:rPr>
          <w:szCs w:val="16"/>
        </w:rPr>
        <w:t xml:space="preserve"> </w:t>
      </w:r>
      <w:r w:rsidR="00C17403" w:rsidRPr="00B35CA8">
        <w:rPr>
          <w:szCs w:val="16"/>
        </w:rPr>
        <w:t>UN</w:t>
      </w:r>
      <w:r w:rsidR="00FC3D7C" w:rsidRPr="00B35CA8">
        <w:rPr>
          <w:szCs w:val="16"/>
        </w:rPr>
        <w:t xml:space="preserve"> website</w:t>
      </w:r>
      <w:r w:rsidR="008437A1" w:rsidRPr="00B35CA8">
        <w:rPr>
          <w:szCs w:val="16"/>
        </w:rPr>
        <w:t>, 02 July 2024</w:t>
      </w:r>
      <w:r w:rsidR="001E5A26" w:rsidRPr="00B35CA8">
        <w:rPr>
          <w:szCs w:val="16"/>
        </w:rPr>
        <w:t xml:space="preserve">; </w:t>
      </w:r>
      <w:r w:rsidR="00CF0A4A" w:rsidRPr="00B35CA8">
        <w:rPr>
          <w:szCs w:val="16"/>
        </w:rPr>
        <w:t>U</w:t>
      </w:r>
      <w:r w:rsidR="007414B0" w:rsidRPr="00B35CA8">
        <w:rPr>
          <w:szCs w:val="16"/>
        </w:rPr>
        <w:t>nited Nations</w:t>
      </w:r>
      <w:r w:rsidR="00CF0A4A" w:rsidRPr="00B35CA8">
        <w:rPr>
          <w:szCs w:val="16"/>
        </w:rPr>
        <w:t xml:space="preserve"> Working Group on </w:t>
      </w:r>
      <w:r w:rsidR="00FA10E1" w:rsidRPr="00B35CA8">
        <w:rPr>
          <w:szCs w:val="16"/>
        </w:rPr>
        <w:t>D</w:t>
      </w:r>
      <w:r w:rsidR="00CF0A4A" w:rsidRPr="00B35CA8">
        <w:rPr>
          <w:szCs w:val="16"/>
        </w:rPr>
        <w:t xml:space="preserve">iscrimination </w:t>
      </w:r>
      <w:r w:rsidR="00FA10E1" w:rsidRPr="00B35CA8">
        <w:rPr>
          <w:szCs w:val="16"/>
        </w:rPr>
        <w:t>A</w:t>
      </w:r>
      <w:r w:rsidR="00CF0A4A" w:rsidRPr="00B35CA8">
        <w:rPr>
          <w:szCs w:val="16"/>
        </w:rPr>
        <w:t xml:space="preserve">gainst </w:t>
      </w:r>
      <w:r w:rsidR="00FA10E1" w:rsidRPr="00B35CA8">
        <w:rPr>
          <w:szCs w:val="16"/>
        </w:rPr>
        <w:t>W</w:t>
      </w:r>
      <w:r w:rsidR="00CF0A4A" w:rsidRPr="00B35CA8">
        <w:rPr>
          <w:szCs w:val="16"/>
        </w:rPr>
        <w:t xml:space="preserve">omen and </w:t>
      </w:r>
      <w:r w:rsidR="00FA10E1" w:rsidRPr="00B35CA8">
        <w:rPr>
          <w:szCs w:val="16"/>
        </w:rPr>
        <w:t>G</w:t>
      </w:r>
      <w:r w:rsidR="00CF0A4A" w:rsidRPr="00B35CA8">
        <w:rPr>
          <w:szCs w:val="16"/>
        </w:rPr>
        <w:t>irls</w:t>
      </w:r>
      <w:r w:rsidR="00FA10E1" w:rsidRPr="00B35CA8">
        <w:rPr>
          <w:szCs w:val="16"/>
        </w:rPr>
        <w:t>,</w:t>
      </w:r>
      <w:r w:rsidR="00CF0A4A" w:rsidRPr="00B35CA8">
        <w:rPr>
          <w:szCs w:val="16"/>
        </w:rPr>
        <w:t xml:space="preserve"> </w:t>
      </w:r>
      <w:hyperlink r:id="rId9" w:history="1">
        <w:r w:rsidR="00CF0A4A" w:rsidRPr="00B35CA8">
          <w:rPr>
            <w:rStyle w:val="Hyperlink"/>
            <w:i/>
            <w:color w:val="000000" w:themeColor="text1"/>
            <w:szCs w:val="16"/>
          </w:rPr>
          <w:t>End of</w:t>
        </w:r>
        <w:r w:rsidR="00555E0E" w:rsidRPr="00B35CA8">
          <w:rPr>
            <w:rStyle w:val="Hyperlink"/>
            <w:i/>
            <w:color w:val="000000" w:themeColor="text1"/>
            <w:szCs w:val="16"/>
          </w:rPr>
          <w:t xml:space="preserve"> mission statement</w:t>
        </w:r>
        <w:r w:rsidR="00CA667A" w:rsidRPr="00B35CA8">
          <w:rPr>
            <w:rStyle w:val="Hyperlink"/>
            <w:i/>
            <w:color w:val="000000" w:themeColor="text1"/>
            <w:szCs w:val="16"/>
          </w:rPr>
          <w:t xml:space="preserve">: </w:t>
        </w:r>
        <w:r w:rsidR="00F07E3A" w:rsidRPr="00B35CA8">
          <w:rPr>
            <w:rStyle w:val="Hyperlink"/>
            <w:i/>
            <w:color w:val="000000" w:themeColor="text1"/>
            <w:szCs w:val="16"/>
          </w:rPr>
          <w:t>o</w:t>
        </w:r>
        <w:r w:rsidR="006D6CE3" w:rsidRPr="00B35CA8">
          <w:rPr>
            <w:rStyle w:val="Hyperlink"/>
            <w:i/>
            <w:color w:val="000000" w:themeColor="text1"/>
            <w:szCs w:val="16"/>
          </w:rPr>
          <w:t xml:space="preserve">fficial visit to </w:t>
        </w:r>
        <w:r w:rsidR="00CA667A" w:rsidRPr="00B35CA8">
          <w:rPr>
            <w:rStyle w:val="Hyperlink"/>
            <w:i/>
            <w:color w:val="000000" w:themeColor="text1"/>
            <w:szCs w:val="16"/>
          </w:rPr>
          <w:t>Thailan</w:t>
        </w:r>
        <w:r w:rsidR="006D6CE3" w:rsidRPr="00B35CA8">
          <w:rPr>
            <w:rStyle w:val="Hyperlink"/>
            <w:i/>
            <w:color w:val="000000" w:themeColor="text1"/>
            <w:szCs w:val="16"/>
          </w:rPr>
          <w:t>d (</w:t>
        </w:r>
        <w:r w:rsidR="00F9118E" w:rsidRPr="00B35CA8">
          <w:rPr>
            <w:rStyle w:val="Hyperlink"/>
            <w:i/>
            <w:color w:val="000000" w:themeColor="text1"/>
            <w:szCs w:val="16"/>
          </w:rPr>
          <w:t>2-13 December 2024)</w:t>
        </w:r>
      </w:hyperlink>
      <w:r w:rsidR="00FA10E1" w:rsidRPr="00B35CA8">
        <w:rPr>
          <w:szCs w:val="16"/>
        </w:rPr>
        <w:t xml:space="preserve">, </w:t>
      </w:r>
      <w:r w:rsidR="00C17403" w:rsidRPr="00B35CA8">
        <w:rPr>
          <w:szCs w:val="16"/>
        </w:rPr>
        <w:t>UN,</w:t>
      </w:r>
      <w:r w:rsidR="00FA10E1" w:rsidRPr="00B35CA8">
        <w:rPr>
          <w:szCs w:val="16"/>
        </w:rPr>
        <w:t xml:space="preserve"> </w:t>
      </w:r>
      <w:r w:rsidR="00346C91" w:rsidRPr="00B35CA8">
        <w:rPr>
          <w:szCs w:val="16"/>
        </w:rPr>
        <w:t xml:space="preserve">13 December </w:t>
      </w:r>
      <w:r w:rsidR="00FA10E1" w:rsidRPr="00B35CA8">
        <w:rPr>
          <w:szCs w:val="16"/>
        </w:rPr>
        <w:t>2024</w:t>
      </w:r>
      <w:r w:rsidR="008437A1" w:rsidRPr="00B35CA8">
        <w:rPr>
          <w:szCs w:val="16"/>
        </w:rPr>
        <w:t>.</w:t>
      </w:r>
    </w:p>
  </w:footnote>
  <w:footnote w:id="7">
    <w:p w14:paraId="216144A4" w14:textId="266F805F" w:rsidR="00FB60BE" w:rsidRPr="00B35CA8" w:rsidRDefault="00FB60BE">
      <w:pPr>
        <w:pStyle w:val="FootnoteText"/>
        <w:rPr>
          <w:szCs w:val="16"/>
        </w:rPr>
      </w:pPr>
      <w:r w:rsidRPr="00B35CA8">
        <w:rPr>
          <w:rStyle w:val="FootnoteReference"/>
          <w:szCs w:val="16"/>
        </w:rPr>
        <w:footnoteRef/>
      </w:r>
      <w:r w:rsidRPr="00B35CA8">
        <w:rPr>
          <w:szCs w:val="16"/>
        </w:rPr>
        <w:t xml:space="preserve"> </w:t>
      </w:r>
      <w:r w:rsidR="009C3228" w:rsidRPr="00B35CA8">
        <w:rPr>
          <w:szCs w:val="16"/>
        </w:rPr>
        <w:t xml:space="preserve">UN Women, </w:t>
      </w:r>
      <w:hyperlink r:id="rId10" w:history="1">
        <w:r w:rsidR="00E16F2D" w:rsidRPr="00B35CA8">
          <w:rPr>
            <w:rStyle w:val="Hyperlink"/>
            <w:i/>
            <w:color w:val="000000" w:themeColor="text1"/>
            <w:szCs w:val="16"/>
          </w:rPr>
          <w:t>Pacific partnership to end violence against women and girls</w:t>
        </w:r>
      </w:hyperlink>
      <w:r w:rsidR="008C4742" w:rsidRPr="00B35CA8">
        <w:rPr>
          <w:szCs w:val="16"/>
        </w:rPr>
        <w:t>,</w:t>
      </w:r>
      <w:r w:rsidR="00E16F2D" w:rsidRPr="00B35CA8">
        <w:rPr>
          <w:szCs w:val="16"/>
        </w:rPr>
        <w:t xml:space="preserve"> </w:t>
      </w:r>
      <w:r w:rsidR="007C0B54" w:rsidRPr="00B35CA8">
        <w:rPr>
          <w:szCs w:val="16"/>
        </w:rPr>
        <w:t>United Nations Women in the Pacific</w:t>
      </w:r>
      <w:r w:rsidR="008C4742" w:rsidRPr="00B35CA8">
        <w:rPr>
          <w:szCs w:val="16"/>
        </w:rPr>
        <w:t xml:space="preserve"> website</w:t>
      </w:r>
      <w:r w:rsidR="00A21132" w:rsidRPr="00B35CA8">
        <w:rPr>
          <w:szCs w:val="16"/>
        </w:rPr>
        <w:t xml:space="preserve">, </w:t>
      </w:r>
      <w:r w:rsidR="004764F1" w:rsidRPr="00B35CA8">
        <w:rPr>
          <w:szCs w:val="16"/>
        </w:rPr>
        <w:t>n.d.</w:t>
      </w:r>
      <w:r w:rsidR="00F10288" w:rsidRPr="00B35CA8">
        <w:rPr>
          <w:szCs w:val="16"/>
        </w:rPr>
        <w:t xml:space="preserve">, </w:t>
      </w:r>
      <w:r w:rsidR="00E510C9" w:rsidRPr="00B35CA8">
        <w:rPr>
          <w:szCs w:val="16"/>
        </w:rPr>
        <w:t xml:space="preserve">accessed </w:t>
      </w:r>
      <w:r w:rsidR="0072067F" w:rsidRPr="00B35CA8">
        <w:rPr>
          <w:szCs w:val="16"/>
        </w:rPr>
        <w:t>1</w:t>
      </w:r>
      <w:r w:rsidR="005227D8" w:rsidRPr="00B35CA8">
        <w:rPr>
          <w:szCs w:val="16"/>
        </w:rPr>
        <w:t>0</w:t>
      </w:r>
      <w:r w:rsidR="0072067F" w:rsidRPr="00B35CA8">
        <w:rPr>
          <w:szCs w:val="16"/>
        </w:rPr>
        <w:t xml:space="preserve"> December 2025</w:t>
      </w:r>
      <w:r w:rsidR="00890F58" w:rsidRPr="00B35CA8">
        <w:rPr>
          <w:szCs w:val="16"/>
        </w:rPr>
        <w:t>.</w:t>
      </w:r>
    </w:p>
  </w:footnote>
  <w:footnote w:id="8">
    <w:p w14:paraId="1EE6B4B3" w14:textId="7F9AAAB7" w:rsidR="007F7E1E" w:rsidRPr="00B35CA8" w:rsidRDefault="007F7E1E">
      <w:pPr>
        <w:pStyle w:val="FootnoteText"/>
        <w:rPr>
          <w:szCs w:val="16"/>
        </w:rPr>
      </w:pPr>
      <w:r w:rsidRPr="00B35CA8">
        <w:rPr>
          <w:rStyle w:val="FootnoteReference"/>
          <w:szCs w:val="16"/>
        </w:rPr>
        <w:footnoteRef/>
      </w:r>
      <w:r w:rsidRPr="00B35CA8">
        <w:rPr>
          <w:szCs w:val="16"/>
        </w:rPr>
        <w:t xml:space="preserve"> Care</w:t>
      </w:r>
      <w:r w:rsidR="005C5C5F" w:rsidRPr="00B35CA8">
        <w:rPr>
          <w:szCs w:val="16"/>
        </w:rPr>
        <w:t xml:space="preserve">, </w:t>
      </w:r>
      <w:hyperlink r:id="rId11" w:history="1">
        <w:r w:rsidR="005C5C5F" w:rsidRPr="00B35CA8">
          <w:rPr>
            <w:rStyle w:val="Hyperlink"/>
            <w:i/>
            <w:color w:val="000000" w:themeColor="text1"/>
            <w:szCs w:val="16"/>
          </w:rPr>
          <w:t xml:space="preserve">Evicted </w:t>
        </w:r>
        <w:r w:rsidR="005E1144" w:rsidRPr="00B35CA8">
          <w:rPr>
            <w:rStyle w:val="Hyperlink"/>
            <w:i/>
            <w:color w:val="000000" w:themeColor="text1"/>
            <w:szCs w:val="16"/>
          </w:rPr>
          <w:t xml:space="preserve">by climate change: </w:t>
        </w:r>
        <w:r w:rsidR="00F07E3A" w:rsidRPr="00B35CA8">
          <w:rPr>
            <w:rStyle w:val="Hyperlink"/>
            <w:i/>
            <w:color w:val="000000" w:themeColor="text1"/>
            <w:szCs w:val="16"/>
          </w:rPr>
          <w:t>c</w:t>
        </w:r>
        <w:r w:rsidR="005E1144" w:rsidRPr="00B35CA8">
          <w:rPr>
            <w:rStyle w:val="Hyperlink"/>
            <w:i/>
            <w:color w:val="000000" w:themeColor="text1"/>
            <w:szCs w:val="16"/>
          </w:rPr>
          <w:t>onfronting the gendered impacts of climate-induced displacement</w:t>
        </w:r>
      </w:hyperlink>
      <w:r w:rsidR="00A862BF" w:rsidRPr="00B35CA8">
        <w:rPr>
          <w:szCs w:val="16"/>
        </w:rPr>
        <w:t xml:space="preserve">, </w:t>
      </w:r>
      <w:r w:rsidR="004D5EA7" w:rsidRPr="00B35CA8">
        <w:rPr>
          <w:szCs w:val="16"/>
        </w:rPr>
        <w:t xml:space="preserve">Care, </w:t>
      </w:r>
      <w:r w:rsidR="004D33B2" w:rsidRPr="00B35CA8">
        <w:rPr>
          <w:szCs w:val="16"/>
        </w:rPr>
        <w:t>2020.</w:t>
      </w:r>
    </w:p>
  </w:footnote>
  <w:footnote w:id="9">
    <w:p w14:paraId="04F5FD83" w14:textId="54D040DE" w:rsidR="007326D9" w:rsidRPr="00B35CA8" w:rsidRDefault="007326D9">
      <w:pPr>
        <w:pStyle w:val="FootnoteText"/>
        <w:rPr>
          <w:szCs w:val="16"/>
        </w:rPr>
      </w:pPr>
      <w:r w:rsidRPr="00B35CA8">
        <w:rPr>
          <w:rStyle w:val="FootnoteReference"/>
          <w:szCs w:val="16"/>
        </w:rPr>
        <w:footnoteRef/>
      </w:r>
      <w:r w:rsidR="00415B54" w:rsidRPr="00B35CA8">
        <w:rPr>
          <w:szCs w:val="16"/>
        </w:rPr>
        <w:t xml:space="preserve"> </w:t>
      </w:r>
      <w:r w:rsidR="00FB60F2" w:rsidRPr="00B35CA8">
        <w:rPr>
          <w:szCs w:val="16"/>
        </w:rPr>
        <w:t>M</w:t>
      </w:r>
      <w:r w:rsidR="00203921" w:rsidRPr="00B35CA8">
        <w:rPr>
          <w:szCs w:val="16"/>
        </w:rPr>
        <w:t>E</w:t>
      </w:r>
      <w:r w:rsidR="00FB60F2" w:rsidRPr="00B35CA8">
        <w:rPr>
          <w:szCs w:val="16"/>
        </w:rPr>
        <w:t xml:space="preserve"> Veritasia, A</w:t>
      </w:r>
      <w:r w:rsidR="00203921" w:rsidRPr="00B35CA8">
        <w:rPr>
          <w:szCs w:val="16"/>
        </w:rPr>
        <w:t>N</w:t>
      </w:r>
      <w:r w:rsidR="00FB60F2" w:rsidRPr="00B35CA8">
        <w:rPr>
          <w:szCs w:val="16"/>
        </w:rPr>
        <w:t xml:space="preserve"> Muthmainnah and M</w:t>
      </w:r>
      <w:r w:rsidR="000C636B" w:rsidRPr="00B35CA8">
        <w:rPr>
          <w:szCs w:val="16"/>
        </w:rPr>
        <w:t xml:space="preserve"> Lima</w:t>
      </w:r>
      <w:r w:rsidR="00EA7D49" w:rsidRPr="00B35CA8">
        <w:rPr>
          <w:szCs w:val="16"/>
        </w:rPr>
        <w:t>-Santos</w:t>
      </w:r>
      <w:r w:rsidR="002A4DA2" w:rsidRPr="00B35CA8">
        <w:rPr>
          <w:szCs w:val="16"/>
        </w:rPr>
        <w:t>,</w:t>
      </w:r>
      <w:r w:rsidR="002A4DA2" w:rsidRPr="00B35CA8">
        <w:rPr>
          <w:i/>
          <w:szCs w:val="16"/>
        </w:rPr>
        <w:t xml:space="preserve"> </w:t>
      </w:r>
      <w:r w:rsidR="0051530F" w:rsidRPr="00B35CA8">
        <w:rPr>
          <w:i/>
          <w:szCs w:val="16"/>
        </w:rPr>
        <w:t>‘</w:t>
      </w:r>
      <w:hyperlink r:id="rId12" w:history="1">
        <w:r w:rsidR="00415B54" w:rsidRPr="00B35CA8">
          <w:rPr>
            <w:rStyle w:val="Hyperlink"/>
            <w:color w:val="000000" w:themeColor="text1"/>
            <w:szCs w:val="16"/>
          </w:rPr>
          <w:t xml:space="preserve">Gendered </w:t>
        </w:r>
        <w:r w:rsidR="007412A4" w:rsidRPr="00B35CA8">
          <w:rPr>
            <w:rStyle w:val="Hyperlink"/>
            <w:color w:val="000000" w:themeColor="text1"/>
            <w:szCs w:val="16"/>
          </w:rPr>
          <w:t>disinformation</w:t>
        </w:r>
        <w:r w:rsidR="00415B54" w:rsidRPr="00B35CA8">
          <w:rPr>
            <w:rStyle w:val="Hyperlink"/>
            <w:color w:val="000000" w:themeColor="text1"/>
            <w:szCs w:val="16"/>
          </w:rPr>
          <w:t xml:space="preserve">: </w:t>
        </w:r>
        <w:r w:rsidR="00F07E3A" w:rsidRPr="00B35CA8">
          <w:rPr>
            <w:rStyle w:val="Hyperlink"/>
            <w:color w:val="000000" w:themeColor="text1"/>
            <w:szCs w:val="16"/>
          </w:rPr>
          <w:t>a</w:t>
        </w:r>
        <w:r w:rsidR="002C3008" w:rsidRPr="00B35CA8">
          <w:rPr>
            <w:rStyle w:val="Hyperlink"/>
            <w:color w:val="000000" w:themeColor="text1"/>
            <w:szCs w:val="16"/>
          </w:rPr>
          <w:t xml:space="preserve"> </w:t>
        </w:r>
        <w:r w:rsidR="00415B54" w:rsidRPr="00B35CA8">
          <w:rPr>
            <w:rStyle w:val="Hyperlink"/>
            <w:color w:val="000000" w:themeColor="text1"/>
            <w:szCs w:val="16"/>
          </w:rPr>
          <w:t xml:space="preserve">pernicious </w:t>
        </w:r>
        <w:r w:rsidR="007412A4" w:rsidRPr="00B35CA8">
          <w:rPr>
            <w:rStyle w:val="Hyperlink"/>
            <w:color w:val="000000" w:themeColor="text1"/>
            <w:szCs w:val="16"/>
          </w:rPr>
          <w:t>threat</w:t>
        </w:r>
        <w:r w:rsidR="00415B54" w:rsidRPr="00B35CA8">
          <w:rPr>
            <w:rStyle w:val="Hyperlink"/>
            <w:color w:val="000000" w:themeColor="text1"/>
            <w:szCs w:val="16"/>
          </w:rPr>
          <w:t xml:space="preserve"> to </w:t>
        </w:r>
        <w:r w:rsidR="007412A4" w:rsidRPr="00B35CA8">
          <w:rPr>
            <w:rStyle w:val="Hyperlink"/>
            <w:color w:val="000000" w:themeColor="text1"/>
            <w:szCs w:val="16"/>
          </w:rPr>
          <w:t>equality</w:t>
        </w:r>
        <w:r w:rsidR="00415B54" w:rsidRPr="00B35CA8">
          <w:rPr>
            <w:rStyle w:val="Hyperlink"/>
            <w:color w:val="000000" w:themeColor="text1"/>
            <w:szCs w:val="16"/>
          </w:rPr>
          <w:t xml:space="preserve"> in the Asia Pacific</w:t>
        </w:r>
      </w:hyperlink>
      <w:r w:rsidR="0051530F" w:rsidRPr="00B35CA8">
        <w:rPr>
          <w:szCs w:val="16"/>
        </w:rPr>
        <w:t>’</w:t>
      </w:r>
      <w:r w:rsidR="00243609" w:rsidRPr="00B35CA8">
        <w:rPr>
          <w:szCs w:val="16"/>
        </w:rPr>
        <w:t xml:space="preserve">, </w:t>
      </w:r>
      <w:r w:rsidR="00243609" w:rsidRPr="00B35CA8">
        <w:rPr>
          <w:i/>
          <w:szCs w:val="16"/>
        </w:rPr>
        <w:t>Media Asia</w:t>
      </w:r>
      <w:r w:rsidR="00FB60F2" w:rsidRPr="00B35CA8">
        <w:rPr>
          <w:szCs w:val="16"/>
        </w:rPr>
        <w:t xml:space="preserve">, </w:t>
      </w:r>
      <w:r w:rsidR="003547BC" w:rsidRPr="00B35CA8">
        <w:rPr>
          <w:szCs w:val="16"/>
        </w:rPr>
        <w:t>2</w:t>
      </w:r>
      <w:r w:rsidR="00082B35" w:rsidRPr="00B35CA8">
        <w:rPr>
          <w:szCs w:val="16"/>
        </w:rPr>
        <w:t>8 June 2024</w:t>
      </w:r>
      <w:r w:rsidR="009A749B" w:rsidRPr="00B35CA8">
        <w:rPr>
          <w:szCs w:val="16"/>
        </w:rPr>
        <w:t>, 52</w:t>
      </w:r>
      <w:r w:rsidR="00B25DB2" w:rsidRPr="00B35CA8">
        <w:rPr>
          <w:szCs w:val="16"/>
        </w:rPr>
        <w:t>(</w:t>
      </w:r>
      <w:r w:rsidR="009A749B" w:rsidRPr="00B35CA8">
        <w:rPr>
          <w:szCs w:val="16"/>
        </w:rPr>
        <w:t>4</w:t>
      </w:r>
      <w:r w:rsidR="00B25DB2" w:rsidRPr="00B35CA8">
        <w:rPr>
          <w:szCs w:val="16"/>
        </w:rPr>
        <w:t>):</w:t>
      </w:r>
      <w:r w:rsidR="009A749B" w:rsidRPr="00B35CA8">
        <w:rPr>
          <w:szCs w:val="16"/>
        </w:rPr>
        <w:t xml:space="preserve">653-661, </w:t>
      </w:r>
      <w:r w:rsidR="00D864FB" w:rsidRPr="00B35CA8">
        <w:rPr>
          <w:szCs w:val="16"/>
        </w:rPr>
        <w:t>doi</w:t>
      </w:r>
      <w:r w:rsidR="009A749B" w:rsidRPr="00B35CA8">
        <w:rPr>
          <w:szCs w:val="16"/>
        </w:rPr>
        <w:t>:10.1080/01296612.2024.2367859</w:t>
      </w:r>
      <w:r w:rsidR="00243609" w:rsidRPr="00B35CA8">
        <w:rPr>
          <w:szCs w:val="16"/>
        </w:rPr>
        <w:t>;</w:t>
      </w:r>
      <w:r w:rsidRPr="00B35CA8">
        <w:rPr>
          <w:szCs w:val="16"/>
        </w:rPr>
        <w:t xml:space="preserve"> </w:t>
      </w:r>
      <w:r w:rsidR="00C86290" w:rsidRPr="00B35CA8">
        <w:rPr>
          <w:szCs w:val="16"/>
        </w:rPr>
        <w:t>N Veronika and D Afrianty, ‘</w:t>
      </w:r>
      <w:hyperlink r:id="rId13" w:history="1">
        <w:r w:rsidR="00C86290" w:rsidRPr="00B35CA8">
          <w:rPr>
            <w:rStyle w:val="Hyperlink"/>
            <w:color w:val="000000" w:themeColor="text1"/>
            <w:szCs w:val="16"/>
          </w:rPr>
          <w:t xml:space="preserve">Special issue editorial: </w:t>
        </w:r>
        <w:r w:rsidR="00F07E3A" w:rsidRPr="00B35CA8">
          <w:rPr>
            <w:rStyle w:val="Hyperlink"/>
            <w:color w:val="000000" w:themeColor="text1"/>
            <w:szCs w:val="16"/>
          </w:rPr>
          <w:t>g</w:t>
        </w:r>
        <w:r w:rsidR="00C86290" w:rsidRPr="00B35CA8">
          <w:rPr>
            <w:rStyle w:val="Hyperlink"/>
            <w:color w:val="000000" w:themeColor="text1"/>
            <w:szCs w:val="16"/>
          </w:rPr>
          <w:t>ender and security in the Indo-Pacific</w:t>
        </w:r>
      </w:hyperlink>
      <w:r w:rsidR="00C86290" w:rsidRPr="00B35CA8">
        <w:rPr>
          <w:szCs w:val="16"/>
        </w:rPr>
        <w:t xml:space="preserve">’, </w:t>
      </w:r>
      <w:r w:rsidR="00C86290" w:rsidRPr="00B35CA8">
        <w:rPr>
          <w:i/>
          <w:szCs w:val="16"/>
        </w:rPr>
        <w:t>Journal of Policing, Intelligence and Counter Terrorism</w:t>
      </w:r>
      <w:r w:rsidR="00C86290" w:rsidRPr="00B35CA8">
        <w:rPr>
          <w:szCs w:val="16"/>
        </w:rPr>
        <w:t>, 2025, 20(4):425-433, doi:10.1080/18335330.2025.2563210</w:t>
      </w:r>
      <w:r w:rsidR="00E24541" w:rsidRPr="00B35CA8">
        <w:rPr>
          <w:szCs w:val="16"/>
        </w:rPr>
        <w:t xml:space="preserve">; </w:t>
      </w:r>
      <w:r w:rsidR="00D85B59" w:rsidRPr="00B35CA8">
        <w:rPr>
          <w:szCs w:val="16"/>
        </w:rPr>
        <w:t>P O</w:t>
      </w:r>
      <w:r w:rsidR="00EB5C11" w:rsidRPr="00B35CA8">
        <w:rPr>
          <w:szCs w:val="16"/>
        </w:rPr>
        <w:t>o</w:t>
      </w:r>
      <w:r w:rsidR="00441CBC" w:rsidRPr="00B35CA8">
        <w:rPr>
          <w:szCs w:val="16"/>
        </w:rPr>
        <w:t xml:space="preserve">, </w:t>
      </w:r>
      <w:r w:rsidR="00103638" w:rsidRPr="00B35CA8">
        <w:rPr>
          <w:szCs w:val="16"/>
        </w:rPr>
        <w:t>‘</w:t>
      </w:r>
      <w:hyperlink r:id="rId14" w:history="1">
        <w:r w:rsidR="006B7406" w:rsidRPr="00B35CA8">
          <w:rPr>
            <w:rStyle w:val="Hyperlink"/>
            <w:color w:val="000000" w:themeColor="text1"/>
            <w:szCs w:val="16"/>
          </w:rPr>
          <w:t xml:space="preserve">Gendered </w:t>
        </w:r>
        <w:r w:rsidR="007412A4" w:rsidRPr="00B35CA8">
          <w:rPr>
            <w:rStyle w:val="Hyperlink"/>
            <w:color w:val="000000" w:themeColor="text1"/>
            <w:szCs w:val="16"/>
          </w:rPr>
          <w:t>insecurities</w:t>
        </w:r>
        <w:r w:rsidR="006B7406" w:rsidRPr="00B35CA8">
          <w:rPr>
            <w:rStyle w:val="Hyperlink"/>
            <w:color w:val="000000" w:themeColor="text1"/>
            <w:szCs w:val="16"/>
          </w:rPr>
          <w:t xml:space="preserve"> and </w:t>
        </w:r>
        <w:r w:rsidR="007412A4" w:rsidRPr="00B35CA8">
          <w:rPr>
            <w:rStyle w:val="Hyperlink"/>
            <w:color w:val="000000" w:themeColor="text1"/>
            <w:szCs w:val="16"/>
          </w:rPr>
          <w:t>gender-responsive security sector reform</w:t>
        </w:r>
        <w:r w:rsidR="006B7406" w:rsidRPr="00B35CA8">
          <w:rPr>
            <w:rStyle w:val="Hyperlink"/>
            <w:color w:val="000000" w:themeColor="text1"/>
            <w:szCs w:val="16"/>
          </w:rPr>
          <w:t xml:space="preserve"> in the Indo-Pacific</w:t>
        </w:r>
      </w:hyperlink>
      <w:r w:rsidR="00103638" w:rsidRPr="00B35CA8">
        <w:rPr>
          <w:szCs w:val="16"/>
        </w:rPr>
        <w:t>’</w:t>
      </w:r>
      <w:r w:rsidR="00184CED" w:rsidRPr="00B35CA8">
        <w:rPr>
          <w:szCs w:val="16"/>
        </w:rPr>
        <w:t xml:space="preserve">, </w:t>
      </w:r>
      <w:r w:rsidR="00184CED" w:rsidRPr="00B35CA8">
        <w:rPr>
          <w:i/>
          <w:szCs w:val="16"/>
        </w:rPr>
        <w:t>9 Dash Line</w:t>
      </w:r>
      <w:r w:rsidR="00184CED" w:rsidRPr="00B35CA8">
        <w:rPr>
          <w:szCs w:val="16"/>
        </w:rPr>
        <w:t xml:space="preserve">, </w:t>
      </w:r>
      <w:r w:rsidR="00336C3B" w:rsidRPr="00B35CA8">
        <w:rPr>
          <w:szCs w:val="16"/>
        </w:rPr>
        <w:t>20 June 2023.</w:t>
      </w:r>
    </w:p>
  </w:footnote>
  <w:footnote w:id="10">
    <w:p w14:paraId="4C6C32F7" w14:textId="7AADD343" w:rsidR="007326D9" w:rsidRPr="00B35CA8" w:rsidRDefault="007326D9">
      <w:pPr>
        <w:pStyle w:val="FootnoteText"/>
        <w:rPr>
          <w:szCs w:val="16"/>
        </w:rPr>
      </w:pPr>
      <w:r w:rsidRPr="00B35CA8">
        <w:rPr>
          <w:rStyle w:val="FootnoteReference"/>
          <w:szCs w:val="16"/>
        </w:rPr>
        <w:footnoteRef/>
      </w:r>
      <w:r w:rsidRPr="00B35CA8">
        <w:rPr>
          <w:szCs w:val="16"/>
        </w:rPr>
        <w:t xml:space="preserve"> </w:t>
      </w:r>
      <w:r w:rsidR="0093491A" w:rsidRPr="00B35CA8">
        <w:rPr>
          <w:szCs w:val="16"/>
        </w:rPr>
        <w:t>Veritasia</w:t>
      </w:r>
      <w:r w:rsidR="005231FA" w:rsidRPr="00B35CA8">
        <w:rPr>
          <w:szCs w:val="16"/>
        </w:rPr>
        <w:t xml:space="preserve"> et al.</w:t>
      </w:r>
      <w:r w:rsidR="0093491A" w:rsidRPr="00B35CA8">
        <w:rPr>
          <w:szCs w:val="16"/>
        </w:rPr>
        <w:t xml:space="preserve">, </w:t>
      </w:r>
      <w:r w:rsidR="005F694D" w:rsidRPr="00B35CA8">
        <w:rPr>
          <w:szCs w:val="16"/>
        </w:rPr>
        <w:t>‘</w:t>
      </w:r>
      <w:r w:rsidR="0093491A" w:rsidRPr="00B35CA8">
        <w:rPr>
          <w:szCs w:val="16"/>
        </w:rPr>
        <w:t>Gendered disinformation: A pernicious threat to equality in the Asia Pacific</w:t>
      </w:r>
      <w:r w:rsidR="005F694D" w:rsidRPr="00B35CA8">
        <w:rPr>
          <w:szCs w:val="16"/>
        </w:rPr>
        <w:t>’</w:t>
      </w:r>
      <w:r w:rsidR="0093491A" w:rsidRPr="00B35CA8">
        <w:rPr>
          <w:szCs w:val="16"/>
        </w:rPr>
        <w:t xml:space="preserve">; </w:t>
      </w:r>
      <w:r w:rsidR="00B87BBA" w:rsidRPr="00B35CA8">
        <w:rPr>
          <w:szCs w:val="16"/>
        </w:rPr>
        <w:t>V</w:t>
      </w:r>
      <w:r w:rsidR="006B38E5" w:rsidRPr="00B35CA8">
        <w:rPr>
          <w:szCs w:val="16"/>
        </w:rPr>
        <w:t>eronika and Afri</w:t>
      </w:r>
      <w:r w:rsidR="007579E9" w:rsidRPr="00B35CA8">
        <w:rPr>
          <w:szCs w:val="16"/>
        </w:rPr>
        <w:t xml:space="preserve">anty, </w:t>
      </w:r>
      <w:r w:rsidR="00D624DD" w:rsidRPr="00B35CA8">
        <w:rPr>
          <w:szCs w:val="16"/>
        </w:rPr>
        <w:t>‘</w:t>
      </w:r>
      <w:r w:rsidR="00477871" w:rsidRPr="00B35CA8">
        <w:rPr>
          <w:szCs w:val="16"/>
        </w:rPr>
        <w:t xml:space="preserve">Special </w:t>
      </w:r>
      <w:r w:rsidR="00E0509D" w:rsidRPr="00B35CA8">
        <w:rPr>
          <w:szCs w:val="16"/>
        </w:rPr>
        <w:t>issue ed</w:t>
      </w:r>
      <w:r w:rsidR="00477871" w:rsidRPr="00B35CA8">
        <w:rPr>
          <w:szCs w:val="16"/>
        </w:rPr>
        <w:t xml:space="preserve">itorial: </w:t>
      </w:r>
      <w:r w:rsidR="007579E9" w:rsidRPr="00B35CA8">
        <w:rPr>
          <w:szCs w:val="16"/>
        </w:rPr>
        <w:t>G</w:t>
      </w:r>
      <w:r w:rsidR="00477871" w:rsidRPr="00B35CA8">
        <w:rPr>
          <w:szCs w:val="16"/>
        </w:rPr>
        <w:t xml:space="preserve">ender and </w:t>
      </w:r>
      <w:r w:rsidR="00E0509D" w:rsidRPr="00B35CA8">
        <w:rPr>
          <w:szCs w:val="16"/>
        </w:rPr>
        <w:t>security</w:t>
      </w:r>
      <w:r w:rsidR="00477871" w:rsidRPr="00B35CA8">
        <w:rPr>
          <w:szCs w:val="16"/>
        </w:rPr>
        <w:t xml:space="preserve"> in the Indo-Pacific</w:t>
      </w:r>
      <w:r w:rsidR="00D624DD" w:rsidRPr="00B35CA8">
        <w:rPr>
          <w:szCs w:val="16"/>
        </w:rPr>
        <w:t>’</w:t>
      </w:r>
      <w:r w:rsidR="00E24541" w:rsidRPr="00B35CA8">
        <w:rPr>
          <w:szCs w:val="16"/>
        </w:rPr>
        <w:t>.</w:t>
      </w:r>
    </w:p>
  </w:footnote>
  <w:footnote w:id="11">
    <w:p w14:paraId="4A813C8F" w14:textId="343D7757" w:rsidR="00334D25" w:rsidRPr="00B35CA8" w:rsidRDefault="00334D25">
      <w:pPr>
        <w:pStyle w:val="FootnoteText"/>
        <w:rPr>
          <w:szCs w:val="16"/>
        </w:rPr>
      </w:pPr>
      <w:r w:rsidRPr="00B35CA8">
        <w:rPr>
          <w:rStyle w:val="FootnoteReference"/>
          <w:szCs w:val="16"/>
        </w:rPr>
        <w:footnoteRef/>
      </w:r>
      <w:r w:rsidRPr="00B35CA8">
        <w:rPr>
          <w:szCs w:val="16"/>
        </w:rPr>
        <w:t xml:space="preserve"> </w:t>
      </w:r>
      <w:r w:rsidR="00107B10" w:rsidRPr="00B35CA8">
        <w:rPr>
          <w:szCs w:val="16"/>
        </w:rPr>
        <w:t>The Department of the House of Representative</w:t>
      </w:r>
      <w:r w:rsidR="00275B6D" w:rsidRPr="00B35CA8">
        <w:rPr>
          <w:szCs w:val="16"/>
        </w:rPr>
        <w:t>s</w:t>
      </w:r>
      <w:r w:rsidR="00107B10" w:rsidRPr="00B35CA8">
        <w:rPr>
          <w:szCs w:val="16"/>
        </w:rPr>
        <w:t xml:space="preserve">, </w:t>
      </w:r>
      <w:hyperlink r:id="rId15" w:history="1">
        <w:r w:rsidR="00670D1D" w:rsidRPr="00B35CA8">
          <w:rPr>
            <w:rStyle w:val="Hyperlink"/>
            <w:i/>
            <w:color w:val="000000" w:themeColor="text1"/>
            <w:szCs w:val="16"/>
          </w:rPr>
          <w:t>New inquiry into gender equality as a national security and economic security imperative</w:t>
        </w:r>
      </w:hyperlink>
      <w:r w:rsidR="00670D1D" w:rsidRPr="00B35CA8">
        <w:rPr>
          <w:szCs w:val="16"/>
        </w:rPr>
        <w:t xml:space="preserve">, </w:t>
      </w:r>
      <w:r w:rsidR="00B66815" w:rsidRPr="00B35CA8">
        <w:rPr>
          <w:szCs w:val="16"/>
        </w:rPr>
        <w:t>Parliament of Australia</w:t>
      </w:r>
      <w:r w:rsidR="00780CDF" w:rsidRPr="00B35CA8">
        <w:rPr>
          <w:szCs w:val="16"/>
        </w:rPr>
        <w:t xml:space="preserve"> website</w:t>
      </w:r>
      <w:r w:rsidR="00B66815" w:rsidRPr="00B35CA8">
        <w:rPr>
          <w:szCs w:val="16"/>
        </w:rPr>
        <w:t xml:space="preserve">, </w:t>
      </w:r>
      <w:r w:rsidR="00476BC6" w:rsidRPr="00B35CA8">
        <w:rPr>
          <w:szCs w:val="16"/>
        </w:rPr>
        <w:t>6 November 2025.</w:t>
      </w:r>
    </w:p>
  </w:footnote>
  <w:footnote w:id="12">
    <w:p w14:paraId="30228300" w14:textId="77777777" w:rsidR="008B79BB" w:rsidRPr="00B35CA8" w:rsidRDefault="008B79BB" w:rsidP="008B79BB">
      <w:pPr>
        <w:pStyle w:val="FootnoteText"/>
        <w:rPr>
          <w:szCs w:val="16"/>
        </w:rPr>
      </w:pPr>
      <w:r w:rsidRPr="00B35CA8">
        <w:rPr>
          <w:rStyle w:val="FootnoteReference"/>
          <w:szCs w:val="16"/>
        </w:rPr>
        <w:footnoteRef/>
      </w:r>
      <w:r w:rsidRPr="00B35CA8">
        <w:rPr>
          <w:szCs w:val="16"/>
        </w:rPr>
        <w:t xml:space="preserve"> Department of Foreign Affairs and Trade (DFAT), </w:t>
      </w:r>
      <w:hyperlink r:id="rId16" w:history="1">
        <w:r w:rsidRPr="00B35CA8">
          <w:rPr>
            <w:rStyle w:val="Hyperlink"/>
            <w:i/>
            <w:color w:val="000000" w:themeColor="text1"/>
            <w:szCs w:val="16"/>
          </w:rPr>
          <w:t>Australian national action plan on women, peace and security 2021-2031</w:t>
        </w:r>
      </w:hyperlink>
      <w:r w:rsidRPr="00B35CA8">
        <w:rPr>
          <w:szCs w:val="16"/>
        </w:rPr>
        <w:t>, DFAT, 2021.</w:t>
      </w:r>
    </w:p>
  </w:footnote>
  <w:footnote w:id="13">
    <w:p w14:paraId="0971E2BF" w14:textId="1BAA7F01" w:rsidR="007719B3" w:rsidRPr="00206B2B" w:rsidRDefault="007719B3">
      <w:pPr>
        <w:pStyle w:val="FootnoteText"/>
        <w:rPr>
          <w:szCs w:val="16"/>
        </w:rPr>
      </w:pPr>
      <w:r w:rsidRPr="00206B2B">
        <w:rPr>
          <w:rStyle w:val="FootnoteReference"/>
          <w:szCs w:val="16"/>
        </w:rPr>
        <w:footnoteRef/>
      </w:r>
      <w:r w:rsidRPr="00206B2B">
        <w:rPr>
          <w:szCs w:val="16"/>
        </w:rPr>
        <w:t xml:space="preserve"> </w:t>
      </w:r>
      <w:r w:rsidR="00F70590" w:rsidRPr="00206B2B">
        <w:rPr>
          <w:szCs w:val="16"/>
        </w:rPr>
        <w:t xml:space="preserve">Department of Social Services, </w:t>
      </w:r>
      <w:hyperlink r:id="rId17" w:history="1">
        <w:r w:rsidR="001303D7" w:rsidRPr="00206B2B">
          <w:rPr>
            <w:rStyle w:val="Hyperlink"/>
            <w:i/>
            <w:color w:val="000000" w:themeColor="text1"/>
            <w:szCs w:val="16"/>
          </w:rPr>
          <w:t xml:space="preserve">National </w:t>
        </w:r>
        <w:r w:rsidR="007E0D9C" w:rsidRPr="00206B2B">
          <w:rPr>
            <w:rStyle w:val="Hyperlink"/>
            <w:i/>
            <w:color w:val="000000" w:themeColor="text1"/>
            <w:szCs w:val="16"/>
          </w:rPr>
          <w:t>p</w:t>
        </w:r>
        <w:r w:rsidR="001303D7" w:rsidRPr="00206B2B">
          <w:rPr>
            <w:rStyle w:val="Hyperlink"/>
            <w:i/>
            <w:color w:val="000000" w:themeColor="text1"/>
            <w:szCs w:val="16"/>
          </w:rPr>
          <w:t xml:space="preserve">lan to </w:t>
        </w:r>
        <w:r w:rsidR="007E0D9C" w:rsidRPr="00206B2B">
          <w:rPr>
            <w:rStyle w:val="Hyperlink"/>
            <w:i/>
            <w:color w:val="000000" w:themeColor="text1"/>
            <w:szCs w:val="16"/>
          </w:rPr>
          <w:t>e</w:t>
        </w:r>
        <w:r w:rsidR="001303D7" w:rsidRPr="00206B2B">
          <w:rPr>
            <w:rStyle w:val="Hyperlink"/>
            <w:i/>
            <w:color w:val="000000" w:themeColor="text1"/>
            <w:szCs w:val="16"/>
          </w:rPr>
          <w:t xml:space="preserve">nd </w:t>
        </w:r>
        <w:r w:rsidR="007E0D9C" w:rsidRPr="00206B2B">
          <w:rPr>
            <w:rStyle w:val="Hyperlink"/>
            <w:i/>
            <w:color w:val="000000" w:themeColor="text1"/>
            <w:szCs w:val="16"/>
          </w:rPr>
          <w:t>v</w:t>
        </w:r>
        <w:r w:rsidR="001303D7" w:rsidRPr="00206B2B">
          <w:rPr>
            <w:rStyle w:val="Hyperlink"/>
            <w:i/>
            <w:color w:val="000000" w:themeColor="text1"/>
            <w:szCs w:val="16"/>
          </w:rPr>
          <w:t xml:space="preserve">iolence </w:t>
        </w:r>
        <w:r w:rsidR="007E0D9C" w:rsidRPr="00206B2B">
          <w:rPr>
            <w:rStyle w:val="Hyperlink"/>
            <w:i/>
            <w:color w:val="000000" w:themeColor="text1"/>
            <w:szCs w:val="16"/>
          </w:rPr>
          <w:t>a</w:t>
        </w:r>
        <w:r w:rsidR="001303D7" w:rsidRPr="00206B2B">
          <w:rPr>
            <w:rStyle w:val="Hyperlink"/>
            <w:i/>
            <w:color w:val="000000" w:themeColor="text1"/>
            <w:szCs w:val="16"/>
          </w:rPr>
          <w:t xml:space="preserve">gainst </w:t>
        </w:r>
        <w:r w:rsidR="007E0D9C" w:rsidRPr="00206B2B">
          <w:rPr>
            <w:rStyle w:val="Hyperlink"/>
            <w:i/>
            <w:color w:val="000000" w:themeColor="text1"/>
            <w:szCs w:val="16"/>
          </w:rPr>
          <w:t>w</w:t>
        </w:r>
        <w:r w:rsidR="001303D7" w:rsidRPr="00206B2B">
          <w:rPr>
            <w:rStyle w:val="Hyperlink"/>
            <w:i/>
            <w:color w:val="000000" w:themeColor="text1"/>
            <w:szCs w:val="16"/>
          </w:rPr>
          <w:t xml:space="preserve">omen and </w:t>
        </w:r>
        <w:r w:rsidR="007E0D9C" w:rsidRPr="00206B2B">
          <w:rPr>
            <w:rStyle w:val="Hyperlink"/>
            <w:i/>
            <w:color w:val="000000" w:themeColor="text1"/>
            <w:szCs w:val="16"/>
          </w:rPr>
          <w:t>c</w:t>
        </w:r>
        <w:r w:rsidR="001303D7" w:rsidRPr="00206B2B">
          <w:rPr>
            <w:rStyle w:val="Hyperlink"/>
            <w:i/>
            <w:color w:val="000000" w:themeColor="text1"/>
            <w:szCs w:val="16"/>
          </w:rPr>
          <w:t>hildren 2022 – 2023</w:t>
        </w:r>
      </w:hyperlink>
      <w:r w:rsidR="001303D7" w:rsidRPr="00206B2B">
        <w:rPr>
          <w:szCs w:val="16"/>
        </w:rPr>
        <w:t xml:space="preserve">, </w:t>
      </w:r>
      <w:r w:rsidR="00690972" w:rsidRPr="00206B2B">
        <w:rPr>
          <w:szCs w:val="16"/>
        </w:rPr>
        <w:t>DSS</w:t>
      </w:r>
      <w:r w:rsidR="007E5003" w:rsidRPr="00206B2B">
        <w:rPr>
          <w:szCs w:val="16"/>
        </w:rPr>
        <w:t>, 2022.</w:t>
      </w:r>
    </w:p>
  </w:footnote>
  <w:footnote w:id="14">
    <w:p w14:paraId="5988A1A6" w14:textId="408C8B91" w:rsidR="00EA3ECD" w:rsidRPr="00206B2B" w:rsidRDefault="00EA3ECD" w:rsidP="00EA3ECD">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AC34AF" w:rsidRPr="00206B2B">
        <w:rPr>
          <w:color w:val="000000" w:themeColor="text1"/>
          <w:sz w:val="16"/>
          <w:szCs w:val="16"/>
        </w:rPr>
        <w:t xml:space="preserve">UNSC, </w:t>
      </w:r>
      <w:r w:rsidR="00C9439C" w:rsidRPr="00206B2B">
        <w:rPr>
          <w:i/>
          <w:iCs/>
          <w:color w:val="000000" w:themeColor="text1"/>
          <w:sz w:val="16"/>
          <w:szCs w:val="16"/>
        </w:rPr>
        <w:t>Resolution 1325</w:t>
      </w:r>
      <w:r w:rsidR="000769F9" w:rsidRPr="00206B2B">
        <w:rPr>
          <w:i/>
          <w:iCs/>
          <w:color w:val="000000" w:themeColor="text1"/>
          <w:sz w:val="16"/>
          <w:szCs w:val="16"/>
        </w:rPr>
        <w:t xml:space="preserve"> (2000)</w:t>
      </w:r>
      <w:r w:rsidR="00C9439C" w:rsidRPr="00206B2B">
        <w:rPr>
          <w:i/>
          <w:iCs/>
          <w:color w:val="000000" w:themeColor="text1"/>
          <w:sz w:val="16"/>
          <w:szCs w:val="16"/>
        </w:rPr>
        <w:t>.</w:t>
      </w:r>
    </w:p>
  </w:footnote>
  <w:footnote w:id="15">
    <w:p w14:paraId="3F2CF6BD" w14:textId="1333AA69" w:rsidR="00C07071" w:rsidRPr="00206B2B" w:rsidRDefault="00C07071" w:rsidP="00175620">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North Atlantic Treaty Organisation (NATO), </w:t>
      </w:r>
      <w:hyperlink r:id="rId18" w:history="1">
        <w:r w:rsidRPr="00206B2B">
          <w:rPr>
            <w:rStyle w:val="Hyperlink"/>
            <w:i/>
            <w:color w:val="000000" w:themeColor="text1"/>
            <w:sz w:val="16"/>
            <w:szCs w:val="16"/>
          </w:rPr>
          <w:t xml:space="preserve">NATO </w:t>
        </w:r>
        <w:r w:rsidR="00701668" w:rsidRPr="00206B2B">
          <w:rPr>
            <w:rStyle w:val="Hyperlink"/>
            <w:i/>
            <w:iCs/>
            <w:color w:val="000000" w:themeColor="text1"/>
            <w:sz w:val="16"/>
            <w:szCs w:val="16"/>
          </w:rPr>
          <w:t>p</w:t>
        </w:r>
        <w:r w:rsidRPr="00206B2B">
          <w:rPr>
            <w:rStyle w:val="Hyperlink"/>
            <w:i/>
            <w:iCs/>
            <w:color w:val="000000" w:themeColor="text1"/>
            <w:sz w:val="16"/>
            <w:szCs w:val="16"/>
          </w:rPr>
          <w:t>olicy</w:t>
        </w:r>
        <w:r w:rsidRPr="00206B2B">
          <w:rPr>
            <w:rStyle w:val="Hyperlink"/>
            <w:i/>
            <w:color w:val="000000" w:themeColor="text1"/>
            <w:sz w:val="16"/>
            <w:szCs w:val="16"/>
          </w:rPr>
          <w:t xml:space="preserve"> on </w:t>
        </w:r>
        <w:r w:rsidR="00701668" w:rsidRPr="00206B2B">
          <w:rPr>
            <w:rStyle w:val="Hyperlink"/>
            <w:i/>
            <w:iCs/>
            <w:color w:val="000000" w:themeColor="text1"/>
            <w:sz w:val="16"/>
            <w:szCs w:val="16"/>
          </w:rPr>
          <w:t>w</w:t>
        </w:r>
        <w:r w:rsidRPr="00206B2B">
          <w:rPr>
            <w:rStyle w:val="Hyperlink"/>
            <w:i/>
            <w:iCs/>
            <w:color w:val="000000" w:themeColor="text1"/>
            <w:sz w:val="16"/>
            <w:szCs w:val="16"/>
          </w:rPr>
          <w:t xml:space="preserve">omen, </w:t>
        </w:r>
        <w:r w:rsidR="00701668" w:rsidRPr="00206B2B">
          <w:rPr>
            <w:rStyle w:val="Hyperlink"/>
            <w:i/>
            <w:iCs/>
            <w:color w:val="000000" w:themeColor="text1"/>
            <w:sz w:val="16"/>
            <w:szCs w:val="16"/>
          </w:rPr>
          <w:t>p</w:t>
        </w:r>
        <w:r w:rsidRPr="00206B2B">
          <w:rPr>
            <w:rStyle w:val="Hyperlink"/>
            <w:i/>
            <w:iCs/>
            <w:color w:val="000000" w:themeColor="text1"/>
            <w:sz w:val="16"/>
            <w:szCs w:val="16"/>
          </w:rPr>
          <w:t>eace</w:t>
        </w:r>
        <w:r w:rsidRPr="00206B2B">
          <w:rPr>
            <w:rStyle w:val="Hyperlink"/>
            <w:i/>
            <w:color w:val="000000" w:themeColor="text1"/>
            <w:sz w:val="16"/>
            <w:szCs w:val="16"/>
          </w:rPr>
          <w:t xml:space="preserve"> and </w:t>
        </w:r>
        <w:r w:rsidR="00701668" w:rsidRPr="00206B2B">
          <w:rPr>
            <w:rStyle w:val="Hyperlink"/>
            <w:i/>
            <w:iCs/>
            <w:color w:val="000000" w:themeColor="text1"/>
            <w:sz w:val="16"/>
            <w:szCs w:val="16"/>
          </w:rPr>
          <w:t>s</w:t>
        </w:r>
        <w:r w:rsidRPr="00206B2B">
          <w:rPr>
            <w:rStyle w:val="Hyperlink"/>
            <w:i/>
            <w:iCs/>
            <w:color w:val="000000" w:themeColor="text1"/>
            <w:sz w:val="16"/>
            <w:szCs w:val="16"/>
          </w:rPr>
          <w:t>ecurity</w:t>
        </w:r>
        <w:r w:rsidRPr="00206B2B">
          <w:rPr>
            <w:rStyle w:val="Hyperlink"/>
            <w:i/>
            <w:color w:val="000000" w:themeColor="text1"/>
            <w:sz w:val="16"/>
            <w:szCs w:val="16"/>
          </w:rPr>
          <w:t xml:space="preserve"> (2024)</w:t>
        </w:r>
      </w:hyperlink>
      <w:r w:rsidRPr="00206B2B">
        <w:rPr>
          <w:color w:val="000000" w:themeColor="text1"/>
          <w:sz w:val="16"/>
          <w:szCs w:val="16"/>
        </w:rPr>
        <w:t xml:space="preserve">, NATO, </w:t>
      </w:r>
      <w:r w:rsidR="00C91441" w:rsidRPr="00206B2B">
        <w:rPr>
          <w:color w:val="000000" w:themeColor="text1"/>
          <w:sz w:val="16"/>
          <w:szCs w:val="16"/>
        </w:rPr>
        <w:t xml:space="preserve">10 July 2024, </w:t>
      </w:r>
      <w:r w:rsidRPr="00206B2B">
        <w:rPr>
          <w:color w:val="000000" w:themeColor="text1"/>
          <w:sz w:val="16"/>
          <w:szCs w:val="16"/>
        </w:rPr>
        <w:t>accessed 10 December 2025</w:t>
      </w:r>
      <w:r w:rsidR="003C043C" w:rsidRPr="00206B2B">
        <w:rPr>
          <w:color w:val="000000" w:themeColor="text1"/>
          <w:sz w:val="16"/>
          <w:szCs w:val="16"/>
        </w:rPr>
        <w:t xml:space="preserve">; </w:t>
      </w:r>
      <w:r w:rsidRPr="00206B2B">
        <w:rPr>
          <w:color w:val="000000" w:themeColor="text1"/>
          <w:sz w:val="16"/>
          <w:szCs w:val="16"/>
        </w:rPr>
        <w:t xml:space="preserve">S Hutchinson, </w:t>
      </w:r>
      <w:r w:rsidR="0053036B" w:rsidRPr="00206B2B">
        <w:rPr>
          <w:color w:val="000000" w:themeColor="text1"/>
          <w:sz w:val="16"/>
          <w:szCs w:val="16"/>
        </w:rPr>
        <w:t>‘</w:t>
      </w:r>
      <w:hyperlink r:id="rId19" w:history="1">
        <w:r w:rsidRPr="00206B2B">
          <w:rPr>
            <w:rStyle w:val="Hyperlink"/>
            <w:color w:val="000000" w:themeColor="text1"/>
            <w:sz w:val="16"/>
            <w:szCs w:val="16"/>
          </w:rPr>
          <w:t xml:space="preserve">Reflecting on 25 </w:t>
        </w:r>
        <w:r w:rsidR="00701668" w:rsidRPr="00206B2B">
          <w:rPr>
            <w:rStyle w:val="Hyperlink"/>
            <w:color w:val="000000" w:themeColor="text1"/>
            <w:sz w:val="16"/>
            <w:szCs w:val="16"/>
          </w:rPr>
          <w:t>y</w:t>
        </w:r>
        <w:r w:rsidRPr="00206B2B">
          <w:rPr>
            <w:rStyle w:val="Hyperlink"/>
            <w:color w:val="000000" w:themeColor="text1"/>
            <w:sz w:val="16"/>
            <w:szCs w:val="16"/>
          </w:rPr>
          <w:t xml:space="preserve">ears of UNSC </w:t>
        </w:r>
        <w:r w:rsidR="007E0D9C" w:rsidRPr="00206B2B">
          <w:rPr>
            <w:rStyle w:val="Hyperlink"/>
            <w:color w:val="000000" w:themeColor="text1"/>
            <w:sz w:val="16"/>
            <w:szCs w:val="16"/>
          </w:rPr>
          <w:t>r</w:t>
        </w:r>
        <w:r w:rsidRPr="00206B2B">
          <w:rPr>
            <w:rStyle w:val="Hyperlink"/>
            <w:color w:val="000000" w:themeColor="text1"/>
            <w:sz w:val="16"/>
            <w:szCs w:val="16"/>
          </w:rPr>
          <w:t>esolution 1325</w:t>
        </w:r>
      </w:hyperlink>
      <w:r w:rsidR="0053036B" w:rsidRPr="00206B2B">
        <w:rPr>
          <w:color w:val="000000" w:themeColor="text1"/>
          <w:sz w:val="16"/>
          <w:szCs w:val="16"/>
        </w:rPr>
        <w:t>’</w:t>
      </w:r>
      <w:r w:rsidRPr="00206B2B">
        <w:rPr>
          <w:color w:val="000000" w:themeColor="text1"/>
          <w:sz w:val="16"/>
          <w:szCs w:val="16"/>
        </w:rPr>
        <w:t>,</w:t>
      </w:r>
      <w:r w:rsidR="0053036B" w:rsidRPr="00206B2B">
        <w:rPr>
          <w:color w:val="000000" w:themeColor="text1"/>
          <w:sz w:val="16"/>
          <w:szCs w:val="16"/>
        </w:rPr>
        <w:t xml:space="preserve"> </w:t>
      </w:r>
      <w:r w:rsidR="0053036B" w:rsidRPr="00206B2B">
        <w:rPr>
          <w:i/>
          <w:iCs/>
          <w:color w:val="000000" w:themeColor="text1"/>
          <w:sz w:val="16"/>
          <w:szCs w:val="16"/>
        </w:rPr>
        <w:t>The Strategist</w:t>
      </w:r>
      <w:r w:rsidR="0053036B" w:rsidRPr="00206B2B">
        <w:rPr>
          <w:color w:val="000000" w:themeColor="text1"/>
          <w:sz w:val="16"/>
          <w:szCs w:val="16"/>
        </w:rPr>
        <w:t>,</w:t>
      </w:r>
      <w:r w:rsidRPr="00206B2B">
        <w:rPr>
          <w:color w:val="000000" w:themeColor="text1"/>
          <w:sz w:val="16"/>
          <w:szCs w:val="16"/>
        </w:rPr>
        <w:t xml:space="preserve"> Australian Strategic Policy Institute, </w:t>
      </w:r>
      <w:r w:rsidR="0023167C" w:rsidRPr="00206B2B">
        <w:rPr>
          <w:color w:val="000000" w:themeColor="text1"/>
          <w:sz w:val="16"/>
          <w:szCs w:val="16"/>
        </w:rPr>
        <w:t>3 J</w:t>
      </w:r>
      <w:r w:rsidR="00B4766B" w:rsidRPr="00206B2B">
        <w:rPr>
          <w:color w:val="000000" w:themeColor="text1"/>
          <w:sz w:val="16"/>
          <w:szCs w:val="16"/>
        </w:rPr>
        <w:t xml:space="preserve">uly 2025, </w:t>
      </w:r>
      <w:r w:rsidRPr="00206B2B">
        <w:rPr>
          <w:color w:val="000000" w:themeColor="text1"/>
          <w:sz w:val="16"/>
          <w:szCs w:val="16"/>
        </w:rPr>
        <w:t>accessed 10 December 2025</w:t>
      </w:r>
      <w:r w:rsidR="00542CA4" w:rsidRPr="00206B2B">
        <w:rPr>
          <w:color w:val="000000" w:themeColor="text1"/>
          <w:sz w:val="16"/>
          <w:szCs w:val="16"/>
        </w:rPr>
        <w:t>;</w:t>
      </w:r>
      <w:r w:rsidR="00CC1625" w:rsidRPr="00206B2B">
        <w:rPr>
          <w:color w:val="000000" w:themeColor="text1"/>
          <w:sz w:val="16"/>
          <w:szCs w:val="16"/>
        </w:rPr>
        <w:t xml:space="preserve"> ASEAN, </w:t>
      </w:r>
      <w:hyperlink r:id="rId20" w:history="1">
        <w:r w:rsidR="00CC1625" w:rsidRPr="00206B2B">
          <w:rPr>
            <w:rStyle w:val="Hyperlink"/>
            <w:i/>
            <w:color w:val="000000" w:themeColor="text1"/>
            <w:sz w:val="16"/>
            <w:szCs w:val="16"/>
          </w:rPr>
          <w:t>Joint Statement by the ASEAN Defence Ministers’ Meeting Plus on Women, Peace and Security</w:t>
        </w:r>
      </w:hyperlink>
      <w:r w:rsidR="00D16A51" w:rsidRPr="00206B2B">
        <w:rPr>
          <w:color w:val="000000" w:themeColor="text1"/>
          <w:sz w:val="16"/>
          <w:szCs w:val="16"/>
        </w:rPr>
        <w:t>, ASEAN</w:t>
      </w:r>
      <w:r w:rsidR="003555FE" w:rsidRPr="00206B2B">
        <w:rPr>
          <w:color w:val="000000" w:themeColor="text1"/>
          <w:sz w:val="16"/>
          <w:szCs w:val="16"/>
        </w:rPr>
        <w:t>, 16 November 2023</w:t>
      </w:r>
      <w:r w:rsidR="006E439D" w:rsidRPr="00206B2B">
        <w:rPr>
          <w:color w:val="000000" w:themeColor="text1"/>
          <w:sz w:val="16"/>
          <w:szCs w:val="16"/>
        </w:rPr>
        <w:t>, accessed 29 January 2026</w:t>
      </w:r>
      <w:r w:rsidR="00F25FC9" w:rsidRPr="00206B2B">
        <w:rPr>
          <w:color w:val="000000" w:themeColor="text1"/>
          <w:sz w:val="16"/>
          <w:szCs w:val="16"/>
        </w:rPr>
        <w:t>;</w:t>
      </w:r>
      <w:r w:rsidR="006B6527" w:rsidRPr="00206B2B">
        <w:rPr>
          <w:color w:val="000000" w:themeColor="text1"/>
          <w:sz w:val="16"/>
          <w:szCs w:val="16"/>
        </w:rPr>
        <w:t xml:space="preserve"> ASEAN</w:t>
      </w:r>
      <w:r w:rsidR="00334E8E" w:rsidRPr="00206B2B">
        <w:rPr>
          <w:color w:val="000000" w:themeColor="text1"/>
          <w:sz w:val="16"/>
          <w:szCs w:val="16"/>
        </w:rPr>
        <w:t xml:space="preserve">, </w:t>
      </w:r>
      <w:hyperlink r:id="rId21" w:history="1">
        <w:r w:rsidR="00334E8E" w:rsidRPr="00206B2B">
          <w:rPr>
            <w:rStyle w:val="Hyperlink"/>
            <w:i/>
            <w:color w:val="000000" w:themeColor="text1"/>
            <w:sz w:val="16"/>
            <w:szCs w:val="16"/>
          </w:rPr>
          <w:t>ASEAN Regional Plan of Action on Women, Peace and Security</w:t>
        </w:r>
      </w:hyperlink>
      <w:r w:rsidR="00334E8E" w:rsidRPr="00206B2B">
        <w:rPr>
          <w:color w:val="000000" w:themeColor="text1"/>
          <w:sz w:val="16"/>
          <w:szCs w:val="16"/>
        </w:rPr>
        <w:t>,</w:t>
      </w:r>
      <w:r w:rsidR="005A6E4D" w:rsidRPr="00206B2B">
        <w:rPr>
          <w:color w:val="000000" w:themeColor="text1"/>
          <w:sz w:val="16"/>
          <w:szCs w:val="16"/>
        </w:rPr>
        <w:t xml:space="preserve"> ASEAN,</w:t>
      </w:r>
      <w:r w:rsidR="00315AC7" w:rsidRPr="00206B2B">
        <w:rPr>
          <w:color w:val="000000" w:themeColor="text1"/>
          <w:sz w:val="16"/>
          <w:szCs w:val="16"/>
        </w:rPr>
        <w:t xml:space="preserve"> November 16 2022, accessed 29 January 2026.</w:t>
      </w:r>
    </w:p>
  </w:footnote>
  <w:footnote w:id="16">
    <w:p w14:paraId="23B27DF1" w14:textId="783F38D2" w:rsidR="00EE5E8A" w:rsidRPr="00206B2B" w:rsidRDefault="00EE5E8A">
      <w:pPr>
        <w:pStyle w:val="FootnoteText"/>
        <w:rPr>
          <w:szCs w:val="16"/>
        </w:rPr>
      </w:pPr>
      <w:r w:rsidRPr="00206B2B">
        <w:rPr>
          <w:rStyle w:val="FootnoteReference"/>
          <w:szCs w:val="16"/>
        </w:rPr>
        <w:footnoteRef/>
      </w:r>
      <w:r w:rsidRPr="00206B2B">
        <w:rPr>
          <w:szCs w:val="16"/>
        </w:rPr>
        <w:t xml:space="preserve"> </w:t>
      </w:r>
      <w:r w:rsidR="0097600E" w:rsidRPr="00206B2B">
        <w:rPr>
          <w:szCs w:val="16"/>
        </w:rPr>
        <w:t xml:space="preserve">The Hon </w:t>
      </w:r>
      <w:r w:rsidR="00BA1E4A" w:rsidRPr="00206B2B">
        <w:rPr>
          <w:szCs w:val="16"/>
        </w:rPr>
        <w:t>Richard Marles</w:t>
      </w:r>
      <w:r w:rsidR="0097600E" w:rsidRPr="00206B2B">
        <w:rPr>
          <w:szCs w:val="16"/>
        </w:rPr>
        <w:t xml:space="preserve"> MP</w:t>
      </w:r>
      <w:r w:rsidR="00A432BD" w:rsidRPr="00206B2B">
        <w:rPr>
          <w:szCs w:val="16"/>
        </w:rPr>
        <w:t xml:space="preserve"> (</w:t>
      </w:r>
      <w:r w:rsidR="0097600E" w:rsidRPr="00206B2B">
        <w:rPr>
          <w:szCs w:val="16"/>
        </w:rPr>
        <w:t>25 October 2025</w:t>
      </w:r>
      <w:r w:rsidR="00A432BD" w:rsidRPr="00206B2B">
        <w:rPr>
          <w:szCs w:val="16"/>
        </w:rPr>
        <w:t xml:space="preserve">), </w:t>
      </w:r>
      <w:r w:rsidR="0097600E" w:rsidRPr="00206B2B">
        <w:rPr>
          <w:i/>
          <w:szCs w:val="16"/>
        </w:rPr>
        <w:t xml:space="preserve">Joint Communique – South Pacific Defence </w:t>
      </w:r>
      <w:r w:rsidR="0097600E" w:rsidRPr="00206B2B">
        <w:rPr>
          <w:rFonts w:asciiTheme="minorHAnsi" w:hAnsiTheme="minorHAnsi" w:cstheme="minorHAnsi"/>
          <w:i/>
          <w:szCs w:val="16"/>
        </w:rPr>
        <w:t>Ministers’</w:t>
      </w:r>
      <w:r w:rsidR="0097600E" w:rsidRPr="00206B2B">
        <w:rPr>
          <w:i/>
          <w:szCs w:val="16"/>
        </w:rPr>
        <w:t xml:space="preserve"> Meeting</w:t>
      </w:r>
      <w:r w:rsidR="00A432BD" w:rsidRPr="00206B2B">
        <w:rPr>
          <w:szCs w:val="16"/>
        </w:rPr>
        <w:t xml:space="preserve"> [media release], </w:t>
      </w:r>
      <w:r w:rsidR="00FA2C9F" w:rsidRPr="00206B2B">
        <w:rPr>
          <w:szCs w:val="16"/>
        </w:rPr>
        <w:t>Department of Defence, accessed 29 January 2026.</w:t>
      </w:r>
    </w:p>
  </w:footnote>
  <w:footnote w:id="17">
    <w:p w14:paraId="27C0F914" w14:textId="712EF317" w:rsidR="00175620" w:rsidRPr="00206B2B" w:rsidRDefault="00175620" w:rsidP="00175620">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ED18AE" w:rsidRPr="00206B2B">
        <w:rPr>
          <w:color w:val="000000" w:themeColor="text1"/>
          <w:sz w:val="16"/>
          <w:szCs w:val="16"/>
        </w:rPr>
        <w:t>United Nations Peacekeeping</w:t>
      </w:r>
      <w:r w:rsidR="00B924F3" w:rsidRPr="00206B2B">
        <w:rPr>
          <w:color w:val="000000" w:themeColor="text1"/>
          <w:sz w:val="16"/>
          <w:szCs w:val="16"/>
        </w:rPr>
        <w:t xml:space="preserve">, </w:t>
      </w:r>
      <w:hyperlink r:id="rId22" w:anchor=":~:text=Resolution%201325:%20Why%20Does%20Peace,with%20women%27s%20civil%20society%20organizations." w:history="1">
        <w:r w:rsidR="00B924F3" w:rsidRPr="00206B2B">
          <w:rPr>
            <w:rStyle w:val="Hyperlink"/>
            <w:i/>
            <w:iCs/>
            <w:color w:val="000000" w:themeColor="text1"/>
            <w:sz w:val="16"/>
            <w:szCs w:val="16"/>
          </w:rPr>
          <w:t xml:space="preserve">Women, </w:t>
        </w:r>
        <w:r w:rsidR="00701668" w:rsidRPr="00206B2B">
          <w:rPr>
            <w:rStyle w:val="Hyperlink"/>
            <w:i/>
            <w:iCs/>
            <w:color w:val="000000" w:themeColor="text1"/>
            <w:sz w:val="16"/>
            <w:szCs w:val="16"/>
          </w:rPr>
          <w:t>p</w:t>
        </w:r>
        <w:r w:rsidR="00B924F3" w:rsidRPr="00206B2B">
          <w:rPr>
            <w:rStyle w:val="Hyperlink"/>
            <w:i/>
            <w:iCs/>
            <w:color w:val="000000" w:themeColor="text1"/>
            <w:sz w:val="16"/>
            <w:szCs w:val="16"/>
          </w:rPr>
          <w:t xml:space="preserve">eace and </w:t>
        </w:r>
        <w:r w:rsidR="00701668" w:rsidRPr="00206B2B">
          <w:rPr>
            <w:rStyle w:val="Hyperlink"/>
            <w:i/>
            <w:iCs/>
            <w:color w:val="000000" w:themeColor="text1"/>
            <w:sz w:val="16"/>
            <w:szCs w:val="16"/>
          </w:rPr>
          <w:t>s</w:t>
        </w:r>
        <w:r w:rsidR="00B924F3" w:rsidRPr="00206B2B">
          <w:rPr>
            <w:rStyle w:val="Hyperlink"/>
            <w:i/>
            <w:iCs/>
            <w:color w:val="000000" w:themeColor="text1"/>
            <w:sz w:val="16"/>
            <w:szCs w:val="16"/>
          </w:rPr>
          <w:t>ecurity</w:t>
        </w:r>
      </w:hyperlink>
      <w:r w:rsidR="00C5677B" w:rsidRPr="00206B2B">
        <w:rPr>
          <w:color w:val="000000" w:themeColor="text1"/>
          <w:sz w:val="16"/>
          <w:szCs w:val="16"/>
        </w:rPr>
        <w:t xml:space="preserve">, </w:t>
      </w:r>
      <w:r w:rsidR="00F32273" w:rsidRPr="00206B2B">
        <w:rPr>
          <w:color w:val="000000" w:themeColor="text1"/>
          <w:sz w:val="16"/>
          <w:szCs w:val="16"/>
        </w:rPr>
        <w:t>UN</w:t>
      </w:r>
      <w:r w:rsidR="000C63CE" w:rsidRPr="00206B2B">
        <w:rPr>
          <w:color w:val="000000" w:themeColor="text1"/>
          <w:sz w:val="16"/>
          <w:szCs w:val="16"/>
        </w:rPr>
        <w:t xml:space="preserve"> Peacekeeping website</w:t>
      </w:r>
      <w:r w:rsidR="00655481" w:rsidRPr="00206B2B">
        <w:rPr>
          <w:color w:val="000000" w:themeColor="text1"/>
          <w:sz w:val="16"/>
          <w:szCs w:val="16"/>
        </w:rPr>
        <w:t xml:space="preserve">, </w:t>
      </w:r>
      <w:r w:rsidR="00303435" w:rsidRPr="00206B2B">
        <w:rPr>
          <w:color w:val="000000" w:themeColor="text1"/>
          <w:sz w:val="16"/>
          <w:szCs w:val="16"/>
        </w:rPr>
        <w:t>n.d.</w:t>
      </w:r>
      <w:r w:rsidR="00AC3514" w:rsidRPr="00206B2B">
        <w:rPr>
          <w:color w:val="000000" w:themeColor="text1"/>
          <w:sz w:val="16"/>
          <w:szCs w:val="16"/>
        </w:rPr>
        <w:t>, accessed 8</w:t>
      </w:r>
      <w:r w:rsidR="008670AD" w:rsidRPr="00206B2B">
        <w:rPr>
          <w:color w:val="000000" w:themeColor="text1"/>
          <w:sz w:val="16"/>
          <w:szCs w:val="16"/>
        </w:rPr>
        <w:t xml:space="preserve"> January 2026.</w:t>
      </w:r>
    </w:p>
  </w:footnote>
  <w:footnote w:id="18">
    <w:p w14:paraId="2E5001C4" w14:textId="3E85AD92" w:rsidR="00A23B92" w:rsidRPr="00206B2B" w:rsidRDefault="00A23B92" w:rsidP="00F247A7">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313A99" w:rsidRPr="00206B2B">
        <w:rPr>
          <w:color w:val="000000" w:themeColor="text1"/>
          <w:sz w:val="16"/>
          <w:szCs w:val="16"/>
        </w:rPr>
        <w:t>L</w:t>
      </w:r>
      <w:r w:rsidR="007C42E4" w:rsidRPr="00206B2B">
        <w:rPr>
          <w:color w:val="000000" w:themeColor="text1"/>
          <w:sz w:val="16"/>
          <w:szCs w:val="16"/>
        </w:rPr>
        <w:t xml:space="preserve"> Stone, ‘</w:t>
      </w:r>
      <w:hyperlink r:id="rId23" w:history="1">
        <w:r w:rsidR="007C42E4" w:rsidRPr="00206B2B">
          <w:rPr>
            <w:rStyle w:val="Hyperlink"/>
            <w:color w:val="000000" w:themeColor="text1"/>
            <w:sz w:val="16"/>
            <w:szCs w:val="16"/>
          </w:rPr>
          <w:t>Quantitative analysis of women’s participation in peace processes</w:t>
        </w:r>
      </w:hyperlink>
      <w:r w:rsidR="007C42E4" w:rsidRPr="00206B2B">
        <w:rPr>
          <w:color w:val="000000" w:themeColor="text1"/>
          <w:sz w:val="16"/>
          <w:szCs w:val="16"/>
        </w:rPr>
        <w:t xml:space="preserve">’, Annex II in </w:t>
      </w:r>
      <w:r w:rsidR="007C42E4" w:rsidRPr="00206B2B">
        <w:rPr>
          <w:i/>
          <w:iCs/>
          <w:color w:val="000000" w:themeColor="text1"/>
          <w:sz w:val="16"/>
          <w:szCs w:val="16"/>
        </w:rPr>
        <w:t>Reimagining peacemaking: Women’s roles in peace processes</w:t>
      </w:r>
      <w:r w:rsidR="002A17E3" w:rsidRPr="00206B2B">
        <w:rPr>
          <w:color w:val="000000" w:themeColor="text1"/>
          <w:sz w:val="16"/>
          <w:szCs w:val="16"/>
        </w:rPr>
        <w:t xml:space="preserve">, </w:t>
      </w:r>
      <w:r w:rsidR="007F324E" w:rsidRPr="00206B2B">
        <w:rPr>
          <w:color w:val="000000" w:themeColor="text1"/>
          <w:sz w:val="16"/>
          <w:szCs w:val="16"/>
        </w:rPr>
        <w:t xml:space="preserve">International Peace Institute, </w:t>
      </w:r>
      <w:r w:rsidR="00C669DA" w:rsidRPr="00206B2B">
        <w:rPr>
          <w:color w:val="000000" w:themeColor="text1"/>
          <w:sz w:val="16"/>
          <w:szCs w:val="16"/>
        </w:rPr>
        <w:t xml:space="preserve">June </w:t>
      </w:r>
      <w:r w:rsidR="00B70C4A" w:rsidRPr="00206B2B">
        <w:rPr>
          <w:color w:val="000000" w:themeColor="text1"/>
          <w:sz w:val="16"/>
          <w:szCs w:val="16"/>
        </w:rPr>
        <w:t>2015</w:t>
      </w:r>
      <w:r w:rsidR="00246FAB" w:rsidRPr="00206B2B">
        <w:rPr>
          <w:color w:val="000000" w:themeColor="text1"/>
          <w:sz w:val="16"/>
          <w:szCs w:val="16"/>
        </w:rPr>
        <w:t>, p 34</w:t>
      </w:r>
      <w:r w:rsidR="00B70C4A" w:rsidRPr="00206B2B">
        <w:rPr>
          <w:color w:val="000000" w:themeColor="text1"/>
          <w:sz w:val="16"/>
          <w:szCs w:val="16"/>
        </w:rPr>
        <w:t xml:space="preserve">; </w:t>
      </w:r>
      <w:r w:rsidR="00F247A7" w:rsidRPr="00206B2B">
        <w:rPr>
          <w:color w:val="000000" w:themeColor="text1"/>
          <w:sz w:val="16"/>
          <w:szCs w:val="16"/>
          <w:lang w:eastAsia="en-AU"/>
        </w:rPr>
        <w:t xml:space="preserve">R Coomaraswamy, </w:t>
      </w:r>
      <w:hyperlink r:id="rId24" w:history="1">
        <w:r w:rsidR="00F247A7" w:rsidRPr="00206B2B">
          <w:rPr>
            <w:rStyle w:val="Hyperlink"/>
            <w:i/>
            <w:color w:val="000000" w:themeColor="text1"/>
            <w:sz w:val="16"/>
            <w:szCs w:val="16"/>
            <w:lang w:eastAsia="en-AU"/>
          </w:rPr>
          <w:t xml:space="preserve">Preventing </w:t>
        </w:r>
        <w:r w:rsidR="00103992" w:rsidRPr="00206B2B">
          <w:rPr>
            <w:rStyle w:val="Hyperlink"/>
            <w:i/>
            <w:iCs/>
            <w:color w:val="000000" w:themeColor="text1"/>
            <w:sz w:val="16"/>
            <w:szCs w:val="16"/>
            <w:lang w:eastAsia="en-AU"/>
          </w:rPr>
          <w:t>conflict, transforming justice, securing</w:t>
        </w:r>
        <w:r w:rsidR="00F247A7" w:rsidRPr="00206B2B">
          <w:rPr>
            <w:rStyle w:val="Hyperlink"/>
            <w:i/>
            <w:color w:val="000000" w:themeColor="text1"/>
            <w:sz w:val="16"/>
            <w:szCs w:val="16"/>
            <w:lang w:eastAsia="en-AU"/>
          </w:rPr>
          <w:t xml:space="preserve"> the </w:t>
        </w:r>
        <w:r w:rsidR="00103992" w:rsidRPr="00206B2B">
          <w:rPr>
            <w:rStyle w:val="Hyperlink"/>
            <w:i/>
            <w:iCs/>
            <w:color w:val="000000" w:themeColor="text1"/>
            <w:sz w:val="16"/>
            <w:szCs w:val="16"/>
            <w:lang w:eastAsia="en-AU"/>
          </w:rPr>
          <w:t>peace</w:t>
        </w:r>
        <w:r w:rsidR="00F247A7" w:rsidRPr="00206B2B">
          <w:rPr>
            <w:rStyle w:val="Hyperlink"/>
            <w:i/>
            <w:color w:val="000000" w:themeColor="text1"/>
            <w:sz w:val="16"/>
            <w:szCs w:val="16"/>
            <w:lang w:eastAsia="en-AU"/>
          </w:rPr>
          <w:t xml:space="preserve">: </w:t>
        </w:r>
        <w:r w:rsidR="007E0D9C" w:rsidRPr="00206B2B">
          <w:rPr>
            <w:rStyle w:val="Hyperlink"/>
            <w:i/>
            <w:color w:val="000000" w:themeColor="text1"/>
            <w:sz w:val="16"/>
            <w:szCs w:val="16"/>
            <w:lang w:eastAsia="en-AU"/>
          </w:rPr>
          <w:t>a</w:t>
        </w:r>
        <w:r w:rsidR="00F247A7" w:rsidRPr="00206B2B">
          <w:rPr>
            <w:rStyle w:val="Hyperlink"/>
            <w:i/>
            <w:color w:val="000000" w:themeColor="text1"/>
            <w:sz w:val="16"/>
            <w:szCs w:val="16"/>
            <w:lang w:eastAsia="en-AU"/>
          </w:rPr>
          <w:t xml:space="preserve"> </w:t>
        </w:r>
        <w:r w:rsidR="00103992" w:rsidRPr="00206B2B">
          <w:rPr>
            <w:rStyle w:val="Hyperlink"/>
            <w:i/>
            <w:iCs/>
            <w:color w:val="000000" w:themeColor="text1"/>
            <w:sz w:val="16"/>
            <w:szCs w:val="16"/>
            <w:lang w:eastAsia="en-AU"/>
          </w:rPr>
          <w:t>global study</w:t>
        </w:r>
        <w:r w:rsidR="00F247A7" w:rsidRPr="00206B2B">
          <w:rPr>
            <w:rStyle w:val="Hyperlink"/>
            <w:i/>
            <w:color w:val="000000" w:themeColor="text1"/>
            <w:sz w:val="16"/>
            <w:szCs w:val="16"/>
            <w:lang w:eastAsia="en-AU"/>
          </w:rPr>
          <w:t xml:space="preserve"> on the </w:t>
        </w:r>
        <w:r w:rsidR="00103992" w:rsidRPr="00206B2B">
          <w:rPr>
            <w:rStyle w:val="Hyperlink"/>
            <w:i/>
            <w:iCs/>
            <w:color w:val="000000" w:themeColor="text1"/>
            <w:sz w:val="16"/>
            <w:szCs w:val="16"/>
            <w:lang w:eastAsia="en-AU"/>
          </w:rPr>
          <w:t>im</w:t>
        </w:r>
        <w:r w:rsidR="00F247A7" w:rsidRPr="00206B2B">
          <w:rPr>
            <w:rStyle w:val="Hyperlink"/>
            <w:i/>
            <w:iCs/>
            <w:color w:val="000000" w:themeColor="text1"/>
            <w:sz w:val="16"/>
            <w:szCs w:val="16"/>
            <w:lang w:eastAsia="en-AU"/>
          </w:rPr>
          <w:t>plementation</w:t>
        </w:r>
        <w:r w:rsidR="00F247A7" w:rsidRPr="00206B2B">
          <w:rPr>
            <w:rStyle w:val="Hyperlink"/>
            <w:i/>
            <w:color w:val="000000" w:themeColor="text1"/>
            <w:sz w:val="16"/>
            <w:szCs w:val="16"/>
            <w:lang w:eastAsia="en-AU"/>
          </w:rPr>
          <w:t xml:space="preserve"> of United Nations Security Council Resolution 1325</w:t>
        </w:r>
      </w:hyperlink>
      <w:r w:rsidR="00F247A7" w:rsidRPr="00206B2B">
        <w:rPr>
          <w:color w:val="000000" w:themeColor="text1"/>
          <w:sz w:val="16"/>
          <w:szCs w:val="16"/>
          <w:lang w:eastAsia="en-AU"/>
        </w:rPr>
        <w:t>, UN Women, 2015</w:t>
      </w:r>
      <w:r w:rsidR="00313A99" w:rsidRPr="00206B2B">
        <w:rPr>
          <w:color w:val="000000" w:themeColor="text1"/>
          <w:sz w:val="16"/>
          <w:szCs w:val="16"/>
          <w:lang w:eastAsia="en-AU"/>
        </w:rPr>
        <w:t>.</w:t>
      </w:r>
    </w:p>
  </w:footnote>
  <w:footnote w:id="19">
    <w:p w14:paraId="2C602BB0" w14:textId="77838283" w:rsidR="00175620" w:rsidRPr="00206B2B" w:rsidRDefault="00175620" w:rsidP="00A40A1C">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AE58CF" w:rsidRPr="00206B2B">
        <w:rPr>
          <w:color w:val="000000" w:themeColor="text1"/>
          <w:sz w:val="16"/>
          <w:szCs w:val="16"/>
        </w:rPr>
        <w:t>U</w:t>
      </w:r>
      <w:r w:rsidR="009B7419" w:rsidRPr="00206B2B">
        <w:rPr>
          <w:color w:val="000000" w:themeColor="text1"/>
          <w:sz w:val="16"/>
          <w:szCs w:val="16"/>
        </w:rPr>
        <w:t>nited Nations Security Council</w:t>
      </w:r>
      <w:r w:rsidR="00AE58CF" w:rsidRPr="00206B2B">
        <w:rPr>
          <w:color w:val="000000" w:themeColor="text1"/>
          <w:sz w:val="16"/>
          <w:szCs w:val="16"/>
        </w:rPr>
        <w:t xml:space="preserve">, </w:t>
      </w:r>
      <w:hyperlink r:id="rId25" w:history="1">
        <w:r w:rsidR="00A40A1C" w:rsidRPr="00206B2B">
          <w:rPr>
            <w:rStyle w:val="Hyperlink"/>
            <w:i/>
            <w:color w:val="000000" w:themeColor="text1"/>
            <w:sz w:val="16"/>
            <w:szCs w:val="16"/>
          </w:rPr>
          <w:t>Women and peace and security</w:t>
        </w:r>
        <w:r w:rsidR="002A1214" w:rsidRPr="00206B2B">
          <w:rPr>
            <w:rStyle w:val="Hyperlink"/>
            <w:i/>
            <w:iCs/>
            <w:color w:val="000000" w:themeColor="text1"/>
            <w:sz w:val="16"/>
            <w:szCs w:val="16"/>
          </w:rPr>
          <w:t xml:space="preserve">: </w:t>
        </w:r>
        <w:r w:rsidR="007E0D9C" w:rsidRPr="00206B2B">
          <w:rPr>
            <w:rStyle w:val="Hyperlink"/>
            <w:i/>
            <w:iCs/>
            <w:color w:val="000000" w:themeColor="text1"/>
            <w:sz w:val="16"/>
            <w:szCs w:val="16"/>
          </w:rPr>
          <w:t>r</w:t>
        </w:r>
        <w:r w:rsidR="002A1214" w:rsidRPr="00206B2B">
          <w:rPr>
            <w:rStyle w:val="Hyperlink"/>
            <w:i/>
            <w:iCs/>
            <w:color w:val="000000" w:themeColor="text1"/>
            <w:sz w:val="16"/>
            <w:szCs w:val="16"/>
          </w:rPr>
          <w:t>eport of the Secretary-General</w:t>
        </w:r>
      </w:hyperlink>
      <w:r w:rsidR="00A40A1C" w:rsidRPr="00206B2B">
        <w:rPr>
          <w:color w:val="000000" w:themeColor="text1"/>
          <w:sz w:val="16"/>
          <w:szCs w:val="16"/>
        </w:rPr>
        <w:t xml:space="preserve">, </w:t>
      </w:r>
      <w:r w:rsidR="009826D6" w:rsidRPr="00206B2B">
        <w:rPr>
          <w:color w:val="000000" w:themeColor="text1"/>
          <w:sz w:val="16"/>
          <w:szCs w:val="16"/>
        </w:rPr>
        <w:t>S/2025/556</w:t>
      </w:r>
      <w:r w:rsidR="00A40A1C" w:rsidRPr="00206B2B">
        <w:rPr>
          <w:color w:val="000000" w:themeColor="text1"/>
          <w:sz w:val="16"/>
          <w:szCs w:val="16"/>
        </w:rPr>
        <w:t>, 5 September 2025.</w:t>
      </w:r>
    </w:p>
  </w:footnote>
  <w:footnote w:id="20">
    <w:p w14:paraId="4DBC81AE" w14:textId="394F0AAF" w:rsidR="00B61112" w:rsidRPr="00206B2B" w:rsidRDefault="00B61112" w:rsidP="00081233">
      <w:pPr>
        <w:rPr>
          <w:sz w:val="16"/>
          <w:szCs w:val="16"/>
        </w:rPr>
      </w:pPr>
      <w:r w:rsidRPr="00206B2B">
        <w:rPr>
          <w:rStyle w:val="FootnoteReference"/>
          <w:color w:val="000000" w:themeColor="text1"/>
          <w:sz w:val="16"/>
          <w:szCs w:val="16"/>
        </w:rPr>
        <w:footnoteRef/>
      </w:r>
      <w:r w:rsidR="00A87FAB" w:rsidRPr="00206B2B">
        <w:rPr>
          <w:color w:val="000000" w:themeColor="text1"/>
          <w:sz w:val="16"/>
          <w:szCs w:val="16"/>
        </w:rPr>
        <w:t xml:space="preserve"> </w:t>
      </w:r>
      <w:r w:rsidR="00081233" w:rsidRPr="00206B2B">
        <w:rPr>
          <w:color w:val="000000" w:themeColor="text1"/>
          <w:sz w:val="16"/>
          <w:szCs w:val="16"/>
        </w:rPr>
        <w:t xml:space="preserve">R George, C Koppell, J Smith and A Kawamura, </w:t>
      </w:r>
      <w:hyperlink r:id="rId26" w:history="1">
        <w:r w:rsidR="00081233" w:rsidRPr="00206B2B">
          <w:rPr>
            <w:rStyle w:val="Hyperlink"/>
            <w:i/>
            <w:iCs/>
            <w:color w:val="000000" w:themeColor="text1"/>
            <w:sz w:val="16"/>
            <w:szCs w:val="16"/>
          </w:rPr>
          <w:t>Funding f</w:t>
        </w:r>
        <w:r w:rsidR="007D7EEE" w:rsidRPr="00206B2B">
          <w:rPr>
            <w:rStyle w:val="Hyperlink"/>
            <w:i/>
            <w:iCs/>
            <w:color w:val="000000" w:themeColor="text1"/>
            <w:sz w:val="16"/>
            <w:szCs w:val="16"/>
          </w:rPr>
          <w:t>or women, peace and security</w:t>
        </w:r>
        <w:r w:rsidR="00081233" w:rsidRPr="00206B2B">
          <w:rPr>
            <w:rStyle w:val="Hyperlink"/>
            <w:i/>
            <w:iCs/>
            <w:color w:val="000000" w:themeColor="text1"/>
            <w:sz w:val="16"/>
            <w:szCs w:val="16"/>
          </w:rPr>
          <w:t xml:space="preserve">: </w:t>
        </w:r>
        <w:r w:rsidR="007E0D9C" w:rsidRPr="00206B2B">
          <w:rPr>
            <w:rStyle w:val="Hyperlink"/>
            <w:i/>
            <w:iCs/>
            <w:color w:val="000000" w:themeColor="text1"/>
            <w:sz w:val="16"/>
            <w:szCs w:val="16"/>
          </w:rPr>
          <w:t>r</w:t>
        </w:r>
        <w:r w:rsidR="00081233" w:rsidRPr="00206B2B">
          <w:rPr>
            <w:rStyle w:val="Hyperlink"/>
            <w:i/>
            <w:iCs/>
            <w:color w:val="000000" w:themeColor="text1"/>
            <w:sz w:val="16"/>
            <w:szCs w:val="16"/>
          </w:rPr>
          <w:t>efl</w:t>
        </w:r>
        <w:r w:rsidR="007D7EEE" w:rsidRPr="00206B2B">
          <w:rPr>
            <w:rStyle w:val="Hyperlink"/>
            <w:i/>
            <w:iCs/>
            <w:color w:val="000000" w:themeColor="text1"/>
            <w:sz w:val="16"/>
            <w:szCs w:val="16"/>
          </w:rPr>
          <w:t>ections on 25 years</w:t>
        </w:r>
      </w:hyperlink>
      <w:r w:rsidR="00081233" w:rsidRPr="00206B2B">
        <w:rPr>
          <w:color w:val="000000" w:themeColor="text1"/>
          <w:sz w:val="16"/>
          <w:szCs w:val="16"/>
        </w:rPr>
        <w:t>, Georgetown Institute for Women, Peace and Security, 2025</w:t>
      </w:r>
      <w:r w:rsidR="0047562D" w:rsidRPr="00206B2B">
        <w:rPr>
          <w:sz w:val="16"/>
          <w:szCs w:val="16"/>
        </w:rPr>
        <w:t xml:space="preserve">; </w:t>
      </w:r>
      <w:r w:rsidR="0047562D" w:rsidRPr="00206B2B">
        <w:rPr>
          <w:color w:val="000000" w:themeColor="text1"/>
          <w:sz w:val="16"/>
          <w:szCs w:val="16"/>
        </w:rPr>
        <w:t xml:space="preserve">UNSC, </w:t>
      </w:r>
      <w:r w:rsidR="0047562D" w:rsidRPr="00206B2B">
        <w:rPr>
          <w:i/>
          <w:iCs/>
          <w:color w:val="000000" w:themeColor="text1"/>
          <w:sz w:val="16"/>
          <w:szCs w:val="16"/>
        </w:rPr>
        <w:t>Women and peace and security: Report of the Secretary-General</w:t>
      </w:r>
      <w:r w:rsidR="0015682F" w:rsidRPr="00206B2B">
        <w:rPr>
          <w:i/>
          <w:iCs/>
          <w:color w:val="000000" w:themeColor="text1"/>
          <w:sz w:val="16"/>
          <w:szCs w:val="16"/>
        </w:rPr>
        <w:t>.</w:t>
      </w:r>
    </w:p>
  </w:footnote>
  <w:footnote w:id="21">
    <w:p w14:paraId="56C415C9" w14:textId="5490900A" w:rsidR="00A6089F" w:rsidRPr="00206B2B" w:rsidRDefault="00A6089F" w:rsidP="00723796">
      <w:pPr>
        <w:pStyle w:val="FootnoteText"/>
        <w:rPr>
          <w:szCs w:val="16"/>
        </w:rPr>
      </w:pPr>
      <w:r w:rsidRPr="00206B2B">
        <w:rPr>
          <w:rStyle w:val="FootnoteReference"/>
          <w:szCs w:val="16"/>
        </w:rPr>
        <w:footnoteRef/>
      </w:r>
      <w:r w:rsidRPr="00206B2B">
        <w:rPr>
          <w:szCs w:val="16"/>
        </w:rPr>
        <w:t xml:space="preserve"> </w:t>
      </w:r>
      <w:r w:rsidR="001D1CCB" w:rsidRPr="00206B2B">
        <w:rPr>
          <w:szCs w:val="16"/>
          <w:lang w:eastAsia="en-AU"/>
        </w:rPr>
        <w:t>C Hamilton, N Naam and L</w:t>
      </w:r>
      <w:r w:rsidR="00197297" w:rsidRPr="00206B2B">
        <w:rPr>
          <w:szCs w:val="16"/>
          <w:lang w:eastAsia="en-AU"/>
        </w:rPr>
        <w:t>J</w:t>
      </w:r>
      <w:r w:rsidR="001D1CCB" w:rsidRPr="00206B2B">
        <w:rPr>
          <w:szCs w:val="16"/>
          <w:lang w:eastAsia="en-AU"/>
        </w:rPr>
        <w:t xml:space="preserve"> Shepherd, </w:t>
      </w:r>
      <w:hyperlink r:id="rId27" w:history="1">
        <w:r w:rsidR="001D1CCB" w:rsidRPr="00206B2B">
          <w:rPr>
            <w:rStyle w:val="Hyperlink"/>
            <w:i/>
            <w:color w:val="000000" w:themeColor="text1"/>
            <w:szCs w:val="16"/>
            <w:lang w:eastAsia="en-AU"/>
          </w:rPr>
          <w:t xml:space="preserve">Twenty </w:t>
        </w:r>
        <w:r w:rsidR="007D7EEE" w:rsidRPr="00206B2B">
          <w:rPr>
            <w:rStyle w:val="Hyperlink"/>
            <w:i/>
            <w:color w:val="000000" w:themeColor="text1"/>
            <w:szCs w:val="16"/>
            <w:lang w:eastAsia="en-AU"/>
          </w:rPr>
          <w:t>years of women, peace and security national action plans: analysis and lessons learned</w:t>
        </w:r>
      </w:hyperlink>
      <w:r w:rsidR="001D1CCB" w:rsidRPr="00206B2B">
        <w:rPr>
          <w:szCs w:val="16"/>
          <w:lang w:eastAsia="en-AU"/>
        </w:rPr>
        <w:t>, University of Sydney, 2020</w:t>
      </w:r>
      <w:r w:rsidR="00723796" w:rsidRPr="00206B2B">
        <w:rPr>
          <w:szCs w:val="16"/>
          <w:lang w:eastAsia="en-AU"/>
        </w:rPr>
        <w:t xml:space="preserve">; </w:t>
      </w:r>
      <w:r w:rsidR="00723796" w:rsidRPr="00206B2B">
        <w:rPr>
          <w:szCs w:val="16"/>
        </w:rPr>
        <w:t>Veronika and Afrianty, ‘Special issue editorial: Gender and security in the Indo-Pacific’.</w:t>
      </w:r>
    </w:p>
  </w:footnote>
  <w:footnote w:id="22">
    <w:p w14:paraId="3C455048" w14:textId="5751E434" w:rsidR="00053D38" w:rsidRPr="00206B2B" w:rsidRDefault="00053D38">
      <w:pPr>
        <w:pStyle w:val="FootnoteText"/>
      </w:pPr>
      <w:r w:rsidRPr="00206B2B">
        <w:rPr>
          <w:rStyle w:val="FootnoteReference"/>
          <w:szCs w:val="16"/>
        </w:rPr>
        <w:footnoteRef/>
      </w:r>
      <w:r w:rsidRPr="00206B2B">
        <w:rPr>
          <w:szCs w:val="16"/>
        </w:rPr>
        <w:t xml:space="preserve"> </w:t>
      </w:r>
      <w:r w:rsidR="001933B6" w:rsidRPr="00206B2B">
        <w:rPr>
          <w:szCs w:val="16"/>
        </w:rPr>
        <w:t>CJ Oudraat</w:t>
      </w:r>
      <w:r w:rsidR="00301532" w:rsidRPr="00206B2B">
        <w:rPr>
          <w:szCs w:val="16"/>
        </w:rPr>
        <w:t xml:space="preserve"> and ME Br</w:t>
      </w:r>
      <w:r w:rsidR="001B56D5" w:rsidRPr="00206B2B">
        <w:rPr>
          <w:szCs w:val="16"/>
        </w:rPr>
        <w:t xml:space="preserve">own, </w:t>
      </w:r>
      <w:hyperlink r:id="rId28" w:history="1">
        <w:r w:rsidR="001B56D5" w:rsidRPr="00206B2B">
          <w:rPr>
            <w:rStyle w:val="Hyperlink"/>
            <w:i/>
            <w:color w:val="000000" w:themeColor="text1"/>
            <w:szCs w:val="16"/>
          </w:rPr>
          <w:t xml:space="preserve">The WPS agenda beyond 2025: </w:t>
        </w:r>
        <w:r w:rsidR="001A3181" w:rsidRPr="00206B2B">
          <w:rPr>
            <w:rStyle w:val="Hyperlink"/>
            <w:i/>
            <w:color w:val="000000" w:themeColor="text1"/>
            <w:szCs w:val="16"/>
          </w:rPr>
          <w:t>t</w:t>
        </w:r>
        <w:r w:rsidR="001B56D5" w:rsidRPr="00206B2B">
          <w:rPr>
            <w:rStyle w:val="Hyperlink"/>
            <w:i/>
            <w:color w:val="000000" w:themeColor="text1"/>
            <w:szCs w:val="16"/>
          </w:rPr>
          <w:t>ime for a WPS treaty</w:t>
        </w:r>
      </w:hyperlink>
      <w:r w:rsidR="00534E9D" w:rsidRPr="00206B2B">
        <w:rPr>
          <w:szCs w:val="16"/>
        </w:rPr>
        <w:t xml:space="preserve">, Women </w:t>
      </w:r>
      <w:r w:rsidR="009D4C0B" w:rsidRPr="00206B2B">
        <w:rPr>
          <w:szCs w:val="16"/>
        </w:rPr>
        <w:t>in</w:t>
      </w:r>
      <w:r w:rsidR="00534E9D" w:rsidRPr="00206B2B">
        <w:rPr>
          <w:szCs w:val="16"/>
        </w:rPr>
        <w:t xml:space="preserve"> International Security</w:t>
      </w:r>
      <w:r w:rsidR="007C20CD" w:rsidRPr="00206B2B">
        <w:rPr>
          <w:szCs w:val="16"/>
        </w:rPr>
        <w:t xml:space="preserve"> (WIIS)</w:t>
      </w:r>
      <w:r w:rsidR="00A957EC" w:rsidRPr="00206B2B">
        <w:rPr>
          <w:szCs w:val="16"/>
        </w:rPr>
        <w:t>, November 2025</w:t>
      </w:r>
      <w:r w:rsidR="00B82069" w:rsidRPr="00206B2B">
        <w:rPr>
          <w:szCs w:val="16"/>
        </w:rPr>
        <w:t>;</w:t>
      </w:r>
      <w:r w:rsidRPr="00206B2B">
        <w:rPr>
          <w:szCs w:val="16"/>
        </w:rPr>
        <w:t xml:space="preserve"> </w:t>
      </w:r>
      <w:r w:rsidRPr="00206B2B">
        <w:rPr>
          <w:szCs w:val="16"/>
          <w:lang w:eastAsia="en-AU"/>
        </w:rPr>
        <w:t>Hamilton</w:t>
      </w:r>
      <w:r w:rsidR="003357DC" w:rsidRPr="00206B2B">
        <w:rPr>
          <w:szCs w:val="16"/>
          <w:lang w:eastAsia="en-AU"/>
        </w:rPr>
        <w:t xml:space="preserve"> et al.</w:t>
      </w:r>
      <w:r w:rsidRPr="00206B2B">
        <w:rPr>
          <w:szCs w:val="16"/>
          <w:lang w:eastAsia="en-AU"/>
        </w:rPr>
        <w:t xml:space="preserve">, </w:t>
      </w:r>
      <w:r w:rsidRPr="00206B2B">
        <w:rPr>
          <w:i/>
          <w:szCs w:val="16"/>
          <w:lang w:eastAsia="en-AU"/>
        </w:rPr>
        <w:t>Twenty Years of Women, Peace and Security National Action Plans: Analysis and Lessons Learned</w:t>
      </w:r>
      <w:r w:rsidR="0074130B" w:rsidRPr="00206B2B">
        <w:rPr>
          <w:i/>
          <w:szCs w:val="16"/>
          <w:lang w:eastAsia="en-AU"/>
        </w:rPr>
        <w:t xml:space="preserve">, </w:t>
      </w:r>
      <w:r w:rsidR="0074130B" w:rsidRPr="00206B2B">
        <w:rPr>
          <w:szCs w:val="16"/>
          <w:lang w:eastAsia="en-AU"/>
        </w:rPr>
        <w:t>p 12</w:t>
      </w:r>
      <w:r w:rsidR="00197297" w:rsidRPr="00206B2B">
        <w:rPr>
          <w:szCs w:val="16"/>
          <w:lang w:eastAsia="en-AU"/>
        </w:rPr>
        <w:t>.</w:t>
      </w:r>
    </w:p>
  </w:footnote>
  <w:footnote w:id="23">
    <w:p w14:paraId="28AE2477" w14:textId="222C5DE2" w:rsidR="00ED4017" w:rsidRPr="00862B5E" w:rsidRDefault="00ED4017" w:rsidP="0083750F">
      <w:pPr>
        <w:rPr>
          <w:color w:val="000000" w:themeColor="text1"/>
          <w:sz w:val="16"/>
          <w:szCs w:val="16"/>
        </w:rPr>
      </w:pPr>
      <w:r w:rsidRPr="00206B2B">
        <w:rPr>
          <w:rStyle w:val="FootnoteReference"/>
          <w:rFonts w:cs="Arial"/>
          <w:color w:val="000000" w:themeColor="text1"/>
          <w:sz w:val="16"/>
          <w:szCs w:val="16"/>
        </w:rPr>
        <w:footnoteRef/>
      </w:r>
      <w:r w:rsidRPr="00862B5E">
        <w:rPr>
          <w:color w:val="000000" w:themeColor="text1"/>
          <w:sz w:val="16"/>
          <w:szCs w:val="16"/>
        </w:rPr>
        <w:t xml:space="preserve"> </w:t>
      </w:r>
      <w:r w:rsidR="00691EC3" w:rsidRPr="00862B5E">
        <w:rPr>
          <w:color w:val="000000" w:themeColor="text1"/>
          <w:sz w:val="16"/>
          <w:szCs w:val="16"/>
          <w:lang w:eastAsia="en-AU"/>
        </w:rPr>
        <w:t>V</w:t>
      </w:r>
      <w:r w:rsidR="00323D4E" w:rsidRPr="00862B5E">
        <w:rPr>
          <w:color w:val="000000" w:themeColor="text1"/>
          <w:sz w:val="16"/>
          <w:szCs w:val="16"/>
          <w:lang w:eastAsia="en-AU"/>
        </w:rPr>
        <w:t>F</w:t>
      </w:r>
      <w:r w:rsidR="00691EC3" w:rsidRPr="00862B5E">
        <w:rPr>
          <w:color w:val="000000" w:themeColor="text1"/>
          <w:sz w:val="16"/>
          <w:szCs w:val="16"/>
          <w:lang w:eastAsia="en-AU"/>
        </w:rPr>
        <w:t xml:space="preserve"> Newby </w:t>
      </w:r>
      <w:r w:rsidR="00691EC3" w:rsidRPr="00206B2B">
        <w:rPr>
          <w:color w:val="000000" w:themeColor="text1"/>
          <w:sz w:val="16"/>
          <w:szCs w:val="16"/>
          <w:lang w:eastAsia="en-AU"/>
        </w:rPr>
        <w:t xml:space="preserve">and A O'Malley, </w:t>
      </w:r>
      <w:r w:rsidR="006417BC" w:rsidRPr="00206B2B">
        <w:rPr>
          <w:color w:val="000000" w:themeColor="text1"/>
          <w:sz w:val="16"/>
          <w:szCs w:val="16"/>
          <w:lang w:eastAsia="en-AU"/>
        </w:rPr>
        <w:t>‘</w:t>
      </w:r>
      <w:hyperlink r:id="rId29" w:history="1">
        <w:r w:rsidR="00691EC3" w:rsidRPr="00206B2B">
          <w:rPr>
            <w:rStyle w:val="Hyperlink"/>
            <w:rFonts w:cs="Arial"/>
            <w:color w:val="000000" w:themeColor="text1"/>
            <w:sz w:val="16"/>
            <w:szCs w:val="16"/>
            <w:lang w:eastAsia="en-AU"/>
          </w:rPr>
          <w:t xml:space="preserve">Introduction: WPS 20 </w:t>
        </w:r>
        <w:r w:rsidR="007D7EEE" w:rsidRPr="00206B2B">
          <w:rPr>
            <w:rStyle w:val="Hyperlink"/>
            <w:rFonts w:cs="Arial"/>
            <w:color w:val="000000" w:themeColor="text1"/>
            <w:sz w:val="16"/>
            <w:szCs w:val="16"/>
            <w:lang w:eastAsia="en-AU"/>
          </w:rPr>
          <w:t>years on: where are</w:t>
        </w:r>
        <w:r w:rsidR="00691EC3" w:rsidRPr="00206B2B">
          <w:rPr>
            <w:rStyle w:val="Hyperlink"/>
            <w:rFonts w:cs="Arial"/>
            <w:color w:val="000000" w:themeColor="text1"/>
            <w:sz w:val="16"/>
            <w:szCs w:val="16"/>
            <w:lang w:eastAsia="en-AU"/>
          </w:rPr>
          <w:t xml:space="preserve"> the </w:t>
        </w:r>
        <w:r w:rsidR="007D7EEE" w:rsidRPr="00206B2B">
          <w:rPr>
            <w:rStyle w:val="Hyperlink"/>
            <w:rFonts w:cs="Arial"/>
            <w:color w:val="000000" w:themeColor="text1"/>
            <w:sz w:val="16"/>
            <w:szCs w:val="16"/>
            <w:lang w:eastAsia="en-AU"/>
          </w:rPr>
          <w:t>women now</w:t>
        </w:r>
        <w:r w:rsidR="00691EC3" w:rsidRPr="00206B2B">
          <w:rPr>
            <w:rStyle w:val="Hyperlink"/>
            <w:rFonts w:cs="Arial"/>
            <w:color w:val="000000" w:themeColor="text1"/>
            <w:sz w:val="16"/>
            <w:szCs w:val="16"/>
            <w:lang w:eastAsia="en-AU"/>
          </w:rPr>
          <w:t>?</w:t>
        </w:r>
      </w:hyperlink>
      <w:r w:rsidR="006417BC" w:rsidRPr="00206B2B">
        <w:rPr>
          <w:color w:val="000000" w:themeColor="text1"/>
          <w:sz w:val="16"/>
          <w:szCs w:val="16"/>
        </w:rPr>
        <w:t>’</w:t>
      </w:r>
      <w:r w:rsidR="00691EC3" w:rsidRPr="00206B2B">
        <w:rPr>
          <w:color w:val="000000" w:themeColor="text1"/>
          <w:sz w:val="16"/>
          <w:szCs w:val="16"/>
          <w:lang w:eastAsia="en-AU"/>
        </w:rPr>
        <w:t xml:space="preserve">, </w:t>
      </w:r>
      <w:r w:rsidR="00691EC3" w:rsidRPr="00206B2B">
        <w:rPr>
          <w:i/>
          <w:color w:val="000000" w:themeColor="text1"/>
          <w:sz w:val="16"/>
          <w:szCs w:val="16"/>
          <w:lang w:eastAsia="en-AU"/>
        </w:rPr>
        <w:t>Global Studies Quarterly</w:t>
      </w:r>
      <w:r w:rsidR="00691EC3" w:rsidRPr="00206B2B">
        <w:rPr>
          <w:color w:val="000000" w:themeColor="text1"/>
          <w:sz w:val="16"/>
          <w:szCs w:val="16"/>
          <w:lang w:eastAsia="en-AU"/>
        </w:rPr>
        <w:t>, 2021</w:t>
      </w:r>
      <w:r w:rsidR="006417BC" w:rsidRPr="00206B2B">
        <w:rPr>
          <w:color w:val="000000" w:themeColor="text1"/>
          <w:sz w:val="16"/>
          <w:szCs w:val="16"/>
          <w:lang w:eastAsia="en-AU"/>
        </w:rPr>
        <w:t>, 1</w:t>
      </w:r>
      <w:r w:rsidR="00086D1F" w:rsidRPr="00206B2B">
        <w:rPr>
          <w:color w:val="000000" w:themeColor="text1"/>
          <w:sz w:val="16"/>
          <w:szCs w:val="16"/>
          <w:lang w:eastAsia="en-AU"/>
        </w:rPr>
        <w:t>(</w:t>
      </w:r>
      <w:r w:rsidR="006417BC" w:rsidRPr="00206B2B">
        <w:rPr>
          <w:color w:val="000000" w:themeColor="text1"/>
          <w:sz w:val="16"/>
          <w:szCs w:val="16"/>
          <w:lang w:eastAsia="en-AU"/>
        </w:rPr>
        <w:t>3</w:t>
      </w:r>
      <w:r w:rsidR="00086D1F" w:rsidRPr="00206B2B">
        <w:rPr>
          <w:color w:val="000000" w:themeColor="text1"/>
          <w:sz w:val="16"/>
          <w:szCs w:val="16"/>
          <w:lang w:eastAsia="en-AU"/>
        </w:rPr>
        <w:t>)</w:t>
      </w:r>
      <w:r w:rsidR="006B24FA" w:rsidRPr="00206B2B">
        <w:rPr>
          <w:color w:val="000000" w:themeColor="text1"/>
          <w:sz w:val="16"/>
          <w:szCs w:val="16"/>
          <w:lang w:eastAsia="en-AU"/>
        </w:rPr>
        <w:t>, doi</w:t>
      </w:r>
      <w:r w:rsidR="00B96089" w:rsidRPr="00206B2B">
        <w:rPr>
          <w:color w:val="000000" w:themeColor="text1"/>
          <w:sz w:val="16"/>
          <w:szCs w:val="16"/>
          <w:lang w:eastAsia="en-AU"/>
        </w:rPr>
        <w:t>:</w:t>
      </w:r>
      <w:r w:rsidR="004D2CAB" w:rsidRPr="00206B2B">
        <w:rPr>
          <w:color w:val="000000" w:themeColor="text1"/>
          <w:sz w:val="16"/>
          <w:szCs w:val="16"/>
          <w:lang w:eastAsia="en-AU"/>
        </w:rPr>
        <w:t>10.1093/isagsq/ksab017</w:t>
      </w:r>
      <w:r w:rsidR="00691EC3" w:rsidRPr="00206B2B">
        <w:rPr>
          <w:color w:val="000000" w:themeColor="text1"/>
          <w:sz w:val="16"/>
          <w:szCs w:val="16"/>
          <w:lang w:eastAsia="en-AU"/>
        </w:rPr>
        <w:t>.</w:t>
      </w:r>
    </w:p>
  </w:footnote>
  <w:footnote w:id="24">
    <w:p w14:paraId="3A6DCD49" w14:textId="4A38DEBD" w:rsidR="001C09A7" w:rsidRPr="00862B5E" w:rsidRDefault="001C09A7" w:rsidP="0083750F">
      <w:pPr>
        <w:rPr>
          <w:color w:val="000000" w:themeColor="text1"/>
          <w:sz w:val="16"/>
          <w:szCs w:val="16"/>
          <w:lang w:eastAsia="en-AU"/>
        </w:rPr>
      </w:pPr>
      <w:r w:rsidRPr="00206B2B">
        <w:rPr>
          <w:rStyle w:val="FootnoteReference"/>
          <w:rFonts w:cs="Arial"/>
          <w:color w:val="000000" w:themeColor="text1"/>
          <w:sz w:val="16"/>
          <w:szCs w:val="16"/>
        </w:rPr>
        <w:footnoteRef/>
      </w:r>
      <w:r w:rsidRPr="00862B5E">
        <w:rPr>
          <w:color w:val="000000" w:themeColor="text1"/>
          <w:sz w:val="16"/>
          <w:szCs w:val="16"/>
        </w:rPr>
        <w:t xml:space="preserve"> </w:t>
      </w:r>
      <w:r w:rsidR="00E81866" w:rsidRPr="00206B2B">
        <w:rPr>
          <w:color w:val="000000" w:themeColor="text1"/>
          <w:sz w:val="16"/>
          <w:szCs w:val="16"/>
          <w:lang w:eastAsia="en-AU"/>
        </w:rPr>
        <w:t>Hamilton</w:t>
      </w:r>
      <w:r w:rsidR="00B1372B" w:rsidRPr="00206B2B">
        <w:rPr>
          <w:color w:val="000000" w:themeColor="text1"/>
          <w:sz w:val="16"/>
          <w:szCs w:val="16"/>
          <w:lang w:eastAsia="en-AU"/>
        </w:rPr>
        <w:t xml:space="preserve"> et al.</w:t>
      </w:r>
      <w:r w:rsidR="00E81866" w:rsidRPr="00206B2B">
        <w:rPr>
          <w:color w:val="000000" w:themeColor="text1"/>
          <w:sz w:val="16"/>
          <w:szCs w:val="16"/>
          <w:lang w:eastAsia="en-AU"/>
        </w:rPr>
        <w:t xml:space="preserve">, </w:t>
      </w:r>
      <w:r w:rsidR="00E81866" w:rsidRPr="00862B5E">
        <w:rPr>
          <w:i/>
          <w:color w:val="000000" w:themeColor="text1"/>
          <w:sz w:val="16"/>
          <w:szCs w:val="16"/>
          <w:lang w:eastAsia="en-AU"/>
        </w:rPr>
        <w:t xml:space="preserve">Twenty </w:t>
      </w:r>
      <w:r w:rsidR="007D7EEE" w:rsidRPr="00862B5E">
        <w:rPr>
          <w:i/>
          <w:color w:val="000000" w:themeColor="text1"/>
          <w:sz w:val="16"/>
          <w:szCs w:val="16"/>
          <w:lang w:eastAsia="en-AU"/>
        </w:rPr>
        <w:t>years of women, peace and security national action plans</w:t>
      </w:r>
      <w:r w:rsidR="00E81866" w:rsidRPr="00862B5E">
        <w:rPr>
          <w:i/>
          <w:color w:val="000000" w:themeColor="text1"/>
          <w:sz w:val="16"/>
          <w:szCs w:val="16"/>
          <w:lang w:eastAsia="en-AU"/>
        </w:rPr>
        <w:t xml:space="preserve">: </w:t>
      </w:r>
      <w:r w:rsidR="004C5961" w:rsidRPr="00862B5E">
        <w:rPr>
          <w:i/>
          <w:color w:val="000000" w:themeColor="text1"/>
          <w:sz w:val="16"/>
          <w:szCs w:val="16"/>
          <w:lang w:eastAsia="en-AU"/>
        </w:rPr>
        <w:t>a</w:t>
      </w:r>
      <w:r w:rsidR="00E81866" w:rsidRPr="00862B5E">
        <w:rPr>
          <w:i/>
          <w:color w:val="000000" w:themeColor="text1"/>
          <w:sz w:val="16"/>
          <w:szCs w:val="16"/>
          <w:lang w:eastAsia="en-AU"/>
        </w:rPr>
        <w:t xml:space="preserve">nalysis </w:t>
      </w:r>
      <w:r w:rsidR="007D7EEE" w:rsidRPr="00862B5E">
        <w:rPr>
          <w:i/>
          <w:color w:val="000000" w:themeColor="text1"/>
          <w:sz w:val="16"/>
          <w:szCs w:val="16"/>
          <w:lang w:eastAsia="en-AU"/>
        </w:rPr>
        <w:t>and lessons learned</w:t>
      </w:r>
      <w:r w:rsidR="007D7EEE" w:rsidRPr="00206B2B">
        <w:rPr>
          <w:i/>
          <w:iCs/>
          <w:color w:val="000000" w:themeColor="text1"/>
          <w:sz w:val="16"/>
          <w:szCs w:val="16"/>
          <w:lang w:eastAsia="en-AU"/>
        </w:rPr>
        <w:t>.</w:t>
      </w:r>
    </w:p>
  </w:footnote>
  <w:footnote w:id="25">
    <w:p w14:paraId="3FE824D6" w14:textId="53AF5DF2" w:rsidR="00B56BC7" w:rsidRPr="00862B5E" w:rsidRDefault="00B56BC7" w:rsidP="0083750F">
      <w:pPr>
        <w:rPr>
          <w:color w:val="000000" w:themeColor="text1"/>
          <w:sz w:val="16"/>
          <w:szCs w:val="16"/>
        </w:rPr>
      </w:pPr>
      <w:r w:rsidRPr="00862B5E">
        <w:rPr>
          <w:rStyle w:val="FootnoteReference"/>
          <w:rFonts w:cs="Arial"/>
          <w:color w:val="000000" w:themeColor="text1"/>
          <w:sz w:val="16"/>
          <w:szCs w:val="16"/>
        </w:rPr>
        <w:footnoteRef/>
      </w:r>
      <w:r w:rsidRPr="00862B5E">
        <w:rPr>
          <w:color w:val="000000" w:themeColor="text1"/>
          <w:sz w:val="16"/>
          <w:szCs w:val="16"/>
        </w:rPr>
        <w:t xml:space="preserve"> </w:t>
      </w:r>
      <w:r w:rsidR="00FB5085" w:rsidRPr="00862B5E">
        <w:rPr>
          <w:color w:val="000000" w:themeColor="text1"/>
          <w:sz w:val="16"/>
          <w:szCs w:val="16"/>
        </w:rPr>
        <w:t>Association of Southeast Asian Nations (ASEAN),</w:t>
      </w:r>
      <w:r w:rsidR="00FB5085" w:rsidRPr="00862B5E">
        <w:rPr>
          <w:i/>
          <w:color w:val="000000" w:themeColor="text1"/>
          <w:sz w:val="16"/>
          <w:szCs w:val="16"/>
        </w:rPr>
        <w:t xml:space="preserve"> </w:t>
      </w:r>
      <w:hyperlink r:id="rId30" w:history="1">
        <w:r w:rsidR="00FB5085" w:rsidRPr="00206B2B">
          <w:rPr>
            <w:rStyle w:val="Hyperlink"/>
            <w:rFonts w:cs="Arial"/>
            <w:i/>
            <w:iCs/>
            <w:color w:val="000000" w:themeColor="text1"/>
            <w:sz w:val="16"/>
            <w:szCs w:val="16"/>
          </w:rPr>
          <w:t xml:space="preserve">ASEAN </w:t>
        </w:r>
        <w:r w:rsidR="007D7EEE" w:rsidRPr="00206B2B">
          <w:rPr>
            <w:rStyle w:val="Hyperlink"/>
            <w:rFonts w:cs="Arial"/>
            <w:i/>
            <w:iCs/>
            <w:color w:val="000000" w:themeColor="text1"/>
            <w:sz w:val="16"/>
            <w:szCs w:val="16"/>
          </w:rPr>
          <w:t>regional plan of action on women, peace and security</w:t>
        </w:r>
      </w:hyperlink>
      <w:r w:rsidR="00FB5085" w:rsidRPr="00862B5E">
        <w:rPr>
          <w:color w:val="000000" w:themeColor="text1"/>
          <w:sz w:val="16"/>
          <w:szCs w:val="16"/>
        </w:rPr>
        <w:t>, ASEAN, (2022).</w:t>
      </w:r>
    </w:p>
  </w:footnote>
  <w:footnote w:id="26">
    <w:p w14:paraId="1B27AEA6" w14:textId="5B865429" w:rsidR="00C054A8" w:rsidRPr="00862B5E" w:rsidRDefault="00C054A8" w:rsidP="00CC7701">
      <w:pPr>
        <w:rPr>
          <w:color w:val="000000" w:themeColor="text1"/>
        </w:rPr>
      </w:pPr>
      <w:r w:rsidRPr="00862B5E">
        <w:rPr>
          <w:rStyle w:val="FootnoteReference"/>
          <w:color w:val="000000" w:themeColor="text1"/>
          <w:sz w:val="16"/>
          <w:szCs w:val="16"/>
        </w:rPr>
        <w:footnoteRef/>
      </w:r>
      <w:r w:rsidRPr="00862B5E">
        <w:rPr>
          <w:color w:val="000000" w:themeColor="text1"/>
        </w:rPr>
        <w:t xml:space="preserve"> </w:t>
      </w:r>
      <w:r w:rsidR="00CC7701" w:rsidRPr="00206B2B">
        <w:rPr>
          <w:color w:val="000000" w:themeColor="text1"/>
          <w:sz w:val="16"/>
          <w:szCs w:val="16"/>
        </w:rPr>
        <w:t>Pacific Islands Forum (PIF)</w:t>
      </w:r>
      <w:r w:rsidR="00194E16" w:rsidRPr="00206B2B">
        <w:rPr>
          <w:color w:val="000000" w:themeColor="text1"/>
          <w:sz w:val="16"/>
          <w:szCs w:val="16"/>
        </w:rPr>
        <w:t>,</w:t>
      </w:r>
      <w:r w:rsidR="00194E16" w:rsidRPr="00206B2B">
        <w:rPr>
          <w:i/>
          <w:iCs/>
          <w:color w:val="000000" w:themeColor="text1"/>
          <w:sz w:val="16"/>
          <w:szCs w:val="16"/>
        </w:rPr>
        <w:t xml:space="preserve"> </w:t>
      </w:r>
      <w:hyperlink r:id="rId31" w:history="1">
        <w:r w:rsidR="00194E16" w:rsidRPr="00206B2B">
          <w:rPr>
            <w:rStyle w:val="Hyperlink"/>
            <w:i/>
            <w:iCs/>
            <w:color w:val="000000" w:themeColor="text1"/>
            <w:sz w:val="16"/>
            <w:szCs w:val="16"/>
          </w:rPr>
          <w:t xml:space="preserve">2050 </w:t>
        </w:r>
        <w:r w:rsidR="00BF3DA4" w:rsidRPr="00206B2B">
          <w:rPr>
            <w:rStyle w:val="Hyperlink"/>
            <w:i/>
            <w:iCs/>
            <w:color w:val="000000" w:themeColor="text1"/>
            <w:sz w:val="16"/>
            <w:szCs w:val="16"/>
          </w:rPr>
          <w:t>s</w:t>
        </w:r>
        <w:r w:rsidR="00194E16" w:rsidRPr="00206B2B">
          <w:rPr>
            <w:rStyle w:val="Hyperlink"/>
            <w:i/>
            <w:iCs/>
            <w:color w:val="000000" w:themeColor="text1"/>
            <w:sz w:val="16"/>
            <w:szCs w:val="16"/>
          </w:rPr>
          <w:t>trateg</w:t>
        </w:r>
        <w:r w:rsidR="00DC7A11" w:rsidRPr="00206B2B">
          <w:rPr>
            <w:rStyle w:val="Hyperlink"/>
            <w:i/>
            <w:iCs/>
            <w:color w:val="000000" w:themeColor="text1"/>
            <w:sz w:val="16"/>
            <w:szCs w:val="16"/>
          </w:rPr>
          <w:t>y for the blue pacific continent</w:t>
        </w:r>
      </w:hyperlink>
      <w:r w:rsidR="00194E16" w:rsidRPr="00206B2B">
        <w:rPr>
          <w:color w:val="000000" w:themeColor="text1"/>
          <w:sz w:val="16"/>
          <w:szCs w:val="16"/>
        </w:rPr>
        <w:t xml:space="preserve">, </w:t>
      </w:r>
      <w:r w:rsidR="00291F51" w:rsidRPr="00206B2B">
        <w:rPr>
          <w:color w:val="000000" w:themeColor="text1"/>
          <w:sz w:val="16"/>
          <w:szCs w:val="16"/>
        </w:rPr>
        <w:t>PIF</w:t>
      </w:r>
      <w:r w:rsidR="00194E16" w:rsidRPr="00206B2B">
        <w:rPr>
          <w:color w:val="000000" w:themeColor="text1"/>
          <w:sz w:val="16"/>
          <w:szCs w:val="16"/>
        </w:rPr>
        <w:t xml:space="preserve">, 2022; PIF, </w:t>
      </w:r>
      <w:hyperlink r:id="rId32" w:history="1">
        <w:r w:rsidR="00CC7701" w:rsidRPr="00206B2B">
          <w:rPr>
            <w:rStyle w:val="Hyperlink"/>
            <w:i/>
            <w:iCs/>
            <w:color w:val="000000" w:themeColor="text1"/>
            <w:sz w:val="16"/>
            <w:szCs w:val="16"/>
          </w:rPr>
          <w:t xml:space="preserve">Pacific </w:t>
        </w:r>
        <w:r w:rsidR="00DC7A11" w:rsidRPr="00206B2B">
          <w:rPr>
            <w:rStyle w:val="Hyperlink"/>
            <w:i/>
            <w:iCs/>
            <w:color w:val="000000" w:themeColor="text1"/>
            <w:sz w:val="16"/>
            <w:szCs w:val="16"/>
          </w:rPr>
          <w:t>resilience standards</w:t>
        </w:r>
        <w:r w:rsidR="00CC7701" w:rsidRPr="00206B2B">
          <w:rPr>
            <w:rStyle w:val="Hyperlink"/>
            <w:i/>
            <w:iCs/>
            <w:color w:val="000000" w:themeColor="text1"/>
            <w:sz w:val="16"/>
            <w:szCs w:val="16"/>
          </w:rPr>
          <w:t xml:space="preserve">, </w:t>
        </w:r>
        <w:r w:rsidR="00966BB2" w:rsidRPr="00206B2B">
          <w:rPr>
            <w:rStyle w:val="Hyperlink"/>
            <w:i/>
            <w:iCs/>
            <w:color w:val="000000" w:themeColor="text1"/>
            <w:sz w:val="16"/>
            <w:szCs w:val="16"/>
          </w:rPr>
          <w:t>a</w:t>
        </w:r>
        <w:r w:rsidR="00CC7701" w:rsidRPr="00206B2B">
          <w:rPr>
            <w:rStyle w:val="Hyperlink"/>
            <w:i/>
            <w:iCs/>
            <w:color w:val="000000" w:themeColor="text1"/>
            <w:sz w:val="16"/>
            <w:szCs w:val="16"/>
          </w:rPr>
          <w:t xml:space="preserve"> </w:t>
        </w:r>
        <w:r w:rsidR="00966BB2" w:rsidRPr="00206B2B">
          <w:rPr>
            <w:rStyle w:val="Hyperlink"/>
            <w:i/>
            <w:iCs/>
            <w:color w:val="000000" w:themeColor="text1"/>
            <w:sz w:val="16"/>
            <w:szCs w:val="16"/>
          </w:rPr>
          <w:t>p</w:t>
        </w:r>
        <w:r w:rsidR="00CC7701" w:rsidRPr="00206B2B">
          <w:rPr>
            <w:rStyle w:val="Hyperlink"/>
            <w:i/>
            <w:iCs/>
            <w:color w:val="000000" w:themeColor="text1"/>
            <w:sz w:val="16"/>
            <w:szCs w:val="16"/>
          </w:rPr>
          <w:t xml:space="preserve">ractitioner’s </w:t>
        </w:r>
        <w:r w:rsidR="00966BB2" w:rsidRPr="00206B2B">
          <w:rPr>
            <w:rStyle w:val="Hyperlink"/>
            <w:i/>
            <w:iCs/>
            <w:color w:val="000000" w:themeColor="text1"/>
            <w:sz w:val="16"/>
            <w:szCs w:val="16"/>
          </w:rPr>
          <w:t>g</w:t>
        </w:r>
        <w:r w:rsidR="00CC7701" w:rsidRPr="00206B2B">
          <w:rPr>
            <w:rStyle w:val="Hyperlink"/>
            <w:i/>
            <w:iCs/>
            <w:color w:val="000000" w:themeColor="text1"/>
            <w:sz w:val="16"/>
            <w:szCs w:val="16"/>
          </w:rPr>
          <w:t>uide</w:t>
        </w:r>
      </w:hyperlink>
      <w:r w:rsidR="00CC7701" w:rsidRPr="00206B2B">
        <w:rPr>
          <w:color w:val="000000" w:themeColor="text1"/>
          <w:sz w:val="16"/>
          <w:szCs w:val="16"/>
        </w:rPr>
        <w:t>, P</w:t>
      </w:r>
      <w:r w:rsidR="00DF0B8B" w:rsidRPr="00206B2B">
        <w:rPr>
          <w:color w:val="000000" w:themeColor="text1"/>
          <w:sz w:val="16"/>
          <w:szCs w:val="16"/>
        </w:rPr>
        <w:t>IF</w:t>
      </w:r>
      <w:r w:rsidR="00CC7701" w:rsidRPr="00206B2B">
        <w:rPr>
          <w:color w:val="000000" w:themeColor="text1"/>
          <w:sz w:val="16"/>
          <w:szCs w:val="16"/>
        </w:rPr>
        <w:t>, 2021</w:t>
      </w:r>
      <w:r w:rsidR="00194E16" w:rsidRPr="00206B2B">
        <w:rPr>
          <w:color w:val="000000" w:themeColor="text1"/>
          <w:sz w:val="16"/>
          <w:szCs w:val="16"/>
        </w:rPr>
        <w:t>.</w:t>
      </w:r>
    </w:p>
  </w:footnote>
  <w:footnote w:id="27">
    <w:p w14:paraId="3F6B57A4" w14:textId="61141028" w:rsidR="00E466F9" w:rsidRPr="00862B5E" w:rsidRDefault="00E466F9" w:rsidP="00E466F9">
      <w:pPr>
        <w:rPr>
          <w:color w:val="000000" w:themeColor="text1"/>
          <w:sz w:val="16"/>
          <w:szCs w:val="16"/>
        </w:rPr>
      </w:pPr>
      <w:r w:rsidRPr="00862B5E">
        <w:rPr>
          <w:rStyle w:val="FootnoteReference"/>
          <w:color w:val="000000" w:themeColor="text1"/>
          <w:sz w:val="16"/>
          <w:szCs w:val="16"/>
        </w:rPr>
        <w:footnoteRef/>
      </w:r>
      <w:r w:rsidRPr="00862B5E">
        <w:rPr>
          <w:color w:val="000000" w:themeColor="text1"/>
          <w:sz w:val="16"/>
          <w:szCs w:val="16"/>
        </w:rPr>
        <w:t xml:space="preserve"> </w:t>
      </w:r>
      <w:r w:rsidR="00C609E1" w:rsidRPr="00862B5E">
        <w:rPr>
          <w:color w:val="000000" w:themeColor="text1"/>
          <w:sz w:val="16"/>
          <w:szCs w:val="16"/>
        </w:rPr>
        <w:t>PIF</w:t>
      </w:r>
      <w:r w:rsidRPr="00862B5E">
        <w:rPr>
          <w:color w:val="000000" w:themeColor="text1"/>
          <w:sz w:val="16"/>
          <w:szCs w:val="16"/>
        </w:rPr>
        <w:t xml:space="preserve">, </w:t>
      </w:r>
      <w:hyperlink r:id="rId33" w:history="1">
        <w:r w:rsidRPr="00206B2B">
          <w:rPr>
            <w:rStyle w:val="Hyperlink"/>
            <w:rFonts w:cs="Arial"/>
            <w:i/>
            <w:iCs/>
            <w:color w:val="000000" w:themeColor="text1"/>
            <w:sz w:val="16"/>
            <w:szCs w:val="16"/>
            <w:lang w:eastAsia="en-AU"/>
          </w:rPr>
          <w:t>Boe</w:t>
        </w:r>
        <w:r w:rsidR="00DC7A11" w:rsidRPr="00206B2B">
          <w:rPr>
            <w:rStyle w:val="Hyperlink"/>
            <w:rFonts w:cs="Arial"/>
            <w:i/>
            <w:iCs/>
            <w:color w:val="000000" w:themeColor="text1"/>
            <w:sz w:val="16"/>
            <w:szCs w:val="16"/>
            <w:lang w:eastAsia="en-AU"/>
          </w:rPr>
          <w:t xml:space="preserve"> declaration on regional security</w:t>
        </w:r>
      </w:hyperlink>
      <w:r w:rsidRPr="00862B5E">
        <w:rPr>
          <w:color w:val="000000" w:themeColor="text1"/>
          <w:sz w:val="16"/>
          <w:szCs w:val="16"/>
        </w:rPr>
        <w:t>, P</w:t>
      </w:r>
      <w:r w:rsidR="00066BB5" w:rsidRPr="00862B5E">
        <w:rPr>
          <w:color w:val="000000" w:themeColor="text1"/>
          <w:sz w:val="16"/>
          <w:szCs w:val="16"/>
        </w:rPr>
        <w:t>IF website</w:t>
      </w:r>
      <w:r w:rsidRPr="00862B5E">
        <w:rPr>
          <w:color w:val="000000" w:themeColor="text1"/>
          <w:sz w:val="16"/>
          <w:szCs w:val="16"/>
        </w:rPr>
        <w:t>, 05 September 2018, accessed 10 December 2025.</w:t>
      </w:r>
    </w:p>
  </w:footnote>
  <w:footnote w:id="28">
    <w:p w14:paraId="26C67F4A" w14:textId="5606F3F1" w:rsidR="00B70A9F" w:rsidRPr="00206B2B" w:rsidRDefault="00B70A9F" w:rsidP="0083750F">
      <w:pPr>
        <w:rPr>
          <w:color w:val="000000" w:themeColor="text1"/>
          <w:sz w:val="16"/>
          <w:szCs w:val="16"/>
        </w:rPr>
      </w:pPr>
      <w:r w:rsidRPr="00206B2B">
        <w:rPr>
          <w:rStyle w:val="FootnoteReference"/>
          <w:rFonts w:cs="Arial"/>
          <w:color w:val="000000" w:themeColor="text1"/>
          <w:sz w:val="16"/>
          <w:szCs w:val="16"/>
        </w:rPr>
        <w:footnoteRef/>
      </w:r>
      <w:r w:rsidRPr="00206B2B">
        <w:rPr>
          <w:color w:val="000000" w:themeColor="text1"/>
          <w:sz w:val="16"/>
          <w:szCs w:val="16"/>
        </w:rPr>
        <w:t xml:space="preserve"> </w:t>
      </w:r>
      <w:r w:rsidR="00C609E1" w:rsidRPr="00206B2B">
        <w:rPr>
          <w:color w:val="000000" w:themeColor="text1"/>
          <w:sz w:val="16"/>
          <w:szCs w:val="16"/>
        </w:rPr>
        <w:t>PIF</w:t>
      </w:r>
      <w:r w:rsidR="00B56BC7" w:rsidRPr="00206B2B">
        <w:rPr>
          <w:color w:val="000000" w:themeColor="text1"/>
          <w:sz w:val="16"/>
          <w:szCs w:val="16"/>
        </w:rPr>
        <w:t xml:space="preserve">, </w:t>
      </w:r>
      <w:r w:rsidR="00B56BC7" w:rsidRPr="00862B5E">
        <w:rPr>
          <w:rFonts w:cs="Arial"/>
          <w:i/>
          <w:color w:val="000000" w:themeColor="text1"/>
          <w:sz w:val="16"/>
          <w:szCs w:val="16"/>
          <w:lang w:eastAsia="en-AU"/>
        </w:rPr>
        <w:t>Boe Declaration on Regional Security</w:t>
      </w:r>
      <w:r w:rsidR="00906839" w:rsidRPr="00206B2B">
        <w:rPr>
          <w:i/>
          <w:iCs/>
          <w:color w:val="000000" w:themeColor="text1"/>
          <w:sz w:val="16"/>
          <w:szCs w:val="16"/>
        </w:rPr>
        <w:t>.</w:t>
      </w:r>
    </w:p>
  </w:footnote>
  <w:footnote w:id="29">
    <w:p w14:paraId="3D42CA0F" w14:textId="130351D1" w:rsidR="00675EA2" w:rsidRPr="00862B5E" w:rsidRDefault="00675EA2" w:rsidP="00C609E1">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C609E1" w:rsidRPr="00206B2B">
        <w:rPr>
          <w:color w:val="000000" w:themeColor="text1"/>
          <w:sz w:val="16"/>
          <w:szCs w:val="16"/>
        </w:rPr>
        <w:t xml:space="preserve">PIF, </w:t>
      </w:r>
      <w:hyperlink r:id="rId34" w:history="1">
        <w:r w:rsidR="00C609E1" w:rsidRPr="00206B2B">
          <w:rPr>
            <w:rStyle w:val="Hyperlink"/>
            <w:i/>
            <w:iCs/>
            <w:color w:val="000000" w:themeColor="text1"/>
            <w:sz w:val="16"/>
            <w:szCs w:val="16"/>
          </w:rPr>
          <w:t>2050 Strategy</w:t>
        </w:r>
        <w:r w:rsidR="00EF1A91" w:rsidRPr="00206B2B">
          <w:rPr>
            <w:rStyle w:val="Hyperlink"/>
            <w:i/>
            <w:iCs/>
            <w:color w:val="000000" w:themeColor="text1"/>
            <w:sz w:val="16"/>
            <w:szCs w:val="16"/>
          </w:rPr>
          <w:t xml:space="preserve">: </w:t>
        </w:r>
        <w:r w:rsidR="00966BB2" w:rsidRPr="00206B2B">
          <w:rPr>
            <w:rStyle w:val="Hyperlink"/>
            <w:i/>
            <w:iCs/>
            <w:color w:val="000000" w:themeColor="text1"/>
            <w:sz w:val="16"/>
            <w:szCs w:val="16"/>
          </w:rPr>
          <w:t>i</w:t>
        </w:r>
        <w:r w:rsidR="00C609E1" w:rsidRPr="00206B2B">
          <w:rPr>
            <w:rStyle w:val="Hyperlink"/>
            <w:i/>
            <w:iCs/>
            <w:color w:val="000000" w:themeColor="text1"/>
            <w:sz w:val="16"/>
            <w:szCs w:val="16"/>
          </w:rPr>
          <w:t>mplementatio</w:t>
        </w:r>
        <w:r w:rsidR="00DC7A11" w:rsidRPr="00206B2B">
          <w:rPr>
            <w:rStyle w:val="Hyperlink"/>
            <w:i/>
            <w:iCs/>
            <w:color w:val="000000" w:themeColor="text1"/>
            <w:sz w:val="16"/>
            <w:szCs w:val="16"/>
          </w:rPr>
          <w:t>n plan 2023-2030</w:t>
        </w:r>
      </w:hyperlink>
      <w:r w:rsidR="003D575B" w:rsidRPr="00206B2B">
        <w:rPr>
          <w:color w:val="000000" w:themeColor="text1"/>
          <w:sz w:val="16"/>
          <w:szCs w:val="16"/>
        </w:rPr>
        <w:t xml:space="preserve">, </w:t>
      </w:r>
      <w:r w:rsidR="00C609E1" w:rsidRPr="00206B2B">
        <w:rPr>
          <w:color w:val="000000" w:themeColor="text1"/>
          <w:sz w:val="16"/>
          <w:szCs w:val="16"/>
        </w:rPr>
        <w:t>P</w:t>
      </w:r>
      <w:r w:rsidR="00E60922" w:rsidRPr="00206B2B">
        <w:rPr>
          <w:color w:val="000000" w:themeColor="text1"/>
          <w:sz w:val="16"/>
          <w:szCs w:val="16"/>
        </w:rPr>
        <w:t>IF</w:t>
      </w:r>
      <w:r w:rsidR="00C609E1" w:rsidRPr="00206B2B">
        <w:rPr>
          <w:color w:val="000000" w:themeColor="text1"/>
          <w:sz w:val="16"/>
          <w:szCs w:val="16"/>
        </w:rPr>
        <w:t>, 2024.</w:t>
      </w:r>
    </w:p>
  </w:footnote>
  <w:footnote w:id="30">
    <w:p w14:paraId="1A6F157B" w14:textId="457410E6" w:rsidR="0061738F" w:rsidRPr="00206B2B" w:rsidRDefault="0061738F">
      <w:pPr>
        <w:pStyle w:val="FootnoteText"/>
      </w:pPr>
      <w:r w:rsidRPr="00862B5E">
        <w:rPr>
          <w:rStyle w:val="FootnoteReference"/>
          <w:szCs w:val="16"/>
        </w:rPr>
        <w:footnoteRef/>
      </w:r>
      <w:r w:rsidRPr="00862B5E">
        <w:rPr>
          <w:szCs w:val="16"/>
        </w:rPr>
        <w:t xml:space="preserve"> </w:t>
      </w:r>
      <w:r w:rsidR="0011025A" w:rsidRPr="00862B5E">
        <w:rPr>
          <w:szCs w:val="16"/>
        </w:rPr>
        <w:t>N George and F Iyabora</w:t>
      </w:r>
      <w:r w:rsidRPr="00862B5E">
        <w:rPr>
          <w:szCs w:val="16"/>
        </w:rPr>
        <w:t xml:space="preserve">, </w:t>
      </w:r>
      <w:r w:rsidRPr="00862B5E">
        <w:rPr>
          <w:i/>
          <w:szCs w:val="16"/>
        </w:rPr>
        <w:t xml:space="preserve">Guidance note on women, peace and security (WPS) in the </w:t>
      </w:r>
      <w:r w:rsidR="004B2542" w:rsidRPr="00862B5E">
        <w:rPr>
          <w:i/>
          <w:szCs w:val="16"/>
        </w:rPr>
        <w:t>blue pacific continent July 2025</w:t>
      </w:r>
      <w:r w:rsidR="0011025A" w:rsidRPr="00862B5E">
        <w:rPr>
          <w:szCs w:val="16"/>
        </w:rPr>
        <w:t>, PIF, 2025.</w:t>
      </w:r>
    </w:p>
  </w:footnote>
  <w:footnote w:id="31">
    <w:p w14:paraId="4F904F7E" w14:textId="77777777" w:rsidR="008473C3" w:rsidRPr="00206B2B" w:rsidRDefault="008473C3" w:rsidP="008473C3">
      <w:pPr>
        <w:rPr>
          <w:color w:val="000000" w:themeColor="text1"/>
          <w:sz w:val="16"/>
          <w:szCs w:val="16"/>
        </w:rPr>
      </w:pPr>
      <w:r w:rsidRPr="00862B5E">
        <w:rPr>
          <w:rStyle w:val="FootnoteReference"/>
          <w:color w:val="000000" w:themeColor="text1"/>
          <w:sz w:val="16"/>
          <w:szCs w:val="16"/>
        </w:rPr>
        <w:footnoteRef/>
      </w:r>
      <w:r w:rsidRPr="00862B5E">
        <w:rPr>
          <w:color w:val="000000" w:themeColor="text1"/>
          <w:sz w:val="16"/>
          <w:szCs w:val="16"/>
        </w:rPr>
        <w:t xml:space="preserve"> </w:t>
      </w:r>
      <w:r w:rsidRPr="00206B2B">
        <w:rPr>
          <w:color w:val="000000" w:themeColor="text1"/>
          <w:sz w:val="16"/>
          <w:szCs w:val="16"/>
        </w:rPr>
        <w:t xml:space="preserve">Women’s International League for Peace and Freedom (Peace Women), </w:t>
      </w:r>
      <w:hyperlink r:id="rId35" w:history="1">
        <w:r w:rsidRPr="00206B2B">
          <w:rPr>
            <w:rStyle w:val="Hyperlink"/>
            <w:i/>
            <w:iCs/>
            <w:color w:val="000000" w:themeColor="text1"/>
            <w:sz w:val="16"/>
            <w:szCs w:val="16"/>
          </w:rPr>
          <w:t>Pacific regional action plan, women, peace and security, 2012 – 2015</w:t>
        </w:r>
      </w:hyperlink>
      <w:r w:rsidRPr="00206B2B">
        <w:rPr>
          <w:color w:val="000000" w:themeColor="text1"/>
          <w:sz w:val="16"/>
          <w:szCs w:val="16"/>
        </w:rPr>
        <w:t>, Peace Women, n.d., accessed 10 December 2025.</w:t>
      </w:r>
    </w:p>
  </w:footnote>
  <w:footnote w:id="32">
    <w:p w14:paraId="18FD1069" w14:textId="4DE71ED7" w:rsidR="00D12591" w:rsidRPr="00206B2B" w:rsidRDefault="00D12591" w:rsidP="00381900">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AC17CC" w:rsidRPr="00206B2B">
        <w:rPr>
          <w:color w:val="000000" w:themeColor="text1"/>
          <w:sz w:val="16"/>
          <w:szCs w:val="16"/>
        </w:rPr>
        <w:t>Women, Peace and Security Focal Points Network (</w:t>
      </w:r>
      <w:r w:rsidR="00BA5983" w:rsidRPr="00206B2B">
        <w:rPr>
          <w:color w:val="000000" w:themeColor="text1"/>
          <w:sz w:val="16"/>
          <w:szCs w:val="16"/>
        </w:rPr>
        <w:t>WPS F</w:t>
      </w:r>
      <w:r w:rsidR="00C97D10" w:rsidRPr="00206B2B">
        <w:rPr>
          <w:color w:val="000000" w:themeColor="text1"/>
          <w:sz w:val="16"/>
          <w:szCs w:val="16"/>
        </w:rPr>
        <w:t>PN</w:t>
      </w:r>
      <w:r w:rsidR="00AC17CC" w:rsidRPr="00206B2B">
        <w:rPr>
          <w:color w:val="000000" w:themeColor="text1"/>
          <w:sz w:val="16"/>
          <w:szCs w:val="16"/>
        </w:rPr>
        <w:t>)</w:t>
      </w:r>
      <w:r w:rsidR="00BA5983" w:rsidRPr="00206B2B">
        <w:rPr>
          <w:color w:val="000000" w:themeColor="text1"/>
          <w:sz w:val="16"/>
          <w:szCs w:val="16"/>
        </w:rPr>
        <w:t xml:space="preserve">, </w:t>
      </w:r>
      <w:hyperlink r:id="rId36" w:history="1">
        <w:r w:rsidR="00BA5983" w:rsidRPr="00206B2B">
          <w:rPr>
            <w:rStyle w:val="Hyperlink"/>
            <w:i/>
            <w:iCs/>
            <w:color w:val="000000" w:themeColor="text1"/>
            <w:sz w:val="16"/>
            <w:szCs w:val="16"/>
          </w:rPr>
          <w:t xml:space="preserve">Global </w:t>
        </w:r>
        <w:r w:rsidR="007935F0" w:rsidRPr="00206B2B">
          <w:rPr>
            <w:rStyle w:val="Hyperlink"/>
            <w:i/>
            <w:iCs/>
            <w:color w:val="000000" w:themeColor="text1"/>
            <w:sz w:val="16"/>
            <w:szCs w:val="16"/>
          </w:rPr>
          <w:t>map of adopted national action plans</w:t>
        </w:r>
      </w:hyperlink>
      <w:r w:rsidR="00BA5983" w:rsidRPr="00206B2B">
        <w:rPr>
          <w:color w:val="000000" w:themeColor="text1"/>
          <w:sz w:val="16"/>
          <w:szCs w:val="16"/>
        </w:rPr>
        <w:t xml:space="preserve">, WPS </w:t>
      </w:r>
      <w:r w:rsidR="00C97D10" w:rsidRPr="00206B2B">
        <w:rPr>
          <w:color w:val="000000" w:themeColor="text1"/>
          <w:sz w:val="16"/>
          <w:szCs w:val="16"/>
        </w:rPr>
        <w:t>FPN website</w:t>
      </w:r>
      <w:r w:rsidR="00BA5983" w:rsidRPr="00206B2B">
        <w:rPr>
          <w:color w:val="000000" w:themeColor="text1"/>
          <w:sz w:val="16"/>
          <w:szCs w:val="16"/>
        </w:rPr>
        <w:t>, 2025, accessed 10 December 2025.</w:t>
      </w:r>
    </w:p>
  </w:footnote>
  <w:footnote w:id="33">
    <w:p w14:paraId="0D7DE362" w14:textId="2223E5A3" w:rsidR="00CF589C" w:rsidRPr="00862B5E" w:rsidRDefault="00CF589C" w:rsidP="00A440A2">
      <w:pPr>
        <w:rPr>
          <w:color w:val="000000" w:themeColor="text1"/>
        </w:rPr>
      </w:pPr>
      <w:r w:rsidRPr="00206B2B">
        <w:rPr>
          <w:rStyle w:val="FootnoteReference"/>
          <w:color w:val="000000" w:themeColor="text1"/>
          <w:sz w:val="16"/>
          <w:szCs w:val="16"/>
        </w:rPr>
        <w:footnoteRef/>
      </w:r>
      <w:r w:rsidRPr="00206B2B">
        <w:rPr>
          <w:color w:val="000000" w:themeColor="text1"/>
          <w:sz w:val="16"/>
          <w:szCs w:val="16"/>
        </w:rPr>
        <w:t xml:space="preserve"> </w:t>
      </w:r>
      <w:r w:rsidR="00A440A2" w:rsidRPr="00206B2B">
        <w:rPr>
          <w:color w:val="000000" w:themeColor="text1"/>
          <w:sz w:val="16"/>
          <w:szCs w:val="16"/>
        </w:rPr>
        <w:t xml:space="preserve">The Asia Foundation, </w:t>
      </w:r>
      <w:hyperlink r:id="rId37" w:history="1">
        <w:r w:rsidR="00A440A2" w:rsidRPr="00206B2B">
          <w:rPr>
            <w:rStyle w:val="Hyperlink"/>
            <w:i/>
            <w:iCs/>
            <w:color w:val="000000" w:themeColor="text1"/>
            <w:sz w:val="16"/>
            <w:szCs w:val="16"/>
          </w:rPr>
          <w:t xml:space="preserve">The </w:t>
        </w:r>
        <w:r w:rsidR="007935F0" w:rsidRPr="00206B2B">
          <w:rPr>
            <w:rStyle w:val="Hyperlink"/>
            <w:i/>
            <w:iCs/>
            <w:color w:val="000000" w:themeColor="text1"/>
            <w:sz w:val="16"/>
            <w:szCs w:val="16"/>
          </w:rPr>
          <w:t xml:space="preserve">Asia </w:t>
        </w:r>
        <w:r w:rsidR="009A1778" w:rsidRPr="00206B2B">
          <w:rPr>
            <w:rStyle w:val="Hyperlink"/>
            <w:i/>
            <w:iCs/>
            <w:color w:val="000000" w:themeColor="text1"/>
            <w:sz w:val="16"/>
            <w:szCs w:val="16"/>
          </w:rPr>
          <w:t>F</w:t>
        </w:r>
        <w:r w:rsidR="007935F0" w:rsidRPr="00206B2B">
          <w:rPr>
            <w:rStyle w:val="Hyperlink"/>
            <w:i/>
            <w:iCs/>
            <w:color w:val="000000" w:themeColor="text1"/>
            <w:sz w:val="16"/>
            <w:szCs w:val="16"/>
          </w:rPr>
          <w:t>oundation announces new regional initiative to amplify women’s peace actions in</w:t>
        </w:r>
        <w:r w:rsidR="00A440A2" w:rsidRPr="00206B2B">
          <w:rPr>
            <w:rStyle w:val="Hyperlink"/>
            <w:i/>
            <w:iCs/>
            <w:color w:val="000000" w:themeColor="text1"/>
            <w:sz w:val="16"/>
            <w:szCs w:val="16"/>
          </w:rPr>
          <w:t xml:space="preserve"> ASEAN</w:t>
        </w:r>
      </w:hyperlink>
      <w:r w:rsidR="00A440A2" w:rsidRPr="00206B2B">
        <w:rPr>
          <w:color w:val="000000" w:themeColor="text1"/>
          <w:sz w:val="16"/>
          <w:szCs w:val="16"/>
        </w:rPr>
        <w:t>, The Asia Foundation</w:t>
      </w:r>
      <w:r w:rsidR="00966D28" w:rsidRPr="00206B2B">
        <w:rPr>
          <w:color w:val="000000" w:themeColor="text1"/>
          <w:sz w:val="16"/>
          <w:szCs w:val="16"/>
        </w:rPr>
        <w:t xml:space="preserve"> website</w:t>
      </w:r>
      <w:r w:rsidR="00A440A2" w:rsidRPr="00206B2B">
        <w:rPr>
          <w:color w:val="000000" w:themeColor="text1"/>
          <w:sz w:val="16"/>
          <w:szCs w:val="16"/>
        </w:rPr>
        <w:t xml:space="preserve">, 22 March 2024, accessed 10 December 2025; </w:t>
      </w:r>
      <w:r w:rsidR="00063322" w:rsidRPr="00206B2B">
        <w:rPr>
          <w:color w:val="000000" w:themeColor="text1"/>
          <w:sz w:val="16"/>
          <w:szCs w:val="16"/>
        </w:rPr>
        <w:t xml:space="preserve">DFAT, </w:t>
      </w:r>
      <w:hyperlink r:id="rId38" w:anchor=":~:text=The%20Quad%20is%20a%20diplomatic,that%20is%20inclusive%20and%20resilient." w:history="1">
        <w:r w:rsidR="00063322" w:rsidRPr="00206B2B">
          <w:rPr>
            <w:rStyle w:val="Hyperlink"/>
            <w:color w:val="000000" w:themeColor="text1"/>
            <w:sz w:val="16"/>
            <w:szCs w:val="16"/>
          </w:rPr>
          <w:t>The Quad</w:t>
        </w:r>
      </w:hyperlink>
      <w:r w:rsidR="00063322" w:rsidRPr="00206B2B">
        <w:rPr>
          <w:color w:val="000000" w:themeColor="text1"/>
          <w:sz w:val="16"/>
          <w:szCs w:val="16"/>
        </w:rPr>
        <w:t xml:space="preserve">, </w:t>
      </w:r>
      <w:r w:rsidR="00A214DE" w:rsidRPr="00206B2B">
        <w:rPr>
          <w:color w:val="000000" w:themeColor="text1"/>
          <w:sz w:val="16"/>
          <w:szCs w:val="16"/>
        </w:rPr>
        <w:t>DFAT website</w:t>
      </w:r>
      <w:r w:rsidR="00063322" w:rsidRPr="00206B2B">
        <w:rPr>
          <w:color w:val="000000" w:themeColor="text1"/>
          <w:sz w:val="16"/>
          <w:szCs w:val="16"/>
        </w:rPr>
        <w:t xml:space="preserve">, </w:t>
      </w:r>
      <w:r w:rsidR="00B87FD5" w:rsidRPr="00206B2B">
        <w:rPr>
          <w:color w:val="000000" w:themeColor="text1"/>
          <w:sz w:val="16"/>
          <w:szCs w:val="16"/>
        </w:rPr>
        <w:t>2025</w:t>
      </w:r>
      <w:r w:rsidR="00063322" w:rsidRPr="00206B2B">
        <w:rPr>
          <w:color w:val="000000" w:themeColor="text1"/>
          <w:sz w:val="16"/>
          <w:szCs w:val="16"/>
        </w:rPr>
        <w:t>, accessed 10 December 2025.</w:t>
      </w:r>
    </w:p>
  </w:footnote>
  <w:footnote w:id="34">
    <w:p w14:paraId="18F09081" w14:textId="6C236CDD" w:rsidR="009E7E70" w:rsidRPr="00862B5E" w:rsidRDefault="009E7E70" w:rsidP="005A3A28">
      <w:pPr>
        <w:rPr>
          <w:color w:val="000000" w:themeColor="text1"/>
        </w:rPr>
      </w:pPr>
      <w:r w:rsidRPr="00862B5E">
        <w:rPr>
          <w:rStyle w:val="FootnoteReference"/>
          <w:color w:val="000000" w:themeColor="text1"/>
          <w:sz w:val="16"/>
          <w:szCs w:val="16"/>
        </w:rPr>
        <w:footnoteRef/>
      </w:r>
      <w:r w:rsidRPr="00862B5E">
        <w:rPr>
          <w:color w:val="000000" w:themeColor="text1"/>
          <w:sz w:val="16"/>
          <w:szCs w:val="16"/>
        </w:rPr>
        <w:t xml:space="preserve"> </w:t>
      </w:r>
      <w:r w:rsidR="005A3A28" w:rsidRPr="00206B2B">
        <w:rPr>
          <w:color w:val="000000" w:themeColor="text1"/>
          <w:sz w:val="16"/>
          <w:szCs w:val="16"/>
        </w:rPr>
        <w:t xml:space="preserve">Inter-Parliamentary Union (IPU), </w:t>
      </w:r>
      <w:hyperlink r:id="rId39" w:history="1">
        <w:r w:rsidR="005A3A28" w:rsidRPr="00206B2B">
          <w:rPr>
            <w:rStyle w:val="Hyperlink"/>
            <w:color w:val="000000" w:themeColor="text1"/>
            <w:sz w:val="16"/>
            <w:szCs w:val="16"/>
          </w:rPr>
          <w:t>Global a</w:t>
        </w:r>
        <w:r w:rsidR="006C3D31" w:rsidRPr="00206B2B">
          <w:rPr>
            <w:rStyle w:val="Hyperlink"/>
            <w:color w:val="000000" w:themeColor="text1"/>
            <w:sz w:val="16"/>
            <w:szCs w:val="16"/>
          </w:rPr>
          <w:t>nd regional averages of women in national parliaments</w:t>
        </w:r>
      </w:hyperlink>
      <w:r w:rsidR="005A3A28" w:rsidRPr="00206B2B">
        <w:rPr>
          <w:color w:val="000000" w:themeColor="text1"/>
          <w:sz w:val="16"/>
          <w:szCs w:val="16"/>
        </w:rPr>
        <w:t>,</w:t>
      </w:r>
      <w:r w:rsidR="00FD140A" w:rsidRPr="00206B2B">
        <w:rPr>
          <w:color w:val="000000" w:themeColor="text1"/>
          <w:sz w:val="16"/>
          <w:szCs w:val="16"/>
        </w:rPr>
        <w:t xml:space="preserve"> </w:t>
      </w:r>
      <w:r w:rsidR="00FD140A" w:rsidRPr="00206B2B">
        <w:rPr>
          <w:i/>
          <w:iCs/>
          <w:color w:val="000000" w:themeColor="text1"/>
          <w:sz w:val="16"/>
          <w:szCs w:val="16"/>
        </w:rPr>
        <w:t>Global and regional averages</w:t>
      </w:r>
      <w:r w:rsidR="00FD140A" w:rsidRPr="00206B2B">
        <w:rPr>
          <w:color w:val="000000" w:themeColor="text1"/>
          <w:sz w:val="16"/>
          <w:szCs w:val="16"/>
        </w:rPr>
        <w:t>,</w:t>
      </w:r>
      <w:r w:rsidR="005A3A28" w:rsidRPr="00206B2B">
        <w:rPr>
          <w:color w:val="000000" w:themeColor="text1"/>
          <w:sz w:val="16"/>
          <w:szCs w:val="16"/>
        </w:rPr>
        <w:t xml:space="preserve"> </w:t>
      </w:r>
      <w:r w:rsidR="00342B77" w:rsidRPr="00206B2B">
        <w:rPr>
          <w:color w:val="000000" w:themeColor="text1"/>
          <w:sz w:val="16"/>
          <w:szCs w:val="16"/>
        </w:rPr>
        <w:t>IPU website,</w:t>
      </w:r>
      <w:r w:rsidR="005A3A28" w:rsidRPr="00206B2B">
        <w:rPr>
          <w:color w:val="000000" w:themeColor="text1"/>
          <w:sz w:val="16"/>
          <w:szCs w:val="16"/>
        </w:rPr>
        <w:t xml:space="preserve"> 2025, accessed 10 December 2025.</w:t>
      </w:r>
    </w:p>
  </w:footnote>
  <w:footnote w:id="35">
    <w:p w14:paraId="2E3071D0" w14:textId="166D3723" w:rsidR="00E24654" w:rsidRPr="00862B5E" w:rsidRDefault="00E24654" w:rsidP="009C4627">
      <w:pPr>
        <w:rPr>
          <w:color w:val="000000" w:themeColor="text1"/>
        </w:rPr>
      </w:pPr>
      <w:r w:rsidRPr="00862B5E">
        <w:rPr>
          <w:rStyle w:val="FootnoteReference"/>
          <w:color w:val="000000" w:themeColor="text1"/>
          <w:sz w:val="16"/>
          <w:szCs w:val="16"/>
        </w:rPr>
        <w:footnoteRef/>
      </w:r>
      <w:r w:rsidRPr="00862B5E">
        <w:rPr>
          <w:color w:val="000000" w:themeColor="text1"/>
          <w:sz w:val="16"/>
          <w:szCs w:val="16"/>
        </w:rPr>
        <w:t xml:space="preserve"> </w:t>
      </w:r>
      <w:r w:rsidR="005977BA" w:rsidRPr="00206B2B">
        <w:rPr>
          <w:color w:val="000000" w:themeColor="text1"/>
          <w:sz w:val="16"/>
          <w:szCs w:val="16"/>
        </w:rPr>
        <w:t xml:space="preserve">D Lim and H Nelson, </w:t>
      </w:r>
      <w:hyperlink r:id="rId40" w:history="1">
        <w:r w:rsidR="005977BA" w:rsidRPr="00206B2B">
          <w:rPr>
            <w:rStyle w:val="Hyperlink"/>
            <w:i/>
            <w:iCs/>
            <w:color w:val="000000" w:themeColor="text1"/>
            <w:sz w:val="16"/>
            <w:szCs w:val="16"/>
          </w:rPr>
          <w:t xml:space="preserve">From </w:t>
        </w:r>
        <w:r w:rsidR="006C3D31" w:rsidRPr="00206B2B">
          <w:rPr>
            <w:rStyle w:val="Hyperlink"/>
            <w:i/>
            <w:iCs/>
            <w:color w:val="000000" w:themeColor="text1"/>
            <w:sz w:val="16"/>
            <w:szCs w:val="16"/>
          </w:rPr>
          <w:t>three strands to four</w:t>
        </w:r>
        <w:r w:rsidR="005977BA" w:rsidRPr="00206B2B">
          <w:rPr>
            <w:rStyle w:val="Hyperlink"/>
            <w:i/>
            <w:iCs/>
            <w:color w:val="000000" w:themeColor="text1"/>
            <w:sz w:val="16"/>
            <w:szCs w:val="16"/>
          </w:rPr>
          <w:t xml:space="preserve"> Rs: </w:t>
        </w:r>
        <w:r w:rsidR="005367CF" w:rsidRPr="00206B2B">
          <w:rPr>
            <w:rStyle w:val="Hyperlink"/>
            <w:i/>
            <w:iCs/>
            <w:color w:val="000000" w:themeColor="text1"/>
            <w:sz w:val="16"/>
            <w:szCs w:val="16"/>
          </w:rPr>
          <w:t>t</w:t>
        </w:r>
        <w:r w:rsidR="005977BA" w:rsidRPr="00206B2B">
          <w:rPr>
            <w:rStyle w:val="Hyperlink"/>
            <w:i/>
            <w:iCs/>
            <w:color w:val="000000" w:themeColor="text1"/>
            <w:sz w:val="16"/>
            <w:szCs w:val="16"/>
          </w:rPr>
          <w:t xml:space="preserve">he </w:t>
        </w:r>
        <w:r w:rsidR="006C3D31" w:rsidRPr="00206B2B">
          <w:rPr>
            <w:rStyle w:val="Hyperlink"/>
            <w:i/>
            <w:iCs/>
            <w:color w:val="000000" w:themeColor="text1"/>
            <w:sz w:val="16"/>
            <w:szCs w:val="16"/>
          </w:rPr>
          <w:t>evolution of Australian foreign policy</w:t>
        </w:r>
      </w:hyperlink>
      <w:r w:rsidR="005977BA" w:rsidRPr="00206B2B">
        <w:rPr>
          <w:i/>
          <w:iCs/>
          <w:color w:val="000000" w:themeColor="text1"/>
          <w:sz w:val="16"/>
          <w:szCs w:val="16"/>
        </w:rPr>
        <w:t xml:space="preserve">, </w:t>
      </w:r>
      <w:r w:rsidR="005977BA" w:rsidRPr="00206B2B">
        <w:rPr>
          <w:color w:val="000000" w:themeColor="text1"/>
          <w:sz w:val="16"/>
          <w:szCs w:val="16"/>
        </w:rPr>
        <w:t>Australian Institute of International Affairs</w:t>
      </w:r>
      <w:r w:rsidR="00C56AFF" w:rsidRPr="00206B2B">
        <w:rPr>
          <w:color w:val="000000" w:themeColor="text1"/>
          <w:sz w:val="16"/>
          <w:szCs w:val="16"/>
        </w:rPr>
        <w:t xml:space="preserve"> </w:t>
      </w:r>
      <w:r w:rsidR="00EE4F77" w:rsidRPr="00206B2B">
        <w:rPr>
          <w:color w:val="000000" w:themeColor="text1"/>
          <w:sz w:val="16"/>
          <w:szCs w:val="16"/>
        </w:rPr>
        <w:t xml:space="preserve">(AIIA) </w:t>
      </w:r>
      <w:r w:rsidR="00C56AFF" w:rsidRPr="00206B2B">
        <w:rPr>
          <w:color w:val="000000" w:themeColor="text1"/>
          <w:sz w:val="16"/>
          <w:szCs w:val="16"/>
        </w:rPr>
        <w:t>website</w:t>
      </w:r>
      <w:r w:rsidR="005977BA" w:rsidRPr="00206B2B">
        <w:rPr>
          <w:color w:val="000000" w:themeColor="text1"/>
          <w:sz w:val="16"/>
          <w:szCs w:val="16"/>
        </w:rPr>
        <w:t>, 21 November 2025, accessed 10 December 2025</w:t>
      </w:r>
      <w:r w:rsidR="009C4627" w:rsidRPr="00206B2B">
        <w:rPr>
          <w:color w:val="000000" w:themeColor="text1"/>
          <w:sz w:val="16"/>
          <w:szCs w:val="16"/>
        </w:rPr>
        <w:t xml:space="preserve">; </w:t>
      </w:r>
      <w:r w:rsidR="00C03357" w:rsidRPr="00206B2B">
        <w:rPr>
          <w:color w:val="000000" w:themeColor="text1"/>
          <w:sz w:val="16"/>
          <w:szCs w:val="16"/>
        </w:rPr>
        <w:t>P Wong</w:t>
      </w:r>
      <w:r w:rsidR="00322C71" w:rsidRPr="00206B2B">
        <w:rPr>
          <w:color w:val="000000" w:themeColor="text1"/>
          <w:sz w:val="16"/>
          <w:szCs w:val="16"/>
        </w:rPr>
        <w:t xml:space="preserve">, </w:t>
      </w:r>
      <w:hyperlink r:id="rId41" w:history="1">
        <w:r w:rsidR="00322C71" w:rsidRPr="00206B2B">
          <w:rPr>
            <w:rStyle w:val="Hyperlink"/>
            <w:i/>
            <w:iCs/>
            <w:color w:val="000000" w:themeColor="text1"/>
            <w:sz w:val="16"/>
            <w:szCs w:val="16"/>
          </w:rPr>
          <w:t xml:space="preserve">AIIA </w:t>
        </w:r>
        <w:r w:rsidR="006C3D31" w:rsidRPr="00206B2B">
          <w:rPr>
            <w:rStyle w:val="Hyperlink"/>
            <w:i/>
            <w:iCs/>
            <w:color w:val="000000" w:themeColor="text1"/>
            <w:sz w:val="16"/>
            <w:szCs w:val="16"/>
          </w:rPr>
          <w:t>gala dinner keynote address</w:t>
        </w:r>
      </w:hyperlink>
      <w:r w:rsidR="00322C71" w:rsidRPr="00206B2B">
        <w:rPr>
          <w:color w:val="000000" w:themeColor="text1"/>
          <w:sz w:val="16"/>
          <w:szCs w:val="16"/>
        </w:rPr>
        <w:t xml:space="preserve">, </w:t>
      </w:r>
      <w:r w:rsidR="00657478" w:rsidRPr="00206B2B">
        <w:rPr>
          <w:color w:val="000000" w:themeColor="text1"/>
          <w:sz w:val="16"/>
          <w:szCs w:val="16"/>
        </w:rPr>
        <w:t>Minister for Foreign Affairs</w:t>
      </w:r>
      <w:r w:rsidR="006F42C9" w:rsidRPr="00206B2B">
        <w:rPr>
          <w:color w:val="000000" w:themeColor="text1"/>
          <w:sz w:val="16"/>
          <w:szCs w:val="16"/>
        </w:rPr>
        <w:t xml:space="preserve">, </w:t>
      </w:r>
      <w:r w:rsidR="005170E1" w:rsidRPr="00206B2B">
        <w:rPr>
          <w:color w:val="000000" w:themeColor="text1"/>
          <w:sz w:val="16"/>
          <w:szCs w:val="16"/>
        </w:rPr>
        <w:t xml:space="preserve">17 November </w:t>
      </w:r>
      <w:r w:rsidR="006F42C9" w:rsidRPr="00206B2B">
        <w:rPr>
          <w:color w:val="000000" w:themeColor="text1"/>
          <w:sz w:val="16"/>
          <w:szCs w:val="16"/>
        </w:rPr>
        <w:t>2025</w:t>
      </w:r>
      <w:r w:rsidR="0010540E" w:rsidRPr="00206B2B">
        <w:rPr>
          <w:color w:val="000000" w:themeColor="text1"/>
          <w:sz w:val="16"/>
          <w:szCs w:val="16"/>
        </w:rPr>
        <w:t xml:space="preserve">; P Wong, </w:t>
      </w:r>
      <w:hyperlink r:id="rId42" w:history="1">
        <w:r w:rsidR="0010540E" w:rsidRPr="00206B2B">
          <w:rPr>
            <w:rStyle w:val="Hyperlink"/>
            <w:i/>
            <w:color w:val="000000" w:themeColor="text1"/>
            <w:sz w:val="16"/>
            <w:szCs w:val="16"/>
          </w:rPr>
          <w:t>International Women's Day parliamentary breakfast</w:t>
        </w:r>
      </w:hyperlink>
      <w:r w:rsidR="0010540E" w:rsidRPr="00206B2B">
        <w:rPr>
          <w:color w:val="000000" w:themeColor="text1"/>
          <w:sz w:val="16"/>
          <w:szCs w:val="16"/>
        </w:rPr>
        <w:t xml:space="preserve"> [speech transcript]</w:t>
      </w:r>
      <w:r w:rsidR="0010540E" w:rsidRPr="00206B2B">
        <w:rPr>
          <w:b/>
          <w:color w:val="000000" w:themeColor="text1"/>
          <w:sz w:val="16"/>
          <w:szCs w:val="16"/>
        </w:rPr>
        <w:t xml:space="preserve">, </w:t>
      </w:r>
      <w:r w:rsidR="0010540E" w:rsidRPr="00206B2B">
        <w:rPr>
          <w:color w:val="000000" w:themeColor="text1"/>
          <w:sz w:val="16"/>
          <w:szCs w:val="16"/>
        </w:rPr>
        <w:t>Minister for Foreign Affairs website, 7 February 2024, accessed 10 December 2025.</w:t>
      </w:r>
    </w:p>
  </w:footnote>
  <w:footnote w:id="36">
    <w:p w14:paraId="70093FAE" w14:textId="19F77B8E" w:rsidR="00E96644" w:rsidRPr="00862B5E" w:rsidRDefault="00E96644" w:rsidP="00045198">
      <w:pPr>
        <w:rPr>
          <w:color w:val="000000" w:themeColor="text1"/>
        </w:rPr>
      </w:pPr>
      <w:r w:rsidRPr="00862B5E">
        <w:rPr>
          <w:rStyle w:val="FootnoteReference"/>
          <w:color w:val="000000" w:themeColor="text1"/>
          <w:sz w:val="16"/>
          <w:szCs w:val="16"/>
        </w:rPr>
        <w:footnoteRef/>
      </w:r>
      <w:r w:rsidR="00D71846" w:rsidRPr="00206B2B">
        <w:rPr>
          <w:color w:val="000000" w:themeColor="text1"/>
          <w:sz w:val="16"/>
          <w:szCs w:val="16"/>
        </w:rPr>
        <w:t xml:space="preserve"> </w:t>
      </w:r>
      <w:r w:rsidR="00045198" w:rsidRPr="00206B2B">
        <w:rPr>
          <w:color w:val="000000" w:themeColor="text1"/>
          <w:sz w:val="16"/>
          <w:szCs w:val="16"/>
        </w:rPr>
        <w:t xml:space="preserve">Lim and Nelson, </w:t>
      </w:r>
      <w:r w:rsidR="00045198" w:rsidRPr="00862B5E">
        <w:rPr>
          <w:i/>
          <w:color w:val="000000" w:themeColor="text1"/>
          <w:sz w:val="16"/>
          <w:szCs w:val="16"/>
        </w:rPr>
        <w:t xml:space="preserve">From </w:t>
      </w:r>
      <w:r w:rsidR="00A76A65" w:rsidRPr="00862B5E">
        <w:rPr>
          <w:i/>
          <w:color w:val="000000" w:themeColor="text1"/>
          <w:sz w:val="16"/>
          <w:szCs w:val="16"/>
        </w:rPr>
        <w:t xml:space="preserve">three strands to four </w:t>
      </w:r>
      <w:r w:rsidR="00045198" w:rsidRPr="00862B5E">
        <w:rPr>
          <w:i/>
          <w:color w:val="000000" w:themeColor="text1"/>
          <w:sz w:val="16"/>
          <w:szCs w:val="16"/>
        </w:rPr>
        <w:t xml:space="preserve">Rs: </w:t>
      </w:r>
      <w:r w:rsidR="005367CF" w:rsidRPr="00862B5E">
        <w:rPr>
          <w:i/>
          <w:color w:val="000000" w:themeColor="text1"/>
          <w:sz w:val="16"/>
          <w:szCs w:val="16"/>
        </w:rPr>
        <w:t>t</w:t>
      </w:r>
      <w:r w:rsidR="00045198" w:rsidRPr="00862B5E">
        <w:rPr>
          <w:i/>
          <w:color w:val="000000" w:themeColor="text1"/>
          <w:sz w:val="16"/>
          <w:szCs w:val="16"/>
        </w:rPr>
        <w:t xml:space="preserve">he </w:t>
      </w:r>
      <w:r w:rsidR="00A76A65" w:rsidRPr="00862B5E">
        <w:rPr>
          <w:i/>
          <w:color w:val="000000" w:themeColor="text1"/>
          <w:sz w:val="16"/>
          <w:szCs w:val="16"/>
        </w:rPr>
        <w:t>evolution of Australian foreign policy</w:t>
      </w:r>
      <w:r w:rsidR="00A76A65" w:rsidRPr="00206B2B">
        <w:rPr>
          <w:color w:val="000000" w:themeColor="text1"/>
          <w:sz w:val="16"/>
          <w:szCs w:val="16"/>
        </w:rPr>
        <w:t xml:space="preserve">; </w:t>
      </w:r>
      <w:r w:rsidR="00F23284" w:rsidRPr="00206B2B">
        <w:rPr>
          <w:color w:val="000000" w:themeColor="text1"/>
          <w:sz w:val="16"/>
          <w:szCs w:val="16"/>
        </w:rPr>
        <w:t>Wong</w:t>
      </w:r>
      <w:r w:rsidR="00FE4974" w:rsidRPr="00206B2B">
        <w:rPr>
          <w:color w:val="000000" w:themeColor="text1"/>
          <w:sz w:val="16"/>
          <w:szCs w:val="16"/>
        </w:rPr>
        <w:t xml:space="preserve">, </w:t>
      </w:r>
      <w:r w:rsidR="00FE4974" w:rsidRPr="00862B5E">
        <w:rPr>
          <w:i/>
          <w:color w:val="000000" w:themeColor="text1"/>
          <w:sz w:val="16"/>
          <w:szCs w:val="16"/>
        </w:rPr>
        <w:t>International Women's Day parliamentary breakfast</w:t>
      </w:r>
      <w:r w:rsidR="00F23284" w:rsidRPr="00206B2B">
        <w:rPr>
          <w:color w:val="000000" w:themeColor="text1"/>
          <w:sz w:val="16"/>
          <w:szCs w:val="16"/>
        </w:rPr>
        <w:t>.</w:t>
      </w:r>
      <w:r w:rsidR="008E3C0E" w:rsidRPr="00206B2B">
        <w:rPr>
          <w:color w:val="000000" w:themeColor="text1"/>
          <w:sz w:val="16"/>
          <w:szCs w:val="16"/>
        </w:rPr>
        <w:t xml:space="preserve">; </w:t>
      </w:r>
      <w:r w:rsidR="001952A5" w:rsidRPr="00206B2B">
        <w:rPr>
          <w:color w:val="000000" w:themeColor="text1"/>
          <w:sz w:val="16"/>
          <w:szCs w:val="16"/>
        </w:rPr>
        <w:t xml:space="preserve">P Wong, </w:t>
      </w:r>
      <w:hyperlink r:id="rId43" w:history="1">
        <w:r w:rsidR="001952A5" w:rsidRPr="00206B2B">
          <w:rPr>
            <w:rStyle w:val="Hyperlink"/>
            <w:i/>
            <w:iCs/>
            <w:color w:val="000000" w:themeColor="text1"/>
            <w:sz w:val="16"/>
            <w:szCs w:val="16"/>
          </w:rPr>
          <w:t>UN Women International Women’s Day Parliamentary Breakfast</w:t>
        </w:r>
      </w:hyperlink>
      <w:r w:rsidR="001952A5" w:rsidRPr="00206B2B">
        <w:rPr>
          <w:i/>
          <w:iCs/>
          <w:color w:val="000000" w:themeColor="text1"/>
          <w:sz w:val="16"/>
          <w:szCs w:val="16"/>
        </w:rPr>
        <w:t xml:space="preserve"> [</w:t>
      </w:r>
      <w:r w:rsidR="001952A5" w:rsidRPr="00206B2B">
        <w:rPr>
          <w:color w:val="000000" w:themeColor="text1"/>
          <w:sz w:val="16"/>
          <w:szCs w:val="16"/>
        </w:rPr>
        <w:t xml:space="preserve">speech transcript], Minister for Foreign Affairs website, </w:t>
      </w:r>
      <w:r w:rsidR="00903111" w:rsidRPr="00206B2B">
        <w:rPr>
          <w:color w:val="000000" w:themeColor="text1"/>
          <w:sz w:val="16"/>
          <w:szCs w:val="16"/>
        </w:rPr>
        <w:t>5 February 2026, accessed 10 February 2026.</w:t>
      </w:r>
    </w:p>
  </w:footnote>
  <w:footnote w:id="37">
    <w:p w14:paraId="12B0BA3F" w14:textId="142ACF29" w:rsidR="00590C36" w:rsidRPr="00862B5E" w:rsidRDefault="00590C36" w:rsidP="00C06618">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C06618" w:rsidRPr="00206B2B">
        <w:rPr>
          <w:color w:val="000000" w:themeColor="text1"/>
          <w:sz w:val="16"/>
          <w:szCs w:val="16"/>
        </w:rPr>
        <w:t xml:space="preserve">DFAT, </w:t>
      </w:r>
      <w:hyperlink r:id="rId44" w:history="1">
        <w:r w:rsidR="00C06618" w:rsidRPr="00206B2B">
          <w:rPr>
            <w:rStyle w:val="Hyperlink"/>
            <w:i/>
            <w:iCs/>
            <w:color w:val="000000" w:themeColor="text1"/>
            <w:sz w:val="16"/>
            <w:szCs w:val="16"/>
          </w:rPr>
          <w:t xml:space="preserve">Australia’s </w:t>
        </w:r>
        <w:r w:rsidR="00A76A65" w:rsidRPr="00206B2B">
          <w:rPr>
            <w:rStyle w:val="Hyperlink"/>
            <w:i/>
            <w:iCs/>
            <w:color w:val="000000" w:themeColor="text1"/>
            <w:sz w:val="16"/>
            <w:szCs w:val="16"/>
          </w:rPr>
          <w:t>international development p</w:t>
        </w:r>
        <w:r w:rsidR="00C06618" w:rsidRPr="00206B2B">
          <w:rPr>
            <w:rStyle w:val="Hyperlink"/>
            <w:i/>
            <w:iCs/>
            <w:color w:val="000000" w:themeColor="text1"/>
            <w:sz w:val="16"/>
            <w:szCs w:val="16"/>
          </w:rPr>
          <w:t>olicy</w:t>
        </w:r>
      </w:hyperlink>
      <w:r w:rsidR="00C06618" w:rsidRPr="00206B2B">
        <w:rPr>
          <w:color w:val="000000" w:themeColor="text1"/>
          <w:sz w:val="16"/>
          <w:szCs w:val="16"/>
        </w:rPr>
        <w:t xml:space="preserve">, </w:t>
      </w:r>
      <w:r w:rsidR="000F1289" w:rsidRPr="00206B2B">
        <w:rPr>
          <w:color w:val="000000" w:themeColor="text1"/>
          <w:sz w:val="16"/>
          <w:szCs w:val="16"/>
        </w:rPr>
        <w:t>DFAT</w:t>
      </w:r>
      <w:r w:rsidR="00C06618" w:rsidRPr="00206B2B">
        <w:rPr>
          <w:color w:val="000000" w:themeColor="text1"/>
          <w:sz w:val="16"/>
          <w:szCs w:val="16"/>
        </w:rPr>
        <w:t>, 2023.</w:t>
      </w:r>
    </w:p>
  </w:footnote>
  <w:footnote w:id="38">
    <w:p w14:paraId="1E1B3F6D" w14:textId="77777777" w:rsidR="00662E18" w:rsidRPr="00862B5E" w:rsidRDefault="00662E18" w:rsidP="00662E18">
      <w:pPr>
        <w:pStyle w:val="FootnoteText"/>
        <w:rPr>
          <w:szCs w:val="16"/>
        </w:rPr>
      </w:pPr>
      <w:r w:rsidRPr="00862B5E">
        <w:rPr>
          <w:rStyle w:val="FootnoteReference"/>
          <w:szCs w:val="16"/>
        </w:rPr>
        <w:footnoteRef/>
      </w:r>
      <w:r w:rsidRPr="00862B5E">
        <w:rPr>
          <w:szCs w:val="16"/>
        </w:rPr>
        <w:t xml:space="preserve"> The Department of the House of Representatives, </w:t>
      </w:r>
      <w:r w:rsidRPr="00862B5E">
        <w:rPr>
          <w:i/>
          <w:szCs w:val="16"/>
        </w:rPr>
        <w:t>New inquiry into gender equality as a national security and economic security imperative</w:t>
      </w:r>
      <w:r w:rsidRPr="00862B5E">
        <w:rPr>
          <w:szCs w:val="16"/>
        </w:rPr>
        <w:t>.</w:t>
      </w:r>
    </w:p>
  </w:footnote>
  <w:footnote w:id="39">
    <w:p w14:paraId="571704D9" w14:textId="0CD8143F" w:rsidR="007F492D" w:rsidRPr="00862B5E" w:rsidRDefault="007F492D">
      <w:pPr>
        <w:pStyle w:val="FootnoteText"/>
        <w:rPr>
          <w:szCs w:val="16"/>
        </w:rPr>
      </w:pPr>
      <w:r w:rsidRPr="00862B5E">
        <w:rPr>
          <w:rStyle w:val="FootnoteReference"/>
          <w:szCs w:val="16"/>
        </w:rPr>
        <w:footnoteRef/>
      </w:r>
      <w:r w:rsidRPr="00862B5E">
        <w:rPr>
          <w:szCs w:val="16"/>
        </w:rPr>
        <w:t xml:space="preserve"> </w:t>
      </w:r>
      <w:r w:rsidR="00F26829" w:rsidRPr="00862B5E">
        <w:rPr>
          <w:szCs w:val="16"/>
        </w:rPr>
        <w:t xml:space="preserve">DFAT, </w:t>
      </w:r>
      <w:r w:rsidR="00F26829" w:rsidRPr="00862B5E">
        <w:rPr>
          <w:i/>
          <w:szCs w:val="16"/>
        </w:rPr>
        <w:t xml:space="preserve">Australia’s </w:t>
      </w:r>
      <w:r w:rsidR="00D33288" w:rsidRPr="00862B5E">
        <w:rPr>
          <w:i/>
          <w:szCs w:val="16"/>
        </w:rPr>
        <w:t>international development policy</w:t>
      </w:r>
      <w:r w:rsidR="00D33288" w:rsidRPr="00862B5E">
        <w:rPr>
          <w:szCs w:val="16"/>
        </w:rPr>
        <w:t>.</w:t>
      </w:r>
    </w:p>
  </w:footnote>
  <w:footnote w:id="40">
    <w:p w14:paraId="19093F92" w14:textId="77777777" w:rsidR="00194AD0" w:rsidRPr="00862B5E" w:rsidRDefault="00194AD0" w:rsidP="00194AD0">
      <w:pPr>
        <w:pStyle w:val="FootnoteText"/>
        <w:rPr>
          <w:szCs w:val="16"/>
        </w:rPr>
      </w:pPr>
      <w:r w:rsidRPr="00862B5E">
        <w:rPr>
          <w:rStyle w:val="FootnoteReference"/>
          <w:szCs w:val="16"/>
        </w:rPr>
        <w:footnoteRef/>
      </w:r>
      <w:r w:rsidRPr="00862B5E">
        <w:rPr>
          <w:szCs w:val="16"/>
        </w:rPr>
        <w:t xml:space="preserve"> J Krause, W Krause and P Bränfors, ‘</w:t>
      </w:r>
      <w:hyperlink r:id="rId45" w:history="1">
        <w:r w:rsidRPr="00862B5E">
          <w:rPr>
            <w:rStyle w:val="Hyperlink"/>
            <w:color w:val="000000" w:themeColor="text1"/>
            <w:szCs w:val="16"/>
          </w:rPr>
          <w:t>Women’s participation in peace negotiations and the durability of peace</w:t>
        </w:r>
      </w:hyperlink>
      <w:r w:rsidRPr="00206B2B">
        <w:t>’</w:t>
      </w:r>
      <w:r w:rsidRPr="00862B5E">
        <w:rPr>
          <w:szCs w:val="16"/>
        </w:rPr>
        <w:t xml:space="preserve">, </w:t>
      </w:r>
      <w:r w:rsidRPr="00862B5E">
        <w:rPr>
          <w:i/>
          <w:szCs w:val="16"/>
        </w:rPr>
        <w:t>International Interactions</w:t>
      </w:r>
      <w:r w:rsidRPr="00862B5E">
        <w:rPr>
          <w:szCs w:val="16"/>
        </w:rPr>
        <w:t xml:space="preserve">, 2018, 44(6):985-1016, doi:10.1080/03050629.2018.1492386; UN, </w:t>
      </w:r>
      <w:hyperlink r:id="rId46" w:history="1">
        <w:r w:rsidRPr="00862B5E">
          <w:rPr>
            <w:rStyle w:val="Hyperlink"/>
            <w:i/>
            <w:color w:val="000000" w:themeColor="text1"/>
            <w:szCs w:val="16"/>
          </w:rPr>
          <w:t>Women, peace and security: advancing equality and building peace</w:t>
        </w:r>
      </w:hyperlink>
      <w:r w:rsidRPr="00862B5E">
        <w:rPr>
          <w:szCs w:val="16"/>
        </w:rPr>
        <w:t>, UN website, 2025, accessed 23 December 2025.</w:t>
      </w:r>
    </w:p>
  </w:footnote>
  <w:footnote w:id="41">
    <w:p w14:paraId="12D870C6" w14:textId="77777777" w:rsidR="00194AD0" w:rsidRPr="00862B5E" w:rsidRDefault="00194AD0" w:rsidP="00194AD0">
      <w:pPr>
        <w:pStyle w:val="FootnoteText"/>
        <w:rPr>
          <w:szCs w:val="16"/>
        </w:rPr>
      </w:pPr>
      <w:r w:rsidRPr="00862B5E">
        <w:rPr>
          <w:rStyle w:val="FootnoteReference"/>
          <w:szCs w:val="16"/>
        </w:rPr>
        <w:footnoteRef/>
      </w:r>
      <w:r w:rsidRPr="00862B5E">
        <w:rPr>
          <w:szCs w:val="16"/>
        </w:rPr>
        <w:t xml:space="preserve"> Georgetown Institute for WPS and The Peace Research Institute Oslo, </w:t>
      </w:r>
      <w:hyperlink r:id="rId47" w:history="1">
        <w:r w:rsidRPr="00862B5E">
          <w:rPr>
            <w:rStyle w:val="Hyperlink"/>
            <w:i/>
            <w:color w:val="000000" w:themeColor="text1"/>
            <w:szCs w:val="16"/>
          </w:rPr>
          <w:t>Women, peace and security index 2023/24</w:t>
        </w:r>
      </w:hyperlink>
      <w:r w:rsidRPr="00862B5E">
        <w:rPr>
          <w:szCs w:val="16"/>
        </w:rPr>
        <w:t xml:space="preserve">, GIWPS and PRIO, 2023; Our Secure Future, </w:t>
      </w:r>
      <w:hyperlink r:id="rId48" w:history="1">
        <w:r w:rsidRPr="00862B5E">
          <w:rPr>
            <w:rStyle w:val="Hyperlink"/>
            <w:i/>
            <w:color w:val="000000" w:themeColor="text1"/>
            <w:szCs w:val="16"/>
          </w:rPr>
          <w:t>Making the case for women, peace and security: evidence and country examples</w:t>
        </w:r>
      </w:hyperlink>
      <w:r w:rsidRPr="00862B5E">
        <w:rPr>
          <w:szCs w:val="16"/>
        </w:rPr>
        <w:t>, OSF, 2024.</w:t>
      </w:r>
    </w:p>
  </w:footnote>
  <w:footnote w:id="42">
    <w:p w14:paraId="146B2044" w14:textId="77777777" w:rsidR="00194AD0" w:rsidRPr="00862B5E" w:rsidRDefault="00194AD0" w:rsidP="00194AD0">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Pr="00206B2B">
        <w:rPr>
          <w:color w:val="000000" w:themeColor="text1"/>
          <w:sz w:val="16"/>
          <w:szCs w:val="16"/>
          <w:lang w:eastAsia="en-AU"/>
        </w:rPr>
        <w:t xml:space="preserve">Coomaraswamy, </w:t>
      </w:r>
      <w:r w:rsidRPr="00862B5E">
        <w:rPr>
          <w:i/>
          <w:color w:val="000000" w:themeColor="text1"/>
          <w:sz w:val="16"/>
          <w:szCs w:val="16"/>
          <w:lang w:eastAsia="en-AU"/>
        </w:rPr>
        <w:t>Preventing conflict, transforming justice, securing the peace: a global study on the implementation of United Nations Security Council Resolution 1325</w:t>
      </w:r>
      <w:r w:rsidRPr="00206B2B">
        <w:rPr>
          <w:color w:val="000000" w:themeColor="text1"/>
          <w:sz w:val="16"/>
          <w:szCs w:val="16"/>
          <w:lang w:eastAsia="en-AU"/>
        </w:rPr>
        <w:t>.</w:t>
      </w:r>
    </w:p>
  </w:footnote>
  <w:footnote w:id="43">
    <w:p w14:paraId="0101AC6C" w14:textId="4AFE10CA" w:rsidR="00AF19F6" w:rsidRPr="00206B2B" w:rsidRDefault="00AF19F6">
      <w:pPr>
        <w:pStyle w:val="FootnoteText"/>
        <w:rPr>
          <w:szCs w:val="16"/>
        </w:rPr>
      </w:pPr>
      <w:r w:rsidRPr="00206B2B">
        <w:rPr>
          <w:rStyle w:val="FootnoteReference"/>
          <w:szCs w:val="16"/>
        </w:rPr>
        <w:footnoteRef/>
      </w:r>
      <w:r w:rsidRPr="00206B2B">
        <w:rPr>
          <w:szCs w:val="16"/>
        </w:rPr>
        <w:t xml:space="preserve"> </w:t>
      </w:r>
      <w:r w:rsidR="0045156D" w:rsidRPr="00206B2B">
        <w:rPr>
          <w:szCs w:val="16"/>
        </w:rPr>
        <w:t>Ministry of Foreign Affairs</w:t>
      </w:r>
      <w:r w:rsidR="008D0291" w:rsidRPr="00206B2B">
        <w:rPr>
          <w:szCs w:val="16"/>
        </w:rPr>
        <w:t xml:space="preserve"> of Japan</w:t>
      </w:r>
      <w:r w:rsidR="0045156D" w:rsidRPr="00206B2B">
        <w:rPr>
          <w:szCs w:val="16"/>
        </w:rPr>
        <w:t>,</w:t>
      </w:r>
      <w:r w:rsidRPr="00206B2B">
        <w:rPr>
          <w:szCs w:val="16"/>
        </w:rPr>
        <w:t xml:space="preserve"> </w:t>
      </w:r>
      <w:hyperlink r:id="rId49" w:history="1">
        <w:r w:rsidR="00892B38" w:rsidRPr="00206B2B">
          <w:rPr>
            <w:rStyle w:val="Hyperlink"/>
            <w:i/>
            <w:color w:val="000000" w:themeColor="text1"/>
            <w:szCs w:val="16"/>
          </w:rPr>
          <w:t xml:space="preserve">National </w:t>
        </w:r>
        <w:r w:rsidR="00961AA8" w:rsidRPr="00206B2B">
          <w:rPr>
            <w:rStyle w:val="Hyperlink"/>
            <w:i/>
            <w:color w:val="000000" w:themeColor="text1"/>
            <w:szCs w:val="16"/>
          </w:rPr>
          <w:t>action plan on women, peace and security</w:t>
        </w:r>
      </w:hyperlink>
      <w:r w:rsidR="0045156D" w:rsidRPr="00206B2B">
        <w:rPr>
          <w:szCs w:val="16"/>
        </w:rPr>
        <w:t xml:space="preserve">, </w:t>
      </w:r>
      <w:r w:rsidR="0044101B" w:rsidRPr="00206B2B">
        <w:rPr>
          <w:szCs w:val="16"/>
        </w:rPr>
        <w:t>Government</w:t>
      </w:r>
      <w:r w:rsidR="008D0291" w:rsidRPr="00206B2B">
        <w:rPr>
          <w:szCs w:val="16"/>
        </w:rPr>
        <w:t xml:space="preserve"> of Japan, </w:t>
      </w:r>
      <w:r w:rsidR="0010674D" w:rsidRPr="00206B2B">
        <w:rPr>
          <w:szCs w:val="16"/>
        </w:rPr>
        <w:t>2023.</w:t>
      </w:r>
    </w:p>
  </w:footnote>
  <w:footnote w:id="44">
    <w:p w14:paraId="25038C4D" w14:textId="4530DD88" w:rsidR="00F11DB2" w:rsidRPr="00206B2B" w:rsidRDefault="00F11DB2">
      <w:pPr>
        <w:pStyle w:val="FootnoteText"/>
        <w:rPr>
          <w:szCs w:val="16"/>
        </w:rPr>
      </w:pPr>
      <w:r w:rsidRPr="00206B2B">
        <w:rPr>
          <w:rStyle w:val="FootnoteReference"/>
          <w:szCs w:val="16"/>
        </w:rPr>
        <w:footnoteRef/>
      </w:r>
      <w:r w:rsidRPr="00206B2B">
        <w:rPr>
          <w:szCs w:val="16"/>
        </w:rPr>
        <w:t xml:space="preserve"> </w:t>
      </w:r>
      <w:r w:rsidR="00D4390E" w:rsidRPr="00206B2B">
        <w:rPr>
          <w:szCs w:val="16"/>
        </w:rPr>
        <w:t xml:space="preserve">UK Government, </w:t>
      </w:r>
      <w:hyperlink r:id="rId50" w:history="1">
        <w:r w:rsidR="00D4390E" w:rsidRPr="00206B2B">
          <w:rPr>
            <w:rStyle w:val="Hyperlink"/>
            <w:i/>
            <w:color w:val="000000" w:themeColor="text1"/>
            <w:szCs w:val="16"/>
          </w:rPr>
          <w:t xml:space="preserve">UK </w:t>
        </w:r>
        <w:r w:rsidR="00961AA8" w:rsidRPr="00206B2B">
          <w:rPr>
            <w:rStyle w:val="Hyperlink"/>
            <w:i/>
            <w:color w:val="000000" w:themeColor="text1"/>
            <w:szCs w:val="16"/>
          </w:rPr>
          <w:t>women, peace and security  national action plan 2023-2027</w:t>
        </w:r>
      </w:hyperlink>
      <w:r w:rsidR="00D4390E" w:rsidRPr="00206B2B">
        <w:rPr>
          <w:szCs w:val="16"/>
        </w:rPr>
        <w:t>, UK Government, 2023.</w:t>
      </w:r>
    </w:p>
  </w:footnote>
  <w:footnote w:id="45">
    <w:p w14:paraId="5F18B9B0" w14:textId="2F62ABB2" w:rsidR="00BD1EFA" w:rsidRPr="00206B2B" w:rsidRDefault="00BD1EFA">
      <w:pPr>
        <w:pStyle w:val="FootnoteText"/>
        <w:rPr>
          <w:szCs w:val="16"/>
        </w:rPr>
      </w:pPr>
      <w:r w:rsidRPr="00206B2B">
        <w:rPr>
          <w:rStyle w:val="FootnoteReference"/>
          <w:szCs w:val="16"/>
        </w:rPr>
        <w:footnoteRef/>
      </w:r>
      <w:r w:rsidRPr="00206B2B">
        <w:rPr>
          <w:szCs w:val="16"/>
        </w:rPr>
        <w:t xml:space="preserve"> </w:t>
      </w:r>
      <w:r w:rsidR="00EE1375" w:rsidRPr="00206B2B">
        <w:rPr>
          <w:szCs w:val="16"/>
        </w:rPr>
        <w:t xml:space="preserve">Government of Canada, </w:t>
      </w:r>
      <w:hyperlink r:id="rId51" w:history="1">
        <w:r w:rsidR="00E81331" w:rsidRPr="00206B2B">
          <w:rPr>
            <w:rStyle w:val="Hyperlink"/>
            <w:i/>
            <w:color w:val="000000" w:themeColor="text1"/>
            <w:szCs w:val="16"/>
          </w:rPr>
          <w:t xml:space="preserve">Canada’s </w:t>
        </w:r>
        <w:r w:rsidR="00961AA8" w:rsidRPr="00206B2B">
          <w:rPr>
            <w:rStyle w:val="Hyperlink"/>
            <w:i/>
            <w:color w:val="000000" w:themeColor="text1"/>
            <w:szCs w:val="16"/>
          </w:rPr>
          <w:t>national action plan on women, peace and security</w:t>
        </w:r>
      </w:hyperlink>
      <w:r w:rsidR="00E81331" w:rsidRPr="00206B2B">
        <w:rPr>
          <w:szCs w:val="16"/>
        </w:rPr>
        <w:t>, Government of Canada,</w:t>
      </w:r>
      <w:r w:rsidR="00BF7E81" w:rsidRPr="00206B2B">
        <w:rPr>
          <w:szCs w:val="16"/>
        </w:rPr>
        <w:t xml:space="preserve"> 2024.</w:t>
      </w:r>
    </w:p>
  </w:footnote>
  <w:footnote w:id="46">
    <w:p w14:paraId="0D7F6767" w14:textId="07AD5C33" w:rsidR="00AD27C1" w:rsidRPr="00206B2B" w:rsidRDefault="00AD27C1">
      <w:pPr>
        <w:pStyle w:val="FootnoteText"/>
        <w:rPr>
          <w:szCs w:val="16"/>
        </w:rPr>
      </w:pPr>
      <w:r w:rsidRPr="00206B2B">
        <w:rPr>
          <w:rStyle w:val="FootnoteReference"/>
          <w:szCs w:val="16"/>
        </w:rPr>
        <w:footnoteRef/>
      </w:r>
      <w:r w:rsidRPr="00206B2B">
        <w:rPr>
          <w:szCs w:val="16"/>
        </w:rPr>
        <w:t xml:space="preserve"> </w:t>
      </w:r>
      <w:r w:rsidR="00C80F16" w:rsidRPr="00206B2B">
        <w:rPr>
          <w:szCs w:val="16"/>
        </w:rPr>
        <w:t xml:space="preserve">Office of the </w:t>
      </w:r>
      <w:r w:rsidR="0088691B" w:rsidRPr="00206B2B">
        <w:rPr>
          <w:szCs w:val="16"/>
        </w:rPr>
        <w:t>Presidential Advisor</w:t>
      </w:r>
      <w:r w:rsidR="00756FCF" w:rsidRPr="00206B2B">
        <w:rPr>
          <w:szCs w:val="16"/>
        </w:rPr>
        <w:t xml:space="preserve"> on Peace, </w:t>
      </w:r>
      <w:r w:rsidR="0088691B" w:rsidRPr="00206B2B">
        <w:rPr>
          <w:szCs w:val="16"/>
        </w:rPr>
        <w:t xml:space="preserve">Reconciliation </w:t>
      </w:r>
      <w:r w:rsidR="00756FCF" w:rsidRPr="00206B2B">
        <w:rPr>
          <w:szCs w:val="16"/>
        </w:rPr>
        <w:t xml:space="preserve">and </w:t>
      </w:r>
      <w:r w:rsidR="0088691B" w:rsidRPr="00206B2B">
        <w:rPr>
          <w:szCs w:val="16"/>
        </w:rPr>
        <w:t>Unity</w:t>
      </w:r>
      <w:r w:rsidR="00E32E72" w:rsidRPr="00206B2B">
        <w:rPr>
          <w:szCs w:val="16"/>
        </w:rPr>
        <w:t xml:space="preserve">, </w:t>
      </w:r>
      <w:hyperlink r:id="rId52" w:history="1">
        <w:r w:rsidR="00A249F4" w:rsidRPr="00206B2B">
          <w:rPr>
            <w:rStyle w:val="Hyperlink"/>
            <w:i/>
            <w:color w:val="000000" w:themeColor="text1"/>
          </w:rPr>
          <w:t>Philippine national action plan on women, peace and security 2023-2033</w:t>
        </w:r>
      </w:hyperlink>
      <w:r w:rsidR="00A249F4" w:rsidRPr="00206B2B">
        <w:rPr>
          <w:szCs w:val="16"/>
        </w:rPr>
        <w:t xml:space="preserve">, </w:t>
      </w:r>
      <w:r w:rsidR="0088691B" w:rsidRPr="00206B2B">
        <w:rPr>
          <w:szCs w:val="16"/>
        </w:rPr>
        <w:t>OPAPRU</w:t>
      </w:r>
      <w:r w:rsidR="00590023" w:rsidRPr="00206B2B">
        <w:rPr>
          <w:szCs w:val="16"/>
        </w:rPr>
        <w:t xml:space="preserve">, </w:t>
      </w:r>
      <w:r w:rsidR="00EE153A" w:rsidRPr="00206B2B">
        <w:rPr>
          <w:szCs w:val="16"/>
        </w:rPr>
        <w:t>2023.</w:t>
      </w:r>
    </w:p>
  </w:footnote>
  <w:footnote w:id="47">
    <w:p w14:paraId="1D27874E" w14:textId="6A5494CF" w:rsidR="00184C5A" w:rsidRPr="00206B2B" w:rsidRDefault="00184C5A">
      <w:pPr>
        <w:pStyle w:val="FootnoteText"/>
        <w:rPr>
          <w:szCs w:val="16"/>
        </w:rPr>
      </w:pPr>
      <w:r w:rsidRPr="00206B2B">
        <w:rPr>
          <w:rStyle w:val="FootnoteReference"/>
          <w:szCs w:val="16"/>
        </w:rPr>
        <w:footnoteRef/>
      </w:r>
      <w:r w:rsidRPr="00206B2B">
        <w:rPr>
          <w:szCs w:val="16"/>
        </w:rPr>
        <w:t xml:space="preserve"> </w:t>
      </w:r>
      <w:r w:rsidR="00E75773" w:rsidRPr="00206B2B">
        <w:rPr>
          <w:szCs w:val="16"/>
        </w:rPr>
        <w:t xml:space="preserve">OPAPRU, </w:t>
      </w:r>
      <w:hyperlink r:id="rId53" w:history="1">
        <w:r w:rsidR="00F8004E" w:rsidRPr="00206B2B">
          <w:rPr>
            <w:rStyle w:val="Hyperlink"/>
            <w:i/>
            <w:color w:val="000000" w:themeColor="text1"/>
          </w:rPr>
          <w:t xml:space="preserve">Indicator handbook for the </w:t>
        </w:r>
        <w:r w:rsidR="006B3F8D" w:rsidRPr="00206B2B">
          <w:rPr>
            <w:rStyle w:val="Hyperlink"/>
            <w:i/>
            <w:color w:val="000000" w:themeColor="text1"/>
          </w:rPr>
          <w:t>Philippine national action plan on women, peace and security 2023-2033</w:t>
        </w:r>
      </w:hyperlink>
      <w:r w:rsidR="006B3F8D" w:rsidRPr="00206B2B">
        <w:rPr>
          <w:szCs w:val="16"/>
        </w:rPr>
        <w:t xml:space="preserve">, OPAPRU, </w:t>
      </w:r>
      <w:r w:rsidR="00EE153A" w:rsidRPr="00206B2B">
        <w:rPr>
          <w:szCs w:val="16"/>
        </w:rPr>
        <w:t>2024.</w:t>
      </w:r>
    </w:p>
  </w:footnote>
  <w:footnote w:id="48">
    <w:p w14:paraId="4E24E2E7" w14:textId="67D93B35" w:rsidR="001D2DA6" w:rsidRPr="00206B2B" w:rsidRDefault="001D2DA6">
      <w:pPr>
        <w:pStyle w:val="FootnoteText"/>
        <w:rPr>
          <w:szCs w:val="16"/>
        </w:rPr>
      </w:pPr>
      <w:r w:rsidRPr="00862B5E">
        <w:rPr>
          <w:rStyle w:val="FootnoteReference"/>
          <w:szCs w:val="16"/>
        </w:rPr>
        <w:footnoteRef/>
      </w:r>
      <w:r w:rsidRPr="00862B5E">
        <w:rPr>
          <w:szCs w:val="16"/>
        </w:rPr>
        <w:t xml:space="preserve"> </w:t>
      </w:r>
      <w:r w:rsidR="007C078E" w:rsidRPr="00862B5E">
        <w:rPr>
          <w:szCs w:val="16"/>
        </w:rPr>
        <w:t xml:space="preserve">DFAT, </w:t>
      </w:r>
      <w:r w:rsidR="00F617A2" w:rsidRPr="00862B5E">
        <w:rPr>
          <w:i/>
          <w:szCs w:val="16"/>
        </w:rPr>
        <w:t xml:space="preserve">Australian </w:t>
      </w:r>
      <w:r w:rsidR="00961AA8" w:rsidRPr="00862B5E">
        <w:rPr>
          <w:i/>
          <w:szCs w:val="16"/>
        </w:rPr>
        <w:t>national action plan on women, peace and security (2021-2031</w:t>
      </w:r>
      <w:r w:rsidR="00A34F48" w:rsidRPr="00862B5E">
        <w:rPr>
          <w:i/>
          <w:szCs w:val="16"/>
        </w:rPr>
        <w:t>)</w:t>
      </w:r>
      <w:r w:rsidR="00C81EB7" w:rsidRPr="00862B5E">
        <w:rPr>
          <w:szCs w:val="16"/>
        </w:rPr>
        <w:t>.</w:t>
      </w:r>
    </w:p>
  </w:footnote>
  <w:footnote w:id="49">
    <w:p w14:paraId="239A7EDA" w14:textId="519A84A2" w:rsidR="007B69E4" w:rsidRPr="00206B2B" w:rsidRDefault="007B69E4" w:rsidP="00847145">
      <w:pPr>
        <w:pStyle w:val="FootnoteText"/>
        <w:tabs>
          <w:tab w:val="left" w:pos="703"/>
        </w:tabs>
        <w:rPr>
          <w:szCs w:val="16"/>
        </w:rPr>
      </w:pPr>
      <w:r w:rsidRPr="00206B2B">
        <w:rPr>
          <w:rStyle w:val="FootnoteReference"/>
          <w:szCs w:val="16"/>
        </w:rPr>
        <w:footnoteRef/>
      </w:r>
      <w:r w:rsidRPr="00206B2B">
        <w:rPr>
          <w:szCs w:val="16"/>
        </w:rPr>
        <w:t xml:space="preserve"> </w:t>
      </w:r>
      <w:r w:rsidR="00A46D46" w:rsidRPr="00206B2B">
        <w:rPr>
          <w:szCs w:val="16"/>
        </w:rPr>
        <w:t xml:space="preserve">Care, </w:t>
      </w:r>
      <w:r w:rsidR="00A46D46" w:rsidRPr="00206B2B">
        <w:rPr>
          <w:i/>
          <w:szCs w:val="16"/>
        </w:rPr>
        <w:t>Evicte</w:t>
      </w:r>
      <w:r w:rsidR="00705FA5" w:rsidRPr="00206B2B">
        <w:rPr>
          <w:i/>
          <w:szCs w:val="16"/>
        </w:rPr>
        <w:t>d by climate change</w:t>
      </w:r>
      <w:r w:rsidR="00A46D46" w:rsidRPr="00206B2B">
        <w:rPr>
          <w:i/>
          <w:szCs w:val="16"/>
        </w:rPr>
        <w:t xml:space="preserve">: </w:t>
      </w:r>
      <w:r w:rsidR="0090493A" w:rsidRPr="00206B2B">
        <w:rPr>
          <w:i/>
          <w:szCs w:val="16"/>
        </w:rPr>
        <w:t>c</w:t>
      </w:r>
      <w:r w:rsidR="00A46D46" w:rsidRPr="00206B2B">
        <w:rPr>
          <w:i/>
          <w:szCs w:val="16"/>
        </w:rPr>
        <w:t xml:space="preserve">onfronting the </w:t>
      </w:r>
      <w:r w:rsidR="00705FA5" w:rsidRPr="00206B2B">
        <w:rPr>
          <w:i/>
          <w:szCs w:val="16"/>
        </w:rPr>
        <w:t>gendered impacts of climate-induced dis</w:t>
      </w:r>
      <w:r w:rsidR="00A46D46" w:rsidRPr="00206B2B">
        <w:rPr>
          <w:i/>
          <w:szCs w:val="16"/>
        </w:rPr>
        <w:t>placement</w:t>
      </w:r>
      <w:r w:rsidR="00A46D46" w:rsidRPr="00206B2B">
        <w:rPr>
          <w:szCs w:val="16"/>
        </w:rPr>
        <w:t xml:space="preserve">; </w:t>
      </w:r>
      <w:r w:rsidR="00847145" w:rsidRPr="00206B2B">
        <w:rPr>
          <w:szCs w:val="16"/>
        </w:rPr>
        <w:t>UN Women</w:t>
      </w:r>
      <w:r w:rsidR="00847145" w:rsidRPr="00206B2B">
        <w:rPr>
          <w:i/>
          <w:szCs w:val="16"/>
        </w:rPr>
        <w:t xml:space="preserve">, </w:t>
      </w:r>
      <w:hyperlink r:id="rId54" w:history="1">
        <w:r w:rsidR="00847145" w:rsidRPr="00206B2B">
          <w:rPr>
            <w:rStyle w:val="Hyperlink"/>
            <w:i/>
            <w:color w:val="000000" w:themeColor="text1"/>
            <w:szCs w:val="16"/>
          </w:rPr>
          <w:t>Wome</w:t>
        </w:r>
        <w:r w:rsidR="00705FA5" w:rsidRPr="00206B2B">
          <w:rPr>
            <w:rStyle w:val="Hyperlink"/>
            <w:i/>
            <w:color w:val="000000" w:themeColor="text1"/>
            <w:szCs w:val="16"/>
          </w:rPr>
          <w:t>n suffer the most from climate displacement</w:t>
        </w:r>
      </w:hyperlink>
      <w:r w:rsidR="00847145" w:rsidRPr="00206B2B">
        <w:rPr>
          <w:szCs w:val="16"/>
        </w:rPr>
        <w:t xml:space="preserve">, </w:t>
      </w:r>
      <w:r w:rsidR="00E413CE" w:rsidRPr="00206B2B">
        <w:rPr>
          <w:szCs w:val="16"/>
        </w:rPr>
        <w:t>UN Women</w:t>
      </w:r>
      <w:r w:rsidR="000E01F1" w:rsidRPr="00206B2B">
        <w:rPr>
          <w:szCs w:val="16"/>
        </w:rPr>
        <w:t xml:space="preserve">: </w:t>
      </w:r>
      <w:r w:rsidR="000C5BA4" w:rsidRPr="00206B2B">
        <w:rPr>
          <w:szCs w:val="16"/>
        </w:rPr>
        <w:t>Women’s Resilience to Disasters Knowledge Hub</w:t>
      </w:r>
      <w:r w:rsidR="00230068" w:rsidRPr="00206B2B">
        <w:rPr>
          <w:i/>
          <w:szCs w:val="16"/>
        </w:rPr>
        <w:t xml:space="preserve"> </w:t>
      </w:r>
      <w:r w:rsidR="00230068" w:rsidRPr="00206B2B">
        <w:rPr>
          <w:szCs w:val="16"/>
        </w:rPr>
        <w:t>website</w:t>
      </w:r>
      <w:r w:rsidR="000C5BA4" w:rsidRPr="00206B2B">
        <w:rPr>
          <w:szCs w:val="16"/>
        </w:rPr>
        <w:t xml:space="preserve">, </w:t>
      </w:r>
      <w:r w:rsidR="00847145" w:rsidRPr="00206B2B">
        <w:rPr>
          <w:szCs w:val="16"/>
        </w:rPr>
        <w:t>U</w:t>
      </w:r>
      <w:r w:rsidR="006A2CD6" w:rsidRPr="00206B2B">
        <w:rPr>
          <w:szCs w:val="16"/>
        </w:rPr>
        <w:t>N</w:t>
      </w:r>
      <w:r w:rsidR="00A46D46" w:rsidRPr="00206B2B">
        <w:rPr>
          <w:szCs w:val="16"/>
        </w:rPr>
        <w:t xml:space="preserve"> Wome</w:t>
      </w:r>
      <w:r w:rsidR="00230068" w:rsidRPr="00206B2B">
        <w:rPr>
          <w:szCs w:val="16"/>
        </w:rPr>
        <w:t>n</w:t>
      </w:r>
      <w:r w:rsidR="00DC4DF9" w:rsidRPr="00206B2B">
        <w:rPr>
          <w:szCs w:val="16"/>
        </w:rPr>
        <w:t xml:space="preserve">, </w:t>
      </w:r>
      <w:r w:rsidR="006A2CD6" w:rsidRPr="00206B2B">
        <w:rPr>
          <w:szCs w:val="16"/>
        </w:rPr>
        <w:t xml:space="preserve">13 July </w:t>
      </w:r>
      <w:r w:rsidR="00DC4DF9" w:rsidRPr="00206B2B">
        <w:rPr>
          <w:szCs w:val="16"/>
        </w:rPr>
        <w:t>2020</w:t>
      </w:r>
      <w:r w:rsidR="00383721" w:rsidRPr="00206B2B">
        <w:rPr>
          <w:szCs w:val="16"/>
        </w:rPr>
        <w:t>, accessed</w:t>
      </w:r>
      <w:r w:rsidR="00225844" w:rsidRPr="00206B2B">
        <w:rPr>
          <w:szCs w:val="16"/>
        </w:rPr>
        <w:t xml:space="preserve"> 9 December</w:t>
      </w:r>
      <w:r w:rsidR="00D953FA" w:rsidRPr="00206B2B">
        <w:rPr>
          <w:szCs w:val="16"/>
        </w:rPr>
        <w:t xml:space="preserve"> 2025</w:t>
      </w:r>
      <w:r w:rsidR="00FC0711" w:rsidRPr="00206B2B">
        <w:rPr>
          <w:szCs w:val="16"/>
        </w:rPr>
        <w:t>.</w:t>
      </w:r>
    </w:p>
  </w:footnote>
  <w:footnote w:id="50">
    <w:p w14:paraId="406FAFA0" w14:textId="51ECB213" w:rsidR="003D3515" w:rsidRPr="00206B2B" w:rsidRDefault="003D3515">
      <w:pPr>
        <w:pStyle w:val="FootnoteText"/>
        <w:rPr>
          <w:szCs w:val="16"/>
        </w:rPr>
      </w:pPr>
      <w:r w:rsidRPr="00206B2B">
        <w:rPr>
          <w:rStyle w:val="FootnoteReference"/>
          <w:szCs w:val="16"/>
        </w:rPr>
        <w:footnoteRef/>
      </w:r>
      <w:r w:rsidR="00442FC8" w:rsidRPr="00206B2B">
        <w:rPr>
          <w:szCs w:val="16"/>
        </w:rPr>
        <w:t xml:space="preserve"> </w:t>
      </w:r>
      <w:r w:rsidR="00F67328" w:rsidRPr="00206B2B">
        <w:rPr>
          <w:szCs w:val="16"/>
        </w:rPr>
        <w:t>DFAT,</w:t>
      </w:r>
      <w:r w:rsidRPr="00206B2B">
        <w:rPr>
          <w:szCs w:val="16"/>
        </w:rPr>
        <w:t xml:space="preserve"> </w:t>
      </w:r>
      <w:r w:rsidR="00442FC8" w:rsidRPr="00206B2B">
        <w:rPr>
          <w:i/>
          <w:szCs w:val="16"/>
        </w:rPr>
        <w:t xml:space="preserve">Draft WPS </w:t>
      </w:r>
      <w:r w:rsidR="00961AA8" w:rsidRPr="00206B2B">
        <w:rPr>
          <w:i/>
          <w:szCs w:val="16"/>
        </w:rPr>
        <w:t>report</w:t>
      </w:r>
      <w:r w:rsidR="00442FC8" w:rsidRPr="00206B2B">
        <w:rPr>
          <w:i/>
          <w:szCs w:val="16"/>
        </w:rPr>
        <w:t xml:space="preserve"> 2023-2025</w:t>
      </w:r>
      <w:r w:rsidR="00F67328" w:rsidRPr="00206B2B">
        <w:rPr>
          <w:szCs w:val="16"/>
        </w:rPr>
        <w:t xml:space="preserve"> [internal document], 2025.</w:t>
      </w:r>
    </w:p>
  </w:footnote>
  <w:footnote w:id="51">
    <w:p w14:paraId="1D72F4CF" w14:textId="26E93B69" w:rsidR="00F67328" w:rsidRPr="00206B2B" w:rsidRDefault="00F67328">
      <w:pPr>
        <w:pStyle w:val="FootnoteText"/>
      </w:pPr>
      <w:r w:rsidRPr="00206B2B">
        <w:rPr>
          <w:rStyle w:val="FootnoteReference"/>
          <w:szCs w:val="16"/>
        </w:rPr>
        <w:footnoteRef/>
      </w:r>
      <w:r w:rsidRPr="00206B2B">
        <w:rPr>
          <w:szCs w:val="16"/>
        </w:rPr>
        <w:t xml:space="preserve"> DFAT, </w:t>
      </w:r>
      <w:r w:rsidRPr="00206B2B">
        <w:rPr>
          <w:i/>
          <w:szCs w:val="16"/>
        </w:rPr>
        <w:t xml:space="preserve">Draft WPS </w:t>
      </w:r>
      <w:r w:rsidR="00961AA8" w:rsidRPr="00206B2B">
        <w:rPr>
          <w:i/>
          <w:szCs w:val="16"/>
        </w:rPr>
        <w:t>repo</w:t>
      </w:r>
      <w:r w:rsidRPr="00206B2B">
        <w:rPr>
          <w:i/>
          <w:szCs w:val="16"/>
        </w:rPr>
        <w:t>rt 2023-2025</w:t>
      </w:r>
      <w:r w:rsidRPr="00206B2B">
        <w:rPr>
          <w:szCs w:val="16"/>
        </w:rPr>
        <w:t>.</w:t>
      </w:r>
    </w:p>
  </w:footnote>
  <w:footnote w:id="52">
    <w:p w14:paraId="1F71A704" w14:textId="39DC6652" w:rsidR="0040192A" w:rsidRPr="00206B2B" w:rsidRDefault="0040192A">
      <w:pPr>
        <w:pStyle w:val="FootnoteText"/>
        <w:rPr>
          <w:szCs w:val="16"/>
        </w:rPr>
      </w:pPr>
      <w:r w:rsidRPr="00206B2B">
        <w:rPr>
          <w:rStyle w:val="FootnoteReference"/>
          <w:szCs w:val="16"/>
        </w:rPr>
        <w:footnoteRef/>
      </w:r>
      <w:r w:rsidRPr="00206B2B">
        <w:rPr>
          <w:szCs w:val="16"/>
        </w:rPr>
        <w:t xml:space="preserve"> </w:t>
      </w:r>
      <w:r w:rsidR="00D36DF9" w:rsidRPr="00206B2B">
        <w:rPr>
          <w:szCs w:val="16"/>
        </w:rPr>
        <w:t>K Barrett</w:t>
      </w:r>
      <w:r w:rsidR="00BF38AE" w:rsidRPr="00206B2B">
        <w:rPr>
          <w:szCs w:val="16"/>
        </w:rPr>
        <w:t xml:space="preserve">, </w:t>
      </w:r>
      <w:hyperlink r:id="rId55" w:history="1">
        <w:r w:rsidR="00BF38AE" w:rsidRPr="00206B2B">
          <w:rPr>
            <w:rStyle w:val="Hyperlink"/>
            <w:i/>
            <w:color w:val="auto"/>
            <w:szCs w:val="16"/>
          </w:rPr>
          <w:t>AFP Commissioner Krissy Barrett: Senate Estimates Opening Statement</w:t>
        </w:r>
      </w:hyperlink>
      <w:r w:rsidR="00B42003" w:rsidRPr="00206B2B">
        <w:rPr>
          <w:szCs w:val="16"/>
        </w:rPr>
        <w:t xml:space="preserve"> [speech]</w:t>
      </w:r>
      <w:r w:rsidR="00C73679" w:rsidRPr="00206B2B">
        <w:rPr>
          <w:szCs w:val="16"/>
        </w:rPr>
        <w:t>, AFP,</w:t>
      </w:r>
      <w:r w:rsidR="00D46645" w:rsidRPr="00206B2B">
        <w:rPr>
          <w:szCs w:val="16"/>
        </w:rPr>
        <w:t xml:space="preserve"> 2 December 2025, accessed 16 February 2026</w:t>
      </w:r>
    </w:p>
  </w:footnote>
  <w:footnote w:id="53">
    <w:p w14:paraId="538F8BDA" w14:textId="77777777" w:rsidR="006120EA" w:rsidRDefault="006120EA" w:rsidP="006120EA">
      <w:pPr>
        <w:pStyle w:val="FootnoteText"/>
      </w:pPr>
      <w:r>
        <w:rPr>
          <w:rStyle w:val="FootnoteReference"/>
        </w:rPr>
        <w:footnoteRef/>
      </w:r>
      <w:r>
        <w:t xml:space="preserve"> De</w:t>
      </w:r>
      <w:r w:rsidRPr="00206B2B">
        <w:rPr>
          <w:szCs w:val="16"/>
        </w:rPr>
        <w:t xml:space="preserve">partment of Social Services, </w:t>
      </w:r>
      <w:hyperlink r:id="rId56" w:history="1">
        <w:r w:rsidRPr="00206B2B">
          <w:rPr>
            <w:rStyle w:val="Hyperlink"/>
            <w:i/>
            <w:color w:val="000000" w:themeColor="text1"/>
            <w:szCs w:val="16"/>
          </w:rPr>
          <w:t>National plan to end violence against women and children 2022 – 2023</w:t>
        </w:r>
      </w:hyperlink>
      <w:r w:rsidRPr="00206B2B">
        <w:rPr>
          <w:szCs w:val="16"/>
        </w:rPr>
        <w:t>, DSS, 2022.</w:t>
      </w:r>
    </w:p>
  </w:footnote>
  <w:footnote w:id="54">
    <w:p w14:paraId="6797F1FF" w14:textId="6BCCB458" w:rsidR="00452A5B" w:rsidRPr="00206B2B" w:rsidRDefault="00452A5B">
      <w:pPr>
        <w:pStyle w:val="FootnoteText"/>
        <w:rPr>
          <w:szCs w:val="16"/>
        </w:rPr>
      </w:pPr>
      <w:r w:rsidRPr="00206B2B">
        <w:rPr>
          <w:rStyle w:val="FootnoteReference"/>
          <w:szCs w:val="16"/>
        </w:rPr>
        <w:footnoteRef/>
      </w:r>
      <w:r w:rsidRPr="00206B2B">
        <w:rPr>
          <w:szCs w:val="16"/>
        </w:rPr>
        <w:t xml:space="preserve"> </w:t>
      </w:r>
      <w:r w:rsidR="00782BA3" w:rsidRPr="00206B2B">
        <w:rPr>
          <w:szCs w:val="16"/>
        </w:rPr>
        <w:t xml:space="preserve">Women, Peace and Security Coalition, </w:t>
      </w:r>
      <w:hyperlink r:id="rId57" w:history="1">
        <w:r w:rsidR="00782BA3" w:rsidRPr="00206B2B">
          <w:rPr>
            <w:rStyle w:val="Hyperlink"/>
            <w:i/>
            <w:color w:val="000000" w:themeColor="text1"/>
            <w:szCs w:val="16"/>
          </w:rPr>
          <w:t>Climate and women, peace &amp; security</w:t>
        </w:r>
      </w:hyperlink>
      <w:r w:rsidR="00782BA3" w:rsidRPr="00206B2B">
        <w:rPr>
          <w:szCs w:val="16"/>
        </w:rPr>
        <w:t xml:space="preserve">, WPS Coalition, </w:t>
      </w:r>
      <w:r w:rsidR="00770C8A" w:rsidRPr="00206B2B">
        <w:rPr>
          <w:szCs w:val="16"/>
        </w:rPr>
        <w:t>2025.</w:t>
      </w:r>
    </w:p>
  </w:footnote>
  <w:footnote w:id="55">
    <w:p w14:paraId="49BD6D4B" w14:textId="08F52BA3" w:rsidR="00CF117C" w:rsidRPr="00206B2B" w:rsidRDefault="00CF117C" w:rsidP="00CF117C">
      <w:r w:rsidRPr="00206B2B">
        <w:rPr>
          <w:rStyle w:val="FootnoteReference"/>
          <w:color w:val="000000" w:themeColor="text1"/>
          <w:sz w:val="16"/>
          <w:szCs w:val="16"/>
        </w:rPr>
        <w:footnoteRef/>
      </w:r>
      <w:r w:rsidRPr="00206B2B">
        <w:rPr>
          <w:color w:val="000000" w:themeColor="text1"/>
          <w:sz w:val="16"/>
          <w:szCs w:val="16"/>
        </w:rPr>
        <w:t xml:space="preserve"> </w:t>
      </w:r>
      <w:r w:rsidR="000E01F1" w:rsidRPr="00206B2B">
        <w:rPr>
          <w:color w:val="000000" w:themeColor="text1"/>
          <w:sz w:val="16"/>
          <w:szCs w:val="16"/>
        </w:rPr>
        <w:t xml:space="preserve">Care, </w:t>
      </w:r>
      <w:r w:rsidR="000E01F1" w:rsidRPr="00206B2B">
        <w:rPr>
          <w:i/>
          <w:color w:val="000000" w:themeColor="text1"/>
          <w:sz w:val="16"/>
          <w:szCs w:val="16"/>
        </w:rPr>
        <w:t xml:space="preserve">Evicted </w:t>
      </w:r>
      <w:r w:rsidR="00705FA5" w:rsidRPr="00206B2B">
        <w:rPr>
          <w:i/>
          <w:color w:val="000000" w:themeColor="text1"/>
          <w:sz w:val="16"/>
          <w:szCs w:val="16"/>
        </w:rPr>
        <w:t>by climate change</w:t>
      </w:r>
      <w:r w:rsidR="000E01F1" w:rsidRPr="00206B2B">
        <w:rPr>
          <w:i/>
          <w:color w:val="000000" w:themeColor="text1"/>
          <w:sz w:val="16"/>
          <w:szCs w:val="16"/>
        </w:rPr>
        <w:t xml:space="preserve">: </w:t>
      </w:r>
      <w:r w:rsidR="00627148" w:rsidRPr="00206B2B">
        <w:rPr>
          <w:i/>
          <w:color w:val="000000" w:themeColor="text1"/>
          <w:sz w:val="16"/>
          <w:szCs w:val="16"/>
        </w:rPr>
        <w:t>c</w:t>
      </w:r>
      <w:r w:rsidR="000E01F1" w:rsidRPr="00206B2B">
        <w:rPr>
          <w:i/>
          <w:color w:val="000000" w:themeColor="text1"/>
          <w:sz w:val="16"/>
          <w:szCs w:val="16"/>
        </w:rPr>
        <w:t xml:space="preserve">onfronting </w:t>
      </w:r>
      <w:r w:rsidR="00705FA5" w:rsidRPr="00206B2B">
        <w:rPr>
          <w:i/>
          <w:color w:val="000000" w:themeColor="text1"/>
          <w:sz w:val="16"/>
          <w:szCs w:val="16"/>
        </w:rPr>
        <w:t>the gendered impacts of climate-induced displacement</w:t>
      </w:r>
      <w:r w:rsidR="000E01F1" w:rsidRPr="00206B2B">
        <w:rPr>
          <w:i/>
          <w:iCs/>
          <w:color w:val="000000" w:themeColor="text1"/>
          <w:sz w:val="16"/>
          <w:szCs w:val="16"/>
        </w:rPr>
        <w:t>;</w:t>
      </w:r>
      <w:r w:rsidR="000E01F1" w:rsidRPr="00206B2B">
        <w:rPr>
          <w:color w:val="000000" w:themeColor="text1"/>
          <w:sz w:val="16"/>
          <w:szCs w:val="16"/>
        </w:rPr>
        <w:t xml:space="preserve"> </w:t>
      </w:r>
      <w:r w:rsidRPr="00206B2B">
        <w:rPr>
          <w:color w:val="000000" w:themeColor="text1"/>
          <w:sz w:val="16"/>
          <w:szCs w:val="16"/>
        </w:rPr>
        <w:t xml:space="preserve">UN Women, </w:t>
      </w:r>
      <w:hyperlink r:id="rId58" w:history="1">
        <w:r w:rsidRPr="00206B2B">
          <w:rPr>
            <w:rStyle w:val="Hyperlink"/>
            <w:i/>
            <w:color w:val="000000" w:themeColor="text1"/>
            <w:sz w:val="16"/>
            <w:szCs w:val="16"/>
          </w:rPr>
          <w:t xml:space="preserve">Climate </w:t>
        </w:r>
        <w:r w:rsidR="00A5627D" w:rsidRPr="00206B2B">
          <w:rPr>
            <w:rStyle w:val="Hyperlink"/>
            <w:i/>
            <w:iCs/>
            <w:color w:val="000000" w:themeColor="text1"/>
            <w:sz w:val="16"/>
            <w:szCs w:val="16"/>
          </w:rPr>
          <w:t>security</w:t>
        </w:r>
        <w:r w:rsidRPr="00206B2B">
          <w:rPr>
            <w:rStyle w:val="Hyperlink"/>
            <w:i/>
            <w:color w:val="000000" w:themeColor="text1"/>
            <w:sz w:val="16"/>
            <w:szCs w:val="16"/>
          </w:rPr>
          <w:t xml:space="preserve"> and </w:t>
        </w:r>
        <w:r w:rsidR="00A5627D" w:rsidRPr="00206B2B">
          <w:rPr>
            <w:rStyle w:val="Hyperlink"/>
            <w:i/>
            <w:iCs/>
            <w:color w:val="000000" w:themeColor="text1"/>
            <w:sz w:val="16"/>
            <w:szCs w:val="16"/>
          </w:rPr>
          <w:t>gender</w:t>
        </w:r>
      </w:hyperlink>
      <w:r w:rsidRPr="00206B2B">
        <w:rPr>
          <w:color w:val="000000" w:themeColor="text1"/>
          <w:sz w:val="16"/>
          <w:szCs w:val="16"/>
        </w:rPr>
        <w:t>, UN Women</w:t>
      </w:r>
      <w:r w:rsidR="007D4F05" w:rsidRPr="00206B2B">
        <w:rPr>
          <w:color w:val="000000" w:themeColor="text1"/>
          <w:sz w:val="16"/>
          <w:szCs w:val="16"/>
        </w:rPr>
        <w:t>: Asia and the Pacific website</w:t>
      </w:r>
      <w:r w:rsidRPr="00206B2B">
        <w:rPr>
          <w:color w:val="000000" w:themeColor="text1"/>
          <w:sz w:val="16"/>
          <w:szCs w:val="16"/>
        </w:rPr>
        <w:t xml:space="preserve">, </w:t>
      </w:r>
      <w:r w:rsidR="007D4F05" w:rsidRPr="00206B2B">
        <w:rPr>
          <w:color w:val="000000" w:themeColor="text1"/>
          <w:sz w:val="16"/>
          <w:szCs w:val="16"/>
        </w:rPr>
        <w:t xml:space="preserve">UN Women, </w:t>
      </w:r>
      <w:r w:rsidRPr="00206B2B">
        <w:rPr>
          <w:color w:val="000000" w:themeColor="text1"/>
          <w:sz w:val="16"/>
          <w:szCs w:val="16"/>
        </w:rPr>
        <w:t>n.d., accessed 10 December 2025</w:t>
      </w:r>
      <w:r w:rsidR="000E01F1" w:rsidRPr="00206B2B">
        <w:rPr>
          <w:color w:val="000000" w:themeColor="text1"/>
          <w:sz w:val="16"/>
          <w:szCs w:val="16"/>
        </w:rPr>
        <w:t>.</w:t>
      </w:r>
    </w:p>
  </w:footnote>
  <w:footnote w:id="56">
    <w:p w14:paraId="0316BF26" w14:textId="35EE26E3" w:rsidR="00CF117C" w:rsidRPr="00206B2B" w:rsidRDefault="00CF117C" w:rsidP="00CF117C">
      <w:pPr>
        <w:rPr>
          <w:sz w:val="16"/>
          <w:szCs w:val="16"/>
        </w:rPr>
      </w:pPr>
      <w:r w:rsidRPr="00206B2B">
        <w:rPr>
          <w:rStyle w:val="FootnoteReference"/>
          <w:color w:val="000000" w:themeColor="text1"/>
          <w:sz w:val="16"/>
          <w:szCs w:val="16"/>
        </w:rPr>
        <w:footnoteRef/>
      </w:r>
      <w:r w:rsidRPr="00206B2B">
        <w:rPr>
          <w:color w:val="000000" w:themeColor="text1"/>
          <w:sz w:val="16"/>
          <w:szCs w:val="16"/>
        </w:rPr>
        <w:t xml:space="preserve"> DFAT, </w:t>
      </w:r>
      <w:r w:rsidRPr="00206B2B">
        <w:rPr>
          <w:i/>
          <w:iCs/>
          <w:sz w:val="16"/>
          <w:szCs w:val="16"/>
        </w:rPr>
        <w:t xml:space="preserve">Australian </w:t>
      </w:r>
      <w:r w:rsidR="007A706A" w:rsidRPr="00206B2B">
        <w:rPr>
          <w:i/>
          <w:iCs/>
          <w:sz w:val="16"/>
          <w:szCs w:val="16"/>
        </w:rPr>
        <w:t xml:space="preserve">national action plan on women, peace and security </w:t>
      </w:r>
      <w:r w:rsidRPr="00206B2B">
        <w:rPr>
          <w:i/>
          <w:iCs/>
          <w:sz w:val="16"/>
          <w:szCs w:val="16"/>
        </w:rPr>
        <w:t>2021-2031</w:t>
      </w:r>
      <w:r w:rsidRPr="00206B2B">
        <w:rPr>
          <w:color w:val="000000" w:themeColor="text1"/>
          <w:sz w:val="16"/>
          <w:szCs w:val="16"/>
        </w:rPr>
        <w:t>.</w:t>
      </w:r>
    </w:p>
  </w:footnote>
  <w:footnote w:id="57">
    <w:p w14:paraId="1AAFD3AC" w14:textId="22099A30" w:rsidR="00CF117C" w:rsidRPr="00206B2B" w:rsidRDefault="00CF117C" w:rsidP="00CF117C">
      <w:pPr>
        <w:rPr>
          <w:sz w:val="16"/>
          <w:szCs w:val="16"/>
        </w:rPr>
      </w:pPr>
      <w:r w:rsidRPr="00206B2B">
        <w:rPr>
          <w:rStyle w:val="FootnoteReference"/>
          <w:color w:val="000000" w:themeColor="text1"/>
          <w:sz w:val="16"/>
          <w:szCs w:val="16"/>
        </w:rPr>
        <w:footnoteRef/>
      </w:r>
      <w:r w:rsidRPr="00206B2B">
        <w:rPr>
          <w:color w:val="000000" w:themeColor="text1"/>
          <w:sz w:val="16"/>
          <w:szCs w:val="16"/>
        </w:rPr>
        <w:t xml:space="preserve"> National Emergency Management Agency (NEMA), </w:t>
      </w:r>
      <w:hyperlink r:id="rId59" w:history="1">
        <w:r w:rsidRPr="00206B2B">
          <w:rPr>
            <w:rStyle w:val="Hyperlink"/>
            <w:i/>
            <w:color w:val="000000" w:themeColor="text1"/>
            <w:sz w:val="16"/>
            <w:szCs w:val="16"/>
          </w:rPr>
          <w:t xml:space="preserve">Emergency </w:t>
        </w:r>
        <w:r w:rsidR="007A706A" w:rsidRPr="00206B2B">
          <w:rPr>
            <w:rStyle w:val="Hyperlink"/>
            <w:i/>
            <w:iCs/>
            <w:color w:val="000000" w:themeColor="text1"/>
            <w:sz w:val="16"/>
            <w:szCs w:val="16"/>
          </w:rPr>
          <w:t>respon</w:t>
        </w:r>
        <w:r w:rsidRPr="00206B2B">
          <w:rPr>
            <w:rStyle w:val="Hyperlink"/>
            <w:i/>
            <w:iCs/>
            <w:color w:val="000000" w:themeColor="text1"/>
            <w:sz w:val="16"/>
            <w:szCs w:val="16"/>
          </w:rPr>
          <w:t>se</w:t>
        </w:r>
      </w:hyperlink>
      <w:r w:rsidRPr="00206B2B">
        <w:rPr>
          <w:color w:val="000000" w:themeColor="text1"/>
          <w:sz w:val="16"/>
          <w:szCs w:val="16"/>
        </w:rPr>
        <w:t>, National Emergency Management Agency</w:t>
      </w:r>
      <w:r w:rsidR="00EE089B" w:rsidRPr="00206B2B">
        <w:rPr>
          <w:color w:val="000000" w:themeColor="text1"/>
          <w:sz w:val="16"/>
          <w:szCs w:val="16"/>
        </w:rPr>
        <w:t xml:space="preserve"> website</w:t>
      </w:r>
      <w:r w:rsidRPr="00206B2B">
        <w:rPr>
          <w:color w:val="000000" w:themeColor="text1"/>
          <w:sz w:val="16"/>
          <w:szCs w:val="16"/>
        </w:rPr>
        <w:t>, n.d., accessed 10 December 2025.</w:t>
      </w:r>
    </w:p>
  </w:footnote>
  <w:footnote w:id="58">
    <w:p w14:paraId="6658302C" w14:textId="5A43D23B" w:rsidR="00CF117C" w:rsidRPr="00206B2B" w:rsidRDefault="00CF117C" w:rsidP="00CF117C">
      <w:pPr>
        <w:rPr>
          <w:sz w:val="16"/>
          <w:szCs w:val="16"/>
        </w:rPr>
      </w:pPr>
      <w:r w:rsidRPr="00206B2B">
        <w:rPr>
          <w:rStyle w:val="FootnoteReference"/>
          <w:color w:val="000000" w:themeColor="text1"/>
          <w:sz w:val="16"/>
          <w:szCs w:val="16"/>
        </w:rPr>
        <w:footnoteRef/>
      </w:r>
      <w:r w:rsidRPr="00206B2B">
        <w:rPr>
          <w:color w:val="000000" w:themeColor="text1"/>
          <w:sz w:val="16"/>
          <w:szCs w:val="16"/>
        </w:rPr>
        <w:t xml:space="preserve"> UN Women, </w:t>
      </w:r>
      <w:hyperlink r:id="rId60" w:history="1">
        <w:r w:rsidR="007A706A" w:rsidRPr="00206B2B">
          <w:rPr>
            <w:rStyle w:val="Hyperlink"/>
            <w:i/>
            <w:iCs/>
            <w:color w:val="000000" w:themeColor="text1"/>
            <w:sz w:val="16"/>
            <w:szCs w:val="16"/>
          </w:rPr>
          <w:t>Digital violence is intensifying, yet nearly half of the world’s women and girls lack legal protection from digital abuse</w:t>
        </w:r>
      </w:hyperlink>
      <w:r w:rsidRPr="00206B2B">
        <w:rPr>
          <w:color w:val="000000" w:themeColor="text1"/>
          <w:sz w:val="16"/>
          <w:szCs w:val="16"/>
        </w:rPr>
        <w:t>, UN Women</w:t>
      </w:r>
      <w:r w:rsidR="004033C6" w:rsidRPr="00206B2B">
        <w:rPr>
          <w:color w:val="000000" w:themeColor="text1"/>
          <w:sz w:val="16"/>
          <w:szCs w:val="16"/>
        </w:rPr>
        <w:t xml:space="preserve"> website</w:t>
      </w:r>
      <w:r w:rsidRPr="00206B2B">
        <w:rPr>
          <w:color w:val="000000" w:themeColor="text1"/>
          <w:sz w:val="16"/>
          <w:szCs w:val="16"/>
        </w:rPr>
        <w:t>, 2025, accessed 10 December 2025.</w:t>
      </w:r>
    </w:p>
  </w:footnote>
  <w:footnote w:id="59">
    <w:p w14:paraId="603CEBCA" w14:textId="1E566513" w:rsidR="00CF117C" w:rsidRPr="00206B2B" w:rsidRDefault="00CF117C" w:rsidP="00CF117C">
      <w:pPr>
        <w:rPr>
          <w:sz w:val="16"/>
          <w:szCs w:val="16"/>
        </w:rPr>
      </w:pPr>
      <w:r w:rsidRPr="00206B2B">
        <w:rPr>
          <w:rStyle w:val="FootnoteReference"/>
          <w:color w:val="000000" w:themeColor="text1"/>
          <w:sz w:val="16"/>
          <w:szCs w:val="16"/>
        </w:rPr>
        <w:footnoteRef/>
      </w:r>
      <w:r w:rsidRPr="00206B2B">
        <w:rPr>
          <w:color w:val="000000" w:themeColor="text1"/>
          <w:sz w:val="16"/>
          <w:szCs w:val="16"/>
        </w:rPr>
        <w:t xml:space="preserve"> L</w:t>
      </w:r>
      <w:r w:rsidR="009532AF" w:rsidRPr="00206B2B">
        <w:rPr>
          <w:color w:val="000000" w:themeColor="text1"/>
          <w:sz w:val="16"/>
          <w:szCs w:val="16"/>
        </w:rPr>
        <w:t>V</w:t>
      </w:r>
      <w:r w:rsidRPr="00206B2B">
        <w:rPr>
          <w:color w:val="000000" w:themeColor="text1"/>
          <w:sz w:val="16"/>
          <w:szCs w:val="16"/>
        </w:rPr>
        <w:t xml:space="preserve"> Metre,</w:t>
      </w:r>
      <w:r w:rsidRPr="00206B2B">
        <w:rPr>
          <w:i/>
          <w:color w:val="000000" w:themeColor="text1"/>
          <w:sz w:val="16"/>
          <w:szCs w:val="16"/>
        </w:rPr>
        <w:t xml:space="preserve"> </w:t>
      </w:r>
      <w:hyperlink r:id="rId61" w:history="1">
        <w:r w:rsidRPr="00206B2B">
          <w:rPr>
            <w:rStyle w:val="Hyperlink"/>
            <w:i/>
            <w:color w:val="000000" w:themeColor="text1"/>
            <w:sz w:val="16"/>
            <w:szCs w:val="16"/>
          </w:rPr>
          <w:t xml:space="preserve">Society as the </w:t>
        </w:r>
        <w:r w:rsidR="007A706A" w:rsidRPr="00206B2B">
          <w:rPr>
            <w:rStyle w:val="Hyperlink"/>
            <w:i/>
            <w:iCs/>
            <w:color w:val="000000" w:themeColor="text1"/>
            <w:sz w:val="16"/>
            <w:szCs w:val="16"/>
          </w:rPr>
          <w:t>battlefield</w:t>
        </w:r>
        <w:r w:rsidRPr="00206B2B">
          <w:rPr>
            <w:rStyle w:val="Hyperlink"/>
            <w:i/>
            <w:color w:val="000000" w:themeColor="text1"/>
            <w:sz w:val="16"/>
            <w:szCs w:val="16"/>
          </w:rPr>
          <w:t xml:space="preserve">: </w:t>
        </w:r>
        <w:r w:rsidR="000C2217" w:rsidRPr="00206B2B">
          <w:rPr>
            <w:rStyle w:val="Hyperlink"/>
            <w:i/>
            <w:color w:val="000000" w:themeColor="text1"/>
            <w:sz w:val="16"/>
            <w:szCs w:val="16"/>
          </w:rPr>
          <w:t>r</w:t>
        </w:r>
        <w:r w:rsidRPr="00206B2B">
          <w:rPr>
            <w:rStyle w:val="Hyperlink"/>
            <w:i/>
            <w:color w:val="000000" w:themeColor="text1"/>
            <w:sz w:val="16"/>
            <w:szCs w:val="16"/>
          </w:rPr>
          <w:t xml:space="preserve">eframing </w:t>
        </w:r>
        <w:r w:rsidR="007A706A" w:rsidRPr="00206B2B">
          <w:rPr>
            <w:rStyle w:val="Hyperlink"/>
            <w:i/>
            <w:iCs/>
            <w:color w:val="000000" w:themeColor="text1"/>
            <w:sz w:val="16"/>
            <w:szCs w:val="16"/>
          </w:rPr>
          <w:t>women, peace</w:t>
        </w:r>
        <w:r w:rsidRPr="00206B2B">
          <w:rPr>
            <w:rStyle w:val="Hyperlink"/>
            <w:i/>
            <w:color w:val="000000" w:themeColor="text1"/>
            <w:sz w:val="16"/>
            <w:szCs w:val="16"/>
          </w:rPr>
          <w:t xml:space="preserve"> and </w:t>
        </w:r>
        <w:r w:rsidR="007A706A" w:rsidRPr="00206B2B">
          <w:rPr>
            <w:rStyle w:val="Hyperlink"/>
            <w:i/>
            <w:iCs/>
            <w:color w:val="000000" w:themeColor="text1"/>
            <w:sz w:val="16"/>
            <w:szCs w:val="16"/>
          </w:rPr>
          <w:t>security</w:t>
        </w:r>
        <w:r w:rsidRPr="00206B2B">
          <w:rPr>
            <w:rStyle w:val="Hyperlink"/>
            <w:i/>
            <w:color w:val="000000" w:themeColor="text1"/>
            <w:sz w:val="16"/>
            <w:szCs w:val="16"/>
          </w:rPr>
          <w:t xml:space="preserve"> in an </w:t>
        </w:r>
        <w:r w:rsidR="007A706A" w:rsidRPr="00206B2B">
          <w:rPr>
            <w:rStyle w:val="Hyperlink"/>
            <w:i/>
            <w:iCs/>
            <w:color w:val="000000" w:themeColor="text1"/>
            <w:sz w:val="16"/>
            <w:szCs w:val="16"/>
          </w:rPr>
          <w:t>era</w:t>
        </w:r>
        <w:r w:rsidRPr="00206B2B">
          <w:rPr>
            <w:rStyle w:val="Hyperlink"/>
            <w:i/>
            <w:color w:val="000000" w:themeColor="text1"/>
            <w:sz w:val="16"/>
            <w:szCs w:val="16"/>
          </w:rPr>
          <w:t xml:space="preserve"> of </w:t>
        </w:r>
        <w:r w:rsidR="007A706A" w:rsidRPr="00206B2B">
          <w:rPr>
            <w:rStyle w:val="Hyperlink"/>
            <w:i/>
            <w:iCs/>
            <w:color w:val="000000" w:themeColor="text1"/>
            <w:sz w:val="16"/>
            <w:szCs w:val="16"/>
          </w:rPr>
          <w:t>hybrid threats</w:t>
        </w:r>
      </w:hyperlink>
      <w:r w:rsidRPr="00206B2B">
        <w:rPr>
          <w:color w:val="000000" w:themeColor="text1"/>
          <w:sz w:val="16"/>
          <w:szCs w:val="16"/>
        </w:rPr>
        <w:t>, W</w:t>
      </w:r>
      <w:r w:rsidR="007C20CD" w:rsidRPr="00206B2B">
        <w:rPr>
          <w:color w:val="000000" w:themeColor="text1"/>
          <w:sz w:val="16"/>
          <w:szCs w:val="16"/>
        </w:rPr>
        <w:t>IIS</w:t>
      </w:r>
      <w:r w:rsidR="009532AF" w:rsidRPr="00206B2B">
        <w:rPr>
          <w:color w:val="000000" w:themeColor="text1"/>
          <w:sz w:val="16"/>
          <w:szCs w:val="16"/>
        </w:rPr>
        <w:t xml:space="preserve"> website</w:t>
      </w:r>
      <w:r w:rsidRPr="00206B2B">
        <w:rPr>
          <w:color w:val="000000" w:themeColor="text1"/>
          <w:sz w:val="16"/>
          <w:szCs w:val="16"/>
        </w:rPr>
        <w:t>, 2025, accessed 11</w:t>
      </w:r>
      <w:r w:rsidR="009532AF" w:rsidRPr="00206B2B">
        <w:rPr>
          <w:color w:val="000000" w:themeColor="text1"/>
          <w:sz w:val="16"/>
          <w:szCs w:val="16"/>
        </w:rPr>
        <w:t xml:space="preserve"> December </w:t>
      </w:r>
      <w:r w:rsidRPr="00206B2B">
        <w:rPr>
          <w:color w:val="000000" w:themeColor="text1"/>
          <w:sz w:val="16"/>
          <w:szCs w:val="16"/>
        </w:rPr>
        <w:t>2025.</w:t>
      </w:r>
    </w:p>
  </w:footnote>
  <w:footnote w:id="60">
    <w:p w14:paraId="1C2E7C20" w14:textId="694B5ECD" w:rsidR="00CF117C" w:rsidRPr="00206B2B" w:rsidRDefault="00CF117C" w:rsidP="00CF117C">
      <w:pPr>
        <w:pStyle w:val="FootnoteText"/>
        <w:rPr>
          <w:szCs w:val="16"/>
        </w:rPr>
      </w:pPr>
      <w:r w:rsidRPr="00206B2B">
        <w:rPr>
          <w:rStyle w:val="FootnoteReference"/>
          <w:szCs w:val="16"/>
        </w:rPr>
        <w:footnoteRef/>
      </w:r>
      <w:r w:rsidRPr="00206B2B">
        <w:rPr>
          <w:szCs w:val="16"/>
        </w:rPr>
        <w:t xml:space="preserve"> </w:t>
      </w:r>
      <w:r w:rsidR="003335D7" w:rsidRPr="00206B2B">
        <w:rPr>
          <w:szCs w:val="16"/>
        </w:rPr>
        <w:t>UN Women</w:t>
      </w:r>
      <w:r w:rsidR="002E417A" w:rsidRPr="00206B2B">
        <w:rPr>
          <w:szCs w:val="16"/>
        </w:rPr>
        <w:t xml:space="preserve"> and </w:t>
      </w:r>
      <w:r w:rsidR="00E04BDA" w:rsidRPr="00206B2B">
        <w:rPr>
          <w:szCs w:val="16"/>
        </w:rPr>
        <w:t>United Nations Partnership on the Rights of Persons with Disabilities</w:t>
      </w:r>
      <w:r w:rsidR="003335D7" w:rsidRPr="00206B2B">
        <w:rPr>
          <w:szCs w:val="16"/>
        </w:rPr>
        <w:t xml:space="preserve">, </w:t>
      </w:r>
      <w:hyperlink r:id="rId62" w:history="1">
        <w:r w:rsidR="00BE0161" w:rsidRPr="00206B2B">
          <w:rPr>
            <w:rStyle w:val="Hyperlink"/>
            <w:i/>
            <w:color w:val="000000" w:themeColor="text1"/>
            <w:szCs w:val="16"/>
          </w:rPr>
          <w:t>Intersectionality resource guide and toolkit</w:t>
        </w:r>
      </w:hyperlink>
      <w:r w:rsidR="0071200A" w:rsidRPr="00206B2B">
        <w:rPr>
          <w:szCs w:val="16"/>
        </w:rPr>
        <w:t>,</w:t>
      </w:r>
      <w:r w:rsidR="00E703B2" w:rsidRPr="00206B2B">
        <w:rPr>
          <w:szCs w:val="16"/>
        </w:rPr>
        <w:t xml:space="preserve"> UN Women</w:t>
      </w:r>
      <w:r w:rsidR="00E04BDA" w:rsidRPr="00206B2B">
        <w:rPr>
          <w:szCs w:val="16"/>
        </w:rPr>
        <w:t xml:space="preserve"> and UNPRRD</w:t>
      </w:r>
      <w:r w:rsidR="00E703B2" w:rsidRPr="00206B2B">
        <w:rPr>
          <w:szCs w:val="16"/>
        </w:rPr>
        <w:t>,</w:t>
      </w:r>
      <w:r w:rsidR="0071200A" w:rsidRPr="00206B2B">
        <w:rPr>
          <w:szCs w:val="16"/>
        </w:rPr>
        <w:t xml:space="preserve"> </w:t>
      </w:r>
      <w:r w:rsidR="006C776B" w:rsidRPr="00206B2B">
        <w:rPr>
          <w:szCs w:val="16"/>
        </w:rPr>
        <w:t>2022</w:t>
      </w:r>
      <w:r w:rsidR="00E53517" w:rsidRPr="00206B2B">
        <w:rPr>
          <w:szCs w:val="16"/>
        </w:rPr>
        <w:t xml:space="preserve">, accessed </w:t>
      </w:r>
      <w:r w:rsidR="00FC5430" w:rsidRPr="00206B2B">
        <w:rPr>
          <w:szCs w:val="16"/>
        </w:rPr>
        <w:t>15</w:t>
      </w:r>
      <w:r w:rsidR="004033EC" w:rsidRPr="00206B2B">
        <w:rPr>
          <w:szCs w:val="16"/>
        </w:rPr>
        <w:t xml:space="preserve"> December 2025.</w:t>
      </w:r>
    </w:p>
  </w:footnote>
  <w:footnote w:id="61">
    <w:p w14:paraId="3E5CA600" w14:textId="44857077" w:rsidR="00CF117C" w:rsidRPr="00206B2B" w:rsidRDefault="00CF117C" w:rsidP="00CF117C">
      <w:pPr>
        <w:pStyle w:val="FootnoteText"/>
        <w:rPr>
          <w:szCs w:val="16"/>
        </w:rPr>
      </w:pPr>
      <w:r w:rsidRPr="00206B2B">
        <w:rPr>
          <w:rStyle w:val="FootnoteReference"/>
          <w:szCs w:val="16"/>
        </w:rPr>
        <w:footnoteRef/>
      </w:r>
      <w:r w:rsidRPr="00206B2B">
        <w:rPr>
          <w:szCs w:val="16"/>
        </w:rPr>
        <w:t xml:space="preserve"> </w:t>
      </w:r>
      <w:r w:rsidR="003E343A" w:rsidRPr="00206B2B">
        <w:rPr>
          <w:szCs w:val="16"/>
        </w:rPr>
        <w:t>Krause</w:t>
      </w:r>
      <w:r w:rsidR="00E83BC8" w:rsidRPr="00206B2B">
        <w:rPr>
          <w:szCs w:val="16"/>
        </w:rPr>
        <w:t xml:space="preserve"> et al.</w:t>
      </w:r>
      <w:r w:rsidR="009B24B6" w:rsidRPr="00206B2B">
        <w:rPr>
          <w:szCs w:val="16"/>
        </w:rPr>
        <w:t xml:space="preserve">, </w:t>
      </w:r>
      <w:r w:rsidR="009B24B6" w:rsidRPr="00206B2B">
        <w:rPr>
          <w:i/>
          <w:szCs w:val="16"/>
        </w:rPr>
        <w:t>Women’s Participation in Peace Negotiations and the Durability of Peace</w:t>
      </w:r>
      <w:r w:rsidR="00E83BC8" w:rsidRPr="00206B2B">
        <w:rPr>
          <w:i/>
          <w:szCs w:val="16"/>
        </w:rPr>
        <w:t>.</w:t>
      </w:r>
    </w:p>
  </w:footnote>
  <w:footnote w:id="62">
    <w:p w14:paraId="035927B1" w14:textId="152DBDB0" w:rsidR="00CF117C" w:rsidRPr="00206B2B" w:rsidRDefault="00CF117C" w:rsidP="00CF117C">
      <w:pPr>
        <w:pStyle w:val="FootnoteText"/>
        <w:rPr>
          <w:szCs w:val="16"/>
        </w:rPr>
      </w:pPr>
      <w:r w:rsidRPr="00206B2B">
        <w:rPr>
          <w:rStyle w:val="FootnoteReference"/>
          <w:szCs w:val="16"/>
        </w:rPr>
        <w:footnoteRef/>
      </w:r>
      <w:r w:rsidRPr="00206B2B">
        <w:rPr>
          <w:szCs w:val="16"/>
        </w:rPr>
        <w:t xml:space="preserve"> </w:t>
      </w:r>
      <w:r w:rsidR="00C347E5" w:rsidRPr="00206B2B">
        <w:rPr>
          <w:szCs w:val="16"/>
        </w:rPr>
        <w:t>Search for Common Ground</w:t>
      </w:r>
      <w:r w:rsidR="00C005C3" w:rsidRPr="00206B2B">
        <w:rPr>
          <w:szCs w:val="16"/>
        </w:rPr>
        <w:t xml:space="preserve">, </w:t>
      </w:r>
      <w:hyperlink r:id="rId63" w:history="1">
        <w:r w:rsidR="00251DCE" w:rsidRPr="00206B2B">
          <w:rPr>
            <w:rStyle w:val="Hyperlink"/>
            <w:i/>
            <w:color w:val="000000" w:themeColor="text1"/>
            <w:szCs w:val="16"/>
          </w:rPr>
          <w:t xml:space="preserve">Issue </w:t>
        </w:r>
        <w:r w:rsidR="00F15CF5" w:rsidRPr="00206B2B">
          <w:rPr>
            <w:rStyle w:val="Hyperlink"/>
            <w:i/>
            <w:color w:val="000000" w:themeColor="text1"/>
            <w:szCs w:val="16"/>
          </w:rPr>
          <w:t>b</w:t>
        </w:r>
        <w:r w:rsidR="00251DCE" w:rsidRPr="00206B2B">
          <w:rPr>
            <w:rStyle w:val="Hyperlink"/>
            <w:i/>
            <w:color w:val="000000" w:themeColor="text1"/>
            <w:szCs w:val="16"/>
          </w:rPr>
          <w:t xml:space="preserve">rief: </w:t>
        </w:r>
        <w:r w:rsidR="00F15CF5" w:rsidRPr="00206B2B">
          <w:rPr>
            <w:rStyle w:val="Hyperlink"/>
            <w:i/>
            <w:color w:val="000000" w:themeColor="text1"/>
            <w:szCs w:val="16"/>
          </w:rPr>
          <w:t>l</w:t>
        </w:r>
        <w:r w:rsidR="00C005C3" w:rsidRPr="00206B2B">
          <w:rPr>
            <w:rStyle w:val="Hyperlink"/>
            <w:i/>
            <w:color w:val="000000" w:themeColor="text1"/>
            <w:szCs w:val="16"/>
          </w:rPr>
          <w:t xml:space="preserve">ocalising </w:t>
        </w:r>
        <w:r w:rsidR="00F15CF5" w:rsidRPr="00206B2B">
          <w:rPr>
            <w:rStyle w:val="Hyperlink"/>
            <w:i/>
            <w:color w:val="000000" w:themeColor="text1"/>
            <w:szCs w:val="16"/>
          </w:rPr>
          <w:t>w</w:t>
        </w:r>
        <w:r w:rsidR="00C005C3" w:rsidRPr="00206B2B">
          <w:rPr>
            <w:rStyle w:val="Hyperlink"/>
            <w:i/>
            <w:color w:val="000000" w:themeColor="text1"/>
            <w:szCs w:val="16"/>
          </w:rPr>
          <w:t xml:space="preserve">omen, </w:t>
        </w:r>
        <w:r w:rsidR="00F15CF5" w:rsidRPr="00206B2B">
          <w:rPr>
            <w:rStyle w:val="Hyperlink"/>
            <w:i/>
            <w:color w:val="000000" w:themeColor="text1"/>
            <w:szCs w:val="16"/>
          </w:rPr>
          <w:t>p</w:t>
        </w:r>
        <w:r w:rsidR="00C005C3" w:rsidRPr="00206B2B">
          <w:rPr>
            <w:rStyle w:val="Hyperlink"/>
            <w:i/>
            <w:color w:val="000000" w:themeColor="text1"/>
            <w:szCs w:val="16"/>
          </w:rPr>
          <w:t xml:space="preserve">eace and </w:t>
        </w:r>
        <w:r w:rsidR="00F15CF5" w:rsidRPr="00206B2B">
          <w:rPr>
            <w:rStyle w:val="Hyperlink"/>
            <w:i/>
            <w:color w:val="000000" w:themeColor="text1"/>
            <w:szCs w:val="16"/>
          </w:rPr>
          <w:t>s</w:t>
        </w:r>
        <w:r w:rsidR="00C005C3" w:rsidRPr="00206B2B">
          <w:rPr>
            <w:rStyle w:val="Hyperlink"/>
            <w:i/>
            <w:color w:val="000000" w:themeColor="text1"/>
            <w:szCs w:val="16"/>
          </w:rPr>
          <w:t>ecurity</w:t>
        </w:r>
      </w:hyperlink>
      <w:r w:rsidR="00C005C3" w:rsidRPr="00206B2B">
        <w:rPr>
          <w:szCs w:val="16"/>
        </w:rPr>
        <w:t>,</w:t>
      </w:r>
      <w:r w:rsidR="00C347E5" w:rsidRPr="00206B2B">
        <w:rPr>
          <w:szCs w:val="16"/>
        </w:rPr>
        <w:t xml:space="preserve"> S</w:t>
      </w:r>
      <w:r w:rsidR="00607057" w:rsidRPr="00206B2B">
        <w:rPr>
          <w:szCs w:val="16"/>
        </w:rPr>
        <w:t>FCG</w:t>
      </w:r>
      <w:r w:rsidR="00C347E5" w:rsidRPr="00206B2B">
        <w:rPr>
          <w:szCs w:val="16"/>
        </w:rPr>
        <w:t>, October 2024.</w:t>
      </w:r>
    </w:p>
  </w:footnote>
  <w:footnote w:id="63">
    <w:p w14:paraId="0E54750A" w14:textId="5EF37E9C" w:rsidR="00CF117C" w:rsidRPr="00206B2B" w:rsidRDefault="00CF117C" w:rsidP="00CF117C">
      <w:pPr>
        <w:pStyle w:val="FootnoteText"/>
      </w:pPr>
      <w:r w:rsidRPr="00206B2B">
        <w:rPr>
          <w:rStyle w:val="FootnoteReference"/>
          <w:szCs w:val="16"/>
        </w:rPr>
        <w:footnoteRef/>
      </w:r>
      <w:r w:rsidRPr="00206B2B">
        <w:t xml:space="preserve"> </w:t>
      </w:r>
      <w:r w:rsidR="00BE5F47" w:rsidRPr="00206B2B">
        <w:rPr>
          <w:szCs w:val="16"/>
        </w:rPr>
        <w:t xml:space="preserve">Search for Common Ground, </w:t>
      </w:r>
      <w:r w:rsidR="00BE5F47" w:rsidRPr="00206B2B">
        <w:rPr>
          <w:i/>
          <w:szCs w:val="16"/>
        </w:rPr>
        <w:t xml:space="preserve">Issue </w:t>
      </w:r>
      <w:r w:rsidR="00F15CF5" w:rsidRPr="00206B2B">
        <w:rPr>
          <w:i/>
          <w:szCs w:val="16"/>
        </w:rPr>
        <w:t>b</w:t>
      </w:r>
      <w:r w:rsidR="00BE5F47" w:rsidRPr="00206B2B">
        <w:rPr>
          <w:i/>
          <w:szCs w:val="16"/>
        </w:rPr>
        <w:t xml:space="preserve">rief: </w:t>
      </w:r>
      <w:r w:rsidR="00F15CF5" w:rsidRPr="00206B2B">
        <w:rPr>
          <w:i/>
          <w:szCs w:val="16"/>
        </w:rPr>
        <w:t>l</w:t>
      </w:r>
      <w:r w:rsidR="00BE5F47" w:rsidRPr="00206B2B">
        <w:rPr>
          <w:i/>
          <w:szCs w:val="16"/>
        </w:rPr>
        <w:t xml:space="preserve">ocalising </w:t>
      </w:r>
      <w:r w:rsidR="00F15CF5" w:rsidRPr="00206B2B">
        <w:rPr>
          <w:i/>
          <w:szCs w:val="16"/>
        </w:rPr>
        <w:t>w</w:t>
      </w:r>
      <w:r w:rsidR="00BE5F47" w:rsidRPr="00206B2B">
        <w:rPr>
          <w:i/>
          <w:szCs w:val="16"/>
        </w:rPr>
        <w:t xml:space="preserve">omen, </w:t>
      </w:r>
      <w:r w:rsidR="00F15CF5" w:rsidRPr="00206B2B">
        <w:rPr>
          <w:i/>
          <w:szCs w:val="16"/>
        </w:rPr>
        <w:t>p</w:t>
      </w:r>
      <w:r w:rsidR="00BE5F47" w:rsidRPr="00206B2B">
        <w:rPr>
          <w:i/>
          <w:szCs w:val="16"/>
        </w:rPr>
        <w:t xml:space="preserve">eace and </w:t>
      </w:r>
      <w:r w:rsidR="00F15CF5" w:rsidRPr="00206B2B">
        <w:rPr>
          <w:i/>
          <w:szCs w:val="16"/>
        </w:rPr>
        <w:t>s</w:t>
      </w:r>
      <w:r w:rsidR="00BE5F47" w:rsidRPr="00206B2B">
        <w:rPr>
          <w:i/>
          <w:szCs w:val="16"/>
        </w:rPr>
        <w:t>ecurity</w:t>
      </w:r>
      <w:r w:rsidR="00BE5F47" w:rsidRPr="00206B2B">
        <w:rPr>
          <w:szCs w:val="16"/>
        </w:rPr>
        <w:t>.</w:t>
      </w:r>
    </w:p>
  </w:footnote>
  <w:footnote w:id="64">
    <w:p w14:paraId="5B9B1710" w14:textId="0CDB8D06" w:rsidR="00F96DD3" w:rsidRPr="00206B2B" w:rsidRDefault="00F96DD3">
      <w:pPr>
        <w:pStyle w:val="FootnoteText"/>
        <w:rPr>
          <w:szCs w:val="16"/>
        </w:rPr>
      </w:pPr>
      <w:r w:rsidRPr="00206B2B">
        <w:rPr>
          <w:rStyle w:val="FootnoteReference"/>
          <w:szCs w:val="16"/>
        </w:rPr>
        <w:footnoteRef/>
      </w:r>
      <w:r w:rsidRPr="00206B2B">
        <w:rPr>
          <w:szCs w:val="16"/>
        </w:rPr>
        <w:t xml:space="preserve"> </w:t>
      </w:r>
      <w:r w:rsidR="00FB1821" w:rsidRPr="00206B2B">
        <w:rPr>
          <w:szCs w:val="16"/>
        </w:rPr>
        <w:t xml:space="preserve">A Banister, </w:t>
      </w:r>
      <w:r w:rsidR="00FB1821" w:rsidRPr="00206B2B">
        <w:rPr>
          <w:i/>
          <w:szCs w:val="16"/>
        </w:rPr>
        <w:t xml:space="preserve">Annual </w:t>
      </w:r>
      <w:r w:rsidR="00D22C8F" w:rsidRPr="00206B2B">
        <w:rPr>
          <w:i/>
          <w:szCs w:val="16"/>
        </w:rPr>
        <w:t>i</w:t>
      </w:r>
      <w:r w:rsidR="00FB1821" w:rsidRPr="00206B2B">
        <w:rPr>
          <w:i/>
          <w:szCs w:val="16"/>
        </w:rPr>
        <w:t xml:space="preserve">nvestment </w:t>
      </w:r>
      <w:r w:rsidR="00D22C8F" w:rsidRPr="00206B2B">
        <w:rPr>
          <w:i/>
          <w:szCs w:val="16"/>
        </w:rPr>
        <w:t>m</w:t>
      </w:r>
      <w:r w:rsidR="00FB1821" w:rsidRPr="00206B2B">
        <w:rPr>
          <w:i/>
          <w:szCs w:val="16"/>
        </w:rPr>
        <w:t xml:space="preserve">onitoring </w:t>
      </w:r>
      <w:r w:rsidR="00D22C8F" w:rsidRPr="00206B2B">
        <w:rPr>
          <w:i/>
          <w:szCs w:val="16"/>
        </w:rPr>
        <w:t>r</w:t>
      </w:r>
      <w:r w:rsidR="00FB1821" w:rsidRPr="00206B2B">
        <w:rPr>
          <w:i/>
          <w:szCs w:val="16"/>
        </w:rPr>
        <w:t>eport</w:t>
      </w:r>
      <w:r w:rsidR="00C862C9" w:rsidRPr="00206B2B">
        <w:rPr>
          <w:szCs w:val="16"/>
        </w:rPr>
        <w:t xml:space="preserve">, </w:t>
      </w:r>
      <w:r w:rsidR="00F67328" w:rsidRPr="00206B2B">
        <w:rPr>
          <w:szCs w:val="16"/>
        </w:rPr>
        <w:t>[internal</w:t>
      </w:r>
      <w:r w:rsidR="00F84C33" w:rsidRPr="00206B2B">
        <w:rPr>
          <w:szCs w:val="16"/>
        </w:rPr>
        <w:t xml:space="preserve"> document</w:t>
      </w:r>
      <w:r w:rsidR="00F67328" w:rsidRPr="00206B2B">
        <w:rPr>
          <w:szCs w:val="16"/>
        </w:rPr>
        <w:t>]</w:t>
      </w:r>
      <w:r w:rsidR="00C862C9" w:rsidRPr="00206B2B">
        <w:rPr>
          <w:szCs w:val="16"/>
        </w:rPr>
        <w:t>, 2025</w:t>
      </w:r>
      <w:r w:rsidR="00F84C33" w:rsidRPr="00206B2B">
        <w:rPr>
          <w:szCs w:val="16"/>
        </w:rPr>
        <w:t>.</w:t>
      </w:r>
    </w:p>
  </w:footnote>
  <w:footnote w:id="65">
    <w:p w14:paraId="0FE02846" w14:textId="77777777" w:rsidR="00C5357D" w:rsidRPr="00206B2B" w:rsidRDefault="00C5357D" w:rsidP="00C5357D">
      <w:pPr>
        <w:pStyle w:val="FootnoteText"/>
        <w:rPr>
          <w:rFonts w:cs="Arial"/>
          <w:szCs w:val="16"/>
        </w:rPr>
      </w:pPr>
      <w:r w:rsidRPr="00206B2B">
        <w:rPr>
          <w:rStyle w:val="FootnoteReference"/>
          <w:rFonts w:cs="Arial"/>
          <w:szCs w:val="16"/>
        </w:rPr>
        <w:footnoteRef/>
      </w:r>
      <w:r w:rsidRPr="00206B2B">
        <w:rPr>
          <w:rFonts w:cs="Arial"/>
          <w:szCs w:val="16"/>
        </w:rPr>
        <w:t xml:space="preserve"> </w:t>
      </w:r>
      <w:r w:rsidRPr="00206B2B">
        <w:rPr>
          <w:szCs w:val="16"/>
        </w:rPr>
        <w:t xml:space="preserve">WPS Coalition, </w:t>
      </w:r>
      <w:hyperlink r:id="rId64" w:history="1">
        <w:r w:rsidRPr="00206B2B">
          <w:rPr>
            <w:rStyle w:val="Hyperlink"/>
            <w:i/>
            <w:color w:val="000000" w:themeColor="text1"/>
            <w:szCs w:val="16"/>
          </w:rPr>
          <w:t>Women, peace and security: aligning the WPS agenda with the priorities of first nation women in Australia report</w:t>
        </w:r>
      </w:hyperlink>
      <w:r w:rsidRPr="00206B2B">
        <w:rPr>
          <w:szCs w:val="16"/>
        </w:rPr>
        <w:t>, WPS Coalition, 2023.</w:t>
      </w:r>
    </w:p>
  </w:footnote>
  <w:footnote w:id="66">
    <w:p w14:paraId="2575B370" w14:textId="77777777" w:rsidR="00C5357D" w:rsidRPr="00206B2B" w:rsidRDefault="00C5357D" w:rsidP="00C5357D">
      <w:pPr>
        <w:pStyle w:val="FootnoteText"/>
        <w:rPr>
          <w:szCs w:val="16"/>
        </w:rPr>
      </w:pPr>
      <w:r w:rsidRPr="00206B2B">
        <w:rPr>
          <w:rStyle w:val="FootnoteReference"/>
          <w:szCs w:val="16"/>
        </w:rPr>
        <w:footnoteRef/>
      </w:r>
      <w:r w:rsidRPr="00206B2B">
        <w:rPr>
          <w:szCs w:val="16"/>
        </w:rPr>
        <w:t xml:space="preserve"> WPS Coalition, </w:t>
      </w:r>
      <w:r w:rsidRPr="00206B2B">
        <w:rPr>
          <w:i/>
          <w:szCs w:val="16"/>
        </w:rPr>
        <w:t>Women, peace and security: aligning the WPS agenda with the priorities of first nation women in Australia report</w:t>
      </w:r>
      <w:r w:rsidRPr="00206B2B">
        <w:rPr>
          <w:szCs w:val="16"/>
        </w:rPr>
        <w:t>.</w:t>
      </w:r>
    </w:p>
  </w:footnote>
  <w:footnote w:id="67">
    <w:p w14:paraId="2F719765" w14:textId="77777777" w:rsidR="00C5357D" w:rsidRPr="00206B2B" w:rsidRDefault="00C5357D" w:rsidP="00C5357D">
      <w:pPr>
        <w:pStyle w:val="FootnoteText"/>
        <w:rPr>
          <w:szCs w:val="16"/>
        </w:rPr>
      </w:pPr>
      <w:r w:rsidRPr="00206B2B">
        <w:rPr>
          <w:rStyle w:val="FootnoteReference"/>
          <w:szCs w:val="16"/>
        </w:rPr>
        <w:footnoteRef/>
      </w:r>
      <w:r w:rsidRPr="00206B2B">
        <w:rPr>
          <w:szCs w:val="16"/>
        </w:rPr>
        <w:t xml:space="preserve"> S Petikam and M Vaidya, </w:t>
      </w:r>
      <w:hyperlink r:id="rId65" w:history="1">
        <w:r w:rsidRPr="00206B2B">
          <w:rPr>
            <w:rStyle w:val="Hyperlink"/>
            <w:i/>
            <w:color w:val="000000" w:themeColor="text1"/>
            <w:szCs w:val="16"/>
          </w:rPr>
          <w:t>Women's voices in Indigenous knowledge systems: guardians of cultural heritage</w:t>
        </w:r>
      </w:hyperlink>
      <w:r w:rsidRPr="00206B2B">
        <w:rPr>
          <w:szCs w:val="16"/>
        </w:rPr>
        <w:t>, Gap Bodhi Taru, 2024.</w:t>
      </w:r>
    </w:p>
  </w:footnote>
  <w:footnote w:id="68">
    <w:p w14:paraId="641B855A" w14:textId="51C02E32" w:rsidR="00B97A18" w:rsidRPr="00206B2B" w:rsidRDefault="00B97A18">
      <w:pPr>
        <w:pStyle w:val="FootnoteText"/>
        <w:rPr>
          <w:szCs w:val="16"/>
        </w:rPr>
      </w:pPr>
      <w:r w:rsidRPr="00206B2B">
        <w:rPr>
          <w:rStyle w:val="FootnoteReference"/>
          <w:szCs w:val="16"/>
        </w:rPr>
        <w:footnoteRef/>
      </w:r>
      <w:r w:rsidR="00F936B6" w:rsidRPr="00206B2B">
        <w:rPr>
          <w:szCs w:val="16"/>
        </w:rPr>
        <w:t xml:space="preserve"> </w:t>
      </w:r>
      <w:r w:rsidR="00F936B6" w:rsidRPr="00206B2B">
        <w:rPr>
          <w:szCs w:val="16"/>
          <w:lang w:eastAsia="en-AU"/>
        </w:rPr>
        <w:t xml:space="preserve">Coomaraswamy, </w:t>
      </w:r>
      <w:r w:rsidR="00F936B6" w:rsidRPr="00206B2B">
        <w:rPr>
          <w:i/>
          <w:szCs w:val="16"/>
          <w:lang w:eastAsia="en-AU"/>
        </w:rPr>
        <w:t xml:space="preserve">Preventing </w:t>
      </w:r>
      <w:r w:rsidR="00AC51F0" w:rsidRPr="00206B2B">
        <w:rPr>
          <w:i/>
          <w:szCs w:val="16"/>
          <w:lang w:eastAsia="en-AU"/>
        </w:rPr>
        <w:t>c</w:t>
      </w:r>
      <w:r w:rsidR="00F936B6" w:rsidRPr="00206B2B">
        <w:rPr>
          <w:i/>
          <w:szCs w:val="16"/>
          <w:lang w:eastAsia="en-AU"/>
        </w:rPr>
        <w:t xml:space="preserve">onflict, </w:t>
      </w:r>
      <w:r w:rsidR="00AC51F0" w:rsidRPr="00206B2B">
        <w:rPr>
          <w:i/>
          <w:szCs w:val="16"/>
          <w:lang w:eastAsia="en-AU"/>
        </w:rPr>
        <w:t>t</w:t>
      </w:r>
      <w:r w:rsidR="00F936B6" w:rsidRPr="00206B2B">
        <w:rPr>
          <w:i/>
          <w:szCs w:val="16"/>
          <w:lang w:eastAsia="en-AU"/>
        </w:rPr>
        <w:t xml:space="preserve">ransforming </w:t>
      </w:r>
      <w:r w:rsidR="00AC51F0" w:rsidRPr="00206B2B">
        <w:rPr>
          <w:i/>
          <w:szCs w:val="16"/>
          <w:lang w:eastAsia="en-AU"/>
        </w:rPr>
        <w:t>j</w:t>
      </w:r>
      <w:r w:rsidR="00F936B6" w:rsidRPr="00206B2B">
        <w:rPr>
          <w:i/>
          <w:szCs w:val="16"/>
          <w:lang w:eastAsia="en-AU"/>
        </w:rPr>
        <w:t xml:space="preserve">ustice, </w:t>
      </w:r>
      <w:r w:rsidR="00AC51F0" w:rsidRPr="00206B2B">
        <w:rPr>
          <w:i/>
          <w:szCs w:val="16"/>
          <w:lang w:eastAsia="en-AU"/>
        </w:rPr>
        <w:t>s</w:t>
      </w:r>
      <w:r w:rsidR="00F936B6" w:rsidRPr="00206B2B">
        <w:rPr>
          <w:i/>
          <w:szCs w:val="16"/>
          <w:lang w:eastAsia="en-AU"/>
        </w:rPr>
        <w:t xml:space="preserve">ecuring the </w:t>
      </w:r>
      <w:r w:rsidR="00AC51F0" w:rsidRPr="00206B2B">
        <w:rPr>
          <w:i/>
          <w:szCs w:val="16"/>
          <w:lang w:eastAsia="en-AU"/>
        </w:rPr>
        <w:t>p</w:t>
      </w:r>
      <w:r w:rsidR="00F936B6" w:rsidRPr="00206B2B">
        <w:rPr>
          <w:i/>
          <w:szCs w:val="16"/>
          <w:lang w:eastAsia="en-AU"/>
        </w:rPr>
        <w:t xml:space="preserve">eace: </w:t>
      </w:r>
      <w:r w:rsidR="00AC51F0" w:rsidRPr="00206B2B">
        <w:rPr>
          <w:i/>
          <w:szCs w:val="16"/>
          <w:lang w:eastAsia="en-AU"/>
        </w:rPr>
        <w:t>a</w:t>
      </w:r>
      <w:r w:rsidR="00F936B6" w:rsidRPr="00206B2B">
        <w:rPr>
          <w:i/>
          <w:szCs w:val="16"/>
          <w:lang w:eastAsia="en-AU"/>
        </w:rPr>
        <w:t xml:space="preserve"> </w:t>
      </w:r>
      <w:r w:rsidR="00AC51F0" w:rsidRPr="00206B2B">
        <w:rPr>
          <w:i/>
          <w:szCs w:val="16"/>
          <w:lang w:eastAsia="en-AU"/>
        </w:rPr>
        <w:t xml:space="preserve">global study on the implementation of </w:t>
      </w:r>
      <w:r w:rsidR="007525C5" w:rsidRPr="00206B2B">
        <w:rPr>
          <w:i/>
          <w:szCs w:val="16"/>
          <w:lang w:eastAsia="en-AU"/>
        </w:rPr>
        <w:t>U</w:t>
      </w:r>
      <w:r w:rsidR="00AC51F0" w:rsidRPr="00206B2B">
        <w:rPr>
          <w:i/>
          <w:szCs w:val="16"/>
          <w:lang w:eastAsia="en-AU"/>
        </w:rPr>
        <w:t xml:space="preserve">nited </w:t>
      </w:r>
      <w:r w:rsidR="007525C5" w:rsidRPr="00206B2B">
        <w:rPr>
          <w:i/>
          <w:szCs w:val="16"/>
          <w:lang w:eastAsia="en-AU"/>
        </w:rPr>
        <w:t>N</w:t>
      </w:r>
      <w:r w:rsidR="00AC51F0" w:rsidRPr="00206B2B">
        <w:rPr>
          <w:i/>
          <w:szCs w:val="16"/>
          <w:lang w:eastAsia="en-AU"/>
        </w:rPr>
        <w:t xml:space="preserve">ations </w:t>
      </w:r>
      <w:r w:rsidR="007525C5" w:rsidRPr="00206B2B">
        <w:rPr>
          <w:i/>
          <w:szCs w:val="16"/>
          <w:lang w:eastAsia="en-AU"/>
        </w:rPr>
        <w:t>S</w:t>
      </w:r>
      <w:r w:rsidR="00AC51F0" w:rsidRPr="00206B2B">
        <w:rPr>
          <w:i/>
          <w:szCs w:val="16"/>
          <w:lang w:eastAsia="en-AU"/>
        </w:rPr>
        <w:t xml:space="preserve">ecurity </w:t>
      </w:r>
      <w:r w:rsidR="007525C5" w:rsidRPr="00206B2B">
        <w:rPr>
          <w:i/>
          <w:szCs w:val="16"/>
          <w:lang w:eastAsia="en-AU"/>
        </w:rPr>
        <w:t>C</w:t>
      </w:r>
      <w:r w:rsidR="00AC51F0" w:rsidRPr="00206B2B">
        <w:rPr>
          <w:i/>
          <w:szCs w:val="16"/>
          <w:lang w:eastAsia="en-AU"/>
        </w:rPr>
        <w:t xml:space="preserve">ouncil </w:t>
      </w:r>
      <w:r w:rsidR="007525C5" w:rsidRPr="00206B2B">
        <w:rPr>
          <w:i/>
          <w:szCs w:val="16"/>
          <w:lang w:eastAsia="en-AU"/>
        </w:rPr>
        <w:t>R</w:t>
      </w:r>
      <w:r w:rsidR="00AC51F0" w:rsidRPr="00206B2B">
        <w:rPr>
          <w:i/>
          <w:szCs w:val="16"/>
          <w:lang w:eastAsia="en-AU"/>
        </w:rPr>
        <w:t>e</w:t>
      </w:r>
      <w:r w:rsidR="00F936B6" w:rsidRPr="00206B2B">
        <w:rPr>
          <w:i/>
          <w:szCs w:val="16"/>
          <w:lang w:eastAsia="en-AU"/>
        </w:rPr>
        <w:t>solution 1325</w:t>
      </w:r>
      <w:r w:rsidR="00AC1818" w:rsidRPr="00206B2B">
        <w:rPr>
          <w:szCs w:val="16"/>
          <w:lang w:eastAsia="en-AU"/>
        </w:rPr>
        <w:t xml:space="preserve">; </w:t>
      </w:r>
      <w:r w:rsidR="00AC1818" w:rsidRPr="00206B2B">
        <w:rPr>
          <w:szCs w:val="16"/>
        </w:rPr>
        <w:t>Stone, ‘Quantitative analysis of women’s participation in peace processes’.</w:t>
      </w:r>
    </w:p>
  </w:footnote>
  <w:footnote w:id="69">
    <w:p w14:paraId="1FDD6220" w14:textId="68DE088F" w:rsidR="001567EA" w:rsidRPr="00206B2B" w:rsidRDefault="001567EA" w:rsidP="001567EA">
      <w:pPr>
        <w:pStyle w:val="FootnoteText"/>
        <w:rPr>
          <w:szCs w:val="16"/>
        </w:rPr>
      </w:pPr>
      <w:r w:rsidRPr="00206B2B">
        <w:rPr>
          <w:rStyle w:val="FootnoteReference"/>
          <w:szCs w:val="16"/>
        </w:rPr>
        <w:footnoteRef/>
      </w:r>
      <w:r w:rsidRPr="00206B2B">
        <w:rPr>
          <w:szCs w:val="16"/>
        </w:rPr>
        <w:t xml:space="preserve"> </w:t>
      </w:r>
      <w:r w:rsidR="00166E2D" w:rsidRPr="00206B2B">
        <w:rPr>
          <w:szCs w:val="16"/>
        </w:rPr>
        <w:t xml:space="preserve">DFAT, </w:t>
      </w:r>
      <w:hyperlink r:id="rId66" w:history="1">
        <w:r w:rsidR="00166E2D" w:rsidRPr="00206B2B">
          <w:rPr>
            <w:rStyle w:val="Hyperlink"/>
            <w:i/>
            <w:color w:val="000000" w:themeColor="text1"/>
            <w:szCs w:val="16"/>
          </w:rPr>
          <w:t xml:space="preserve">Pacific </w:t>
        </w:r>
        <w:r w:rsidR="002D5CD6" w:rsidRPr="00206B2B">
          <w:rPr>
            <w:rStyle w:val="Hyperlink"/>
            <w:i/>
            <w:color w:val="000000" w:themeColor="text1"/>
            <w:szCs w:val="16"/>
          </w:rPr>
          <w:t>regional – empowering women and girls</w:t>
        </w:r>
      </w:hyperlink>
      <w:r w:rsidR="00166E2D" w:rsidRPr="00206B2B">
        <w:rPr>
          <w:szCs w:val="16"/>
        </w:rPr>
        <w:t xml:space="preserve">, </w:t>
      </w:r>
      <w:r w:rsidR="004234CE" w:rsidRPr="00206B2B">
        <w:rPr>
          <w:szCs w:val="16"/>
        </w:rPr>
        <w:t>DFAT</w:t>
      </w:r>
      <w:r w:rsidR="002D5CD6" w:rsidRPr="00206B2B">
        <w:rPr>
          <w:szCs w:val="16"/>
        </w:rPr>
        <w:t xml:space="preserve"> website</w:t>
      </w:r>
      <w:r w:rsidR="00E735A2" w:rsidRPr="00206B2B">
        <w:rPr>
          <w:szCs w:val="16"/>
        </w:rPr>
        <w:t xml:space="preserve">, </w:t>
      </w:r>
      <w:r w:rsidR="00CE564F" w:rsidRPr="00206B2B">
        <w:rPr>
          <w:szCs w:val="16"/>
        </w:rPr>
        <w:t xml:space="preserve">2024, accessed </w:t>
      </w:r>
      <w:r w:rsidR="000F58F2" w:rsidRPr="00206B2B">
        <w:rPr>
          <w:szCs w:val="16"/>
        </w:rPr>
        <w:t>18 December 2025.</w:t>
      </w:r>
    </w:p>
  </w:footnote>
  <w:footnote w:id="70">
    <w:p w14:paraId="115DDEEA" w14:textId="0A09FFA3" w:rsidR="00827340" w:rsidRPr="00206B2B" w:rsidRDefault="00827340">
      <w:pPr>
        <w:pStyle w:val="FootnoteText"/>
        <w:rPr>
          <w:szCs w:val="16"/>
        </w:rPr>
      </w:pPr>
      <w:r w:rsidRPr="00206B2B">
        <w:rPr>
          <w:rStyle w:val="FootnoteReference"/>
          <w:szCs w:val="16"/>
        </w:rPr>
        <w:footnoteRef/>
      </w:r>
      <w:r w:rsidRPr="00206B2B">
        <w:rPr>
          <w:szCs w:val="16"/>
        </w:rPr>
        <w:t xml:space="preserve"> </w:t>
      </w:r>
      <w:r w:rsidR="00187765" w:rsidRPr="00206B2B">
        <w:rPr>
          <w:szCs w:val="16"/>
        </w:rPr>
        <w:t xml:space="preserve">UN, </w:t>
      </w:r>
      <w:hyperlink r:id="rId67" w:history="1">
        <w:r w:rsidR="00187765" w:rsidRPr="00206B2B">
          <w:rPr>
            <w:rStyle w:val="Hyperlink"/>
            <w:i/>
            <w:color w:val="000000" w:themeColor="text1"/>
            <w:szCs w:val="16"/>
          </w:rPr>
          <w:t>United Nations declaration on the rights of indigenous peoples</w:t>
        </w:r>
      </w:hyperlink>
      <w:r w:rsidR="000816D1" w:rsidRPr="00206B2B">
        <w:rPr>
          <w:szCs w:val="16"/>
        </w:rPr>
        <w:t xml:space="preserve">, UN, </w:t>
      </w:r>
      <w:r w:rsidR="00383763" w:rsidRPr="00206B2B">
        <w:rPr>
          <w:szCs w:val="16"/>
        </w:rPr>
        <w:t xml:space="preserve">2007; </w:t>
      </w:r>
      <w:r w:rsidR="005E36B3" w:rsidRPr="00206B2B">
        <w:rPr>
          <w:szCs w:val="16"/>
        </w:rPr>
        <w:t xml:space="preserve">C Vetter and J Smith, </w:t>
      </w:r>
      <w:hyperlink r:id="rId68" w:anchor="report" w:history="1">
        <w:r w:rsidR="005E36B3" w:rsidRPr="00206B2B">
          <w:rPr>
            <w:rStyle w:val="Hyperlink"/>
            <w:i/>
            <w:color w:val="000000" w:themeColor="text1"/>
          </w:rPr>
          <w:t xml:space="preserve">Practical guidance for integrating climate into </w:t>
        </w:r>
        <w:r w:rsidR="00877D60" w:rsidRPr="00206B2B">
          <w:rPr>
            <w:rStyle w:val="Hyperlink"/>
            <w:i/>
            <w:color w:val="000000" w:themeColor="text1"/>
            <w:szCs w:val="16"/>
          </w:rPr>
          <w:t>WPS</w:t>
        </w:r>
        <w:r w:rsidR="005E36B3" w:rsidRPr="00206B2B">
          <w:rPr>
            <w:rStyle w:val="Hyperlink"/>
            <w:i/>
            <w:color w:val="000000" w:themeColor="text1"/>
          </w:rPr>
          <w:t xml:space="preserve"> national action plan</w:t>
        </w:r>
      </w:hyperlink>
      <w:r w:rsidR="005E36B3" w:rsidRPr="00206B2B">
        <w:rPr>
          <w:szCs w:val="16"/>
        </w:rPr>
        <w:t xml:space="preserve">s, Georgetown Institute of WPS, </w:t>
      </w:r>
      <w:r w:rsidR="00C45E51" w:rsidRPr="00206B2B">
        <w:rPr>
          <w:szCs w:val="16"/>
        </w:rPr>
        <w:t>4 March 2025.</w:t>
      </w:r>
    </w:p>
  </w:footnote>
  <w:footnote w:id="71">
    <w:p w14:paraId="364AB1D8" w14:textId="130C0477" w:rsidR="00A503D4" w:rsidRPr="00206B2B" w:rsidRDefault="00A503D4" w:rsidP="00FE72F7">
      <w:pPr>
        <w:pStyle w:val="FootnoteText"/>
        <w:tabs>
          <w:tab w:val="left" w:pos="9282"/>
        </w:tabs>
        <w:rPr>
          <w:szCs w:val="16"/>
        </w:rPr>
      </w:pPr>
      <w:r w:rsidRPr="00206B2B">
        <w:rPr>
          <w:rStyle w:val="FootnoteReference"/>
          <w:szCs w:val="16"/>
        </w:rPr>
        <w:footnoteRef/>
      </w:r>
      <w:r w:rsidRPr="00206B2B">
        <w:rPr>
          <w:szCs w:val="16"/>
        </w:rPr>
        <w:t xml:space="preserve"> WPS Coalition, </w:t>
      </w:r>
      <w:r w:rsidRPr="00206B2B">
        <w:rPr>
          <w:i/>
          <w:szCs w:val="16"/>
        </w:rPr>
        <w:t>Climate and women, peace &amp; security</w:t>
      </w:r>
      <w:r w:rsidRPr="00206B2B">
        <w:rPr>
          <w:szCs w:val="16"/>
        </w:rPr>
        <w:t>.</w:t>
      </w:r>
      <w:r w:rsidR="00FE72F7" w:rsidRPr="00206B2B">
        <w:rPr>
          <w:szCs w:val="16"/>
        </w:rPr>
        <w:tab/>
      </w:r>
    </w:p>
  </w:footnote>
  <w:footnote w:id="72">
    <w:p w14:paraId="6C7135BD" w14:textId="7226E272" w:rsidR="0009612C" w:rsidRPr="00206B2B" w:rsidRDefault="0009612C">
      <w:pPr>
        <w:pStyle w:val="FootnoteText"/>
        <w:rPr>
          <w:szCs w:val="16"/>
        </w:rPr>
      </w:pPr>
      <w:r w:rsidRPr="00206B2B">
        <w:rPr>
          <w:rStyle w:val="FootnoteReference"/>
          <w:szCs w:val="16"/>
        </w:rPr>
        <w:footnoteRef/>
      </w:r>
      <w:r w:rsidRPr="00206B2B">
        <w:rPr>
          <w:szCs w:val="16"/>
        </w:rPr>
        <w:t xml:space="preserve"> </w:t>
      </w:r>
      <w:r w:rsidR="00DC2362" w:rsidRPr="00206B2B">
        <w:rPr>
          <w:szCs w:val="16"/>
        </w:rPr>
        <w:t xml:space="preserve">H Ferron, </w:t>
      </w:r>
      <w:hyperlink r:id="rId69" w:history="1">
        <w:r w:rsidR="00DC2362" w:rsidRPr="00206B2B">
          <w:rPr>
            <w:rStyle w:val="Hyperlink"/>
            <w:i/>
            <w:color w:val="000000" w:themeColor="text1"/>
            <w:szCs w:val="16"/>
          </w:rPr>
          <w:t xml:space="preserve">WPS in the </w:t>
        </w:r>
        <w:r w:rsidR="00E33033" w:rsidRPr="00206B2B">
          <w:rPr>
            <w:rStyle w:val="Hyperlink"/>
            <w:i/>
            <w:color w:val="000000" w:themeColor="text1"/>
            <w:szCs w:val="16"/>
          </w:rPr>
          <w:t>d</w:t>
        </w:r>
        <w:r w:rsidR="00DC2362" w:rsidRPr="00206B2B">
          <w:rPr>
            <w:rStyle w:val="Hyperlink"/>
            <w:i/>
            <w:color w:val="000000" w:themeColor="text1"/>
            <w:szCs w:val="16"/>
          </w:rPr>
          <w:t xml:space="preserve">igital </w:t>
        </w:r>
        <w:r w:rsidR="00E33033" w:rsidRPr="00206B2B">
          <w:rPr>
            <w:rStyle w:val="Hyperlink"/>
            <w:i/>
            <w:color w:val="000000" w:themeColor="text1"/>
            <w:szCs w:val="16"/>
          </w:rPr>
          <w:t>a</w:t>
        </w:r>
        <w:r w:rsidR="00DC2362" w:rsidRPr="00206B2B">
          <w:rPr>
            <w:rStyle w:val="Hyperlink"/>
            <w:i/>
            <w:color w:val="000000" w:themeColor="text1"/>
            <w:szCs w:val="16"/>
          </w:rPr>
          <w:t xml:space="preserve">ge: </w:t>
        </w:r>
        <w:r w:rsidR="00E33033" w:rsidRPr="00206B2B">
          <w:rPr>
            <w:rStyle w:val="Hyperlink"/>
            <w:i/>
            <w:color w:val="000000" w:themeColor="text1"/>
            <w:szCs w:val="16"/>
          </w:rPr>
          <w:t>i</w:t>
        </w:r>
        <w:r w:rsidR="00DC2362" w:rsidRPr="00206B2B">
          <w:rPr>
            <w:rStyle w:val="Hyperlink"/>
            <w:i/>
            <w:color w:val="000000" w:themeColor="text1"/>
            <w:szCs w:val="16"/>
          </w:rPr>
          <w:t xml:space="preserve">nvestigating AI and </w:t>
        </w:r>
        <w:r w:rsidR="00E33033" w:rsidRPr="00206B2B">
          <w:rPr>
            <w:rStyle w:val="Hyperlink"/>
            <w:i/>
            <w:color w:val="000000" w:themeColor="text1"/>
            <w:szCs w:val="16"/>
          </w:rPr>
          <w:t>i</w:t>
        </w:r>
        <w:r w:rsidR="00DC2362" w:rsidRPr="00206B2B">
          <w:rPr>
            <w:rStyle w:val="Hyperlink"/>
            <w:i/>
            <w:color w:val="000000" w:themeColor="text1"/>
            <w:szCs w:val="16"/>
          </w:rPr>
          <w:t xml:space="preserve">nternational </w:t>
        </w:r>
        <w:r w:rsidR="00E33033" w:rsidRPr="00206B2B">
          <w:rPr>
            <w:rStyle w:val="Hyperlink"/>
            <w:i/>
            <w:color w:val="000000" w:themeColor="text1"/>
            <w:szCs w:val="16"/>
          </w:rPr>
          <w:t>c</w:t>
        </w:r>
        <w:r w:rsidR="00DC2362" w:rsidRPr="00206B2B">
          <w:rPr>
            <w:rStyle w:val="Hyperlink"/>
            <w:i/>
            <w:color w:val="000000" w:themeColor="text1"/>
            <w:szCs w:val="16"/>
          </w:rPr>
          <w:t xml:space="preserve">ybersecurity </w:t>
        </w:r>
        <w:r w:rsidR="00E33033" w:rsidRPr="00206B2B">
          <w:rPr>
            <w:rStyle w:val="Hyperlink"/>
            <w:i/>
            <w:color w:val="000000" w:themeColor="text1"/>
            <w:szCs w:val="16"/>
          </w:rPr>
          <w:t>p</w:t>
        </w:r>
        <w:r w:rsidR="00DC2362" w:rsidRPr="00206B2B">
          <w:rPr>
            <w:rStyle w:val="Hyperlink"/>
            <w:i/>
            <w:color w:val="000000" w:themeColor="text1"/>
            <w:szCs w:val="16"/>
          </w:rPr>
          <w:t>olicy</w:t>
        </w:r>
      </w:hyperlink>
      <w:r w:rsidR="00DC2362" w:rsidRPr="00206B2B">
        <w:rPr>
          <w:szCs w:val="16"/>
        </w:rPr>
        <w:t xml:space="preserve">, </w:t>
      </w:r>
      <w:r w:rsidR="00FC5838" w:rsidRPr="00206B2B">
        <w:rPr>
          <w:szCs w:val="16"/>
        </w:rPr>
        <w:t xml:space="preserve">Research Network on Women, Peace and Security, </w:t>
      </w:r>
      <w:r w:rsidR="00E80072" w:rsidRPr="00206B2B">
        <w:rPr>
          <w:szCs w:val="16"/>
        </w:rPr>
        <w:t xml:space="preserve">12 February </w:t>
      </w:r>
      <w:r w:rsidR="00FC5838" w:rsidRPr="00206B2B">
        <w:rPr>
          <w:szCs w:val="16"/>
        </w:rPr>
        <w:t>2025</w:t>
      </w:r>
      <w:r w:rsidR="00AA01D1" w:rsidRPr="00206B2B">
        <w:rPr>
          <w:szCs w:val="16"/>
        </w:rPr>
        <w:t>.</w:t>
      </w:r>
    </w:p>
  </w:footnote>
  <w:footnote w:id="73">
    <w:p w14:paraId="588140EB" w14:textId="1B173EC2" w:rsidR="00111AC8" w:rsidRPr="00206B2B" w:rsidRDefault="00111AC8" w:rsidP="00E27361">
      <w:pPr>
        <w:rPr>
          <w:color w:val="000000" w:themeColor="text1"/>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E27361" w:rsidRPr="00206B2B">
        <w:rPr>
          <w:color w:val="000000" w:themeColor="text1"/>
          <w:sz w:val="16"/>
          <w:szCs w:val="16"/>
        </w:rPr>
        <w:t xml:space="preserve">M Cardenas, A Porter, C Safyan, P Poppelreuter, A Bramble, A Schoebridge, T Paffenholz, A Sommo and S d’Estaing, </w:t>
      </w:r>
      <w:hyperlink r:id="rId70" w:history="1">
        <w:r w:rsidR="00DF78C1" w:rsidRPr="00206B2B">
          <w:rPr>
            <w:rStyle w:val="Hyperlink"/>
            <w:i/>
            <w:iCs/>
            <w:color w:val="000000" w:themeColor="text1"/>
            <w:sz w:val="16"/>
            <w:szCs w:val="16"/>
          </w:rPr>
          <w:t>Furthering women’s full and meaningful participation amidst a shifting peacemaking landscap</w:t>
        </w:r>
        <w:r w:rsidR="00DD57B5" w:rsidRPr="00206B2B">
          <w:rPr>
            <w:rStyle w:val="Hyperlink"/>
            <w:i/>
            <w:iCs/>
            <w:color w:val="000000" w:themeColor="text1"/>
            <w:sz w:val="16"/>
            <w:szCs w:val="16"/>
          </w:rPr>
          <w:t xml:space="preserve">e: </w:t>
        </w:r>
        <w:r w:rsidR="00BA4A5F" w:rsidRPr="00206B2B">
          <w:rPr>
            <w:rStyle w:val="Hyperlink"/>
            <w:i/>
            <w:iCs/>
            <w:color w:val="000000" w:themeColor="text1"/>
            <w:sz w:val="16"/>
            <w:szCs w:val="16"/>
          </w:rPr>
          <w:t>i</w:t>
        </w:r>
        <w:r w:rsidR="00DD57B5" w:rsidRPr="00206B2B">
          <w:rPr>
            <w:rStyle w:val="Hyperlink"/>
            <w:i/>
            <w:iCs/>
            <w:color w:val="000000" w:themeColor="text1"/>
            <w:sz w:val="16"/>
            <w:szCs w:val="16"/>
          </w:rPr>
          <w:t>mpacts and trends from the WP</w:t>
        </w:r>
        <w:r w:rsidR="00F84ADC" w:rsidRPr="00206B2B">
          <w:rPr>
            <w:rStyle w:val="Hyperlink"/>
            <w:i/>
            <w:iCs/>
            <w:color w:val="000000" w:themeColor="text1"/>
            <w:sz w:val="16"/>
            <w:szCs w:val="16"/>
          </w:rPr>
          <w:t>HF rapid response window</w:t>
        </w:r>
        <w:r w:rsidR="00DD57B5" w:rsidRPr="00206B2B">
          <w:rPr>
            <w:rStyle w:val="Hyperlink"/>
            <w:i/>
            <w:iCs/>
            <w:color w:val="000000" w:themeColor="text1"/>
            <w:sz w:val="16"/>
            <w:szCs w:val="16"/>
          </w:rPr>
          <w:t xml:space="preserve"> </w:t>
        </w:r>
      </w:hyperlink>
      <w:r w:rsidR="00E27361" w:rsidRPr="00206B2B">
        <w:rPr>
          <w:color w:val="000000" w:themeColor="text1"/>
          <w:sz w:val="16"/>
          <w:szCs w:val="16"/>
        </w:rPr>
        <w:t>, Women’s Peace and Humanitarian Fund, 2024.</w:t>
      </w:r>
    </w:p>
  </w:footnote>
  <w:footnote w:id="74">
    <w:p w14:paraId="167C233E" w14:textId="58D10069" w:rsidR="00111AC8" w:rsidRPr="00206B2B" w:rsidRDefault="00111AC8" w:rsidP="00170D0D">
      <w:pPr>
        <w:rPr>
          <w:sz w:val="16"/>
          <w:szCs w:val="16"/>
        </w:rPr>
      </w:pPr>
      <w:r w:rsidRPr="00206B2B">
        <w:rPr>
          <w:rStyle w:val="FootnoteReference"/>
          <w:color w:val="000000" w:themeColor="text1"/>
          <w:sz w:val="16"/>
          <w:szCs w:val="16"/>
        </w:rPr>
        <w:footnoteRef/>
      </w:r>
      <w:r w:rsidRPr="00206B2B">
        <w:rPr>
          <w:color w:val="000000" w:themeColor="text1"/>
          <w:sz w:val="16"/>
          <w:szCs w:val="16"/>
        </w:rPr>
        <w:t xml:space="preserve"> </w:t>
      </w:r>
      <w:r w:rsidR="00170D0D" w:rsidRPr="00206B2B">
        <w:rPr>
          <w:color w:val="000000" w:themeColor="text1"/>
          <w:sz w:val="16"/>
          <w:szCs w:val="16"/>
        </w:rPr>
        <w:t>Cardenas</w:t>
      </w:r>
      <w:r w:rsidR="00E83BC8" w:rsidRPr="00206B2B">
        <w:rPr>
          <w:color w:val="000000" w:themeColor="text1"/>
          <w:sz w:val="16"/>
          <w:szCs w:val="16"/>
        </w:rPr>
        <w:t xml:space="preserve"> et al.</w:t>
      </w:r>
      <w:r w:rsidR="00170D0D" w:rsidRPr="00206B2B">
        <w:rPr>
          <w:color w:val="000000" w:themeColor="text1"/>
          <w:sz w:val="16"/>
          <w:szCs w:val="16"/>
        </w:rPr>
        <w:t xml:space="preserve">, </w:t>
      </w:r>
      <w:r w:rsidR="00500C8A" w:rsidRPr="00206B2B">
        <w:rPr>
          <w:i/>
          <w:iCs/>
          <w:sz w:val="16"/>
          <w:szCs w:val="16"/>
        </w:rPr>
        <w:t>Furthering women’s full and meaningful participation amidst a shifting peacemaking landscape: Impacts and trends from the WPHF rapid response window</w:t>
      </w:r>
      <w:r w:rsidR="00500C8A" w:rsidRPr="00206B2B">
        <w:rPr>
          <w:i/>
          <w:iCs/>
          <w:color w:val="000000" w:themeColor="text1"/>
          <w:sz w:val="16"/>
          <w:szCs w:val="16"/>
        </w:rPr>
        <w:t>.</w:t>
      </w:r>
    </w:p>
  </w:footnote>
  <w:footnote w:id="75">
    <w:p w14:paraId="79F3D86D" w14:textId="35FC133E" w:rsidR="00593153" w:rsidRPr="006C1F82" w:rsidRDefault="00593153">
      <w:pPr>
        <w:pStyle w:val="FootnoteText"/>
        <w:rPr>
          <w:szCs w:val="16"/>
        </w:rPr>
      </w:pPr>
      <w:r w:rsidRPr="00206B2B">
        <w:rPr>
          <w:rStyle w:val="FootnoteReference"/>
          <w:szCs w:val="16"/>
        </w:rPr>
        <w:footnoteRef/>
      </w:r>
      <w:r w:rsidRPr="00206B2B">
        <w:rPr>
          <w:szCs w:val="16"/>
        </w:rPr>
        <w:t xml:space="preserve"> </w:t>
      </w:r>
      <w:r w:rsidR="001A4184" w:rsidRPr="00206B2B">
        <w:rPr>
          <w:szCs w:val="16"/>
        </w:rPr>
        <w:t xml:space="preserve">WPS Coalition, </w:t>
      </w:r>
      <w:hyperlink r:id="rId71" w:history="1">
        <w:r w:rsidR="00162011" w:rsidRPr="00206B2B">
          <w:rPr>
            <w:rStyle w:val="Hyperlink"/>
            <w:i/>
            <w:color w:val="000000" w:themeColor="text1"/>
            <w:szCs w:val="16"/>
          </w:rPr>
          <w:t>WPS regional convening summary report: twenty-five years on: reigniting the WPS agenda in response to growing conflict and climate crisis</w:t>
        </w:r>
      </w:hyperlink>
      <w:r w:rsidR="00162011" w:rsidRPr="00206B2B">
        <w:rPr>
          <w:szCs w:val="16"/>
        </w:rPr>
        <w:t xml:space="preserve">, WPS Coalition, </w:t>
      </w:r>
      <w:r w:rsidR="00D66A13" w:rsidRPr="00206B2B">
        <w:rPr>
          <w:szCs w:val="16"/>
        </w:rPr>
        <w:t>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2EE20" w14:textId="75A0BD4A" w:rsidR="00B8452A" w:rsidRDefault="00B8452A">
    <w:pPr>
      <w:pStyle w:val="Header"/>
    </w:pPr>
    <w:r>
      <w:rPr>
        <w:noProof/>
      </w:rPr>
      <mc:AlternateContent>
        <mc:Choice Requires="wps">
          <w:drawing>
            <wp:anchor distT="0" distB="0" distL="0" distR="0" simplePos="0" relativeHeight="251659264" behindDoc="0" locked="0" layoutInCell="1" allowOverlap="1" wp14:anchorId="328AA4AA" wp14:editId="19A9EBFB">
              <wp:simplePos x="635" y="635"/>
              <wp:positionH relativeFrom="page">
                <wp:align>center</wp:align>
              </wp:positionH>
              <wp:positionV relativeFrom="page">
                <wp:align>top</wp:align>
              </wp:positionV>
              <wp:extent cx="622300" cy="452120"/>
              <wp:effectExtent l="0" t="0" r="6350" b="5080"/>
              <wp:wrapNone/>
              <wp:docPr id="6276225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A41EBB5" w14:textId="5DFC61C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8AA4AA" id="_x0000_t202" coordsize="21600,21600" o:spt="202" path="m,l,21600r21600,l21600,xe">
              <v:stroke joinstyle="miter"/>
              <v:path gradientshapeok="t" o:connecttype="rect"/>
            </v:shapetype>
            <v:shape id="Text Box 2" o:spid="_x0000_s1026" type="#_x0000_t202" alt="OFFICIAL" style="position:absolute;margin-left:0;margin-top:0;width:49pt;height:35.6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" filled="f" stroked="f">
              <v:textbox style="mso-fit-shape-to-text:t" inset="0,15pt,0,0">
                <w:txbxContent>
                  <w:p w14:paraId="4A41EBB5" w14:textId="5DFC61C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5DA13" w14:textId="4AFA7741" w:rsidR="002B5719" w:rsidRPr="00206B2B" w:rsidRDefault="00B8452A">
    <w:pPr>
      <w:pStyle w:val="Header"/>
    </w:pPr>
    <w:r>
      <w:rPr>
        <w:noProof/>
      </w:rPr>
      <mc:AlternateContent>
        <mc:Choice Requires="wps">
          <w:drawing>
            <wp:anchor distT="0" distB="0" distL="0" distR="0" simplePos="0" relativeHeight="251668480" behindDoc="0" locked="0" layoutInCell="1" allowOverlap="1" wp14:anchorId="05BDCB7D" wp14:editId="1A47E8A9">
              <wp:simplePos x="635" y="635"/>
              <wp:positionH relativeFrom="page">
                <wp:align>center</wp:align>
              </wp:positionH>
              <wp:positionV relativeFrom="page">
                <wp:align>top</wp:align>
              </wp:positionV>
              <wp:extent cx="622300" cy="452120"/>
              <wp:effectExtent l="0" t="0" r="6350" b="5080"/>
              <wp:wrapNone/>
              <wp:docPr id="1868609656"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722FD501" w14:textId="300B8E16"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5BDCB7D" id="_x0000_t202" coordsize="21600,21600" o:spt="202" path="m,l,21600r21600,l21600,xe">
              <v:stroke joinstyle="miter"/>
              <v:path gradientshapeok="t" o:connecttype="rect"/>
            </v:shapetype>
            <v:shape id="Text Box 11" o:spid="_x0000_s1042" type="#_x0000_t202" alt="OFFICIAL" style="position:absolute;margin-left:0;margin-top:0;width:49pt;height:35.6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DaxA84OAgAAHQQA&#10;AA4AAAAAAAAAAAAAAAAALgIAAGRycy9lMm9Eb2MueG1sUEsBAi0AFAAGAAgAAAAhAB0s+h7ZAAAA&#10;AwEAAA8AAAAAAAAAAAAAAAAAaAQAAGRycy9kb3ducmV2LnhtbFBLBQYAAAAABAAEAPMAAABuBQAA&#10;AAA=&#10;" filled="f" stroked="f">
              <v:textbox style="mso-fit-shape-to-text:t" inset="0,15pt,0,0">
                <w:txbxContent>
                  <w:p w14:paraId="722FD501" w14:textId="300B8E16"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FAA43" w14:textId="31EF8233" w:rsidR="002B5719" w:rsidRPr="00206B2B" w:rsidRDefault="00B8452A">
    <w:pPr>
      <w:pStyle w:val="Header"/>
    </w:pPr>
    <w:r>
      <w:rPr>
        <w:noProof/>
      </w:rPr>
      <mc:AlternateContent>
        <mc:Choice Requires="wps">
          <w:drawing>
            <wp:anchor distT="0" distB="0" distL="0" distR="0" simplePos="0" relativeHeight="251666432" behindDoc="0" locked="0" layoutInCell="1" allowOverlap="1" wp14:anchorId="4C62B84A" wp14:editId="05F349C0">
              <wp:simplePos x="635" y="635"/>
              <wp:positionH relativeFrom="page">
                <wp:align>center</wp:align>
              </wp:positionH>
              <wp:positionV relativeFrom="page">
                <wp:align>top</wp:align>
              </wp:positionV>
              <wp:extent cx="622300" cy="452120"/>
              <wp:effectExtent l="0" t="0" r="6350" b="5080"/>
              <wp:wrapNone/>
              <wp:docPr id="540346544"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E51F53C" w14:textId="3939E51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62B84A" id="_x0000_t202" coordsize="21600,21600" o:spt="202" path="m,l,21600r21600,l21600,xe">
              <v:stroke joinstyle="miter"/>
              <v:path gradientshapeok="t" o:connecttype="rect"/>
            </v:shapetype>
            <v:shape id="Text Box 9" o:spid="_x0000_s1044" type="#_x0000_t202" alt="OFFICIAL" style="position:absolute;margin-left:0;margin-top:0;width:49pt;height:35.6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HHPSHUOAgAAHQQA&#10;AA4AAAAAAAAAAAAAAAAALgIAAGRycy9lMm9Eb2MueG1sUEsBAi0AFAAGAAgAAAAhAB0s+h7ZAAAA&#10;AwEAAA8AAAAAAAAAAAAAAAAAaAQAAGRycy9kb3ducmV2LnhtbFBLBQYAAAAABAAEAPMAAABuBQAA&#10;AAA=&#10;" filled="f" stroked="f">
              <v:textbox style="mso-fit-shape-to-text:t" inset="0,15pt,0,0">
                <w:txbxContent>
                  <w:p w14:paraId="4E51F53C" w14:textId="3939E51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BFE26" w14:textId="53A67A2D" w:rsidR="00DD4022" w:rsidRPr="00206B2B" w:rsidRDefault="00B8452A">
    <w:pPr>
      <w:pStyle w:val="Header"/>
    </w:pPr>
    <w:r>
      <w:rPr>
        <w:noProof/>
      </w:rPr>
      <mc:AlternateContent>
        <mc:Choice Requires="wps">
          <w:drawing>
            <wp:anchor distT="0" distB="0" distL="0" distR="0" simplePos="0" relativeHeight="251670528" behindDoc="0" locked="0" layoutInCell="1" allowOverlap="1" wp14:anchorId="34A9E65E" wp14:editId="630A46CC">
              <wp:simplePos x="635" y="635"/>
              <wp:positionH relativeFrom="page">
                <wp:align>center</wp:align>
              </wp:positionH>
              <wp:positionV relativeFrom="page">
                <wp:align>top</wp:align>
              </wp:positionV>
              <wp:extent cx="622300" cy="452120"/>
              <wp:effectExtent l="0" t="0" r="6350" b="5080"/>
              <wp:wrapNone/>
              <wp:docPr id="686225617"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39D05459" w14:textId="0840A7D0"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A9E65E" id="_x0000_t202" coordsize="21600,21600" o:spt="202" path="m,l,21600r21600,l21600,xe">
              <v:stroke joinstyle="miter"/>
              <v:path gradientshapeok="t" o:connecttype="rect"/>
            </v:shapetype>
            <v:shape id="Text Box 13" o:spid="_x0000_s1045" type="#_x0000_t202" alt="OFFICIAL" style="position:absolute;margin-left:0;margin-top:0;width:49pt;height:35.6pt;z-index:2516705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Bxw+kgOAgAAHQQA&#10;AA4AAAAAAAAAAAAAAAAALgIAAGRycy9lMm9Eb2MueG1sUEsBAi0AFAAGAAgAAAAhAB0s+h7ZAAAA&#10;AwEAAA8AAAAAAAAAAAAAAAAAaAQAAGRycy9kb3ducmV2LnhtbFBLBQYAAAAABAAEAPMAAABuBQAA&#10;AAA=&#10;" filled="f" stroked="f">
              <v:textbox style="mso-fit-shape-to-text:t" inset="0,15pt,0,0">
                <w:txbxContent>
                  <w:p w14:paraId="39D05459" w14:textId="0840A7D0"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6B4D8" w14:textId="00CB779B" w:rsidR="00F878F4" w:rsidRPr="00206B2B" w:rsidRDefault="00B8452A">
    <w:pPr>
      <w:pStyle w:val="Header"/>
    </w:pPr>
    <w:r>
      <w:rPr>
        <w:noProof/>
      </w:rPr>
      <mc:AlternateContent>
        <mc:Choice Requires="wps">
          <w:drawing>
            <wp:anchor distT="0" distB="0" distL="0" distR="0" simplePos="0" relativeHeight="251671552" behindDoc="0" locked="0" layoutInCell="1" allowOverlap="1" wp14:anchorId="18B8263D" wp14:editId="29B0D5F4">
              <wp:simplePos x="635" y="635"/>
              <wp:positionH relativeFrom="page">
                <wp:align>center</wp:align>
              </wp:positionH>
              <wp:positionV relativeFrom="page">
                <wp:align>top</wp:align>
              </wp:positionV>
              <wp:extent cx="622300" cy="452120"/>
              <wp:effectExtent l="0" t="0" r="6350" b="5080"/>
              <wp:wrapNone/>
              <wp:docPr id="1131489503"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CE4A4E4" w14:textId="7A96AD4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B8263D" id="_x0000_t202" coordsize="21600,21600" o:spt="202" path="m,l,21600r21600,l21600,xe">
              <v:stroke joinstyle="miter"/>
              <v:path gradientshapeok="t" o:connecttype="rect"/>
            </v:shapetype>
            <v:shape id="Text Box 14" o:spid="_x0000_s1046" type="#_x0000_t202" alt="OFFICIAL" style="position:absolute;margin-left:0;margin-top:0;width:49pt;height:35.6pt;z-index:251671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" filled="f" stroked="f">
              <v:textbox style="mso-fit-shape-to-text:t" inset="0,15pt,0,0">
                <w:txbxContent>
                  <w:p w14:paraId="4CE4A4E4" w14:textId="7A96AD4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A32BC" w14:textId="6DCD909D" w:rsidR="00DD4022" w:rsidRPr="00206B2B" w:rsidRDefault="00B8452A">
    <w:pPr>
      <w:pStyle w:val="Header"/>
    </w:pPr>
    <w:r>
      <w:rPr>
        <w:noProof/>
      </w:rPr>
      <mc:AlternateContent>
        <mc:Choice Requires="wps">
          <w:drawing>
            <wp:anchor distT="0" distB="0" distL="0" distR="0" simplePos="0" relativeHeight="251669504" behindDoc="0" locked="0" layoutInCell="1" allowOverlap="1" wp14:anchorId="0231BB38" wp14:editId="5C3F9D6D">
              <wp:simplePos x="635" y="635"/>
              <wp:positionH relativeFrom="page">
                <wp:align>center</wp:align>
              </wp:positionH>
              <wp:positionV relativeFrom="page">
                <wp:align>top</wp:align>
              </wp:positionV>
              <wp:extent cx="622300" cy="452120"/>
              <wp:effectExtent l="0" t="0" r="6350" b="5080"/>
              <wp:wrapNone/>
              <wp:docPr id="681035527"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315E6CDA" w14:textId="0E82B6F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31BB38" id="_x0000_t202" coordsize="21600,21600" o:spt="202" path="m,l,21600r21600,l21600,xe">
              <v:stroke joinstyle="miter"/>
              <v:path gradientshapeok="t" o:connecttype="rect"/>
            </v:shapetype>
            <v:shape id="Text Box 12" o:spid="_x0000_s1047" type="#_x0000_t202" alt="OFFICIAL" style="position:absolute;margin-left:0;margin-top:0;width:49pt;height:35.6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23xdKw0CAAAdBAAA&#10;DgAAAAAAAAAAAAAAAAAuAgAAZHJzL2Uyb0RvYy54bWxQSwECLQAUAAYACAAAACEAHSz6HtkAAAAD&#10;AQAADwAAAAAAAAAAAAAAAABnBAAAZHJzL2Rvd25yZXYueG1sUEsFBgAAAAAEAAQA8wAAAG0FAAAA&#10;AA==&#10;" filled="f" stroked="f">
              <v:textbox style="mso-fit-shape-to-text:t" inset="0,15pt,0,0">
                <w:txbxContent>
                  <w:p w14:paraId="315E6CDA" w14:textId="0E82B6FF"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EA6FF" w14:textId="03A8193A" w:rsidR="00F878F4" w:rsidRPr="00206B2B" w:rsidRDefault="00B8452A">
    <w:pPr>
      <w:pStyle w:val="Header"/>
    </w:pPr>
    <w:r>
      <w:rPr>
        <w:noProof/>
      </w:rPr>
      <mc:AlternateContent>
        <mc:Choice Requires="wps">
          <w:drawing>
            <wp:anchor distT="0" distB="0" distL="0" distR="0" simplePos="0" relativeHeight="251672576" behindDoc="0" locked="0" layoutInCell="1" allowOverlap="1" wp14:anchorId="62DC6551" wp14:editId="305CC03F">
              <wp:simplePos x="635" y="635"/>
              <wp:positionH relativeFrom="page">
                <wp:align>center</wp:align>
              </wp:positionH>
              <wp:positionV relativeFrom="page">
                <wp:align>top</wp:align>
              </wp:positionV>
              <wp:extent cx="622300" cy="452120"/>
              <wp:effectExtent l="0" t="0" r="6350" b="5080"/>
              <wp:wrapNone/>
              <wp:docPr id="1487722431"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8F88F31" w14:textId="029A36DA"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DC6551" id="_x0000_t202" coordsize="21600,21600" o:spt="202" path="m,l,21600r21600,l21600,xe">
              <v:stroke joinstyle="miter"/>
              <v:path gradientshapeok="t" o:connecttype="rect"/>
            </v:shapetype>
            <v:shape id="Text Box 15" o:spid="_x0000_s1048" type="#_x0000_t202" alt="OFFICIAL" style="position:absolute;margin-left:0;margin-top:0;width:49pt;height:35.6pt;z-index:251672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Gy9im0OAgAAHQQA&#10;AA4AAAAAAAAAAAAAAAAALgIAAGRycy9lMm9Eb2MueG1sUEsBAi0AFAAGAAgAAAAhAB0s+h7ZAAAA&#10;AwEAAA8AAAAAAAAAAAAAAAAAaAQAAGRycy9kb3ducmV2LnhtbFBLBQYAAAAABAAEAPMAAABuBQAA&#10;AAA=&#10;" filled="f" stroked="f">
              <v:textbox style="mso-fit-shape-to-text:t" inset="0,15pt,0,0">
                <w:txbxContent>
                  <w:p w14:paraId="48F88F31" w14:textId="029A36DA"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8F43C" w14:textId="7420CF9E" w:rsidR="00C27D84" w:rsidRDefault="00B8452A">
    <w:pPr>
      <w:pStyle w:val="Header"/>
    </w:pPr>
    <w:r>
      <w:rPr>
        <w:noProof/>
      </w:rPr>
      <mc:AlternateContent>
        <mc:Choice Requires="wps">
          <w:drawing>
            <wp:anchor distT="0" distB="0" distL="0" distR="0" simplePos="0" relativeHeight="251673600" behindDoc="0" locked="0" layoutInCell="1" allowOverlap="1" wp14:anchorId="29C9E001" wp14:editId="7C539C6C">
              <wp:simplePos x="635" y="635"/>
              <wp:positionH relativeFrom="page">
                <wp:align>center</wp:align>
              </wp:positionH>
              <wp:positionV relativeFrom="page">
                <wp:align>top</wp:align>
              </wp:positionV>
              <wp:extent cx="622300" cy="452120"/>
              <wp:effectExtent l="0" t="0" r="6350" b="5080"/>
              <wp:wrapNone/>
              <wp:docPr id="1349937266"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0968D6E1" w14:textId="160837AE"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C9E001" id="_x0000_t202" coordsize="21600,21600" o:spt="202" path="m,l,21600r21600,l21600,xe">
              <v:stroke joinstyle="miter"/>
              <v:path gradientshapeok="t" o:connecttype="rect"/>
            </v:shapetype>
            <v:shape id="Text Box 16" o:spid="_x0000_s1049" type="#_x0000_t202" alt="OFFICIAL" style="position:absolute;margin-left:0;margin-top:0;width:49pt;height:35.6pt;z-index:2516736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AECOFAOAgAAHQQA&#10;AA4AAAAAAAAAAAAAAAAALgIAAGRycy9lMm9Eb2MueG1sUEsBAi0AFAAGAAgAAAAhAB0s+h7ZAAAA&#10;AwEAAA8AAAAAAAAAAAAAAAAAaAQAAGRycy9kb3ducmV2LnhtbFBLBQYAAAAABAAEAPMAAABuBQAA&#10;AAA=&#10;" filled="f" stroked="f">
              <v:textbox style="mso-fit-shape-to-text:t" inset="0,15pt,0,0">
                <w:txbxContent>
                  <w:p w14:paraId="0968D6E1" w14:textId="160837AE"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D132F" w14:textId="01BD0A6F" w:rsidR="00DD4022" w:rsidRPr="00206B2B" w:rsidRDefault="00B8452A">
    <w:pPr>
      <w:pStyle w:val="Header"/>
    </w:pPr>
    <w:r>
      <w:rPr>
        <w:noProof/>
      </w:rPr>
      <mc:AlternateContent>
        <mc:Choice Requires="wps">
          <w:drawing>
            <wp:anchor distT="0" distB="0" distL="0" distR="0" simplePos="0" relativeHeight="251675648" behindDoc="0" locked="0" layoutInCell="1" allowOverlap="1" wp14:anchorId="4C45EAFD" wp14:editId="54EEA3BE">
              <wp:simplePos x="635" y="635"/>
              <wp:positionH relativeFrom="page">
                <wp:align>center</wp:align>
              </wp:positionH>
              <wp:positionV relativeFrom="page">
                <wp:align>top</wp:align>
              </wp:positionV>
              <wp:extent cx="622300" cy="452120"/>
              <wp:effectExtent l="0" t="0" r="6350" b="5080"/>
              <wp:wrapNone/>
              <wp:docPr id="381862765"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2693203B" w14:textId="7548386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45EAFD" id="_x0000_t202" coordsize="21600,21600" o:spt="202" path="m,l,21600r21600,l21600,xe">
              <v:stroke joinstyle="miter"/>
              <v:path gradientshapeok="t" o:connecttype="rect"/>
            </v:shapetype>
            <v:shape id="Text Box 18" o:spid="_x0000_s1050" type="#_x0000_t202" alt="OFFICIAL" style="position:absolute;margin-left:0;margin-top:0;width:49pt;height:35.6pt;z-index:2516756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AI+JeAOAgAAHQQA&#10;AA4AAAAAAAAAAAAAAAAALgIAAGRycy9lMm9Eb2MueG1sUEsBAi0AFAAGAAgAAAAhAB0s+h7ZAAAA&#10;AwEAAA8AAAAAAAAAAAAAAAAAaAQAAGRycy9kb3ducmV2LnhtbFBLBQYAAAAABAAEAPMAAABuBQAA&#10;AAA=&#10;" filled="f" stroked="f">
              <v:textbox style="mso-fit-shape-to-text:t" inset="0,15pt,0,0">
                <w:txbxContent>
                  <w:p w14:paraId="2693203B" w14:textId="7548386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7AD9D" w14:textId="1684AFC9" w:rsidR="00DD4022" w:rsidRPr="00206B2B" w:rsidRDefault="00B8452A" w:rsidP="00C548A0">
    <w:pPr>
      <w:pStyle w:val="Header"/>
      <w:tabs>
        <w:tab w:val="left" w:pos="426"/>
      </w:tabs>
    </w:pPr>
    <w:r>
      <w:rPr>
        <w:noProof/>
      </w:rPr>
      <mc:AlternateContent>
        <mc:Choice Requires="wps">
          <w:drawing>
            <wp:anchor distT="0" distB="0" distL="0" distR="0" simplePos="0" relativeHeight="251676672" behindDoc="0" locked="0" layoutInCell="1" allowOverlap="1" wp14:anchorId="7B588004" wp14:editId="660BD014">
              <wp:simplePos x="635" y="635"/>
              <wp:positionH relativeFrom="page">
                <wp:align>center</wp:align>
              </wp:positionH>
              <wp:positionV relativeFrom="page">
                <wp:align>top</wp:align>
              </wp:positionV>
              <wp:extent cx="622300" cy="452120"/>
              <wp:effectExtent l="0" t="0" r="6350" b="5080"/>
              <wp:wrapNone/>
              <wp:docPr id="251396332"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796656DB" w14:textId="661F150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B588004" id="_x0000_t202" coordsize="21600,21600" o:spt="202" path="m,l,21600r21600,l21600,xe">
              <v:stroke joinstyle="miter"/>
              <v:path gradientshapeok="t" o:connecttype="rect"/>
            </v:shapetype>
            <v:shape id="Text Box 19" o:spid="_x0000_s1051" type="#_x0000_t202" alt="OFFICIAL" style="position:absolute;margin-left:0;margin-top:0;width:49pt;height:35.6pt;z-index:2516766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G+Bl90OAgAAHQQA&#10;AA4AAAAAAAAAAAAAAAAALgIAAGRycy9lMm9Eb2MueG1sUEsBAi0AFAAGAAgAAAAhAB0s+h7ZAAAA&#10;AwEAAA8AAAAAAAAAAAAAAAAAaAQAAGRycy9kb3ducmV2LnhtbFBLBQYAAAAABAAEAPMAAABuBQAA&#10;AAA=&#10;" filled="f" stroked="f">
              <v:textbox style="mso-fit-shape-to-text:t" inset="0,15pt,0,0">
                <w:txbxContent>
                  <w:p w14:paraId="796656DB" w14:textId="661F150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1E859" w14:textId="071B5713" w:rsidR="00DD4022" w:rsidRPr="00206B2B" w:rsidRDefault="00B8452A">
    <w:pPr>
      <w:pStyle w:val="Header"/>
    </w:pPr>
    <w:r>
      <w:rPr>
        <w:noProof/>
      </w:rPr>
      <mc:AlternateContent>
        <mc:Choice Requires="wps">
          <w:drawing>
            <wp:anchor distT="0" distB="0" distL="0" distR="0" simplePos="0" relativeHeight="251674624" behindDoc="0" locked="0" layoutInCell="1" allowOverlap="1" wp14:anchorId="3EE82428" wp14:editId="30D568BA">
              <wp:simplePos x="635" y="635"/>
              <wp:positionH relativeFrom="page">
                <wp:align>center</wp:align>
              </wp:positionH>
              <wp:positionV relativeFrom="page">
                <wp:align>top</wp:align>
              </wp:positionV>
              <wp:extent cx="622300" cy="452120"/>
              <wp:effectExtent l="0" t="0" r="6350" b="5080"/>
              <wp:wrapNone/>
              <wp:docPr id="323871230"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629B4FC6" w14:textId="7B504F0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EE82428" id="_x0000_t202" coordsize="21600,21600" o:spt="202" path="m,l,21600r21600,l21600,xe">
              <v:stroke joinstyle="miter"/>
              <v:path gradientshapeok="t" o:connecttype="rect"/>
            </v:shapetype>
            <v:shape id="Text Box 17" o:spid="_x0000_s1052" type="#_x0000_t202" alt="OFFICIAL" style="position:absolute;margin-left:0;margin-top:0;width:49pt;height:35.6pt;z-index:2516746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NhAQJsOAgAAHQQA&#10;AA4AAAAAAAAAAAAAAAAALgIAAGRycy9lMm9Eb2MueG1sUEsBAi0AFAAGAAgAAAAhAB0s+h7ZAAAA&#10;AwEAAA8AAAAAAAAAAAAAAAAAaAQAAGRycy9kb3ducmV2LnhtbFBLBQYAAAAABAAEAPMAAABuBQAA&#10;AAA=&#10;" filled="f" stroked="f">
              <v:textbox style="mso-fit-shape-to-text:t" inset="0,15pt,0,0">
                <w:txbxContent>
                  <w:p w14:paraId="629B4FC6" w14:textId="7B504F0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5F335" w14:textId="6499FC85" w:rsidR="00B8452A" w:rsidRDefault="00B8452A">
    <w:pPr>
      <w:pStyle w:val="Header"/>
    </w:pPr>
    <w:r>
      <w:rPr>
        <w:noProof/>
      </w:rPr>
      <mc:AlternateContent>
        <mc:Choice Requires="wps">
          <w:drawing>
            <wp:anchor distT="0" distB="0" distL="0" distR="0" simplePos="0" relativeHeight="251660288" behindDoc="0" locked="0" layoutInCell="1" allowOverlap="1" wp14:anchorId="02795848" wp14:editId="643413E0">
              <wp:simplePos x="635" y="635"/>
              <wp:positionH relativeFrom="page">
                <wp:align>center</wp:align>
              </wp:positionH>
              <wp:positionV relativeFrom="page">
                <wp:align>top</wp:align>
              </wp:positionV>
              <wp:extent cx="622300" cy="452120"/>
              <wp:effectExtent l="0" t="0" r="6350" b="5080"/>
              <wp:wrapNone/>
              <wp:docPr id="137289294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1EA87288" w14:textId="3F3E7CF9"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795848" id="_x0000_t202" coordsize="21600,21600" o:spt="202" path="m,l,21600r21600,l21600,xe">
              <v:stroke joinstyle="miter"/>
              <v:path gradientshapeok="t" o:connecttype="rect"/>
            </v:shapetype>
            <v:shape id="Text Box 3" o:spid="_x0000_s1027" type="#_x0000_t202" alt="OFFICIAL" style="position:absolute;margin-left:0;margin-top:0;width:49pt;height:35.6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" filled="f" stroked="f">
              <v:textbox style="mso-fit-shape-to-text:t" inset="0,15pt,0,0">
                <w:txbxContent>
                  <w:p w14:paraId="1EA87288" w14:textId="3F3E7CF9"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90B5F" w14:textId="51959D4B" w:rsidR="00DD4022" w:rsidRPr="00206B2B" w:rsidRDefault="00B8452A">
    <w:pPr>
      <w:pStyle w:val="Header"/>
    </w:pPr>
    <w:r>
      <w:rPr>
        <w:noProof/>
      </w:rPr>
      <mc:AlternateContent>
        <mc:Choice Requires="wps">
          <w:drawing>
            <wp:anchor distT="0" distB="0" distL="0" distR="0" simplePos="0" relativeHeight="251678720" behindDoc="0" locked="0" layoutInCell="1" allowOverlap="1" wp14:anchorId="73C020AF" wp14:editId="6649E981">
              <wp:simplePos x="635" y="635"/>
              <wp:positionH relativeFrom="page">
                <wp:align>center</wp:align>
              </wp:positionH>
              <wp:positionV relativeFrom="page">
                <wp:align>top</wp:align>
              </wp:positionV>
              <wp:extent cx="622300" cy="452120"/>
              <wp:effectExtent l="0" t="0" r="6350" b="5080"/>
              <wp:wrapNone/>
              <wp:docPr id="1574069600"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6894D65" w14:textId="1C6AE96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C020AF" id="_x0000_t202" coordsize="21600,21600" o:spt="202" path="m,l,21600r21600,l21600,xe">
              <v:stroke joinstyle="miter"/>
              <v:path gradientshapeok="t" o:connecttype="rect"/>
            </v:shapetype>
            <v:shape id="Text Box 21" o:spid="_x0000_s1053" type="#_x0000_t202" alt="OFFICIAL" style="position:absolute;margin-left:0;margin-top:0;width:49pt;height:35.6pt;z-index:2516787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LX/8qYOAgAAHQQA&#10;AA4AAAAAAAAAAAAAAAAALgIAAGRycy9lMm9Eb2MueG1sUEsBAi0AFAAGAAgAAAAhAB0s+h7ZAAAA&#10;AwEAAA8AAAAAAAAAAAAAAAAAaAQAAGRycy9kb3ducmV2LnhtbFBLBQYAAAAABAAEAPMAAABuBQAA&#10;AAA=&#10;" filled="f" stroked="f">
              <v:textbox style="mso-fit-shape-to-text:t" inset="0,15pt,0,0">
                <w:txbxContent>
                  <w:p w14:paraId="46894D65" w14:textId="1C6AE96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A48E2" w14:textId="75F883B4" w:rsidR="00DD4022" w:rsidRPr="00206B2B" w:rsidRDefault="00B8452A">
    <w:pPr>
      <w:pStyle w:val="Header"/>
    </w:pPr>
    <w:r>
      <w:rPr>
        <w:noProof/>
      </w:rPr>
      <mc:AlternateContent>
        <mc:Choice Requires="wps">
          <w:drawing>
            <wp:anchor distT="0" distB="0" distL="0" distR="0" simplePos="0" relativeHeight="251679744" behindDoc="0" locked="0" layoutInCell="1" allowOverlap="1" wp14:anchorId="59E19310" wp14:editId="6E080FB2">
              <wp:simplePos x="635" y="635"/>
              <wp:positionH relativeFrom="page">
                <wp:align>center</wp:align>
              </wp:positionH>
              <wp:positionV relativeFrom="page">
                <wp:align>top</wp:align>
              </wp:positionV>
              <wp:extent cx="622300" cy="452120"/>
              <wp:effectExtent l="0" t="0" r="6350" b="5080"/>
              <wp:wrapNone/>
              <wp:docPr id="1110943329"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0AAA2544" w14:textId="3C6445F8"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E19310" id="_x0000_t202" coordsize="21600,21600" o:spt="202" path="m,l,21600r21600,l21600,xe">
              <v:stroke joinstyle="miter"/>
              <v:path gradientshapeok="t" o:connecttype="rect"/>
            </v:shapetype>
            <v:shape id="Text Box 22" o:spid="_x0000_s1054" type="#_x0000_t202" alt="OFFICIAL" style="position:absolute;margin-left:0;margin-top:0;width:49pt;height:35.6pt;z-index:2516797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J8+CyAOAgAAHQQA&#10;AA4AAAAAAAAAAAAAAAAALgIAAGRycy9lMm9Eb2MueG1sUEsBAi0AFAAGAAgAAAAhAB0s+h7ZAAAA&#10;AwEAAA8AAAAAAAAAAAAAAAAAaAQAAGRycy9kb3ducmV2LnhtbFBLBQYAAAAABAAEAPMAAABuBQAA&#10;AAA=&#10;" filled="f" stroked="f">
              <v:textbox style="mso-fit-shape-to-text:t" inset="0,15pt,0,0">
                <w:txbxContent>
                  <w:p w14:paraId="0AAA2544" w14:textId="3C6445F8"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D0F52" w14:textId="576822B9" w:rsidR="00DD4022" w:rsidRPr="00206B2B" w:rsidRDefault="00B8452A">
    <w:pPr>
      <w:pStyle w:val="Header"/>
    </w:pPr>
    <w:r>
      <w:rPr>
        <w:noProof/>
      </w:rPr>
      <mc:AlternateContent>
        <mc:Choice Requires="wps">
          <w:drawing>
            <wp:anchor distT="0" distB="0" distL="0" distR="0" simplePos="0" relativeHeight="251677696" behindDoc="0" locked="0" layoutInCell="1" allowOverlap="1" wp14:anchorId="5108EE3F" wp14:editId="58A478DB">
              <wp:simplePos x="635" y="635"/>
              <wp:positionH relativeFrom="page">
                <wp:align>center</wp:align>
              </wp:positionH>
              <wp:positionV relativeFrom="page">
                <wp:align>top</wp:align>
              </wp:positionV>
              <wp:extent cx="622300" cy="452120"/>
              <wp:effectExtent l="0" t="0" r="6350" b="5080"/>
              <wp:wrapNone/>
              <wp:docPr id="2043142227"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0A344015" w14:textId="118B1F67"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08EE3F" id="_x0000_t202" coordsize="21600,21600" o:spt="202" path="m,l,21600r21600,l21600,xe">
              <v:stroke joinstyle="miter"/>
              <v:path gradientshapeok="t" o:connecttype="rect"/>
            </v:shapetype>
            <v:shape id="Text Box 20" o:spid="_x0000_s1055" type="#_x0000_t202" alt="OFFICIAL" style="position:absolute;margin-left:0;margin-top:0;width:49pt;height:35.6pt;z-index:2516776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PKBuR0OAgAAHQQA&#10;AA4AAAAAAAAAAAAAAAAALgIAAGRycy9lMm9Eb2MueG1sUEsBAi0AFAAGAAgAAAAhAB0s+h7ZAAAA&#10;AwEAAA8AAAAAAAAAAAAAAAAAaAQAAGRycy9kb3ducmV2LnhtbFBLBQYAAAAABAAEAPMAAABuBQAA&#10;AAA=&#10;" filled="f" stroked="f">
              <v:textbox style="mso-fit-shape-to-text:t" inset="0,15pt,0,0">
                <w:txbxContent>
                  <w:p w14:paraId="0A344015" w14:textId="118B1F67"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7CE68" w14:textId="24928637" w:rsidR="00DD4022" w:rsidRPr="00206B2B" w:rsidRDefault="00B8452A">
    <w:pPr>
      <w:pStyle w:val="Header"/>
    </w:pPr>
    <w:r>
      <w:rPr>
        <w:noProof/>
      </w:rPr>
      <mc:AlternateContent>
        <mc:Choice Requires="wps">
          <w:drawing>
            <wp:anchor distT="0" distB="0" distL="0" distR="0" simplePos="0" relativeHeight="251681792" behindDoc="0" locked="0" layoutInCell="1" allowOverlap="1" wp14:anchorId="2433BCE8" wp14:editId="4A96CC78">
              <wp:simplePos x="635" y="635"/>
              <wp:positionH relativeFrom="page">
                <wp:align>center</wp:align>
              </wp:positionH>
              <wp:positionV relativeFrom="page">
                <wp:align>top</wp:align>
              </wp:positionV>
              <wp:extent cx="622300" cy="452120"/>
              <wp:effectExtent l="0" t="0" r="6350" b="5080"/>
              <wp:wrapNone/>
              <wp:docPr id="1031262809"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958E0B9" w14:textId="41B1EFF9"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33BCE8" id="_x0000_t202" coordsize="21600,21600" o:spt="202" path="m,l,21600r21600,l21600,xe">
              <v:stroke joinstyle="miter"/>
              <v:path gradientshapeok="t" o:connecttype="rect"/>
            </v:shapetype>
            <v:shape id="Text Box 24" o:spid="_x0000_s1056" type="#_x0000_t202" alt="OFFICIAL" style="position:absolute;margin-left:0;margin-top:0;width:49pt;height:35.6pt;z-index:251681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7GzRJQ0CAAAdBAAA&#10;DgAAAAAAAAAAAAAAAAAuAgAAZHJzL2Uyb0RvYy54bWxQSwECLQAUAAYACAAAACEAHSz6HtkAAAAD&#10;AQAADwAAAAAAAAAAAAAAAABnBAAAZHJzL2Rvd25yZXYueG1sUEsFBgAAAAAEAAQA8wAAAG0FAAAA&#10;AA==&#10;" filled="f" stroked="f">
              <v:textbox style="mso-fit-shape-to-text:t" inset="0,15pt,0,0">
                <w:txbxContent>
                  <w:p w14:paraId="5958E0B9" w14:textId="41B1EFF9"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B9385" w14:textId="25215C45" w:rsidR="008408C6" w:rsidRDefault="00B8452A">
    <w:pPr>
      <w:pStyle w:val="Header"/>
    </w:pPr>
    <w:r>
      <w:rPr>
        <w:noProof/>
      </w:rPr>
      <mc:AlternateContent>
        <mc:Choice Requires="wps">
          <w:drawing>
            <wp:anchor distT="0" distB="0" distL="0" distR="0" simplePos="0" relativeHeight="251682816" behindDoc="0" locked="0" layoutInCell="1" allowOverlap="1" wp14:anchorId="0BDD88FA" wp14:editId="2544A544">
              <wp:simplePos x="635" y="635"/>
              <wp:positionH relativeFrom="page">
                <wp:align>center</wp:align>
              </wp:positionH>
              <wp:positionV relativeFrom="page">
                <wp:align>top</wp:align>
              </wp:positionV>
              <wp:extent cx="622300" cy="452120"/>
              <wp:effectExtent l="0" t="0" r="6350" b="5080"/>
              <wp:wrapNone/>
              <wp:docPr id="348612754"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7A033631" w14:textId="6842F7F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DD88FA" id="_x0000_t202" coordsize="21600,21600" o:spt="202" path="m,l,21600r21600,l21600,xe">
              <v:stroke joinstyle="miter"/>
              <v:path gradientshapeok="t" o:connecttype="rect"/>
            </v:shapetype>
            <v:shape id="Text Box 25" o:spid="_x0000_s1057" type="#_x0000_t202" alt="OFFICIAL" style="position:absolute;margin-left:0;margin-top:0;width:49pt;height:35.6pt;z-index:2516828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gdNjGA0CAAAdBAAA&#10;DgAAAAAAAAAAAAAAAAAuAgAAZHJzL2Uyb0RvYy54bWxQSwECLQAUAAYACAAAACEAHSz6HtkAAAAD&#10;AQAADwAAAAAAAAAAAAAAAABnBAAAZHJzL2Rvd25yZXYueG1sUEsFBgAAAAAEAAQA8wAAAG0FAAAA&#10;AA==&#10;" filled="f" stroked="f">
              <v:textbox style="mso-fit-shape-to-text:t" inset="0,15pt,0,0">
                <w:txbxContent>
                  <w:p w14:paraId="7A033631" w14:textId="6842F7F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p w14:paraId="2085B0CA" w14:textId="79281FD2" w:rsidR="004D061E" w:rsidRPr="00206B2B" w:rsidRDefault="004D061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D0ED7" w14:textId="635B66D8" w:rsidR="00DD4022" w:rsidRPr="00206B2B" w:rsidRDefault="00B8452A">
    <w:pPr>
      <w:pStyle w:val="Header"/>
    </w:pPr>
    <w:r>
      <w:rPr>
        <w:noProof/>
      </w:rPr>
      <mc:AlternateContent>
        <mc:Choice Requires="wps">
          <w:drawing>
            <wp:anchor distT="0" distB="0" distL="0" distR="0" simplePos="0" relativeHeight="251680768" behindDoc="0" locked="0" layoutInCell="1" allowOverlap="1" wp14:anchorId="4485536C" wp14:editId="3B7CF2BF">
              <wp:simplePos x="635" y="635"/>
              <wp:positionH relativeFrom="page">
                <wp:align>center</wp:align>
              </wp:positionH>
              <wp:positionV relativeFrom="page">
                <wp:align>top</wp:align>
              </wp:positionV>
              <wp:extent cx="622300" cy="452120"/>
              <wp:effectExtent l="0" t="0" r="6350" b="5080"/>
              <wp:wrapNone/>
              <wp:docPr id="926687800"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33FD26A1" w14:textId="11BFB7C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85536C" id="_x0000_t202" coordsize="21600,21600" o:spt="202" path="m,l,21600r21600,l21600,xe">
              <v:stroke joinstyle="miter"/>
              <v:path gradientshapeok="t" o:connecttype="rect"/>
            </v:shapetype>
            <v:shape id="Text Box 23" o:spid="_x0000_s1059" type="#_x0000_t202" alt="OFFICIAL" style="position:absolute;margin-left:0;margin-top:0;width:49pt;height:35.6pt;z-index:251680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FutBmMOAgAAHQQA&#10;AA4AAAAAAAAAAAAAAAAALgIAAGRycy9lMm9Eb2MueG1sUEsBAi0AFAAGAAgAAAAhAB0s+h7ZAAAA&#10;AwEAAA8AAAAAAAAAAAAAAAAAaAQAAGRycy9kb3ducmV2LnhtbFBLBQYAAAAABAAEAPMAAABuBQAA&#10;AAA=&#10;" filled="f" stroked="f">
              <v:textbox style="mso-fit-shape-to-text:t" inset="0,15pt,0,0">
                <w:txbxContent>
                  <w:p w14:paraId="33FD26A1" w14:textId="11BFB7C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4F258" w14:textId="692ED6F2" w:rsidR="00F878F4" w:rsidRPr="00206B2B" w:rsidRDefault="00B8452A" w:rsidP="00692BD4">
    <w:pPr>
      <w:pStyle w:val="Header"/>
      <w:tabs>
        <w:tab w:val="left" w:pos="6804"/>
      </w:tabs>
    </w:pPr>
    <w:r>
      <w:rPr>
        <w:noProof/>
      </w:rPr>
      <mc:AlternateContent>
        <mc:Choice Requires="wps">
          <w:drawing>
            <wp:anchor distT="0" distB="0" distL="0" distR="0" simplePos="0" relativeHeight="251658240" behindDoc="0" locked="0" layoutInCell="1" allowOverlap="1" wp14:anchorId="44F8E485" wp14:editId="41F5EE1F">
              <wp:simplePos x="542925" y="428625"/>
              <wp:positionH relativeFrom="page">
                <wp:align>center</wp:align>
              </wp:positionH>
              <wp:positionV relativeFrom="page">
                <wp:align>top</wp:align>
              </wp:positionV>
              <wp:extent cx="622300" cy="452120"/>
              <wp:effectExtent l="0" t="0" r="6350" b="5080"/>
              <wp:wrapNone/>
              <wp:docPr id="1117363855"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8ABF618" w14:textId="080CCC7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F8E485" id="_x0000_t202" coordsize="21600,21600" o:spt="202" path="m,l,21600r21600,l21600,xe">
              <v:stroke joinstyle="miter"/>
              <v:path gradientshapeok="t" o:connecttype="rect"/>
            </v:shapetype>
            <v:shape id="Text Box 1" o:spid="_x0000_s1030" type="#_x0000_t202" alt="OFFICIAL" style="position:absolute;margin-left:0;margin-top:0;width:49pt;height:35.6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lYgLzw0CAAAcBAAA&#10;DgAAAAAAAAAAAAAAAAAuAgAAZHJzL2Uyb0RvYy54bWxQSwECLQAUAAYACAAAACEAHSz6HtkAAAAD&#10;AQAADwAAAAAAAAAAAAAAAABnBAAAZHJzL2Rvd25yZXYueG1sUEsFBgAAAAAEAAQA8wAAAG0FAAAA&#10;AA==&#10;" filled="f" stroked="f">
              <v:textbox style="mso-fit-shape-to-text:t" inset="0,15pt,0,0">
                <w:txbxContent>
                  <w:p w14:paraId="48ABF618" w14:textId="080CCC71"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9DC97" w14:textId="2F24A6F5" w:rsidR="00692BD4" w:rsidRPr="00206B2B" w:rsidRDefault="00B8452A" w:rsidP="00692BD4">
    <w:pPr>
      <w:pStyle w:val="Header"/>
      <w:tabs>
        <w:tab w:val="left" w:pos="6804"/>
      </w:tabs>
    </w:pPr>
    <w:r>
      <w:rPr>
        <w:noProof/>
      </w:rPr>
      <mc:AlternateContent>
        <mc:Choice Requires="wps">
          <w:drawing>
            <wp:anchor distT="0" distB="0" distL="0" distR="0" simplePos="0" relativeHeight="251661312" behindDoc="0" locked="0" layoutInCell="1" allowOverlap="1" wp14:anchorId="2C25DA33" wp14:editId="24860AEC">
              <wp:simplePos x="541020" y="432435"/>
              <wp:positionH relativeFrom="page">
                <wp:align>center</wp:align>
              </wp:positionH>
              <wp:positionV relativeFrom="page">
                <wp:align>top</wp:align>
              </wp:positionV>
              <wp:extent cx="622300" cy="452120"/>
              <wp:effectExtent l="0" t="0" r="6350" b="5080"/>
              <wp:wrapNone/>
              <wp:docPr id="444608453"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88FE93F" w14:textId="53F3FC2A"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25DA33" id="_x0000_t202" coordsize="21600,21600" o:spt="202" path="m,l,21600r21600,l21600,xe">
              <v:stroke joinstyle="miter"/>
              <v:path gradientshapeok="t" o:connecttype="rect"/>
            </v:shapetype>
            <v:shape id="Text Box 4" o:spid="_x0000_s1032" type="#_x0000_t202" alt="OFFICIAL" style="position:absolute;margin-left:0;margin-top:0;width:49pt;height:35.6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T/ZutA0CAAAcBAAA&#10;DgAAAAAAAAAAAAAAAAAuAgAAZHJzL2Uyb0RvYy54bWxQSwECLQAUAAYACAAAACEAHSz6HtkAAAAD&#10;AQAADwAAAAAAAAAAAAAAAABnBAAAZHJzL2Rvd25yZXYueG1sUEsFBgAAAAAEAAQA8wAAAG0FAAAA&#10;AA==&#10;" filled="f" stroked="f">
              <v:textbox style="mso-fit-shape-to-text:t" inset="0,15pt,0,0">
                <w:txbxContent>
                  <w:p w14:paraId="488FE93F" w14:textId="53F3FC2A"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B0C88" w14:textId="39ECCB0B" w:rsidR="00F878F4" w:rsidRPr="00206B2B" w:rsidRDefault="00B8452A">
    <w:pPr>
      <w:pStyle w:val="Header"/>
    </w:pPr>
    <w:r>
      <w:rPr>
        <w:noProof/>
      </w:rPr>
      <mc:AlternateContent>
        <mc:Choice Requires="wps">
          <w:drawing>
            <wp:anchor distT="0" distB="0" distL="0" distR="0" simplePos="0" relativeHeight="251662336" behindDoc="0" locked="0" layoutInCell="1" allowOverlap="1" wp14:anchorId="4C3640C8" wp14:editId="56F8BD14">
              <wp:simplePos x="635" y="635"/>
              <wp:positionH relativeFrom="page">
                <wp:align>center</wp:align>
              </wp:positionH>
              <wp:positionV relativeFrom="page">
                <wp:align>top</wp:align>
              </wp:positionV>
              <wp:extent cx="622300" cy="452120"/>
              <wp:effectExtent l="0" t="0" r="6350" b="5080"/>
              <wp:wrapNone/>
              <wp:docPr id="121024539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C75CB0D" w14:textId="2DFB9527"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3640C8" id="_x0000_t202" coordsize="21600,21600" o:spt="202" path="m,l,21600r21600,l21600,xe">
              <v:stroke joinstyle="miter"/>
              <v:path gradientshapeok="t" o:connecttype="rect"/>
            </v:shapetype>
            <v:shape id="Text Box 5" o:spid="_x0000_s1033" type="#_x0000_t202" alt="OFFICIAL" style="position:absolute;margin-left:0;margin-top:0;width:49pt;height:35.6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CJJ3IkOAgAAHAQA&#10;AA4AAAAAAAAAAAAAAAAALgIAAGRycy9lMm9Eb2MueG1sUEsBAi0AFAAGAAgAAAAhAB0s+h7ZAAAA&#10;AwEAAA8AAAAAAAAAAAAAAAAAaAQAAGRycy9kb3ducmV2LnhtbFBLBQYAAAAABAAEAPMAAABuBQAA&#10;AAA=&#10;" filled="f" stroked="f">
              <v:textbox style="mso-fit-shape-to-text:t" inset="0,15pt,0,0">
                <w:txbxContent>
                  <w:p w14:paraId="5C75CB0D" w14:textId="2DFB9527"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9AC99" w14:textId="10FE1893" w:rsidR="00F878F4" w:rsidRPr="00206B2B" w:rsidRDefault="00B8452A">
    <w:pPr>
      <w:pStyle w:val="Header"/>
    </w:pPr>
    <w:r>
      <w:rPr>
        <w:noProof/>
      </w:rPr>
      <mc:AlternateContent>
        <mc:Choice Requires="wps">
          <w:drawing>
            <wp:anchor distT="0" distB="0" distL="0" distR="0" simplePos="0" relativeHeight="251664384" behindDoc="0" locked="0" layoutInCell="1" allowOverlap="1" wp14:anchorId="7F018A8D" wp14:editId="40101253">
              <wp:simplePos x="635" y="635"/>
              <wp:positionH relativeFrom="page">
                <wp:align>center</wp:align>
              </wp:positionH>
              <wp:positionV relativeFrom="page">
                <wp:align>top</wp:align>
              </wp:positionV>
              <wp:extent cx="622300" cy="452120"/>
              <wp:effectExtent l="0" t="0" r="6350" b="5080"/>
              <wp:wrapNone/>
              <wp:docPr id="333178066"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40A001E3" w14:textId="55752BA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018A8D" id="_x0000_t202" coordsize="21600,21600" o:spt="202" path="m,l,21600r21600,l21600,xe">
              <v:stroke joinstyle="miter"/>
              <v:path gradientshapeok="t" o:connecttype="rect"/>
            </v:shapetype>
            <v:shape id="Text Box 7" o:spid="_x0000_s1035" type="#_x0000_t202" alt="OFFICIAL" style="position:absolute;margin-left:0;margin-top:0;width:49pt;height:35.6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" filled="f" stroked="f">
              <v:textbox style="mso-fit-shape-to-text:t" inset="0,15pt,0,0">
                <w:txbxContent>
                  <w:p w14:paraId="40A001E3" w14:textId="55752BA5"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6375D" w14:textId="49ADE523" w:rsidR="66710CDB" w:rsidRPr="00206B2B" w:rsidRDefault="00B8452A" w:rsidP="66710CDB">
    <w:pPr>
      <w:pStyle w:val="Header"/>
    </w:pPr>
    <w:r>
      <w:rPr>
        <w:noProof/>
      </w:rPr>
      <mc:AlternateContent>
        <mc:Choice Requires="wps">
          <w:drawing>
            <wp:anchor distT="0" distB="0" distL="0" distR="0" simplePos="0" relativeHeight="251665408" behindDoc="0" locked="0" layoutInCell="1" allowOverlap="1" wp14:anchorId="2F3C5924" wp14:editId="7E37915A">
              <wp:simplePos x="635" y="635"/>
              <wp:positionH relativeFrom="page">
                <wp:align>center</wp:align>
              </wp:positionH>
              <wp:positionV relativeFrom="page">
                <wp:align>top</wp:align>
              </wp:positionV>
              <wp:extent cx="622300" cy="452120"/>
              <wp:effectExtent l="0" t="0" r="6350" b="5080"/>
              <wp:wrapNone/>
              <wp:docPr id="62266737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1DCC58C" w14:textId="1D937A62"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F3C5924" id="_x0000_t202" coordsize="21600,21600" o:spt="202" path="m,l,21600r21600,l21600,xe">
              <v:stroke joinstyle="miter"/>
              <v:path gradientshapeok="t" o:connecttype="rect"/>
            </v:shapetype>
            <v:shape id="Text Box 8" o:spid="_x0000_s1036" type="#_x0000_t202" alt="OFFICIAL" style="position:absolute;margin-left:0;margin-top:0;width:49pt;height:35.6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" filled="f" stroked="f">
              <v:textbox style="mso-fit-shape-to-text:t" inset="0,15pt,0,0">
                <w:txbxContent>
                  <w:p w14:paraId="51DCC58C" w14:textId="1D937A62"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B0840" w14:textId="3A81F01C" w:rsidR="00F878F4" w:rsidRPr="00206B2B" w:rsidRDefault="00B8452A">
    <w:pPr>
      <w:pStyle w:val="Header"/>
    </w:pPr>
    <w:r>
      <w:rPr>
        <w:noProof/>
      </w:rPr>
      <mc:AlternateContent>
        <mc:Choice Requires="wps">
          <w:drawing>
            <wp:anchor distT="0" distB="0" distL="0" distR="0" simplePos="0" relativeHeight="251663360" behindDoc="0" locked="0" layoutInCell="1" allowOverlap="1" wp14:anchorId="25E536D8" wp14:editId="30A863AB">
              <wp:simplePos x="635" y="635"/>
              <wp:positionH relativeFrom="page">
                <wp:align>center</wp:align>
              </wp:positionH>
              <wp:positionV relativeFrom="page">
                <wp:align>top</wp:align>
              </wp:positionV>
              <wp:extent cx="622300" cy="452120"/>
              <wp:effectExtent l="0" t="0" r="6350" b="5080"/>
              <wp:wrapNone/>
              <wp:docPr id="584974303"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617121AB" w14:textId="4C2575C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E536D8" id="_x0000_t202" coordsize="21600,21600" o:spt="202" path="m,l,21600r21600,l21600,xe">
              <v:stroke joinstyle="miter"/>
              <v:path gradientshapeok="t" o:connecttype="rect"/>
            </v:shapetype>
            <v:shape id="Text Box 6" o:spid="_x0000_s1039" type="#_x0000_t202" alt="OFFICIAL" style="position:absolute;margin-left:0;margin-top:0;width:49pt;height:35.6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O/zewUOAgAAHQQA&#10;AA4AAAAAAAAAAAAAAAAALgIAAGRycy9lMm9Eb2MueG1sUEsBAi0AFAAGAAgAAAAhAB0s+h7ZAAAA&#10;AwEAAA8AAAAAAAAAAAAAAAAAaAQAAGRycy9kb3ducmV2LnhtbFBLBQYAAAAABAAEAPMAAABuBQAA&#10;AAA=&#10;" filled="f" stroked="f">
              <v:textbox style="mso-fit-shape-to-text:t" inset="0,15pt,0,0">
                <w:txbxContent>
                  <w:p w14:paraId="617121AB" w14:textId="4C2575C3"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3013A" w14:textId="631C70B0" w:rsidR="002B5719" w:rsidRPr="00206B2B" w:rsidRDefault="00B8452A">
    <w:pPr>
      <w:pStyle w:val="Header"/>
    </w:pPr>
    <w:r>
      <w:rPr>
        <w:noProof/>
      </w:rPr>
      <mc:AlternateContent>
        <mc:Choice Requires="wps">
          <w:drawing>
            <wp:anchor distT="0" distB="0" distL="0" distR="0" simplePos="0" relativeHeight="251667456" behindDoc="0" locked="0" layoutInCell="1" allowOverlap="1" wp14:anchorId="551BEA13" wp14:editId="6FF3767B">
              <wp:simplePos x="635" y="635"/>
              <wp:positionH relativeFrom="page">
                <wp:align>center</wp:align>
              </wp:positionH>
              <wp:positionV relativeFrom="page">
                <wp:align>top</wp:align>
              </wp:positionV>
              <wp:extent cx="622300" cy="452120"/>
              <wp:effectExtent l="0" t="0" r="6350" b="5080"/>
              <wp:wrapNone/>
              <wp:docPr id="361723646"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120"/>
                      </a:xfrm>
                      <a:prstGeom prst="rect">
                        <a:avLst/>
                      </a:prstGeom>
                      <a:noFill/>
                      <a:ln>
                        <a:noFill/>
                      </a:ln>
                    </wps:spPr>
                    <wps:txbx>
                      <w:txbxContent>
                        <w:p w14:paraId="5E92854C" w14:textId="361098A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1BEA13" id="_x0000_t202" coordsize="21600,21600" o:spt="202" path="m,l,21600r21600,l21600,xe">
              <v:stroke joinstyle="miter"/>
              <v:path gradientshapeok="t" o:connecttype="rect"/>
            </v:shapetype>
            <v:shape id="Text Box 10" o:spid="_x0000_s1041" type="#_x0000_t202" alt="OFFICIAL" style="position:absolute;margin-left:0;margin-top:0;width:49pt;height:35.6pt;z-index:2516674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" filled="f" stroked="f">
              <v:textbox style="mso-fit-shape-to-text:t" inset="0,15pt,0,0">
                <w:txbxContent>
                  <w:p w14:paraId="5E92854C" w14:textId="361098A4" w:rsidR="00B8452A" w:rsidRPr="00B8452A" w:rsidRDefault="00B8452A" w:rsidP="00B8452A">
                    <w:pPr>
                      <w:spacing w:after="0"/>
                      <w:rPr>
                        <w:rFonts w:ascii="Aptos" w:eastAsia="Aptos" w:hAnsi="Aptos" w:cs="Aptos"/>
                        <w:noProof/>
                        <w:color w:val="FF0000"/>
                        <w:sz w:val="24"/>
                        <w:szCs w:val="24"/>
                      </w:rPr>
                    </w:pPr>
                    <w:r w:rsidRPr="00B8452A">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DC7F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3BC2A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9F120328"/>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1427115"/>
    <w:multiLevelType w:val="singleLevel"/>
    <w:tmpl w:val="D00844E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9" w15:restartNumberingAfterBreak="0">
    <w:nsid w:val="02B33581"/>
    <w:multiLevelType w:val="singleLevel"/>
    <w:tmpl w:val="BB1238D2"/>
    <w:lvl w:ilvl="0">
      <w:start w:val="1"/>
      <w:numFmt w:val="bullet"/>
      <w:lvlText w:val="•"/>
      <w:lvlJc w:val="left"/>
      <w:pPr>
        <w:ind w:left="927" w:hanging="360"/>
      </w:pPr>
      <w:rPr>
        <w:rFonts w:ascii="Arial" w:hAnsi="Arial" w:cs="Arial" w:hint="default"/>
        <w:color w:val="auto"/>
        <w:sz w:val="24"/>
      </w:rPr>
    </w:lvl>
  </w:abstractNum>
  <w:abstractNum w:abstractNumId="10" w15:restartNumberingAfterBreak="0">
    <w:nsid w:val="04321805"/>
    <w:multiLevelType w:val="singleLevel"/>
    <w:tmpl w:val="F3189DB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1" w15:restartNumberingAfterBreak="0">
    <w:nsid w:val="093F76D9"/>
    <w:multiLevelType w:val="singleLevel"/>
    <w:tmpl w:val="FE08FFF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2" w15:restartNumberingAfterBreak="0">
    <w:nsid w:val="0B7E150C"/>
    <w:multiLevelType w:val="singleLevel"/>
    <w:tmpl w:val="B77C840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3" w15:restartNumberingAfterBreak="0">
    <w:nsid w:val="0B8F2DA9"/>
    <w:multiLevelType w:val="singleLevel"/>
    <w:tmpl w:val="9E1284F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4" w15:restartNumberingAfterBreak="0">
    <w:nsid w:val="0C391DD1"/>
    <w:multiLevelType w:val="singleLevel"/>
    <w:tmpl w:val="CE94B5B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5" w15:restartNumberingAfterBreak="0">
    <w:nsid w:val="0CCE6C6E"/>
    <w:multiLevelType w:val="singleLevel"/>
    <w:tmpl w:val="FCAAC99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6" w15:restartNumberingAfterBreak="0">
    <w:nsid w:val="1A520508"/>
    <w:multiLevelType w:val="singleLevel"/>
    <w:tmpl w:val="F984CFE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7" w15:restartNumberingAfterBreak="0">
    <w:nsid w:val="1BF95A03"/>
    <w:multiLevelType w:val="singleLevel"/>
    <w:tmpl w:val="7C36A9D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8" w15:restartNumberingAfterBreak="0">
    <w:nsid w:val="1CF17223"/>
    <w:multiLevelType w:val="singleLevel"/>
    <w:tmpl w:val="9064CD5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9" w15:restartNumberingAfterBreak="0">
    <w:nsid w:val="1E6E1288"/>
    <w:multiLevelType w:val="singleLevel"/>
    <w:tmpl w:val="55C6225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0" w15:restartNumberingAfterBreak="0">
    <w:nsid w:val="1E8174B1"/>
    <w:multiLevelType w:val="singleLevel"/>
    <w:tmpl w:val="860AC99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1" w15:restartNumberingAfterBreak="0">
    <w:nsid w:val="2F13353A"/>
    <w:multiLevelType w:val="singleLevel"/>
    <w:tmpl w:val="3E5C9E8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2" w15:restartNumberingAfterBreak="0">
    <w:nsid w:val="32BC0EB7"/>
    <w:multiLevelType w:val="singleLevel"/>
    <w:tmpl w:val="F18ABF5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3" w15:restartNumberingAfterBreak="0">
    <w:nsid w:val="346C4D93"/>
    <w:multiLevelType w:val="hybridMultilevel"/>
    <w:tmpl w:val="55F4D3F4"/>
    <w:lvl w:ilvl="0" w:tplc="07D0120A">
      <w:start w:val="7"/>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5A4069B"/>
    <w:multiLevelType w:val="hybridMultilevel"/>
    <w:tmpl w:val="395C0E38"/>
    <w:lvl w:ilvl="0" w:tplc="06E494F6">
      <w:start w:val="1"/>
      <w:numFmt w:val="bullet"/>
      <w:pStyle w:val="Bullet3"/>
      <w:lvlText w:val="•"/>
      <w:lvlJc w:val="left"/>
      <w:pPr>
        <w:ind w:left="1780" w:hanging="360"/>
      </w:pPr>
      <w:rPr>
        <w:rFonts w:ascii="Arial" w:hAnsi="Arial" w:hint="default"/>
      </w:rPr>
    </w:lvl>
    <w:lvl w:ilvl="1" w:tplc="04090003" w:tentative="1">
      <w:start w:val="1"/>
      <w:numFmt w:val="bullet"/>
      <w:lvlText w:val="o"/>
      <w:lvlJc w:val="left"/>
      <w:pPr>
        <w:ind w:left="2500" w:hanging="360"/>
      </w:pPr>
      <w:rPr>
        <w:rFonts w:ascii="Courier New" w:hAnsi="Courier New" w:cs="Courier New" w:hint="default"/>
      </w:rPr>
    </w:lvl>
    <w:lvl w:ilvl="2" w:tplc="04090005" w:tentative="1">
      <w:start w:val="1"/>
      <w:numFmt w:val="bullet"/>
      <w:lvlText w:val=""/>
      <w:lvlJc w:val="left"/>
      <w:pPr>
        <w:ind w:left="3220" w:hanging="360"/>
      </w:pPr>
      <w:rPr>
        <w:rFonts w:ascii="Wingdings" w:hAnsi="Wingdings" w:hint="default"/>
      </w:rPr>
    </w:lvl>
    <w:lvl w:ilvl="3" w:tplc="04090001" w:tentative="1">
      <w:start w:val="1"/>
      <w:numFmt w:val="bullet"/>
      <w:lvlText w:val=""/>
      <w:lvlJc w:val="left"/>
      <w:pPr>
        <w:ind w:left="3940" w:hanging="360"/>
      </w:pPr>
      <w:rPr>
        <w:rFonts w:ascii="Symbol" w:hAnsi="Symbol" w:hint="default"/>
      </w:rPr>
    </w:lvl>
    <w:lvl w:ilvl="4" w:tplc="04090003" w:tentative="1">
      <w:start w:val="1"/>
      <w:numFmt w:val="bullet"/>
      <w:lvlText w:val="o"/>
      <w:lvlJc w:val="left"/>
      <w:pPr>
        <w:ind w:left="4660" w:hanging="360"/>
      </w:pPr>
      <w:rPr>
        <w:rFonts w:ascii="Courier New" w:hAnsi="Courier New" w:cs="Courier New" w:hint="default"/>
      </w:rPr>
    </w:lvl>
    <w:lvl w:ilvl="5" w:tplc="04090005" w:tentative="1">
      <w:start w:val="1"/>
      <w:numFmt w:val="bullet"/>
      <w:lvlText w:val=""/>
      <w:lvlJc w:val="left"/>
      <w:pPr>
        <w:ind w:left="5380" w:hanging="360"/>
      </w:pPr>
      <w:rPr>
        <w:rFonts w:ascii="Wingdings" w:hAnsi="Wingdings" w:hint="default"/>
      </w:rPr>
    </w:lvl>
    <w:lvl w:ilvl="6" w:tplc="04090001" w:tentative="1">
      <w:start w:val="1"/>
      <w:numFmt w:val="bullet"/>
      <w:lvlText w:val=""/>
      <w:lvlJc w:val="left"/>
      <w:pPr>
        <w:ind w:left="6100" w:hanging="360"/>
      </w:pPr>
      <w:rPr>
        <w:rFonts w:ascii="Symbol" w:hAnsi="Symbol" w:hint="default"/>
      </w:rPr>
    </w:lvl>
    <w:lvl w:ilvl="7" w:tplc="04090003" w:tentative="1">
      <w:start w:val="1"/>
      <w:numFmt w:val="bullet"/>
      <w:lvlText w:val="o"/>
      <w:lvlJc w:val="left"/>
      <w:pPr>
        <w:ind w:left="6820" w:hanging="360"/>
      </w:pPr>
      <w:rPr>
        <w:rFonts w:ascii="Courier New" w:hAnsi="Courier New" w:cs="Courier New" w:hint="default"/>
      </w:rPr>
    </w:lvl>
    <w:lvl w:ilvl="8" w:tplc="04090005" w:tentative="1">
      <w:start w:val="1"/>
      <w:numFmt w:val="bullet"/>
      <w:lvlText w:val=""/>
      <w:lvlJc w:val="left"/>
      <w:pPr>
        <w:ind w:left="7540" w:hanging="360"/>
      </w:pPr>
      <w:rPr>
        <w:rFonts w:ascii="Wingdings" w:hAnsi="Wingdings" w:hint="default"/>
      </w:rPr>
    </w:lvl>
  </w:abstractNum>
  <w:abstractNum w:abstractNumId="25" w15:restartNumberingAfterBreak="0">
    <w:nsid w:val="37F73EBD"/>
    <w:multiLevelType w:val="singleLevel"/>
    <w:tmpl w:val="F0EE86B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6" w15:restartNumberingAfterBreak="0">
    <w:nsid w:val="3A10344F"/>
    <w:multiLevelType w:val="hybridMultilevel"/>
    <w:tmpl w:val="E4F2BCF2"/>
    <w:lvl w:ilvl="0" w:tplc="09A8EFC8">
      <w:numFmt w:val="bullet"/>
      <w:pStyle w:val="Quotesource"/>
      <w:lvlText w:val="-"/>
      <w:lvlJc w:val="left"/>
      <w:pPr>
        <w:ind w:left="6840" w:hanging="360"/>
      </w:pPr>
      <w:rPr>
        <w:rFonts w:ascii="Arial" w:eastAsiaTheme="minorEastAsia" w:hAnsi="Arial" w:cs="Arial" w:hint="default"/>
      </w:rPr>
    </w:lvl>
    <w:lvl w:ilvl="1" w:tplc="0C090003" w:tentative="1">
      <w:start w:val="1"/>
      <w:numFmt w:val="bullet"/>
      <w:lvlText w:val="o"/>
      <w:lvlJc w:val="left"/>
      <w:pPr>
        <w:ind w:left="7560" w:hanging="360"/>
      </w:pPr>
      <w:rPr>
        <w:rFonts w:ascii="Courier New" w:hAnsi="Courier New" w:cs="Courier New" w:hint="default"/>
      </w:rPr>
    </w:lvl>
    <w:lvl w:ilvl="2" w:tplc="0C090005" w:tentative="1">
      <w:start w:val="1"/>
      <w:numFmt w:val="bullet"/>
      <w:lvlText w:val=""/>
      <w:lvlJc w:val="left"/>
      <w:pPr>
        <w:ind w:left="8280" w:hanging="360"/>
      </w:pPr>
      <w:rPr>
        <w:rFonts w:ascii="Wingdings" w:hAnsi="Wingdings" w:hint="default"/>
      </w:rPr>
    </w:lvl>
    <w:lvl w:ilvl="3" w:tplc="0C090001" w:tentative="1">
      <w:start w:val="1"/>
      <w:numFmt w:val="bullet"/>
      <w:lvlText w:val=""/>
      <w:lvlJc w:val="left"/>
      <w:pPr>
        <w:ind w:left="9000" w:hanging="360"/>
      </w:pPr>
      <w:rPr>
        <w:rFonts w:ascii="Symbol" w:hAnsi="Symbol" w:hint="default"/>
      </w:rPr>
    </w:lvl>
    <w:lvl w:ilvl="4" w:tplc="0C090003" w:tentative="1">
      <w:start w:val="1"/>
      <w:numFmt w:val="bullet"/>
      <w:lvlText w:val="o"/>
      <w:lvlJc w:val="left"/>
      <w:pPr>
        <w:ind w:left="9720" w:hanging="360"/>
      </w:pPr>
      <w:rPr>
        <w:rFonts w:ascii="Courier New" w:hAnsi="Courier New" w:cs="Courier New" w:hint="default"/>
      </w:rPr>
    </w:lvl>
    <w:lvl w:ilvl="5" w:tplc="0C090005" w:tentative="1">
      <w:start w:val="1"/>
      <w:numFmt w:val="bullet"/>
      <w:lvlText w:val=""/>
      <w:lvlJc w:val="left"/>
      <w:pPr>
        <w:ind w:left="10440" w:hanging="360"/>
      </w:pPr>
      <w:rPr>
        <w:rFonts w:ascii="Wingdings" w:hAnsi="Wingdings" w:hint="default"/>
      </w:rPr>
    </w:lvl>
    <w:lvl w:ilvl="6" w:tplc="0C090001" w:tentative="1">
      <w:start w:val="1"/>
      <w:numFmt w:val="bullet"/>
      <w:lvlText w:val=""/>
      <w:lvlJc w:val="left"/>
      <w:pPr>
        <w:ind w:left="11160" w:hanging="360"/>
      </w:pPr>
      <w:rPr>
        <w:rFonts w:ascii="Symbol" w:hAnsi="Symbol" w:hint="default"/>
      </w:rPr>
    </w:lvl>
    <w:lvl w:ilvl="7" w:tplc="0C090003" w:tentative="1">
      <w:start w:val="1"/>
      <w:numFmt w:val="bullet"/>
      <w:lvlText w:val="o"/>
      <w:lvlJc w:val="left"/>
      <w:pPr>
        <w:ind w:left="11880" w:hanging="360"/>
      </w:pPr>
      <w:rPr>
        <w:rFonts w:ascii="Courier New" w:hAnsi="Courier New" w:cs="Courier New" w:hint="default"/>
      </w:rPr>
    </w:lvl>
    <w:lvl w:ilvl="8" w:tplc="0C090005" w:tentative="1">
      <w:start w:val="1"/>
      <w:numFmt w:val="bullet"/>
      <w:lvlText w:val=""/>
      <w:lvlJc w:val="left"/>
      <w:pPr>
        <w:ind w:left="12600" w:hanging="360"/>
      </w:pPr>
      <w:rPr>
        <w:rFonts w:ascii="Wingdings" w:hAnsi="Wingdings" w:hint="default"/>
      </w:rPr>
    </w:lvl>
  </w:abstractNum>
  <w:abstractNum w:abstractNumId="27" w15:restartNumberingAfterBreak="0">
    <w:nsid w:val="3C9C7536"/>
    <w:multiLevelType w:val="singleLevel"/>
    <w:tmpl w:val="5C4056F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8" w15:restartNumberingAfterBreak="0">
    <w:nsid w:val="40665D1B"/>
    <w:multiLevelType w:val="hybridMultilevel"/>
    <w:tmpl w:val="66067B62"/>
    <w:lvl w:ilvl="0" w:tplc="B0509858">
      <w:start w:val="1"/>
      <w:numFmt w:val="bullet"/>
      <w:pStyle w:val="Bullet2"/>
      <w:lvlText w:val="–"/>
      <w:lvlJc w:val="left"/>
      <w:pPr>
        <w:ind w:left="700" w:hanging="360"/>
      </w:pPr>
      <w:rPr>
        <w:rFonts w:ascii="Univers" w:hAnsi="Univers" w:hint="default"/>
        <w:color w:val="auto"/>
        <w:sz w:val="24"/>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9" w15:restartNumberingAfterBreak="0">
    <w:nsid w:val="4281202A"/>
    <w:multiLevelType w:val="singleLevel"/>
    <w:tmpl w:val="DE42168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0" w15:restartNumberingAfterBreak="0">
    <w:nsid w:val="4A561612"/>
    <w:multiLevelType w:val="singleLevel"/>
    <w:tmpl w:val="E2D8F36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1" w15:restartNumberingAfterBreak="0">
    <w:nsid w:val="4F780278"/>
    <w:multiLevelType w:val="singleLevel"/>
    <w:tmpl w:val="69648FD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2" w15:restartNumberingAfterBreak="0">
    <w:nsid w:val="530E0190"/>
    <w:multiLevelType w:val="singleLevel"/>
    <w:tmpl w:val="6DA4B5C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3" w15:restartNumberingAfterBreak="0">
    <w:nsid w:val="55A3281B"/>
    <w:multiLevelType w:val="singleLevel"/>
    <w:tmpl w:val="85E057A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4" w15:restartNumberingAfterBreak="0">
    <w:nsid w:val="5AEA0D2B"/>
    <w:multiLevelType w:val="singleLevel"/>
    <w:tmpl w:val="577468A0"/>
    <w:lvl w:ilvl="0">
      <w:start w:val="1"/>
      <w:numFmt w:val="bullet"/>
      <w:pStyle w:val="Bullet1"/>
      <w:lvlText w:val="•"/>
      <w:lvlJc w:val="left"/>
      <w:pPr>
        <w:ind w:left="360" w:hanging="360"/>
      </w:pPr>
      <w:rPr>
        <w:rFonts w:ascii="Arial" w:hAnsi="Arial" w:hint="default"/>
        <w:color w:val="auto"/>
        <w:sz w:val="24"/>
      </w:rPr>
    </w:lvl>
  </w:abstractNum>
  <w:abstractNum w:abstractNumId="35" w15:restartNumberingAfterBreak="0">
    <w:nsid w:val="5B1B516D"/>
    <w:multiLevelType w:val="hybridMultilevel"/>
    <w:tmpl w:val="EC30958E"/>
    <w:lvl w:ilvl="0" w:tplc="3528974C">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B85453A"/>
    <w:multiLevelType w:val="singleLevel"/>
    <w:tmpl w:val="2D403BE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7" w15:restartNumberingAfterBreak="0">
    <w:nsid w:val="5E15135E"/>
    <w:multiLevelType w:val="singleLevel"/>
    <w:tmpl w:val="E5D0ED4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8" w15:restartNumberingAfterBreak="0">
    <w:nsid w:val="65605320"/>
    <w:multiLevelType w:val="singleLevel"/>
    <w:tmpl w:val="3D52BCD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9" w15:restartNumberingAfterBreak="0">
    <w:nsid w:val="6964710A"/>
    <w:multiLevelType w:val="multilevel"/>
    <w:tmpl w:val="E2C895D8"/>
    <w:lvl w:ilvl="0">
      <w:start w:val="1"/>
      <w:numFmt w:val="decimal"/>
      <w:pStyle w:val="ListParagraph"/>
      <w:lvlText w:val="%1."/>
      <w:lvlJc w:val="left"/>
      <w:pPr>
        <w:tabs>
          <w:tab w:val="num" w:pos="644"/>
        </w:tabs>
        <w:ind w:left="644" w:hanging="360"/>
      </w:pPr>
      <w:rPr>
        <w:b w:val="0"/>
        <w:bCs w:val="0"/>
      </w:rPr>
    </w:lvl>
    <w:lvl w:ilvl="1">
      <w:start w:val="1"/>
      <w:numFmt w:val="lowerLetter"/>
      <w:lvlText w:val="%2."/>
      <w:lvlJc w:val="left"/>
      <w:pPr>
        <w:ind w:left="1069"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0" w15:restartNumberingAfterBreak="0">
    <w:nsid w:val="69A76CCF"/>
    <w:multiLevelType w:val="singleLevel"/>
    <w:tmpl w:val="0EDEC11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1" w15:restartNumberingAfterBreak="0">
    <w:nsid w:val="69DC5E81"/>
    <w:multiLevelType w:val="singleLevel"/>
    <w:tmpl w:val="69C2B2BE"/>
    <w:lvl w:ilvl="0">
      <w:start w:val="1"/>
      <w:numFmt w:val="bullet"/>
      <w:pStyle w:val="TableBullet1stlevel"/>
      <w:lvlText w:val="•"/>
      <w:lvlJc w:val="left"/>
      <w:pPr>
        <w:tabs>
          <w:tab w:val="num" w:pos="340"/>
        </w:tabs>
        <w:ind w:left="340" w:hanging="340"/>
      </w:pPr>
      <w:rPr>
        <w:rFonts w:ascii="Arial" w:hAnsi="Arial" w:cs="Arial" w:hint="default"/>
        <w:color w:val="auto"/>
        <w:sz w:val="24"/>
      </w:rPr>
    </w:lvl>
  </w:abstractNum>
  <w:abstractNum w:abstractNumId="42" w15:restartNumberingAfterBreak="0">
    <w:nsid w:val="723F2BD7"/>
    <w:multiLevelType w:val="singleLevel"/>
    <w:tmpl w:val="0EE6FCE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3" w15:restartNumberingAfterBreak="0">
    <w:nsid w:val="7287792A"/>
    <w:multiLevelType w:val="singleLevel"/>
    <w:tmpl w:val="8D4E84D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4" w15:restartNumberingAfterBreak="0">
    <w:nsid w:val="76881311"/>
    <w:multiLevelType w:val="singleLevel"/>
    <w:tmpl w:val="0A8E29B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5" w15:restartNumberingAfterBreak="0">
    <w:nsid w:val="779C7F8A"/>
    <w:multiLevelType w:val="singleLevel"/>
    <w:tmpl w:val="607CE9B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6" w15:restartNumberingAfterBreak="0">
    <w:nsid w:val="7F647594"/>
    <w:multiLevelType w:val="singleLevel"/>
    <w:tmpl w:val="14CA054C"/>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1476676126">
    <w:abstractNumId w:val="7"/>
  </w:num>
  <w:num w:numId="2" w16cid:durableId="1349865502">
    <w:abstractNumId w:val="5"/>
  </w:num>
  <w:num w:numId="3" w16cid:durableId="1815638144">
    <w:abstractNumId w:val="4"/>
  </w:num>
  <w:num w:numId="4" w16cid:durableId="1725981045">
    <w:abstractNumId w:val="3"/>
  </w:num>
  <w:num w:numId="5" w16cid:durableId="438909993">
    <w:abstractNumId w:val="2"/>
  </w:num>
  <w:num w:numId="6" w16cid:durableId="1798986323">
    <w:abstractNumId w:val="39"/>
  </w:num>
  <w:num w:numId="7" w16cid:durableId="1609698073">
    <w:abstractNumId w:val="41"/>
  </w:num>
  <w:num w:numId="8" w16cid:durableId="1908300340">
    <w:abstractNumId w:val="28"/>
  </w:num>
  <w:num w:numId="9" w16cid:durableId="1709185914">
    <w:abstractNumId w:val="34"/>
  </w:num>
  <w:num w:numId="10" w16cid:durableId="40398746">
    <w:abstractNumId w:val="24"/>
  </w:num>
  <w:num w:numId="11" w16cid:durableId="563879670">
    <w:abstractNumId w:val="6"/>
  </w:num>
  <w:num w:numId="12" w16cid:durableId="1672878059">
    <w:abstractNumId w:val="27"/>
  </w:num>
  <w:num w:numId="13" w16cid:durableId="1475483983">
    <w:abstractNumId w:val="18"/>
  </w:num>
  <w:num w:numId="14" w16cid:durableId="1397318303">
    <w:abstractNumId w:val="26"/>
  </w:num>
  <w:num w:numId="15" w16cid:durableId="30736729">
    <w:abstractNumId w:val="33"/>
  </w:num>
  <w:num w:numId="16" w16cid:durableId="1875188210">
    <w:abstractNumId w:val="8"/>
  </w:num>
  <w:num w:numId="17" w16cid:durableId="1985962653">
    <w:abstractNumId w:val="36"/>
  </w:num>
  <w:num w:numId="18" w16cid:durableId="1955018038">
    <w:abstractNumId w:val="10"/>
  </w:num>
  <w:num w:numId="19" w16cid:durableId="1139300201">
    <w:abstractNumId w:val="16"/>
  </w:num>
  <w:num w:numId="20" w16cid:durableId="1663582799">
    <w:abstractNumId w:val="14"/>
  </w:num>
  <w:num w:numId="21" w16cid:durableId="157963622">
    <w:abstractNumId w:val="40"/>
  </w:num>
  <w:num w:numId="22" w16cid:durableId="1206454735">
    <w:abstractNumId w:val="43"/>
  </w:num>
  <w:num w:numId="23" w16cid:durableId="1648777398">
    <w:abstractNumId w:val="12"/>
  </w:num>
  <w:num w:numId="24" w16cid:durableId="367996940">
    <w:abstractNumId w:val="44"/>
  </w:num>
  <w:num w:numId="25" w16cid:durableId="1664578137">
    <w:abstractNumId w:val="9"/>
  </w:num>
  <w:num w:numId="26" w16cid:durableId="1064526754">
    <w:abstractNumId w:val="13"/>
  </w:num>
  <w:num w:numId="27" w16cid:durableId="121584813">
    <w:abstractNumId w:val="23"/>
  </w:num>
  <w:num w:numId="28" w16cid:durableId="273288908">
    <w:abstractNumId w:val="31"/>
  </w:num>
  <w:num w:numId="29" w16cid:durableId="1123772797">
    <w:abstractNumId w:val="17"/>
  </w:num>
  <w:num w:numId="30" w16cid:durableId="737703276">
    <w:abstractNumId w:val="15"/>
  </w:num>
  <w:num w:numId="31" w16cid:durableId="866675038">
    <w:abstractNumId w:val="35"/>
  </w:num>
  <w:num w:numId="32" w16cid:durableId="302471025">
    <w:abstractNumId w:val="32"/>
  </w:num>
  <w:num w:numId="33" w16cid:durableId="1080979235">
    <w:abstractNumId w:val="38"/>
  </w:num>
  <w:num w:numId="34" w16cid:durableId="181169475">
    <w:abstractNumId w:val="46"/>
  </w:num>
  <w:num w:numId="35" w16cid:durableId="977880887">
    <w:abstractNumId w:val="37"/>
  </w:num>
  <w:num w:numId="36" w16cid:durableId="2041008753">
    <w:abstractNumId w:val="45"/>
  </w:num>
  <w:num w:numId="37" w16cid:durableId="95906011">
    <w:abstractNumId w:val="42"/>
  </w:num>
  <w:num w:numId="38" w16cid:durableId="1438058944">
    <w:abstractNumId w:val="21"/>
  </w:num>
  <w:num w:numId="39" w16cid:durableId="2076390193">
    <w:abstractNumId w:val="11"/>
  </w:num>
  <w:num w:numId="40" w16cid:durableId="903443151">
    <w:abstractNumId w:val="25"/>
  </w:num>
  <w:num w:numId="41" w16cid:durableId="1932396961">
    <w:abstractNumId w:val="20"/>
  </w:num>
  <w:num w:numId="42" w16cid:durableId="1492142833">
    <w:abstractNumId w:val="22"/>
  </w:num>
  <w:num w:numId="43" w16cid:durableId="1820611087">
    <w:abstractNumId w:val="30"/>
  </w:num>
  <w:num w:numId="44" w16cid:durableId="15229708">
    <w:abstractNumId w:val="19"/>
  </w:num>
  <w:num w:numId="45" w16cid:durableId="853491610">
    <w:abstractNumId w:val="7"/>
  </w:num>
  <w:num w:numId="46" w16cid:durableId="458501414">
    <w:abstractNumId w:val="29"/>
  </w:num>
  <w:num w:numId="47" w16cid:durableId="2037266412">
    <w:abstractNumId w:val="1"/>
  </w:num>
  <w:num w:numId="48" w16cid:durableId="1582371956">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jfoemjCk2ijbRDRDXT4z84ratEEGxuXuFkK3thGPHh8+PWKeOQx4jwfSckZybdeR2DSHmbjCcDggyraNybkfxQ==" w:salt="YzT7IBUnB8piMDheR71QyA=="/>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07F"/>
    <w:rsid w:val="00000091"/>
    <w:rsid w:val="000000F4"/>
    <w:rsid w:val="00000592"/>
    <w:rsid w:val="00000796"/>
    <w:rsid w:val="000008E6"/>
    <w:rsid w:val="00000C20"/>
    <w:rsid w:val="00000C52"/>
    <w:rsid w:val="00000DA3"/>
    <w:rsid w:val="00000F81"/>
    <w:rsid w:val="00000F9F"/>
    <w:rsid w:val="00001266"/>
    <w:rsid w:val="0000129C"/>
    <w:rsid w:val="00001677"/>
    <w:rsid w:val="0000176C"/>
    <w:rsid w:val="000019B4"/>
    <w:rsid w:val="00001A07"/>
    <w:rsid w:val="00001AB2"/>
    <w:rsid w:val="00001AFC"/>
    <w:rsid w:val="00001BD6"/>
    <w:rsid w:val="00001E52"/>
    <w:rsid w:val="00001E83"/>
    <w:rsid w:val="00001F8A"/>
    <w:rsid w:val="00002033"/>
    <w:rsid w:val="000020F0"/>
    <w:rsid w:val="0000212F"/>
    <w:rsid w:val="00002292"/>
    <w:rsid w:val="0000239B"/>
    <w:rsid w:val="0000258E"/>
    <w:rsid w:val="0000265B"/>
    <w:rsid w:val="0000273B"/>
    <w:rsid w:val="00002903"/>
    <w:rsid w:val="00002910"/>
    <w:rsid w:val="00002B37"/>
    <w:rsid w:val="00002C23"/>
    <w:rsid w:val="00002CBE"/>
    <w:rsid w:val="00002FCA"/>
    <w:rsid w:val="00003067"/>
    <w:rsid w:val="00003366"/>
    <w:rsid w:val="000033BC"/>
    <w:rsid w:val="00003494"/>
    <w:rsid w:val="00003528"/>
    <w:rsid w:val="0000366D"/>
    <w:rsid w:val="00003839"/>
    <w:rsid w:val="00003A37"/>
    <w:rsid w:val="00003A74"/>
    <w:rsid w:val="00003C9D"/>
    <w:rsid w:val="00003E56"/>
    <w:rsid w:val="00003FA4"/>
    <w:rsid w:val="00004106"/>
    <w:rsid w:val="00004211"/>
    <w:rsid w:val="000042D9"/>
    <w:rsid w:val="0000431C"/>
    <w:rsid w:val="00004453"/>
    <w:rsid w:val="000046C0"/>
    <w:rsid w:val="00004A83"/>
    <w:rsid w:val="00004E43"/>
    <w:rsid w:val="00004EDE"/>
    <w:rsid w:val="00004FB3"/>
    <w:rsid w:val="00005270"/>
    <w:rsid w:val="000053E6"/>
    <w:rsid w:val="00005554"/>
    <w:rsid w:val="00005597"/>
    <w:rsid w:val="000055E6"/>
    <w:rsid w:val="00005726"/>
    <w:rsid w:val="00005838"/>
    <w:rsid w:val="00005A92"/>
    <w:rsid w:val="00005B9E"/>
    <w:rsid w:val="00005C8E"/>
    <w:rsid w:val="00005F7D"/>
    <w:rsid w:val="000061A7"/>
    <w:rsid w:val="0000621B"/>
    <w:rsid w:val="0000631D"/>
    <w:rsid w:val="00006334"/>
    <w:rsid w:val="00006357"/>
    <w:rsid w:val="00006496"/>
    <w:rsid w:val="00006672"/>
    <w:rsid w:val="0000683E"/>
    <w:rsid w:val="0000689E"/>
    <w:rsid w:val="00006CC9"/>
    <w:rsid w:val="00006FBD"/>
    <w:rsid w:val="00006FF2"/>
    <w:rsid w:val="00007369"/>
    <w:rsid w:val="000076A3"/>
    <w:rsid w:val="000076FA"/>
    <w:rsid w:val="00007868"/>
    <w:rsid w:val="0000787E"/>
    <w:rsid w:val="00007888"/>
    <w:rsid w:val="0000793E"/>
    <w:rsid w:val="00007AA6"/>
    <w:rsid w:val="00007B8A"/>
    <w:rsid w:val="00007FE4"/>
    <w:rsid w:val="0001001F"/>
    <w:rsid w:val="000103AE"/>
    <w:rsid w:val="000104E1"/>
    <w:rsid w:val="000105F0"/>
    <w:rsid w:val="0001063A"/>
    <w:rsid w:val="0001067C"/>
    <w:rsid w:val="00010685"/>
    <w:rsid w:val="00010702"/>
    <w:rsid w:val="000107F4"/>
    <w:rsid w:val="00010D7F"/>
    <w:rsid w:val="00010E39"/>
    <w:rsid w:val="00010E70"/>
    <w:rsid w:val="00010F64"/>
    <w:rsid w:val="000111CC"/>
    <w:rsid w:val="0001138D"/>
    <w:rsid w:val="0001139B"/>
    <w:rsid w:val="0001164B"/>
    <w:rsid w:val="00011A4C"/>
    <w:rsid w:val="000120BD"/>
    <w:rsid w:val="000120D7"/>
    <w:rsid w:val="0001214F"/>
    <w:rsid w:val="000121AD"/>
    <w:rsid w:val="000123A2"/>
    <w:rsid w:val="000124D4"/>
    <w:rsid w:val="00012875"/>
    <w:rsid w:val="00012BC3"/>
    <w:rsid w:val="00012C63"/>
    <w:rsid w:val="00012C9E"/>
    <w:rsid w:val="00012E00"/>
    <w:rsid w:val="00012ED0"/>
    <w:rsid w:val="00012F31"/>
    <w:rsid w:val="000130AD"/>
    <w:rsid w:val="00013198"/>
    <w:rsid w:val="000131DD"/>
    <w:rsid w:val="0001376C"/>
    <w:rsid w:val="000137CB"/>
    <w:rsid w:val="000138A5"/>
    <w:rsid w:val="00013A9C"/>
    <w:rsid w:val="00013AF2"/>
    <w:rsid w:val="00013C08"/>
    <w:rsid w:val="00013D69"/>
    <w:rsid w:val="00013D8B"/>
    <w:rsid w:val="00013FB0"/>
    <w:rsid w:val="000140F5"/>
    <w:rsid w:val="00014294"/>
    <w:rsid w:val="000142B9"/>
    <w:rsid w:val="0001451D"/>
    <w:rsid w:val="000146AC"/>
    <w:rsid w:val="0001474A"/>
    <w:rsid w:val="0001490D"/>
    <w:rsid w:val="00014A38"/>
    <w:rsid w:val="00014A58"/>
    <w:rsid w:val="00014A86"/>
    <w:rsid w:val="00014B64"/>
    <w:rsid w:val="00014EB4"/>
    <w:rsid w:val="00014F04"/>
    <w:rsid w:val="0001501C"/>
    <w:rsid w:val="00015054"/>
    <w:rsid w:val="000152B8"/>
    <w:rsid w:val="00015379"/>
    <w:rsid w:val="00015409"/>
    <w:rsid w:val="00015449"/>
    <w:rsid w:val="00015614"/>
    <w:rsid w:val="00015B32"/>
    <w:rsid w:val="00015C10"/>
    <w:rsid w:val="0001609B"/>
    <w:rsid w:val="000160CB"/>
    <w:rsid w:val="000161EF"/>
    <w:rsid w:val="0001638D"/>
    <w:rsid w:val="000165A0"/>
    <w:rsid w:val="000166F1"/>
    <w:rsid w:val="00016A57"/>
    <w:rsid w:val="00016B7D"/>
    <w:rsid w:val="00016BB2"/>
    <w:rsid w:val="000171D5"/>
    <w:rsid w:val="00017395"/>
    <w:rsid w:val="000173E4"/>
    <w:rsid w:val="00017706"/>
    <w:rsid w:val="00017921"/>
    <w:rsid w:val="000179CC"/>
    <w:rsid w:val="000179FA"/>
    <w:rsid w:val="00017D1B"/>
    <w:rsid w:val="00017FFD"/>
    <w:rsid w:val="00020244"/>
    <w:rsid w:val="00020337"/>
    <w:rsid w:val="000207A1"/>
    <w:rsid w:val="000208CA"/>
    <w:rsid w:val="00020C38"/>
    <w:rsid w:val="00020CAB"/>
    <w:rsid w:val="00020D5B"/>
    <w:rsid w:val="00020FD2"/>
    <w:rsid w:val="000210F4"/>
    <w:rsid w:val="00021499"/>
    <w:rsid w:val="0002155F"/>
    <w:rsid w:val="00021758"/>
    <w:rsid w:val="00021805"/>
    <w:rsid w:val="0002181C"/>
    <w:rsid w:val="00021869"/>
    <w:rsid w:val="00021983"/>
    <w:rsid w:val="00021BED"/>
    <w:rsid w:val="00021C0B"/>
    <w:rsid w:val="00021ECA"/>
    <w:rsid w:val="00021F5D"/>
    <w:rsid w:val="00021F5F"/>
    <w:rsid w:val="00022063"/>
    <w:rsid w:val="00022140"/>
    <w:rsid w:val="000223BA"/>
    <w:rsid w:val="00022447"/>
    <w:rsid w:val="000224BB"/>
    <w:rsid w:val="00022BCF"/>
    <w:rsid w:val="00022E4E"/>
    <w:rsid w:val="00022F0A"/>
    <w:rsid w:val="0002325C"/>
    <w:rsid w:val="00023389"/>
    <w:rsid w:val="00023575"/>
    <w:rsid w:val="00023599"/>
    <w:rsid w:val="000235CB"/>
    <w:rsid w:val="000235E7"/>
    <w:rsid w:val="00023617"/>
    <w:rsid w:val="00023A6C"/>
    <w:rsid w:val="00023B40"/>
    <w:rsid w:val="00023CE2"/>
    <w:rsid w:val="00023E1F"/>
    <w:rsid w:val="00023FF3"/>
    <w:rsid w:val="000240E5"/>
    <w:rsid w:val="000242BB"/>
    <w:rsid w:val="0002435C"/>
    <w:rsid w:val="000243B5"/>
    <w:rsid w:val="000243C4"/>
    <w:rsid w:val="00024516"/>
    <w:rsid w:val="000245FF"/>
    <w:rsid w:val="000246EE"/>
    <w:rsid w:val="0002472E"/>
    <w:rsid w:val="0002476D"/>
    <w:rsid w:val="00024777"/>
    <w:rsid w:val="000249EA"/>
    <w:rsid w:val="00024B69"/>
    <w:rsid w:val="00024C00"/>
    <w:rsid w:val="00024CFF"/>
    <w:rsid w:val="00024F22"/>
    <w:rsid w:val="00025159"/>
    <w:rsid w:val="00025227"/>
    <w:rsid w:val="0002547E"/>
    <w:rsid w:val="00025578"/>
    <w:rsid w:val="0002565C"/>
    <w:rsid w:val="0002589A"/>
    <w:rsid w:val="00025943"/>
    <w:rsid w:val="00025979"/>
    <w:rsid w:val="00025B5A"/>
    <w:rsid w:val="00025BB3"/>
    <w:rsid w:val="00025C96"/>
    <w:rsid w:val="00025E4F"/>
    <w:rsid w:val="000260F3"/>
    <w:rsid w:val="00026174"/>
    <w:rsid w:val="000263CA"/>
    <w:rsid w:val="00026727"/>
    <w:rsid w:val="00026802"/>
    <w:rsid w:val="0002699A"/>
    <w:rsid w:val="00026A37"/>
    <w:rsid w:val="00026B2A"/>
    <w:rsid w:val="00026B38"/>
    <w:rsid w:val="00026E1E"/>
    <w:rsid w:val="00026F04"/>
    <w:rsid w:val="00026FDC"/>
    <w:rsid w:val="00027014"/>
    <w:rsid w:val="000271A7"/>
    <w:rsid w:val="000272B5"/>
    <w:rsid w:val="00027545"/>
    <w:rsid w:val="000275F1"/>
    <w:rsid w:val="000278D1"/>
    <w:rsid w:val="00027902"/>
    <w:rsid w:val="000279B5"/>
    <w:rsid w:val="00027D22"/>
    <w:rsid w:val="00027E68"/>
    <w:rsid w:val="00027EEC"/>
    <w:rsid w:val="00027FF4"/>
    <w:rsid w:val="00030028"/>
    <w:rsid w:val="0003018F"/>
    <w:rsid w:val="0003037B"/>
    <w:rsid w:val="000304B3"/>
    <w:rsid w:val="00030516"/>
    <w:rsid w:val="000306E8"/>
    <w:rsid w:val="0003074F"/>
    <w:rsid w:val="000308DE"/>
    <w:rsid w:val="000308EA"/>
    <w:rsid w:val="000308EC"/>
    <w:rsid w:val="000309E9"/>
    <w:rsid w:val="000309F6"/>
    <w:rsid w:val="00030BED"/>
    <w:rsid w:val="00030CB7"/>
    <w:rsid w:val="00030CEB"/>
    <w:rsid w:val="00030D57"/>
    <w:rsid w:val="00030FAD"/>
    <w:rsid w:val="0003124D"/>
    <w:rsid w:val="00031286"/>
    <w:rsid w:val="0003131D"/>
    <w:rsid w:val="000313DD"/>
    <w:rsid w:val="000314B5"/>
    <w:rsid w:val="00031585"/>
    <w:rsid w:val="000315A8"/>
    <w:rsid w:val="000316F2"/>
    <w:rsid w:val="00031753"/>
    <w:rsid w:val="00031876"/>
    <w:rsid w:val="000318A8"/>
    <w:rsid w:val="00031BEA"/>
    <w:rsid w:val="00031BF6"/>
    <w:rsid w:val="00031C4F"/>
    <w:rsid w:val="00031CA9"/>
    <w:rsid w:val="00031CCB"/>
    <w:rsid w:val="00031E56"/>
    <w:rsid w:val="00031FDE"/>
    <w:rsid w:val="0003234A"/>
    <w:rsid w:val="000323EE"/>
    <w:rsid w:val="000326E1"/>
    <w:rsid w:val="000326F2"/>
    <w:rsid w:val="000327CC"/>
    <w:rsid w:val="00032926"/>
    <w:rsid w:val="00032A9E"/>
    <w:rsid w:val="00032AAD"/>
    <w:rsid w:val="00032B62"/>
    <w:rsid w:val="00032BBD"/>
    <w:rsid w:val="00032BE0"/>
    <w:rsid w:val="00032BE9"/>
    <w:rsid w:val="00032C14"/>
    <w:rsid w:val="00032D28"/>
    <w:rsid w:val="00032FBF"/>
    <w:rsid w:val="00033063"/>
    <w:rsid w:val="0003307D"/>
    <w:rsid w:val="00033087"/>
    <w:rsid w:val="000331A8"/>
    <w:rsid w:val="000332C6"/>
    <w:rsid w:val="00033462"/>
    <w:rsid w:val="000335A7"/>
    <w:rsid w:val="00033E63"/>
    <w:rsid w:val="00034081"/>
    <w:rsid w:val="0003415E"/>
    <w:rsid w:val="0003424A"/>
    <w:rsid w:val="00034441"/>
    <w:rsid w:val="00034581"/>
    <w:rsid w:val="00034616"/>
    <w:rsid w:val="00034703"/>
    <w:rsid w:val="000347A9"/>
    <w:rsid w:val="00034AE3"/>
    <w:rsid w:val="00034B62"/>
    <w:rsid w:val="00034DD7"/>
    <w:rsid w:val="00034EDB"/>
    <w:rsid w:val="00034FAB"/>
    <w:rsid w:val="0003516D"/>
    <w:rsid w:val="0003536D"/>
    <w:rsid w:val="00035492"/>
    <w:rsid w:val="000354F0"/>
    <w:rsid w:val="000355BF"/>
    <w:rsid w:val="000355EA"/>
    <w:rsid w:val="0003570A"/>
    <w:rsid w:val="00035800"/>
    <w:rsid w:val="0003593A"/>
    <w:rsid w:val="00035BE5"/>
    <w:rsid w:val="00035F1B"/>
    <w:rsid w:val="00036129"/>
    <w:rsid w:val="000361D1"/>
    <w:rsid w:val="000362B7"/>
    <w:rsid w:val="000362C3"/>
    <w:rsid w:val="0003647D"/>
    <w:rsid w:val="0003655F"/>
    <w:rsid w:val="000365F2"/>
    <w:rsid w:val="0003660E"/>
    <w:rsid w:val="0003665B"/>
    <w:rsid w:val="0003675B"/>
    <w:rsid w:val="00036967"/>
    <w:rsid w:val="00036AF2"/>
    <w:rsid w:val="00036C11"/>
    <w:rsid w:val="00036E80"/>
    <w:rsid w:val="0003701C"/>
    <w:rsid w:val="00037041"/>
    <w:rsid w:val="000372C8"/>
    <w:rsid w:val="00037314"/>
    <w:rsid w:val="0003743E"/>
    <w:rsid w:val="0003750E"/>
    <w:rsid w:val="00037824"/>
    <w:rsid w:val="000378E3"/>
    <w:rsid w:val="00037902"/>
    <w:rsid w:val="00037974"/>
    <w:rsid w:val="00037A77"/>
    <w:rsid w:val="00037A9B"/>
    <w:rsid w:val="00037AD1"/>
    <w:rsid w:val="00037C3B"/>
    <w:rsid w:val="00037D34"/>
    <w:rsid w:val="00037DCA"/>
    <w:rsid w:val="00037FA9"/>
    <w:rsid w:val="0004005F"/>
    <w:rsid w:val="0004044C"/>
    <w:rsid w:val="000405C7"/>
    <w:rsid w:val="000406CC"/>
    <w:rsid w:val="000406D8"/>
    <w:rsid w:val="00040D02"/>
    <w:rsid w:val="00040FE9"/>
    <w:rsid w:val="00041181"/>
    <w:rsid w:val="000411A5"/>
    <w:rsid w:val="0004154D"/>
    <w:rsid w:val="00041618"/>
    <w:rsid w:val="00041710"/>
    <w:rsid w:val="0004172D"/>
    <w:rsid w:val="00041823"/>
    <w:rsid w:val="00041860"/>
    <w:rsid w:val="0004194F"/>
    <w:rsid w:val="00041AA5"/>
    <w:rsid w:val="00041AA7"/>
    <w:rsid w:val="00041B17"/>
    <w:rsid w:val="00041BF4"/>
    <w:rsid w:val="00041C47"/>
    <w:rsid w:val="00041C7C"/>
    <w:rsid w:val="00041D58"/>
    <w:rsid w:val="000421EB"/>
    <w:rsid w:val="000423F7"/>
    <w:rsid w:val="00042841"/>
    <w:rsid w:val="00042B6D"/>
    <w:rsid w:val="00042BDD"/>
    <w:rsid w:val="00042C47"/>
    <w:rsid w:val="00042C6D"/>
    <w:rsid w:val="00042DE4"/>
    <w:rsid w:val="00042DF4"/>
    <w:rsid w:val="00042E49"/>
    <w:rsid w:val="00042E51"/>
    <w:rsid w:val="000430FE"/>
    <w:rsid w:val="00043232"/>
    <w:rsid w:val="00043297"/>
    <w:rsid w:val="000432FE"/>
    <w:rsid w:val="000433CF"/>
    <w:rsid w:val="000435B9"/>
    <w:rsid w:val="000438E6"/>
    <w:rsid w:val="000438E7"/>
    <w:rsid w:val="00043973"/>
    <w:rsid w:val="000439A3"/>
    <w:rsid w:val="000439F2"/>
    <w:rsid w:val="00043A48"/>
    <w:rsid w:val="00043B29"/>
    <w:rsid w:val="00043D35"/>
    <w:rsid w:val="00043F41"/>
    <w:rsid w:val="000440FC"/>
    <w:rsid w:val="00044134"/>
    <w:rsid w:val="000446F9"/>
    <w:rsid w:val="000448C8"/>
    <w:rsid w:val="00044927"/>
    <w:rsid w:val="00044BF4"/>
    <w:rsid w:val="00044C7D"/>
    <w:rsid w:val="00044D43"/>
    <w:rsid w:val="00044D93"/>
    <w:rsid w:val="00044E81"/>
    <w:rsid w:val="00044F50"/>
    <w:rsid w:val="00044F6E"/>
    <w:rsid w:val="00045029"/>
    <w:rsid w:val="00045198"/>
    <w:rsid w:val="00045251"/>
    <w:rsid w:val="000452B4"/>
    <w:rsid w:val="000454CF"/>
    <w:rsid w:val="000454DE"/>
    <w:rsid w:val="00045713"/>
    <w:rsid w:val="00045755"/>
    <w:rsid w:val="0004580B"/>
    <w:rsid w:val="0004590A"/>
    <w:rsid w:val="00045B74"/>
    <w:rsid w:val="00045CFD"/>
    <w:rsid w:val="00045E1C"/>
    <w:rsid w:val="00045F8F"/>
    <w:rsid w:val="000461B8"/>
    <w:rsid w:val="000462E6"/>
    <w:rsid w:val="000462EA"/>
    <w:rsid w:val="0004633A"/>
    <w:rsid w:val="0004646F"/>
    <w:rsid w:val="0004665D"/>
    <w:rsid w:val="000469C6"/>
    <w:rsid w:val="00046C02"/>
    <w:rsid w:val="00046CEE"/>
    <w:rsid w:val="00047636"/>
    <w:rsid w:val="000477B6"/>
    <w:rsid w:val="0004781E"/>
    <w:rsid w:val="00047925"/>
    <w:rsid w:val="0004796D"/>
    <w:rsid w:val="00047A4C"/>
    <w:rsid w:val="00047B8E"/>
    <w:rsid w:val="00047E99"/>
    <w:rsid w:val="0005009E"/>
    <w:rsid w:val="000502F1"/>
    <w:rsid w:val="000505CD"/>
    <w:rsid w:val="0005065A"/>
    <w:rsid w:val="00050870"/>
    <w:rsid w:val="000508D8"/>
    <w:rsid w:val="00050A19"/>
    <w:rsid w:val="00050B22"/>
    <w:rsid w:val="00050BFD"/>
    <w:rsid w:val="00051298"/>
    <w:rsid w:val="000512E4"/>
    <w:rsid w:val="00051555"/>
    <w:rsid w:val="00051947"/>
    <w:rsid w:val="00051A82"/>
    <w:rsid w:val="00051B47"/>
    <w:rsid w:val="00051D0C"/>
    <w:rsid w:val="00051EDB"/>
    <w:rsid w:val="00051EF0"/>
    <w:rsid w:val="00051FC1"/>
    <w:rsid w:val="00052069"/>
    <w:rsid w:val="0005245B"/>
    <w:rsid w:val="000524B2"/>
    <w:rsid w:val="000524CC"/>
    <w:rsid w:val="0005296E"/>
    <w:rsid w:val="00052CFA"/>
    <w:rsid w:val="00052D81"/>
    <w:rsid w:val="00052EB7"/>
    <w:rsid w:val="00052FCE"/>
    <w:rsid w:val="000530BE"/>
    <w:rsid w:val="000530FA"/>
    <w:rsid w:val="000531AA"/>
    <w:rsid w:val="000531EE"/>
    <w:rsid w:val="00053244"/>
    <w:rsid w:val="00053599"/>
    <w:rsid w:val="000535D0"/>
    <w:rsid w:val="00053611"/>
    <w:rsid w:val="00053652"/>
    <w:rsid w:val="000537C2"/>
    <w:rsid w:val="00053844"/>
    <w:rsid w:val="00053A9B"/>
    <w:rsid w:val="00053C88"/>
    <w:rsid w:val="00053D38"/>
    <w:rsid w:val="00053D89"/>
    <w:rsid w:val="00053E87"/>
    <w:rsid w:val="00053F32"/>
    <w:rsid w:val="00054009"/>
    <w:rsid w:val="00054028"/>
    <w:rsid w:val="000540AF"/>
    <w:rsid w:val="00054115"/>
    <w:rsid w:val="00054153"/>
    <w:rsid w:val="000542A5"/>
    <w:rsid w:val="000542D4"/>
    <w:rsid w:val="000542D6"/>
    <w:rsid w:val="000542E2"/>
    <w:rsid w:val="00054605"/>
    <w:rsid w:val="00054781"/>
    <w:rsid w:val="000547F6"/>
    <w:rsid w:val="00054862"/>
    <w:rsid w:val="00054990"/>
    <w:rsid w:val="00054A0F"/>
    <w:rsid w:val="00054AEC"/>
    <w:rsid w:val="00054BA5"/>
    <w:rsid w:val="00054BB6"/>
    <w:rsid w:val="00054BE5"/>
    <w:rsid w:val="00054C9B"/>
    <w:rsid w:val="00054CB2"/>
    <w:rsid w:val="00054D01"/>
    <w:rsid w:val="00054D22"/>
    <w:rsid w:val="00054EA2"/>
    <w:rsid w:val="00054EA6"/>
    <w:rsid w:val="00054EE9"/>
    <w:rsid w:val="0005531C"/>
    <w:rsid w:val="000553E9"/>
    <w:rsid w:val="0005558B"/>
    <w:rsid w:val="0005574F"/>
    <w:rsid w:val="00055943"/>
    <w:rsid w:val="00055978"/>
    <w:rsid w:val="00055987"/>
    <w:rsid w:val="00055A45"/>
    <w:rsid w:val="00055AAC"/>
    <w:rsid w:val="00055B21"/>
    <w:rsid w:val="00055B79"/>
    <w:rsid w:val="00055EB0"/>
    <w:rsid w:val="00055EB5"/>
    <w:rsid w:val="000560D4"/>
    <w:rsid w:val="00056142"/>
    <w:rsid w:val="000561D9"/>
    <w:rsid w:val="0005628F"/>
    <w:rsid w:val="00056560"/>
    <w:rsid w:val="000565BA"/>
    <w:rsid w:val="00056748"/>
    <w:rsid w:val="000568CA"/>
    <w:rsid w:val="00056A0D"/>
    <w:rsid w:val="00056C4A"/>
    <w:rsid w:val="00056E00"/>
    <w:rsid w:val="00056EF2"/>
    <w:rsid w:val="00056F28"/>
    <w:rsid w:val="00057038"/>
    <w:rsid w:val="000572A0"/>
    <w:rsid w:val="000572CC"/>
    <w:rsid w:val="0005731C"/>
    <w:rsid w:val="00057331"/>
    <w:rsid w:val="00057587"/>
    <w:rsid w:val="000575D1"/>
    <w:rsid w:val="00057622"/>
    <w:rsid w:val="00057996"/>
    <w:rsid w:val="000579B6"/>
    <w:rsid w:val="00057ADC"/>
    <w:rsid w:val="00057CCA"/>
    <w:rsid w:val="00057E4C"/>
    <w:rsid w:val="00060091"/>
    <w:rsid w:val="0006012E"/>
    <w:rsid w:val="0006025F"/>
    <w:rsid w:val="000603B4"/>
    <w:rsid w:val="00060413"/>
    <w:rsid w:val="000604DB"/>
    <w:rsid w:val="00060533"/>
    <w:rsid w:val="0006063C"/>
    <w:rsid w:val="000607F1"/>
    <w:rsid w:val="000609DC"/>
    <w:rsid w:val="00060B68"/>
    <w:rsid w:val="00060C03"/>
    <w:rsid w:val="0006114D"/>
    <w:rsid w:val="0006116B"/>
    <w:rsid w:val="000612F1"/>
    <w:rsid w:val="00061409"/>
    <w:rsid w:val="0006198D"/>
    <w:rsid w:val="00061C30"/>
    <w:rsid w:val="00061CAC"/>
    <w:rsid w:val="00061E93"/>
    <w:rsid w:val="00061E99"/>
    <w:rsid w:val="00061ED6"/>
    <w:rsid w:val="00061F95"/>
    <w:rsid w:val="0006206F"/>
    <w:rsid w:val="00062205"/>
    <w:rsid w:val="000622BD"/>
    <w:rsid w:val="0006232B"/>
    <w:rsid w:val="00062357"/>
    <w:rsid w:val="000623E2"/>
    <w:rsid w:val="00062624"/>
    <w:rsid w:val="0006263A"/>
    <w:rsid w:val="000626BF"/>
    <w:rsid w:val="000627FD"/>
    <w:rsid w:val="00062805"/>
    <w:rsid w:val="00062A1B"/>
    <w:rsid w:val="00062BEE"/>
    <w:rsid w:val="00062CEE"/>
    <w:rsid w:val="00063014"/>
    <w:rsid w:val="00063322"/>
    <w:rsid w:val="000634D4"/>
    <w:rsid w:val="0006360D"/>
    <w:rsid w:val="00063727"/>
    <w:rsid w:val="00063809"/>
    <w:rsid w:val="00063934"/>
    <w:rsid w:val="00063BCA"/>
    <w:rsid w:val="00063C37"/>
    <w:rsid w:val="00063C6C"/>
    <w:rsid w:val="000641AA"/>
    <w:rsid w:val="000643E7"/>
    <w:rsid w:val="0006496F"/>
    <w:rsid w:val="00064A71"/>
    <w:rsid w:val="00064A8B"/>
    <w:rsid w:val="00064C61"/>
    <w:rsid w:val="00065117"/>
    <w:rsid w:val="00065190"/>
    <w:rsid w:val="0006533B"/>
    <w:rsid w:val="0006537E"/>
    <w:rsid w:val="00065397"/>
    <w:rsid w:val="00065471"/>
    <w:rsid w:val="0006547F"/>
    <w:rsid w:val="000656F7"/>
    <w:rsid w:val="00065A26"/>
    <w:rsid w:val="00065BE6"/>
    <w:rsid w:val="00065C82"/>
    <w:rsid w:val="00065DDB"/>
    <w:rsid w:val="00065DED"/>
    <w:rsid w:val="00065E86"/>
    <w:rsid w:val="00065F3F"/>
    <w:rsid w:val="00066010"/>
    <w:rsid w:val="0006612A"/>
    <w:rsid w:val="00066222"/>
    <w:rsid w:val="000662A6"/>
    <w:rsid w:val="00066365"/>
    <w:rsid w:val="0006639A"/>
    <w:rsid w:val="000663DE"/>
    <w:rsid w:val="00066454"/>
    <w:rsid w:val="0006663A"/>
    <w:rsid w:val="000666A3"/>
    <w:rsid w:val="00066735"/>
    <w:rsid w:val="00066A72"/>
    <w:rsid w:val="00066BB5"/>
    <w:rsid w:val="00066C2E"/>
    <w:rsid w:val="00066E03"/>
    <w:rsid w:val="00066F37"/>
    <w:rsid w:val="00066F3B"/>
    <w:rsid w:val="000670CB"/>
    <w:rsid w:val="000671EA"/>
    <w:rsid w:val="000672DB"/>
    <w:rsid w:val="00067312"/>
    <w:rsid w:val="00067448"/>
    <w:rsid w:val="00067539"/>
    <w:rsid w:val="000675EB"/>
    <w:rsid w:val="00067763"/>
    <w:rsid w:val="00067D56"/>
    <w:rsid w:val="00067E29"/>
    <w:rsid w:val="00067ED3"/>
    <w:rsid w:val="00067F3E"/>
    <w:rsid w:val="00067F47"/>
    <w:rsid w:val="00067F9B"/>
    <w:rsid w:val="000701BC"/>
    <w:rsid w:val="00070400"/>
    <w:rsid w:val="00070405"/>
    <w:rsid w:val="00070676"/>
    <w:rsid w:val="0007094D"/>
    <w:rsid w:val="00070973"/>
    <w:rsid w:val="000709B7"/>
    <w:rsid w:val="00070C16"/>
    <w:rsid w:val="00070F70"/>
    <w:rsid w:val="000710BE"/>
    <w:rsid w:val="00071395"/>
    <w:rsid w:val="00071447"/>
    <w:rsid w:val="00071546"/>
    <w:rsid w:val="000716A1"/>
    <w:rsid w:val="000716AD"/>
    <w:rsid w:val="000716D3"/>
    <w:rsid w:val="000717BA"/>
    <w:rsid w:val="00071977"/>
    <w:rsid w:val="00071993"/>
    <w:rsid w:val="00071B2A"/>
    <w:rsid w:val="00071C32"/>
    <w:rsid w:val="00071C63"/>
    <w:rsid w:val="00071D3E"/>
    <w:rsid w:val="00071EFF"/>
    <w:rsid w:val="00071FFA"/>
    <w:rsid w:val="00072026"/>
    <w:rsid w:val="0007203E"/>
    <w:rsid w:val="00072419"/>
    <w:rsid w:val="0007246F"/>
    <w:rsid w:val="000725C4"/>
    <w:rsid w:val="0007297C"/>
    <w:rsid w:val="00072A03"/>
    <w:rsid w:val="00072A84"/>
    <w:rsid w:val="00072B66"/>
    <w:rsid w:val="00072C82"/>
    <w:rsid w:val="00072DF5"/>
    <w:rsid w:val="00072E68"/>
    <w:rsid w:val="00072F11"/>
    <w:rsid w:val="0007327C"/>
    <w:rsid w:val="000733F9"/>
    <w:rsid w:val="00073BD0"/>
    <w:rsid w:val="00073C19"/>
    <w:rsid w:val="00073C73"/>
    <w:rsid w:val="00073CC0"/>
    <w:rsid w:val="00073E2A"/>
    <w:rsid w:val="00073E57"/>
    <w:rsid w:val="00074092"/>
    <w:rsid w:val="000745AB"/>
    <w:rsid w:val="000746A8"/>
    <w:rsid w:val="00074702"/>
    <w:rsid w:val="000747CA"/>
    <w:rsid w:val="00074933"/>
    <w:rsid w:val="00074BD7"/>
    <w:rsid w:val="00074C35"/>
    <w:rsid w:val="00074C61"/>
    <w:rsid w:val="00074CFA"/>
    <w:rsid w:val="00074D16"/>
    <w:rsid w:val="00074DA7"/>
    <w:rsid w:val="00075292"/>
    <w:rsid w:val="000753EC"/>
    <w:rsid w:val="0007561E"/>
    <w:rsid w:val="0007573F"/>
    <w:rsid w:val="00075F24"/>
    <w:rsid w:val="0007609E"/>
    <w:rsid w:val="000763E6"/>
    <w:rsid w:val="0007643F"/>
    <w:rsid w:val="000764B0"/>
    <w:rsid w:val="0007659B"/>
    <w:rsid w:val="00076726"/>
    <w:rsid w:val="000769F9"/>
    <w:rsid w:val="00076DAE"/>
    <w:rsid w:val="00076EB9"/>
    <w:rsid w:val="00076ECB"/>
    <w:rsid w:val="00077126"/>
    <w:rsid w:val="0007728E"/>
    <w:rsid w:val="000772A4"/>
    <w:rsid w:val="00077398"/>
    <w:rsid w:val="000773DD"/>
    <w:rsid w:val="0007744B"/>
    <w:rsid w:val="000774AB"/>
    <w:rsid w:val="000775BA"/>
    <w:rsid w:val="000777A3"/>
    <w:rsid w:val="0007789C"/>
    <w:rsid w:val="000778BD"/>
    <w:rsid w:val="00077A6F"/>
    <w:rsid w:val="00077B9E"/>
    <w:rsid w:val="00077BF2"/>
    <w:rsid w:val="00077D5D"/>
    <w:rsid w:val="00077EB6"/>
    <w:rsid w:val="00077F2C"/>
    <w:rsid w:val="00077FD2"/>
    <w:rsid w:val="00077FE7"/>
    <w:rsid w:val="00077FEE"/>
    <w:rsid w:val="0008009C"/>
    <w:rsid w:val="000800E3"/>
    <w:rsid w:val="00080257"/>
    <w:rsid w:val="00080379"/>
    <w:rsid w:val="000803DD"/>
    <w:rsid w:val="00080454"/>
    <w:rsid w:val="0008057B"/>
    <w:rsid w:val="000805E2"/>
    <w:rsid w:val="0008086E"/>
    <w:rsid w:val="0008099D"/>
    <w:rsid w:val="000809C9"/>
    <w:rsid w:val="00080A68"/>
    <w:rsid w:val="00080CEF"/>
    <w:rsid w:val="00080D23"/>
    <w:rsid w:val="00080DFE"/>
    <w:rsid w:val="0008113A"/>
    <w:rsid w:val="0008115E"/>
    <w:rsid w:val="000811F4"/>
    <w:rsid w:val="00081233"/>
    <w:rsid w:val="000812B5"/>
    <w:rsid w:val="00081452"/>
    <w:rsid w:val="000814D2"/>
    <w:rsid w:val="0008151F"/>
    <w:rsid w:val="000816D1"/>
    <w:rsid w:val="00081856"/>
    <w:rsid w:val="00081930"/>
    <w:rsid w:val="00081AE8"/>
    <w:rsid w:val="00081AEA"/>
    <w:rsid w:val="00081B12"/>
    <w:rsid w:val="00081B1E"/>
    <w:rsid w:val="00081DEE"/>
    <w:rsid w:val="00081E0D"/>
    <w:rsid w:val="00081EA0"/>
    <w:rsid w:val="00081F46"/>
    <w:rsid w:val="00082096"/>
    <w:rsid w:val="00082241"/>
    <w:rsid w:val="0008228B"/>
    <w:rsid w:val="000826F9"/>
    <w:rsid w:val="00082949"/>
    <w:rsid w:val="00082A29"/>
    <w:rsid w:val="00082B35"/>
    <w:rsid w:val="00082C32"/>
    <w:rsid w:val="00082C65"/>
    <w:rsid w:val="00082CFE"/>
    <w:rsid w:val="00082D38"/>
    <w:rsid w:val="00082EB7"/>
    <w:rsid w:val="00083246"/>
    <w:rsid w:val="000832A2"/>
    <w:rsid w:val="000832E1"/>
    <w:rsid w:val="0008336A"/>
    <w:rsid w:val="000833C7"/>
    <w:rsid w:val="000835A8"/>
    <w:rsid w:val="00083B93"/>
    <w:rsid w:val="00083E5A"/>
    <w:rsid w:val="0008448E"/>
    <w:rsid w:val="0008448F"/>
    <w:rsid w:val="00084576"/>
    <w:rsid w:val="00084796"/>
    <w:rsid w:val="000847CC"/>
    <w:rsid w:val="000849F8"/>
    <w:rsid w:val="00084A0D"/>
    <w:rsid w:val="00084A45"/>
    <w:rsid w:val="00084A97"/>
    <w:rsid w:val="00084AD0"/>
    <w:rsid w:val="00084BA0"/>
    <w:rsid w:val="00084D1C"/>
    <w:rsid w:val="00084FCB"/>
    <w:rsid w:val="000851A5"/>
    <w:rsid w:val="000851FD"/>
    <w:rsid w:val="000853E6"/>
    <w:rsid w:val="0008556A"/>
    <w:rsid w:val="000856F5"/>
    <w:rsid w:val="00085749"/>
    <w:rsid w:val="00085B28"/>
    <w:rsid w:val="00085BED"/>
    <w:rsid w:val="00085CEC"/>
    <w:rsid w:val="00085E10"/>
    <w:rsid w:val="00085E9C"/>
    <w:rsid w:val="00085FDB"/>
    <w:rsid w:val="00086136"/>
    <w:rsid w:val="00086199"/>
    <w:rsid w:val="00086237"/>
    <w:rsid w:val="00086328"/>
    <w:rsid w:val="00086337"/>
    <w:rsid w:val="00086591"/>
    <w:rsid w:val="000866DA"/>
    <w:rsid w:val="00086721"/>
    <w:rsid w:val="0008682B"/>
    <w:rsid w:val="000869C5"/>
    <w:rsid w:val="00086AD9"/>
    <w:rsid w:val="00086BAF"/>
    <w:rsid w:val="00086C68"/>
    <w:rsid w:val="00086C7A"/>
    <w:rsid w:val="00086CA4"/>
    <w:rsid w:val="00086CAF"/>
    <w:rsid w:val="00086D1F"/>
    <w:rsid w:val="00086EA1"/>
    <w:rsid w:val="0008701F"/>
    <w:rsid w:val="000871B3"/>
    <w:rsid w:val="000871EF"/>
    <w:rsid w:val="00087281"/>
    <w:rsid w:val="000874F6"/>
    <w:rsid w:val="0008755D"/>
    <w:rsid w:val="00087631"/>
    <w:rsid w:val="00087702"/>
    <w:rsid w:val="00087796"/>
    <w:rsid w:val="000879BB"/>
    <w:rsid w:val="00087A9E"/>
    <w:rsid w:val="00087B8C"/>
    <w:rsid w:val="00087E2B"/>
    <w:rsid w:val="00087E6F"/>
    <w:rsid w:val="000900B7"/>
    <w:rsid w:val="0009024B"/>
    <w:rsid w:val="00090275"/>
    <w:rsid w:val="000904B8"/>
    <w:rsid w:val="00090509"/>
    <w:rsid w:val="00090563"/>
    <w:rsid w:val="0009076A"/>
    <w:rsid w:val="00090887"/>
    <w:rsid w:val="000909F7"/>
    <w:rsid w:val="00090A6C"/>
    <w:rsid w:val="00090D5F"/>
    <w:rsid w:val="00090FC2"/>
    <w:rsid w:val="000910CD"/>
    <w:rsid w:val="000912DA"/>
    <w:rsid w:val="000917DC"/>
    <w:rsid w:val="000918DE"/>
    <w:rsid w:val="00091BAB"/>
    <w:rsid w:val="00091D64"/>
    <w:rsid w:val="00091E34"/>
    <w:rsid w:val="00091EF5"/>
    <w:rsid w:val="00092001"/>
    <w:rsid w:val="0009211D"/>
    <w:rsid w:val="00092463"/>
    <w:rsid w:val="0009246E"/>
    <w:rsid w:val="0009249E"/>
    <w:rsid w:val="00092522"/>
    <w:rsid w:val="000926D9"/>
    <w:rsid w:val="00092704"/>
    <w:rsid w:val="0009286D"/>
    <w:rsid w:val="000928FF"/>
    <w:rsid w:val="000929AB"/>
    <w:rsid w:val="00092ABE"/>
    <w:rsid w:val="00092FA3"/>
    <w:rsid w:val="0009319F"/>
    <w:rsid w:val="000931EA"/>
    <w:rsid w:val="000932CA"/>
    <w:rsid w:val="000932E6"/>
    <w:rsid w:val="000935BA"/>
    <w:rsid w:val="00093719"/>
    <w:rsid w:val="00093730"/>
    <w:rsid w:val="000938D3"/>
    <w:rsid w:val="000938EA"/>
    <w:rsid w:val="00093AC6"/>
    <w:rsid w:val="00093AFD"/>
    <w:rsid w:val="00093B54"/>
    <w:rsid w:val="00093C4E"/>
    <w:rsid w:val="00093C9B"/>
    <w:rsid w:val="00093DD2"/>
    <w:rsid w:val="00093DDD"/>
    <w:rsid w:val="00093E2C"/>
    <w:rsid w:val="00093FFF"/>
    <w:rsid w:val="000940D6"/>
    <w:rsid w:val="000940D7"/>
    <w:rsid w:val="000940EE"/>
    <w:rsid w:val="00094167"/>
    <w:rsid w:val="0009421E"/>
    <w:rsid w:val="00094807"/>
    <w:rsid w:val="000949D0"/>
    <w:rsid w:val="00094A3D"/>
    <w:rsid w:val="00094AE2"/>
    <w:rsid w:val="00094B0C"/>
    <w:rsid w:val="00094E9B"/>
    <w:rsid w:val="00094F26"/>
    <w:rsid w:val="00094FB4"/>
    <w:rsid w:val="000951AB"/>
    <w:rsid w:val="000953D8"/>
    <w:rsid w:val="00095516"/>
    <w:rsid w:val="00095541"/>
    <w:rsid w:val="0009556F"/>
    <w:rsid w:val="000956BE"/>
    <w:rsid w:val="00095994"/>
    <w:rsid w:val="00095BCE"/>
    <w:rsid w:val="00096079"/>
    <w:rsid w:val="0009612C"/>
    <w:rsid w:val="00096643"/>
    <w:rsid w:val="0009666A"/>
    <w:rsid w:val="000966DF"/>
    <w:rsid w:val="00096815"/>
    <w:rsid w:val="00096930"/>
    <w:rsid w:val="00096A54"/>
    <w:rsid w:val="00096A67"/>
    <w:rsid w:val="00096AC5"/>
    <w:rsid w:val="00096B08"/>
    <w:rsid w:val="00096CA0"/>
    <w:rsid w:val="00096CDD"/>
    <w:rsid w:val="00096DAB"/>
    <w:rsid w:val="00096DE3"/>
    <w:rsid w:val="00097112"/>
    <w:rsid w:val="00097126"/>
    <w:rsid w:val="00097238"/>
    <w:rsid w:val="000973A9"/>
    <w:rsid w:val="000973E3"/>
    <w:rsid w:val="00097654"/>
    <w:rsid w:val="0009793E"/>
    <w:rsid w:val="0009796D"/>
    <w:rsid w:val="00097BEE"/>
    <w:rsid w:val="00097D0E"/>
    <w:rsid w:val="000A00A6"/>
    <w:rsid w:val="000A049E"/>
    <w:rsid w:val="000A05BD"/>
    <w:rsid w:val="000A0620"/>
    <w:rsid w:val="000A0627"/>
    <w:rsid w:val="000A0685"/>
    <w:rsid w:val="000A0956"/>
    <w:rsid w:val="000A0958"/>
    <w:rsid w:val="000A09A9"/>
    <w:rsid w:val="000A0A73"/>
    <w:rsid w:val="000A0B81"/>
    <w:rsid w:val="000A0BF1"/>
    <w:rsid w:val="000A0C70"/>
    <w:rsid w:val="000A0DDB"/>
    <w:rsid w:val="000A0E7A"/>
    <w:rsid w:val="000A1340"/>
    <w:rsid w:val="000A1433"/>
    <w:rsid w:val="000A1489"/>
    <w:rsid w:val="000A151D"/>
    <w:rsid w:val="000A1529"/>
    <w:rsid w:val="000A16AC"/>
    <w:rsid w:val="000A1877"/>
    <w:rsid w:val="000A1935"/>
    <w:rsid w:val="000A1AC3"/>
    <w:rsid w:val="000A1B3D"/>
    <w:rsid w:val="000A1BBF"/>
    <w:rsid w:val="000A1BD8"/>
    <w:rsid w:val="000A1D14"/>
    <w:rsid w:val="000A1E6D"/>
    <w:rsid w:val="000A1F5E"/>
    <w:rsid w:val="000A2009"/>
    <w:rsid w:val="000A24D7"/>
    <w:rsid w:val="000A25C2"/>
    <w:rsid w:val="000A274D"/>
    <w:rsid w:val="000A2772"/>
    <w:rsid w:val="000A2932"/>
    <w:rsid w:val="000A29CF"/>
    <w:rsid w:val="000A2B4B"/>
    <w:rsid w:val="000A2B72"/>
    <w:rsid w:val="000A2B7C"/>
    <w:rsid w:val="000A2C54"/>
    <w:rsid w:val="000A2F9A"/>
    <w:rsid w:val="000A3170"/>
    <w:rsid w:val="000A3171"/>
    <w:rsid w:val="000A321B"/>
    <w:rsid w:val="000A3352"/>
    <w:rsid w:val="000A3445"/>
    <w:rsid w:val="000A37EC"/>
    <w:rsid w:val="000A3897"/>
    <w:rsid w:val="000A38CA"/>
    <w:rsid w:val="000A3A42"/>
    <w:rsid w:val="000A3AC0"/>
    <w:rsid w:val="000A3AF7"/>
    <w:rsid w:val="000A3C52"/>
    <w:rsid w:val="000A3C6A"/>
    <w:rsid w:val="000A3E0C"/>
    <w:rsid w:val="000A3F44"/>
    <w:rsid w:val="000A41BA"/>
    <w:rsid w:val="000A42A3"/>
    <w:rsid w:val="000A4627"/>
    <w:rsid w:val="000A4774"/>
    <w:rsid w:val="000A49D2"/>
    <w:rsid w:val="000A49E7"/>
    <w:rsid w:val="000A4BB5"/>
    <w:rsid w:val="000A4C68"/>
    <w:rsid w:val="000A4CB2"/>
    <w:rsid w:val="000A4CD5"/>
    <w:rsid w:val="000A4FB6"/>
    <w:rsid w:val="000A5097"/>
    <w:rsid w:val="000A5170"/>
    <w:rsid w:val="000A518A"/>
    <w:rsid w:val="000A51F8"/>
    <w:rsid w:val="000A5205"/>
    <w:rsid w:val="000A5280"/>
    <w:rsid w:val="000A52A7"/>
    <w:rsid w:val="000A5369"/>
    <w:rsid w:val="000A5835"/>
    <w:rsid w:val="000A59EF"/>
    <w:rsid w:val="000A5A3E"/>
    <w:rsid w:val="000A5AC4"/>
    <w:rsid w:val="000A5AE4"/>
    <w:rsid w:val="000A5B69"/>
    <w:rsid w:val="000A5C1B"/>
    <w:rsid w:val="000A5CAA"/>
    <w:rsid w:val="000A5D2F"/>
    <w:rsid w:val="000A5EC7"/>
    <w:rsid w:val="000A6099"/>
    <w:rsid w:val="000A611D"/>
    <w:rsid w:val="000A6170"/>
    <w:rsid w:val="000A61CB"/>
    <w:rsid w:val="000A6344"/>
    <w:rsid w:val="000A6589"/>
    <w:rsid w:val="000A663F"/>
    <w:rsid w:val="000A6674"/>
    <w:rsid w:val="000A68CB"/>
    <w:rsid w:val="000A6942"/>
    <w:rsid w:val="000A69AA"/>
    <w:rsid w:val="000A6A8E"/>
    <w:rsid w:val="000A6B46"/>
    <w:rsid w:val="000A6C39"/>
    <w:rsid w:val="000A6C71"/>
    <w:rsid w:val="000A6D60"/>
    <w:rsid w:val="000A6FA0"/>
    <w:rsid w:val="000A6FBF"/>
    <w:rsid w:val="000A700A"/>
    <w:rsid w:val="000A70B8"/>
    <w:rsid w:val="000A72F3"/>
    <w:rsid w:val="000A7425"/>
    <w:rsid w:val="000A74BC"/>
    <w:rsid w:val="000A7A28"/>
    <w:rsid w:val="000A7AEC"/>
    <w:rsid w:val="000A7B6F"/>
    <w:rsid w:val="000A7BDE"/>
    <w:rsid w:val="000A7BDF"/>
    <w:rsid w:val="000A7C78"/>
    <w:rsid w:val="000A7C9A"/>
    <w:rsid w:val="000A7CF9"/>
    <w:rsid w:val="000A7D06"/>
    <w:rsid w:val="000A7D76"/>
    <w:rsid w:val="000A7DFF"/>
    <w:rsid w:val="000A7E38"/>
    <w:rsid w:val="000A7E67"/>
    <w:rsid w:val="000A7EAA"/>
    <w:rsid w:val="000B0025"/>
    <w:rsid w:val="000B01BB"/>
    <w:rsid w:val="000B0250"/>
    <w:rsid w:val="000B07A8"/>
    <w:rsid w:val="000B07EE"/>
    <w:rsid w:val="000B0829"/>
    <w:rsid w:val="000B0858"/>
    <w:rsid w:val="000B0948"/>
    <w:rsid w:val="000B0991"/>
    <w:rsid w:val="000B0B05"/>
    <w:rsid w:val="000B0CC8"/>
    <w:rsid w:val="000B0D16"/>
    <w:rsid w:val="000B0E2F"/>
    <w:rsid w:val="000B0F84"/>
    <w:rsid w:val="000B1157"/>
    <w:rsid w:val="000B12CE"/>
    <w:rsid w:val="000B1366"/>
    <w:rsid w:val="000B1434"/>
    <w:rsid w:val="000B157A"/>
    <w:rsid w:val="000B17E1"/>
    <w:rsid w:val="000B17EE"/>
    <w:rsid w:val="000B1833"/>
    <w:rsid w:val="000B19F7"/>
    <w:rsid w:val="000B1C6A"/>
    <w:rsid w:val="000B1C6B"/>
    <w:rsid w:val="000B1C73"/>
    <w:rsid w:val="000B1E57"/>
    <w:rsid w:val="000B209D"/>
    <w:rsid w:val="000B21D6"/>
    <w:rsid w:val="000B2365"/>
    <w:rsid w:val="000B239D"/>
    <w:rsid w:val="000B25D9"/>
    <w:rsid w:val="000B26DB"/>
    <w:rsid w:val="000B2954"/>
    <w:rsid w:val="000B2972"/>
    <w:rsid w:val="000B2BEE"/>
    <w:rsid w:val="000B2E87"/>
    <w:rsid w:val="000B307B"/>
    <w:rsid w:val="000B3148"/>
    <w:rsid w:val="000B31FA"/>
    <w:rsid w:val="000B3389"/>
    <w:rsid w:val="000B33EB"/>
    <w:rsid w:val="000B37DC"/>
    <w:rsid w:val="000B3852"/>
    <w:rsid w:val="000B3BD7"/>
    <w:rsid w:val="000B3CE2"/>
    <w:rsid w:val="000B3CEA"/>
    <w:rsid w:val="000B3ED5"/>
    <w:rsid w:val="000B3FC2"/>
    <w:rsid w:val="000B3FE4"/>
    <w:rsid w:val="000B41E1"/>
    <w:rsid w:val="000B42DD"/>
    <w:rsid w:val="000B4422"/>
    <w:rsid w:val="000B4487"/>
    <w:rsid w:val="000B4630"/>
    <w:rsid w:val="000B478C"/>
    <w:rsid w:val="000B49AE"/>
    <w:rsid w:val="000B4B7A"/>
    <w:rsid w:val="000B4C22"/>
    <w:rsid w:val="000B5142"/>
    <w:rsid w:val="000B5195"/>
    <w:rsid w:val="000B5747"/>
    <w:rsid w:val="000B5939"/>
    <w:rsid w:val="000B59FD"/>
    <w:rsid w:val="000B5C93"/>
    <w:rsid w:val="000B5CC0"/>
    <w:rsid w:val="000B5D12"/>
    <w:rsid w:val="000B5E33"/>
    <w:rsid w:val="000B5F45"/>
    <w:rsid w:val="000B5F98"/>
    <w:rsid w:val="000B62DD"/>
    <w:rsid w:val="000B64C4"/>
    <w:rsid w:val="000B64D1"/>
    <w:rsid w:val="000B66B2"/>
    <w:rsid w:val="000B66E9"/>
    <w:rsid w:val="000B67E9"/>
    <w:rsid w:val="000B6837"/>
    <w:rsid w:val="000B689C"/>
    <w:rsid w:val="000B693E"/>
    <w:rsid w:val="000B6A8A"/>
    <w:rsid w:val="000B6AD9"/>
    <w:rsid w:val="000B6B83"/>
    <w:rsid w:val="000B6E9D"/>
    <w:rsid w:val="000B6ED2"/>
    <w:rsid w:val="000B731F"/>
    <w:rsid w:val="000B732B"/>
    <w:rsid w:val="000B7521"/>
    <w:rsid w:val="000B77E7"/>
    <w:rsid w:val="000B7B0B"/>
    <w:rsid w:val="000B7B26"/>
    <w:rsid w:val="000B7C06"/>
    <w:rsid w:val="000B7C70"/>
    <w:rsid w:val="000B7C75"/>
    <w:rsid w:val="000B7E20"/>
    <w:rsid w:val="000B7FFC"/>
    <w:rsid w:val="000C0000"/>
    <w:rsid w:val="000C0173"/>
    <w:rsid w:val="000C02C2"/>
    <w:rsid w:val="000C044F"/>
    <w:rsid w:val="000C09CF"/>
    <w:rsid w:val="000C0A3D"/>
    <w:rsid w:val="000C0A68"/>
    <w:rsid w:val="000C0B9D"/>
    <w:rsid w:val="000C0D98"/>
    <w:rsid w:val="000C0E9D"/>
    <w:rsid w:val="000C1186"/>
    <w:rsid w:val="000C118E"/>
    <w:rsid w:val="000C1276"/>
    <w:rsid w:val="000C12CF"/>
    <w:rsid w:val="000C15F8"/>
    <w:rsid w:val="000C1BB6"/>
    <w:rsid w:val="000C1D9B"/>
    <w:rsid w:val="000C1ECD"/>
    <w:rsid w:val="000C201F"/>
    <w:rsid w:val="000C2143"/>
    <w:rsid w:val="000C21BE"/>
    <w:rsid w:val="000C21D2"/>
    <w:rsid w:val="000C2212"/>
    <w:rsid w:val="000C2217"/>
    <w:rsid w:val="000C223D"/>
    <w:rsid w:val="000C25D3"/>
    <w:rsid w:val="000C25E1"/>
    <w:rsid w:val="000C261C"/>
    <w:rsid w:val="000C26AF"/>
    <w:rsid w:val="000C2884"/>
    <w:rsid w:val="000C2A06"/>
    <w:rsid w:val="000C2D44"/>
    <w:rsid w:val="000C2DA0"/>
    <w:rsid w:val="000C2E44"/>
    <w:rsid w:val="000C2EBB"/>
    <w:rsid w:val="000C2ED8"/>
    <w:rsid w:val="000C3022"/>
    <w:rsid w:val="000C3078"/>
    <w:rsid w:val="000C3098"/>
    <w:rsid w:val="000C313E"/>
    <w:rsid w:val="000C315C"/>
    <w:rsid w:val="000C3194"/>
    <w:rsid w:val="000C3198"/>
    <w:rsid w:val="000C331C"/>
    <w:rsid w:val="000C3333"/>
    <w:rsid w:val="000C33BA"/>
    <w:rsid w:val="000C33D2"/>
    <w:rsid w:val="000C35F2"/>
    <w:rsid w:val="000C3765"/>
    <w:rsid w:val="000C382B"/>
    <w:rsid w:val="000C38CA"/>
    <w:rsid w:val="000C3BC9"/>
    <w:rsid w:val="000C3D05"/>
    <w:rsid w:val="000C3DBF"/>
    <w:rsid w:val="000C3F5A"/>
    <w:rsid w:val="000C40F9"/>
    <w:rsid w:val="000C41B9"/>
    <w:rsid w:val="000C4239"/>
    <w:rsid w:val="000C4311"/>
    <w:rsid w:val="000C438E"/>
    <w:rsid w:val="000C4660"/>
    <w:rsid w:val="000C471B"/>
    <w:rsid w:val="000C489F"/>
    <w:rsid w:val="000C48E5"/>
    <w:rsid w:val="000C4998"/>
    <w:rsid w:val="000C49C3"/>
    <w:rsid w:val="000C4B8A"/>
    <w:rsid w:val="000C4D46"/>
    <w:rsid w:val="000C4F58"/>
    <w:rsid w:val="000C500C"/>
    <w:rsid w:val="000C501A"/>
    <w:rsid w:val="000C5033"/>
    <w:rsid w:val="000C5087"/>
    <w:rsid w:val="000C50A0"/>
    <w:rsid w:val="000C50E1"/>
    <w:rsid w:val="000C5253"/>
    <w:rsid w:val="000C525A"/>
    <w:rsid w:val="000C52E2"/>
    <w:rsid w:val="000C544C"/>
    <w:rsid w:val="000C54C5"/>
    <w:rsid w:val="000C55C9"/>
    <w:rsid w:val="000C55CB"/>
    <w:rsid w:val="000C58EE"/>
    <w:rsid w:val="000C5B1C"/>
    <w:rsid w:val="000C5B2A"/>
    <w:rsid w:val="000C5BA4"/>
    <w:rsid w:val="000C5CF0"/>
    <w:rsid w:val="000C5D28"/>
    <w:rsid w:val="000C5E06"/>
    <w:rsid w:val="000C5EA2"/>
    <w:rsid w:val="000C5F14"/>
    <w:rsid w:val="000C6051"/>
    <w:rsid w:val="000C611A"/>
    <w:rsid w:val="000C636B"/>
    <w:rsid w:val="000C63B2"/>
    <w:rsid w:val="000C63CE"/>
    <w:rsid w:val="000C64E6"/>
    <w:rsid w:val="000C657A"/>
    <w:rsid w:val="000C65D1"/>
    <w:rsid w:val="000C6629"/>
    <w:rsid w:val="000C678A"/>
    <w:rsid w:val="000C68F5"/>
    <w:rsid w:val="000C693D"/>
    <w:rsid w:val="000C6A32"/>
    <w:rsid w:val="000C6B9D"/>
    <w:rsid w:val="000C6D61"/>
    <w:rsid w:val="000C6F4A"/>
    <w:rsid w:val="000C701F"/>
    <w:rsid w:val="000C70C8"/>
    <w:rsid w:val="000C70FF"/>
    <w:rsid w:val="000C71D3"/>
    <w:rsid w:val="000C73F6"/>
    <w:rsid w:val="000C753E"/>
    <w:rsid w:val="000C758B"/>
    <w:rsid w:val="000C76F2"/>
    <w:rsid w:val="000C78CC"/>
    <w:rsid w:val="000C797C"/>
    <w:rsid w:val="000C7AF6"/>
    <w:rsid w:val="000C7C79"/>
    <w:rsid w:val="000C7CBD"/>
    <w:rsid w:val="000C7D77"/>
    <w:rsid w:val="000C7E52"/>
    <w:rsid w:val="000D031E"/>
    <w:rsid w:val="000D04FA"/>
    <w:rsid w:val="000D0684"/>
    <w:rsid w:val="000D069D"/>
    <w:rsid w:val="000D06AE"/>
    <w:rsid w:val="000D0859"/>
    <w:rsid w:val="000D0A8A"/>
    <w:rsid w:val="000D0B1B"/>
    <w:rsid w:val="000D0CBA"/>
    <w:rsid w:val="000D0DEB"/>
    <w:rsid w:val="000D106C"/>
    <w:rsid w:val="000D1163"/>
    <w:rsid w:val="000D1268"/>
    <w:rsid w:val="000D1417"/>
    <w:rsid w:val="000D14A1"/>
    <w:rsid w:val="000D1797"/>
    <w:rsid w:val="000D179D"/>
    <w:rsid w:val="000D1814"/>
    <w:rsid w:val="000D188D"/>
    <w:rsid w:val="000D1934"/>
    <w:rsid w:val="000D1939"/>
    <w:rsid w:val="000D1B61"/>
    <w:rsid w:val="000D1C65"/>
    <w:rsid w:val="000D1D34"/>
    <w:rsid w:val="000D1E47"/>
    <w:rsid w:val="000D2173"/>
    <w:rsid w:val="000D2182"/>
    <w:rsid w:val="000D2245"/>
    <w:rsid w:val="000D22AE"/>
    <w:rsid w:val="000D2406"/>
    <w:rsid w:val="000D2526"/>
    <w:rsid w:val="000D2816"/>
    <w:rsid w:val="000D2A31"/>
    <w:rsid w:val="000D2E8F"/>
    <w:rsid w:val="000D315E"/>
    <w:rsid w:val="000D319B"/>
    <w:rsid w:val="000D3216"/>
    <w:rsid w:val="000D328F"/>
    <w:rsid w:val="000D335F"/>
    <w:rsid w:val="000D3494"/>
    <w:rsid w:val="000D35EC"/>
    <w:rsid w:val="000D3927"/>
    <w:rsid w:val="000D3C5D"/>
    <w:rsid w:val="000D3DAA"/>
    <w:rsid w:val="000D3F4F"/>
    <w:rsid w:val="000D3FD1"/>
    <w:rsid w:val="000D40FB"/>
    <w:rsid w:val="000D41CE"/>
    <w:rsid w:val="000D45E9"/>
    <w:rsid w:val="000D488B"/>
    <w:rsid w:val="000D4AE2"/>
    <w:rsid w:val="000D4BA8"/>
    <w:rsid w:val="000D4C23"/>
    <w:rsid w:val="000D4CE6"/>
    <w:rsid w:val="000D4FAD"/>
    <w:rsid w:val="000D506A"/>
    <w:rsid w:val="000D50A7"/>
    <w:rsid w:val="000D514E"/>
    <w:rsid w:val="000D51C9"/>
    <w:rsid w:val="000D53A0"/>
    <w:rsid w:val="000D53FB"/>
    <w:rsid w:val="000D540E"/>
    <w:rsid w:val="000D5523"/>
    <w:rsid w:val="000D5983"/>
    <w:rsid w:val="000D5B1E"/>
    <w:rsid w:val="000D5B41"/>
    <w:rsid w:val="000D5E61"/>
    <w:rsid w:val="000D5E78"/>
    <w:rsid w:val="000D5E9C"/>
    <w:rsid w:val="000D5F3E"/>
    <w:rsid w:val="000D6204"/>
    <w:rsid w:val="000D6257"/>
    <w:rsid w:val="000D64FB"/>
    <w:rsid w:val="000D65A9"/>
    <w:rsid w:val="000D68BD"/>
    <w:rsid w:val="000D68CB"/>
    <w:rsid w:val="000D6A2E"/>
    <w:rsid w:val="000D6BF0"/>
    <w:rsid w:val="000D6C8A"/>
    <w:rsid w:val="000D6EF0"/>
    <w:rsid w:val="000D7028"/>
    <w:rsid w:val="000D7067"/>
    <w:rsid w:val="000D718D"/>
    <w:rsid w:val="000D71E0"/>
    <w:rsid w:val="000D7204"/>
    <w:rsid w:val="000D732E"/>
    <w:rsid w:val="000D7374"/>
    <w:rsid w:val="000D7503"/>
    <w:rsid w:val="000D76DB"/>
    <w:rsid w:val="000D7980"/>
    <w:rsid w:val="000D7BA8"/>
    <w:rsid w:val="000D7BD4"/>
    <w:rsid w:val="000D7C5B"/>
    <w:rsid w:val="000D7E22"/>
    <w:rsid w:val="000D7E76"/>
    <w:rsid w:val="000E01F1"/>
    <w:rsid w:val="000E04B2"/>
    <w:rsid w:val="000E0566"/>
    <w:rsid w:val="000E0634"/>
    <w:rsid w:val="000E074B"/>
    <w:rsid w:val="000E080E"/>
    <w:rsid w:val="000E08C6"/>
    <w:rsid w:val="000E09B2"/>
    <w:rsid w:val="000E0A5F"/>
    <w:rsid w:val="000E0B9E"/>
    <w:rsid w:val="000E0BB7"/>
    <w:rsid w:val="000E0D30"/>
    <w:rsid w:val="000E0FFB"/>
    <w:rsid w:val="000E10D9"/>
    <w:rsid w:val="000E1107"/>
    <w:rsid w:val="000E1127"/>
    <w:rsid w:val="000E1242"/>
    <w:rsid w:val="000E148D"/>
    <w:rsid w:val="000E17CB"/>
    <w:rsid w:val="000E1845"/>
    <w:rsid w:val="000E1A50"/>
    <w:rsid w:val="000E1AD5"/>
    <w:rsid w:val="000E1B61"/>
    <w:rsid w:val="000E1C30"/>
    <w:rsid w:val="000E1CB0"/>
    <w:rsid w:val="000E1E99"/>
    <w:rsid w:val="000E210F"/>
    <w:rsid w:val="000E218C"/>
    <w:rsid w:val="000E219F"/>
    <w:rsid w:val="000E2225"/>
    <w:rsid w:val="000E2268"/>
    <w:rsid w:val="000E22DC"/>
    <w:rsid w:val="000E2376"/>
    <w:rsid w:val="000E254C"/>
    <w:rsid w:val="000E2576"/>
    <w:rsid w:val="000E2681"/>
    <w:rsid w:val="000E290F"/>
    <w:rsid w:val="000E2994"/>
    <w:rsid w:val="000E2AF9"/>
    <w:rsid w:val="000E2B3A"/>
    <w:rsid w:val="000E2B74"/>
    <w:rsid w:val="000E2BC9"/>
    <w:rsid w:val="000E2E51"/>
    <w:rsid w:val="000E2F57"/>
    <w:rsid w:val="000E2F8E"/>
    <w:rsid w:val="000E304E"/>
    <w:rsid w:val="000E3106"/>
    <w:rsid w:val="000E3323"/>
    <w:rsid w:val="000E34B4"/>
    <w:rsid w:val="000E3669"/>
    <w:rsid w:val="000E3A4D"/>
    <w:rsid w:val="000E3C2B"/>
    <w:rsid w:val="000E3F06"/>
    <w:rsid w:val="000E45B7"/>
    <w:rsid w:val="000E49DF"/>
    <w:rsid w:val="000E4A39"/>
    <w:rsid w:val="000E4B74"/>
    <w:rsid w:val="000E4B84"/>
    <w:rsid w:val="000E4C5B"/>
    <w:rsid w:val="000E4F1C"/>
    <w:rsid w:val="000E5286"/>
    <w:rsid w:val="000E52CA"/>
    <w:rsid w:val="000E52F7"/>
    <w:rsid w:val="000E53B3"/>
    <w:rsid w:val="000E550D"/>
    <w:rsid w:val="000E5730"/>
    <w:rsid w:val="000E58DA"/>
    <w:rsid w:val="000E5AC0"/>
    <w:rsid w:val="000E5AD0"/>
    <w:rsid w:val="000E5AF8"/>
    <w:rsid w:val="000E5BD6"/>
    <w:rsid w:val="000E5CAF"/>
    <w:rsid w:val="000E5E3E"/>
    <w:rsid w:val="000E5EB6"/>
    <w:rsid w:val="000E6068"/>
    <w:rsid w:val="000E60D2"/>
    <w:rsid w:val="000E6287"/>
    <w:rsid w:val="000E62A3"/>
    <w:rsid w:val="000E6399"/>
    <w:rsid w:val="000E6411"/>
    <w:rsid w:val="000E6417"/>
    <w:rsid w:val="000E6488"/>
    <w:rsid w:val="000E6522"/>
    <w:rsid w:val="000E6557"/>
    <w:rsid w:val="000E673E"/>
    <w:rsid w:val="000E6973"/>
    <w:rsid w:val="000E6C17"/>
    <w:rsid w:val="000E6C9C"/>
    <w:rsid w:val="000E6D07"/>
    <w:rsid w:val="000E6D6D"/>
    <w:rsid w:val="000E6DB3"/>
    <w:rsid w:val="000E6FA5"/>
    <w:rsid w:val="000E71D4"/>
    <w:rsid w:val="000E73AD"/>
    <w:rsid w:val="000E7736"/>
    <w:rsid w:val="000E7A02"/>
    <w:rsid w:val="000E7E7E"/>
    <w:rsid w:val="000E7EF4"/>
    <w:rsid w:val="000F004E"/>
    <w:rsid w:val="000F01C4"/>
    <w:rsid w:val="000F0344"/>
    <w:rsid w:val="000F0423"/>
    <w:rsid w:val="000F0646"/>
    <w:rsid w:val="000F07DC"/>
    <w:rsid w:val="000F098B"/>
    <w:rsid w:val="000F09C1"/>
    <w:rsid w:val="000F0A44"/>
    <w:rsid w:val="000F0A9E"/>
    <w:rsid w:val="000F0BC4"/>
    <w:rsid w:val="000F0C82"/>
    <w:rsid w:val="000F0D33"/>
    <w:rsid w:val="000F0D81"/>
    <w:rsid w:val="000F0F76"/>
    <w:rsid w:val="000F0F7B"/>
    <w:rsid w:val="000F119A"/>
    <w:rsid w:val="000F11C2"/>
    <w:rsid w:val="000F1289"/>
    <w:rsid w:val="000F12B7"/>
    <w:rsid w:val="000F1B4C"/>
    <w:rsid w:val="000F1D09"/>
    <w:rsid w:val="000F240B"/>
    <w:rsid w:val="000F2464"/>
    <w:rsid w:val="000F2668"/>
    <w:rsid w:val="000F26C7"/>
    <w:rsid w:val="000F2712"/>
    <w:rsid w:val="000F2955"/>
    <w:rsid w:val="000F2963"/>
    <w:rsid w:val="000F2AE9"/>
    <w:rsid w:val="000F2BE4"/>
    <w:rsid w:val="000F2C29"/>
    <w:rsid w:val="000F2C3E"/>
    <w:rsid w:val="000F2CEE"/>
    <w:rsid w:val="000F2DC2"/>
    <w:rsid w:val="000F3172"/>
    <w:rsid w:val="000F32F7"/>
    <w:rsid w:val="000F340A"/>
    <w:rsid w:val="000F3513"/>
    <w:rsid w:val="000F3770"/>
    <w:rsid w:val="000F3835"/>
    <w:rsid w:val="000F3980"/>
    <w:rsid w:val="000F3C26"/>
    <w:rsid w:val="000F3EB4"/>
    <w:rsid w:val="000F4052"/>
    <w:rsid w:val="000F4117"/>
    <w:rsid w:val="000F420B"/>
    <w:rsid w:val="000F424F"/>
    <w:rsid w:val="000F44B5"/>
    <w:rsid w:val="000F463A"/>
    <w:rsid w:val="000F4778"/>
    <w:rsid w:val="000F480E"/>
    <w:rsid w:val="000F4843"/>
    <w:rsid w:val="000F4938"/>
    <w:rsid w:val="000F4B06"/>
    <w:rsid w:val="000F4B98"/>
    <w:rsid w:val="000F4CE6"/>
    <w:rsid w:val="000F4D67"/>
    <w:rsid w:val="000F4E26"/>
    <w:rsid w:val="000F4E92"/>
    <w:rsid w:val="000F4EC3"/>
    <w:rsid w:val="000F4EE8"/>
    <w:rsid w:val="000F4FF4"/>
    <w:rsid w:val="000F5279"/>
    <w:rsid w:val="000F529E"/>
    <w:rsid w:val="000F5396"/>
    <w:rsid w:val="000F5450"/>
    <w:rsid w:val="000F555A"/>
    <w:rsid w:val="000F5623"/>
    <w:rsid w:val="000F562E"/>
    <w:rsid w:val="000F5699"/>
    <w:rsid w:val="000F58F2"/>
    <w:rsid w:val="000F59B2"/>
    <w:rsid w:val="000F5B15"/>
    <w:rsid w:val="000F5C1D"/>
    <w:rsid w:val="000F5CA7"/>
    <w:rsid w:val="000F5E2D"/>
    <w:rsid w:val="000F60EC"/>
    <w:rsid w:val="000F614F"/>
    <w:rsid w:val="000F6222"/>
    <w:rsid w:val="000F6353"/>
    <w:rsid w:val="000F65F7"/>
    <w:rsid w:val="000F66D5"/>
    <w:rsid w:val="000F66E8"/>
    <w:rsid w:val="000F6939"/>
    <w:rsid w:val="000F6AD0"/>
    <w:rsid w:val="000F6BAE"/>
    <w:rsid w:val="000F6F10"/>
    <w:rsid w:val="000F724C"/>
    <w:rsid w:val="000F74F8"/>
    <w:rsid w:val="000F752A"/>
    <w:rsid w:val="000F7739"/>
    <w:rsid w:val="000F776C"/>
    <w:rsid w:val="000F787D"/>
    <w:rsid w:val="000F796F"/>
    <w:rsid w:val="000F7CE1"/>
    <w:rsid w:val="000F7DF4"/>
    <w:rsid w:val="001002AC"/>
    <w:rsid w:val="001002C4"/>
    <w:rsid w:val="00100516"/>
    <w:rsid w:val="001005BC"/>
    <w:rsid w:val="0010074C"/>
    <w:rsid w:val="0010074E"/>
    <w:rsid w:val="001007FA"/>
    <w:rsid w:val="00100855"/>
    <w:rsid w:val="00100942"/>
    <w:rsid w:val="0010095B"/>
    <w:rsid w:val="00100B67"/>
    <w:rsid w:val="00100F8D"/>
    <w:rsid w:val="00101086"/>
    <w:rsid w:val="0010113A"/>
    <w:rsid w:val="0010126E"/>
    <w:rsid w:val="0010137C"/>
    <w:rsid w:val="0010168E"/>
    <w:rsid w:val="00101729"/>
    <w:rsid w:val="0010172C"/>
    <w:rsid w:val="0010185A"/>
    <w:rsid w:val="00101874"/>
    <w:rsid w:val="00101966"/>
    <w:rsid w:val="00101AD3"/>
    <w:rsid w:val="00101B0E"/>
    <w:rsid w:val="00101BDF"/>
    <w:rsid w:val="00101BE1"/>
    <w:rsid w:val="00101C40"/>
    <w:rsid w:val="00101DA7"/>
    <w:rsid w:val="00101E70"/>
    <w:rsid w:val="00101F84"/>
    <w:rsid w:val="0010205D"/>
    <w:rsid w:val="0010212F"/>
    <w:rsid w:val="00102280"/>
    <w:rsid w:val="00102295"/>
    <w:rsid w:val="00102304"/>
    <w:rsid w:val="0010239E"/>
    <w:rsid w:val="00102692"/>
    <w:rsid w:val="00102795"/>
    <w:rsid w:val="00102827"/>
    <w:rsid w:val="0010286A"/>
    <w:rsid w:val="001028B7"/>
    <w:rsid w:val="0010296D"/>
    <w:rsid w:val="00102C21"/>
    <w:rsid w:val="00102D52"/>
    <w:rsid w:val="00102FEA"/>
    <w:rsid w:val="00103058"/>
    <w:rsid w:val="0010334E"/>
    <w:rsid w:val="0010345B"/>
    <w:rsid w:val="00103596"/>
    <w:rsid w:val="00103638"/>
    <w:rsid w:val="0010370C"/>
    <w:rsid w:val="0010371D"/>
    <w:rsid w:val="00103746"/>
    <w:rsid w:val="0010377E"/>
    <w:rsid w:val="001037E7"/>
    <w:rsid w:val="00103830"/>
    <w:rsid w:val="0010389B"/>
    <w:rsid w:val="0010398F"/>
    <w:rsid w:val="00103992"/>
    <w:rsid w:val="00103A24"/>
    <w:rsid w:val="001040BE"/>
    <w:rsid w:val="00104262"/>
    <w:rsid w:val="001042E0"/>
    <w:rsid w:val="00104522"/>
    <w:rsid w:val="00104539"/>
    <w:rsid w:val="001046FB"/>
    <w:rsid w:val="001047E6"/>
    <w:rsid w:val="001048D4"/>
    <w:rsid w:val="001048DF"/>
    <w:rsid w:val="00104A9C"/>
    <w:rsid w:val="00104BA9"/>
    <w:rsid w:val="00104BD1"/>
    <w:rsid w:val="00104E76"/>
    <w:rsid w:val="0010501F"/>
    <w:rsid w:val="0010509B"/>
    <w:rsid w:val="0010516A"/>
    <w:rsid w:val="00105212"/>
    <w:rsid w:val="0010522E"/>
    <w:rsid w:val="00105282"/>
    <w:rsid w:val="001053ED"/>
    <w:rsid w:val="0010540E"/>
    <w:rsid w:val="00105435"/>
    <w:rsid w:val="0010552F"/>
    <w:rsid w:val="0010576C"/>
    <w:rsid w:val="00105B10"/>
    <w:rsid w:val="00105C70"/>
    <w:rsid w:val="00105C92"/>
    <w:rsid w:val="00105CBF"/>
    <w:rsid w:val="00105CE8"/>
    <w:rsid w:val="00105D2A"/>
    <w:rsid w:val="00105D31"/>
    <w:rsid w:val="00105E70"/>
    <w:rsid w:val="00105F80"/>
    <w:rsid w:val="00106010"/>
    <w:rsid w:val="00106089"/>
    <w:rsid w:val="0010610E"/>
    <w:rsid w:val="001062C8"/>
    <w:rsid w:val="001062EF"/>
    <w:rsid w:val="0010644E"/>
    <w:rsid w:val="001064C7"/>
    <w:rsid w:val="001064E6"/>
    <w:rsid w:val="001064FF"/>
    <w:rsid w:val="001065BF"/>
    <w:rsid w:val="00106673"/>
    <w:rsid w:val="001066DC"/>
    <w:rsid w:val="001066E7"/>
    <w:rsid w:val="00106732"/>
    <w:rsid w:val="0010674D"/>
    <w:rsid w:val="0010684D"/>
    <w:rsid w:val="001068C0"/>
    <w:rsid w:val="00106944"/>
    <w:rsid w:val="00106A59"/>
    <w:rsid w:val="0010701E"/>
    <w:rsid w:val="00107228"/>
    <w:rsid w:val="00107383"/>
    <w:rsid w:val="00107447"/>
    <w:rsid w:val="00107575"/>
    <w:rsid w:val="001076FC"/>
    <w:rsid w:val="00107738"/>
    <w:rsid w:val="0010775B"/>
    <w:rsid w:val="0010778E"/>
    <w:rsid w:val="001077FC"/>
    <w:rsid w:val="00107808"/>
    <w:rsid w:val="00107839"/>
    <w:rsid w:val="0010789F"/>
    <w:rsid w:val="00107985"/>
    <w:rsid w:val="0010798E"/>
    <w:rsid w:val="00107A00"/>
    <w:rsid w:val="00107B10"/>
    <w:rsid w:val="00107C85"/>
    <w:rsid w:val="00107E1E"/>
    <w:rsid w:val="00107E36"/>
    <w:rsid w:val="00107F83"/>
    <w:rsid w:val="0011000D"/>
    <w:rsid w:val="00110082"/>
    <w:rsid w:val="00110089"/>
    <w:rsid w:val="00110146"/>
    <w:rsid w:val="0011014F"/>
    <w:rsid w:val="0011025A"/>
    <w:rsid w:val="001104D6"/>
    <w:rsid w:val="001105CB"/>
    <w:rsid w:val="00110660"/>
    <w:rsid w:val="001106F6"/>
    <w:rsid w:val="0011072F"/>
    <w:rsid w:val="00110825"/>
    <w:rsid w:val="001109D9"/>
    <w:rsid w:val="00110C2D"/>
    <w:rsid w:val="00110CF3"/>
    <w:rsid w:val="00110D1F"/>
    <w:rsid w:val="00110F61"/>
    <w:rsid w:val="001111C7"/>
    <w:rsid w:val="0011125A"/>
    <w:rsid w:val="001114B2"/>
    <w:rsid w:val="001114B7"/>
    <w:rsid w:val="00111600"/>
    <w:rsid w:val="0011169D"/>
    <w:rsid w:val="001116AB"/>
    <w:rsid w:val="0011177A"/>
    <w:rsid w:val="0011184A"/>
    <w:rsid w:val="001118B1"/>
    <w:rsid w:val="0011192F"/>
    <w:rsid w:val="00111AC8"/>
    <w:rsid w:val="00111C53"/>
    <w:rsid w:val="00111C7F"/>
    <w:rsid w:val="00111D0C"/>
    <w:rsid w:val="00111D58"/>
    <w:rsid w:val="00111F54"/>
    <w:rsid w:val="00111FBB"/>
    <w:rsid w:val="001120C8"/>
    <w:rsid w:val="00112115"/>
    <w:rsid w:val="00112168"/>
    <w:rsid w:val="0011218D"/>
    <w:rsid w:val="001121C4"/>
    <w:rsid w:val="00112288"/>
    <w:rsid w:val="001124AD"/>
    <w:rsid w:val="00112615"/>
    <w:rsid w:val="001127E1"/>
    <w:rsid w:val="001129E8"/>
    <w:rsid w:val="00112CD8"/>
    <w:rsid w:val="00112F88"/>
    <w:rsid w:val="0011301E"/>
    <w:rsid w:val="0011308E"/>
    <w:rsid w:val="001130BC"/>
    <w:rsid w:val="001135A2"/>
    <w:rsid w:val="00113643"/>
    <w:rsid w:val="0011367F"/>
    <w:rsid w:val="001136B4"/>
    <w:rsid w:val="00113789"/>
    <w:rsid w:val="00113B7B"/>
    <w:rsid w:val="00113C95"/>
    <w:rsid w:val="00113D54"/>
    <w:rsid w:val="00113DB9"/>
    <w:rsid w:val="00113E4F"/>
    <w:rsid w:val="00113F15"/>
    <w:rsid w:val="001140C6"/>
    <w:rsid w:val="001140CA"/>
    <w:rsid w:val="0011425B"/>
    <w:rsid w:val="001142CE"/>
    <w:rsid w:val="001143DF"/>
    <w:rsid w:val="00114B7E"/>
    <w:rsid w:val="00114C2F"/>
    <w:rsid w:val="00115165"/>
    <w:rsid w:val="0011529E"/>
    <w:rsid w:val="001154EE"/>
    <w:rsid w:val="0011569A"/>
    <w:rsid w:val="001156F6"/>
    <w:rsid w:val="00115E0A"/>
    <w:rsid w:val="00115EFD"/>
    <w:rsid w:val="00115F70"/>
    <w:rsid w:val="001160F6"/>
    <w:rsid w:val="00116193"/>
    <w:rsid w:val="001161C3"/>
    <w:rsid w:val="0011622F"/>
    <w:rsid w:val="00116A6D"/>
    <w:rsid w:val="00116C5D"/>
    <w:rsid w:val="00116CB1"/>
    <w:rsid w:val="00116E1D"/>
    <w:rsid w:val="00116F23"/>
    <w:rsid w:val="00116F98"/>
    <w:rsid w:val="00117288"/>
    <w:rsid w:val="001173F6"/>
    <w:rsid w:val="00117443"/>
    <w:rsid w:val="0011747E"/>
    <w:rsid w:val="00117690"/>
    <w:rsid w:val="001179AF"/>
    <w:rsid w:val="00117C69"/>
    <w:rsid w:val="00117DD9"/>
    <w:rsid w:val="00117DFF"/>
    <w:rsid w:val="00117EB2"/>
    <w:rsid w:val="00117F2E"/>
    <w:rsid w:val="0012018F"/>
    <w:rsid w:val="001203A9"/>
    <w:rsid w:val="00120681"/>
    <w:rsid w:val="001207EE"/>
    <w:rsid w:val="001209AB"/>
    <w:rsid w:val="00120ABF"/>
    <w:rsid w:val="00120B54"/>
    <w:rsid w:val="00120B59"/>
    <w:rsid w:val="00120DE7"/>
    <w:rsid w:val="00120DFD"/>
    <w:rsid w:val="00120F3A"/>
    <w:rsid w:val="00120F4A"/>
    <w:rsid w:val="00120F72"/>
    <w:rsid w:val="001210C1"/>
    <w:rsid w:val="001210D1"/>
    <w:rsid w:val="001210DD"/>
    <w:rsid w:val="001212DB"/>
    <w:rsid w:val="00121486"/>
    <w:rsid w:val="001214A9"/>
    <w:rsid w:val="00121626"/>
    <w:rsid w:val="00121B25"/>
    <w:rsid w:val="00121BFB"/>
    <w:rsid w:val="00121D00"/>
    <w:rsid w:val="00121D01"/>
    <w:rsid w:val="00121DA7"/>
    <w:rsid w:val="00121F1E"/>
    <w:rsid w:val="00121F89"/>
    <w:rsid w:val="0012202C"/>
    <w:rsid w:val="0012206D"/>
    <w:rsid w:val="00122107"/>
    <w:rsid w:val="0012211E"/>
    <w:rsid w:val="001221C5"/>
    <w:rsid w:val="001222EA"/>
    <w:rsid w:val="00122415"/>
    <w:rsid w:val="001229DC"/>
    <w:rsid w:val="00122A7C"/>
    <w:rsid w:val="00122B6A"/>
    <w:rsid w:val="00122BB3"/>
    <w:rsid w:val="00122C15"/>
    <w:rsid w:val="00122DA7"/>
    <w:rsid w:val="00122DB4"/>
    <w:rsid w:val="00122EF5"/>
    <w:rsid w:val="00122FE3"/>
    <w:rsid w:val="001230A3"/>
    <w:rsid w:val="001232DC"/>
    <w:rsid w:val="001233B2"/>
    <w:rsid w:val="001234BE"/>
    <w:rsid w:val="00123578"/>
    <w:rsid w:val="00123624"/>
    <w:rsid w:val="0012362B"/>
    <w:rsid w:val="00123630"/>
    <w:rsid w:val="001237BC"/>
    <w:rsid w:val="00123835"/>
    <w:rsid w:val="00123BA6"/>
    <w:rsid w:val="00123EEC"/>
    <w:rsid w:val="00123EF4"/>
    <w:rsid w:val="00123F3F"/>
    <w:rsid w:val="00124084"/>
    <w:rsid w:val="00124089"/>
    <w:rsid w:val="001240F4"/>
    <w:rsid w:val="00124129"/>
    <w:rsid w:val="00124323"/>
    <w:rsid w:val="0012434E"/>
    <w:rsid w:val="001243E5"/>
    <w:rsid w:val="00124427"/>
    <w:rsid w:val="00124455"/>
    <w:rsid w:val="0012461F"/>
    <w:rsid w:val="001246A9"/>
    <w:rsid w:val="0012484A"/>
    <w:rsid w:val="0012491A"/>
    <w:rsid w:val="00124B34"/>
    <w:rsid w:val="00124C06"/>
    <w:rsid w:val="00124C53"/>
    <w:rsid w:val="00124CC3"/>
    <w:rsid w:val="00124DBC"/>
    <w:rsid w:val="00124E60"/>
    <w:rsid w:val="00124F5C"/>
    <w:rsid w:val="00125160"/>
    <w:rsid w:val="0012520A"/>
    <w:rsid w:val="00125276"/>
    <w:rsid w:val="00125294"/>
    <w:rsid w:val="00125374"/>
    <w:rsid w:val="001253EE"/>
    <w:rsid w:val="00125470"/>
    <w:rsid w:val="00125512"/>
    <w:rsid w:val="001257AD"/>
    <w:rsid w:val="001258C3"/>
    <w:rsid w:val="00125959"/>
    <w:rsid w:val="00125A83"/>
    <w:rsid w:val="00125D10"/>
    <w:rsid w:val="00126027"/>
    <w:rsid w:val="001260FA"/>
    <w:rsid w:val="00126228"/>
    <w:rsid w:val="0012640A"/>
    <w:rsid w:val="0012650C"/>
    <w:rsid w:val="00126587"/>
    <w:rsid w:val="0012663C"/>
    <w:rsid w:val="001266B4"/>
    <w:rsid w:val="001269C6"/>
    <w:rsid w:val="00126AB6"/>
    <w:rsid w:val="00126B13"/>
    <w:rsid w:val="00126E12"/>
    <w:rsid w:val="00126E45"/>
    <w:rsid w:val="001270FD"/>
    <w:rsid w:val="001270FE"/>
    <w:rsid w:val="00127155"/>
    <w:rsid w:val="00127159"/>
    <w:rsid w:val="001272DD"/>
    <w:rsid w:val="00127418"/>
    <w:rsid w:val="0012747B"/>
    <w:rsid w:val="00127703"/>
    <w:rsid w:val="00127713"/>
    <w:rsid w:val="00127ACC"/>
    <w:rsid w:val="00127C4B"/>
    <w:rsid w:val="00127C8C"/>
    <w:rsid w:val="00127DD6"/>
    <w:rsid w:val="00127F69"/>
    <w:rsid w:val="001303D7"/>
    <w:rsid w:val="001303D9"/>
    <w:rsid w:val="0013084F"/>
    <w:rsid w:val="001308EA"/>
    <w:rsid w:val="00130972"/>
    <w:rsid w:val="001309FE"/>
    <w:rsid w:val="00130A53"/>
    <w:rsid w:val="00130AC0"/>
    <w:rsid w:val="00130BA3"/>
    <w:rsid w:val="00130D68"/>
    <w:rsid w:val="001314B2"/>
    <w:rsid w:val="001315E1"/>
    <w:rsid w:val="00131767"/>
    <w:rsid w:val="001317CA"/>
    <w:rsid w:val="001318D0"/>
    <w:rsid w:val="001318D9"/>
    <w:rsid w:val="00131C11"/>
    <w:rsid w:val="00131C6F"/>
    <w:rsid w:val="00131D19"/>
    <w:rsid w:val="00131DDF"/>
    <w:rsid w:val="00132271"/>
    <w:rsid w:val="001322A2"/>
    <w:rsid w:val="0013235E"/>
    <w:rsid w:val="001325BE"/>
    <w:rsid w:val="001327B3"/>
    <w:rsid w:val="00132855"/>
    <w:rsid w:val="00132881"/>
    <w:rsid w:val="001328BB"/>
    <w:rsid w:val="00132A64"/>
    <w:rsid w:val="00132A6A"/>
    <w:rsid w:val="00132BAF"/>
    <w:rsid w:val="00132D96"/>
    <w:rsid w:val="00132EB7"/>
    <w:rsid w:val="00132EEE"/>
    <w:rsid w:val="0013308E"/>
    <w:rsid w:val="001330D4"/>
    <w:rsid w:val="001331AD"/>
    <w:rsid w:val="0013345C"/>
    <w:rsid w:val="0013346C"/>
    <w:rsid w:val="001334FD"/>
    <w:rsid w:val="0013355D"/>
    <w:rsid w:val="001335FA"/>
    <w:rsid w:val="001336B4"/>
    <w:rsid w:val="00133AB3"/>
    <w:rsid w:val="00133C41"/>
    <w:rsid w:val="00133D79"/>
    <w:rsid w:val="00133E8F"/>
    <w:rsid w:val="00133E9C"/>
    <w:rsid w:val="00133EC8"/>
    <w:rsid w:val="0013402A"/>
    <w:rsid w:val="0013413E"/>
    <w:rsid w:val="00134178"/>
    <w:rsid w:val="001342B5"/>
    <w:rsid w:val="001343D9"/>
    <w:rsid w:val="00134546"/>
    <w:rsid w:val="00134719"/>
    <w:rsid w:val="00134750"/>
    <w:rsid w:val="001347DD"/>
    <w:rsid w:val="00134916"/>
    <w:rsid w:val="00134983"/>
    <w:rsid w:val="00134B5A"/>
    <w:rsid w:val="00134C20"/>
    <w:rsid w:val="00134C81"/>
    <w:rsid w:val="00134CD5"/>
    <w:rsid w:val="00134E69"/>
    <w:rsid w:val="001358B4"/>
    <w:rsid w:val="00135A26"/>
    <w:rsid w:val="00135AB6"/>
    <w:rsid w:val="00135B62"/>
    <w:rsid w:val="00135F76"/>
    <w:rsid w:val="00135F86"/>
    <w:rsid w:val="00136128"/>
    <w:rsid w:val="0013613C"/>
    <w:rsid w:val="001361CC"/>
    <w:rsid w:val="001362D6"/>
    <w:rsid w:val="00136544"/>
    <w:rsid w:val="0013671B"/>
    <w:rsid w:val="00136985"/>
    <w:rsid w:val="00136AE3"/>
    <w:rsid w:val="00136B61"/>
    <w:rsid w:val="00136CF5"/>
    <w:rsid w:val="00136D22"/>
    <w:rsid w:val="00136DAA"/>
    <w:rsid w:val="00136E4F"/>
    <w:rsid w:val="00137003"/>
    <w:rsid w:val="00137179"/>
    <w:rsid w:val="0013724A"/>
    <w:rsid w:val="001373F8"/>
    <w:rsid w:val="001375D2"/>
    <w:rsid w:val="001377BF"/>
    <w:rsid w:val="00137900"/>
    <w:rsid w:val="00137982"/>
    <w:rsid w:val="00137A5F"/>
    <w:rsid w:val="00137D13"/>
    <w:rsid w:val="00137E7C"/>
    <w:rsid w:val="00137F65"/>
    <w:rsid w:val="00137F68"/>
    <w:rsid w:val="00137F7D"/>
    <w:rsid w:val="00140146"/>
    <w:rsid w:val="00140158"/>
    <w:rsid w:val="001401D7"/>
    <w:rsid w:val="00140215"/>
    <w:rsid w:val="00140234"/>
    <w:rsid w:val="001402FE"/>
    <w:rsid w:val="001406A7"/>
    <w:rsid w:val="0014084F"/>
    <w:rsid w:val="00140AD9"/>
    <w:rsid w:val="00140AFC"/>
    <w:rsid w:val="00140AFD"/>
    <w:rsid w:val="00140E60"/>
    <w:rsid w:val="00141092"/>
    <w:rsid w:val="001410A1"/>
    <w:rsid w:val="001411E3"/>
    <w:rsid w:val="001411FC"/>
    <w:rsid w:val="001412B2"/>
    <w:rsid w:val="00141472"/>
    <w:rsid w:val="0014169C"/>
    <w:rsid w:val="00141D9C"/>
    <w:rsid w:val="00141DF5"/>
    <w:rsid w:val="00141F65"/>
    <w:rsid w:val="00142033"/>
    <w:rsid w:val="001421AA"/>
    <w:rsid w:val="00142354"/>
    <w:rsid w:val="0014235B"/>
    <w:rsid w:val="00142715"/>
    <w:rsid w:val="0014292E"/>
    <w:rsid w:val="0014294B"/>
    <w:rsid w:val="00142979"/>
    <w:rsid w:val="00142BE1"/>
    <w:rsid w:val="00142CFB"/>
    <w:rsid w:val="00142D92"/>
    <w:rsid w:val="00142FF3"/>
    <w:rsid w:val="00143109"/>
    <w:rsid w:val="0014320A"/>
    <w:rsid w:val="001435D6"/>
    <w:rsid w:val="0014373F"/>
    <w:rsid w:val="001437A3"/>
    <w:rsid w:val="001437C5"/>
    <w:rsid w:val="00143985"/>
    <w:rsid w:val="00143AB2"/>
    <w:rsid w:val="00143AE5"/>
    <w:rsid w:val="00143E8C"/>
    <w:rsid w:val="00143EE0"/>
    <w:rsid w:val="00143F51"/>
    <w:rsid w:val="00143F6F"/>
    <w:rsid w:val="00144026"/>
    <w:rsid w:val="00144111"/>
    <w:rsid w:val="00144195"/>
    <w:rsid w:val="001446B4"/>
    <w:rsid w:val="00144710"/>
    <w:rsid w:val="00144998"/>
    <w:rsid w:val="001449BB"/>
    <w:rsid w:val="00144A60"/>
    <w:rsid w:val="00144C28"/>
    <w:rsid w:val="00144DD0"/>
    <w:rsid w:val="00144E35"/>
    <w:rsid w:val="00144F66"/>
    <w:rsid w:val="00145423"/>
    <w:rsid w:val="00145473"/>
    <w:rsid w:val="0014550A"/>
    <w:rsid w:val="001455EC"/>
    <w:rsid w:val="001457C2"/>
    <w:rsid w:val="00145A2F"/>
    <w:rsid w:val="00145BA4"/>
    <w:rsid w:val="00145C6B"/>
    <w:rsid w:val="00145CB3"/>
    <w:rsid w:val="00145D5F"/>
    <w:rsid w:val="00145F25"/>
    <w:rsid w:val="001460B9"/>
    <w:rsid w:val="001460E8"/>
    <w:rsid w:val="00146170"/>
    <w:rsid w:val="00146287"/>
    <w:rsid w:val="0014632C"/>
    <w:rsid w:val="001463A1"/>
    <w:rsid w:val="0014646A"/>
    <w:rsid w:val="00146496"/>
    <w:rsid w:val="001466FB"/>
    <w:rsid w:val="00146935"/>
    <w:rsid w:val="00146A12"/>
    <w:rsid w:val="00146A2D"/>
    <w:rsid w:val="00146A5C"/>
    <w:rsid w:val="00146A76"/>
    <w:rsid w:val="00146AD8"/>
    <w:rsid w:val="00146B8A"/>
    <w:rsid w:val="00146C5D"/>
    <w:rsid w:val="00146DF1"/>
    <w:rsid w:val="0014701C"/>
    <w:rsid w:val="0014710E"/>
    <w:rsid w:val="001471B7"/>
    <w:rsid w:val="00147225"/>
    <w:rsid w:val="0014733A"/>
    <w:rsid w:val="001474AB"/>
    <w:rsid w:val="001474D0"/>
    <w:rsid w:val="001474D6"/>
    <w:rsid w:val="001475B8"/>
    <w:rsid w:val="001475CC"/>
    <w:rsid w:val="001476BA"/>
    <w:rsid w:val="00147AA9"/>
    <w:rsid w:val="00147CB3"/>
    <w:rsid w:val="00147DE2"/>
    <w:rsid w:val="001500CD"/>
    <w:rsid w:val="001501A2"/>
    <w:rsid w:val="001502E3"/>
    <w:rsid w:val="0015044D"/>
    <w:rsid w:val="0015049D"/>
    <w:rsid w:val="00150662"/>
    <w:rsid w:val="0015074B"/>
    <w:rsid w:val="00150759"/>
    <w:rsid w:val="00150834"/>
    <w:rsid w:val="00150904"/>
    <w:rsid w:val="0015098E"/>
    <w:rsid w:val="00150AC6"/>
    <w:rsid w:val="00150C9B"/>
    <w:rsid w:val="00150F2F"/>
    <w:rsid w:val="00151137"/>
    <w:rsid w:val="0015149F"/>
    <w:rsid w:val="00151516"/>
    <w:rsid w:val="00151833"/>
    <w:rsid w:val="001518EB"/>
    <w:rsid w:val="00151B65"/>
    <w:rsid w:val="00151BF6"/>
    <w:rsid w:val="00151CFD"/>
    <w:rsid w:val="00151D70"/>
    <w:rsid w:val="00151E34"/>
    <w:rsid w:val="00151E36"/>
    <w:rsid w:val="0015203A"/>
    <w:rsid w:val="001520AF"/>
    <w:rsid w:val="0015218B"/>
    <w:rsid w:val="00152231"/>
    <w:rsid w:val="00152267"/>
    <w:rsid w:val="0015226B"/>
    <w:rsid w:val="0015229C"/>
    <w:rsid w:val="001522DB"/>
    <w:rsid w:val="0015273F"/>
    <w:rsid w:val="0015274E"/>
    <w:rsid w:val="0015276E"/>
    <w:rsid w:val="001527B8"/>
    <w:rsid w:val="001527E5"/>
    <w:rsid w:val="0015280F"/>
    <w:rsid w:val="00152A1C"/>
    <w:rsid w:val="00152A94"/>
    <w:rsid w:val="00152B0B"/>
    <w:rsid w:val="00152B1A"/>
    <w:rsid w:val="00152C04"/>
    <w:rsid w:val="00152D0B"/>
    <w:rsid w:val="00152D15"/>
    <w:rsid w:val="00152E95"/>
    <w:rsid w:val="00152F6C"/>
    <w:rsid w:val="0015300B"/>
    <w:rsid w:val="00153014"/>
    <w:rsid w:val="001530A2"/>
    <w:rsid w:val="0015324E"/>
    <w:rsid w:val="0015325A"/>
    <w:rsid w:val="001533FE"/>
    <w:rsid w:val="00153416"/>
    <w:rsid w:val="00153663"/>
    <w:rsid w:val="0015367C"/>
    <w:rsid w:val="001536AC"/>
    <w:rsid w:val="00153702"/>
    <w:rsid w:val="0015375B"/>
    <w:rsid w:val="001538B3"/>
    <w:rsid w:val="00153EEF"/>
    <w:rsid w:val="00153EF9"/>
    <w:rsid w:val="00153F35"/>
    <w:rsid w:val="00153F74"/>
    <w:rsid w:val="00154321"/>
    <w:rsid w:val="00154418"/>
    <w:rsid w:val="00154482"/>
    <w:rsid w:val="001544D5"/>
    <w:rsid w:val="00154538"/>
    <w:rsid w:val="00154625"/>
    <w:rsid w:val="001546F3"/>
    <w:rsid w:val="00154817"/>
    <w:rsid w:val="0015483C"/>
    <w:rsid w:val="00154941"/>
    <w:rsid w:val="00154E2B"/>
    <w:rsid w:val="00155016"/>
    <w:rsid w:val="0015501D"/>
    <w:rsid w:val="00155155"/>
    <w:rsid w:val="00155161"/>
    <w:rsid w:val="00155306"/>
    <w:rsid w:val="0015550C"/>
    <w:rsid w:val="001555F9"/>
    <w:rsid w:val="0015589E"/>
    <w:rsid w:val="00155E04"/>
    <w:rsid w:val="00155F24"/>
    <w:rsid w:val="00155FF8"/>
    <w:rsid w:val="00156552"/>
    <w:rsid w:val="00156622"/>
    <w:rsid w:val="00156631"/>
    <w:rsid w:val="001567EA"/>
    <w:rsid w:val="0015682F"/>
    <w:rsid w:val="0015697B"/>
    <w:rsid w:val="00156CAE"/>
    <w:rsid w:val="00156F90"/>
    <w:rsid w:val="001574FA"/>
    <w:rsid w:val="001575F3"/>
    <w:rsid w:val="00157610"/>
    <w:rsid w:val="00157A44"/>
    <w:rsid w:val="00157BBA"/>
    <w:rsid w:val="00157E08"/>
    <w:rsid w:val="001603E6"/>
    <w:rsid w:val="0016059B"/>
    <w:rsid w:val="0016063B"/>
    <w:rsid w:val="0016069D"/>
    <w:rsid w:val="001606B8"/>
    <w:rsid w:val="001607E5"/>
    <w:rsid w:val="00160B4A"/>
    <w:rsid w:val="00160BBC"/>
    <w:rsid w:val="00160C11"/>
    <w:rsid w:val="00160C60"/>
    <w:rsid w:val="00160DB7"/>
    <w:rsid w:val="00161176"/>
    <w:rsid w:val="00161292"/>
    <w:rsid w:val="00161489"/>
    <w:rsid w:val="001615AE"/>
    <w:rsid w:val="00161604"/>
    <w:rsid w:val="00161C03"/>
    <w:rsid w:val="00161CD4"/>
    <w:rsid w:val="00161E4C"/>
    <w:rsid w:val="00161F29"/>
    <w:rsid w:val="00162011"/>
    <w:rsid w:val="00162025"/>
    <w:rsid w:val="00162128"/>
    <w:rsid w:val="00162132"/>
    <w:rsid w:val="0016218A"/>
    <w:rsid w:val="0016231E"/>
    <w:rsid w:val="00162371"/>
    <w:rsid w:val="001626C2"/>
    <w:rsid w:val="001629FF"/>
    <w:rsid w:val="00162B3F"/>
    <w:rsid w:val="00162B90"/>
    <w:rsid w:val="00162DA8"/>
    <w:rsid w:val="00162DBB"/>
    <w:rsid w:val="00162E22"/>
    <w:rsid w:val="00162F11"/>
    <w:rsid w:val="00162F8B"/>
    <w:rsid w:val="0016309D"/>
    <w:rsid w:val="00163387"/>
    <w:rsid w:val="0016348A"/>
    <w:rsid w:val="00163577"/>
    <w:rsid w:val="00163626"/>
    <w:rsid w:val="001637BC"/>
    <w:rsid w:val="001637DB"/>
    <w:rsid w:val="00163831"/>
    <w:rsid w:val="00163918"/>
    <w:rsid w:val="00163A57"/>
    <w:rsid w:val="00163D42"/>
    <w:rsid w:val="00163E12"/>
    <w:rsid w:val="00163EB2"/>
    <w:rsid w:val="0016404F"/>
    <w:rsid w:val="001640CE"/>
    <w:rsid w:val="00164265"/>
    <w:rsid w:val="0016458C"/>
    <w:rsid w:val="00164A17"/>
    <w:rsid w:val="00164A18"/>
    <w:rsid w:val="00164A83"/>
    <w:rsid w:val="00164B54"/>
    <w:rsid w:val="00164F8A"/>
    <w:rsid w:val="00164FA2"/>
    <w:rsid w:val="0016569D"/>
    <w:rsid w:val="0016569E"/>
    <w:rsid w:val="001656F2"/>
    <w:rsid w:val="00165720"/>
    <w:rsid w:val="0016583A"/>
    <w:rsid w:val="001659B5"/>
    <w:rsid w:val="00165B87"/>
    <w:rsid w:val="00165CB7"/>
    <w:rsid w:val="00165DB6"/>
    <w:rsid w:val="00165E93"/>
    <w:rsid w:val="00165FCB"/>
    <w:rsid w:val="00166105"/>
    <w:rsid w:val="001661DB"/>
    <w:rsid w:val="00166230"/>
    <w:rsid w:val="0016624C"/>
    <w:rsid w:val="00166386"/>
    <w:rsid w:val="001664A8"/>
    <w:rsid w:val="00166641"/>
    <w:rsid w:val="00166667"/>
    <w:rsid w:val="001667B5"/>
    <w:rsid w:val="00166902"/>
    <w:rsid w:val="00166964"/>
    <w:rsid w:val="001669BA"/>
    <w:rsid w:val="00166B54"/>
    <w:rsid w:val="00166B75"/>
    <w:rsid w:val="00166CD1"/>
    <w:rsid w:val="00166D7C"/>
    <w:rsid w:val="00166E2D"/>
    <w:rsid w:val="00166EC1"/>
    <w:rsid w:val="00167009"/>
    <w:rsid w:val="0016702B"/>
    <w:rsid w:val="0016707E"/>
    <w:rsid w:val="00167187"/>
    <w:rsid w:val="001674A3"/>
    <w:rsid w:val="0016759F"/>
    <w:rsid w:val="00167603"/>
    <w:rsid w:val="001676DA"/>
    <w:rsid w:val="00167760"/>
    <w:rsid w:val="0016790E"/>
    <w:rsid w:val="00167A6A"/>
    <w:rsid w:val="00167AB7"/>
    <w:rsid w:val="00167F34"/>
    <w:rsid w:val="00167F58"/>
    <w:rsid w:val="001700EF"/>
    <w:rsid w:val="00170177"/>
    <w:rsid w:val="001707F2"/>
    <w:rsid w:val="001709A6"/>
    <w:rsid w:val="00170D0D"/>
    <w:rsid w:val="00170D6A"/>
    <w:rsid w:val="00170EEF"/>
    <w:rsid w:val="00170FC4"/>
    <w:rsid w:val="001712AD"/>
    <w:rsid w:val="001712D0"/>
    <w:rsid w:val="00171356"/>
    <w:rsid w:val="001714E3"/>
    <w:rsid w:val="001714F6"/>
    <w:rsid w:val="0017165F"/>
    <w:rsid w:val="001716A8"/>
    <w:rsid w:val="00171714"/>
    <w:rsid w:val="0017180B"/>
    <w:rsid w:val="001718F9"/>
    <w:rsid w:val="001719AF"/>
    <w:rsid w:val="00171B14"/>
    <w:rsid w:val="00171F33"/>
    <w:rsid w:val="00171FA7"/>
    <w:rsid w:val="00171FAE"/>
    <w:rsid w:val="00172062"/>
    <w:rsid w:val="00172239"/>
    <w:rsid w:val="0017223C"/>
    <w:rsid w:val="00172384"/>
    <w:rsid w:val="0017251E"/>
    <w:rsid w:val="001725A5"/>
    <w:rsid w:val="001725D6"/>
    <w:rsid w:val="00172721"/>
    <w:rsid w:val="00172752"/>
    <w:rsid w:val="00172851"/>
    <w:rsid w:val="00172993"/>
    <w:rsid w:val="00172F52"/>
    <w:rsid w:val="00172FC6"/>
    <w:rsid w:val="001730D1"/>
    <w:rsid w:val="001731D1"/>
    <w:rsid w:val="001731FB"/>
    <w:rsid w:val="00173310"/>
    <w:rsid w:val="0017339B"/>
    <w:rsid w:val="0017368A"/>
    <w:rsid w:val="001737ED"/>
    <w:rsid w:val="001737FF"/>
    <w:rsid w:val="00173A4E"/>
    <w:rsid w:val="00173A6B"/>
    <w:rsid w:val="00173BB0"/>
    <w:rsid w:val="00173BC5"/>
    <w:rsid w:val="00173CFC"/>
    <w:rsid w:val="001740EB"/>
    <w:rsid w:val="001742E2"/>
    <w:rsid w:val="00174309"/>
    <w:rsid w:val="001743F8"/>
    <w:rsid w:val="00174489"/>
    <w:rsid w:val="001745ED"/>
    <w:rsid w:val="001747C0"/>
    <w:rsid w:val="00174BEB"/>
    <w:rsid w:val="00174F84"/>
    <w:rsid w:val="001750C6"/>
    <w:rsid w:val="001750F6"/>
    <w:rsid w:val="0017518B"/>
    <w:rsid w:val="0017526D"/>
    <w:rsid w:val="001753C7"/>
    <w:rsid w:val="001753F1"/>
    <w:rsid w:val="00175434"/>
    <w:rsid w:val="001755D9"/>
    <w:rsid w:val="00175620"/>
    <w:rsid w:val="001756DB"/>
    <w:rsid w:val="00175770"/>
    <w:rsid w:val="0017583C"/>
    <w:rsid w:val="0017588C"/>
    <w:rsid w:val="00175895"/>
    <w:rsid w:val="001759CC"/>
    <w:rsid w:val="00175A45"/>
    <w:rsid w:val="00175B39"/>
    <w:rsid w:val="00175C57"/>
    <w:rsid w:val="00175F13"/>
    <w:rsid w:val="00176364"/>
    <w:rsid w:val="00176369"/>
    <w:rsid w:val="001764E9"/>
    <w:rsid w:val="00176511"/>
    <w:rsid w:val="0017690D"/>
    <w:rsid w:val="00176A9D"/>
    <w:rsid w:val="00176C20"/>
    <w:rsid w:val="00176CE3"/>
    <w:rsid w:val="00176D82"/>
    <w:rsid w:val="00176DCF"/>
    <w:rsid w:val="00177089"/>
    <w:rsid w:val="0017711B"/>
    <w:rsid w:val="0017711E"/>
    <w:rsid w:val="001771B8"/>
    <w:rsid w:val="0017736E"/>
    <w:rsid w:val="001773F9"/>
    <w:rsid w:val="00177474"/>
    <w:rsid w:val="00177611"/>
    <w:rsid w:val="00177676"/>
    <w:rsid w:val="00177775"/>
    <w:rsid w:val="0017782E"/>
    <w:rsid w:val="00177919"/>
    <w:rsid w:val="0017792E"/>
    <w:rsid w:val="001779C6"/>
    <w:rsid w:val="00177C4F"/>
    <w:rsid w:val="00177D94"/>
    <w:rsid w:val="00177FA4"/>
    <w:rsid w:val="001801F2"/>
    <w:rsid w:val="0018032F"/>
    <w:rsid w:val="001804C7"/>
    <w:rsid w:val="0018056E"/>
    <w:rsid w:val="0018080E"/>
    <w:rsid w:val="001808CC"/>
    <w:rsid w:val="001808FC"/>
    <w:rsid w:val="00180A1C"/>
    <w:rsid w:val="00180A42"/>
    <w:rsid w:val="00180C33"/>
    <w:rsid w:val="00180D10"/>
    <w:rsid w:val="00180F36"/>
    <w:rsid w:val="00181002"/>
    <w:rsid w:val="00181047"/>
    <w:rsid w:val="00181169"/>
    <w:rsid w:val="001811B7"/>
    <w:rsid w:val="0018134F"/>
    <w:rsid w:val="00181401"/>
    <w:rsid w:val="00181425"/>
    <w:rsid w:val="00181662"/>
    <w:rsid w:val="001816D2"/>
    <w:rsid w:val="00181709"/>
    <w:rsid w:val="0018182D"/>
    <w:rsid w:val="00181962"/>
    <w:rsid w:val="001819C1"/>
    <w:rsid w:val="00181A78"/>
    <w:rsid w:val="00181C79"/>
    <w:rsid w:val="00181E6E"/>
    <w:rsid w:val="00181EBB"/>
    <w:rsid w:val="001820AC"/>
    <w:rsid w:val="001820F3"/>
    <w:rsid w:val="001821E7"/>
    <w:rsid w:val="00182265"/>
    <w:rsid w:val="00182551"/>
    <w:rsid w:val="00182587"/>
    <w:rsid w:val="001826B3"/>
    <w:rsid w:val="00182705"/>
    <w:rsid w:val="00182877"/>
    <w:rsid w:val="0018288D"/>
    <w:rsid w:val="001828FF"/>
    <w:rsid w:val="00182943"/>
    <w:rsid w:val="00182A0E"/>
    <w:rsid w:val="00182B1C"/>
    <w:rsid w:val="00182B86"/>
    <w:rsid w:val="00182D47"/>
    <w:rsid w:val="00182DB9"/>
    <w:rsid w:val="00183112"/>
    <w:rsid w:val="001832D6"/>
    <w:rsid w:val="00183579"/>
    <w:rsid w:val="001835E1"/>
    <w:rsid w:val="00183821"/>
    <w:rsid w:val="001838B1"/>
    <w:rsid w:val="00183B4E"/>
    <w:rsid w:val="00183BA3"/>
    <w:rsid w:val="00183C35"/>
    <w:rsid w:val="00183D2D"/>
    <w:rsid w:val="00183DE9"/>
    <w:rsid w:val="00183F70"/>
    <w:rsid w:val="0018404E"/>
    <w:rsid w:val="00184101"/>
    <w:rsid w:val="00184147"/>
    <w:rsid w:val="0018415C"/>
    <w:rsid w:val="0018418B"/>
    <w:rsid w:val="00184446"/>
    <w:rsid w:val="001845C3"/>
    <w:rsid w:val="00184659"/>
    <w:rsid w:val="001846A4"/>
    <w:rsid w:val="0018473B"/>
    <w:rsid w:val="00184C5A"/>
    <w:rsid w:val="00184C63"/>
    <w:rsid w:val="00184CED"/>
    <w:rsid w:val="00184D52"/>
    <w:rsid w:val="001850AB"/>
    <w:rsid w:val="001850F9"/>
    <w:rsid w:val="00185106"/>
    <w:rsid w:val="00185148"/>
    <w:rsid w:val="001851B9"/>
    <w:rsid w:val="001851F1"/>
    <w:rsid w:val="001852EB"/>
    <w:rsid w:val="0018547A"/>
    <w:rsid w:val="0018549A"/>
    <w:rsid w:val="00185716"/>
    <w:rsid w:val="00185720"/>
    <w:rsid w:val="00185B7E"/>
    <w:rsid w:val="00185BE6"/>
    <w:rsid w:val="00185D21"/>
    <w:rsid w:val="00185E64"/>
    <w:rsid w:val="0018615F"/>
    <w:rsid w:val="0018643A"/>
    <w:rsid w:val="00186567"/>
    <w:rsid w:val="00186727"/>
    <w:rsid w:val="00186A60"/>
    <w:rsid w:val="00186BC1"/>
    <w:rsid w:val="00186CB0"/>
    <w:rsid w:val="00186E24"/>
    <w:rsid w:val="00187115"/>
    <w:rsid w:val="0018727D"/>
    <w:rsid w:val="001873D4"/>
    <w:rsid w:val="001875B4"/>
    <w:rsid w:val="00187765"/>
    <w:rsid w:val="0018779F"/>
    <w:rsid w:val="00187850"/>
    <w:rsid w:val="0018799D"/>
    <w:rsid w:val="00187A10"/>
    <w:rsid w:val="00187C51"/>
    <w:rsid w:val="00187C91"/>
    <w:rsid w:val="00187CA4"/>
    <w:rsid w:val="00187E9A"/>
    <w:rsid w:val="00190195"/>
    <w:rsid w:val="001901E4"/>
    <w:rsid w:val="00190325"/>
    <w:rsid w:val="00190536"/>
    <w:rsid w:val="00190641"/>
    <w:rsid w:val="0019064C"/>
    <w:rsid w:val="00190710"/>
    <w:rsid w:val="001907FE"/>
    <w:rsid w:val="00190A7E"/>
    <w:rsid w:val="00190A8D"/>
    <w:rsid w:val="00190BCA"/>
    <w:rsid w:val="00190BDB"/>
    <w:rsid w:val="00190EC5"/>
    <w:rsid w:val="00190F14"/>
    <w:rsid w:val="00190F8E"/>
    <w:rsid w:val="001912BF"/>
    <w:rsid w:val="00191330"/>
    <w:rsid w:val="001914D6"/>
    <w:rsid w:val="0019157D"/>
    <w:rsid w:val="00191601"/>
    <w:rsid w:val="00191626"/>
    <w:rsid w:val="00191672"/>
    <w:rsid w:val="00191766"/>
    <w:rsid w:val="001917EE"/>
    <w:rsid w:val="00191817"/>
    <w:rsid w:val="001918D0"/>
    <w:rsid w:val="001918F3"/>
    <w:rsid w:val="00191998"/>
    <w:rsid w:val="00191C0F"/>
    <w:rsid w:val="00191DFE"/>
    <w:rsid w:val="00192096"/>
    <w:rsid w:val="001920C4"/>
    <w:rsid w:val="00192110"/>
    <w:rsid w:val="0019232F"/>
    <w:rsid w:val="0019238A"/>
    <w:rsid w:val="0019241A"/>
    <w:rsid w:val="001924B5"/>
    <w:rsid w:val="001924CD"/>
    <w:rsid w:val="0019258C"/>
    <w:rsid w:val="00192A3E"/>
    <w:rsid w:val="00192A48"/>
    <w:rsid w:val="00192AD0"/>
    <w:rsid w:val="00192BC1"/>
    <w:rsid w:val="00192CDD"/>
    <w:rsid w:val="00192E13"/>
    <w:rsid w:val="00192ED0"/>
    <w:rsid w:val="001933B6"/>
    <w:rsid w:val="001933D1"/>
    <w:rsid w:val="0019346E"/>
    <w:rsid w:val="001934F5"/>
    <w:rsid w:val="0019356E"/>
    <w:rsid w:val="001936BF"/>
    <w:rsid w:val="00193A12"/>
    <w:rsid w:val="00193A1F"/>
    <w:rsid w:val="00193B00"/>
    <w:rsid w:val="00193B20"/>
    <w:rsid w:val="00193B51"/>
    <w:rsid w:val="00193C22"/>
    <w:rsid w:val="00193FD1"/>
    <w:rsid w:val="001942C2"/>
    <w:rsid w:val="0019456E"/>
    <w:rsid w:val="001945A4"/>
    <w:rsid w:val="00194662"/>
    <w:rsid w:val="0019473E"/>
    <w:rsid w:val="00194878"/>
    <w:rsid w:val="001948FE"/>
    <w:rsid w:val="00194915"/>
    <w:rsid w:val="00194988"/>
    <w:rsid w:val="00194AD0"/>
    <w:rsid w:val="00194B35"/>
    <w:rsid w:val="00194B45"/>
    <w:rsid w:val="00194E16"/>
    <w:rsid w:val="00194E49"/>
    <w:rsid w:val="00194EF8"/>
    <w:rsid w:val="00194FA8"/>
    <w:rsid w:val="00194FDB"/>
    <w:rsid w:val="001950A4"/>
    <w:rsid w:val="001952A5"/>
    <w:rsid w:val="00195355"/>
    <w:rsid w:val="001953B6"/>
    <w:rsid w:val="0019540B"/>
    <w:rsid w:val="00195415"/>
    <w:rsid w:val="0019550D"/>
    <w:rsid w:val="00195583"/>
    <w:rsid w:val="00195585"/>
    <w:rsid w:val="001955FA"/>
    <w:rsid w:val="00195727"/>
    <w:rsid w:val="001958F9"/>
    <w:rsid w:val="001959D3"/>
    <w:rsid w:val="00195AA4"/>
    <w:rsid w:val="00195CFF"/>
    <w:rsid w:val="00195E4E"/>
    <w:rsid w:val="001961BD"/>
    <w:rsid w:val="00196210"/>
    <w:rsid w:val="001962CE"/>
    <w:rsid w:val="0019631B"/>
    <w:rsid w:val="001963DF"/>
    <w:rsid w:val="001964F0"/>
    <w:rsid w:val="0019656E"/>
    <w:rsid w:val="001965BF"/>
    <w:rsid w:val="001965E4"/>
    <w:rsid w:val="001967BF"/>
    <w:rsid w:val="00196932"/>
    <w:rsid w:val="00196AE6"/>
    <w:rsid w:val="00196BCD"/>
    <w:rsid w:val="00196D43"/>
    <w:rsid w:val="00196E1C"/>
    <w:rsid w:val="00196E24"/>
    <w:rsid w:val="00196FD2"/>
    <w:rsid w:val="00196FFA"/>
    <w:rsid w:val="001971B5"/>
    <w:rsid w:val="00197269"/>
    <w:rsid w:val="00197297"/>
    <w:rsid w:val="001972BD"/>
    <w:rsid w:val="001974AF"/>
    <w:rsid w:val="00197905"/>
    <w:rsid w:val="00197952"/>
    <w:rsid w:val="00197A5C"/>
    <w:rsid w:val="00197AE6"/>
    <w:rsid w:val="00197B4B"/>
    <w:rsid w:val="00197B4C"/>
    <w:rsid w:val="00197BBF"/>
    <w:rsid w:val="00197DBF"/>
    <w:rsid w:val="00197DDB"/>
    <w:rsid w:val="00197E5A"/>
    <w:rsid w:val="00197F2F"/>
    <w:rsid w:val="00197FE3"/>
    <w:rsid w:val="001A0005"/>
    <w:rsid w:val="001A02B2"/>
    <w:rsid w:val="001A0440"/>
    <w:rsid w:val="001A0579"/>
    <w:rsid w:val="001A07F8"/>
    <w:rsid w:val="001A08AF"/>
    <w:rsid w:val="001A0932"/>
    <w:rsid w:val="001A0A8F"/>
    <w:rsid w:val="001A0BE5"/>
    <w:rsid w:val="001A0CA9"/>
    <w:rsid w:val="001A0D4A"/>
    <w:rsid w:val="001A0DBD"/>
    <w:rsid w:val="001A0F49"/>
    <w:rsid w:val="001A0FBA"/>
    <w:rsid w:val="001A1010"/>
    <w:rsid w:val="001A1077"/>
    <w:rsid w:val="001A155D"/>
    <w:rsid w:val="001A19A6"/>
    <w:rsid w:val="001A1FB8"/>
    <w:rsid w:val="001A1FDA"/>
    <w:rsid w:val="001A2097"/>
    <w:rsid w:val="001A2BA7"/>
    <w:rsid w:val="001A2C04"/>
    <w:rsid w:val="001A3087"/>
    <w:rsid w:val="001A3181"/>
    <w:rsid w:val="001A325F"/>
    <w:rsid w:val="001A34AE"/>
    <w:rsid w:val="001A396F"/>
    <w:rsid w:val="001A399B"/>
    <w:rsid w:val="001A39C1"/>
    <w:rsid w:val="001A3A86"/>
    <w:rsid w:val="001A3C09"/>
    <w:rsid w:val="001A3C20"/>
    <w:rsid w:val="001A3C27"/>
    <w:rsid w:val="001A3C75"/>
    <w:rsid w:val="001A3DCB"/>
    <w:rsid w:val="001A3DCF"/>
    <w:rsid w:val="001A3E1E"/>
    <w:rsid w:val="001A4043"/>
    <w:rsid w:val="001A411A"/>
    <w:rsid w:val="001A416D"/>
    <w:rsid w:val="001A4184"/>
    <w:rsid w:val="001A42A6"/>
    <w:rsid w:val="001A42DF"/>
    <w:rsid w:val="001A4312"/>
    <w:rsid w:val="001A44D8"/>
    <w:rsid w:val="001A4572"/>
    <w:rsid w:val="001A470B"/>
    <w:rsid w:val="001A4AD4"/>
    <w:rsid w:val="001A4B02"/>
    <w:rsid w:val="001A4B62"/>
    <w:rsid w:val="001A4C32"/>
    <w:rsid w:val="001A508B"/>
    <w:rsid w:val="001A5282"/>
    <w:rsid w:val="001A53DB"/>
    <w:rsid w:val="001A542F"/>
    <w:rsid w:val="001A5451"/>
    <w:rsid w:val="001A54B0"/>
    <w:rsid w:val="001A57C1"/>
    <w:rsid w:val="001A581A"/>
    <w:rsid w:val="001A5AC0"/>
    <w:rsid w:val="001A5F6E"/>
    <w:rsid w:val="001A62BD"/>
    <w:rsid w:val="001A64D6"/>
    <w:rsid w:val="001A677E"/>
    <w:rsid w:val="001A68A5"/>
    <w:rsid w:val="001A68E5"/>
    <w:rsid w:val="001A6970"/>
    <w:rsid w:val="001A69FE"/>
    <w:rsid w:val="001A6A57"/>
    <w:rsid w:val="001A6C56"/>
    <w:rsid w:val="001A6EF5"/>
    <w:rsid w:val="001A6F29"/>
    <w:rsid w:val="001A70E1"/>
    <w:rsid w:val="001A7228"/>
    <w:rsid w:val="001A725D"/>
    <w:rsid w:val="001A74CC"/>
    <w:rsid w:val="001A7757"/>
    <w:rsid w:val="001A7770"/>
    <w:rsid w:val="001A7800"/>
    <w:rsid w:val="001A7952"/>
    <w:rsid w:val="001A7D51"/>
    <w:rsid w:val="001A7DBC"/>
    <w:rsid w:val="001A7DD9"/>
    <w:rsid w:val="001B0038"/>
    <w:rsid w:val="001B007C"/>
    <w:rsid w:val="001B00F1"/>
    <w:rsid w:val="001B011A"/>
    <w:rsid w:val="001B0490"/>
    <w:rsid w:val="001B04E8"/>
    <w:rsid w:val="001B0525"/>
    <w:rsid w:val="001B0637"/>
    <w:rsid w:val="001B065D"/>
    <w:rsid w:val="001B08C8"/>
    <w:rsid w:val="001B0979"/>
    <w:rsid w:val="001B0983"/>
    <w:rsid w:val="001B0A1B"/>
    <w:rsid w:val="001B0A99"/>
    <w:rsid w:val="001B0FA5"/>
    <w:rsid w:val="001B104C"/>
    <w:rsid w:val="001B1115"/>
    <w:rsid w:val="001B12E8"/>
    <w:rsid w:val="001B13BE"/>
    <w:rsid w:val="001B13FF"/>
    <w:rsid w:val="001B17D1"/>
    <w:rsid w:val="001B18D7"/>
    <w:rsid w:val="001B19BC"/>
    <w:rsid w:val="001B1AE3"/>
    <w:rsid w:val="001B1F37"/>
    <w:rsid w:val="001B2036"/>
    <w:rsid w:val="001B2166"/>
    <w:rsid w:val="001B2289"/>
    <w:rsid w:val="001B236E"/>
    <w:rsid w:val="001B24D6"/>
    <w:rsid w:val="001B27BB"/>
    <w:rsid w:val="001B2999"/>
    <w:rsid w:val="001B29F2"/>
    <w:rsid w:val="001B2BF9"/>
    <w:rsid w:val="001B3026"/>
    <w:rsid w:val="001B3070"/>
    <w:rsid w:val="001B3096"/>
    <w:rsid w:val="001B3143"/>
    <w:rsid w:val="001B3264"/>
    <w:rsid w:val="001B345C"/>
    <w:rsid w:val="001B35D9"/>
    <w:rsid w:val="001B35E4"/>
    <w:rsid w:val="001B35EC"/>
    <w:rsid w:val="001B37BD"/>
    <w:rsid w:val="001B3803"/>
    <w:rsid w:val="001B3950"/>
    <w:rsid w:val="001B3F22"/>
    <w:rsid w:val="001B403D"/>
    <w:rsid w:val="001B417B"/>
    <w:rsid w:val="001B4322"/>
    <w:rsid w:val="001B458D"/>
    <w:rsid w:val="001B4724"/>
    <w:rsid w:val="001B4762"/>
    <w:rsid w:val="001B49F3"/>
    <w:rsid w:val="001B4FD3"/>
    <w:rsid w:val="001B4FE3"/>
    <w:rsid w:val="001B501D"/>
    <w:rsid w:val="001B507F"/>
    <w:rsid w:val="001B54FA"/>
    <w:rsid w:val="001B5635"/>
    <w:rsid w:val="001B569D"/>
    <w:rsid w:val="001B56D5"/>
    <w:rsid w:val="001B57BB"/>
    <w:rsid w:val="001B584D"/>
    <w:rsid w:val="001B59C6"/>
    <w:rsid w:val="001B5B18"/>
    <w:rsid w:val="001B5B4F"/>
    <w:rsid w:val="001B5C55"/>
    <w:rsid w:val="001B6121"/>
    <w:rsid w:val="001B6148"/>
    <w:rsid w:val="001B6193"/>
    <w:rsid w:val="001B6541"/>
    <w:rsid w:val="001B655D"/>
    <w:rsid w:val="001B662D"/>
    <w:rsid w:val="001B663D"/>
    <w:rsid w:val="001B6899"/>
    <w:rsid w:val="001B6A1C"/>
    <w:rsid w:val="001B6DFE"/>
    <w:rsid w:val="001B6EB6"/>
    <w:rsid w:val="001B7CFF"/>
    <w:rsid w:val="001B7FCC"/>
    <w:rsid w:val="001C00BB"/>
    <w:rsid w:val="001C0255"/>
    <w:rsid w:val="001C02A2"/>
    <w:rsid w:val="001C0385"/>
    <w:rsid w:val="001C03D6"/>
    <w:rsid w:val="001C0424"/>
    <w:rsid w:val="001C0485"/>
    <w:rsid w:val="001C0586"/>
    <w:rsid w:val="001C059C"/>
    <w:rsid w:val="001C06C7"/>
    <w:rsid w:val="001C07F3"/>
    <w:rsid w:val="001C07FF"/>
    <w:rsid w:val="001C08BE"/>
    <w:rsid w:val="001C09A7"/>
    <w:rsid w:val="001C0A2E"/>
    <w:rsid w:val="001C0B76"/>
    <w:rsid w:val="001C0E36"/>
    <w:rsid w:val="001C0E9D"/>
    <w:rsid w:val="001C12EF"/>
    <w:rsid w:val="001C12F8"/>
    <w:rsid w:val="001C1316"/>
    <w:rsid w:val="001C13D8"/>
    <w:rsid w:val="001C13E1"/>
    <w:rsid w:val="001C18CD"/>
    <w:rsid w:val="001C20C5"/>
    <w:rsid w:val="001C240A"/>
    <w:rsid w:val="001C2472"/>
    <w:rsid w:val="001C24D1"/>
    <w:rsid w:val="001C2528"/>
    <w:rsid w:val="001C2634"/>
    <w:rsid w:val="001C27CD"/>
    <w:rsid w:val="001C2DBB"/>
    <w:rsid w:val="001C2E79"/>
    <w:rsid w:val="001C2E89"/>
    <w:rsid w:val="001C2EB6"/>
    <w:rsid w:val="001C309F"/>
    <w:rsid w:val="001C30B2"/>
    <w:rsid w:val="001C3163"/>
    <w:rsid w:val="001C31C2"/>
    <w:rsid w:val="001C329C"/>
    <w:rsid w:val="001C343B"/>
    <w:rsid w:val="001C35ED"/>
    <w:rsid w:val="001C365E"/>
    <w:rsid w:val="001C3A86"/>
    <w:rsid w:val="001C3AE3"/>
    <w:rsid w:val="001C3C86"/>
    <w:rsid w:val="001C3CD0"/>
    <w:rsid w:val="001C3E44"/>
    <w:rsid w:val="001C42F8"/>
    <w:rsid w:val="001C4382"/>
    <w:rsid w:val="001C4521"/>
    <w:rsid w:val="001C4596"/>
    <w:rsid w:val="001C4783"/>
    <w:rsid w:val="001C47E6"/>
    <w:rsid w:val="001C48EC"/>
    <w:rsid w:val="001C4A9E"/>
    <w:rsid w:val="001C4BC5"/>
    <w:rsid w:val="001C4C2B"/>
    <w:rsid w:val="001C4CEA"/>
    <w:rsid w:val="001C4E9C"/>
    <w:rsid w:val="001C505C"/>
    <w:rsid w:val="001C5198"/>
    <w:rsid w:val="001C56FA"/>
    <w:rsid w:val="001C593C"/>
    <w:rsid w:val="001C5AEC"/>
    <w:rsid w:val="001C5BDB"/>
    <w:rsid w:val="001C5CAA"/>
    <w:rsid w:val="001C5DA1"/>
    <w:rsid w:val="001C5DF7"/>
    <w:rsid w:val="001C6203"/>
    <w:rsid w:val="001C626D"/>
    <w:rsid w:val="001C62C9"/>
    <w:rsid w:val="001C6417"/>
    <w:rsid w:val="001C657E"/>
    <w:rsid w:val="001C6701"/>
    <w:rsid w:val="001C679D"/>
    <w:rsid w:val="001C6909"/>
    <w:rsid w:val="001C690F"/>
    <w:rsid w:val="001C6BB2"/>
    <w:rsid w:val="001C6C35"/>
    <w:rsid w:val="001C70B0"/>
    <w:rsid w:val="001C72C2"/>
    <w:rsid w:val="001C7541"/>
    <w:rsid w:val="001C7592"/>
    <w:rsid w:val="001C795D"/>
    <w:rsid w:val="001C79E7"/>
    <w:rsid w:val="001C7A66"/>
    <w:rsid w:val="001C7C10"/>
    <w:rsid w:val="001C7DED"/>
    <w:rsid w:val="001C7F32"/>
    <w:rsid w:val="001C7F7E"/>
    <w:rsid w:val="001C7F99"/>
    <w:rsid w:val="001D001E"/>
    <w:rsid w:val="001D00D1"/>
    <w:rsid w:val="001D00E8"/>
    <w:rsid w:val="001D049C"/>
    <w:rsid w:val="001D0580"/>
    <w:rsid w:val="001D05F9"/>
    <w:rsid w:val="001D0614"/>
    <w:rsid w:val="001D07A1"/>
    <w:rsid w:val="001D07C6"/>
    <w:rsid w:val="001D0880"/>
    <w:rsid w:val="001D08FE"/>
    <w:rsid w:val="001D0903"/>
    <w:rsid w:val="001D0943"/>
    <w:rsid w:val="001D0995"/>
    <w:rsid w:val="001D0AA8"/>
    <w:rsid w:val="001D0ADA"/>
    <w:rsid w:val="001D0CE0"/>
    <w:rsid w:val="001D0E0A"/>
    <w:rsid w:val="001D0E68"/>
    <w:rsid w:val="001D11C7"/>
    <w:rsid w:val="001D1305"/>
    <w:rsid w:val="001D13F0"/>
    <w:rsid w:val="001D1542"/>
    <w:rsid w:val="001D1575"/>
    <w:rsid w:val="001D15C9"/>
    <w:rsid w:val="001D160F"/>
    <w:rsid w:val="001D1637"/>
    <w:rsid w:val="001D1AF0"/>
    <w:rsid w:val="001D1B0C"/>
    <w:rsid w:val="001D1C29"/>
    <w:rsid w:val="001D1CCB"/>
    <w:rsid w:val="001D1E55"/>
    <w:rsid w:val="001D1E9B"/>
    <w:rsid w:val="001D2343"/>
    <w:rsid w:val="001D239B"/>
    <w:rsid w:val="001D23E7"/>
    <w:rsid w:val="001D261A"/>
    <w:rsid w:val="001D27D2"/>
    <w:rsid w:val="001D28EF"/>
    <w:rsid w:val="001D2A39"/>
    <w:rsid w:val="001D2AFB"/>
    <w:rsid w:val="001D2D62"/>
    <w:rsid w:val="001D2DA6"/>
    <w:rsid w:val="001D3066"/>
    <w:rsid w:val="001D30A0"/>
    <w:rsid w:val="001D320C"/>
    <w:rsid w:val="001D3289"/>
    <w:rsid w:val="001D3720"/>
    <w:rsid w:val="001D37CC"/>
    <w:rsid w:val="001D384D"/>
    <w:rsid w:val="001D3B0F"/>
    <w:rsid w:val="001D3B4C"/>
    <w:rsid w:val="001D3D31"/>
    <w:rsid w:val="001D3D62"/>
    <w:rsid w:val="001D406D"/>
    <w:rsid w:val="001D40D1"/>
    <w:rsid w:val="001D40E3"/>
    <w:rsid w:val="001D42E1"/>
    <w:rsid w:val="001D4342"/>
    <w:rsid w:val="001D4412"/>
    <w:rsid w:val="001D448C"/>
    <w:rsid w:val="001D452E"/>
    <w:rsid w:val="001D483C"/>
    <w:rsid w:val="001D49A8"/>
    <w:rsid w:val="001D4C20"/>
    <w:rsid w:val="001D4CD3"/>
    <w:rsid w:val="001D4E17"/>
    <w:rsid w:val="001D4E23"/>
    <w:rsid w:val="001D4E9D"/>
    <w:rsid w:val="001D4F56"/>
    <w:rsid w:val="001D521B"/>
    <w:rsid w:val="001D54F5"/>
    <w:rsid w:val="001D55AC"/>
    <w:rsid w:val="001D5605"/>
    <w:rsid w:val="001D5606"/>
    <w:rsid w:val="001D5701"/>
    <w:rsid w:val="001D57EF"/>
    <w:rsid w:val="001D57F7"/>
    <w:rsid w:val="001D5803"/>
    <w:rsid w:val="001D5875"/>
    <w:rsid w:val="001D59B7"/>
    <w:rsid w:val="001D5C06"/>
    <w:rsid w:val="001D5C2D"/>
    <w:rsid w:val="001D5F13"/>
    <w:rsid w:val="001D5FA7"/>
    <w:rsid w:val="001D6184"/>
    <w:rsid w:val="001D61B3"/>
    <w:rsid w:val="001D640C"/>
    <w:rsid w:val="001D6574"/>
    <w:rsid w:val="001D676A"/>
    <w:rsid w:val="001D6866"/>
    <w:rsid w:val="001D6A0D"/>
    <w:rsid w:val="001D6E13"/>
    <w:rsid w:val="001D708B"/>
    <w:rsid w:val="001D70B5"/>
    <w:rsid w:val="001D7164"/>
    <w:rsid w:val="001D71E9"/>
    <w:rsid w:val="001D728F"/>
    <w:rsid w:val="001D72E7"/>
    <w:rsid w:val="001D74D0"/>
    <w:rsid w:val="001D7509"/>
    <w:rsid w:val="001D75C0"/>
    <w:rsid w:val="001D775D"/>
    <w:rsid w:val="001D7888"/>
    <w:rsid w:val="001D78EE"/>
    <w:rsid w:val="001D7A3D"/>
    <w:rsid w:val="001D7A65"/>
    <w:rsid w:val="001E001C"/>
    <w:rsid w:val="001E006F"/>
    <w:rsid w:val="001E0203"/>
    <w:rsid w:val="001E027C"/>
    <w:rsid w:val="001E0627"/>
    <w:rsid w:val="001E0837"/>
    <w:rsid w:val="001E0997"/>
    <w:rsid w:val="001E0A16"/>
    <w:rsid w:val="001E0B81"/>
    <w:rsid w:val="001E0C52"/>
    <w:rsid w:val="001E0DBC"/>
    <w:rsid w:val="001E0F7D"/>
    <w:rsid w:val="001E11BE"/>
    <w:rsid w:val="001E128D"/>
    <w:rsid w:val="001E14C4"/>
    <w:rsid w:val="001E14C7"/>
    <w:rsid w:val="001E167D"/>
    <w:rsid w:val="001E1713"/>
    <w:rsid w:val="001E1814"/>
    <w:rsid w:val="001E190D"/>
    <w:rsid w:val="001E197F"/>
    <w:rsid w:val="001E1CF0"/>
    <w:rsid w:val="001E20E9"/>
    <w:rsid w:val="001E2163"/>
    <w:rsid w:val="001E21AA"/>
    <w:rsid w:val="001E2561"/>
    <w:rsid w:val="001E2585"/>
    <w:rsid w:val="001E26C4"/>
    <w:rsid w:val="001E275D"/>
    <w:rsid w:val="001E294C"/>
    <w:rsid w:val="001E29C0"/>
    <w:rsid w:val="001E29EA"/>
    <w:rsid w:val="001E2A87"/>
    <w:rsid w:val="001E2AD1"/>
    <w:rsid w:val="001E2B08"/>
    <w:rsid w:val="001E2B2C"/>
    <w:rsid w:val="001E2C0B"/>
    <w:rsid w:val="001E2C3E"/>
    <w:rsid w:val="001E2E37"/>
    <w:rsid w:val="001E2E73"/>
    <w:rsid w:val="001E2E7F"/>
    <w:rsid w:val="001E303F"/>
    <w:rsid w:val="001E30BD"/>
    <w:rsid w:val="001E31A2"/>
    <w:rsid w:val="001E3430"/>
    <w:rsid w:val="001E3565"/>
    <w:rsid w:val="001E37F2"/>
    <w:rsid w:val="001E3853"/>
    <w:rsid w:val="001E39E4"/>
    <w:rsid w:val="001E3AB6"/>
    <w:rsid w:val="001E3BBA"/>
    <w:rsid w:val="001E3C45"/>
    <w:rsid w:val="001E3E16"/>
    <w:rsid w:val="001E40E0"/>
    <w:rsid w:val="001E418D"/>
    <w:rsid w:val="001E43D4"/>
    <w:rsid w:val="001E45A3"/>
    <w:rsid w:val="001E4628"/>
    <w:rsid w:val="001E4636"/>
    <w:rsid w:val="001E46DB"/>
    <w:rsid w:val="001E475A"/>
    <w:rsid w:val="001E47E6"/>
    <w:rsid w:val="001E4A57"/>
    <w:rsid w:val="001E4A5F"/>
    <w:rsid w:val="001E4B32"/>
    <w:rsid w:val="001E4BE5"/>
    <w:rsid w:val="001E4C40"/>
    <w:rsid w:val="001E4C8B"/>
    <w:rsid w:val="001E4F0C"/>
    <w:rsid w:val="001E4FDE"/>
    <w:rsid w:val="001E53D8"/>
    <w:rsid w:val="001E545B"/>
    <w:rsid w:val="001E552C"/>
    <w:rsid w:val="001E556C"/>
    <w:rsid w:val="001E56EF"/>
    <w:rsid w:val="001E584C"/>
    <w:rsid w:val="001E5A26"/>
    <w:rsid w:val="001E5B24"/>
    <w:rsid w:val="001E5BA7"/>
    <w:rsid w:val="001E5D0B"/>
    <w:rsid w:val="001E5E5A"/>
    <w:rsid w:val="001E5E9A"/>
    <w:rsid w:val="001E5E9E"/>
    <w:rsid w:val="001E610D"/>
    <w:rsid w:val="001E638F"/>
    <w:rsid w:val="001E63F1"/>
    <w:rsid w:val="001E663D"/>
    <w:rsid w:val="001E6692"/>
    <w:rsid w:val="001E66B3"/>
    <w:rsid w:val="001E6819"/>
    <w:rsid w:val="001E684C"/>
    <w:rsid w:val="001E68DD"/>
    <w:rsid w:val="001E696E"/>
    <w:rsid w:val="001E6A39"/>
    <w:rsid w:val="001E6BD3"/>
    <w:rsid w:val="001E6C02"/>
    <w:rsid w:val="001E6C42"/>
    <w:rsid w:val="001E6CAF"/>
    <w:rsid w:val="001E6E0B"/>
    <w:rsid w:val="001E6EB5"/>
    <w:rsid w:val="001E7005"/>
    <w:rsid w:val="001E718B"/>
    <w:rsid w:val="001E7198"/>
    <w:rsid w:val="001E71E8"/>
    <w:rsid w:val="001E71F2"/>
    <w:rsid w:val="001E7288"/>
    <w:rsid w:val="001E7489"/>
    <w:rsid w:val="001E7648"/>
    <w:rsid w:val="001E7795"/>
    <w:rsid w:val="001E786C"/>
    <w:rsid w:val="001E78AF"/>
    <w:rsid w:val="001E79D6"/>
    <w:rsid w:val="001E7B06"/>
    <w:rsid w:val="001E7BC5"/>
    <w:rsid w:val="001E7BCC"/>
    <w:rsid w:val="001F00B2"/>
    <w:rsid w:val="001F012E"/>
    <w:rsid w:val="001F0148"/>
    <w:rsid w:val="001F03BD"/>
    <w:rsid w:val="001F0476"/>
    <w:rsid w:val="001F04CA"/>
    <w:rsid w:val="001F0812"/>
    <w:rsid w:val="001F099C"/>
    <w:rsid w:val="001F0B73"/>
    <w:rsid w:val="001F0CA2"/>
    <w:rsid w:val="001F0CA6"/>
    <w:rsid w:val="001F0CC3"/>
    <w:rsid w:val="001F0D27"/>
    <w:rsid w:val="001F0DCC"/>
    <w:rsid w:val="001F0DF5"/>
    <w:rsid w:val="001F0E04"/>
    <w:rsid w:val="001F0F57"/>
    <w:rsid w:val="001F0F59"/>
    <w:rsid w:val="001F1017"/>
    <w:rsid w:val="001F1368"/>
    <w:rsid w:val="001F13F1"/>
    <w:rsid w:val="001F14C3"/>
    <w:rsid w:val="001F15A0"/>
    <w:rsid w:val="001F164C"/>
    <w:rsid w:val="001F1669"/>
    <w:rsid w:val="001F1818"/>
    <w:rsid w:val="001F181E"/>
    <w:rsid w:val="001F181F"/>
    <w:rsid w:val="001F1B02"/>
    <w:rsid w:val="001F1D69"/>
    <w:rsid w:val="001F1DAF"/>
    <w:rsid w:val="001F1F53"/>
    <w:rsid w:val="001F20E1"/>
    <w:rsid w:val="001F226F"/>
    <w:rsid w:val="001F22A4"/>
    <w:rsid w:val="001F2525"/>
    <w:rsid w:val="001F25BB"/>
    <w:rsid w:val="001F278A"/>
    <w:rsid w:val="001F2AC2"/>
    <w:rsid w:val="001F2AE6"/>
    <w:rsid w:val="001F2BF2"/>
    <w:rsid w:val="001F2C08"/>
    <w:rsid w:val="001F2C62"/>
    <w:rsid w:val="001F2CD6"/>
    <w:rsid w:val="001F2EC5"/>
    <w:rsid w:val="001F2F89"/>
    <w:rsid w:val="001F2F9A"/>
    <w:rsid w:val="001F2FCB"/>
    <w:rsid w:val="001F3125"/>
    <w:rsid w:val="001F32BC"/>
    <w:rsid w:val="001F32FD"/>
    <w:rsid w:val="001F341E"/>
    <w:rsid w:val="001F3484"/>
    <w:rsid w:val="001F34F4"/>
    <w:rsid w:val="001F34F9"/>
    <w:rsid w:val="001F3539"/>
    <w:rsid w:val="001F3562"/>
    <w:rsid w:val="001F35E1"/>
    <w:rsid w:val="001F36D0"/>
    <w:rsid w:val="001F39B7"/>
    <w:rsid w:val="001F3AB6"/>
    <w:rsid w:val="001F3B1A"/>
    <w:rsid w:val="001F3B6A"/>
    <w:rsid w:val="001F3CB7"/>
    <w:rsid w:val="001F3EB0"/>
    <w:rsid w:val="001F3FD7"/>
    <w:rsid w:val="001F3FFA"/>
    <w:rsid w:val="001F403E"/>
    <w:rsid w:val="001F407C"/>
    <w:rsid w:val="001F409F"/>
    <w:rsid w:val="001F4285"/>
    <w:rsid w:val="001F45E0"/>
    <w:rsid w:val="001F4666"/>
    <w:rsid w:val="001F4808"/>
    <w:rsid w:val="001F480B"/>
    <w:rsid w:val="001F485B"/>
    <w:rsid w:val="001F486D"/>
    <w:rsid w:val="001F48A5"/>
    <w:rsid w:val="001F4C39"/>
    <w:rsid w:val="001F4FB2"/>
    <w:rsid w:val="001F5143"/>
    <w:rsid w:val="001F51E5"/>
    <w:rsid w:val="001F52C9"/>
    <w:rsid w:val="001F5343"/>
    <w:rsid w:val="001F5625"/>
    <w:rsid w:val="001F5735"/>
    <w:rsid w:val="001F580C"/>
    <w:rsid w:val="001F596B"/>
    <w:rsid w:val="001F59A0"/>
    <w:rsid w:val="001F5AE7"/>
    <w:rsid w:val="001F5C3B"/>
    <w:rsid w:val="001F5CE8"/>
    <w:rsid w:val="001F5D8C"/>
    <w:rsid w:val="001F5E69"/>
    <w:rsid w:val="001F5E95"/>
    <w:rsid w:val="001F5E97"/>
    <w:rsid w:val="001F6069"/>
    <w:rsid w:val="001F6194"/>
    <w:rsid w:val="001F61C8"/>
    <w:rsid w:val="001F61D9"/>
    <w:rsid w:val="001F625C"/>
    <w:rsid w:val="001F62B2"/>
    <w:rsid w:val="001F63A9"/>
    <w:rsid w:val="001F63FC"/>
    <w:rsid w:val="001F65BD"/>
    <w:rsid w:val="001F65E1"/>
    <w:rsid w:val="001F69DC"/>
    <w:rsid w:val="001F6B3E"/>
    <w:rsid w:val="001F6BD1"/>
    <w:rsid w:val="001F6D03"/>
    <w:rsid w:val="001F6E5B"/>
    <w:rsid w:val="001F6F94"/>
    <w:rsid w:val="001F6FC6"/>
    <w:rsid w:val="001F7047"/>
    <w:rsid w:val="001F7156"/>
    <w:rsid w:val="001F7210"/>
    <w:rsid w:val="001F75B0"/>
    <w:rsid w:val="001F75FD"/>
    <w:rsid w:val="001F76AF"/>
    <w:rsid w:val="001F78F7"/>
    <w:rsid w:val="001F79E0"/>
    <w:rsid w:val="001F7A6E"/>
    <w:rsid w:val="001F7C02"/>
    <w:rsid w:val="001F7C34"/>
    <w:rsid w:val="001F7DCA"/>
    <w:rsid w:val="001F7EE1"/>
    <w:rsid w:val="001F7F5F"/>
    <w:rsid w:val="0020002A"/>
    <w:rsid w:val="002002F1"/>
    <w:rsid w:val="0020031A"/>
    <w:rsid w:val="0020044C"/>
    <w:rsid w:val="002004A3"/>
    <w:rsid w:val="002005D4"/>
    <w:rsid w:val="00200728"/>
    <w:rsid w:val="0020077A"/>
    <w:rsid w:val="00200B2D"/>
    <w:rsid w:val="00200D08"/>
    <w:rsid w:val="00200D59"/>
    <w:rsid w:val="00200D7A"/>
    <w:rsid w:val="00200DE6"/>
    <w:rsid w:val="00200F02"/>
    <w:rsid w:val="0020109E"/>
    <w:rsid w:val="00201354"/>
    <w:rsid w:val="002015B5"/>
    <w:rsid w:val="002015D2"/>
    <w:rsid w:val="0020169A"/>
    <w:rsid w:val="0020172F"/>
    <w:rsid w:val="00201741"/>
    <w:rsid w:val="00201A45"/>
    <w:rsid w:val="00201C8F"/>
    <w:rsid w:val="00201E51"/>
    <w:rsid w:val="00201F30"/>
    <w:rsid w:val="00201FC3"/>
    <w:rsid w:val="00202076"/>
    <w:rsid w:val="002021EE"/>
    <w:rsid w:val="00202243"/>
    <w:rsid w:val="002023DA"/>
    <w:rsid w:val="0020246A"/>
    <w:rsid w:val="0020252F"/>
    <w:rsid w:val="002025F9"/>
    <w:rsid w:val="00202655"/>
    <w:rsid w:val="0020293A"/>
    <w:rsid w:val="002029DF"/>
    <w:rsid w:val="00202A91"/>
    <w:rsid w:val="00202A98"/>
    <w:rsid w:val="00202B03"/>
    <w:rsid w:val="00202B3F"/>
    <w:rsid w:val="00202EEA"/>
    <w:rsid w:val="00202F6B"/>
    <w:rsid w:val="00203100"/>
    <w:rsid w:val="002032C8"/>
    <w:rsid w:val="00203314"/>
    <w:rsid w:val="00203548"/>
    <w:rsid w:val="00203604"/>
    <w:rsid w:val="0020382D"/>
    <w:rsid w:val="002038E3"/>
    <w:rsid w:val="00203921"/>
    <w:rsid w:val="00203C55"/>
    <w:rsid w:val="00203CF9"/>
    <w:rsid w:val="00203E98"/>
    <w:rsid w:val="00204101"/>
    <w:rsid w:val="002043C9"/>
    <w:rsid w:val="002043DB"/>
    <w:rsid w:val="0020443B"/>
    <w:rsid w:val="002044DD"/>
    <w:rsid w:val="00204710"/>
    <w:rsid w:val="002047AE"/>
    <w:rsid w:val="00204872"/>
    <w:rsid w:val="0020488F"/>
    <w:rsid w:val="002049E9"/>
    <w:rsid w:val="00204AE6"/>
    <w:rsid w:val="00204B02"/>
    <w:rsid w:val="00204C16"/>
    <w:rsid w:val="00204DAE"/>
    <w:rsid w:val="00204EDE"/>
    <w:rsid w:val="00204FB1"/>
    <w:rsid w:val="002050A9"/>
    <w:rsid w:val="002052B5"/>
    <w:rsid w:val="0020546B"/>
    <w:rsid w:val="00205625"/>
    <w:rsid w:val="00205994"/>
    <w:rsid w:val="00205A47"/>
    <w:rsid w:val="00205C61"/>
    <w:rsid w:val="00205EFB"/>
    <w:rsid w:val="00205F00"/>
    <w:rsid w:val="00205FA6"/>
    <w:rsid w:val="00206085"/>
    <w:rsid w:val="0020609C"/>
    <w:rsid w:val="002060B7"/>
    <w:rsid w:val="002061BB"/>
    <w:rsid w:val="002061DA"/>
    <w:rsid w:val="0020623F"/>
    <w:rsid w:val="00206243"/>
    <w:rsid w:val="002063D2"/>
    <w:rsid w:val="002063EF"/>
    <w:rsid w:val="0020642F"/>
    <w:rsid w:val="002064C3"/>
    <w:rsid w:val="002065DD"/>
    <w:rsid w:val="0020662A"/>
    <w:rsid w:val="002067E2"/>
    <w:rsid w:val="0020691A"/>
    <w:rsid w:val="00206B2B"/>
    <w:rsid w:val="00206C95"/>
    <w:rsid w:val="00206CB8"/>
    <w:rsid w:val="00206DA3"/>
    <w:rsid w:val="002072E5"/>
    <w:rsid w:val="0020733D"/>
    <w:rsid w:val="00207554"/>
    <w:rsid w:val="002075B8"/>
    <w:rsid w:val="002075CA"/>
    <w:rsid w:val="002075FD"/>
    <w:rsid w:val="0020763A"/>
    <w:rsid w:val="00207809"/>
    <w:rsid w:val="0020785B"/>
    <w:rsid w:val="00207946"/>
    <w:rsid w:val="002079F9"/>
    <w:rsid w:val="00207B19"/>
    <w:rsid w:val="00207EC1"/>
    <w:rsid w:val="00207F2C"/>
    <w:rsid w:val="00207FB7"/>
    <w:rsid w:val="002101B9"/>
    <w:rsid w:val="00210237"/>
    <w:rsid w:val="0021048E"/>
    <w:rsid w:val="00210545"/>
    <w:rsid w:val="0021060A"/>
    <w:rsid w:val="002106A1"/>
    <w:rsid w:val="00210800"/>
    <w:rsid w:val="00210CD0"/>
    <w:rsid w:val="00210D52"/>
    <w:rsid w:val="00210E10"/>
    <w:rsid w:val="00210EE9"/>
    <w:rsid w:val="00210F9D"/>
    <w:rsid w:val="00211490"/>
    <w:rsid w:val="00211537"/>
    <w:rsid w:val="00211875"/>
    <w:rsid w:val="00211997"/>
    <w:rsid w:val="00211C0A"/>
    <w:rsid w:val="00211D1F"/>
    <w:rsid w:val="00211E59"/>
    <w:rsid w:val="002121F9"/>
    <w:rsid w:val="00212652"/>
    <w:rsid w:val="00212682"/>
    <w:rsid w:val="0021270B"/>
    <w:rsid w:val="00212B47"/>
    <w:rsid w:val="00212B6A"/>
    <w:rsid w:val="00212DD9"/>
    <w:rsid w:val="00212E11"/>
    <w:rsid w:val="00212E34"/>
    <w:rsid w:val="00212FF4"/>
    <w:rsid w:val="00213041"/>
    <w:rsid w:val="002133F1"/>
    <w:rsid w:val="0021365F"/>
    <w:rsid w:val="00213666"/>
    <w:rsid w:val="002136C1"/>
    <w:rsid w:val="00213763"/>
    <w:rsid w:val="002137BD"/>
    <w:rsid w:val="00213924"/>
    <w:rsid w:val="002139A3"/>
    <w:rsid w:val="00213C50"/>
    <w:rsid w:val="0021404B"/>
    <w:rsid w:val="00214229"/>
    <w:rsid w:val="00214383"/>
    <w:rsid w:val="002145F6"/>
    <w:rsid w:val="0021482C"/>
    <w:rsid w:val="00214871"/>
    <w:rsid w:val="0021495A"/>
    <w:rsid w:val="00214CB7"/>
    <w:rsid w:val="00214DDF"/>
    <w:rsid w:val="00214E09"/>
    <w:rsid w:val="00214E3F"/>
    <w:rsid w:val="00215081"/>
    <w:rsid w:val="0021518C"/>
    <w:rsid w:val="00215517"/>
    <w:rsid w:val="00215538"/>
    <w:rsid w:val="00215540"/>
    <w:rsid w:val="002157D9"/>
    <w:rsid w:val="00215BC4"/>
    <w:rsid w:val="00215BFB"/>
    <w:rsid w:val="00215D05"/>
    <w:rsid w:val="00216144"/>
    <w:rsid w:val="00216176"/>
    <w:rsid w:val="00216255"/>
    <w:rsid w:val="002162FE"/>
    <w:rsid w:val="002163CD"/>
    <w:rsid w:val="002163DD"/>
    <w:rsid w:val="00216620"/>
    <w:rsid w:val="002166CD"/>
    <w:rsid w:val="00216742"/>
    <w:rsid w:val="002167C3"/>
    <w:rsid w:val="00216831"/>
    <w:rsid w:val="00216849"/>
    <w:rsid w:val="0021687D"/>
    <w:rsid w:val="0021688C"/>
    <w:rsid w:val="0021694C"/>
    <w:rsid w:val="00216B60"/>
    <w:rsid w:val="00216DB7"/>
    <w:rsid w:val="00216FAF"/>
    <w:rsid w:val="00216FD2"/>
    <w:rsid w:val="00216FFC"/>
    <w:rsid w:val="0021704E"/>
    <w:rsid w:val="0021754F"/>
    <w:rsid w:val="00217751"/>
    <w:rsid w:val="0021796E"/>
    <w:rsid w:val="0021799A"/>
    <w:rsid w:val="00217C39"/>
    <w:rsid w:val="00217C6E"/>
    <w:rsid w:val="00217FDC"/>
    <w:rsid w:val="0022004C"/>
    <w:rsid w:val="002200E1"/>
    <w:rsid w:val="002201FA"/>
    <w:rsid w:val="00220226"/>
    <w:rsid w:val="00220670"/>
    <w:rsid w:val="0022070D"/>
    <w:rsid w:val="00220960"/>
    <w:rsid w:val="002209C5"/>
    <w:rsid w:val="002209C9"/>
    <w:rsid w:val="00220A44"/>
    <w:rsid w:val="00220CFE"/>
    <w:rsid w:val="00220ED0"/>
    <w:rsid w:val="00220FAF"/>
    <w:rsid w:val="00221029"/>
    <w:rsid w:val="002210F7"/>
    <w:rsid w:val="0022110B"/>
    <w:rsid w:val="00221168"/>
    <w:rsid w:val="0022123E"/>
    <w:rsid w:val="00221314"/>
    <w:rsid w:val="002213E0"/>
    <w:rsid w:val="0022140F"/>
    <w:rsid w:val="002214AF"/>
    <w:rsid w:val="002215C7"/>
    <w:rsid w:val="002215E0"/>
    <w:rsid w:val="002216BE"/>
    <w:rsid w:val="002216DB"/>
    <w:rsid w:val="00221BBC"/>
    <w:rsid w:val="00221CC8"/>
    <w:rsid w:val="0022202B"/>
    <w:rsid w:val="0022238A"/>
    <w:rsid w:val="002223AD"/>
    <w:rsid w:val="002225EC"/>
    <w:rsid w:val="002227DD"/>
    <w:rsid w:val="00222AA0"/>
    <w:rsid w:val="00222AE3"/>
    <w:rsid w:val="00222AE6"/>
    <w:rsid w:val="00222B26"/>
    <w:rsid w:val="00222BA9"/>
    <w:rsid w:val="00222CFB"/>
    <w:rsid w:val="00222F53"/>
    <w:rsid w:val="00222F8E"/>
    <w:rsid w:val="00223288"/>
    <w:rsid w:val="002233F8"/>
    <w:rsid w:val="0022351C"/>
    <w:rsid w:val="00223696"/>
    <w:rsid w:val="0022399F"/>
    <w:rsid w:val="00223AB0"/>
    <w:rsid w:val="00223C4C"/>
    <w:rsid w:val="00223D9B"/>
    <w:rsid w:val="00223DC4"/>
    <w:rsid w:val="00223ED4"/>
    <w:rsid w:val="00223F34"/>
    <w:rsid w:val="00223FBE"/>
    <w:rsid w:val="00223FE9"/>
    <w:rsid w:val="00224052"/>
    <w:rsid w:val="0022405A"/>
    <w:rsid w:val="002241D3"/>
    <w:rsid w:val="00224785"/>
    <w:rsid w:val="002247DC"/>
    <w:rsid w:val="00224998"/>
    <w:rsid w:val="00224ABE"/>
    <w:rsid w:val="00224B41"/>
    <w:rsid w:val="00224DB5"/>
    <w:rsid w:val="00224EBD"/>
    <w:rsid w:val="002250F2"/>
    <w:rsid w:val="0022526B"/>
    <w:rsid w:val="0022532A"/>
    <w:rsid w:val="002255BC"/>
    <w:rsid w:val="0022574D"/>
    <w:rsid w:val="00225844"/>
    <w:rsid w:val="0022592E"/>
    <w:rsid w:val="00225A1D"/>
    <w:rsid w:val="00225A28"/>
    <w:rsid w:val="00225CFB"/>
    <w:rsid w:val="00225E34"/>
    <w:rsid w:val="00225EB7"/>
    <w:rsid w:val="00226192"/>
    <w:rsid w:val="0022620B"/>
    <w:rsid w:val="0022626C"/>
    <w:rsid w:val="00226437"/>
    <w:rsid w:val="002264C1"/>
    <w:rsid w:val="002265AA"/>
    <w:rsid w:val="00226627"/>
    <w:rsid w:val="002268CC"/>
    <w:rsid w:val="002268DC"/>
    <w:rsid w:val="00226F93"/>
    <w:rsid w:val="00227074"/>
    <w:rsid w:val="00227077"/>
    <w:rsid w:val="00227106"/>
    <w:rsid w:val="0022716C"/>
    <w:rsid w:val="00227239"/>
    <w:rsid w:val="002272B7"/>
    <w:rsid w:val="002272C4"/>
    <w:rsid w:val="0022732C"/>
    <w:rsid w:val="00227361"/>
    <w:rsid w:val="0022738E"/>
    <w:rsid w:val="00227495"/>
    <w:rsid w:val="0022752E"/>
    <w:rsid w:val="00227568"/>
    <w:rsid w:val="002275FD"/>
    <w:rsid w:val="00227730"/>
    <w:rsid w:val="00227745"/>
    <w:rsid w:val="002277DC"/>
    <w:rsid w:val="00227898"/>
    <w:rsid w:val="00227A42"/>
    <w:rsid w:val="00227B09"/>
    <w:rsid w:val="00227E6E"/>
    <w:rsid w:val="00227F2A"/>
    <w:rsid w:val="00230068"/>
    <w:rsid w:val="002301E5"/>
    <w:rsid w:val="00230678"/>
    <w:rsid w:val="00230915"/>
    <w:rsid w:val="00230A0B"/>
    <w:rsid w:val="00230A96"/>
    <w:rsid w:val="00230DBD"/>
    <w:rsid w:val="00230DF0"/>
    <w:rsid w:val="00231309"/>
    <w:rsid w:val="0023137F"/>
    <w:rsid w:val="00231679"/>
    <w:rsid w:val="0023167C"/>
    <w:rsid w:val="002317BC"/>
    <w:rsid w:val="002318E3"/>
    <w:rsid w:val="00231975"/>
    <w:rsid w:val="00231A08"/>
    <w:rsid w:val="00231D67"/>
    <w:rsid w:val="00231E7B"/>
    <w:rsid w:val="00231EC2"/>
    <w:rsid w:val="00231EF3"/>
    <w:rsid w:val="00231F4F"/>
    <w:rsid w:val="00231F54"/>
    <w:rsid w:val="00231FC5"/>
    <w:rsid w:val="00232427"/>
    <w:rsid w:val="00232484"/>
    <w:rsid w:val="0023253B"/>
    <w:rsid w:val="0023255B"/>
    <w:rsid w:val="00232697"/>
    <w:rsid w:val="0023277A"/>
    <w:rsid w:val="002328A1"/>
    <w:rsid w:val="00232AA5"/>
    <w:rsid w:val="00232AC5"/>
    <w:rsid w:val="00232DE2"/>
    <w:rsid w:val="0023300B"/>
    <w:rsid w:val="00233106"/>
    <w:rsid w:val="002331ED"/>
    <w:rsid w:val="0023322D"/>
    <w:rsid w:val="002332E7"/>
    <w:rsid w:val="00233527"/>
    <w:rsid w:val="00233947"/>
    <w:rsid w:val="00233966"/>
    <w:rsid w:val="00233B5B"/>
    <w:rsid w:val="00233C8E"/>
    <w:rsid w:val="00233F3F"/>
    <w:rsid w:val="00234231"/>
    <w:rsid w:val="00234547"/>
    <w:rsid w:val="002345AF"/>
    <w:rsid w:val="002345EB"/>
    <w:rsid w:val="002346B1"/>
    <w:rsid w:val="002348F4"/>
    <w:rsid w:val="00234947"/>
    <w:rsid w:val="00234948"/>
    <w:rsid w:val="00234C21"/>
    <w:rsid w:val="00234FB5"/>
    <w:rsid w:val="00234FE6"/>
    <w:rsid w:val="002350F0"/>
    <w:rsid w:val="0023510A"/>
    <w:rsid w:val="0023518A"/>
    <w:rsid w:val="002351E0"/>
    <w:rsid w:val="00235257"/>
    <w:rsid w:val="0023545B"/>
    <w:rsid w:val="002358F6"/>
    <w:rsid w:val="00235D52"/>
    <w:rsid w:val="00235DC4"/>
    <w:rsid w:val="00235EAC"/>
    <w:rsid w:val="00235EC1"/>
    <w:rsid w:val="00235F28"/>
    <w:rsid w:val="00235FB5"/>
    <w:rsid w:val="00236157"/>
    <w:rsid w:val="00236235"/>
    <w:rsid w:val="002364D6"/>
    <w:rsid w:val="00236906"/>
    <w:rsid w:val="00236A6E"/>
    <w:rsid w:val="00236B47"/>
    <w:rsid w:val="00236C00"/>
    <w:rsid w:val="00236D80"/>
    <w:rsid w:val="00236DEF"/>
    <w:rsid w:val="00237225"/>
    <w:rsid w:val="0023744A"/>
    <w:rsid w:val="002374BF"/>
    <w:rsid w:val="00237569"/>
    <w:rsid w:val="0023758C"/>
    <w:rsid w:val="00237627"/>
    <w:rsid w:val="00237737"/>
    <w:rsid w:val="00237BAA"/>
    <w:rsid w:val="00237F2E"/>
    <w:rsid w:val="00237F5C"/>
    <w:rsid w:val="00240240"/>
    <w:rsid w:val="00240575"/>
    <w:rsid w:val="00240654"/>
    <w:rsid w:val="00240827"/>
    <w:rsid w:val="002409B3"/>
    <w:rsid w:val="00240ADF"/>
    <w:rsid w:val="00240B23"/>
    <w:rsid w:val="00240D24"/>
    <w:rsid w:val="00240D9C"/>
    <w:rsid w:val="00240E1F"/>
    <w:rsid w:val="00240EBD"/>
    <w:rsid w:val="00240EDE"/>
    <w:rsid w:val="00240F6B"/>
    <w:rsid w:val="0024124D"/>
    <w:rsid w:val="002412AC"/>
    <w:rsid w:val="0024145D"/>
    <w:rsid w:val="002414AC"/>
    <w:rsid w:val="0024167C"/>
    <w:rsid w:val="0024186E"/>
    <w:rsid w:val="00241DEE"/>
    <w:rsid w:val="00241E81"/>
    <w:rsid w:val="00241F4C"/>
    <w:rsid w:val="002420D7"/>
    <w:rsid w:val="0024218F"/>
    <w:rsid w:val="00242269"/>
    <w:rsid w:val="00242641"/>
    <w:rsid w:val="002426B4"/>
    <w:rsid w:val="002428F7"/>
    <w:rsid w:val="00242979"/>
    <w:rsid w:val="00242BD7"/>
    <w:rsid w:val="00242BF1"/>
    <w:rsid w:val="00242C4A"/>
    <w:rsid w:val="00242E12"/>
    <w:rsid w:val="00242FD2"/>
    <w:rsid w:val="0024303C"/>
    <w:rsid w:val="0024311D"/>
    <w:rsid w:val="00243243"/>
    <w:rsid w:val="00243271"/>
    <w:rsid w:val="0024342E"/>
    <w:rsid w:val="00243609"/>
    <w:rsid w:val="0024375B"/>
    <w:rsid w:val="002438F4"/>
    <w:rsid w:val="0024398D"/>
    <w:rsid w:val="00243A49"/>
    <w:rsid w:val="00243C66"/>
    <w:rsid w:val="00243D9D"/>
    <w:rsid w:val="00243F40"/>
    <w:rsid w:val="00244441"/>
    <w:rsid w:val="0024452D"/>
    <w:rsid w:val="00244539"/>
    <w:rsid w:val="00244541"/>
    <w:rsid w:val="002445D5"/>
    <w:rsid w:val="0024482D"/>
    <w:rsid w:val="0024492C"/>
    <w:rsid w:val="00244988"/>
    <w:rsid w:val="0024499D"/>
    <w:rsid w:val="00244AFC"/>
    <w:rsid w:val="00244C18"/>
    <w:rsid w:val="00244D47"/>
    <w:rsid w:val="00244ED7"/>
    <w:rsid w:val="00244EE1"/>
    <w:rsid w:val="00245101"/>
    <w:rsid w:val="00245269"/>
    <w:rsid w:val="00245284"/>
    <w:rsid w:val="0024530C"/>
    <w:rsid w:val="00245446"/>
    <w:rsid w:val="0024559E"/>
    <w:rsid w:val="00245647"/>
    <w:rsid w:val="0024574D"/>
    <w:rsid w:val="00245A26"/>
    <w:rsid w:val="00245C40"/>
    <w:rsid w:val="00245D0A"/>
    <w:rsid w:val="00245E03"/>
    <w:rsid w:val="00245E3A"/>
    <w:rsid w:val="00246033"/>
    <w:rsid w:val="0024627C"/>
    <w:rsid w:val="00246331"/>
    <w:rsid w:val="00246571"/>
    <w:rsid w:val="0024680D"/>
    <w:rsid w:val="002468D4"/>
    <w:rsid w:val="002468EB"/>
    <w:rsid w:val="00246904"/>
    <w:rsid w:val="00246B23"/>
    <w:rsid w:val="00246DCC"/>
    <w:rsid w:val="00246DED"/>
    <w:rsid w:val="00246E5C"/>
    <w:rsid w:val="00246ECE"/>
    <w:rsid w:val="00246FA2"/>
    <w:rsid w:val="00246FAB"/>
    <w:rsid w:val="00247192"/>
    <w:rsid w:val="0024728F"/>
    <w:rsid w:val="00247351"/>
    <w:rsid w:val="00247459"/>
    <w:rsid w:val="0024749C"/>
    <w:rsid w:val="00247602"/>
    <w:rsid w:val="00247678"/>
    <w:rsid w:val="002477E0"/>
    <w:rsid w:val="0024783F"/>
    <w:rsid w:val="00247914"/>
    <w:rsid w:val="00247CBF"/>
    <w:rsid w:val="00247CC0"/>
    <w:rsid w:val="00247D4E"/>
    <w:rsid w:val="00247E86"/>
    <w:rsid w:val="00247F68"/>
    <w:rsid w:val="00247F88"/>
    <w:rsid w:val="00247FF4"/>
    <w:rsid w:val="0025036D"/>
    <w:rsid w:val="00250781"/>
    <w:rsid w:val="00250A9A"/>
    <w:rsid w:val="00250CB0"/>
    <w:rsid w:val="00251104"/>
    <w:rsid w:val="00251285"/>
    <w:rsid w:val="002513C1"/>
    <w:rsid w:val="0025157A"/>
    <w:rsid w:val="0025177F"/>
    <w:rsid w:val="00251797"/>
    <w:rsid w:val="002517AC"/>
    <w:rsid w:val="00251922"/>
    <w:rsid w:val="00251BD3"/>
    <w:rsid w:val="00251C2D"/>
    <w:rsid w:val="00251D34"/>
    <w:rsid w:val="00251DC5"/>
    <w:rsid w:val="00251DCE"/>
    <w:rsid w:val="00251F67"/>
    <w:rsid w:val="00252481"/>
    <w:rsid w:val="0025266B"/>
    <w:rsid w:val="00252728"/>
    <w:rsid w:val="0025276C"/>
    <w:rsid w:val="00252884"/>
    <w:rsid w:val="002529D1"/>
    <w:rsid w:val="00252BC3"/>
    <w:rsid w:val="00252BE5"/>
    <w:rsid w:val="00252CAA"/>
    <w:rsid w:val="00252ED3"/>
    <w:rsid w:val="00252F8E"/>
    <w:rsid w:val="002530F9"/>
    <w:rsid w:val="002531A4"/>
    <w:rsid w:val="002531EF"/>
    <w:rsid w:val="0025324E"/>
    <w:rsid w:val="00253537"/>
    <w:rsid w:val="002535AE"/>
    <w:rsid w:val="00253633"/>
    <w:rsid w:val="00253B24"/>
    <w:rsid w:val="00253BBD"/>
    <w:rsid w:val="00253D5F"/>
    <w:rsid w:val="0025409A"/>
    <w:rsid w:val="0025416C"/>
    <w:rsid w:val="0025420C"/>
    <w:rsid w:val="00254389"/>
    <w:rsid w:val="0025438A"/>
    <w:rsid w:val="0025443D"/>
    <w:rsid w:val="00254ED6"/>
    <w:rsid w:val="00254F6C"/>
    <w:rsid w:val="0025516B"/>
    <w:rsid w:val="00255199"/>
    <w:rsid w:val="002551FB"/>
    <w:rsid w:val="00255253"/>
    <w:rsid w:val="002555AE"/>
    <w:rsid w:val="002557CB"/>
    <w:rsid w:val="00255AA3"/>
    <w:rsid w:val="0025609A"/>
    <w:rsid w:val="002560D5"/>
    <w:rsid w:val="00256155"/>
    <w:rsid w:val="00256571"/>
    <w:rsid w:val="00256595"/>
    <w:rsid w:val="00256624"/>
    <w:rsid w:val="002567D7"/>
    <w:rsid w:val="00256AD7"/>
    <w:rsid w:val="00256CFB"/>
    <w:rsid w:val="00256F4F"/>
    <w:rsid w:val="002570F7"/>
    <w:rsid w:val="0025724D"/>
    <w:rsid w:val="00257335"/>
    <w:rsid w:val="002573E3"/>
    <w:rsid w:val="002574FA"/>
    <w:rsid w:val="00257768"/>
    <w:rsid w:val="002578E1"/>
    <w:rsid w:val="002578EB"/>
    <w:rsid w:val="00257907"/>
    <w:rsid w:val="00257972"/>
    <w:rsid w:val="00257CF9"/>
    <w:rsid w:val="002600CB"/>
    <w:rsid w:val="00260351"/>
    <w:rsid w:val="002604D5"/>
    <w:rsid w:val="00260594"/>
    <w:rsid w:val="00260655"/>
    <w:rsid w:val="002606FF"/>
    <w:rsid w:val="00260798"/>
    <w:rsid w:val="002607C0"/>
    <w:rsid w:val="002607FB"/>
    <w:rsid w:val="00260994"/>
    <w:rsid w:val="00260AA7"/>
    <w:rsid w:val="00260B48"/>
    <w:rsid w:val="00260B79"/>
    <w:rsid w:val="00260CC4"/>
    <w:rsid w:val="00260D5B"/>
    <w:rsid w:val="00260EB0"/>
    <w:rsid w:val="00261067"/>
    <w:rsid w:val="002610DB"/>
    <w:rsid w:val="0026113E"/>
    <w:rsid w:val="00261230"/>
    <w:rsid w:val="00261234"/>
    <w:rsid w:val="0026132E"/>
    <w:rsid w:val="00261343"/>
    <w:rsid w:val="00261352"/>
    <w:rsid w:val="002613C4"/>
    <w:rsid w:val="00261798"/>
    <w:rsid w:val="00261B0F"/>
    <w:rsid w:val="00261D69"/>
    <w:rsid w:val="00261D6D"/>
    <w:rsid w:val="00261E68"/>
    <w:rsid w:val="00261E96"/>
    <w:rsid w:val="0026200E"/>
    <w:rsid w:val="00262030"/>
    <w:rsid w:val="002620C5"/>
    <w:rsid w:val="002620E1"/>
    <w:rsid w:val="00262257"/>
    <w:rsid w:val="0026227E"/>
    <w:rsid w:val="002622FF"/>
    <w:rsid w:val="0026235D"/>
    <w:rsid w:val="002627BC"/>
    <w:rsid w:val="0026291A"/>
    <w:rsid w:val="00262A4A"/>
    <w:rsid w:val="00262A68"/>
    <w:rsid w:val="00262AC8"/>
    <w:rsid w:val="00262BE5"/>
    <w:rsid w:val="00262BF3"/>
    <w:rsid w:val="00262C16"/>
    <w:rsid w:val="00262C83"/>
    <w:rsid w:val="002631F5"/>
    <w:rsid w:val="0026325F"/>
    <w:rsid w:val="002632D7"/>
    <w:rsid w:val="002634CD"/>
    <w:rsid w:val="00263525"/>
    <w:rsid w:val="00263578"/>
    <w:rsid w:val="002636E6"/>
    <w:rsid w:val="0026385A"/>
    <w:rsid w:val="00263A9F"/>
    <w:rsid w:val="00263B6F"/>
    <w:rsid w:val="00263C94"/>
    <w:rsid w:val="00263D81"/>
    <w:rsid w:val="002642EF"/>
    <w:rsid w:val="0026451F"/>
    <w:rsid w:val="00264798"/>
    <w:rsid w:val="00264817"/>
    <w:rsid w:val="00264BDB"/>
    <w:rsid w:val="00264EB1"/>
    <w:rsid w:val="00264FBC"/>
    <w:rsid w:val="002650A5"/>
    <w:rsid w:val="00265426"/>
    <w:rsid w:val="00265457"/>
    <w:rsid w:val="00265529"/>
    <w:rsid w:val="002657A9"/>
    <w:rsid w:val="0026592B"/>
    <w:rsid w:val="002659B5"/>
    <w:rsid w:val="00265CC8"/>
    <w:rsid w:val="00265DC2"/>
    <w:rsid w:val="00265E30"/>
    <w:rsid w:val="00265E59"/>
    <w:rsid w:val="00265E96"/>
    <w:rsid w:val="00266057"/>
    <w:rsid w:val="00266295"/>
    <w:rsid w:val="0026629F"/>
    <w:rsid w:val="00266589"/>
    <w:rsid w:val="0026661F"/>
    <w:rsid w:val="0026675B"/>
    <w:rsid w:val="00266874"/>
    <w:rsid w:val="00266D75"/>
    <w:rsid w:val="00266E31"/>
    <w:rsid w:val="002670B2"/>
    <w:rsid w:val="002670F3"/>
    <w:rsid w:val="002672BA"/>
    <w:rsid w:val="002672CE"/>
    <w:rsid w:val="00267320"/>
    <w:rsid w:val="0026736B"/>
    <w:rsid w:val="002673EB"/>
    <w:rsid w:val="0026758C"/>
    <w:rsid w:val="002675B5"/>
    <w:rsid w:val="00267614"/>
    <w:rsid w:val="00267795"/>
    <w:rsid w:val="00267861"/>
    <w:rsid w:val="00267939"/>
    <w:rsid w:val="00267AD1"/>
    <w:rsid w:val="00267CC1"/>
    <w:rsid w:val="00267D05"/>
    <w:rsid w:val="00267D18"/>
    <w:rsid w:val="00270001"/>
    <w:rsid w:val="0027076F"/>
    <w:rsid w:val="0027089E"/>
    <w:rsid w:val="002709BC"/>
    <w:rsid w:val="00270C9A"/>
    <w:rsid w:val="00270D0C"/>
    <w:rsid w:val="00270D8D"/>
    <w:rsid w:val="00270EBA"/>
    <w:rsid w:val="00270EC2"/>
    <w:rsid w:val="00270ECA"/>
    <w:rsid w:val="00270ECF"/>
    <w:rsid w:val="002713D6"/>
    <w:rsid w:val="002713DF"/>
    <w:rsid w:val="0027157F"/>
    <w:rsid w:val="00271A22"/>
    <w:rsid w:val="00271A5C"/>
    <w:rsid w:val="00271AAF"/>
    <w:rsid w:val="00271F7A"/>
    <w:rsid w:val="00272019"/>
    <w:rsid w:val="002723AF"/>
    <w:rsid w:val="00272462"/>
    <w:rsid w:val="00272522"/>
    <w:rsid w:val="0027276A"/>
    <w:rsid w:val="0027280E"/>
    <w:rsid w:val="002728D7"/>
    <w:rsid w:val="00272938"/>
    <w:rsid w:val="00272D81"/>
    <w:rsid w:val="00272E2C"/>
    <w:rsid w:val="00273540"/>
    <w:rsid w:val="0027357B"/>
    <w:rsid w:val="00273616"/>
    <w:rsid w:val="0027383C"/>
    <w:rsid w:val="002738BB"/>
    <w:rsid w:val="00273989"/>
    <w:rsid w:val="00273B6C"/>
    <w:rsid w:val="00273C26"/>
    <w:rsid w:val="00273C85"/>
    <w:rsid w:val="00273C94"/>
    <w:rsid w:val="00273D04"/>
    <w:rsid w:val="00274036"/>
    <w:rsid w:val="002740C1"/>
    <w:rsid w:val="00274157"/>
    <w:rsid w:val="00274161"/>
    <w:rsid w:val="00274439"/>
    <w:rsid w:val="0027462D"/>
    <w:rsid w:val="00274676"/>
    <w:rsid w:val="0027468A"/>
    <w:rsid w:val="002746F7"/>
    <w:rsid w:val="002747B6"/>
    <w:rsid w:val="002749BA"/>
    <w:rsid w:val="00274DF5"/>
    <w:rsid w:val="00274E99"/>
    <w:rsid w:val="00274F5A"/>
    <w:rsid w:val="00274F83"/>
    <w:rsid w:val="002750EC"/>
    <w:rsid w:val="00275206"/>
    <w:rsid w:val="002753F4"/>
    <w:rsid w:val="00275548"/>
    <w:rsid w:val="0027556E"/>
    <w:rsid w:val="00275B6D"/>
    <w:rsid w:val="00275C44"/>
    <w:rsid w:val="00275E20"/>
    <w:rsid w:val="00275EF6"/>
    <w:rsid w:val="002762C8"/>
    <w:rsid w:val="002763B7"/>
    <w:rsid w:val="0027680E"/>
    <w:rsid w:val="00276A02"/>
    <w:rsid w:val="00276A30"/>
    <w:rsid w:val="00276A90"/>
    <w:rsid w:val="00276D96"/>
    <w:rsid w:val="00276F4F"/>
    <w:rsid w:val="00276F56"/>
    <w:rsid w:val="00277358"/>
    <w:rsid w:val="00277C90"/>
    <w:rsid w:val="00277E49"/>
    <w:rsid w:val="00277FCA"/>
    <w:rsid w:val="00280025"/>
    <w:rsid w:val="002800F0"/>
    <w:rsid w:val="0028036E"/>
    <w:rsid w:val="002804F1"/>
    <w:rsid w:val="002805D2"/>
    <w:rsid w:val="002806FE"/>
    <w:rsid w:val="00280776"/>
    <w:rsid w:val="002807DC"/>
    <w:rsid w:val="00280971"/>
    <w:rsid w:val="002809E2"/>
    <w:rsid w:val="00280A85"/>
    <w:rsid w:val="00280CB0"/>
    <w:rsid w:val="00280F81"/>
    <w:rsid w:val="00280FBB"/>
    <w:rsid w:val="00281008"/>
    <w:rsid w:val="00281086"/>
    <w:rsid w:val="00281105"/>
    <w:rsid w:val="00281162"/>
    <w:rsid w:val="002811D3"/>
    <w:rsid w:val="002812AB"/>
    <w:rsid w:val="002812F3"/>
    <w:rsid w:val="0028136D"/>
    <w:rsid w:val="00281449"/>
    <w:rsid w:val="0028149D"/>
    <w:rsid w:val="002815EC"/>
    <w:rsid w:val="0028168B"/>
    <w:rsid w:val="00281723"/>
    <w:rsid w:val="00281BA0"/>
    <w:rsid w:val="00281BD1"/>
    <w:rsid w:val="00281FDD"/>
    <w:rsid w:val="00282057"/>
    <w:rsid w:val="00282391"/>
    <w:rsid w:val="00282396"/>
    <w:rsid w:val="0028240F"/>
    <w:rsid w:val="0028272F"/>
    <w:rsid w:val="00282A5B"/>
    <w:rsid w:val="00282CF2"/>
    <w:rsid w:val="00282EE1"/>
    <w:rsid w:val="00282F16"/>
    <w:rsid w:val="00282FC8"/>
    <w:rsid w:val="00282FD7"/>
    <w:rsid w:val="00283156"/>
    <w:rsid w:val="00283445"/>
    <w:rsid w:val="002834A9"/>
    <w:rsid w:val="00283626"/>
    <w:rsid w:val="00283887"/>
    <w:rsid w:val="0028391F"/>
    <w:rsid w:val="002839BA"/>
    <w:rsid w:val="00283B3E"/>
    <w:rsid w:val="00283DE7"/>
    <w:rsid w:val="00284039"/>
    <w:rsid w:val="00284180"/>
    <w:rsid w:val="002842B2"/>
    <w:rsid w:val="002842E2"/>
    <w:rsid w:val="00284516"/>
    <w:rsid w:val="00284884"/>
    <w:rsid w:val="002848C2"/>
    <w:rsid w:val="00284B07"/>
    <w:rsid w:val="00284CCF"/>
    <w:rsid w:val="00284D81"/>
    <w:rsid w:val="00284ED5"/>
    <w:rsid w:val="002852A5"/>
    <w:rsid w:val="00285382"/>
    <w:rsid w:val="0028546D"/>
    <w:rsid w:val="002854B2"/>
    <w:rsid w:val="00285884"/>
    <w:rsid w:val="00285A05"/>
    <w:rsid w:val="00285B27"/>
    <w:rsid w:val="00285B75"/>
    <w:rsid w:val="00285D37"/>
    <w:rsid w:val="00285DB7"/>
    <w:rsid w:val="00285ECE"/>
    <w:rsid w:val="00285F15"/>
    <w:rsid w:val="00285F1D"/>
    <w:rsid w:val="00285FEC"/>
    <w:rsid w:val="0028606C"/>
    <w:rsid w:val="00286087"/>
    <w:rsid w:val="0028615D"/>
    <w:rsid w:val="002863BF"/>
    <w:rsid w:val="00286412"/>
    <w:rsid w:val="00286995"/>
    <w:rsid w:val="002869BE"/>
    <w:rsid w:val="002869FB"/>
    <w:rsid w:val="00286A25"/>
    <w:rsid w:val="00286AC3"/>
    <w:rsid w:val="00286BB3"/>
    <w:rsid w:val="00286C28"/>
    <w:rsid w:val="00286C7C"/>
    <w:rsid w:val="00286D3A"/>
    <w:rsid w:val="00286D6E"/>
    <w:rsid w:val="00286F55"/>
    <w:rsid w:val="00286F9D"/>
    <w:rsid w:val="00287013"/>
    <w:rsid w:val="002872D2"/>
    <w:rsid w:val="00287342"/>
    <w:rsid w:val="00287372"/>
    <w:rsid w:val="0028742A"/>
    <w:rsid w:val="0028757E"/>
    <w:rsid w:val="002877B0"/>
    <w:rsid w:val="00287810"/>
    <w:rsid w:val="00287950"/>
    <w:rsid w:val="00287B76"/>
    <w:rsid w:val="00287C05"/>
    <w:rsid w:val="00287E78"/>
    <w:rsid w:val="00287F65"/>
    <w:rsid w:val="00287FFA"/>
    <w:rsid w:val="002900F1"/>
    <w:rsid w:val="00290184"/>
    <w:rsid w:val="0029066E"/>
    <w:rsid w:val="002906B4"/>
    <w:rsid w:val="002909A1"/>
    <w:rsid w:val="00290A51"/>
    <w:rsid w:val="00290A6D"/>
    <w:rsid w:val="00290C36"/>
    <w:rsid w:val="00291144"/>
    <w:rsid w:val="0029119F"/>
    <w:rsid w:val="00291484"/>
    <w:rsid w:val="0029179A"/>
    <w:rsid w:val="0029189C"/>
    <w:rsid w:val="002918F4"/>
    <w:rsid w:val="00291A22"/>
    <w:rsid w:val="00291AD9"/>
    <w:rsid w:val="00291AEC"/>
    <w:rsid w:val="00291B78"/>
    <w:rsid w:val="00291CAE"/>
    <w:rsid w:val="00291CB4"/>
    <w:rsid w:val="00291D45"/>
    <w:rsid w:val="00291E7D"/>
    <w:rsid w:val="00291F51"/>
    <w:rsid w:val="00292038"/>
    <w:rsid w:val="002923C4"/>
    <w:rsid w:val="002924F7"/>
    <w:rsid w:val="00292515"/>
    <w:rsid w:val="00292585"/>
    <w:rsid w:val="002925D0"/>
    <w:rsid w:val="00292665"/>
    <w:rsid w:val="002928FB"/>
    <w:rsid w:val="0029290F"/>
    <w:rsid w:val="00292AFE"/>
    <w:rsid w:val="00292C1C"/>
    <w:rsid w:val="00292EB4"/>
    <w:rsid w:val="00292F06"/>
    <w:rsid w:val="0029314B"/>
    <w:rsid w:val="00293762"/>
    <w:rsid w:val="00293884"/>
    <w:rsid w:val="002939EF"/>
    <w:rsid w:val="00293C04"/>
    <w:rsid w:val="00293CCB"/>
    <w:rsid w:val="00293D43"/>
    <w:rsid w:val="00293DCF"/>
    <w:rsid w:val="00293E29"/>
    <w:rsid w:val="00293E53"/>
    <w:rsid w:val="00293EBD"/>
    <w:rsid w:val="002940C3"/>
    <w:rsid w:val="00294179"/>
    <w:rsid w:val="00294320"/>
    <w:rsid w:val="00294350"/>
    <w:rsid w:val="00294613"/>
    <w:rsid w:val="00294629"/>
    <w:rsid w:val="0029466D"/>
    <w:rsid w:val="002948C7"/>
    <w:rsid w:val="002949B3"/>
    <w:rsid w:val="00294A60"/>
    <w:rsid w:val="00294BC7"/>
    <w:rsid w:val="00294CCA"/>
    <w:rsid w:val="00294D45"/>
    <w:rsid w:val="00294E92"/>
    <w:rsid w:val="00294E97"/>
    <w:rsid w:val="00294EC2"/>
    <w:rsid w:val="00294EEB"/>
    <w:rsid w:val="0029517F"/>
    <w:rsid w:val="0029533D"/>
    <w:rsid w:val="0029534C"/>
    <w:rsid w:val="002953FE"/>
    <w:rsid w:val="00295473"/>
    <w:rsid w:val="002954C5"/>
    <w:rsid w:val="0029580F"/>
    <w:rsid w:val="00295A1F"/>
    <w:rsid w:val="00295CE5"/>
    <w:rsid w:val="00295DFC"/>
    <w:rsid w:val="00295E96"/>
    <w:rsid w:val="002960CC"/>
    <w:rsid w:val="002961CF"/>
    <w:rsid w:val="0029639D"/>
    <w:rsid w:val="0029663C"/>
    <w:rsid w:val="0029693A"/>
    <w:rsid w:val="0029695E"/>
    <w:rsid w:val="00296C67"/>
    <w:rsid w:val="00296CFE"/>
    <w:rsid w:val="00296E83"/>
    <w:rsid w:val="002974CB"/>
    <w:rsid w:val="00297582"/>
    <w:rsid w:val="00297701"/>
    <w:rsid w:val="0029774F"/>
    <w:rsid w:val="0029775E"/>
    <w:rsid w:val="00297782"/>
    <w:rsid w:val="002977B3"/>
    <w:rsid w:val="002979C8"/>
    <w:rsid w:val="00297A68"/>
    <w:rsid w:val="00297AD8"/>
    <w:rsid w:val="00297C0A"/>
    <w:rsid w:val="00297EFA"/>
    <w:rsid w:val="002A0059"/>
    <w:rsid w:val="002A007E"/>
    <w:rsid w:val="002A01C3"/>
    <w:rsid w:val="002A0515"/>
    <w:rsid w:val="002A05D5"/>
    <w:rsid w:val="002A07E8"/>
    <w:rsid w:val="002A0985"/>
    <w:rsid w:val="002A0C21"/>
    <w:rsid w:val="002A0D22"/>
    <w:rsid w:val="002A0D7B"/>
    <w:rsid w:val="002A0DC1"/>
    <w:rsid w:val="002A0DF8"/>
    <w:rsid w:val="002A0E2E"/>
    <w:rsid w:val="002A0F75"/>
    <w:rsid w:val="002A118B"/>
    <w:rsid w:val="002A1214"/>
    <w:rsid w:val="002A1239"/>
    <w:rsid w:val="002A12C3"/>
    <w:rsid w:val="002A1426"/>
    <w:rsid w:val="002A1592"/>
    <w:rsid w:val="002A1732"/>
    <w:rsid w:val="002A1780"/>
    <w:rsid w:val="002A17E3"/>
    <w:rsid w:val="002A189A"/>
    <w:rsid w:val="002A18E5"/>
    <w:rsid w:val="002A21DC"/>
    <w:rsid w:val="002A2242"/>
    <w:rsid w:val="002A24F2"/>
    <w:rsid w:val="002A256F"/>
    <w:rsid w:val="002A2581"/>
    <w:rsid w:val="002A25F2"/>
    <w:rsid w:val="002A266C"/>
    <w:rsid w:val="002A26E6"/>
    <w:rsid w:val="002A2848"/>
    <w:rsid w:val="002A28DA"/>
    <w:rsid w:val="002A2D7A"/>
    <w:rsid w:val="002A2EC3"/>
    <w:rsid w:val="002A3016"/>
    <w:rsid w:val="002A311F"/>
    <w:rsid w:val="002A3770"/>
    <w:rsid w:val="002A413B"/>
    <w:rsid w:val="002A425C"/>
    <w:rsid w:val="002A42C6"/>
    <w:rsid w:val="002A43C3"/>
    <w:rsid w:val="002A43FE"/>
    <w:rsid w:val="002A465F"/>
    <w:rsid w:val="002A486E"/>
    <w:rsid w:val="002A48A8"/>
    <w:rsid w:val="002A4951"/>
    <w:rsid w:val="002A4BCF"/>
    <w:rsid w:val="002A4D27"/>
    <w:rsid w:val="002A4DA2"/>
    <w:rsid w:val="002A520F"/>
    <w:rsid w:val="002A5275"/>
    <w:rsid w:val="002A5298"/>
    <w:rsid w:val="002A53AC"/>
    <w:rsid w:val="002A5415"/>
    <w:rsid w:val="002A544D"/>
    <w:rsid w:val="002A54AB"/>
    <w:rsid w:val="002A567D"/>
    <w:rsid w:val="002A5890"/>
    <w:rsid w:val="002A595E"/>
    <w:rsid w:val="002A5968"/>
    <w:rsid w:val="002A59E6"/>
    <w:rsid w:val="002A5B82"/>
    <w:rsid w:val="002A5BCB"/>
    <w:rsid w:val="002A5C63"/>
    <w:rsid w:val="002A5E2B"/>
    <w:rsid w:val="002A5E67"/>
    <w:rsid w:val="002A5E9C"/>
    <w:rsid w:val="002A5F65"/>
    <w:rsid w:val="002A6023"/>
    <w:rsid w:val="002A60AB"/>
    <w:rsid w:val="002A60EA"/>
    <w:rsid w:val="002A60F7"/>
    <w:rsid w:val="002A616E"/>
    <w:rsid w:val="002A644D"/>
    <w:rsid w:val="002A65AB"/>
    <w:rsid w:val="002A688C"/>
    <w:rsid w:val="002A6941"/>
    <w:rsid w:val="002A69A6"/>
    <w:rsid w:val="002A6AE9"/>
    <w:rsid w:val="002A6B87"/>
    <w:rsid w:val="002A6FAF"/>
    <w:rsid w:val="002A7124"/>
    <w:rsid w:val="002A7242"/>
    <w:rsid w:val="002A72F4"/>
    <w:rsid w:val="002A73B1"/>
    <w:rsid w:val="002A75A7"/>
    <w:rsid w:val="002A7A91"/>
    <w:rsid w:val="002A7AE3"/>
    <w:rsid w:val="002A7CBF"/>
    <w:rsid w:val="002A7CDA"/>
    <w:rsid w:val="002A7F40"/>
    <w:rsid w:val="002B022A"/>
    <w:rsid w:val="002B0278"/>
    <w:rsid w:val="002B03A0"/>
    <w:rsid w:val="002B0783"/>
    <w:rsid w:val="002B079F"/>
    <w:rsid w:val="002B07C8"/>
    <w:rsid w:val="002B0848"/>
    <w:rsid w:val="002B0A84"/>
    <w:rsid w:val="002B0BB1"/>
    <w:rsid w:val="002B0EB4"/>
    <w:rsid w:val="002B0EBC"/>
    <w:rsid w:val="002B0F1B"/>
    <w:rsid w:val="002B0FC0"/>
    <w:rsid w:val="002B10DB"/>
    <w:rsid w:val="002B11B5"/>
    <w:rsid w:val="002B1347"/>
    <w:rsid w:val="002B1413"/>
    <w:rsid w:val="002B169D"/>
    <w:rsid w:val="002B17F0"/>
    <w:rsid w:val="002B1883"/>
    <w:rsid w:val="002B1C4F"/>
    <w:rsid w:val="002B1D6E"/>
    <w:rsid w:val="002B1FFE"/>
    <w:rsid w:val="002B20FE"/>
    <w:rsid w:val="002B22CA"/>
    <w:rsid w:val="002B22D4"/>
    <w:rsid w:val="002B2377"/>
    <w:rsid w:val="002B23FA"/>
    <w:rsid w:val="002B240D"/>
    <w:rsid w:val="002B2786"/>
    <w:rsid w:val="002B28DA"/>
    <w:rsid w:val="002B2906"/>
    <w:rsid w:val="002B2C45"/>
    <w:rsid w:val="002B2CC0"/>
    <w:rsid w:val="002B2EE5"/>
    <w:rsid w:val="002B2F5D"/>
    <w:rsid w:val="002B3204"/>
    <w:rsid w:val="002B335E"/>
    <w:rsid w:val="002B3543"/>
    <w:rsid w:val="002B359F"/>
    <w:rsid w:val="002B3928"/>
    <w:rsid w:val="002B3A6B"/>
    <w:rsid w:val="002B3A80"/>
    <w:rsid w:val="002B3D60"/>
    <w:rsid w:val="002B3D9A"/>
    <w:rsid w:val="002B3FC2"/>
    <w:rsid w:val="002B4074"/>
    <w:rsid w:val="002B40C3"/>
    <w:rsid w:val="002B424E"/>
    <w:rsid w:val="002B438F"/>
    <w:rsid w:val="002B441E"/>
    <w:rsid w:val="002B4525"/>
    <w:rsid w:val="002B4683"/>
    <w:rsid w:val="002B490B"/>
    <w:rsid w:val="002B4961"/>
    <w:rsid w:val="002B4C6B"/>
    <w:rsid w:val="002B4C9C"/>
    <w:rsid w:val="002B4EA7"/>
    <w:rsid w:val="002B4F05"/>
    <w:rsid w:val="002B4F6E"/>
    <w:rsid w:val="002B4FD0"/>
    <w:rsid w:val="002B5149"/>
    <w:rsid w:val="002B51F9"/>
    <w:rsid w:val="002B52D9"/>
    <w:rsid w:val="002B53C0"/>
    <w:rsid w:val="002B53F9"/>
    <w:rsid w:val="002B55AF"/>
    <w:rsid w:val="002B5719"/>
    <w:rsid w:val="002B5787"/>
    <w:rsid w:val="002B5885"/>
    <w:rsid w:val="002B5891"/>
    <w:rsid w:val="002B58B3"/>
    <w:rsid w:val="002B5962"/>
    <w:rsid w:val="002B5AEB"/>
    <w:rsid w:val="002B5AF4"/>
    <w:rsid w:val="002B5BA7"/>
    <w:rsid w:val="002B5C0B"/>
    <w:rsid w:val="002B5EDF"/>
    <w:rsid w:val="002B5F0B"/>
    <w:rsid w:val="002B6274"/>
    <w:rsid w:val="002B638F"/>
    <w:rsid w:val="002B63F9"/>
    <w:rsid w:val="002B66D3"/>
    <w:rsid w:val="002B6A63"/>
    <w:rsid w:val="002B6B21"/>
    <w:rsid w:val="002B6BCA"/>
    <w:rsid w:val="002B6C7A"/>
    <w:rsid w:val="002B6D24"/>
    <w:rsid w:val="002B6E9E"/>
    <w:rsid w:val="002B6EAE"/>
    <w:rsid w:val="002B6FEB"/>
    <w:rsid w:val="002B70C5"/>
    <w:rsid w:val="002B7135"/>
    <w:rsid w:val="002B7188"/>
    <w:rsid w:val="002B7214"/>
    <w:rsid w:val="002B737C"/>
    <w:rsid w:val="002B7601"/>
    <w:rsid w:val="002B7674"/>
    <w:rsid w:val="002B76D6"/>
    <w:rsid w:val="002B7800"/>
    <w:rsid w:val="002B7C2D"/>
    <w:rsid w:val="002B7D88"/>
    <w:rsid w:val="002B7E52"/>
    <w:rsid w:val="002C003A"/>
    <w:rsid w:val="002C010E"/>
    <w:rsid w:val="002C01AC"/>
    <w:rsid w:val="002C0212"/>
    <w:rsid w:val="002C0249"/>
    <w:rsid w:val="002C02C6"/>
    <w:rsid w:val="002C0343"/>
    <w:rsid w:val="002C043D"/>
    <w:rsid w:val="002C0461"/>
    <w:rsid w:val="002C05A4"/>
    <w:rsid w:val="002C08D5"/>
    <w:rsid w:val="002C0938"/>
    <w:rsid w:val="002C0B9F"/>
    <w:rsid w:val="002C0C9D"/>
    <w:rsid w:val="002C0D9C"/>
    <w:rsid w:val="002C1075"/>
    <w:rsid w:val="002C11A6"/>
    <w:rsid w:val="002C1343"/>
    <w:rsid w:val="002C1375"/>
    <w:rsid w:val="002C13FB"/>
    <w:rsid w:val="002C15E1"/>
    <w:rsid w:val="002C16CE"/>
    <w:rsid w:val="002C1A0D"/>
    <w:rsid w:val="002C1D2E"/>
    <w:rsid w:val="002C1D86"/>
    <w:rsid w:val="002C1DDD"/>
    <w:rsid w:val="002C1F0E"/>
    <w:rsid w:val="002C1FAC"/>
    <w:rsid w:val="002C2074"/>
    <w:rsid w:val="002C20C0"/>
    <w:rsid w:val="002C21A5"/>
    <w:rsid w:val="002C229F"/>
    <w:rsid w:val="002C22A7"/>
    <w:rsid w:val="002C22B0"/>
    <w:rsid w:val="002C23B5"/>
    <w:rsid w:val="002C243A"/>
    <w:rsid w:val="002C2491"/>
    <w:rsid w:val="002C276A"/>
    <w:rsid w:val="002C2777"/>
    <w:rsid w:val="002C2863"/>
    <w:rsid w:val="002C2A1A"/>
    <w:rsid w:val="002C2B40"/>
    <w:rsid w:val="002C2BFA"/>
    <w:rsid w:val="002C2D7C"/>
    <w:rsid w:val="002C2F9F"/>
    <w:rsid w:val="002C2FEC"/>
    <w:rsid w:val="002C3008"/>
    <w:rsid w:val="002C30D7"/>
    <w:rsid w:val="002C360F"/>
    <w:rsid w:val="002C37A6"/>
    <w:rsid w:val="002C3889"/>
    <w:rsid w:val="002C3AAF"/>
    <w:rsid w:val="002C3BB2"/>
    <w:rsid w:val="002C3E4B"/>
    <w:rsid w:val="002C402B"/>
    <w:rsid w:val="002C40F9"/>
    <w:rsid w:val="002C412D"/>
    <w:rsid w:val="002C4199"/>
    <w:rsid w:val="002C4383"/>
    <w:rsid w:val="002C4484"/>
    <w:rsid w:val="002C47D6"/>
    <w:rsid w:val="002C4901"/>
    <w:rsid w:val="002C493B"/>
    <w:rsid w:val="002C4A18"/>
    <w:rsid w:val="002C4A9B"/>
    <w:rsid w:val="002C4D47"/>
    <w:rsid w:val="002C4E55"/>
    <w:rsid w:val="002C4F7F"/>
    <w:rsid w:val="002C50ED"/>
    <w:rsid w:val="002C513E"/>
    <w:rsid w:val="002C5175"/>
    <w:rsid w:val="002C5275"/>
    <w:rsid w:val="002C52C8"/>
    <w:rsid w:val="002C52DC"/>
    <w:rsid w:val="002C5365"/>
    <w:rsid w:val="002C53E7"/>
    <w:rsid w:val="002C55C5"/>
    <w:rsid w:val="002C5761"/>
    <w:rsid w:val="002C57AA"/>
    <w:rsid w:val="002C58D2"/>
    <w:rsid w:val="002C59BD"/>
    <w:rsid w:val="002C59D2"/>
    <w:rsid w:val="002C59EF"/>
    <w:rsid w:val="002C5A4D"/>
    <w:rsid w:val="002C5AC5"/>
    <w:rsid w:val="002C5AF1"/>
    <w:rsid w:val="002C5B02"/>
    <w:rsid w:val="002C5E11"/>
    <w:rsid w:val="002C5EDD"/>
    <w:rsid w:val="002C5F91"/>
    <w:rsid w:val="002C6169"/>
    <w:rsid w:val="002C6172"/>
    <w:rsid w:val="002C621D"/>
    <w:rsid w:val="002C6285"/>
    <w:rsid w:val="002C645A"/>
    <w:rsid w:val="002C64D3"/>
    <w:rsid w:val="002C669C"/>
    <w:rsid w:val="002C670C"/>
    <w:rsid w:val="002C6761"/>
    <w:rsid w:val="002C6767"/>
    <w:rsid w:val="002C67F3"/>
    <w:rsid w:val="002C688C"/>
    <w:rsid w:val="002C6C5F"/>
    <w:rsid w:val="002C6C8B"/>
    <w:rsid w:val="002C6E3C"/>
    <w:rsid w:val="002C6E57"/>
    <w:rsid w:val="002C71F0"/>
    <w:rsid w:val="002C739D"/>
    <w:rsid w:val="002C73F0"/>
    <w:rsid w:val="002C74BE"/>
    <w:rsid w:val="002C7556"/>
    <w:rsid w:val="002C760C"/>
    <w:rsid w:val="002C76CB"/>
    <w:rsid w:val="002C76D9"/>
    <w:rsid w:val="002C78D6"/>
    <w:rsid w:val="002C790E"/>
    <w:rsid w:val="002C7A2E"/>
    <w:rsid w:val="002C7BB5"/>
    <w:rsid w:val="002C7CC8"/>
    <w:rsid w:val="002C7DE3"/>
    <w:rsid w:val="002D0077"/>
    <w:rsid w:val="002D00F1"/>
    <w:rsid w:val="002D04C9"/>
    <w:rsid w:val="002D09DE"/>
    <w:rsid w:val="002D09E0"/>
    <w:rsid w:val="002D0A07"/>
    <w:rsid w:val="002D0B05"/>
    <w:rsid w:val="002D0C4D"/>
    <w:rsid w:val="002D0CBC"/>
    <w:rsid w:val="002D0CC6"/>
    <w:rsid w:val="002D0D6D"/>
    <w:rsid w:val="002D0D8A"/>
    <w:rsid w:val="002D0DC0"/>
    <w:rsid w:val="002D0F49"/>
    <w:rsid w:val="002D10DC"/>
    <w:rsid w:val="002D110D"/>
    <w:rsid w:val="002D112E"/>
    <w:rsid w:val="002D1211"/>
    <w:rsid w:val="002D12C7"/>
    <w:rsid w:val="002D12FE"/>
    <w:rsid w:val="002D13D6"/>
    <w:rsid w:val="002D178A"/>
    <w:rsid w:val="002D17B9"/>
    <w:rsid w:val="002D1808"/>
    <w:rsid w:val="002D18C6"/>
    <w:rsid w:val="002D1B26"/>
    <w:rsid w:val="002D1B4D"/>
    <w:rsid w:val="002D21A9"/>
    <w:rsid w:val="002D21F8"/>
    <w:rsid w:val="002D24B9"/>
    <w:rsid w:val="002D260C"/>
    <w:rsid w:val="002D2898"/>
    <w:rsid w:val="002D2AF8"/>
    <w:rsid w:val="002D2BA6"/>
    <w:rsid w:val="002D2BB0"/>
    <w:rsid w:val="002D2CD6"/>
    <w:rsid w:val="002D2D4F"/>
    <w:rsid w:val="002D311D"/>
    <w:rsid w:val="002D3300"/>
    <w:rsid w:val="002D3347"/>
    <w:rsid w:val="002D342D"/>
    <w:rsid w:val="002D34EC"/>
    <w:rsid w:val="002D367F"/>
    <w:rsid w:val="002D36E0"/>
    <w:rsid w:val="002D36FA"/>
    <w:rsid w:val="002D37E3"/>
    <w:rsid w:val="002D3830"/>
    <w:rsid w:val="002D418A"/>
    <w:rsid w:val="002D42B8"/>
    <w:rsid w:val="002D43D0"/>
    <w:rsid w:val="002D4469"/>
    <w:rsid w:val="002D4706"/>
    <w:rsid w:val="002D477C"/>
    <w:rsid w:val="002D485A"/>
    <w:rsid w:val="002D4C27"/>
    <w:rsid w:val="002D4CCD"/>
    <w:rsid w:val="002D4E2D"/>
    <w:rsid w:val="002D4ED8"/>
    <w:rsid w:val="002D52D7"/>
    <w:rsid w:val="002D53D0"/>
    <w:rsid w:val="002D552B"/>
    <w:rsid w:val="002D55DF"/>
    <w:rsid w:val="002D5736"/>
    <w:rsid w:val="002D58F8"/>
    <w:rsid w:val="002D5950"/>
    <w:rsid w:val="002D5A91"/>
    <w:rsid w:val="002D5BF5"/>
    <w:rsid w:val="002D5CD6"/>
    <w:rsid w:val="002D5CE0"/>
    <w:rsid w:val="002D6001"/>
    <w:rsid w:val="002D607B"/>
    <w:rsid w:val="002D60A3"/>
    <w:rsid w:val="002D62E9"/>
    <w:rsid w:val="002D62F9"/>
    <w:rsid w:val="002D646C"/>
    <w:rsid w:val="002D6549"/>
    <w:rsid w:val="002D6771"/>
    <w:rsid w:val="002D6798"/>
    <w:rsid w:val="002D6848"/>
    <w:rsid w:val="002D693F"/>
    <w:rsid w:val="002D6C5A"/>
    <w:rsid w:val="002D6C61"/>
    <w:rsid w:val="002D6D50"/>
    <w:rsid w:val="002D6D8C"/>
    <w:rsid w:val="002D6EF8"/>
    <w:rsid w:val="002D6F45"/>
    <w:rsid w:val="002D7035"/>
    <w:rsid w:val="002D70E8"/>
    <w:rsid w:val="002D7290"/>
    <w:rsid w:val="002D7472"/>
    <w:rsid w:val="002D754D"/>
    <w:rsid w:val="002D7551"/>
    <w:rsid w:val="002D7671"/>
    <w:rsid w:val="002D77DC"/>
    <w:rsid w:val="002D78BD"/>
    <w:rsid w:val="002D7984"/>
    <w:rsid w:val="002D79A4"/>
    <w:rsid w:val="002D7A43"/>
    <w:rsid w:val="002D7AF9"/>
    <w:rsid w:val="002D7B8A"/>
    <w:rsid w:val="002D7D8F"/>
    <w:rsid w:val="002D7F0A"/>
    <w:rsid w:val="002D7F5B"/>
    <w:rsid w:val="002E0214"/>
    <w:rsid w:val="002E027E"/>
    <w:rsid w:val="002E02BA"/>
    <w:rsid w:val="002E0372"/>
    <w:rsid w:val="002E04B5"/>
    <w:rsid w:val="002E07A1"/>
    <w:rsid w:val="002E0907"/>
    <w:rsid w:val="002E09E5"/>
    <w:rsid w:val="002E0B08"/>
    <w:rsid w:val="002E0BE8"/>
    <w:rsid w:val="002E0E31"/>
    <w:rsid w:val="002E0E65"/>
    <w:rsid w:val="002E104F"/>
    <w:rsid w:val="002E1072"/>
    <w:rsid w:val="002E115E"/>
    <w:rsid w:val="002E15B7"/>
    <w:rsid w:val="002E17BB"/>
    <w:rsid w:val="002E1D85"/>
    <w:rsid w:val="002E1F2C"/>
    <w:rsid w:val="002E1F4A"/>
    <w:rsid w:val="002E2056"/>
    <w:rsid w:val="002E230B"/>
    <w:rsid w:val="002E240B"/>
    <w:rsid w:val="002E2443"/>
    <w:rsid w:val="002E257A"/>
    <w:rsid w:val="002E25E2"/>
    <w:rsid w:val="002E26F0"/>
    <w:rsid w:val="002E27DA"/>
    <w:rsid w:val="002E2848"/>
    <w:rsid w:val="002E291D"/>
    <w:rsid w:val="002E2ACD"/>
    <w:rsid w:val="002E2D77"/>
    <w:rsid w:val="002E2D90"/>
    <w:rsid w:val="002E3111"/>
    <w:rsid w:val="002E3217"/>
    <w:rsid w:val="002E3530"/>
    <w:rsid w:val="002E3807"/>
    <w:rsid w:val="002E382B"/>
    <w:rsid w:val="002E3925"/>
    <w:rsid w:val="002E3C46"/>
    <w:rsid w:val="002E3CA8"/>
    <w:rsid w:val="002E3E80"/>
    <w:rsid w:val="002E417A"/>
    <w:rsid w:val="002E428B"/>
    <w:rsid w:val="002E433C"/>
    <w:rsid w:val="002E4379"/>
    <w:rsid w:val="002E440B"/>
    <w:rsid w:val="002E4432"/>
    <w:rsid w:val="002E45EA"/>
    <w:rsid w:val="002E4770"/>
    <w:rsid w:val="002E47DA"/>
    <w:rsid w:val="002E4801"/>
    <w:rsid w:val="002E4888"/>
    <w:rsid w:val="002E4942"/>
    <w:rsid w:val="002E4A23"/>
    <w:rsid w:val="002E4ABA"/>
    <w:rsid w:val="002E4B01"/>
    <w:rsid w:val="002E4D97"/>
    <w:rsid w:val="002E4EE4"/>
    <w:rsid w:val="002E4EEE"/>
    <w:rsid w:val="002E4F36"/>
    <w:rsid w:val="002E510C"/>
    <w:rsid w:val="002E510F"/>
    <w:rsid w:val="002E532E"/>
    <w:rsid w:val="002E5362"/>
    <w:rsid w:val="002E55B7"/>
    <w:rsid w:val="002E55E9"/>
    <w:rsid w:val="002E5A0B"/>
    <w:rsid w:val="002E5B4F"/>
    <w:rsid w:val="002E5DFE"/>
    <w:rsid w:val="002E6135"/>
    <w:rsid w:val="002E6172"/>
    <w:rsid w:val="002E638F"/>
    <w:rsid w:val="002E642A"/>
    <w:rsid w:val="002E642E"/>
    <w:rsid w:val="002E64DC"/>
    <w:rsid w:val="002E6562"/>
    <w:rsid w:val="002E664A"/>
    <w:rsid w:val="002E68A2"/>
    <w:rsid w:val="002E6FB2"/>
    <w:rsid w:val="002E70B4"/>
    <w:rsid w:val="002E72E2"/>
    <w:rsid w:val="002E72F0"/>
    <w:rsid w:val="002E73AE"/>
    <w:rsid w:val="002E75D7"/>
    <w:rsid w:val="002E7885"/>
    <w:rsid w:val="002E79D1"/>
    <w:rsid w:val="002E7A0D"/>
    <w:rsid w:val="002E7ACA"/>
    <w:rsid w:val="002E7B77"/>
    <w:rsid w:val="002E7D1E"/>
    <w:rsid w:val="002E7D86"/>
    <w:rsid w:val="002E7DEB"/>
    <w:rsid w:val="002E7ED3"/>
    <w:rsid w:val="002E7FCD"/>
    <w:rsid w:val="002F01F0"/>
    <w:rsid w:val="002F025C"/>
    <w:rsid w:val="002F02AA"/>
    <w:rsid w:val="002F030E"/>
    <w:rsid w:val="002F0348"/>
    <w:rsid w:val="002F035E"/>
    <w:rsid w:val="002F0370"/>
    <w:rsid w:val="002F056B"/>
    <w:rsid w:val="002F0984"/>
    <w:rsid w:val="002F09E8"/>
    <w:rsid w:val="002F0D00"/>
    <w:rsid w:val="002F0D6B"/>
    <w:rsid w:val="002F0EE2"/>
    <w:rsid w:val="002F0FC6"/>
    <w:rsid w:val="002F129B"/>
    <w:rsid w:val="002F137F"/>
    <w:rsid w:val="002F13CF"/>
    <w:rsid w:val="002F1597"/>
    <w:rsid w:val="002F15E1"/>
    <w:rsid w:val="002F1601"/>
    <w:rsid w:val="002F16A7"/>
    <w:rsid w:val="002F16E4"/>
    <w:rsid w:val="002F18DD"/>
    <w:rsid w:val="002F19CF"/>
    <w:rsid w:val="002F19EA"/>
    <w:rsid w:val="002F1E72"/>
    <w:rsid w:val="002F1F07"/>
    <w:rsid w:val="002F1F5B"/>
    <w:rsid w:val="002F229B"/>
    <w:rsid w:val="002F2643"/>
    <w:rsid w:val="002F27F9"/>
    <w:rsid w:val="002F28B0"/>
    <w:rsid w:val="002F2A2A"/>
    <w:rsid w:val="002F2B70"/>
    <w:rsid w:val="002F2C7B"/>
    <w:rsid w:val="002F2CA6"/>
    <w:rsid w:val="002F2EF1"/>
    <w:rsid w:val="002F3406"/>
    <w:rsid w:val="002F359E"/>
    <w:rsid w:val="002F35DB"/>
    <w:rsid w:val="002F35FC"/>
    <w:rsid w:val="002F36AC"/>
    <w:rsid w:val="002F3739"/>
    <w:rsid w:val="002F37AE"/>
    <w:rsid w:val="002F38A1"/>
    <w:rsid w:val="002F39CB"/>
    <w:rsid w:val="002F3A37"/>
    <w:rsid w:val="002F3AA2"/>
    <w:rsid w:val="002F3DF3"/>
    <w:rsid w:val="002F3E52"/>
    <w:rsid w:val="002F3F00"/>
    <w:rsid w:val="002F4136"/>
    <w:rsid w:val="002F4195"/>
    <w:rsid w:val="002F4341"/>
    <w:rsid w:val="002F463F"/>
    <w:rsid w:val="002F4854"/>
    <w:rsid w:val="002F48B3"/>
    <w:rsid w:val="002F48C9"/>
    <w:rsid w:val="002F48DC"/>
    <w:rsid w:val="002F4936"/>
    <w:rsid w:val="002F4E16"/>
    <w:rsid w:val="002F4E7E"/>
    <w:rsid w:val="002F4F87"/>
    <w:rsid w:val="002F4F9A"/>
    <w:rsid w:val="002F4FB6"/>
    <w:rsid w:val="002F52E3"/>
    <w:rsid w:val="002F530E"/>
    <w:rsid w:val="002F53C7"/>
    <w:rsid w:val="002F540E"/>
    <w:rsid w:val="002F56E6"/>
    <w:rsid w:val="002F5713"/>
    <w:rsid w:val="002F5723"/>
    <w:rsid w:val="002F580C"/>
    <w:rsid w:val="002F5B1D"/>
    <w:rsid w:val="002F5B5B"/>
    <w:rsid w:val="002F5DA8"/>
    <w:rsid w:val="002F605A"/>
    <w:rsid w:val="002F60E1"/>
    <w:rsid w:val="002F6157"/>
    <w:rsid w:val="002F61CA"/>
    <w:rsid w:val="002F63C6"/>
    <w:rsid w:val="002F6610"/>
    <w:rsid w:val="002F682A"/>
    <w:rsid w:val="002F6908"/>
    <w:rsid w:val="002F692D"/>
    <w:rsid w:val="002F6C0D"/>
    <w:rsid w:val="002F6C4C"/>
    <w:rsid w:val="002F705E"/>
    <w:rsid w:val="002F71C1"/>
    <w:rsid w:val="002F72C3"/>
    <w:rsid w:val="002F72C9"/>
    <w:rsid w:val="002F7430"/>
    <w:rsid w:val="002F750D"/>
    <w:rsid w:val="002F773E"/>
    <w:rsid w:val="002F78D9"/>
    <w:rsid w:val="002F7982"/>
    <w:rsid w:val="002F7A75"/>
    <w:rsid w:val="002F7B02"/>
    <w:rsid w:val="002F7B57"/>
    <w:rsid w:val="002F7B58"/>
    <w:rsid w:val="002F7D1E"/>
    <w:rsid w:val="00300130"/>
    <w:rsid w:val="0030013D"/>
    <w:rsid w:val="003002D3"/>
    <w:rsid w:val="00300337"/>
    <w:rsid w:val="003004CB"/>
    <w:rsid w:val="00300690"/>
    <w:rsid w:val="00300741"/>
    <w:rsid w:val="0030096E"/>
    <w:rsid w:val="00300AD8"/>
    <w:rsid w:val="00300B78"/>
    <w:rsid w:val="00300B85"/>
    <w:rsid w:val="00300BC8"/>
    <w:rsid w:val="00300DD7"/>
    <w:rsid w:val="00300EC6"/>
    <w:rsid w:val="0030151D"/>
    <w:rsid w:val="00301532"/>
    <w:rsid w:val="003016CE"/>
    <w:rsid w:val="00301798"/>
    <w:rsid w:val="0030189A"/>
    <w:rsid w:val="00301A88"/>
    <w:rsid w:val="00301A94"/>
    <w:rsid w:val="00301D39"/>
    <w:rsid w:val="00301FCB"/>
    <w:rsid w:val="003024BA"/>
    <w:rsid w:val="0030260C"/>
    <w:rsid w:val="00302670"/>
    <w:rsid w:val="00302687"/>
    <w:rsid w:val="003026A3"/>
    <w:rsid w:val="003026E7"/>
    <w:rsid w:val="00302859"/>
    <w:rsid w:val="00302881"/>
    <w:rsid w:val="0030295B"/>
    <w:rsid w:val="00302AB5"/>
    <w:rsid w:val="00302C6D"/>
    <w:rsid w:val="00302CC6"/>
    <w:rsid w:val="00302EA5"/>
    <w:rsid w:val="00302F39"/>
    <w:rsid w:val="00302FD2"/>
    <w:rsid w:val="00303041"/>
    <w:rsid w:val="0030331E"/>
    <w:rsid w:val="00303338"/>
    <w:rsid w:val="00303435"/>
    <w:rsid w:val="003036FE"/>
    <w:rsid w:val="00303715"/>
    <w:rsid w:val="0030375A"/>
    <w:rsid w:val="0030385F"/>
    <w:rsid w:val="003039DC"/>
    <w:rsid w:val="00303A2B"/>
    <w:rsid w:val="00303BE8"/>
    <w:rsid w:val="00303E2D"/>
    <w:rsid w:val="00303E85"/>
    <w:rsid w:val="00303F2F"/>
    <w:rsid w:val="00304111"/>
    <w:rsid w:val="00304130"/>
    <w:rsid w:val="003043FA"/>
    <w:rsid w:val="0030447B"/>
    <w:rsid w:val="003045EA"/>
    <w:rsid w:val="0030462F"/>
    <w:rsid w:val="003047E2"/>
    <w:rsid w:val="003048A3"/>
    <w:rsid w:val="00304C2B"/>
    <w:rsid w:val="00304CC9"/>
    <w:rsid w:val="00305019"/>
    <w:rsid w:val="00305193"/>
    <w:rsid w:val="003051DA"/>
    <w:rsid w:val="00305541"/>
    <w:rsid w:val="003056E2"/>
    <w:rsid w:val="00305782"/>
    <w:rsid w:val="003057D9"/>
    <w:rsid w:val="003059B5"/>
    <w:rsid w:val="003059C7"/>
    <w:rsid w:val="00305B95"/>
    <w:rsid w:val="00305BE0"/>
    <w:rsid w:val="00305E1F"/>
    <w:rsid w:val="00305ED7"/>
    <w:rsid w:val="00306003"/>
    <w:rsid w:val="003060F1"/>
    <w:rsid w:val="003061DB"/>
    <w:rsid w:val="003061E6"/>
    <w:rsid w:val="00306270"/>
    <w:rsid w:val="003064C0"/>
    <w:rsid w:val="0030652D"/>
    <w:rsid w:val="00306536"/>
    <w:rsid w:val="0030660C"/>
    <w:rsid w:val="003066D9"/>
    <w:rsid w:val="003069F0"/>
    <w:rsid w:val="00306A4D"/>
    <w:rsid w:val="00306DA8"/>
    <w:rsid w:val="00306EBB"/>
    <w:rsid w:val="00306FA3"/>
    <w:rsid w:val="00306FAC"/>
    <w:rsid w:val="00307029"/>
    <w:rsid w:val="00307070"/>
    <w:rsid w:val="0030722C"/>
    <w:rsid w:val="0030725B"/>
    <w:rsid w:val="003072F0"/>
    <w:rsid w:val="003072F7"/>
    <w:rsid w:val="0030739E"/>
    <w:rsid w:val="003077B0"/>
    <w:rsid w:val="00307983"/>
    <w:rsid w:val="00307B55"/>
    <w:rsid w:val="003100C9"/>
    <w:rsid w:val="00310271"/>
    <w:rsid w:val="00310355"/>
    <w:rsid w:val="0031046E"/>
    <w:rsid w:val="0031047F"/>
    <w:rsid w:val="0031051E"/>
    <w:rsid w:val="00310611"/>
    <w:rsid w:val="00310618"/>
    <w:rsid w:val="0031066E"/>
    <w:rsid w:val="0031083F"/>
    <w:rsid w:val="00310849"/>
    <w:rsid w:val="003108F0"/>
    <w:rsid w:val="00310906"/>
    <w:rsid w:val="00310915"/>
    <w:rsid w:val="003109B2"/>
    <w:rsid w:val="00310C4F"/>
    <w:rsid w:val="00310CF5"/>
    <w:rsid w:val="00310D43"/>
    <w:rsid w:val="00310F87"/>
    <w:rsid w:val="00311278"/>
    <w:rsid w:val="00311300"/>
    <w:rsid w:val="0031155D"/>
    <w:rsid w:val="0031164B"/>
    <w:rsid w:val="0031178B"/>
    <w:rsid w:val="003117C7"/>
    <w:rsid w:val="00311854"/>
    <w:rsid w:val="00311AAE"/>
    <w:rsid w:val="00311D80"/>
    <w:rsid w:val="00311F4F"/>
    <w:rsid w:val="00311F8B"/>
    <w:rsid w:val="00312085"/>
    <w:rsid w:val="00312495"/>
    <w:rsid w:val="0031284D"/>
    <w:rsid w:val="00312895"/>
    <w:rsid w:val="0031289E"/>
    <w:rsid w:val="00312BB7"/>
    <w:rsid w:val="00312C7C"/>
    <w:rsid w:val="00312CE9"/>
    <w:rsid w:val="00312E96"/>
    <w:rsid w:val="00313188"/>
    <w:rsid w:val="0031318C"/>
    <w:rsid w:val="00313842"/>
    <w:rsid w:val="00313A99"/>
    <w:rsid w:val="00313BCB"/>
    <w:rsid w:val="00313D7C"/>
    <w:rsid w:val="00313FF1"/>
    <w:rsid w:val="003140F9"/>
    <w:rsid w:val="003141C7"/>
    <w:rsid w:val="0031428F"/>
    <w:rsid w:val="003144C6"/>
    <w:rsid w:val="003145D2"/>
    <w:rsid w:val="00314651"/>
    <w:rsid w:val="00314B01"/>
    <w:rsid w:val="00314B4E"/>
    <w:rsid w:val="00314CA7"/>
    <w:rsid w:val="00314D9B"/>
    <w:rsid w:val="00314F46"/>
    <w:rsid w:val="00314F5B"/>
    <w:rsid w:val="0031500C"/>
    <w:rsid w:val="0031500F"/>
    <w:rsid w:val="00315047"/>
    <w:rsid w:val="0031511D"/>
    <w:rsid w:val="003151FF"/>
    <w:rsid w:val="00315268"/>
    <w:rsid w:val="00315584"/>
    <w:rsid w:val="00315A37"/>
    <w:rsid w:val="00315A53"/>
    <w:rsid w:val="00315A7C"/>
    <w:rsid w:val="00315AC7"/>
    <w:rsid w:val="00315C5D"/>
    <w:rsid w:val="00315D68"/>
    <w:rsid w:val="00315E64"/>
    <w:rsid w:val="00315EE5"/>
    <w:rsid w:val="00315FF0"/>
    <w:rsid w:val="003160FA"/>
    <w:rsid w:val="003161AF"/>
    <w:rsid w:val="00316318"/>
    <w:rsid w:val="003163F3"/>
    <w:rsid w:val="0031680D"/>
    <w:rsid w:val="00316889"/>
    <w:rsid w:val="00316919"/>
    <w:rsid w:val="00316B5D"/>
    <w:rsid w:val="00316C26"/>
    <w:rsid w:val="00316C6C"/>
    <w:rsid w:val="00316CD5"/>
    <w:rsid w:val="00316E2C"/>
    <w:rsid w:val="00316FAF"/>
    <w:rsid w:val="0031701B"/>
    <w:rsid w:val="0031702C"/>
    <w:rsid w:val="0031708C"/>
    <w:rsid w:val="003172EE"/>
    <w:rsid w:val="003172F6"/>
    <w:rsid w:val="003174C7"/>
    <w:rsid w:val="00317564"/>
    <w:rsid w:val="003175E7"/>
    <w:rsid w:val="003177EB"/>
    <w:rsid w:val="00317C27"/>
    <w:rsid w:val="00317E40"/>
    <w:rsid w:val="00320520"/>
    <w:rsid w:val="00320967"/>
    <w:rsid w:val="00320B52"/>
    <w:rsid w:val="00320E45"/>
    <w:rsid w:val="00321038"/>
    <w:rsid w:val="003210BE"/>
    <w:rsid w:val="0032116B"/>
    <w:rsid w:val="0032125D"/>
    <w:rsid w:val="003214CD"/>
    <w:rsid w:val="00321504"/>
    <w:rsid w:val="00321946"/>
    <w:rsid w:val="00321B7B"/>
    <w:rsid w:val="00321C2E"/>
    <w:rsid w:val="00321CFB"/>
    <w:rsid w:val="00321DB7"/>
    <w:rsid w:val="00321EBA"/>
    <w:rsid w:val="00321F4E"/>
    <w:rsid w:val="00321F7F"/>
    <w:rsid w:val="00322034"/>
    <w:rsid w:val="003221D1"/>
    <w:rsid w:val="00322248"/>
    <w:rsid w:val="00322274"/>
    <w:rsid w:val="00322379"/>
    <w:rsid w:val="00322678"/>
    <w:rsid w:val="0032267A"/>
    <w:rsid w:val="0032267F"/>
    <w:rsid w:val="0032270E"/>
    <w:rsid w:val="0032278B"/>
    <w:rsid w:val="0032288C"/>
    <w:rsid w:val="00322934"/>
    <w:rsid w:val="003229A9"/>
    <w:rsid w:val="00322A49"/>
    <w:rsid w:val="00322A64"/>
    <w:rsid w:val="00322AB0"/>
    <w:rsid w:val="00322ACE"/>
    <w:rsid w:val="00322B2C"/>
    <w:rsid w:val="00322C10"/>
    <w:rsid w:val="00322C71"/>
    <w:rsid w:val="0032330E"/>
    <w:rsid w:val="003238BE"/>
    <w:rsid w:val="00323911"/>
    <w:rsid w:val="00323C45"/>
    <w:rsid w:val="00323D4E"/>
    <w:rsid w:val="00323F6A"/>
    <w:rsid w:val="00323F82"/>
    <w:rsid w:val="00323FAC"/>
    <w:rsid w:val="00324195"/>
    <w:rsid w:val="003241C0"/>
    <w:rsid w:val="003241C1"/>
    <w:rsid w:val="0032439C"/>
    <w:rsid w:val="0032448A"/>
    <w:rsid w:val="003244AB"/>
    <w:rsid w:val="003244F4"/>
    <w:rsid w:val="0032478A"/>
    <w:rsid w:val="00324A76"/>
    <w:rsid w:val="00324A90"/>
    <w:rsid w:val="00324B05"/>
    <w:rsid w:val="00324B21"/>
    <w:rsid w:val="00324B76"/>
    <w:rsid w:val="00324BB7"/>
    <w:rsid w:val="00324C1D"/>
    <w:rsid w:val="00324C8B"/>
    <w:rsid w:val="00324C8C"/>
    <w:rsid w:val="00324E42"/>
    <w:rsid w:val="00324FD5"/>
    <w:rsid w:val="00325232"/>
    <w:rsid w:val="00325291"/>
    <w:rsid w:val="003252A6"/>
    <w:rsid w:val="00325400"/>
    <w:rsid w:val="00325522"/>
    <w:rsid w:val="00325567"/>
    <w:rsid w:val="00325943"/>
    <w:rsid w:val="00325C19"/>
    <w:rsid w:val="00325E04"/>
    <w:rsid w:val="00325EB8"/>
    <w:rsid w:val="00325FC7"/>
    <w:rsid w:val="003261BA"/>
    <w:rsid w:val="003262AE"/>
    <w:rsid w:val="00326326"/>
    <w:rsid w:val="00326366"/>
    <w:rsid w:val="003265B6"/>
    <w:rsid w:val="0032666B"/>
    <w:rsid w:val="00326760"/>
    <w:rsid w:val="00326820"/>
    <w:rsid w:val="003268C1"/>
    <w:rsid w:val="003268E1"/>
    <w:rsid w:val="0032691B"/>
    <w:rsid w:val="003269CD"/>
    <w:rsid w:val="00326B35"/>
    <w:rsid w:val="00326B3E"/>
    <w:rsid w:val="00326E3C"/>
    <w:rsid w:val="00326F90"/>
    <w:rsid w:val="00326FB9"/>
    <w:rsid w:val="00326FD8"/>
    <w:rsid w:val="00327147"/>
    <w:rsid w:val="00327207"/>
    <w:rsid w:val="0032749A"/>
    <w:rsid w:val="00327896"/>
    <w:rsid w:val="00327911"/>
    <w:rsid w:val="00327A4C"/>
    <w:rsid w:val="00327B1B"/>
    <w:rsid w:val="00327CD1"/>
    <w:rsid w:val="00327CEB"/>
    <w:rsid w:val="00327D55"/>
    <w:rsid w:val="00327DFA"/>
    <w:rsid w:val="00327F90"/>
    <w:rsid w:val="0033034A"/>
    <w:rsid w:val="003303B7"/>
    <w:rsid w:val="00330669"/>
    <w:rsid w:val="00330696"/>
    <w:rsid w:val="00330891"/>
    <w:rsid w:val="0033093C"/>
    <w:rsid w:val="00330960"/>
    <w:rsid w:val="00330AC2"/>
    <w:rsid w:val="00330B18"/>
    <w:rsid w:val="00330B2A"/>
    <w:rsid w:val="00330B65"/>
    <w:rsid w:val="00330BC4"/>
    <w:rsid w:val="00330DDE"/>
    <w:rsid w:val="00330E1C"/>
    <w:rsid w:val="00330F5D"/>
    <w:rsid w:val="00330F88"/>
    <w:rsid w:val="00331042"/>
    <w:rsid w:val="003310E6"/>
    <w:rsid w:val="00331167"/>
    <w:rsid w:val="003312CA"/>
    <w:rsid w:val="00331731"/>
    <w:rsid w:val="003319AF"/>
    <w:rsid w:val="00331A05"/>
    <w:rsid w:val="00331B18"/>
    <w:rsid w:val="00331CCC"/>
    <w:rsid w:val="00331EEC"/>
    <w:rsid w:val="00332095"/>
    <w:rsid w:val="00332103"/>
    <w:rsid w:val="0033218F"/>
    <w:rsid w:val="003321C5"/>
    <w:rsid w:val="003324EE"/>
    <w:rsid w:val="003324F6"/>
    <w:rsid w:val="0033253E"/>
    <w:rsid w:val="0033297A"/>
    <w:rsid w:val="00332C0F"/>
    <w:rsid w:val="00332C3A"/>
    <w:rsid w:val="00332E3D"/>
    <w:rsid w:val="00332F65"/>
    <w:rsid w:val="00332FAD"/>
    <w:rsid w:val="00333002"/>
    <w:rsid w:val="0033303B"/>
    <w:rsid w:val="003332F3"/>
    <w:rsid w:val="00333451"/>
    <w:rsid w:val="0033349B"/>
    <w:rsid w:val="003335D7"/>
    <w:rsid w:val="003336CC"/>
    <w:rsid w:val="00333815"/>
    <w:rsid w:val="00333B7E"/>
    <w:rsid w:val="00333C10"/>
    <w:rsid w:val="00333C38"/>
    <w:rsid w:val="00333D87"/>
    <w:rsid w:val="00333F7B"/>
    <w:rsid w:val="003340D4"/>
    <w:rsid w:val="00334231"/>
    <w:rsid w:val="0033433C"/>
    <w:rsid w:val="003343C9"/>
    <w:rsid w:val="003344A2"/>
    <w:rsid w:val="00334572"/>
    <w:rsid w:val="003345E2"/>
    <w:rsid w:val="00334740"/>
    <w:rsid w:val="00334753"/>
    <w:rsid w:val="0033485C"/>
    <w:rsid w:val="003349D4"/>
    <w:rsid w:val="00334A5A"/>
    <w:rsid w:val="00334AF4"/>
    <w:rsid w:val="00334D25"/>
    <w:rsid w:val="00334E8E"/>
    <w:rsid w:val="00335003"/>
    <w:rsid w:val="00335125"/>
    <w:rsid w:val="00335224"/>
    <w:rsid w:val="003354FD"/>
    <w:rsid w:val="00335575"/>
    <w:rsid w:val="003355F3"/>
    <w:rsid w:val="0033568B"/>
    <w:rsid w:val="00335696"/>
    <w:rsid w:val="003357DC"/>
    <w:rsid w:val="0033580E"/>
    <w:rsid w:val="0033583D"/>
    <w:rsid w:val="003359F3"/>
    <w:rsid w:val="00335B2E"/>
    <w:rsid w:val="00335C96"/>
    <w:rsid w:val="00335D94"/>
    <w:rsid w:val="00335E4B"/>
    <w:rsid w:val="003360B6"/>
    <w:rsid w:val="003360BE"/>
    <w:rsid w:val="003362E6"/>
    <w:rsid w:val="003365C2"/>
    <w:rsid w:val="00336693"/>
    <w:rsid w:val="0033669A"/>
    <w:rsid w:val="0033685C"/>
    <w:rsid w:val="0033696B"/>
    <w:rsid w:val="00336A88"/>
    <w:rsid w:val="00336BD0"/>
    <w:rsid w:val="00336BEA"/>
    <w:rsid w:val="00336C3B"/>
    <w:rsid w:val="00336C9E"/>
    <w:rsid w:val="00336DA7"/>
    <w:rsid w:val="0033719A"/>
    <w:rsid w:val="00337393"/>
    <w:rsid w:val="003374E7"/>
    <w:rsid w:val="003376B4"/>
    <w:rsid w:val="003376D6"/>
    <w:rsid w:val="0033784F"/>
    <w:rsid w:val="0033788A"/>
    <w:rsid w:val="00337A40"/>
    <w:rsid w:val="00337AA8"/>
    <w:rsid w:val="00337B5D"/>
    <w:rsid w:val="00337DA9"/>
    <w:rsid w:val="00337F9F"/>
    <w:rsid w:val="0034002B"/>
    <w:rsid w:val="0034007A"/>
    <w:rsid w:val="00340244"/>
    <w:rsid w:val="003402C0"/>
    <w:rsid w:val="003403AB"/>
    <w:rsid w:val="003403F7"/>
    <w:rsid w:val="003405C8"/>
    <w:rsid w:val="00340672"/>
    <w:rsid w:val="00340726"/>
    <w:rsid w:val="00340AB5"/>
    <w:rsid w:val="00340C91"/>
    <w:rsid w:val="00340C9C"/>
    <w:rsid w:val="00340CB5"/>
    <w:rsid w:val="00340D91"/>
    <w:rsid w:val="00340E2A"/>
    <w:rsid w:val="00341224"/>
    <w:rsid w:val="00341337"/>
    <w:rsid w:val="00341583"/>
    <w:rsid w:val="0034172F"/>
    <w:rsid w:val="00341B47"/>
    <w:rsid w:val="00341C3D"/>
    <w:rsid w:val="00341E05"/>
    <w:rsid w:val="00341E5A"/>
    <w:rsid w:val="003420CD"/>
    <w:rsid w:val="00342162"/>
    <w:rsid w:val="003421F8"/>
    <w:rsid w:val="00342264"/>
    <w:rsid w:val="00342326"/>
    <w:rsid w:val="0034234A"/>
    <w:rsid w:val="0034238B"/>
    <w:rsid w:val="0034241C"/>
    <w:rsid w:val="003424EC"/>
    <w:rsid w:val="0034250E"/>
    <w:rsid w:val="0034250F"/>
    <w:rsid w:val="00342581"/>
    <w:rsid w:val="003427C7"/>
    <w:rsid w:val="003429E0"/>
    <w:rsid w:val="00342B77"/>
    <w:rsid w:val="00342D07"/>
    <w:rsid w:val="00342D65"/>
    <w:rsid w:val="00342EAB"/>
    <w:rsid w:val="00342EF0"/>
    <w:rsid w:val="00342FFD"/>
    <w:rsid w:val="003431DD"/>
    <w:rsid w:val="003433AF"/>
    <w:rsid w:val="00343408"/>
    <w:rsid w:val="003434E3"/>
    <w:rsid w:val="0034355D"/>
    <w:rsid w:val="003435C3"/>
    <w:rsid w:val="00343701"/>
    <w:rsid w:val="00343AC7"/>
    <w:rsid w:val="00343AF7"/>
    <w:rsid w:val="00343C09"/>
    <w:rsid w:val="003444B1"/>
    <w:rsid w:val="003445AB"/>
    <w:rsid w:val="003445CC"/>
    <w:rsid w:val="00344866"/>
    <w:rsid w:val="00344A2D"/>
    <w:rsid w:val="00344E33"/>
    <w:rsid w:val="00344ED6"/>
    <w:rsid w:val="00345231"/>
    <w:rsid w:val="00345362"/>
    <w:rsid w:val="0034543A"/>
    <w:rsid w:val="003454C9"/>
    <w:rsid w:val="003455F7"/>
    <w:rsid w:val="003456AE"/>
    <w:rsid w:val="0034576E"/>
    <w:rsid w:val="003458D3"/>
    <w:rsid w:val="00345949"/>
    <w:rsid w:val="00345A26"/>
    <w:rsid w:val="00345A71"/>
    <w:rsid w:val="00345C12"/>
    <w:rsid w:val="00345CB3"/>
    <w:rsid w:val="00345F2F"/>
    <w:rsid w:val="00345F53"/>
    <w:rsid w:val="00345FCD"/>
    <w:rsid w:val="00346214"/>
    <w:rsid w:val="003462CF"/>
    <w:rsid w:val="0034647A"/>
    <w:rsid w:val="003466A6"/>
    <w:rsid w:val="003467E6"/>
    <w:rsid w:val="00346A24"/>
    <w:rsid w:val="00346AC3"/>
    <w:rsid w:val="00346ACE"/>
    <w:rsid w:val="00346C18"/>
    <w:rsid w:val="00346C91"/>
    <w:rsid w:val="00346DD7"/>
    <w:rsid w:val="00347063"/>
    <w:rsid w:val="003470A4"/>
    <w:rsid w:val="003473D4"/>
    <w:rsid w:val="0034744F"/>
    <w:rsid w:val="003475C8"/>
    <w:rsid w:val="00347610"/>
    <w:rsid w:val="00347875"/>
    <w:rsid w:val="003478FB"/>
    <w:rsid w:val="003479BF"/>
    <w:rsid w:val="003479F4"/>
    <w:rsid w:val="00347BE7"/>
    <w:rsid w:val="00347BFF"/>
    <w:rsid w:val="00350118"/>
    <w:rsid w:val="00350541"/>
    <w:rsid w:val="003509F9"/>
    <w:rsid w:val="00350A36"/>
    <w:rsid w:val="00350B38"/>
    <w:rsid w:val="00350BBB"/>
    <w:rsid w:val="00350CA7"/>
    <w:rsid w:val="00350CFB"/>
    <w:rsid w:val="00350E1C"/>
    <w:rsid w:val="00350F0E"/>
    <w:rsid w:val="003510FE"/>
    <w:rsid w:val="00351415"/>
    <w:rsid w:val="003514E9"/>
    <w:rsid w:val="00351770"/>
    <w:rsid w:val="0035198C"/>
    <w:rsid w:val="00351AF1"/>
    <w:rsid w:val="00351B60"/>
    <w:rsid w:val="00351BB0"/>
    <w:rsid w:val="00351C53"/>
    <w:rsid w:val="00351D51"/>
    <w:rsid w:val="00351E75"/>
    <w:rsid w:val="00351E7C"/>
    <w:rsid w:val="00351E85"/>
    <w:rsid w:val="003520F3"/>
    <w:rsid w:val="003521DA"/>
    <w:rsid w:val="00352400"/>
    <w:rsid w:val="003524A4"/>
    <w:rsid w:val="00352508"/>
    <w:rsid w:val="003529C6"/>
    <w:rsid w:val="00352A8D"/>
    <w:rsid w:val="00352AA8"/>
    <w:rsid w:val="00352BA6"/>
    <w:rsid w:val="00352DC7"/>
    <w:rsid w:val="00352E83"/>
    <w:rsid w:val="00352ECE"/>
    <w:rsid w:val="00352EF6"/>
    <w:rsid w:val="0035310C"/>
    <w:rsid w:val="00353136"/>
    <w:rsid w:val="003531CB"/>
    <w:rsid w:val="003531CC"/>
    <w:rsid w:val="003532A6"/>
    <w:rsid w:val="0035333B"/>
    <w:rsid w:val="00353370"/>
    <w:rsid w:val="0035338F"/>
    <w:rsid w:val="00353611"/>
    <w:rsid w:val="003537DB"/>
    <w:rsid w:val="00353972"/>
    <w:rsid w:val="003539F0"/>
    <w:rsid w:val="00353A2D"/>
    <w:rsid w:val="00353A48"/>
    <w:rsid w:val="003542A3"/>
    <w:rsid w:val="0035442F"/>
    <w:rsid w:val="00354525"/>
    <w:rsid w:val="00354543"/>
    <w:rsid w:val="00354687"/>
    <w:rsid w:val="003547BC"/>
    <w:rsid w:val="00354801"/>
    <w:rsid w:val="0035482F"/>
    <w:rsid w:val="00354887"/>
    <w:rsid w:val="003548BD"/>
    <w:rsid w:val="00354A1E"/>
    <w:rsid w:val="00354A85"/>
    <w:rsid w:val="00354AE2"/>
    <w:rsid w:val="00354BCA"/>
    <w:rsid w:val="00354EC0"/>
    <w:rsid w:val="003550D0"/>
    <w:rsid w:val="00355267"/>
    <w:rsid w:val="003554E8"/>
    <w:rsid w:val="003555A4"/>
    <w:rsid w:val="003555FE"/>
    <w:rsid w:val="00355683"/>
    <w:rsid w:val="003557B7"/>
    <w:rsid w:val="003557D8"/>
    <w:rsid w:val="0035581F"/>
    <w:rsid w:val="00355842"/>
    <w:rsid w:val="00355863"/>
    <w:rsid w:val="003558D3"/>
    <w:rsid w:val="00355A3B"/>
    <w:rsid w:val="00355B18"/>
    <w:rsid w:val="00355F38"/>
    <w:rsid w:val="00355F83"/>
    <w:rsid w:val="0035625F"/>
    <w:rsid w:val="0035630E"/>
    <w:rsid w:val="0035642E"/>
    <w:rsid w:val="0035646A"/>
    <w:rsid w:val="00356560"/>
    <w:rsid w:val="00356665"/>
    <w:rsid w:val="003567A6"/>
    <w:rsid w:val="003567DB"/>
    <w:rsid w:val="0035691B"/>
    <w:rsid w:val="00356A08"/>
    <w:rsid w:val="00356A6C"/>
    <w:rsid w:val="00356C2B"/>
    <w:rsid w:val="00356C78"/>
    <w:rsid w:val="00356CCC"/>
    <w:rsid w:val="00356D7D"/>
    <w:rsid w:val="00356EA5"/>
    <w:rsid w:val="00356F53"/>
    <w:rsid w:val="00356FE6"/>
    <w:rsid w:val="00357165"/>
    <w:rsid w:val="0035741A"/>
    <w:rsid w:val="0035755F"/>
    <w:rsid w:val="003575E5"/>
    <w:rsid w:val="00357613"/>
    <w:rsid w:val="003576D9"/>
    <w:rsid w:val="00357715"/>
    <w:rsid w:val="00357C49"/>
    <w:rsid w:val="00357D89"/>
    <w:rsid w:val="00357ED1"/>
    <w:rsid w:val="00357F0D"/>
    <w:rsid w:val="003600C2"/>
    <w:rsid w:val="0036014F"/>
    <w:rsid w:val="003601ED"/>
    <w:rsid w:val="00360215"/>
    <w:rsid w:val="0036022C"/>
    <w:rsid w:val="003602F4"/>
    <w:rsid w:val="0036031A"/>
    <w:rsid w:val="00360491"/>
    <w:rsid w:val="0036074C"/>
    <w:rsid w:val="00360851"/>
    <w:rsid w:val="003608D3"/>
    <w:rsid w:val="00360A2B"/>
    <w:rsid w:val="00360E7E"/>
    <w:rsid w:val="00360EB9"/>
    <w:rsid w:val="003613D1"/>
    <w:rsid w:val="00361656"/>
    <w:rsid w:val="00361817"/>
    <w:rsid w:val="00361A43"/>
    <w:rsid w:val="00361BD4"/>
    <w:rsid w:val="00361BD6"/>
    <w:rsid w:val="00361CEB"/>
    <w:rsid w:val="00361DA8"/>
    <w:rsid w:val="0036200F"/>
    <w:rsid w:val="0036203A"/>
    <w:rsid w:val="0036215E"/>
    <w:rsid w:val="003623C0"/>
    <w:rsid w:val="00362607"/>
    <w:rsid w:val="00362652"/>
    <w:rsid w:val="0036268E"/>
    <w:rsid w:val="00362716"/>
    <w:rsid w:val="003627C2"/>
    <w:rsid w:val="0036283D"/>
    <w:rsid w:val="00362909"/>
    <w:rsid w:val="0036295F"/>
    <w:rsid w:val="00362B9D"/>
    <w:rsid w:val="00362BF0"/>
    <w:rsid w:val="00362E82"/>
    <w:rsid w:val="00362E85"/>
    <w:rsid w:val="00362F6B"/>
    <w:rsid w:val="00362F79"/>
    <w:rsid w:val="00363053"/>
    <w:rsid w:val="0036343D"/>
    <w:rsid w:val="0036346A"/>
    <w:rsid w:val="00363BB1"/>
    <w:rsid w:val="00363BD9"/>
    <w:rsid w:val="00363C35"/>
    <w:rsid w:val="00363F56"/>
    <w:rsid w:val="003642FF"/>
    <w:rsid w:val="00364354"/>
    <w:rsid w:val="003643CE"/>
    <w:rsid w:val="0036451A"/>
    <w:rsid w:val="0036458D"/>
    <w:rsid w:val="00364808"/>
    <w:rsid w:val="003649AB"/>
    <w:rsid w:val="00364ACC"/>
    <w:rsid w:val="00364BBF"/>
    <w:rsid w:val="00364C02"/>
    <w:rsid w:val="00364D0D"/>
    <w:rsid w:val="00364DEC"/>
    <w:rsid w:val="00364F74"/>
    <w:rsid w:val="00364FB2"/>
    <w:rsid w:val="00364FB5"/>
    <w:rsid w:val="003653A9"/>
    <w:rsid w:val="00365491"/>
    <w:rsid w:val="0036555B"/>
    <w:rsid w:val="00365B04"/>
    <w:rsid w:val="00366025"/>
    <w:rsid w:val="00366127"/>
    <w:rsid w:val="0036655F"/>
    <w:rsid w:val="00366734"/>
    <w:rsid w:val="003667BE"/>
    <w:rsid w:val="0036687D"/>
    <w:rsid w:val="00366928"/>
    <w:rsid w:val="00366A0A"/>
    <w:rsid w:val="00366CE1"/>
    <w:rsid w:val="00366D38"/>
    <w:rsid w:val="00366F37"/>
    <w:rsid w:val="00366FCD"/>
    <w:rsid w:val="003670AB"/>
    <w:rsid w:val="003672C7"/>
    <w:rsid w:val="0036735F"/>
    <w:rsid w:val="003673BC"/>
    <w:rsid w:val="00367464"/>
    <w:rsid w:val="0036758A"/>
    <w:rsid w:val="00367608"/>
    <w:rsid w:val="00367672"/>
    <w:rsid w:val="00367976"/>
    <w:rsid w:val="00367A78"/>
    <w:rsid w:val="00370215"/>
    <w:rsid w:val="00370361"/>
    <w:rsid w:val="003703C4"/>
    <w:rsid w:val="003703D3"/>
    <w:rsid w:val="003704C0"/>
    <w:rsid w:val="00370620"/>
    <w:rsid w:val="0037083B"/>
    <w:rsid w:val="00370B76"/>
    <w:rsid w:val="00370B80"/>
    <w:rsid w:val="00370C79"/>
    <w:rsid w:val="003712EC"/>
    <w:rsid w:val="00371378"/>
    <w:rsid w:val="00371434"/>
    <w:rsid w:val="003714DF"/>
    <w:rsid w:val="00371A52"/>
    <w:rsid w:val="00371B11"/>
    <w:rsid w:val="00371B40"/>
    <w:rsid w:val="00371BF2"/>
    <w:rsid w:val="00371C79"/>
    <w:rsid w:val="00371D10"/>
    <w:rsid w:val="00371E09"/>
    <w:rsid w:val="00371ED6"/>
    <w:rsid w:val="00371EEF"/>
    <w:rsid w:val="00371F5D"/>
    <w:rsid w:val="003722A8"/>
    <w:rsid w:val="00372467"/>
    <w:rsid w:val="003724A3"/>
    <w:rsid w:val="003725C9"/>
    <w:rsid w:val="003726B5"/>
    <w:rsid w:val="003726D1"/>
    <w:rsid w:val="00372704"/>
    <w:rsid w:val="003727F9"/>
    <w:rsid w:val="00372A6B"/>
    <w:rsid w:val="00372EC7"/>
    <w:rsid w:val="00373112"/>
    <w:rsid w:val="003731D5"/>
    <w:rsid w:val="0037325F"/>
    <w:rsid w:val="00373287"/>
    <w:rsid w:val="00373519"/>
    <w:rsid w:val="00373658"/>
    <w:rsid w:val="003737F7"/>
    <w:rsid w:val="003738DB"/>
    <w:rsid w:val="00373C07"/>
    <w:rsid w:val="00373C60"/>
    <w:rsid w:val="00373F6F"/>
    <w:rsid w:val="00374244"/>
    <w:rsid w:val="00374245"/>
    <w:rsid w:val="003742C7"/>
    <w:rsid w:val="003743EB"/>
    <w:rsid w:val="0037462F"/>
    <w:rsid w:val="0037475D"/>
    <w:rsid w:val="003747C9"/>
    <w:rsid w:val="00375553"/>
    <w:rsid w:val="00375569"/>
    <w:rsid w:val="003755C0"/>
    <w:rsid w:val="003755D2"/>
    <w:rsid w:val="003758B3"/>
    <w:rsid w:val="00375A2B"/>
    <w:rsid w:val="00375CDD"/>
    <w:rsid w:val="00375CE0"/>
    <w:rsid w:val="00375D57"/>
    <w:rsid w:val="00375DD6"/>
    <w:rsid w:val="00375E87"/>
    <w:rsid w:val="0037612F"/>
    <w:rsid w:val="0037638A"/>
    <w:rsid w:val="0037647B"/>
    <w:rsid w:val="0037647D"/>
    <w:rsid w:val="003764A6"/>
    <w:rsid w:val="003765C2"/>
    <w:rsid w:val="0037678D"/>
    <w:rsid w:val="0037683F"/>
    <w:rsid w:val="003768F9"/>
    <w:rsid w:val="003769CF"/>
    <w:rsid w:val="003769DF"/>
    <w:rsid w:val="00376B32"/>
    <w:rsid w:val="00376C05"/>
    <w:rsid w:val="00376C26"/>
    <w:rsid w:val="00376CB6"/>
    <w:rsid w:val="00376E62"/>
    <w:rsid w:val="00377073"/>
    <w:rsid w:val="00377090"/>
    <w:rsid w:val="003771F2"/>
    <w:rsid w:val="003775AD"/>
    <w:rsid w:val="00377719"/>
    <w:rsid w:val="0037776B"/>
    <w:rsid w:val="003778F9"/>
    <w:rsid w:val="00377959"/>
    <w:rsid w:val="003779F7"/>
    <w:rsid w:val="00377B92"/>
    <w:rsid w:val="00377BED"/>
    <w:rsid w:val="00377D3B"/>
    <w:rsid w:val="00377E48"/>
    <w:rsid w:val="00377ED9"/>
    <w:rsid w:val="00380110"/>
    <w:rsid w:val="00380121"/>
    <w:rsid w:val="0038030E"/>
    <w:rsid w:val="00380502"/>
    <w:rsid w:val="00380577"/>
    <w:rsid w:val="00380A02"/>
    <w:rsid w:val="00380B16"/>
    <w:rsid w:val="00381157"/>
    <w:rsid w:val="0038120F"/>
    <w:rsid w:val="00381246"/>
    <w:rsid w:val="0038137E"/>
    <w:rsid w:val="00381463"/>
    <w:rsid w:val="003814E3"/>
    <w:rsid w:val="0038160B"/>
    <w:rsid w:val="00381741"/>
    <w:rsid w:val="00381862"/>
    <w:rsid w:val="00381900"/>
    <w:rsid w:val="00381CC5"/>
    <w:rsid w:val="00381CD0"/>
    <w:rsid w:val="00381CE2"/>
    <w:rsid w:val="00382007"/>
    <w:rsid w:val="00382104"/>
    <w:rsid w:val="00382558"/>
    <w:rsid w:val="00382858"/>
    <w:rsid w:val="00382969"/>
    <w:rsid w:val="00382BAA"/>
    <w:rsid w:val="00382CDC"/>
    <w:rsid w:val="003831DB"/>
    <w:rsid w:val="0038328D"/>
    <w:rsid w:val="00383511"/>
    <w:rsid w:val="00383530"/>
    <w:rsid w:val="0038353D"/>
    <w:rsid w:val="003836B6"/>
    <w:rsid w:val="00383721"/>
    <w:rsid w:val="00383763"/>
    <w:rsid w:val="00383790"/>
    <w:rsid w:val="003838D1"/>
    <w:rsid w:val="003839CC"/>
    <w:rsid w:val="00383B23"/>
    <w:rsid w:val="00383BDD"/>
    <w:rsid w:val="00383BE6"/>
    <w:rsid w:val="00383DBA"/>
    <w:rsid w:val="00383F7E"/>
    <w:rsid w:val="0038410C"/>
    <w:rsid w:val="003841E1"/>
    <w:rsid w:val="00384243"/>
    <w:rsid w:val="003846DC"/>
    <w:rsid w:val="00384816"/>
    <w:rsid w:val="00384879"/>
    <w:rsid w:val="00384B02"/>
    <w:rsid w:val="00384B85"/>
    <w:rsid w:val="00384BF8"/>
    <w:rsid w:val="00384C1C"/>
    <w:rsid w:val="00384D3A"/>
    <w:rsid w:val="00384FE4"/>
    <w:rsid w:val="0038505F"/>
    <w:rsid w:val="00385071"/>
    <w:rsid w:val="003850D1"/>
    <w:rsid w:val="00385122"/>
    <w:rsid w:val="003851C0"/>
    <w:rsid w:val="0038535A"/>
    <w:rsid w:val="0038563C"/>
    <w:rsid w:val="003858B0"/>
    <w:rsid w:val="00385B48"/>
    <w:rsid w:val="00385E08"/>
    <w:rsid w:val="00385EDA"/>
    <w:rsid w:val="00385F2C"/>
    <w:rsid w:val="00385FCF"/>
    <w:rsid w:val="00385FD6"/>
    <w:rsid w:val="00386121"/>
    <w:rsid w:val="0038619F"/>
    <w:rsid w:val="003862C9"/>
    <w:rsid w:val="003863E0"/>
    <w:rsid w:val="00386505"/>
    <w:rsid w:val="0038671C"/>
    <w:rsid w:val="00386790"/>
    <w:rsid w:val="00386BFC"/>
    <w:rsid w:val="00386D10"/>
    <w:rsid w:val="00386EE4"/>
    <w:rsid w:val="00386EF5"/>
    <w:rsid w:val="00386F88"/>
    <w:rsid w:val="00386FB5"/>
    <w:rsid w:val="00386FBB"/>
    <w:rsid w:val="0038708F"/>
    <w:rsid w:val="00387145"/>
    <w:rsid w:val="003871C0"/>
    <w:rsid w:val="0038729C"/>
    <w:rsid w:val="00387477"/>
    <w:rsid w:val="00387539"/>
    <w:rsid w:val="003878D1"/>
    <w:rsid w:val="00387A4C"/>
    <w:rsid w:val="00387B4B"/>
    <w:rsid w:val="00387B6F"/>
    <w:rsid w:val="00387CD1"/>
    <w:rsid w:val="00387F72"/>
    <w:rsid w:val="003900F5"/>
    <w:rsid w:val="0039016B"/>
    <w:rsid w:val="0039030A"/>
    <w:rsid w:val="00390958"/>
    <w:rsid w:val="00390A59"/>
    <w:rsid w:val="00390B64"/>
    <w:rsid w:val="00390C56"/>
    <w:rsid w:val="00390DE5"/>
    <w:rsid w:val="0039104B"/>
    <w:rsid w:val="00391670"/>
    <w:rsid w:val="003917DE"/>
    <w:rsid w:val="003918D3"/>
    <w:rsid w:val="00391B16"/>
    <w:rsid w:val="00391C70"/>
    <w:rsid w:val="00391DC9"/>
    <w:rsid w:val="00391E19"/>
    <w:rsid w:val="00391E76"/>
    <w:rsid w:val="00391FE2"/>
    <w:rsid w:val="00392302"/>
    <w:rsid w:val="0039231B"/>
    <w:rsid w:val="003926A5"/>
    <w:rsid w:val="00392942"/>
    <w:rsid w:val="003929A5"/>
    <w:rsid w:val="00392DEB"/>
    <w:rsid w:val="00392E15"/>
    <w:rsid w:val="003931D6"/>
    <w:rsid w:val="0039321D"/>
    <w:rsid w:val="00393382"/>
    <w:rsid w:val="00393389"/>
    <w:rsid w:val="00393449"/>
    <w:rsid w:val="003934BB"/>
    <w:rsid w:val="0039364C"/>
    <w:rsid w:val="003936A7"/>
    <w:rsid w:val="00393881"/>
    <w:rsid w:val="00393884"/>
    <w:rsid w:val="003939A8"/>
    <w:rsid w:val="00393A11"/>
    <w:rsid w:val="00393C7F"/>
    <w:rsid w:val="00393D9A"/>
    <w:rsid w:val="00393ECC"/>
    <w:rsid w:val="00393F18"/>
    <w:rsid w:val="00394093"/>
    <w:rsid w:val="0039416D"/>
    <w:rsid w:val="003941F4"/>
    <w:rsid w:val="0039436C"/>
    <w:rsid w:val="003945EB"/>
    <w:rsid w:val="0039462F"/>
    <w:rsid w:val="0039465D"/>
    <w:rsid w:val="003946F5"/>
    <w:rsid w:val="0039472D"/>
    <w:rsid w:val="00394895"/>
    <w:rsid w:val="00394910"/>
    <w:rsid w:val="00394964"/>
    <w:rsid w:val="00394A63"/>
    <w:rsid w:val="00394AFA"/>
    <w:rsid w:val="00394B76"/>
    <w:rsid w:val="00394C59"/>
    <w:rsid w:val="00394EED"/>
    <w:rsid w:val="00394FF2"/>
    <w:rsid w:val="00395180"/>
    <w:rsid w:val="003951C2"/>
    <w:rsid w:val="00395298"/>
    <w:rsid w:val="0039543F"/>
    <w:rsid w:val="003954B9"/>
    <w:rsid w:val="003954C1"/>
    <w:rsid w:val="003955A0"/>
    <w:rsid w:val="00395762"/>
    <w:rsid w:val="0039582C"/>
    <w:rsid w:val="0039594E"/>
    <w:rsid w:val="003959DA"/>
    <w:rsid w:val="00395B59"/>
    <w:rsid w:val="00395BD3"/>
    <w:rsid w:val="00395D21"/>
    <w:rsid w:val="00395DC2"/>
    <w:rsid w:val="00395F3F"/>
    <w:rsid w:val="00395F89"/>
    <w:rsid w:val="0039609A"/>
    <w:rsid w:val="00396163"/>
    <w:rsid w:val="003964D6"/>
    <w:rsid w:val="003964D8"/>
    <w:rsid w:val="00396558"/>
    <w:rsid w:val="00396583"/>
    <w:rsid w:val="003967CF"/>
    <w:rsid w:val="00396835"/>
    <w:rsid w:val="003968C4"/>
    <w:rsid w:val="003969D5"/>
    <w:rsid w:val="003969F5"/>
    <w:rsid w:val="00396B84"/>
    <w:rsid w:val="00396D0F"/>
    <w:rsid w:val="00396D1F"/>
    <w:rsid w:val="00396E22"/>
    <w:rsid w:val="00397052"/>
    <w:rsid w:val="003972A7"/>
    <w:rsid w:val="003973DA"/>
    <w:rsid w:val="00397629"/>
    <w:rsid w:val="00397766"/>
    <w:rsid w:val="003978DA"/>
    <w:rsid w:val="003979D7"/>
    <w:rsid w:val="003979F3"/>
    <w:rsid w:val="00397BEA"/>
    <w:rsid w:val="00397C26"/>
    <w:rsid w:val="00397C99"/>
    <w:rsid w:val="00397D16"/>
    <w:rsid w:val="00397D67"/>
    <w:rsid w:val="00397E00"/>
    <w:rsid w:val="00397E26"/>
    <w:rsid w:val="00397FC2"/>
    <w:rsid w:val="003A007C"/>
    <w:rsid w:val="003A038B"/>
    <w:rsid w:val="003A0571"/>
    <w:rsid w:val="003A083E"/>
    <w:rsid w:val="003A08CA"/>
    <w:rsid w:val="003A0946"/>
    <w:rsid w:val="003A0993"/>
    <w:rsid w:val="003A0AC3"/>
    <w:rsid w:val="003A0C9F"/>
    <w:rsid w:val="003A0E44"/>
    <w:rsid w:val="003A0EF7"/>
    <w:rsid w:val="003A12E3"/>
    <w:rsid w:val="003A1326"/>
    <w:rsid w:val="003A16B6"/>
    <w:rsid w:val="003A16D8"/>
    <w:rsid w:val="003A174B"/>
    <w:rsid w:val="003A199B"/>
    <w:rsid w:val="003A1B36"/>
    <w:rsid w:val="003A1B3F"/>
    <w:rsid w:val="003A1B7F"/>
    <w:rsid w:val="003A1BBA"/>
    <w:rsid w:val="003A1E69"/>
    <w:rsid w:val="003A1E75"/>
    <w:rsid w:val="003A2027"/>
    <w:rsid w:val="003A2039"/>
    <w:rsid w:val="003A21D4"/>
    <w:rsid w:val="003A222D"/>
    <w:rsid w:val="003A2769"/>
    <w:rsid w:val="003A286F"/>
    <w:rsid w:val="003A28DD"/>
    <w:rsid w:val="003A2944"/>
    <w:rsid w:val="003A2A50"/>
    <w:rsid w:val="003A2A8D"/>
    <w:rsid w:val="003A2AF1"/>
    <w:rsid w:val="003A2D11"/>
    <w:rsid w:val="003A2D9D"/>
    <w:rsid w:val="003A2E5D"/>
    <w:rsid w:val="003A2FAB"/>
    <w:rsid w:val="003A30CD"/>
    <w:rsid w:val="003A30FC"/>
    <w:rsid w:val="003A316E"/>
    <w:rsid w:val="003A31AC"/>
    <w:rsid w:val="003A31DE"/>
    <w:rsid w:val="003A388A"/>
    <w:rsid w:val="003A38E2"/>
    <w:rsid w:val="003A3AC1"/>
    <w:rsid w:val="003A3C0A"/>
    <w:rsid w:val="003A3F04"/>
    <w:rsid w:val="003A40B5"/>
    <w:rsid w:val="003A40C2"/>
    <w:rsid w:val="003A4155"/>
    <w:rsid w:val="003A4161"/>
    <w:rsid w:val="003A42D9"/>
    <w:rsid w:val="003A4627"/>
    <w:rsid w:val="003A4776"/>
    <w:rsid w:val="003A47EA"/>
    <w:rsid w:val="003A4998"/>
    <w:rsid w:val="003A4A1E"/>
    <w:rsid w:val="003A4B2A"/>
    <w:rsid w:val="003A4B3C"/>
    <w:rsid w:val="003A4BCF"/>
    <w:rsid w:val="003A4CE4"/>
    <w:rsid w:val="003A4CFB"/>
    <w:rsid w:val="003A4D29"/>
    <w:rsid w:val="003A4DC6"/>
    <w:rsid w:val="003A4FCA"/>
    <w:rsid w:val="003A501F"/>
    <w:rsid w:val="003A532B"/>
    <w:rsid w:val="003A544B"/>
    <w:rsid w:val="003A54E9"/>
    <w:rsid w:val="003A59C7"/>
    <w:rsid w:val="003A5A51"/>
    <w:rsid w:val="003A6063"/>
    <w:rsid w:val="003A618B"/>
    <w:rsid w:val="003A6282"/>
    <w:rsid w:val="003A6317"/>
    <w:rsid w:val="003A6326"/>
    <w:rsid w:val="003A63FE"/>
    <w:rsid w:val="003A670C"/>
    <w:rsid w:val="003A671A"/>
    <w:rsid w:val="003A675B"/>
    <w:rsid w:val="003A6CEF"/>
    <w:rsid w:val="003A703F"/>
    <w:rsid w:val="003A760D"/>
    <w:rsid w:val="003A78F5"/>
    <w:rsid w:val="003A78FF"/>
    <w:rsid w:val="003A7B1B"/>
    <w:rsid w:val="003A7B6D"/>
    <w:rsid w:val="003A7BFE"/>
    <w:rsid w:val="003A7DAA"/>
    <w:rsid w:val="003A7E9E"/>
    <w:rsid w:val="003B0006"/>
    <w:rsid w:val="003B01C8"/>
    <w:rsid w:val="003B02FE"/>
    <w:rsid w:val="003B036B"/>
    <w:rsid w:val="003B042B"/>
    <w:rsid w:val="003B059A"/>
    <w:rsid w:val="003B07C1"/>
    <w:rsid w:val="003B0B45"/>
    <w:rsid w:val="003B0CE1"/>
    <w:rsid w:val="003B0D60"/>
    <w:rsid w:val="003B0DF8"/>
    <w:rsid w:val="003B11D0"/>
    <w:rsid w:val="003B1275"/>
    <w:rsid w:val="003B142C"/>
    <w:rsid w:val="003B17A0"/>
    <w:rsid w:val="003B1CCB"/>
    <w:rsid w:val="003B1CF8"/>
    <w:rsid w:val="003B1E68"/>
    <w:rsid w:val="003B1F4A"/>
    <w:rsid w:val="003B215A"/>
    <w:rsid w:val="003B21F5"/>
    <w:rsid w:val="003B221C"/>
    <w:rsid w:val="003B22CC"/>
    <w:rsid w:val="003B234B"/>
    <w:rsid w:val="003B24C4"/>
    <w:rsid w:val="003B2930"/>
    <w:rsid w:val="003B29B9"/>
    <w:rsid w:val="003B2A47"/>
    <w:rsid w:val="003B2A62"/>
    <w:rsid w:val="003B2BB9"/>
    <w:rsid w:val="003B3044"/>
    <w:rsid w:val="003B326B"/>
    <w:rsid w:val="003B3426"/>
    <w:rsid w:val="003B348F"/>
    <w:rsid w:val="003B368C"/>
    <w:rsid w:val="003B36ED"/>
    <w:rsid w:val="003B3732"/>
    <w:rsid w:val="003B385A"/>
    <w:rsid w:val="003B3A76"/>
    <w:rsid w:val="003B3B54"/>
    <w:rsid w:val="003B3C2D"/>
    <w:rsid w:val="003B4106"/>
    <w:rsid w:val="003B4144"/>
    <w:rsid w:val="003B4368"/>
    <w:rsid w:val="003B4460"/>
    <w:rsid w:val="003B450E"/>
    <w:rsid w:val="003B4596"/>
    <w:rsid w:val="003B469D"/>
    <w:rsid w:val="003B4723"/>
    <w:rsid w:val="003B480B"/>
    <w:rsid w:val="003B48D8"/>
    <w:rsid w:val="003B4ADB"/>
    <w:rsid w:val="003B4B1B"/>
    <w:rsid w:val="003B4D5C"/>
    <w:rsid w:val="003B4EEA"/>
    <w:rsid w:val="003B5143"/>
    <w:rsid w:val="003B554C"/>
    <w:rsid w:val="003B5551"/>
    <w:rsid w:val="003B556C"/>
    <w:rsid w:val="003B55AC"/>
    <w:rsid w:val="003B5676"/>
    <w:rsid w:val="003B5814"/>
    <w:rsid w:val="003B5899"/>
    <w:rsid w:val="003B590B"/>
    <w:rsid w:val="003B5D70"/>
    <w:rsid w:val="003B5E86"/>
    <w:rsid w:val="003B6217"/>
    <w:rsid w:val="003B6470"/>
    <w:rsid w:val="003B64DA"/>
    <w:rsid w:val="003B651A"/>
    <w:rsid w:val="003B6610"/>
    <w:rsid w:val="003B6657"/>
    <w:rsid w:val="003B665A"/>
    <w:rsid w:val="003B67FA"/>
    <w:rsid w:val="003B6840"/>
    <w:rsid w:val="003B699C"/>
    <w:rsid w:val="003B69E5"/>
    <w:rsid w:val="003B6A13"/>
    <w:rsid w:val="003B6CB8"/>
    <w:rsid w:val="003B6CCD"/>
    <w:rsid w:val="003B6EEB"/>
    <w:rsid w:val="003B700A"/>
    <w:rsid w:val="003B702C"/>
    <w:rsid w:val="003B70E4"/>
    <w:rsid w:val="003B72F0"/>
    <w:rsid w:val="003B7326"/>
    <w:rsid w:val="003B73FB"/>
    <w:rsid w:val="003B74E7"/>
    <w:rsid w:val="003B752F"/>
    <w:rsid w:val="003B7840"/>
    <w:rsid w:val="003B799A"/>
    <w:rsid w:val="003B7F02"/>
    <w:rsid w:val="003B7F62"/>
    <w:rsid w:val="003C0141"/>
    <w:rsid w:val="003C0358"/>
    <w:rsid w:val="003C03C4"/>
    <w:rsid w:val="003C043C"/>
    <w:rsid w:val="003C05CA"/>
    <w:rsid w:val="003C062B"/>
    <w:rsid w:val="003C06BD"/>
    <w:rsid w:val="003C0703"/>
    <w:rsid w:val="003C074C"/>
    <w:rsid w:val="003C07B1"/>
    <w:rsid w:val="003C0823"/>
    <w:rsid w:val="003C09EF"/>
    <w:rsid w:val="003C0B57"/>
    <w:rsid w:val="003C0CA9"/>
    <w:rsid w:val="003C0D7B"/>
    <w:rsid w:val="003C0E77"/>
    <w:rsid w:val="003C1091"/>
    <w:rsid w:val="003C11B4"/>
    <w:rsid w:val="003C120F"/>
    <w:rsid w:val="003C138F"/>
    <w:rsid w:val="003C14DE"/>
    <w:rsid w:val="003C17BC"/>
    <w:rsid w:val="003C188C"/>
    <w:rsid w:val="003C1894"/>
    <w:rsid w:val="003C1AEE"/>
    <w:rsid w:val="003C1C09"/>
    <w:rsid w:val="003C1C80"/>
    <w:rsid w:val="003C1CF4"/>
    <w:rsid w:val="003C1E87"/>
    <w:rsid w:val="003C2030"/>
    <w:rsid w:val="003C2033"/>
    <w:rsid w:val="003C2112"/>
    <w:rsid w:val="003C216C"/>
    <w:rsid w:val="003C240E"/>
    <w:rsid w:val="003C2475"/>
    <w:rsid w:val="003C2993"/>
    <w:rsid w:val="003C29E3"/>
    <w:rsid w:val="003C2A1B"/>
    <w:rsid w:val="003C2E6D"/>
    <w:rsid w:val="003C2FC7"/>
    <w:rsid w:val="003C30CC"/>
    <w:rsid w:val="003C3117"/>
    <w:rsid w:val="003C3272"/>
    <w:rsid w:val="003C33C3"/>
    <w:rsid w:val="003C35AE"/>
    <w:rsid w:val="003C36C6"/>
    <w:rsid w:val="003C3786"/>
    <w:rsid w:val="003C3895"/>
    <w:rsid w:val="003C3A3B"/>
    <w:rsid w:val="003C3B7E"/>
    <w:rsid w:val="003C3BC6"/>
    <w:rsid w:val="003C3BD3"/>
    <w:rsid w:val="003C3F3B"/>
    <w:rsid w:val="003C3FBB"/>
    <w:rsid w:val="003C4085"/>
    <w:rsid w:val="003C4222"/>
    <w:rsid w:val="003C4465"/>
    <w:rsid w:val="003C4519"/>
    <w:rsid w:val="003C45C1"/>
    <w:rsid w:val="003C475B"/>
    <w:rsid w:val="003C4810"/>
    <w:rsid w:val="003C4BA5"/>
    <w:rsid w:val="003C4C01"/>
    <w:rsid w:val="003C4E40"/>
    <w:rsid w:val="003C502A"/>
    <w:rsid w:val="003C50C4"/>
    <w:rsid w:val="003C5303"/>
    <w:rsid w:val="003C538E"/>
    <w:rsid w:val="003C569E"/>
    <w:rsid w:val="003C56FB"/>
    <w:rsid w:val="003C5719"/>
    <w:rsid w:val="003C5889"/>
    <w:rsid w:val="003C5B7E"/>
    <w:rsid w:val="003C5B8F"/>
    <w:rsid w:val="003C5C8E"/>
    <w:rsid w:val="003C5E66"/>
    <w:rsid w:val="003C5F1A"/>
    <w:rsid w:val="003C60B4"/>
    <w:rsid w:val="003C618C"/>
    <w:rsid w:val="003C66AD"/>
    <w:rsid w:val="003C6787"/>
    <w:rsid w:val="003C679A"/>
    <w:rsid w:val="003C67C3"/>
    <w:rsid w:val="003C6B42"/>
    <w:rsid w:val="003C6E81"/>
    <w:rsid w:val="003C6F8B"/>
    <w:rsid w:val="003C6F8E"/>
    <w:rsid w:val="003C7064"/>
    <w:rsid w:val="003C72A3"/>
    <w:rsid w:val="003C7527"/>
    <w:rsid w:val="003C75A6"/>
    <w:rsid w:val="003C75E6"/>
    <w:rsid w:val="003C79D3"/>
    <w:rsid w:val="003C7AFC"/>
    <w:rsid w:val="003C7C9E"/>
    <w:rsid w:val="003C7D09"/>
    <w:rsid w:val="003C7F0A"/>
    <w:rsid w:val="003D00BD"/>
    <w:rsid w:val="003D029D"/>
    <w:rsid w:val="003D05D8"/>
    <w:rsid w:val="003D0614"/>
    <w:rsid w:val="003D06D6"/>
    <w:rsid w:val="003D0701"/>
    <w:rsid w:val="003D070D"/>
    <w:rsid w:val="003D0744"/>
    <w:rsid w:val="003D09D0"/>
    <w:rsid w:val="003D0A94"/>
    <w:rsid w:val="003D0AE9"/>
    <w:rsid w:val="003D0C2B"/>
    <w:rsid w:val="003D0D19"/>
    <w:rsid w:val="003D10DD"/>
    <w:rsid w:val="003D131B"/>
    <w:rsid w:val="003D14B2"/>
    <w:rsid w:val="003D1708"/>
    <w:rsid w:val="003D192B"/>
    <w:rsid w:val="003D1A41"/>
    <w:rsid w:val="003D1A69"/>
    <w:rsid w:val="003D1C0C"/>
    <w:rsid w:val="003D1C57"/>
    <w:rsid w:val="003D1CD8"/>
    <w:rsid w:val="003D1CFA"/>
    <w:rsid w:val="003D21EF"/>
    <w:rsid w:val="003D242F"/>
    <w:rsid w:val="003D2549"/>
    <w:rsid w:val="003D2689"/>
    <w:rsid w:val="003D2775"/>
    <w:rsid w:val="003D2C22"/>
    <w:rsid w:val="003D2EC3"/>
    <w:rsid w:val="003D3515"/>
    <w:rsid w:val="003D364E"/>
    <w:rsid w:val="003D3742"/>
    <w:rsid w:val="003D38C8"/>
    <w:rsid w:val="003D38D1"/>
    <w:rsid w:val="003D3A0C"/>
    <w:rsid w:val="003D3DB9"/>
    <w:rsid w:val="003D3E7A"/>
    <w:rsid w:val="003D3EB7"/>
    <w:rsid w:val="003D3EE6"/>
    <w:rsid w:val="003D3F2E"/>
    <w:rsid w:val="003D3FC7"/>
    <w:rsid w:val="003D4084"/>
    <w:rsid w:val="003D408F"/>
    <w:rsid w:val="003D419B"/>
    <w:rsid w:val="003D41B6"/>
    <w:rsid w:val="003D43DC"/>
    <w:rsid w:val="003D43DD"/>
    <w:rsid w:val="003D4679"/>
    <w:rsid w:val="003D46CF"/>
    <w:rsid w:val="003D494B"/>
    <w:rsid w:val="003D4970"/>
    <w:rsid w:val="003D49B2"/>
    <w:rsid w:val="003D4A80"/>
    <w:rsid w:val="003D4BAD"/>
    <w:rsid w:val="003D4CE3"/>
    <w:rsid w:val="003D4D97"/>
    <w:rsid w:val="003D4D98"/>
    <w:rsid w:val="003D4D9B"/>
    <w:rsid w:val="003D4E3C"/>
    <w:rsid w:val="003D4F17"/>
    <w:rsid w:val="003D4F89"/>
    <w:rsid w:val="003D4FDD"/>
    <w:rsid w:val="003D50DC"/>
    <w:rsid w:val="003D50E9"/>
    <w:rsid w:val="003D5109"/>
    <w:rsid w:val="003D5284"/>
    <w:rsid w:val="003D5321"/>
    <w:rsid w:val="003D5641"/>
    <w:rsid w:val="003D5717"/>
    <w:rsid w:val="003D575B"/>
    <w:rsid w:val="003D59CE"/>
    <w:rsid w:val="003D5AEF"/>
    <w:rsid w:val="003D5C3C"/>
    <w:rsid w:val="003D5D94"/>
    <w:rsid w:val="003D6090"/>
    <w:rsid w:val="003D6281"/>
    <w:rsid w:val="003D62C1"/>
    <w:rsid w:val="003D634D"/>
    <w:rsid w:val="003D63E7"/>
    <w:rsid w:val="003D65A4"/>
    <w:rsid w:val="003D6733"/>
    <w:rsid w:val="003D676D"/>
    <w:rsid w:val="003D67C5"/>
    <w:rsid w:val="003D6CFB"/>
    <w:rsid w:val="003D6DBF"/>
    <w:rsid w:val="003D6DD9"/>
    <w:rsid w:val="003D7205"/>
    <w:rsid w:val="003D7241"/>
    <w:rsid w:val="003D7345"/>
    <w:rsid w:val="003D745A"/>
    <w:rsid w:val="003D74DF"/>
    <w:rsid w:val="003D770A"/>
    <w:rsid w:val="003D772D"/>
    <w:rsid w:val="003D7A95"/>
    <w:rsid w:val="003D7C20"/>
    <w:rsid w:val="003D7D1E"/>
    <w:rsid w:val="003D7E17"/>
    <w:rsid w:val="003D7EF7"/>
    <w:rsid w:val="003D7F97"/>
    <w:rsid w:val="003E006F"/>
    <w:rsid w:val="003E0117"/>
    <w:rsid w:val="003E0153"/>
    <w:rsid w:val="003E01CB"/>
    <w:rsid w:val="003E02D3"/>
    <w:rsid w:val="003E02F7"/>
    <w:rsid w:val="003E0416"/>
    <w:rsid w:val="003E0603"/>
    <w:rsid w:val="003E0683"/>
    <w:rsid w:val="003E0B70"/>
    <w:rsid w:val="003E0B79"/>
    <w:rsid w:val="003E0C1A"/>
    <w:rsid w:val="003E0C7D"/>
    <w:rsid w:val="003E0C85"/>
    <w:rsid w:val="003E0D07"/>
    <w:rsid w:val="003E0E2B"/>
    <w:rsid w:val="003E1035"/>
    <w:rsid w:val="003E116A"/>
    <w:rsid w:val="003E137B"/>
    <w:rsid w:val="003E14AC"/>
    <w:rsid w:val="003E166B"/>
    <w:rsid w:val="003E171D"/>
    <w:rsid w:val="003E1927"/>
    <w:rsid w:val="003E1BC7"/>
    <w:rsid w:val="003E1C1F"/>
    <w:rsid w:val="003E1D99"/>
    <w:rsid w:val="003E1DAB"/>
    <w:rsid w:val="003E1EFC"/>
    <w:rsid w:val="003E21DC"/>
    <w:rsid w:val="003E21FF"/>
    <w:rsid w:val="003E23D0"/>
    <w:rsid w:val="003E2660"/>
    <w:rsid w:val="003E2746"/>
    <w:rsid w:val="003E27AE"/>
    <w:rsid w:val="003E2905"/>
    <w:rsid w:val="003E2931"/>
    <w:rsid w:val="003E2A7A"/>
    <w:rsid w:val="003E2C93"/>
    <w:rsid w:val="003E2C9E"/>
    <w:rsid w:val="003E2D0D"/>
    <w:rsid w:val="003E2D66"/>
    <w:rsid w:val="003E2E40"/>
    <w:rsid w:val="003E2E5D"/>
    <w:rsid w:val="003E2ECC"/>
    <w:rsid w:val="003E2F15"/>
    <w:rsid w:val="003E2F46"/>
    <w:rsid w:val="003E2FA7"/>
    <w:rsid w:val="003E3349"/>
    <w:rsid w:val="003E343A"/>
    <w:rsid w:val="003E351F"/>
    <w:rsid w:val="003E3541"/>
    <w:rsid w:val="003E35C7"/>
    <w:rsid w:val="003E3978"/>
    <w:rsid w:val="003E3A74"/>
    <w:rsid w:val="003E3B3E"/>
    <w:rsid w:val="003E3B7D"/>
    <w:rsid w:val="003E3CA8"/>
    <w:rsid w:val="003E3D21"/>
    <w:rsid w:val="003E3DC7"/>
    <w:rsid w:val="003E3E3A"/>
    <w:rsid w:val="003E400D"/>
    <w:rsid w:val="003E418B"/>
    <w:rsid w:val="003E43A4"/>
    <w:rsid w:val="003E4711"/>
    <w:rsid w:val="003E4C55"/>
    <w:rsid w:val="003E51A4"/>
    <w:rsid w:val="003E5221"/>
    <w:rsid w:val="003E55EC"/>
    <w:rsid w:val="003E5646"/>
    <w:rsid w:val="003E5794"/>
    <w:rsid w:val="003E579D"/>
    <w:rsid w:val="003E5B03"/>
    <w:rsid w:val="003E5C9D"/>
    <w:rsid w:val="003E5F7E"/>
    <w:rsid w:val="003E6051"/>
    <w:rsid w:val="003E60D7"/>
    <w:rsid w:val="003E6253"/>
    <w:rsid w:val="003E6256"/>
    <w:rsid w:val="003E630F"/>
    <w:rsid w:val="003E6314"/>
    <w:rsid w:val="003E63E6"/>
    <w:rsid w:val="003E647E"/>
    <w:rsid w:val="003E6555"/>
    <w:rsid w:val="003E656E"/>
    <w:rsid w:val="003E66D6"/>
    <w:rsid w:val="003E6880"/>
    <w:rsid w:val="003E6A0F"/>
    <w:rsid w:val="003E6A5F"/>
    <w:rsid w:val="003E6CC3"/>
    <w:rsid w:val="003E6D2F"/>
    <w:rsid w:val="003E6D42"/>
    <w:rsid w:val="003E7036"/>
    <w:rsid w:val="003E7272"/>
    <w:rsid w:val="003E7301"/>
    <w:rsid w:val="003E7464"/>
    <w:rsid w:val="003E7573"/>
    <w:rsid w:val="003E75B6"/>
    <w:rsid w:val="003E75ED"/>
    <w:rsid w:val="003E7601"/>
    <w:rsid w:val="003E77B2"/>
    <w:rsid w:val="003E783D"/>
    <w:rsid w:val="003E7884"/>
    <w:rsid w:val="003E7AF8"/>
    <w:rsid w:val="003E7D2D"/>
    <w:rsid w:val="003E7D65"/>
    <w:rsid w:val="003E7E23"/>
    <w:rsid w:val="003F0222"/>
    <w:rsid w:val="003F041F"/>
    <w:rsid w:val="003F0803"/>
    <w:rsid w:val="003F0B9C"/>
    <w:rsid w:val="003F0C4D"/>
    <w:rsid w:val="003F0D6B"/>
    <w:rsid w:val="003F0FDA"/>
    <w:rsid w:val="003F1033"/>
    <w:rsid w:val="003F10C7"/>
    <w:rsid w:val="003F1192"/>
    <w:rsid w:val="003F1431"/>
    <w:rsid w:val="003F150E"/>
    <w:rsid w:val="003F16B0"/>
    <w:rsid w:val="003F16B8"/>
    <w:rsid w:val="003F179F"/>
    <w:rsid w:val="003F18C6"/>
    <w:rsid w:val="003F19E9"/>
    <w:rsid w:val="003F1B3E"/>
    <w:rsid w:val="003F20B6"/>
    <w:rsid w:val="003F218C"/>
    <w:rsid w:val="003F240D"/>
    <w:rsid w:val="003F2662"/>
    <w:rsid w:val="003F2710"/>
    <w:rsid w:val="003F27FC"/>
    <w:rsid w:val="003F28E9"/>
    <w:rsid w:val="003F2A0E"/>
    <w:rsid w:val="003F2A28"/>
    <w:rsid w:val="003F2C4B"/>
    <w:rsid w:val="003F2D0E"/>
    <w:rsid w:val="003F2DDC"/>
    <w:rsid w:val="003F3182"/>
    <w:rsid w:val="003F345D"/>
    <w:rsid w:val="003F34FF"/>
    <w:rsid w:val="003F3534"/>
    <w:rsid w:val="003F3591"/>
    <w:rsid w:val="003F3714"/>
    <w:rsid w:val="003F383B"/>
    <w:rsid w:val="003F3AD1"/>
    <w:rsid w:val="003F3AD8"/>
    <w:rsid w:val="003F3F4D"/>
    <w:rsid w:val="003F3FC8"/>
    <w:rsid w:val="003F41C0"/>
    <w:rsid w:val="003F4346"/>
    <w:rsid w:val="003F444A"/>
    <w:rsid w:val="003F45CE"/>
    <w:rsid w:val="003F464C"/>
    <w:rsid w:val="003F467B"/>
    <w:rsid w:val="003F46F5"/>
    <w:rsid w:val="003F471B"/>
    <w:rsid w:val="003F49BC"/>
    <w:rsid w:val="003F49D2"/>
    <w:rsid w:val="003F4A19"/>
    <w:rsid w:val="003F4B08"/>
    <w:rsid w:val="003F4B7B"/>
    <w:rsid w:val="003F4BCF"/>
    <w:rsid w:val="003F4D4D"/>
    <w:rsid w:val="003F52D1"/>
    <w:rsid w:val="003F52DD"/>
    <w:rsid w:val="003F539D"/>
    <w:rsid w:val="003F547C"/>
    <w:rsid w:val="003F555D"/>
    <w:rsid w:val="003F56BC"/>
    <w:rsid w:val="003F5738"/>
    <w:rsid w:val="003F589F"/>
    <w:rsid w:val="003F592A"/>
    <w:rsid w:val="003F5A4F"/>
    <w:rsid w:val="003F5B31"/>
    <w:rsid w:val="003F5C01"/>
    <w:rsid w:val="003F5CBA"/>
    <w:rsid w:val="003F5D4F"/>
    <w:rsid w:val="003F5DDB"/>
    <w:rsid w:val="003F5E09"/>
    <w:rsid w:val="003F5EDB"/>
    <w:rsid w:val="003F5F4E"/>
    <w:rsid w:val="003F60CF"/>
    <w:rsid w:val="003F6124"/>
    <w:rsid w:val="003F620C"/>
    <w:rsid w:val="003F6586"/>
    <w:rsid w:val="003F65D5"/>
    <w:rsid w:val="003F66C0"/>
    <w:rsid w:val="003F6737"/>
    <w:rsid w:val="003F6739"/>
    <w:rsid w:val="003F675D"/>
    <w:rsid w:val="003F6BDA"/>
    <w:rsid w:val="003F6DC2"/>
    <w:rsid w:val="003F71E1"/>
    <w:rsid w:val="003F7364"/>
    <w:rsid w:val="003F7534"/>
    <w:rsid w:val="003F75B9"/>
    <w:rsid w:val="003F7636"/>
    <w:rsid w:val="003F76B2"/>
    <w:rsid w:val="003F76C7"/>
    <w:rsid w:val="003F77F0"/>
    <w:rsid w:val="003F77FF"/>
    <w:rsid w:val="003F7980"/>
    <w:rsid w:val="003F7CD7"/>
    <w:rsid w:val="003F7DC2"/>
    <w:rsid w:val="00400023"/>
    <w:rsid w:val="00400069"/>
    <w:rsid w:val="00400097"/>
    <w:rsid w:val="004001BA"/>
    <w:rsid w:val="004003C8"/>
    <w:rsid w:val="00400450"/>
    <w:rsid w:val="00400494"/>
    <w:rsid w:val="00400534"/>
    <w:rsid w:val="004005C8"/>
    <w:rsid w:val="004006FC"/>
    <w:rsid w:val="004007BB"/>
    <w:rsid w:val="00400829"/>
    <w:rsid w:val="00400B07"/>
    <w:rsid w:val="00400B9F"/>
    <w:rsid w:val="00400DBA"/>
    <w:rsid w:val="00400E62"/>
    <w:rsid w:val="00400EEF"/>
    <w:rsid w:val="00401001"/>
    <w:rsid w:val="00401071"/>
    <w:rsid w:val="00401180"/>
    <w:rsid w:val="00401224"/>
    <w:rsid w:val="004013EF"/>
    <w:rsid w:val="004015F1"/>
    <w:rsid w:val="00401717"/>
    <w:rsid w:val="0040171B"/>
    <w:rsid w:val="00401753"/>
    <w:rsid w:val="004018D6"/>
    <w:rsid w:val="004018FB"/>
    <w:rsid w:val="0040192A"/>
    <w:rsid w:val="00401934"/>
    <w:rsid w:val="00401B48"/>
    <w:rsid w:val="00401B92"/>
    <w:rsid w:val="00401D81"/>
    <w:rsid w:val="00401FF6"/>
    <w:rsid w:val="004020DF"/>
    <w:rsid w:val="00402581"/>
    <w:rsid w:val="00402635"/>
    <w:rsid w:val="004027BA"/>
    <w:rsid w:val="00402837"/>
    <w:rsid w:val="00402883"/>
    <w:rsid w:val="004028B5"/>
    <w:rsid w:val="00402B56"/>
    <w:rsid w:val="00402FB3"/>
    <w:rsid w:val="004030ED"/>
    <w:rsid w:val="004031D3"/>
    <w:rsid w:val="0040322C"/>
    <w:rsid w:val="004032C9"/>
    <w:rsid w:val="004032CA"/>
    <w:rsid w:val="00403399"/>
    <w:rsid w:val="004033C6"/>
    <w:rsid w:val="004033EC"/>
    <w:rsid w:val="00403441"/>
    <w:rsid w:val="00403528"/>
    <w:rsid w:val="0040358A"/>
    <w:rsid w:val="0040360A"/>
    <w:rsid w:val="00403763"/>
    <w:rsid w:val="004038E7"/>
    <w:rsid w:val="00403C86"/>
    <w:rsid w:val="00403F17"/>
    <w:rsid w:val="004042BF"/>
    <w:rsid w:val="004043A6"/>
    <w:rsid w:val="004043F7"/>
    <w:rsid w:val="00404459"/>
    <w:rsid w:val="004045D6"/>
    <w:rsid w:val="004046D7"/>
    <w:rsid w:val="00404844"/>
    <w:rsid w:val="004048F1"/>
    <w:rsid w:val="00404C56"/>
    <w:rsid w:val="00404E00"/>
    <w:rsid w:val="00404EDB"/>
    <w:rsid w:val="00404F0D"/>
    <w:rsid w:val="00404F93"/>
    <w:rsid w:val="0040501A"/>
    <w:rsid w:val="00405097"/>
    <w:rsid w:val="0040522C"/>
    <w:rsid w:val="0040531D"/>
    <w:rsid w:val="00405413"/>
    <w:rsid w:val="00405436"/>
    <w:rsid w:val="00405504"/>
    <w:rsid w:val="00405668"/>
    <w:rsid w:val="004058CD"/>
    <w:rsid w:val="00405A72"/>
    <w:rsid w:val="00405A75"/>
    <w:rsid w:val="00405AFC"/>
    <w:rsid w:val="00405B40"/>
    <w:rsid w:val="00405B8C"/>
    <w:rsid w:val="00405BCE"/>
    <w:rsid w:val="00405BE5"/>
    <w:rsid w:val="00405D7A"/>
    <w:rsid w:val="00405D8E"/>
    <w:rsid w:val="00406122"/>
    <w:rsid w:val="0040625D"/>
    <w:rsid w:val="00406382"/>
    <w:rsid w:val="004067DF"/>
    <w:rsid w:val="00406831"/>
    <w:rsid w:val="0040689A"/>
    <w:rsid w:val="00406AA9"/>
    <w:rsid w:val="00406AF3"/>
    <w:rsid w:val="00406B51"/>
    <w:rsid w:val="00406BF5"/>
    <w:rsid w:val="00406C11"/>
    <w:rsid w:val="0040708F"/>
    <w:rsid w:val="00407199"/>
    <w:rsid w:val="004071B8"/>
    <w:rsid w:val="00407278"/>
    <w:rsid w:val="004072B9"/>
    <w:rsid w:val="00407467"/>
    <w:rsid w:val="004075AE"/>
    <w:rsid w:val="00407680"/>
    <w:rsid w:val="00407743"/>
    <w:rsid w:val="0040788A"/>
    <w:rsid w:val="0040789D"/>
    <w:rsid w:val="00407972"/>
    <w:rsid w:val="00407996"/>
    <w:rsid w:val="004079AD"/>
    <w:rsid w:val="00407ABA"/>
    <w:rsid w:val="00407BB8"/>
    <w:rsid w:val="00407BC5"/>
    <w:rsid w:val="00407E76"/>
    <w:rsid w:val="00407E9B"/>
    <w:rsid w:val="00407E9C"/>
    <w:rsid w:val="00407F97"/>
    <w:rsid w:val="0041002C"/>
    <w:rsid w:val="00410123"/>
    <w:rsid w:val="004105CC"/>
    <w:rsid w:val="00410601"/>
    <w:rsid w:val="004107B5"/>
    <w:rsid w:val="00410837"/>
    <w:rsid w:val="004108E1"/>
    <w:rsid w:val="00410922"/>
    <w:rsid w:val="0041094C"/>
    <w:rsid w:val="00410EE8"/>
    <w:rsid w:val="00410F2B"/>
    <w:rsid w:val="00410F79"/>
    <w:rsid w:val="0041111B"/>
    <w:rsid w:val="0041114F"/>
    <w:rsid w:val="004111EA"/>
    <w:rsid w:val="00411200"/>
    <w:rsid w:val="0041125D"/>
    <w:rsid w:val="004114A7"/>
    <w:rsid w:val="004114EA"/>
    <w:rsid w:val="004115A0"/>
    <w:rsid w:val="00411697"/>
    <w:rsid w:val="004116C9"/>
    <w:rsid w:val="004117D6"/>
    <w:rsid w:val="004117E9"/>
    <w:rsid w:val="00411813"/>
    <w:rsid w:val="00411960"/>
    <w:rsid w:val="00411B0F"/>
    <w:rsid w:val="00411C9E"/>
    <w:rsid w:val="0041202C"/>
    <w:rsid w:val="00412061"/>
    <w:rsid w:val="00412087"/>
    <w:rsid w:val="004121B1"/>
    <w:rsid w:val="0041223B"/>
    <w:rsid w:val="00412317"/>
    <w:rsid w:val="00412385"/>
    <w:rsid w:val="00412422"/>
    <w:rsid w:val="00412609"/>
    <w:rsid w:val="00412667"/>
    <w:rsid w:val="004128B5"/>
    <w:rsid w:val="00412A2E"/>
    <w:rsid w:val="00412AE0"/>
    <w:rsid w:val="00412B1E"/>
    <w:rsid w:val="00412B4B"/>
    <w:rsid w:val="00412B58"/>
    <w:rsid w:val="00412BC2"/>
    <w:rsid w:val="00412C7E"/>
    <w:rsid w:val="00412F8B"/>
    <w:rsid w:val="00413267"/>
    <w:rsid w:val="00413319"/>
    <w:rsid w:val="00413444"/>
    <w:rsid w:val="004135BD"/>
    <w:rsid w:val="004137A4"/>
    <w:rsid w:val="004138EF"/>
    <w:rsid w:val="00413902"/>
    <w:rsid w:val="00413C01"/>
    <w:rsid w:val="00413C04"/>
    <w:rsid w:val="00413C10"/>
    <w:rsid w:val="00413D02"/>
    <w:rsid w:val="00413E02"/>
    <w:rsid w:val="00414751"/>
    <w:rsid w:val="004147FF"/>
    <w:rsid w:val="004148A2"/>
    <w:rsid w:val="004148CF"/>
    <w:rsid w:val="00414A09"/>
    <w:rsid w:val="00414AEC"/>
    <w:rsid w:val="0041507D"/>
    <w:rsid w:val="00415126"/>
    <w:rsid w:val="0041518C"/>
    <w:rsid w:val="0041527D"/>
    <w:rsid w:val="00415556"/>
    <w:rsid w:val="004156D7"/>
    <w:rsid w:val="00415915"/>
    <w:rsid w:val="004159B3"/>
    <w:rsid w:val="00415A9B"/>
    <w:rsid w:val="00415AA9"/>
    <w:rsid w:val="00415B54"/>
    <w:rsid w:val="00415BB0"/>
    <w:rsid w:val="00415C18"/>
    <w:rsid w:val="00415C20"/>
    <w:rsid w:val="00415E0C"/>
    <w:rsid w:val="0041676F"/>
    <w:rsid w:val="0041686D"/>
    <w:rsid w:val="00416936"/>
    <w:rsid w:val="00416966"/>
    <w:rsid w:val="004169E9"/>
    <w:rsid w:val="004169FC"/>
    <w:rsid w:val="00416A98"/>
    <w:rsid w:val="00416A9E"/>
    <w:rsid w:val="00416AA5"/>
    <w:rsid w:val="00416E87"/>
    <w:rsid w:val="00416ECD"/>
    <w:rsid w:val="00416FD9"/>
    <w:rsid w:val="00416FF2"/>
    <w:rsid w:val="0041723D"/>
    <w:rsid w:val="004172CC"/>
    <w:rsid w:val="004173B9"/>
    <w:rsid w:val="0041754D"/>
    <w:rsid w:val="00417AAC"/>
    <w:rsid w:val="00417AE3"/>
    <w:rsid w:val="00417B75"/>
    <w:rsid w:val="00417B93"/>
    <w:rsid w:val="00417D75"/>
    <w:rsid w:val="00417E55"/>
    <w:rsid w:val="00420076"/>
    <w:rsid w:val="004201C1"/>
    <w:rsid w:val="0042034F"/>
    <w:rsid w:val="00420987"/>
    <w:rsid w:val="004209CC"/>
    <w:rsid w:val="00420A13"/>
    <w:rsid w:val="00420AEE"/>
    <w:rsid w:val="00420BD0"/>
    <w:rsid w:val="00420BEC"/>
    <w:rsid w:val="00420D83"/>
    <w:rsid w:val="00420D8E"/>
    <w:rsid w:val="004214FE"/>
    <w:rsid w:val="00421758"/>
    <w:rsid w:val="004217BB"/>
    <w:rsid w:val="00421A57"/>
    <w:rsid w:val="00421C38"/>
    <w:rsid w:val="00421C53"/>
    <w:rsid w:val="00421CF0"/>
    <w:rsid w:val="00421D57"/>
    <w:rsid w:val="00421DAC"/>
    <w:rsid w:val="00421F83"/>
    <w:rsid w:val="00421FFD"/>
    <w:rsid w:val="00422031"/>
    <w:rsid w:val="00422041"/>
    <w:rsid w:val="00422235"/>
    <w:rsid w:val="00422321"/>
    <w:rsid w:val="00422346"/>
    <w:rsid w:val="004223E2"/>
    <w:rsid w:val="004224FD"/>
    <w:rsid w:val="004226E3"/>
    <w:rsid w:val="004227D7"/>
    <w:rsid w:val="00422B48"/>
    <w:rsid w:val="00422ED2"/>
    <w:rsid w:val="004230D0"/>
    <w:rsid w:val="004230DB"/>
    <w:rsid w:val="0042314F"/>
    <w:rsid w:val="0042319D"/>
    <w:rsid w:val="00423424"/>
    <w:rsid w:val="0042349D"/>
    <w:rsid w:val="004234CE"/>
    <w:rsid w:val="00423597"/>
    <w:rsid w:val="0042367C"/>
    <w:rsid w:val="004237C9"/>
    <w:rsid w:val="00423890"/>
    <w:rsid w:val="00423953"/>
    <w:rsid w:val="004239CC"/>
    <w:rsid w:val="00423A25"/>
    <w:rsid w:val="00423AAD"/>
    <w:rsid w:val="00423DF4"/>
    <w:rsid w:val="00423FC7"/>
    <w:rsid w:val="00423FF5"/>
    <w:rsid w:val="004240B6"/>
    <w:rsid w:val="004240F6"/>
    <w:rsid w:val="0042465E"/>
    <w:rsid w:val="00424798"/>
    <w:rsid w:val="00424951"/>
    <w:rsid w:val="004249E0"/>
    <w:rsid w:val="00424AC8"/>
    <w:rsid w:val="00424B9A"/>
    <w:rsid w:val="00424E1F"/>
    <w:rsid w:val="00424E67"/>
    <w:rsid w:val="00424EB9"/>
    <w:rsid w:val="004254BE"/>
    <w:rsid w:val="004255EE"/>
    <w:rsid w:val="0042584E"/>
    <w:rsid w:val="004258A8"/>
    <w:rsid w:val="00425C1B"/>
    <w:rsid w:val="00425DEB"/>
    <w:rsid w:val="00425FBB"/>
    <w:rsid w:val="004262D3"/>
    <w:rsid w:val="00426446"/>
    <w:rsid w:val="00426452"/>
    <w:rsid w:val="00426617"/>
    <w:rsid w:val="0042668D"/>
    <w:rsid w:val="00426791"/>
    <w:rsid w:val="004268D8"/>
    <w:rsid w:val="00426939"/>
    <w:rsid w:val="00426AF1"/>
    <w:rsid w:val="00426BAD"/>
    <w:rsid w:val="00426C56"/>
    <w:rsid w:val="00426C61"/>
    <w:rsid w:val="00426E95"/>
    <w:rsid w:val="00426EE8"/>
    <w:rsid w:val="004270D6"/>
    <w:rsid w:val="00427252"/>
    <w:rsid w:val="004272B9"/>
    <w:rsid w:val="004273E4"/>
    <w:rsid w:val="00427672"/>
    <w:rsid w:val="004276CA"/>
    <w:rsid w:val="00427763"/>
    <w:rsid w:val="0042776A"/>
    <w:rsid w:val="0042787C"/>
    <w:rsid w:val="0042799F"/>
    <w:rsid w:val="00427D1C"/>
    <w:rsid w:val="00427D96"/>
    <w:rsid w:val="00427DC5"/>
    <w:rsid w:val="004301F7"/>
    <w:rsid w:val="0043049B"/>
    <w:rsid w:val="0043075E"/>
    <w:rsid w:val="004308B0"/>
    <w:rsid w:val="004308E4"/>
    <w:rsid w:val="00430959"/>
    <w:rsid w:val="00430A6E"/>
    <w:rsid w:val="00430BA2"/>
    <w:rsid w:val="00430CE8"/>
    <w:rsid w:val="00430CF6"/>
    <w:rsid w:val="00430D29"/>
    <w:rsid w:val="00430D5A"/>
    <w:rsid w:val="00430F20"/>
    <w:rsid w:val="00431228"/>
    <w:rsid w:val="0043137C"/>
    <w:rsid w:val="0043156F"/>
    <w:rsid w:val="00431641"/>
    <w:rsid w:val="00431948"/>
    <w:rsid w:val="004319A7"/>
    <w:rsid w:val="00431C09"/>
    <w:rsid w:val="00431C47"/>
    <w:rsid w:val="00432165"/>
    <w:rsid w:val="004324E8"/>
    <w:rsid w:val="004326CF"/>
    <w:rsid w:val="0043284F"/>
    <w:rsid w:val="004328A0"/>
    <w:rsid w:val="004329E1"/>
    <w:rsid w:val="00432AE6"/>
    <w:rsid w:val="00432C60"/>
    <w:rsid w:val="00432D30"/>
    <w:rsid w:val="00432F05"/>
    <w:rsid w:val="00432F7E"/>
    <w:rsid w:val="00432F83"/>
    <w:rsid w:val="00433083"/>
    <w:rsid w:val="004330DE"/>
    <w:rsid w:val="0043314B"/>
    <w:rsid w:val="00433442"/>
    <w:rsid w:val="00433527"/>
    <w:rsid w:val="004335CC"/>
    <w:rsid w:val="00433702"/>
    <w:rsid w:val="004337BA"/>
    <w:rsid w:val="00433818"/>
    <w:rsid w:val="004338EA"/>
    <w:rsid w:val="00433B46"/>
    <w:rsid w:val="00433DAA"/>
    <w:rsid w:val="00433E00"/>
    <w:rsid w:val="00433E4E"/>
    <w:rsid w:val="00434184"/>
    <w:rsid w:val="00434188"/>
    <w:rsid w:val="00434560"/>
    <w:rsid w:val="004345E3"/>
    <w:rsid w:val="0043493C"/>
    <w:rsid w:val="00434B0C"/>
    <w:rsid w:val="00434E21"/>
    <w:rsid w:val="00435233"/>
    <w:rsid w:val="004352C5"/>
    <w:rsid w:val="0043533F"/>
    <w:rsid w:val="00435396"/>
    <w:rsid w:val="00435415"/>
    <w:rsid w:val="0043570D"/>
    <w:rsid w:val="0043573D"/>
    <w:rsid w:val="00435753"/>
    <w:rsid w:val="00435787"/>
    <w:rsid w:val="004357A2"/>
    <w:rsid w:val="004358B6"/>
    <w:rsid w:val="004359C6"/>
    <w:rsid w:val="00435B85"/>
    <w:rsid w:val="00435E65"/>
    <w:rsid w:val="004364DC"/>
    <w:rsid w:val="004365F4"/>
    <w:rsid w:val="00436653"/>
    <w:rsid w:val="00436A45"/>
    <w:rsid w:val="00436A5A"/>
    <w:rsid w:val="00436B7B"/>
    <w:rsid w:val="00436B8E"/>
    <w:rsid w:val="00436E4A"/>
    <w:rsid w:val="00436E6F"/>
    <w:rsid w:val="00436FF2"/>
    <w:rsid w:val="00437196"/>
    <w:rsid w:val="00437282"/>
    <w:rsid w:val="00437285"/>
    <w:rsid w:val="004372AF"/>
    <w:rsid w:val="00437368"/>
    <w:rsid w:val="00437620"/>
    <w:rsid w:val="004376DB"/>
    <w:rsid w:val="00437912"/>
    <w:rsid w:val="00437917"/>
    <w:rsid w:val="00437B48"/>
    <w:rsid w:val="00437C53"/>
    <w:rsid w:val="00437CE7"/>
    <w:rsid w:val="00437D27"/>
    <w:rsid w:val="00437D60"/>
    <w:rsid w:val="00437E8E"/>
    <w:rsid w:val="00437ED3"/>
    <w:rsid w:val="00440115"/>
    <w:rsid w:val="0044011E"/>
    <w:rsid w:val="0044021A"/>
    <w:rsid w:val="004406AB"/>
    <w:rsid w:val="004406F3"/>
    <w:rsid w:val="00440702"/>
    <w:rsid w:val="004408CA"/>
    <w:rsid w:val="00440944"/>
    <w:rsid w:val="00440953"/>
    <w:rsid w:val="0044097C"/>
    <w:rsid w:val="004409B0"/>
    <w:rsid w:val="00440A72"/>
    <w:rsid w:val="00440BA4"/>
    <w:rsid w:val="00440D8C"/>
    <w:rsid w:val="00440F18"/>
    <w:rsid w:val="00440F3D"/>
    <w:rsid w:val="00440F8B"/>
    <w:rsid w:val="0044101B"/>
    <w:rsid w:val="00441118"/>
    <w:rsid w:val="004411C0"/>
    <w:rsid w:val="004411FC"/>
    <w:rsid w:val="00441627"/>
    <w:rsid w:val="004416E3"/>
    <w:rsid w:val="0044195D"/>
    <w:rsid w:val="00441A17"/>
    <w:rsid w:val="00441C6D"/>
    <w:rsid w:val="00441CBC"/>
    <w:rsid w:val="00441E9B"/>
    <w:rsid w:val="00441FCC"/>
    <w:rsid w:val="00442201"/>
    <w:rsid w:val="004423C2"/>
    <w:rsid w:val="0044255E"/>
    <w:rsid w:val="00442832"/>
    <w:rsid w:val="00442913"/>
    <w:rsid w:val="00442ADE"/>
    <w:rsid w:val="00442D7B"/>
    <w:rsid w:val="00442F10"/>
    <w:rsid w:val="00442FC8"/>
    <w:rsid w:val="004430D9"/>
    <w:rsid w:val="00443270"/>
    <w:rsid w:val="004432B1"/>
    <w:rsid w:val="00443576"/>
    <w:rsid w:val="0044360A"/>
    <w:rsid w:val="0044366D"/>
    <w:rsid w:val="004438A6"/>
    <w:rsid w:val="0044395B"/>
    <w:rsid w:val="00443AB8"/>
    <w:rsid w:val="00443C60"/>
    <w:rsid w:val="00443D2B"/>
    <w:rsid w:val="00443E51"/>
    <w:rsid w:val="00444112"/>
    <w:rsid w:val="00444362"/>
    <w:rsid w:val="00444428"/>
    <w:rsid w:val="00444758"/>
    <w:rsid w:val="004447AA"/>
    <w:rsid w:val="00444F68"/>
    <w:rsid w:val="00444F97"/>
    <w:rsid w:val="0044526D"/>
    <w:rsid w:val="004453DC"/>
    <w:rsid w:val="004454A9"/>
    <w:rsid w:val="004454F6"/>
    <w:rsid w:val="00445778"/>
    <w:rsid w:val="0044587D"/>
    <w:rsid w:val="00445992"/>
    <w:rsid w:val="00445A48"/>
    <w:rsid w:val="00445A89"/>
    <w:rsid w:val="00445D09"/>
    <w:rsid w:val="00445D95"/>
    <w:rsid w:val="00445EC1"/>
    <w:rsid w:val="00445F31"/>
    <w:rsid w:val="00446097"/>
    <w:rsid w:val="00446610"/>
    <w:rsid w:val="004466C2"/>
    <w:rsid w:val="004467D4"/>
    <w:rsid w:val="004467F7"/>
    <w:rsid w:val="00446808"/>
    <w:rsid w:val="00446818"/>
    <w:rsid w:val="004468A6"/>
    <w:rsid w:val="00446A45"/>
    <w:rsid w:val="00446C90"/>
    <w:rsid w:val="00446D06"/>
    <w:rsid w:val="0044742B"/>
    <w:rsid w:val="00447485"/>
    <w:rsid w:val="0044762C"/>
    <w:rsid w:val="00447682"/>
    <w:rsid w:val="004476AD"/>
    <w:rsid w:val="0044796B"/>
    <w:rsid w:val="004479C8"/>
    <w:rsid w:val="00447BBF"/>
    <w:rsid w:val="00447F15"/>
    <w:rsid w:val="00447F39"/>
    <w:rsid w:val="00447FED"/>
    <w:rsid w:val="00450058"/>
    <w:rsid w:val="0045021B"/>
    <w:rsid w:val="00450253"/>
    <w:rsid w:val="00450530"/>
    <w:rsid w:val="00450721"/>
    <w:rsid w:val="00450B72"/>
    <w:rsid w:val="00450BF7"/>
    <w:rsid w:val="00450C4C"/>
    <w:rsid w:val="00450CB2"/>
    <w:rsid w:val="00450E5C"/>
    <w:rsid w:val="00450E64"/>
    <w:rsid w:val="00450F14"/>
    <w:rsid w:val="00450FA7"/>
    <w:rsid w:val="00450FC0"/>
    <w:rsid w:val="00451021"/>
    <w:rsid w:val="00451033"/>
    <w:rsid w:val="004513D3"/>
    <w:rsid w:val="0045148B"/>
    <w:rsid w:val="0045156D"/>
    <w:rsid w:val="004515B6"/>
    <w:rsid w:val="004518D5"/>
    <w:rsid w:val="00451909"/>
    <w:rsid w:val="00451B40"/>
    <w:rsid w:val="00451C01"/>
    <w:rsid w:val="00451C3B"/>
    <w:rsid w:val="00451C40"/>
    <w:rsid w:val="00451D5C"/>
    <w:rsid w:val="00451E57"/>
    <w:rsid w:val="00451EDC"/>
    <w:rsid w:val="0045201F"/>
    <w:rsid w:val="00452054"/>
    <w:rsid w:val="0045229D"/>
    <w:rsid w:val="00452353"/>
    <w:rsid w:val="00452472"/>
    <w:rsid w:val="00452506"/>
    <w:rsid w:val="00452A5B"/>
    <w:rsid w:val="00452F38"/>
    <w:rsid w:val="00452FCC"/>
    <w:rsid w:val="0045322C"/>
    <w:rsid w:val="004532E6"/>
    <w:rsid w:val="004534AC"/>
    <w:rsid w:val="004534B5"/>
    <w:rsid w:val="00453676"/>
    <w:rsid w:val="00453761"/>
    <w:rsid w:val="0045397A"/>
    <w:rsid w:val="00453AF6"/>
    <w:rsid w:val="00453B50"/>
    <w:rsid w:val="00453D55"/>
    <w:rsid w:val="00453D62"/>
    <w:rsid w:val="00454149"/>
    <w:rsid w:val="004541A3"/>
    <w:rsid w:val="004542B4"/>
    <w:rsid w:val="0045458D"/>
    <w:rsid w:val="00454776"/>
    <w:rsid w:val="00454890"/>
    <w:rsid w:val="00454972"/>
    <w:rsid w:val="00454B3D"/>
    <w:rsid w:val="00454B80"/>
    <w:rsid w:val="00454E5A"/>
    <w:rsid w:val="00454EC2"/>
    <w:rsid w:val="00454F8C"/>
    <w:rsid w:val="00454FCF"/>
    <w:rsid w:val="00455062"/>
    <w:rsid w:val="0045530C"/>
    <w:rsid w:val="0045535E"/>
    <w:rsid w:val="004554FD"/>
    <w:rsid w:val="004554FE"/>
    <w:rsid w:val="00455552"/>
    <w:rsid w:val="004555C3"/>
    <w:rsid w:val="00455659"/>
    <w:rsid w:val="0045584A"/>
    <w:rsid w:val="00455A16"/>
    <w:rsid w:val="00455A2E"/>
    <w:rsid w:val="00455A64"/>
    <w:rsid w:val="00455B41"/>
    <w:rsid w:val="00455E79"/>
    <w:rsid w:val="00455ECB"/>
    <w:rsid w:val="00455F19"/>
    <w:rsid w:val="00455F54"/>
    <w:rsid w:val="0045603B"/>
    <w:rsid w:val="004560D9"/>
    <w:rsid w:val="0045615C"/>
    <w:rsid w:val="0045626F"/>
    <w:rsid w:val="0045634C"/>
    <w:rsid w:val="004569C6"/>
    <w:rsid w:val="00456A03"/>
    <w:rsid w:val="00456F3A"/>
    <w:rsid w:val="004570C6"/>
    <w:rsid w:val="004570E3"/>
    <w:rsid w:val="004572C8"/>
    <w:rsid w:val="004573D5"/>
    <w:rsid w:val="0045742D"/>
    <w:rsid w:val="0045766C"/>
    <w:rsid w:val="004577FE"/>
    <w:rsid w:val="00457A6C"/>
    <w:rsid w:val="00457D6B"/>
    <w:rsid w:val="00457D73"/>
    <w:rsid w:val="00457DF9"/>
    <w:rsid w:val="00457F6D"/>
    <w:rsid w:val="00457F78"/>
    <w:rsid w:val="0046029B"/>
    <w:rsid w:val="004602A6"/>
    <w:rsid w:val="004603BF"/>
    <w:rsid w:val="004603D6"/>
    <w:rsid w:val="004604C2"/>
    <w:rsid w:val="00460B25"/>
    <w:rsid w:val="00460C4F"/>
    <w:rsid w:val="004610EF"/>
    <w:rsid w:val="00461259"/>
    <w:rsid w:val="00461269"/>
    <w:rsid w:val="00461345"/>
    <w:rsid w:val="004614A5"/>
    <w:rsid w:val="0046195F"/>
    <w:rsid w:val="00462047"/>
    <w:rsid w:val="004621E2"/>
    <w:rsid w:val="00462489"/>
    <w:rsid w:val="00462506"/>
    <w:rsid w:val="00462666"/>
    <w:rsid w:val="0046268F"/>
    <w:rsid w:val="00462927"/>
    <w:rsid w:val="00462A41"/>
    <w:rsid w:val="00462A42"/>
    <w:rsid w:val="00462BA7"/>
    <w:rsid w:val="00462BE3"/>
    <w:rsid w:val="00462D58"/>
    <w:rsid w:val="00462E0B"/>
    <w:rsid w:val="00462E73"/>
    <w:rsid w:val="00463268"/>
    <w:rsid w:val="0046336A"/>
    <w:rsid w:val="00463610"/>
    <w:rsid w:val="00463676"/>
    <w:rsid w:val="00463917"/>
    <w:rsid w:val="00463A0F"/>
    <w:rsid w:val="00463D20"/>
    <w:rsid w:val="00463ECC"/>
    <w:rsid w:val="00463EFA"/>
    <w:rsid w:val="00463F32"/>
    <w:rsid w:val="00463F4D"/>
    <w:rsid w:val="00463FEE"/>
    <w:rsid w:val="00464162"/>
    <w:rsid w:val="00464252"/>
    <w:rsid w:val="004643D2"/>
    <w:rsid w:val="0046441D"/>
    <w:rsid w:val="004644B2"/>
    <w:rsid w:val="0046451F"/>
    <w:rsid w:val="004645D7"/>
    <w:rsid w:val="0046468B"/>
    <w:rsid w:val="004646A8"/>
    <w:rsid w:val="004647E6"/>
    <w:rsid w:val="00464940"/>
    <w:rsid w:val="00464BFA"/>
    <w:rsid w:val="00464C8E"/>
    <w:rsid w:val="00464DA2"/>
    <w:rsid w:val="00464DAC"/>
    <w:rsid w:val="00464E05"/>
    <w:rsid w:val="00464E95"/>
    <w:rsid w:val="00464F93"/>
    <w:rsid w:val="00464FA1"/>
    <w:rsid w:val="004652BD"/>
    <w:rsid w:val="004652D6"/>
    <w:rsid w:val="00465362"/>
    <w:rsid w:val="004653B1"/>
    <w:rsid w:val="00465763"/>
    <w:rsid w:val="00465815"/>
    <w:rsid w:val="0046590A"/>
    <w:rsid w:val="00465939"/>
    <w:rsid w:val="0046597A"/>
    <w:rsid w:val="00465993"/>
    <w:rsid w:val="00466108"/>
    <w:rsid w:val="0046610B"/>
    <w:rsid w:val="004662DB"/>
    <w:rsid w:val="00466333"/>
    <w:rsid w:val="004665CC"/>
    <w:rsid w:val="00466721"/>
    <w:rsid w:val="004667EE"/>
    <w:rsid w:val="00466823"/>
    <w:rsid w:val="00466B8B"/>
    <w:rsid w:val="00466CD7"/>
    <w:rsid w:val="00466E0F"/>
    <w:rsid w:val="00466E75"/>
    <w:rsid w:val="00466E77"/>
    <w:rsid w:val="00466FB2"/>
    <w:rsid w:val="004671E2"/>
    <w:rsid w:val="0046734E"/>
    <w:rsid w:val="0046744C"/>
    <w:rsid w:val="00467477"/>
    <w:rsid w:val="004675F3"/>
    <w:rsid w:val="0046766A"/>
    <w:rsid w:val="00467676"/>
    <w:rsid w:val="0046767A"/>
    <w:rsid w:val="00467723"/>
    <w:rsid w:val="004679AC"/>
    <w:rsid w:val="004679CA"/>
    <w:rsid w:val="00467A5B"/>
    <w:rsid w:val="00467AED"/>
    <w:rsid w:val="00467CD5"/>
    <w:rsid w:val="00467D7B"/>
    <w:rsid w:val="00470160"/>
    <w:rsid w:val="004701EE"/>
    <w:rsid w:val="004702A2"/>
    <w:rsid w:val="004702F8"/>
    <w:rsid w:val="004703D6"/>
    <w:rsid w:val="00470442"/>
    <w:rsid w:val="004706E4"/>
    <w:rsid w:val="00470FD5"/>
    <w:rsid w:val="004710F0"/>
    <w:rsid w:val="00471163"/>
    <w:rsid w:val="004711E1"/>
    <w:rsid w:val="00471249"/>
    <w:rsid w:val="004715A2"/>
    <w:rsid w:val="00471794"/>
    <w:rsid w:val="00471866"/>
    <w:rsid w:val="004718B5"/>
    <w:rsid w:val="00471A75"/>
    <w:rsid w:val="00471AF9"/>
    <w:rsid w:val="00471CEB"/>
    <w:rsid w:val="00471D1F"/>
    <w:rsid w:val="00471E2A"/>
    <w:rsid w:val="00471E77"/>
    <w:rsid w:val="00471F6D"/>
    <w:rsid w:val="00471F74"/>
    <w:rsid w:val="0047244A"/>
    <w:rsid w:val="004724BD"/>
    <w:rsid w:val="00472696"/>
    <w:rsid w:val="004728E1"/>
    <w:rsid w:val="00472910"/>
    <w:rsid w:val="004729BB"/>
    <w:rsid w:val="00472A25"/>
    <w:rsid w:val="00472AA2"/>
    <w:rsid w:val="00472B6C"/>
    <w:rsid w:val="00472B75"/>
    <w:rsid w:val="00472C4B"/>
    <w:rsid w:val="00472C69"/>
    <w:rsid w:val="00472E23"/>
    <w:rsid w:val="0047303D"/>
    <w:rsid w:val="004731C9"/>
    <w:rsid w:val="0047320C"/>
    <w:rsid w:val="0047324E"/>
    <w:rsid w:val="0047332E"/>
    <w:rsid w:val="004733F6"/>
    <w:rsid w:val="00473402"/>
    <w:rsid w:val="00473591"/>
    <w:rsid w:val="004735FD"/>
    <w:rsid w:val="004737F8"/>
    <w:rsid w:val="00473967"/>
    <w:rsid w:val="004739ED"/>
    <w:rsid w:val="00473A0E"/>
    <w:rsid w:val="00473AA3"/>
    <w:rsid w:val="00473C45"/>
    <w:rsid w:val="00473C55"/>
    <w:rsid w:val="00473CB6"/>
    <w:rsid w:val="00473D02"/>
    <w:rsid w:val="00473F85"/>
    <w:rsid w:val="00474096"/>
    <w:rsid w:val="00474368"/>
    <w:rsid w:val="004743A8"/>
    <w:rsid w:val="0047440F"/>
    <w:rsid w:val="00474741"/>
    <w:rsid w:val="0047478F"/>
    <w:rsid w:val="004747B4"/>
    <w:rsid w:val="004747D5"/>
    <w:rsid w:val="0047487F"/>
    <w:rsid w:val="004748BF"/>
    <w:rsid w:val="00474A68"/>
    <w:rsid w:val="00474A69"/>
    <w:rsid w:val="00474C81"/>
    <w:rsid w:val="00474D1B"/>
    <w:rsid w:val="00474D75"/>
    <w:rsid w:val="00474E17"/>
    <w:rsid w:val="00474E58"/>
    <w:rsid w:val="00474F12"/>
    <w:rsid w:val="00475043"/>
    <w:rsid w:val="00475110"/>
    <w:rsid w:val="00475595"/>
    <w:rsid w:val="0047562D"/>
    <w:rsid w:val="004756A6"/>
    <w:rsid w:val="004758A6"/>
    <w:rsid w:val="004758EB"/>
    <w:rsid w:val="00475A49"/>
    <w:rsid w:val="00475A68"/>
    <w:rsid w:val="00475C23"/>
    <w:rsid w:val="00475C6D"/>
    <w:rsid w:val="00475DCD"/>
    <w:rsid w:val="00475F93"/>
    <w:rsid w:val="00475FDC"/>
    <w:rsid w:val="00475FFA"/>
    <w:rsid w:val="004763A7"/>
    <w:rsid w:val="004763CE"/>
    <w:rsid w:val="004763FA"/>
    <w:rsid w:val="0047640E"/>
    <w:rsid w:val="004764F1"/>
    <w:rsid w:val="00476699"/>
    <w:rsid w:val="0047674B"/>
    <w:rsid w:val="0047677C"/>
    <w:rsid w:val="00476891"/>
    <w:rsid w:val="004769BC"/>
    <w:rsid w:val="00476AA3"/>
    <w:rsid w:val="00476BA6"/>
    <w:rsid w:val="00476BC6"/>
    <w:rsid w:val="00476C8C"/>
    <w:rsid w:val="00476E39"/>
    <w:rsid w:val="00476E60"/>
    <w:rsid w:val="00476E67"/>
    <w:rsid w:val="00476F13"/>
    <w:rsid w:val="004770C9"/>
    <w:rsid w:val="004771AE"/>
    <w:rsid w:val="004773A3"/>
    <w:rsid w:val="00477432"/>
    <w:rsid w:val="00477474"/>
    <w:rsid w:val="0047748B"/>
    <w:rsid w:val="004776CF"/>
    <w:rsid w:val="00477871"/>
    <w:rsid w:val="00477934"/>
    <w:rsid w:val="00477D71"/>
    <w:rsid w:val="004801A6"/>
    <w:rsid w:val="00480224"/>
    <w:rsid w:val="00480444"/>
    <w:rsid w:val="0048060A"/>
    <w:rsid w:val="00480821"/>
    <w:rsid w:val="00480872"/>
    <w:rsid w:val="00480A4B"/>
    <w:rsid w:val="00480B1C"/>
    <w:rsid w:val="00480E48"/>
    <w:rsid w:val="00481108"/>
    <w:rsid w:val="004811F8"/>
    <w:rsid w:val="004811FD"/>
    <w:rsid w:val="0048125F"/>
    <w:rsid w:val="0048129F"/>
    <w:rsid w:val="004812A3"/>
    <w:rsid w:val="004817D1"/>
    <w:rsid w:val="004819D1"/>
    <w:rsid w:val="00481BBE"/>
    <w:rsid w:val="00481BD7"/>
    <w:rsid w:val="00481C7A"/>
    <w:rsid w:val="00481D42"/>
    <w:rsid w:val="00481F6A"/>
    <w:rsid w:val="00482161"/>
    <w:rsid w:val="004823AF"/>
    <w:rsid w:val="0048273D"/>
    <w:rsid w:val="00482764"/>
    <w:rsid w:val="00482922"/>
    <w:rsid w:val="00482B0A"/>
    <w:rsid w:val="00482BB3"/>
    <w:rsid w:val="00482C74"/>
    <w:rsid w:val="00482E09"/>
    <w:rsid w:val="00482EB7"/>
    <w:rsid w:val="00483224"/>
    <w:rsid w:val="004832CB"/>
    <w:rsid w:val="004832CF"/>
    <w:rsid w:val="0048340D"/>
    <w:rsid w:val="004835A1"/>
    <w:rsid w:val="0048365C"/>
    <w:rsid w:val="004836D1"/>
    <w:rsid w:val="00483771"/>
    <w:rsid w:val="00483D2D"/>
    <w:rsid w:val="00483FF6"/>
    <w:rsid w:val="00484070"/>
    <w:rsid w:val="00484387"/>
    <w:rsid w:val="004843AC"/>
    <w:rsid w:val="004843C9"/>
    <w:rsid w:val="0048440B"/>
    <w:rsid w:val="0048457F"/>
    <w:rsid w:val="00484875"/>
    <w:rsid w:val="004848EA"/>
    <w:rsid w:val="00484A10"/>
    <w:rsid w:val="00484A73"/>
    <w:rsid w:val="00484C1B"/>
    <w:rsid w:val="00484E05"/>
    <w:rsid w:val="00484FC8"/>
    <w:rsid w:val="00485018"/>
    <w:rsid w:val="00485060"/>
    <w:rsid w:val="004852AB"/>
    <w:rsid w:val="00485358"/>
    <w:rsid w:val="004854ED"/>
    <w:rsid w:val="004854EF"/>
    <w:rsid w:val="00485656"/>
    <w:rsid w:val="00485AA4"/>
    <w:rsid w:val="00485F34"/>
    <w:rsid w:val="00485F97"/>
    <w:rsid w:val="004864C2"/>
    <w:rsid w:val="00486715"/>
    <w:rsid w:val="00486858"/>
    <w:rsid w:val="00486915"/>
    <w:rsid w:val="004870D8"/>
    <w:rsid w:val="004874DC"/>
    <w:rsid w:val="0048753E"/>
    <w:rsid w:val="0048768F"/>
    <w:rsid w:val="004876C7"/>
    <w:rsid w:val="004879AB"/>
    <w:rsid w:val="00487C31"/>
    <w:rsid w:val="00487D8C"/>
    <w:rsid w:val="00487DE5"/>
    <w:rsid w:val="00490126"/>
    <w:rsid w:val="004902C0"/>
    <w:rsid w:val="00490365"/>
    <w:rsid w:val="004904A1"/>
    <w:rsid w:val="004905B2"/>
    <w:rsid w:val="00490928"/>
    <w:rsid w:val="00490A80"/>
    <w:rsid w:val="00490C3B"/>
    <w:rsid w:val="00490CCD"/>
    <w:rsid w:val="00490FC7"/>
    <w:rsid w:val="00491093"/>
    <w:rsid w:val="004910CC"/>
    <w:rsid w:val="00491166"/>
    <w:rsid w:val="004911BD"/>
    <w:rsid w:val="00491525"/>
    <w:rsid w:val="0049167F"/>
    <w:rsid w:val="00491685"/>
    <w:rsid w:val="004916ED"/>
    <w:rsid w:val="004917AF"/>
    <w:rsid w:val="00491B91"/>
    <w:rsid w:val="00491BAC"/>
    <w:rsid w:val="00491C75"/>
    <w:rsid w:val="004920FE"/>
    <w:rsid w:val="00492120"/>
    <w:rsid w:val="00492183"/>
    <w:rsid w:val="004923E4"/>
    <w:rsid w:val="0049243B"/>
    <w:rsid w:val="004924AF"/>
    <w:rsid w:val="004926D4"/>
    <w:rsid w:val="00492718"/>
    <w:rsid w:val="00492872"/>
    <w:rsid w:val="00492DD5"/>
    <w:rsid w:val="00492F8A"/>
    <w:rsid w:val="00492FCB"/>
    <w:rsid w:val="00492FEE"/>
    <w:rsid w:val="00493068"/>
    <w:rsid w:val="00493255"/>
    <w:rsid w:val="0049329A"/>
    <w:rsid w:val="004932A5"/>
    <w:rsid w:val="004936B2"/>
    <w:rsid w:val="00493940"/>
    <w:rsid w:val="00493B2F"/>
    <w:rsid w:val="00493F5E"/>
    <w:rsid w:val="0049426E"/>
    <w:rsid w:val="00494384"/>
    <w:rsid w:val="00494682"/>
    <w:rsid w:val="00494F93"/>
    <w:rsid w:val="004950E6"/>
    <w:rsid w:val="0049533C"/>
    <w:rsid w:val="00495AFF"/>
    <w:rsid w:val="00495BB7"/>
    <w:rsid w:val="00495BD8"/>
    <w:rsid w:val="00495BEE"/>
    <w:rsid w:val="00495C70"/>
    <w:rsid w:val="00495D45"/>
    <w:rsid w:val="00495D50"/>
    <w:rsid w:val="00495E02"/>
    <w:rsid w:val="00495FF7"/>
    <w:rsid w:val="004963FC"/>
    <w:rsid w:val="00496576"/>
    <w:rsid w:val="0049672F"/>
    <w:rsid w:val="00496823"/>
    <w:rsid w:val="00496911"/>
    <w:rsid w:val="00496940"/>
    <w:rsid w:val="00496A73"/>
    <w:rsid w:val="00496AC5"/>
    <w:rsid w:val="00496FA0"/>
    <w:rsid w:val="004972D8"/>
    <w:rsid w:val="004977DC"/>
    <w:rsid w:val="00497871"/>
    <w:rsid w:val="004978FB"/>
    <w:rsid w:val="004979B0"/>
    <w:rsid w:val="00497A90"/>
    <w:rsid w:val="00497B51"/>
    <w:rsid w:val="00497FCF"/>
    <w:rsid w:val="004A00BC"/>
    <w:rsid w:val="004A00C7"/>
    <w:rsid w:val="004A03F2"/>
    <w:rsid w:val="004A042E"/>
    <w:rsid w:val="004A0774"/>
    <w:rsid w:val="004A07EA"/>
    <w:rsid w:val="004A0834"/>
    <w:rsid w:val="004A0885"/>
    <w:rsid w:val="004A08A3"/>
    <w:rsid w:val="004A098D"/>
    <w:rsid w:val="004A0F03"/>
    <w:rsid w:val="004A10BA"/>
    <w:rsid w:val="004A1157"/>
    <w:rsid w:val="004A12FA"/>
    <w:rsid w:val="004A1323"/>
    <w:rsid w:val="004A1428"/>
    <w:rsid w:val="004A1526"/>
    <w:rsid w:val="004A16D2"/>
    <w:rsid w:val="004A1703"/>
    <w:rsid w:val="004A1908"/>
    <w:rsid w:val="004A19CB"/>
    <w:rsid w:val="004A1BF5"/>
    <w:rsid w:val="004A204A"/>
    <w:rsid w:val="004A2096"/>
    <w:rsid w:val="004A2199"/>
    <w:rsid w:val="004A2420"/>
    <w:rsid w:val="004A24BC"/>
    <w:rsid w:val="004A24C2"/>
    <w:rsid w:val="004A2507"/>
    <w:rsid w:val="004A26F7"/>
    <w:rsid w:val="004A2739"/>
    <w:rsid w:val="004A284F"/>
    <w:rsid w:val="004A2894"/>
    <w:rsid w:val="004A2BC9"/>
    <w:rsid w:val="004A2D2A"/>
    <w:rsid w:val="004A2FD8"/>
    <w:rsid w:val="004A30EC"/>
    <w:rsid w:val="004A31DD"/>
    <w:rsid w:val="004A3427"/>
    <w:rsid w:val="004A342D"/>
    <w:rsid w:val="004A348F"/>
    <w:rsid w:val="004A35F7"/>
    <w:rsid w:val="004A3636"/>
    <w:rsid w:val="004A3832"/>
    <w:rsid w:val="004A38B5"/>
    <w:rsid w:val="004A3915"/>
    <w:rsid w:val="004A3A9A"/>
    <w:rsid w:val="004A3B3A"/>
    <w:rsid w:val="004A3C05"/>
    <w:rsid w:val="004A3F9E"/>
    <w:rsid w:val="004A41A8"/>
    <w:rsid w:val="004A45B2"/>
    <w:rsid w:val="004A47F2"/>
    <w:rsid w:val="004A49E7"/>
    <w:rsid w:val="004A4BC2"/>
    <w:rsid w:val="004A4CD0"/>
    <w:rsid w:val="004A516B"/>
    <w:rsid w:val="004A5191"/>
    <w:rsid w:val="004A51FC"/>
    <w:rsid w:val="004A52AA"/>
    <w:rsid w:val="004A5348"/>
    <w:rsid w:val="004A5581"/>
    <w:rsid w:val="004A560F"/>
    <w:rsid w:val="004A5674"/>
    <w:rsid w:val="004A5806"/>
    <w:rsid w:val="004A58FA"/>
    <w:rsid w:val="004A5A77"/>
    <w:rsid w:val="004A5BFC"/>
    <w:rsid w:val="004A5CD6"/>
    <w:rsid w:val="004A5ED6"/>
    <w:rsid w:val="004A6154"/>
    <w:rsid w:val="004A627C"/>
    <w:rsid w:val="004A6493"/>
    <w:rsid w:val="004A671F"/>
    <w:rsid w:val="004A67BC"/>
    <w:rsid w:val="004A6839"/>
    <w:rsid w:val="004A68B9"/>
    <w:rsid w:val="004A6963"/>
    <w:rsid w:val="004A69DA"/>
    <w:rsid w:val="004A6A2C"/>
    <w:rsid w:val="004A6A49"/>
    <w:rsid w:val="004A6AF7"/>
    <w:rsid w:val="004A6BD3"/>
    <w:rsid w:val="004A6C93"/>
    <w:rsid w:val="004A6CCB"/>
    <w:rsid w:val="004A6E54"/>
    <w:rsid w:val="004A6F47"/>
    <w:rsid w:val="004A722F"/>
    <w:rsid w:val="004A74D4"/>
    <w:rsid w:val="004A7564"/>
    <w:rsid w:val="004A769A"/>
    <w:rsid w:val="004A7BB9"/>
    <w:rsid w:val="004A7CC7"/>
    <w:rsid w:val="004A7D17"/>
    <w:rsid w:val="004A7EAC"/>
    <w:rsid w:val="004A7EAE"/>
    <w:rsid w:val="004A7EB8"/>
    <w:rsid w:val="004A7F13"/>
    <w:rsid w:val="004B01F5"/>
    <w:rsid w:val="004B0281"/>
    <w:rsid w:val="004B0358"/>
    <w:rsid w:val="004B03EF"/>
    <w:rsid w:val="004B0411"/>
    <w:rsid w:val="004B05E7"/>
    <w:rsid w:val="004B06F1"/>
    <w:rsid w:val="004B07B2"/>
    <w:rsid w:val="004B096B"/>
    <w:rsid w:val="004B0987"/>
    <w:rsid w:val="004B0A1A"/>
    <w:rsid w:val="004B0B28"/>
    <w:rsid w:val="004B0B49"/>
    <w:rsid w:val="004B0DA3"/>
    <w:rsid w:val="004B0E11"/>
    <w:rsid w:val="004B0E72"/>
    <w:rsid w:val="004B0F0E"/>
    <w:rsid w:val="004B0F3F"/>
    <w:rsid w:val="004B0FA2"/>
    <w:rsid w:val="004B1189"/>
    <w:rsid w:val="004B1301"/>
    <w:rsid w:val="004B1497"/>
    <w:rsid w:val="004B1515"/>
    <w:rsid w:val="004B1621"/>
    <w:rsid w:val="004B178F"/>
    <w:rsid w:val="004B184C"/>
    <w:rsid w:val="004B190A"/>
    <w:rsid w:val="004B1BC1"/>
    <w:rsid w:val="004B1C6F"/>
    <w:rsid w:val="004B1EDB"/>
    <w:rsid w:val="004B2018"/>
    <w:rsid w:val="004B20A2"/>
    <w:rsid w:val="004B21C2"/>
    <w:rsid w:val="004B2323"/>
    <w:rsid w:val="004B2360"/>
    <w:rsid w:val="004B2404"/>
    <w:rsid w:val="004B245C"/>
    <w:rsid w:val="004B2542"/>
    <w:rsid w:val="004B286C"/>
    <w:rsid w:val="004B2871"/>
    <w:rsid w:val="004B28F3"/>
    <w:rsid w:val="004B2B66"/>
    <w:rsid w:val="004B2DAE"/>
    <w:rsid w:val="004B2DD8"/>
    <w:rsid w:val="004B2EF8"/>
    <w:rsid w:val="004B2F74"/>
    <w:rsid w:val="004B30F6"/>
    <w:rsid w:val="004B3114"/>
    <w:rsid w:val="004B32DE"/>
    <w:rsid w:val="004B33DF"/>
    <w:rsid w:val="004B3495"/>
    <w:rsid w:val="004B3541"/>
    <w:rsid w:val="004B37AF"/>
    <w:rsid w:val="004B3BA6"/>
    <w:rsid w:val="004B3D44"/>
    <w:rsid w:val="004B3D8B"/>
    <w:rsid w:val="004B3E81"/>
    <w:rsid w:val="004B3F07"/>
    <w:rsid w:val="004B3FB3"/>
    <w:rsid w:val="004B4052"/>
    <w:rsid w:val="004B410B"/>
    <w:rsid w:val="004B4139"/>
    <w:rsid w:val="004B425B"/>
    <w:rsid w:val="004B4392"/>
    <w:rsid w:val="004B45D7"/>
    <w:rsid w:val="004B47F6"/>
    <w:rsid w:val="004B482A"/>
    <w:rsid w:val="004B496A"/>
    <w:rsid w:val="004B49D8"/>
    <w:rsid w:val="004B4AE6"/>
    <w:rsid w:val="004B4B2E"/>
    <w:rsid w:val="004B4BAD"/>
    <w:rsid w:val="004B4C6A"/>
    <w:rsid w:val="004B4D25"/>
    <w:rsid w:val="004B4D7B"/>
    <w:rsid w:val="004B516B"/>
    <w:rsid w:val="004B5176"/>
    <w:rsid w:val="004B5354"/>
    <w:rsid w:val="004B537C"/>
    <w:rsid w:val="004B54DF"/>
    <w:rsid w:val="004B5534"/>
    <w:rsid w:val="004B553E"/>
    <w:rsid w:val="004B5556"/>
    <w:rsid w:val="004B562A"/>
    <w:rsid w:val="004B5631"/>
    <w:rsid w:val="004B574F"/>
    <w:rsid w:val="004B5790"/>
    <w:rsid w:val="004B57E7"/>
    <w:rsid w:val="004B58A5"/>
    <w:rsid w:val="004B5BC6"/>
    <w:rsid w:val="004B5C9D"/>
    <w:rsid w:val="004B5CF8"/>
    <w:rsid w:val="004B5F35"/>
    <w:rsid w:val="004B606D"/>
    <w:rsid w:val="004B60C7"/>
    <w:rsid w:val="004B626C"/>
    <w:rsid w:val="004B63FF"/>
    <w:rsid w:val="004B646A"/>
    <w:rsid w:val="004B657A"/>
    <w:rsid w:val="004B67C8"/>
    <w:rsid w:val="004B69B3"/>
    <w:rsid w:val="004B6A4C"/>
    <w:rsid w:val="004B6AF0"/>
    <w:rsid w:val="004B6BE1"/>
    <w:rsid w:val="004B6CC2"/>
    <w:rsid w:val="004B6D38"/>
    <w:rsid w:val="004B6DB9"/>
    <w:rsid w:val="004B70B6"/>
    <w:rsid w:val="004B75DB"/>
    <w:rsid w:val="004B77DA"/>
    <w:rsid w:val="004B78DF"/>
    <w:rsid w:val="004B7C88"/>
    <w:rsid w:val="004B7D0A"/>
    <w:rsid w:val="004B7D49"/>
    <w:rsid w:val="004B7E37"/>
    <w:rsid w:val="004B7EC1"/>
    <w:rsid w:val="004B7EDD"/>
    <w:rsid w:val="004C0174"/>
    <w:rsid w:val="004C034E"/>
    <w:rsid w:val="004C0374"/>
    <w:rsid w:val="004C0781"/>
    <w:rsid w:val="004C07CF"/>
    <w:rsid w:val="004C09E4"/>
    <w:rsid w:val="004C0C61"/>
    <w:rsid w:val="004C0D08"/>
    <w:rsid w:val="004C0E49"/>
    <w:rsid w:val="004C0E6A"/>
    <w:rsid w:val="004C165C"/>
    <w:rsid w:val="004C1684"/>
    <w:rsid w:val="004C1881"/>
    <w:rsid w:val="004C18C8"/>
    <w:rsid w:val="004C1917"/>
    <w:rsid w:val="004C19D9"/>
    <w:rsid w:val="004C1A98"/>
    <w:rsid w:val="004C1B0D"/>
    <w:rsid w:val="004C1BE6"/>
    <w:rsid w:val="004C1C59"/>
    <w:rsid w:val="004C2163"/>
    <w:rsid w:val="004C2184"/>
    <w:rsid w:val="004C24E8"/>
    <w:rsid w:val="004C25A3"/>
    <w:rsid w:val="004C28B1"/>
    <w:rsid w:val="004C29C5"/>
    <w:rsid w:val="004C2CDA"/>
    <w:rsid w:val="004C2DF4"/>
    <w:rsid w:val="004C2E0B"/>
    <w:rsid w:val="004C2E28"/>
    <w:rsid w:val="004C30B7"/>
    <w:rsid w:val="004C3211"/>
    <w:rsid w:val="004C36BF"/>
    <w:rsid w:val="004C36DD"/>
    <w:rsid w:val="004C3728"/>
    <w:rsid w:val="004C37F7"/>
    <w:rsid w:val="004C3925"/>
    <w:rsid w:val="004C3A57"/>
    <w:rsid w:val="004C3BCC"/>
    <w:rsid w:val="004C3DF2"/>
    <w:rsid w:val="004C40B1"/>
    <w:rsid w:val="004C44A2"/>
    <w:rsid w:val="004C452F"/>
    <w:rsid w:val="004C4A6F"/>
    <w:rsid w:val="004C4C2F"/>
    <w:rsid w:val="004C4CB2"/>
    <w:rsid w:val="004C4D52"/>
    <w:rsid w:val="004C4EAB"/>
    <w:rsid w:val="004C4FC6"/>
    <w:rsid w:val="004C5314"/>
    <w:rsid w:val="004C540B"/>
    <w:rsid w:val="004C542D"/>
    <w:rsid w:val="004C5582"/>
    <w:rsid w:val="004C5615"/>
    <w:rsid w:val="004C5884"/>
    <w:rsid w:val="004C5961"/>
    <w:rsid w:val="004C5A9C"/>
    <w:rsid w:val="004C5B60"/>
    <w:rsid w:val="004C5F2D"/>
    <w:rsid w:val="004C5FFF"/>
    <w:rsid w:val="004C60D5"/>
    <w:rsid w:val="004C61AE"/>
    <w:rsid w:val="004C61CB"/>
    <w:rsid w:val="004C6271"/>
    <w:rsid w:val="004C65B3"/>
    <w:rsid w:val="004C6654"/>
    <w:rsid w:val="004C6842"/>
    <w:rsid w:val="004C69BD"/>
    <w:rsid w:val="004C6CB7"/>
    <w:rsid w:val="004C7074"/>
    <w:rsid w:val="004C74EB"/>
    <w:rsid w:val="004C7B54"/>
    <w:rsid w:val="004C7CBC"/>
    <w:rsid w:val="004C7F57"/>
    <w:rsid w:val="004C7F72"/>
    <w:rsid w:val="004D0005"/>
    <w:rsid w:val="004D0301"/>
    <w:rsid w:val="004D0499"/>
    <w:rsid w:val="004D05FE"/>
    <w:rsid w:val="004D061E"/>
    <w:rsid w:val="004D0671"/>
    <w:rsid w:val="004D0743"/>
    <w:rsid w:val="004D083D"/>
    <w:rsid w:val="004D08C3"/>
    <w:rsid w:val="004D0A39"/>
    <w:rsid w:val="004D0B21"/>
    <w:rsid w:val="004D0B22"/>
    <w:rsid w:val="004D0C29"/>
    <w:rsid w:val="004D0D62"/>
    <w:rsid w:val="004D11C2"/>
    <w:rsid w:val="004D1347"/>
    <w:rsid w:val="004D1367"/>
    <w:rsid w:val="004D15C4"/>
    <w:rsid w:val="004D18C1"/>
    <w:rsid w:val="004D1C8A"/>
    <w:rsid w:val="004D1CB4"/>
    <w:rsid w:val="004D1CD4"/>
    <w:rsid w:val="004D1DB9"/>
    <w:rsid w:val="004D21F9"/>
    <w:rsid w:val="004D224F"/>
    <w:rsid w:val="004D24D2"/>
    <w:rsid w:val="004D2777"/>
    <w:rsid w:val="004D2887"/>
    <w:rsid w:val="004D288B"/>
    <w:rsid w:val="004D291B"/>
    <w:rsid w:val="004D2CAB"/>
    <w:rsid w:val="004D2CFD"/>
    <w:rsid w:val="004D2D54"/>
    <w:rsid w:val="004D2DF1"/>
    <w:rsid w:val="004D2DF2"/>
    <w:rsid w:val="004D2EF9"/>
    <w:rsid w:val="004D2F7B"/>
    <w:rsid w:val="004D2FAB"/>
    <w:rsid w:val="004D3051"/>
    <w:rsid w:val="004D307F"/>
    <w:rsid w:val="004D3394"/>
    <w:rsid w:val="004D33B2"/>
    <w:rsid w:val="004D36BA"/>
    <w:rsid w:val="004D378B"/>
    <w:rsid w:val="004D37A5"/>
    <w:rsid w:val="004D37E9"/>
    <w:rsid w:val="004D3854"/>
    <w:rsid w:val="004D393E"/>
    <w:rsid w:val="004D3C7E"/>
    <w:rsid w:val="004D3D4B"/>
    <w:rsid w:val="004D3DC6"/>
    <w:rsid w:val="004D3F9B"/>
    <w:rsid w:val="004D3FD0"/>
    <w:rsid w:val="004D4196"/>
    <w:rsid w:val="004D421A"/>
    <w:rsid w:val="004D43C2"/>
    <w:rsid w:val="004D4555"/>
    <w:rsid w:val="004D46F9"/>
    <w:rsid w:val="004D479A"/>
    <w:rsid w:val="004D4860"/>
    <w:rsid w:val="004D4CC8"/>
    <w:rsid w:val="004D4D97"/>
    <w:rsid w:val="004D4E8B"/>
    <w:rsid w:val="004D4F34"/>
    <w:rsid w:val="004D4FF0"/>
    <w:rsid w:val="004D5121"/>
    <w:rsid w:val="004D51D4"/>
    <w:rsid w:val="004D5225"/>
    <w:rsid w:val="004D525F"/>
    <w:rsid w:val="004D52AF"/>
    <w:rsid w:val="004D54A5"/>
    <w:rsid w:val="004D5534"/>
    <w:rsid w:val="004D5661"/>
    <w:rsid w:val="004D59C9"/>
    <w:rsid w:val="004D5D21"/>
    <w:rsid w:val="004D5E26"/>
    <w:rsid w:val="004D5EA7"/>
    <w:rsid w:val="004D5EBC"/>
    <w:rsid w:val="004D5F5E"/>
    <w:rsid w:val="004D61AA"/>
    <w:rsid w:val="004D6254"/>
    <w:rsid w:val="004D62C4"/>
    <w:rsid w:val="004D6471"/>
    <w:rsid w:val="004D66E9"/>
    <w:rsid w:val="004D6790"/>
    <w:rsid w:val="004D67CA"/>
    <w:rsid w:val="004D68BA"/>
    <w:rsid w:val="004D6B53"/>
    <w:rsid w:val="004D6B65"/>
    <w:rsid w:val="004D6DAF"/>
    <w:rsid w:val="004D6FD7"/>
    <w:rsid w:val="004D72BF"/>
    <w:rsid w:val="004D72FF"/>
    <w:rsid w:val="004D7397"/>
    <w:rsid w:val="004D74B7"/>
    <w:rsid w:val="004D7833"/>
    <w:rsid w:val="004D786A"/>
    <w:rsid w:val="004D7875"/>
    <w:rsid w:val="004D7B12"/>
    <w:rsid w:val="004D7CCE"/>
    <w:rsid w:val="004D7D99"/>
    <w:rsid w:val="004D7E34"/>
    <w:rsid w:val="004D7F57"/>
    <w:rsid w:val="004E0022"/>
    <w:rsid w:val="004E00D3"/>
    <w:rsid w:val="004E00E9"/>
    <w:rsid w:val="004E02D9"/>
    <w:rsid w:val="004E0619"/>
    <w:rsid w:val="004E077A"/>
    <w:rsid w:val="004E0854"/>
    <w:rsid w:val="004E0974"/>
    <w:rsid w:val="004E0EBD"/>
    <w:rsid w:val="004E0F2E"/>
    <w:rsid w:val="004E10C2"/>
    <w:rsid w:val="004E10E0"/>
    <w:rsid w:val="004E134D"/>
    <w:rsid w:val="004E1777"/>
    <w:rsid w:val="004E18E1"/>
    <w:rsid w:val="004E1BE7"/>
    <w:rsid w:val="004E1C9C"/>
    <w:rsid w:val="004E1DB4"/>
    <w:rsid w:val="004E1E14"/>
    <w:rsid w:val="004E1E45"/>
    <w:rsid w:val="004E205D"/>
    <w:rsid w:val="004E2114"/>
    <w:rsid w:val="004E2171"/>
    <w:rsid w:val="004E217A"/>
    <w:rsid w:val="004E21CF"/>
    <w:rsid w:val="004E2553"/>
    <w:rsid w:val="004E25DE"/>
    <w:rsid w:val="004E2C8C"/>
    <w:rsid w:val="004E2DBF"/>
    <w:rsid w:val="004E2ECE"/>
    <w:rsid w:val="004E3117"/>
    <w:rsid w:val="004E315A"/>
    <w:rsid w:val="004E31B3"/>
    <w:rsid w:val="004E32F5"/>
    <w:rsid w:val="004E3336"/>
    <w:rsid w:val="004E33B7"/>
    <w:rsid w:val="004E33C1"/>
    <w:rsid w:val="004E3416"/>
    <w:rsid w:val="004E3436"/>
    <w:rsid w:val="004E350C"/>
    <w:rsid w:val="004E3719"/>
    <w:rsid w:val="004E3AD1"/>
    <w:rsid w:val="004E3E31"/>
    <w:rsid w:val="004E4006"/>
    <w:rsid w:val="004E4703"/>
    <w:rsid w:val="004E47B4"/>
    <w:rsid w:val="004E487C"/>
    <w:rsid w:val="004E4A20"/>
    <w:rsid w:val="004E4C8B"/>
    <w:rsid w:val="004E4E98"/>
    <w:rsid w:val="004E5009"/>
    <w:rsid w:val="004E5202"/>
    <w:rsid w:val="004E5330"/>
    <w:rsid w:val="004E5450"/>
    <w:rsid w:val="004E54B1"/>
    <w:rsid w:val="004E5535"/>
    <w:rsid w:val="004E57D9"/>
    <w:rsid w:val="004E5AB4"/>
    <w:rsid w:val="004E5C36"/>
    <w:rsid w:val="004E5C82"/>
    <w:rsid w:val="004E5D89"/>
    <w:rsid w:val="004E5F6A"/>
    <w:rsid w:val="004E5FC3"/>
    <w:rsid w:val="004E6236"/>
    <w:rsid w:val="004E6284"/>
    <w:rsid w:val="004E62FB"/>
    <w:rsid w:val="004E63CC"/>
    <w:rsid w:val="004E6777"/>
    <w:rsid w:val="004E679C"/>
    <w:rsid w:val="004E681F"/>
    <w:rsid w:val="004E6BFF"/>
    <w:rsid w:val="004E6EA3"/>
    <w:rsid w:val="004E7057"/>
    <w:rsid w:val="004E7181"/>
    <w:rsid w:val="004E71A5"/>
    <w:rsid w:val="004E73A4"/>
    <w:rsid w:val="004E73E6"/>
    <w:rsid w:val="004E7503"/>
    <w:rsid w:val="004E77EA"/>
    <w:rsid w:val="004E7866"/>
    <w:rsid w:val="004E7990"/>
    <w:rsid w:val="004E7C1D"/>
    <w:rsid w:val="004E7C48"/>
    <w:rsid w:val="004E7E49"/>
    <w:rsid w:val="004E7EDA"/>
    <w:rsid w:val="004E7F2F"/>
    <w:rsid w:val="004F0119"/>
    <w:rsid w:val="004F019C"/>
    <w:rsid w:val="004F0310"/>
    <w:rsid w:val="004F0410"/>
    <w:rsid w:val="004F0533"/>
    <w:rsid w:val="004F066A"/>
    <w:rsid w:val="004F06AD"/>
    <w:rsid w:val="004F077E"/>
    <w:rsid w:val="004F0841"/>
    <w:rsid w:val="004F0876"/>
    <w:rsid w:val="004F0AC8"/>
    <w:rsid w:val="004F0B74"/>
    <w:rsid w:val="004F0CC1"/>
    <w:rsid w:val="004F0F01"/>
    <w:rsid w:val="004F103B"/>
    <w:rsid w:val="004F1060"/>
    <w:rsid w:val="004F12A1"/>
    <w:rsid w:val="004F12D3"/>
    <w:rsid w:val="004F1412"/>
    <w:rsid w:val="004F1438"/>
    <w:rsid w:val="004F1582"/>
    <w:rsid w:val="004F15EA"/>
    <w:rsid w:val="004F162B"/>
    <w:rsid w:val="004F1765"/>
    <w:rsid w:val="004F19F8"/>
    <w:rsid w:val="004F1AC9"/>
    <w:rsid w:val="004F1C3A"/>
    <w:rsid w:val="004F1C5B"/>
    <w:rsid w:val="004F1DB4"/>
    <w:rsid w:val="004F1EBA"/>
    <w:rsid w:val="004F1ED8"/>
    <w:rsid w:val="004F1F4B"/>
    <w:rsid w:val="004F2030"/>
    <w:rsid w:val="004F20A1"/>
    <w:rsid w:val="004F2304"/>
    <w:rsid w:val="004F230E"/>
    <w:rsid w:val="004F24A4"/>
    <w:rsid w:val="004F25B7"/>
    <w:rsid w:val="004F2702"/>
    <w:rsid w:val="004F2717"/>
    <w:rsid w:val="004F272B"/>
    <w:rsid w:val="004F28E6"/>
    <w:rsid w:val="004F296A"/>
    <w:rsid w:val="004F29AC"/>
    <w:rsid w:val="004F2A40"/>
    <w:rsid w:val="004F2B25"/>
    <w:rsid w:val="004F2FAC"/>
    <w:rsid w:val="004F3084"/>
    <w:rsid w:val="004F3103"/>
    <w:rsid w:val="004F3114"/>
    <w:rsid w:val="004F3269"/>
    <w:rsid w:val="004F331B"/>
    <w:rsid w:val="004F33EA"/>
    <w:rsid w:val="004F3529"/>
    <w:rsid w:val="004F35D0"/>
    <w:rsid w:val="004F35E1"/>
    <w:rsid w:val="004F3701"/>
    <w:rsid w:val="004F38DE"/>
    <w:rsid w:val="004F38E2"/>
    <w:rsid w:val="004F3B18"/>
    <w:rsid w:val="004F3C5F"/>
    <w:rsid w:val="004F3DDC"/>
    <w:rsid w:val="004F3F94"/>
    <w:rsid w:val="004F4108"/>
    <w:rsid w:val="004F43E6"/>
    <w:rsid w:val="004F446F"/>
    <w:rsid w:val="004F4524"/>
    <w:rsid w:val="004F4541"/>
    <w:rsid w:val="004F4564"/>
    <w:rsid w:val="004F471E"/>
    <w:rsid w:val="004F47AE"/>
    <w:rsid w:val="004F4803"/>
    <w:rsid w:val="004F49C0"/>
    <w:rsid w:val="004F4AB4"/>
    <w:rsid w:val="004F4AE2"/>
    <w:rsid w:val="004F4D1E"/>
    <w:rsid w:val="004F4DC2"/>
    <w:rsid w:val="004F4E92"/>
    <w:rsid w:val="004F511D"/>
    <w:rsid w:val="004F519A"/>
    <w:rsid w:val="004F51B1"/>
    <w:rsid w:val="004F520A"/>
    <w:rsid w:val="004F5329"/>
    <w:rsid w:val="004F537B"/>
    <w:rsid w:val="004F5476"/>
    <w:rsid w:val="004F5492"/>
    <w:rsid w:val="004F56ED"/>
    <w:rsid w:val="004F5948"/>
    <w:rsid w:val="004F5B2A"/>
    <w:rsid w:val="004F5C18"/>
    <w:rsid w:val="004F5C4F"/>
    <w:rsid w:val="004F5D16"/>
    <w:rsid w:val="004F5ED2"/>
    <w:rsid w:val="004F5ED8"/>
    <w:rsid w:val="004F5EE6"/>
    <w:rsid w:val="004F630B"/>
    <w:rsid w:val="004F65A4"/>
    <w:rsid w:val="004F6983"/>
    <w:rsid w:val="004F6AB5"/>
    <w:rsid w:val="004F6BFB"/>
    <w:rsid w:val="004F6DFF"/>
    <w:rsid w:val="004F70BF"/>
    <w:rsid w:val="004F70CE"/>
    <w:rsid w:val="004F717D"/>
    <w:rsid w:val="004F71F5"/>
    <w:rsid w:val="004F71F9"/>
    <w:rsid w:val="004F7263"/>
    <w:rsid w:val="004F7439"/>
    <w:rsid w:val="004F757B"/>
    <w:rsid w:val="004F7599"/>
    <w:rsid w:val="004F76B1"/>
    <w:rsid w:val="004F78FD"/>
    <w:rsid w:val="004F79A5"/>
    <w:rsid w:val="004F7A75"/>
    <w:rsid w:val="004F7C88"/>
    <w:rsid w:val="004F7ED3"/>
    <w:rsid w:val="0050014B"/>
    <w:rsid w:val="005001C9"/>
    <w:rsid w:val="00500427"/>
    <w:rsid w:val="00500A95"/>
    <w:rsid w:val="00500AE8"/>
    <w:rsid w:val="00500B5C"/>
    <w:rsid w:val="00500C8A"/>
    <w:rsid w:val="00500E91"/>
    <w:rsid w:val="00500F58"/>
    <w:rsid w:val="00501027"/>
    <w:rsid w:val="005010AE"/>
    <w:rsid w:val="005011EB"/>
    <w:rsid w:val="005012B9"/>
    <w:rsid w:val="00501342"/>
    <w:rsid w:val="00501652"/>
    <w:rsid w:val="005017C4"/>
    <w:rsid w:val="00501808"/>
    <w:rsid w:val="005018A9"/>
    <w:rsid w:val="0050193C"/>
    <w:rsid w:val="00501C2A"/>
    <w:rsid w:val="00501D0B"/>
    <w:rsid w:val="00501DEC"/>
    <w:rsid w:val="005020CC"/>
    <w:rsid w:val="00502249"/>
    <w:rsid w:val="0050246B"/>
    <w:rsid w:val="005024A0"/>
    <w:rsid w:val="00502658"/>
    <w:rsid w:val="0050277B"/>
    <w:rsid w:val="00502B55"/>
    <w:rsid w:val="00502CD6"/>
    <w:rsid w:val="00502E90"/>
    <w:rsid w:val="00503037"/>
    <w:rsid w:val="005030C8"/>
    <w:rsid w:val="00503278"/>
    <w:rsid w:val="0050346D"/>
    <w:rsid w:val="0050380D"/>
    <w:rsid w:val="00503911"/>
    <w:rsid w:val="0050395D"/>
    <w:rsid w:val="00503966"/>
    <w:rsid w:val="0050397E"/>
    <w:rsid w:val="005039A1"/>
    <w:rsid w:val="00503AEE"/>
    <w:rsid w:val="00503B72"/>
    <w:rsid w:val="00503DBA"/>
    <w:rsid w:val="00503DFC"/>
    <w:rsid w:val="00503E31"/>
    <w:rsid w:val="00503EAD"/>
    <w:rsid w:val="005042F0"/>
    <w:rsid w:val="0050445C"/>
    <w:rsid w:val="00504549"/>
    <w:rsid w:val="00504907"/>
    <w:rsid w:val="00504973"/>
    <w:rsid w:val="00504AB3"/>
    <w:rsid w:val="00504B60"/>
    <w:rsid w:val="00504C55"/>
    <w:rsid w:val="00504D00"/>
    <w:rsid w:val="00504E3D"/>
    <w:rsid w:val="00504ED6"/>
    <w:rsid w:val="0050515C"/>
    <w:rsid w:val="00505166"/>
    <w:rsid w:val="0050534A"/>
    <w:rsid w:val="00505465"/>
    <w:rsid w:val="005055B2"/>
    <w:rsid w:val="0050573B"/>
    <w:rsid w:val="00505748"/>
    <w:rsid w:val="00505806"/>
    <w:rsid w:val="00505A0F"/>
    <w:rsid w:val="00505AC5"/>
    <w:rsid w:val="00505AEC"/>
    <w:rsid w:val="00505C59"/>
    <w:rsid w:val="00505D3F"/>
    <w:rsid w:val="005060BB"/>
    <w:rsid w:val="0050641E"/>
    <w:rsid w:val="005065B5"/>
    <w:rsid w:val="00506664"/>
    <w:rsid w:val="00506725"/>
    <w:rsid w:val="0050682C"/>
    <w:rsid w:val="0050684D"/>
    <w:rsid w:val="005068BC"/>
    <w:rsid w:val="005068D5"/>
    <w:rsid w:val="0050695F"/>
    <w:rsid w:val="005069EF"/>
    <w:rsid w:val="00506C0E"/>
    <w:rsid w:val="00506D65"/>
    <w:rsid w:val="00506E76"/>
    <w:rsid w:val="00506FA4"/>
    <w:rsid w:val="00506FBA"/>
    <w:rsid w:val="005071C6"/>
    <w:rsid w:val="00507514"/>
    <w:rsid w:val="0050758F"/>
    <w:rsid w:val="0050790A"/>
    <w:rsid w:val="00507ADC"/>
    <w:rsid w:val="00507DFA"/>
    <w:rsid w:val="00507FC0"/>
    <w:rsid w:val="00510135"/>
    <w:rsid w:val="005101EF"/>
    <w:rsid w:val="00510280"/>
    <w:rsid w:val="005102E5"/>
    <w:rsid w:val="00510426"/>
    <w:rsid w:val="00510594"/>
    <w:rsid w:val="005105AD"/>
    <w:rsid w:val="00510739"/>
    <w:rsid w:val="00510A7A"/>
    <w:rsid w:val="00510B84"/>
    <w:rsid w:val="00510FC7"/>
    <w:rsid w:val="0051122A"/>
    <w:rsid w:val="00511323"/>
    <w:rsid w:val="00511433"/>
    <w:rsid w:val="00511448"/>
    <w:rsid w:val="005115E3"/>
    <w:rsid w:val="00511813"/>
    <w:rsid w:val="00511C1E"/>
    <w:rsid w:val="00511CBC"/>
    <w:rsid w:val="00511FCB"/>
    <w:rsid w:val="00512135"/>
    <w:rsid w:val="005121DA"/>
    <w:rsid w:val="005121E3"/>
    <w:rsid w:val="005124F4"/>
    <w:rsid w:val="005124F5"/>
    <w:rsid w:val="005125E1"/>
    <w:rsid w:val="00512ABD"/>
    <w:rsid w:val="00512C35"/>
    <w:rsid w:val="00512E11"/>
    <w:rsid w:val="00512ED7"/>
    <w:rsid w:val="00512F30"/>
    <w:rsid w:val="005135A2"/>
    <w:rsid w:val="00513877"/>
    <w:rsid w:val="00513AE9"/>
    <w:rsid w:val="00513BBF"/>
    <w:rsid w:val="00513CAD"/>
    <w:rsid w:val="00513D78"/>
    <w:rsid w:val="00513E2A"/>
    <w:rsid w:val="00513FCF"/>
    <w:rsid w:val="00514164"/>
    <w:rsid w:val="005141D9"/>
    <w:rsid w:val="0051420D"/>
    <w:rsid w:val="005142AC"/>
    <w:rsid w:val="00514391"/>
    <w:rsid w:val="00514446"/>
    <w:rsid w:val="00514471"/>
    <w:rsid w:val="0051452E"/>
    <w:rsid w:val="00514553"/>
    <w:rsid w:val="00514599"/>
    <w:rsid w:val="00514644"/>
    <w:rsid w:val="00514828"/>
    <w:rsid w:val="0051488E"/>
    <w:rsid w:val="005148B8"/>
    <w:rsid w:val="00514992"/>
    <w:rsid w:val="005149E5"/>
    <w:rsid w:val="00514C40"/>
    <w:rsid w:val="00514DE1"/>
    <w:rsid w:val="00514FAC"/>
    <w:rsid w:val="00514FF7"/>
    <w:rsid w:val="00515103"/>
    <w:rsid w:val="00515250"/>
    <w:rsid w:val="0051530F"/>
    <w:rsid w:val="005153D1"/>
    <w:rsid w:val="005153EE"/>
    <w:rsid w:val="00515608"/>
    <w:rsid w:val="00515638"/>
    <w:rsid w:val="00515658"/>
    <w:rsid w:val="005158F0"/>
    <w:rsid w:val="00515AF9"/>
    <w:rsid w:val="00515B43"/>
    <w:rsid w:val="00515B9D"/>
    <w:rsid w:val="00515CDD"/>
    <w:rsid w:val="00515DB3"/>
    <w:rsid w:val="00515F49"/>
    <w:rsid w:val="00515FFA"/>
    <w:rsid w:val="005161B7"/>
    <w:rsid w:val="00516215"/>
    <w:rsid w:val="00516303"/>
    <w:rsid w:val="0051631D"/>
    <w:rsid w:val="0051634F"/>
    <w:rsid w:val="00516397"/>
    <w:rsid w:val="00516508"/>
    <w:rsid w:val="0051694B"/>
    <w:rsid w:val="00516A96"/>
    <w:rsid w:val="00516C7D"/>
    <w:rsid w:val="00516E4D"/>
    <w:rsid w:val="00516E7D"/>
    <w:rsid w:val="00516E90"/>
    <w:rsid w:val="00516ED6"/>
    <w:rsid w:val="00516F62"/>
    <w:rsid w:val="005170E1"/>
    <w:rsid w:val="00517261"/>
    <w:rsid w:val="00517486"/>
    <w:rsid w:val="005174BC"/>
    <w:rsid w:val="005175D9"/>
    <w:rsid w:val="005175FE"/>
    <w:rsid w:val="005176A1"/>
    <w:rsid w:val="0051787D"/>
    <w:rsid w:val="0051798C"/>
    <w:rsid w:val="00517B40"/>
    <w:rsid w:val="00517B44"/>
    <w:rsid w:val="00517C87"/>
    <w:rsid w:val="00517D6F"/>
    <w:rsid w:val="00517DB3"/>
    <w:rsid w:val="00517DBD"/>
    <w:rsid w:val="00517FEB"/>
    <w:rsid w:val="005200B1"/>
    <w:rsid w:val="00520336"/>
    <w:rsid w:val="00520854"/>
    <w:rsid w:val="0052087C"/>
    <w:rsid w:val="005208BE"/>
    <w:rsid w:val="00520A15"/>
    <w:rsid w:val="00520A37"/>
    <w:rsid w:val="00520B4B"/>
    <w:rsid w:val="00520B97"/>
    <w:rsid w:val="00520C36"/>
    <w:rsid w:val="00520CD6"/>
    <w:rsid w:val="00520D65"/>
    <w:rsid w:val="00520D92"/>
    <w:rsid w:val="00520E92"/>
    <w:rsid w:val="00520FC2"/>
    <w:rsid w:val="00521040"/>
    <w:rsid w:val="00521062"/>
    <w:rsid w:val="005210C9"/>
    <w:rsid w:val="0052113E"/>
    <w:rsid w:val="00521181"/>
    <w:rsid w:val="00521214"/>
    <w:rsid w:val="005212F7"/>
    <w:rsid w:val="005214BC"/>
    <w:rsid w:val="005215A1"/>
    <w:rsid w:val="0052168F"/>
    <w:rsid w:val="0052169D"/>
    <w:rsid w:val="005217C8"/>
    <w:rsid w:val="00521A9A"/>
    <w:rsid w:val="00521B1B"/>
    <w:rsid w:val="00521B70"/>
    <w:rsid w:val="00521B8A"/>
    <w:rsid w:val="00521D3D"/>
    <w:rsid w:val="00521DEF"/>
    <w:rsid w:val="00521FC8"/>
    <w:rsid w:val="00522042"/>
    <w:rsid w:val="00522066"/>
    <w:rsid w:val="00522132"/>
    <w:rsid w:val="005224D2"/>
    <w:rsid w:val="00522515"/>
    <w:rsid w:val="005227D8"/>
    <w:rsid w:val="00522A97"/>
    <w:rsid w:val="00522AA7"/>
    <w:rsid w:val="00522BB7"/>
    <w:rsid w:val="00522BD6"/>
    <w:rsid w:val="00522DBE"/>
    <w:rsid w:val="00522E23"/>
    <w:rsid w:val="00522F35"/>
    <w:rsid w:val="00523176"/>
    <w:rsid w:val="005231B8"/>
    <w:rsid w:val="005231FA"/>
    <w:rsid w:val="005233AB"/>
    <w:rsid w:val="0052351C"/>
    <w:rsid w:val="00523615"/>
    <w:rsid w:val="005236E1"/>
    <w:rsid w:val="00523725"/>
    <w:rsid w:val="005239A3"/>
    <w:rsid w:val="00523E9E"/>
    <w:rsid w:val="00524027"/>
    <w:rsid w:val="005240C5"/>
    <w:rsid w:val="0052412F"/>
    <w:rsid w:val="0052413A"/>
    <w:rsid w:val="005243BD"/>
    <w:rsid w:val="0052455E"/>
    <w:rsid w:val="0052473A"/>
    <w:rsid w:val="0052476F"/>
    <w:rsid w:val="0052477E"/>
    <w:rsid w:val="005247C2"/>
    <w:rsid w:val="00524836"/>
    <w:rsid w:val="005248F6"/>
    <w:rsid w:val="00524AF7"/>
    <w:rsid w:val="00524F73"/>
    <w:rsid w:val="00525025"/>
    <w:rsid w:val="00525121"/>
    <w:rsid w:val="0052522F"/>
    <w:rsid w:val="00525283"/>
    <w:rsid w:val="0052539E"/>
    <w:rsid w:val="00525436"/>
    <w:rsid w:val="0052557E"/>
    <w:rsid w:val="005255EB"/>
    <w:rsid w:val="005257AC"/>
    <w:rsid w:val="00525890"/>
    <w:rsid w:val="00525935"/>
    <w:rsid w:val="0052596A"/>
    <w:rsid w:val="00525C50"/>
    <w:rsid w:val="00525CF9"/>
    <w:rsid w:val="00525F3C"/>
    <w:rsid w:val="00525F83"/>
    <w:rsid w:val="00525FD7"/>
    <w:rsid w:val="00525FDD"/>
    <w:rsid w:val="00525FE7"/>
    <w:rsid w:val="00526048"/>
    <w:rsid w:val="005261E7"/>
    <w:rsid w:val="00526238"/>
    <w:rsid w:val="005265AE"/>
    <w:rsid w:val="005268C1"/>
    <w:rsid w:val="00526AAB"/>
    <w:rsid w:val="00526AAF"/>
    <w:rsid w:val="0052709D"/>
    <w:rsid w:val="005274FE"/>
    <w:rsid w:val="005275A8"/>
    <w:rsid w:val="00527AEB"/>
    <w:rsid w:val="00527B9B"/>
    <w:rsid w:val="00527C9C"/>
    <w:rsid w:val="00530079"/>
    <w:rsid w:val="00530243"/>
    <w:rsid w:val="00530261"/>
    <w:rsid w:val="005302E1"/>
    <w:rsid w:val="0053036B"/>
    <w:rsid w:val="0053059E"/>
    <w:rsid w:val="005305D9"/>
    <w:rsid w:val="00530899"/>
    <w:rsid w:val="0053098D"/>
    <w:rsid w:val="00530B0B"/>
    <w:rsid w:val="00530CA1"/>
    <w:rsid w:val="00530E55"/>
    <w:rsid w:val="00530E66"/>
    <w:rsid w:val="0053111B"/>
    <w:rsid w:val="0053111D"/>
    <w:rsid w:val="00531480"/>
    <w:rsid w:val="005317FF"/>
    <w:rsid w:val="005318B1"/>
    <w:rsid w:val="00531917"/>
    <w:rsid w:val="0053197C"/>
    <w:rsid w:val="00531AC4"/>
    <w:rsid w:val="00531C0A"/>
    <w:rsid w:val="00531E3A"/>
    <w:rsid w:val="00532076"/>
    <w:rsid w:val="00532112"/>
    <w:rsid w:val="0053212A"/>
    <w:rsid w:val="00532284"/>
    <w:rsid w:val="00532431"/>
    <w:rsid w:val="0053256F"/>
    <w:rsid w:val="0053283F"/>
    <w:rsid w:val="00532899"/>
    <w:rsid w:val="005328D9"/>
    <w:rsid w:val="005328DF"/>
    <w:rsid w:val="0053298C"/>
    <w:rsid w:val="00532A31"/>
    <w:rsid w:val="00532BC1"/>
    <w:rsid w:val="00532BE9"/>
    <w:rsid w:val="00532C38"/>
    <w:rsid w:val="00532F67"/>
    <w:rsid w:val="005331A4"/>
    <w:rsid w:val="0053352E"/>
    <w:rsid w:val="0053368D"/>
    <w:rsid w:val="0053375D"/>
    <w:rsid w:val="00533891"/>
    <w:rsid w:val="005338F5"/>
    <w:rsid w:val="00533BB7"/>
    <w:rsid w:val="00533C5C"/>
    <w:rsid w:val="00533D33"/>
    <w:rsid w:val="00533EAE"/>
    <w:rsid w:val="00533F47"/>
    <w:rsid w:val="00533F7B"/>
    <w:rsid w:val="0053400B"/>
    <w:rsid w:val="0053411D"/>
    <w:rsid w:val="005341ED"/>
    <w:rsid w:val="005344D5"/>
    <w:rsid w:val="0053460C"/>
    <w:rsid w:val="005347B7"/>
    <w:rsid w:val="0053499A"/>
    <w:rsid w:val="00534AFC"/>
    <w:rsid w:val="00534BC6"/>
    <w:rsid w:val="00534BCE"/>
    <w:rsid w:val="00534D18"/>
    <w:rsid w:val="00534E9D"/>
    <w:rsid w:val="00534EE9"/>
    <w:rsid w:val="00534F7A"/>
    <w:rsid w:val="005353A9"/>
    <w:rsid w:val="005353DE"/>
    <w:rsid w:val="005354B4"/>
    <w:rsid w:val="005357EF"/>
    <w:rsid w:val="00535894"/>
    <w:rsid w:val="00535BA0"/>
    <w:rsid w:val="00535FB1"/>
    <w:rsid w:val="00536321"/>
    <w:rsid w:val="005363DB"/>
    <w:rsid w:val="005365C2"/>
    <w:rsid w:val="005367CF"/>
    <w:rsid w:val="005368EB"/>
    <w:rsid w:val="00536BEF"/>
    <w:rsid w:val="00536D12"/>
    <w:rsid w:val="00536D56"/>
    <w:rsid w:val="00536E72"/>
    <w:rsid w:val="00536EBA"/>
    <w:rsid w:val="00536F03"/>
    <w:rsid w:val="00536F3B"/>
    <w:rsid w:val="00536F7D"/>
    <w:rsid w:val="005374CC"/>
    <w:rsid w:val="005376F6"/>
    <w:rsid w:val="00537876"/>
    <w:rsid w:val="005378A4"/>
    <w:rsid w:val="005378C2"/>
    <w:rsid w:val="00537922"/>
    <w:rsid w:val="00537A3E"/>
    <w:rsid w:val="00537B1C"/>
    <w:rsid w:val="00537F1B"/>
    <w:rsid w:val="00537F9D"/>
    <w:rsid w:val="0054006D"/>
    <w:rsid w:val="005400C5"/>
    <w:rsid w:val="005401A5"/>
    <w:rsid w:val="005402AB"/>
    <w:rsid w:val="00540391"/>
    <w:rsid w:val="00540413"/>
    <w:rsid w:val="005404BE"/>
    <w:rsid w:val="0054068B"/>
    <w:rsid w:val="005406BC"/>
    <w:rsid w:val="0054074B"/>
    <w:rsid w:val="005407FB"/>
    <w:rsid w:val="00540866"/>
    <w:rsid w:val="00540B57"/>
    <w:rsid w:val="00540C0F"/>
    <w:rsid w:val="00540C63"/>
    <w:rsid w:val="00540ED7"/>
    <w:rsid w:val="0054104E"/>
    <w:rsid w:val="005410EB"/>
    <w:rsid w:val="0054118F"/>
    <w:rsid w:val="00541326"/>
    <w:rsid w:val="005414F1"/>
    <w:rsid w:val="0054168B"/>
    <w:rsid w:val="005416CB"/>
    <w:rsid w:val="00541787"/>
    <w:rsid w:val="005417B4"/>
    <w:rsid w:val="005417FB"/>
    <w:rsid w:val="005418F2"/>
    <w:rsid w:val="00541AAB"/>
    <w:rsid w:val="00541BB4"/>
    <w:rsid w:val="00541BDB"/>
    <w:rsid w:val="00541D07"/>
    <w:rsid w:val="00541D0D"/>
    <w:rsid w:val="00541D3C"/>
    <w:rsid w:val="00541F5B"/>
    <w:rsid w:val="00542154"/>
    <w:rsid w:val="00542824"/>
    <w:rsid w:val="005428BB"/>
    <w:rsid w:val="005429A2"/>
    <w:rsid w:val="00542A4F"/>
    <w:rsid w:val="00542AB2"/>
    <w:rsid w:val="00542CA4"/>
    <w:rsid w:val="00542CC3"/>
    <w:rsid w:val="00542DE7"/>
    <w:rsid w:val="00542E22"/>
    <w:rsid w:val="00542EDD"/>
    <w:rsid w:val="00543043"/>
    <w:rsid w:val="00543048"/>
    <w:rsid w:val="0054313E"/>
    <w:rsid w:val="0054346B"/>
    <w:rsid w:val="005434B0"/>
    <w:rsid w:val="00543521"/>
    <w:rsid w:val="00543596"/>
    <w:rsid w:val="0054368C"/>
    <w:rsid w:val="0054371B"/>
    <w:rsid w:val="00543722"/>
    <w:rsid w:val="005439BA"/>
    <w:rsid w:val="00543A37"/>
    <w:rsid w:val="00543AAD"/>
    <w:rsid w:val="00543B89"/>
    <w:rsid w:val="00543D7B"/>
    <w:rsid w:val="00543E94"/>
    <w:rsid w:val="00544369"/>
    <w:rsid w:val="00544792"/>
    <w:rsid w:val="00544A03"/>
    <w:rsid w:val="00544CE0"/>
    <w:rsid w:val="00544DF6"/>
    <w:rsid w:val="00544FAC"/>
    <w:rsid w:val="00545053"/>
    <w:rsid w:val="00545208"/>
    <w:rsid w:val="00545461"/>
    <w:rsid w:val="005455FB"/>
    <w:rsid w:val="0054589E"/>
    <w:rsid w:val="00545901"/>
    <w:rsid w:val="00545A4F"/>
    <w:rsid w:val="00545C2B"/>
    <w:rsid w:val="00545D70"/>
    <w:rsid w:val="00545D89"/>
    <w:rsid w:val="00545DFA"/>
    <w:rsid w:val="00545E22"/>
    <w:rsid w:val="00545E46"/>
    <w:rsid w:val="00545F8C"/>
    <w:rsid w:val="00545FDC"/>
    <w:rsid w:val="005460EB"/>
    <w:rsid w:val="00546206"/>
    <w:rsid w:val="00546454"/>
    <w:rsid w:val="005465C7"/>
    <w:rsid w:val="005465EE"/>
    <w:rsid w:val="0054663B"/>
    <w:rsid w:val="0054663C"/>
    <w:rsid w:val="00546695"/>
    <w:rsid w:val="00546775"/>
    <w:rsid w:val="005468C7"/>
    <w:rsid w:val="00546B29"/>
    <w:rsid w:val="00546B9E"/>
    <w:rsid w:val="00546BAF"/>
    <w:rsid w:val="00546D07"/>
    <w:rsid w:val="00546F49"/>
    <w:rsid w:val="00546F9F"/>
    <w:rsid w:val="00546FEA"/>
    <w:rsid w:val="0054701D"/>
    <w:rsid w:val="005470AD"/>
    <w:rsid w:val="005470DD"/>
    <w:rsid w:val="00547129"/>
    <w:rsid w:val="005471A4"/>
    <w:rsid w:val="005471CA"/>
    <w:rsid w:val="005472C7"/>
    <w:rsid w:val="005474C9"/>
    <w:rsid w:val="0054775B"/>
    <w:rsid w:val="00547ADE"/>
    <w:rsid w:val="00547C0A"/>
    <w:rsid w:val="00547DEA"/>
    <w:rsid w:val="00550027"/>
    <w:rsid w:val="005500EE"/>
    <w:rsid w:val="005502AC"/>
    <w:rsid w:val="00550501"/>
    <w:rsid w:val="0055058C"/>
    <w:rsid w:val="005505EF"/>
    <w:rsid w:val="00550921"/>
    <w:rsid w:val="00550976"/>
    <w:rsid w:val="00550A50"/>
    <w:rsid w:val="00550B3A"/>
    <w:rsid w:val="00550C70"/>
    <w:rsid w:val="005510C6"/>
    <w:rsid w:val="00551255"/>
    <w:rsid w:val="00551261"/>
    <w:rsid w:val="00551828"/>
    <w:rsid w:val="00551944"/>
    <w:rsid w:val="005519CB"/>
    <w:rsid w:val="005519F2"/>
    <w:rsid w:val="00551ADA"/>
    <w:rsid w:val="00551BE4"/>
    <w:rsid w:val="00551C78"/>
    <w:rsid w:val="00551CA6"/>
    <w:rsid w:val="00551CE7"/>
    <w:rsid w:val="00551CE8"/>
    <w:rsid w:val="00551DEA"/>
    <w:rsid w:val="00551E43"/>
    <w:rsid w:val="005520FB"/>
    <w:rsid w:val="0055218D"/>
    <w:rsid w:val="00552272"/>
    <w:rsid w:val="00552319"/>
    <w:rsid w:val="005525BE"/>
    <w:rsid w:val="005526A3"/>
    <w:rsid w:val="00552863"/>
    <w:rsid w:val="00552A06"/>
    <w:rsid w:val="00552C85"/>
    <w:rsid w:val="00552C9C"/>
    <w:rsid w:val="00552E17"/>
    <w:rsid w:val="00552E61"/>
    <w:rsid w:val="0055307D"/>
    <w:rsid w:val="00553339"/>
    <w:rsid w:val="0055350A"/>
    <w:rsid w:val="00553573"/>
    <w:rsid w:val="005536C0"/>
    <w:rsid w:val="00553893"/>
    <w:rsid w:val="005539B3"/>
    <w:rsid w:val="005539C5"/>
    <w:rsid w:val="00553A57"/>
    <w:rsid w:val="00553BF1"/>
    <w:rsid w:val="00553BF7"/>
    <w:rsid w:val="00553F29"/>
    <w:rsid w:val="00553FC3"/>
    <w:rsid w:val="005541B7"/>
    <w:rsid w:val="00554341"/>
    <w:rsid w:val="005543E9"/>
    <w:rsid w:val="0055442E"/>
    <w:rsid w:val="0055451A"/>
    <w:rsid w:val="00554751"/>
    <w:rsid w:val="005548A6"/>
    <w:rsid w:val="005548BF"/>
    <w:rsid w:val="0055497B"/>
    <w:rsid w:val="00554A71"/>
    <w:rsid w:val="00554AA5"/>
    <w:rsid w:val="00554B67"/>
    <w:rsid w:val="00554BE1"/>
    <w:rsid w:val="00554DDE"/>
    <w:rsid w:val="00554F12"/>
    <w:rsid w:val="0055503A"/>
    <w:rsid w:val="005551F4"/>
    <w:rsid w:val="00555219"/>
    <w:rsid w:val="00555442"/>
    <w:rsid w:val="0055566C"/>
    <w:rsid w:val="0055598E"/>
    <w:rsid w:val="00555B9A"/>
    <w:rsid w:val="00555D96"/>
    <w:rsid w:val="00555E0E"/>
    <w:rsid w:val="00555EA3"/>
    <w:rsid w:val="00556296"/>
    <w:rsid w:val="00556333"/>
    <w:rsid w:val="0055661F"/>
    <w:rsid w:val="00556771"/>
    <w:rsid w:val="005569AC"/>
    <w:rsid w:val="00556D4A"/>
    <w:rsid w:val="00556D87"/>
    <w:rsid w:val="00556DC2"/>
    <w:rsid w:val="00556F5C"/>
    <w:rsid w:val="00556F9E"/>
    <w:rsid w:val="0055731B"/>
    <w:rsid w:val="005574F9"/>
    <w:rsid w:val="00557535"/>
    <w:rsid w:val="005575A5"/>
    <w:rsid w:val="005576EA"/>
    <w:rsid w:val="005578C0"/>
    <w:rsid w:val="0055798D"/>
    <w:rsid w:val="00557B72"/>
    <w:rsid w:val="00557BDF"/>
    <w:rsid w:val="00557F0A"/>
    <w:rsid w:val="00557FA3"/>
    <w:rsid w:val="00557FC1"/>
    <w:rsid w:val="00560297"/>
    <w:rsid w:val="00560574"/>
    <w:rsid w:val="00560696"/>
    <w:rsid w:val="00560741"/>
    <w:rsid w:val="0056084F"/>
    <w:rsid w:val="005609EB"/>
    <w:rsid w:val="00560A47"/>
    <w:rsid w:val="00560B26"/>
    <w:rsid w:val="00560D8D"/>
    <w:rsid w:val="00560EDC"/>
    <w:rsid w:val="00560FB7"/>
    <w:rsid w:val="00560FE4"/>
    <w:rsid w:val="00561380"/>
    <w:rsid w:val="00561428"/>
    <w:rsid w:val="005614E1"/>
    <w:rsid w:val="005614FF"/>
    <w:rsid w:val="0056150F"/>
    <w:rsid w:val="005616C3"/>
    <w:rsid w:val="00561750"/>
    <w:rsid w:val="005618C8"/>
    <w:rsid w:val="00561948"/>
    <w:rsid w:val="00561A58"/>
    <w:rsid w:val="00561B04"/>
    <w:rsid w:val="00561DAD"/>
    <w:rsid w:val="00561DD7"/>
    <w:rsid w:val="005620A2"/>
    <w:rsid w:val="00562249"/>
    <w:rsid w:val="00562365"/>
    <w:rsid w:val="0056246D"/>
    <w:rsid w:val="0056249E"/>
    <w:rsid w:val="00562792"/>
    <w:rsid w:val="0056293A"/>
    <w:rsid w:val="00562D8F"/>
    <w:rsid w:val="00562D90"/>
    <w:rsid w:val="00562F2C"/>
    <w:rsid w:val="00562F8C"/>
    <w:rsid w:val="00563121"/>
    <w:rsid w:val="005633D5"/>
    <w:rsid w:val="0056376B"/>
    <w:rsid w:val="0056378F"/>
    <w:rsid w:val="00563ADE"/>
    <w:rsid w:val="00563BB4"/>
    <w:rsid w:val="00563BC3"/>
    <w:rsid w:val="00563D88"/>
    <w:rsid w:val="00563E06"/>
    <w:rsid w:val="00563F24"/>
    <w:rsid w:val="00563F30"/>
    <w:rsid w:val="0056409E"/>
    <w:rsid w:val="005640F5"/>
    <w:rsid w:val="005641B1"/>
    <w:rsid w:val="0056422D"/>
    <w:rsid w:val="0056428F"/>
    <w:rsid w:val="0056444C"/>
    <w:rsid w:val="0056470A"/>
    <w:rsid w:val="00564821"/>
    <w:rsid w:val="0056485A"/>
    <w:rsid w:val="005648F4"/>
    <w:rsid w:val="00564A58"/>
    <w:rsid w:val="00564B75"/>
    <w:rsid w:val="00564D10"/>
    <w:rsid w:val="00564E63"/>
    <w:rsid w:val="00564FBD"/>
    <w:rsid w:val="00564FFF"/>
    <w:rsid w:val="0056508B"/>
    <w:rsid w:val="00565208"/>
    <w:rsid w:val="00565267"/>
    <w:rsid w:val="00565368"/>
    <w:rsid w:val="00565525"/>
    <w:rsid w:val="00565619"/>
    <w:rsid w:val="00565AAA"/>
    <w:rsid w:val="00565B1C"/>
    <w:rsid w:val="00565C1A"/>
    <w:rsid w:val="00565CB3"/>
    <w:rsid w:val="00565D12"/>
    <w:rsid w:val="00565D88"/>
    <w:rsid w:val="00565F3D"/>
    <w:rsid w:val="00566316"/>
    <w:rsid w:val="00566516"/>
    <w:rsid w:val="0056690A"/>
    <w:rsid w:val="00566CB3"/>
    <w:rsid w:val="00566D26"/>
    <w:rsid w:val="00566EDE"/>
    <w:rsid w:val="00567076"/>
    <w:rsid w:val="00567182"/>
    <w:rsid w:val="0056725F"/>
    <w:rsid w:val="005672BB"/>
    <w:rsid w:val="005673BF"/>
    <w:rsid w:val="005673E5"/>
    <w:rsid w:val="00567493"/>
    <w:rsid w:val="00567547"/>
    <w:rsid w:val="005676FD"/>
    <w:rsid w:val="00567755"/>
    <w:rsid w:val="005677EC"/>
    <w:rsid w:val="00567815"/>
    <w:rsid w:val="005678D2"/>
    <w:rsid w:val="00567A49"/>
    <w:rsid w:val="00567C6A"/>
    <w:rsid w:val="00567CC5"/>
    <w:rsid w:val="00567D59"/>
    <w:rsid w:val="005702B4"/>
    <w:rsid w:val="0057047A"/>
    <w:rsid w:val="005707DB"/>
    <w:rsid w:val="00570801"/>
    <w:rsid w:val="0057086F"/>
    <w:rsid w:val="00570999"/>
    <w:rsid w:val="00570B74"/>
    <w:rsid w:val="00570D0D"/>
    <w:rsid w:val="00570D37"/>
    <w:rsid w:val="00570D66"/>
    <w:rsid w:val="00571384"/>
    <w:rsid w:val="00571471"/>
    <w:rsid w:val="005716A0"/>
    <w:rsid w:val="00571857"/>
    <w:rsid w:val="0057195A"/>
    <w:rsid w:val="00571B2B"/>
    <w:rsid w:val="00571B45"/>
    <w:rsid w:val="00571BA0"/>
    <w:rsid w:val="00571CE7"/>
    <w:rsid w:val="00571DC5"/>
    <w:rsid w:val="00571E3B"/>
    <w:rsid w:val="00571FC0"/>
    <w:rsid w:val="005721FF"/>
    <w:rsid w:val="00572278"/>
    <w:rsid w:val="005722BC"/>
    <w:rsid w:val="0057236E"/>
    <w:rsid w:val="0057283A"/>
    <w:rsid w:val="00572981"/>
    <w:rsid w:val="00572B15"/>
    <w:rsid w:val="00572C23"/>
    <w:rsid w:val="00572E34"/>
    <w:rsid w:val="00572EB6"/>
    <w:rsid w:val="00572F53"/>
    <w:rsid w:val="0057309E"/>
    <w:rsid w:val="005730F3"/>
    <w:rsid w:val="0057310E"/>
    <w:rsid w:val="00573417"/>
    <w:rsid w:val="005735AB"/>
    <w:rsid w:val="005735D3"/>
    <w:rsid w:val="00573676"/>
    <w:rsid w:val="0057394C"/>
    <w:rsid w:val="00573CFB"/>
    <w:rsid w:val="00574019"/>
    <w:rsid w:val="005742E2"/>
    <w:rsid w:val="005743EE"/>
    <w:rsid w:val="0057464A"/>
    <w:rsid w:val="00574658"/>
    <w:rsid w:val="00574676"/>
    <w:rsid w:val="0057493F"/>
    <w:rsid w:val="00574A9A"/>
    <w:rsid w:val="00574AB1"/>
    <w:rsid w:val="00574CDA"/>
    <w:rsid w:val="00574F6F"/>
    <w:rsid w:val="00574FC3"/>
    <w:rsid w:val="0057508E"/>
    <w:rsid w:val="0057528C"/>
    <w:rsid w:val="005752A6"/>
    <w:rsid w:val="0057541F"/>
    <w:rsid w:val="0057544F"/>
    <w:rsid w:val="005759BB"/>
    <w:rsid w:val="00575A49"/>
    <w:rsid w:val="00575E00"/>
    <w:rsid w:val="00575F56"/>
    <w:rsid w:val="00575FD8"/>
    <w:rsid w:val="005761D5"/>
    <w:rsid w:val="00576237"/>
    <w:rsid w:val="00576676"/>
    <w:rsid w:val="00576712"/>
    <w:rsid w:val="00576886"/>
    <w:rsid w:val="00576C34"/>
    <w:rsid w:val="00576D27"/>
    <w:rsid w:val="00577071"/>
    <w:rsid w:val="00577350"/>
    <w:rsid w:val="005773DD"/>
    <w:rsid w:val="00577559"/>
    <w:rsid w:val="005775C8"/>
    <w:rsid w:val="005775F3"/>
    <w:rsid w:val="00577876"/>
    <w:rsid w:val="00577AC7"/>
    <w:rsid w:val="00577E93"/>
    <w:rsid w:val="00577F55"/>
    <w:rsid w:val="00577FA5"/>
    <w:rsid w:val="005800D6"/>
    <w:rsid w:val="00580174"/>
    <w:rsid w:val="00580182"/>
    <w:rsid w:val="00580272"/>
    <w:rsid w:val="0058050F"/>
    <w:rsid w:val="005805ED"/>
    <w:rsid w:val="0058096A"/>
    <w:rsid w:val="00580E4C"/>
    <w:rsid w:val="00580EAC"/>
    <w:rsid w:val="00580F0E"/>
    <w:rsid w:val="00580FEC"/>
    <w:rsid w:val="005814F8"/>
    <w:rsid w:val="00581559"/>
    <w:rsid w:val="00581603"/>
    <w:rsid w:val="00581618"/>
    <w:rsid w:val="00581639"/>
    <w:rsid w:val="0058163F"/>
    <w:rsid w:val="005816A5"/>
    <w:rsid w:val="00581775"/>
    <w:rsid w:val="00581975"/>
    <w:rsid w:val="00581B59"/>
    <w:rsid w:val="00581BE8"/>
    <w:rsid w:val="00581E86"/>
    <w:rsid w:val="00581F04"/>
    <w:rsid w:val="00582193"/>
    <w:rsid w:val="005821F4"/>
    <w:rsid w:val="0058283D"/>
    <w:rsid w:val="00582992"/>
    <w:rsid w:val="00582DEF"/>
    <w:rsid w:val="00582E80"/>
    <w:rsid w:val="00582EAA"/>
    <w:rsid w:val="00582F26"/>
    <w:rsid w:val="00582FCE"/>
    <w:rsid w:val="0058305F"/>
    <w:rsid w:val="005830AB"/>
    <w:rsid w:val="00583220"/>
    <w:rsid w:val="0058341D"/>
    <w:rsid w:val="0058353B"/>
    <w:rsid w:val="005835FD"/>
    <w:rsid w:val="005836C4"/>
    <w:rsid w:val="005837AE"/>
    <w:rsid w:val="00583810"/>
    <w:rsid w:val="00583881"/>
    <w:rsid w:val="00583B68"/>
    <w:rsid w:val="00583B87"/>
    <w:rsid w:val="00583BCA"/>
    <w:rsid w:val="00583CCB"/>
    <w:rsid w:val="00583CD3"/>
    <w:rsid w:val="00584094"/>
    <w:rsid w:val="0058418F"/>
    <w:rsid w:val="0058451B"/>
    <w:rsid w:val="00584671"/>
    <w:rsid w:val="00584737"/>
    <w:rsid w:val="00584738"/>
    <w:rsid w:val="0058474F"/>
    <w:rsid w:val="005848C1"/>
    <w:rsid w:val="00584AE6"/>
    <w:rsid w:val="00584B49"/>
    <w:rsid w:val="00584B4D"/>
    <w:rsid w:val="00584BD5"/>
    <w:rsid w:val="00584D56"/>
    <w:rsid w:val="00584DEE"/>
    <w:rsid w:val="00584EA4"/>
    <w:rsid w:val="00584FA5"/>
    <w:rsid w:val="00585071"/>
    <w:rsid w:val="005851A9"/>
    <w:rsid w:val="00585230"/>
    <w:rsid w:val="0058537E"/>
    <w:rsid w:val="005857DD"/>
    <w:rsid w:val="00585814"/>
    <w:rsid w:val="0058594B"/>
    <w:rsid w:val="00585B1A"/>
    <w:rsid w:val="00585C59"/>
    <w:rsid w:val="00585E6A"/>
    <w:rsid w:val="00585EBE"/>
    <w:rsid w:val="00586008"/>
    <w:rsid w:val="0058609D"/>
    <w:rsid w:val="00586116"/>
    <w:rsid w:val="00586321"/>
    <w:rsid w:val="0058655D"/>
    <w:rsid w:val="00586733"/>
    <w:rsid w:val="0058674B"/>
    <w:rsid w:val="005867D1"/>
    <w:rsid w:val="0058681D"/>
    <w:rsid w:val="0058687E"/>
    <w:rsid w:val="00586B63"/>
    <w:rsid w:val="005873BD"/>
    <w:rsid w:val="00587444"/>
    <w:rsid w:val="00587562"/>
    <w:rsid w:val="005875DD"/>
    <w:rsid w:val="00587620"/>
    <w:rsid w:val="005878D2"/>
    <w:rsid w:val="005879AA"/>
    <w:rsid w:val="00587AA9"/>
    <w:rsid w:val="00587DEF"/>
    <w:rsid w:val="00590023"/>
    <w:rsid w:val="005900D6"/>
    <w:rsid w:val="0059012D"/>
    <w:rsid w:val="00590327"/>
    <w:rsid w:val="00590367"/>
    <w:rsid w:val="00590404"/>
    <w:rsid w:val="00590418"/>
    <w:rsid w:val="00590793"/>
    <w:rsid w:val="00590904"/>
    <w:rsid w:val="00590AE2"/>
    <w:rsid w:val="00590C36"/>
    <w:rsid w:val="00590E16"/>
    <w:rsid w:val="00590EA9"/>
    <w:rsid w:val="0059143F"/>
    <w:rsid w:val="00591481"/>
    <w:rsid w:val="005915B5"/>
    <w:rsid w:val="00591672"/>
    <w:rsid w:val="005916C1"/>
    <w:rsid w:val="005916E2"/>
    <w:rsid w:val="005916EE"/>
    <w:rsid w:val="0059172E"/>
    <w:rsid w:val="005918E8"/>
    <w:rsid w:val="005919F3"/>
    <w:rsid w:val="00591A2C"/>
    <w:rsid w:val="00591C30"/>
    <w:rsid w:val="00591D1C"/>
    <w:rsid w:val="00591EF2"/>
    <w:rsid w:val="00591F8C"/>
    <w:rsid w:val="00591FDE"/>
    <w:rsid w:val="005920B9"/>
    <w:rsid w:val="005922D0"/>
    <w:rsid w:val="00592556"/>
    <w:rsid w:val="00592973"/>
    <w:rsid w:val="0059299A"/>
    <w:rsid w:val="005929C1"/>
    <w:rsid w:val="00592CE3"/>
    <w:rsid w:val="00592DB7"/>
    <w:rsid w:val="00593039"/>
    <w:rsid w:val="00593153"/>
    <w:rsid w:val="00593456"/>
    <w:rsid w:val="0059357E"/>
    <w:rsid w:val="005935D9"/>
    <w:rsid w:val="00593856"/>
    <w:rsid w:val="00593904"/>
    <w:rsid w:val="00593AC3"/>
    <w:rsid w:val="005940BC"/>
    <w:rsid w:val="005940DF"/>
    <w:rsid w:val="00594178"/>
    <w:rsid w:val="00594212"/>
    <w:rsid w:val="00594331"/>
    <w:rsid w:val="0059451F"/>
    <w:rsid w:val="00594763"/>
    <w:rsid w:val="005947DC"/>
    <w:rsid w:val="005948F5"/>
    <w:rsid w:val="005948F9"/>
    <w:rsid w:val="00594C51"/>
    <w:rsid w:val="00594DD4"/>
    <w:rsid w:val="00594E63"/>
    <w:rsid w:val="00594F04"/>
    <w:rsid w:val="00594FD0"/>
    <w:rsid w:val="00595373"/>
    <w:rsid w:val="005955D8"/>
    <w:rsid w:val="00595950"/>
    <w:rsid w:val="0059599A"/>
    <w:rsid w:val="00595B0B"/>
    <w:rsid w:val="00595BC8"/>
    <w:rsid w:val="00595D49"/>
    <w:rsid w:val="00595F1E"/>
    <w:rsid w:val="00595F9C"/>
    <w:rsid w:val="0059606F"/>
    <w:rsid w:val="0059657E"/>
    <w:rsid w:val="00596627"/>
    <w:rsid w:val="005968B6"/>
    <w:rsid w:val="005968CC"/>
    <w:rsid w:val="00596A62"/>
    <w:rsid w:val="00596C3B"/>
    <w:rsid w:val="00596DB1"/>
    <w:rsid w:val="00596E78"/>
    <w:rsid w:val="00596EA4"/>
    <w:rsid w:val="005971A4"/>
    <w:rsid w:val="00597343"/>
    <w:rsid w:val="005974C9"/>
    <w:rsid w:val="005974E2"/>
    <w:rsid w:val="00597601"/>
    <w:rsid w:val="0059763D"/>
    <w:rsid w:val="005976D0"/>
    <w:rsid w:val="005977BA"/>
    <w:rsid w:val="005979AE"/>
    <w:rsid w:val="005979D6"/>
    <w:rsid w:val="00597AD7"/>
    <w:rsid w:val="00597B69"/>
    <w:rsid w:val="00597EA6"/>
    <w:rsid w:val="005A004B"/>
    <w:rsid w:val="005A01CC"/>
    <w:rsid w:val="005A0205"/>
    <w:rsid w:val="005A02E1"/>
    <w:rsid w:val="005A0566"/>
    <w:rsid w:val="005A05BC"/>
    <w:rsid w:val="005A0621"/>
    <w:rsid w:val="005A07AB"/>
    <w:rsid w:val="005A0800"/>
    <w:rsid w:val="005A098F"/>
    <w:rsid w:val="005A0991"/>
    <w:rsid w:val="005A09A2"/>
    <w:rsid w:val="005A0C17"/>
    <w:rsid w:val="005A0D11"/>
    <w:rsid w:val="005A0E87"/>
    <w:rsid w:val="005A0EB9"/>
    <w:rsid w:val="005A1233"/>
    <w:rsid w:val="005A123A"/>
    <w:rsid w:val="005A1383"/>
    <w:rsid w:val="005A13C2"/>
    <w:rsid w:val="005A13CA"/>
    <w:rsid w:val="005A14A5"/>
    <w:rsid w:val="005A16F0"/>
    <w:rsid w:val="005A1719"/>
    <w:rsid w:val="005A1BC3"/>
    <w:rsid w:val="005A1BE8"/>
    <w:rsid w:val="005A1CC2"/>
    <w:rsid w:val="005A1CCB"/>
    <w:rsid w:val="005A1E54"/>
    <w:rsid w:val="005A2084"/>
    <w:rsid w:val="005A219F"/>
    <w:rsid w:val="005A23FC"/>
    <w:rsid w:val="005A24F6"/>
    <w:rsid w:val="005A26E8"/>
    <w:rsid w:val="005A2759"/>
    <w:rsid w:val="005A2884"/>
    <w:rsid w:val="005A296E"/>
    <w:rsid w:val="005A2AA2"/>
    <w:rsid w:val="005A2D58"/>
    <w:rsid w:val="005A2EB5"/>
    <w:rsid w:val="005A2FF0"/>
    <w:rsid w:val="005A315A"/>
    <w:rsid w:val="005A3285"/>
    <w:rsid w:val="005A360A"/>
    <w:rsid w:val="005A3638"/>
    <w:rsid w:val="005A38F4"/>
    <w:rsid w:val="005A3A28"/>
    <w:rsid w:val="005A3CA4"/>
    <w:rsid w:val="005A3EA4"/>
    <w:rsid w:val="005A400E"/>
    <w:rsid w:val="005A4054"/>
    <w:rsid w:val="005A42C8"/>
    <w:rsid w:val="005A4496"/>
    <w:rsid w:val="005A45C7"/>
    <w:rsid w:val="005A461A"/>
    <w:rsid w:val="005A4712"/>
    <w:rsid w:val="005A4864"/>
    <w:rsid w:val="005A4904"/>
    <w:rsid w:val="005A4A94"/>
    <w:rsid w:val="005A4CEB"/>
    <w:rsid w:val="005A4D54"/>
    <w:rsid w:val="005A4D98"/>
    <w:rsid w:val="005A4F91"/>
    <w:rsid w:val="005A500D"/>
    <w:rsid w:val="005A50E7"/>
    <w:rsid w:val="005A516B"/>
    <w:rsid w:val="005A55FA"/>
    <w:rsid w:val="005A56DC"/>
    <w:rsid w:val="005A5750"/>
    <w:rsid w:val="005A5BA5"/>
    <w:rsid w:val="005A5C05"/>
    <w:rsid w:val="005A61EB"/>
    <w:rsid w:val="005A61F3"/>
    <w:rsid w:val="005A628C"/>
    <w:rsid w:val="005A63AA"/>
    <w:rsid w:val="005A663C"/>
    <w:rsid w:val="005A6691"/>
    <w:rsid w:val="005A66D1"/>
    <w:rsid w:val="005A6E4D"/>
    <w:rsid w:val="005A6FAC"/>
    <w:rsid w:val="005A72D4"/>
    <w:rsid w:val="005A72DC"/>
    <w:rsid w:val="005A736D"/>
    <w:rsid w:val="005A73E7"/>
    <w:rsid w:val="005A744B"/>
    <w:rsid w:val="005A7592"/>
    <w:rsid w:val="005A762F"/>
    <w:rsid w:val="005A7812"/>
    <w:rsid w:val="005A7988"/>
    <w:rsid w:val="005A7A85"/>
    <w:rsid w:val="005A7AA3"/>
    <w:rsid w:val="005A7CBD"/>
    <w:rsid w:val="005A7F33"/>
    <w:rsid w:val="005B005D"/>
    <w:rsid w:val="005B007A"/>
    <w:rsid w:val="005B008B"/>
    <w:rsid w:val="005B019C"/>
    <w:rsid w:val="005B01FD"/>
    <w:rsid w:val="005B02D9"/>
    <w:rsid w:val="005B0305"/>
    <w:rsid w:val="005B038E"/>
    <w:rsid w:val="005B0507"/>
    <w:rsid w:val="005B05C1"/>
    <w:rsid w:val="005B0667"/>
    <w:rsid w:val="005B0675"/>
    <w:rsid w:val="005B0839"/>
    <w:rsid w:val="005B098A"/>
    <w:rsid w:val="005B09E7"/>
    <w:rsid w:val="005B0A87"/>
    <w:rsid w:val="005B0D35"/>
    <w:rsid w:val="005B0D87"/>
    <w:rsid w:val="005B0E37"/>
    <w:rsid w:val="005B0F0A"/>
    <w:rsid w:val="005B1113"/>
    <w:rsid w:val="005B112F"/>
    <w:rsid w:val="005B1289"/>
    <w:rsid w:val="005B12C6"/>
    <w:rsid w:val="005B137C"/>
    <w:rsid w:val="005B1561"/>
    <w:rsid w:val="005B159A"/>
    <w:rsid w:val="005B170A"/>
    <w:rsid w:val="005B185D"/>
    <w:rsid w:val="005B1921"/>
    <w:rsid w:val="005B1CC3"/>
    <w:rsid w:val="005B1F2F"/>
    <w:rsid w:val="005B1F61"/>
    <w:rsid w:val="005B1F9A"/>
    <w:rsid w:val="005B1FD5"/>
    <w:rsid w:val="005B213D"/>
    <w:rsid w:val="005B2269"/>
    <w:rsid w:val="005B22C2"/>
    <w:rsid w:val="005B2346"/>
    <w:rsid w:val="005B27F8"/>
    <w:rsid w:val="005B28F3"/>
    <w:rsid w:val="005B2C36"/>
    <w:rsid w:val="005B2F44"/>
    <w:rsid w:val="005B310A"/>
    <w:rsid w:val="005B311E"/>
    <w:rsid w:val="005B3209"/>
    <w:rsid w:val="005B32DC"/>
    <w:rsid w:val="005B333E"/>
    <w:rsid w:val="005B344B"/>
    <w:rsid w:val="005B34A2"/>
    <w:rsid w:val="005B34F4"/>
    <w:rsid w:val="005B3550"/>
    <w:rsid w:val="005B3853"/>
    <w:rsid w:val="005B39D5"/>
    <w:rsid w:val="005B3CD4"/>
    <w:rsid w:val="005B3D4D"/>
    <w:rsid w:val="005B3D4E"/>
    <w:rsid w:val="005B3DA5"/>
    <w:rsid w:val="005B3DEA"/>
    <w:rsid w:val="005B41F8"/>
    <w:rsid w:val="005B447B"/>
    <w:rsid w:val="005B47CB"/>
    <w:rsid w:val="005B48F8"/>
    <w:rsid w:val="005B4BEB"/>
    <w:rsid w:val="005B4DA3"/>
    <w:rsid w:val="005B4DBA"/>
    <w:rsid w:val="005B4E4B"/>
    <w:rsid w:val="005B4F37"/>
    <w:rsid w:val="005B4F44"/>
    <w:rsid w:val="005B504A"/>
    <w:rsid w:val="005B51C9"/>
    <w:rsid w:val="005B53CF"/>
    <w:rsid w:val="005B54B3"/>
    <w:rsid w:val="005B54DE"/>
    <w:rsid w:val="005B553F"/>
    <w:rsid w:val="005B5588"/>
    <w:rsid w:val="005B5636"/>
    <w:rsid w:val="005B5691"/>
    <w:rsid w:val="005B56D8"/>
    <w:rsid w:val="005B57B4"/>
    <w:rsid w:val="005B58AA"/>
    <w:rsid w:val="005B59C7"/>
    <w:rsid w:val="005B5B1C"/>
    <w:rsid w:val="005B5B85"/>
    <w:rsid w:val="005B5BA9"/>
    <w:rsid w:val="005B5D14"/>
    <w:rsid w:val="005B5D20"/>
    <w:rsid w:val="005B5F91"/>
    <w:rsid w:val="005B5FCF"/>
    <w:rsid w:val="005B6005"/>
    <w:rsid w:val="005B60CB"/>
    <w:rsid w:val="005B63AE"/>
    <w:rsid w:val="005B6444"/>
    <w:rsid w:val="005B6472"/>
    <w:rsid w:val="005B6541"/>
    <w:rsid w:val="005B673F"/>
    <w:rsid w:val="005B67D1"/>
    <w:rsid w:val="005B698E"/>
    <w:rsid w:val="005B6A60"/>
    <w:rsid w:val="005B6D04"/>
    <w:rsid w:val="005B6E26"/>
    <w:rsid w:val="005B6E55"/>
    <w:rsid w:val="005B76CB"/>
    <w:rsid w:val="005B7749"/>
    <w:rsid w:val="005B7871"/>
    <w:rsid w:val="005B7A00"/>
    <w:rsid w:val="005B7A4B"/>
    <w:rsid w:val="005B7AE9"/>
    <w:rsid w:val="005B7CEB"/>
    <w:rsid w:val="005B7CFD"/>
    <w:rsid w:val="005B7EA2"/>
    <w:rsid w:val="005B7F99"/>
    <w:rsid w:val="005C001A"/>
    <w:rsid w:val="005C0617"/>
    <w:rsid w:val="005C0628"/>
    <w:rsid w:val="005C06B3"/>
    <w:rsid w:val="005C091E"/>
    <w:rsid w:val="005C0D2B"/>
    <w:rsid w:val="005C0EAF"/>
    <w:rsid w:val="005C0FA7"/>
    <w:rsid w:val="005C10A4"/>
    <w:rsid w:val="005C140A"/>
    <w:rsid w:val="005C175C"/>
    <w:rsid w:val="005C18A9"/>
    <w:rsid w:val="005C19F9"/>
    <w:rsid w:val="005C1B6B"/>
    <w:rsid w:val="005C1BCF"/>
    <w:rsid w:val="005C1F52"/>
    <w:rsid w:val="005C21E2"/>
    <w:rsid w:val="005C22ED"/>
    <w:rsid w:val="005C23CD"/>
    <w:rsid w:val="005C2492"/>
    <w:rsid w:val="005C27CC"/>
    <w:rsid w:val="005C282C"/>
    <w:rsid w:val="005C2A5E"/>
    <w:rsid w:val="005C2B0A"/>
    <w:rsid w:val="005C2DE2"/>
    <w:rsid w:val="005C2E1B"/>
    <w:rsid w:val="005C2F6D"/>
    <w:rsid w:val="005C31AE"/>
    <w:rsid w:val="005C320A"/>
    <w:rsid w:val="005C3376"/>
    <w:rsid w:val="005C345A"/>
    <w:rsid w:val="005C3715"/>
    <w:rsid w:val="005C3843"/>
    <w:rsid w:val="005C384B"/>
    <w:rsid w:val="005C3943"/>
    <w:rsid w:val="005C39BA"/>
    <w:rsid w:val="005C4068"/>
    <w:rsid w:val="005C417F"/>
    <w:rsid w:val="005C4336"/>
    <w:rsid w:val="005C4426"/>
    <w:rsid w:val="005C4479"/>
    <w:rsid w:val="005C450B"/>
    <w:rsid w:val="005C4515"/>
    <w:rsid w:val="005C4988"/>
    <w:rsid w:val="005C4B95"/>
    <w:rsid w:val="005C4D7A"/>
    <w:rsid w:val="005C500F"/>
    <w:rsid w:val="005C5183"/>
    <w:rsid w:val="005C536C"/>
    <w:rsid w:val="005C540F"/>
    <w:rsid w:val="005C5533"/>
    <w:rsid w:val="005C56D3"/>
    <w:rsid w:val="005C574D"/>
    <w:rsid w:val="005C5758"/>
    <w:rsid w:val="005C57D4"/>
    <w:rsid w:val="005C580E"/>
    <w:rsid w:val="005C5C5F"/>
    <w:rsid w:val="005C5CFC"/>
    <w:rsid w:val="005C5EC7"/>
    <w:rsid w:val="005C5F56"/>
    <w:rsid w:val="005C5FC4"/>
    <w:rsid w:val="005C6062"/>
    <w:rsid w:val="005C6275"/>
    <w:rsid w:val="005C63B3"/>
    <w:rsid w:val="005C6486"/>
    <w:rsid w:val="005C662C"/>
    <w:rsid w:val="005C663A"/>
    <w:rsid w:val="005C68A5"/>
    <w:rsid w:val="005C68B1"/>
    <w:rsid w:val="005C6E33"/>
    <w:rsid w:val="005C6F95"/>
    <w:rsid w:val="005C7017"/>
    <w:rsid w:val="005C7337"/>
    <w:rsid w:val="005C7404"/>
    <w:rsid w:val="005C7475"/>
    <w:rsid w:val="005C74D2"/>
    <w:rsid w:val="005C76AA"/>
    <w:rsid w:val="005C7919"/>
    <w:rsid w:val="005C792E"/>
    <w:rsid w:val="005C79D7"/>
    <w:rsid w:val="005C7A36"/>
    <w:rsid w:val="005C7CE0"/>
    <w:rsid w:val="005C7D7D"/>
    <w:rsid w:val="005C7DC0"/>
    <w:rsid w:val="005C7DDD"/>
    <w:rsid w:val="005C7F47"/>
    <w:rsid w:val="005D000A"/>
    <w:rsid w:val="005D016D"/>
    <w:rsid w:val="005D02D1"/>
    <w:rsid w:val="005D032F"/>
    <w:rsid w:val="005D0580"/>
    <w:rsid w:val="005D089F"/>
    <w:rsid w:val="005D092A"/>
    <w:rsid w:val="005D0937"/>
    <w:rsid w:val="005D0A86"/>
    <w:rsid w:val="005D0B1D"/>
    <w:rsid w:val="005D0B41"/>
    <w:rsid w:val="005D0C05"/>
    <w:rsid w:val="005D0E54"/>
    <w:rsid w:val="005D0FD9"/>
    <w:rsid w:val="005D113E"/>
    <w:rsid w:val="005D11D7"/>
    <w:rsid w:val="005D1269"/>
    <w:rsid w:val="005D1358"/>
    <w:rsid w:val="005D13CE"/>
    <w:rsid w:val="005D142C"/>
    <w:rsid w:val="005D1590"/>
    <w:rsid w:val="005D15B9"/>
    <w:rsid w:val="005D165C"/>
    <w:rsid w:val="005D168B"/>
    <w:rsid w:val="005D18AA"/>
    <w:rsid w:val="005D18F1"/>
    <w:rsid w:val="005D1A65"/>
    <w:rsid w:val="005D1A71"/>
    <w:rsid w:val="005D1ADE"/>
    <w:rsid w:val="005D1CDF"/>
    <w:rsid w:val="005D1D59"/>
    <w:rsid w:val="005D1E4B"/>
    <w:rsid w:val="005D200F"/>
    <w:rsid w:val="005D2040"/>
    <w:rsid w:val="005D25A6"/>
    <w:rsid w:val="005D268F"/>
    <w:rsid w:val="005D2727"/>
    <w:rsid w:val="005D2ABB"/>
    <w:rsid w:val="005D2AEA"/>
    <w:rsid w:val="005D2D08"/>
    <w:rsid w:val="005D3024"/>
    <w:rsid w:val="005D3172"/>
    <w:rsid w:val="005D32B9"/>
    <w:rsid w:val="005D3351"/>
    <w:rsid w:val="005D3472"/>
    <w:rsid w:val="005D351C"/>
    <w:rsid w:val="005D369F"/>
    <w:rsid w:val="005D3736"/>
    <w:rsid w:val="005D3932"/>
    <w:rsid w:val="005D3D2A"/>
    <w:rsid w:val="005D3F02"/>
    <w:rsid w:val="005D40EC"/>
    <w:rsid w:val="005D44D3"/>
    <w:rsid w:val="005D4709"/>
    <w:rsid w:val="005D48A3"/>
    <w:rsid w:val="005D499B"/>
    <w:rsid w:val="005D4B09"/>
    <w:rsid w:val="005D4B75"/>
    <w:rsid w:val="005D4CE4"/>
    <w:rsid w:val="005D4D00"/>
    <w:rsid w:val="005D4D06"/>
    <w:rsid w:val="005D4DE4"/>
    <w:rsid w:val="005D4E79"/>
    <w:rsid w:val="005D5024"/>
    <w:rsid w:val="005D50A8"/>
    <w:rsid w:val="005D51F2"/>
    <w:rsid w:val="005D5200"/>
    <w:rsid w:val="005D5368"/>
    <w:rsid w:val="005D5516"/>
    <w:rsid w:val="005D5615"/>
    <w:rsid w:val="005D5839"/>
    <w:rsid w:val="005D5AE7"/>
    <w:rsid w:val="005D5F4B"/>
    <w:rsid w:val="005D602C"/>
    <w:rsid w:val="005D605F"/>
    <w:rsid w:val="005D614B"/>
    <w:rsid w:val="005D62B6"/>
    <w:rsid w:val="005D62D8"/>
    <w:rsid w:val="005D63E7"/>
    <w:rsid w:val="005D65C3"/>
    <w:rsid w:val="005D6658"/>
    <w:rsid w:val="005D67A1"/>
    <w:rsid w:val="005D67C6"/>
    <w:rsid w:val="005D67D1"/>
    <w:rsid w:val="005D67DB"/>
    <w:rsid w:val="005D68A7"/>
    <w:rsid w:val="005D68E2"/>
    <w:rsid w:val="005D68F2"/>
    <w:rsid w:val="005D69B1"/>
    <w:rsid w:val="005D69EB"/>
    <w:rsid w:val="005D6AE0"/>
    <w:rsid w:val="005D6BA4"/>
    <w:rsid w:val="005D6BAB"/>
    <w:rsid w:val="005D6CDB"/>
    <w:rsid w:val="005D717D"/>
    <w:rsid w:val="005D733A"/>
    <w:rsid w:val="005D7446"/>
    <w:rsid w:val="005D7AFF"/>
    <w:rsid w:val="005D7CBD"/>
    <w:rsid w:val="005E00B4"/>
    <w:rsid w:val="005E00C5"/>
    <w:rsid w:val="005E063F"/>
    <w:rsid w:val="005E06A2"/>
    <w:rsid w:val="005E0714"/>
    <w:rsid w:val="005E0742"/>
    <w:rsid w:val="005E08CC"/>
    <w:rsid w:val="005E0A90"/>
    <w:rsid w:val="005E0B34"/>
    <w:rsid w:val="005E0B78"/>
    <w:rsid w:val="005E0BD4"/>
    <w:rsid w:val="005E0D4B"/>
    <w:rsid w:val="005E0D7C"/>
    <w:rsid w:val="005E0E9F"/>
    <w:rsid w:val="005E0FA6"/>
    <w:rsid w:val="005E1093"/>
    <w:rsid w:val="005E1144"/>
    <w:rsid w:val="005E1325"/>
    <w:rsid w:val="005E13D6"/>
    <w:rsid w:val="005E14C6"/>
    <w:rsid w:val="005E197B"/>
    <w:rsid w:val="005E1C6C"/>
    <w:rsid w:val="005E1CFD"/>
    <w:rsid w:val="005E1E7A"/>
    <w:rsid w:val="005E21E3"/>
    <w:rsid w:val="005E22B2"/>
    <w:rsid w:val="005E2383"/>
    <w:rsid w:val="005E2417"/>
    <w:rsid w:val="005E2428"/>
    <w:rsid w:val="005E242A"/>
    <w:rsid w:val="005E2460"/>
    <w:rsid w:val="005E24CB"/>
    <w:rsid w:val="005E2612"/>
    <w:rsid w:val="005E265A"/>
    <w:rsid w:val="005E26BC"/>
    <w:rsid w:val="005E26FB"/>
    <w:rsid w:val="005E2A0D"/>
    <w:rsid w:val="005E2B63"/>
    <w:rsid w:val="005E2B81"/>
    <w:rsid w:val="005E2B86"/>
    <w:rsid w:val="005E2CC2"/>
    <w:rsid w:val="005E2D31"/>
    <w:rsid w:val="005E2D38"/>
    <w:rsid w:val="005E2F20"/>
    <w:rsid w:val="005E30E1"/>
    <w:rsid w:val="005E30EA"/>
    <w:rsid w:val="005E33A8"/>
    <w:rsid w:val="005E355D"/>
    <w:rsid w:val="005E36B3"/>
    <w:rsid w:val="005E397B"/>
    <w:rsid w:val="005E39A9"/>
    <w:rsid w:val="005E3D92"/>
    <w:rsid w:val="005E3F79"/>
    <w:rsid w:val="005E3FD1"/>
    <w:rsid w:val="005E411D"/>
    <w:rsid w:val="005E4146"/>
    <w:rsid w:val="005E43A1"/>
    <w:rsid w:val="005E454D"/>
    <w:rsid w:val="005E4580"/>
    <w:rsid w:val="005E46E6"/>
    <w:rsid w:val="005E479E"/>
    <w:rsid w:val="005E4840"/>
    <w:rsid w:val="005E488E"/>
    <w:rsid w:val="005E4AE5"/>
    <w:rsid w:val="005E4C15"/>
    <w:rsid w:val="005E4E46"/>
    <w:rsid w:val="005E4E6F"/>
    <w:rsid w:val="005E4EC1"/>
    <w:rsid w:val="005E4EF3"/>
    <w:rsid w:val="005E4F03"/>
    <w:rsid w:val="005E4F41"/>
    <w:rsid w:val="005E51D8"/>
    <w:rsid w:val="005E5226"/>
    <w:rsid w:val="005E5289"/>
    <w:rsid w:val="005E533B"/>
    <w:rsid w:val="005E5465"/>
    <w:rsid w:val="005E553D"/>
    <w:rsid w:val="005E55FF"/>
    <w:rsid w:val="005E5641"/>
    <w:rsid w:val="005E56DC"/>
    <w:rsid w:val="005E5754"/>
    <w:rsid w:val="005E57CF"/>
    <w:rsid w:val="005E58B7"/>
    <w:rsid w:val="005E58F9"/>
    <w:rsid w:val="005E5ADF"/>
    <w:rsid w:val="005E5B57"/>
    <w:rsid w:val="005E5F13"/>
    <w:rsid w:val="005E60C6"/>
    <w:rsid w:val="005E60F0"/>
    <w:rsid w:val="005E6795"/>
    <w:rsid w:val="005E682B"/>
    <w:rsid w:val="005E696F"/>
    <w:rsid w:val="005E6A4F"/>
    <w:rsid w:val="005E6FA8"/>
    <w:rsid w:val="005E7094"/>
    <w:rsid w:val="005E71BA"/>
    <w:rsid w:val="005E735C"/>
    <w:rsid w:val="005E73B9"/>
    <w:rsid w:val="005E745F"/>
    <w:rsid w:val="005E74F1"/>
    <w:rsid w:val="005E756C"/>
    <w:rsid w:val="005E7592"/>
    <w:rsid w:val="005E784C"/>
    <w:rsid w:val="005E785E"/>
    <w:rsid w:val="005E78A7"/>
    <w:rsid w:val="005E78E6"/>
    <w:rsid w:val="005E792B"/>
    <w:rsid w:val="005E7AE0"/>
    <w:rsid w:val="005E7BA6"/>
    <w:rsid w:val="005E7C85"/>
    <w:rsid w:val="005E7D30"/>
    <w:rsid w:val="005E7DB0"/>
    <w:rsid w:val="005E7FDC"/>
    <w:rsid w:val="005F0022"/>
    <w:rsid w:val="005F00CE"/>
    <w:rsid w:val="005F03CE"/>
    <w:rsid w:val="005F0406"/>
    <w:rsid w:val="005F04C1"/>
    <w:rsid w:val="005F04E6"/>
    <w:rsid w:val="005F058A"/>
    <w:rsid w:val="005F064F"/>
    <w:rsid w:val="005F0697"/>
    <w:rsid w:val="005F06F2"/>
    <w:rsid w:val="005F0775"/>
    <w:rsid w:val="005F08F0"/>
    <w:rsid w:val="005F098C"/>
    <w:rsid w:val="005F098F"/>
    <w:rsid w:val="005F09EF"/>
    <w:rsid w:val="005F0D69"/>
    <w:rsid w:val="005F0DAB"/>
    <w:rsid w:val="005F0E2F"/>
    <w:rsid w:val="005F0ED9"/>
    <w:rsid w:val="005F1096"/>
    <w:rsid w:val="005F10ED"/>
    <w:rsid w:val="005F119A"/>
    <w:rsid w:val="005F11DF"/>
    <w:rsid w:val="005F12A1"/>
    <w:rsid w:val="005F1866"/>
    <w:rsid w:val="005F18F7"/>
    <w:rsid w:val="005F196B"/>
    <w:rsid w:val="005F1A14"/>
    <w:rsid w:val="005F1A44"/>
    <w:rsid w:val="005F1A74"/>
    <w:rsid w:val="005F1BBB"/>
    <w:rsid w:val="005F1C2A"/>
    <w:rsid w:val="005F1C93"/>
    <w:rsid w:val="005F1CCA"/>
    <w:rsid w:val="005F1E03"/>
    <w:rsid w:val="005F1E2B"/>
    <w:rsid w:val="005F1F60"/>
    <w:rsid w:val="005F220A"/>
    <w:rsid w:val="005F226C"/>
    <w:rsid w:val="005F24EC"/>
    <w:rsid w:val="005F25FB"/>
    <w:rsid w:val="005F268C"/>
    <w:rsid w:val="005F27BE"/>
    <w:rsid w:val="005F27F3"/>
    <w:rsid w:val="005F2944"/>
    <w:rsid w:val="005F2962"/>
    <w:rsid w:val="005F2BEA"/>
    <w:rsid w:val="005F2D3B"/>
    <w:rsid w:val="005F2DEB"/>
    <w:rsid w:val="005F2E26"/>
    <w:rsid w:val="005F2F6C"/>
    <w:rsid w:val="005F2FA5"/>
    <w:rsid w:val="005F32EB"/>
    <w:rsid w:val="005F33AC"/>
    <w:rsid w:val="005F3494"/>
    <w:rsid w:val="005F3561"/>
    <w:rsid w:val="005F35CA"/>
    <w:rsid w:val="005F3654"/>
    <w:rsid w:val="005F3683"/>
    <w:rsid w:val="005F3933"/>
    <w:rsid w:val="005F3943"/>
    <w:rsid w:val="005F3A1E"/>
    <w:rsid w:val="005F3AA2"/>
    <w:rsid w:val="005F3E7C"/>
    <w:rsid w:val="005F3EA8"/>
    <w:rsid w:val="005F3EBE"/>
    <w:rsid w:val="005F3FAB"/>
    <w:rsid w:val="005F3FFD"/>
    <w:rsid w:val="005F45AE"/>
    <w:rsid w:val="005F461F"/>
    <w:rsid w:val="005F463C"/>
    <w:rsid w:val="005F473D"/>
    <w:rsid w:val="005F47D1"/>
    <w:rsid w:val="005F4866"/>
    <w:rsid w:val="005F4A47"/>
    <w:rsid w:val="005F4DC6"/>
    <w:rsid w:val="005F508A"/>
    <w:rsid w:val="005F54CE"/>
    <w:rsid w:val="005F552A"/>
    <w:rsid w:val="005F55C8"/>
    <w:rsid w:val="005F55DA"/>
    <w:rsid w:val="005F572B"/>
    <w:rsid w:val="005F57C1"/>
    <w:rsid w:val="005F57D9"/>
    <w:rsid w:val="005F5B67"/>
    <w:rsid w:val="005F5BCB"/>
    <w:rsid w:val="005F5DB7"/>
    <w:rsid w:val="005F6185"/>
    <w:rsid w:val="005F61CC"/>
    <w:rsid w:val="005F61D9"/>
    <w:rsid w:val="005F628A"/>
    <w:rsid w:val="005F6587"/>
    <w:rsid w:val="005F65B8"/>
    <w:rsid w:val="005F683D"/>
    <w:rsid w:val="005F694D"/>
    <w:rsid w:val="005F69AC"/>
    <w:rsid w:val="005F6A54"/>
    <w:rsid w:val="005F6A65"/>
    <w:rsid w:val="005F6B29"/>
    <w:rsid w:val="005F6DD7"/>
    <w:rsid w:val="005F6E5C"/>
    <w:rsid w:val="005F6EE7"/>
    <w:rsid w:val="005F6F50"/>
    <w:rsid w:val="005F6FA6"/>
    <w:rsid w:val="005F7183"/>
    <w:rsid w:val="005F71AC"/>
    <w:rsid w:val="005F71DA"/>
    <w:rsid w:val="005F7200"/>
    <w:rsid w:val="005F7360"/>
    <w:rsid w:val="005F7715"/>
    <w:rsid w:val="005F773F"/>
    <w:rsid w:val="005F79AD"/>
    <w:rsid w:val="005F7C3D"/>
    <w:rsid w:val="005F7D59"/>
    <w:rsid w:val="005F7D67"/>
    <w:rsid w:val="005F7D73"/>
    <w:rsid w:val="005F7E93"/>
    <w:rsid w:val="005F7F24"/>
    <w:rsid w:val="00600328"/>
    <w:rsid w:val="006003C0"/>
    <w:rsid w:val="0060087B"/>
    <w:rsid w:val="0060096C"/>
    <w:rsid w:val="00600995"/>
    <w:rsid w:val="006009F2"/>
    <w:rsid w:val="00600A65"/>
    <w:rsid w:val="00600A8F"/>
    <w:rsid w:val="00600B04"/>
    <w:rsid w:val="00600B51"/>
    <w:rsid w:val="00600BA7"/>
    <w:rsid w:val="00600C18"/>
    <w:rsid w:val="00600F1B"/>
    <w:rsid w:val="00600FD9"/>
    <w:rsid w:val="00601029"/>
    <w:rsid w:val="00601098"/>
    <w:rsid w:val="0060117B"/>
    <w:rsid w:val="006011E6"/>
    <w:rsid w:val="006012ED"/>
    <w:rsid w:val="006015C8"/>
    <w:rsid w:val="00601652"/>
    <w:rsid w:val="006016FD"/>
    <w:rsid w:val="006017BD"/>
    <w:rsid w:val="00601817"/>
    <w:rsid w:val="00601AA4"/>
    <w:rsid w:val="00601BCE"/>
    <w:rsid w:val="00601C7C"/>
    <w:rsid w:val="0060200C"/>
    <w:rsid w:val="0060218B"/>
    <w:rsid w:val="0060227A"/>
    <w:rsid w:val="0060233E"/>
    <w:rsid w:val="00602378"/>
    <w:rsid w:val="006023B4"/>
    <w:rsid w:val="0060248A"/>
    <w:rsid w:val="006025DA"/>
    <w:rsid w:val="0060262C"/>
    <w:rsid w:val="006026DB"/>
    <w:rsid w:val="006027AC"/>
    <w:rsid w:val="006027D2"/>
    <w:rsid w:val="0060298F"/>
    <w:rsid w:val="00602A72"/>
    <w:rsid w:val="00602CFD"/>
    <w:rsid w:val="00602D9A"/>
    <w:rsid w:val="00602FAD"/>
    <w:rsid w:val="00603177"/>
    <w:rsid w:val="00603197"/>
    <w:rsid w:val="0060342E"/>
    <w:rsid w:val="006034C9"/>
    <w:rsid w:val="00603714"/>
    <w:rsid w:val="00603BCC"/>
    <w:rsid w:val="00603D55"/>
    <w:rsid w:val="00604247"/>
    <w:rsid w:val="0060437C"/>
    <w:rsid w:val="00604596"/>
    <w:rsid w:val="0060477D"/>
    <w:rsid w:val="0060478B"/>
    <w:rsid w:val="0060479C"/>
    <w:rsid w:val="0060518F"/>
    <w:rsid w:val="0060527A"/>
    <w:rsid w:val="0060565B"/>
    <w:rsid w:val="006056BF"/>
    <w:rsid w:val="00605815"/>
    <w:rsid w:val="00605BBE"/>
    <w:rsid w:val="00605E3A"/>
    <w:rsid w:val="00605E5B"/>
    <w:rsid w:val="00606033"/>
    <w:rsid w:val="00606107"/>
    <w:rsid w:val="0060615A"/>
    <w:rsid w:val="0060638D"/>
    <w:rsid w:val="00606529"/>
    <w:rsid w:val="00606565"/>
    <w:rsid w:val="0060666F"/>
    <w:rsid w:val="006066DE"/>
    <w:rsid w:val="006066EA"/>
    <w:rsid w:val="0060677A"/>
    <w:rsid w:val="00606A69"/>
    <w:rsid w:val="00606E56"/>
    <w:rsid w:val="00606E6A"/>
    <w:rsid w:val="00607057"/>
    <w:rsid w:val="006070D8"/>
    <w:rsid w:val="0060716B"/>
    <w:rsid w:val="00607259"/>
    <w:rsid w:val="00607546"/>
    <w:rsid w:val="00607736"/>
    <w:rsid w:val="0060778A"/>
    <w:rsid w:val="00607793"/>
    <w:rsid w:val="00607A78"/>
    <w:rsid w:val="00607BB9"/>
    <w:rsid w:val="00607D5A"/>
    <w:rsid w:val="00607E35"/>
    <w:rsid w:val="0061023F"/>
    <w:rsid w:val="006102F6"/>
    <w:rsid w:val="006102F7"/>
    <w:rsid w:val="00610319"/>
    <w:rsid w:val="0061033D"/>
    <w:rsid w:val="006103A2"/>
    <w:rsid w:val="00610402"/>
    <w:rsid w:val="00610410"/>
    <w:rsid w:val="00610576"/>
    <w:rsid w:val="006105EE"/>
    <w:rsid w:val="006106E9"/>
    <w:rsid w:val="00610808"/>
    <w:rsid w:val="00610815"/>
    <w:rsid w:val="00610931"/>
    <w:rsid w:val="00610A7D"/>
    <w:rsid w:val="00610B1F"/>
    <w:rsid w:val="00610B4F"/>
    <w:rsid w:val="00610C05"/>
    <w:rsid w:val="00610CA1"/>
    <w:rsid w:val="00610D3D"/>
    <w:rsid w:val="00610DAF"/>
    <w:rsid w:val="00611047"/>
    <w:rsid w:val="006110A9"/>
    <w:rsid w:val="0061113C"/>
    <w:rsid w:val="00611189"/>
    <w:rsid w:val="00611401"/>
    <w:rsid w:val="0061151D"/>
    <w:rsid w:val="0061179C"/>
    <w:rsid w:val="00611A9D"/>
    <w:rsid w:val="00611AB6"/>
    <w:rsid w:val="00611B5D"/>
    <w:rsid w:val="00611C53"/>
    <w:rsid w:val="00611C55"/>
    <w:rsid w:val="00611C7F"/>
    <w:rsid w:val="00611DAD"/>
    <w:rsid w:val="00611DB0"/>
    <w:rsid w:val="00611E79"/>
    <w:rsid w:val="00611E83"/>
    <w:rsid w:val="00611EFB"/>
    <w:rsid w:val="006120EA"/>
    <w:rsid w:val="00612227"/>
    <w:rsid w:val="0061281F"/>
    <w:rsid w:val="00612A73"/>
    <w:rsid w:val="00612BDB"/>
    <w:rsid w:val="00612E6E"/>
    <w:rsid w:val="00612EC3"/>
    <w:rsid w:val="00613144"/>
    <w:rsid w:val="0061319D"/>
    <w:rsid w:val="00613359"/>
    <w:rsid w:val="00613425"/>
    <w:rsid w:val="00613480"/>
    <w:rsid w:val="00613578"/>
    <w:rsid w:val="00613633"/>
    <w:rsid w:val="00613A2D"/>
    <w:rsid w:val="00613AC4"/>
    <w:rsid w:val="00613B55"/>
    <w:rsid w:val="00613C15"/>
    <w:rsid w:val="00613C7E"/>
    <w:rsid w:val="00613CB6"/>
    <w:rsid w:val="00613EBE"/>
    <w:rsid w:val="00613EFD"/>
    <w:rsid w:val="00613F26"/>
    <w:rsid w:val="00614202"/>
    <w:rsid w:val="00614209"/>
    <w:rsid w:val="00614334"/>
    <w:rsid w:val="006145AD"/>
    <w:rsid w:val="006145BA"/>
    <w:rsid w:val="006148CA"/>
    <w:rsid w:val="006148FC"/>
    <w:rsid w:val="0061499A"/>
    <w:rsid w:val="006149D8"/>
    <w:rsid w:val="00614A48"/>
    <w:rsid w:val="00614C5B"/>
    <w:rsid w:val="00614D84"/>
    <w:rsid w:val="00614ED1"/>
    <w:rsid w:val="00614F26"/>
    <w:rsid w:val="00614FCA"/>
    <w:rsid w:val="00614FCC"/>
    <w:rsid w:val="006151A7"/>
    <w:rsid w:val="006151CC"/>
    <w:rsid w:val="0061535C"/>
    <w:rsid w:val="0061543D"/>
    <w:rsid w:val="006156F0"/>
    <w:rsid w:val="006158B2"/>
    <w:rsid w:val="00615A57"/>
    <w:rsid w:val="00615AA8"/>
    <w:rsid w:val="00616192"/>
    <w:rsid w:val="0061620B"/>
    <w:rsid w:val="00616268"/>
    <w:rsid w:val="006162D5"/>
    <w:rsid w:val="00616319"/>
    <w:rsid w:val="0061662C"/>
    <w:rsid w:val="0061687C"/>
    <w:rsid w:val="006168A0"/>
    <w:rsid w:val="00616A27"/>
    <w:rsid w:val="00616A5A"/>
    <w:rsid w:val="00616B9D"/>
    <w:rsid w:val="00616D5C"/>
    <w:rsid w:val="00616E34"/>
    <w:rsid w:val="00616E88"/>
    <w:rsid w:val="00616FB7"/>
    <w:rsid w:val="00617092"/>
    <w:rsid w:val="006170A8"/>
    <w:rsid w:val="006170C8"/>
    <w:rsid w:val="0061728C"/>
    <w:rsid w:val="00617326"/>
    <w:rsid w:val="00617360"/>
    <w:rsid w:val="0061738F"/>
    <w:rsid w:val="006173A2"/>
    <w:rsid w:val="006173AC"/>
    <w:rsid w:val="0061757E"/>
    <w:rsid w:val="00617874"/>
    <w:rsid w:val="00617955"/>
    <w:rsid w:val="0061798D"/>
    <w:rsid w:val="00617C99"/>
    <w:rsid w:val="00617CAE"/>
    <w:rsid w:val="00617E0C"/>
    <w:rsid w:val="00617E4F"/>
    <w:rsid w:val="00617F5B"/>
    <w:rsid w:val="00617F6F"/>
    <w:rsid w:val="006200F9"/>
    <w:rsid w:val="0062021B"/>
    <w:rsid w:val="00620267"/>
    <w:rsid w:val="006204AF"/>
    <w:rsid w:val="006204BD"/>
    <w:rsid w:val="0062072F"/>
    <w:rsid w:val="006207A8"/>
    <w:rsid w:val="006208B0"/>
    <w:rsid w:val="00620ABF"/>
    <w:rsid w:val="00620BDA"/>
    <w:rsid w:val="00620C55"/>
    <w:rsid w:val="00620ED0"/>
    <w:rsid w:val="00620EE0"/>
    <w:rsid w:val="0062111A"/>
    <w:rsid w:val="00621289"/>
    <w:rsid w:val="00621308"/>
    <w:rsid w:val="00621472"/>
    <w:rsid w:val="006216D3"/>
    <w:rsid w:val="00621814"/>
    <w:rsid w:val="0062184F"/>
    <w:rsid w:val="00621863"/>
    <w:rsid w:val="00621903"/>
    <w:rsid w:val="00621905"/>
    <w:rsid w:val="0062190C"/>
    <w:rsid w:val="00621BCB"/>
    <w:rsid w:val="00621CEA"/>
    <w:rsid w:val="00622147"/>
    <w:rsid w:val="006222A6"/>
    <w:rsid w:val="00622392"/>
    <w:rsid w:val="006223B2"/>
    <w:rsid w:val="006224CE"/>
    <w:rsid w:val="0062265F"/>
    <w:rsid w:val="0062279C"/>
    <w:rsid w:val="006228E9"/>
    <w:rsid w:val="00622A76"/>
    <w:rsid w:val="00622B0F"/>
    <w:rsid w:val="00622B47"/>
    <w:rsid w:val="00622C21"/>
    <w:rsid w:val="00622CB3"/>
    <w:rsid w:val="00622F41"/>
    <w:rsid w:val="0062304A"/>
    <w:rsid w:val="0062324B"/>
    <w:rsid w:val="00623302"/>
    <w:rsid w:val="0062344F"/>
    <w:rsid w:val="00623669"/>
    <w:rsid w:val="006236A2"/>
    <w:rsid w:val="0062394D"/>
    <w:rsid w:val="00623BC7"/>
    <w:rsid w:val="00623CA6"/>
    <w:rsid w:val="00623D8C"/>
    <w:rsid w:val="00623E79"/>
    <w:rsid w:val="006240DA"/>
    <w:rsid w:val="006241DF"/>
    <w:rsid w:val="00624262"/>
    <w:rsid w:val="00624268"/>
    <w:rsid w:val="0062446F"/>
    <w:rsid w:val="00624601"/>
    <w:rsid w:val="00624768"/>
    <w:rsid w:val="00624EF4"/>
    <w:rsid w:val="00624FF5"/>
    <w:rsid w:val="0062502C"/>
    <w:rsid w:val="0062503E"/>
    <w:rsid w:val="00625045"/>
    <w:rsid w:val="00625178"/>
    <w:rsid w:val="006252DD"/>
    <w:rsid w:val="0062539E"/>
    <w:rsid w:val="0062542E"/>
    <w:rsid w:val="00625480"/>
    <w:rsid w:val="006254A0"/>
    <w:rsid w:val="0062559F"/>
    <w:rsid w:val="006256C7"/>
    <w:rsid w:val="00625728"/>
    <w:rsid w:val="006258CC"/>
    <w:rsid w:val="00625A52"/>
    <w:rsid w:val="00625C6F"/>
    <w:rsid w:val="00625D15"/>
    <w:rsid w:val="00625D6A"/>
    <w:rsid w:val="00625FAC"/>
    <w:rsid w:val="00626084"/>
    <w:rsid w:val="00626092"/>
    <w:rsid w:val="0062633E"/>
    <w:rsid w:val="006264BD"/>
    <w:rsid w:val="0062662D"/>
    <w:rsid w:val="00626702"/>
    <w:rsid w:val="00626718"/>
    <w:rsid w:val="006267A7"/>
    <w:rsid w:val="00626838"/>
    <w:rsid w:val="006268A2"/>
    <w:rsid w:val="00626BC7"/>
    <w:rsid w:val="00626BEE"/>
    <w:rsid w:val="00626C41"/>
    <w:rsid w:val="00626C7E"/>
    <w:rsid w:val="00627148"/>
    <w:rsid w:val="006271B8"/>
    <w:rsid w:val="006275B4"/>
    <w:rsid w:val="006277CD"/>
    <w:rsid w:val="00627B93"/>
    <w:rsid w:val="00627E75"/>
    <w:rsid w:val="00630069"/>
    <w:rsid w:val="006306FB"/>
    <w:rsid w:val="00630745"/>
    <w:rsid w:val="0063076C"/>
    <w:rsid w:val="00630908"/>
    <w:rsid w:val="006309DE"/>
    <w:rsid w:val="00630A83"/>
    <w:rsid w:val="00630E1E"/>
    <w:rsid w:val="00630E8F"/>
    <w:rsid w:val="00630F35"/>
    <w:rsid w:val="00630FFD"/>
    <w:rsid w:val="006311CB"/>
    <w:rsid w:val="0063133B"/>
    <w:rsid w:val="00631421"/>
    <w:rsid w:val="006315EB"/>
    <w:rsid w:val="00631684"/>
    <w:rsid w:val="00631893"/>
    <w:rsid w:val="006319D8"/>
    <w:rsid w:val="00631A14"/>
    <w:rsid w:val="00631B80"/>
    <w:rsid w:val="00631ED9"/>
    <w:rsid w:val="00631F3B"/>
    <w:rsid w:val="00632319"/>
    <w:rsid w:val="0063248A"/>
    <w:rsid w:val="006326FF"/>
    <w:rsid w:val="00632730"/>
    <w:rsid w:val="006328FD"/>
    <w:rsid w:val="0063291A"/>
    <w:rsid w:val="00632A7A"/>
    <w:rsid w:val="00632AE0"/>
    <w:rsid w:val="00632C09"/>
    <w:rsid w:val="00632D54"/>
    <w:rsid w:val="00633027"/>
    <w:rsid w:val="006331B0"/>
    <w:rsid w:val="00633414"/>
    <w:rsid w:val="00633655"/>
    <w:rsid w:val="006336B8"/>
    <w:rsid w:val="00633713"/>
    <w:rsid w:val="0063382E"/>
    <w:rsid w:val="00633A95"/>
    <w:rsid w:val="00633C2A"/>
    <w:rsid w:val="00633FDC"/>
    <w:rsid w:val="0063402C"/>
    <w:rsid w:val="00634098"/>
    <w:rsid w:val="00634173"/>
    <w:rsid w:val="0063425F"/>
    <w:rsid w:val="006346B6"/>
    <w:rsid w:val="0063475E"/>
    <w:rsid w:val="00634765"/>
    <w:rsid w:val="00634800"/>
    <w:rsid w:val="00634AFE"/>
    <w:rsid w:val="00634B1F"/>
    <w:rsid w:val="00634C2C"/>
    <w:rsid w:val="00634C64"/>
    <w:rsid w:val="00634DE2"/>
    <w:rsid w:val="00634E5B"/>
    <w:rsid w:val="00635040"/>
    <w:rsid w:val="00635130"/>
    <w:rsid w:val="006351C0"/>
    <w:rsid w:val="00635319"/>
    <w:rsid w:val="0063539C"/>
    <w:rsid w:val="00635823"/>
    <w:rsid w:val="00635B3D"/>
    <w:rsid w:val="00635C23"/>
    <w:rsid w:val="00635D1B"/>
    <w:rsid w:val="00635ED1"/>
    <w:rsid w:val="0063627E"/>
    <w:rsid w:val="006366BC"/>
    <w:rsid w:val="006367AF"/>
    <w:rsid w:val="00636809"/>
    <w:rsid w:val="00636A50"/>
    <w:rsid w:val="00636C31"/>
    <w:rsid w:val="00636C36"/>
    <w:rsid w:val="00636D93"/>
    <w:rsid w:val="00636E6A"/>
    <w:rsid w:val="006370BB"/>
    <w:rsid w:val="00637302"/>
    <w:rsid w:val="0063757E"/>
    <w:rsid w:val="006375D8"/>
    <w:rsid w:val="0063775A"/>
    <w:rsid w:val="00637B17"/>
    <w:rsid w:val="00637E01"/>
    <w:rsid w:val="00637F98"/>
    <w:rsid w:val="00637FBA"/>
    <w:rsid w:val="00637FD3"/>
    <w:rsid w:val="0064016E"/>
    <w:rsid w:val="00640204"/>
    <w:rsid w:val="0064059A"/>
    <w:rsid w:val="0064063C"/>
    <w:rsid w:val="006406AD"/>
    <w:rsid w:val="0064084A"/>
    <w:rsid w:val="00640869"/>
    <w:rsid w:val="00640BC1"/>
    <w:rsid w:val="00640D0E"/>
    <w:rsid w:val="00640D1B"/>
    <w:rsid w:val="00640EC2"/>
    <w:rsid w:val="006414CF"/>
    <w:rsid w:val="00641641"/>
    <w:rsid w:val="006416A8"/>
    <w:rsid w:val="00641739"/>
    <w:rsid w:val="00641767"/>
    <w:rsid w:val="006417BC"/>
    <w:rsid w:val="006419D8"/>
    <w:rsid w:val="006419DB"/>
    <w:rsid w:val="00641B31"/>
    <w:rsid w:val="00641CC6"/>
    <w:rsid w:val="00641DE4"/>
    <w:rsid w:val="0064219C"/>
    <w:rsid w:val="006421F4"/>
    <w:rsid w:val="00642239"/>
    <w:rsid w:val="006422BB"/>
    <w:rsid w:val="006422CB"/>
    <w:rsid w:val="00642308"/>
    <w:rsid w:val="00642376"/>
    <w:rsid w:val="006424D0"/>
    <w:rsid w:val="0064251F"/>
    <w:rsid w:val="00642539"/>
    <w:rsid w:val="00642548"/>
    <w:rsid w:val="0064270A"/>
    <w:rsid w:val="006429B6"/>
    <w:rsid w:val="006429DE"/>
    <w:rsid w:val="00642B96"/>
    <w:rsid w:val="00642BF0"/>
    <w:rsid w:val="00642D15"/>
    <w:rsid w:val="00642D1D"/>
    <w:rsid w:val="0064318D"/>
    <w:rsid w:val="00643495"/>
    <w:rsid w:val="00643534"/>
    <w:rsid w:val="00643536"/>
    <w:rsid w:val="00643789"/>
    <w:rsid w:val="006437D1"/>
    <w:rsid w:val="006439F5"/>
    <w:rsid w:val="00643B39"/>
    <w:rsid w:val="00643E5A"/>
    <w:rsid w:val="00643E5F"/>
    <w:rsid w:val="00643F3E"/>
    <w:rsid w:val="00643F74"/>
    <w:rsid w:val="006441BE"/>
    <w:rsid w:val="0064420A"/>
    <w:rsid w:val="0064420F"/>
    <w:rsid w:val="00644265"/>
    <w:rsid w:val="0064437C"/>
    <w:rsid w:val="00644406"/>
    <w:rsid w:val="00644624"/>
    <w:rsid w:val="00644683"/>
    <w:rsid w:val="0064498E"/>
    <w:rsid w:val="00644A74"/>
    <w:rsid w:val="00644B6D"/>
    <w:rsid w:val="00644B85"/>
    <w:rsid w:val="00644C50"/>
    <w:rsid w:val="00644DEE"/>
    <w:rsid w:val="00644EB7"/>
    <w:rsid w:val="00644FB3"/>
    <w:rsid w:val="006450C4"/>
    <w:rsid w:val="00645258"/>
    <w:rsid w:val="0064531B"/>
    <w:rsid w:val="00645391"/>
    <w:rsid w:val="00645409"/>
    <w:rsid w:val="0064559C"/>
    <w:rsid w:val="006456C0"/>
    <w:rsid w:val="006456F1"/>
    <w:rsid w:val="00645738"/>
    <w:rsid w:val="0064574B"/>
    <w:rsid w:val="0064584D"/>
    <w:rsid w:val="00645AB2"/>
    <w:rsid w:val="00645DE6"/>
    <w:rsid w:val="00645FF3"/>
    <w:rsid w:val="0064610D"/>
    <w:rsid w:val="00646115"/>
    <w:rsid w:val="00646237"/>
    <w:rsid w:val="00646431"/>
    <w:rsid w:val="0064650D"/>
    <w:rsid w:val="006465AB"/>
    <w:rsid w:val="00646673"/>
    <w:rsid w:val="006466CF"/>
    <w:rsid w:val="006467CC"/>
    <w:rsid w:val="00646962"/>
    <w:rsid w:val="00646997"/>
    <w:rsid w:val="00646C27"/>
    <w:rsid w:val="00647064"/>
    <w:rsid w:val="00647143"/>
    <w:rsid w:val="006472B3"/>
    <w:rsid w:val="00647396"/>
    <w:rsid w:val="00647494"/>
    <w:rsid w:val="00647607"/>
    <w:rsid w:val="00647643"/>
    <w:rsid w:val="0064768A"/>
    <w:rsid w:val="006476BA"/>
    <w:rsid w:val="006476FE"/>
    <w:rsid w:val="006478CE"/>
    <w:rsid w:val="00647AE0"/>
    <w:rsid w:val="00647C40"/>
    <w:rsid w:val="00647D16"/>
    <w:rsid w:val="00650146"/>
    <w:rsid w:val="0065015E"/>
    <w:rsid w:val="0065049E"/>
    <w:rsid w:val="00650741"/>
    <w:rsid w:val="00650756"/>
    <w:rsid w:val="006507D2"/>
    <w:rsid w:val="00650825"/>
    <w:rsid w:val="00650ADB"/>
    <w:rsid w:val="00650BAE"/>
    <w:rsid w:val="00650D0C"/>
    <w:rsid w:val="00650E8A"/>
    <w:rsid w:val="0065118D"/>
    <w:rsid w:val="00651297"/>
    <w:rsid w:val="0065156E"/>
    <w:rsid w:val="006515CA"/>
    <w:rsid w:val="00651621"/>
    <w:rsid w:val="006519F3"/>
    <w:rsid w:val="00651B51"/>
    <w:rsid w:val="00651B83"/>
    <w:rsid w:val="00651C0D"/>
    <w:rsid w:val="00651CD8"/>
    <w:rsid w:val="00651CFF"/>
    <w:rsid w:val="00651F06"/>
    <w:rsid w:val="006520B5"/>
    <w:rsid w:val="00652262"/>
    <w:rsid w:val="00652326"/>
    <w:rsid w:val="00652521"/>
    <w:rsid w:val="006527D2"/>
    <w:rsid w:val="00652A3F"/>
    <w:rsid w:val="00652A95"/>
    <w:rsid w:val="00652D05"/>
    <w:rsid w:val="00652D0C"/>
    <w:rsid w:val="00652D92"/>
    <w:rsid w:val="006530D9"/>
    <w:rsid w:val="006531AA"/>
    <w:rsid w:val="006531F0"/>
    <w:rsid w:val="006532DD"/>
    <w:rsid w:val="006533F5"/>
    <w:rsid w:val="0065363C"/>
    <w:rsid w:val="006536C6"/>
    <w:rsid w:val="00653763"/>
    <w:rsid w:val="006538BF"/>
    <w:rsid w:val="00653C8D"/>
    <w:rsid w:val="00653D56"/>
    <w:rsid w:val="00653EAD"/>
    <w:rsid w:val="00653F83"/>
    <w:rsid w:val="00654120"/>
    <w:rsid w:val="00654267"/>
    <w:rsid w:val="00654401"/>
    <w:rsid w:val="0065442A"/>
    <w:rsid w:val="0065468F"/>
    <w:rsid w:val="006546AE"/>
    <w:rsid w:val="0065482F"/>
    <w:rsid w:val="00654979"/>
    <w:rsid w:val="00654C4F"/>
    <w:rsid w:val="00654CD6"/>
    <w:rsid w:val="00654D01"/>
    <w:rsid w:val="00654F20"/>
    <w:rsid w:val="006550F5"/>
    <w:rsid w:val="00655149"/>
    <w:rsid w:val="00655481"/>
    <w:rsid w:val="00655497"/>
    <w:rsid w:val="006555DD"/>
    <w:rsid w:val="0065560C"/>
    <w:rsid w:val="006556AF"/>
    <w:rsid w:val="006556C4"/>
    <w:rsid w:val="00655784"/>
    <w:rsid w:val="006559B7"/>
    <w:rsid w:val="00655A3D"/>
    <w:rsid w:val="00655A76"/>
    <w:rsid w:val="00655A7D"/>
    <w:rsid w:val="00655C79"/>
    <w:rsid w:val="00655D3D"/>
    <w:rsid w:val="00655D5A"/>
    <w:rsid w:val="00655D64"/>
    <w:rsid w:val="00655D8D"/>
    <w:rsid w:val="00655E8A"/>
    <w:rsid w:val="00655F44"/>
    <w:rsid w:val="00655FD1"/>
    <w:rsid w:val="0065605C"/>
    <w:rsid w:val="0065617D"/>
    <w:rsid w:val="0065621B"/>
    <w:rsid w:val="00656534"/>
    <w:rsid w:val="00656744"/>
    <w:rsid w:val="0065680D"/>
    <w:rsid w:val="0065684F"/>
    <w:rsid w:val="00656A64"/>
    <w:rsid w:val="00656B33"/>
    <w:rsid w:val="00656C34"/>
    <w:rsid w:val="00656DCC"/>
    <w:rsid w:val="00656DE7"/>
    <w:rsid w:val="00656F90"/>
    <w:rsid w:val="00657478"/>
    <w:rsid w:val="00657508"/>
    <w:rsid w:val="00657A09"/>
    <w:rsid w:val="00657ADD"/>
    <w:rsid w:val="00657C01"/>
    <w:rsid w:val="00657D50"/>
    <w:rsid w:val="00657E74"/>
    <w:rsid w:val="00657E84"/>
    <w:rsid w:val="00657F60"/>
    <w:rsid w:val="00657FAB"/>
    <w:rsid w:val="0066002C"/>
    <w:rsid w:val="00660162"/>
    <w:rsid w:val="00660193"/>
    <w:rsid w:val="006602FD"/>
    <w:rsid w:val="0066034E"/>
    <w:rsid w:val="006606F8"/>
    <w:rsid w:val="006607FF"/>
    <w:rsid w:val="0066086D"/>
    <w:rsid w:val="00660A02"/>
    <w:rsid w:val="00660CCA"/>
    <w:rsid w:val="00660E08"/>
    <w:rsid w:val="0066106F"/>
    <w:rsid w:val="00661105"/>
    <w:rsid w:val="0066151D"/>
    <w:rsid w:val="0066177C"/>
    <w:rsid w:val="00661936"/>
    <w:rsid w:val="00661D75"/>
    <w:rsid w:val="00661E21"/>
    <w:rsid w:val="00661E48"/>
    <w:rsid w:val="00661E54"/>
    <w:rsid w:val="00661EA3"/>
    <w:rsid w:val="00661EE2"/>
    <w:rsid w:val="006623FE"/>
    <w:rsid w:val="006625C7"/>
    <w:rsid w:val="0066279A"/>
    <w:rsid w:val="006627E4"/>
    <w:rsid w:val="00662818"/>
    <w:rsid w:val="00662935"/>
    <w:rsid w:val="00662943"/>
    <w:rsid w:val="00662A67"/>
    <w:rsid w:val="00662B1D"/>
    <w:rsid w:val="00662BBE"/>
    <w:rsid w:val="00662E18"/>
    <w:rsid w:val="0066337F"/>
    <w:rsid w:val="006633A6"/>
    <w:rsid w:val="006634B5"/>
    <w:rsid w:val="006636D1"/>
    <w:rsid w:val="0066379F"/>
    <w:rsid w:val="006637A3"/>
    <w:rsid w:val="00663AE0"/>
    <w:rsid w:val="00663FC9"/>
    <w:rsid w:val="006643CE"/>
    <w:rsid w:val="0066451C"/>
    <w:rsid w:val="00664829"/>
    <w:rsid w:val="006649A3"/>
    <w:rsid w:val="006649BD"/>
    <w:rsid w:val="00664A6B"/>
    <w:rsid w:val="00664E9B"/>
    <w:rsid w:val="00665025"/>
    <w:rsid w:val="00665123"/>
    <w:rsid w:val="0066525C"/>
    <w:rsid w:val="006653A4"/>
    <w:rsid w:val="006653DC"/>
    <w:rsid w:val="006655FC"/>
    <w:rsid w:val="00665748"/>
    <w:rsid w:val="00665B40"/>
    <w:rsid w:val="00665E17"/>
    <w:rsid w:val="00665F00"/>
    <w:rsid w:val="0066630F"/>
    <w:rsid w:val="0066638D"/>
    <w:rsid w:val="0066641A"/>
    <w:rsid w:val="006666E4"/>
    <w:rsid w:val="0066676D"/>
    <w:rsid w:val="00666885"/>
    <w:rsid w:val="00666A58"/>
    <w:rsid w:val="00666AAB"/>
    <w:rsid w:val="00666B81"/>
    <w:rsid w:val="00666E51"/>
    <w:rsid w:val="00666EDF"/>
    <w:rsid w:val="00666F61"/>
    <w:rsid w:val="0066751B"/>
    <w:rsid w:val="006676AC"/>
    <w:rsid w:val="0066776B"/>
    <w:rsid w:val="0066779A"/>
    <w:rsid w:val="00667A3A"/>
    <w:rsid w:val="00667AD7"/>
    <w:rsid w:val="00667CB1"/>
    <w:rsid w:val="00667D76"/>
    <w:rsid w:val="00667DC8"/>
    <w:rsid w:val="00667F61"/>
    <w:rsid w:val="00670165"/>
    <w:rsid w:val="006702BE"/>
    <w:rsid w:val="006704EE"/>
    <w:rsid w:val="00670A30"/>
    <w:rsid w:val="00670AE1"/>
    <w:rsid w:val="00670C8D"/>
    <w:rsid w:val="00670CD2"/>
    <w:rsid w:val="00670D1D"/>
    <w:rsid w:val="00670EF2"/>
    <w:rsid w:val="00671007"/>
    <w:rsid w:val="006710E6"/>
    <w:rsid w:val="006713E5"/>
    <w:rsid w:val="00671B1F"/>
    <w:rsid w:val="00671E1A"/>
    <w:rsid w:val="00671EE8"/>
    <w:rsid w:val="0067205C"/>
    <w:rsid w:val="00672088"/>
    <w:rsid w:val="0067244A"/>
    <w:rsid w:val="006724F0"/>
    <w:rsid w:val="006725C8"/>
    <w:rsid w:val="00672749"/>
    <w:rsid w:val="00672789"/>
    <w:rsid w:val="00672877"/>
    <w:rsid w:val="00672B8C"/>
    <w:rsid w:val="00672C10"/>
    <w:rsid w:val="00672C40"/>
    <w:rsid w:val="00672CCF"/>
    <w:rsid w:val="00672CD2"/>
    <w:rsid w:val="00672F79"/>
    <w:rsid w:val="0067300B"/>
    <w:rsid w:val="0067302D"/>
    <w:rsid w:val="00673085"/>
    <w:rsid w:val="0067310D"/>
    <w:rsid w:val="00673135"/>
    <w:rsid w:val="00673137"/>
    <w:rsid w:val="00673221"/>
    <w:rsid w:val="00673437"/>
    <w:rsid w:val="0067348F"/>
    <w:rsid w:val="006735E2"/>
    <w:rsid w:val="00673722"/>
    <w:rsid w:val="0067374E"/>
    <w:rsid w:val="0067376F"/>
    <w:rsid w:val="00673EBE"/>
    <w:rsid w:val="00673F30"/>
    <w:rsid w:val="00673F9F"/>
    <w:rsid w:val="0067416E"/>
    <w:rsid w:val="00674235"/>
    <w:rsid w:val="00674255"/>
    <w:rsid w:val="0067446F"/>
    <w:rsid w:val="00674543"/>
    <w:rsid w:val="0067481D"/>
    <w:rsid w:val="00674A5B"/>
    <w:rsid w:val="00674B56"/>
    <w:rsid w:val="00674B6E"/>
    <w:rsid w:val="00674C30"/>
    <w:rsid w:val="00674DA1"/>
    <w:rsid w:val="00674E5B"/>
    <w:rsid w:val="00674F67"/>
    <w:rsid w:val="00674FC5"/>
    <w:rsid w:val="0067505F"/>
    <w:rsid w:val="0067515A"/>
    <w:rsid w:val="00675331"/>
    <w:rsid w:val="0067541C"/>
    <w:rsid w:val="00675439"/>
    <w:rsid w:val="00675498"/>
    <w:rsid w:val="00675533"/>
    <w:rsid w:val="006755F7"/>
    <w:rsid w:val="0067579A"/>
    <w:rsid w:val="00675830"/>
    <w:rsid w:val="00675B14"/>
    <w:rsid w:val="00675E24"/>
    <w:rsid w:val="00675EA2"/>
    <w:rsid w:val="00675FCB"/>
    <w:rsid w:val="006760E8"/>
    <w:rsid w:val="00676212"/>
    <w:rsid w:val="006762A7"/>
    <w:rsid w:val="00676327"/>
    <w:rsid w:val="006764FF"/>
    <w:rsid w:val="00676755"/>
    <w:rsid w:val="0067679E"/>
    <w:rsid w:val="00676B8F"/>
    <w:rsid w:val="00676C78"/>
    <w:rsid w:val="00676D4B"/>
    <w:rsid w:val="00676FCC"/>
    <w:rsid w:val="00677036"/>
    <w:rsid w:val="006770CA"/>
    <w:rsid w:val="006770D4"/>
    <w:rsid w:val="00677157"/>
    <w:rsid w:val="00677278"/>
    <w:rsid w:val="00677433"/>
    <w:rsid w:val="006774A0"/>
    <w:rsid w:val="00677745"/>
    <w:rsid w:val="00677812"/>
    <w:rsid w:val="006779AA"/>
    <w:rsid w:val="00677B40"/>
    <w:rsid w:val="00677B6F"/>
    <w:rsid w:val="00677CD5"/>
    <w:rsid w:val="00677DCE"/>
    <w:rsid w:val="0068004E"/>
    <w:rsid w:val="0068005E"/>
    <w:rsid w:val="00680267"/>
    <w:rsid w:val="00680392"/>
    <w:rsid w:val="006805A4"/>
    <w:rsid w:val="00680618"/>
    <w:rsid w:val="00680689"/>
    <w:rsid w:val="006807CF"/>
    <w:rsid w:val="00680890"/>
    <w:rsid w:val="00680A68"/>
    <w:rsid w:val="00680BB7"/>
    <w:rsid w:val="00680BE6"/>
    <w:rsid w:val="00680C50"/>
    <w:rsid w:val="00680E26"/>
    <w:rsid w:val="00680EF8"/>
    <w:rsid w:val="00680FF7"/>
    <w:rsid w:val="0068110D"/>
    <w:rsid w:val="00681323"/>
    <w:rsid w:val="006815F7"/>
    <w:rsid w:val="00681648"/>
    <w:rsid w:val="006816D5"/>
    <w:rsid w:val="006816EB"/>
    <w:rsid w:val="00681775"/>
    <w:rsid w:val="006818E3"/>
    <w:rsid w:val="006819DF"/>
    <w:rsid w:val="00681B11"/>
    <w:rsid w:val="00681D13"/>
    <w:rsid w:val="00681E2B"/>
    <w:rsid w:val="00681EE8"/>
    <w:rsid w:val="0068215A"/>
    <w:rsid w:val="00682182"/>
    <w:rsid w:val="00682266"/>
    <w:rsid w:val="006822BF"/>
    <w:rsid w:val="006823CA"/>
    <w:rsid w:val="00682815"/>
    <w:rsid w:val="006828AB"/>
    <w:rsid w:val="00682948"/>
    <w:rsid w:val="00682964"/>
    <w:rsid w:val="006829B0"/>
    <w:rsid w:val="00682A13"/>
    <w:rsid w:val="00682C1A"/>
    <w:rsid w:val="00682C8A"/>
    <w:rsid w:val="00682E86"/>
    <w:rsid w:val="0068301D"/>
    <w:rsid w:val="006831EE"/>
    <w:rsid w:val="00683493"/>
    <w:rsid w:val="0068354F"/>
    <w:rsid w:val="006835B6"/>
    <w:rsid w:val="00683709"/>
    <w:rsid w:val="006837D5"/>
    <w:rsid w:val="0068389D"/>
    <w:rsid w:val="00683D03"/>
    <w:rsid w:val="00683F49"/>
    <w:rsid w:val="00683FA1"/>
    <w:rsid w:val="00683FE8"/>
    <w:rsid w:val="0068402D"/>
    <w:rsid w:val="006843B1"/>
    <w:rsid w:val="006845FF"/>
    <w:rsid w:val="0068475F"/>
    <w:rsid w:val="00684797"/>
    <w:rsid w:val="00684809"/>
    <w:rsid w:val="00684918"/>
    <w:rsid w:val="00684938"/>
    <w:rsid w:val="00684DC8"/>
    <w:rsid w:val="00684FAE"/>
    <w:rsid w:val="00685386"/>
    <w:rsid w:val="006853B0"/>
    <w:rsid w:val="006855C5"/>
    <w:rsid w:val="00685801"/>
    <w:rsid w:val="006859EB"/>
    <w:rsid w:val="00685BBF"/>
    <w:rsid w:val="00685C40"/>
    <w:rsid w:val="00685EF8"/>
    <w:rsid w:val="00686342"/>
    <w:rsid w:val="0068637A"/>
    <w:rsid w:val="006863A8"/>
    <w:rsid w:val="006863EC"/>
    <w:rsid w:val="006865A0"/>
    <w:rsid w:val="006865DE"/>
    <w:rsid w:val="00686AD5"/>
    <w:rsid w:val="00686AF5"/>
    <w:rsid w:val="00686E1F"/>
    <w:rsid w:val="00686F56"/>
    <w:rsid w:val="00686FAC"/>
    <w:rsid w:val="00686FE0"/>
    <w:rsid w:val="00687210"/>
    <w:rsid w:val="0068724E"/>
    <w:rsid w:val="0068769F"/>
    <w:rsid w:val="00687700"/>
    <w:rsid w:val="0068787F"/>
    <w:rsid w:val="00687975"/>
    <w:rsid w:val="006879C4"/>
    <w:rsid w:val="00687A2D"/>
    <w:rsid w:val="00687A56"/>
    <w:rsid w:val="00687AE4"/>
    <w:rsid w:val="00687B31"/>
    <w:rsid w:val="00687B45"/>
    <w:rsid w:val="00687B47"/>
    <w:rsid w:val="00687E82"/>
    <w:rsid w:val="00687F19"/>
    <w:rsid w:val="00687FFC"/>
    <w:rsid w:val="00690094"/>
    <w:rsid w:val="00690273"/>
    <w:rsid w:val="0069028E"/>
    <w:rsid w:val="00690296"/>
    <w:rsid w:val="006902A8"/>
    <w:rsid w:val="00690972"/>
    <w:rsid w:val="006909F0"/>
    <w:rsid w:val="00690C36"/>
    <w:rsid w:val="00690CA3"/>
    <w:rsid w:val="00690CA6"/>
    <w:rsid w:val="00690DB9"/>
    <w:rsid w:val="006910A3"/>
    <w:rsid w:val="00691255"/>
    <w:rsid w:val="00691402"/>
    <w:rsid w:val="0069159D"/>
    <w:rsid w:val="006915B8"/>
    <w:rsid w:val="006916B2"/>
    <w:rsid w:val="006916F7"/>
    <w:rsid w:val="006919E9"/>
    <w:rsid w:val="00691AF6"/>
    <w:rsid w:val="00691B01"/>
    <w:rsid w:val="00691BE7"/>
    <w:rsid w:val="00691D79"/>
    <w:rsid w:val="00691DE9"/>
    <w:rsid w:val="00691EC3"/>
    <w:rsid w:val="00691F35"/>
    <w:rsid w:val="00692472"/>
    <w:rsid w:val="006924CF"/>
    <w:rsid w:val="0069256B"/>
    <w:rsid w:val="006927C2"/>
    <w:rsid w:val="00692AF2"/>
    <w:rsid w:val="00692BD4"/>
    <w:rsid w:val="00692F67"/>
    <w:rsid w:val="0069304F"/>
    <w:rsid w:val="006932C0"/>
    <w:rsid w:val="006936B3"/>
    <w:rsid w:val="006937E6"/>
    <w:rsid w:val="00693880"/>
    <w:rsid w:val="00693900"/>
    <w:rsid w:val="0069399A"/>
    <w:rsid w:val="00693A72"/>
    <w:rsid w:val="00693B7E"/>
    <w:rsid w:val="00693BB1"/>
    <w:rsid w:val="00693D6E"/>
    <w:rsid w:val="00694172"/>
    <w:rsid w:val="00694212"/>
    <w:rsid w:val="00694520"/>
    <w:rsid w:val="00694596"/>
    <w:rsid w:val="006945C6"/>
    <w:rsid w:val="00694659"/>
    <w:rsid w:val="0069495F"/>
    <w:rsid w:val="00694B96"/>
    <w:rsid w:val="00694BFF"/>
    <w:rsid w:val="00694C59"/>
    <w:rsid w:val="00694CBD"/>
    <w:rsid w:val="00694F7F"/>
    <w:rsid w:val="00694FB5"/>
    <w:rsid w:val="0069500D"/>
    <w:rsid w:val="00695063"/>
    <w:rsid w:val="00695081"/>
    <w:rsid w:val="00695191"/>
    <w:rsid w:val="00695359"/>
    <w:rsid w:val="006955DA"/>
    <w:rsid w:val="0069563E"/>
    <w:rsid w:val="006956CA"/>
    <w:rsid w:val="006956E6"/>
    <w:rsid w:val="006957B2"/>
    <w:rsid w:val="00695A7C"/>
    <w:rsid w:val="00695B6A"/>
    <w:rsid w:val="00695CB1"/>
    <w:rsid w:val="00695DF7"/>
    <w:rsid w:val="00695EEA"/>
    <w:rsid w:val="00696018"/>
    <w:rsid w:val="006963B1"/>
    <w:rsid w:val="0069648B"/>
    <w:rsid w:val="00696608"/>
    <w:rsid w:val="00696621"/>
    <w:rsid w:val="0069681C"/>
    <w:rsid w:val="00696926"/>
    <w:rsid w:val="006969E0"/>
    <w:rsid w:val="00696A0E"/>
    <w:rsid w:val="00696B8F"/>
    <w:rsid w:val="00696C41"/>
    <w:rsid w:val="00696C95"/>
    <w:rsid w:val="00696D84"/>
    <w:rsid w:val="00696E39"/>
    <w:rsid w:val="00697502"/>
    <w:rsid w:val="006975B5"/>
    <w:rsid w:val="006975BD"/>
    <w:rsid w:val="0069761D"/>
    <w:rsid w:val="006978A3"/>
    <w:rsid w:val="006979E2"/>
    <w:rsid w:val="00697A0C"/>
    <w:rsid w:val="00697D6E"/>
    <w:rsid w:val="00697DF2"/>
    <w:rsid w:val="00697E30"/>
    <w:rsid w:val="006A02F7"/>
    <w:rsid w:val="006A0307"/>
    <w:rsid w:val="006A0439"/>
    <w:rsid w:val="006A0453"/>
    <w:rsid w:val="006A0606"/>
    <w:rsid w:val="006A0804"/>
    <w:rsid w:val="006A0CD2"/>
    <w:rsid w:val="006A0D00"/>
    <w:rsid w:val="006A0FB1"/>
    <w:rsid w:val="006A102A"/>
    <w:rsid w:val="006A1099"/>
    <w:rsid w:val="006A11C1"/>
    <w:rsid w:val="006A12DC"/>
    <w:rsid w:val="006A16B0"/>
    <w:rsid w:val="006A17A4"/>
    <w:rsid w:val="006A19F4"/>
    <w:rsid w:val="006A1A47"/>
    <w:rsid w:val="006A1B05"/>
    <w:rsid w:val="006A1BEE"/>
    <w:rsid w:val="006A1EB9"/>
    <w:rsid w:val="006A1F1D"/>
    <w:rsid w:val="006A1F78"/>
    <w:rsid w:val="006A2027"/>
    <w:rsid w:val="006A207B"/>
    <w:rsid w:val="006A20E6"/>
    <w:rsid w:val="006A220D"/>
    <w:rsid w:val="006A2432"/>
    <w:rsid w:val="006A2475"/>
    <w:rsid w:val="006A25BF"/>
    <w:rsid w:val="006A283D"/>
    <w:rsid w:val="006A2A2F"/>
    <w:rsid w:val="006A2A80"/>
    <w:rsid w:val="006A2BAA"/>
    <w:rsid w:val="006A2BB4"/>
    <w:rsid w:val="006A2BED"/>
    <w:rsid w:val="006A2CC4"/>
    <w:rsid w:val="006A2CD6"/>
    <w:rsid w:val="006A2E14"/>
    <w:rsid w:val="006A2EE7"/>
    <w:rsid w:val="006A300D"/>
    <w:rsid w:val="006A3177"/>
    <w:rsid w:val="006A3355"/>
    <w:rsid w:val="006A36CE"/>
    <w:rsid w:val="006A37B5"/>
    <w:rsid w:val="006A390B"/>
    <w:rsid w:val="006A3985"/>
    <w:rsid w:val="006A3A57"/>
    <w:rsid w:val="006A3B6C"/>
    <w:rsid w:val="006A3B77"/>
    <w:rsid w:val="006A3FC0"/>
    <w:rsid w:val="006A3FD1"/>
    <w:rsid w:val="006A41B1"/>
    <w:rsid w:val="006A41FA"/>
    <w:rsid w:val="006A4659"/>
    <w:rsid w:val="006A49F2"/>
    <w:rsid w:val="006A4B28"/>
    <w:rsid w:val="006A4B53"/>
    <w:rsid w:val="006A4BFC"/>
    <w:rsid w:val="006A4C69"/>
    <w:rsid w:val="006A4C95"/>
    <w:rsid w:val="006A4D33"/>
    <w:rsid w:val="006A4E03"/>
    <w:rsid w:val="006A50C1"/>
    <w:rsid w:val="006A5109"/>
    <w:rsid w:val="006A52CC"/>
    <w:rsid w:val="006A52F2"/>
    <w:rsid w:val="006A5390"/>
    <w:rsid w:val="006A5489"/>
    <w:rsid w:val="006A55C8"/>
    <w:rsid w:val="006A56E2"/>
    <w:rsid w:val="006A582C"/>
    <w:rsid w:val="006A597B"/>
    <w:rsid w:val="006A59B2"/>
    <w:rsid w:val="006A5A14"/>
    <w:rsid w:val="006A5D41"/>
    <w:rsid w:val="006A5E22"/>
    <w:rsid w:val="006A5EB8"/>
    <w:rsid w:val="006A60BC"/>
    <w:rsid w:val="006A6205"/>
    <w:rsid w:val="006A64A6"/>
    <w:rsid w:val="006A6576"/>
    <w:rsid w:val="006A659A"/>
    <w:rsid w:val="006A65B5"/>
    <w:rsid w:val="006A6853"/>
    <w:rsid w:val="006A6869"/>
    <w:rsid w:val="006A6945"/>
    <w:rsid w:val="006A6994"/>
    <w:rsid w:val="006A6B29"/>
    <w:rsid w:val="006A6CA5"/>
    <w:rsid w:val="006A71B7"/>
    <w:rsid w:val="006A72BA"/>
    <w:rsid w:val="006A752E"/>
    <w:rsid w:val="006A769F"/>
    <w:rsid w:val="006A77B6"/>
    <w:rsid w:val="006A789E"/>
    <w:rsid w:val="006A790C"/>
    <w:rsid w:val="006A7947"/>
    <w:rsid w:val="006A7A2B"/>
    <w:rsid w:val="006A7C96"/>
    <w:rsid w:val="006A7CF1"/>
    <w:rsid w:val="006A7F53"/>
    <w:rsid w:val="006B0020"/>
    <w:rsid w:val="006B017A"/>
    <w:rsid w:val="006B0712"/>
    <w:rsid w:val="006B086F"/>
    <w:rsid w:val="006B0DB3"/>
    <w:rsid w:val="006B0EE6"/>
    <w:rsid w:val="006B117B"/>
    <w:rsid w:val="006B11AD"/>
    <w:rsid w:val="006B1264"/>
    <w:rsid w:val="006B135A"/>
    <w:rsid w:val="006B136A"/>
    <w:rsid w:val="006B1372"/>
    <w:rsid w:val="006B139C"/>
    <w:rsid w:val="006B150B"/>
    <w:rsid w:val="006B15FF"/>
    <w:rsid w:val="006B16BD"/>
    <w:rsid w:val="006B1A80"/>
    <w:rsid w:val="006B1ADF"/>
    <w:rsid w:val="006B1B06"/>
    <w:rsid w:val="006B1BAF"/>
    <w:rsid w:val="006B1BFD"/>
    <w:rsid w:val="006B1C7E"/>
    <w:rsid w:val="006B1D4D"/>
    <w:rsid w:val="006B1D9A"/>
    <w:rsid w:val="006B1E85"/>
    <w:rsid w:val="006B1F02"/>
    <w:rsid w:val="006B2326"/>
    <w:rsid w:val="006B2376"/>
    <w:rsid w:val="006B2458"/>
    <w:rsid w:val="006B24EA"/>
    <w:rsid w:val="006B24FA"/>
    <w:rsid w:val="006B2576"/>
    <w:rsid w:val="006B260D"/>
    <w:rsid w:val="006B2678"/>
    <w:rsid w:val="006B26CD"/>
    <w:rsid w:val="006B2DF5"/>
    <w:rsid w:val="006B2FED"/>
    <w:rsid w:val="006B30D8"/>
    <w:rsid w:val="006B3403"/>
    <w:rsid w:val="006B34AF"/>
    <w:rsid w:val="006B358C"/>
    <w:rsid w:val="006B3694"/>
    <w:rsid w:val="006B37C3"/>
    <w:rsid w:val="006B37F9"/>
    <w:rsid w:val="006B38E5"/>
    <w:rsid w:val="006B395C"/>
    <w:rsid w:val="006B3A27"/>
    <w:rsid w:val="006B3B74"/>
    <w:rsid w:val="006B3BB0"/>
    <w:rsid w:val="006B3CDB"/>
    <w:rsid w:val="006B3D4C"/>
    <w:rsid w:val="006B3D53"/>
    <w:rsid w:val="006B3E42"/>
    <w:rsid w:val="006B3E49"/>
    <w:rsid w:val="006B3F33"/>
    <w:rsid w:val="006B3F8D"/>
    <w:rsid w:val="006B4165"/>
    <w:rsid w:val="006B4511"/>
    <w:rsid w:val="006B451F"/>
    <w:rsid w:val="006B4701"/>
    <w:rsid w:val="006B486D"/>
    <w:rsid w:val="006B489A"/>
    <w:rsid w:val="006B49CD"/>
    <w:rsid w:val="006B4AC2"/>
    <w:rsid w:val="006B4C15"/>
    <w:rsid w:val="006B4C23"/>
    <w:rsid w:val="006B4D6B"/>
    <w:rsid w:val="006B5129"/>
    <w:rsid w:val="006B5726"/>
    <w:rsid w:val="006B599C"/>
    <w:rsid w:val="006B5A10"/>
    <w:rsid w:val="006B5B48"/>
    <w:rsid w:val="006B5D87"/>
    <w:rsid w:val="006B5D98"/>
    <w:rsid w:val="006B5DF5"/>
    <w:rsid w:val="006B6200"/>
    <w:rsid w:val="006B623E"/>
    <w:rsid w:val="006B631C"/>
    <w:rsid w:val="006B6527"/>
    <w:rsid w:val="006B6595"/>
    <w:rsid w:val="006B663F"/>
    <w:rsid w:val="006B67C0"/>
    <w:rsid w:val="006B6873"/>
    <w:rsid w:val="006B69D1"/>
    <w:rsid w:val="006B6BEC"/>
    <w:rsid w:val="006B6D56"/>
    <w:rsid w:val="006B6DD6"/>
    <w:rsid w:val="006B6E53"/>
    <w:rsid w:val="006B6EB2"/>
    <w:rsid w:val="006B6F23"/>
    <w:rsid w:val="006B7342"/>
    <w:rsid w:val="006B7406"/>
    <w:rsid w:val="006B7753"/>
    <w:rsid w:val="006B77CB"/>
    <w:rsid w:val="006B77D1"/>
    <w:rsid w:val="006B7882"/>
    <w:rsid w:val="006B79A2"/>
    <w:rsid w:val="006B79C8"/>
    <w:rsid w:val="006B7B28"/>
    <w:rsid w:val="006B7B59"/>
    <w:rsid w:val="006B7B94"/>
    <w:rsid w:val="006B7E4B"/>
    <w:rsid w:val="006B7EE7"/>
    <w:rsid w:val="006B7FCA"/>
    <w:rsid w:val="006C0030"/>
    <w:rsid w:val="006C01D0"/>
    <w:rsid w:val="006C0269"/>
    <w:rsid w:val="006C0453"/>
    <w:rsid w:val="006C05D4"/>
    <w:rsid w:val="006C084F"/>
    <w:rsid w:val="006C0AAD"/>
    <w:rsid w:val="006C0B7F"/>
    <w:rsid w:val="006C0B8D"/>
    <w:rsid w:val="006C0D50"/>
    <w:rsid w:val="006C0D99"/>
    <w:rsid w:val="006C0E6A"/>
    <w:rsid w:val="006C0EE9"/>
    <w:rsid w:val="006C0F11"/>
    <w:rsid w:val="006C103C"/>
    <w:rsid w:val="006C10D1"/>
    <w:rsid w:val="006C1155"/>
    <w:rsid w:val="006C118B"/>
    <w:rsid w:val="006C13AE"/>
    <w:rsid w:val="006C13DC"/>
    <w:rsid w:val="006C14C3"/>
    <w:rsid w:val="006C15DA"/>
    <w:rsid w:val="006C188A"/>
    <w:rsid w:val="006C19D8"/>
    <w:rsid w:val="006C1B0F"/>
    <w:rsid w:val="006C1BB1"/>
    <w:rsid w:val="006C1D6E"/>
    <w:rsid w:val="006C1DD3"/>
    <w:rsid w:val="006C1E04"/>
    <w:rsid w:val="006C1F82"/>
    <w:rsid w:val="006C1FE7"/>
    <w:rsid w:val="006C2191"/>
    <w:rsid w:val="006C21F5"/>
    <w:rsid w:val="006C224A"/>
    <w:rsid w:val="006C2350"/>
    <w:rsid w:val="006C24DA"/>
    <w:rsid w:val="006C24DB"/>
    <w:rsid w:val="006C2509"/>
    <w:rsid w:val="006C269D"/>
    <w:rsid w:val="006C26C9"/>
    <w:rsid w:val="006C2724"/>
    <w:rsid w:val="006C274F"/>
    <w:rsid w:val="006C28B8"/>
    <w:rsid w:val="006C2988"/>
    <w:rsid w:val="006C29B7"/>
    <w:rsid w:val="006C2C36"/>
    <w:rsid w:val="006C2DC3"/>
    <w:rsid w:val="006C2F7C"/>
    <w:rsid w:val="006C31DB"/>
    <w:rsid w:val="006C32CF"/>
    <w:rsid w:val="006C3351"/>
    <w:rsid w:val="006C3916"/>
    <w:rsid w:val="006C3A42"/>
    <w:rsid w:val="006C3C16"/>
    <w:rsid w:val="006C3D31"/>
    <w:rsid w:val="006C4109"/>
    <w:rsid w:val="006C42B1"/>
    <w:rsid w:val="006C42FE"/>
    <w:rsid w:val="006C4412"/>
    <w:rsid w:val="006C44A9"/>
    <w:rsid w:val="006C454E"/>
    <w:rsid w:val="006C47A0"/>
    <w:rsid w:val="006C492E"/>
    <w:rsid w:val="006C4BCE"/>
    <w:rsid w:val="006C4D50"/>
    <w:rsid w:val="006C4D83"/>
    <w:rsid w:val="006C508A"/>
    <w:rsid w:val="006C5188"/>
    <w:rsid w:val="006C51A8"/>
    <w:rsid w:val="006C5214"/>
    <w:rsid w:val="006C5235"/>
    <w:rsid w:val="006C52B1"/>
    <w:rsid w:val="006C5388"/>
    <w:rsid w:val="006C5516"/>
    <w:rsid w:val="006C5774"/>
    <w:rsid w:val="006C57DD"/>
    <w:rsid w:val="006C5864"/>
    <w:rsid w:val="006C58A0"/>
    <w:rsid w:val="006C5C4C"/>
    <w:rsid w:val="006C5CFC"/>
    <w:rsid w:val="006C5D54"/>
    <w:rsid w:val="006C5DF7"/>
    <w:rsid w:val="006C60D3"/>
    <w:rsid w:val="006C617E"/>
    <w:rsid w:val="006C63E2"/>
    <w:rsid w:val="006C64C8"/>
    <w:rsid w:val="006C65D7"/>
    <w:rsid w:val="006C662C"/>
    <w:rsid w:val="006C6A28"/>
    <w:rsid w:val="006C6C8A"/>
    <w:rsid w:val="006C7164"/>
    <w:rsid w:val="006C719B"/>
    <w:rsid w:val="006C7321"/>
    <w:rsid w:val="006C736B"/>
    <w:rsid w:val="006C7435"/>
    <w:rsid w:val="006C7726"/>
    <w:rsid w:val="006C776B"/>
    <w:rsid w:val="006C7779"/>
    <w:rsid w:val="006C77A1"/>
    <w:rsid w:val="006C7900"/>
    <w:rsid w:val="006C7902"/>
    <w:rsid w:val="006C7A54"/>
    <w:rsid w:val="006C7A7E"/>
    <w:rsid w:val="006C7BD3"/>
    <w:rsid w:val="006C7D2A"/>
    <w:rsid w:val="006C7D64"/>
    <w:rsid w:val="006C7E4D"/>
    <w:rsid w:val="006C7F24"/>
    <w:rsid w:val="006C7F35"/>
    <w:rsid w:val="006D0179"/>
    <w:rsid w:val="006D01B6"/>
    <w:rsid w:val="006D0206"/>
    <w:rsid w:val="006D041D"/>
    <w:rsid w:val="006D04E6"/>
    <w:rsid w:val="006D0717"/>
    <w:rsid w:val="006D09F5"/>
    <w:rsid w:val="006D0B06"/>
    <w:rsid w:val="006D0B55"/>
    <w:rsid w:val="006D0D7C"/>
    <w:rsid w:val="006D0DAD"/>
    <w:rsid w:val="006D0E82"/>
    <w:rsid w:val="006D0F1D"/>
    <w:rsid w:val="006D1035"/>
    <w:rsid w:val="006D10C3"/>
    <w:rsid w:val="006D13A9"/>
    <w:rsid w:val="006D1811"/>
    <w:rsid w:val="006D18C0"/>
    <w:rsid w:val="006D1953"/>
    <w:rsid w:val="006D19D2"/>
    <w:rsid w:val="006D1C9E"/>
    <w:rsid w:val="006D1FE4"/>
    <w:rsid w:val="006D20C4"/>
    <w:rsid w:val="006D2130"/>
    <w:rsid w:val="006D2134"/>
    <w:rsid w:val="006D2204"/>
    <w:rsid w:val="006D2349"/>
    <w:rsid w:val="006D23FD"/>
    <w:rsid w:val="006D2441"/>
    <w:rsid w:val="006D2481"/>
    <w:rsid w:val="006D24B7"/>
    <w:rsid w:val="006D268F"/>
    <w:rsid w:val="006D2773"/>
    <w:rsid w:val="006D2946"/>
    <w:rsid w:val="006D295C"/>
    <w:rsid w:val="006D2C15"/>
    <w:rsid w:val="006D2C6B"/>
    <w:rsid w:val="006D2CEF"/>
    <w:rsid w:val="006D2D57"/>
    <w:rsid w:val="006D2D80"/>
    <w:rsid w:val="006D2DF1"/>
    <w:rsid w:val="006D2FB3"/>
    <w:rsid w:val="006D3234"/>
    <w:rsid w:val="006D329A"/>
    <w:rsid w:val="006D343B"/>
    <w:rsid w:val="006D3680"/>
    <w:rsid w:val="006D398C"/>
    <w:rsid w:val="006D3A73"/>
    <w:rsid w:val="006D3A98"/>
    <w:rsid w:val="006D3B27"/>
    <w:rsid w:val="006D3B78"/>
    <w:rsid w:val="006D3C61"/>
    <w:rsid w:val="006D3CAA"/>
    <w:rsid w:val="006D3D2B"/>
    <w:rsid w:val="006D3D62"/>
    <w:rsid w:val="006D40E4"/>
    <w:rsid w:val="006D40FC"/>
    <w:rsid w:val="006D43D1"/>
    <w:rsid w:val="006D45F6"/>
    <w:rsid w:val="006D4678"/>
    <w:rsid w:val="006D4895"/>
    <w:rsid w:val="006D5317"/>
    <w:rsid w:val="006D53C7"/>
    <w:rsid w:val="006D55EB"/>
    <w:rsid w:val="006D5659"/>
    <w:rsid w:val="006D57D6"/>
    <w:rsid w:val="006D5804"/>
    <w:rsid w:val="006D5811"/>
    <w:rsid w:val="006D5D40"/>
    <w:rsid w:val="006D5DDE"/>
    <w:rsid w:val="006D5E5F"/>
    <w:rsid w:val="006D5ED8"/>
    <w:rsid w:val="006D64FD"/>
    <w:rsid w:val="006D66D0"/>
    <w:rsid w:val="006D6736"/>
    <w:rsid w:val="006D680E"/>
    <w:rsid w:val="006D6AE3"/>
    <w:rsid w:val="006D6B6A"/>
    <w:rsid w:val="006D6BA6"/>
    <w:rsid w:val="006D6CE3"/>
    <w:rsid w:val="006D6D57"/>
    <w:rsid w:val="006D6F98"/>
    <w:rsid w:val="006D6FA9"/>
    <w:rsid w:val="006D6FDC"/>
    <w:rsid w:val="006D712A"/>
    <w:rsid w:val="006D72EE"/>
    <w:rsid w:val="006D7347"/>
    <w:rsid w:val="006D748C"/>
    <w:rsid w:val="006D7634"/>
    <w:rsid w:val="006D768B"/>
    <w:rsid w:val="006D79C8"/>
    <w:rsid w:val="006D7DC1"/>
    <w:rsid w:val="006D7EB0"/>
    <w:rsid w:val="006D7F6C"/>
    <w:rsid w:val="006E01F8"/>
    <w:rsid w:val="006E034C"/>
    <w:rsid w:val="006E0471"/>
    <w:rsid w:val="006E04C4"/>
    <w:rsid w:val="006E0618"/>
    <w:rsid w:val="006E071D"/>
    <w:rsid w:val="006E085E"/>
    <w:rsid w:val="006E0A0E"/>
    <w:rsid w:val="006E0ACE"/>
    <w:rsid w:val="006E0D1E"/>
    <w:rsid w:val="006E0D81"/>
    <w:rsid w:val="006E101C"/>
    <w:rsid w:val="006E1117"/>
    <w:rsid w:val="006E12BE"/>
    <w:rsid w:val="006E1654"/>
    <w:rsid w:val="006E1667"/>
    <w:rsid w:val="006E16D2"/>
    <w:rsid w:val="006E18E2"/>
    <w:rsid w:val="006E18F8"/>
    <w:rsid w:val="006E1918"/>
    <w:rsid w:val="006E1923"/>
    <w:rsid w:val="006E1F0B"/>
    <w:rsid w:val="006E1F7B"/>
    <w:rsid w:val="006E212E"/>
    <w:rsid w:val="006E2249"/>
    <w:rsid w:val="006E2564"/>
    <w:rsid w:val="006E268E"/>
    <w:rsid w:val="006E26C5"/>
    <w:rsid w:val="006E2C01"/>
    <w:rsid w:val="006E2E5B"/>
    <w:rsid w:val="006E3168"/>
    <w:rsid w:val="006E32F9"/>
    <w:rsid w:val="006E3491"/>
    <w:rsid w:val="006E3522"/>
    <w:rsid w:val="006E3554"/>
    <w:rsid w:val="006E374B"/>
    <w:rsid w:val="006E3795"/>
    <w:rsid w:val="006E38F0"/>
    <w:rsid w:val="006E3A62"/>
    <w:rsid w:val="006E3DED"/>
    <w:rsid w:val="006E4282"/>
    <w:rsid w:val="006E42F3"/>
    <w:rsid w:val="006E4311"/>
    <w:rsid w:val="006E439D"/>
    <w:rsid w:val="006E43AC"/>
    <w:rsid w:val="006E458B"/>
    <w:rsid w:val="006E4DFD"/>
    <w:rsid w:val="006E4E0C"/>
    <w:rsid w:val="006E4E92"/>
    <w:rsid w:val="006E5075"/>
    <w:rsid w:val="006E539F"/>
    <w:rsid w:val="006E53C0"/>
    <w:rsid w:val="006E53DD"/>
    <w:rsid w:val="006E53E3"/>
    <w:rsid w:val="006E53F3"/>
    <w:rsid w:val="006E55C3"/>
    <w:rsid w:val="006E5601"/>
    <w:rsid w:val="006E5904"/>
    <w:rsid w:val="006E5934"/>
    <w:rsid w:val="006E5A2E"/>
    <w:rsid w:val="006E5D30"/>
    <w:rsid w:val="006E5E09"/>
    <w:rsid w:val="006E5E17"/>
    <w:rsid w:val="006E5E7E"/>
    <w:rsid w:val="006E5F5E"/>
    <w:rsid w:val="006E60A2"/>
    <w:rsid w:val="006E628A"/>
    <w:rsid w:val="006E641C"/>
    <w:rsid w:val="006E65A0"/>
    <w:rsid w:val="006E66CE"/>
    <w:rsid w:val="006E691A"/>
    <w:rsid w:val="006E6956"/>
    <w:rsid w:val="006E6A19"/>
    <w:rsid w:val="006E6A6C"/>
    <w:rsid w:val="006E6A9A"/>
    <w:rsid w:val="006E6D08"/>
    <w:rsid w:val="006E6E44"/>
    <w:rsid w:val="006E6EB6"/>
    <w:rsid w:val="006E6F0F"/>
    <w:rsid w:val="006E6F44"/>
    <w:rsid w:val="006E7148"/>
    <w:rsid w:val="006E71CB"/>
    <w:rsid w:val="006E72DA"/>
    <w:rsid w:val="006E7536"/>
    <w:rsid w:val="006E7537"/>
    <w:rsid w:val="006E7555"/>
    <w:rsid w:val="006E7599"/>
    <w:rsid w:val="006E75D1"/>
    <w:rsid w:val="006E7612"/>
    <w:rsid w:val="006E777E"/>
    <w:rsid w:val="006E78A4"/>
    <w:rsid w:val="006E79EB"/>
    <w:rsid w:val="006E7CA6"/>
    <w:rsid w:val="006E7D3D"/>
    <w:rsid w:val="006E7D59"/>
    <w:rsid w:val="006E7DFD"/>
    <w:rsid w:val="006E7F02"/>
    <w:rsid w:val="006F012B"/>
    <w:rsid w:val="006F032A"/>
    <w:rsid w:val="006F0555"/>
    <w:rsid w:val="006F07E3"/>
    <w:rsid w:val="006F0853"/>
    <w:rsid w:val="006F08D1"/>
    <w:rsid w:val="006F09EB"/>
    <w:rsid w:val="006F0B40"/>
    <w:rsid w:val="006F0E7D"/>
    <w:rsid w:val="006F1092"/>
    <w:rsid w:val="006F1246"/>
    <w:rsid w:val="006F1254"/>
    <w:rsid w:val="006F167C"/>
    <w:rsid w:val="006F1717"/>
    <w:rsid w:val="006F176B"/>
    <w:rsid w:val="006F182B"/>
    <w:rsid w:val="006F184C"/>
    <w:rsid w:val="006F18FA"/>
    <w:rsid w:val="006F19B3"/>
    <w:rsid w:val="006F1A09"/>
    <w:rsid w:val="006F1A5D"/>
    <w:rsid w:val="006F1ADF"/>
    <w:rsid w:val="006F1BF6"/>
    <w:rsid w:val="006F1D24"/>
    <w:rsid w:val="006F1DA0"/>
    <w:rsid w:val="006F1FBF"/>
    <w:rsid w:val="006F20C9"/>
    <w:rsid w:val="006F2116"/>
    <w:rsid w:val="006F2122"/>
    <w:rsid w:val="006F22CC"/>
    <w:rsid w:val="006F23A1"/>
    <w:rsid w:val="006F248A"/>
    <w:rsid w:val="006F2589"/>
    <w:rsid w:val="006F25C2"/>
    <w:rsid w:val="006F2794"/>
    <w:rsid w:val="006F2825"/>
    <w:rsid w:val="006F29AE"/>
    <w:rsid w:val="006F29C7"/>
    <w:rsid w:val="006F2C05"/>
    <w:rsid w:val="006F2C6E"/>
    <w:rsid w:val="006F2E86"/>
    <w:rsid w:val="006F2EFB"/>
    <w:rsid w:val="006F2F33"/>
    <w:rsid w:val="006F3134"/>
    <w:rsid w:val="006F32C8"/>
    <w:rsid w:val="006F3474"/>
    <w:rsid w:val="006F3938"/>
    <w:rsid w:val="006F3993"/>
    <w:rsid w:val="006F3B0C"/>
    <w:rsid w:val="006F3CD6"/>
    <w:rsid w:val="006F3D70"/>
    <w:rsid w:val="006F3F7E"/>
    <w:rsid w:val="006F402A"/>
    <w:rsid w:val="006F4133"/>
    <w:rsid w:val="006F4155"/>
    <w:rsid w:val="006F417A"/>
    <w:rsid w:val="006F41A3"/>
    <w:rsid w:val="006F41FC"/>
    <w:rsid w:val="006F4250"/>
    <w:rsid w:val="006F42C9"/>
    <w:rsid w:val="006F43DA"/>
    <w:rsid w:val="006F4844"/>
    <w:rsid w:val="006F4955"/>
    <w:rsid w:val="006F4C23"/>
    <w:rsid w:val="006F4D76"/>
    <w:rsid w:val="006F528C"/>
    <w:rsid w:val="006F5C53"/>
    <w:rsid w:val="006F5C78"/>
    <w:rsid w:val="006F5CFD"/>
    <w:rsid w:val="006F5D21"/>
    <w:rsid w:val="006F5D92"/>
    <w:rsid w:val="006F5E6B"/>
    <w:rsid w:val="006F5E75"/>
    <w:rsid w:val="006F5FA4"/>
    <w:rsid w:val="006F6067"/>
    <w:rsid w:val="006F608B"/>
    <w:rsid w:val="006F60B1"/>
    <w:rsid w:val="006F61A9"/>
    <w:rsid w:val="006F61AE"/>
    <w:rsid w:val="006F6286"/>
    <w:rsid w:val="006F6412"/>
    <w:rsid w:val="006F6423"/>
    <w:rsid w:val="006F66CA"/>
    <w:rsid w:val="006F69DF"/>
    <w:rsid w:val="006F6D0E"/>
    <w:rsid w:val="006F6E6F"/>
    <w:rsid w:val="006F6ECF"/>
    <w:rsid w:val="006F6EE9"/>
    <w:rsid w:val="006F7091"/>
    <w:rsid w:val="006F73D0"/>
    <w:rsid w:val="006F743A"/>
    <w:rsid w:val="006F74CD"/>
    <w:rsid w:val="006F752E"/>
    <w:rsid w:val="006F754A"/>
    <w:rsid w:val="006F7692"/>
    <w:rsid w:val="006F76F3"/>
    <w:rsid w:val="006F775B"/>
    <w:rsid w:val="006F776C"/>
    <w:rsid w:val="006F797B"/>
    <w:rsid w:val="006F7AB2"/>
    <w:rsid w:val="006F7B70"/>
    <w:rsid w:val="006F7E04"/>
    <w:rsid w:val="006F7F33"/>
    <w:rsid w:val="00700251"/>
    <w:rsid w:val="007004B5"/>
    <w:rsid w:val="007004D5"/>
    <w:rsid w:val="007007D9"/>
    <w:rsid w:val="0070094E"/>
    <w:rsid w:val="00700975"/>
    <w:rsid w:val="00700B47"/>
    <w:rsid w:val="00700BFE"/>
    <w:rsid w:val="00700D18"/>
    <w:rsid w:val="00700DF6"/>
    <w:rsid w:val="00700F6E"/>
    <w:rsid w:val="00700FBF"/>
    <w:rsid w:val="00700FD0"/>
    <w:rsid w:val="007010F8"/>
    <w:rsid w:val="007012E1"/>
    <w:rsid w:val="00701398"/>
    <w:rsid w:val="007014D9"/>
    <w:rsid w:val="007014FA"/>
    <w:rsid w:val="00701542"/>
    <w:rsid w:val="00701668"/>
    <w:rsid w:val="00701788"/>
    <w:rsid w:val="007017D7"/>
    <w:rsid w:val="00701804"/>
    <w:rsid w:val="00701AAE"/>
    <w:rsid w:val="00701DE3"/>
    <w:rsid w:val="00701EFC"/>
    <w:rsid w:val="00701F9D"/>
    <w:rsid w:val="00701FFE"/>
    <w:rsid w:val="007020D0"/>
    <w:rsid w:val="007022FC"/>
    <w:rsid w:val="007025FC"/>
    <w:rsid w:val="00702821"/>
    <w:rsid w:val="007029FE"/>
    <w:rsid w:val="00702BF1"/>
    <w:rsid w:val="00702C86"/>
    <w:rsid w:val="00702E45"/>
    <w:rsid w:val="00702E5F"/>
    <w:rsid w:val="00703215"/>
    <w:rsid w:val="0070333D"/>
    <w:rsid w:val="007034FC"/>
    <w:rsid w:val="0070352D"/>
    <w:rsid w:val="0070362D"/>
    <w:rsid w:val="00703648"/>
    <w:rsid w:val="007037D5"/>
    <w:rsid w:val="00703865"/>
    <w:rsid w:val="00703A29"/>
    <w:rsid w:val="00703C77"/>
    <w:rsid w:val="00703D15"/>
    <w:rsid w:val="00703D55"/>
    <w:rsid w:val="0070400F"/>
    <w:rsid w:val="00704089"/>
    <w:rsid w:val="007040F2"/>
    <w:rsid w:val="0070438A"/>
    <w:rsid w:val="00704674"/>
    <w:rsid w:val="007046FE"/>
    <w:rsid w:val="0070475A"/>
    <w:rsid w:val="007047B7"/>
    <w:rsid w:val="0070490C"/>
    <w:rsid w:val="007049CA"/>
    <w:rsid w:val="00704BCE"/>
    <w:rsid w:val="00704D38"/>
    <w:rsid w:val="00704D68"/>
    <w:rsid w:val="00704D6F"/>
    <w:rsid w:val="00704E65"/>
    <w:rsid w:val="00704F1E"/>
    <w:rsid w:val="0070506B"/>
    <w:rsid w:val="0070515E"/>
    <w:rsid w:val="00705294"/>
    <w:rsid w:val="00705493"/>
    <w:rsid w:val="0070550E"/>
    <w:rsid w:val="0070559C"/>
    <w:rsid w:val="007057F5"/>
    <w:rsid w:val="00705925"/>
    <w:rsid w:val="00705A2B"/>
    <w:rsid w:val="00705AA5"/>
    <w:rsid w:val="00705C26"/>
    <w:rsid w:val="00705C5C"/>
    <w:rsid w:val="00705CFC"/>
    <w:rsid w:val="00705D0B"/>
    <w:rsid w:val="00705F9F"/>
    <w:rsid w:val="00705FA5"/>
    <w:rsid w:val="00705FB3"/>
    <w:rsid w:val="0070600A"/>
    <w:rsid w:val="00706157"/>
    <w:rsid w:val="007061EA"/>
    <w:rsid w:val="00706200"/>
    <w:rsid w:val="0070625C"/>
    <w:rsid w:val="0070650B"/>
    <w:rsid w:val="007065ED"/>
    <w:rsid w:val="00706858"/>
    <w:rsid w:val="00706871"/>
    <w:rsid w:val="007068F0"/>
    <w:rsid w:val="00706984"/>
    <w:rsid w:val="00706BF7"/>
    <w:rsid w:val="00706C38"/>
    <w:rsid w:val="00706CBB"/>
    <w:rsid w:val="00706D6A"/>
    <w:rsid w:val="00706D91"/>
    <w:rsid w:val="00706DDA"/>
    <w:rsid w:val="00706E9D"/>
    <w:rsid w:val="00706F87"/>
    <w:rsid w:val="007071B6"/>
    <w:rsid w:val="007073E8"/>
    <w:rsid w:val="0070787F"/>
    <w:rsid w:val="00707A20"/>
    <w:rsid w:val="00707A54"/>
    <w:rsid w:val="00707B5D"/>
    <w:rsid w:val="00707BF7"/>
    <w:rsid w:val="00707CBF"/>
    <w:rsid w:val="00707D56"/>
    <w:rsid w:val="00707E03"/>
    <w:rsid w:val="00707E0E"/>
    <w:rsid w:val="00707E8F"/>
    <w:rsid w:val="0071015C"/>
    <w:rsid w:val="00710162"/>
    <w:rsid w:val="007104E6"/>
    <w:rsid w:val="00710711"/>
    <w:rsid w:val="007108C7"/>
    <w:rsid w:val="00710986"/>
    <w:rsid w:val="00710C7A"/>
    <w:rsid w:val="00710EF4"/>
    <w:rsid w:val="00710FA6"/>
    <w:rsid w:val="0071102A"/>
    <w:rsid w:val="00711129"/>
    <w:rsid w:val="00711235"/>
    <w:rsid w:val="00711369"/>
    <w:rsid w:val="007113F7"/>
    <w:rsid w:val="00711486"/>
    <w:rsid w:val="00711493"/>
    <w:rsid w:val="007116DB"/>
    <w:rsid w:val="007116E8"/>
    <w:rsid w:val="007117DB"/>
    <w:rsid w:val="0071182B"/>
    <w:rsid w:val="0071194C"/>
    <w:rsid w:val="00711EBB"/>
    <w:rsid w:val="0071200A"/>
    <w:rsid w:val="007120AC"/>
    <w:rsid w:val="007120B0"/>
    <w:rsid w:val="007120FD"/>
    <w:rsid w:val="0071211F"/>
    <w:rsid w:val="007125E0"/>
    <w:rsid w:val="00712641"/>
    <w:rsid w:val="00712B0B"/>
    <w:rsid w:val="00712C75"/>
    <w:rsid w:val="00712C8D"/>
    <w:rsid w:val="00712CEA"/>
    <w:rsid w:val="00712D01"/>
    <w:rsid w:val="00712D85"/>
    <w:rsid w:val="00712E24"/>
    <w:rsid w:val="007131EC"/>
    <w:rsid w:val="007134BC"/>
    <w:rsid w:val="007134C6"/>
    <w:rsid w:val="00713687"/>
    <w:rsid w:val="007137EA"/>
    <w:rsid w:val="00713D94"/>
    <w:rsid w:val="00713FB5"/>
    <w:rsid w:val="0071417E"/>
    <w:rsid w:val="00714441"/>
    <w:rsid w:val="007144BA"/>
    <w:rsid w:val="00714541"/>
    <w:rsid w:val="007145A9"/>
    <w:rsid w:val="007145D1"/>
    <w:rsid w:val="007147A9"/>
    <w:rsid w:val="00714A33"/>
    <w:rsid w:val="00714E73"/>
    <w:rsid w:val="007152C1"/>
    <w:rsid w:val="0071530E"/>
    <w:rsid w:val="00715428"/>
    <w:rsid w:val="0071544D"/>
    <w:rsid w:val="0071568B"/>
    <w:rsid w:val="0071601B"/>
    <w:rsid w:val="0071615D"/>
    <w:rsid w:val="00716237"/>
    <w:rsid w:val="007162D6"/>
    <w:rsid w:val="00716573"/>
    <w:rsid w:val="0071676B"/>
    <w:rsid w:val="00716792"/>
    <w:rsid w:val="0071693F"/>
    <w:rsid w:val="00716D03"/>
    <w:rsid w:val="00716DED"/>
    <w:rsid w:val="00717200"/>
    <w:rsid w:val="00717587"/>
    <w:rsid w:val="0071762A"/>
    <w:rsid w:val="00717AB1"/>
    <w:rsid w:val="00717AB5"/>
    <w:rsid w:val="00717BF3"/>
    <w:rsid w:val="00717CA2"/>
    <w:rsid w:val="00717E6F"/>
    <w:rsid w:val="00717FC9"/>
    <w:rsid w:val="00720031"/>
    <w:rsid w:val="00720305"/>
    <w:rsid w:val="0072036B"/>
    <w:rsid w:val="007204EE"/>
    <w:rsid w:val="0072052B"/>
    <w:rsid w:val="007205EB"/>
    <w:rsid w:val="0072067F"/>
    <w:rsid w:val="00720687"/>
    <w:rsid w:val="007206E5"/>
    <w:rsid w:val="00720737"/>
    <w:rsid w:val="0072077E"/>
    <w:rsid w:val="0072087B"/>
    <w:rsid w:val="00720C29"/>
    <w:rsid w:val="00720D57"/>
    <w:rsid w:val="00720EB9"/>
    <w:rsid w:val="0072119E"/>
    <w:rsid w:val="0072127A"/>
    <w:rsid w:val="00721452"/>
    <w:rsid w:val="00721537"/>
    <w:rsid w:val="00721739"/>
    <w:rsid w:val="00721862"/>
    <w:rsid w:val="00721C12"/>
    <w:rsid w:val="00721DE5"/>
    <w:rsid w:val="00721E90"/>
    <w:rsid w:val="00721F32"/>
    <w:rsid w:val="007221B9"/>
    <w:rsid w:val="00722365"/>
    <w:rsid w:val="0072244E"/>
    <w:rsid w:val="007224C5"/>
    <w:rsid w:val="00722596"/>
    <w:rsid w:val="007227F1"/>
    <w:rsid w:val="00722829"/>
    <w:rsid w:val="00722863"/>
    <w:rsid w:val="007229CA"/>
    <w:rsid w:val="00722AC8"/>
    <w:rsid w:val="00722B93"/>
    <w:rsid w:val="00722D13"/>
    <w:rsid w:val="00722D3B"/>
    <w:rsid w:val="00722DBA"/>
    <w:rsid w:val="0072318A"/>
    <w:rsid w:val="00723692"/>
    <w:rsid w:val="007236DE"/>
    <w:rsid w:val="00723796"/>
    <w:rsid w:val="007238ED"/>
    <w:rsid w:val="00723AA2"/>
    <w:rsid w:val="00723AAA"/>
    <w:rsid w:val="00723D20"/>
    <w:rsid w:val="00723D81"/>
    <w:rsid w:val="00723EB3"/>
    <w:rsid w:val="00723ED8"/>
    <w:rsid w:val="00723F7E"/>
    <w:rsid w:val="0072416B"/>
    <w:rsid w:val="00724259"/>
    <w:rsid w:val="0072439F"/>
    <w:rsid w:val="00724453"/>
    <w:rsid w:val="00724642"/>
    <w:rsid w:val="007247B6"/>
    <w:rsid w:val="00724B9F"/>
    <w:rsid w:val="00724C20"/>
    <w:rsid w:val="00724C9D"/>
    <w:rsid w:val="00724EB4"/>
    <w:rsid w:val="00725033"/>
    <w:rsid w:val="00725264"/>
    <w:rsid w:val="007256DF"/>
    <w:rsid w:val="00725787"/>
    <w:rsid w:val="00725A5C"/>
    <w:rsid w:val="00725AD0"/>
    <w:rsid w:val="00725B07"/>
    <w:rsid w:val="00725DD7"/>
    <w:rsid w:val="00725E36"/>
    <w:rsid w:val="00725F6E"/>
    <w:rsid w:val="007263DA"/>
    <w:rsid w:val="007264A3"/>
    <w:rsid w:val="00726623"/>
    <w:rsid w:val="00726870"/>
    <w:rsid w:val="00726933"/>
    <w:rsid w:val="00726F02"/>
    <w:rsid w:val="00726FFF"/>
    <w:rsid w:val="007270AC"/>
    <w:rsid w:val="00727101"/>
    <w:rsid w:val="0072757E"/>
    <w:rsid w:val="00727593"/>
    <w:rsid w:val="0072759F"/>
    <w:rsid w:val="007276C1"/>
    <w:rsid w:val="007276D0"/>
    <w:rsid w:val="007277FF"/>
    <w:rsid w:val="00727813"/>
    <w:rsid w:val="0072781C"/>
    <w:rsid w:val="00727B3B"/>
    <w:rsid w:val="00727BC4"/>
    <w:rsid w:val="00727EEF"/>
    <w:rsid w:val="00727FD9"/>
    <w:rsid w:val="00730003"/>
    <w:rsid w:val="00730029"/>
    <w:rsid w:val="0073056F"/>
    <w:rsid w:val="00730B54"/>
    <w:rsid w:val="00730BF0"/>
    <w:rsid w:val="00730DC6"/>
    <w:rsid w:val="00730EE1"/>
    <w:rsid w:val="00731222"/>
    <w:rsid w:val="007312A1"/>
    <w:rsid w:val="007312C8"/>
    <w:rsid w:val="00731300"/>
    <w:rsid w:val="00731319"/>
    <w:rsid w:val="00731385"/>
    <w:rsid w:val="007316A1"/>
    <w:rsid w:val="00731762"/>
    <w:rsid w:val="007317E4"/>
    <w:rsid w:val="00731808"/>
    <w:rsid w:val="007318B8"/>
    <w:rsid w:val="00731B0B"/>
    <w:rsid w:val="00731B43"/>
    <w:rsid w:val="00731BF8"/>
    <w:rsid w:val="00731D5E"/>
    <w:rsid w:val="00731E3B"/>
    <w:rsid w:val="00731FA4"/>
    <w:rsid w:val="007321E4"/>
    <w:rsid w:val="00732217"/>
    <w:rsid w:val="00732309"/>
    <w:rsid w:val="0073238A"/>
    <w:rsid w:val="007323A0"/>
    <w:rsid w:val="00732528"/>
    <w:rsid w:val="007325BE"/>
    <w:rsid w:val="007326D9"/>
    <w:rsid w:val="0073285D"/>
    <w:rsid w:val="007328F0"/>
    <w:rsid w:val="00732975"/>
    <w:rsid w:val="00732A27"/>
    <w:rsid w:val="00732A5B"/>
    <w:rsid w:val="00732F14"/>
    <w:rsid w:val="0073347F"/>
    <w:rsid w:val="00733947"/>
    <w:rsid w:val="007339BE"/>
    <w:rsid w:val="00733D0F"/>
    <w:rsid w:val="00733EDF"/>
    <w:rsid w:val="007340A6"/>
    <w:rsid w:val="007342A7"/>
    <w:rsid w:val="007344AA"/>
    <w:rsid w:val="0073454C"/>
    <w:rsid w:val="00734629"/>
    <w:rsid w:val="007347EE"/>
    <w:rsid w:val="00734832"/>
    <w:rsid w:val="007348D9"/>
    <w:rsid w:val="00734A5C"/>
    <w:rsid w:val="00734A6D"/>
    <w:rsid w:val="00734B3E"/>
    <w:rsid w:val="00734B4F"/>
    <w:rsid w:val="00734E83"/>
    <w:rsid w:val="00735232"/>
    <w:rsid w:val="00735436"/>
    <w:rsid w:val="007355D9"/>
    <w:rsid w:val="007355DD"/>
    <w:rsid w:val="00735A08"/>
    <w:rsid w:val="00735B1B"/>
    <w:rsid w:val="00735FDC"/>
    <w:rsid w:val="00736027"/>
    <w:rsid w:val="00736112"/>
    <w:rsid w:val="00736214"/>
    <w:rsid w:val="0073632A"/>
    <w:rsid w:val="00736477"/>
    <w:rsid w:val="007364BC"/>
    <w:rsid w:val="00736543"/>
    <w:rsid w:val="00736892"/>
    <w:rsid w:val="007368D9"/>
    <w:rsid w:val="00736A35"/>
    <w:rsid w:val="00736A3A"/>
    <w:rsid w:val="00736BC6"/>
    <w:rsid w:val="00736CA2"/>
    <w:rsid w:val="00737096"/>
    <w:rsid w:val="007375DE"/>
    <w:rsid w:val="00737623"/>
    <w:rsid w:val="0073768A"/>
    <w:rsid w:val="00737809"/>
    <w:rsid w:val="00737863"/>
    <w:rsid w:val="0073791E"/>
    <w:rsid w:val="00737934"/>
    <w:rsid w:val="00737EA8"/>
    <w:rsid w:val="00737F7E"/>
    <w:rsid w:val="007400D5"/>
    <w:rsid w:val="0074052B"/>
    <w:rsid w:val="007405BB"/>
    <w:rsid w:val="0074063E"/>
    <w:rsid w:val="00740F4B"/>
    <w:rsid w:val="00741114"/>
    <w:rsid w:val="00741141"/>
    <w:rsid w:val="007411D0"/>
    <w:rsid w:val="007412A4"/>
    <w:rsid w:val="0074130B"/>
    <w:rsid w:val="007414B0"/>
    <w:rsid w:val="00741538"/>
    <w:rsid w:val="0074163B"/>
    <w:rsid w:val="00741717"/>
    <w:rsid w:val="007417DD"/>
    <w:rsid w:val="007418C3"/>
    <w:rsid w:val="00741AB8"/>
    <w:rsid w:val="00741ABD"/>
    <w:rsid w:val="00741B3A"/>
    <w:rsid w:val="00741C7E"/>
    <w:rsid w:val="00741C9F"/>
    <w:rsid w:val="00741D9D"/>
    <w:rsid w:val="00741FAA"/>
    <w:rsid w:val="0074207A"/>
    <w:rsid w:val="00742122"/>
    <w:rsid w:val="00742168"/>
    <w:rsid w:val="007421E7"/>
    <w:rsid w:val="00742263"/>
    <w:rsid w:val="007423D2"/>
    <w:rsid w:val="0074285D"/>
    <w:rsid w:val="007429AD"/>
    <w:rsid w:val="00742C2A"/>
    <w:rsid w:val="00742E3A"/>
    <w:rsid w:val="00742ED1"/>
    <w:rsid w:val="007431F7"/>
    <w:rsid w:val="00743592"/>
    <w:rsid w:val="00743761"/>
    <w:rsid w:val="00743961"/>
    <w:rsid w:val="007439F3"/>
    <w:rsid w:val="00743AD6"/>
    <w:rsid w:val="00743B60"/>
    <w:rsid w:val="00743B73"/>
    <w:rsid w:val="00743F89"/>
    <w:rsid w:val="00744153"/>
    <w:rsid w:val="007441F9"/>
    <w:rsid w:val="00744408"/>
    <w:rsid w:val="0074449E"/>
    <w:rsid w:val="007444DD"/>
    <w:rsid w:val="007445C0"/>
    <w:rsid w:val="007445E2"/>
    <w:rsid w:val="00744764"/>
    <w:rsid w:val="007447A3"/>
    <w:rsid w:val="007449C3"/>
    <w:rsid w:val="007449DD"/>
    <w:rsid w:val="00744C94"/>
    <w:rsid w:val="00744DAB"/>
    <w:rsid w:val="00744E26"/>
    <w:rsid w:val="00744ECD"/>
    <w:rsid w:val="00744EF1"/>
    <w:rsid w:val="00744FF6"/>
    <w:rsid w:val="007450B2"/>
    <w:rsid w:val="007451C3"/>
    <w:rsid w:val="00745427"/>
    <w:rsid w:val="00745599"/>
    <w:rsid w:val="007458A0"/>
    <w:rsid w:val="0074597E"/>
    <w:rsid w:val="007459C5"/>
    <w:rsid w:val="007459E1"/>
    <w:rsid w:val="00745EC8"/>
    <w:rsid w:val="007461E7"/>
    <w:rsid w:val="007463DD"/>
    <w:rsid w:val="007463E2"/>
    <w:rsid w:val="00746504"/>
    <w:rsid w:val="00746509"/>
    <w:rsid w:val="00746587"/>
    <w:rsid w:val="00746628"/>
    <w:rsid w:val="00746854"/>
    <w:rsid w:val="00746E7C"/>
    <w:rsid w:val="00746E8E"/>
    <w:rsid w:val="007470E6"/>
    <w:rsid w:val="007471BB"/>
    <w:rsid w:val="00747417"/>
    <w:rsid w:val="007474F4"/>
    <w:rsid w:val="007475D2"/>
    <w:rsid w:val="007475FC"/>
    <w:rsid w:val="00747725"/>
    <w:rsid w:val="0074791F"/>
    <w:rsid w:val="00747994"/>
    <w:rsid w:val="00747B33"/>
    <w:rsid w:val="00747C19"/>
    <w:rsid w:val="00747F80"/>
    <w:rsid w:val="00747F91"/>
    <w:rsid w:val="00747F99"/>
    <w:rsid w:val="0075004C"/>
    <w:rsid w:val="007500CA"/>
    <w:rsid w:val="00750311"/>
    <w:rsid w:val="00750411"/>
    <w:rsid w:val="0075084E"/>
    <w:rsid w:val="00750AEE"/>
    <w:rsid w:val="00750C02"/>
    <w:rsid w:val="00750CBD"/>
    <w:rsid w:val="00750DB3"/>
    <w:rsid w:val="00750E22"/>
    <w:rsid w:val="00751020"/>
    <w:rsid w:val="00751068"/>
    <w:rsid w:val="007512C8"/>
    <w:rsid w:val="00751657"/>
    <w:rsid w:val="00751700"/>
    <w:rsid w:val="007519DA"/>
    <w:rsid w:val="007519FB"/>
    <w:rsid w:val="00751B77"/>
    <w:rsid w:val="00751C06"/>
    <w:rsid w:val="00751CE7"/>
    <w:rsid w:val="00751D0D"/>
    <w:rsid w:val="00751E3A"/>
    <w:rsid w:val="00751F43"/>
    <w:rsid w:val="00751FF6"/>
    <w:rsid w:val="00752156"/>
    <w:rsid w:val="0075237B"/>
    <w:rsid w:val="00752521"/>
    <w:rsid w:val="007525C5"/>
    <w:rsid w:val="007527E5"/>
    <w:rsid w:val="00752860"/>
    <w:rsid w:val="007529B0"/>
    <w:rsid w:val="00752B58"/>
    <w:rsid w:val="00752BC0"/>
    <w:rsid w:val="00752CEF"/>
    <w:rsid w:val="00752D81"/>
    <w:rsid w:val="00752DFA"/>
    <w:rsid w:val="0075312D"/>
    <w:rsid w:val="00753252"/>
    <w:rsid w:val="00753404"/>
    <w:rsid w:val="00753416"/>
    <w:rsid w:val="007535BC"/>
    <w:rsid w:val="007535E0"/>
    <w:rsid w:val="0075362C"/>
    <w:rsid w:val="00753668"/>
    <w:rsid w:val="007537BF"/>
    <w:rsid w:val="00753A02"/>
    <w:rsid w:val="00753E93"/>
    <w:rsid w:val="00753ECD"/>
    <w:rsid w:val="0075416D"/>
    <w:rsid w:val="0075418D"/>
    <w:rsid w:val="007545B4"/>
    <w:rsid w:val="007548A9"/>
    <w:rsid w:val="007549F2"/>
    <w:rsid w:val="00754B45"/>
    <w:rsid w:val="00754B86"/>
    <w:rsid w:val="00754E54"/>
    <w:rsid w:val="00754ED8"/>
    <w:rsid w:val="00754FE6"/>
    <w:rsid w:val="00755034"/>
    <w:rsid w:val="00755082"/>
    <w:rsid w:val="0075541A"/>
    <w:rsid w:val="007554C1"/>
    <w:rsid w:val="00755553"/>
    <w:rsid w:val="00755570"/>
    <w:rsid w:val="0075561C"/>
    <w:rsid w:val="00755800"/>
    <w:rsid w:val="00755910"/>
    <w:rsid w:val="0075599B"/>
    <w:rsid w:val="007559BD"/>
    <w:rsid w:val="00755A03"/>
    <w:rsid w:val="00755BFE"/>
    <w:rsid w:val="00755D0D"/>
    <w:rsid w:val="00755D88"/>
    <w:rsid w:val="00755FC3"/>
    <w:rsid w:val="00756419"/>
    <w:rsid w:val="007564CB"/>
    <w:rsid w:val="0075657D"/>
    <w:rsid w:val="00756AFD"/>
    <w:rsid w:val="00756C1B"/>
    <w:rsid w:val="00756DB8"/>
    <w:rsid w:val="00756FCF"/>
    <w:rsid w:val="007570C7"/>
    <w:rsid w:val="00757204"/>
    <w:rsid w:val="0075720B"/>
    <w:rsid w:val="00757256"/>
    <w:rsid w:val="007572AB"/>
    <w:rsid w:val="00757327"/>
    <w:rsid w:val="007573EC"/>
    <w:rsid w:val="007574AD"/>
    <w:rsid w:val="007575EA"/>
    <w:rsid w:val="007579E9"/>
    <w:rsid w:val="00757B05"/>
    <w:rsid w:val="00757C28"/>
    <w:rsid w:val="00757C89"/>
    <w:rsid w:val="00757EEB"/>
    <w:rsid w:val="0076003B"/>
    <w:rsid w:val="007601FC"/>
    <w:rsid w:val="007603CE"/>
    <w:rsid w:val="007605A9"/>
    <w:rsid w:val="007605EB"/>
    <w:rsid w:val="00760643"/>
    <w:rsid w:val="007606AF"/>
    <w:rsid w:val="00760ABC"/>
    <w:rsid w:val="00760C0D"/>
    <w:rsid w:val="00760CD4"/>
    <w:rsid w:val="00760E4C"/>
    <w:rsid w:val="007612A9"/>
    <w:rsid w:val="007612DE"/>
    <w:rsid w:val="007613ED"/>
    <w:rsid w:val="00761426"/>
    <w:rsid w:val="0076143D"/>
    <w:rsid w:val="00761561"/>
    <w:rsid w:val="007615FB"/>
    <w:rsid w:val="0076181C"/>
    <w:rsid w:val="00761A38"/>
    <w:rsid w:val="00761ACD"/>
    <w:rsid w:val="00761C72"/>
    <w:rsid w:val="00761EFC"/>
    <w:rsid w:val="00762211"/>
    <w:rsid w:val="0076224C"/>
    <w:rsid w:val="00762288"/>
    <w:rsid w:val="00762374"/>
    <w:rsid w:val="007623E0"/>
    <w:rsid w:val="0076266F"/>
    <w:rsid w:val="007626C1"/>
    <w:rsid w:val="007626E8"/>
    <w:rsid w:val="0076282A"/>
    <w:rsid w:val="00762C0B"/>
    <w:rsid w:val="00762CC9"/>
    <w:rsid w:val="00762D37"/>
    <w:rsid w:val="00762D74"/>
    <w:rsid w:val="00763165"/>
    <w:rsid w:val="007634C6"/>
    <w:rsid w:val="0076377A"/>
    <w:rsid w:val="00763784"/>
    <w:rsid w:val="00763799"/>
    <w:rsid w:val="007637EA"/>
    <w:rsid w:val="00763990"/>
    <w:rsid w:val="007639C0"/>
    <w:rsid w:val="00763A32"/>
    <w:rsid w:val="00763B73"/>
    <w:rsid w:val="00763F3D"/>
    <w:rsid w:val="00764110"/>
    <w:rsid w:val="007642A8"/>
    <w:rsid w:val="00764B72"/>
    <w:rsid w:val="00764C40"/>
    <w:rsid w:val="00764CAE"/>
    <w:rsid w:val="00764E14"/>
    <w:rsid w:val="00764E52"/>
    <w:rsid w:val="00764E80"/>
    <w:rsid w:val="00764F9C"/>
    <w:rsid w:val="007653FC"/>
    <w:rsid w:val="0076577B"/>
    <w:rsid w:val="0076584E"/>
    <w:rsid w:val="007659D9"/>
    <w:rsid w:val="007659E0"/>
    <w:rsid w:val="00765A2F"/>
    <w:rsid w:val="00765EA9"/>
    <w:rsid w:val="00766377"/>
    <w:rsid w:val="007669C2"/>
    <w:rsid w:val="00766E57"/>
    <w:rsid w:val="0076704F"/>
    <w:rsid w:val="00767142"/>
    <w:rsid w:val="0076715D"/>
    <w:rsid w:val="00767243"/>
    <w:rsid w:val="0076756B"/>
    <w:rsid w:val="00767717"/>
    <w:rsid w:val="0076778C"/>
    <w:rsid w:val="00767943"/>
    <w:rsid w:val="00767991"/>
    <w:rsid w:val="00767A88"/>
    <w:rsid w:val="00767B45"/>
    <w:rsid w:val="00767C3E"/>
    <w:rsid w:val="00767D42"/>
    <w:rsid w:val="00767F9E"/>
    <w:rsid w:val="0077003C"/>
    <w:rsid w:val="0077006B"/>
    <w:rsid w:val="007701C2"/>
    <w:rsid w:val="00770440"/>
    <w:rsid w:val="00770449"/>
    <w:rsid w:val="00770987"/>
    <w:rsid w:val="00770B94"/>
    <w:rsid w:val="00770C8A"/>
    <w:rsid w:val="00770D98"/>
    <w:rsid w:val="00770DD3"/>
    <w:rsid w:val="00770FD0"/>
    <w:rsid w:val="0077102D"/>
    <w:rsid w:val="0077104B"/>
    <w:rsid w:val="0077105B"/>
    <w:rsid w:val="007712B2"/>
    <w:rsid w:val="00771346"/>
    <w:rsid w:val="00771382"/>
    <w:rsid w:val="0077151F"/>
    <w:rsid w:val="00771677"/>
    <w:rsid w:val="00771805"/>
    <w:rsid w:val="007719B3"/>
    <w:rsid w:val="00771A75"/>
    <w:rsid w:val="00771AF9"/>
    <w:rsid w:val="00771B7B"/>
    <w:rsid w:val="00772096"/>
    <w:rsid w:val="007720FB"/>
    <w:rsid w:val="007722B1"/>
    <w:rsid w:val="00772414"/>
    <w:rsid w:val="00772445"/>
    <w:rsid w:val="007725C5"/>
    <w:rsid w:val="00772767"/>
    <w:rsid w:val="00772828"/>
    <w:rsid w:val="00772B86"/>
    <w:rsid w:val="00772DFF"/>
    <w:rsid w:val="00772EDE"/>
    <w:rsid w:val="00772EFD"/>
    <w:rsid w:val="00772FDA"/>
    <w:rsid w:val="00773275"/>
    <w:rsid w:val="0077338D"/>
    <w:rsid w:val="00773538"/>
    <w:rsid w:val="00773602"/>
    <w:rsid w:val="0077367B"/>
    <w:rsid w:val="007736DA"/>
    <w:rsid w:val="00773717"/>
    <w:rsid w:val="007738D0"/>
    <w:rsid w:val="00773944"/>
    <w:rsid w:val="00773D54"/>
    <w:rsid w:val="00773D8E"/>
    <w:rsid w:val="00773DD0"/>
    <w:rsid w:val="00773E28"/>
    <w:rsid w:val="00773E97"/>
    <w:rsid w:val="007740BA"/>
    <w:rsid w:val="007740D7"/>
    <w:rsid w:val="007740E2"/>
    <w:rsid w:val="007741F2"/>
    <w:rsid w:val="007742B7"/>
    <w:rsid w:val="00774342"/>
    <w:rsid w:val="007743C9"/>
    <w:rsid w:val="00774609"/>
    <w:rsid w:val="007746E4"/>
    <w:rsid w:val="0077487A"/>
    <w:rsid w:val="00774B5D"/>
    <w:rsid w:val="00774C1D"/>
    <w:rsid w:val="00774C69"/>
    <w:rsid w:val="0077508C"/>
    <w:rsid w:val="00775189"/>
    <w:rsid w:val="007752C7"/>
    <w:rsid w:val="00775513"/>
    <w:rsid w:val="007755CC"/>
    <w:rsid w:val="0077567E"/>
    <w:rsid w:val="00775697"/>
    <w:rsid w:val="0077595E"/>
    <w:rsid w:val="00775AB8"/>
    <w:rsid w:val="00775AE8"/>
    <w:rsid w:val="00775B3E"/>
    <w:rsid w:val="00775D11"/>
    <w:rsid w:val="00775D8C"/>
    <w:rsid w:val="0077616E"/>
    <w:rsid w:val="00776172"/>
    <w:rsid w:val="0077621A"/>
    <w:rsid w:val="00776273"/>
    <w:rsid w:val="007768B8"/>
    <w:rsid w:val="00776A68"/>
    <w:rsid w:val="00776C00"/>
    <w:rsid w:val="00776CD8"/>
    <w:rsid w:val="00776F17"/>
    <w:rsid w:val="00776F80"/>
    <w:rsid w:val="0077724E"/>
    <w:rsid w:val="00777354"/>
    <w:rsid w:val="007773AC"/>
    <w:rsid w:val="00777C2B"/>
    <w:rsid w:val="00777ED4"/>
    <w:rsid w:val="0078008E"/>
    <w:rsid w:val="0078011E"/>
    <w:rsid w:val="00780164"/>
    <w:rsid w:val="007804AF"/>
    <w:rsid w:val="007804FF"/>
    <w:rsid w:val="007805EB"/>
    <w:rsid w:val="0078062C"/>
    <w:rsid w:val="0078069A"/>
    <w:rsid w:val="007806E6"/>
    <w:rsid w:val="007807BE"/>
    <w:rsid w:val="007809C5"/>
    <w:rsid w:val="00780CDF"/>
    <w:rsid w:val="00780EB1"/>
    <w:rsid w:val="00780EDC"/>
    <w:rsid w:val="007810B9"/>
    <w:rsid w:val="007813E9"/>
    <w:rsid w:val="00781470"/>
    <w:rsid w:val="0078147F"/>
    <w:rsid w:val="007814ED"/>
    <w:rsid w:val="00781726"/>
    <w:rsid w:val="007819FF"/>
    <w:rsid w:val="00781ACD"/>
    <w:rsid w:val="00781C5D"/>
    <w:rsid w:val="00781DD4"/>
    <w:rsid w:val="00781EF0"/>
    <w:rsid w:val="00781F4E"/>
    <w:rsid w:val="00781FA0"/>
    <w:rsid w:val="00781FC2"/>
    <w:rsid w:val="007822EE"/>
    <w:rsid w:val="0078233D"/>
    <w:rsid w:val="00782615"/>
    <w:rsid w:val="00782A8B"/>
    <w:rsid w:val="00782BA3"/>
    <w:rsid w:val="00782D1C"/>
    <w:rsid w:val="00782DB0"/>
    <w:rsid w:val="0078304A"/>
    <w:rsid w:val="0078309B"/>
    <w:rsid w:val="007832FB"/>
    <w:rsid w:val="00783472"/>
    <w:rsid w:val="007834FF"/>
    <w:rsid w:val="00783516"/>
    <w:rsid w:val="00783530"/>
    <w:rsid w:val="00783544"/>
    <w:rsid w:val="0078360F"/>
    <w:rsid w:val="00783688"/>
    <w:rsid w:val="0078370A"/>
    <w:rsid w:val="00783731"/>
    <w:rsid w:val="00783846"/>
    <w:rsid w:val="00783963"/>
    <w:rsid w:val="007839BC"/>
    <w:rsid w:val="00783B86"/>
    <w:rsid w:val="00783CCF"/>
    <w:rsid w:val="00783DC6"/>
    <w:rsid w:val="0078414E"/>
    <w:rsid w:val="007841F8"/>
    <w:rsid w:val="00784339"/>
    <w:rsid w:val="007843D4"/>
    <w:rsid w:val="0078441A"/>
    <w:rsid w:val="00784538"/>
    <w:rsid w:val="00784554"/>
    <w:rsid w:val="007846B1"/>
    <w:rsid w:val="007846B7"/>
    <w:rsid w:val="0078488A"/>
    <w:rsid w:val="00784900"/>
    <w:rsid w:val="00784A56"/>
    <w:rsid w:val="00784C80"/>
    <w:rsid w:val="00784D68"/>
    <w:rsid w:val="00784DB9"/>
    <w:rsid w:val="00784DD7"/>
    <w:rsid w:val="00784DDD"/>
    <w:rsid w:val="00784E69"/>
    <w:rsid w:val="0078512C"/>
    <w:rsid w:val="00785227"/>
    <w:rsid w:val="00785469"/>
    <w:rsid w:val="007854C3"/>
    <w:rsid w:val="0078556D"/>
    <w:rsid w:val="007855C0"/>
    <w:rsid w:val="0078582D"/>
    <w:rsid w:val="007859AD"/>
    <w:rsid w:val="007859F0"/>
    <w:rsid w:val="00785AAA"/>
    <w:rsid w:val="00785B90"/>
    <w:rsid w:val="00785EE4"/>
    <w:rsid w:val="00785F3F"/>
    <w:rsid w:val="00785F62"/>
    <w:rsid w:val="00786016"/>
    <w:rsid w:val="00786075"/>
    <w:rsid w:val="00786101"/>
    <w:rsid w:val="00786155"/>
    <w:rsid w:val="00786190"/>
    <w:rsid w:val="00786568"/>
    <w:rsid w:val="0078692C"/>
    <w:rsid w:val="007869CC"/>
    <w:rsid w:val="007869D0"/>
    <w:rsid w:val="00786C0B"/>
    <w:rsid w:val="00786C3E"/>
    <w:rsid w:val="00786DF8"/>
    <w:rsid w:val="00787049"/>
    <w:rsid w:val="00787054"/>
    <w:rsid w:val="00787467"/>
    <w:rsid w:val="007874CF"/>
    <w:rsid w:val="00787781"/>
    <w:rsid w:val="0078785C"/>
    <w:rsid w:val="00787917"/>
    <w:rsid w:val="00787A09"/>
    <w:rsid w:val="00787CD2"/>
    <w:rsid w:val="00787E3D"/>
    <w:rsid w:val="00790218"/>
    <w:rsid w:val="00790360"/>
    <w:rsid w:val="0079046B"/>
    <w:rsid w:val="00790544"/>
    <w:rsid w:val="00790688"/>
    <w:rsid w:val="00790689"/>
    <w:rsid w:val="0079084D"/>
    <w:rsid w:val="0079088F"/>
    <w:rsid w:val="00790907"/>
    <w:rsid w:val="0079091D"/>
    <w:rsid w:val="00790BD1"/>
    <w:rsid w:val="00790C16"/>
    <w:rsid w:val="00790E09"/>
    <w:rsid w:val="00791008"/>
    <w:rsid w:val="0079124F"/>
    <w:rsid w:val="007914C7"/>
    <w:rsid w:val="00791680"/>
    <w:rsid w:val="007917B6"/>
    <w:rsid w:val="0079181F"/>
    <w:rsid w:val="00791A62"/>
    <w:rsid w:val="00791B2D"/>
    <w:rsid w:val="00791C7F"/>
    <w:rsid w:val="00791DD5"/>
    <w:rsid w:val="00791E32"/>
    <w:rsid w:val="00791E6E"/>
    <w:rsid w:val="00791EC1"/>
    <w:rsid w:val="00791F13"/>
    <w:rsid w:val="00792130"/>
    <w:rsid w:val="007921BA"/>
    <w:rsid w:val="007922A0"/>
    <w:rsid w:val="00792344"/>
    <w:rsid w:val="007924D9"/>
    <w:rsid w:val="00792542"/>
    <w:rsid w:val="00792567"/>
    <w:rsid w:val="00792982"/>
    <w:rsid w:val="007929D2"/>
    <w:rsid w:val="00792BCE"/>
    <w:rsid w:val="00792C01"/>
    <w:rsid w:val="00792D91"/>
    <w:rsid w:val="00792DED"/>
    <w:rsid w:val="00792EB2"/>
    <w:rsid w:val="0079307E"/>
    <w:rsid w:val="007930AC"/>
    <w:rsid w:val="007930DF"/>
    <w:rsid w:val="00793130"/>
    <w:rsid w:val="007935F0"/>
    <w:rsid w:val="0079376F"/>
    <w:rsid w:val="007938A9"/>
    <w:rsid w:val="007939E2"/>
    <w:rsid w:val="00793A40"/>
    <w:rsid w:val="00793C50"/>
    <w:rsid w:val="00793FB6"/>
    <w:rsid w:val="00793FFF"/>
    <w:rsid w:val="00794065"/>
    <w:rsid w:val="00794205"/>
    <w:rsid w:val="0079424D"/>
    <w:rsid w:val="007944BB"/>
    <w:rsid w:val="00794535"/>
    <w:rsid w:val="00794697"/>
    <w:rsid w:val="00794CD3"/>
    <w:rsid w:val="00794EE2"/>
    <w:rsid w:val="00794F89"/>
    <w:rsid w:val="00794FE8"/>
    <w:rsid w:val="0079520A"/>
    <w:rsid w:val="0079552D"/>
    <w:rsid w:val="007955C1"/>
    <w:rsid w:val="0079571B"/>
    <w:rsid w:val="00795812"/>
    <w:rsid w:val="00795AB2"/>
    <w:rsid w:val="00795BAB"/>
    <w:rsid w:val="00795C0E"/>
    <w:rsid w:val="00795CBE"/>
    <w:rsid w:val="00795ECD"/>
    <w:rsid w:val="00795F51"/>
    <w:rsid w:val="00796126"/>
    <w:rsid w:val="007962FF"/>
    <w:rsid w:val="0079648A"/>
    <w:rsid w:val="0079659F"/>
    <w:rsid w:val="00796613"/>
    <w:rsid w:val="0079664B"/>
    <w:rsid w:val="007967E9"/>
    <w:rsid w:val="0079688C"/>
    <w:rsid w:val="00796C81"/>
    <w:rsid w:val="00796CB4"/>
    <w:rsid w:val="00796D8A"/>
    <w:rsid w:val="00796E87"/>
    <w:rsid w:val="007970CD"/>
    <w:rsid w:val="00797162"/>
    <w:rsid w:val="0079751D"/>
    <w:rsid w:val="00797671"/>
    <w:rsid w:val="0079776F"/>
    <w:rsid w:val="007977F6"/>
    <w:rsid w:val="007979EE"/>
    <w:rsid w:val="00797A1F"/>
    <w:rsid w:val="00797A93"/>
    <w:rsid w:val="00797B35"/>
    <w:rsid w:val="00797C21"/>
    <w:rsid w:val="00797C6D"/>
    <w:rsid w:val="00797C8A"/>
    <w:rsid w:val="007A010C"/>
    <w:rsid w:val="007A0434"/>
    <w:rsid w:val="007A06AA"/>
    <w:rsid w:val="007A091D"/>
    <w:rsid w:val="007A0AC6"/>
    <w:rsid w:val="007A0AFC"/>
    <w:rsid w:val="007A0D47"/>
    <w:rsid w:val="007A0D52"/>
    <w:rsid w:val="007A0E7F"/>
    <w:rsid w:val="007A1501"/>
    <w:rsid w:val="007A15BD"/>
    <w:rsid w:val="007A16F5"/>
    <w:rsid w:val="007A2075"/>
    <w:rsid w:val="007A21AE"/>
    <w:rsid w:val="007A2597"/>
    <w:rsid w:val="007A2687"/>
    <w:rsid w:val="007A2A88"/>
    <w:rsid w:val="007A2ECE"/>
    <w:rsid w:val="007A350A"/>
    <w:rsid w:val="007A36CE"/>
    <w:rsid w:val="007A3768"/>
    <w:rsid w:val="007A3872"/>
    <w:rsid w:val="007A39CC"/>
    <w:rsid w:val="007A3AD3"/>
    <w:rsid w:val="007A3AF4"/>
    <w:rsid w:val="007A3C33"/>
    <w:rsid w:val="007A3EB3"/>
    <w:rsid w:val="007A3FC9"/>
    <w:rsid w:val="007A4214"/>
    <w:rsid w:val="007A42C4"/>
    <w:rsid w:val="007A47C2"/>
    <w:rsid w:val="007A487D"/>
    <w:rsid w:val="007A4B27"/>
    <w:rsid w:val="007A4B38"/>
    <w:rsid w:val="007A4C6C"/>
    <w:rsid w:val="007A4D83"/>
    <w:rsid w:val="007A4F28"/>
    <w:rsid w:val="007A51D1"/>
    <w:rsid w:val="007A5612"/>
    <w:rsid w:val="007A597D"/>
    <w:rsid w:val="007A5AE7"/>
    <w:rsid w:val="007A5B75"/>
    <w:rsid w:val="007A5C2F"/>
    <w:rsid w:val="007A5D2A"/>
    <w:rsid w:val="007A5DE0"/>
    <w:rsid w:val="007A5DFF"/>
    <w:rsid w:val="007A5E92"/>
    <w:rsid w:val="007A5EBD"/>
    <w:rsid w:val="007A5F85"/>
    <w:rsid w:val="007A6226"/>
    <w:rsid w:val="007A6244"/>
    <w:rsid w:val="007A6265"/>
    <w:rsid w:val="007A632F"/>
    <w:rsid w:val="007A63F8"/>
    <w:rsid w:val="007A650D"/>
    <w:rsid w:val="007A671D"/>
    <w:rsid w:val="007A6778"/>
    <w:rsid w:val="007A695C"/>
    <w:rsid w:val="007A6B33"/>
    <w:rsid w:val="007A6B51"/>
    <w:rsid w:val="007A706A"/>
    <w:rsid w:val="007A729F"/>
    <w:rsid w:val="007A743B"/>
    <w:rsid w:val="007A752F"/>
    <w:rsid w:val="007A7657"/>
    <w:rsid w:val="007A7741"/>
    <w:rsid w:val="007A776B"/>
    <w:rsid w:val="007A777D"/>
    <w:rsid w:val="007A79BA"/>
    <w:rsid w:val="007A79BE"/>
    <w:rsid w:val="007A7A2A"/>
    <w:rsid w:val="007A7B2F"/>
    <w:rsid w:val="007A7B65"/>
    <w:rsid w:val="007A7D19"/>
    <w:rsid w:val="007A7D39"/>
    <w:rsid w:val="007A7E36"/>
    <w:rsid w:val="007A7E71"/>
    <w:rsid w:val="007B0097"/>
    <w:rsid w:val="007B032C"/>
    <w:rsid w:val="007B0400"/>
    <w:rsid w:val="007B057F"/>
    <w:rsid w:val="007B0698"/>
    <w:rsid w:val="007B070D"/>
    <w:rsid w:val="007B09C2"/>
    <w:rsid w:val="007B09FC"/>
    <w:rsid w:val="007B0AC7"/>
    <w:rsid w:val="007B0B34"/>
    <w:rsid w:val="007B0C83"/>
    <w:rsid w:val="007B1150"/>
    <w:rsid w:val="007B1190"/>
    <w:rsid w:val="007B123A"/>
    <w:rsid w:val="007B1285"/>
    <w:rsid w:val="007B159F"/>
    <w:rsid w:val="007B1621"/>
    <w:rsid w:val="007B169F"/>
    <w:rsid w:val="007B170C"/>
    <w:rsid w:val="007B174B"/>
    <w:rsid w:val="007B1D01"/>
    <w:rsid w:val="007B1D54"/>
    <w:rsid w:val="007B1EEF"/>
    <w:rsid w:val="007B201D"/>
    <w:rsid w:val="007B2127"/>
    <w:rsid w:val="007B2161"/>
    <w:rsid w:val="007B21FB"/>
    <w:rsid w:val="007B253B"/>
    <w:rsid w:val="007B254B"/>
    <w:rsid w:val="007B25C5"/>
    <w:rsid w:val="007B25E9"/>
    <w:rsid w:val="007B28C6"/>
    <w:rsid w:val="007B2902"/>
    <w:rsid w:val="007B2D1B"/>
    <w:rsid w:val="007B2D68"/>
    <w:rsid w:val="007B2ED7"/>
    <w:rsid w:val="007B2EE7"/>
    <w:rsid w:val="007B2F1F"/>
    <w:rsid w:val="007B323E"/>
    <w:rsid w:val="007B331D"/>
    <w:rsid w:val="007B337B"/>
    <w:rsid w:val="007B3574"/>
    <w:rsid w:val="007B35EF"/>
    <w:rsid w:val="007B365F"/>
    <w:rsid w:val="007B36E9"/>
    <w:rsid w:val="007B389B"/>
    <w:rsid w:val="007B3979"/>
    <w:rsid w:val="007B3B83"/>
    <w:rsid w:val="007B3BF6"/>
    <w:rsid w:val="007B4110"/>
    <w:rsid w:val="007B43AF"/>
    <w:rsid w:val="007B4462"/>
    <w:rsid w:val="007B4617"/>
    <w:rsid w:val="007B46B9"/>
    <w:rsid w:val="007B4784"/>
    <w:rsid w:val="007B4897"/>
    <w:rsid w:val="007B4995"/>
    <w:rsid w:val="007B4D94"/>
    <w:rsid w:val="007B4DF4"/>
    <w:rsid w:val="007B4F3D"/>
    <w:rsid w:val="007B4FAF"/>
    <w:rsid w:val="007B5199"/>
    <w:rsid w:val="007B51D2"/>
    <w:rsid w:val="007B5447"/>
    <w:rsid w:val="007B550A"/>
    <w:rsid w:val="007B5885"/>
    <w:rsid w:val="007B5899"/>
    <w:rsid w:val="007B5913"/>
    <w:rsid w:val="007B5C40"/>
    <w:rsid w:val="007B62C1"/>
    <w:rsid w:val="007B6555"/>
    <w:rsid w:val="007B6612"/>
    <w:rsid w:val="007B6721"/>
    <w:rsid w:val="007B6778"/>
    <w:rsid w:val="007B6785"/>
    <w:rsid w:val="007B67A9"/>
    <w:rsid w:val="007B6843"/>
    <w:rsid w:val="007B6853"/>
    <w:rsid w:val="007B6923"/>
    <w:rsid w:val="007B69E4"/>
    <w:rsid w:val="007B6AE2"/>
    <w:rsid w:val="007B6BAA"/>
    <w:rsid w:val="007B6BB2"/>
    <w:rsid w:val="007B6D79"/>
    <w:rsid w:val="007B6E04"/>
    <w:rsid w:val="007B7140"/>
    <w:rsid w:val="007B721C"/>
    <w:rsid w:val="007B722B"/>
    <w:rsid w:val="007B7345"/>
    <w:rsid w:val="007B7366"/>
    <w:rsid w:val="007B73F7"/>
    <w:rsid w:val="007B7540"/>
    <w:rsid w:val="007B767D"/>
    <w:rsid w:val="007B79A0"/>
    <w:rsid w:val="007B7B98"/>
    <w:rsid w:val="007B7BA4"/>
    <w:rsid w:val="007B7CED"/>
    <w:rsid w:val="007B7E09"/>
    <w:rsid w:val="007B7EA6"/>
    <w:rsid w:val="007C0083"/>
    <w:rsid w:val="007C02EC"/>
    <w:rsid w:val="007C02EE"/>
    <w:rsid w:val="007C03BF"/>
    <w:rsid w:val="007C078E"/>
    <w:rsid w:val="007C0792"/>
    <w:rsid w:val="007C07DC"/>
    <w:rsid w:val="007C0B54"/>
    <w:rsid w:val="007C0BE5"/>
    <w:rsid w:val="007C0CA1"/>
    <w:rsid w:val="007C1133"/>
    <w:rsid w:val="007C1150"/>
    <w:rsid w:val="007C1155"/>
    <w:rsid w:val="007C1395"/>
    <w:rsid w:val="007C13F9"/>
    <w:rsid w:val="007C1401"/>
    <w:rsid w:val="007C1543"/>
    <w:rsid w:val="007C1610"/>
    <w:rsid w:val="007C168D"/>
    <w:rsid w:val="007C1702"/>
    <w:rsid w:val="007C1809"/>
    <w:rsid w:val="007C1AA2"/>
    <w:rsid w:val="007C1AED"/>
    <w:rsid w:val="007C1BA0"/>
    <w:rsid w:val="007C1E38"/>
    <w:rsid w:val="007C1E71"/>
    <w:rsid w:val="007C1EA5"/>
    <w:rsid w:val="007C1EB9"/>
    <w:rsid w:val="007C1F08"/>
    <w:rsid w:val="007C20CD"/>
    <w:rsid w:val="007C2173"/>
    <w:rsid w:val="007C2368"/>
    <w:rsid w:val="007C2467"/>
    <w:rsid w:val="007C2564"/>
    <w:rsid w:val="007C2649"/>
    <w:rsid w:val="007C2802"/>
    <w:rsid w:val="007C29B3"/>
    <w:rsid w:val="007C2A9E"/>
    <w:rsid w:val="007C2AA1"/>
    <w:rsid w:val="007C2C59"/>
    <w:rsid w:val="007C323C"/>
    <w:rsid w:val="007C33E8"/>
    <w:rsid w:val="007C39BC"/>
    <w:rsid w:val="007C3A30"/>
    <w:rsid w:val="007C3D13"/>
    <w:rsid w:val="007C3FA5"/>
    <w:rsid w:val="007C4023"/>
    <w:rsid w:val="007C42E4"/>
    <w:rsid w:val="007C430A"/>
    <w:rsid w:val="007C4421"/>
    <w:rsid w:val="007C451C"/>
    <w:rsid w:val="007C461E"/>
    <w:rsid w:val="007C4968"/>
    <w:rsid w:val="007C4A2C"/>
    <w:rsid w:val="007C4B98"/>
    <w:rsid w:val="007C4C98"/>
    <w:rsid w:val="007C4D72"/>
    <w:rsid w:val="007C5075"/>
    <w:rsid w:val="007C5114"/>
    <w:rsid w:val="007C5133"/>
    <w:rsid w:val="007C5201"/>
    <w:rsid w:val="007C5269"/>
    <w:rsid w:val="007C52A1"/>
    <w:rsid w:val="007C5459"/>
    <w:rsid w:val="007C5550"/>
    <w:rsid w:val="007C564B"/>
    <w:rsid w:val="007C56B7"/>
    <w:rsid w:val="007C57C7"/>
    <w:rsid w:val="007C58B5"/>
    <w:rsid w:val="007C5912"/>
    <w:rsid w:val="007C5A47"/>
    <w:rsid w:val="007C5BA6"/>
    <w:rsid w:val="007C5C48"/>
    <w:rsid w:val="007C60C6"/>
    <w:rsid w:val="007C6208"/>
    <w:rsid w:val="007C645B"/>
    <w:rsid w:val="007C6525"/>
    <w:rsid w:val="007C6674"/>
    <w:rsid w:val="007C66C0"/>
    <w:rsid w:val="007C66EF"/>
    <w:rsid w:val="007C686A"/>
    <w:rsid w:val="007C6922"/>
    <w:rsid w:val="007C6AEA"/>
    <w:rsid w:val="007C6CF9"/>
    <w:rsid w:val="007C6DF9"/>
    <w:rsid w:val="007C7156"/>
    <w:rsid w:val="007C717B"/>
    <w:rsid w:val="007C7185"/>
    <w:rsid w:val="007C7195"/>
    <w:rsid w:val="007C7241"/>
    <w:rsid w:val="007C7250"/>
    <w:rsid w:val="007C7255"/>
    <w:rsid w:val="007C735D"/>
    <w:rsid w:val="007C7399"/>
    <w:rsid w:val="007C757D"/>
    <w:rsid w:val="007C75ED"/>
    <w:rsid w:val="007C7668"/>
    <w:rsid w:val="007C784E"/>
    <w:rsid w:val="007C7C3D"/>
    <w:rsid w:val="007C7E2D"/>
    <w:rsid w:val="007C7E8A"/>
    <w:rsid w:val="007C7EE0"/>
    <w:rsid w:val="007D0002"/>
    <w:rsid w:val="007D0277"/>
    <w:rsid w:val="007D02A2"/>
    <w:rsid w:val="007D040E"/>
    <w:rsid w:val="007D09CE"/>
    <w:rsid w:val="007D0BCF"/>
    <w:rsid w:val="007D0FE7"/>
    <w:rsid w:val="007D112B"/>
    <w:rsid w:val="007D1328"/>
    <w:rsid w:val="007D13C5"/>
    <w:rsid w:val="007D1F0F"/>
    <w:rsid w:val="007D2447"/>
    <w:rsid w:val="007D24B3"/>
    <w:rsid w:val="007D2663"/>
    <w:rsid w:val="007D269B"/>
    <w:rsid w:val="007D26C3"/>
    <w:rsid w:val="007D276E"/>
    <w:rsid w:val="007D2B19"/>
    <w:rsid w:val="007D2B2F"/>
    <w:rsid w:val="007D2E79"/>
    <w:rsid w:val="007D3021"/>
    <w:rsid w:val="007D308E"/>
    <w:rsid w:val="007D3117"/>
    <w:rsid w:val="007D31AD"/>
    <w:rsid w:val="007D33DE"/>
    <w:rsid w:val="007D33E6"/>
    <w:rsid w:val="007D34CD"/>
    <w:rsid w:val="007D3950"/>
    <w:rsid w:val="007D39BF"/>
    <w:rsid w:val="007D3A10"/>
    <w:rsid w:val="007D3CC9"/>
    <w:rsid w:val="007D3D16"/>
    <w:rsid w:val="007D3D42"/>
    <w:rsid w:val="007D3E27"/>
    <w:rsid w:val="007D3EF6"/>
    <w:rsid w:val="007D3FAD"/>
    <w:rsid w:val="007D405C"/>
    <w:rsid w:val="007D43DC"/>
    <w:rsid w:val="007D4933"/>
    <w:rsid w:val="007D4CD1"/>
    <w:rsid w:val="007D4D45"/>
    <w:rsid w:val="007D4D4C"/>
    <w:rsid w:val="007D4E58"/>
    <w:rsid w:val="007D4EC2"/>
    <w:rsid w:val="007D4F05"/>
    <w:rsid w:val="007D500E"/>
    <w:rsid w:val="007D519F"/>
    <w:rsid w:val="007D53B9"/>
    <w:rsid w:val="007D53FF"/>
    <w:rsid w:val="007D54E8"/>
    <w:rsid w:val="007D568D"/>
    <w:rsid w:val="007D573B"/>
    <w:rsid w:val="007D58B7"/>
    <w:rsid w:val="007D5A0A"/>
    <w:rsid w:val="007D5B8E"/>
    <w:rsid w:val="007D5C1A"/>
    <w:rsid w:val="007D5D51"/>
    <w:rsid w:val="007D5E02"/>
    <w:rsid w:val="007D5F24"/>
    <w:rsid w:val="007D66D2"/>
    <w:rsid w:val="007D6755"/>
    <w:rsid w:val="007D690E"/>
    <w:rsid w:val="007D6D44"/>
    <w:rsid w:val="007D6E2F"/>
    <w:rsid w:val="007D6EA3"/>
    <w:rsid w:val="007D6FA0"/>
    <w:rsid w:val="007D7153"/>
    <w:rsid w:val="007D7208"/>
    <w:rsid w:val="007D7625"/>
    <w:rsid w:val="007D7637"/>
    <w:rsid w:val="007D773B"/>
    <w:rsid w:val="007D7780"/>
    <w:rsid w:val="007D7902"/>
    <w:rsid w:val="007D7970"/>
    <w:rsid w:val="007D79E3"/>
    <w:rsid w:val="007D7A2A"/>
    <w:rsid w:val="007D7A36"/>
    <w:rsid w:val="007D7B11"/>
    <w:rsid w:val="007D7B8D"/>
    <w:rsid w:val="007D7BFF"/>
    <w:rsid w:val="007D7DC1"/>
    <w:rsid w:val="007D7EEE"/>
    <w:rsid w:val="007D7F37"/>
    <w:rsid w:val="007E0010"/>
    <w:rsid w:val="007E00E6"/>
    <w:rsid w:val="007E0304"/>
    <w:rsid w:val="007E037C"/>
    <w:rsid w:val="007E05DF"/>
    <w:rsid w:val="007E0616"/>
    <w:rsid w:val="007E06C8"/>
    <w:rsid w:val="007E073E"/>
    <w:rsid w:val="007E0C46"/>
    <w:rsid w:val="007E0D67"/>
    <w:rsid w:val="007E0D9C"/>
    <w:rsid w:val="007E0EB2"/>
    <w:rsid w:val="007E0EBF"/>
    <w:rsid w:val="007E0F19"/>
    <w:rsid w:val="007E0FDF"/>
    <w:rsid w:val="007E0FFD"/>
    <w:rsid w:val="007E10AC"/>
    <w:rsid w:val="007E1156"/>
    <w:rsid w:val="007E1204"/>
    <w:rsid w:val="007E1365"/>
    <w:rsid w:val="007E13E6"/>
    <w:rsid w:val="007E1434"/>
    <w:rsid w:val="007E1645"/>
    <w:rsid w:val="007E1698"/>
    <w:rsid w:val="007E19A3"/>
    <w:rsid w:val="007E1BF2"/>
    <w:rsid w:val="007E1F90"/>
    <w:rsid w:val="007E2130"/>
    <w:rsid w:val="007E21AB"/>
    <w:rsid w:val="007E22DF"/>
    <w:rsid w:val="007E24C0"/>
    <w:rsid w:val="007E26A3"/>
    <w:rsid w:val="007E26FC"/>
    <w:rsid w:val="007E2A08"/>
    <w:rsid w:val="007E2E90"/>
    <w:rsid w:val="007E2EA8"/>
    <w:rsid w:val="007E2FB0"/>
    <w:rsid w:val="007E2FD2"/>
    <w:rsid w:val="007E2FDC"/>
    <w:rsid w:val="007E3162"/>
    <w:rsid w:val="007E32B7"/>
    <w:rsid w:val="007E32E6"/>
    <w:rsid w:val="007E34D6"/>
    <w:rsid w:val="007E34F6"/>
    <w:rsid w:val="007E361C"/>
    <w:rsid w:val="007E361E"/>
    <w:rsid w:val="007E3780"/>
    <w:rsid w:val="007E37AE"/>
    <w:rsid w:val="007E37B9"/>
    <w:rsid w:val="007E3827"/>
    <w:rsid w:val="007E38A9"/>
    <w:rsid w:val="007E3921"/>
    <w:rsid w:val="007E3972"/>
    <w:rsid w:val="007E3F2E"/>
    <w:rsid w:val="007E4003"/>
    <w:rsid w:val="007E40CB"/>
    <w:rsid w:val="007E40D5"/>
    <w:rsid w:val="007E46A7"/>
    <w:rsid w:val="007E46CC"/>
    <w:rsid w:val="007E47CC"/>
    <w:rsid w:val="007E48F5"/>
    <w:rsid w:val="007E49BF"/>
    <w:rsid w:val="007E4BA2"/>
    <w:rsid w:val="007E4E75"/>
    <w:rsid w:val="007E4F6D"/>
    <w:rsid w:val="007E5003"/>
    <w:rsid w:val="007E50DD"/>
    <w:rsid w:val="007E5167"/>
    <w:rsid w:val="007E5385"/>
    <w:rsid w:val="007E5445"/>
    <w:rsid w:val="007E5475"/>
    <w:rsid w:val="007E5597"/>
    <w:rsid w:val="007E5663"/>
    <w:rsid w:val="007E572E"/>
    <w:rsid w:val="007E580A"/>
    <w:rsid w:val="007E5A64"/>
    <w:rsid w:val="007E5EBC"/>
    <w:rsid w:val="007E60D6"/>
    <w:rsid w:val="007E640B"/>
    <w:rsid w:val="007E6433"/>
    <w:rsid w:val="007E64A3"/>
    <w:rsid w:val="007E65CF"/>
    <w:rsid w:val="007E679B"/>
    <w:rsid w:val="007E68C8"/>
    <w:rsid w:val="007E6911"/>
    <w:rsid w:val="007E7048"/>
    <w:rsid w:val="007E706D"/>
    <w:rsid w:val="007E7176"/>
    <w:rsid w:val="007E71A3"/>
    <w:rsid w:val="007E721D"/>
    <w:rsid w:val="007E73D0"/>
    <w:rsid w:val="007E746C"/>
    <w:rsid w:val="007E789D"/>
    <w:rsid w:val="007E789F"/>
    <w:rsid w:val="007E7B0F"/>
    <w:rsid w:val="007E7BE6"/>
    <w:rsid w:val="007E7CD1"/>
    <w:rsid w:val="007E7F1F"/>
    <w:rsid w:val="007E7F75"/>
    <w:rsid w:val="007F0132"/>
    <w:rsid w:val="007F0438"/>
    <w:rsid w:val="007F04E5"/>
    <w:rsid w:val="007F06F0"/>
    <w:rsid w:val="007F081D"/>
    <w:rsid w:val="007F0A08"/>
    <w:rsid w:val="007F0A0D"/>
    <w:rsid w:val="007F0A49"/>
    <w:rsid w:val="007F0CAB"/>
    <w:rsid w:val="007F0E86"/>
    <w:rsid w:val="007F0F68"/>
    <w:rsid w:val="007F109D"/>
    <w:rsid w:val="007F10B7"/>
    <w:rsid w:val="007F12C0"/>
    <w:rsid w:val="007F12E2"/>
    <w:rsid w:val="007F12F9"/>
    <w:rsid w:val="007F1473"/>
    <w:rsid w:val="007F1646"/>
    <w:rsid w:val="007F16E9"/>
    <w:rsid w:val="007F18C6"/>
    <w:rsid w:val="007F1BC0"/>
    <w:rsid w:val="007F2269"/>
    <w:rsid w:val="007F23BD"/>
    <w:rsid w:val="007F2414"/>
    <w:rsid w:val="007F2582"/>
    <w:rsid w:val="007F2751"/>
    <w:rsid w:val="007F2791"/>
    <w:rsid w:val="007F2A10"/>
    <w:rsid w:val="007F2A17"/>
    <w:rsid w:val="007F2AA7"/>
    <w:rsid w:val="007F2AC5"/>
    <w:rsid w:val="007F2AD3"/>
    <w:rsid w:val="007F2F5B"/>
    <w:rsid w:val="007F3233"/>
    <w:rsid w:val="007F324E"/>
    <w:rsid w:val="007F3255"/>
    <w:rsid w:val="007F33A7"/>
    <w:rsid w:val="007F341E"/>
    <w:rsid w:val="007F3580"/>
    <w:rsid w:val="007F3789"/>
    <w:rsid w:val="007F3838"/>
    <w:rsid w:val="007F389D"/>
    <w:rsid w:val="007F3AC0"/>
    <w:rsid w:val="007F3BEB"/>
    <w:rsid w:val="007F3C56"/>
    <w:rsid w:val="007F3F15"/>
    <w:rsid w:val="007F3FDC"/>
    <w:rsid w:val="007F40B0"/>
    <w:rsid w:val="007F4266"/>
    <w:rsid w:val="007F43B2"/>
    <w:rsid w:val="007F45E0"/>
    <w:rsid w:val="007F45FD"/>
    <w:rsid w:val="007F465F"/>
    <w:rsid w:val="007F46AC"/>
    <w:rsid w:val="007F46E7"/>
    <w:rsid w:val="007F4707"/>
    <w:rsid w:val="007F47C8"/>
    <w:rsid w:val="007F492D"/>
    <w:rsid w:val="007F498F"/>
    <w:rsid w:val="007F49D7"/>
    <w:rsid w:val="007F4BB9"/>
    <w:rsid w:val="007F4D4E"/>
    <w:rsid w:val="007F4E4C"/>
    <w:rsid w:val="007F4EB0"/>
    <w:rsid w:val="007F539B"/>
    <w:rsid w:val="007F57DA"/>
    <w:rsid w:val="007F587E"/>
    <w:rsid w:val="007F5A5E"/>
    <w:rsid w:val="007F5C84"/>
    <w:rsid w:val="007F5C88"/>
    <w:rsid w:val="007F5F91"/>
    <w:rsid w:val="007F60E9"/>
    <w:rsid w:val="007F6133"/>
    <w:rsid w:val="007F617E"/>
    <w:rsid w:val="007F61F4"/>
    <w:rsid w:val="007F622C"/>
    <w:rsid w:val="007F6285"/>
    <w:rsid w:val="007F638B"/>
    <w:rsid w:val="007F63C0"/>
    <w:rsid w:val="007F6405"/>
    <w:rsid w:val="007F65EF"/>
    <w:rsid w:val="007F669E"/>
    <w:rsid w:val="007F683E"/>
    <w:rsid w:val="007F6A50"/>
    <w:rsid w:val="007F6D18"/>
    <w:rsid w:val="007F6FBF"/>
    <w:rsid w:val="007F704B"/>
    <w:rsid w:val="007F7439"/>
    <w:rsid w:val="007F7591"/>
    <w:rsid w:val="007F75C5"/>
    <w:rsid w:val="007F76CB"/>
    <w:rsid w:val="007F797B"/>
    <w:rsid w:val="007F79EF"/>
    <w:rsid w:val="007F7BF8"/>
    <w:rsid w:val="007F7CAF"/>
    <w:rsid w:val="007F7DF2"/>
    <w:rsid w:val="007F7E1E"/>
    <w:rsid w:val="007F7E47"/>
    <w:rsid w:val="007F7F6F"/>
    <w:rsid w:val="00800038"/>
    <w:rsid w:val="0080009F"/>
    <w:rsid w:val="008000A8"/>
    <w:rsid w:val="00800156"/>
    <w:rsid w:val="0080023A"/>
    <w:rsid w:val="008003E5"/>
    <w:rsid w:val="00800442"/>
    <w:rsid w:val="008006D4"/>
    <w:rsid w:val="0080070A"/>
    <w:rsid w:val="008007D9"/>
    <w:rsid w:val="00800940"/>
    <w:rsid w:val="00800BC6"/>
    <w:rsid w:val="00800D56"/>
    <w:rsid w:val="00800DE6"/>
    <w:rsid w:val="00800FD3"/>
    <w:rsid w:val="008010B1"/>
    <w:rsid w:val="008011B6"/>
    <w:rsid w:val="008011DC"/>
    <w:rsid w:val="00801237"/>
    <w:rsid w:val="00801291"/>
    <w:rsid w:val="008012BD"/>
    <w:rsid w:val="00801317"/>
    <w:rsid w:val="00801690"/>
    <w:rsid w:val="008018B5"/>
    <w:rsid w:val="00801974"/>
    <w:rsid w:val="008019E5"/>
    <w:rsid w:val="00801B6A"/>
    <w:rsid w:val="00801CB6"/>
    <w:rsid w:val="00801D7D"/>
    <w:rsid w:val="00801D8B"/>
    <w:rsid w:val="00802009"/>
    <w:rsid w:val="00802207"/>
    <w:rsid w:val="00802213"/>
    <w:rsid w:val="008023DA"/>
    <w:rsid w:val="008023E9"/>
    <w:rsid w:val="0080270F"/>
    <w:rsid w:val="0080283E"/>
    <w:rsid w:val="008029E3"/>
    <w:rsid w:val="00802AD6"/>
    <w:rsid w:val="00802C30"/>
    <w:rsid w:val="008032E4"/>
    <w:rsid w:val="008033E6"/>
    <w:rsid w:val="00803412"/>
    <w:rsid w:val="00803710"/>
    <w:rsid w:val="0080376B"/>
    <w:rsid w:val="00803800"/>
    <w:rsid w:val="00803969"/>
    <w:rsid w:val="00803A1C"/>
    <w:rsid w:val="00803BC1"/>
    <w:rsid w:val="00803DD1"/>
    <w:rsid w:val="00803F0A"/>
    <w:rsid w:val="00803F77"/>
    <w:rsid w:val="0080408F"/>
    <w:rsid w:val="0080419A"/>
    <w:rsid w:val="0080420E"/>
    <w:rsid w:val="008047FE"/>
    <w:rsid w:val="008049BC"/>
    <w:rsid w:val="00804B39"/>
    <w:rsid w:val="00804B6C"/>
    <w:rsid w:val="00804C0B"/>
    <w:rsid w:val="00804CFA"/>
    <w:rsid w:val="00804DF1"/>
    <w:rsid w:val="00804FF1"/>
    <w:rsid w:val="00805075"/>
    <w:rsid w:val="00805187"/>
    <w:rsid w:val="008051BB"/>
    <w:rsid w:val="00805410"/>
    <w:rsid w:val="008054E4"/>
    <w:rsid w:val="00805B6C"/>
    <w:rsid w:val="00805D94"/>
    <w:rsid w:val="00805E11"/>
    <w:rsid w:val="00805E66"/>
    <w:rsid w:val="00805E6B"/>
    <w:rsid w:val="0080622C"/>
    <w:rsid w:val="0080625B"/>
    <w:rsid w:val="00806298"/>
    <w:rsid w:val="0080658B"/>
    <w:rsid w:val="00806702"/>
    <w:rsid w:val="008067D0"/>
    <w:rsid w:val="008069E2"/>
    <w:rsid w:val="00806AEC"/>
    <w:rsid w:val="00806B5F"/>
    <w:rsid w:val="00806C5B"/>
    <w:rsid w:val="00806D36"/>
    <w:rsid w:val="00806D4A"/>
    <w:rsid w:val="00806D74"/>
    <w:rsid w:val="00806FEC"/>
    <w:rsid w:val="008072DA"/>
    <w:rsid w:val="008073E4"/>
    <w:rsid w:val="00807990"/>
    <w:rsid w:val="008079E5"/>
    <w:rsid w:val="00807A03"/>
    <w:rsid w:val="00807AD3"/>
    <w:rsid w:val="00807BB8"/>
    <w:rsid w:val="00807C12"/>
    <w:rsid w:val="00807E90"/>
    <w:rsid w:val="00807EA2"/>
    <w:rsid w:val="0081010B"/>
    <w:rsid w:val="0081032E"/>
    <w:rsid w:val="00810357"/>
    <w:rsid w:val="0081044C"/>
    <w:rsid w:val="008109EC"/>
    <w:rsid w:val="00810A2B"/>
    <w:rsid w:val="00810D39"/>
    <w:rsid w:val="00811018"/>
    <w:rsid w:val="0081112C"/>
    <w:rsid w:val="008111E7"/>
    <w:rsid w:val="0081169E"/>
    <w:rsid w:val="00811A1C"/>
    <w:rsid w:val="00811A2D"/>
    <w:rsid w:val="00811AC4"/>
    <w:rsid w:val="00811B46"/>
    <w:rsid w:val="00811E16"/>
    <w:rsid w:val="00811E40"/>
    <w:rsid w:val="00811F21"/>
    <w:rsid w:val="0081216D"/>
    <w:rsid w:val="00812214"/>
    <w:rsid w:val="008123C7"/>
    <w:rsid w:val="00812421"/>
    <w:rsid w:val="0081249C"/>
    <w:rsid w:val="008124A9"/>
    <w:rsid w:val="008124D4"/>
    <w:rsid w:val="0081262A"/>
    <w:rsid w:val="0081267B"/>
    <w:rsid w:val="00812816"/>
    <w:rsid w:val="008130C5"/>
    <w:rsid w:val="0081339B"/>
    <w:rsid w:val="008135B1"/>
    <w:rsid w:val="008136D5"/>
    <w:rsid w:val="00813A0A"/>
    <w:rsid w:val="00813AFA"/>
    <w:rsid w:val="00813D55"/>
    <w:rsid w:val="00813F68"/>
    <w:rsid w:val="00813FDC"/>
    <w:rsid w:val="0081416B"/>
    <w:rsid w:val="0081432B"/>
    <w:rsid w:val="008143E8"/>
    <w:rsid w:val="008143F2"/>
    <w:rsid w:val="008143FA"/>
    <w:rsid w:val="00814446"/>
    <w:rsid w:val="008145B2"/>
    <w:rsid w:val="008146CD"/>
    <w:rsid w:val="008146ED"/>
    <w:rsid w:val="0081476E"/>
    <w:rsid w:val="008147B3"/>
    <w:rsid w:val="00814803"/>
    <w:rsid w:val="0081481B"/>
    <w:rsid w:val="00814834"/>
    <w:rsid w:val="0081491A"/>
    <w:rsid w:val="008150CC"/>
    <w:rsid w:val="008151CC"/>
    <w:rsid w:val="008152C0"/>
    <w:rsid w:val="008152F0"/>
    <w:rsid w:val="008158BE"/>
    <w:rsid w:val="00815C5F"/>
    <w:rsid w:val="00815CFA"/>
    <w:rsid w:val="00815E59"/>
    <w:rsid w:val="00815E82"/>
    <w:rsid w:val="00815F35"/>
    <w:rsid w:val="00816084"/>
    <w:rsid w:val="00816188"/>
    <w:rsid w:val="00816538"/>
    <w:rsid w:val="00816827"/>
    <w:rsid w:val="008168D1"/>
    <w:rsid w:val="00816982"/>
    <w:rsid w:val="00816A37"/>
    <w:rsid w:val="00816AB8"/>
    <w:rsid w:val="00816AE8"/>
    <w:rsid w:val="00816CCD"/>
    <w:rsid w:val="00816D41"/>
    <w:rsid w:val="00817036"/>
    <w:rsid w:val="008170F7"/>
    <w:rsid w:val="008172A4"/>
    <w:rsid w:val="008172E4"/>
    <w:rsid w:val="008173AE"/>
    <w:rsid w:val="008173E1"/>
    <w:rsid w:val="008174F0"/>
    <w:rsid w:val="0081767C"/>
    <w:rsid w:val="008177B0"/>
    <w:rsid w:val="008178F3"/>
    <w:rsid w:val="0081791E"/>
    <w:rsid w:val="00817A4B"/>
    <w:rsid w:val="00817A7A"/>
    <w:rsid w:val="00817CA0"/>
    <w:rsid w:val="00817CAF"/>
    <w:rsid w:val="0082012C"/>
    <w:rsid w:val="00820225"/>
    <w:rsid w:val="00820237"/>
    <w:rsid w:val="0082027F"/>
    <w:rsid w:val="00820302"/>
    <w:rsid w:val="00820778"/>
    <w:rsid w:val="008207B7"/>
    <w:rsid w:val="00820859"/>
    <w:rsid w:val="00820C62"/>
    <w:rsid w:val="00820E69"/>
    <w:rsid w:val="00821084"/>
    <w:rsid w:val="0082109A"/>
    <w:rsid w:val="008216DF"/>
    <w:rsid w:val="0082184E"/>
    <w:rsid w:val="008218A2"/>
    <w:rsid w:val="008218F4"/>
    <w:rsid w:val="0082193F"/>
    <w:rsid w:val="00821A54"/>
    <w:rsid w:val="00821CD4"/>
    <w:rsid w:val="00821CF5"/>
    <w:rsid w:val="00821E58"/>
    <w:rsid w:val="00821E73"/>
    <w:rsid w:val="00821F56"/>
    <w:rsid w:val="00821F91"/>
    <w:rsid w:val="00821F99"/>
    <w:rsid w:val="00821FDD"/>
    <w:rsid w:val="008222BB"/>
    <w:rsid w:val="008222C0"/>
    <w:rsid w:val="008222DD"/>
    <w:rsid w:val="0082241E"/>
    <w:rsid w:val="00822624"/>
    <w:rsid w:val="00822815"/>
    <w:rsid w:val="00822929"/>
    <w:rsid w:val="00822AB3"/>
    <w:rsid w:val="00822ACD"/>
    <w:rsid w:val="00822B25"/>
    <w:rsid w:val="00822C32"/>
    <w:rsid w:val="00822EFD"/>
    <w:rsid w:val="00823015"/>
    <w:rsid w:val="00823096"/>
    <w:rsid w:val="008231F4"/>
    <w:rsid w:val="00823223"/>
    <w:rsid w:val="008232A1"/>
    <w:rsid w:val="008232E0"/>
    <w:rsid w:val="00823349"/>
    <w:rsid w:val="0082339B"/>
    <w:rsid w:val="00823620"/>
    <w:rsid w:val="008237D5"/>
    <w:rsid w:val="00823895"/>
    <w:rsid w:val="00823932"/>
    <w:rsid w:val="0082393E"/>
    <w:rsid w:val="00823CAC"/>
    <w:rsid w:val="00823CB1"/>
    <w:rsid w:val="00823E35"/>
    <w:rsid w:val="00824081"/>
    <w:rsid w:val="0082408E"/>
    <w:rsid w:val="008240C5"/>
    <w:rsid w:val="00824380"/>
    <w:rsid w:val="008243F2"/>
    <w:rsid w:val="00824464"/>
    <w:rsid w:val="0082458F"/>
    <w:rsid w:val="0082461D"/>
    <w:rsid w:val="008246AB"/>
    <w:rsid w:val="00824715"/>
    <w:rsid w:val="0082489C"/>
    <w:rsid w:val="008249A6"/>
    <w:rsid w:val="00824C2C"/>
    <w:rsid w:val="00824D2E"/>
    <w:rsid w:val="00824D50"/>
    <w:rsid w:val="00824DD6"/>
    <w:rsid w:val="00824F7C"/>
    <w:rsid w:val="0082510F"/>
    <w:rsid w:val="0082532B"/>
    <w:rsid w:val="0082556F"/>
    <w:rsid w:val="00825711"/>
    <w:rsid w:val="008257C2"/>
    <w:rsid w:val="00825A22"/>
    <w:rsid w:val="00825AA1"/>
    <w:rsid w:val="00825B1C"/>
    <w:rsid w:val="00825E4E"/>
    <w:rsid w:val="00825EBB"/>
    <w:rsid w:val="0082609C"/>
    <w:rsid w:val="00826299"/>
    <w:rsid w:val="008263AE"/>
    <w:rsid w:val="00826464"/>
    <w:rsid w:val="00826471"/>
    <w:rsid w:val="00826609"/>
    <w:rsid w:val="0082662A"/>
    <w:rsid w:val="00826734"/>
    <w:rsid w:val="00826775"/>
    <w:rsid w:val="0082678B"/>
    <w:rsid w:val="008267C6"/>
    <w:rsid w:val="0082687B"/>
    <w:rsid w:val="008269DA"/>
    <w:rsid w:val="008269ED"/>
    <w:rsid w:val="00826DDE"/>
    <w:rsid w:val="00826E27"/>
    <w:rsid w:val="00827340"/>
    <w:rsid w:val="00827359"/>
    <w:rsid w:val="00827382"/>
    <w:rsid w:val="008273F6"/>
    <w:rsid w:val="008274F9"/>
    <w:rsid w:val="00827519"/>
    <w:rsid w:val="00827670"/>
    <w:rsid w:val="008276C9"/>
    <w:rsid w:val="008277EB"/>
    <w:rsid w:val="00827881"/>
    <w:rsid w:val="00827918"/>
    <w:rsid w:val="0082797F"/>
    <w:rsid w:val="008279C2"/>
    <w:rsid w:val="00827A47"/>
    <w:rsid w:val="00827B1E"/>
    <w:rsid w:val="00827B9E"/>
    <w:rsid w:val="00827BF4"/>
    <w:rsid w:val="00827D74"/>
    <w:rsid w:val="00827E48"/>
    <w:rsid w:val="0083001D"/>
    <w:rsid w:val="008300F7"/>
    <w:rsid w:val="008301F6"/>
    <w:rsid w:val="0083032F"/>
    <w:rsid w:val="008304A5"/>
    <w:rsid w:val="008306B4"/>
    <w:rsid w:val="0083091D"/>
    <w:rsid w:val="00830A7B"/>
    <w:rsid w:val="00830CAE"/>
    <w:rsid w:val="00830CC9"/>
    <w:rsid w:val="00830D18"/>
    <w:rsid w:val="00830D22"/>
    <w:rsid w:val="00830E86"/>
    <w:rsid w:val="008310CD"/>
    <w:rsid w:val="00831129"/>
    <w:rsid w:val="00831147"/>
    <w:rsid w:val="0083146C"/>
    <w:rsid w:val="0083171B"/>
    <w:rsid w:val="00831847"/>
    <w:rsid w:val="00831AFE"/>
    <w:rsid w:val="00831C69"/>
    <w:rsid w:val="00831DD2"/>
    <w:rsid w:val="0083208E"/>
    <w:rsid w:val="008320DD"/>
    <w:rsid w:val="0083216A"/>
    <w:rsid w:val="00832201"/>
    <w:rsid w:val="008323F4"/>
    <w:rsid w:val="00832423"/>
    <w:rsid w:val="008325E3"/>
    <w:rsid w:val="00832D63"/>
    <w:rsid w:val="00832F42"/>
    <w:rsid w:val="0083337F"/>
    <w:rsid w:val="008338ED"/>
    <w:rsid w:val="008338EE"/>
    <w:rsid w:val="00833DC5"/>
    <w:rsid w:val="00833E9D"/>
    <w:rsid w:val="0083403C"/>
    <w:rsid w:val="0083409E"/>
    <w:rsid w:val="00834239"/>
    <w:rsid w:val="008342B8"/>
    <w:rsid w:val="008342EE"/>
    <w:rsid w:val="008344BC"/>
    <w:rsid w:val="008345A3"/>
    <w:rsid w:val="0083479B"/>
    <w:rsid w:val="00834885"/>
    <w:rsid w:val="00834A62"/>
    <w:rsid w:val="00834E11"/>
    <w:rsid w:val="00834EB6"/>
    <w:rsid w:val="00834F27"/>
    <w:rsid w:val="008350D5"/>
    <w:rsid w:val="008351AD"/>
    <w:rsid w:val="0083529E"/>
    <w:rsid w:val="00835314"/>
    <w:rsid w:val="0083532C"/>
    <w:rsid w:val="008354A9"/>
    <w:rsid w:val="00835674"/>
    <w:rsid w:val="00835855"/>
    <w:rsid w:val="00835A7C"/>
    <w:rsid w:val="00835A86"/>
    <w:rsid w:val="00835BEE"/>
    <w:rsid w:val="00835E6C"/>
    <w:rsid w:val="008360AC"/>
    <w:rsid w:val="00836133"/>
    <w:rsid w:val="008363CB"/>
    <w:rsid w:val="008367BD"/>
    <w:rsid w:val="008369DC"/>
    <w:rsid w:val="00836B84"/>
    <w:rsid w:val="00836B9D"/>
    <w:rsid w:val="00836E1B"/>
    <w:rsid w:val="00836E33"/>
    <w:rsid w:val="00837218"/>
    <w:rsid w:val="0083750F"/>
    <w:rsid w:val="00837946"/>
    <w:rsid w:val="00837C92"/>
    <w:rsid w:val="00840000"/>
    <w:rsid w:val="008400DE"/>
    <w:rsid w:val="00840104"/>
    <w:rsid w:val="00840163"/>
    <w:rsid w:val="008401E2"/>
    <w:rsid w:val="00840290"/>
    <w:rsid w:val="00840414"/>
    <w:rsid w:val="0084046B"/>
    <w:rsid w:val="00840481"/>
    <w:rsid w:val="0084061A"/>
    <w:rsid w:val="00840709"/>
    <w:rsid w:val="00840717"/>
    <w:rsid w:val="0084084A"/>
    <w:rsid w:val="008408C6"/>
    <w:rsid w:val="00840C65"/>
    <w:rsid w:val="00840D3D"/>
    <w:rsid w:val="00840DD1"/>
    <w:rsid w:val="00840FFB"/>
    <w:rsid w:val="0084114B"/>
    <w:rsid w:val="008411AF"/>
    <w:rsid w:val="00841245"/>
    <w:rsid w:val="0084127F"/>
    <w:rsid w:val="008413AA"/>
    <w:rsid w:val="00841574"/>
    <w:rsid w:val="0084163A"/>
    <w:rsid w:val="008416A5"/>
    <w:rsid w:val="008418B9"/>
    <w:rsid w:val="0084192C"/>
    <w:rsid w:val="00841A4D"/>
    <w:rsid w:val="00841E24"/>
    <w:rsid w:val="00841EFC"/>
    <w:rsid w:val="00841F51"/>
    <w:rsid w:val="00841FE5"/>
    <w:rsid w:val="0084218A"/>
    <w:rsid w:val="008421AF"/>
    <w:rsid w:val="0084221E"/>
    <w:rsid w:val="0084237E"/>
    <w:rsid w:val="00842427"/>
    <w:rsid w:val="0084264C"/>
    <w:rsid w:val="00842748"/>
    <w:rsid w:val="008429FF"/>
    <w:rsid w:val="00842B19"/>
    <w:rsid w:val="00842C8F"/>
    <w:rsid w:val="00842D8C"/>
    <w:rsid w:val="00842DBA"/>
    <w:rsid w:val="00843100"/>
    <w:rsid w:val="00843160"/>
    <w:rsid w:val="0084326F"/>
    <w:rsid w:val="0084332A"/>
    <w:rsid w:val="00843407"/>
    <w:rsid w:val="0084356D"/>
    <w:rsid w:val="00843594"/>
    <w:rsid w:val="0084369E"/>
    <w:rsid w:val="008437A1"/>
    <w:rsid w:val="008437D3"/>
    <w:rsid w:val="008438BB"/>
    <w:rsid w:val="008438E6"/>
    <w:rsid w:val="00843BEF"/>
    <w:rsid w:val="00843D28"/>
    <w:rsid w:val="00843DEE"/>
    <w:rsid w:val="00843E1A"/>
    <w:rsid w:val="00843EB2"/>
    <w:rsid w:val="00843EE6"/>
    <w:rsid w:val="00843FBF"/>
    <w:rsid w:val="008440D5"/>
    <w:rsid w:val="00844508"/>
    <w:rsid w:val="00844609"/>
    <w:rsid w:val="00844745"/>
    <w:rsid w:val="00844811"/>
    <w:rsid w:val="00844ADE"/>
    <w:rsid w:val="00844AE4"/>
    <w:rsid w:val="00844B95"/>
    <w:rsid w:val="00844D33"/>
    <w:rsid w:val="00844F76"/>
    <w:rsid w:val="00845141"/>
    <w:rsid w:val="008451B4"/>
    <w:rsid w:val="0084533F"/>
    <w:rsid w:val="00845475"/>
    <w:rsid w:val="008454F5"/>
    <w:rsid w:val="00845547"/>
    <w:rsid w:val="00845731"/>
    <w:rsid w:val="008459ED"/>
    <w:rsid w:val="00845A19"/>
    <w:rsid w:val="00845C44"/>
    <w:rsid w:val="00845E1F"/>
    <w:rsid w:val="00845EA0"/>
    <w:rsid w:val="00845F8F"/>
    <w:rsid w:val="00845FAD"/>
    <w:rsid w:val="008464E1"/>
    <w:rsid w:val="008468D3"/>
    <w:rsid w:val="008469B2"/>
    <w:rsid w:val="008469FA"/>
    <w:rsid w:val="00846B0A"/>
    <w:rsid w:val="00846C6C"/>
    <w:rsid w:val="00846C8C"/>
    <w:rsid w:val="00846D26"/>
    <w:rsid w:val="00846D63"/>
    <w:rsid w:val="00846F82"/>
    <w:rsid w:val="00847145"/>
    <w:rsid w:val="008471A1"/>
    <w:rsid w:val="008471B9"/>
    <w:rsid w:val="0084721F"/>
    <w:rsid w:val="008472D7"/>
    <w:rsid w:val="008473C3"/>
    <w:rsid w:val="008473C7"/>
    <w:rsid w:val="008474F1"/>
    <w:rsid w:val="00847A43"/>
    <w:rsid w:val="00847AD6"/>
    <w:rsid w:val="00847BDE"/>
    <w:rsid w:val="00847D0A"/>
    <w:rsid w:val="00847D31"/>
    <w:rsid w:val="00847E16"/>
    <w:rsid w:val="0085000B"/>
    <w:rsid w:val="008500CC"/>
    <w:rsid w:val="00850187"/>
    <w:rsid w:val="0085034E"/>
    <w:rsid w:val="00850812"/>
    <w:rsid w:val="008509FA"/>
    <w:rsid w:val="00850BC1"/>
    <w:rsid w:val="00850CFC"/>
    <w:rsid w:val="00850E5F"/>
    <w:rsid w:val="00850EB9"/>
    <w:rsid w:val="00851049"/>
    <w:rsid w:val="00851166"/>
    <w:rsid w:val="008513A1"/>
    <w:rsid w:val="008513B5"/>
    <w:rsid w:val="008513E5"/>
    <w:rsid w:val="008518BB"/>
    <w:rsid w:val="0085199E"/>
    <w:rsid w:val="008519FB"/>
    <w:rsid w:val="00851A46"/>
    <w:rsid w:val="00851B2D"/>
    <w:rsid w:val="00851C2C"/>
    <w:rsid w:val="008521BD"/>
    <w:rsid w:val="008521D5"/>
    <w:rsid w:val="008522A4"/>
    <w:rsid w:val="008522AA"/>
    <w:rsid w:val="0085241D"/>
    <w:rsid w:val="00852555"/>
    <w:rsid w:val="008525B1"/>
    <w:rsid w:val="00852773"/>
    <w:rsid w:val="00852AB6"/>
    <w:rsid w:val="00852AD9"/>
    <w:rsid w:val="00852BD9"/>
    <w:rsid w:val="00852E44"/>
    <w:rsid w:val="00852E6F"/>
    <w:rsid w:val="00852F33"/>
    <w:rsid w:val="0085307B"/>
    <w:rsid w:val="008530D4"/>
    <w:rsid w:val="008534FE"/>
    <w:rsid w:val="0085366E"/>
    <w:rsid w:val="008536C8"/>
    <w:rsid w:val="00853820"/>
    <w:rsid w:val="00853858"/>
    <w:rsid w:val="0085388B"/>
    <w:rsid w:val="00853B2B"/>
    <w:rsid w:val="00853B96"/>
    <w:rsid w:val="00853BA5"/>
    <w:rsid w:val="00853C4B"/>
    <w:rsid w:val="00853F63"/>
    <w:rsid w:val="00853FA7"/>
    <w:rsid w:val="0085402F"/>
    <w:rsid w:val="00854418"/>
    <w:rsid w:val="00854707"/>
    <w:rsid w:val="00854832"/>
    <w:rsid w:val="00854A77"/>
    <w:rsid w:val="00854B73"/>
    <w:rsid w:val="00854DFD"/>
    <w:rsid w:val="00854F26"/>
    <w:rsid w:val="00854FD2"/>
    <w:rsid w:val="0085507B"/>
    <w:rsid w:val="0085511A"/>
    <w:rsid w:val="008553AC"/>
    <w:rsid w:val="00855515"/>
    <w:rsid w:val="00855742"/>
    <w:rsid w:val="00855899"/>
    <w:rsid w:val="00855AC9"/>
    <w:rsid w:val="00855C15"/>
    <w:rsid w:val="00855CB9"/>
    <w:rsid w:val="00855FE5"/>
    <w:rsid w:val="00856054"/>
    <w:rsid w:val="00856085"/>
    <w:rsid w:val="008562F1"/>
    <w:rsid w:val="0085648E"/>
    <w:rsid w:val="0085666B"/>
    <w:rsid w:val="008566FA"/>
    <w:rsid w:val="00856922"/>
    <w:rsid w:val="0085693A"/>
    <w:rsid w:val="008569D7"/>
    <w:rsid w:val="008569DD"/>
    <w:rsid w:val="00856AB8"/>
    <w:rsid w:val="00856D94"/>
    <w:rsid w:val="00856DD1"/>
    <w:rsid w:val="00856E32"/>
    <w:rsid w:val="00856E85"/>
    <w:rsid w:val="00856ECC"/>
    <w:rsid w:val="00856F24"/>
    <w:rsid w:val="00857161"/>
    <w:rsid w:val="00857184"/>
    <w:rsid w:val="008571F2"/>
    <w:rsid w:val="00857232"/>
    <w:rsid w:val="0085739B"/>
    <w:rsid w:val="00857B26"/>
    <w:rsid w:val="00857B83"/>
    <w:rsid w:val="00857E43"/>
    <w:rsid w:val="00860038"/>
    <w:rsid w:val="0086021C"/>
    <w:rsid w:val="00860596"/>
    <w:rsid w:val="008606F8"/>
    <w:rsid w:val="00860709"/>
    <w:rsid w:val="00860716"/>
    <w:rsid w:val="00860A70"/>
    <w:rsid w:val="00860B72"/>
    <w:rsid w:val="00860BDC"/>
    <w:rsid w:val="00860CD4"/>
    <w:rsid w:val="00860F3B"/>
    <w:rsid w:val="00860F60"/>
    <w:rsid w:val="008610D6"/>
    <w:rsid w:val="008610E3"/>
    <w:rsid w:val="00861141"/>
    <w:rsid w:val="00861156"/>
    <w:rsid w:val="008612D6"/>
    <w:rsid w:val="00861346"/>
    <w:rsid w:val="008613CF"/>
    <w:rsid w:val="008615CF"/>
    <w:rsid w:val="0086166F"/>
    <w:rsid w:val="0086184B"/>
    <w:rsid w:val="008619FD"/>
    <w:rsid w:val="00861BAC"/>
    <w:rsid w:val="00861D3E"/>
    <w:rsid w:val="00861EA2"/>
    <w:rsid w:val="00861F35"/>
    <w:rsid w:val="00861FD6"/>
    <w:rsid w:val="0086203F"/>
    <w:rsid w:val="00862102"/>
    <w:rsid w:val="00862170"/>
    <w:rsid w:val="00862233"/>
    <w:rsid w:val="008622C5"/>
    <w:rsid w:val="008623FF"/>
    <w:rsid w:val="0086246D"/>
    <w:rsid w:val="008624D8"/>
    <w:rsid w:val="00862696"/>
    <w:rsid w:val="008627EF"/>
    <w:rsid w:val="0086291F"/>
    <w:rsid w:val="00862AB4"/>
    <w:rsid w:val="00862B5E"/>
    <w:rsid w:val="00862BAC"/>
    <w:rsid w:val="00863123"/>
    <w:rsid w:val="0086340B"/>
    <w:rsid w:val="008637DD"/>
    <w:rsid w:val="00863D81"/>
    <w:rsid w:val="00864572"/>
    <w:rsid w:val="0086457A"/>
    <w:rsid w:val="00864695"/>
    <w:rsid w:val="00864701"/>
    <w:rsid w:val="008647BB"/>
    <w:rsid w:val="00864A6D"/>
    <w:rsid w:val="00864CF6"/>
    <w:rsid w:val="0086505A"/>
    <w:rsid w:val="0086530A"/>
    <w:rsid w:val="00865505"/>
    <w:rsid w:val="0086550D"/>
    <w:rsid w:val="00865570"/>
    <w:rsid w:val="00865649"/>
    <w:rsid w:val="00865A53"/>
    <w:rsid w:val="00865C69"/>
    <w:rsid w:val="00865CEB"/>
    <w:rsid w:val="00865F81"/>
    <w:rsid w:val="00865FFA"/>
    <w:rsid w:val="00866062"/>
    <w:rsid w:val="0086608B"/>
    <w:rsid w:val="008660A8"/>
    <w:rsid w:val="008661D8"/>
    <w:rsid w:val="00866371"/>
    <w:rsid w:val="00866445"/>
    <w:rsid w:val="00866460"/>
    <w:rsid w:val="008664A6"/>
    <w:rsid w:val="008665C2"/>
    <w:rsid w:val="0086666C"/>
    <w:rsid w:val="00866754"/>
    <w:rsid w:val="008669B1"/>
    <w:rsid w:val="00866A93"/>
    <w:rsid w:val="00866F3D"/>
    <w:rsid w:val="00866F7F"/>
    <w:rsid w:val="00867010"/>
    <w:rsid w:val="00867018"/>
    <w:rsid w:val="008670AD"/>
    <w:rsid w:val="008670D1"/>
    <w:rsid w:val="0086714C"/>
    <w:rsid w:val="008671A6"/>
    <w:rsid w:val="00867815"/>
    <w:rsid w:val="00867A5D"/>
    <w:rsid w:val="00867B2B"/>
    <w:rsid w:val="00867BA8"/>
    <w:rsid w:val="00867C39"/>
    <w:rsid w:val="00867DA2"/>
    <w:rsid w:val="00867ECB"/>
    <w:rsid w:val="00867EEE"/>
    <w:rsid w:val="00867F06"/>
    <w:rsid w:val="00867F82"/>
    <w:rsid w:val="00867FDA"/>
    <w:rsid w:val="0087004A"/>
    <w:rsid w:val="008700D7"/>
    <w:rsid w:val="0087011D"/>
    <w:rsid w:val="008701E8"/>
    <w:rsid w:val="0087030A"/>
    <w:rsid w:val="008703FD"/>
    <w:rsid w:val="00870407"/>
    <w:rsid w:val="008704E9"/>
    <w:rsid w:val="00870610"/>
    <w:rsid w:val="00870693"/>
    <w:rsid w:val="008707BC"/>
    <w:rsid w:val="00870A56"/>
    <w:rsid w:val="00870BFF"/>
    <w:rsid w:val="00870C8A"/>
    <w:rsid w:val="00870CE8"/>
    <w:rsid w:val="00870D78"/>
    <w:rsid w:val="00870D83"/>
    <w:rsid w:val="00870EB8"/>
    <w:rsid w:val="0087100E"/>
    <w:rsid w:val="00871041"/>
    <w:rsid w:val="00871166"/>
    <w:rsid w:val="00871284"/>
    <w:rsid w:val="00871389"/>
    <w:rsid w:val="00871390"/>
    <w:rsid w:val="008714CF"/>
    <w:rsid w:val="008714EF"/>
    <w:rsid w:val="008714FE"/>
    <w:rsid w:val="00871548"/>
    <w:rsid w:val="00871611"/>
    <w:rsid w:val="0087170F"/>
    <w:rsid w:val="008717C2"/>
    <w:rsid w:val="008717EB"/>
    <w:rsid w:val="00871852"/>
    <w:rsid w:val="00871884"/>
    <w:rsid w:val="00871A32"/>
    <w:rsid w:val="00871A3A"/>
    <w:rsid w:val="0087228F"/>
    <w:rsid w:val="00872368"/>
    <w:rsid w:val="00872464"/>
    <w:rsid w:val="00872484"/>
    <w:rsid w:val="00872552"/>
    <w:rsid w:val="0087265E"/>
    <w:rsid w:val="008726A2"/>
    <w:rsid w:val="00872805"/>
    <w:rsid w:val="008728CE"/>
    <w:rsid w:val="00872952"/>
    <w:rsid w:val="00872964"/>
    <w:rsid w:val="00872CB6"/>
    <w:rsid w:val="00872D20"/>
    <w:rsid w:val="00872D65"/>
    <w:rsid w:val="00872E02"/>
    <w:rsid w:val="00872E96"/>
    <w:rsid w:val="00872EC3"/>
    <w:rsid w:val="00872F48"/>
    <w:rsid w:val="00873212"/>
    <w:rsid w:val="0087341A"/>
    <w:rsid w:val="00873734"/>
    <w:rsid w:val="00873763"/>
    <w:rsid w:val="008737D6"/>
    <w:rsid w:val="0087382B"/>
    <w:rsid w:val="00873967"/>
    <w:rsid w:val="00873985"/>
    <w:rsid w:val="008739F7"/>
    <w:rsid w:val="00873A5A"/>
    <w:rsid w:val="00873AD2"/>
    <w:rsid w:val="00873B1A"/>
    <w:rsid w:val="00873EEE"/>
    <w:rsid w:val="008740C1"/>
    <w:rsid w:val="008742E4"/>
    <w:rsid w:val="008746B4"/>
    <w:rsid w:val="0087486C"/>
    <w:rsid w:val="008748E2"/>
    <w:rsid w:val="00874920"/>
    <w:rsid w:val="0087509A"/>
    <w:rsid w:val="00875127"/>
    <w:rsid w:val="0087522F"/>
    <w:rsid w:val="008752F3"/>
    <w:rsid w:val="00875450"/>
    <w:rsid w:val="00875757"/>
    <w:rsid w:val="008757B9"/>
    <w:rsid w:val="00875917"/>
    <w:rsid w:val="00875B08"/>
    <w:rsid w:val="00875EBB"/>
    <w:rsid w:val="00875ECD"/>
    <w:rsid w:val="00875FD5"/>
    <w:rsid w:val="00876136"/>
    <w:rsid w:val="0087627B"/>
    <w:rsid w:val="008763AE"/>
    <w:rsid w:val="00876596"/>
    <w:rsid w:val="00876703"/>
    <w:rsid w:val="00876AAF"/>
    <w:rsid w:val="00876AB4"/>
    <w:rsid w:val="00876B55"/>
    <w:rsid w:val="00876C00"/>
    <w:rsid w:val="00876CC8"/>
    <w:rsid w:val="00876E84"/>
    <w:rsid w:val="00876F94"/>
    <w:rsid w:val="0087722D"/>
    <w:rsid w:val="008772C8"/>
    <w:rsid w:val="00877441"/>
    <w:rsid w:val="00877783"/>
    <w:rsid w:val="00877863"/>
    <w:rsid w:val="00877870"/>
    <w:rsid w:val="0087790E"/>
    <w:rsid w:val="00877926"/>
    <w:rsid w:val="008779F3"/>
    <w:rsid w:val="00877A66"/>
    <w:rsid w:val="00877CB1"/>
    <w:rsid w:val="00877CC9"/>
    <w:rsid w:val="00877CF4"/>
    <w:rsid w:val="00877D60"/>
    <w:rsid w:val="00877EF4"/>
    <w:rsid w:val="008807A0"/>
    <w:rsid w:val="008807F2"/>
    <w:rsid w:val="00880856"/>
    <w:rsid w:val="0088086F"/>
    <w:rsid w:val="008808CF"/>
    <w:rsid w:val="008808D4"/>
    <w:rsid w:val="00880EC5"/>
    <w:rsid w:val="00880EC7"/>
    <w:rsid w:val="00880EEA"/>
    <w:rsid w:val="00880F15"/>
    <w:rsid w:val="008811F8"/>
    <w:rsid w:val="008813B5"/>
    <w:rsid w:val="008814B1"/>
    <w:rsid w:val="008814BF"/>
    <w:rsid w:val="00881501"/>
    <w:rsid w:val="00881A16"/>
    <w:rsid w:val="00881A17"/>
    <w:rsid w:val="00881BBA"/>
    <w:rsid w:val="00881FEF"/>
    <w:rsid w:val="0088203D"/>
    <w:rsid w:val="00882277"/>
    <w:rsid w:val="00882378"/>
    <w:rsid w:val="00882492"/>
    <w:rsid w:val="0088263F"/>
    <w:rsid w:val="00882714"/>
    <w:rsid w:val="00882832"/>
    <w:rsid w:val="00882966"/>
    <w:rsid w:val="008829E0"/>
    <w:rsid w:val="00882AC9"/>
    <w:rsid w:val="00882BA4"/>
    <w:rsid w:val="00882BC4"/>
    <w:rsid w:val="00882BF0"/>
    <w:rsid w:val="00882E0D"/>
    <w:rsid w:val="00882F0D"/>
    <w:rsid w:val="008830D9"/>
    <w:rsid w:val="00883353"/>
    <w:rsid w:val="008833F3"/>
    <w:rsid w:val="008836CB"/>
    <w:rsid w:val="0088376E"/>
    <w:rsid w:val="00883B8D"/>
    <w:rsid w:val="00883BB0"/>
    <w:rsid w:val="00883C14"/>
    <w:rsid w:val="00883E0E"/>
    <w:rsid w:val="00883E88"/>
    <w:rsid w:val="008840B8"/>
    <w:rsid w:val="00884145"/>
    <w:rsid w:val="0088421F"/>
    <w:rsid w:val="00884255"/>
    <w:rsid w:val="008843A2"/>
    <w:rsid w:val="00884447"/>
    <w:rsid w:val="00884878"/>
    <w:rsid w:val="00884AB7"/>
    <w:rsid w:val="00884D8A"/>
    <w:rsid w:val="00884E6A"/>
    <w:rsid w:val="00884FE7"/>
    <w:rsid w:val="008850B2"/>
    <w:rsid w:val="008851D6"/>
    <w:rsid w:val="008853BD"/>
    <w:rsid w:val="008859CC"/>
    <w:rsid w:val="00885D09"/>
    <w:rsid w:val="00885D30"/>
    <w:rsid w:val="00885EB5"/>
    <w:rsid w:val="00885F9E"/>
    <w:rsid w:val="00885FD1"/>
    <w:rsid w:val="008860FA"/>
    <w:rsid w:val="00886278"/>
    <w:rsid w:val="008863DF"/>
    <w:rsid w:val="008864DB"/>
    <w:rsid w:val="00886565"/>
    <w:rsid w:val="008866A0"/>
    <w:rsid w:val="00886727"/>
    <w:rsid w:val="008867DE"/>
    <w:rsid w:val="0088681C"/>
    <w:rsid w:val="008868CE"/>
    <w:rsid w:val="0088691B"/>
    <w:rsid w:val="008869FA"/>
    <w:rsid w:val="00886D75"/>
    <w:rsid w:val="00886E43"/>
    <w:rsid w:val="00886E4E"/>
    <w:rsid w:val="00886E8B"/>
    <w:rsid w:val="008871DF"/>
    <w:rsid w:val="00887213"/>
    <w:rsid w:val="00887473"/>
    <w:rsid w:val="008874D0"/>
    <w:rsid w:val="008878D8"/>
    <w:rsid w:val="008879A7"/>
    <w:rsid w:val="00887D1E"/>
    <w:rsid w:val="00887D4D"/>
    <w:rsid w:val="00887E46"/>
    <w:rsid w:val="008900BA"/>
    <w:rsid w:val="008902D0"/>
    <w:rsid w:val="008902DE"/>
    <w:rsid w:val="0089070F"/>
    <w:rsid w:val="0089095B"/>
    <w:rsid w:val="00890A07"/>
    <w:rsid w:val="00890A10"/>
    <w:rsid w:val="00890D9A"/>
    <w:rsid w:val="00890F58"/>
    <w:rsid w:val="00890FEA"/>
    <w:rsid w:val="00891160"/>
    <w:rsid w:val="008913A5"/>
    <w:rsid w:val="00891674"/>
    <w:rsid w:val="00891733"/>
    <w:rsid w:val="00891854"/>
    <w:rsid w:val="008918B4"/>
    <w:rsid w:val="00891981"/>
    <w:rsid w:val="00891B05"/>
    <w:rsid w:val="00891B6B"/>
    <w:rsid w:val="008921D4"/>
    <w:rsid w:val="00892347"/>
    <w:rsid w:val="00892460"/>
    <w:rsid w:val="00892612"/>
    <w:rsid w:val="00892750"/>
    <w:rsid w:val="0089283E"/>
    <w:rsid w:val="00892904"/>
    <w:rsid w:val="00892929"/>
    <w:rsid w:val="008929FD"/>
    <w:rsid w:val="00892AA9"/>
    <w:rsid w:val="00892AC2"/>
    <w:rsid w:val="00892B38"/>
    <w:rsid w:val="00892C70"/>
    <w:rsid w:val="00892D95"/>
    <w:rsid w:val="00892D9D"/>
    <w:rsid w:val="00892EE8"/>
    <w:rsid w:val="00893161"/>
    <w:rsid w:val="00893191"/>
    <w:rsid w:val="008932B4"/>
    <w:rsid w:val="00893310"/>
    <w:rsid w:val="0089333D"/>
    <w:rsid w:val="008933B8"/>
    <w:rsid w:val="008933CF"/>
    <w:rsid w:val="00893885"/>
    <w:rsid w:val="00893B83"/>
    <w:rsid w:val="00893CB5"/>
    <w:rsid w:val="00893CC9"/>
    <w:rsid w:val="00893D24"/>
    <w:rsid w:val="00893DA9"/>
    <w:rsid w:val="00893F41"/>
    <w:rsid w:val="00893FA2"/>
    <w:rsid w:val="00894068"/>
    <w:rsid w:val="008941CC"/>
    <w:rsid w:val="00894312"/>
    <w:rsid w:val="00894498"/>
    <w:rsid w:val="008945AB"/>
    <w:rsid w:val="00894678"/>
    <w:rsid w:val="0089481C"/>
    <w:rsid w:val="0089487C"/>
    <w:rsid w:val="00894AD1"/>
    <w:rsid w:val="00894AF6"/>
    <w:rsid w:val="00894B5F"/>
    <w:rsid w:val="00894D7D"/>
    <w:rsid w:val="00894F92"/>
    <w:rsid w:val="00894FD1"/>
    <w:rsid w:val="00894FD2"/>
    <w:rsid w:val="008952B0"/>
    <w:rsid w:val="0089530A"/>
    <w:rsid w:val="00895478"/>
    <w:rsid w:val="008955C8"/>
    <w:rsid w:val="00895622"/>
    <w:rsid w:val="00895753"/>
    <w:rsid w:val="00895A64"/>
    <w:rsid w:val="00895CA4"/>
    <w:rsid w:val="00895CB0"/>
    <w:rsid w:val="00895CD9"/>
    <w:rsid w:val="00895FD3"/>
    <w:rsid w:val="00895FFA"/>
    <w:rsid w:val="008961C2"/>
    <w:rsid w:val="00896379"/>
    <w:rsid w:val="008965C7"/>
    <w:rsid w:val="00896842"/>
    <w:rsid w:val="008969B6"/>
    <w:rsid w:val="00896AF9"/>
    <w:rsid w:val="00896B04"/>
    <w:rsid w:val="00896E93"/>
    <w:rsid w:val="00896F4F"/>
    <w:rsid w:val="008970FD"/>
    <w:rsid w:val="00897165"/>
    <w:rsid w:val="00897195"/>
    <w:rsid w:val="00897682"/>
    <w:rsid w:val="008976D5"/>
    <w:rsid w:val="00897863"/>
    <w:rsid w:val="00897881"/>
    <w:rsid w:val="00897FE2"/>
    <w:rsid w:val="008A00F8"/>
    <w:rsid w:val="008A013A"/>
    <w:rsid w:val="008A03F4"/>
    <w:rsid w:val="008A0493"/>
    <w:rsid w:val="008A05B3"/>
    <w:rsid w:val="008A0627"/>
    <w:rsid w:val="008A08CB"/>
    <w:rsid w:val="008A0A03"/>
    <w:rsid w:val="008A0A35"/>
    <w:rsid w:val="008A0A9A"/>
    <w:rsid w:val="008A0B65"/>
    <w:rsid w:val="008A0D52"/>
    <w:rsid w:val="008A0F8A"/>
    <w:rsid w:val="008A110D"/>
    <w:rsid w:val="008A12B0"/>
    <w:rsid w:val="008A150E"/>
    <w:rsid w:val="008A199E"/>
    <w:rsid w:val="008A1B2D"/>
    <w:rsid w:val="008A1CE1"/>
    <w:rsid w:val="008A1E5D"/>
    <w:rsid w:val="008A201C"/>
    <w:rsid w:val="008A208F"/>
    <w:rsid w:val="008A227A"/>
    <w:rsid w:val="008A23A0"/>
    <w:rsid w:val="008A259C"/>
    <w:rsid w:val="008A2631"/>
    <w:rsid w:val="008A26A6"/>
    <w:rsid w:val="008A26B7"/>
    <w:rsid w:val="008A2771"/>
    <w:rsid w:val="008A2821"/>
    <w:rsid w:val="008A289A"/>
    <w:rsid w:val="008A28F1"/>
    <w:rsid w:val="008A29F7"/>
    <w:rsid w:val="008A3070"/>
    <w:rsid w:val="008A33E5"/>
    <w:rsid w:val="008A34F4"/>
    <w:rsid w:val="008A372B"/>
    <w:rsid w:val="008A3742"/>
    <w:rsid w:val="008A386A"/>
    <w:rsid w:val="008A3880"/>
    <w:rsid w:val="008A39D7"/>
    <w:rsid w:val="008A3A8A"/>
    <w:rsid w:val="008A3AE0"/>
    <w:rsid w:val="008A3C98"/>
    <w:rsid w:val="008A3DBA"/>
    <w:rsid w:val="008A3E98"/>
    <w:rsid w:val="008A4186"/>
    <w:rsid w:val="008A41D5"/>
    <w:rsid w:val="008A42A7"/>
    <w:rsid w:val="008A42B4"/>
    <w:rsid w:val="008A4360"/>
    <w:rsid w:val="008A46DA"/>
    <w:rsid w:val="008A4735"/>
    <w:rsid w:val="008A4909"/>
    <w:rsid w:val="008A4973"/>
    <w:rsid w:val="008A4A09"/>
    <w:rsid w:val="008A4BD2"/>
    <w:rsid w:val="008A4CF4"/>
    <w:rsid w:val="008A4F4B"/>
    <w:rsid w:val="008A51A5"/>
    <w:rsid w:val="008A52D3"/>
    <w:rsid w:val="008A5493"/>
    <w:rsid w:val="008A5689"/>
    <w:rsid w:val="008A57B2"/>
    <w:rsid w:val="008A586D"/>
    <w:rsid w:val="008A5A03"/>
    <w:rsid w:val="008A6111"/>
    <w:rsid w:val="008A636A"/>
    <w:rsid w:val="008A6570"/>
    <w:rsid w:val="008A668C"/>
    <w:rsid w:val="008A6785"/>
    <w:rsid w:val="008A69F8"/>
    <w:rsid w:val="008A6A3C"/>
    <w:rsid w:val="008A6ADF"/>
    <w:rsid w:val="008A6B0F"/>
    <w:rsid w:val="008A6BC2"/>
    <w:rsid w:val="008A6C57"/>
    <w:rsid w:val="008A6F0D"/>
    <w:rsid w:val="008A6FCD"/>
    <w:rsid w:val="008A714E"/>
    <w:rsid w:val="008A732A"/>
    <w:rsid w:val="008A7342"/>
    <w:rsid w:val="008A734D"/>
    <w:rsid w:val="008A7444"/>
    <w:rsid w:val="008A7589"/>
    <w:rsid w:val="008A75F6"/>
    <w:rsid w:val="008A76C0"/>
    <w:rsid w:val="008A7847"/>
    <w:rsid w:val="008A7ABB"/>
    <w:rsid w:val="008A7B9F"/>
    <w:rsid w:val="008A7E44"/>
    <w:rsid w:val="008A7F22"/>
    <w:rsid w:val="008B048F"/>
    <w:rsid w:val="008B0587"/>
    <w:rsid w:val="008B05ED"/>
    <w:rsid w:val="008B0668"/>
    <w:rsid w:val="008B08FF"/>
    <w:rsid w:val="008B0E33"/>
    <w:rsid w:val="008B0F44"/>
    <w:rsid w:val="008B0FCD"/>
    <w:rsid w:val="008B10E8"/>
    <w:rsid w:val="008B12D2"/>
    <w:rsid w:val="008B1420"/>
    <w:rsid w:val="008B1626"/>
    <w:rsid w:val="008B1905"/>
    <w:rsid w:val="008B1A14"/>
    <w:rsid w:val="008B1FB9"/>
    <w:rsid w:val="008B2246"/>
    <w:rsid w:val="008B23BB"/>
    <w:rsid w:val="008B241A"/>
    <w:rsid w:val="008B248B"/>
    <w:rsid w:val="008B24A9"/>
    <w:rsid w:val="008B2711"/>
    <w:rsid w:val="008B31C3"/>
    <w:rsid w:val="008B31DC"/>
    <w:rsid w:val="008B33E0"/>
    <w:rsid w:val="008B34A2"/>
    <w:rsid w:val="008B3732"/>
    <w:rsid w:val="008B397F"/>
    <w:rsid w:val="008B39DC"/>
    <w:rsid w:val="008B3A8E"/>
    <w:rsid w:val="008B3C93"/>
    <w:rsid w:val="008B3D07"/>
    <w:rsid w:val="008B3DBC"/>
    <w:rsid w:val="008B4138"/>
    <w:rsid w:val="008B4281"/>
    <w:rsid w:val="008B43AE"/>
    <w:rsid w:val="008B445B"/>
    <w:rsid w:val="008B4534"/>
    <w:rsid w:val="008B4587"/>
    <w:rsid w:val="008B4757"/>
    <w:rsid w:val="008B47F8"/>
    <w:rsid w:val="008B485B"/>
    <w:rsid w:val="008B4A11"/>
    <w:rsid w:val="008B502E"/>
    <w:rsid w:val="008B5193"/>
    <w:rsid w:val="008B51A2"/>
    <w:rsid w:val="008B526D"/>
    <w:rsid w:val="008B528C"/>
    <w:rsid w:val="008B52CD"/>
    <w:rsid w:val="008B53A3"/>
    <w:rsid w:val="008B557D"/>
    <w:rsid w:val="008B5955"/>
    <w:rsid w:val="008B5C37"/>
    <w:rsid w:val="008B5C39"/>
    <w:rsid w:val="008B5C6F"/>
    <w:rsid w:val="008B5D51"/>
    <w:rsid w:val="008B5DB7"/>
    <w:rsid w:val="008B60E0"/>
    <w:rsid w:val="008B6108"/>
    <w:rsid w:val="008B6156"/>
    <w:rsid w:val="008B6447"/>
    <w:rsid w:val="008B6785"/>
    <w:rsid w:val="008B68AA"/>
    <w:rsid w:val="008B69D7"/>
    <w:rsid w:val="008B6AA6"/>
    <w:rsid w:val="008B6ABB"/>
    <w:rsid w:val="008B6B6C"/>
    <w:rsid w:val="008B6D23"/>
    <w:rsid w:val="008B6F95"/>
    <w:rsid w:val="008B71AE"/>
    <w:rsid w:val="008B71CC"/>
    <w:rsid w:val="008B726E"/>
    <w:rsid w:val="008B727F"/>
    <w:rsid w:val="008B7328"/>
    <w:rsid w:val="008B7356"/>
    <w:rsid w:val="008B742D"/>
    <w:rsid w:val="008B7490"/>
    <w:rsid w:val="008B74B8"/>
    <w:rsid w:val="008B774E"/>
    <w:rsid w:val="008B7821"/>
    <w:rsid w:val="008B787F"/>
    <w:rsid w:val="008B7953"/>
    <w:rsid w:val="008B79AA"/>
    <w:rsid w:val="008B79BB"/>
    <w:rsid w:val="008B7AB1"/>
    <w:rsid w:val="008B7D5C"/>
    <w:rsid w:val="008B7D8B"/>
    <w:rsid w:val="008B7DED"/>
    <w:rsid w:val="008B7F2B"/>
    <w:rsid w:val="008B7F39"/>
    <w:rsid w:val="008B7F80"/>
    <w:rsid w:val="008C0207"/>
    <w:rsid w:val="008C02D6"/>
    <w:rsid w:val="008C05CC"/>
    <w:rsid w:val="008C05EC"/>
    <w:rsid w:val="008C0819"/>
    <w:rsid w:val="008C0829"/>
    <w:rsid w:val="008C0C4E"/>
    <w:rsid w:val="008C0CBC"/>
    <w:rsid w:val="008C0E6B"/>
    <w:rsid w:val="008C1027"/>
    <w:rsid w:val="008C117C"/>
    <w:rsid w:val="008C12AE"/>
    <w:rsid w:val="008C1543"/>
    <w:rsid w:val="008C178C"/>
    <w:rsid w:val="008C17CF"/>
    <w:rsid w:val="008C1BF5"/>
    <w:rsid w:val="008C1C5E"/>
    <w:rsid w:val="008C1CD3"/>
    <w:rsid w:val="008C1DFC"/>
    <w:rsid w:val="008C1EF5"/>
    <w:rsid w:val="008C207A"/>
    <w:rsid w:val="008C207B"/>
    <w:rsid w:val="008C2476"/>
    <w:rsid w:val="008C24BE"/>
    <w:rsid w:val="008C253F"/>
    <w:rsid w:val="008C273E"/>
    <w:rsid w:val="008C27E9"/>
    <w:rsid w:val="008C2909"/>
    <w:rsid w:val="008C2A3F"/>
    <w:rsid w:val="008C2A40"/>
    <w:rsid w:val="008C2A43"/>
    <w:rsid w:val="008C2B79"/>
    <w:rsid w:val="008C2C69"/>
    <w:rsid w:val="008C2EF7"/>
    <w:rsid w:val="008C3182"/>
    <w:rsid w:val="008C321C"/>
    <w:rsid w:val="008C324F"/>
    <w:rsid w:val="008C32A9"/>
    <w:rsid w:val="008C3439"/>
    <w:rsid w:val="008C3556"/>
    <w:rsid w:val="008C35BA"/>
    <w:rsid w:val="008C3617"/>
    <w:rsid w:val="008C3837"/>
    <w:rsid w:val="008C3A39"/>
    <w:rsid w:val="008C3A66"/>
    <w:rsid w:val="008C3C07"/>
    <w:rsid w:val="008C3C45"/>
    <w:rsid w:val="008C3C75"/>
    <w:rsid w:val="008C3CD2"/>
    <w:rsid w:val="008C3D79"/>
    <w:rsid w:val="008C3E0D"/>
    <w:rsid w:val="008C418A"/>
    <w:rsid w:val="008C423F"/>
    <w:rsid w:val="008C44BD"/>
    <w:rsid w:val="008C46B0"/>
    <w:rsid w:val="008C4727"/>
    <w:rsid w:val="008C4742"/>
    <w:rsid w:val="008C47CB"/>
    <w:rsid w:val="008C4856"/>
    <w:rsid w:val="008C4A2C"/>
    <w:rsid w:val="008C4A70"/>
    <w:rsid w:val="008C4A7D"/>
    <w:rsid w:val="008C4ACA"/>
    <w:rsid w:val="008C4B1B"/>
    <w:rsid w:val="008C4B3F"/>
    <w:rsid w:val="008C4C06"/>
    <w:rsid w:val="008C4F6C"/>
    <w:rsid w:val="008C5019"/>
    <w:rsid w:val="008C536F"/>
    <w:rsid w:val="008C5455"/>
    <w:rsid w:val="008C5467"/>
    <w:rsid w:val="008C54F7"/>
    <w:rsid w:val="008C59E1"/>
    <w:rsid w:val="008C59F7"/>
    <w:rsid w:val="008C5A78"/>
    <w:rsid w:val="008C5C7C"/>
    <w:rsid w:val="008C5CE6"/>
    <w:rsid w:val="008C5D52"/>
    <w:rsid w:val="008C5FD2"/>
    <w:rsid w:val="008C6056"/>
    <w:rsid w:val="008C618B"/>
    <w:rsid w:val="008C653A"/>
    <w:rsid w:val="008C6820"/>
    <w:rsid w:val="008C6907"/>
    <w:rsid w:val="008C69CC"/>
    <w:rsid w:val="008C69EB"/>
    <w:rsid w:val="008C6A23"/>
    <w:rsid w:val="008C6A6B"/>
    <w:rsid w:val="008C6AA3"/>
    <w:rsid w:val="008C6BA0"/>
    <w:rsid w:val="008C6E03"/>
    <w:rsid w:val="008C6E6C"/>
    <w:rsid w:val="008C6E72"/>
    <w:rsid w:val="008C6EF1"/>
    <w:rsid w:val="008C7148"/>
    <w:rsid w:val="008C7159"/>
    <w:rsid w:val="008C7211"/>
    <w:rsid w:val="008C7369"/>
    <w:rsid w:val="008C73AC"/>
    <w:rsid w:val="008C75E0"/>
    <w:rsid w:val="008C7738"/>
    <w:rsid w:val="008C77D6"/>
    <w:rsid w:val="008C7854"/>
    <w:rsid w:val="008C7914"/>
    <w:rsid w:val="008C7AEB"/>
    <w:rsid w:val="008C7BAD"/>
    <w:rsid w:val="008C7D9F"/>
    <w:rsid w:val="008C7F23"/>
    <w:rsid w:val="008C7F76"/>
    <w:rsid w:val="008C7F98"/>
    <w:rsid w:val="008D0052"/>
    <w:rsid w:val="008D00B2"/>
    <w:rsid w:val="008D00F1"/>
    <w:rsid w:val="008D01D1"/>
    <w:rsid w:val="008D0291"/>
    <w:rsid w:val="008D047F"/>
    <w:rsid w:val="008D04D0"/>
    <w:rsid w:val="008D06F1"/>
    <w:rsid w:val="008D08C0"/>
    <w:rsid w:val="008D0922"/>
    <w:rsid w:val="008D09B0"/>
    <w:rsid w:val="008D0B78"/>
    <w:rsid w:val="008D0C4C"/>
    <w:rsid w:val="008D0CE7"/>
    <w:rsid w:val="008D0DC7"/>
    <w:rsid w:val="008D0F55"/>
    <w:rsid w:val="008D0F7D"/>
    <w:rsid w:val="008D10D3"/>
    <w:rsid w:val="008D116A"/>
    <w:rsid w:val="008D11D8"/>
    <w:rsid w:val="008D12B7"/>
    <w:rsid w:val="008D133A"/>
    <w:rsid w:val="008D14CF"/>
    <w:rsid w:val="008D15C3"/>
    <w:rsid w:val="008D1623"/>
    <w:rsid w:val="008D170E"/>
    <w:rsid w:val="008D1757"/>
    <w:rsid w:val="008D17EF"/>
    <w:rsid w:val="008D18FC"/>
    <w:rsid w:val="008D195B"/>
    <w:rsid w:val="008D19DB"/>
    <w:rsid w:val="008D1CB2"/>
    <w:rsid w:val="008D1E83"/>
    <w:rsid w:val="008D20A9"/>
    <w:rsid w:val="008D2168"/>
    <w:rsid w:val="008D225D"/>
    <w:rsid w:val="008D2354"/>
    <w:rsid w:val="008D23DC"/>
    <w:rsid w:val="008D246F"/>
    <w:rsid w:val="008D258A"/>
    <w:rsid w:val="008D27E6"/>
    <w:rsid w:val="008D2864"/>
    <w:rsid w:val="008D28D0"/>
    <w:rsid w:val="008D290A"/>
    <w:rsid w:val="008D2C45"/>
    <w:rsid w:val="008D2F1F"/>
    <w:rsid w:val="008D3046"/>
    <w:rsid w:val="008D307E"/>
    <w:rsid w:val="008D30F7"/>
    <w:rsid w:val="008D35C1"/>
    <w:rsid w:val="008D36FA"/>
    <w:rsid w:val="008D3738"/>
    <w:rsid w:val="008D374B"/>
    <w:rsid w:val="008D379B"/>
    <w:rsid w:val="008D3861"/>
    <w:rsid w:val="008D3BF2"/>
    <w:rsid w:val="008D3D21"/>
    <w:rsid w:val="008D3DEA"/>
    <w:rsid w:val="008D3DF9"/>
    <w:rsid w:val="008D3E0F"/>
    <w:rsid w:val="008D3EBE"/>
    <w:rsid w:val="008D3F15"/>
    <w:rsid w:val="008D3FA1"/>
    <w:rsid w:val="008D4014"/>
    <w:rsid w:val="008D4028"/>
    <w:rsid w:val="008D4056"/>
    <w:rsid w:val="008D45F7"/>
    <w:rsid w:val="008D483A"/>
    <w:rsid w:val="008D49C6"/>
    <w:rsid w:val="008D4AF0"/>
    <w:rsid w:val="008D4B3A"/>
    <w:rsid w:val="008D4D51"/>
    <w:rsid w:val="008D4D57"/>
    <w:rsid w:val="008D4D9A"/>
    <w:rsid w:val="008D4FF6"/>
    <w:rsid w:val="008D5098"/>
    <w:rsid w:val="008D512C"/>
    <w:rsid w:val="008D51A7"/>
    <w:rsid w:val="008D544F"/>
    <w:rsid w:val="008D54CF"/>
    <w:rsid w:val="008D5502"/>
    <w:rsid w:val="008D557E"/>
    <w:rsid w:val="008D577F"/>
    <w:rsid w:val="008D5B2B"/>
    <w:rsid w:val="008D5FE2"/>
    <w:rsid w:val="008D60C8"/>
    <w:rsid w:val="008D63CF"/>
    <w:rsid w:val="008D66A4"/>
    <w:rsid w:val="008D673C"/>
    <w:rsid w:val="008D67CF"/>
    <w:rsid w:val="008D681F"/>
    <w:rsid w:val="008D6ADE"/>
    <w:rsid w:val="008D6B18"/>
    <w:rsid w:val="008D6BD4"/>
    <w:rsid w:val="008D6C67"/>
    <w:rsid w:val="008D6C6A"/>
    <w:rsid w:val="008D6EB2"/>
    <w:rsid w:val="008D6EC5"/>
    <w:rsid w:val="008D70DC"/>
    <w:rsid w:val="008D715F"/>
    <w:rsid w:val="008D7176"/>
    <w:rsid w:val="008D72DF"/>
    <w:rsid w:val="008D7A3B"/>
    <w:rsid w:val="008D7D05"/>
    <w:rsid w:val="008D7D77"/>
    <w:rsid w:val="008D7F02"/>
    <w:rsid w:val="008D7FA9"/>
    <w:rsid w:val="008E03AA"/>
    <w:rsid w:val="008E052E"/>
    <w:rsid w:val="008E0673"/>
    <w:rsid w:val="008E07C1"/>
    <w:rsid w:val="008E0B2C"/>
    <w:rsid w:val="008E0C29"/>
    <w:rsid w:val="008E0DB0"/>
    <w:rsid w:val="008E0FA4"/>
    <w:rsid w:val="008E12F4"/>
    <w:rsid w:val="008E130A"/>
    <w:rsid w:val="008E1413"/>
    <w:rsid w:val="008E14F9"/>
    <w:rsid w:val="008E1836"/>
    <w:rsid w:val="008E1864"/>
    <w:rsid w:val="008E1947"/>
    <w:rsid w:val="008E19E0"/>
    <w:rsid w:val="008E1B87"/>
    <w:rsid w:val="008E1D3E"/>
    <w:rsid w:val="008E2064"/>
    <w:rsid w:val="008E236F"/>
    <w:rsid w:val="008E23CF"/>
    <w:rsid w:val="008E2540"/>
    <w:rsid w:val="008E2545"/>
    <w:rsid w:val="008E28A5"/>
    <w:rsid w:val="008E298B"/>
    <w:rsid w:val="008E29A3"/>
    <w:rsid w:val="008E2BF3"/>
    <w:rsid w:val="008E2C2D"/>
    <w:rsid w:val="008E2D08"/>
    <w:rsid w:val="008E2DD8"/>
    <w:rsid w:val="008E2F03"/>
    <w:rsid w:val="008E2F17"/>
    <w:rsid w:val="008E2FF8"/>
    <w:rsid w:val="008E30A9"/>
    <w:rsid w:val="008E30B6"/>
    <w:rsid w:val="008E3380"/>
    <w:rsid w:val="008E33AB"/>
    <w:rsid w:val="008E3731"/>
    <w:rsid w:val="008E37FA"/>
    <w:rsid w:val="008E3833"/>
    <w:rsid w:val="008E3A7F"/>
    <w:rsid w:val="008E3C0E"/>
    <w:rsid w:val="008E3C53"/>
    <w:rsid w:val="008E3FC2"/>
    <w:rsid w:val="008E4095"/>
    <w:rsid w:val="008E4171"/>
    <w:rsid w:val="008E41EB"/>
    <w:rsid w:val="008E4341"/>
    <w:rsid w:val="008E4388"/>
    <w:rsid w:val="008E4433"/>
    <w:rsid w:val="008E45D3"/>
    <w:rsid w:val="008E4794"/>
    <w:rsid w:val="008E479E"/>
    <w:rsid w:val="008E4938"/>
    <w:rsid w:val="008E4CBC"/>
    <w:rsid w:val="008E5241"/>
    <w:rsid w:val="008E53C3"/>
    <w:rsid w:val="008E56B7"/>
    <w:rsid w:val="008E5750"/>
    <w:rsid w:val="008E57D5"/>
    <w:rsid w:val="008E58DD"/>
    <w:rsid w:val="008E591A"/>
    <w:rsid w:val="008E5AD6"/>
    <w:rsid w:val="008E5E71"/>
    <w:rsid w:val="008E5ED8"/>
    <w:rsid w:val="008E5EF2"/>
    <w:rsid w:val="008E5FA7"/>
    <w:rsid w:val="008E603C"/>
    <w:rsid w:val="008E609A"/>
    <w:rsid w:val="008E60D3"/>
    <w:rsid w:val="008E6139"/>
    <w:rsid w:val="008E61FF"/>
    <w:rsid w:val="008E6313"/>
    <w:rsid w:val="008E6320"/>
    <w:rsid w:val="008E6521"/>
    <w:rsid w:val="008E655F"/>
    <w:rsid w:val="008E678E"/>
    <w:rsid w:val="008E69A6"/>
    <w:rsid w:val="008E6A67"/>
    <w:rsid w:val="008E6D35"/>
    <w:rsid w:val="008E6D63"/>
    <w:rsid w:val="008E6E50"/>
    <w:rsid w:val="008E6EDA"/>
    <w:rsid w:val="008E6EF1"/>
    <w:rsid w:val="008E6FD0"/>
    <w:rsid w:val="008E7068"/>
    <w:rsid w:val="008E716A"/>
    <w:rsid w:val="008E722B"/>
    <w:rsid w:val="008E7328"/>
    <w:rsid w:val="008E747D"/>
    <w:rsid w:val="008E748E"/>
    <w:rsid w:val="008E74DE"/>
    <w:rsid w:val="008E78A4"/>
    <w:rsid w:val="008E7921"/>
    <w:rsid w:val="008E793E"/>
    <w:rsid w:val="008E79B2"/>
    <w:rsid w:val="008E7B58"/>
    <w:rsid w:val="008E7CEF"/>
    <w:rsid w:val="008E7F1B"/>
    <w:rsid w:val="008F010A"/>
    <w:rsid w:val="008F0223"/>
    <w:rsid w:val="008F029E"/>
    <w:rsid w:val="008F02F3"/>
    <w:rsid w:val="008F0339"/>
    <w:rsid w:val="008F05EC"/>
    <w:rsid w:val="008F0651"/>
    <w:rsid w:val="008F0692"/>
    <w:rsid w:val="008F07C4"/>
    <w:rsid w:val="008F084E"/>
    <w:rsid w:val="008F09D8"/>
    <w:rsid w:val="008F0B36"/>
    <w:rsid w:val="008F0B9F"/>
    <w:rsid w:val="008F0CF6"/>
    <w:rsid w:val="008F0D3A"/>
    <w:rsid w:val="008F0D43"/>
    <w:rsid w:val="008F0DB4"/>
    <w:rsid w:val="008F0FB7"/>
    <w:rsid w:val="008F102D"/>
    <w:rsid w:val="008F1252"/>
    <w:rsid w:val="008F1461"/>
    <w:rsid w:val="008F16CF"/>
    <w:rsid w:val="008F178B"/>
    <w:rsid w:val="008F1821"/>
    <w:rsid w:val="008F1898"/>
    <w:rsid w:val="008F19C9"/>
    <w:rsid w:val="008F1AAD"/>
    <w:rsid w:val="008F1C46"/>
    <w:rsid w:val="008F1D1D"/>
    <w:rsid w:val="008F1F30"/>
    <w:rsid w:val="008F2029"/>
    <w:rsid w:val="008F203A"/>
    <w:rsid w:val="008F206D"/>
    <w:rsid w:val="008F20B9"/>
    <w:rsid w:val="008F2100"/>
    <w:rsid w:val="008F22B2"/>
    <w:rsid w:val="008F24ED"/>
    <w:rsid w:val="008F24F4"/>
    <w:rsid w:val="008F2500"/>
    <w:rsid w:val="008F2731"/>
    <w:rsid w:val="008F28A7"/>
    <w:rsid w:val="008F29F6"/>
    <w:rsid w:val="008F2A4B"/>
    <w:rsid w:val="008F2ABE"/>
    <w:rsid w:val="008F2AD5"/>
    <w:rsid w:val="008F2ADB"/>
    <w:rsid w:val="008F2BB8"/>
    <w:rsid w:val="008F2C22"/>
    <w:rsid w:val="008F300C"/>
    <w:rsid w:val="008F30D2"/>
    <w:rsid w:val="008F30E4"/>
    <w:rsid w:val="008F3115"/>
    <w:rsid w:val="008F3392"/>
    <w:rsid w:val="008F34F9"/>
    <w:rsid w:val="008F357B"/>
    <w:rsid w:val="008F359C"/>
    <w:rsid w:val="008F377B"/>
    <w:rsid w:val="008F38D5"/>
    <w:rsid w:val="008F3B7C"/>
    <w:rsid w:val="008F3F3C"/>
    <w:rsid w:val="008F426B"/>
    <w:rsid w:val="008F4312"/>
    <w:rsid w:val="008F43E1"/>
    <w:rsid w:val="008F4559"/>
    <w:rsid w:val="008F4784"/>
    <w:rsid w:val="008F485C"/>
    <w:rsid w:val="008F498E"/>
    <w:rsid w:val="008F4B2D"/>
    <w:rsid w:val="008F4D39"/>
    <w:rsid w:val="008F4DC1"/>
    <w:rsid w:val="008F4DF0"/>
    <w:rsid w:val="008F4DF5"/>
    <w:rsid w:val="008F4E2E"/>
    <w:rsid w:val="008F4EF6"/>
    <w:rsid w:val="008F50AC"/>
    <w:rsid w:val="008F512B"/>
    <w:rsid w:val="008F5182"/>
    <w:rsid w:val="008F541E"/>
    <w:rsid w:val="008F55F9"/>
    <w:rsid w:val="008F561B"/>
    <w:rsid w:val="008F5717"/>
    <w:rsid w:val="008F5C51"/>
    <w:rsid w:val="008F5E63"/>
    <w:rsid w:val="008F5F77"/>
    <w:rsid w:val="008F5F92"/>
    <w:rsid w:val="008F618A"/>
    <w:rsid w:val="008F61F2"/>
    <w:rsid w:val="008F62CE"/>
    <w:rsid w:val="008F6360"/>
    <w:rsid w:val="008F6528"/>
    <w:rsid w:val="008F659D"/>
    <w:rsid w:val="008F690D"/>
    <w:rsid w:val="008F6E6D"/>
    <w:rsid w:val="008F6E81"/>
    <w:rsid w:val="008F6F19"/>
    <w:rsid w:val="008F6FB1"/>
    <w:rsid w:val="008F7052"/>
    <w:rsid w:val="008F7108"/>
    <w:rsid w:val="008F7295"/>
    <w:rsid w:val="008F733B"/>
    <w:rsid w:val="008F749B"/>
    <w:rsid w:val="008F76C7"/>
    <w:rsid w:val="008F76CC"/>
    <w:rsid w:val="008F79FD"/>
    <w:rsid w:val="008F7A6B"/>
    <w:rsid w:val="008F7B58"/>
    <w:rsid w:val="008F7B81"/>
    <w:rsid w:val="008F7DEE"/>
    <w:rsid w:val="008F7F6E"/>
    <w:rsid w:val="008F7FC0"/>
    <w:rsid w:val="00900009"/>
    <w:rsid w:val="009001BD"/>
    <w:rsid w:val="00900347"/>
    <w:rsid w:val="009003EA"/>
    <w:rsid w:val="00900473"/>
    <w:rsid w:val="00900484"/>
    <w:rsid w:val="0090049A"/>
    <w:rsid w:val="009004FE"/>
    <w:rsid w:val="00900665"/>
    <w:rsid w:val="009006EA"/>
    <w:rsid w:val="0090075A"/>
    <w:rsid w:val="0090085F"/>
    <w:rsid w:val="009008CD"/>
    <w:rsid w:val="00900A68"/>
    <w:rsid w:val="00900AD4"/>
    <w:rsid w:val="00900CB1"/>
    <w:rsid w:val="00900E7C"/>
    <w:rsid w:val="00900F96"/>
    <w:rsid w:val="0090101D"/>
    <w:rsid w:val="00901496"/>
    <w:rsid w:val="00901502"/>
    <w:rsid w:val="009015E9"/>
    <w:rsid w:val="0090174F"/>
    <w:rsid w:val="009018BF"/>
    <w:rsid w:val="009018CA"/>
    <w:rsid w:val="00901B87"/>
    <w:rsid w:val="00901BED"/>
    <w:rsid w:val="00901C5A"/>
    <w:rsid w:val="00901DBC"/>
    <w:rsid w:val="00901DE2"/>
    <w:rsid w:val="00901F27"/>
    <w:rsid w:val="00901FC1"/>
    <w:rsid w:val="00902295"/>
    <w:rsid w:val="0090249B"/>
    <w:rsid w:val="009025EB"/>
    <w:rsid w:val="0090263D"/>
    <w:rsid w:val="00902714"/>
    <w:rsid w:val="009027C6"/>
    <w:rsid w:val="009027F8"/>
    <w:rsid w:val="00902863"/>
    <w:rsid w:val="00902BFE"/>
    <w:rsid w:val="00902C83"/>
    <w:rsid w:val="00902D75"/>
    <w:rsid w:val="00902DEB"/>
    <w:rsid w:val="00902E23"/>
    <w:rsid w:val="00902E8E"/>
    <w:rsid w:val="00902EAE"/>
    <w:rsid w:val="00902F53"/>
    <w:rsid w:val="00902FC5"/>
    <w:rsid w:val="00903111"/>
    <w:rsid w:val="009032B5"/>
    <w:rsid w:val="009034F1"/>
    <w:rsid w:val="009038F5"/>
    <w:rsid w:val="009039A5"/>
    <w:rsid w:val="00903BB4"/>
    <w:rsid w:val="00903BD1"/>
    <w:rsid w:val="00903EF1"/>
    <w:rsid w:val="00904008"/>
    <w:rsid w:val="009041E0"/>
    <w:rsid w:val="0090455F"/>
    <w:rsid w:val="00904574"/>
    <w:rsid w:val="009046EF"/>
    <w:rsid w:val="009047C0"/>
    <w:rsid w:val="009047F0"/>
    <w:rsid w:val="009048B4"/>
    <w:rsid w:val="00904930"/>
    <w:rsid w:val="0090493A"/>
    <w:rsid w:val="009049FC"/>
    <w:rsid w:val="00904A97"/>
    <w:rsid w:val="00904ABE"/>
    <w:rsid w:val="00904DA8"/>
    <w:rsid w:val="00904EBA"/>
    <w:rsid w:val="00904EFA"/>
    <w:rsid w:val="009050C6"/>
    <w:rsid w:val="00905164"/>
    <w:rsid w:val="0090532A"/>
    <w:rsid w:val="0090538C"/>
    <w:rsid w:val="00905847"/>
    <w:rsid w:val="00905869"/>
    <w:rsid w:val="00905886"/>
    <w:rsid w:val="00905D0E"/>
    <w:rsid w:val="00905D7B"/>
    <w:rsid w:val="00905F36"/>
    <w:rsid w:val="00906014"/>
    <w:rsid w:val="0090607D"/>
    <w:rsid w:val="009060DC"/>
    <w:rsid w:val="00906183"/>
    <w:rsid w:val="009063D3"/>
    <w:rsid w:val="009065B6"/>
    <w:rsid w:val="009065E5"/>
    <w:rsid w:val="009066E6"/>
    <w:rsid w:val="0090679E"/>
    <w:rsid w:val="009067A4"/>
    <w:rsid w:val="00906839"/>
    <w:rsid w:val="00906840"/>
    <w:rsid w:val="00906903"/>
    <w:rsid w:val="00906A4B"/>
    <w:rsid w:val="00906BDD"/>
    <w:rsid w:val="00906BE9"/>
    <w:rsid w:val="00906C86"/>
    <w:rsid w:val="00906CB8"/>
    <w:rsid w:val="00906DB2"/>
    <w:rsid w:val="00906E5D"/>
    <w:rsid w:val="00906F8E"/>
    <w:rsid w:val="0090710E"/>
    <w:rsid w:val="0090717D"/>
    <w:rsid w:val="00907414"/>
    <w:rsid w:val="00907476"/>
    <w:rsid w:val="009075A0"/>
    <w:rsid w:val="00907639"/>
    <w:rsid w:val="0090764C"/>
    <w:rsid w:val="00907650"/>
    <w:rsid w:val="009076E6"/>
    <w:rsid w:val="009077C3"/>
    <w:rsid w:val="00907867"/>
    <w:rsid w:val="00907ACE"/>
    <w:rsid w:val="00907C02"/>
    <w:rsid w:val="00907D75"/>
    <w:rsid w:val="00907E42"/>
    <w:rsid w:val="009100EF"/>
    <w:rsid w:val="0091021A"/>
    <w:rsid w:val="00910385"/>
    <w:rsid w:val="00910416"/>
    <w:rsid w:val="00910510"/>
    <w:rsid w:val="0091063A"/>
    <w:rsid w:val="009108B8"/>
    <w:rsid w:val="009108E6"/>
    <w:rsid w:val="00910985"/>
    <w:rsid w:val="009109A9"/>
    <w:rsid w:val="00910A85"/>
    <w:rsid w:val="00910AB6"/>
    <w:rsid w:val="00910ADF"/>
    <w:rsid w:val="00910B36"/>
    <w:rsid w:val="00910CD8"/>
    <w:rsid w:val="00910D87"/>
    <w:rsid w:val="00910F94"/>
    <w:rsid w:val="0091107D"/>
    <w:rsid w:val="00911243"/>
    <w:rsid w:val="00911457"/>
    <w:rsid w:val="0091146C"/>
    <w:rsid w:val="009114C5"/>
    <w:rsid w:val="00911587"/>
    <w:rsid w:val="00911682"/>
    <w:rsid w:val="0091176D"/>
    <w:rsid w:val="00911835"/>
    <w:rsid w:val="009118A1"/>
    <w:rsid w:val="00911987"/>
    <w:rsid w:val="00911D3A"/>
    <w:rsid w:val="00911EE2"/>
    <w:rsid w:val="0091215A"/>
    <w:rsid w:val="00912400"/>
    <w:rsid w:val="00912687"/>
    <w:rsid w:val="009129CF"/>
    <w:rsid w:val="0091305F"/>
    <w:rsid w:val="00913096"/>
    <w:rsid w:val="0091316C"/>
    <w:rsid w:val="00913199"/>
    <w:rsid w:val="00913215"/>
    <w:rsid w:val="0091343E"/>
    <w:rsid w:val="00913753"/>
    <w:rsid w:val="009138E4"/>
    <w:rsid w:val="00913A92"/>
    <w:rsid w:val="00913B8C"/>
    <w:rsid w:val="00913C93"/>
    <w:rsid w:val="00913DF3"/>
    <w:rsid w:val="00913FD9"/>
    <w:rsid w:val="0091406D"/>
    <w:rsid w:val="0091420F"/>
    <w:rsid w:val="00914399"/>
    <w:rsid w:val="009143C5"/>
    <w:rsid w:val="009143FD"/>
    <w:rsid w:val="00914416"/>
    <w:rsid w:val="0091441D"/>
    <w:rsid w:val="00914452"/>
    <w:rsid w:val="00914504"/>
    <w:rsid w:val="0091455B"/>
    <w:rsid w:val="009145D5"/>
    <w:rsid w:val="0091489D"/>
    <w:rsid w:val="00914AE5"/>
    <w:rsid w:val="00914B87"/>
    <w:rsid w:val="00914BAF"/>
    <w:rsid w:val="00914C0B"/>
    <w:rsid w:val="00914C66"/>
    <w:rsid w:val="00914D1A"/>
    <w:rsid w:val="00914DF5"/>
    <w:rsid w:val="00914E68"/>
    <w:rsid w:val="00914E6C"/>
    <w:rsid w:val="00914ED9"/>
    <w:rsid w:val="0091510A"/>
    <w:rsid w:val="00915113"/>
    <w:rsid w:val="0091514F"/>
    <w:rsid w:val="00915322"/>
    <w:rsid w:val="00915338"/>
    <w:rsid w:val="0091535E"/>
    <w:rsid w:val="00915423"/>
    <w:rsid w:val="0091551F"/>
    <w:rsid w:val="00915527"/>
    <w:rsid w:val="009156D7"/>
    <w:rsid w:val="00915C6E"/>
    <w:rsid w:val="00915D3E"/>
    <w:rsid w:val="00915F81"/>
    <w:rsid w:val="00916194"/>
    <w:rsid w:val="0091645B"/>
    <w:rsid w:val="00916495"/>
    <w:rsid w:val="0091660B"/>
    <w:rsid w:val="00916842"/>
    <w:rsid w:val="00916962"/>
    <w:rsid w:val="00916AC9"/>
    <w:rsid w:val="00916C52"/>
    <w:rsid w:val="00916D95"/>
    <w:rsid w:val="00916EE3"/>
    <w:rsid w:val="00916EFB"/>
    <w:rsid w:val="00916F06"/>
    <w:rsid w:val="00917043"/>
    <w:rsid w:val="00917123"/>
    <w:rsid w:val="009171F4"/>
    <w:rsid w:val="00917558"/>
    <w:rsid w:val="00917673"/>
    <w:rsid w:val="0091767E"/>
    <w:rsid w:val="0091774E"/>
    <w:rsid w:val="009179F0"/>
    <w:rsid w:val="00917A69"/>
    <w:rsid w:val="00917A7A"/>
    <w:rsid w:val="00917B03"/>
    <w:rsid w:val="00917E04"/>
    <w:rsid w:val="00920167"/>
    <w:rsid w:val="009201EF"/>
    <w:rsid w:val="0092026D"/>
    <w:rsid w:val="0092033B"/>
    <w:rsid w:val="009203E8"/>
    <w:rsid w:val="00920702"/>
    <w:rsid w:val="0092070C"/>
    <w:rsid w:val="009207E8"/>
    <w:rsid w:val="0092097C"/>
    <w:rsid w:val="00920980"/>
    <w:rsid w:val="00920A27"/>
    <w:rsid w:val="00920A6B"/>
    <w:rsid w:val="00920AF0"/>
    <w:rsid w:val="00920CE5"/>
    <w:rsid w:val="00920EC7"/>
    <w:rsid w:val="00920FE4"/>
    <w:rsid w:val="0092119A"/>
    <w:rsid w:val="009211C5"/>
    <w:rsid w:val="009216AF"/>
    <w:rsid w:val="00921A9B"/>
    <w:rsid w:val="00921EDE"/>
    <w:rsid w:val="00921F4E"/>
    <w:rsid w:val="00922077"/>
    <w:rsid w:val="00922099"/>
    <w:rsid w:val="0092209C"/>
    <w:rsid w:val="009221E8"/>
    <w:rsid w:val="009224CA"/>
    <w:rsid w:val="00922636"/>
    <w:rsid w:val="00922644"/>
    <w:rsid w:val="0092271E"/>
    <w:rsid w:val="0092272C"/>
    <w:rsid w:val="00922805"/>
    <w:rsid w:val="0092282E"/>
    <w:rsid w:val="00922A2E"/>
    <w:rsid w:val="00922ABC"/>
    <w:rsid w:val="00922D74"/>
    <w:rsid w:val="00923012"/>
    <w:rsid w:val="00923174"/>
    <w:rsid w:val="00923329"/>
    <w:rsid w:val="009235F0"/>
    <w:rsid w:val="009236DE"/>
    <w:rsid w:val="00923757"/>
    <w:rsid w:val="0092392E"/>
    <w:rsid w:val="009239C4"/>
    <w:rsid w:val="00923B9E"/>
    <w:rsid w:val="00923CE0"/>
    <w:rsid w:val="00923E1A"/>
    <w:rsid w:val="00923F7C"/>
    <w:rsid w:val="00923FEA"/>
    <w:rsid w:val="0092400F"/>
    <w:rsid w:val="0092416F"/>
    <w:rsid w:val="0092426D"/>
    <w:rsid w:val="00924286"/>
    <w:rsid w:val="0092438F"/>
    <w:rsid w:val="00924617"/>
    <w:rsid w:val="0092484B"/>
    <w:rsid w:val="0092486D"/>
    <w:rsid w:val="009248A3"/>
    <w:rsid w:val="00924B27"/>
    <w:rsid w:val="00924C52"/>
    <w:rsid w:val="00924D7A"/>
    <w:rsid w:val="00924D9E"/>
    <w:rsid w:val="00924E10"/>
    <w:rsid w:val="00924F37"/>
    <w:rsid w:val="009251B2"/>
    <w:rsid w:val="009251DC"/>
    <w:rsid w:val="009252F7"/>
    <w:rsid w:val="009253E4"/>
    <w:rsid w:val="009253FA"/>
    <w:rsid w:val="0092543D"/>
    <w:rsid w:val="00925484"/>
    <w:rsid w:val="009254A9"/>
    <w:rsid w:val="0092552C"/>
    <w:rsid w:val="00925586"/>
    <w:rsid w:val="00925823"/>
    <w:rsid w:val="009258CF"/>
    <w:rsid w:val="00925AB0"/>
    <w:rsid w:val="00925B8D"/>
    <w:rsid w:val="00925DB1"/>
    <w:rsid w:val="00925E2E"/>
    <w:rsid w:val="00925E6F"/>
    <w:rsid w:val="00925F2C"/>
    <w:rsid w:val="00925FB3"/>
    <w:rsid w:val="0092602F"/>
    <w:rsid w:val="00926167"/>
    <w:rsid w:val="009261FB"/>
    <w:rsid w:val="00926594"/>
    <w:rsid w:val="00926752"/>
    <w:rsid w:val="00926CFF"/>
    <w:rsid w:val="00926F8F"/>
    <w:rsid w:val="009270AF"/>
    <w:rsid w:val="009271A4"/>
    <w:rsid w:val="009271AD"/>
    <w:rsid w:val="009273DE"/>
    <w:rsid w:val="00927582"/>
    <w:rsid w:val="009275C1"/>
    <w:rsid w:val="00927640"/>
    <w:rsid w:val="00927680"/>
    <w:rsid w:val="00927759"/>
    <w:rsid w:val="00927844"/>
    <w:rsid w:val="009278AA"/>
    <w:rsid w:val="009279E5"/>
    <w:rsid w:val="00927A48"/>
    <w:rsid w:val="00927CB1"/>
    <w:rsid w:val="00927D99"/>
    <w:rsid w:val="00927EB2"/>
    <w:rsid w:val="009301B6"/>
    <w:rsid w:val="00930239"/>
    <w:rsid w:val="009302A2"/>
    <w:rsid w:val="00930321"/>
    <w:rsid w:val="0093038A"/>
    <w:rsid w:val="009303A5"/>
    <w:rsid w:val="009303E9"/>
    <w:rsid w:val="00930720"/>
    <w:rsid w:val="00930807"/>
    <w:rsid w:val="00930843"/>
    <w:rsid w:val="00931248"/>
    <w:rsid w:val="00931293"/>
    <w:rsid w:val="0093185E"/>
    <w:rsid w:val="0093193B"/>
    <w:rsid w:val="00931996"/>
    <w:rsid w:val="00931C97"/>
    <w:rsid w:val="00931D9A"/>
    <w:rsid w:val="00931F29"/>
    <w:rsid w:val="00931F88"/>
    <w:rsid w:val="009320E5"/>
    <w:rsid w:val="009322C3"/>
    <w:rsid w:val="00932335"/>
    <w:rsid w:val="0093246F"/>
    <w:rsid w:val="00932595"/>
    <w:rsid w:val="00932843"/>
    <w:rsid w:val="009328AD"/>
    <w:rsid w:val="009328F3"/>
    <w:rsid w:val="00932CC9"/>
    <w:rsid w:val="00932DED"/>
    <w:rsid w:val="00933148"/>
    <w:rsid w:val="009331E7"/>
    <w:rsid w:val="009333A7"/>
    <w:rsid w:val="0093346B"/>
    <w:rsid w:val="00933537"/>
    <w:rsid w:val="0093357A"/>
    <w:rsid w:val="00933609"/>
    <w:rsid w:val="00933860"/>
    <w:rsid w:val="00933875"/>
    <w:rsid w:val="00933923"/>
    <w:rsid w:val="00933BA0"/>
    <w:rsid w:val="00933CCC"/>
    <w:rsid w:val="00933D7D"/>
    <w:rsid w:val="00933E58"/>
    <w:rsid w:val="00934255"/>
    <w:rsid w:val="00934454"/>
    <w:rsid w:val="00934635"/>
    <w:rsid w:val="00934716"/>
    <w:rsid w:val="00934780"/>
    <w:rsid w:val="0093491A"/>
    <w:rsid w:val="00934B32"/>
    <w:rsid w:val="00934B60"/>
    <w:rsid w:val="00934BA9"/>
    <w:rsid w:val="00934EAE"/>
    <w:rsid w:val="00934ED5"/>
    <w:rsid w:val="00935184"/>
    <w:rsid w:val="00935310"/>
    <w:rsid w:val="009353B4"/>
    <w:rsid w:val="00935462"/>
    <w:rsid w:val="009354CB"/>
    <w:rsid w:val="0093567F"/>
    <w:rsid w:val="00935704"/>
    <w:rsid w:val="00935767"/>
    <w:rsid w:val="00935792"/>
    <w:rsid w:val="009357CE"/>
    <w:rsid w:val="0093582A"/>
    <w:rsid w:val="0093589C"/>
    <w:rsid w:val="009359E6"/>
    <w:rsid w:val="00935A98"/>
    <w:rsid w:val="00935AEA"/>
    <w:rsid w:val="00935B0B"/>
    <w:rsid w:val="00935C2E"/>
    <w:rsid w:val="00935CEB"/>
    <w:rsid w:val="00935CFD"/>
    <w:rsid w:val="00935D8F"/>
    <w:rsid w:val="00935DE9"/>
    <w:rsid w:val="0093620B"/>
    <w:rsid w:val="009362D0"/>
    <w:rsid w:val="00936A50"/>
    <w:rsid w:val="00936C1C"/>
    <w:rsid w:val="00936C5F"/>
    <w:rsid w:val="00936D34"/>
    <w:rsid w:val="00936E67"/>
    <w:rsid w:val="00936F55"/>
    <w:rsid w:val="0093709B"/>
    <w:rsid w:val="009370E7"/>
    <w:rsid w:val="009371BA"/>
    <w:rsid w:val="009371FB"/>
    <w:rsid w:val="0093729C"/>
    <w:rsid w:val="0093750D"/>
    <w:rsid w:val="0093758D"/>
    <w:rsid w:val="009375BF"/>
    <w:rsid w:val="009376F8"/>
    <w:rsid w:val="00937986"/>
    <w:rsid w:val="00937BAF"/>
    <w:rsid w:val="00937CB8"/>
    <w:rsid w:val="00937D36"/>
    <w:rsid w:val="009400BE"/>
    <w:rsid w:val="009402AE"/>
    <w:rsid w:val="00940438"/>
    <w:rsid w:val="009405FC"/>
    <w:rsid w:val="00940B9E"/>
    <w:rsid w:val="00940C09"/>
    <w:rsid w:val="00940E62"/>
    <w:rsid w:val="00940EAB"/>
    <w:rsid w:val="009410D9"/>
    <w:rsid w:val="00941121"/>
    <w:rsid w:val="009412C3"/>
    <w:rsid w:val="00941359"/>
    <w:rsid w:val="00941519"/>
    <w:rsid w:val="009416A6"/>
    <w:rsid w:val="009416CA"/>
    <w:rsid w:val="0094193F"/>
    <w:rsid w:val="009419CF"/>
    <w:rsid w:val="00941A20"/>
    <w:rsid w:val="00941BEE"/>
    <w:rsid w:val="00941C14"/>
    <w:rsid w:val="00941E3D"/>
    <w:rsid w:val="0094216A"/>
    <w:rsid w:val="00942298"/>
    <w:rsid w:val="009422A2"/>
    <w:rsid w:val="009422F1"/>
    <w:rsid w:val="00942331"/>
    <w:rsid w:val="00942459"/>
    <w:rsid w:val="00942542"/>
    <w:rsid w:val="0094264A"/>
    <w:rsid w:val="009426F0"/>
    <w:rsid w:val="00942712"/>
    <w:rsid w:val="00942787"/>
    <w:rsid w:val="009428F7"/>
    <w:rsid w:val="00942927"/>
    <w:rsid w:val="00942937"/>
    <w:rsid w:val="00942B3F"/>
    <w:rsid w:val="00942C9C"/>
    <w:rsid w:val="00942D57"/>
    <w:rsid w:val="00942DFA"/>
    <w:rsid w:val="00942F11"/>
    <w:rsid w:val="00942F34"/>
    <w:rsid w:val="00943011"/>
    <w:rsid w:val="009431E3"/>
    <w:rsid w:val="0094325E"/>
    <w:rsid w:val="00943304"/>
    <w:rsid w:val="009436DC"/>
    <w:rsid w:val="00943749"/>
    <w:rsid w:val="009438C3"/>
    <w:rsid w:val="00943974"/>
    <w:rsid w:val="00943A6D"/>
    <w:rsid w:val="00943A70"/>
    <w:rsid w:val="00943C1C"/>
    <w:rsid w:val="00943C64"/>
    <w:rsid w:val="00943DCD"/>
    <w:rsid w:val="00943DF1"/>
    <w:rsid w:val="00943EE0"/>
    <w:rsid w:val="00943F73"/>
    <w:rsid w:val="00944318"/>
    <w:rsid w:val="00944371"/>
    <w:rsid w:val="009445B5"/>
    <w:rsid w:val="0094469A"/>
    <w:rsid w:val="00944798"/>
    <w:rsid w:val="0094481B"/>
    <w:rsid w:val="0094483F"/>
    <w:rsid w:val="0094487C"/>
    <w:rsid w:val="00944A2F"/>
    <w:rsid w:val="00944AEE"/>
    <w:rsid w:val="00944B2D"/>
    <w:rsid w:val="00944BEE"/>
    <w:rsid w:val="00944BF2"/>
    <w:rsid w:val="00944D24"/>
    <w:rsid w:val="00944E09"/>
    <w:rsid w:val="0094530D"/>
    <w:rsid w:val="00945494"/>
    <w:rsid w:val="009454F1"/>
    <w:rsid w:val="009455A4"/>
    <w:rsid w:val="009457DB"/>
    <w:rsid w:val="00945C96"/>
    <w:rsid w:val="00946081"/>
    <w:rsid w:val="0094631C"/>
    <w:rsid w:val="009466E8"/>
    <w:rsid w:val="009466FA"/>
    <w:rsid w:val="00946B3D"/>
    <w:rsid w:val="00946E0A"/>
    <w:rsid w:val="00946E62"/>
    <w:rsid w:val="00946F3A"/>
    <w:rsid w:val="00946FF9"/>
    <w:rsid w:val="009472E0"/>
    <w:rsid w:val="009472E7"/>
    <w:rsid w:val="00947361"/>
    <w:rsid w:val="009474EB"/>
    <w:rsid w:val="009474EC"/>
    <w:rsid w:val="00947520"/>
    <w:rsid w:val="009475D9"/>
    <w:rsid w:val="00947722"/>
    <w:rsid w:val="0094789B"/>
    <w:rsid w:val="00947C60"/>
    <w:rsid w:val="00947D6F"/>
    <w:rsid w:val="00947E93"/>
    <w:rsid w:val="009501E3"/>
    <w:rsid w:val="009502A8"/>
    <w:rsid w:val="00950428"/>
    <w:rsid w:val="00950571"/>
    <w:rsid w:val="00950619"/>
    <w:rsid w:val="00950A4C"/>
    <w:rsid w:val="00950AEE"/>
    <w:rsid w:val="00950B8D"/>
    <w:rsid w:val="00950BB9"/>
    <w:rsid w:val="00950C2B"/>
    <w:rsid w:val="00950C7B"/>
    <w:rsid w:val="00950CF3"/>
    <w:rsid w:val="0095141A"/>
    <w:rsid w:val="0095151A"/>
    <w:rsid w:val="00951622"/>
    <w:rsid w:val="0095165C"/>
    <w:rsid w:val="00951710"/>
    <w:rsid w:val="00951925"/>
    <w:rsid w:val="00951CFD"/>
    <w:rsid w:val="00951F4D"/>
    <w:rsid w:val="00951FB0"/>
    <w:rsid w:val="00952127"/>
    <w:rsid w:val="009521C5"/>
    <w:rsid w:val="00952500"/>
    <w:rsid w:val="00952513"/>
    <w:rsid w:val="00952543"/>
    <w:rsid w:val="00952620"/>
    <w:rsid w:val="00952846"/>
    <w:rsid w:val="00952A05"/>
    <w:rsid w:val="00952ADB"/>
    <w:rsid w:val="00952BF8"/>
    <w:rsid w:val="00952E05"/>
    <w:rsid w:val="00952E93"/>
    <w:rsid w:val="00953053"/>
    <w:rsid w:val="009530C5"/>
    <w:rsid w:val="00953288"/>
    <w:rsid w:val="009532AF"/>
    <w:rsid w:val="00953404"/>
    <w:rsid w:val="00953458"/>
    <w:rsid w:val="00953588"/>
    <w:rsid w:val="009536B1"/>
    <w:rsid w:val="00953788"/>
    <w:rsid w:val="00953979"/>
    <w:rsid w:val="00953D2B"/>
    <w:rsid w:val="00953F3D"/>
    <w:rsid w:val="00953F89"/>
    <w:rsid w:val="00953FB2"/>
    <w:rsid w:val="00954334"/>
    <w:rsid w:val="0095435D"/>
    <w:rsid w:val="009543A7"/>
    <w:rsid w:val="0095447D"/>
    <w:rsid w:val="009544F2"/>
    <w:rsid w:val="00954645"/>
    <w:rsid w:val="0095465C"/>
    <w:rsid w:val="009546C9"/>
    <w:rsid w:val="00954923"/>
    <w:rsid w:val="009549EA"/>
    <w:rsid w:val="00954A23"/>
    <w:rsid w:val="00954A36"/>
    <w:rsid w:val="00954AEC"/>
    <w:rsid w:val="00954BB9"/>
    <w:rsid w:val="00954CBF"/>
    <w:rsid w:val="00954CC1"/>
    <w:rsid w:val="00954EDD"/>
    <w:rsid w:val="00954F6B"/>
    <w:rsid w:val="00955324"/>
    <w:rsid w:val="009554FB"/>
    <w:rsid w:val="00955532"/>
    <w:rsid w:val="0095556E"/>
    <w:rsid w:val="0095571B"/>
    <w:rsid w:val="00955766"/>
    <w:rsid w:val="009557E9"/>
    <w:rsid w:val="00955A26"/>
    <w:rsid w:val="00955BC0"/>
    <w:rsid w:val="00955C20"/>
    <w:rsid w:val="00955CF6"/>
    <w:rsid w:val="00955D4D"/>
    <w:rsid w:val="00955E4A"/>
    <w:rsid w:val="00955EFD"/>
    <w:rsid w:val="00955FD0"/>
    <w:rsid w:val="00956037"/>
    <w:rsid w:val="0095622A"/>
    <w:rsid w:val="00956296"/>
    <w:rsid w:val="009562D4"/>
    <w:rsid w:val="009566CE"/>
    <w:rsid w:val="00956784"/>
    <w:rsid w:val="0095685C"/>
    <w:rsid w:val="0095694E"/>
    <w:rsid w:val="00956A65"/>
    <w:rsid w:val="00956A8B"/>
    <w:rsid w:val="00956CAC"/>
    <w:rsid w:val="00956E90"/>
    <w:rsid w:val="00957037"/>
    <w:rsid w:val="00957090"/>
    <w:rsid w:val="009570E0"/>
    <w:rsid w:val="0095714B"/>
    <w:rsid w:val="0095727F"/>
    <w:rsid w:val="00957542"/>
    <w:rsid w:val="00957596"/>
    <w:rsid w:val="009575AF"/>
    <w:rsid w:val="009576B2"/>
    <w:rsid w:val="0095780A"/>
    <w:rsid w:val="009578CF"/>
    <w:rsid w:val="00957996"/>
    <w:rsid w:val="00957B49"/>
    <w:rsid w:val="00957C58"/>
    <w:rsid w:val="00957FB5"/>
    <w:rsid w:val="00960275"/>
    <w:rsid w:val="009602DD"/>
    <w:rsid w:val="00960453"/>
    <w:rsid w:val="009606B5"/>
    <w:rsid w:val="00960705"/>
    <w:rsid w:val="00960A7A"/>
    <w:rsid w:val="00960A88"/>
    <w:rsid w:val="00960AB9"/>
    <w:rsid w:val="00960DEF"/>
    <w:rsid w:val="00960E08"/>
    <w:rsid w:val="009612AB"/>
    <w:rsid w:val="009614CB"/>
    <w:rsid w:val="0096151A"/>
    <w:rsid w:val="00961561"/>
    <w:rsid w:val="0096180C"/>
    <w:rsid w:val="00961AA8"/>
    <w:rsid w:val="00961B29"/>
    <w:rsid w:val="00961CED"/>
    <w:rsid w:val="00961DFB"/>
    <w:rsid w:val="00961E21"/>
    <w:rsid w:val="00961E2A"/>
    <w:rsid w:val="0096217B"/>
    <w:rsid w:val="0096231C"/>
    <w:rsid w:val="00962341"/>
    <w:rsid w:val="009623E1"/>
    <w:rsid w:val="00962613"/>
    <w:rsid w:val="00962A32"/>
    <w:rsid w:val="00962AC3"/>
    <w:rsid w:val="00962B61"/>
    <w:rsid w:val="00962B68"/>
    <w:rsid w:val="00962DBD"/>
    <w:rsid w:val="00962FCC"/>
    <w:rsid w:val="009630F7"/>
    <w:rsid w:val="00963231"/>
    <w:rsid w:val="009632AE"/>
    <w:rsid w:val="00963455"/>
    <w:rsid w:val="00963468"/>
    <w:rsid w:val="009634AD"/>
    <w:rsid w:val="0096360A"/>
    <w:rsid w:val="0096384E"/>
    <w:rsid w:val="009638FD"/>
    <w:rsid w:val="00963A1D"/>
    <w:rsid w:val="00963AAA"/>
    <w:rsid w:val="00963BC0"/>
    <w:rsid w:val="00963BFB"/>
    <w:rsid w:val="00963C32"/>
    <w:rsid w:val="00963D76"/>
    <w:rsid w:val="00963EAC"/>
    <w:rsid w:val="00964176"/>
    <w:rsid w:val="0096443C"/>
    <w:rsid w:val="0096478C"/>
    <w:rsid w:val="0096485C"/>
    <w:rsid w:val="009648E9"/>
    <w:rsid w:val="00964B0D"/>
    <w:rsid w:val="00964CF8"/>
    <w:rsid w:val="00964D14"/>
    <w:rsid w:val="00964D7F"/>
    <w:rsid w:val="00964EB8"/>
    <w:rsid w:val="00965063"/>
    <w:rsid w:val="009650A9"/>
    <w:rsid w:val="00965152"/>
    <w:rsid w:val="0096517D"/>
    <w:rsid w:val="009651E5"/>
    <w:rsid w:val="009653FE"/>
    <w:rsid w:val="0096580F"/>
    <w:rsid w:val="00965A43"/>
    <w:rsid w:val="00965B3E"/>
    <w:rsid w:val="00965D3F"/>
    <w:rsid w:val="00965E55"/>
    <w:rsid w:val="00965FEE"/>
    <w:rsid w:val="00966699"/>
    <w:rsid w:val="0096699B"/>
    <w:rsid w:val="00966A1F"/>
    <w:rsid w:val="00966AE4"/>
    <w:rsid w:val="00966B7B"/>
    <w:rsid w:val="00966BB2"/>
    <w:rsid w:val="00966BF5"/>
    <w:rsid w:val="00966D28"/>
    <w:rsid w:val="00966EA9"/>
    <w:rsid w:val="009671A9"/>
    <w:rsid w:val="00967299"/>
    <w:rsid w:val="00967356"/>
    <w:rsid w:val="0096737C"/>
    <w:rsid w:val="0096745C"/>
    <w:rsid w:val="009674E5"/>
    <w:rsid w:val="0096758D"/>
    <w:rsid w:val="00967621"/>
    <w:rsid w:val="0096774C"/>
    <w:rsid w:val="00967879"/>
    <w:rsid w:val="009678C3"/>
    <w:rsid w:val="00967A04"/>
    <w:rsid w:val="00967B56"/>
    <w:rsid w:val="00967BBE"/>
    <w:rsid w:val="00967C2C"/>
    <w:rsid w:val="00967E24"/>
    <w:rsid w:val="00967F00"/>
    <w:rsid w:val="00967F59"/>
    <w:rsid w:val="00970061"/>
    <w:rsid w:val="00970221"/>
    <w:rsid w:val="0097022D"/>
    <w:rsid w:val="00970330"/>
    <w:rsid w:val="009703EB"/>
    <w:rsid w:val="00970A6F"/>
    <w:rsid w:val="00970B28"/>
    <w:rsid w:val="00970B70"/>
    <w:rsid w:val="00970C96"/>
    <w:rsid w:val="00970E6B"/>
    <w:rsid w:val="00970F60"/>
    <w:rsid w:val="009710C3"/>
    <w:rsid w:val="00971260"/>
    <w:rsid w:val="0097155D"/>
    <w:rsid w:val="009716D7"/>
    <w:rsid w:val="0097174C"/>
    <w:rsid w:val="0097198A"/>
    <w:rsid w:val="00971AC5"/>
    <w:rsid w:val="00971C3D"/>
    <w:rsid w:val="00971D87"/>
    <w:rsid w:val="00971EF6"/>
    <w:rsid w:val="00971F74"/>
    <w:rsid w:val="00971FAB"/>
    <w:rsid w:val="00971FE7"/>
    <w:rsid w:val="00972267"/>
    <w:rsid w:val="009725C5"/>
    <w:rsid w:val="0097273B"/>
    <w:rsid w:val="0097276A"/>
    <w:rsid w:val="009727F8"/>
    <w:rsid w:val="00972B7F"/>
    <w:rsid w:val="00972CD3"/>
    <w:rsid w:val="00973451"/>
    <w:rsid w:val="009734D0"/>
    <w:rsid w:val="00973685"/>
    <w:rsid w:val="00973862"/>
    <w:rsid w:val="00973996"/>
    <w:rsid w:val="00973AE8"/>
    <w:rsid w:val="00973BBB"/>
    <w:rsid w:val="00973F01"/>
    <w:rsid w:val="00973FD6"/>
    <w:rsid w:val="00974039"/>
    <w:rsid w:val="009741B1"/>
    <w:rsid w:val="009741CE"/>
    <w:rsid w:val="009744B6"/>
    <w:rsid w:val="0097454E"/>
    <w:rsid w:val="00974887"/>
    <w:rsid w:val="009748B4"/>
    <w:rsid w:val="00974BF1"/>
    <w:rsid w:val="00974CB3"/>
    <w:rsid w:val="00974DB6"/>
    <w:rsid w:val="00974E1C"/>
    <w:rsid w:val="00974E5E"/>
    <w:rsid w:val="009750C9"/>
    <w:rsid w:val="00975121"/>
    <w:rsid w:val="00975367"/>
    <w:rsid w:val="009753D1"/>
    <w:rsid w:val="0097543F"/>
    <w:rsid w:val="0097552F"/>
    <w:rsid w:val="00975575"/>
    <w:rsid w:val="0097558A"/>
    <w:rsid w:val="00975735"/>
    <w:rsid w:val="0097581C"/>
    <w:rsid w:val="00975853"/>
    <w:rsid w:val="00975AC1"/>
    <w:rsid w:val="00975B23"/>
    <w:rsid w:val="00975E64"/>
    <w:rsid w:val="00975E8C"/>
    <w:rsid w:val="00975FEB"/>
    <w:rsid w:val="0097600E"/>
    <w:rsid w:val="00976030"/>
    <w:rsid w:val="0097636C"/>
    <w:rsid w:val="009764AD"/>
    <w:rsid w:val="0097652D"/>
    <w:rsid w:val="009766E7"/>
    <w:rsid w:val="009767B8"/>
    <w:rsid w:val="009769FC"/>
    <w:rsid w:val="00976A0C"/>
    <w:rsid w:val="00976B15"/>
    <w:rsid w:val="00976D50"/>
    <w:rsid w:val="00976D82"/>
    <w:rsid w:val="00976E61"/>
    <w:rsid w:val="00976EE7"/>
    <w:rsid w:val="009771DB"/>
    <w:rsid w:val="00977551"/>
    <w:rsid w:val="00977563"/>
    <w:rsid w:val="009775DA"/>
    <w:rsid w:val="0097762C"/>
    <w:rsid w:val="009776C0"/>
    <w:rsid w:val="00977704"/>
    <w:rsid w:val="00977785"/>
    <w:rsid w:val="009779AE"/>
    <w:rsid w:val="00977AA6"/>
    <w:rsid w:val="00977B9F"/>
    <w:rsid w:val="00977C7E"/>
    <w:rsid w:val="00977D12"/>
    <w:rsid w:val="00977ED2"/>
    <w:rsid w:val="009801B8"/>
    <w:rsid w:val="00980347"/>
    <w:rsid w:val="00980639"/>
    <w:rsid w:val="00980943"/>
    <w:rsid w:val="00980CA5"/>
    <w:rsid w:val="00980DD7"/>
    <w:rsid w:val="00980E93"/>
    <w:rsid w:val="009812AB"/>
    <w:rsid w:val="00981430"/>
    <w:rsid w:val="00981C61"/>
    <w:rsid w:val="00981D71"/>
    <w:rsid w:val="00981EA4"/>
    <w:rsid w:val="00982037"/>
    <w:rsid w:val="0098208B"/>
    <w:rsid w:val="009820B9"/>
    <w:rsid w:val="00982119"/>
    <w:rsid w:val="00982271"/>
    <w:rsid w:val="0098229A"/>
    <w:rsid w:val="009822B4"/>
    <w:rsid w:val="009824FA"/>
    <w:rsid w:val="00982563"/>
    <w:rsid w:val="009825E7"/>
    <w:rsid w:val="009826D6"/>
    <w:rsid w:val="009826F7"/>
    <w:rsid w:val="0098273E"/>
    <w:rsid w:val="00982877"/>
    <w:rsid w:val="00982915"/>
    <w:rsid w:val="009829C6"/>
    <w:rsid w:val="00982B41"/>
    <w:rsid w:val="00982D45"/>
    <w:rsid w:val="00982FD4"/>
    <w:rsid w:val="0098304E"/>
    <w:rsid w:val="00983356"/>
    <w:rsid w:val="009836A5"/>
    <w:rsid w:val="00983730"/>
    <w:rsid w:val="009837B9"/>
    <w:rsid w:val="009838A4"/>
    <w:rsid w:val="0098396E"/>
    <w:rsid w:val="00983BE4"/>
    <w:rsid w:val="00983E9D"/>
    <w:rsid w:val="00984052"/>
    <w:rsid w:val="009841D0"/>
    <w:rsid w:val="009841F3"/>
    <w:rsid w:val="009844DA"/>
    <w:rsid w:val="0098459F"/>
    <w:rsid w:val="0098463C"/>
    <w:rsid w:val="009848DA"/>
    <w:rsid w:val="009848E0"/>
    <w:rsid w:val="009849C8"/>
    <w:rsid w:val="00984ABD"/>
    <w:rsid w:val="00984B0B"/>
    <w:rsid w:val="00984B4D"/>
    <w:rsid w:val="00984CCE"/>
    <w:rsid w:val="00984D3C"/>
    <w:rsid w:val="00984E05"/>
    <w:rsid w:val="00984E31"/>
    <w:rsid w:val="00984E33"/>
    <w:rsid w:val="00984F03"/>
    <w:rsid w:val="00984F68"/>
    <w:rsid w:val="009852F0"/>
    <w:rsid w:val="009853D9"/>
    <w:rsid w:val="00985559"/>
    <w:rsid w:val="00985586"/>
    <w:rsid w:val="009856EA"/>
    <w:rsid w:val="009858AA"/>
    <w:rsid w:val="00985996"/>
    <w:rsid w:val="00985BC4"/>
    <w:rsid w:val="00985CFC"/>
    <w:rsid w:val="009861E1"/>
    <w:rsid w:val="009865E2"/>
    <w:rsid w:val="009867F4"/>
    <w:rsid w:val="00986A8D"/>
    <w:rsid w:val="00986E53"/>
    <w:rsid w:val="00986E6E"/>
    <w:rsid w:val="00986F3E"/>
    <w:rsid w:val="009870E7"/>
    <w:rsid w:val="00987131"/>
    <w:rsid w:val="0098715C"/>
    <w:rsid w:val="0098721D"/>
    <w:rsid w:val="009872FE"/>
    <w:rsid w:val="009873AF"/>
    <w:rsid w:val="009873BF"/>
    <w:rsid w:val="00987407"/>
    <w:rsid w:val="009875C9"/>
    <w:rsid w:val="009875FD"/>
    <w:rsid w:val="009876FF"/>
    <w:rsid w:val="0098779A"/>
    <w:rsid w:val="009877C9"/>
    <w:rsid w:val="00987817"/>
    <w:rsid w:val="009878A2"/>
    <w:rsid w:val="00987C88"/>
    <w:rsid w:val="00987C8F"/>
    <w:rsid w:val="0099016E"/>
    <w:rsid w:val="009901A2"/>
    <w:rsid w:val="009901C4"/>
    <w:rsid w:val="00990422"/>
    <w:rsid w:val="00990520"/>
    <w:rsid w:val="009905C2"/>
    <w:rsid w:val="0099064C"/>
    <w:rsid w:val="009906E9"/>
    <w:rsid w:val="00990905"/>
    <w:rsid w:val="00990A94"/>
    <w:rsid w:val="00990CF2"/>
    <w:rsid w:val="00990D8D"/>
    <w:rsid w:val="00990F04"/>
    <w:rsid w:val="00991212"/>
    <w:rsid w:val="00991242"/>
    <w:rsid w:val="00991295"/>
    <w:rsid w:val="009914A3"/>
    <w:rsid w:val="00991582"/>
    <w:rsid w:val="0099160C"/>
    <w:rsid w:val="0099170B"/>
    <w:rsid w:val="009919AA"/>
    <w:rsid w:val="00991A77"/>
    <w:rsid w:val="00991B33"/>
    <w:rsid w:val="00991C6E"/>
    <w:rsid w:val="00991D6B"/>
    <w:rsid w:val="00991D89"/>
    <w:rsid w:val="00991E4E"/>
    <w:rsid w:val="00991E64"/>
    <w:rsid w:val="0099213B"/>
    <w:rsid w:val="00992264"/>
    <w:rsid w:val="0099227B"/>
    <w:rsid w:val="009922A9"/>
    <w:rsid w:val="00992384"/>
    <w:rsid w:val="00992492"/>
    <w:rsid w:val="00992535"/>
    <w:rsid w:val="009925AB"/>
    <w:rsid w:val="009925CA"/>
    <w:rsid w:val="00992655"/>
    <w:rsid w:val="00992678"/>
    <w:rsid w:val="00992849"/>
    <w:rsid w:val="00992B2F"/>
    <w:rsid w:val="00992E56"/>
    <w:rsid w:val="00992EFD"/>
    <w:rsid w:val="00993049"/>
    <w:rsid w:val="00993471"/>
    <w:rsid w:val="009937AA"/>
    <w:rsid w:val="009937EB"/>
    <w:rsid w:val="0099388F"/>
    <w:rsid w:val="00993B82"/>
    <w:rsid w:val="00993BE7"/>
    <w:rsid w:val="00993D51"/>
    <w:rsid w:val="00993E04"/>
    <w:rsid w:val="0099423F"/>
    <w:rsid w:val="00994426"/>
    <w:rsid w:val="00994468"/>
    <w:rsid w:val="00994640"/>
    <w:rsid w:val="0099465E"/>
    <w:rsid w:val="009946F1"/>
    <w:rsid w:val="00994C33"/>
    <w:rsid w:val="00994D66"/>
    <w:rsid w:val="00994D7F"/>
    <w:rsid w:val="00994DD0"/>
    <w:rsid w:val="00994E3D"/>
    <w:rsid w:val="00995094"/>
    <w:rsid w:val="009950E4"/>
    <w:rsid w:val="0099521D"/>
    <w:rsid w:val="00995367"/>
    <w:rsid w:val="0099536C"/>
    <w:rsid w:val="0099540B"/>
    <w:rsid w:val="00995656"/>
    <w:rsid w:val="009959D2"/>
    <w:rsid w:val="00995C32"/>
    <w:rsid w:val="00995C9D"/>
    <w:rsid w:val="00995CF6"/>
    <w:rsid w:val="00995D6C"/>
    <w:rsid w:val="00995F5A"/>
    <w:rsid w:val="00995F81"/>
    <w:rsid w:val="0099619D"/>
    <w:rsid w:val="009962BB"/>
    <w:rsid w:val="009963E9"/>
    <w:rsid w:val="00996553"/>
    <w:rsid w:val="0099675B"/>
    <w:rsid w:val="009967E3"/>
    <w:rsid w:val="00996934"/>
    <w:rsid w:val="00996E1B"/>
    <w:rsid w:val="009970EF"/>
    <w:rsid w:val="00997233"/>
    <w:rsid w:val="00997377"/>
    <w:rsid w:val="009973BB"/>
    <w:rsid w:val="009974FE"/>
    <w:rsid w:val="00997679"/>
    <w:rsid w:val="00997701"/>
    <w:rsid w:val="009977DA"/>
    <w:rsid w:val="0099785B"/>
    <w:rsid w:val="00997955"/>
    <w:rsid w:val="00997CB9"/>
    <w:rsid w:val="00997D9A"/>
    <w:rsid w:val="00997DB6"/>
    <w:rsid w:val="00997F0D"/>
    <w:rsid w:val="00997F14"/>
    <w:rsid w:val="009A008F"/>
    <w:rsid w:val="009A0104"/>
    <w:rsid w:val="009A01B8"/>
    <w:rsid w:val="009A0498"/>
    <w:rsid w:val="009A0617"/>
    <w:rsid w:val="009A0772"/>
    <w:rsid w:val="009A09DC"/>
    <w:rsid w:val="009A0A92"/>
    <w:rsid w:val="009A0F0D"/>
    <w:rsid w:val="009A11E1"/>
    <w:rsid w:val="009A168B"/>
    <w:rsid w:val="009A16B1"/>
    <w:rsid w:val="009A1778"/>
    <w:rsid w:val="009A1783"/>
    <w:rsid w:val="009A17E4"/>
    <w:rsid w:val="009A21DA"/>
    <w:rsid w:val="009A22CD"/>
    <w:rsid w:val="009A22EA"/>
    <w:rsid w:val="009A2723"/>
    <w:rsid w:val="009A27D3"/>
    <w:rsid w:val="009A27E3"/>
    <w:rsid w:val="009A27EE"/>
    <w:rsid w:val="009A2840"/>
    <w:rsid w:val="009A29E7"/>
    <w:rsid w:val="009A2C7F"/>
    <w:rsid w:val="009A2DFF"/>
    <w:rsid w:val="009A2E11"/>
    <w:rsid w:val="009A3018"/>
    <w:rsid w:val="009A30A0"/>
    <w:rsid w:val="009A30E7"/>
    <w:rsid w:val="009A32ED"/>
    <w:rsid w:val="009A3364"/>
    <w:rsid w:val="009A3392"/>
    <w:rsid w:val="009A3624"/>
    <w:rsid w:val="009A364A"/>
    <w:rsid w:val="009A372A"/>
    <w:rsid w:val="009A3758"/>
    <w:rsid w:val="009A390E"/>
    <w:rsid w:val="009A39ED"/>
    <w:rsid w:val="009A3B96"/>
    <w:rsid w:val="009A3C89"/>
    <w:rsid w:val="009A3D95"/>
    <w:rsid w:val="009A3EB1"/>
    <w:rsid w:val="009A3F49"/>
    <w:rsid w:val="009A40C0"/>
    <w:rsid w:val="009A4335"/>
    <w:rsid w:val="009A4342"/>
    <w:rsid w:val="009A453C"/>
    <w:rsid w:val="009A4857"/>
    <w:rsid w:val="009A48D5"/>
    <w:rsid w:val="009A4CC7"/>
    <w:rsid w:val="009A4D8B"/>
    <w:rsid w:val="009A4EAB"/>
    <w:rsid w:val="009A4EB5"/>
    <w:rsid w:val="009A5058"/>
    <w:rsid w:val="009A50EE"/>
    <w:rsid w:val="009A513C"/>
    <w:rsid w:val="009A5270"/>
    <w:rsid w:val="009A533E"/>
    <w:rsid w:val="009A53CD"/>
    <w:rsid w:val="009A564B"/>
    <w:rsid w:val="009A5704"/>
    <w:rsid w:val="009A5A80"/>
    <w:rsid w:val="009A5C5C"/>
    <w:rsid w:val="009A5C9A"/>
    <w:rsid w:val="009A5CFB"/>
    <w:rsid w:val="009A5DD1"/>
    <w:rsid w:val="009A5F33"/>
    <w:rsid w:val="009A601A"/>
    <w:rsid w:val="009A629D"/>
    <w:rsid w:val="009A65D5"/>
    <w:rsid w:val="009A6678"/>
    <w:rsid w:val="009A6800"/>
    <w:rsid w:val="009A69FB"/>
    <w:rsid w:val="009A6A9A"/>
    <w:rsid w:val="009A6AF2"/>
    <w:rsid w:val="009A6D60"/>
    <w:rsid w:val="009A7006"/>
    <w:rsid w:val="009A7025"/>
    <w:rsid w:val="009A703C"/>
    <w:rsid w:val="009A718A"/>
    <w:rsid w:val="009A7441"/>
    <w:rsid w:val="009A749B"/>
    <w:rsid w:val="009A74D7"/>
    <w:rsid w:val="009A763A"/>
    <w:rsid w:val="009A7640"/>
    <w:rsid w:val="009A789C"/>
    <w:rsid w:val="009A78B4"/>
    <w:rsid w:val="009A7942"/>
    <w:rsid w:val="009A7BD7"/>
    <w:rsid w:val="009A7FB9"/>
    <w:rsid w:val="009B01F6"/>
    <w:rsid w:val="009B03E9"/>
    <w:rsid w:val="009B0401"/>
    <w:rsid w:val="009B056D"/>
    <w:rsid w:val="009B06E3"/>
    <w:rsid w:val="009B0896"/>
    <w:rsid w:val="009B0ADD"/>
    <w:rsid w:val="009B0BBA"/>
    <w:rsid w:val="009B10F9"/>
    <w:rsid w:val="009B10FA"/>
    <w:rsid w:val="009B12B9"/>
    <w:rsid w:val="009B12BE"/>
    <w:rsid w:val="009B1338"/>
    <w:rsid w:val="009B1685"/>
    <w:rsid w:val="009B177E"/>
    <w:rsid w:val="009B190C"/>
    <w:rsid w:val="009B1940"/>
    <w:rsid w:val="009B19C8"/>
    <w:rsid w:val="009B1B48"/>
    <w:rsid w:val="009B1B9E"/>
    <w:rsid w:val="009B1C4E"/>
    <w:rsid w:val="009B1D94"/>
    <w:rsid w:val="009B23D7"/>
    <w:rsid w:val="009B24B6"/>
    <w:rsid w:val="009B2722"/>
    <w:rsid w:val="009B27B9"/>
    <w:rsid w:val="009B2A1C"/>
    <w:rsid w:val="009B2C08"/>
    <w:rsid w:val="009B2C86"/>
    <w:rsid w:val="009B2F3B"/>
    <w:rsid w:val="009B3049"/>
    <w:rsid w:val="009B3271"/>
    <w:rsid w:val="009B34EA"/>
    <w:rsid w:val="009B3515"/>
    <w:rsid w:val="009B35FA"/>
    <w:rsid w:val="009B37F4"/>
    <w:rsid w:val="009B39F9"/>
    <w:rsid w:val="009B3B2A"/>
    <w:rsid w:val="009B3D7A"/>
    <w:rsid w:val="009B40D7"/>
    <w:rsid w:val="009B4241"/>
    <w:rsid w:val="009B425A"/>
    <w:rsid w:val="009B44D5"/>
    <w:rsid w:val="009B45DE"/>
    <w:rsid w:val="009B4976"/>
    <w:rsid w:val="009B4BB9"/>
    <w:rsid w:val="009B4C35"/>
    <w:rsid w:val="009B4E57"/>
    <w:rsid w:val="009B4FB7"/>
    <w:rsid w:val="009B4FCD"/>
    <w:rsid w:val="009B5127"/>
    <w:rsid w:val="009B52F8"/>
    <w:rsid w:val="009B53BC"/>
    <w:rsid w:val="009B5644"/>
    <w:rsid w:val="009B57CE"/>
    <w:rsid w:val="009B5843"/>
    <w:rsid w:val="009B587B"/>
    <w:rsid w:val="009B5887"/>
    <w:rsid w:val="009B592C"/>
    <w:rsid w:val="009B5B35"/>
    <w:rsid w:val="009B5B50"/>
    <w:rsid w:val="009B5BB4"/>
    <w:rsid w:val="009B5C0B"/>
    <w:rsid w:val="009B5C59"/>
    <w:rsid w:val="009B5ECA"/>
    <w:rsid w:val="009B5F16"/>
    <w:rsid w:val="009B610C"/>
    <w:rsid w:val="009B613B"/>
    <w:rsid w:val="009B64E8"/>
    <w:rsid w:val="009B6815"/>
    <w:rsid w:val="009B6A31"/>
    <w:rsid w:val="009B6C24"/>
    <w:rsid w:val="009B6D78"/>
    <w:rsid w:val="009B6E32"/>
    <w:rsid w:val="009B6FFC"/>
    <w:rsid w:val="009B7017"/>
    <w:rsid w:val="009B706F"/>
    <w:rsid w:val="009B70B7"/>
    <w:rsid w:val="009B718C"/>
    <w:rsid w:val="009B734A"/>
    <w:rsid w:val="009B7419"/>
    <w:rsid w:val="009B748A"/>
    <w:rsid w:val="009B74C9"/>
    <w:rsid w:val="009B7570"/>
    <w:rsid w:val="009B7695"/>
    <w:rsid w:val="009B799A"/>
    <w:rsid w:val="009B7A09"/>
    <w:rsid w:val="009B7C81"/>
    <w:rsid w:val="009B7FB4"/>
    <w:rsid w:val="009C01F9"/>
    <w:rsid w:val="009C0211"/>
    <w:rsid w:val="009C09C5"/>
    <w:rsid w:val="009C0F23"/>
    <w:rsid w:val="009C1031"/>
    <w:rsid w:val="009C126D"/>
    <w:rsid w:val="009C13B8"/>
    <w:rsid w:val="009C17DA"/>
    <w:rsid w:val="009C1932"/>
    <w:rsid w:val="009C1947"/>
    <w:rsid w:val="009C1A82"/>
    <w:rsid w:val="009C1C30"/>
    <w:rsid w:val="009C1D0A"/>
    <w:rsid w:val="009C1E62"/>
    <w:rsid w:val="009C1EAD"/>
    <w:rsid w:val="009C1EC5"/>
    <w:rsid w:val="009C1FAF"/>
    <w:rsid w:val="009C2060"/>
    <w:rsid w:val="009C2215"/>
    <w:rsid w:val="009C2342"/>
    <w:rsid w:val="009C2348"/>
    <w:rsid w:val="009C2625"/>
    <w:rsid w:val="009C28A3"/>
    <w:rsid w:val="009C2AAD"/>
    <w:rsid w:val="009C2C27"/>
    <w:rsid w:val="009C2DCC"/>
    <w:rsid w:val="009C2F8E"/>
    <w:rsid w:val="009C30F4"/>
    <w:rsid w:val="009C3228"/>
    <w:rsid w:val="009C3254"/>
    <w:rsid w:val="009C35CA"/>
    <w:rsid w:val="009C35E7"/>
    <w:rsid w:val="009C360B"/>
    <w:rsid w:val="009C380E"/>
    <w:rsid w:val="009C3813"/>
    <w:rsid w:val="009C382E"/>
    <w:rsid w:val="009C3B63"/>
    <w:rsid w:val="009C3E1F"/>
    <w:rsid w:val="009C41B2"/>
    <w:rsid w:val="009C42ED"/>
    <w:rsid w:val="009C4464"/>
    <w:rsid w:val="009C449B"/>
    <w:rsid w:val="009C451C"/>
    <w:rsid w:val="009C4627"/>
    <w:rsid w:val="009C483E"/>
    <w:rsid w:val="009C49FE"/>
    <w:rsid w:val="009C4AF8"/>
    <w:rsid w:val="009C4C82"/>
    <w:rsid w:val="009C4CD2"/>
    <w:rsid w:val="009C4E88"/>
    <w:rsid w:val="009C4FBB"/>
    <w:rsid w:val="009C50CF"/>
    <w:rsid w:val="009C5211"/>
    <w:rsid w:val="009C5464"/>
    <w:rsid w:val="009C548B"/>
    <w:rsid w:val="009C557F"/>
    <w:rsid w:val="009C5647"/>
    <w:rsid w:val="009C5830"/>
    <w:rsid w:val="009C585D"/>
    <w:rsid w:val="009C59DF"/>
    <w:rsid w:val="009C5C4C"/>
    <w:rsid w:val="009C5C93"/>
    <w:rsid w:val="009C5C9E"/>
    <w:rsid w:val="009C5CE5"/>
    <w:rsid w:val="009C5D3B"/>
    <w:rsid w:val="009C5DA3"/>
    <w:rsid w:val="009C600C"/>
    <w:rsid w:val="009C642D"/>
    <w:rsid w:val="009C65A1"/>
    <w:rsid w:val="009C6686"/>
    <w:rsid w:val="009C66A0"/>
    <w:rsid w:val="009C66EB"/>
    <w:rsid w:val="009C6838"/>
    <w:rsid w:val="009C6BC7"/>
    <w:rsid w:val="009C6C3A"/>
    <w:rsid w:val="009C6C5B"/>
    <w:rsid w:val="009C6CA8"/>
    <w:rsid w:val="009C6D3E"/>
    <w:rsid w:val="009C6F6F"/>
    <w:rsid w:val="009C6FA1"/>
    <w:rsid w:val="009C700F"/>
    <w:rsid w:val="009C7013"/>
    <w:rsid w:val="009C70C4"/>
    <w:rsid w:val="009C70CA"/>
    <w:rsid w:val="009C7227"/>
    <w:rsid w:val="009C72B7"/>
    <w:rsid w:val="009C777F"/>
    <w:rsid w:val="009C779E"/>
    <w:rsid w:val="009C7853"/>
    <w:rsid w:val="009C7983"/>
    <w:rsid w:val="009C7C4F"/>
    <w:rsid w:val="009C7D1F"/>
    <w:rsid w:val="009D00D8"/>
    <w:rsid w:val="009D01AF"/>
    <w:rsid w:val="009D0262"/>
    <w:rsid w:val="009D0331"/>
    <w:rsid w:val="009D08D3"/>
    <w:rsid w:val="009D0943"/>
    <w:rsid w:val="009D09D4"/>
    <w:rsid w:val="009D0B3D"/>
    <w:rsid w:val="009D0F8A"/>
    <w:rsid w:val="009D0F8F"/>
    <w:rsid w:val="009D1062"/>
    <w:rsid w:val="009D12E6"/>
    <w:rsid w:val="009D1439"/>
    <w:rsid w:val="009D16F5"/>
    <w:rsid w:val="009D1801"/>
    <w:rsid w:val="009D19A4"/>
    <w:rsid w:val="009D1C2D"/>
    <w:rsid w:val="009D1C40"/>
    <w:rsid w:val="009D1F04"/>
    <w:rsid w:val="009D1F65"/>
    <w:rsid w:val="009D1F72"/>
    <w:rsid w:val="009D212D"/>
    <w:rsid w:val="009D222C"/>
    <w:rsid w:val="009D226D"/>
    <w:rsid w:val="009D22B7"/>
    <w:rsid w:val="009D29B4"/>
    <w:rsid w:val="009D29C7"/>
    <w:rsid w:val="009D2AF6"/>
    <w:rsid w:val="009D2D14"/>
    <w:rsid w:val="009D2D33"/>
    <w:rsid w:val="009D2E69"/>
    <w:rsid w:val="009D2ED3"/>
    <w:rsid w:val="009D30E5"/>
    <w:rsid w:val="009D31BC"/>
    <w:rsid w:val="009D322F"/>
    <w:rsid w:val="009D3347"/>
    <w:rsid w:val="009D34AD"/>
    <w:rsid w:val="009D34BE"/>
    <w:rsid w:val="009D3750"/>
    <w:rsid w:val="009D37CD"/>
    <w:rsid w:val="009D387F"/>
    <w:rsid w:val="009D3C5C"/>
    <w:rsid w:val="009D3F8B"/>
    <w:rsid w:val="009D401C"/>
    <w:rsid w:val="009D40DE"/>
    <w:rsid w:val="009D418A"/>
    <w:rsid w:val="009D45C2"/>
    <w:rsid w:val="009D47BB"/>
    <w:rsid w:val="009D4AC9"/>
    <w:rsid w:val="009D4B1F"/>
    <w:rsid w:val="009D4B48"/>
    <w:rsid w:val="009D4C0B"/>
    <w:rsid w:val="009D4ECB"/>
    <w:rsid w:val="009D50B6"/>
    <w:rsid w:val="009D52B1"/>
    <w:rsid w:val="009D5385"/>
    <w:rsid w:val="009D53AE"/>
    <w:rsid w:val="009D53EB"/>
    <w:rsid w:val="009D5425"/>
    <w:rsid w:val="009D549F"/>
    <w:rsid w:val="009D562F"/>
    <w:rsid w:val="009D5661"/>
    <w:rsid w:val="009D57CF"/>
    <w:rsid w:val="009D5837"/>
    <w:rsid w:val="009D5902"/>
    <w:rsid w:val="009D5990"/>
    <w:rsid w:val="009D5AB7"/>
    <w:rsid w:val="009D5CDF"/>
    <w:rsid w:val="009D5FBB"/>
    <w:rsid w:val="009D60CD"/>
    <w:rsid w:val="009D61E4"/>
    <w:rsid w:val="009D62FF"/>
    <w:rsid w:val="009D6381"/>
    <w:rsid w:val="009D63D5"/>
    <w:rsid w:val="009D691B"/>
    <w:rsid w:val="009D6A58"/>
    <w:rsid w:val="009D6AC9"/>
    <w:rsid w:val="009D6C6F"/>
    <w:rsid w:val="009D6F83"/>
    <w:rsid w:val="009D7178"/>
    <w:rsid w:val="009D717F"/>
    <w:rsid w:val="009D74DD"/>
    <w:rsid w:val="009D76BD"/>
    <w:rsid w:val="009D76C3"/>
    <w:rsid w:val="009D7819"/>
    <w:rsid w:val="009D7880"/>
    <w:rsid w:val="009D7987"/>
    <w:rsid w:val="009D79FF"/>
    <w:rsid w:val="009D7A44"/>
    <w:rsid w:val="009D7C7C"/>
    <w:rsid w:val="009D7D19"/>
    <w:rsid w:val="009D7E8B"/>
    <w:rsid w:val="009D7F13"/>
    <w:rsid w:val="009D7F3F"/>
    <w:rsid w:val="009D7FA9"/>
    <w:rsid w:val="009D7FED"/>
    <w:rsid w:val="009E0072"/>
    <w:rsid w:val="009E05C9"/>
    <w:rsid w:val="009E06BA"/>
    <w:rsid w:val="009E078B"/>
    <w:rsid w:val="009E08A7"/>
    <w:rsid w:val="009E0916"/>
    <w:rsid w:val="009E0946"/>
    <w:rsid w:val="009E0A56"/>
    <w:rsid w:val="009E0AB2"/>
    <w:rsid w:val="009E0AD6"/>
    <w:rsid w:val="009E0CF2"/>
    <w:rsid w:val="009E0DD9"/>
    <w:rsid w:val="009E0F37"/>
    <w:rsid w:val="009E0F73"/>
    <w:rsid w:val="009E102D"/>
    <w:rsid w:val="009E104F"/>
    <w:rsid w:val="009E10A8"/>
    <w:rsid w:val="009E12D5"/>
    <w:rsid w:val="009E1370"/>
    <w:rsid w:val="009E13F8"/>
    <w:rsid w:val="009E14AC"/>
    <w:rsid w:val="009E1809"/>
    <w:rsid w:val="009E19C5"/>
    <w:rsid w:val="009E1A83"/>
    <w:rsid w:val="009E1B8F"/>
    <w:rsid w:val="009E1BEE"/>
    <w:rsid w:val="009E1CE3"/>
    <w:rsid w:val="009E1D61"/>
    <w:rsid w:val="009E1E5C"/>
    <w:rsid w:val="009E1EBE"/>
    <w:rsid w:val="009E1F1E"/>
    <w:rsid w:val="009E1F71"/>
    <w:rsid w:val="009E219C"/>
    <w:rsid w:val="009E225C"/>
    <w:rsid w:val="009E2364"/>
    <w:rsid w:val="009E248B"/>
    <w:rsid w:val="009E24B6"/>
    <w:rsid w:val="009E26B6"/>
    <w:rsid w:val="009E26E5"/>
    <w:rsid w:val="009E277D"/>
    <w:rsid w:val="009E278D"/>
    <w:rsid w:val="009E282A"/>
    <w:rsid w:val="009E28AE"/>
    <w:rsid w:val="009E28DA"/>
    <w:rsid w:val="009E2923"/>
    <w:rsid w:val="009E2925"/>
    <w:rsid w:val="009E29CF"/>
    <w:rsid w:val="009E2AFE"/>
    <w:rsid w:val="009E2D2D"/>
    <w:rsid w:val="009E2D5B"/>
    <w:rsid w:val="009E3053"/>
    <w:rsid w:val="009E3086"/>
    <w:rsid w:val="009E30FA"/>
    <w:rsid w:val="009E3135"/>
    <w:rsid w:val="009E3243"/>
    <w:rsid w:val="009E3334"/>
    <w:rsid w:val="009E335D"/>
    <w:rsid w:val="009E36FF"/>
    <w:rsid w:val="009E388C"/>
    <w:rsid w:val="009E394F"/>
    <w:rsid w:val="009E3E92"/>
    <w:rsid w:val="009E3F1A"/>
    <w:rsid w:val="009E3F2B"/>
    <w:rsid w:val="009E44C1"/>
    <w:rsid w:val="009E45D9"/>
    <w:rsid w:val="009E46C2"/>
    <w:rsid w:val="009E470E"/>
    <w:rsid w:val="009E47EC"/>
    <w:rsid w:val="009E4836"/>
    <w:rsid w:val="009E484F"/>
    <w:rsid w:val="009E4852"/>
    <w:rsid w:val="009E486E"/>
    <w:rsid w:val="009E4927"/>
    <w:rsid w:val="009E493D"/>
    <w:rsid w:val="009E4E18"/>
    <w:rsid w:val="009E50FA"/>
    <w:rsid w:val="009E51E7"/>
    <w:rsid w:val="009E53DC"/>
    <w:rsid w:val="009E53F9"/>
    <w:rsid w:val="009E5442"/>
    <w:rsid w:val="009E5594"/>
    <w:rsid w:val="009E56D7"/>
    <w:rsid w:val="009E5985"/>
    <w:rsid w:val="009E5AE5"/>
    <w:rsid w:val="009E5C69"/>
    <w:rsid w:val="009E5D80"/>
    <w:rsid w:val="009E5DBA"/>
    <w:rsid w:val="009E5DF1"/>
    <w:rsid w:val="009E5F94"/>
    <w:rsid w:val="009E5FD4"/>
    <w:rsid w:val="009E5FE0"/>
    <w:rsid w:val="009E6115"/>
    <w:rsid w:val="009E62EB"/>
    <w:rsid w:val="009E62EF"/>
    <w:rsid w:val="009E6406"/>
    <w:rsid w:val="009E64CD"/>
    <w:rsid w:val="009E64EF"/>
    <w:rsid w:val="009E67A3"/>
    <w:rsid w:val="009E6962"/>
    <w:rsid w:val="009E6E48"/>
    <w:rsid w:val="009E6E55"/>
    <w:rsid w:val="009E6E56"/>
    <w:rsid w:val="009E6F2E"/>
    <w:rsid w:val="009E6F50"/>
    <w:rsid w:val="009E7024"/>
    <w:rsid w:val="009E7066"/>
    <w:rsid w:val="009E7175"/>
    <w:rsid w:val="009E72DB"/>
    <w:rsid w:val="009E7435"/>
    <w:rsid w:val="009E755F"/>
    <w:rsid w:val="009E7662"/>
    <w:rsid w:val="009E786F"/>
    <w:rsid w:val="009E7954"/>
    <w:rsid w:val="009E7A13"/>
    <w:rsid w:val="009E7A6C"/>
    <w:rsid w:val="009E7AE3"/>
    <w:rsid w:val="009E7BF8"/>
    <w:rsid w:val="009E7CC9"/>
    <w:rsid w:val="009E7D74"/>
    <w:rsid w:val="009E7DBB"/>
    <w:rsid w:val="009E7E0A"/>
    <w:rsid w:val="009E7E70"/>
    <w:rsid w:val="009E7F66"/>
    <w:rsid w:val="009F00BE"/>
    <w:rsid w:val="009F0549"/>
    <w:rsid w:val="009F0694"/>
    <w:rsid w:val="009F06F8"/>
    <w:rsid w:val="009F0C31"/>
    <w:rsid w:val="009F0D25"/>
    <w:rsid w:val="009F0D58"/>
    <w:rsid w:val="009F0E30"/>
    <w:rsid w:val="009F0E31"/>
    <w:rsid w:val="009F0EFD"/>
    <w:rsid w:val="009F109F"/>
    <w:rsid w:val="009F1120"/>
    <w:rsid w:val="009F11B4"/>
    <w:rsid w:val="009F1228"/>
    <w:rsid w:val="009F123F"/>
    <w:rsid w:val="009F124A"/>
    <w:rsid w:val="009F12DE"/>
    <w:rsid w:val="009F141D"/>
    <w:rsid w:val="009F14E6"/>
    <w:rsid w:val="009F1909"/>
    <w:rsid w:val="009F1A57"/>
    <w:rsid w:val="009F1A9D"/>
    <w:rsid w:val="009F1C32"/>
    <w:rsid w:val="009F1C4D"/>
    <w:rsid w:val="009F1C72"/>
    <w:rsid w:val="009F1CC1"/>
    <w:rsid w:val="009F1FC5"/>
    <w:rsid w:val="009F1FD3"/>
    <w:rsid w:val="009F2088"/>
    <w:rsid w:val="009F22CA"/>
    <w:rsid w:val="009F2495"/>
    <w:rsid w:val="009F25AA"/>
    <w:rsid w:val="009F269D"/>
    <w:rsid w:val="009F2863"/>
    <w:rsid w:val="009F286C"/>
    <w:rsid w:val="009F2B6F"/>
    <w:rsid w:val="009F2C2E"/>
    <w:rsid w:val="009F2CF5"/>
    <w:rsid w:val="009F2CFC"/>
    <w:rsid w:val="009F2DAA"/>
    <w:rsid w:val="009F2F22"/>
    <w:rsid w:val="009F3129"/>
    <w:rsid w:val="009F3280"/>
    <w:rsid w:val="009F32F5"/>
    <w:rsid w:val="009F349D"/>
    <w:rsid w:val="009F3525"/>
    <w:rsid w:val="009F38C4"/>
    <w:rsid w:val="009F38CD"/>
    <w:rsid w:val="009F38FC"/>
    <w:rsid w:val="009F395C"/>
    <w:rsid w:val="009F39E1"/>
    <w:rsid w:val="009F3A43"/>
    <w:rsid w:val="009F3A57"/>
    <w:rsid w:val="009F3AB7"/>
    <w:rsid w:val="009F3E20"/>
    <w:rsid w:val="009F4077"/>
    <w:rsid w:val="009F412B"/>
    <w:rsid w:val="009F4131"/>
    <w:rsid w:val="009F41CE"/>
    <w:rsid w:val="009F420A"/>
    <w:rsid w:val="009F4552"/>
    <w:rsid w:val="009F45C4"/>
    <w:rsid w:val="009F45E4"/>
    <w:rsid w:val="009F482B"/>
    <w:rsid w:val="009F490F"/>
    <w:rsid w:val="009F4B20"/>
    <w:rsid w:val="009F4BDA"/>
    <w:rsid w:val="009F4D58"/>
    <w:rsid w:val="009F4DB0"/>
    <w:rsid w:val="009F4E2B"/>
    <w:rsid w:val="009F500D"/>
    <w:rsid w:val="009F5046"/>
    <w:rsid w:val="009F5111"/>
    <w:rsid w:val="009F5159"/>
    <w:rsid w:val="009F5807"/>
    <w:rsid w:val="009F59C2"/>
    <w:rsid w:val="009F5D2B"/>
    <w:rsid w:val="009F5F86"/>
    <w:rsid w:val="009F61D5"/>
    <w:rsid w:val="009F626C"/>
    <w:rsid w:val="009F6303"/>
    <w:rsid w:val="009F6366"/>
    <w:rsid w:val="009F6583"/>
    <w:rsid w:val="009F67FF"/>
    <w:rsid w:val="009F6879"/>
    <w:rsid w:val="009F6B39"/>
    <w:rsid w:val="009F6BB5"/>
    <w:rsid w:val="009F6C8D"/>
    <w:rsid w:val="009F6CEB"/>
    <w:rsid w:val="009F6D0D"/>
    <w:rsid w:val="009F6D17"/>
    <w:rsid w:val="009F6DE3"/>
    <w:rsid w:val="009F71B7"/>
    <w:rsid w:val="009F7264"/>
    <w:rsid w:val="009F73A2"/>
    <w:rsid w:val="009F73BE"/>
    <w:rsid w:val="009F73C2"/>
    <w:rsid w:val="009F7467"/>
    <w:rsid w:val="009F747F"/>
    <w:rsid w:val="009F7535"/>
    <w:rsid w:val="009F7681"/>
    <w:rsid w:val="009F7707"/>
    <w:rsid w:val="009F7785"/>
    <w:rsid w:val="009F787B"/>
    <w:rsid w:val="009F79B5"/>
    <w:rsid w:val="009F7AB0"/>
    <w:rsid w:val="009F7B0E"/>
    <w:rsid w:val="009F7C65"/>
    <w:rsid w:val="009F7CC2"/>
    <w:rsid w:val="009F7E0A"/>
    <w:rsid w:val="009F7F2B"/>
    <w:rsid w:val="00A00028"/>
    <w:rsid w:val="00A000CF"/>
    <w:rsid w:val="00A00158"/>
    <w:rsid w:val="00A00244"/>
    <w:rsid w:val="00A00262"/>
    <w:rsid w:val="00A0036F"/>
    <w:rsid w:val="00A0038F"/>
    <w:rsid w:val="00A003C4"/>
    <w:rsid w:val="00A00657"/>
    <w:rsid w:val="00A00660"/>
    <w:rsid w:val="00A00725"/>
    <w:rsid w:val="00A008B3"/>
    <w:rsid w:val="00A008E9"/>
    <w:rsid w:val="00A00A02"/>
    <w:rsid w:val="00A00B65"/>
    <w:rsid w:val="00A00C0D"/>
    <w:rsid w:val="00A00C85"/>
    <w:rsid w:val="00A00ECB"/>
    <w:rsid w:val="00A00F3C"/>
    <w:rsid w:val="00A01003"/>
    <w:rsid w:val="00A01224"/>
    <w:rsid w:val="00A012F3"/>
    <w:rsid w:val="00A0137C"/>
    <w:rsid w:val="00A0155D"/>
    <w:rsid w:val="00A0156D"/>
    <w:rsid w:val="00A01A6A"/>
    <w:rsid w:val="00A01C59"/>
    <w:rsid w:val="00A01C5D"/>
    <w:rsid w:val="00A01E5E"/>
    <w:rsid w:val="00A022AF"/>
    <w:rsid w:val="00A022D3"/>
    <w:rsid w:val="00A0250A"/>
    <w:rsid w:val="00A02809"/>
    <w:rsid w:val="00A02817"/>
    <w:rsid w:val="00A02873"/>
    <w:rsid w:val="00A02DBA"/>
    <w:rsid w:val="00A03142"/>
    <w:rsid w:val="00A03170"/>
    <w:rsid w:val="00A0332A"/>
    <w:rsid w:val="00A03421"/>
    <w:rsid w:val="00A03573"/>
    <w:rsid w:val="00A035A9"/>
    <w:rsid w:val="00A036AE"/>
    <w:rsid w:val="00A037CF"/>
    <w:rsid w:val="00A037FB"/>
    <w:rsid w:val="00A03866"/>
    <w:rsid w:val="00A038B7"/>
    <w:rsid w:val="00A039A7"/>
    <w:rsid w:val="00A039C9"/>
    <w:rsid w:val="00A03A05"/>
    <w:rsid w:val="00A03B50"/>
    <w:rsid w:val="00A03D52"/>
    <w:rsid w:val="00A03E37"/>
    <w:rsid w:val="00A03E6B"/>
    <w:rsid w:val="00A03F60"/>
    <w:rsid w:val="00A04013"/>
    <w:rsid w:val="00A040DD"/>
    <w:rsid w:val="00A04186"/>
    <w:rsid w:val="00A041B7"/>
    <w:rsid w:val="00A047E4"/>
    <w:rsid w:val="00A04A39"/>
    <w:rsid w:val="00A04A72"/>
    <w:rsid w:val="00A04BCA"/>
    <w:rsid w:val="00A04BE5"/>
    <w:rsid w:val="00A04C23"/>
    <w:rsid w:val="00A04F95"/>
    <w:rsid w:val="00A0502C"/>
    <w:rsid w:val="00A0506F"/>
    <w:rsid w:val="00A052D7"/>
    <w:rsid w:val="00A05446"/>
    <w:rsid w:val="00A05481"/>
    <w:rsid w:val="00A055B1"/>
    <w:rsid w:val="00A05729"/>
    <w:rsid w:val="00A05BDA"/>
    <w:rsid w:val="00A05E98"/>
    <w:rsid w:val="00A05F59"/>
    <w:rsid w:val="00A05F77"/>
    <w:rsid w:val="00A06281"/>
    <w:rsid w:val="00A06358"/>
    <w:rsid w:val="00A063A3"/>
    <w:rsid w:val="00A063A8"/>
    <w:rsid w:val="00A063D8"/>
    <w:rsid w:val="00A063EB"/>
    <w:rsid w:val="00A0649A"/>
    <w:rsid w:val="00A06520"/>
    <w:rsid w:val="00A065A6"/>
    <w:rsid w:val="00A066B1"/>
    <w:rsid w:val="00A0680F"/>
    <w:rsid w:val="00A068CA"/>
    <w:rsid w:val="00A06D3D"/>
    <w:rsid w:val="00A06EA2"/>
    <w:rsid w:val="00A06EE3"/>
    <w:rsid w:val="00A071B4"/>
    <w:rsid w:val="00A07225"/>
    <w:rsid w:val="00A0762E"/>
    <w:rsid w:val="00A07665"/>
    <w:rsid w:val="00A077A7"/>
    <w:rsid w:val="00A0786B"/>
    <w:rsid w:val="00A078C8"/>
    <w:rsid w:val="00A07A3C"/>
    <w:rsid w:val="00A07A4F"/>
    <w:rsid w:val="00A07AE2"/>
    <w:rsid w:val="00A07B1D"/>
    <w:rsid w:val="00A07D3C"/>
    <w:rsid w:val="00A07F5D"/>
    <w:rsid w:val="00A1003B"/>
    <w:rsid w:val="00A1038A"/>
    <w:rsid w:val="00A10402"/>
    <w:rsid w:val="00A1040B"/>
    <w:rsid w:val="00A10681"/>
    <w:rsid w:val="00A10727"/>
    <w:rsid w:val="00A107A0"/>
    <w:rsid w:val="00A10924"/>
    <w:rsid w:val="00A10952"/>
    <w:rsid w:val="00A10A04"/>
    <w:rsid w:val="00A10A9C"/>
    <w:rsid w:val="00A10B4A"/>
    <w:rsid w:val="00A10B98"/>
    <w:rsid w:val="00A11159"/>
    <w:rsid w:val="00A11361"/>
    <w:rsid w:val="00A116FC"/>
    <w:rsid w:val="00A1171F"/>
    <w:rsid w:val="00A11773"/>
    <w:rsid w:val="00A11918"/>
    <w:rsid w:val="00A1198F"/>
    <w:rsid w:val="00A11A08"/>
    <w:rsid w:val="00A11BB3"/>
    <w:rsid w:val="00A11D82"/>
    <w:rsid w:val="00A11DDA"/>
    <w:rsid w:val="00A11EBF"/>
    <w:rsid w:val="00A11FF6"/>
    <w:rsid w:val="00A12042"/>
    <w:rsid w:val="00A12160"/>
    <w:rsid w:val="00A12202"/>
    <w:rsid w:val="00A124B6"/>
    <w:rsid w:val="00A124B8"/>
    <w:rsid w:val="00A1264B"/>
    <w:rsid w:val="00A1272D"/>
    <w:rsid w:val="00A12739"/>
    <w:rsid w:val="00A12779"/>
    <w:rsid w:val="00A12821"/>
    <w:rsid w:val="00A129AA"/>
    <w:rsid w:val="00A12B4F"/>
    <w:rsid w:val="00A12CA7"/>
    <w:rsid w:val="00A12E07"/>
    <w:rsid w:val="00A132D6"/>
    <w:rsid w:val="00A13310"/>
    <w:rsid w:val="00A13320"/>
    <w:rsid w:val="00A134F0"/>
    <w:rsid w:val="00A135EF"/>
    <w:rsid w:val="00A136F4"/>
    <w:rsid w:val="00A1373B"/>
    <w:rsid w:val="00A1375E"/>
    <w:rsid w:val="00A1390C"/>
    <w:rsid w:val="00A13946"/>
    <w:rsid w:val="00A13A16"/>
    <w:rsid w:val="00A13A1C"/>
    <w:rsid w:val="00A13AAC"/>
    <w:rsid w:val="00A13AAF"/>
    <w:rsid w:val="00A13AF7"/>
    <w:rsid w:val="00A13EFA"/>
    <w:rsid w:val="00A13F5A"/>
    <w:rsid w:val="00A13FC2"/>
    <w:rsid w:val="00A141B0"/>
    <w:rsid w:val="00A1426B"/>
    <w:rsid w:val="00A145F4"/>
    <w:rsid w:val="00A14713"/>
    <w:rsid w:val="00A147D0"/>
    <w:rsid w:val="00A14825"/>
    <w:rsid w:val="00A149DD"/>
    <w:rsid w:val="00A14B48"/>
    <w:rsid w:val="00A14B5B"/>
    <w:rsid w:val="00A14BCF"/>
    <w:rsid w:val="00A14C0C"/>
    <w:rsid w:val="00A14DC4"/>
    <w:rsid w:val="00A14DED"/>
    <w:rsid w:val="00A15020"/>
    <w:rsid w:val="00A1505D"/>
    <w:rsid w:val="00A1510D"/>
    <w:rsid w:val="00A1543B"/>
    <w:rsid w:val="00A15641"/>
    <w:rsid w:val="00A156E7"/>
    <w:rsid w:val="00A15965"/>
    <w:rsid w:val="00A15A34"/>
    <w:rsid w:val="00A15CCF"/>
    <w:rsid w:val="00A15F76"/>
    <w:rsid w:val="00A15F7B"/>
    <w:rsid w:val="00A15FD6"/>
    <w:rsid w:val="00A161AE"/>
    <w:rsid w:val="00A162C2"/>
    <w:rsid w:val="00A16462"/>
    <w:rsid w:val="00A1667E"/>
    <w:rsid w:val="00A16892"/>
    <w:rsid w:val="00A16988"/>
    <w:rsid w:val="00A16BAB"/>
    <w:rsid w:val="00A16BE0"/>
    <w:rsid w:val="00A16BFD"/>
    <w:rsid w:val="00A16D4C"/>
    <w:rsid w:val="00A173E8"/>
    <w:rsid w:val="00A174DC"/>
    <w:rsid w:val="00A175C1"/>
    <w:rsid w:val="00A17A54"/>
    <w:rsid w:val="00A17A60"/>
    <w:rsid w:val="00A17A69"/>
    <w:rsid w:val="00A17D50"/>
    <w:rsid w:val="00A17D67"/>
    <w:rsid w:val="00A17DFB"/>
    <w:rsid w:val="00A17F21"/>
    <w:rsid w:val="00A17FD8"/>
    <w:rsid w:val="00A20147"/>
    <w:rsid w:val="00A201B8"/>
    <w:rsid w:val="00A201FB"/>
    <w:rsid w:val="00A204DB"/>
    <w:rsid w:val="00A206BA"/>
    <w:rsid w:val="00A207C9"/>
    <w:rsid w:val="00A20819"/>
    <w:rsid w:val="00A209B1"/>
    <w:rsid w:val="00A20C5B"/>
    <w:rsid w:val="00A20FF3"/>
    <w:rsid w:val="00A210DA"/>
    <w:rsid w:val="00A21132"/>
    <w:rsid w:val="00A21154"/>
    <w:rsid w:val="00A21168"/>
    <w:rsid w:val="00A21293"/>
    <w:rsid w:val="00A21391"/>
    <w:rsid w:val="00A213F2"/>
    <w:rsid w:val="00A214DE"/>
    <w:rsid w:val="00A21554"/>
    <w:rsid w:val="00A21562"/>
    <w:rsid w:val="00A21A8E"/>
    <w:rsid w:val="00A21B3A"/>
    <w:rsid w:val="00A21CB1"/>
    <w:rsid w:val="00A21FA5"/>
    <w:rsid w:val="00A21FFC"/>
    <w:rsid w:val="00A220F8"/>
    <w:rsid w:val="00A2210B"/>
    <w:rsid w:val="00A22177"/>
    <w:rsid w:val="00A2224A"/>
    <w:rsid w:val="00A223ED"/>
    <w:rsid w:val="00A2284C"/>
    <w:rsid w:val="00A22966"/>
    <w:rsid w:val="00A22D7B"/>
    <w:rsid w:val="00A231C7"/>
    <w:rsid w:val="00A23360"/>
    <w:rsid w:val="00A23639"/>
    <w:rsid w:val="00A238CA"/>
    <w:rsid w:val="00A23AA6"/>
    <w:rsid w:val="00A23AB3"/>
    <w:rsid w:val="00A23B92"/>
    <w:rsid w:val="00A23CCD"/>
    <w:rsid w:val="00A23D88"/>
    <w:rsid w:val="00A23DC0"/>
    <w:rsid w:val="00A23E54"/>
    <w:rsid w:val="00A23F44"/>
    <w:rsid w:val="00A23FFD"/>
    <w:rsid w:val="00A24035"/>
    <w:rsid w:val="00A240F8"/>
    <w:rsid w:val="00A2421F"/>
    <w:rsid w:val="00A243E2"/>
    <w:rsid w:val="00A245EA"/>
    <w:rsid w:val="00A245F5"/>
    <w:rsid w:val="00A248E7"/>
    <w:rsid w:val="00A24985"/>
    <w:rsid w:val="00A2498A"/>
    <w:rsid w:val="00A249F4"/>
    <w:rsid w:val="00A24B59"/>
    <w:rsid w:val="00A24C68"/>
    <w:rsid w:val="00A24E44"/>
    <w:rsid w:val="00A24E78"/>
    <w:rsid w:val="00A25047"/>
    <w:rsid w:val="00A2504E"/>
    <w:rsid w:val="00A25185"/>
    <w:rsid w:val="00A251F6"/>
    <w:rsid w:val="00A25554"/>
    <w:rsid w:val="00A256BF"/>
    <w:rsid w:val="00A25A68"/>
    <w:rsid w:val="00A25E03"/>
    <w:rsid w:val="00A25EAE"/>
    <w:rsid w:val="00A263AE"/>
    <w:rsid w:val="00A26532"/>
    <w:rsid w:val="00A265B3"/>
    <w:rsid w:val="00A26651"/>
    <w:rsid w:val="00A266C2"/>
    <w:rsid w:val="00A266D5"/>
    <w:rsid w:val="00A26783"/>
    <w:rsid w:val="00A26C26"/>
    <w:rsid w:val="00A26FA0"/>
    <w:rsid w:val="00A27056"/>
    <w:rsid w:val="00A27090"/>
    <w:rsid w:val="00A2715C"/>
    <w:rsid w:val="00A27180"/>
    <w:rsid w:val="00A272F5"/>
    <w:rsid w:val="00A272FD"/>
    <w:rsid w:val="00A2746E"/>
    <w:rsid w:val="00A27544"/>
    <w:rsid w:val="00A27632"/>
    <w:rsid w:val="00A27807"/>
    <w:rsid w:val="00A278C3"/>
    <w:rsid w:val="00A27ACD"/>
    <w:rsid w:val="00A27D6A"/>
    <w:rsid w:val="00A27E2E"/>
    <w:rsid w:val="00A27E53"/>
    <w:rsid w:val="00A27F1B"/>
    <w:rsid w:val="00A27F61"/>
    <w:rsid w:val="00A27FF0"/>
    <w:rsid w:val="00A300E6"/>
    <w:rsid w:val="00A3014B"/>
    <w:rsid w:val="00A30297"/>
    <w:rsid w:val="00A3038A"/>
    <w:rsid w:val="00A303B0"/>
    <w:rsid w:val="00A30434"/>
    <w:rsid w:val="00A30623"/>
    <w:rsid w:val="00A3067C"/>
    <w:rsid w:val="00A30B8B"/>
    <w:rsid w:val="00A30C6E"/>
    <w:rsid w:val="00A30C72"/>
    <w:rsid w:val="00A30E4C"/>
    <w:rsid w:val="00A310D2"/>
    <w:rsid w:val="00A310D6"/>
    <w:rsid w:val="00A311AA"/>
    <w:rsid w:val="00A314B6"/>
    <w:rsid w:val="00A31555"/>
    <w:rsid w:val="00A31932"/>
    <w:rsid w:val="00A319E3"/>
    <w:rsid w:val="00A31AAE"/>
    <w:rsid w:val="00A31AD4"/>
    <w:rsid w:val="00A3213B"/>
    <w:rsid w:val="00A321B1"/>
    <w:rsid w:val="00A32242"/>
    <w:rsid w:val="00A32290"/>
    <w:rsid w:val="00A324E6"/>
    <w:rsid w:val="00A3254D"/>
    <w:rsid w:val="00A32656"/>
    <w:rsid w:val="00A3269D"/>
    <w:rsid w:val="00A326F2"/>
    <w:rsid w:val="00A32729"/>
    <w:rsid w:val="00A327B6"/>
    <w:rsid w:val="00A327CF"/>
    <w:rsid w:val="00A32828"/>
    <w:rsid w:val="00A32A49"/>
    <w:rsid w:val="00A32D17"/>
    <w:rsid w:val="00A333CF"/>
    <w:rsid w:val="00A334A5"/>
    <w:rsid w:val="00A337EE"/>
    <w:rsid w:val="00A338C3"/>
    <w:rsid w:val="00A3391F"/>
    <w:rsid w:val="00A339C3"/>
    <w:rsid w:val="00A33BD4"/>
    <w:rsid w:val="00A33BE2"/>
    <w:rsid w:val="00A33CAA"/>
    <w:rsid w:val="00A33CE2"/>
    <w:rsid w:val="00A340A1"/>
    <w:rsid w:val="00A340FE"/>
    <w:rsid w:val="00A341FD"/>
    <w:rsid w:val="00A341FF"/>
    <w:rsid w:val="00A34243"/>
    <w:rsid w:val="00A3461A"/>
    <w:rsid w:val="00A34739"/>
    <w:rsid w:val="00A34810"/>
    <w:rsid w:val="00A34897"/>
    <w:rsid w:val="00A34B0C"/>
    <w:rsid w:val="00A34B71"/>
    <w:rsid w:val="00A34DE7"/>
    <w:rsid w:val="00A34F48"/>
    <w:rsid w:val="00A35059"/>
    <w:rsid w:val="00A353E7"/>
    <w:rsid w:val="00A35519"/>
    <w:rsid w:val="00A355CC"/>
    <w:rsid w:val="00A35837"/>
    <w:rsid w:val="00A358EE"/>
    <w:rsid w:val="00A35AA5"/>
    <w:rsid w:val="00A35BEF"/>
    <w:rsid w:val="00A35DAE"/>
    <w:rsid w:val="00A35EBE"/>
    <w:rsid w:val="00A3615D"/>
    <w:rsid w:val="00A361C8"/>
    <w:rsid w:val="00A36237"/>
    <w:rsid w:val="00A3664E"/>
    <w:rsid w:val="00A366DA"/>
    <w:rsid w:val="00A36701"/>
    <w:rsid w:val="00A36A7D"/>
    <w:rsid w:val="00A36B53"/>
    <w:rsid w:val="00A36C4C"/>
    <w:rsid w:val="00A36D30"/>
    <w:rsid w:val="00A36E72"/>
    <w:rsid w:val="00A36FCA"/>
    <w:rsid w:val="00A36FEA"/>
    <w:rsid w:val="00A3749C"/>
    <w:rsid w:val="00A374B5"/>
    <w:rsid w:val="00A3752F"/>
    <w:rsid w:val="00A37810"/>
    <w:rsid w:val="00A37A93"/>
    <w:rsid w:val="00A37B80"/>
    <w:rsid w:val="00A37BD1"/>
    <w:rsid w:val="00A37D3E"/>
    <w:rsid w:val="00A37D8F"/>
    <w:rsid w:val="00A37DA5"/>
    <w:rsid w:val="00A37EBB"/>
    <w:rsid w:val="00A37F4C"/>
    <w:rsid w:val="00A37F60"/>
    <w:rsid w:val="00A40165"/>
    <w:rsid w:val="00A4017C"/>
    <w:rsid w:val="00A40202"/>
    <w:rsid w:val="00A40254"/>
    <w:rsid w:val="00A4031E"/>
    <w:rsid w:val="00A4032C"/>
    <w:rsid w:val="00A4049A"/>
    <w:rsid w:val="00A4065A"/>
    <w:rsid w:val="00A407DF"/>
    <w:rsid w:val="00A40855"/>
    <w:rsid w:val="00A4097E"/>
    <w:rsid w:val="00A40A1C"/>
    <w:rsid w:val="00A40BAA"/>
    <w:rsid w:val="00A40CA4"/>
    <w:rsid w:val="00A40D75"/>
    <w:rsid w:val="00A410AC"/>
    <w:rsid w:val="00A410EE"/>
    <w:rsid w:val="00A4114A"/>
    <w:rsid w:val="00A412D9"/>
    <w:rsid w:val="00A413E7"/>
    <w:rsid w:val="00A416A0"/>
    <w:rsid w:val="00A418DE"/>
    <w:rsid w:val="00A41901"/>
    <w:rsid w:val="00A41944"/>
    <w:rsid w:val="00A41A74"/>
    <w:rsid w:val="00A41D49"/>
    <w:rsid w:val="00A41E8E"/>
    <w:rsid w:val="00A41F48"/>
    <w:rsid w:val="00A4207F"/>
    <w:rsid w:val="00A422C9"/>
    <w:rsid w:val="00A42316"/>
    <w:rsid w:val="00A42389"/>
    <w:rsid w:val="00A423E6"/>
    <w:rsid w:val="00A4265D"/>
    <w:rsid w:val="00A42724"/>
    <w:rsid w:val="00A4285F"/>
    <w:rsid w:val="00A429D7"/>
    <w:rsid w:val="00A42A6A"/>
    <w:rsid w:val="00A42BE5"/>
    <w:rsid w:val="00A42C01"/>
    <w:rsid w:val="00A42C99"/>
    <w:rsid w:val="00A42D4A"/>
    <w:rsid w:val="00A42D4C"/>
    <w:rsid w:val="00A42E04"/>
    <w:rsid w:val="00A42F12"/>
    <w:rsid w:val="00A42FB1"/>
    <w:rsid w:val="00A431DB"/>
    <w:rsid w:val="00A4327F"/>
    <w:rsid w:val="00A432BD"/>
    <w:rsid w:val="00A432DF"/>
    <w:rsid w:val="00A4337D"/>
    <w:rsid w:val="00A4368B"/>
    <w:rsid w:val="00A43CF0"/>
    <w:rsid w:val="00A43E3A"/>
    <w:rsid w:val="00A43E98"/>
    <w:rsid w:val="00A43F2E"/>
    <w:rsid w:val="00A43F41"/>
    <w:rsid w:val="00A43F6D"/>
    <w:rsid w:val="00A43FA5"/>
    <w:rsid w:val="00A44006"/>
    <w:rsid w:val="00A440A2"/>
    <w:rsid w:val="00A4420F"/>
    <w:rsid w:val="00A44338"/>
    <w:rsid w:val="00A443AF"/>
    <w:rsid w:val="00A445FB"/>
    <w:rsid w:val="00A446A3"/>
    <w:rsid w:val="00A446D9"/>
    <w:rsid w:val="00A446F2"/>
    <w:rsid w:val="00A447CC"/>
    <w:rsid w:val="00A44907"/>
    <w:rsid w:val="00A44A1D"/>
    <w:rsid w:val="00A44A88"/>
    <w:rsid w:val="00A44BA3"/>
    <w:rsid w:val="00A44BEE"/>
    <w:rsid w:val="00A44C27"/>
    <w:rsid w:val="00A44CCD"/>
    <w:rsid w:val="00A44D1F"/>
    <w:rsid w:val="00A4529F"/>
    <w:rsid w:val="00A45563"/>
    <w:rsid w:val="00A45E12"/>
    <w:rsid w:val="00A45F9F"/>
    <w:rsid w:val="00A45FD4"/>
    <w:rsid w:val="00A4608B"/>
    <w:rsid w:val="00A46122"/>
    <w:rsid w:val="00A4617F"/>
    <w:rsid w:val="00A46199"/>
    <w:rsid w:val="00A461CA"/>
    <w:rsid w:val="00A461DC"/>
    <w:rsid w:val="00A46826"/>
    <w:rsid w:val="00A46A0F"/>
    <w:rsid w:val="00A46C39"/>
    <w:rsid w:val="00A46D46"/>
    <w:rsid w:val="00A46E7E"/>
    <w:rsid w:val="00A46F5C"/>
    <w:rsid w:val="00A47028"/>
    <w:rsid w:val="00A471B7"/>
    <w:rsid w:val="00A4731A"/>
    <w:rsid w:val="00A477B7"/>
    <w:rsid w:val="00A47C10"/>
    <w:rsid w:val="00A47CE5"/>
    <w:rsid w:val="00A47DD4"/>
    <w:rsid w:val="00A47E57"/>
    <w:rsid w:val="00A47F92"/>
    <w:rsid w:val="00A47FD7"/>
    <w:rsid w:val="00A47FE2"/>
    <w:rsid w:val="00A503B7"/>
    <w:rsid w:val="00A503D4"/>
    <w:rsid w:val="00A50581"/>
    <w:rsid w:val="00A5059E"/>
    <w:rsid w:val="00A5079D"/>
    <w:rsid w:val="00A508E5"/>
    <w:rsid w:val="00A50BB0"/>
    <w:rsid w:val="00A50BB7"/>
    <w:rsid w:val="00A50CCD"/>
    <w:rsid w:val="00A51143"/>
    <w:rsid w:val="00A511C2"/>
    <w:rsid w:val="00A5137D"/>
    <w:rsid w:val="00A513C5"/>
    <w:rsid w:val="00A51571"/>
    <w:rsid w:val="00A5166D"/>
    <w:rsid w:val="00A517DF"/>
    <w:rsid w:val="00A51906"/>
    <w:rsid w:val="00A51AA3"/>
    <w:rsid w:val="00A51E90"/>
    <w:rsid w:val="00A51F30"/>
    <w:rsid w:val="00A51F92"/>
    <w:rsid w:val="00A51FE0"/>
    <w:rsid w:val="00A520EE"/>
    <w:rsid w:val="00A52562"/>
    <w:rsid w:val="00A527D4"/>
    <w:rsid w:val="00A529A1"/>
    <w:rsid w:val="00A52A65"/>
    <w:rsid w:val="00A52B4E"/>
    <w:rsid w:val="00A52B8F"/>
    <w:rsid w:val="00A52C57"/>
    <w:rsid w:val="00A52EFD"/>
    <w:rsid w:val="00A52F6D"/>
    <w:rsid w:val="00A52F7D"/>
    <w:rsid w:val="00A530E9"/>
    <w:rsid w:val="00A53160"/>
    <w:rsid w:val="00A5320F"/>
    <w:rsid w:val="00A53213"/>
    <w:rsid w:val="00A533CC"/>
    <w:rsid w:val="00A53815"/>
    <w:rsid w:val="00A538FD"/>
    <w:rsid w:val="00A53A8A"/>
    <w:rsid w:val="00A53BD1"/>
    <w:rsid w:val="00A53CB5"/>
    <w:rsid w:val="00A53D3B"/>
    <w:rsid w:val="00A53EFA"/>
    <w:rsid w:val="00A5423E"/>
    <w:rsid w:val="00A542BC"/>
    <w:rsid w:val="00A544A9"/>
    <w:rsid w:val="00A545D7"/>
    <w:rsid w:val="00A5460C"/>
    <w:rsid w:val="00A546CE"/>
    <w:rsid w:val="00A551B8"/>
    <w:rsid w:val="00A55260"/>
    <w:rsid w:val="00A5539C"/>
    <w:rsid w:val="00A55402"/>
    <w:rsid w:val="00A55436"/>
    <w:rsid w:val="00A554D1"/>
    <w:rsid w:val="00A555EE"/>
    <w:rsid w:val="00A555F5"/>
    <w:rsid w:val="00A55677"/>
    <w:rsid w:val="00A557B2"/>
    <w:rsid w:val="00A559FB"/>
    <w:rsid w:val="00A55B22"/>
    <w:rsid w:val="00A55B3A"/>
    <w:rsid w:val="00A55C7C"/>
    <w:rsid w:val="00A55E05"/>
    <w:rsid w:val="00A5618A"/>
    <w:rsid w:val="00A561A3"/>
    <w:rsid w:val="00A56258"/>
    <w:rsid w:val="00A5627D"/>
    <w:rsid w:val="00A562B7"/>
    <w:rsid w:val="00A56507"/>
    <w:rsid w:val="00A5652A"/>
    <w:rsid w:val="00A56676"/>
    <w:rsid w:val="00A567A1"/>
    <w:rsid w:val="00A56967"/>
    <w:rsid w:val="00A569FA"/>
    <w:rsid w:val="00A56BA2"/>
    <w:rsid w:val="00A56D77"/>
    <w:rsid w:val="00A571E4"/>
    <w:rsid w:val="00A5741D"/>
    <w:rsid w:val="00A5745B"/>
    <w:rsid w:val="00A57851"/>
    <w:rsid w:val="00A57853"/>
    <w:rsid w:val="00A57870"/>
    <w:rsid w:val="00A579FF"/>
    <w:rsid w:val="00A57DC6"/>
    <w:rsid w:val="00A6007A"/>
    <w:rsid w:val="00A60082"/>
    <w:rsid w:val="00A600AB"/>
    <w:rsid w:val="00A60259"/>
    <w:rsid w:val="00A603F6"/>
    <w:rsid w:val="00A604B3"/>
    <w:rsid w:val="00A6059D"/>
    <w:rsid w:val="00A605D7"/>
    <w:rsid w:val="00A60659"/>
    <w:rsid w:val="00A6089F"/>
    <w:rsid w:val="00A60C56"/>
    <w:rsid w:val="00A60CD4"/>
    <w:rsid w:val="00A60D15"/>
    <w:rsid w:val="00A60EEA"/>
    <w:rsid w:val="00A60FF9"/>
    <w:rsid w:val="00A6106C"/>
    <w:rsid w:val="00A6143B"/>
    <w:rsid w:val="00A614DA"/>
    <w:rsid w:val="00A616D9"/>
    <w:rsid w:val="00A61954"/>
    <w:rsid w:val="00A61A8E"/>
    <w:rsid w:val="00A61B5C"/>
    <w:rsid w:val="00A61C18"/>
    <w:rsid w:val="00A61DD8"/>
    <w:rsid w:val="00A61E3E"/>
    <w:rsid w:val="00A61E7E"/>
    <w:rsid w:val="00A61EBA"/>
    <w:rsid w:val="00A6210E"/>
    <w:rsid w:val="00A621EF"/>
    <w:rsid w:val="00A62268"/>
    <w:rsid w:val="00A622CF"/>
    <w:rsid w:val="00A624E7"/>
    <w:rsid w:val="00A628E2"/>
    <w:rsid w:val="00A62A40"/>
    <w:rsid w:val="00A62EB7"/>
    <w:rsid w:val="00A630C7"/>
    <w:rsid w:val="00A6310E"/>
    <w:rsid w:val="00A631B8"/>
    <w:rsid w:val="00A6335F"/>
    <w:rsid w:val="00A6361A"/>
    <w:rsid w:val="00A63806"/>
    <w:rsid w:val="00A63924"/>
    <w:rsid w:val="00A63D98"/>
    <w:rsid w:val="00A63E83"/>
    <w:rsid w:val="00A644B1"/>
    <w:rsid w:val="00A644E7"/>
    <w:rsid w:val="00A648E7"/>
    <w:rsid w:val="00A64948"/>
    <w:rsid w:val="00A649A1"/>
    <w:rsid w:val="00A649CA"/>
    <w:rsid w:val="00A64CEE"/>
    <w:rsid w:val="00A64EAE"/>
    <w:rsid w:val="00A65168"/>
    <w:rsid w:val="00A652E8"/>
    <w:rsid w:val="00A6573F"/>
    <w:rsid w:val="00A6574F"/>
    <w:rsid w:val="00A6583D"/>
    <w:rsid w:val="00A658D8"/>
    <w:rsid w:val="00A65A14"/>
    <w:rsid w:val="00A65A5E"/>
    <w:rsid w:val="00A65CC6"/>
    <w:rsid w:val="00A65CCB"/>
    <w:rsid w:val="00A65D4C"/>
    <w:rsid w:val="00A65D5C"/>
    <w:rsid w:val="00A661E5"/>
    <w:rsid w:val="00A662A5"/>
    <w:rsid w:val="00A6630C"/>
    <w:rsid w:val="00A666EC"/>
    <w:rsid w:val="00A66CB8"/>
    <w:rsid w:val="00A66CC3"/>
    <w:rsid w:val="00A66E74"/>
    <w:rsid w:val="00A66EBA"/>
    <w:rsid w:val="00A66F8A"/>
    <w:rsid w:val="00A67009"/>
    <w:rsid w:val="00A672F3"/>
    <w:rsid w:val="00A6756C"/>
    <w:rsid w:val="00A67716"/>
    <w:rsid w:val="00A67774"/>
    <w:rsid w:val="00A6779B"/>
    <w:rsid w:val="00A67962"/>
    <w:rsid w:val="00A679AE"/>
    <w:rsid w:val="00A679B1"/>
    <w:rsid w:val="00A679BB"/>
    <w:rsid w:val="00A679CD"/>
    <w:rsid w:val="00A67B57"/>
    <w:rsid w:val="00A67B85"/>
    <w:rsid w:val="00A67BDC"/>
    <w:rsid w:val="00A67C85"/>
    <w:rsid w:val="00A67CFD"/>
    <w:rsid w:val="00A67D07"/>
    <w:rsid w:val="00A67F1D"/>
    <w:rsid w:val="00A67FA6"/>
    <w:rsid w:val="00A67FEB"/>
    <w:rsid w:val="00A70246"/>
    <w:rsid w:val="00A70393"/>
    <w:rsid w:val="00A703DA"/>
    <w:rsid w:val="00A7059A"/>
    <w:rsid w:val="00A707B8"/>
    <w:rsid w:val="00A70A2D"/>
    <w:rsid w:val="00A70F38"/>
    <w:rsid w:val="00A71014"/>
    <w:rsid w:val="00A7117C"/>
    <w:rsid w:val="00A714A9"/>
    <w:rsid w:val="00A7151C"/>
    <w:rsid w:val="00A71537"/>
    <w:rsid w:val="00A7158E"/>
    <w:rsid w:val="00A715BF"/>
    <w:rsid w:val="00A716C7"/>
    <w:rsid w:val="00A7191C"/>
    <w:rsid w:val="00A71BE2"/>
    <w:rsid w:val="00A71D12"/>
    <w:rsid w:val="00A72101"/>
    <w:rsid w:val="00A72102"/>
    <w:rsid w:val="00A72387"/>
    <w:rsid w:val="00A72715"/>
    <w:rsid w:val="00A72A34"/>
    <w:rsid w:val="00A72AAB"/>
    <w:rsid w:val="00A72B6F"/>
    <w:rsid w:val="00A72CA6"/>
    <w:rsid w:val="00A72D61"/>
    <w:rsid w:val="00A72EDB"/>
    <w:rsid w:val="00A73025"/>
    <w:rsid w:val="00A73069"/>
    <w:rsid w:val="00A730B7"/>
    <w:rsid w:val="00A731A2"/>
    <w:rsid w:val="00A733F2"/>
    <w:rsid w:val="00A73471"/>
    <w:rsid w:val="00A73568"/>
    <w:rsid w:val="00A737E2"/>
    <w:rsid w:val="00A73834"/>
    <w:rsid w:val="00A7388C"/>
    <w:rsid w:val="00A73A35"/>
    <w:rsid w:val="00A73CC3"/>
    <w:rsid w:val="00A73D05"/>
    <w:rsid w:val="00A741AC"/>
    <w:rsid w:val="00A7426B"/>
    <w:rsid w:val="00A742DB"/>
    <w:rsid w:val="00A74384"/>
    <w:rsid w:val="00A7445C"/>
    <w:rsid w:val="00A74696"/>
    <w:rsid w:val="00A74707"/>
    <w:rsid w:val="00A747DA"/>
    <w:rsid w:val="00A74971"/>
    <w:rsid w:val="00A74B68"/>
    <w:rsid w:val="00A74DFE"/>
    <w:rsid w:val="00A74EE8"/>
    <w:rsid w:val="00A75167"/>
    <w:rsid w:val="00A75323"/>
    <w:rsid w:val="00A7546F"/>
    <w:rsid w:val="00A75499"/>
    <w:rsid w:val="00A75744"/>
    <w:rsid w:val="00A757A9"/>
    <w:rsid w:val="00A75D27"/>
    <w:rsid w:val="00A75D84"/>
    <w:rsid w:val="00A75F06"/>
    <w:rsid w:val="00A75F45"/>
    <w:rsid w:val="00A7602E"/>
    <w:rsid w:val="00A76098"/>
    <w:rsid w:val="00A761C2"/>
    <w:rsid w:val="00A76213"/>
    <w:rsid w:val="00A7627A"/>
    <w:rsid w:val="00A762ED"/>
    <w:rsid w:val="00A763B5"/>
    <w:rsid w:val="00A76519"/>
    <w:rsid w:val="00A766A9"/>
    <w:rsid w:val="00A768CB"/>
    <w:rsid w:val="00A7695F"/>
    <w:rsid w:val="00A76A18"/>
    <w:rsid w:val="00A76A65"/>
    <w:rsid w:val="00A76AFF"/>
    <w:rsid w:val="00A76F30"/>
    <w:rsid w:val="00A7719C"/>
    <w:rsid w:val="00A771CE"/>
    <w:rsid w:val="00A771DE"/>
    <w:rsid w:val="00A77203"/>
    <w:rsid w:val="00A7727A"/>
    <w:rsid w:val="00A772E8"/>
    <w:rsid w:val="00A77338"/>
    <w:rsid w:val="00A777B0"/>
    <w:rsid w:val="00A77F3E"/>
    <w:rsid w:val="00A8019C"/>
    <w:rsid w:val="00A8020A"/>
    <w:rsid w:val="00A802E3"/>
    <w:rsid w:val="00A8045D"/>
    <w:rsid w:val="00A80502"/>
    <w:rsid w:val="00A80511"/>
    <w:rsid w:val="00A8071B"/>
    <w:rsid w:val="00A8092F"/>
    <w:rsid w:val="00A809DC"/>
    <w:rsid w:val="00A80A02"/>
    <w:rsid w:val="00A80B5B"/>
    <w:rsid w:val="00A80C64"/>
    <w:rsid w:val="00A812A6"/>
    <w:rsid w:val="00A812C8"/>
    <w:rsid w:val="00A814AD"/>
    <w:rsid w:val="00A81807"/>
    <w:rsid w:val="00A819F4"/>
    <w:rsid w:val="00A81B2B"/>
    <w:rsid w:val="00A81BAC"/>
    <w:rsid w:val="00A81CF5"/>
    <w:rsid w:val="00A81EDC"/>
    <w:rsid w:val="00A8239A"/>
    <w:rsid w:val="00A824AA"/>
    <w:rsid w:val="00A824B0"/>
    <w:rsid w:val="00A826FE"/>
    <w:rsid w:val="00A828AB"/>
    <w:rsid w:val="00A82B0B"/>
    <w:rsid w:val="00A83060"/>
    <w:rsid w:val="00A831FC"/>
    <w:rsid w:val="00A832A9"/>
    <w:rsid w:val="00A835BC"/>
    <w:rsid w:val="00A838F0"/>
    <w:rsid w:val="00A838FF"/>
    <w:rsid w:val="00A83997"/>
    <w:rsid w:val="00A83C09"/>
    <w:rsid w:val="00A83C2A"/>
    <w:rsid w:val="00A83CA8"/>
    <w:rsid w:val="00A83D67"/>
    <w:rsid w:val="00A83E21"/>
    <w:rsid w:val="00A84229"/>
    <w:rsid w:val="00A84464"/>
    <w:rsid w:val="00A845E0"/>
    <w:rsid w:val="00A8462A"/>
    <w:rsid w:val="00A846C4"/>
    <w:rsid w:val="00A84B47"/>
    <w:rsid w:val="00A84E0D"/>
    <w:rsid w:val="00A84F56"/>
    <w:rsid w:val="00A84F60"/>
    <w:rsid w:val="00A8502A"/>
    <w:rsid w:val="00A85060"/>
    <w:rsid w:val="00A850E8"/>
    <w:rsid w:val="00A8513D"/>
    <w:rsid w:val="00A851EE"/>
    <w:rsid w:val="00A85233"/>
    <w:rsid w:val="00A85632"/>
    <w:rsid w:val="00A85A35"/>
    <w:rsid w:val="00A85B73"/>
    <w:rsid w:val="00A85BB0"/>
    <w:rsid w:val="00A85D64"/>
    <w:rsid w:val="00A85E27"/>
    <w:rsid w:val="00A85E97"/>
    <w:rsid w:val="00A8614A"/>
    <w:rsid w:val="00A8622A"/>
    <w:rsid w:val="00A8628C"/>
    <w:rsid w:val="00A862BF"/>
    <w:rsid w:val="00A864CB"/>
    <w:rsid w:val="00A86830"/>
    <w:rsid w:val="00A8689D"/>
    <w:rsid w:val="00A869CC"/>
    <w:rsid w:val="00A86C30"/>
    <w:rsid w:val="00A86CF3"/>
    <w:rsid w:val="00A86E42"/>
    <w:rsid w:val="00A87194"/>
    <w:rsid w:val="00A8719E"/>
    <w:rsid w:val="00A8759A"/>
    <w:rsid w:val="00A875DE"/>
    <w:rsid w:val="00A8776E"/>
    <w:rsid w:val="00A87874"/>
    <w:rsid w:val="00A8788C"/>
    <w:rsid w:val="00A87CCF"/>
    <w:rsid w:val="00A87D9D"/>
    <w:rsid w:val="00A87E29"/>
    <w:rsid w:val="00A87E91"/>
    <w:rsid w:val="00A87FAB"/>
    <w:rsid w:val="00A90015"/>
    <w:rsid w:val="00A901B0"/>
    <w:rsid w:val="00A9032C"/>
    <w:rsid w:val="00A9060B"/>
    <w:rsid w:val="00A9087B"/>
    <w:rsid w:val="00A9090F"/>
    <w:rsid w:val="00A90B6E"/>
    <w:rsid w:val="00A90CB1"/>
    <w:rsid w:val="00A90D89"/>
    <w:rsid w:val="00A90EFD"/>
    <w:rsid w:val="00A911B0"/>
    <w:rsid w:val="00A91328"/>
    <w:rsid w:val="00A914E9"/>
    <w:rsid w:val="00A916D0"/>
    <w:rsid w:val="00A91737"/>
    <w:rsid w:val="00A917A6"/>
    <w:rsid w:val="00A91ABF"/>
    <w:rsid w:val="00A91FAF"/>
    <w:rsid w:val="00A92096"/>
    <w:rsid w:val="00A922C2"/>
    <w:rsid w:val="00A925CC"/>
    <w:rsid w:val="00A9282C"/>
    <w:rsid w:val="00A9290E"/>
    <w:rsid w:val="00A92AD0"/>
    <w:rsid w:val="00A92AEE"/>
    <w:rsid w:val="00A92AF2"/>
    <w:rsid w:val="00A92BE6"/>
    <w:rsid w:val="00A92D54"/>
    <w:rsid w:val="00A92F51"/>
    <w:rsid w:val="00A92FF8"/>
    <w:rsid w:val="00A93374"/>
    <w:rsid w:val="00A933EC"/>
    <w:rsid w:val="00A9340B"/>
    <w:rsid w:val="00A937E7"/>
    <w:rsid w:val="00A93A4F"/>
    <w:rsid w:val="00A93B1E"/>
    <w:rsid w:val="00A93B89"/>
    <w:rsid w:val="00A93E99"/>
    <w:rsid w:val="00A94139"/>
    <w:rsid w:val="00A942DD"/>
    <w:rsid w:val="00A943D2"/>
    <w:rsid w:val="00A94571"/>
    <w:rsid w:val="00A949D5"/>
    <w:rsid w:val="00A94D98"/>
    <w:rsid w:val="00A94E1D"/>
    <w:rsid w:val="00A95117"/>
    <w:rsid w:val="00A951EC"/>
    <w:rsid w:val="00A9554E"/>
    <w:rsid w:val="00A9568F"/>
    <w:rsid w:val="00A957BC"/>
    <w:rsid w:val="00A957EC"/>
    <w:rsid w:val="00A959BC"/>
    <w:rsid w:val="00A95B03"/>
    <w:rsid w:val="00A95BF5"/>
    <w:rsid w:val="00A95CE2"/>
    <w:rsid w:val="00A95F3C"/>
    <w:rsid w:val="00A961D4"/>
    <w:rsid w:val="00A961E2"/>
    <w:rsid w:val="00A9629A"/>
    <w:rsid w:val="00A96583"/>
    <w:rsid w:val="00A96B63"/>
    <w:rsid w:val="00A96CFC"/>
    <w:rsid w:val="00A96F32"/>
    <w:rsid w:val="00A96F80"/>
    <w:rsid w:val="00A970C8"/>
    <w:rsid w:val="00A9726B"/>
    <w:rsid w:val="00A97364"/>
    <w:rsid w:val="00A97456"/>
    <w:rsid w:val="00A974E3"/>
    <w:rsid w:val="00A976DA"/>
    <w:rsid w:val="00A9777C"/>
    <w:rsid w:val="00A97831"/>
    <w:rsid w:val="00A97906"/>
    <w:rsid w:val="00A979C7"/>
    <w:rsid w:val="00A97A92"/>
    <w:rsid w:val="00A97BFB"/>
    <w:rsid w:val="00A97C14"/>
    <w:rsid w:val="00AA00B1"/>
    <w:rsid w:val="00AA01D1"/>
    <w:rsid w:val="00AA0265"/>
    <w:rsid w:val="00AA02C3"/>
    <w:rsid w:val="00AA02D5"/>
    <w:rsid w:val="00AA0338"/>
    <w:rsid w:val="00AA0404"/>
    <w:rsid w:val="00AA040A"/>
    <w:rsid w:val="00AA05D1"/>
    <w:rsid w:val="00AA06F2"/>
    <w:rsid w:val="00AA0718"/>
    <w:rsid w:val="00AA082A"/>
    <w:rsid w:val="00AA086D"/>
    <w:rsid w:val="00AA08B2"/>
    <w:rsid w:val="00AA0BC3"/>
    <w:rsid w:val="00AA0D06"/>
    <w:rsid w:val="00AA0F3D"/>
    <w:rsid w:val="00AA0FBA"/>
    <w:rsid w:val="00AA1266"/>
    <w:rsid w:val="00AA12CD"/>
    <w:rsid w:val="00AA151B"/>
    <w:rsid w:val="00AA16E9"/>
    <w:rsid w:val="00AA195A"/>
    <w:rsid w:val="00AA198E"/>
    <w:rsid w:val="00AA1B40"/>
    <w:rsid w:val="00AA1B9A"/>
    <w:rsid w:val="00AA1C13"/>
    <w:rsid w:val="00AA1C17"/>
    <w:rsid w:val="00AA1D8D"/>
    <w:rsid w:val="00AA1F03"/>
    <w:rsid w:val="00AA1F04"/>
    <w:rsid w:val="00AA20D4"/>
    <w:rsid w:val="00AA2283"/>
    <w:rsid w:val="00AA248C"/>
    <w:rsid w:val="00AA24E6"/>
    <w:rsid w:val="00AA2565"/>
    <w:rsid w:val="00AA2675"/>
    <w:rsid w:val="00AA26B7"/>
    <w:rsid w:val="00AA27FC"/>
    <w:rsid w:val="00AA289C"/>
    <w:rsid w:val="00AA28FF"/>
    <w:rsid w:val="00AA2906"/>
    <w:rsid w:val="00AA2A04"/>
    <w:rsid w:val="00AA2AA1"/>
    <w:rsid w:val="00AA2C8A"/>
    <w:rsid w:val="00AA2DFB"/>
    <w:rsid w:val="00AA2FC5"/>
    <w:rsid w:val="00AA333E"/>
    <w:rsid w:val="00AA33B7"/>
    <w:rsid w:val="00AA3443"/>
    <w:rsid w:val="00AA34D9"/>
    <w:rsid w:val="00AA39FF"/>
    <w:rsid w:val="00AA3A9B"/>
    <w:rsid w:val="00AA3CF7"/>
    <w:rsid w:val="00AA412D"/>
    <w:rsid w:val="00AA417E"/>
    <w:rsid w:val="00AA4218"/>
    <w:rsid w:val="00AA43AA"/>
    <w:rsid w:val="00AA43F9"/>
    <w:rsid w:val="00AA4428"/>
    <w:rsid w:val="00AA443D"/>
    <w:rsid w:val="00AA458C"/>
    <w:rsid w:val="00AA46A9"/>
    <w:rsid w:val="00AA4720"/>
    <w:rsid w:val="00AA47EF"/>
    <w:rsid w:val="00AA48B0"/>
    <w:rsid w:val="00AA4BA4"/>
    <w:rsid w:val="00AA4BD2"/>
    <w:rsid w:val="00AA4EAB"/>
    <w:rsid w:val="00AA4F6B"/>
    <w:rsid w:val="00AA510B"/>
    <w:rsid w:val="00AA51D6"/>
    <w:rsid w:val="00AA5221"/>
    <w:rsid w:val="00AA5348"/>
    <w:rsid w:val="00AA5436"/>
    <w:rsid w:val="00AA5535"/>
    <w:rsid w:val="00AA55F2"/>
    <w:rsid w:val="00AA59C1"/>
    <w:rsid w:val="00AA59E3"/>
    <w:rsid w:val="00AA5BFE"/>
    <w:rsid w:val="00AA5C48"/>
    <w:rsid w:val="00AA5E27"/>
    <w:rsid w:val="00AA6003"/>
    <w:rsid w:val="00AA607C"/>
    <w:rsid w:val="00AA619E"/>
    <w:rsid w:val="00AA62D1"/>
    <w:rsid w:val="00AA64E0"/>
    <w:rsid w:val="00AA65EE"/>
    <w:rsid w:val="00AA676A"/>
    <w:rsid w:val="00AA68C9"/>
    <w:rsid w:val="00AA68D4"/>
    <w:rsid w:val="00AA69E6"/>
    <w:rsid w:val="00AA6A17"/>
    <w:rsid w:val="00AA6AFA"/>
    <w:rsid w:val="00AA6B9A"/>
    <w:rsid w:val="00AA6D4F"/>
    <w:rsid w:val="00AA6DBC"/>
    <w:rsid w:val="00AA6F33"/>
    <w:rsid w:val="00AA7074"/>
    <w:rsid w:val="00AA73E7"/>
    <w:rsid w:val="00AA7413"/>
    <w:rsid w:val="00AA754E"/>
    <w:rsid w:val="00AA7824"/>
    <w:rsid w:val="00AA7902"/>
    <w:rsid w:val="00AA7C12"/>
    <w:rsid w:val="00AA7D5E"/>
    <w:rsid w:val="00AB0091"/>
    <w:rsid w:val="00AB00C9"/>
    <w:rsid w:val="00AB0107"/>
    <w:rsid w:val="00AB0534"/>
    <w:rsid w:val="00AB057C"/>
    <w:rsid w:val="00AB084A"/>
    <w:rsid w:val="00AB090F"/>
    <w:rsid w:val="00AB0DFC"/>
    <w:rsid w:val="00AB0E6C"/>
    <w:rsid w:val="00AB0FAC"/>
    <w:rsid w:val="00AB105E"/>
    <w:rsid w:val="00AB1447"/>
    <w:rsid w:val="00AB14CA"/>
    <w:rsid w:val="00AB1577"/>
    <w:rsid w:val="00AB1629"/>
    <w:rsid w:val="00AB180E"/>
    <w:rsid w:val="00AB182C"/>
    <w:rsid w:val="00AB1889"/>
    <w:rsid w:val="00AB18FF"/>
    <w:rsid w:val="00AB1925"/>
    <w:rsid w:val="00AB1C35"/>
    <w:rsid w:val="00AB1D37"/>
    <w:rsid w:val="00AB1DFC"/>
    <w:rsid w:val="00AB1DFE"/>
    <w:rsid w:val="00AB23DD"/>
    <w:rsid w:val="00AB2494"/>
    <w:rsid w:val="00AB24D7"/>
    <w:rsid w:val="00AB2744"/>
    <w:rsid w:val="00AB2839"/>
    <w:rsid w:val="00AB292F"/>
    <w:rsid w:val="00AB2C5F"/>
    <w:rsid w:val="00AB2CC8"/>
    <w:rsid w:val="00AB2F6E"/>
    <w:rsid w:val="00AB2FB2"/>
    <w:rsid w:val="00AB3038"/>
    <w:rsid w:val="00AB3053"/>
    <w:rsid w:val="00AB308E"/>
    <w:rsid w:val="00AB309F"/>
    <w:rsid w:val="00AB319B"/>
    <w:rsid w:val="00AB3242"/>
    <w:rsid w:val="00AB3327"/>
    <w:rsid w:val="00AB34A4"/>
    <w:rsid w:val="00AB3584"/>
    <w:rsid w:val="00AB35AB"/>
    <w:rsid w:val="00AB37BC"/>
    <w:rsid w:val="00AB396A"/>
    <w:rsid w:val="00AB3B7D"/>
    <w:rsid w:val="00AB3C77"/>
    <w:rsid w:val="00AB3E15"/>
    <w:rsid w:val="00AB3FFC"/>
    <w:rsid w:val="00AB4258"/>
    <w:rsid w:val="00AB42AA"/>
    <w:rsid w:val="00AB42B4"/>
    <w:rsid w:val="00AB448A"/>
    <w:rsid w:val="00AB44B7"/>
    <w:rsid w:val="00AB462D"/>
    <w:rsid w:val="00AB46A3"/>
    <w:rsid w:val="00AB47AC"/>
    <w:rsid w:val="00AB49E4"/>
    <w:rsid w:val="00AB4B87"/>
    <w:rsid w:val="00AB4B93"/>
    <w:rsid w:val="00AB4D01"/>
    <w:rsid w:val="00AB4E6D"/>
    <w:rsid w:val="00AB4E6E"/>
    <w:rsid w:val="00AB5176"/>
    <w:rsid w:val="00AB5450"/>
    <w:rsid w:val="00AB57EF"/>
    <w:rsid w:val="00AB5874"/>
    <w:rsid w:val="00AB5915"/>
    <w:rsid w:val="00AB5A79"/>
    <w:rsid w:val="00AB5ADD"/>
    <w:rsid w:val="00AB5C99"/>
    <w:rsid w:val="00AB5D4D"/>
    <w:rsid w:val="00AB5DD4"/>
    <w:rsid w:val="00AB5E59"/>
    <w:rsid w:val="00AB5ECA"/>
    <w:rsid w:val="00AB5F24"/>
    <w:rsid w:val="00AB636D"/>
    <w:rsid w:val="00AB6491"/>
    <w:rsid w:val="00AB649A"/>
    <w:rsid w:val="00AB6536"/>
    <w:rsid w:val="00AB665E"/>
    <w:rsid w:val="00AB66D6"/>
    <w:rsid w:val="00AB66E3"/>
    <w:rsid w:val="00AB67DF"/>
    <w:rsid w:val="00AB694E"/>
    <w:rsid w:val="00AB6BA3"/>
    <w:rsid w:val="00AB6C5F"/>
    <w:rsid w:val="00AB6D63"/>
    <w:rsid w:val="00AB6ED5"/>
    <w:rsid w:val="00AB711D"/>
    <w:rsid w:val="00AB7176"/>
    <w:rsid w:val="00AB7420"/>
    <w:rsid w:val="00AB7596"/>
    <w:rsid w:val="00AB76BD"/>
    <w:rsid w:val="00AB7746"/>
    <w:rsid w:val="00AB7984"/>
    <w:rsid w:val="00AB7D8C"/>
    <w:rsid w:val="00AB7DF4"/>
    <w:rsid w:val="00AC0093"/>
    <w:rsid w:val="00AC023B"/>
    <w:rsid w:val="00AC033D"/>
    <w:rsid w:val="00AC03D1"/>
    <w:rsid w:val="00AC0440"/>
    <w:rsid w:val="00AC047B"/>
    <w:rsid w:val="00AC0691"/>
    <w:rsid w:val="00AC07D9"/>
    <w:rsid w:val="00AC087C"/>
    <w:rsid w:val="00AC0AD1"/>
    <w:rsid w:val="00AC0DAC"/>
    <w:rsid w:val="00AC0E06"/>
    <w:rsid w:val="00AC0EE9"/>
    <w:rsid w:val="00AC0EED"/>
    <w:rsid w:val="00AC1065"/>
    <w:rsid w:val="00AC15E8"/>
    <w:rsid w:val="00AC1633"/>
    <w:rsid w:val="00AC1643"/>
    <w:rsid w:val="00AC1764"/>
    <w:rsid w:val="00AC17CC"/>
    <w:rsid w:val="00AC1818"/>
    <w:rsid w:val="00AC18B7"/>
    <w:rsid w:val="00AC197D"/>
    <w:rsid w:val="00AC1AAF"/>
    <w:rsid w:val="00AC1BCD"/>
    <w:rsid w:val="00AC1BD3"/>
    <w:rsid w:val="00AC1D63"/>
    <w:rsid w:val="00AC1D72"/>
    <w:rsid w:val="00AC1F28"/>
    <w:rsid w:val="00AC1FDB"/>
    <w:rsid w:val="00AC2097"/>
    <w:rsid w:val="00AC21F0"/>
    <w:rsid w:val="00AC2905"/>
    <w:rsid w:val="00AC2986"/>
    <w:rsid w:val="00AC2A3E"/>
    <w:rsid w:val="00AC2AB3"/>
    <w:rsid w:val="00AC2AD2"/>
    <w:rsid w:val="00AC2CC5"/>
    <w:rsid w:val="00AC2DA3"/>
    <w:rsid w:val="00AC2DBB"/>
    <w:rsid w:val="00AC2E99"/>
    <w:rsid w:val="00AC2F53"/>
    <w:rsid w:val="00AC3082"/>
    <w:rsid w:val="00AC3101"/>
    <w:rsid w:val="00AC310A"/>
    <w:rsid w:val="00AC331A"/>
    <w:rsid w:val="00AC3364"/>
    <w:rsid w:val="00AC33F9"/>
    <w:rsid w:val="00AC34AF"/>
    <w:rsid w:val="00AC3514"/>
    <w:rsid w:val="00AC3607"/>
    <w:rsid w:val="00AC377E"/>
    <w:rsid w:val="00AC3814"/>
    <w:rsid w:val="00AC38E0"/>
    <w:rsid w:val="00AC391C"/>
    <w:rsid w:val="00AC3972"/>
    <w:rsid w:val="00AC3B1A"/>
    <w:rsid w:val="00AC3BF9"/>
    <w:rsid w:val="00AC3C32"/>
    <w:rsid w:val="00AC3DBC"/>
    <w:rsid w:val="00AC3EDE"/>
    <w:rsid w:val="00AC465B"/>
    <w:rsid w:val="00AC470B"/>
    <w:rsid w:val="00AC4874"/>
    <w:rsid w:val="00AC48D6"/>
    <w:rsid w:val="00AC4A9D"/>
    <w:rsid w:val="00AC4AF9"/>
    <w:rsid w:val="00AC4E9D"/>
    <w:rsid w:val="00AC4F4F"/>
    <w:rsid w:val="00AC4F51"/>
    <w:rsid w:val="00AC4FD3"/>
    <w:rsid w:val="00AC503C"/>
    <w:rsid w:val="00AC51A9"/>
    <w:rsid w:val="00AC51F0"/>
    <w:rsid w:val="00AC5375"/>
    <w:rsid w:val="00AC553D"/>
    <w:rsid w:val="00AC5729"/>
    <w:rsid w:val="00AC5776"/>
    <w:rsid w:val="00AC57A7"/>
    <w:rsid w:val="00AC59C0"/>
    <w:rsid w:val="00AC5C20"/>
    <w:rsid w:val="00AC5D75"/>
    <w:rsid w:val="00AC5DD8"/>
    <w:rsid w:val="00AC5F54"/>
    <w:rsid w:val="00AC5F91"/>
    <w:rsid w:val="00AC634B"/>
    <w:rsid w:val="00AC6503"/>
    <w:rsid w:val="00AC6685"/>
    <w:rsid w:val="00AC67FC"/>
    <w:rsid w:val="00AC69B0"/>
    <w:rsid w:val="00AC6A16"/>
    <w:rsid w:val="00AC6AF2"/>
    <w:rsid w:val="00AC6C69"/>
    <w:rsid w:val="00AC6F14"/>
    <w:rsid w:val="00AC73F2"/>
    <w:rsid w:val="00AC74AC"/>
    <w:rsid w:val="00AC752D"/>
    <w:rsid w:val="00AC76D6"/>
    <w:rsid w:val="00AC785F"/>
    <w:rsid w:val="00AC7B6D"/>
    <w:rsid w:val="00AC7BC3"/>
    <w:rsid w:val="00AC7DA0"/>
    <w:rsid w:val="00AD000F"/>
    <w:rsid w:val="00AD0114"/>
    <w:rsid w:val="00AD05D9"/>
    <w:rsid w:val="00AD063A"/>
    <w:rsid w:val="00AD0716"/>
    <w:rsid w:val="00AD08D9"/>
    <w:rsid w:val="00AD0CE8"/>
    <w:rsid w:val="00AD0DB4"/>
    <w:rsid w:val="00AD0F1C"/>
    <w:rsid w:val="00AD0FB7"/>
    <w:rsid w:val="00AD1104"/>
    <w:rsid w:val="00AD1109"/>
    <w:rsid w:val="00AD118D"/>
    <w:rsid w:val="00AD1207"/>
    <w:rsid w:val="00AD1234"/>
    <w:rsid w:val="00AD134A"/>
    <w:rsid w:val="00AD13D9"/>
    <w:rsid w:val="00AD144F"/>
    <w:rsid w:val="00AD14DE"/>
    <w:rsid w:val="00AD15E1"/>
    <w:rsid w:val="00AD161D"/>
    <w:rsid w:val="00AD17B9"/>
    <w:rsid w:val="00AD1D31"/>
    <w:rsid w:val="00AD1F74"/>
    <w:rsid w:val="00AD209D"/>
    <w:rsid w:val="00AD26DF"/>
    <w:rsid w:val="00AD27C1"/>
    <w:rsid w:val="00AD2978"/>
    <w:rsid w:val="00AD2A75"/>
    <w:rsid w:val="00AD2CAB"/>
    <w:rsid w:val="00AD2E17"/>
    <w:rsid w:val="00AD2E19"/>
    <w:rsid w:val="00AD2E6E"/>
    <w:rsid w:val="00AD2F72"/>
    <w:rsid w:val="00AD303B"/>
    <w:rsid w:val="00AD3084"/>
    <w:rsid w:val="00AD309D"/>
    <w:rsid w:val="00AD30B1"/>
    <w:rsid w:val="00AD328F"/>
    <w:rsid w:val="00AD336E"/>
    <w:rsid w:val="00AD3AA0"/>
    <w:rsid w:val="00AD3BA5"/>
    <w:rsid w:val="00AD3BCA"/>
    <w:rsid w:val="00AD3CC9"/>
    <w:rsid w:val="00AD3D38"/>
    <w:rsid w:val="00AD3D5D"/>
    <w:rsid w:val="00AD3E21"/>
    <w:rsid w:val="00AD3EED"/>
    <w:rsid w:val="00AD3F3D"/>
    <w:rsid w:val="00AD40F0"/>
    <w:rsid w:val="00AD41A4"/>
    <w:rsid w:val="00AD4231"/>
    <w:rsid w:val="00AD42FB"/>
    <w:rsid w:val="00AD43AC"/>
    <w:rsid w:val="00AD4403"/>
    <w:rsid w:val="00AD44B5"/>
    <w:rsid w:val="00AD456F"/>
    <w:rsid w:val="00AD462F"/>
    <w:rsid w:val="00AD4642"/>
    <w:rsid w:val="00AD4668"/>
    <w:rsid w:val="00AD47F1"/>
    <w:rsid w:val="00AD4877"/>
    <w:rsid w:val="00AD48C3"/>
    <w:rsid w:val="00AD4950"/>
    <w:rsid w:val="00AD49C2"/>
    <w:rsid w:val="00AD4E5C"/>
    <w:rsid w:val="00AD4EE7"/>
    <w:rsid w:val="00AD4FEE"/>
    <w:rsid w:val="00AD509B"/>
    <w:rsid w:val="00AD542E"/>
    <w:rsid w:val="00AD54F9"/>
    <w:rsid w:val="00AD55C8"/>
    <w:rsid w:val="00AD5BE6"/>
    <w:rsid w:val="00AD5C8E"/>
    <w:rsid w:val="00AD5E25"/>
    <w:rsid w:val="00AD5F51"/>
    <w:rsid w:val="00AD61CC"/>
    <w:rsid w:val="00AD62BA"/>
    <w:rsid w:val="00AD62BD"/>
    <w:rsid w:val="00AD6368"/>
    <w:rsid w:val="00AD6447"/>
    <w:rsid w:val="00AD652B"/>
    <w:rsid w:val="00AD6808"/>
    <w:rsid w:val="00AD6906"/>
    <w:rsid w:val="00AD69BB"/>
    <w:rsid w:val="00AD6A02"/>
    <w:rsid w:val="00AD6A06"/>
    <w:rsid w:val="00AD6CB0"/>
    <w:rsid w:val="00AD703D"/>
    <w:rsid w:val="00AD70EB"/>
    <w:rsid w:val="00AD76EC"/>
    <w:rsid w:val="00AD771F"/>
    <w:rsid w:val="00AD777F"/>
    <w:rsid w:val="00AD7A4A"/>
    <w:rsid w:val="00AD7B91"/>
    <w:rsid w:val="00AD7C27"/>
    <w:rsid w:val="00AD7CB4"/>
    <w:rsid w:val="00AD7E68"/>
    <w:rsid w:val="00AE007A"/>
    <w:rsid w:val="00AE00DD"/>
    <w:rsid w:val="00AE02DB"/>
    <w:rsid w:val="00AE0441"/>
    <w:rsid w:val="00AE0641"/>
    <w:rsid w:val="00AE08C7"/>
    <w:rsid w:val="00AE08ED"/>
    <w:rsid w:val="00AE0909"/>
    <w:rsid w:val="00AE0A1F"/>
    <w:rsid w:val="00AE0A27"/>
    <w:rsid w:val="00AE0A93"/>
    <w:rsid w:val="00AE0D85"/>
    <w:rsid w:val="00AE0DDA"/>
    <w:rsid w:val="00AE0F80"/>
    <w:rsid w:val="00AE105B"/>
    <w:rsid w:val="00AE149A"/>
    <w:rsid w:val="00AE1510"/>
    <w:rsid w:val="00AE154E"/>
    <w:rsid w:val="00AE1583"/>
    <w:rsid w:val="00AE15C2"/>
    <w:rsid w:val="00AE1748"/>
    <w:rsid w:val="00AE1915"/>
    <w:rsid w:val="00AE1980"/>
    <w:rsid w:val="00AE1A61"/>
    <w:rsid w:val="00AE1A79"/>
    <w:rsid w:val="00AE1FD1"/>
    <w:rsid w:val="00AE207E"/>
    <w:rsid w:val="00AE2209"/>
    <w:rsid w:val="00AE2406"/>
    <w:rsid w:val="00AE2565"/>
    <w:rsid w:val="00AE256B"/>
    <w:rsid w:val="00AE25B3"/>
    <w:rsid w:val="00AE2628"/>
    <w:rsid w:val="00AE2902"/>
    <w:rsid w:val="00AE292C"/>
    <w:rsid w:val="00AE2A17"/>
    <w:rsid w:val="00AE2A91"/>
    <w:rsid w:val="00AE2A99"/>
    <w:rsid w:val="00AE2F3C"/>
    <w:rsid w:val="00AE3262"/>
    <w:rsid w:val="00AE3334"/>
    <w:rsid w:val="00AE3461"/>
    <w:rsid w:val="00AE3577"/>
    <w:rsid w:val="00AE35BB"/>
    <w:rsid w:val="00AE36D2"/>
    <w:rsid w:val="00AE39A9"/>
    <w:rsid w:val="00AE3B48"/>
    <w:rsid w:val="00AE3CD9"/>
    <w:rsid w:val="00AE3E95"/>
    <w:rsid w:val="00AE40C6"/>
    <w:rsid w:val="00AE415B"/>
    <w:rsid w:val="00AE41EF"/>
    <w:rsid w:val="00AE43A7"/>
    <w:rsid w:val="00AE442A"/>
    <w:rsid w:val="00AE4719"/>
    <w:rsid w:val="00AE4725"/>
    <w:rsid w:val="00AE4B2D"/>
    <w:rsid w:val="00AE4CFB"/>
    <w:rsid w:val="00AE4E71"/>
    <w:rsid w:val="00AE4F8F"/>
    <w:rsid w:val="00AE515B"/>
    <w:rsid w:val="00AE5742"/>
    <w:rsid w:val="00AE58CF"/>
    <w:rsid w:val="00AE5992"/>
    <w:rsid w:val="00AE59E0"/>
    <w:rsid w:val="00AE5A75"/>
    <w:rsid w:val="00AE5B37"/>
    <w:rsid w:val="00AE6122"/>
    <w:rsid w:val="00AE61EF"/>
    <w:rsid w:val="00AE62D5"/>
    <w:rsid w:val="00AE632A"/>
    <w:rsid w:val="00AE64CA"/>
    <w:rsid w:val="00AE65A9"/>
    <w:rsid w:val="00AE67AD"/>
    <w:rsid w:val="00AE67E9"/>
    <w:rsid w:val="00AE6908"/>
    <w:rsid w:val="00AE6987"/>
    <w:rsid w:val="00AE6A0B"/>
    <w:rsid w:val="00AE6CD3"/>
    <w:rsid w:val="00AE6E43"/>
    <w:rsid w:val="00AE6FAD"/>
    <w:rsid w:val="00AE708D"/>
    <w:rsid w:val="00AE7164"/>
    <w:rsid w:val="00AE74B2"/>
    <w:rsid w:val="00AE7CD5"/>
    <w:rsid w:val="00AE7E52"/>
    <w:rsid w:val="00AF0389"/>
    <w:rsid w:val="00AF040B"/>
    <w:rsid w:val="00AF05CD"/>
    <w:rsid w:val="00AF0694"/>
    <w:rsid w:val="00AF06C1"/>
    <w:rsid w:val="00AF0966"/>
    <w:rsid w:val="00AF0C73"/>
    <w:rsid w:val="00AF0DD3"/>
    <w:rsid w:val="00AF0E4E"/>
    <w:rsid w:val="00AF0F02"/>
    <w:rsid w:val="00AF1258"/>
    <w:rsid w:val="00AF1530"/>
    <w:rsid w:val="00AF15AC"/>
    <w:rsid w:val="00AF18DF"/>
    <w:rsid w:val="00AF19D1"/>
    <w:rsid w:val="00AF19F6"/>
    <w:rsid w:val="00AF1F86"/>
    <w:rsid w:val="00AF22D1"/>
    <w:rsid w:val="00AF281A"/>
    <w:rsid w:val="00AF28DD"/>
    <w:rsid w:val="00AF2B55"/>
    <w:rsid w:val="00AF2C84"/>
    <w:rsid w:val="00AF2C90"/>
    <w:rsid w:val="00AF2D7D"/>
    <w:rsid w:val="00AF2E7B"/>
    <w:rsid w:val="00AF2FBA"/>
    <w:rsid w:val="00AF3160"/>
    <w:rsid w:val="00AF33BE"/>
    <w:rsid w:val="00AF3556"/>
    <w:rsid w:val="00AF36BA"/>
    <w:rsid w:val="00AF3727"/>
    <w:rsid w:val="00AF37BF"/>
    <w:rsid w:val="00AF384D"/>
    <w:rsid w:val="00AF3865"/>
    <w:rsid w:val="00AF39DF"/>
    <w:rsid w:val="00AF3C0D"/>
    <w:rsid w:val="00AF3EB1"/>
    <w:rsid w:val="00AF45B4"/>
    <w:rsid w:val="00AF46A6"/>
    <w:rsid w:val="00AF46B5"/>
    <w:rsid w:val="00AF4768"/>
    <w:rsid w:val="00AF479D"/>
    <w:rsid w:val="00AF486D"/>
    <w:rsid w:val="00AF48F1"/>
    <w:rsid w:val="00AF49BC"/>
    <w:rsid w:val="00AF4A4A"/>
    <w:rsid w:val="00AF4A7A"/>
    <w:rsid w:val="00AF4BC2"/>
    <w:rsid w:val="00AF4BDB"/>
    <w:rsid w:val="00AF4D05"/>
    <w:rsid w:val="00AF50F2"/>
    <w:rsid w:val="00AF5104"/>
    <w:rsid w:val="00AF5143"/>
    <w:rsid w:val="00AF5547"/>
    <w:rsid w:val="00AF55A0"/>
    <w:rsid w:val="00AF5784"/>
    <w:rsid w:val="00AF59D6"/>
    <w:rsid w:val="00AF59F0"/>
    <w:rsid w:val="00AF612B"/>
    <w:rsid w:val="00AF62C0"/>
    <w:rsid w:val="00AF6447"/>
    <w:rsid w:val="00AF683B"/>
    <w:rsid w:val="00AF6A7D"/>
    <w:rsid w:val="00AF6E20"/>
    <w:rsid w:val="00AF711E"/>
    <w:rsid w:val="00AF7387"/>
    <w:rsid w:val="00AF7476"/>
    <w:rsid w:val="00AF75C3"/>
    <w:rsid w:val="00AF75D3"/>
    <w:rsid w:val="00AF771D"/>
    <w:rsid w:val="00AF77E9"/>
    <w:rsid w:val="00AF7B77"/>
    <w:rsid w:val="00AF7D2A"/>
    <w:rsid w:val="00AF7D74"/>
    <w:rsid w:val="00AF7DB0"/>
    <w:rsid w:val="00AF7E0D"/>
    <w:rsid w:val="00AF7F40"/>
    <w:rsid w:val="00AF7F77"/>
    <w:rsid w:val="00AF7FA1"/>
    <w:rsid w:val="00B0006C"/>
    <w:rsid w:val="00B0009D"/>
    <w:rsid w:val="00B000F0"/>
    <w:rsid w:val="00B00225"/>
    <w:rsid w:val="00B00643"/>
    <w:rsid w:val="00B0077D"/>
    <w:rsid w:val="00B009D3"/>
    <w:rsid w:val="00B009EA"/>
    <w:rsid w:val="00B00ACB"/>
    <w:rsid w:val="00B00C3D"/>
    <w:rsid w:val="00B00EF0"/>
    <w:rsid w:val="00B00F0E"/>
    <w:rsid w:val="00B01105"/>
    <w:rsid w:val="00B01264"/>
    <w:rsid w:val="00B013F7"/>
    <w:rsid w:val="00B014C3"/>
    <w:rsid w:val="00B0172E"/>
    <w:rsid w:val="00B0174F"/>
    <w:rsid w:val="00B0188A"/>
    <w:rsid w:val="00B01CAF"/>
    <w:rsid w:val="00B01E4E"/>
    <w:rsid w:val="00B01E8B"/>
    <w:rsid w:val="00B01E9B"/>
    <w:rsid w:val="00B02152"/>
    <w:rsid w:val="00B02188"/>
    <w:rsid w:val="00B02209"/>
    <w:rsid w:val="00B02297"/>
    <w:rsid w:val="00B023DE"/>
    <w:rsid w:val="00B0244A"/>
    <w:rsid w:val="00B0251A"/>
    <w:rsid w:val="00B026BE"/>
    <w:rsid w:val="00B02995"/>
    <w:rsid w:val="00B02B7F"/>
    <w:rsid w:val="00B02BBB"/>
    <w:rsid w:val="00B02CC1"/>
    <w:rsid w:val="00B02E4A"/>
    <w:rsid w:val="00B02F1E"/>
    <w:rsid w:val="00B02F37"/>
    <w:rsid w:val="00B031E5"/>
    <w:rsid w:val="00B03203"/>
    <w:rsid w:val="00B034BF"/>
    <w:rsid w:val="00B035B3"/>
    <w:rsid w:val="00B03AE9"/>
    <w:rsid w:val="00B03B6E"/>
    <w:rsid w:val="00B03E5D"/>
    <w:rsid w:val="00B03FB1"/>
    <w:rsid w:val="00B04011"/>
    <w:rsid w:val="00B0409A"/>
    <w:rsid w:val="00B040A3"/>
    <w:rsid w:val="00B0463A"/>
    <w:rsid w:val="00B04711"/>
    <w:rsid w:val="00B04812"/>
    <w:rsid w:val="00B04CD5"/>
    <w:rsid w:val="00B04D8C"/>
    <w:rsid w:val="00B04F16"/>
    <w:rsid w:val="00B04F90"/>
    <w:rsid w:val="00B04FA7"/>
    <w:rsid w:val="00B05062"/>
    <w:rsid w:val="00B05115"/>
    <w:rsid w:val="00B05148"/>
    <w:rsid w:val="00B05171"/>
    <w:rsid w:val="00B051BC"/>
    <w:rsid w:val="00B0521C"/>
    <w:rsid w:val="00B053EC"/>
    <w:rsid w:val="00B0555C"/>
    <w:rsid w:val="00B055EE"/>
    <w:rsid w:val="00B0562D"/>
    <w:rsid w:val="00B05681"/>
    <w:rsid w:val="00B0584C"/>
    <w:rsid w:val="00B05896"/>
    <w:rsid w:val="00B0594D"/>
    <w:rsid w:val="00B05AE1"/>
    <w:rsid w:val="00B05CDE"/>
    <w:rsid w:val="00B05DDF"/>
    <w:rsid w:val="00B05F18"/>
    <w:rsid w:val="00B05F69"/>
    <w:rsid w:val="00B061C3"/>
    <w:rsid w:val="00B06204"/>
    <w:rsid w:val="00B0635A"/>
    <w:rsid w:val="00B06439"/>
    <w:rsid w:val="00B06476"/>
    <w:rsid w:val="00B064DE"/>
    <w:rsid w:val="00B06510"/>
    <w:rsid w:val="00B06727"/>
    <w:rsid w:val="00B069BC"/>
    <w:rsid w:val="00B06AC7"/>
    <w:rsid w:val="00B06DA4"/>
    <w:rsid w:val="00B06EEB"/>
    <w:rsid w:val="00B07057"/>
    <w:rsid w:val="00B0705A"/>
    <w:rsid w:val="00B07233"/>
    <w:rsid w:val="00B07305"/>
    <w:rsid w:val="00B073BB"/>
    <w:rsid w:val="00B0768C"/>
    <w:rsid w:val="00B0768F"/>
    <w:rsid w:val="00B076B9"/>
    <w:rsid w:val="00B07B32"/>
    <w:rsid w:val="00B07C54"/>
    <w:rsid w:val="00B07C5C"/>
    <w:rsid w:val="00B10286"/>
    <w:rsid w:val="00B102A6"/>
    <w:rsid w:val="00B10434"/>
    <w:rsid w:val="00B1067F"/>
    <w:rsid w:val="00B108B1"/>
    <w:rsid w:val="00B108E2"/>
    <w:rsid w:val="00B10C12"/>
    <w:rsid w:val="00B10DFC"/>
    <w:rsid w:val="00B111D1"/>
    <w:rsid w:val="00B112B8"/>
    <w:rsid w:val="00B112D3"/>
    <w:rsid w:val="00B11533"/>
    <w:rsid w:val="00B11893"/>
    <w:rsid w:val="00B11AD0"/>
    <w:rsid w:val="00B11B8F"/>
    <w:rsid w:val="00B11BDF"/>
    <w:rsid w:val="00B11DAE"/>
    <w:rsid w:val="00B11E72"/>
    <w:rsid w:val="00B12074"/>
    <w:rsid w:val="00B121E3"/>
    <w:rsid w:val="00B121FF"/>
    <w:rsid w:val="00B12299"/>
    <w:rsid w:val="00B12445"/>
    <w:rsid w:val="00B127D1"/>
    <w:rsid w:val="00B12861"/>
    <w:rsid w:val="00B129C1"/>
    <w:rsid w:val="00B12A0A"/>
    <w:rsid w:val="00B12C3D"/>
    <w:rsid w:val="00B12D63"/>
    <w:rsid w:val="00B12D9A"/>
    <w:rsid w:val="00B12DB0"/>
    <w:rsid w:val="00B12DBD"/>
    <w:rsid w:val="00B1316A"/>
    <w:rsid w:val="00B131CD"/>
    <w:rsid w:val="00B13711"/>
    <w:rsid w:val="00B1372B"/>
    <w:rsid w:val="00B13944"/>
    <w:rsid w:val="00B139BF"/>
    <w:rsid w:val="00B13A32"/>
    <w:rsid w:val="00B13B22"/>
    <w:rsid w:val="00B13CC5"/>
    <w:rsid w:val="00B13D28"/>
    <w:rsid w:val="00B13EDC"/>
    <w:rsid w:val="00B14133"/>
    <w:rsid w:val="00B14170"/>
    <w:rsid w:val="00B14271"/>
    <w:rsid w:val="00B142F1"/>
    <w:rsid w:val="00B142F6"/>
    <w:rsid w:val="00B1460D"/>
    <w:rsid w:val="00B146DE"/>
    <w:rsid w:val="00B1472A"/>
    <w:rsid w:val="00B14857"/>
    <w:rsid w:val="00B148AD"/>
    <w:rsid w:val="00B14933"/>
    <w:rsid w:val="00B14951"/>
    <w:rsid w:val="00B14AAD"/>
    <w:rsid w:val="00B14CA0"/>
    <w:rsid w:val="00B14CEF"/>
    <w:rsid w:val="00B14F41"/>
    <w:rsid w:val="00B14FD5"/>
    <w:rsid w:val="00B15073"/>
    <w:rsid w:val="00B151AF"/>
    <w:rsid w:val="00B15486"/>
    <w:rsid w:val="00B1565F"/>
    <w:rsid w:val="00B157CF"/>
    <w:rsid w:val="00B1589A"/>
    <w:rsid w:val="00B15B6D"/>
    <w:rsid w:val="00B15C80"/>
    <w:rsid w:val="00B15C9C"/>
    <w:rsid w:val="00B15F54"/>
    <w:rsid w:val="00B161B2"/>
    <w:rsid w:val="00B162A8"/>
    <w:rsid w:val="00B162CA"/>
    <w:rsid w:val="00B16315"/>
    <w:rsid w:val="00B163A7"/>
    <w:rsid w:val="00B1674F"/>
    <w:rsid w:val="00B16775"/>
    <w:rsid w:val="00B1698A"/>
    <w:rsid w:val="00B16A95"/>
    <w:rsid w:val="00B16CDC"/>
    <w:rsid w:val="00B16DAB"/>
    <w:rsid w:val="00B16DB6"/>
    <w:rsid w:val="00B171D5"/>
    <w:rsid w:val="00B1724D"/>
    <w:rsid w:val="00B172C5"/>
    <w:rsid w:val="00B173F7"/>
    <w:rsid w:val="00B174AA"/>
    <w:rsid w:val="00B17543"/>
    <w:rsid w:val="00B178B4"/>
    <w:rsid w:val="00B179E0"/>
    <w:rsid w:val="00B179F6"/>
    <w:rsid w:val="00B17AEE"/>
    <w:rsid w:val="00B17E61"/>
    <w:rsid w:val="00B2018A"/>
    <w:rsid w:val="00B201D5"/>
    <w:rsid w:val="00B2028D"/>
    <w:rsid w:val="00B202F5"/>
    <w:rsid w:val="00B2090D"/>
    <w:rsid w:val="00B20B1F"/>
    <w:rsid w:val="00B20C97"/>
    <w:rsid w:val="00B21221"/>
    <w:rsid w:val="00B2122F"/>
    <w:rsid w:val="00B2124E"/>
    <w:rsid w:val="00B21347"/>
    <w:rsid w:val="00B2148E"/>
    <w:rsid w:val="00B2150E"/>
    <w:rsid w:val="00B21539"/>
    <w:rsid w:val="00B215BC"/>
    <w:rsid w:val="00B215C9"/>
    <w:rsid w:val="00B217C3"/>
    <w:rsid w:val="00B219E8"/>
    <w:rsid w:val="00B21CD8"/>
    <w:rsid w:val="00B21DA9"/>
    <w:rsid w:val="00B21E65"/>
    <w:rsid w:val="00B22097"/>
    <w:rsid w:val="00B220A4"/>
    <w:rsid w:val="00B2229A"/>
    <w:rsid w:val="00B222CF"/>
    <w:rsid w:val="00B22322"/>
    <w:rsid w:val="00B22543"/>
    <w:rsid w:val="00B2255F"/>
    <w:rsid w:val="00B2259A"/>
    <w:rsid w:val="00B227BD"/>
    <w:rsid w:val="00B22B01"/>
    <w:rsid w:val="00B22B8C"/>
    <w:rsid w:val="00B22CBF"/>
    <w:rsid w:val="00B22E37"/>
    <w:rsid w:val="00B22FE8"/>
    <w:rsid w:val="00B23191"/>
    <w:rsid w:val="00B23684"/>
    <w:rsid w:val="00B23731"/>
    <w:rsid w:val="00B2375D"/>
    <w:rsid w:val="00B238A4"/>
    <w:rsid w:val="00B238CA"/>
    <w:rsid w:val="00B23984"/>
    <w:rsid w:val="00B23B94"/>
    <w:rsid w:val="00B23D83"/>
    <w:rsid w:val="00B240DC"/>
    <w:rsid w:val="00B24114"/>
    <w:rsid w:val="00B2441A"/>
    <w:rsid w:val="00B2448B"/>
    <w:rsid w:val="00B2452E"/>
    <w:rsid w:val="00B24579"/>
    <w:rsid w:val="00B24650"/>
    <w:rsid w:val="00B246AC"/>
    <w:rsid w:val="00B246F7"/>
    <w:rsid w:val="00B247A3"/>
    <w:rsid w:val="00B24873"/>
    <w:rsid w:val="00B248C6"/>
    <w:rsid w:val="00B249E0"/>
    <w:rsid w:val="00B24AB3"/>
    <w:rsid w:val="00B24AEE"/>
    <w:rsid w:val="00B24F18"/>
    <w:rsid w:val="00B24F43"/>
    <w:rsid w:val="00B25116"/>
    <w:rsid w:val="00B25228"/>
    <w:rsid w:val="00B25295"/>
    <w:rsid w:val="00B252C5"/>
    <w:rsid w:val="00B25577"/>
    <w:rsid w:val="00B256CD"/>
    <w:rsid w:val="00B257B7"/>
    <w:rsid w:val="00B25B60"/>
    <w:rsid w:val="00B25C2B"/>
    <w:rsid w:val="00B25DB2"/>
    <w:rsid w:val="00B25E78"/>
    <w:rsid w:val="00B25F2B"/>
    <w:rsid w:val="00B26098"/>
    <w:rsid w:val="00B2622D"/>
    <w:rsid w:val="00B262CE"/>
    <w:rsid w:val="00B26337"/>
    <w:rsid w:val="00B263B8"/>
    <w:rsid w:val="00B2657B"/>
    <w:rsid w:val="00B266EE"/>
    <w:rsid w:val="00B2676F"/>
    <w:rsid w:val="00B267F3"/>
    <w:rsid w:val="00B268D0"/>
    <w:rsid w:val="00B26A91"/>
    <w:rsid w:val="00B26B60"/>
    <w:rsid w:val="00B26C54"/>
    <w:rsid w:val="00B26C57"/>
    <w:rsid w:val="00B26E56"/>
    <w:rsid w:val="00B2740D"/>
    <w:rsid w:val="00B27633"/>
    <w:rsid w:val="00B27954"/>
    <w:rsid w:val="00B279B2"/>
    <w:rsid w:val="00B279BA"/>
    <w:rsid w:val="00B279DA"/>
    <w:rsid w:val="00B27CBA"/>
    <w:rsid w:val="00B27DA4"/>
    <w:rsid w:val="00B27DCD"/>
    <w:rsid w:val="00B3004D"/>
    <w:rsid w:val="00B300C9"/>
    <w:rsid w:val="00B300D0"/>
    <w:rsid w:val="00B301CB"/>
    <w:rsid w:val="00B301E8"/>
    <w:rsid w:val="00B302EE"/>
    <w:rsid w:val="00B30425"/>
    <w:rsid w:val="00B304E1"/>
    <w:rsid w:val="00B304E9"/>
    <w:rsid w:val="00B305DE"/>
    <w:rsid w:val="00B305E4"/>
    <w:rsid w:val="00B3070A"/>
    <w:rsid w:val="00B3078A"/>
    <w:rsid w:val="00B30863"/>
    <w:rsid w:val="00B3089D"/>
    <w:rsid w:val="00B3095A"/>
    <w:rsid w:val="00B30B4A"/>
    <w:rsid w:val="00B30C46"/>
    <w:rsid w:val="00B30DDB"/>
    <w:rsid w:val="00B30E5E"/>
    <w:rsid w:val="00B30ECC"/>
    <w:rsid w:val="00B31140"/>
    <w:rsid w:val="00B3136D"/>
    <w:rsid w:val="00B31441"/>
    <w:rsid w:val="00B3149E"/>
    <w:rsid w:val="00B3155D"/>
    <w:rsid w:val="00B31664"/>
    <w:rsid w:val="00B318C7"/>
    <w:rsid w:val="00B31A00"/>
    <w:rsid w:val="00B31AEB"/>
    <w:rsid w:val="00B31CE7"/>
    <w:rsid w:val="00B31E0B"/>
    <w:rsid w:val="00B31E59"/>
    <w:rsid w:val="00B322A5"/>
    <w:rsid w:val="00B322AD"/>
    <w:rsid w:val="00B325C4"/>
    <w:rsid w:val="00B327A8"/>
    <w:rsid w:val="00B329D8"/>
    <w:rsid w:val="00B32A43"/>
    <w:rsid w:val="00B32A4F"/>
    <w:rsid w:val="00B32A60"/>
    <w:rsid w:val="00B32B8F"/>
    <w:rsid w:val="00B32CB1"/>
    <w:rsid w:val="00B32CE2"/>
    <w:rsid w:val="00B32D82"/>
    <w:rsid w:val="00B32E0B"/>
    <w:rsid w:val="00B32EF2"/>
    <w:rsid w:val="00B33092"/>
    <w:rsid w:val="00B3309F"/>
    <w:rsid w:val="00B33279"/>
    <w:rsid w:val="00B333F2"/>
    <w:rsid w:val="00B33800"/>
    <w:rsid w:val="00B33B63"/>
    <w:rsid w:val="00B33B84"/>
    <w:rsid w:val="00B33C5D"/>
    <w:rsid w:val="00B33E2A"/>
    <w:rsid w:val="00B33E8E"/>
    <w:rsid w:val="00B33F94"/>
    <w:rsid w:val="00B3413A"/>
    <w:rsid w:val="00B3425C"/>
    <w:rsid w:val="00B342F5"/>
    <w:rsid w:val="00B344EA"/>
    <w:rsid w:val="00B346B2"/>
    <w:rsid w:val="00B34732"/>
    <w:rsid w:val="00B3474D"/>
    <w:rsid w:val="00B3476F"/>
    <w:rsid w:val="00B348A3"/>
    <w:rsid w:val="00B3492F"/>
    <w:rsid w:val="00B349A8"/>
    <w:rsid w:val="00B34A11"/>
    <w:rsid w:val="00B34B90"/>
    <w:rsid w:val="00B34E97"/>
    <w:rsid w:val="00B35048"/>
    <w:rsid w:val="00B3508A"/>
    <w:rsid w:val="00B351CE"/>
    <w:rsid w:val="00B353B1"/>
    <w:rsid w:val="00B353FB"/>
    <w:rsid w:val="00B35535"/>
    <w:rsid w:val="00B3557D"/>
    <w:rsid w:val="00B357E4"/>
    <w:rsid w:val="00B35828"/>
    <w:rsid w:val="00B3589A"/>
    <w:rsid w:val="00B35941"/>
    <w:rsid w:val="00B35962"/>
    <w:rsid w:val="00B35CA8"/>
    <w:rsid w:val="00B35D78"/>
    <w:rsid w:val="00B35FB8"/>
    <w:rsid w:val="00B3600A"/>
    <w:rsid w:val="00B3607F"/>
    <w:rsid w:val="00B361BC"/>
    <w:rsid w:val="00B36245"/>
    <w:rsid w:val="00B36485"/>
    <w:rsid w:val="00B364A3"/>
    <w:rsid w:val="00B364E1"/>
    <w:rsid w:val="00B36681"/>
    <w:rsid w:val="00B36843"/>
    <w:rsid w:val="00B36D10"/>
    <w:rsid w:val="00B36E40"/>
    <w:rsid w:val="00B37037"/>
    <w:rsid w:val="00B370D7"/>
    <w:rsid w:val="00B37183"/>
    <w:rsid w:val="00B371D4"/>
    <w:rsid w:val="00B3725D"/>
    <w:rsid w:val="00B3741A"/>
    <w:rsid w:val="00B37A43"/>
    <w:rsid w:val="00B37A7E"/>
    <w:rsid w:val="00B37ACB"/>
    <w:rsid w:val="00B37AE8"/>
    <w:rsid w:val="00B37AFE"/>
    <w:rsid w:val="00B37B74"/>
    <w:rsid w:val="00B37BC8"/>
    <w:rsid w:val="00B37E06"/>
    <w:rsid w:val="00B37EBB"/>
    <w:rsid w:val="00B4014A"/>
    <w:rsid w:val="00B402AB"/>
    <w:rsid w:val="00B402F7"/>
    <w:rsid w:val="00B402F8"/>
    <w:rsid w:val="00B403A5"/>
    <w:rsid w:val="00B404D1"/>
    <w:rsid w:val="00B404E1"/>
    <w:rsid w:val="00B405DF"/>
    <w:rsid w:val="00B405F5"/>
    <w:rsid w:val="00B40B21"/>
    <w:rsid w:val="00B40B47"/>
    <w:rsid w:val="00B40BE2"/>
    <w:rsid w:val="00B40D93"/>
    <w:rsid w:val="00B40E4A"/>
    <w:rsid w:val="00B40ECB"/>
    <w:rsid w:val="00B40FE0"/>
    <w:rsid w:val="00B411FA"/>
    <w:rsid w:val="00B412E2"/>
    <w:rsid w:val="00B41374"/>
    <w:rsid w:val="00B41430"/>
    <w:rsid w:val="00B414F8"/>
    <w:rsid w:val="00B41590"/>
    <w:rsid w:val="00B4180C"/>
    <w:rsid w:val="00B41827"/>
    <w:rsid w:val="00B41A36"/>
    <w:rsid w:val="00B41B04"/>
    <w:rsid w:val="00B41C27"/>
    <w:rsid w:val="00B41C39"/>
    <w:rsid w:val="00B41CDE"/>
    <w:rsid w:val="00B41D97"/>
    <w:rsid w:val="00B41FD2"/>
    <w:rsid w:val="00B42003"/>
    <w:rsid w:val="00B4208D"/>
    <w:rsid w:val="00B42105"/>
    <w:rsid w:val="00B421E8"/>
    <w:rsid w:val="00B4236F"/>
    <w:rsid w:val="00B42452"/>
    <w:rsid w:val="00B426DB"/>
    <w:rsid w:val="00B428D7"/>
    <w:rsid w:val="00B4299C"/>
    <w:rsid w:val="00B42A12"/>
    <w:rsid w:val="00B42A51"/>
    <w:rsid w:val="00B42B6A"/>
    <w:rsid w:val="00B42C7C"/>
    <w:rsid w:val="00B42DA4"/>
    <w:rsid w:val="00B42F44"/>
    <w:rsid w:val="00B43133"/>
    <w:rsid w:val="00B431F6"/>
    <w:rsid w:val="00B431F7"/>
    <w:rsid w:val="00B432BE"/>
    <w:rsid w:val="00B4338A"/>
    <w:rsid w:val="00B43480"/>
    <w:rsid w:val="00B43634"/>
    <w:rsid w:val="00B43989"/>
    <w:rsid w:val="00B43A93"/>
    <w:rsid w:val="00B43AAC"/>
    <w:rsid w:val="00B43ACB"/>
    <w:rsid w:val="00B43BF9"/>
    <w:rsid w:val="00B43CE1"/>
    <w:rsid w:val="00B43D2E"/>
    <w:rsid w:val="00B43E5F"/>
    <w:rsid w:val="00B43F05"/>
    <w:rsid w:val="00B44201"/>
    <w:rsid w:val="00B442C6"/>
    <w:rsid w:val="00B44378"/>
    <w:rsid w:val="00B44438"/>
    <w:rsid w:val="00B44491"/>
    <w:rsid w:val="00B447AB"/>
    <w:rsid w:val="00B44866"/>
    <w:rsid w:val="00B44936"/>
    <w:rsid w:val="00B44ABD"/>
    <w:rsid w:val="00B44B8C"/>
    <w:rsid w:val="00B44C01"/>
    <w:rsid w:val="00B44D07"/>
    <w:rsid w:val="00B4500B"/>
    <w:rsid w:val="00B4522B"/>
    <w:rsid w:val="00B452FD"/>
    <w:rsid w:val="00B45647"/>
    <w:rsid w:val="00B4577C"/>
    <w:rsid w:val="00B457B2"/>
    <w:rsid w:val="00B457C5"/>
    <w:rsid w:val="00B45923"/>
    <w:rsid w:val="00B4594B"/>
    <w:rsid w:val="00B45E7A"/>
    <w:rsid w:val="00B45F21"/>
    <w:rsid w:val="00B45F81"/>
    <w:rsid w:val="00B4604C"/>
    <w:rsid w:val="00B461CE"/>
    <w:rsid w:val="00B46326"/>
    <w:rsid w:val="00B46511"/>
    <w:rsid w:val="00B4658E"/>
    <w:rsid w:val="00B46690"/>
    <w:rsid w:val="00B46A09"/>
    <w:rsid w:val="00B46A76"/>
    <w:rsid w:val="00B46A90"/>
    <w:rsid w:val="00B46B0F"/>
    <w:rsid w:val="00B46D1B"/>
    <w:rsid w:val="00B46DA1"/>
    <w:rsid w:val="00B46EEC"/>
    <w:rsid w:val="00B47366"/>
    <w:rsid w:val="00B4766B"/>
    <w:rsid w:val="00B47730"/>
    <w:rsid w:val="00B4780C"/>
    <w:rsid w:val="00B47905"/>
    <w:rsid w:val="00B47A27"/>
    <w:rsid w:val="00B47AE8"/>
    <w:rsid w:val="00B47BCD"/>
    <w:rsid w:val="00B50199"/>
    <w:rsid w:val="00B5025D"/>
    <w:rsid w:val="00B503F1"/>
    <w:rsid w:val="00B50461"/>
    <w:rsid w:val="00B5067A"/>
    <w:rsid w:val="00B50689"/>
    <w:rsid w:val="00B50871"/>
    <w:rsid w:val="00B50A08"/>
    <w:rsid w:val="00B50AAC"/>
    <w:rsid w:val="00B50AB7"/>
    <w:rsid w:val="00B50D2E"/>
    <w:rsid w:val="00B50FDC"/>
    <w:rsid w:val="00B51022"/>
    <w:rsid w:val="00B51069"/>
    <w:rsid w:val="00B51087"/>
    <w:rsid w:val="00B51285"/>
    <w:rsid w:val="00B5180C"/>
    <w:rsid w:val="00B51A8A"/>
    <w:rsid w:val="00B51C0C"/>
    <w:rsid w:val="00B51D4E"/>
    <w:rsid w:val="00B51DB6"/>
    <w:rsid w:val="00B520E3"/>
    <w:rsid w:val="00B52317"/>
    <w:rsid w:val="00B52454"/>
    <w:rsid w:val="00B52472"/>
    <w:rsid w:val="00B525B5"/>
    <w:rsid w:val="00B525DE"/>
    <w:rsid w:val="00B52714"/>
    <w:rsid w:val="00B528DD"/>
    <w:rsid w:val="00B52AF2"/>
    <w:rsid w:val="00B52B4C"/>
    <w:rsid w:val="00B52ED2"/>
    <w:rsid w:val="00B52EFD"/>
    <w:rsid w:val="00B53249"/>
    <w:rsid w:val="00B534FB"/>
    <w:rsid w:val="00B5353E"/>
    <w:rsid w:val="00B5356F"/>
    <w:rsid w:val="00B535F9"/>
    <w:rsid w:val="00B536AA"/>
    <w:rsid w:val="00B5381E"/>
    <w:rsid w:val="00B5394D"/>
    <w:rsid w:val="00B539B5"/>
    <w:rsid w:val="00B53A1B"/>
    <w:rsid w:val="00B53C16"/>
    <w:rsid w:val="00B53C9A"/>
    <w:rsid w:val="00B53D26"/>
    <w:rsid w:val="00B53F1F"/>
    <w:rsid w:val="00B540E6"/>
    <w:rsid w:val="00B544AC"/>
    <w:rsid w:val="00B54528"/>
    <w:rsid w:val="00B54563"/>
    <w:rsid w:val="00B54658"/>
    <w:rsid w:val="00B546BA"/>
    <w:rsid w:val="00B548E8"/>
    <w:rsid w:val="00B549E4"/>
    <w:rsid w:val="00B549E6"/>
    <w:rsid w:val="00B54B6A"/>
    <w:rsid w:val="00B54C54"/>
    <w:rsid w:val="00B54D57"/>
    <w:rsid w:val="00B54D96"/>
    <w:rsid w:val="00B54FC9"/>
    <w:rsid w:val="00B55043"/>
    <w:rsid w:val="00B5539A"/>
    <w:rsid w:val="00B5549E"/>
    <w:rsid w:val="00B5563A"/>
    <w:rsid w:val="00B556D6"/>
    <w:rsid w:val="00B55A39"/>
    <w:rsid w:val="00B55B26"/>
    <w:rsid w:val="00B561E4"/>
    <w:rsid w:val="00B5674C"/>
    <w:rsid w:val="00B56A15"/>
    <w:rsid w:val="00B56B0D"/>
    <w:rsid w:val="00B56BC7"/>
    <w:rsid w:val="00B56F75"/>
    <w:rsid w:val="00B5715A"/>
    <w:rsid w:val="00B571EF"/>
    <w:rsid w:val="00B572C2"/>
    <w:rsid w:val="00B57448"/>
    <w:rsid w:val="00B574ED"/>
    <w:rsid w:val="00B57673"/>
    <w:rsid w:val="00B576DB"/>
    <w:rsid w:val="00B57705"/>
    <w:rsid w:val="00B5791C"/>
    <w:rsid w:val="00B57AAB"/>
    <w:rsid w:val="00B57AED"/>
    <w:rsid w:val="00B57BB1"/>
    <w:rsid w:val="00B57DB9"/>
    <w:rsid w:val="00B57EFB"/>
    <w:rsid w:val="00B602A4"/>
    <w:rsid w:val="00B60328"/>
    <w:rsid w:val="00B60822"/>
    <w:rsid w:val="00B60BBF"/>
    <w:rsid w:val="00B60DAD"/>
    <w:rsid w:val="00B60E41"/>
    <w:rsid w:val="00B60F18"/>
    <w:rsid w:val="00B60F3C"/>
    <w:rsid w:val="00B60F5F"/>
    <w:rsid w:val="00B61112"/>
    <w:rsid w:val="00B6123F"/>
    <w:rsid w:val="00B6128E"/>
    <w:rsid w:val="00B6135F"/>
    <w:rsid w:val="00B613CE"/>
    <w:rsid w:val="00B61422"/>
    <w:rsid w:val="00B61478"/>
    <w:rsid w:val="00B61508"/>
    <w:rsid w:val="00B6179B"/>
    <w:rsid w:val="00B618AC"/>
    <w:rsid w:val="00B61A60"/>
    <w:rsid w:val="00B61BE3"/>
    <w:rsid w:val="00B61C9C"/>
    <w:rsid w:val="00B61CA0"/>
    <w:rsid w:val="00B61D73"/>
    <w:rsid w:val="00B61EE8"/>
    <w:rsid w:val="00B61F9B"/>
    <w:rsid w:val="00B62170"/>
    <w:rsid w:val="00B621AE"/>
    <w:rsid w:val="00B62219"/>
    <w:rsid w:val="00B6229D"/>
    <w:rsid w:val="00B623BD"/>
    <w:rsid w:val="00B62514"/>
    <w:rsid w:val="00B625D7"/>
    <w:rsid w:val="00B62634"/>
    <w:rsid w:val="00B62954"/>
    <w:rsid w:val="00B62A52"/>
    <w:rsid w:val="00B62A6B"/>
    <w:rsid w:val="00B62C84"/>
    <w:rsid w:val="00B62E90"/>
    <w:rsid w:val="00B62EF1"/>
    <w:rsid w:val="00B63140"/>
    <w:rsid w:val="00B631AE"/>
    <w:rsid w:val="00B63446"/>
    <w:rsid w:val="00B63606"/>
    <w:rsid w:val="00B636F8"/>
    <w:rsid w:val="00B6389C"/>
    <w:rsid w:val="00B6391E"/>
    <w:rsid w:val="00B63C18"/>
    <w:rsid w:val="00B63C1F"/>
    <w:rsid w:val="00B63D2C"/>
    <w:rsid w:val="00B63FEC"/>
    <w:rsid w:val="00B6405E"/>
    <w:rsid w:val="00B6410D"/>
    <w:rsid w:val="00B64122"/>
    <w:rsid w:val="00B6422D"/>
    <w:rsid w:val="00B64302"/>
    <w:rsid w:val="00B643A3"/>
    <w:rsid w:val="00B6441F"/>
    <w:rsid w:val="00B6466C"/>
    <w:rsid w:val="00B64675"/>
    <w:rsid w:val="00B646D2"/>
    <w:rsid w:val="00B646D4"/>
    <w:rsid w:val="00B6488C"/>
    <w:rsid w:val="00B64A4B"/>
    <w:rsid w:val="00B64AD3"/>
    <w:rsid w:val="00B64B5E"/>
    <w:rsid w:val="00B64C8D"/>
    <w:rsid w:val="00B64CBC"/>
    <w:rsid w:val="00B64D64"/>
    <w:rsid w:val="00B64EAE"/>
    <w:rsid w:val="00B65504"/>
    <w:rsid w:val="00B6553C"/>
    <w:rsid w:val="00B6554A"/>
    <w:rsid w:val="00B65605"/>
    <w:rsid w:val="00B65841"/>
    <w:rsid w:val="00B658D0"/>
    <w:rsid w:val="00B65900"/>
    <w:rsid w:val="00B65911"/>
    <w:rsid w:val="00B65A81"/>
    <w:rsid w:val="00B65B38"/>
    <w:rsid w:val="00B65DD3"/>
    <w:rsid w:val="00B66065"/>
    <w:rsid w:val="00B6606F"/>
    <w:rsid w:val="00B66423"/>
    <w:rsid w:val="00B66590"/>
    <w:rsid w:val="00B665E0"/>
    <w:rsid w:val="00B665FF"/>
    <w:rsid w:val="00B666AB"/>
    <w:rsid w:val="00B666F1"/>
    <w:rsid w:val="00B667AE"/>
    <w:rsid w:val="00B667D9"/>
    <w:rsid w:val="00B66815"/>
    <w:rsid w:val="00B66851"/>
    <w:rsid w:val="00B6692A"/>
    <w:rsid w:val="00B66C01"/>
    <w:rsid w:val="00B66D69"/>
    <w:rsid w:val="00B66DF6"/>
    <w:rsid w:val="00B66E15"/>
    <w:rsid w:val="00B66E98"/>
    <w:rsid w:val="00B67030"/>
    <w:rsid w:val="00B6722A"/>
    <w:rsid w:val="00B67316"/>
    <w:rsid w:val="00B67323"/>
    <w:rsid w:val="00B675BF"/>
    <w:rsid w:val="00B676D7"/>
    <w:rsid w:val="00B676FD"/>
    <w:rsid w:val="00B677A1"/>
    <w:rsid w:val="00B677C9"/>
    <w:rsid w:val="00B677DC"/>
    <w:rsid w:val="00B67879"/>
    <w:rsid w:val="00B678D8"/>
    <w:rsid w:val="00B67951"/>
    <w:rsid w:val="00B67E2F"/>
    <w:rsid w:val="00B67EA6"/>
    <w:rsid w:val="00B67EA9"/>
    <w:rsid w:val="00B7011B"/>
    <w:rsid w:val="00B701EE"/>
    <w:rsid w:val="00B70244"/>
    <w:rsid w:val="00B70396"/>
    <w:rsid w:val="00B703E6"/>
    <w:rsid w:val="00B70481"/>
    <w:rsid w:val="00B70489"/>
    <w:rsid w:val="00B70585"/>
    <w:rsid w:val="00B705FB"/>
    <w:rsid w:val="00B70715"/>
    <w:rsid w:val="00B70979"/>
    <w:rsid w:val="00B70A9F"/>
    <w:rsid w:val="00B70C4A"/>
    <w:rsid w:val="00B70D5C"/>
    <w:rsid w:val="00B70F75"/>
    <w:rsid w:val="00B7106F"/>
    <w:rsid w:val="00B710CA"/>
    <w:rsid w:val="00B712F9"/>
    <w:rsid w:val="00B71355"/>
    <w:rsid w:val="00B71736"/>
    <w:rsid w:val="00B7181E"/>
    <w:rsid w:val="00B71940"/>
    <w:rsid w:val="00B71C04"/>
    <w:rsid w:val="00B71DA4"/>
    <w:rsid w:val="00B71F12"/>
    <w:rsid w:val="00B71F3D"/>
    <w:rsid w:val="00B71F4F"/>
    <w:rsid w:val="00B720D7"/>
    <w:rsid w:val="00B7238D"/>
    <w:rsid w:val="00B7248A"/>
    <w:rsid w:val="00B724B9"/>
    <w:rsid w:val="00B724CA"/>
    <w:rsid w:val="00B725E4"/>
    <w:rsid w:val="00B7269C"/>
    <w:rsid w:val="00B7285E"/>
    <w:rsid w:val="00B72A65"/>
    <w:rsid w:val="00B72A8E"/>
    <w:rsid w:val="00B72BAA"/>
    <w:rsid w:val="00B72C00"/>
    <w:rsid w:val="00B72D66"/>
    <w:rsid w:val="00B72E15"/>
    <w:rsid w:val="00B72E3B"/>
    <w:rsid w:val="00B72F30"/>
    <w:rsid w:val="00B72F84"/>
    <w:rsid w:val="00B73026"/>
    <w:rsid w:val="00B7307C"/>
    <w:rsid w:val="00B730C5"/>
    <w:rsid w:val="00B73255"/>
    <w:rsid w:val="00B73358"/>
    <w:rsid w:val="00B73399"/>
    <w:rsid w:val="00B73452"/>
    <w:rsid w:val="00B73746"/>
    <w:rsid w:val="00B737EE"/>
    <w:rsid w:val="00B73A26"/>
    <w:rsid w:val="00B73E78"/>
    <w:rsid w:val="00B73F37"/>
    <w:rsid w:val="00B74083"/>
    <w:rsid w:val="00B74118"/>
    <w:rsid w:val="00B741EC"/>
    <w:rsid w:val="00B74462"/>
    <w:rsid w:val="00B745E2"/>
    <w:rsid w:val="00B7461B"/>
    <w:rsid w:val="00B74864"/>
    <w:rsid w:val="00B748A5"/>
    <w:rsid w:val="00B74AB2"/>
    <w:rsid w:val="00B74BEF"/>
    <w:rsid w:val="00B74C58"/>
    <w:rsid w:val="00B74C9A"/>
    <w:rsid w:val="00B74E11"/>
    <w:rsid w:val="00B74F3F"/>
    <w:rsid w:val="00B74F6B"/>
    <w:rsid w:val="00B75011"/>
    <w:rsid w:val="00B75029"/>
    <w:rsid w:val="00B75370"/>
    <w:rsid w:val="00B753E8"/>
    <w:rsid w:val="00B75550"/>
    <w:rsid w:val="00B75606"/>
    <w:rsid w:val="00B75609"/>
    <w:rsid w:val="00B75789"/>
    <w:rsid w:val="00B757C7"/>
    <w:rsid w:val="00B7599B"/>
    <w:rsid w:val="00B759D6"/>
    <w:rsid w:val="00B75CEC"/>
    <w:rsid w:val="00B75D06"/>
    <w:rsid w:val="00B75FA1"/>
    <w:rsid w:val="00B762D4"/>
    <w:rsid w:val="00B762F3"/>
    <w:rsid w:val="00B76343"/>
    <w:rsid w:val="00B765D0"/>
    <w:rsid w:val="00B7693F"/>
    <w:rsid w:val="00B76C9F"/>
    <w:rsid w:val="00B76E87"/>
    <w:rsid w:val="00B76E9B"/>
    <w:rsid w:val="00B76ED4"/>
    <w:rsid w:val="00B771CF"/>
    <w:rsid w:val="00B77338"/>
    <w:rsid w:val="00B77514"/>
    <w:rsid w:val="00B77525"/>
    <w:rsid w:val="00B7753B"/>
    <w:rsid w:val="00B775C0"/>
    <w:rsid w:val="00B775EB"/>
    <w:rsid w:val="00B7761F"/>
    <w:rsid w:val="00B77663"/>
    <w:rsid w:val="00B776AA"/>
    <w:rsid w:val="00B777A5"/>
    <w:rsid w:val="00B778FE"/>
    <w:rsid w:val="00B77AAB"/>
    <w:rsid w:val="00B77AFC"/>
    <w:rsid w:val="00B77BD3"/>
    <w:rsid w:val="00B77C24"/>
    <w:rsid w:val="00B77CAA"/>
    <w:rsid w:val="00B77CF2"/>
    <w:rsid w:val="00B77D62"/>
    <w:rsid w:val="00B77D89"/>
    <w:rsid w:val="00B77DD0"/>
    <w:rsid w:val="00B77F02"/>
    <w:rsid w:val="00B77FC1"/>
    <w:rsid w:val="00B80011"/>
    <w:rsid w:val="00B80030"/>
    <w:rsid w:val="00B8011E"/>
    <w:rsid w:val="00B801F8"/>
    <w:rsid w:val="00B80317"/>
    <w:rsid w:val="00B8031E"/>
    <w:rsid w:val="00B803BA"/>
    <w:rsid w:val="00B803FB"/>
    <w:rsid w:val="00B806B2"/>
    <w:rsid w:val="00B80750"/>
    <w:rsid w:val="00B80818"/>
    <w:rsid w:val="00B80A5B"/>
    <w:rsid w:val="00B80AA0"/>
    <w:rsid w:val="00B80C8D"/>
    <w:rsid w:val="00B80DF6"/>
    <w:rsid w:val="00B80FE7"/>
    <w:rsid w:val="00B8113C"/>
    <w:rsid w:val="00B812A7"/>
    <w:rsid w:val="00B812EA"/>
    <w:rsid w:val="00B815ED"/>
    <w:rsid w:val="00B81697"/>
    <w:rsid w:val="00B816B5"/>
    <w:rsid w:val="00B816DA"/>
    <w:rsid w:val="00B8180E"/>
    <w:rsid w:val="00B818E5"/>
    <w:rsid w:val="00B81A86"/>
    <w:rsid w:val="00B81D31"/>
    <w:rsid w:val="00B81D83"/>
    <w:rsid w:val="00B81DCF"/>
    <w:rsid w:val="00B81DDF"/>
    <w:rsid w:val="00B81E12"/>
    <w:rsid w:val="00B81E8C"/>
    <w:rsid w:val="00B81EC2"/>
    <w:rsid w:val="00B81F01"/>
    <w:rsid w:val="00B82069"/>
    <w:rsid w:val="00B8218A"/>
    <w:rsid w:val="00B82228"/>
    <w:rsid w:val="00B8222D"/>
    <w:rsid w:val="00B822E7"/>
    <w:rsid w:val="00B82307"/>
    <w:rsid w:val="00B823DA"/>
    <w:rsid w:val="00B824E2"/>
    <w:rsid w:val="00B825F5"/>
    <w:rsid w:val="00B82670"/>
    <w:rsid w:val="00B82794"/>
    <w:rsid w:val="00B8297A"/>
    <w:rsid w:val="00B82A71"/>
    <w:rsid w:val="00B82C8B"/>
    <w:rsid w:val="00B82D35"/>
    <w:rsid w:val="00B82FA6"/>
    <w:rsid w:val="00B8333A"/>
    <w:rsid w:val="00B83608"/>
    <w:rsid w:val="00B8361B"/>
    <w:rsid w:val="00B837EE"/>
    <w:rsid w:val="00B837F0"/>
    <w:rsid w:val="00B83816"/>
    <w:rsid w:val="00B83917"/>
    <w:rsid w:val="00B83932"/>
    <w:rsid w:val="00B83C80"/>
    <w:rsid w:val="00B83D7B"/>
    <w:rsid w:val="00B83DD2"/>
    <w:rsid w:val="00B83E0D"/>
    <w:rsid w:val="00B83E60"/>
    <w:rsid w:val="00B84043"/>
    <w:rsid w:val="00B84044"/>
    <w:rsid w:val="00B8419F"/>
    <w:rsid w:val="00B841CB"/>
    <w:rsid w:val="00B8452A"/>
    <w:rsid w:val="00B8452E"/>
    <w:rsid w:val="00B84660"/>
    <w:rsid w:val="00B848B9"/>
    <w:rsid w:val="00B849FE"/>
    <w:rsid w:val="00B84A14"/>
    <w:rsid w:val="00B84ABD"/>
    <w:rsid w:val="00B84AC2"/>
    <w:rsid w:val="00B84B11"/>
    <w:rsid w:val="00B84B81"/>
    <w:rsid w:val="00B84C12"/>
    <w:rsid w:val="00B84E28"/>
    <w:rsid w:val="00B84F4A"/>
    <w:rsid w:val="00B84F59"/>
    <w:rsid w:val="00B85191"/>
    <w:rsid w:val="00B8535B"/>
    <w:rsid w:val="00B85360"/>
    <w:rsid w:val="00B85471"/>
    <w:rsid w:val="00B854DA"/>
    <w:rsid w:val="00B85628"/>
    <w:rsid w:val="00B85757"/>
    <w:rsid w:val="00B85A10"/>
    <w:rsid w:val="00B85BC3"/>
    <w:rsid w:val="00B85E55"/>
    <w:rsid w:val="00B85FA3"/>
    <w:rsid w:val="00B85FC8"/>
    <w:rsid w:val="00B862A4"/>
    <w:rsid w:val="00B86521"/>
    <w:rsid w:val="00B8661B"/>
    <w:rsid w:val="00B86A6A"/>
    <w:rsid w:val="00B86B6D"/>
    <w:rsid w:val="00B86C11"/>
    <w:rsid w:val="00B86D55"/>
    <w:rsid w:val="00B86D5E"/>
    <w:rsid w:val="00B872B1"/>
    <w:rsid w:val="00B87483"/>
    <w:rsid w:val="00B87872"/>
    <w:rsid w:val="00B87B1C"/>
    <w:rsid w:val="00B87B39"/>
    <w:rsid w:val="00B87B4E"/>
    <w:rsid w:val="00B87BBA"/>
    <w:rsid w:val="00B87DB1"/>
    <w:rsid w:val="00B87FD5"/>
    <w:rsid w:val="00B90330"/>
    <w:rsid w:val="00B9045D"/>
    <w:rsid w:val="00B907B9"/>
    <w:rsid w:val="00B90933"/>
    <w:rsid w:val="00B9094B"/>
    <w:rsid w:val="00B909F8"/>
    <w:rsid w:val="00B90C0D"/>
    <w:rsid w:val="00B90CE4"/>
    <w:rsid w:val="00B90DEC"/>
    <w:rsid w:val="00B90EB2"/>
    <w:rsid w:val="00B91046"/>
    <w:rsid w:val="00B910CF"/>
    <w:rsid w:val="00B912E4"/>
    <w:rsid w:val="00B91381"/>
    <w:rsid w:val="00B9142D"/>
    <w:rsid w:val="00B91752"/>
    <w:rsid w:val="00B91883"/>
    <w:rsid w:val="00B91D8D"/>
    <w:rsid w:val="00B91DE0"/>
    <w:rsid w:val="00B91F1C"/>
    <w:rsid w:val="00B92011"/>
    <w:rsid w:val="00B9210F"/>
    <w:rsid w:val="00B921DC"/>
    <w:rsid w:val="00B924C2"/>
    <w:rsid w:val="00B924F3"/>
    <w:rsid w:val="00B9255C"/>
    <w:rsid w:val="00B925DE"/>
    <w:rsid w:val="00B927D0"/>
    <w:rsid w:val="00B92BEC"/>
    <w:rsid w:val="00B92D9C"/>
    <w:rsid w:val="00B92E87"/>
    <w:rsid w:val="00B92EA9"/>
    <w:rsid w:val="00B92F7B"/>
    <w:rsid w:val="00B9301C"/>
    <w:rsid w:val="00B9360B"/>
    <w:rsid w:val="00B936BC"/>
    <w:rsid w:val="00B93951"/>
    <w:rsid w:val="00B939F0"/>
    <w:rsid w:val="00B939FD"/>
    <w:rsid w:val="00B93B60"/>
    <w:rsid w:val="00B93BE1"/>
    <w:rsid w:val="00B93BF7"/>
    <w:rsid w:val="00B93EA4"/>
    <w:rsid w:val="00B93EF8"/>
    <w:rsid w:val="00B93F89"/>
    <w:rsid w:val="00B93FE3"/>
    <w:rsid w:val="00B940EA"/>
    <w:rsid w:val="00B94131"/>
    <w:rsid w:val="00B94146"/>
    <w:rsid w:val="00B9437C"/>
    <w:rsid w:val="00B944B7"/>
    <w:rsid w:val="00B9453F"/>
    <w:rsid w:val="00B945B5"/>
    <w:rsid w:val="00B94679"/>
    <w:rsid w:val="00B946AF"/>
    <w:rsid w:val="00B94AB5"/>
    <w:rsid w:val="00B94ABA"/>
    <w:rsid w:val="00B94D85"/>
    <w:rsid w:val="00B94DC8"/>
    <w:rsid w:val="00B95039"/>
    <w:rsid w:val="00B951CA"/>
    <w:rsid w:val="00B95335"/>
    <w:rsid w:val="00B95391"/>
    <w:rsid w:val="00B95483"/>
    <w:rsid w:val="00B95561"/>
    <w:rsid w:val="00B9559C"/>
    <w:rsid w:val="00B955A5"/>
    <w:rsid w:val="00B955CC"/>
    <w:rsid w:val="00B955E1"/>
    <w:rsid w:val="00B957C1"/>
    <w:rsid w:val="00B95842"/>
    <w:rsid w:val="00B95E27"/>
    <w:rsid w:val="00B95EAF"/>
    <w:rsid w:val="00B95ED1"/>
    <w:rsid w:val="00B95F0F"/>
    <w:rsid w:val="00B95FE2"/>
    <w:rsid w:val="00B96089"/>
    <w:rsid w:val="00B96171"/>
    <w:rsid w:val="00B961BF"/>
    <w:rsid w:val="00B9637F"/>
    <w:rsid w:val="00B963B7"/>
    <w:rsid w:val="00B964D0"/>
    <w:rsid w:val="00B96AA2"/>
    <w:rsid w:val="00B96EE6"/>
    <w:rsid w:val="00B96F02"/>
    <w:rsid w:val="00B97158"/>
    <w:rsid w:val="00B9718E"/>
    <w:rsid w:val="00B973B3"/>
    <w:rsid w:val="00B9741E"/>
    <w:rsid w:val="00B97539"/>
    <w:rsid w:val="00B97635"/>
    <w:rsid w:val="00B97763"/>
    <w:rsid w:val="00B97791"/>
    <w:rsid w:val="00B978AF"/>
    <w:rsid w:val="00B97A0B"/>
    <w:rsid w:val="00B97A18"/>
    <w:rsid w:val="00B97A26"/>
    <w:rsid w:val="00B97AFD"/>
    <w:rsid w:val="00B97B4C"/>
    <w:rsid w:val="00B97F1F"/>
    <w:rsid w:val="00BA0034"/>
    <w:rsid w:val="00BA00E3"/>
    <w:rsid w:val="00BA02AB"/>
    <w:rsid w:val="00BA0403"/>
    <w:rsid w:val="00BA052E"/>
    <w:rsid w:val="00BA05A6"/>
    <w:rsid w:val="00BA07BD"/>
    <w:rsid w:val="00BA08B5"/>
    <w:rsid w:val="00BA08D2"/>
    <w:rsid w:val="00BA0A00"/>
    <w:rsid w:val="00BA0A9C"/>
    <w:rsid w:val="00BA0D01"/>
    <w:rsid w:val="00BA1089"/>
    <w:rsid w:val="00BA10CD"/>
    <w:rsid w:val="00BA1284"/>
    <w:rsid w:val="00BA13FB"/>
    <w:rsid w:val="00BA1687"/>
    <w:rsid w:val="00BA1988"/>
    <w:rsid w:val="00BA1999"/>
    <w:rsid w:val="00BA1AA7"/>
    <w:rsid w:val="00BA1C22"/>
    <w:rsid w:val="00BA1E4A"/>
    <w:rsid w:val="00BA2310"/>
    <w:rsid w:val="00BA2510"/>
    <w:rsid w:val="00BA2512"/>
    <w:rsid w:val="00BA27AD"/>
    <w:rsid w:val="00BA2866"/>
    <w:rsid w:val="00BA28A0"/>
    <w:rsid w:val="00BA29A8"/>
    <w:rsid w:val="00BA2A02"/>
    <w:rsid w:val="00BA2AB3"/>
    <w:rsid w:val="00BA2DDF"/>
    <w:rsid w:val="00BA2DEE"/>
    <w:rsid w:val="00BA3063"/>
    <w:rsid w:val="00BA33CB"/>
    <w:rsid w:val="00BA342D"/>
    <w:rsid w:val="00BA34C4"/>
    <w:rsid w:val="00BA34F6"/>
    <w:rsid w:val="00BA354B"/>
    <w:rsid w:val="00BA356B"/>
    <w:rsid w:val="00BA35A5"/>
    <w:rsid w:val="00BA37A0"/>
    <w:rsid w:val="00BA37D2"/>
    <w:rsid w:val="00BA3877"/>
    <w:rsid w:val="00BA3BA0"/>
    <w:rsid w:val="00BA3BC1"/>
    <w:rsid w:val="00BA3BDA"/>
    <w:rsid w:val="00BA3C03"/>
    <w:rsid w:val="00BA3E60"/>
    <w:rsid w:val="00BA4057"/>
    <w:rsid w:val="00BA4216"/>
    <w:rsid w:val="00BA429D"/>
    <w:rsid w:val="00BA444B"/>
    <w:rsid w:val="00BA44BC"/>
    <w:rsid w:val="00BA454A"/>
    <w:rsid w:val="00BA45BA"/>
    <w:rsid w:val="00BA4680"/>
    <w:rsid w:val="00BA48F6"/>
    <w:rsid w:val="00BA4A58"/>
    <w:rsid w:val="00BA4A5F"/>
    <w:rsid w:val="00BA4AC1"/>
    <w:rsid w:val="00BA4BD6"/>
    <w:rsid w:val="00BA4FA5"/>
    <w:rsid w:val="00BA504C"/>
    <w:rsid w:val="00BA5143"/>
    <w:rsid w:val="00BA5168"/>
    <w:rsid w:val="00BA51B6"/>
    <w:rsid w:val="00BA5515"/>
    <w:rsid w:val="00BA5555"/>
    <w:rsid w:val="00BA55BA"/>
    <w:rsid w:val="00BA591E"/>
    <w:rsid w:val="00BA591F"/>
    <w:rsid w:val="00BA5983"/>
    <w:rsid w:val="00BA5A3C"/>
    <w:rsid w:val="00BA5A3F"/>
    <w:rsid w:val="00BA5B5F"/>
    <w:rsid w:val="00BA5CD4"/>
    <w:rsid w:val="00BA5DEB"/>
    <w:rsid w:val="00BA5EAF"/>
    <w:rsid w:val="00BA5F5C"/>
    <w:rsid w:val="00BA6210"/>
    <w:rsid w:val="00BA6228"/>
    <w:rsid w:val="00BA6348"/>
    <w:rsid w:val="00BA6415"/>
    <w:rsid w:val="00BA64ED"/>
    <w:rsid w:val="00BA6C5F"/>
    <w:rsid w:val="00BA6C61"/>
    <w:rsid w:val="00BA6C7E"/>
    <w:rsid w:val="00BA6D1C"/>
    <w:rsid w:val="00BA6D26"/>
    <w:rsid w:val="00BA6E34"/>
    <w:rsid w:val="00BA703D"/>
    <w:rsid w:val="00BA7044"/>
    <w:rsid w:val="00BA7099"/>
    <w:rsid w:val="00BA729F"/>
    <w:rsid w:val="00BA7375"/>
    <w:rsid w:val="00BA7394"/>
    <w:rsid w:val="00BA73F2"/>
    <w:rsid w:val="00BA7443"/>
    <w:rsid w:val="00BA7451"/>
    <w:rsid w:val="00BA75FA"/>
    <w:rsid w:val="00BA78E5"/>
    <w:rsid w:val="00BA7AFD"/>
    <w:rsid w:val="00BA7F16"/>
    <w:rsid w:val="00BA7F2D"/>
    <w:rsid w:val="00BB01C0"/>
    <w:rsid w:val="00BB0262"/>
    <w:rsid w:val="00BB0527"/>
    <w:rsid w:val="00BB069E"/>
    <w:rsid w:val="00BB0770"/>
    <w:rsid w:val="00BB0BAD"/>
    <w:rsid w:val="00BB0C37"/>
    <w:rsid w:val="00BB0F15"/>
    <w:rsid w:val="00BB11B7"/>
    <w:rsid w:val="00BB13AE"/>
    <w:rsid w:val="00BB14F4"/>
    <w:rsid w:val="00BB165A"/>
    <w:rsid w:val="00BB1701"/>
    <w:rsid w:val="00BB1C3A"/>
    <w:rsid w:val="00BB1C9F"/>
    <w:rsid w:val="00BB1F1B"/>
    <w:rsid w:val="00BB2157"/>
    <w:rsid w:val="00BB2209"/>
    <w:rsid w:val="00BB2371"/>
    <w:rsid w:val="00BB239A"/>
    <w:rsid w:val="00BB2451"/>
    <w:rsid w:val="00BB248F"/>
    <w:rsid w:val="00BB24C3"/>
    <w:rsid w:val="00BB252D"/>
    <w:rsid w:val="00BB2733"/>
    <w:rsid w:val="00BB276E"/>
    <w:rsid w:val="00BB2770"/>
    <w:rsid w:val="00BB2922"/>
    <w:rsid w:val="00BB2AD5"/>
    <w:rsid w:val="00BB2B65"/>
    <w:rsid w:val="00BB2D78"/>
    <w:rsid w:val="00BB2F04"/>
    <w:rsid w:val="00BB33C7"/>
    <w:rsid w:val="00BB35A1"/>
    <w:rsid w:val="00BB3607"/>
    <w:rsid w:val="00BB3630"/>
    <w:rsid w:val="00BB36A1"/>
    <w:rsid w:val="00BB3968"/>
    <w:rsid w:val="00BB3AEA"/>
    <w:rsid w:val="00BB3B36"/>
    <w:rsid w:val="00BB3B80"/>
    <w:rsid w:val="00BB3BF4"/>
    <w:rsid w:val="00BB3C5A"/>
    <w:rsid w:val="00BB3D52"/>
    <w:rsid w:val="00BB442A"/>
    <w:rsid w:val="00BB44B3"/>
    <w:rsid w:val="00BB458F"/>
    <w:rsid w:val="00BB489A"/>
    <w:rsid w:val="00BB49DF"/>
    <w:rsid w:val="00BB4A7F"/>
    <w:rsid w:val="00BB4B29"/>
    <w:rsid w:val="00BB4C07"/>
    <w:rsid w:val="00BB4C12"/>
    <w:rsid w:val="00BB4D3A"/>
    <w:rsid w:val="00BB5010"/>
    <w:rsid w:val="00BB52E8"/>
    <w:rsid w:val="00BB53AB"/>
    <w:rsid w:val="00BB53C5"/>
    <w:rsid w:val="00BB53E9"/>
    <w:rsid w:val="00BB53EE"/>
    <w:rsid w:val="00BB54C7"/>
    <w:rsid w:val="00BB5545"/>
    <w:rsid w:val="00BB55E5"/>
    <w:rsid w:val="00BB5799"/>
    <w:rsid w:val="00BB5DC3"/>
    <w:rsid w:val="00BB61D0"/>
    <w:rsid w:val="00BB6251"/>
    <w:rsid w:val="00BB62B5"/>
    <w:rsid w:val="00BB6355"/>
    <w:rsid w:val="00BB645A"/>
    <w:rsid w:val="00BB659F"/>
    <w:rsid w:val="00BB6601"/>
    <w:rsid w:val="00BB694F"/>
    <w:rsid w:val="00BB6995"/>
    <w:rsid w:val="00BB6B38"/>
    <w:rsid w:val="00BB6C59"/>
    <w:rsid w:val="00BB6C89"/>
    <w:rsid w:val="00BB6DF4"/>
    <w:rsid w:val="00BB73EE"/>
    <w:rsid w:val="00BB76D3"/>
    <w:rsid w:val="00BB7734"/>
    <w:rsid w:val="00BB79EF"/>
    <w:rsid w:val="00BB7DE8"/>
    <w:rsid w:val="00BB7E9B"/>
    <w:rsid w:val="00BB7F21"/>
    <w:rsid w:val="00BB7F23"/>
    <w:rsid w:val="00BC01E9"/>
    <w:rsid w:val="00BC04AB"/>
    <w:rsid w:val="00BC0730"/>
    <w:rsid w:val="00BC085A"/>
    <w:rsid w:val="00BC08BA"/>
    <w:rsid w:val="00BC08FB"/>
    <w:rsid w:val="00BC0A9A"/>
    <w:rsid w:val="00BC0C1E"/>
    <w:rsid w:val="00BC0F52"/>
    <w:rsid w:val="00BC0F92"/>
    <w:rsid w:val="00BC0FDB"/>
    <w:rsid w:val="00BC0FEC"/>
    <w:rsid w:val="00BC11BA"/>
    <w:rsid w:val="00BC1287"/>
    <w:rsid w:val="00BC133F"/>
    <w:rsid w:val="00BC15EE"/>
    <w:rsid w:val="00BC169A"/>
    <w:rsid w:val="00BC1723"/>
    <w:rsid w:val="00BC1759"/>
    <w:rsid w:val="00BC183D"/>
    <w:rsid w:val="00BC1A74"/>
    <w:rsid w:val="00BC1C20"/>
    <w:rsid w:val="00BC1D27"/>
    <w:rsid w:val="00BC1D55"/>
    <w:rsid w:val="00BC1F1F"/>
    <w:rsid w:val="00BC1F63"/>
    <w:rsid w:val="00BC2068"/>
    <w:rsid w:val="00BC21E4"/>
    <w:rsid w:val="00BC23B7"/>
    <w:rsid w:val="00BC2671"/>
    <w:rsid w:val="00BC2731"/>
    <w:rsid w:val="00BC2809"/>
    <w:rsid w:val="00BC2A58"/>
    <w:rsid w:val="00BC2B05"/>
    <w:rsid w:val="00BC2D2B"/>
    <w:rsid w:val="00BC2D99"/>
    <w:rsid w:val="00BC2D9F"/>
    <w:rsid w:val="00BC2E7B"/>
    <w:rsid w:val="00BC3236"/>
    <w:rsid w:val="00BC331B"/>
    <w:rsid w:val="00BC409B"/>
    <w:rsid w:val="00BC40D1"/>
    <w:rsid w:val="00BC41AA"/>
    <w:rsid w:val="00BC41D5"/>
    <w:rsid w:val="00BC41E3"/>
    <w:rsid w:val="00BC4249"/>
    <w:rsid w:val="00BC4502"/>
    <w:rsid w:val="00BC4517"/>
    <w:rsid w:val="00BC4524"/>
    <w:rsid w:val="00BC4637"/>
    <w:rsid w:val="00BC47E7"/>
    <w:rsid w:val="00BC4891"/>
    <w:rsid w:val="00BC48BD"/>
    <w:rsid w:val="00BC4936"/>
    <w:rsid w:val="00BC49D5"/>
    <w:rsid w:val="00BC4A1C"/>
    <w:rsid w:val="00BC4CFB"/>
    <w:rsid w:val="00BC4EB5"/>
    <w:rsid w:val="00BC4F4B"/>
    <w:rsid w:val="00BC5281"/>
    <w:rsid w:val="00BC52D8"/>
    <w:rsid w:val="00BC5495"/>
    <w:rsid w:val="00BC55DA"/>
    <w:rsid w:val="00BC55DE"/>
    <w:rsid w:val="00BC56DE"/>
    <w:rsid w:val="00BC56EA"/>
    <w:rsid w:val="00BC5740"/>
    <w:rsid w:val="00BC58EE"/>
    <w:rsid w:val="00BC5BBB"/>
    <w:rsid w:val="00BC5D79"/>
    <w:rsid w:val="00BC5F89"/>
    <w:rsid w:val="00BC5FEF"/>
    <w:rsid w:val="00BC6003"/>
    <w:rsid w:val="00BC61B8"/>
    <w:rsid w:val="00BC629F"/>
    <w:rsid w:val="00BC631F"/>
    <w:rsid w:val="00BC68C0"/>
    <w:rsid w:val="00BC6BEC"/>
    <w:rsid w:val="00BC6CD6"/>
    <w:rsid w:val="00BC6CD9"/>
    <w:rsid w:val="00BC6D2B"/>
    <w:rsid w:val="00BC6DFA"/>
    <w:rsid w:val="00BC73A0"/>
    <w:rsid w:val="00BC746C"/>
    <w:rsid w:val="00BC76E6"/>
    <w:rsid w:val="00BC7737"/>
    <w:rsid w:val="00BC798D"/>
    <w:rsid w:val="00BC7A03"/>
    <w:rsid w:val="00BC7A07"/>
    <w:rsid w:val="00BC7B39"/>
    <w:rsid w:val="00BC7BD1"/>
    <w:rsid w:val="00BC7C5F"/>
    <w:rsid w:val="00BC7DEB"/>
    <w:rsid w:val="00BC7E18"/>
    <w:rsid w:val="00BD034C"/>
    <w:rsid w:val="00BD036F"/>
    <w:rsid w:val="00BD05DB"/>
    <w:rsid w:val="00BD05F7"/>
    <w:rsid w:val="00BD05FD"/>
    <w:rsid w:val="00BD08EF"/>
    <w:rsid w:val="00BD0BA8"/>
    <w:rsid w:val="00BD0E2E"/>
    <w:rsid w:val="00BD0E3E"/>
    <w:rsid w:val="00BD0F95"/>
    <w:rsid w:val="00BD1015"/>
    <w:rsid w:val="00BD10C4"/>
    <w:rsid w:val="00BD10F5"/>
    <w:rsid w:val="00BD115D"/>
    <w:rsid w:val="00BD122C"/>
    <w:rsid w:val="00BD1268"/>
    <w:rsid w:val="00BD1342"/>
    <w:rsid w:val="00BD1459"/>
    <w:rsid w:val="00BD1864"/>
    <w:rsid w:val="00BD192F"/>
    <w:rsid w:val="00BD19C3"/>
    <w:rsid w:val="00BD1C96"/>
    <w:rsid w:val="00BD1D4D"/>
    <w:rsid w:val="00BD1EFA"/>
    <w:rsid w:val="00BD2033"/>
    <w:rsid w:val="00BD20AA"/>
    <w:rsid w:val="00BD23AA"/>
    <w:rsid w:val="00BD2607"/>
    <w:rsid w:val="00BD2D60"/>
    <w:rsid w:val="00BD2F19"/>
    <w:rsid w:val="00BD2F40"/>
    <w:rsid w:val="00BD308A"/>
    <w:rsid w:val="00BD3152"/>
    <w:rsid w:val="00BD3170"/>
    <w:rsid w:val="00BD334C"/>
    <w:rsid w:val="00BD340A"/>
    <w:rsid w:val="00BD34AF"/>
    <w:rsid w:val="00BD3560"/>
    <w:rsid w:val="00BD3631"/>
    <w:rsid w:val="00BD36F6"/>
    <w:rsid w:val="00BD3766"/>
    <w:rsid w:val="00BD38D2"/>
    <w:rsid w:val="00BD39DE"/>
    <w:rsid w:val="00BD3B3C"/>
    <w:rsid w:val="00BD3BF7"/>
    <w:rsid w:val="00BD3C29"/>
    <w:rsid w:val="00BD3CEA"/>
    <w:rsid w:val="00BD3CFF"/>
    <w:rsid w:val="00BD3FC7"/>
    <w:rsid w:val="00BD418C"/>
    <w:rsid w:val="00BD41B8"/>
    <w:rsid w:val="00BD41D3"/>
    <w:rsid w:val="00BD4394"/>
    <w:rsid w:val="00BD4590"/>
    <w:rsid w:val="00BD46B8"/>
    <w:rsid w:val="00BD4A4D"/>
    <w:rsid w:val="00BD4AE7"/>
    <w:rsid w:val="00BD4C4D"/>
    <w:rsid w:val="00BD4C98"/>
    <w:rsid w:val="00BD4D51"/>
    <w:rsid w:val="00BD4D8F"/>
    <w:rsid w:val="00BD4D91"/>
    <w:rsid w:val="00BD4DEE"/>
    <w:rsid w:val="00BD4E92"/>
    <w:rsid w:val="00BD5121"/>
    <w:rsid w:val="00BD52D5"/>
    <w:rsid w:val="00BD53FA"/>
    <w:rsid w:val="00BD5448"/>
    <w:rsid w:val="00BD565A"/>
    <w:rsid w:val="00BD567A"/>
    <w:rsid w:val="00BD56C4"/>
    <w:rsid w:val="00BD5748"/>
    <w:rsid w:val="00BD589E"/>
    <w:rsid w:val="00BD58E5"/>
    <w:rsid w:val="00BD59C4"/>
    <w:rsid w:val="00BD5A8F"/>
    <w:rsid w:val="00BD5FF8"/>
    <w:rsid w:val="00BD616A"/>
    <w:rsid w:val="00BD6215"/>
    <w:rsid w:val="00BD62C4"/>
    <w:rsid w:val="00BD630E"/>
    <w:rsid w:val="00BD6361"/>
    <w:rsid w:val="00BD639A"/>
    <w:rsid w:val="00BD6581"/>
    <w:rsid w:val="00BD65A8"/>
    <w:rsid w:val="00BD6665"/>
    <w:rsid w:val="00BD673E"/>
    <w:rsid w:val="00BD6800"/>
    <w:rsid w:val="00BD6B41"/>
    <w:rsid w:val="00BD6B96"/>
    <w:rsid w:val="00BD6BDD"/>
    <w:rsid w:val="00BD6D13"/>
    <w:rsid w:val="00BD6EC1"/>
    <w:rsid w:val="00BD71FC"/>
    <w:rsid w:val="00BD7338"/>
    <w:rsid w:val="00BD734B"/>
    <w:rsid w:val="00BD74E0"/>
    <w:rsid w:val="00BD787E"/>
    <w:rsid w:val="00BD79C9"/>
    <w:rsid w:val="00BD7CDE"/>
    <w:rsid w:val="00BD7DB5"/>
    <w:rsid w:val="00BD7E35"/>
    <w:rsid w:val="00BD7E9A"/>
    <w:rsid w:val="00BD7EF4"/>
    <w:rsid w:val="00BE0161"/>
    <w:rsid w:val="00BE01A9"/>
    <w:rsid w:val="00BE01C2"/>
    <w:rsid w:val="00BE01EF"/>
    <w:rsid w:val="00BE0253"/>
    <w:rsid w:val="00BE02E1"/>
    <w:rsid w:val="00BE0398"/>
    <w:rsid w:val="00BE03AA"/>
    <w:rsid w:val="00BE03B1"/>
    <w:rsid w:val="00BE0547"/>
    <w:rsid w:val="00BE05C8"/>
    <w:rsid w:val="00BE0868"/>
    <w:rsid w:val="00BE0A96"/>
    <w:rsid w:val="00BE0B1C"/>
    <w:rsid w:val="00BE0C7B"/>
    <w:rsid w:val="00BE0E52"/>
    <w:rsid w:val="00BE0E5E"/>
    <w:rsid w:val="00BE11CF"/>
    <w:rsid w:val="00BE1241"/>
    <w:rsid w:val="00BE12C8"/>
    <w:rsid w:val="00BE12E2"/>
    <w:rsid w:val="00BE138D"/>
    <w:rsid w:val="00BE13B2"/>
    <w:rsid w:val="00BE15D3"/>
    <w:rsid w:val="00BE1846"/>
    <w:rsid w:val="00BE18CC"/>
    <w:rsid w:val="00BE197B"/>
    <w:rsid w:val="00BE1C4E"/>
    <w:rsid w:val="00BE1CA4"/>
    <w:rsid w:val="00BE1CCE"/>
    <w:rsid w:val="00BE1CF3"/>
    <w:rsid w:val="00BE1D40"/>
    <w:rsid w:val="00BE1E1C"/>
    <w:rsid w:val="00BE1E70"/>
    <w:rsid w:val="00BE1F0F"/>
    <w:rsid w:val="00BE1FA8"/>
    <w:rsid w:val="00BE2006"/>
    <w:rsid w:val="00BE204B"/>
    <w:rsid w:val="00BE21B5"/>
    <w:rsid w:val="00BE2252"/>
    <w:rsid w:val="00BE249E"/>
    <w:rsid w:val="00BE25C5"/>
    <w:rsid w:val="00BE2838"/>
    <w:rsid w:val="00BE2A35"/>
    <w:rsid w:val="00BE2A8D"/>
    <w:rsid w:val="00BE2BA4"/>
    <w:rsid w:val="00BE2BB6"/>
    <w:rsid w:val="00BE2E73"/>
    <w:rsid w:val="00BE306F"/>
    <w:rsid w:val="00BE323B"/>
    <w:rsid w:val="00BE34FD"/>
    <w:rsid w:val="00BE38A8"/>
    <w:rsid w:val="00BE3967"/>
    <w:rsid w:val="00BE3978"/>
    <w:rsid w:val="00BE3A65"/>
    <w:rsid w:val="00BE3BFC"/>
    <w:rsid w:val="00BE402F"/>
    <w:rsid w:val="00BE4209"/>
    <w:rsid w:val="00BE42AC"/>
    <w:rsid w:val="00BE438B"/>
    <w:rsid w:val="00BE44CC"/>
    <w:rsid w:val="00BE4662"/>
    <w:rsid w:val="00BE46AE"/>
    <w:rsid w:val="00BE47B6"/>
    <w:rsid w:val="00BE4A23"/>
    <w:rsid w:val="00BE4AC0"/>
    <w:rsid w:val="00BE4AE3"/>
    <w:rsid w:val="00BE4BE8"/>
    <w:rsid w:val="00BE4DBF"/>
    <w:rsid w:val="00BE4E87"/>
    <w:rsid w:val="00BE4F08"/>
    <w:rsid w:val="00BE5698"/>
    <w:rsid w:val="00BE569C"/>
    <w:rsid w:val="00BE5747"/>
    <w:rsid w:val="00BE592A"/>
    <w:rsid w:val="00BE5962"/>
    <w:rsid w:val="00BE5A5F"/>
    <w:rsid w:val="00BE5D2E"/>
    <w:rsid w:val="00BE5DC1"/>
    <w:rsid w:val="00BE5F47"/>
    <w:rsid w:val="00BE5FDE"/>
    <w:rsid w:val="00BE62D1"/>
    <w:rsid w:val="00BE6730"/>
    <w:rsid w:val="00BE686F"/>
    <w:rsid w:val="00BE6A75"/>
    <w:rsid w:val="00BE6AA8"/>
    <w:rsid w:val="00BE6BC8"/>
    <w:rsid w:val="00BE6D14"/>
    <w:rsid w:val="00BE6E47"/>
    <w:rsid w:val="00BE73D0"/>
    <w:rsid w:val="00BE73EF"/>
    <w:rsid w:val="00BE743B"/>
    <w:rsid w:val="00BE75FE"/>
    <w:rsid w:val="00BE7722"/>
    <w:rsid w:val="00BE7767"/>
    <w:rsid w:val="00BE7906"/>
    <w:rsid w:val="00BE7A28"/>
    <w:rsid w:val="00BE7A5F"/>
    <w:rsid w:val="00BF0153"/>
    <w:rsid w:val="00BF0160"/>
    <w:rsid w:val="00BF01FE"/>
    <w:rsid w:val="00BF0357"/>
    <w:rsid w:val="00BF037D"/>
    <w:rsid w:val="00BF03C9"/>
    <w:rsid w:val="00BF07EF"/>
    <w:rsid w:val="00BF0801"/>
    <w:rsid w:val="00BF0B2E"/>
    <w:rsid w:val="00BF0C78"/>
    <w:rsid w:val="00BF0C9D"/>
    <w:rsid w:val="00BF0E68"/>
    <w:rsid w:val="00BF1262"/>
    <w:rsid w:val="00BF1421"/>
    <w:rsid w:val="00BF166B"/>
    <w:rsid w:val="00BF177D"/>
    <w:rsid w:val="00BF19B9"/>
    <w:rsid w:val="00BF1B60"/>
    <w:rsid w:val="00BF1C25"/>
    <w:rsid w:val="00BF1C53"/>
    <w:rsid w:val="00BF1C83"/>
    <w:rsid w:val="00BF1C9F"/>
    <w:rsid w:val="00BF1CAD"/>
    <w:rsid w:val="00BF1D26"/>
    <w:rsid w:val="00BF1DE9"/>
    <w:rsid w:val="00BF1ECB"/>
    <w:rsid w:val="00BF204C"/>
    <w:rsid w:val="00BF212D"/>
    <w:rsid w:val="00BF2295"/>
    <w:rsid w:val="00BF237E"/>
    <w:rsid w:val="00BF250E"/>
    <w:rsid w:val="00BF2581"/>
    <w:rsid w:val="00BF26E7"/>
    <w:rsid w:val="00BF273B"/>
    <w:rsid w:val="00BF29E7"/>
    <w:rsid w:val="00BF2A20"/>
    <w:rsid w:val="00BF2C50"/>
    <w:rsid w:val="00BF2E59"/>
    <w:rsid w:val="00BF2E81"/>
    <w:rsid w:val="00BF3065"/>
    <w:rsid w:val="00BF306D"/>
    <w:rsid w:val="00BF3115"/>
    <w:rsid w:val="00BF3333"/>
    <w:rsid w:val="00BF336D"/>
    <w:rsid w:val="00BF33C5"/>
    <w:rsid w:val="00BF3449"/>
    <w:rsid w:val="00BF3651"/>
    <w:rsid w:val="00BF36DA"/>
    <w:rsid w:val="00BF3784"/>
    <w:rsid w:val="00BF38AE"/>
    <w:rsid w:val="00BF3BE2"/>
    <w:rsid w:val="00BF3C20"/>
    <w:rsid w:val="00BF3CE7"/>
    <w:rsid w:val="00BF3D92"/>
    <w:rsid w:val="00BF3DA4"/>
    <w:rsid w:val="00BF3DCC"/>
    <w:rsid w:val="00BF3FAE"/>
    <w:rsid w:val="00BF42BE"/>
    <w:rsid w:val="00BF43CD"/>
    <w:rsid w:val="00BF44CD"/>
    <w:rsid w:val="00BF46A5"/>
    <w:rsid w:val="00BF4852"/>
    <w:rsid w:val="00BF499C"/>
    <w:rsid w:val="00BF4AC7"/>
    <w:rsid w:val="00BF4DF4"/>
    <w:rsid w:val="00BF4E19"/>
    <w:rsid w:val="00BF4F25"/>
    <w:rsid w:val="00BF5009"/>
    <w:rsid w:val="00BF50A8"/>
    <w:rsid w:val="00BF50D2"/>
    <w:rsid w:val="00BF53CB"/>
    <w:rsid w:val="00BF57F3"/>
    <w:rsid w:val="00BF5A79"/>
    <w:rsid w:val="00BF5AC9"/>
    <w:rsid w:val="00BF5C1D"/>
    <w:rsid w:val="00BF5CF7"/>
    <w:rsid w:val="00BF5E45"/>
    <w:rsid w:val="00BF6033"/>
    <w:rsid w:val="00BF6044"/>
    <w:rsid w:val="00BF6174"/>
    <w:rsid w:val="00BF627B"/>
    <w:rsid w:val="00BF63BF"/>
    <w:rsid w:val="00BF6416"/>
    <w:rsid w:val="00BF6537"/>
    <w:rsid w:val="00BF6555"/>
    <w:rsid w:val="00BF65D9"/>
    <w:rsid w:val="00BF6636"/>
    <w:rsid w:val="00BF68CF"/>
    <w:rsid w:val="00BF6D5A"/>
    <w:rsid w:val="00BF6F32"/>
    <w:rsid w:val="00BF6FFC"/>
    <w:rsid w:val="00BF701D"/>
    <w:rsid w:val="00BF70BB"/>
    <w:rsid w:val="00BF73E1"/>
    <w:rsid w:val="00BF749E"/>
    <w:rsid w:val="00BF77C0"/>
    <w:rsid w:val="00BF77CE"/>
    <w:rsid w:val="00BF7896"/>
    <w:rsid w:val="00BF7B6C"/>
    <w:rsid w:val="00BF7BEB"/>
    <w:rsid w:val="00BF7DD6"/>
    <w:rsid w:val="00BF7E81"/>
    <w:rsid w:val="00BF7E9F"/>
    <w:rsid w:val="00BF7FB5"/>
    <w:rsid w:val="00BF7FBB"/>
    <w:rsid w:val="00C00008"/>
    <w:rsid w:val="00C00010"/>
    <w:rsid w:val="00C0009F"/>
    <w:rsid w:val="00C00231"/>
    <w:rsid w:val="00C0042F"/>
    <w:rsid w:val="00C005C3"/>
    <w:rsid w:val="00C005CE"/>
    <w:rsid w:val="00C00794"/>
    <w:rsid w:val="00C0080D"/>
    <w:rsid w:val="00C00AAD"/>
    <w:rsid w:val="00C00ABD"/>
    <w:rsid w:val="00C00AEF"/>
    <w:rsid w:val="00C00BBC"/>
    <w:rsid w:val="00C00BCB"/>
    <w:rsid w:val="00C00CBE"/>
    <w:rsid w:val="00C00D03"/>
    <w:rsid w:val="00C00D24"/>
    <w:rsid w:val="00C00D61"/>
    <w:rsid w:val="00C00FB1"/>
    <w:rsid w:val="00C010E6"/>
    <w:rsid w:val="00C0127F"/>
    <w:rsid w:val="00C012C7"/>
    <w:rsid w:val="00C01351"/>
    <w:rsid w:val="00C01400"/>
    <w:rsid w:val="00C0147A"/>
    <w:rsid w:val="00C01691"/>
    <w:rsid w:val="00C018EF"/>
    <w:rsid w:val="00C01988"/>
    <w:rsid w:val="00C01A87"/>
    <w:rsid w:val="00C01B46"/>
    <w:rsid w:val="00C01C0D"/>
    <w:rsid w:val="00C01EA3"/>
    <w:rsid w:val="00C01EB5"/>
    <w:rsid w:val="00C01F52"/>
    <w:rsid w:val="00C01FA5"/>
    <w:rsid w:val="00C02045"/>
    <w:rsid w:val="00C021C3"/>
    <w:rsid w:val="00C02316"/>
    <w:rsid w:val="00C02498"/>
    <w:rsid w:val="00C02713"/>
    <w:rsid w:val="00C028D9"/>
    <w:rsid w:val="00C028F6"/>
    <w:rsid w:val="00C02B3D"/>
    <w:rsid w:val="00C02B4E"/>
    <w:rsid w:val="00C02C08"/>
    <w:rsid w:val="00C02CEF"/>
    <w:rsid w:val="00C02D17"/>
    <w:rsid w:val="00C02E3B"/>
    <w:rsid w:val="00C0310B"/>
    <w:rsid w:val="00C03113"/>
    <w:rsid w:val="00C0319B"/>
    <w:rsid w:val="00C031A6"/>
    <w:rsid w:val="00C031D2"/>
    <w:rsid w:val="00C03286"/>
    <w:rsid w:val="00C03346"/>
    <w:rsid w:val="00C03357"/>
    <w:rsid w:val="00C03449"/>
    <w:rsid w:val="00C0348B"/>
    <w:rsid w:val="00C03541"/>
    <w:rsid w:val="00C038BB"/>
    <w:rsid w:val="00C03AA0"/>
    <w:rsid w:val="00C03AC8"/>
    <w:rsid w:val="00C03E92"/>
    <w:rsid w:val="00C041F2"/>
    <w:rsid w:val="00C04382"/>
    <w:rsid w:val="00C044A9"/>
    <w:rsid w:val="00C04607"/>
    <w:rsid w:val="00C04622"/>
    <w:rsid w:val="00C046D0"/>
    <w:rsid w:val="00C046D8"/>
    <w:rsid w:val="00C047EB"/>
    <w:rsid w:val="00C048AC"/>
    <w:rsid w:val="00C04B5A"/>
    <w:rsid w:val="00C04C33"/>
    <w:rsid w:val="00C04D38"/>
    <w:rsid w:val="00C04DBF"/>
    <w:rsid w:val="00C04E2B"/>
    <w:rsid w:val="00C04E7A"/>
    <w:rsid w:val="00C04F9C"/>
    <w:rsid w:val="00C05048"/>
    <w:rsid w:val="00C0510E"/>
    <w:rsid w:val="00C05438"/>
    <w:rsid w:val="00C054A8"/>
    <w:rsid w:val="00C05554"/>
    <w:rsid w:val="00C05674"/>
    <w:rsid w:val="00C05735"/>
    <w:rsid w:val="00C05792"/>
    <w:rsid w:val="00C059DE"/>
    <w:rsid w:val="00C05BFD"/>
    <w:rsid w:val="00C05DE1"/>
    <w:rsid w:val="00C05FD8"/>
    <w:rsid w:val="00C0603F"/>
    <w:rsid w:val="00C060D0"/>
    <w:rsid w:val="00C062D2"/>
    <w:rsid w:val="00C063F6"/>
    <w:rsid w:val="00C06578"/>
    <w:rsid w:val="00C06618"/>
    <w:rsid w:val="00C06665"/>
    <w:rsid w:val="00C0670C"/>
    <w:rsid w:val="00C06730"/>
    <w:rsid w:val="00C0673C"/>
    <w:rsid w:val="00C06767"/>
    <w:rsid w:val="00C06817"/>
    <w:rsid w:val="00C06868"/>
    <w:rsid w:val="00C068B9"/>
    <w:rsid w:val="00C069B0"/>
    <w:rsid w:val="00C069C9"/>
    <w:rsid w:val="00C06BB1"/>
    <w:rsid w:val="00C06BED"/>
    <w:rsid w:val="00C07071"/>
    <w:rsid w:val="00C0722A"/>
    <w:rsid w:val="00C0736E"/>
    <w:rsid w:val="00C073F7"/>
    <w:rsid w:val="00C074BD"/>
    <w:rsid w:val="00C074EB"/>
    <w:rsid w:val="00C0762C"/>
    <w:rsid w:val="00C078A0"/>
    <w:rsid w:val="00C0799F"/>
    <w:rsid w:val="00C07B64"/>
    <w:rsid w:val="00C07C1C"/>
    <w:rsid w:val="00C07D21"/>
    <w:rsid w:val="00C07F86"/>
    <w:rsid w:val="00C07FA3"/>
    <w:rsid w:val="00C07FE0"/>
    <w:rsid w:val="00C100FF"/>
    <w:rsid w:val="00C1030E"/>
    <w:rsid w:val="00C104B5"/>
    <w:rsid w:val="00C1063D"/>
    <w:rsid w:val="00C1067D"/>
    <w:rsid w:val="00C10840"/>
    <w:rsid w:val="00C10890"/>
    <w:rsid w:val="00C10947"/>
    <w:rsid w:val="00C10A3C"/>
    <w:rsid w:val="00C10A96"/>
    <w:rsid w:val="00C10E2C"/>
    <w:rsid w:val="00C10ED4"/>
    <w:rsid w:val="00C10EE1"/>
    <w:rsid w:val="00C10FC5"/>
    <w:rsid w:val="00C11200"/>
    <w:rsid w:val="00C11201"/>
    <w:rsid w:val="00C11289"/>
    <w:rsid w:val="00C1149C"/>
    <w:rsid w:val="00C11543"/>
    <w:rsid w:val="00C117CA"/>
    <w:rsid w:val="00C11B40"/>
    <w:rsid w:val="00C11B45"/>
    <w:rsid w:val="00C11B6F"/>
    <w:rsid w:val="00C11BA7"/>
    <w:rsid w:val="00C11C12"/>
    <w:rsid w:val="00C11D4A"/>
    <w:rsid w:val="00C11D9F"/>
    <w:rsid w:val="00C11DCA"/>
    <w:rsid w:val="00C12206"/>
    <w:rsid w:val="00C123ED"/>
    <w:rsid w:val="00C123FC"/>
    <w:rsid w:val="00C125D0"/>
    <w:rsid w:val="00C12952"/>
    <w:rsid w:val="00C12A53"/>
    <w:rsid w:val="00C12C5E"/>
    <w:rsid w:val="00C12DFE"/>
    <w:rsid w:val="00C12F85"/>
    <w:rsid w:val="00C12F9E"/>
    <w:rsid w:val="00C12FC2"/>
    <w:rsid w:val="00C130DB"/>
    <w:rsid w:val="00C13255"/>
    <w:rsid w:val="00C13327"/>
    <w:rsid w:val="00C13552"/>
    <w:rsid w:val="00C13631"/>
    <w:rsid w:val="00C137DB"/>
    <w:rsid w:val="00C13A13"/>
    <w:rsid w:val="00C13D63"/>
    <w:rsid w:val="00C13DF7"/>
    <w:rsid w:val="00C13E47"/>
    <w:rsid w:val="00C13EB7"/>
    <w:rsid w:val="00C13F31"/>
    <w:rsid w:val="00C13FE3"/>
    <w:rsid w:val="00C140AD"/>
    <w:rsid w:val="00C1436E"/>
    <w:rsid w:val="00C14387"/>
    <w:rsid w:val="00C143BD"/>
    <w:rsid w:val="00C1463A"/>
    <w:rsid w:val="00C1468F"/>
    <w:rsid w:val="00C14727"/>
    <w:rsid w:val="00C1491F"/>
    <w:rsid w:val="00C14C57"/>
    <w:rsid w:val="00C14C65"/>
    <w:rsid w:val="00C14CB7"/>
    <w:rsid w:val="00C14DB5"/>
    <w:rsid w:val="00C14E36"/>
    <w:rsid w:val="00C14EF4"/>
    <w:rsid w:val="00C14FFF"/>
    <w:rsid w:val="00C15166"/>
    <w:rsid w:val="00C151D3"/>
    <w:rsid w:val="00C15364"/>
    <w:rsid w:val="00C15563"/>
    <w:rsid w:val="00C1562C"/>
    <w:rsid w:val="00C15705"/>
    <w:rsid w:val="00C15976"/>
    <w:rsid w:val="00C15AAB"/>
    <w:rsid w:val="00C15BD0"/>
    <w:rsid w:val="00C15CF5"/>
    <w:rsid w:val="00C15FBC"/>
    <w:rsid w:val="00C15FE0"/>
    <w:rsid w:val="00C16035"/>
    <w:rsid w:val="00C16102"/>
    <w:rsid w:val="00C163E6"/>
    <w:rsid w:val="00C166A1"/>
    <w:rsid w:val="00C168FA"/>
    <w:rsid w:val="00C16A24"/>
    <w:rsid w:val="00C16A3D"/>
    <w:rsid w:val="00C16A62"/>
    <w:rsid w:val="00C16B7F"/>
    <w:rsid w:val="00C16DFC"/>
    <w:rsid w:val="00C16FB6"/>
    <w:rsid w:val="00C16FD0"/>
    <w:rsid w:val="00C171AB"/>
    <w:rsid w:val="00C172D2"/>
    <w:rsid w:val="00C173E6"/>
    <w:rsid w:val="00C17403"/>
    <w:rsid w:val="00C176DA"/>
    <w:rsid w:val="00C17723"/>
    <w:rsid w:val="00C17972"/>
    <w:rsid w:val="00C17B56"/>
    <w:rsid w:val="00C17B6B"/>
    <w:rsid w:val="00C2004A"/>
    <w:rsid w:val="00C201B5"/>
    <w:rsid w:val="00C2037D"/>
    <w:rsid w:val="00C20486"/>
    <w:rsid w:val="00C20746"/>
    <w:rsid w:val="00C2077C"/>
    <w:rsid w:val="00C20962"/>
    <w:rsid w:val="00C20D65"/>
    <w:rsid w:val="00C21072"/>
    <w:rsid w:val="00C210B7"/>
    <w:rsid w:val="00C21106"/>
    <w:rsid w:val="00C21140"/>
    <w:rsid w:val="00C212B4"/>
    <w:rsid w:val="00C212FE"/>
    <w:rsid w:val="00C215B0"/>
    <w:rsid w:val="00C2169A"/>
    <w:rsid w:val="00C216CC"/>
    <w:rsid w:val="00C21733"/>
    <w:rsid w:val="00C2182D"/>
    <w:rsid w:val="00C21E7F"/>
    <w:rsid w:val="00C21EB2"/>
    <w:rsid w:val="00C21FF8"/>
    <w:rsid w:val="00C22449"/>
    <w:rsid w:val="00C2244B"/>
    <w:rsid w:val="00C2263C"/>
    <w:rsid w:val="00C2265C"/>
    <w:rsid w:val="00C228B6"/>
    <w:rsid w:val="00C22AFB"/>
    <w:rsid w:val="00C22DA4"/>
    <w:rsid w:val="00C22F1E"/>
    <w:rsid w:val="00C22F6B"/>
    <w:rsid w:val="00C23153"/>
    <w:rsid w:val="00C231EF"/>
    <w:rsid w:val="00C23219"/>
    <w:rsid w:val="00C2321A"/>
    <w:rsid w:val="00C2328B"/>
    <w:rsid w:val="00C232B7"/>
    <w:rsid w:val="00C234A2"/>
    <w:rsid w:val="00C23518"/>
    <w:rsid w:val="00C23615"/>
    <w:rsid w:val="00C23671"/>
    <w:rsid w:val="00C237A3"/>
    <w:rsid w:val="00C237F5"/>
    <w:rsid w:val="00C2390E"/>
    <w:rsid w:val="00C23985"/>
    <w:rsid w:val="00C23A7F"/>
    <w:rsid w:val="00C23B0D"/>
    <w:rsid w:val="00C23B57"/>
    <w:rsid w:val="00C23D79"/>
    <w:rsid w:val="00C23F62"/>
    <w:rsid w:val="00C240C0"/>
    <w:rsid w:val="00C240C4"/>
    <w:rsid w:val="00C24109"/>
    <w:rsid w:val="00C2414A"/>
    <w:rsid w:val="00C2435E"/>
    <w:rsid w:val="00C243CF"/>
    <w:rsid w:val="00C24546"/>
    <w:rsid w:val="00C2465C"/>
    <w:rsid w:val="00C246E4"/>
    <w:rsid w:val="00C24907"/>
    <w:rsid w:val="00C24929"/>
    <w:rsid w:val="00C249B3"/>
    <w:rsid w:val="00C24BC3"/>
    <w:rsid w:val="00C24C8D"/>
    <w:rsid w:val="00C24D1D"/>
    <w:rsid w:val="00C24E93"/>
    <w:rsid w:val="00C24EDE"/>
    <w:rsid w:val="00C250FA"/>
    <w:rsid w:val="00C251A4"/>
    <w:rsid w:val="00C25317"/>
    <w:rsid w:val="00C254A3"/>
    <w:rsid w:val="00C2574E"/>
    <w:rsid w:val="00C25B09"/>
    <w:rsid w:val="00C25B3A"/>
    <w:rsid w:val="00C25BAB"/>
    <w:rsid w:val="00C25C9A"/>
    <w:rsid w:val="00C25E0D"/>
    <w:rsid w:val="00C25E25"/>
    <w:rsid w:val="00C25E50"/>
    <w:rsid w:val="00C25F1E"/>
    <w:rsid w:val="00C262E6"/>
    <w:rsid w:val="00C26300"/>
    <w:rsid w:val="00C2637D"/>
    <w:rsid w:val="00C263CB"/>
    <w:rsid w:val="00C26597"/>
    <w:rsid w:val="00C265FE"/>
    <w:rsid w:val="00C267CA"/>
    <w:rsid w:val="00C26843"/>
    <w:rsid w:val="00C26B53"/>
    <w:rsid w:val="00C26C38"/>
    <w:rsid w:val="00C26C82"/>
    <w:rsid w:val="00C26F6D"/>
    <w:rsid w:val="00C271C0"/>
    <w:rsid w:val="00C273B0"/>
    <w:rsid w:val="00C2760D"/>
    <w:rsid w:val="00C277AD"/>
    <w:rsid w:val="00C279B4"/>
    <w:rsid w:val="00C27AD6"/>
    <w:rsid w:val="00C27C45"/>
    <w:rsid w:val="00C27CE4"/>
    <w:rsid w:val="00C27D84"/>
    <w:rsid w:val="00C27FCA"/>
    <w:rsid w:val="00C3041A"/>
    <w:rsid w:val="00C30707"/>
    <w:rsid w:val="00C30783"/>
    <w:rsid w:val="00C307AC"/>
    <w:rsid w:val="00C307E6"/>
    <w:rsid w:val="00C30A04"/>
    <w:rsid w:val="00C30A8F"/>
    <w:rsid w:val="00C30B90"/>
    <w:rsid w:val="00C30C0C"/>
    <w:rsid w:val="00C30E84"/>
    <w:rsid w:val="00C30F10"/>
    <w:rsid w:val="00C30FB2"/>
    <w:rsid w:val="00C31058"/>
    <w:rsid w:val="00C311F2"/>
    <w:rsid w:val="00C31359"/>
    <w:rsid w:val="00C315B8"/>
    <w:rsid w:val="00C31828"/>
    <w:rsid w:val="00C31D38"/>
    <w:rsid w:val="00C31DA3"/>
    <w:rsid w:val="00C31DB0"/>
    <w:rsid w:val="00C32027"/>
    <w:rsid w:val="00C320BB"/>
    <w:rsid w:val="00C32115"/>
    <w:rsid w:val="00C32125"/>
    <w:rsid w:val="00C32148"/>
    <w:rsid w:val="00C321DA"/>
    <w:rsid w:val="00C32202"/>
    <w:rsid w:val="00C3230F"/>
    <w:rsid w:val="00C32713"/>
    <w:rsid w:val="00C32A45"/>
    <w:rsid w:val="00C32B16"/>
    <w:rsid w:val="00C32BC2"/>
    <w:rsid w:val="00C32CE3"/>
    <w:rsid w:val="00C32D10"/>
    <w:rsid w:val="00C32DA3"/>
    <w:rsid w:val="00C32EE7"/>
    <w:rsid w:val="00C3310D"/>
    <w:rsid w:val="00C3318C"/>
    <w:rsid w:val="00C331C6"/>
    <w:rsid w:val="00C332C8"/>
    <w:rsid w:val="00C333E6"/>
    <w:rsid w:val="00C334E0"/>
    <w:rsid w:val="00C3367F"/>
    <w:rsid w:val="00C338E4"/>
    <w:rsid w:val="00C33AB7"/>
    <w:rsid w:val="00C33CCB"/>
    <w:rsid w:val="00C33D00"/>
    <w:rsid w:val="00C33DF6"/>
    <w:rsid w:val="00C33FE4"/>
    <w:rsid w:val="00C341C8"/>
    <w:rsid w:val="00C3430C"/>
    <w:rsid w:val="00C345BE"/>
    <w:rsid w:val="00C345C7"/>
    <w:rsid w:val="00C3463D"/>
    <w:rsid w:val="00C34699"/>
    <w:rsid w:val="00C34759"/>
    <w:rsid w:val="00C347D1"/>
    <w:rsid w:val="00C347E5"/>
    <w:rsid w:val="00C3497E"/>
    <w:rsid w:val="00C34B6E"/>
    <w:rsid w:val="00C34CBB"/>
    <w:rsid w:val="00C34F05"/>
    <w:rsid w:val="00C34FA4"/>
    <w:rsid w:val="00C35052"/>
    <w:rsid w:val="00C35055"/>
    <w:rsid w:val="00C3511D"/>
    <w:rsid w:val="00C3536F"/>
    <w:rsid w:val="00C353C1"/>
    <w:rsid w:val="00C353CB"/>
    <w:rsid w:val="00C3550A"/>
    <w:rsid w:val="00C35555"/>
    <w:rsid w:val="00C35832"/>
    <w:rsid w:val="00C3590B"/>
    <w:rsid w:val="00C35AF1"/>
    <w:rsid w:val="00C35BD9"/>
    <w:rsid w:val="00C35C99"/>
    <w:rsid w:val="00C35CC1"/>
    <w:rsid w:val="00C35E28"/>
    <w:rsid w:val="00C35F35"/>
    <w:rsid w:val="00C35F92"/>
    <w:rsid w:val="00C36117"/>
    <w:rsid w:val="00C365FD"/>
    <w:rsid w:val="00C36625"/>
    <w:rsid w:val="00C366C2"/>
    <w:rsid w:val="00C369F7"/>
    <w:rsid w:val="00C36E4F"/>
    <w:rsid w:val="00C3738D"/>
    <w:rsid w:val="00C373D3"/>
    <w:rsid w:val="00C37478"/>
    <w:rsid w:val="00C3753A"/>
    <w:rsid w:val="00C375CC"/>
    <w:rsid w:val="00C3766C"/>
    <w:rsid w:val="00C377F3"/>
    <w:rsid w:val="00C3788D"/>
    <w:rsid w:val="00C3789C"/>
    <w:rsid w:val="00C3798A"/>
    <w:rsid w:val="00C37A49"/>
    <w:rsid w:val="00C37D7A"/>
    <w:rsid w:val="00C37E68"/>
    <w:rsid w:val="00C37F04"/>
    <w:rsid w:val="00C37FF9"/>
    <w:rsid w:val="00C400FB"/>
    <w:rsid w:val="00C401AA"/>
    <w:rsid w:val="00C4024F"/>
    <w:rsid w:val="00C403B8"/>
    <w:rsid w:val="00C40645"/>
    <w:rsid w:val="00C40656"/>
    <w:rsid w:val="00C4065B"/>
    <w:rsid w:val="00C40765"/>
    <w:rsid w:val="00C407E7"/>
    <w:rsid w:val="00C407F7"/>
    <w:rsid w:val="00C409C3"/>
    <w:rsid w:val="00C40AB4"/>
    <w:rsid w:val="00C40C42"/>
    <w:rsid w:val="00C40E2E"/>
    <w:rsid w:val="00C41068"/>
    <w:rsid w:val="00C412AB"/>
    <w:rsid w:val="00C413A1"/>
    <w:rsid w:val="00C413C1"/>
    <w:rsid w:val="00C414DF"/>
    <w:rsid w:val="00C4153E"/>
    <w:rsid w:val="00C41697"/>
    <w:rsid w:val="00C4183B"/>
    <w:rsid w:val="00C41957"/>
    <w:rsid w:val="00C419BF"/>
    <w:rsid w:val="00C41A9E"/>
    <w:rsid w:val="00C42058"/>
    <w:rsid w:val="00C42348"/>
    <w:rsid w:val="00C423F0"/>
    <w:rsid w:val="00C42467"/>
    <w:rsid w:val="00C4282C"/>
    <w:rsid w:val="00C42978"/>
    <w:rsid w:val="00C42B38"/>
    <w:rsid w:val="00C42B81"/>
    <w:rsid w:val="00C42C34"/>
    <w:rsid w:val="00C42C57"/>
    <w:rsid w:val="00C42D52"/>
    <w:rsid w:val="00C42FA2"/>
    <w:rsid w:val="00C4306A"/>
    <w:rsid w:val="00C4322B"/>
    <w:rsid w:val="00C432E5"/>
    <w:rsid w:val="00C43421"/>
    <w:rsid w:val="00C43595"/>
    <w:rsid w:val="00C435D2"/>
    <w:rsid w:val="00C43689"/>
    <w:rsid w:val="00C43726"/>
    <w:rsid w:val="00C43849"/>
    <w:rsid w:val="00C438A9"/>
    <w:rsid w:val="00C43D3A"/>
    <w:rsid w:val="00C43FAF"/>
    <w:rsid w:val="00C44140"/>
    <w:rsid w:val="00C44699"/>
    <w:rsid w:val="00C44811"/>
    <w:rsid w:val="00C44813"/>
    <w:rsid w:val="00C4483A"/>
    <w:rsid w:val="00C44D1C"/>
    <w:rsid w:val="00C44E65"/>
    <w:rsid w:val="00C44EB4"/>
    <w:rsid w:val="00C44FA9"/>
    <w:rsid w:val="00C45350"/>
    <w:rsid w:val="00C4543D"/>
    <w:rsid w:val="00C4545E"/>
    <w:rsid w:val="00C45543"/>
    <w:rsid w:val="00C45640"/>
    <w:rsid w:val="00C4567B"/>
    <w:rsid w:val="00C458DF"/>
    <w:rsid w:val="00C458E0"/>
    <w:rsid w:val="00C45936"/>
    <w:rsid w:val="00C45A99"/>
    <w:rsid w:val="00C45B97"/>
    <w:rsid w:val="00C45D86"/>
    <w:rsid w:val="00C45E51"/>
    <w:rsid w:val="00C46027"/>
    <w:rsid w:val="00C46592"/>
    <w:rsid w:val="00C46690"/>
    <w:rsid w:val="00C46943"/>
    <w:rsid w:val="00C46B69"/>
    <w:rsid w:val="00C472D3"/>
    <w:rsid w:val="00C47349"/>
    <w:rsid w:val="00C4741D"/>
    <w:rsid w:val="00C4741F"/>
    <w:rsid w:val="00C4760D"/>
    <w:rsid w:val="00C47614"/>
    <w:rsid w:val="00C47A1D"/>
    <w:rsid w:val="00C47A57"/>
    <w:rsid w:val="00C47B9A"/>
    <w:rsid w:val="00C47C8A"/>
    <w:rsid w:val="00C47E34"/>
    <w:rsid w:val="00C47FF3"/>
    <w:rsid w:val="00C5005F"/>
    <w:rsid w:val="00C50065"/>
    <w:rsid w:val="00C501C2"/>
    <w:rsid w:val="00C50242"/>
    <w:rsid w:val="00C5052D"/>
    <w:rsid w:val="00C50A55"/>
    <w:rsid w:val="00C50E29"/>
    <w:rsid w:val="00C50F3E"/>
    <w:rsid w:val="00C5102D"/>
    <w:rsid w:val="00C51334"/>
    <w:rsid w:val="00C51423"/>
    <w:rsid w:val="00C514CF"/>
    <w:rsid w:val="00C515FE"/>
    <w:rsid w:val="00C51608"/>
    <w:rsid w:val="00C51805"/>
    <w:rsid w:val="00C518A7"/>
    <w:rsid w:val="00C518F8"/>
    <w:rsid w:val="00C5199F"/>
    <w:rsid w:val="00C51B05"/>
    <w:rsid w:val="00C51CC3"/>
    <w:rsid w:val="00C51D38"/>
    <w:rsid w:val="00C51E29"/>
    <w:rsid w:val="00C51FA1"/>
    <w:rsid w:val="00C5215F"/>
    <w:rsid w:val="00C521B8"/>
    <w:rsid w:val="00C5228A"/>
    <w:rsid w:val="00C52354"/>
    <w:rsid w:val="00C5256C"/>
    <w:rsid w:val="00C52614"/>
    <w:rsid w:val="00C52799"/>
    <w:rsid w:val="00C52818"/>
    <w:rsid w:val="00C52910"/>
    <w:rsid w:val="00C529EB"/>
    <w:rsid w:val="00C52ADE"/>
    <w:rsid w:val="00C52B04"/>
    <w:rsid w:val="00C52D7C"/>
    <w:rsid w:val="00C52E86"/>
    <w:rsid w:val="00C52F93"/>
    <w:rsid w:val="00C533E7"/>
    <w:rsid w:val="00C5357D"/>
    <w:rsid w:val="00C53645"/>
    <w:rsid w:val="00C53697"/>
    <w:rsid w:val="00C53709"/>
    <w:rsid w:val="00C53715"/>
    <w:rsid w:val="00C53908"/>
    <w:rsid w:val="00C5390A"/>
    <w:rsid w:val="00C539AB"/>
    <w:rsid w:val="00C53AD8"/>
    <w:rsid w:val="00C53E25"/>
    <w:rsid w:val="00C53F2A"/>
    <w:rsid w:val="00C53F5B"/>
    <w:rsid w:val="00C53FDA"/>
    <w:rsid w:val="00C54081"/>
    <w:rsid w:val="00C54082"/>
    <w:rsid w:val="00C541E5"/>
    <w:rsid w:val="00C54255"/>
    <w:rsid w:val="00C54292"/>
    <w:rsid w:val="00C5438C"/>
    <w:rsid w:val="00C544A6"/>
    <w:rsid w:val="00C544F8"/>
    <w:rsid w:val="00C548A0"/>
    <w:rsid w:val="00C548A4"/>
    <w:rsid w:val="00C548B9"/>
    <w:rsid w:val="00C54932"/>
    <w:rsid w:val="00C54A25"/>
    <w:rsid w:val="00C54A67"/>
    <w:rsid w:val="00C54A8B"/>
    <w:rsid w:val="00C54B18"/>
    <w:rsid w:val="00C54C1A"/>
    <w:rsid w:val="00C5500D"/>
    <w:rsid w:val="00C552B2"/>
    <w:rsid w:val="00C55423"/>
    <w:rsid w:val="00C55838"/>
    <w:rsid w:val="00C558E4"/>
    <w:rsid w:val="00C55948"/>
    <w:rsid w:val="00C55A72"/>
    <w:rsid w:val="00C55C20"/>
    <w:rsid w:val="00C55DE4"/>
    <w:rsid w:val="00C55E72"/>
    <w:rsid w:val="00C56049"/>
    <w:rsid w:val="00C56172"/>
    <w:rsid w:val="00C5662C"/>
    <w:rsid w:val="00C5677B"/>
    <w:rsid w:val="00C568BF"/>
    <w:rsid w:val="00C569D3"/>
    <w:rsid w:val="00C56AFF"/>
    <w:rsid w:val="00C56B91"/>
    <w:rsid w:val="00C56C66"/>
    <w:rsid w:val="00C56E6C"/>
    <w:rsid w:val="00C570C0"/>
    <w:rsid w:val="00C570F7"/>
    <w:rsid w:val="00C57118"/>
    <w:rsid w:val="00C57121"/>
    <w:rsid w:val="00C57348"/>
    <w:rsid w:val="00C5745F"/>
    <w:rsid w:val="00C5750D"/>
    <w:rsid w:val="00C5771E"/>
    <w:rsid w:val="00C57815"/>
    <w:rsid w:val="00C57A10"/>
    <w:rsid w:val="00C57DA4"/>
    <w:rsid w:val="00C57DFE"/>
    <w:rsid w:val="00C57E89"/>
    <w:rsid w:val="00C57F0E"/>
    <w:rsid w:val="00C57F60"/>
    <w:rsid w:val="00C57F69"/>
    <w:rsid w:val="00C60088"/>
    <w:rsid w:val="00C60197"/>
    <w:rsid w:val="00C60238"/>
    <w:rsid w:val="00C60453"/>
    <w:rsid w:val="00C6047B"/>
    <w:rsid w:val="00C606B6"/>
    <w:rsid w:val="00C606EA"/>
    <w:rsid w:val="00C60953"/>
    <w:rsid w:val="00C60989"/>
    <w:rsid w:val="00C60990"/>
    <w:rsid w:val="00C609E1"/>
    <w:rsid w:val="00C60A2B"/>
    <w:rsid w:val="00C60A73"/>
    <w:rsid w:val="00C60B0D"/>
    <w:rsid w:val="00C60C21"/>
    <w:rsid w:val="00C60C47"/>
    <w:rsid w:val="00C60E1F"/>
    <w:rsid w:val="00C60EA8"/>
    <w:rsid w:val="00C60FB3"/>
    <w:rsid w:val="00C61112"/>
    <w:rsid w:val="00C6142E"/>
    <w:rsid w:val="00C6146C"/>
    <w:rsid w:val="00C614F5"/>
    <w:rsid w:val="00C615A8"/>
    <w:rsid w:val="00C61617"/>
    <w:rsid w:val="00C617AE"/>
    <w:rsid w:val="00C61826"/>
    <w:rsid w:val="00C618CB"/>
    <w:rsid w:val="00C61918"/>
    <w:rsid w:val="00C61A69"/>
    <w:rsid w:val="00C61AA7"/>
    <w:rsid w:val="00C61D2B"/>
    <w:rsid w:val="00C61E4E"/>
    <w:rsid w:val="00C61EAC"/>
    <w:rsid w:val="00C620A0"/>
    <w:rsid w:val="00C620E2"/>
    <w:rsid w:val="00C62336"/>
    <w:rsid w:val="00C6234C"/>
    <w:rsid w:val="00C6249D"/>
    <w:rsid w:val="00C62C66"/>
    <w:rsid w:val="00C62CA6"/>
    <w:rsid w:val="00C62D8F"/>
    <w:rsid w:val="00C62EA9"/>
    <w:rsid w:val="00C63127"/>
    <w:rsid w:val="00C63210"/>
    <w:rsid w:val="00C63291"/>
    <w:rsid w:val="00C6351C"/>
    <w:rsid w:val="00C6359D"/>
    <w:rsid w:val="00C63773"/>
    <w:rsid w:val="00C63802"/>
    <w:rsid w:val="00C63884"/>
    <w:rsid w:val="00C639F0"/>
    <w:rsid w:val="00C63A1D"/>
    <w:rsid w:val="00C63AB0"/>
    <w:rsid w:val="00C63BC7"/>
    <w:rsid w:val="00C63E00"/>
    <w:rsid w:val="00C63EDF"/>
    <w:rsid w:val="00C63F19"/>
    <w:rsid w:val="00C63F5D"/>
    <w:rsid w:val="00C63F81"/>
    <w:rsid w:val="00C641C3"/>
    <w:rsid w:val="00C642D8"/>
    <w:rsid w:val="00C64300"/>
    <w:rsid w:val="00C6441B"/>
    <w:rsid w:val="00C644D2"/>
    <w:rsid w:val="00C6453C"/>
    <w:rsid w:val="00C646F2"/>
    <w:rsid w:val="00C647ED"/>
    <w:rsid w:val="00C64C40"/>
    <w:rsid w:val="00C64CCC"/>
    <w:rsid w:val="00C65285"/>
    <w:rsid w:val="00C65340"/>
    <w:rsid w:val="00C65450"/>
    <w:rsid w:val="00C6549A"/>
    <w:rsid w:val="00C65546"/>
    <w:rsid w:val="00C65608"/>
    <w:rsid w:val="00C656B9"/>
    <w:rsid w:val="00C65A80"/>
    <w:rsid w:val="00C65AD5"/>
    <w:rsid w:val="00C65B1B"/>
    <w:rsid w:val="00C65BF4"/>
    <w:rsid w:val="00C65EA7"/>
    <w:rsid w:val="00C65EC1"/>
    <w:rsid w:val="00C65F76"/>
    <w:rsid w:val="00C6610B"/>
    <w:rsid w:val="00C661A4"/>
    <w:rsid w:val="00C6624F"/>
    <w:rsid w:val="00C662CF"/>
    <w:rsid w:val="00C66325"/>
    <w:rsid w:val="00C66367"/>
    <w:rsid w:val="00C66437"/>
    <w:rsid w:val="00C66459"/>
    <w:rsid w:val="00C664BC"/>
    <w:rsid w:val="00C665A3"/>
    <w:rsid w:val="00C666BF"/>
    <w:rsid w:val="00C669DA"/>
    <w:rsid w:val="00C669FA"/>
    <w:rsid w:val="00C66B8F"/>
    <w:rsid w:val="00C66CAD"/>
    <w:rsid w:val="00C66E30"/>
    <w:rsid w:val="00C66ED5"/>
    <w:rsid w:val="00C67021"/>
    <w:rsid w:val="00C67258"/>
    <w:rsid w:val="00C67260"/>
    <w:rsid w:val="00C67337"/>
    <w:rsid w:val="00C673E5"/>
    <w:rsid w:val="00C674BD"/>
    <w:rsid w:val="00C675DD"/>
    <w:rsid w:val="00C67999"/>
    <w:rsid w:val="00C67A03"/>
    <w:rsid w:val="00C67B29"/>
    <w:rsid w:val="00C67E01"/>
    <w:rsid w:val="00C67EA0"/>
    <w:rsid w:val="00C7059D"/>
    <w:rsid w:val="00C70934"/>
    <w:rsid w:val="00C70ED1"/>
    <w:rsid w:val="00C70FD5"/>
    <w:rsid w:val="00C7114F"/>
    <w:rsid w:val="00C711E6"/>
    <w:rsid w:val="00C7128A"/>
    <w:rsid w:val="00C71499"/>
    <w:rsid w:val="00C715DF"/>
    <w:rsid w:val="00C716D4"/>
    <w:rsid w:val="00C7184D"/>
    <w:rsid w:val="00C718B8"/>
    <w:rsid w:val="00C71A3D"/>
    <w:rsid w:val="00C720AC"/>
    <w:rsid w:val="00C721C7"/>
    <w:rsid w:val="00C721F2"/>
    <w:rsid w:val="00C72451"/>
    <w:rsid w:val="00C724C0"/>
    <w:rsid w:val="00C72757"/>
    <w:rsid w:val="00C72782"/>
    <w:rsid w:val="00C7282E"/>
    <w:rsid w:val="00C72876"/>
    <w:rsid w:val="00C728D5"/>
    <w:rsid w:val="00C72A35"/>
    <w:rsid w:val="00C72A57"/>
    <w:rsid w:val="00C72AB7"/>
    <w:rsid w:val="00C72AF3"/>
    <w:rsid w:val="00C72CAC"/>
    <w:rsid w:val="00C72D7F"/>
    <w:rsid w:val="00C72DC6"/>
    <w:rsid w:val="00C72E2B"/>
    <w:rsid w:val="00C733B7"/>
    <w:rsid w:val="00C73679"/>
    <w:rsid w:val="00C73839"/>
    <w:rsid w:val="00C73847"/>
    <w:rsid w:val="00C73864"/>
    <w:rsid w:val="00C73AD6"/>
    <w:rsid w:val="00C73B67"/>
    <w:rsid w:val="00C73BAE"/>
    <w:rsid w:val="00C73C6E"/>
    <w:rsid w:val="00C73FAE"/>
    <w:rsid w:val="00C740D6"/>
    <w:rsid w:val="00C741FF"/>
    <w:rsid w:val="00C7440F"/>
    <w:rsid w:val="00C7483C"/>
    <w:rsid w:val="00C748E8"/>
    <w:rsid w:val="00C749F1"/>
    <w:rsid w:val="00C74A92"/>
    <w:rsid w:val="00C74BBD"/>
    <w:rsid w:val="00C74DBF"/>
    <w:rsid w:val="00C75619"/>
    <w:rsid w:val="00C75850"/>
    <w:rsid w:val="00C75940"/>
    <w:rsid w:val="00C759C8"/>
    <w:rsid w:val="00C75A7A"/>
    <w:rsid w:val="00C75C74"/>
    <w:rsid w:val="00C75C7D"/>
    <w:rsid w:val="00C76079"/>
    <w:rsid w:val="00C76080"/>
    <w:rsid w:val="00C76179"/>
    <w:rsid w:val="00C764DC"/>
    <w:rsid w:val="00C76546"/>
    <w:rsid w:val="00C765C5"/>
    <w:rsid w:val="00C766AF"/>
    <w:rsid w:val="00C76912"/>
    <w:rsid w:val="00C76AE7"/>
    <w:rsid w:val="00C76B04"/>
    <w:rsid w:val="00C76B63"/>
    <w:rsid w:val="00C76B76"/>
    <w:rsid w:val="00C76FE2"/>
    <w:rsid w:val="00C77118"/>
    <w:rsid w:val="00C773BA"/>
    <w:rsid w:val="00C774D8"/>
    <w:rsid w:val="00C77517"/>
    <w:rsid w:val="00C77573"/>
    <w:rsid w:val="00C775F9"/>
    <w:rsid w:val="00C7781D"/>
    <w:rsid w:val="00C778BE"/>
    <w:rsid w:val="00C77907"/>
    <w:rsid w:val="00C7792C"/>
    <w:rsid w:val="00C77A1A"/>
    <w:rsid w:val="00C77AED"/>
    <w:rsid w:val="00C77C2D"/>
    <w:rsid w:val="00C77DD8"/>
    <w:rsid w:val="00C77E0A"/>
    <w:rsid w:val="00C77F5B"/>
    <w:rsid w:val="00C77FD2"/>
    <w:rsid w:val="00C80016"/>
    <w:rsid w:val="00C800A5"/>
    <w:rsid w:val="00C804AA"/>
    <w:rsid w:val="00C80504"/>
    <w:rsid w:val="00C8054B"/>
    <w:rsid w:val="00C8081A"/>
    <w:rsid w:val="00C80A65"/>
    <w:rsid w:val="00C80A6A"/>
    <w:rsid w:val="00C80BEC"/>
    <w:rsid w:val="00C80E70"/>
    <w:rsid w:val="00C80F16"/>
    <w:rsid w:val="00C80F1A"/>
    <w:rsid w:val="00C8114F"/>
    <w:rsid w:val="00C811FB"/>
    <w:rsid w:val="00C812F4"/>
    <w:rsid w:val="00C814E2"/>
    <w:rsid w:val="00C8174C"/>
    <w:rsid w:val="00C81822"/>
    <w:rsid w:val="00C818A0"/>
    <w:rsid w:val="00C819F5"/>
    <w:rsid w:val="00C81A52"/>
    <w:rsid w:val="00C81BC3"/>
    <w:rsid w:val="00C81C47"/>
    <w:rsid w:val="00C81DC4"/>
    <w:rsid w:val="00C81EB7"/>
    <w:rsid w:val="00C81F26"/>
    <w:rsid w:val="00C8256E"/>
    <w:rsid w:val="00C825D6"/>
    <w:rsid w:val="00C827B9"/>
    <w:rsid w:val="00C82C97"/>
    <w:rsid w:val="00C82D7C"/>
    <w:rsid w:val="00C82F34"/>
    <w:rsid w:val="00C83377"/>
    <w:rsid w:val="00C83575"/>
    <w:rsid w:val="00C836C4"/>
    <w:rsid w:val="00C8384F"/>
    <w:rsid w:val="00C83A16"/>
    <w:rsid w:val="00C83BEC"/>
    <w:rsid w:val="00C83D4C"/>
    <w:rsid w:val="00C83D76"/>
    <w:rsid w:val="00C83E02"/>
    <w:rsid w:val="00C843B1"/>
    <w:rsid w:val="00C8448D"/>
    <w:rsid w:val="00C844B4"/>
    <w:rsid w:val="00C845F9"/>
    <w:rsid w:val="00C84843"/>
    <w:rsid w:val="00C84C00"/>
    <w:rsid w:val="00C84DA0"/>
    <w:rsid w:val="00C84E38"/>
    <w:rsid w:val="00C84EBF"/>
    <w:rsid w:val="00C84EE5"/>
    <w:rsid w:val="00C84F8A"/>
    <w:rsid w:val="00C85018"/>
    <w:rsid w:val="00C85268"/>
    <w:rsid w:val="00C852FE"/>
    <w:rsid w:val="00C855CE"/>
    <w:rsid w:val="00C85B7B"/>
    <w:rsid w:val="00C85BEB"/>
    <w:rsid w:val="00C85CDA"/>
    <w:rsid w:val="00C85E1E"/>
    <w:rsid w:val="00C85ECC"/>
    <w:rsid w:val="00C8606B"/>
    <w:rsid w:val="00C86290"/>
    <w:rsid w:val="00C862C9"/>
    <w:rsid w:val="00C86434"/>
    <w:rsid w:val="00C864DA"/>
    <w:rsid w:val="00C865F6"/>
    <w:rsid w:val="00C86937"/>
    <w:rsid w:val="00C869B0"/>
    <w:rsid w:val="00C86A54"/>
    <w:rsid w:val="00C86C5C"/>
    <w:rsid w:val="00C86C69"/>
    <w:rsid w:val="00C86F61"/>
    <w:rsid w:val="00C86FB0"/>
    <w:rsid w:val="00C8709E"/>
    <w:rsid w:val="00C870B7"/>
    <w:rsid w:val="00C87307"/>
    <w:rsid w:val="00C87424"/>
    <w:rsid w:val="00C87432"/>
    <w:rsid w:val="00C8775B"/>
    <w:rsid w:val="00C878C7"/>
    <w:rsid w:val="00C87955"/>
    <w:rsid w:val="00C879D5"/>
    <w:rsid w:val="00C87BCB"/>
    <w:rsid w:val="00C87CD5"/>
    <w:rsid w:val="00C87E9C"/>
    <w:rsid w:val="00C87F04"/>
    <w:rsid w:val="00C87F37"/>
    <w:rsid w:val="00C87FF1"/>
    <w:rsid w:val="00C90302"/>
    <w:rsid w:val="00C9037B"/>
    <w:rsid w:val="00C9038A"/>
    <w:rsid w:val="00C9048A"/>
    <w:rsid w:val="00C90530"/>
    <w:rsid w:val="00C90665"/>
    <w:rsid w:val="00C90835"/>
    <w:rsid w:val="00C90887"/>
    <w:rsid w:val="00C908D7"/>
    <w:rsid w:val="00C90C18"/>
    <w:rsid w:val="00C90C93"/>
    <w:rsid w:val="00C90D1F"/>
    <w:rsid w:val="00C90F5C"/>
    <w:rsid w:val="00C91062"/>
    <w:rsid w:val="00C91079"/>
    <w:rsid w:val="00C910FA"/>
    <w:rsid w:val="00C9113B"/>
    <w:rsid w:val="00C911F3"/>
    <w:rsid w:val="00C9123B"/>
    <w:rsid w:val="00C9134F"/>
    <w:rsid w:val="00C91441"/>
    <w:rsid w:val="00C91717"/>
    <w:rsid w:val="00C917A4"/>
    <w:rsid w:val="00C91A2B"/>
    <w:rsid w:val="00C91A6B"/>
    <w:rsid w:val="00C91CAE"/>
    <w:rsid w:val="00C91DFA"/>
    <w:rsid w:val="00C91F28"/>
    <w:rsid w:val="00C92096"/>
    <w:rsid w:val="00C920B2"/>
    <w:rsid w:val="00C92113"/>
    <w:rsid w:val="00C9232B"/>
    <w:rsid w:val="00C9248B"/>
    <w:rsid w:val="00C92607"/>
    <w:rsid w:val="00C927EC"/>
    <w:rsid w:val="00C92921"/>
    <w:rsid w:val="00C92D8A"/>
    <w:rsid w:val="00C92EC8"/>
    <w:rsid w:val="00C93264"/>
    <w:rsid w:val="00C9331A"/>
    <w:rsid w:val="00C93459"/>
    <w:rsid w:val="00C934ED"/>
    <w:rsid w:val="00C936B0"/>
    <w:rsid w:val="00C9377C"/>
    <w:rsid w:val="00C9394F"/>
    <w:rsid w:val="00C93A61"/>
    <w:rsid w:val="00C93BDF"/>
    <w:rsid w:val="00C93C4E"/>
    <w:rsid w:val="00C93C6D"/>
    <w:rsid w:val="00C93DC6"/>
    <w:rsid w:val="00C9420F"/>
    <w:rsid w:val="00C9421F"/>
    <w:rsid w:val="00C9439C"/>
    <w:rsid w:val="00C94444"/>
    <w:rsid w:val="00C94448"/>
    <w:rsid w:val="00C94452"/>
    <w:rsid w:val="00C945C4"/>
    <w:rsid w:val="00C945E6"/>
    <w:rsid w:val="00C94A70"/>
    <w:rsid w:val="00C94AD0"/>
    <w:rsid w:val="00C94B0C"/>
    <w:rsid w:val="00C94B5C"/>
    <w:rsid w:val="00C94BA5"/>
    <w:rsid w:val="00C94D0E"/>
    <w:rsid w:val="00C94F06"/>
    <w:rsid w:val="00C94F31"/>
    <w:rsid w:val="00C94FF5"/>
    <w:rsid w:val="00C9500B"/>
    <w:rsid w:val="00C95019"/>
    <w:rsid w:val="00C9526A"/>
    <w:rsid w:val="00C9542A"/>
    <w:rsid w:val="00C95456"/>
    <w:rsid w:val="00C955A7"/>
    <w:rsid w:val="00C95817"/>
    <w:rsid w:val="00C9582B"/>
    <w:rsid w:val="00C95979"/>
    <w:rsid w:val="00C95A49"/>
    <w:rsid w:val="00C95BE4"/>
    <w:rsid w:val="00C95DFA"/>
    <w:rsid w:val="00C95E81"/>
    <w:rsid w:val="00C9608A"/>
    <w:rsid w:val="00C960E6"/>
    <w:rsid w:val="00C963D3"/>
    <w:rsid w:val="00C963EA"/>
    <w:rsid w:val="00C96408"/>
    <w:rsid w:val="00C96485"/>
    <w:rsid w:val="00C9654C"/>
    <w:rsid w:val="00C9676E"/>
    <w:rsid w:val="00C96894"/>
    <w:rsid w:val="00C9697B"/>
    <w:rsid w:val="00C96AA8"/>
    <w:rsid w:val="00C96ACB"/>
    <w:rsid w:val="00C96BAE"/>
    <w:rsid w:val="00C96E37"/>
    <w:rsid w:val="00C96E4A"/>
    <w:rsid w:val="00C96F27"/>
    <w:rsid w:val="00C9719C"/>
    <w:rsid w:val="00C9722B"/>
    <w:rsid w:val="00C972AF"/>
    <w:rsid w:val="00C972CB"/>
    <w:rsid w:val="00C97486"/>
    <w:rsid w:val="00C978F5"/>
    <w:rsid w:val="00C97BCE"/>
    <w:rsid w:val="00C97BF8"/>
    <w:rsid w:val="00C97CBE"/>
    <w:rsid w:val="00C97D10"/>
    <w:rsid w:val="00C97D6B"/>
    <w:rsid w:val="00C97E6E"/>
    <w:rsid w:val="00CA0033"/>
    <w:rsid w:val="00CA0158"/>
    <w:rsid w:val="00CA01B4"/>
    <w:rsid w:val="00CA02FB"/>
    <w:rsid w:val="00CA0327"/>
    <w:rsid w:val="00CA057A"/>
    <w:rsid w:val="00CA072D"/>
    <w:rsid w:val="00CA0917"/>
    <w:rsid w:val="00CA0BEB"/>
    <w:rsid w:val="00CA0D60"/>
    <w:rsid w:val="00CA1477"/>
    <w:rsid w:val="00CA1511"/>
    <w:rsid w:val="00CA15B5"/>
    <w:rsid w:val="00CA162E"/>
    <w:rsid w:val="00CA166D"/>
    <w:rsid w:val="00CA17A5"/>
    <w:rsid w:val="00CA188C"/>
    <w:rsid w:val="00CA1958"/>
    <w:rsid w:val="00CA1C0A"/>
    <w:rsid w:val="00CA1C8A"/>
    <w:rsid w:val="00CA1D7F"/>
    <w:rsid w:val="00CA1D82"/>
    <w:rsid w:val="00CA1EBF"/>
    <w:rsid w:val="00CA1EC7"/>
    <w:rsid w:val="00CA1FF9"/>
    <w:rsid w:val="00CA2069"/>
    <w:rsid w:val="00CA2194"/>
    <w:rsid w:val="00CA2237"/>
    <w:rsid w:val="00CA2357"/>
    <w:rsid w:val="00CA2391"/>
    <w:rsid w:val="00CA23AC"/>
    <w:rsid w:val="00CA23F6"/>
    <w:rsid w:val="00CA2506"/>
    <w:rsid w:val="00CA25BE"/>
    <w:rsid w:val="00CA267C"/>
    <w:rsid w:val="00CA286B"/>
    <w:rsid w:val="00CA297D"/>
    <w:rsid w:val="00CA2B39"/>
    <w:rsid w:val="00CA2B5B"/>
    <w:rsid w:val="00CA2B94"/>
    <w:rsid w:val="00CA2C00"/>
    <w:rsid w:val="00CA2C45"/>
    <w:rsid w:val="00CA2E59"/>
    <w:rsid w:val="00CA2F8E"/>
    <w:rsid w:val="00CA3040"/>
    <w:rsid w:val="00CA305A"/>
    <w:rsid w:val="00CA3188"/>
    <w:rsid w:val="00CA335E"/>
    <w:rsid w:val="00CA33AA"/>
    <w:rsid w:val="00CA3457"/>
    <w:rsid w:val="00CA348E"/>
    <w:rsid w:val="00CA35F3"/>
    <w:rsid w:val="00CA360A"/>
    <w:rsid w:val="00CA3667"/>
    <w:rsid w:val="00CA368B"/>
    <w:rsid w:val="00CA374B"/>
    <w:rsid w:val="00CA3756"/>
    <w:rsid w:val="00CA382B"/>
    <w:rsid w:val="00CA3CBD"/>
    <w:rsid w:val="00CA3EEA"/>
    <w:rsid w:val="00CA3F0A"/>
    <w:rsid w:val="00CA3F8B"/>
    <w:rsid w:val="00CA4010"/>
    <w:rsid w:val="00CA402F"/>
    <w:rsid w:val="00CA4031"/>
    <w:rsid w:val="00CA419B"/>
    <w:rsid w:val="00CA44E3"/>
    <w:rsid w:val="00CA4AD6"/>
    <w:rsid w:val="00CA4BA9"/>
    <w:rsid w:val="00CA4D8D"/>
    <w:rsid w:val="00CA4EF9"/>
    <w:rsid w:val="00CA51DD"/>
    <w:rsid w:val="00CA52FC"/>
    <w:rsid w:val="00CA549A"/>
    <w:rsid w:val="00CA5581"/>
    <w:rsid w:val="00CA5697"/>
    <w:rsid w:val="00CA56F0"/>
    <w:rsid w:val="00CA571A"/>
    <w:rsid w:val="00CA57C8"/>
    <w:rsid w:val="00CA5B32"/>
    <w:rsid w:val="00CA5B42"/>
    <w:rsid w:val="00CA5B8E"/>
    <w:rsid w:val="00CA5C0C"/>
    <w:rsid w:val="00CA5C98"/>
    <w:rsid w:val="00CA5E25"/>
    <w:rsid w:val="00CA6003"/>
    <w:rsid w:val="00CA61A8"/>
    <w:rsid w:val="00CA6225"/>
    <w:rsid w:val="00CA627F"/>
    <w:rsid w:val="00CA62F5"/>
    <w:rsid w:val="00CA6418"/>
    <w:rsid w:val="00CA65A8"/>
    <w:rsid w:val="00CA667A"/>
    <w:rsid w:val="00CA690F"/>
    <w:rsid w:val="00CA6A10"/>
    <w:rsid w:val="00CA6C40"/>
    <w:rsid w:val="00CA6DE5"/>
    <w:rsid w:val="00CA6DEF"/>
    <w:rsid w:val="00CA6FC3"/>
    <w:rsid w:val="00CA6FD9"/>
    <w:rsid w:val="00CA7036"/>
    <w:rsid w:val="00CA7128"/>
    <w:rsid w:val="00CA713B"/>
    <w:rsid w:val="00CA727E"/>
    <w:rsid w:val="00CA7609"/>
    <w:rsid w:val="00CA7825"/>
    <w:rsid w:val="00CA7863"/>
    <w:rsid w:val="00CA7975"/>
    <w:rsid w:val="00CA7A7B"/>
    <w:rsid w:val="00CA7ACB"/>
    <w:rsid w:val="00CA7C8B"/>
    <w:rsid w:val="00CA7DD6"/>
    <w:rsid w:val="00CA7E41"/>
    <w:rsid w:val="00CB004F"/>
    <w:rsid w:val="00CB026C"/>
    <w:rsid w:val="00CB02AD"/>
    <w:rsid w:val="00CB03E2"/>
    <w:rsid w:val="00CB0664"/>
    <w:rsid w:val="00CB0C2F"/>
    <w:rsid w:val="00CB0D05"/>
    <w:rsid w:val="00CB0E05"/>
    <w:rsid w:val="00CB117F"/>
    <w:rsid w:val="00CB1258"/>
    <w:rsid w:val="00CB12A1"/>
    <w:rsid w:val="00CB12C7"/>
    <w:rsid w:val="00CB143C"/>
    <w:rsid w:val="00CB14D4"/>
    <w:rsid w:val="00CB14E5"/>
    <w:rsid w:val="00CB1557"/>
    <w:rsid w:val="00CB1608"/>
    <w:rsid w:val="00CB17A9"/>
    <w:rsid w:val="00CB17BE"/>
    <w:rsid w:val="00CB1981"/>
    <w:rsid w:val="00CB1BFB"/>
    <w:rsid w:val="00CB205C"/>
    <w:rsid w:val="00CB2116"/>
    <w:rsid w:val="00CB21C7"/>
    <w:rsid w:val="00CB2234"/>
    <w:rsid w:val="00CB22E3"/>
    <w:rsid w:val="00CB2388"/>
    <w:rsid w:val="00CB2487"/>
    <w:rsid w:val="00CB2595"/>
    <w:rsid w:val="00CB2628"/>
    <w:rsid w:val="00CB2825"/>
    <w:rsid w:val="00CB289C"/>
    <w:rsid w:val="00CB2ADC"/>
    <w:rsid w:val="00CB2BC4"/>
    <w:rsid w:val="00CB2D81"/>
    <w:rsid w:val="00CB2DF6"/>
    <w:rsid w:val="00CB3191"/>
    <w:rsid w:val="00CB3347"/>
    <w:rsid w:val="00CB34CA"/>
    <w:rsid w:val="00CB366E"/>
    <w:rsid w:val="00CB3675"/>
    <w:rsid w:val="00CB367F"/>
    <w:rsid w:val="00CB3AD3"/>
    <w:rsid w:val="00CB3B29"/>
    <w:rsid w:val="00CB3B82"/>
    <w:rsid w:val="00CB3D3C"/>
    <w:rsid w:val="00CB44C6"/>
    <w:rsid w:val="00CB4514"/>
    <w:rsid w:val="00CB4593"/>
    <w:rsid w:val="00CB4924"/>
    <w:rsid w:val="00CB4A42"/>
    <w:rsid w:val="00CB4DAE"/>
    <w:rsid w:val="00CB4DC0"/>
    <w:rsid w:val="00CB4DCA"/>
    <w:rsid w:val="00CB4FD1"/>
    <w:rsid w:val="00CB511A"/>
    <w:rsid w:val="00CB51DE"/>
    <w:rsid w:val="00CB549D"/>
    <w:rsid w:val="00CB54DC"/>
    <w:rsid w:val="00CB55A4"/>
    <w:rsid w:val="00CB563E"/>
    <w:rsid w:val="00CB569C"/>
    <w:rsid w:val="00CB56D5"/>
    <w:rsid w:val="00CB5963"/>
    <w:rsid w:val="00CB5A8C"/>
    <w:rsid w:val="00CB5AA7"/>
    <w:rsid w:val="00CB5ADC"/>
    <w:rsid w:val="00CB5F1F"/>
    <w:rsid w:val="00CB6109"/>
    <w:rsid w:val="00CB61F0"/>
    <w:rsid w:val="00CB61F6"/>
    <w:rsid w:val="00CB628C"/>
    <w:rsid w:val="00CB6311"/>
    <w:rsid w:val="00CB6498"/>
    <w:rsid w:val="00CB6540"/>
    <w:rsid w:val="00CB690F"/>
    <w:rsid w:val="00CB6B73"/>
    <w:rsid w:val="00CB6DAD"/>
    <w:rsid w:val="00CB6E65"/>
    <w:rsid w:val="00CB7245"/>
    <w:rsid w:val="00CB72F1"/>
    <w:rsid w:val="00CB75B5"/>
    <w:rsid w:val="00CB77F1"/>
    <w:rsid w:val="00CB78D3"/>
    <w:rsid w:val="00CB79D6"/>
    <w:rsid w:val="00CB7D8B"/>
    <w:rsid w:val="00CB7E9D"/>
    <w:rsid w:val="00CB7F56"/>
    <w:rsid w:val="00CB7F83"/>
    <w:rsid w:val="00CC0000"/>
    <w:rsid w:val="00CC0297"/>
    <w:rsid w:val="00CC0320"/>
    <w:rsid w:val="00CC0591"/>
    <w:rsid w:val="00CC0625"/>
    <w:rsid w:val="00CC06D5"/>
    <w:rsid w:val="00CC0792"/>
    <w:rsid w:val="00CC09B1"/>
    <w:rsid w:val="00CC0EE2"/>
    <w:rsid w:val="00CC0EE7"/>
    <w:rsid w:val="00CC0F2C"/>
    <w:rsid w:val="00CC1047"/>
    <w:rsid w:val="00CC11C7"/>
    <w:rsid w:val="00CC1227"/>
    <w:rsid w:val="00CC1355"/>
    <w:rsid w:val="00CC13B9"/>
    <w:rsid w:val="00CC14B4"/>
    <w:rsid w:val="00CC1625"/>
    <w:rsid w:val="00CC1764"/>
    <w:rsid w:val="00CC18C9"/>
    <w:rsid w:val="00CC1A11"/>
    <w:rsid w:val="00CC1AC1"/>
    <w:rsid w:val="00CC1D6B"/>
    <w:rsid w:val="00CC1E09"/>
    <w:rsid w:val="00CC1E41"/>
    <w:rsid w:val="00CC1EE0"/>
    <w:rsid w:val="00CC1EF9"/>
    <w:rsid w:val="00CC24A3"/>
    <w:rsid w:val="00CC25FD"/>
    <w:rsid w:val="00CC26A3"/>
    <w:rsid w:val="00CC2756"/>
    <w:rsid w:val="00CC294A"/>
    <w:rsid w:val="00CC2B0C"/>
    <w:rsid w:val="00CC2D3F"/>
    <w:rsid w:val="00CC2E22"/>
    <w:rsid w:val="00CC2FBE"/>
    <w:rsid w:val="00CC3165"/>
    <w:rsid w:val="00CC33E5"/>
    <w:rsid w:val="00CC3447"/>
    <w:rsid w:val="00CC34A7"/>
    <w:rsid w:val="00CC38BF"/>
    <w:rsid w:val="00CC38C1"/>
    <w:rsid w:val="00CC392E"/>
    <w:rsid w:val="00CC3A5A"/>
    <w:rsid w:val="00CC3AEE"/>
    <w:rsid w:val="00CC3E1F"/>
    <w:rsid w:val="00CC4195"/>
    <w:rsid w:val="00CC4688"/>
    <w:rsid w:val="00CC46DA"/>
    <w:rsid w:val="00CC47AF"/>
    <w:rsid w:val="00CC4BBA"/>
    <w:rsid w:val="00CC4CC9"/>
    <w:rsid w:val="00CC4CF0"/>
    <w:rsid w:val="00CC4E04"/>
    <w:rsid w:val="00CC4E63"/>
    <w:rsid w:val="00CC4F0E"/>
    <w:rsid w:val="00CC520E"/>
    <w:rsid w:val="00CC5455"/>
    <w:rsid w:val="00CC5648"/>
    <w:rsid w:val="00CC56AB"/>
    <w:rsid w:val="00CC5714"/>
    <w:rsid w:val="00CC5779"/>
    <w:rsid w:val="00CC59AF"/>
    <w:rsid w:val="00CC5A3D"/>
    <w:rsid w:val="00CC5A96"/>
    <w:rsid w:val="00CC5C32"/>
    <w:rsid w:val="00CC5CAE"/>
    <w:rsid w:val="00CC5E57"/>
    <w:rsid w:val="00CC5F70"/>
    <w:rsid w:val="00CC6037"/>
    <w:rsid w:val="00CC6168"/>
    <w:rsid w:val="00CC61A6"/>
    <w:rsid w:val="00CC61E8"/>
    <w:rsid w:val="00CC6278"/>
    <w:rsid w:val="00CC63CF"/>
    <w:rsid w:val="00CC64B4"/>
    <w:rsid w:val="00CC64F2"/>
    <w:rsid w:val="00CC66D0"/>
    <w:rsid w:val="00CC66D9"/>
    <w:rsid w:val="00CC681F"/>
    <w:rsid w:val="00CC69DE"/>
    <w:rsid w:val="00CC6A57"/>
    <w:rsid w:val="00CC6B25"/>
    <w:rsid w:val="00CC6B52"/>
    <w:rsid w:val="00CC6EBD"/>
    <w:rsid w:val="00CC70E7"/>
    <w:rsid w:val="00CC7149"/>
    <w:rsid w:val="00CC71D2"/>
    <w:rsid w:val="00CC747E"/>
    <w:rsid w:val="00CC7499"/>
    <w:rsid w:val="00CC7701"/>
    <w:rsid w:val="00CC7715"/>
    <w:rsid w:val="00CC776B"/>
    <w:rsid w:val="00CC77D0"/>
    <w:rsid w:val="00CC78BF"/>
    <w:rsid w:val="00CC7BE8"/>
    <w:rsid w:val="00CC7C6F"/>
    <w:rsid w:val="00CC7C7C"/>
    <w:rsid w:val="00CC7D88"/>
    <w:rsid w:val="00CC7EEA"/>
    <w:rsid w:val="00CC7F53"/>
    <w:rsid w:val="00CD01C2"/>
    <w:rsid w:val="00CD03A8"/>
    <w:rsid w:val="00CD03C4"/>
    <w:rsid w:val="00CD05AA"/>
    <w:rsid w:val="00CD05C0"/>
    <w:rsid w:val="00CD05E8"/>
    <w:rsid w:val="00CD080B"/>
    <w:rsid w:val="00CD08C0"/>
    <w:rsid w:val="00CD08CB"/>
    <w:rsid w:val="00CD09BC"/>
    <w:rsid w:val="00CD0A12"/>
    <w:rsid w:val="00CD0A8C"/>
    <w:rsid w:val="00CD0B3B"/>
    <w:rsid w:val="00CD0D3E"/>
    <w:rsid w:val="00CD0ED9"/>
    <w:rsid w:val="00CD110E"/>
    <w:rsid w:val="00CD1175"/>
    <w:rsid w:val="00CD135F"/>
    <w:rsid w:val="00CD1387"/>
    <w:rsid w:val="00CD144E"/>
    <w:rsid w:val="00CD14FB"/>
    <w:rsid w:val="00CD1518"/>
    <w:rsid w:val="00CD1649"/>
    <w:rsid w:val="00CD1679"/>
    <w:rsid w:val="00CD16F0"/>
    <w:rsid w:val="00CD1783"/>
    <w:rsid w:val="00CD17B4"/>
    <w:rsid w:val="00CD19A2"/>
    <w:rsid w:val="00CD1A9D"/>
    <w:rsid w:val="00CD1AF8"/>
    <w:rsid w:val="00CD1C4C"/>
    <w:rsid w:val="00CD1D78"/>
    <w:rsid w:val="00CD1E13"/>
    <w:rsid w:val="00CD1F16"/>
    <w:rsid w:val="00CD1F6B"/>
    <w:rsid w:val="00CD1FFA"/>
    <w:rsid w:val="00CD247F"/>
    <w:rsid w:val="00CD2724"/>
    <w:rsid w:val="00CD2893"/>
    <w:rsid w:val="00CD293D"/>
    <w:rsid w:val="00CD2A75"/>
    <w:rsid w:val="00CD2A77"/>
    <w:rsid w:val="00CD2B1B"/>
    <w:rsid w:val="00CD2BCA"/>
    <w:rsid w:val="00CD2D0C"/>
    <w:rsid w:val="00CD2DD6"/>
    <w:rsid w:val="00CD2EEA"/>
    <w:rsid w:val="00CD2F82"/>
    <w:rsid w:val="00CD33C2"/>
    <w:rsid w:val="00CD355A"/>
    <w:rsid w:val="00CD3576"/>
    <w:rsid w:val="00CD37EA"/>
    <w:rsid w:val="00CD3990"/>
    <w:rsid w:val="00CD3BD9"/>
    <w:rsid w:val="00CD3BDA"/>
    <w:rsid w:val="00CD3CF7"/>
    <w:rsid w:val="00CD3E74"/>
    <w:rsid w:val="00CD400C"/>
    <w:rsid w:val="00CD4178"/>
    <w:rsid w:val="00CD41D0"/>
    <w:rsid w:val="00CD476B"/>
    <w:rsid w:val="00CD479E"/>
    <w:rsid w:val="00CD4A34"/>
    <w:rsid w:val="00CD4AE1"/>
    <w:rsid w:val="00CD4BAF"/>
    <w:rsid w:val="00CD4C11"/>
    <w:rsid w:val="00CD4E75"/>
    <w:rsid w:val="00CD4ED0"/>
    <w:rsid w:val="00CD4F49"/>
    <w:rsid w:val="00CD5012"/>
    <w:rsid w:val="00CD5088"/>
    <w:rsid w:val="00CD52D5"/>
    <w:rsid w:val="00CD55D2"/>
    <w:rsid w:val="00CD5627"/>
    <w:rsid w:val="00CD5ADA"/>
    <w:rsid w:val="00CD5D41"/>
    <w:rsid w:val="00CD5E7D"/>
    <w:rsid w:val="00CD5F60"/>
    <w:rsid w:val="00CD5F70"/>
    <w:rsid w:val="00CD6104"/>
    <w:rsid w:val="00CD61D8"/>
    <w:rsid w:val="00CD640A"/>
    <w:rsid w:val="00CD65BA"/>
    <w:rsid w:val="00CD685A"/>
    <w:rsid w:val="00CD6861"/>
    <w:rsid w:val="00CD6917"/>
    <w:rsid w:val="00CD6BAF"/>
    <w:rsid w:val="00CD6E43"/>
    <w:rsid w:val="00CD6E50"/>
    <w:rsid w:val="00CD71C4"/>
    <w:rsid w:val="00CD72BF"/>
    <w:rsid w:val="00CD7406"/>
    <w:rsid w:val="00CD74C2"/>
    <w:rsid w:val="00CD7646"/>
    <w:rsid w:val="00CD7813"/>
    <w:rsid w:val="00CD7AAC"/>
    <w:rsid w:val="00CD7B31"/>
    <w:rsid w:val="00CD7DCD"/>
    <w:rsid w:val="00CD7E03"/>
    <w:rsid w:val="00CD7F3F"/>
    <w:rsid w:val="00CE0312"/>
    <w:rsid w:val="00CE0320"/>
    <w:rsid w:val="00CE0398"/>
    <w:rsid w:val="00CE0458"/>
    <w:rsid w:val="00CE04D7"/>
    <w:rsid w:val="00CE07AD"/>
    <w:rsid w:val="00CE09F3"/>
    <w:rsid w:val="00CE0F81"/>
    <w:rsid w:val="00CE1113"/>
    <w:rsid w:val="00CE1353"/>
    <w:rsid w:val="00CE1460"/>
    <w:rsid w:val="00CE1559"/>
    <w:rsid w:val="00CE15FE"/>
    <w:rsid w:val="00CE16EE"/>
    <w:rsid w:val="00CE185B"/>
    <w:rsid w:val="00CE1948"/>
    <w:rsid w:val="00CE1B5F"/>
    <w:rsid w:val="00CE1C08"/>
    <w:rsid w:val="00CE1CBB"/>
    <w:rsid w:val="00CE1DDC"/>
    <w:rsid w:val="00CE1E5E"/>
    <w:rsid w:val="00CE1E9B"/>
    <w:rsid w:val="00CE1ED9"/>
    <w:rsid w:val="00CE2062"/>
    <w:rsid w:val="00CE20C4"/>
    <w:rsid w:val="00CE24D2"/>
    <w:rsid w:val="00CE2508"/>
    <w:rsid w:val="00CE253B"/>
    <w:rsid w:val="00CE2655"/>
    <w:rsid w:val="00CE2796"/>
    <w:rsid w:val="00CE27C5"/>
    <w:rsid w:val="00CE285B"/>
    <w:rsid w:val="00CE28C6"/>
    <w:rsid w:val="00CE293E"/>
    <w:rsid w:val="00CE2B7E"/>
    <w:rsid w:val="00CE2BB4"/>
    <w:rsid w:val="00CE2BB6"/>
    <w:rsid w:val="00CE2C5F"/>
    <w:rsid w:val="00CE2CE2"/>
    <w:rsid w:val="00CE2D57"/>
    <w:rsid w:val="00CE347A"/>
    <w:rsid w:val="00CE362A"/>
    <w:rsid w:val="00CE36CB"/>
    <w:rsid w:val="00CE385D"/>
    <w:rsid w:val="00CE3A3A"/>
    <w:rsid w:val="00CE3A79"/>
    <w:rsid w:val="00CE3B34"/>
    <w:rsid w:val="00CE3D8C"/>
    <w:rsid w:val="00CE3DE8"/>
    <w:rsid w:val="00CE3EE0"/>
    <w:rsid w:val="00CE4236"/>
    <w:rsid w:val="00CE42F8"/>
    <w:rsid w:val="00CE43FF"/>
    <w:rsid w:val="00CE457D"/>
    <w:rsid w:val="00CE4776"/>
    <w:rsid w:val="00CE479F"/>
    <w:rsid w:val="00CE4B17"/>
    <w:rsid w:val="00CE4D03"/>
    <w:rsid w:val="00CE4DBC"/>
    <w:rsid w:val="00CE4F3D"/>
    <w:rsid w:val="00CE5113"/>
    <w:rsid w:val="00CE5295"/>
    <w:rsid w:val="00CE5360"/>
    <w:rsid w:val="00CE5389"/>
    <w:rsid w:val="00CE5554"/>
    <w:rsid w:val="00CE564F"/>
    <w:rsid w:val="00CE570F"/>
    <w:rsid w:val="00CE57A2"/>
    <w:rsid w:val="00CE57F7"/>
    <w:rsid w:val="00CE58F2"/>
    <w:rsid w:val="00CE5A21"/>
    <w:rsid w:val="00CE5B5C"/>
    <w:rsid w:val="00CE5B7D"/>
    <w:rsid w:val="00CE5BD4"/>
    <w:rsid w:val="00CE5D0D"/>
    <w:rsid w:val="00CE5E80"/>
    <w:rsid w:val="00CE5EFB"/>
    <w:rsid w:val="00CE61A6"/>
    <w:rsid w:val="00CE634C"/>
    <w:rsid w:val="00CE637C"/>
    <w:rsid w:val="00CE64EA"/>
    <w:rsid w:val="00CE658E"/>
    <w:rsid w:val="00CE671D"/>
    <w:rsid w:val="00CE6779"/>
    <w:rsid w:val="00CE6B62"/>
    <w:rsid w:val="00CE6CB5"/>
    <w:rsid w:val="00CE6D3A"/>
    <w:rsid w:val="00CE6DF4"/>
    <w:rsid w:val="00CE6EAC"/>
    <w:rsid w:val="00CE6F76"/>
    <w:rsid w:val="00CE7010"/>
    <w:rsid w:val="00CE7045"/>
    <w:rsid w:val="00CE7099"/>
    <w:rsid w:val="00CE711C"/>
    <w:rsid w:val="00CE7126"/>
    <w:rsid w:val="00CE7317"/>
    <w:rsid w:val="00CE75F2"/>
    <w:rsid w:val="00CE7758"/>
    <w:rsid w:val="00CE77A2"/>
    <w:rsid w:val="00CE77AE"/>
    <w:rsid w:val="00CE79C2"/>
    <w:rsid w:val="00CE7A04"/>
    <w:rsid w:val="00CE7A32"/>
    <w:rsid w:val="00CE7A34"/>
    <w:rsid w:val="00CE7AC4"/>
    <w:rsid w:val="00CE7C44"/>
    <w:rsid w:val="00CE7E21"/>
    <w:rsid w:val="00CE7E68"/>
    <w:rsid w:val="00CE7EA3"/>
    <w:rsid w:val="00CE7F57"/>
    <w:rsid w:val="00CF0085"/>
    <w:rsid w:val="00CF008D"/>
    <w:rsid w:val="00CF01BA"/>
    <w:rsid w:val="00CF02A5"/>
    <w:rsid w:val="00CF034F"/>
    <w:rsid w:val="00CF04A4"/>
    <w:rsid w:val="00CF0602"/>
    <w:rsid w:val="00CF0603"/>
    <w:rsid w:val="00CF08EB"/>
    <w:rsid w:val="00CF0A4A"/>
    <w:rsid w:val="00CF0AB5"/>
    <w:rsid w:val="00CF0AFA"/>
    <w:rsid w:val="00CF0B6C"/>
    <w:rsid w:val="00CF0C11"/>
    <w:rsid w:val="00CF0C3A"/>
    <w:rsid w:val="00CF0C62"/>
    <w:rsid w:val="00CF0E51"/>
    <w:rsid w:val="00CF0EEA"/>
    <w:rsid w:val="00CF0FEA"/>
    <w:rsid w:val="00CF1013"/>
    <w:rsid w:val="00CF1026"/>
    <w:rsid w:val="00CF117C"/>
    <w:rsid w:val="00CF1377"/>
    <w:rsid w:val="00CF1386"/>
    <w:rsid w:val="00CF1446"/>
    <w:rsid w:val="00CF14DC"/>
    <w:rsid w:val="00CF16C0"/>
    <w:rsid w:val="00CF16F4"/>
    <w:rsid w:val="00CF1709"/>
    <w:rsid w:val="00CF1807"/>
    <w:rsid w:val="00CF19BE"/>
    <w:rsid w:val="00CF1A2D"/>
    <w:rsid w:val="00CF1CB8"/>
    <w:rsid w:val="00CF2076"/>
    <w:rsid w:val="00CF246D"/>
    <w:rsid w:val="00CF2537"/>
    <w:rsid w:val="00CF255B"/>
    <w:rsid w:val="00CF26DA"/>
    <w:rsid w:val="00CF26F5"/>
    <w:rsid w:val="00CF2703"/>
    <w:rsid w:val="00CF2751"/>
    <w:rsid w:val="00CF289A"/>
    <w:rsid w:val="00CF291F"/>
    <w:rsid w:val="00CF2992"/>
    <w:rsid w:val="00CF29AB"/>
    <w:rsid w:val="00CF29BD"/>
    <w:rsid w:val="00CF2BCB"/>
    <w:rsid w:val="00CF2D7C"/>
    <w:rsid w:val="00CF2EB7"/>
    <w:rsid w:val="00CF3082"/>
    <w:rsid w:val="00CF3187"/>
    <w:rsid w:val="00CF32D9"/>
    <w:rsid w:val="00CF3402"/>
    <w:rsid w:val="00CF340D"/>
    <w:rsid w:val="00CF34E9"/>
    <w:rsid w:val="00CF358E"/>
    <w:rsid w:val="00CF370B"/>
    <w:rsid w:val="00CF39A9"/>
    <w:rsid w:val="00CF3A0F"/>
    <w:rsid w:val="00CF3A3E"/>
    <w:rsid w:val="00CF3E29"/>
    <w:rsid w:val="00CF3F54"/>
    <w:rsid w:val="00CF400F"/>
    <w:rsid w:val="00CF4023"/>
    <w:rsid w:val="00CF41D9"/>
    <w:rsid w:val="00CF4470"/>
    <w:rsid w:val="00CF4585"/>
    <w:rsid w:val="00CF49B3"/>
    <w:rsid w:val="00CF49E2"/>
    <w:rsid w:val="00CF4EED"/>
    <w:rsid w:val="00CF4FC5"/>
    <w:rsid w:val="00CF5159"/>
    <w:rsid w:val="00CF51BA"/>
    <w:rsid w:val="00CF51D3"/>
    <w:rsid w:val="00CF51F5"/>
    <w:rsid w:val="00CF52D6"/>
    <w:rsid w:val="00CF54B0"/>
    <w:rsid w:val="00CF57FC"/>
    <w:rsid w:val="00CF583F"/>
    <w:rsid w:val="00CF585F"/>
    <w:rsid w:val="00CF589C"/>
    <w:rsid w:val="00CF58FB"/>
    <w:rsid w:val="00CF5B8F"/>
    <w:rsid w:val="00CF615F"/>
    <w:rsid w:val="00CF6251"/>
    <w:rsid w:val="00CF62E7"/>
    <w:rsid w:val="00CF63D0"/>
    <w:rsid w:val="00CF6541"/>
    <w:rsid w:val="00CF65F7"/>
    <w:rsid w:val="00CF6654"/>
    <w:rsid w:val="00CF66A5"/>
    <w:rsid w:val="00CF6760"/>
    <w:rsid w:val="00CF67FE"/>
    <w:rsid w:val="00CF6885"/>
    <w:rsid w:val="00CF68C0"/>
    <w:rsid w:val="00CF69ED"/>
    <w:rsid w:val="00CF6B48"/>
    <w:rsid w:val="00CF6CBA"/>
    <w:rsid w:val="00CF6EB8"/>
    <w:rsid w:val="00CF6F53"/>
    <w:rsid w:val="00CF70B4"/>
    <w:rsid w:val="00CF7251"/>
    <w:rsid w:val="00CF73B7"/>
    <w:rsid w:val="00CF741C"/>
    <w:rsid w:val="00CF7587"/>
    <w:rsid w:val="00CF765A"/>
    <w:rsid w:val="00CF76B5"/>
    <w:rsid w:val="00CF76FF"/>
    <w:rsid w:val="00CF7732"/>
    <w:rsid w:val="00CF782A"/>
    <w:rsid w:val="00CF7917"/>
    <w:rsid w:val="00CF798A"/>
    <w:rsid w:val="00CF7A7D"/>
    <w:rsid w:val="00CF7A9D"/>
    <w:rsid w:val="00CF7D29"/>
    <w:rsid w:val="00D00013"/>
    <w:rsid w:val="00D001E1"/>
    <w:rsid w:val="00D00282"/>
    <w:rsid w:val="00D003F6"/>
    <w:rsid w:val="00D0049E"/>
    <w:rsid w:val="00D006C1"/>
    <w:rsid w:val="00D0075E"/>
    <w:rsid w:val="00D00832"/>
    <w:rsid w:val="00D00CAB"/>
    <w:rsid w:val="00D00D76"/>
    <w:rsid w:val="00D00F2E"/>
    <w:rsid w:val="00D010A8"/>
    <w:rsid w:val="00D012F7"/>
    <w:rsid w:val="00D0133F"/>
    <w:rsid w:val="00D0158A"/>
    <w:rsid w:val="00D017D5"/>
    <w:rsid w:val="00D017E3"/>
    <w:rsid w:val="00D018D7"/>
    <w:rsid w:val="00D018F6"/>
    <w:rsid w:val="00D01CB1"/>
    <w:rsid w:val="00D01D67"/>
    <w:rsid w:val="00D01D74"/>
    <w:rsid w:val="00D01D93"/>
    <w:rsid w:val="00D01E18"/>
    <w:rsid w:val="00D01E87"/>
    <w:rsid w:val="00D01EC0"/>
    <w:rsid w:val="00D01EC5"/>
    <w:rsid w:val="00D01F6E"/>
    <w:rsid w:val="00D0223E"/>
    <w:rsid w:val="00D02331"/>
    <w:rsid w:val="00D02698"/>
    <w:rsid w:val="00D02754"/>
    <w:rsid w:val="00D02808"/>
    <w:rsid w:val="00D02A7F"/>
    <w:rsid w:val="00D02ABF"/>
    <w:rsid w:val="00D02DC3"/>
    <w:rsid w:val="00D02E43"/>
    <w:rsid w:val="00D02FBF"/>
    <w:rsid w:val="00D03058"/>
    <w:rsid w:val="00D03426"/>
    <w:rsid w:val="00D03435"/>
    <w:rsid w:val="00D03598"/>
    <w:rsid w:val="00D03692"/>
    <w:rsid w:val="00D03898"/>
    <w:rsid w:val="00D03982"/>
    <w:rsid w:val="00D039E9"/>
    <w:rsid w:val="00D039FA"/>
    <w:rsid w:val="00D03D07"/>
    <w:rsid w:val="00D03D30"/>
    <w:rsid w:val="00D0401F"/>
    <w:rsid w:val="00D041D3"/>
    <w:rsid w:val="00D0420B"/>
    <w:rsid w:val="00D04256"/>
    <w:rsid w:val="00D045F2"/>
    <w:rsid w:val="00D046ED"/>
    <w:rsid w:val="00D0471C"/>
    <w:rsid w:val="00D0474C"/>
    <w:rsid w:val="00D047AD"/>
    <w:rsid w:val="00D04961"/>
    <w:rsid w:val="00D049A0"/>
    <w:rsid w:val="00D04AC3"/>
    <w:rsid w:val="00D04B4B"/>
    <w:rsid w:val="00D04C8F"/>
    <w:rsid w:val="00D04F2A"/>
    <w:rsid w:val="00D04FB3"/>
    <w:rsid w:val="00D05084"/>
    <w:rsid w:val="00D05119"/>
    <w:rsid w:val="00D05182"/>
    <w:rsid w:val="00D05276"/>
    <w:rsid w:val="00D05289"/>
    <w:rsid w:val="00D052C1"/>
    <w:rsid w:val="00D05494"/>
    <w:rsid w:val="00D056E2"/>
    <w:rsid w:val="00D0571F"/>
    <w:rsid w:val="00D058B0"/>
    <w:rsid w:val="00D059A9"/>
    <w:rsid w:val="00D05C2F"/>
    <w:rsid w:val="00D05E9F"/>
    <w:rsid w:val="00D06093"/>
    <w:rsid w:val="00D060C7"/>
    <w:rsid w:val="00D06249"/>
    <w:rsid w:val="00D0624B"/>
    <w:rsid w:val="00D062DE"/>
    <w:rsid w:val="00D0631C"/>
    <w:rsid w:val="00D06405"/>
    <w:rsid w:val="00D0642F"/>
    <w:rsid w:val="00D064C0"/>
    <w:rsid w:val="00D0652B"/>
    <w:rsid w:val="00D065EC"/>
    <w:rsid w:val="00D06613"/>
    <w:rsid w:val="00D0681B"/>
    <w:rsid w:val="00D0694F"/>
    <w:rsid w:val="00D069F5"/>
    <w:rsid w:val="00D06A2C"/>
    <w:rsid w:val="00D06C77"/>
    <w:rsid w:val="00D06CE5"/>
    <w:rsid w:val="00D06ED7"/>
    <w:rsid w:val="00D07055"/>
    <w:rsid w:val="00D070A0"/>
    <w:rsid w:val="00D070E6"/>
    <w:rsid w:val="00D07276"/>
    <w:rsid w:val="00D0743F"/>
    <w:rsid w:val="00D074C2"/>
    <w:rsid w:val="00D0754A"/>
    <w:rsid w:val="00D07790"/>
    <w:rsid w:val="00D07A14"/>
    <w:rsid w:val="00D07AF4"/>
    <w:rsid w:val="00D07D2E"/>
    <w:rsid w:val="00D07F34"/>
    <w:rsid w:val="00D10267"/>
    <w:rsid w:val="00D102C3"/>
    <w:rsid w:val="00D10594"/>
    <w:rsid w:val="00D107B3"/>
    <w:rsid w:val="00D10DDC"/>
    <w:rsid w:val="00D10DE7"/>
    <w:rsid w:val="00D10E37"/>
    <w:rsid w:val="00D10F17"/>
    <w:rsid w:val="00D10FCD"/>
    <w:rsid w:val="00D110C9"/>
    <w:rsid w:val="00D11111"/>
    <w:rsid w:val="00D11198"/>
    <w:rsid w:val="00D112E9"/>
    <w:rsid w:val="00D115A1"/>
    <w:rsid w:val="00D1196E"/>
    <w:rsid w:val="00D11A94"/>
    <w:rsid w:val="00D11DE2"/>
    <w:rsid w:val="00D12153"/>
    <w:rsid w:val="00D121DA"/>
    <w:rsid w:val="00D121F7"/>
    <w:rsid w:val="00D12468"/>
    <w:rsid w:val="00D1249B"/>
    <w:rsid w:val="00D12570"/>
    <w:rsid w:val="00D12591"/>
    <w:rsid w:val="00D125A6"/>
    <w:rsid w:val="00D12690"/>
    <w:rsid w:val="00D12777"/>
    <w:rsid w:val="00D129BB"/>
    <w:rsid w:val="00D12A81"/>
    <w:rsid w:val="00D12B3F"/>
    <w:rsid w:val="00D12BA3"/>
    <w:rsid w:val="00D12BCD"/>
    <w:rsid w:val="00D12C2F"/>
    <w:rsid w:val="00D12DB1"/>
    <w:rsid w:val="00D12E07"/>
    <w:rsid w:val="00D12E76"/>
    <w:rsid w:val="00D1322E"/>
    <w:rsid w:val="00D132AC"/>
    <w:rsid w:val="00D1335A"/>
    <w:rsid w:val="00D1343B"/>
    <w:rsid w:val="00D134EC"/>
    <w:rsid w:val="00D13604"/>
    <w:rsid w:val="00D137FA"/>
    <w:rsid w:val="00D13ABE"/>
    <w:rsid w:val="00D13B45"/>
    <w:rsid w:val="00D13CB0"/>
    <w:rsid w:val="00D13EF5"/>
    <w:rsid w:val="00D140F3"/>
    <w:rsid w:val="00D14259"/>
    <w:rsid w:val="00D147B5"/>
    <w:rsid w:val="00D147CA"/>
    <w:rsid w:val="00D14813"/>
    <w:rsid w:val="00D14C61"/>
    <w:rsid w:val="00D14D9A"/>
    <w:rsid w:val="00D14E67"/>
    <w:rsid w:val="00D14F47"/>
    <w:rsid w:val="00D14F69"/>
    <w:rsid w:val="00D15266"/>
    <w:rsid w:val="00D152F5"/>
    <w:rsid w:val="00D153D6"/>
    <w:rsid w:val="00D154CD"/>
    <w:rsid w:val="00D1561A"/>
    <w:rsid w:val="00D15766"/>
    <w:rsid w:val="00D157D1"/>
    <w:rsid w:val="00D15B1B"/>
    <w:rsid w:val="00D15BB8"/>
    <w:rsid w:val="00D15CF0"/>
    <w:rsid w:val="00D15E18"/>
    <w:rsid w:val="00D15FB6"/>
    <w:rsid w:val="00D15FD0"/>
    <w:rsid w:val="00D160D4"/>
    <w:rsid w:val="00D16445"/>
    <w:rsid w:val="00D165AA"/>
    <w:rsid w:val="00D16684"/>
    <w:rsid w:val="00D166BB"/>
    <w:rsid w:val="00D16717"/>
    <w:rsid w:val="00D1673E"/>
    <w:rsid w:val="00D16752"/>
    <w:rsid w:val="00D167E0"/>
    <w:rsid w:val="00D1682B"/>
    <w:rsid w:val="00D1691B"/>
    <w:rsid w:val="00D16A51"/>
    <w:rsid w:val="00D16A59"/>
    <w:rsid w:val="00D16AC5"/>
    <w:rsid w:val="00D16C45"/>
    <w:rsid w:val="00D16C54"/>
    <w:rsid w:val="00D16D1C"/>
    <w:rsid w:val="00D16D2A"/>
    <w:rsid w:val="00D16D79"/>
    <w:rsid w:val="00D16ED8"/>
    <w:rsid w:val="00D16F01"/>
    <w:rsid w:val="00D16F30"/>
    <w:rsid w:val="00D173A2"/>
    <w:rsid w:val="00D1752B"/>
    <w:rsid w:val="00D17656"/>
    <w:rsid w:val="00D17748"/>
    <w:rsid w:val="00D1776A"/>
    <w:rsid w:val="00D177AD"/>
    <w:rsid w:val="00D17938"/>
    <w:rsid w:val="00D17961"/>
    <w:rsid w:val="00D17965"/>
    <w:rsid w:val="00D179E1"/>
    <w:rsid w:val="00D17ADE"/>
    <w:rsid w:val="00D17BDE"/>
    <w:rsid w:val="00D200A0"/>
    <w:rsid w:val="00D20220"/>
    <w:rsid w:val="00D20346"/>
    <w:rsid w:val="00D20463"/>
    <w:rsid w:val="00D2050F"/>
    <w:rsid w:val="00D20545"/>
    <w:rsid w:val="00D206C5"/>
    <w:rsid w:val="00D2091C"/>
    <w:rsid w:val="00D20A51"/>
    <w:rsid w:val="00D20B4C"/>
    <w:rsid w:val="00D20BBA"/>
    <w:rsid w:val="00D20C90"/>
    <w:rsid w:val="00D21110"/>
    <w:rsid w:val="00D2123B"/>
    <w:rsid w:val="00D219AC"/>
    <w:rsid w:val="00D21A49"/>
    <w:rsid w:val="00D21B4E"/>
    <w:rsid w:val="00D21F61"/>
    <w:rsid w:val="00D2211D"/>
    <w:rsid w:val="00D22900"/>
    <w:rsid w:val="00D22A9B"/>
    <w:rsid w:val="00D22C76"/>
    <w:rsid w:val="00D22C8F"/>
    <w:rsid w:val="00D22CB8"/>
    <w:rsid w:val="00D22CDC"/>
    <w:rsid w:val="00D22E13"/>
    <w:rsid w:val="00D23021"/>
    <w:rsid w:val="00D230F6"/>
    <w:rsid w:val="00D232A1"/>
    <w:rsid w:val="00D232EF"/>
    <w:rsid w:val="00D233CB"/>
    <w:rsid w:val="00D2351C"/>
    <w:rsid w:val="00D236F5"/>
    <w:rsid w:val="00D237E7"/>
    <w:rsid w:val="00D23B48"/>
    <w:rsid w:val="00D23CCD"/>
    <w:rsid w:val="00D23DF8"/>
    <w:rsid w:val="00D23EA0"/>
    <w:rsid w:val="00D23EEB"/>
    <w:rsid w:val="00D24319"/>
    <w:rsid w:val="00D24374"/>
    <w:rsid w:val="00D246DA"/>
    <w:rsid w:val="00D246DF"/>
    <w:rsid w:val="00D2471E"/>
    <w:rsid w:val="00D2489A"/>
    <w:rsid w:val="00D248D6"/>
    <w:rsid w:val="00D24D5D"/>
    <w:rsid w:val="00D24DC5"/>
    <w:rsid w:val="00D24E28"/>
    <w:rsid w:val="00D24E9D"/>
    <w:rsid w:val="00D24FEA"/>
    <w:rsid w:val="00D25150"/>
    <w:rsid w:val="00D25185"/>
    <w:rsid w:val="00D25220"/>
    <w:rsid w:val="00D2523D"/>
    <w:rsid w:val="00D25491"/>
    <w:rsid w:val="00D2549B"/>
    <w:rsid w:val="00D254AB"/>
    <w:rsid w:val="00D254D3"/>
    <w:rsid w:val="00D25625"/>
    <w:rsid w:val="00D25948"/>
    <w:rsid w:val="00D25A3E"/>
    <w:rsid w:val="00D25AD1"/>
    <w:rsid w:val="00D25E56"/>
    <w:rsid w:val="00D260CA"/>
    <w:rsid w:val="00D26336"/>
    <w:rsid w:val="00D2639C"/>
    <w:rsid w:val="00D2647E"/>
    <w:rsid w:val="00D2649A"/>
    <w:rsid w:val="00D264E6"/>
    <w:rsid w:val="00D2660F"/>
    <w:rsid w:val="00D266FA"/>
    <w:rsid w:val="00D26852"/>
    <w:rsid w:val="00D26A80"/>
    <w:rsid w:val="00D26D04"/>
    <w:rsid w:val="00D26EC0"/>
    <w:rsid w:val="00D26F50"/>
    <w:rsid w:val="00D26F68"/>
    <w:rsid w:val="00D27061"/>
    <w:rsid w:val="00D270C7"/>
    <w:rsid w:val="00D2733F"/>
    <w:rsid w:val="00D27443"/>
    <w:rsid w:val="00D27541"/>
    <w:rsid w:val="00D27751"/>
    <w:rsid w:val="00D278B7"/>
    <w:rsid w:val="00D278E0"/>
    <w:rsid w:val="00D27999"/>
    <w:rsid w:val="00D279FE"/>
    <w:rsid w:val="00D27A92"/>
    <w:rsid w:val="00D27B05"/>
    <w:rsid w:val="00D30087"/>
    <w:rsid w:val="00D301D9"/>
    <w:rsid w:val="00D301F3"/>
    <w:rsid w:val="00D30232"/>
    <w:rsid w:val="00D30259"/>
    <w:rsid w:val="00D303ED"/>
    <w:rsid w:val="00D30676"/>
    <w:rsid w:val="00D3068D"/>
    <w:rsid w:val="00D30829"/>
    <w:rsid w:val="00D309BE"/>
    <w:rsid w:val="00D309D9"/>
    <w:rsid w:val="00D30A51"/>
    <w:rsid w:val="00D30B2C"/>
    <w:rsid w:val="00D30C4A"/>
    <w:rsid w:val="00D30E56"/>
    <w:rsid w:val="00D311D6"/>
    <w:rsid w:val="00D3127D"/>
    <w:rsid w:val="00D3154E"/>
    <w:rsid w:val="00D315E5"/>
    <w:rsid w:val="00D3163E"/>
    <w:rsid w:val="00D316FD"/>
    <w:rsid w:val="00D31859"/>
    <w:rsid w:val="00D31DC3"/>
    <w:rsid w:val="00D31F65"/>
    <w:rsid w:val="00D31F9C"/>
    <w:rsid w:val="00D31FA7"/>
    <w:rsid w:val="00D320B8"/>
    <w:rsid w:val="00D322C5"/>
    <w:rsid w:val="00D32353"/>
    <w:rsid w:val="00D323F3"/>
    <w:rsid w:val="00D324E8"/>
    <w:rsid w:val="00D326E8"/>
    <w:rsid w:val="00D327EF"/>
    <w:rsid w:val="00D32976"/>
    <w:rsid w:val="00D32CB8"/>
    <w:rsid w:val="00D32EB8"/>
    <w:rsid w:val="00D32EC3"/>
    <w:rsid w:val="00D33002"/>
    <w:rsid w:val="00D33008"/>
    <w:rsid w:val="00D330D0"/>
    <w:rsid w:val="00D33164"/>
    <w:rsid w:val="00D331B6"/>
    <w:rsid w:val="00D33288"/>
    <w:rsid w:val="00D33762"/>
    <w:rsid w:val="00D33906"/>
    <w:rsid w:val="00D33952"/>
    <w:rsid w:val="00D33A25"/>
    <w:rsid w:val="00D33D24"/>
    <w:rsid w:val="00D33DD6"/>
    <w:rsid w:val="00D33E77"/>
    <w:rsid w:val="00D340FB"/>
    <w:rsid w:val="00D341BA"/>
    <w:rsid w:val="00D3434E"/>
    <w:rsid w:val="00D343CD"/>
    <w:rsid w:val="00D34456"/>
    <w:rsid w:val="00D34658"/>
    <w:rsid w:val="00D347B3"/>
    <w:rsid w:val="00D34A52"/>
    <w:rsid w:val="00D34D74"/>
    <w:rsid w:val="00D34E51"/>
    <w:rsid w:val="00D34F27"/>
    <w:rsid w:val="00D34F95"/>
    <w:rsid w:val="00D35385"/>
    <w:rsid w:val="00D35532"/>
    <w:rsid w:val="00D3559E"/>
    <w:rsid w:val="00D35769"/>
    <w:rsid w:val="00D3595B"/>
    <w:rsid w:val="00D3599C"/>
    <w:rsid w:val="00D35C23"/>
    <w:rsid w:val="00D35E15"/>
    <w:rsid w:val="00D35E3D"/>
    <w:rsid w:val="00D35EDE"/>
    <w:rsid w:val="00D36010"/>
    <w:rsid w:val="00D36138"/>
    <w:rsid w:val="00D36292"/>
    <w:rsid w:val="00D362DC"/>
    <w:rsid w:val="00D36304"/>
    <w:rsid w:val="00D3638D"/>
    <w:rsid w:val="00D363EC"/>
    <w:rsid w:val="00D36409"/>
    <w:rsid w:val="00D365A7"/>
    <w:rsid w:val="00D365EC"/>
    <w:rsid w:val="00D36626"/>
    <w:rsid w:val="00D3680F"/>
    <w:rsid w:val="00D36AEE"/>
    <w:rsid w:val="00D36CF9"/>
    <w:rsid w:val="00D36DF9"/>
    <w:rsid w:val="00D36F29"/>
    <w:rsid w:val="00D3755E"/>
    <w:rsid w:val="00D377F9"/>
    <w:rsid w:val="00D378F4"/>
    <w:rsid w:val="00D379C5"/>
    <w:rsid w:val="00D37A54"/>
    <w:rsid w:val="00D37A65"/>
    <w:rsid w:val="00D37D69"/>
    <w:rsid w:val="00D37E5C"/>
    <w:rsid w:val="00D37F94"/>
    <w:rsid w:val="00D37FF4"/>
    <w:rsid w:val="00D40116"/>
    <w:rsid w:val="00D40818"/>
    <w:rsid w:val="00D4089B"/>
    <w:rsid w:val="00D408EE"/>
    <w:rsid w:val="00D408F3"/>
    <w:rsid w:val="00D40C40"/>
    <w:rsid w:val="00D40DD3"/>
    <w:rsid w:val="00D4141B"/>
    <w:rsid w:val="00D41425"/>
    <w:rsid w:val="00D41491"/>
    <w:rsid w:val="00D414FE"/>
    <w:rsid w:val="00D41621"/>
    <w:rsid w:val="00D41625"/>
    <w:rsid w:val="00D41641"/>
    <w:rsid w:val="00D41752"/>
    <w:rsid w:val="00D41896"/>
    <w:rsid w:val="00D41BF7"/>
    <w:rsid w:val="00D41C10"/>
    <w:rsid w:val="00D41CAB"/>
    <w:rsid w:val="00D41E7E"/>
    <w:rsid w:val="00D41E98"/>
    <w:rsid w:val="00D41FE2"/>
    <w:rsid w:val="00D4222E"/>
    <w:rsid w:val="00D422B6"/>
    <w:rsid w:val="00D42917"/>
    <w:rsid w:val="00D42B3E"/>
    <w:rsid w:val="00D42E97"/>
    <w:rsid w:val="00D42F21"/>
    <w:rsid w:val="00D43187"/>
    <w:rsid w:val="00D43634"/>
    <w:rsid w:val="00D437A0"/>
    <w:rsid w:val="00D438A0"/>
    <w:rsid w:val="00D4390E"/>
    <w:rsid w:val="00D4398E"/>
    <w:rsid w:val="00D43A73"/>
    <w:rsid w:val="00D43B86"/>
    <w:rsid w:val="00D43C04"/>
    <w:rsid w:val="00D43D02"/>
    <w:rsid w:val="00D43F67"/>
    <w:rsid w:val="00D440A7"/>
    <w:rsid w:val="00D440E1"/>
    <w:rsid w:val="00D4413B"/>
    <w:rsid w:val="00D4418D"/>
    <w:rsid w:val="00D444BA"/>
    <w:rsid w:val="00D44518"/>
    <w:rsid w:val="00D44521"/>
    <w:rsid w:val="00D44553"/>
    <w:rsid w:val="00D44664"/>
    <w:rsid w:val="00D44770"/>
    <w:rsid w:val="00D44890"/>
    <w:rsid w:val="00D44BD2"/>
    <w:rsid w:val="00D44F4D"/>
    <w:rsid w:val="00D451A9"/>
    <w:rsid w:val="00D451AC"/>
    <w:rsid w:val="00D45298"/>
    <w:rsid w:val="00D452DF"/>
    <w:rsid w:val="00D45314"/>
    <w:rsid w:val="00D45315"/>
    <w:rsid w:val="00D45388"/>
    <w:rsid w:val="00D45494"/>
    <w:rsid w:val="00D454B7"/>
    <w:rsid w:val="00D45569"/>
    <w:rsid w:val="00D45880"/>
    <w:rsid w:val="00D458CD"/>
    <w:rsid w:val="00D45A2F"/>
    <w:rsid w:val="00D45ADA"/>
    <w:rsid w:val="00D45CBD"/>
    <w:rsid w:val="00D45E21"/>
    <w:rsid w:val="00D45ECE"/>
    <w:rsid w:val="00D45F1E"/>
    <w:rsid w:val="00D45F29"/>
    <w:rsid w:val="00D45F3C"/>
    <w:rsid w:val="00D45FB1"/>
    <w:rsid w:val="00D46187"/>
    <w:rsid w:val="00D461B1"/>
    <w:rsid w:val="00D463EC"/>
    <w:rsid w:val="00D464AA"/>
    <w:rsid w:val="00D464DD"/>
    <w:rsid w:val="00D465A1"/>
    <w:rsid w:val="00D46645"/>
    <w:rsid w:val="00D466AF"/>
    <w:rsid w:val="00D466ED"/>
    <w:rsid w:val="00D46BC9"/>
    <w:rsid w:val="00D46CC3"/>
    <w:rsid w:val="00D46D5F"/>
    <w:rsid w:val="00D46D8B"/>
    <w:rsid w:val="00D46FDD"/>
    <w:rsid w:val="00D470A6"/>
    <w:rsid w:val="00D474DA"/>
    <w:rsid w:val="00D475EF"/>
    <w:rsid w:val="00D47633"/>
    <w:rsid w:val="00D4766B"/>
    <w:rsid w:val="00D476EE"/>
    <w:rsid w:val="00D47955"/>
    <w:rsid w:val="00D47971"/>
    <w:rsid w:val="00D47AA4"/>
    <w:rsid w:val="00D47AE4"/>
    <w:rsid w:val="00D47B56"/>
    <w:rsid w:val="00D47BA2"/>
    <w:rsid w:val="00D47C25"/>
    <w:rsid w:val="00D47CB7"/>
    <w:rsid w:val="00D47ECB"/>
    <w:rsid w:val="00D47EE0"/>
    <w:rsid w:val="00D47F56"/>
    <w:rsid w:val="00D47F5D"/>
    <w:rsid w:val="00D50008"/>
    <w:rsid w:val="00D50311"/>
    <w:rsid w:val="00D5034A"/>
    <w:rsid w:val="00D50385"/>
    <w:rsid w:val="00D50488"/>
    <w:rsid w:val="00D50694"/>
    <w:rsid w:val="00D50912"/>
    <w:rsid w:val="00D50A42"/>
    <w:rsid w:val="00D50C81"/>
    <w:rsid w:val="00D50C8E"/>
    <w:rsid w:val="00D50CB3"/>
    <w:rsid w:val="00D511F4"/>
    <w:rsid w:val="00D51713"/>
    <w:rsid w:val="00D5183F"/>
    <w:rsid w:val="00D51879"/>
    <w:rsid w:val="00D51B8F"/>
    <w:rsid w:val="00D51C0B"/>
    <w:rsid w:val="00D51D44"/>
    <w:rsid w:val="00D52039"/>
    <w:rsid w:val="00D5238D"/>
    <w:rsid w:val="00D52510"/>
    <w:rsid w:val="00D5251F"/>
    <w:rsid w:val="00D52645"/>
    <w:rsid w:val="00D529AE"/>
    <w:rsid w:val="00D52A26"/>
    <w:rsid w:val="00D52A8D"/>
    <w:rsid w:val="00D52AE9"/>
    <w:rsid w:val="00D52B3F"/>
    <w:rsid w:val="00D52C40"/>
    <w:rsid w:val="00D52DDC"/>
    <w:rsid w:val="00D531B2"/>
    <w:rsid w:val="00D532A3"/>
    <w:rsid w:val="00D533A2"/>
    <w:rsid w:val="00D533A6"/>
    <w:rsid w:val="00D53550"/>
    <w:rsid w:val="00D5364E"/>
    <w:rsid w:val="00D53687"/>
    <w:rsid w:val="00D537A4"/>
    <w:rsid w:val="00D538FD"/>
    <w:rsid w:val="00D53D91"/>
    <w:rsid w:val="00D540CA"/>
    <w:rsid w:val="00D54104"/>
    <w:rsid w:val="00D5416A"/>
    <w:rsid w:val="00D542E5"/>
    <w:rsid w:val="00D54458"/>
    <w:rsid w:val="00D545D1"/>
    <w:rsid w:val="00D54601"/>
    <w:rsid w:val="00D546A2"/>
    <w:rsid w:val="00D54DDC"/>
    <w:rsid w:val="00D54E05"/>
    <w:rsid w:val="00D54ED3"/>
    <w:rsid w:val="00D54EF6"/>
    <w:rsid w:val="00D55093"/>
    <w:rsid w:val="00D55200"/>
    <w:rsid w:val="00D55279"/>
    <w:rsid w:val="00D553D9"/>
    <w:rsid w:val="00D554C8"/>
    <w:rsid w:val="00D55509"/>
    <w:rsid w:val="00D5550D"/>
    <w:rsid w:val="00D55645"/>
    <w:rsid w:val="00D5564A"/>
    <w:rsid w:val="00D557E8"/>
    <w:rsid w:val="00D558DB"/>
    <w:rsid w:val="00D55B52"/>
    <w:rsid w:val="00D55BBF"/>
    <w:rsid w:val="00D55CDC"/>
    <w:rsid w:val="00D55E2E"/>
    <w:rsid w:val="00D55E58"/>
    <w:rsid w:val="00D55E5C"/>
    <w:rsid w:val="00D55ED2"/>
    <w:rsid w:val="00D5606A"/>
    <w:rsid w:val="00D56159"/>
    <w:rsid w:val="00D56547"/>
    <w:rsid w:val="00D5656F"/>
    <w:rsid w:val="00D567C4"/>
    <w:rsid w:val="00D5698A"/>
    <w:rsid w:val="00D56BF0"/>
    <w:rsid w:val="00D56CCC"/>
    <w:rsid w:val="00D56D97"/>
    <w:rsid w:val="00D56EB9"/>
    <w:rsid w:val="00D56FB3"/>
    <w:rsid w:val="00D56FC1"/>
    <w:rsid w:val="00D56FEC"/>
    <w:rsid w:val="00D57000"/>
    <w:rsid w:val="00D5701D"/>
    <w:rsid w:val="00D57132"/>
    <w:rsid w:val="00D5713F"/>
    <w:rsid w:val="00D57181"/>
    <w:rsid w:val="00D5721F"/>
    <w:rsid w:val="00D57243"/>
    <w:rsid w:val="00D572B7"/>
    <w:rsid w:val="00D57456"/>
    <w:rsid w:val="00D5748D"/>
    <w:rsid w:val="00D57825"/>
    <w:rsid w:val="00D57AC2"/>
    <w:rsid w:val="00D57B13"/>
    <w:rsid w:val="00D57E75"/>
    <w:rsid w:val="00D57F14"/>
    <w:rsid w:val="00D57F23"/>
    <w:rsid w:val="00D57FE0"/>
    <w:rsid w:val="00D600EB"/>
    <w:rsid w:val="00D600FD"/>
    <w:rsid w:val="00D60183"/>
    <w:rsid w:val="00D6027E"/>
    <w:rsid w:val="00D60326"/>
    <w:rsid w:val="00D6035A"/>
    <w:rsid w:val="00D6063B"/>
    <w:rsid w:val="00D60A1F"/>
    <w:rsid w:val="00D60B04"/>
    <w:rsid w:val="00D60D0D"/>
    <w:rsid w:val="00D60D44"/>
    <w:rsid w:val="00D60F43"/>
    <w:rsid w:val="00D61019"/>
    <w:rsid w:val="00D610F5"/>
    <w:rsid w:val="00D61441"/>
    <w:rsid w:val="00D6146B"/>
    <w:rsid w:val="00D61579"/>
    <w:rsid w:val="00D615AB"/>
    <w:rsid w:val="00D615D3"/>
    <w:rsid w:val="00D61693"/>
    <w:rsid w:val="00D61743"/>
    <w:rsid w:val="00D61750"/>
    <w:rsid w:val="00D617B7"/>
    <w:rsid w:val="00D617D0"/>
    <w:rsid w:val="00D6198D"/>
    <w:rsid w:val="00D61A63"/>
    <w:rsid w:val="00D61AC1"/>
    <w:rsid w:val="00D61B65"/>
    <w:rsid w:val="00D61F67"/>
    <w:rsid w:val="00D61FC7"/>
    <w:rsid w:val="00D62007"/>
    <w:rsid w:val="00D62395"/>
    <w:rsid w:val="00D624DD"/>
    <w:rsid w:val="00D62609"/>
    <w:rsid w:val="00D62746"/>
    <w:rsid w:val="00D6295E"/>
    <w:rsid w:val="00D629BC"/>
    <w:rsid w:val="00D62CBF"/>
    <w:rsid w:val="00D62E09"/>
    <w:rsid w:val="00D62E35"/>
    <w:rsid w:val="00D62EA0"/>
    <w:rsid w:val="00D6313C"/>
    <w:rsid w:val="00D6314A"/>
    <w:rsid w:val="00D632FE"/>
    <w:rsid w:val="00D63555"/>
    <w:rsid w:val="00D636BC"/>
    <w:rsid w:val="00D6376B"/>
    <w:rsid w:val="00D6381A"/>
    <w:rsid w:val="00D63876"/>
    <w:rsid w:val="00D638EC"/>
    <w:rsid w:val="00D63A60"/>
    <w:rsid w:val="00D63AE3"/>
    <w:rsid w:val="00D63B66"/>
    <w:rsid w:val="00D63BDF"/>
    <w:rsid w:val="00D63C09"/>
    <w:rsid w:val="00D63D43"/>
    <w:rsid w:val="00D63D4A"/>
    <w:rsid w:val="00D63DC4"/>
    <w:rsid w:val="00D63E7E"/>
    <w:rsid w:val="00D63FA1"/>
    <w:rsid w:val="00D63FEC"/>
    <w:rsid w:val="00D64225"/>
    <w:rsid w:val="00D643A6"/>
    <w:rsid w:val="00D643A7"/>
    <w:rsid w:val="00D643B8"/>
    <w:rsid w:val="00D643FB"/>
    <w:rsid w:val="00D6447F"/>
    <w:rsid w:val="00D6458A"/>
    <w:rsid w:val="00D6467E"/>
    <w:rsid w:val="00D648EF"/>
    <w:rsid w:val="00D65027"/>
    <w:rsid w:val="00D65166"/>
    <w:rsid w:val="00D6528B"/>
    <w:rsid w:val="00D652E0"/>
    <w:rsid w:val="00D65661"/>
    <w:rsid w:val="00D656B7"/>
    <w:rsid w:val="00D65AD8"/>
    <w:rsid w:val="00D65B13"/>
    <w:rsid w:val="00D65B24"/>
    <w:rsid w:val="00D65D3E"/>
    <w:rsid w:val="00D65F7B"/>
    <w:rsid w:val="00D6600B"/>
    <w:rsid w:val="00D661A3"/>
    <w:rsid w:val="00D66214"/>
    <w:rsid w:val="00D6636A"/>
    <w:rsid w:val="00D667A9"/>
    <w:rsid w:val="00D669DB"/>
    <w:rsid w:val="00D669DC"/>
    <w:rsid w:val="00D66A13"/>
    <w:rsid w:val="00D66AF4"/>
    <w:rsid w:val="00D66B3C"/>
    <w:rsid w:val="00D66D82"/>
    <w:rsid w:val="00D66E9B"/>
    <w:rsid w:val="00D6707F"/>
    <w:rsid w:val="00D67207"/>
    <w:rsid w:val="00D678BE"/>
    <w:rsid w:val="00D67B50"/>
    <w:rsid w:val="00D67E06"/>
    <w:rsid w:val="00D67F1C"/>
    <w:rsid w:val="00D67F65"/>
    <w:rsid w:val="00D70655"/>
    <w:rsid w:val="00D7066F"/>
    <w:rsid w:val="00D70689"/>
    <w:rsid w:val="00D70889"/>
    <w:rsid w:val="00D709E0"/>
    <w:rsid w:val="00D70B76"/>
    <w:rsid w:val="00D70C11"/>
    <w:rsid w:val="00D70DA7"/>
    <w:rsid w:val="00D70ECF"/>
    <w:rsid w:val="00D70F2D"/>
    <w:rsid w:val="00D70FF2"/>
    <w:rsid w:val="00D71025"/>
    <w:rsid w:val="00D7116B"/>
    <w:rsid w:val="00D71236"/>
    <w:rsid w:val="00D7126B"/>
    <w:rsid w:val="00D7164B"/>
    <w:rsid w:val="00D7166A"/>
    <w:rsid w:val="00D71679"/>
    <w:rsid w:val="00D717A6"/>
    <w:rsid w:val="00D71846"/>
    <w:rsid w:val="00D7187C"/>
    <w:rsid w:val="00D71A5D"/>
    <w:rsid w:val="00D71B2B"/>
    <w:rsid w:val="00D71EB7"/>
    <w:rsid w:val="00D71F6D"/>
    <w:rsid w:val="00D720D3"/>
    <w:rsid w:val="00D720FA"/>
    <w:rsid w:val="00D72197"/>
    <w:rsid w:val="00D7233F"/>
    <w:rsid w:val="00D7264D"/>
    <w:rsid w:val="00D7280E"/>
    <w:rsid w:val="00D72A42"/>
    <w:rsid w:val="00D72A59"/>
    <w:rsid w:val="00D72C2E"/>
    <w:rsid w:val="00D72CC5"/>
    <w:rsid w:val="00D72DE3"/>
    <w:rsid w:val="00D72E04"/>
    <w:rsid w:val="00D730AE"/>
    <w:rsid w:val="00D7351D"/>
    <w:rsid w:val="00D735EA"/>
    <w:rsid w:val="00D736AC"/>
    <w:rsid w:val="00D7375E"/>
    <w:rsid w:val="00D737E2"/>
    <w:rsid w:val="00D73AA8"/>
    <w:rsid w:val="00D73AE2"/>
    <w:rsid w:val="00D73B94"/>
    <w:rsid w:val="00D73C07"/>
    <w:rsid w:val="00D73C50"/>
    <w:rsid w:val="00D73CF2"/>
    <w:rsid w:val="00D73D7A"/>
    <w:rsid w:val="00D73E25"/>
    <w:rsid w:val="00D73E88"/>
    <w:rsid w:val="00D73F97"/>
    <w:rsid w:val="00D74114"/>
    <w:rsid w:val="00D74298"/>
    <w:rsid w:val="00D743AE"/>
    <w:rsid w:val="00D743F7"/>
    <w:rsid w:val="00D7450D"/>
    <w:rsid w:val="00D74676"/>
    <w:rsid w:val="00D746C0"/>
    <w:rsid w:val="00D749A6"/>
    <w:rsid w:val="00D74BAD"/>
    <w:rsid w:val="00D74CE2"/>
    <w:rsid w:val="00D74E2F"/>
    <w:rsid w:val="00D74E33"/>
    <w:rsid w:val="00D74E82"/>
    <w:rsid w:val="00D752C8"/>
    <w:rsid w:val="00D755AD"/>
    <w:rsid w:val="00D755F6"/>
    <w:rsid w:val="00D75723"/>
    <w:rsid w:val="00D7586A"/>
    <w:rsid w:val="00D7590A"/>
    <w:rsid w:val="00D75B4C"/>
    <w:rsid w:val="00D75C23"/>
    <w:rsid w:val="00D75E7F"/>
    <w:rsid w:val="00D75EBC"/>
    <w:rsid w:val="00D75FCE"/>
    <w:rsid w:val="00D761DA"/>
    <w:rsid w:val="00D7653C"/>
    <w:rsid w:val="00D766E9"/>
    <w:rsid w:val="00D767DD"/>
    <w:rsid w:val="00D76B30"/>
    <w:rsid w:val="00D76D11"/>
    <w:rsid w:val="00D76D96"/>
    <w:rsid w:val="00D772BB"/>
    <w:rsid w:val="00D77315"/>
    <w:rsid w:val="00D774EF"/>
    <w:rsid w:val="00D777C0"/>
    <w:rsid w:val="00D77A3A"/>
    <w:rsid w:val="00D77C9A"/>
    <w:rsid w:val="00D77F8C"/>
    <w:rsid w:val="00D77F96"/>
    <w:rsid w:val="00D801CD"/>
    <w:rsid w:val="00D80246"/>
    <w:rsid w:val="00D802A5"/>
    <w:rsid w:val="00D80391"/>
    <w:rsid w:val="00D804EA"/>
    <w:rsid w:val="00D8071A"/>
    <w:rsid w:val="00D809D1"/>
    <w:rsid w:val="00D80B92"/>
    <w:rsid w:val="00D80C30"/>
    <w:rsid w:val="00D80D4C"/>
    <w:rsid w:val="00D80E3F"/>
    <w:rsid w:val="00D80E90"/>
    <w:rsid w:val="00D80F45"/>
    <w:rsid w:val="00D80F4F"/>
    <w:rsid w:val="00D81081"/>
    <w:rsid w:val="00D8140C"/>
    <w:rsid w:val="00D81425"/>
    <w:rsid w:val="00D814A7"/>
    <w:rsid w:val="00D8154C"/>
    <w:rsid w:val="00D8168F"/>
    <w:rsid w:val="00D81708"/>
    <w:rsid w:val="00D8171A"/>
    <w:rsid w:val="00D8173E"/>
    <w:rsid w:val="00D8188B"/>
    <w:rsid w:val="00D81986"/>
    <w:rsid w:val="00D81BD2"/>
    <w:rsid w:val="00D81F66"/>
    <w:rsid w:val="00D81FD6"/>
    <w:rsid w:val="00D82274"/>
    <w:rsid w:val="00D82476"/>
    <w:rsid w:val="00D8259F"/>
    <w:rsid w:val="00D8270D"/>
    <w:rsid w:val="00D827F1"/>
    <w:rsid w:val="00D82913"/>
    <w:rsid w:val="00D829DE"/>
    <w:rsid w:val="00D82BD0"/>
    <w:rsid w:val="00D82D2D"/>
    <w:rsid w:val="00D82E0C"/>
    <w:rsid w:val="00D830F1"/>
    <w:rsid w:val="00D8310E"/>
    <w:rsid w:val="00D83170"/>
    <w:rsid w:val="00D83323"/>
    <w:rsid w:val="00D8333C"/>
    <w:rsid w:val="00D8340F"/>
    <w:rsid w:val="00D83448"/>
    <w:rsid w:val="00D8346B"/>
    <w:rsid w:val="00D83A99"/>
    <w:rsid w:val="00D83BA6"/>
    <w:rsid w:val="00D83CFD"/>
    <w:rsid w:val="00D83DBB"/>
    <w:rsid w:val="00D83F62"/>
    <w:rsid w:val="00D83FE8"/>
    <w:rsid w:val="00D8408C"/>
    <w:rsid w:val="00D840DA"/>
    <w:rsid w:val="00D8421A"/>
    <w:rsid w:val="00D845A1"/>
    <w:rsid w:val="00D84709"/>
    <w:rsid w:val="00D8471A"/>
    <w:rsid w:val="00D8474D"/>
    <w:rsid w:val="00D84764"/>
    <w:rsid w:val="00D84A74"/>
    <w:rsid w:val="00D84B10"/>
    <w:rsid w:val="00D84B8E"/>
    <w:rsid w:val="00D84E5E"/>
    <w:rsid w:val="00D84F3B"/>
    <w:rsid w:val="00D853F7"/>
    <w:rsid w:val="00D854C9"/>
    <w:rsid w:val="00D85913"/>
    <w:rsid w:val="00D85B59"/>
    <w:rsid w:val="00D85E06"/>
    <w:rsid w:val="00D85E97"/>
    <w:rsid w:val="00D85F40"/>
    <w:rsid w:val="00D8624F"/>
    <w:rsid w:val="00D8628B"/>
    <w:rsid w:val="00D864FB"/>
    <w:rsid w:val="00D8667E"/>
    <w:rsid w:val="00D869F0"/>
    <w:rsid w:val="00D86A59"/>
    <w:rsid w:val="00D86C95"/>
    <w:rsid w:val="00D86FA6"/>
    <w:rsid w:val="00D8715A"/>
    <w:rsid w:val="00D873A5"/>
    <w:rsid w:val="00D874A3"/>
    <w:rsid w:val="00D874EA"/>
    <w:rsid w:val="00D8752C"/>
    <w:rsid w:val="00D876C4"/>
    <w:rsid w:val="00D876CB"/>
    <w:rsid w:val="00D876D4"/>
    <w:rsid w:val="00D876EE"/>
    <w:rsid w:val="00D87709"/>
    <w:rsid w:val="00D87765"/>
    <w:rsid w:val="00D877E3"/>
    <w:rsid w:val="00D877F3"/>
    <w:rsid w:val="00D879A3"/>
    <w:rsid w:val="00D87A11"/>
    <w:rsid w:val="00D87A2A"/>
    <w:rsid w:val="00D87BFA"/>
    <w:rsid w:val="00D87D60"/>
    <w:rsid w:val="00D87F11"/>
    <w:rsid w:val="00D87F36"/>
    <w:rsid w:val="00D87F68"/>
    <w:rsid w:val="00D87F77"/>
    <w:rsid w:val="00D9001A"/>
    <w:rsid w:val="00D90100"/>
    <w:rsid w:val="00D903C1"/>
    <w:rsid w:val="00D90404"/>
    <w:rsid w:val="00D9052D"/>
    <w:rsid w:val="00D9060F"/>
    <w:rsid w:val="00D90811"/>
    <w:rsid w:val="00D90980"/>
    <w:rsid w:val="00D90A67"/>
    <w:rsid w:val="00D90AE5"/>
    <w:rsid w:val="00D90BD2"/>
    <w:rsid w:val="00D91049"/>
    <w:rsid w:val="00D910D2"/>
    <w:rsid w:val="00D911C0"/>
    <w:rsid w:val="00D912EA"/>
    <w:rsid w:val="00D9142E"/>
    <w:rsid w:val="00D916E8"/>
    <w:rsid w:val="00D91803"/>
    <w:rsid w:val="00D91895"/>
    <w:rsid w:val="00D91A1D"/>
    <w:rsid w:val="00D91B4D"/>
    <w:rsid w:val="00D91BCA"/>
    <w:rsid w:val="00D91BCB"/>
    <w:rsid w:val="00D91D59"/>
    <w:rsid w:val="00D91D85"/>
    <w:rsid w:val="00D91DA7"/>
    <w:rsid w:val="00D91E2D"/>
    <w:rsid w:val="00D91E45"/>
    <w:rsid w:val="00D91F35"/>
    <w:rsid w:val="00D91F5A"/>
    <w:rsid w:val="00D9234A"/>
    <w:rsid w:val="00D924DD"/>
    <w:rsid w:val="00D92513"/>
    <w:rsid w:val="00D925A8"/>
    <w:rsid w:val="00D92AC7"/>
    <w:rsid w:val="00D92DCD"/>
    <w:rsid w:val="00D92E16"/>
    <w:rsid w:val="00D92F3E"/>
    <w:rsid w:val="00D92F99"/>
    <w:rsid w:val="00D92FFD"/>
    <w:rsid w:val="00D9307B"/>
    <w:rsid w:val="00D93197"/>
    <w:rsid w:val="00D931C4"/>
    <w:rsid w:val="00D933C8"/>
    <w:rsid w:val="00D934B8"/>
    <w:rsid w:val="00D93509"/>
    <w:rsid w:val="00D936CE"/>
    <w:rsid w:val="00D93761"/>
    <w:rsid w:val="00D93933"/>
    <w:rsid w:val="00D93934"/>
    <w:rsid w:val="00D93AA3"/>
    <w:rsid w:val="00D93BE9"/>
    <w:rsid w:val="00D93BF2"/>
    <w:rsid w:val="00D93BFD"/>
    <w:rsid w:val="00D93CAA"/>
    <w:rsid w:val="00D93D80"/>
    <w:rsid w:val="00D93E08"/>
    <w:rsid w:val="00D93F03"/>
    <w:rsid w:val="00D94001"/>
    <w:rsid w:val="00D94075"/>
    <w:rsid w:val="00D9412C"/>
    <w:rsid w:val="00D942FF"/>
    <w:rsid w:val="00D94747"/>
    <w:rsid w:val="00D94777"/>
    <w:rsid w:val="00D947A7"/>
    <w:rsid w:val="00D948B9"/>
    <w:rsid w:val="00D94A6E"/>
    <w:rsid w:val="00D94A84"/>
    <w:rsid w:val="00D94B05"/>
    <w:rsid w:val="00D94D91"/>
    <w:rsid w:val="00D9501A"/>
    <w:rsid w:val="00D9519E"/>
    <w:rsid w:val="00D9536A"/>
    <w:rsid w:val="00D953FA"/>
    <w:rsid w:val="00D9568D"/>
    <w:rsid w:val="00D9594C"/>
    <w:rsid w:val="00D959BF"/>
    <w:rsid w:val="00D95DAE"/>
    <w:rsid w:val="00D95FBB"/>
    <w:rsid w:val="00D96005"/>
    <w:rsid w:val="00D9612D"/>
    <w:rsid w:val="00D96589"/>
    <w:rsid w:val="00D965AF"/>
    <w:rsid w:val="00D9688B"/>
    <w:rsid w:val="00D968DF"/>
    <w:rsid w:val="00D96996"/>
    <w:rsid w:val="00D96CD5"/>
    <w:rsid w:val="00D96CDB"/>
    <w:rsid w:val="00D96D87"/>
    <w:rsid w:val="00D96DFB"/>
    <w:rsid w:val="00D96EE5"/>
    <w:rsid w:val="00D970B3"/>
    <w:rsid w:val="00D9718B"/>
    <w:rsid w:val="00D971D1"/>
    <w:rsid w:val="00D972B1"/>
    <w:rsid w:val="00D9734C"/>
    <w:rsid w:val="00D9755A"/>
    <w:rsid w:val="00D97E1B"/>
    <w:rsid w:val="00D97FCB"/>
    <w:rsid w:val="00DA0000"/>
    <w:rsid w:val="00DA0016"/>
    <w:rsid w:val="00DA001D"/>
    <w:rsid w:val="00DA007B"/>
    <w:rsid w:val="00DA0133"/>
    <w:rsid w:val="00DA021F"/>
    <w:rsid w:val="00DA0275"/>
    <w:rsid w:val="00DA02AD"/>
    <w:rsid w:val="00DA0749"/>
    <w:rsid w:val="00DA076D"/>
    <w:rsid w:val="00DA07F1"/>
    <w:rsid w:val="00DA096C"/>
    <w:rsid w:val="00DA098C"/>
    <w:rsid w:val="00DA0A87"/>
    <w:rsid w:val="00DA0B47"/>
    <w:rsid w:val="00DA0E97"/>
    <w:rsid w:val="00DA0FBB"/>
    <w:rsid w:val="00DA102A"/>
    <w:rsid w:val="00DA11D9"/>
    <w:rsid w:val="00DA14AA"/>
    <w:rsid w:val="00DA17B2"/>
    <w:rsid w:val="00DA17B6"/>
    <w:rsid w:val="00DA195B"/>
    <w:rsid w:val="00DA198E"/>
    <w:rsid w:val="00DA19E6"/>
    <w:rsid w:val="00DA1A42"/>
    <w:rsid w:val="00DA1BE9"/>
    <w:rsid w:val="00DA1CDE"/>
    <w:rsid w:val="00DA1E8D"/>
    <w:rsid w:val="00DA1FBF"/>
    <w:rsid w:val="00DA1FD1"/>
    <w:rsid w:val="00DA2179"/>
    <w:rsid w:val="00DA2561"/>
    <w:rsid w:val="00DA2618"/>
    <w:rsid w:val="00DA2732"/>
    <w:rsid w:val="00DA27C5"/>
    <w:rsid w:val="00DA2811"/>
    <w:rsid w:val="00DA28E7"/>
    <w:rsid w:val="00DA2928"/>
    <w:rsid w:val="00DA292F"/>
    <w:rsid w:val="00DA29C5"/>
    <w:rsid w:val="00DA311B"/>
    <w:rsid w:val="00DA323E"/>
    <w:rsid w:val="00DA355C"/>
    <w:rsid w:val="00DA3959"/>
    <w:rsid w:val="00DA3BB0"/>
    <w:rsid w:val="00DA3D53"/>
    <w:rsid w:val="00DA3DC6"/>
    <w:rsid w:val="00DA416C"/>
    <w:rsid w:val="00DA41C9"/>
    <w:rsid w:val="00DA443D"/>
    <w:rsid w:val="00DA4468"/>
    <w:rsid w:val="00DA4471"/>
    <w:rsid w:val="00DA457B"/>
    <w:rsid w:val="00DA45E0"/>
    <w:rsid w:val="00DA46A0"/>
    <w:rsid w:val="00DA48D1"/>
    <w:rsid w:val="00DA48F1"/>
    <w:rsid w:val="00DA49A9"/>
    <w:rsid w:val="00DA4A96"/>
    <w:rsid w:val="00DA4B0C"/>
    <w:rsid w:val="00DA4B4F"/>
    <w:rsid w:val="00DA4BC4"/>
    <w:rsid w:val="00DA4EDE"/>
    <w:rsid w:val="00DA515D"/>
    <w:rsid w:val="00DA52EE"/>
    <w:rsid w:val="00DA5321"/>
    <w:rsid w:val="00DA53EC"/>
    <w:rsid w:val="00DA579E"/>
    <w:rsid w:val="00DA5858"/>
    <w:rsid w:val="00DA586B"/>
    <w:rsid w:val="00DA5890"/>
    <w:rsid w:val="00DA59EA"/>
    <w:rsid w:val="00DA5B02"/>
    <w:rsid w:val="00DA5BBF"/>
    <w:rsid w:val="00DA5C67"/>
    <w:rsid w:val="00DA5D56"/>
    <w:rsid w:val="00DA5E20"/>
    <w:rsid w:val="00DA5E2B"/>
    <w:rsid w:val="00DA6533"/>
    <w:rsid w:val="00DA6668"/>
    <w:rsid w:val="00DA66EB"/>
    <w:rsid w:val="00DA68D1"/>
    <w:rsid w:val="00DA6B8E"/>
    <w:rsid w:val="00DA6C63"/>
    <w:rsid w:val="00DA6C98"/>
    <w:rsid w:val="00DA6D8D"/>
    <w:rsid w:val="00DA6DD0"/>
    <w:rsid w:val="00DA6E9E"/>
    <w:rsid w:val="00DA6ED6"/>
    <w:rsid w:val="00DA6EE1"/>
    <w:rsid w:val="00DA6FAD"/>
    <w:rsid w:val="00DA6FD7"/>
    <w:rsid w:val="00DA713A"/>
    <w:rsid w:val="00DA73BF"/>
    <w:rsid w:val="00DA73E8"/>
    <w:rsid w:val="00DA7453"/>
    <w:rsid w:val="00DA7511"/>
    <w:rsid w:val="00DA75F5"/>
    <w:rsid w:val="00DA7608"/>
    <w:rsid w:val="00DA77F3"/>
    <w:rsid w:val="00DA7AA8"/>
    <w:rsid w:val="00DA7AC4"/>
    <w:rsid w:val="00DA7B61"/>
    <w:rsid w:val="00DA7CEB"/>
    <w:rsid w:val="00DA7DEF"/>
    <w:rsid w:val="00DB0211"/>
    <w:rsid w:val="00DB03B0"/>
    <w:rsid w:val="00DB04B5"/>
    <w:rsid w:val="00DB06B2"/>
    <w:rsid w:val="00DB0B70"/>
    <w:rsid w:val="00DB0DF3"/>
    <w:rsid w:val="00DB1021"/>
    <w:rsid w:val="00DB10DB"/>
    <w:rsid w:val="00DB11FA"/>
    <w:rsid w:val="00DB1274"/>
    <w:rsid w:val="00DB1443"/>
    <w:rsid w:val="00DB15D1"/>
    <w:rsid w:val="00DB15ED"/>
    <w:rsid w:val="00DB1742"/>
    <w:rsid w:val="00DB1763"/>
    <w:rsid w:val="00DB1769"/>
    <w:rsid w:val="00DB18E7"/>
    <w:rsid w:val="00DB1950"/>
    <w:rsid w:val="00DB19B2"/>
    <w:rsid w:val="00DB19F0"/>
    <w:rsid w:val="00DB1BEB"/>
    <w:rsid w:val="00DB1CB5"/>
    <w:rsid w:val="00DB1CC7"/>
    <w:rsid w:val="00DB1E26"/>
    <w:rsid w:val="00DB22EA"/>
    <w:rsid w:val="00DB23B7"/>
    <w:rsid w:val="00DB243F"/>
    <w:rsid w:val="00DB2544"/>
    <w:rsid w:val="00DB260B"/>
    <w:rsid w:val="00DB26F3"/>
    <w:rsid w:val="00DB28BA"/>
    <w:rsid w:val="00DB2A2F"/>
    <w:rsid w:val="00DB2B33"/>
    <w:rsid w:val="00DB2B96"/>
    <w:rsid w:val="00DB2CC3"/>
    <w:rsid w:val="00DB32B5"/>
    <w:rsid w:val="00DB3495"/>
    <w:rsid w:val="00DB34D3"/>
    <w:rsid w:val="00DB37F1"/>
    <w:rsid w:val="00DB38DB"/>
    <w:rsid w:val="00DB3BCA"/>
    <w:rsid w:val="00DB3E61"/>
    <w:rsid w:val="00DB3F50"/>
    <w:rsid w:val="00DB3F7E"/>
    <w:rsid w:val="00DB401F"/>
    <w:rsid w:val="00DB412F"/>
    <w:rsid w:val="00DB41BE"/>
    <w:rsid w:val="00DB42DE"/>
    <w:rsid w:val="00DB4498"/>
    <w:rsid w:val="00DB4506"/>
    <w:rsid w:val="00DB46C2"/>
    <w:rsid w:val="00DB46FB"/>
    <w:rsid w:val="00DB470A"/>
    <w:rsid w:val="00DB48CA"/>
    <w:rsid w:val="00DB4981"/>
    <w:rsid w:val="00DB49BE"/>
    <w:rsid w:val="00DB4BA5"/>
    <w:rsid w:val="00DB4BBB"/>
    <w:rsid w:val="00DB4F8F"/>
    <w:rsid w:val="00DB4FBB"/>
    <w:rsid w:val="00DB4FD9"/>
    <w:rsid w:val="00DB5063"/>
    <w:rsid w:val="00DB5230"/>
    <w:rsid w:val="00DB562B"/>
    <w:rsid w:val="00DB5651"/>
    <w:rsid w:val="00DB5849"/>
    <w:rsid w:val="00DB5885"/>
    <w:rsid w:val="00DB5A58"/>
    <w:rsid w:val="00DB5BC9"/>
    <w:rsid w:val="00DB5E1D"/>
    <w:rsid w:val="00DB5E21"/>
    <w:rsid w:val="00DB5EC0"/>
    <w:rsid w:val="00DB6096"/>
    <w:rsid w:val="00DB6417"/>
    <w:rsid w:val="00DB654F"/>
    <w:rsid w:val="00DB65BF"/>
    <w:rsid w:val="00DB65DE"/>
    <w:rsid w:val="00DB68FF"/>
    <w:rsid w:val="00DB6B75"/>
    <w:rsid w:val="00DB6BE1"/>
    <w:rsid w:val="00DB6C79"/>
    <w:rsid w:val="00DB6C83"/>
    <w:rsid w:val="00DB7360"/>
    <w:rsid w:val="00DB7380"/>
    <w:rsid w:val="00DB7435"/>
    <w:rsid w:val="00DB7520"/>
    <w:rsid w:val="00DB75E8"/>
    <w:rsid w:val="00DB76AB"/>
    <w:rsid w:val="00DB7704"/>
    <w:rsid w:val="00DB77C7"/>
    <w:rsid w:val="00DB79FE"/>
    <w:rsid w:val="00DB7A12"/>
    <w:rsid w:val="00DB7C57"/>
    <w:rsid w:val="00DB7ED2"/>
    <w:rsid w:val="00DC0039"/>
    <w:rsid w:val="00DC0055"/>
    <w:rsid w:val="00DC01A8"/>
    <w:rsid w:val="00DC02BD"/>
    <w:rsid w:val="00DC02DA"/>
    <w:rsid w:val="00DC076E"/>
    <w:rsid w:val="00DC08D1"/>
    <w:rsid w:val="00DC090F"/>
    <w:rsid w:val="00DC097B"/>
    <w:rsid w:val="00DC0FF5"/>
    <w:rsid w:val="00DC10A6"/>
    <w:rsid w:val="00DC121B"/>
    <w:rsid w:val="00DC12C3"/>
    <w:rsid w:val="00DC13A4"/>
    <w:rsid w:val="00DC15DE"/>
    <w:rsid w:val="00DC1667"/>
    <w:rsid w:val="00DC1844"/>
    <w:rsid w:val="00DC1A1E"/>
    <w:rsid w:val="00DC1B73"/>
    <w:rsid w:val="00DC1BFF"/>
    <w:rsid w:val="00DC1C08"/>
    <w:rsid w:val="00DC1CFE"/>
    <w:rsid w:val="00DC1D62"/>
    <w:rsid w:val="00DC1F34"/>
    <w:rsid w:val="00DC208D"/>
    <w:rsid w:val="00DC2100"/>
    <w:rsid w:val="00DC2207"/>
    <w:rsid w:val="00DC2362"/>
    <w:rsid w:val="00DC2636"/>
    <w:rsid w:val="00DC26D2"/>
    <w:rsid w:val="00DC2787"/>
    <w:rsid w:val="00DC2A9A"/>
    <w:rsid w:val="00DC2ACF"/>
    <w:rsid w:val="00DC2ADC"/>
    <w:rsid w:val="00DC2B3D"/>
    <w:rsid w:val="00DC2B60"/>
    <w:rsid w:val="00DC2C1A"/>
    <w:rsid w:val="00DC2C6A"/>
    <w:rsid w:val="00DC2D15"/>
    <w:rsid w:val="00DC2FF2"/>
    <w:rsid w:val="00DC3055"/>
    <w:rsid w:val="00DC30F1"/>
    <w:rsid w:val="00DC3406"/>
    <w:rsid w:val="00DC3471"/>
    <w:rsid w:val="00DC396E"/>
    <w:rsid w:val="00DC3A68"/>
    <w:rsid w:val="00DC3B69"/>
    <w:rsid w:val="00DC3BA4"/>
    <w:rsid w:val="00DC3C00"/>
    <w:rsid w:val="00DC3E65"/>
    <w:rsid w:val="00DC3E96"/>
    <w:rsid w:val="00DC3EB0"/>
    <w:rsid w:val="00DC410D"/>
    <w:rsid w:val="00DC41A5"/>
    <w:rsid w:val="00DC4366"/>
    <w:rsid w:val="00DC43C4"/>
    <w:rsid w:val="00DC4415"/>
    <w:rsid w:val="00DC4541"/>
    <w:rsid w:val="00DC4587"/>
    <w:rsid w:val="00DC46D8"/>
    <w:rsid w:val="00DC490B"/>
    <w:rsid w:val="00DC4DF9"/>
    <w:rsid w:val="00DC509C"/>
    <w:rsid w:val="00DC5185"/>
    <w:rsid w:val="00DC5238"/>
    <w:rsid w:val="00DC5350"/>
    <w:rsid w:val="00DC5380"/>
    <w:rsid w:val="00DC53A7"/>
    <w:rsid w:val="00DC546F"/>
    <w:rsid w:val="00DC54EE"/>
    <w:rsid w:val="00DC56B7"/>
    <w:rsid w:val="00DC56D1"/>
    <w:rsid w:val="00DC5855"/>
    <w:rsid w:val="00DC5CC6"/>
    <w:rsid w:val="00DC5E97"/>
    <w:rsid w:val="00DC6003"/>
    <w:rsid w:val="00DC601C"/>
    <w:rsid w:val="00DC61B1"/>
    <w:rsid w:val="00DC61B3"/>
    <w:rsid w:val="00DC65E0"/>
    <w:rsid w:val="00DC672C"/>
    <w:rsid w:val="00DC67A0"/>
    <w:rsid w:val="00DC67EF"/>
    <w:rsid w:val="00DC680E"/>
    <w:rsid w:val="00DC688F"/>
    <w:rsid w:val="00DC6A77"/>
    <w:rsid w:val="00DC6BE6"/>
    <w:rsid w:val="00DC6EE1"/>
    <w:rsid w:val="00DC71E7"/>
    <w:rsid w:val="00DC721A"/>
    <w:rsid w:val="00DC72B4"/>
    <w:rsid w:val="00DC74AA"/>
    <w:rsid w:val="00DC7559"/>
    <w:rsid w:val="00DC7561"/>
    <w:rsid w:val="00DC7855"/>
    <w:rsid w:val="00DC78F4"/>
    <w:rsid w:val="00DC797C"/>
    <w:rsid w:val="00DC7A11"/>
    <w:rsid w:val="00DC7B14"/>
    <w:rsid w:val="00DC7BE9"/>
    <w:rsid w:val="00DC7CD1"/>
    <w:rsid w:val="00DC7E53"/>
    <w:rsid w:val="00DD0084"/>
    <w:rsid w:val="00DD0127"/>
    <w:rsid w:val="00DD01A3"/>
    <w:rsid w:val="00DD047D"/>
    <w:rsid w:val="00DD0941"/>
    <w:rsid w:val="00DD0D38"/>
    <w:rsid w:val="00DD13BE"/>
    <w:rsid w:val="00DD1400"/>
    <w:rsid w:val="00DD1607"/>
    <w:rsid w:val="00DD1790"/>
    <w:rsid w:val="00DD1A70"/>
    <w:rsid w:val="00DD1C13"/>
    <w:rsid w:val="00DD1CAD"/>
    <w:rsid w:val="00DD1D9F"/>
    <w:rsid w:val="00DD1E56"/>
    <w:rsid w:val="00DD21C1"/>
    <w:rsid w:val="00DD251F"/>
    <w:rsid w:val="00DD2529"/>
    <w:rsid w:val="00DD2533"/>
    <w:rsid w:val="00DD25A1"/>
    <w:rsid w:val="00DD2775"/>
    <w:rsid w:val="00DD277A"/>
    <w:rsid w:val="00DD283E"/>
    <w:rsid w:val="00DD29D2"/>
    <w:rsid w:val="00DD2A30"/>
    <w:rsid w:val="00DD2A7C"/>
    <w:rsid w:val="00DD2CBA"/>
    <w:rsid w:val="00DD2F2D"/>
    <w:rsid w:val="00DD3037"/>
    <w:rsid w:val="00DD30BD"/>
    <w:rsid w:val="00DD30DE"/>
    <w:rsid w:val="00DD30FF"/>
    <w:rsid w:val="00DD32E1"/>
    <w:rsid w:val="00DD3366"/>
    <w:rsid w:val="00DD338A"/>
    <w:rsid w:val="00DD3420"/>
    <w:rsid w:val="00DD34BA"/>
    <w:rsid w:val="00DD3713"/>
    <w:rsid w:val="00DD3726"/>
    <w:rsid w:val="00DD3C34"/>
    <w:rsid w:val="00DD3CE3"/>
    <w:rsid w:val="00DD3D09"/>
    <w:rsid w:val="00DD3D36"/>
    <w:rsid w:val="00DD3FCE"/>
    <w:rsid w:val="00DD3FE9"/>
    <w:rsid w:val="00DD4022"/>
    <w:rsid w:val="00DD4055"/>
    <w:rsid w:val="00DD4084"/>
    <w:rsid w:val="00DD4125"/>
    <w:rsid w:val="00DD4211"/>
    <w:rsid w:val="00DD4442"/>
    <w:rsid w:val="00DD44EA"/>
    <w:rsid w:val="00DD462F"/>
    <w:rsid w:val="00DD471D"/>
    <w:rsid w:val="00DD480C"/>
    <w:rsid w:val="00DD482B"/>
    <w:rsid w:val="00DD4870"/>
    <w:rsid w:val="00DD4A98"/>
    <w:rsid w:val="00DD4B39"/>
    <w:rsid w:val="00DD4DC5"/>
    <w:rsid w:val="00DD512C"/>
    <w:rsid w:val="00DD518D"/>
    <w:rsid w:val="00DD5210"/>
    <w:rsid w:val="00DD5672"/>
    <w:rsid w:val="00DD5751"/>
    <w:rsid w:val="00DD57B5"/>
    <w:rsid w:val="00DD57D1"/>
    <w:rsid w:val="00DD583E"/>
    <w:rsid w:val="00DD5926"/>
    <w:rsid w:val="00DD5960"/>
    <w:rsid w:val="00DD5974"/>
    <w:rsid w:val="00DD5B90"/>
    <w:rsid w:val="00DD5B95"/>
    <w:rsid w:val="00DD5C31"/>
    <w:rsid w:val="00DD5D1A"/>
    <w:rsid w:val="00DD5DE6"/>
    <w:rsid w:val="00DD60D5"/>
    <w:rsid w:val="00DD61A2"/>
    <w:rsid w:val="00DD6366"/>
    <w:rsid w:val="00DD6400"/>
    <w:rsid w:val="00DD64A0"/>
    <w:rsid w:val="00DD69A2"/>
    <w:rsid w:val="00DD69F4"/>
    <w:rsid w:val="00DD6AAA"/>
    <w:rsid w:val="00DD6BFD"/>
    <w:rsid w:val="00DD6D94"/>
    <w:rsid w:val="00DD6EFA"/>
    <w:rsid w:val="00DD6F9E"/>
    <w:rsid w:val="00DD7181"/>
    <w:rsid w:val="00DD72CD"/>
    <w:rsid w:val="00DD73EB"/>
    <w:rsid w:val="00DD746B"/>
    <w:rsid w:val="00DD758F"/>
    <w:rsid w:val="00DD75F2"/>
    <w:rsid w:val="00DD76A3"/>
    <w:rsid w:val="00DD76F0"/>
    <w:rsid w:val="00DD770F"/>
    <w:rsid w:val="00DD77D8"/>
    <w:rsid w:val="00DD78D8"/>
    <w:rsid w:val="00DD7AF0"/>
    <w:rsid w:val="00DD7B26"/>
    <w:rsid w:val="00DE0044"/>
    <w:rsid w:val="00DE0240"/>
    <w:rsid w:val="00DE024B"/>
    <w:rsid w:val="00DE034E"/>
    <w:rsid w:val="00DE0377"/>
    <w:rsid w:val="00DE03CD"/>
    <w:rsid w:val="00DE03DE"/>
    <w:rsid w:val="00DE03E5"/>
    <w:rsid w:val="00DE0533"/>
    <w:rsid w:val="00DE07FF"/>
    <w:rsid w:val="00DE0973"/>
    <w:rsid w:val="00DE0A30"/>
    <w:rsid w:val="00DE0AD3"/>
    <w:rsid w:val="00DE0B00"/>
    <w:rsid w:val="00DE0C6D"/>
    <w:rsid w:val="00DE0EBD"/>
    <w:rsid w:val="00DE0FD0"/>
    <w:rsid w:val="00DE10A5"/>
    <w:rsid w:val="00DE1432"/>
    <w:rsid w:val="00DE1568"/>
    <w:rsid w:val="00DE156B"/>
    <w:rsid w:val="00DE17A5"/>
    <w:rsid w:val="00DE18B6"/>
    <w:rsid w:val="00DE18EF"/>
    <w:rsid w:val="00DE197F"/>
    <w:rsid w:val="00DE19C8"/>
    <w:rsid w:val="00DE19E5"/>
    <w:rsid w:val="00DE1E31"/>
    <w:rsid w:val="00DE1EE4"/>
    <w:rsid w:val="00DE1F1F"/>
    <w:rsid w:val="00DE1FB0"/>
    <w:rsid w:val="00DE242E"/>
    <w:rsid w:val="00DE2551"/>
    <w:rsid w:val="00DE26D0"/>
    <w:rsid w:val="00DE27AD"/>
    <w:rsid w:val="00DE2929"/>
    <w:rsid w:val="00DE3117"/>
    <w:rsid w:val="00DE324E"/>
    <w:rsid w:val="00DE331A"/>
    <w:rsid w:val="00DE338E"/>
    <w:rsid w:val="00DE33F7"/>
    <w:rsid w:val="00DE3518"/>
    <w:rsid w:val="00DE36AA"/>
    <w:rsid w:val="00DE3808"/>
    <w:rsid w:val="00DE38FB"/>
    <w:rsid w:val="00DE3DC8"/>
    <w:rsid w:val="00DE3F99"/>
    <w:rsid w:val="00DE443D"/>
    <w:rsid w:val="00DE4479"/>
    <w:rsid w:val="00DE45F3"/>
    <w:rsid w:val="00DE4711"/>
    <w:rsid w:val="00DE4731"/>
    <w:rsid w:val="00DE47C8"/>
    <w:rsid w:val="00DE48F2"/>
    <w:rsid w:val="00DE4918"/>
    <w:rsid w:val="00DE4958"/>
    <w:rsid w:val="00DE4983"/>
    <w:rsid w:val="00DE4AC7"/>
    <w:rsid w:val="00DE4C94"/>
    <w:rsid w:val="00DE4CD7"/>
    <w:rsid w:val="00DE4D30"/>
    <w:rsid w:val="00DE4DB7"/>
    <w:rsid w:val="00DE4E78"/>
    <w:rsid w:val="00DE4FA2"/>
    <w:rsid w:val="00DE4FBA"/>
    <w:rsid w:val="00DE519F"/>
    <w:rsid w:val="00DE51E8"/>
    <w:rsid w:val="00DE528B"/>
    <w:rsid w:val="00DE52E7"/>
    <w:rsid w:val="00DE52E9"/>
    <w:rsid w:val="00DE53AB"/>
    <w:rsid w:val="00DE5489"/>
    <w:rsid w:val="00DE5495"/>
    <w:rsid w:val="00DE5AB2"/>
    <w:rsid w:val="00DE5AFF"/>
    <w:rsid w:val="00DE5B87"/>
    <w:rsid w:val="00DE6024"/>
    <w:rsid w:val="00DE607A"/>
    <w:rsid w:val="00DE6326"/>
    <w:rsid w:val="00DE6572"/>
    <w:rsid w:val="00DE67AF"/>
    <w:rsid w:val="00DE68A8"/>
    <w:rsid w:val="00DE69E3"/>
    <w:rsid w:val="00DE6B21"/>
    <w:rsid w:val="00DE6B45"/>
    <w:rsid w:val="00DE6CE4"/>
    <w:rsid w:val="00DE6DBE"/>
    <w:rsid w:val="00DE6EDF"/>
    <w:rsid w:val="00DE6F3D"/>
    <w:rsid w:val="00DE7055"/>
    <w:rsid w:val="00DE72AE"/>
    <w:rsid w:val="00DE7337"/>
    <w:rsid w:val="00DE76A3"/>
    <w:rsid w:val="00DE7890"/>
    <w:rsid w:val="00DE7B55"/>
    <w:rsid w:val="00DE7D59"/>
    <w:rsid w:val="00DE7D8A"/>
    <w:rsid w:val="00DF0017"/>
    <w:rsid w:val="00DF00C5"/>
    <w:rsid w:val="00DF00F7"/>
    <w:rsid w:val="00DF05D6"/>
    <w:rsid w:val="00DF0745"/>
    <w:rsid w:val="00DF07AA"/>
    <w:rsid w:val="00DF0861"/>
    <w:rsid w:val="00DF08AD"/>
    <w:rsid w:val="00DF08E6"/>
    <w:rsid w:val="00DF0B8B"/>
    <w:rsid w:val="00DF0BAC"/>
    <w:rsid w:val="00DF0C60"/>
    <w:rsid w:val="00DF0EF6"/>
    <w:rsid w:val="00DF12B4"/>
    <w:rsid w:val="00DF135A"/>
    <w:rsid w:val="00DF13A7"/>
    <w:rsid w:val="00DF1691"/>
    <w:rsid w:val="00DF16E5"/>
    <w:rsid w:val="00DF17E5"/>
    <w:rsid w:val="00DF183F"/>
    <w:rsid w:val="00DF1842"/>
    <w:rsid w:val="00DF1884"/>
    <w:rsid w:val="00DF18CB"/>
    <w:rsid w:val="00DF19E7"/>
    <w:rsid w:val="00DF1E48"/>
    <w:rsid w:val="00DF1F02"/>
    <w:rsid w:val="00DF1FAF"/>
    <w:rsid w:val="00DF2065"/>
    <w:rsid w:val="00DF2091"/>
    <w:rsid w:val="00DF2319"/>
    <w:rsid w:val="00DF2438"/>
    <w:rsid w:val="00DF243D"/>
    <w:rsid w:val="00DF26C8"/>
    <w:rsid w:val="00DF2809"/>
    <w:rsid w:val="00DF285F"/>
    <w:rsid w:val="00DF29A3"/>
    <w:rsid w:val="00DF2A2C"/>
    <w:rsid w:val="00DF2AE6"/>
    <w:rsid w:val="00DF2C5A"/>
    <w:rsid w:val="00DF2D1A"/>
    <w:rsid w:val="00DF2E76"/>
    <w:rsid w:val="00DF304F"/>
    <w:rsid w:val="00DF3155"/>
    <w:rsid w:val="00DF3163"/>
    <w:rsid w:val="00DF34C9"/>
    <w:rsid w:val="00DF351E"/>
    <w:rsid w:val="00DF38CE"/>
    <w:rsid w:val="00DF391B"/>
    <w:rsid w:val="00DF39C9"/>
    <w:rsid w:val="00DF39FE"/>
    <w:rsid w:val="00DF3D8C"/>
    <w:rsid w:val="00DF3E49"/>
    <w:rsid w:val="00DF3FC9"/>
    <w:rsid w:val="00DF3FD3"/>
    <w:rsid w:val="00DF402C"/>
    <w:rsid w:val="00DF403C"/>
    <w:rsid w:val="00DF42D3"/>
    <w:rsid w:val="00DF42F7"/>
    <w:rsid w:val="00DF4338"/>
    <w:rsid w:val="00DF447B"/>
    <w:rsid w:val="00DF4A0A"/>
    <w:rsid w:val="00DF4A8D"/>
    <w:rsid w:val="00DF4BEC"/>
    <w:rsid w:val="00DF4C33"/>
    <w:rsid w:val="00DF4C6E"/>
    <w:rsid w:val="00DF4C81"/>
    <w:rsid w:val="00DF4E0C"/>
    <w:rsid w:val="00DF4E32"/>
    <w:rsid w:val="00DF4EC5"/>
    <w:rsid w:val="00DF5173"/>
    <w:rsid w:val="00DF5B7E"/>
    <w:rsid w:val="00DF5BA3"/>
    <w:rsid w:val="00DF5D60"/>
    <w:rsid w:val="00DF5E13"/>
    <w:rsid w:val="00DF5E1E"/>
    <w:rsid w:val="00DF5E30"/>
    <w:rsid w:val="00DF5E8C"/>
    <w:rsid w:val="00DF5F6E"/>
    <w:rsid w:val="00DF5F7E"/>
    <w:rsid w:val="00DF5F8E"/>
    <w:rsid w:val="00DF6057"/>
    <w:rsid w:val="00DF60D0"/>
    <w:rsid w:val="00DF6155"/>
    <w:rsid w:val="00DF61BF"/>
    <w:rsid w:val="00DF61D3"/>
    <w:rsid w:val="00DF63CB"/>
    <w:rsid w:val="00DF63EA"/>
    <w:rsid w:val="00DF64A7"/>
    <w:rsid w:val="00DF6582"/>
    <w:rsid w:val="00DF65D1"/>
    <w:rsid w:val="00DF668B"/>
    <w:rsid w:val="00DF66B4"/>
    <w:rsid w:val="00DF679D"/>
    <w:rsid w:val="00DF6909"/>
    <w:rsid w:val="00DF6B9D"/>
    <w:rsid w:val="00DF6BD0"/>
    <w:rsid w:val="00DF6CC9"/>
    <w:rsid w:val="00DF6D5B"/>
    <w:rsid w:val="00DF6E3A"/>
    <w:rsid w:val="00DF6E62"/>
    <w:rsid w:val="00DF7056"/>
    <w:rsid w:val="00DF7424"/>
    <w:rsid w:val="00DF751B"/>
    <w:rsid w:val="00DF754B"/>
    <w:rsid w:val="00DF7716"/>
    <w:rsid w:val="00DF77F4"/>
    <w:rsid w:val="00DF7874"/>
    <w:rsid w:val="00DF7889"/>
    <w:rsid w:val="00DF78C1"/>
    <w:rsid w:val="00DF7903"/>
    <w:rsid w:val="00DF798D"/>
    <w:rsid w:val="00DF79D1"/>
    <w:rsid w:val="00DF7AD3"/>
    <w:rsid w:val="00DF7B48"/>
    <w:rsid w:val="00DF7C62"/>
    <w:rsid w:val="00DF7CA4"/>
    <w:rsid w:val="00DF7EDD"/>
    <w:rsid w:val="00E00154"/>
    <w:rsid w:val="00E00269"/>
    <w:rsid w:val="00E00376"/>
    <w:rsid w:val="00E00A71"/>
    <w:rsid w:val="00E00ABD"/>
    <w:rsid w:val="00E00DF2"/>
    <w:rsid w:val="00E00EF7"/>
    <w:rsid w:val="00E0107F"/>
    <w:rsid w:val="00E01224"/>
    <w:rsid w:val="00E013AE"/>
    <w:rsid w:val="00E01427"/>
    <w:rsid w:val="00E014EC"/>
    <w:rsid w:val="00E014F8"/>
    <w:rsid w:val="00E01521"/>
    <w:rsid w:val="00E015CD"/>
    <w:rsid w:val="00E0174B"/>
    <w:rsid w:val="00E01784"/>
    <w:rsid w:val="00E01C31"/>
    <w:rsid w:val="00E01C69"/>
    <w:rsid w:val="00E01CFD"/>
    <w:rsid w:val="00E01DBF"/>
    <w:rsid w:val="00E02000"/>
    <w:rsid w:val="00E0203B"/>
    <w:rsid w:val="00E02148"/>
    <w:rsid w:val="00E0223A"/>
    <w:rsid w:val="00E023E8"/>
    <w:rsid w:val="00E02641"/>
    <w:rsid w:val="00E027F7"/>
    <w:rsid w:val="00E02E25"/>
    <w:rsid w:val="00E02E5B"/>
    <w:rsid w:val="00E0313A"/>
    <w:rsid w:val="00E03233"/>
    <w:rsid w:val="00E033A1"/>
    <w:rsid w:val="00E034A9"/>
    <w:rsid w:val="00E034E6"/>
    <w:rsid w:val="00E0356B"/>
    <w:rsid w:val="00E03A64"/>
    <w:rsid w:val="00E03B9D"/>
    <w:rsid w:val="00E03BC7"/>
    <w:rsid w:val="00E03C7F"/>
    <w:rsid w:val="00E03C94"/>
    <w:rsid w:val="00E03D6D"/>
    <w:rsid w:val="00E03D8A"/>
    <w:rsid w:val="00E0413C"/>
    <w:rsid w:val="00E041CC"/>
    <w:rsid w:val="00E042CA"/>
    <w:rsid w:val="00E04320"/>
    <w:rsid w:val="00E0455B"/>
    <w:rsid w:val="00E0455D"/>
    <w:rsid w:val="00E0462F"/>
    <w:rsid w:val="00E04994"/>
    <w:rsid w:val="00E04A14"/>
    <w:rsid w:val="00E04A36"/>
    <w:rsid w:val="00E04BDA"/>
    <w:rsid w:val="00E04BF1"/>
    <w:rsid w:val="00E04C91"/>
    <w:rsid w:val="00E04FCC"/>
    <w:rsid w:val="00E04FD1"/>
    <w:rsid w:val="00E05006"/>
    <w:rsid w:val="00E05088"/>
    <w:rsid w:val="00E0509D"/>
    <w:rsid w:val="00E050A6"/>
    <w:rsid w:val="00E051D2"/>
    <w:rsid w:val="00E05392"/>
    <w:rsid w:val="00E0592F"/>
    <w:rsid w:val="00E059C7"/>
    <w:rsid w:val="00E05AA5"/>
    <w:rsid w:val="00E05B7A"/>
    <w:rsid w:val="00E05BFE"/>
    <w:rsid w:val="00E05C61"/>
    <w:rsid w:val="00E05C7F"/>
    <w:rsid w:val="00E05CC5"/>
    <w:rsid w:val="00E05D9E"/>
    <w:rsid w:val="00E05F28"/>
    <w:rsid w:val="00E05FAA"/>
    <w:rsid w:val="00E05FFB"/>
    <w:rsid w:val="00E0641F"/>
    <w:rsid w:val="00E06588"/>
    <w:rsid w:val="00E06B0A"/>
    <w:rsid w:val="00E06B92"/>
    <w:rsid w:val="00E06ED9"/>
    <w:rsid w:val="00E06F05"/>
    <w:rsid w:val="00E0701F"/>
    <w:rsid w:val="00E07189"/>
    <w:rsid w:val="00E072B1"/>
    <w:rsid w:val="00E07333"/>
    <w:rsid w:val="00E075EE"/>
    <w:rsid w:val="00E07609"/>
    <w:rsid w:val="00E07622"/>
    <w:rsid w:val="00E0790B"/>
    <w:rsid w:val="00E07935"/>
    <w:rsid w:val="00E0794E"/>
    <w:rsid w:val="00E07B0C"/>
    <w:rsid w:val="00E07CA3"/>
    <w:rsid w:val="00E07D9B"/>
    <w:rsid w:val="00E07E77"/>
    <w:rsid w:val="00E07F4F"/>
    <w:rsid w:val="00E07FDA"/>
    <w:rsid w:val="00E1000D"/>
    <w:rsid w:val="00E100CC"/>
    <w:rsid w:val="00E10158"/>
    <w:rsid w:val="00E1015D"/>
    <w:rsid w:val="00E101A6"/>
    <w:rsid w:val="00E10208"/>
    <w:rsid w:val="00E10306"/>
    <w:rsid w:val="00E103E1"/>
    <w:rsid w:val="00E104DC"/>
    <w:rsid w:val="00E10664"/>
    <w:rsid w:val="00E10A9F"/>
    <w:rsid w:val="00E10CB4"/>
    <w:rsid w:val="00E10EFB"/>
    <w:rsid w:val="00E110A5"/>
    <w:rsid w:val="00E110B1"/>
    <w:rsid w:val="00E11389"/>
    <w:rsid w:val="00E113F9"/>
    <w:rsid w:val="00E11530"/>
    <w:rsid w:val="00E11773"/>
    <w:rsid w:val="00E117E1"/>
    <w:rsid w:val="00E1193F"/>
    <w:rsid w:val="00E119A2"/>
    <w:rsid w:val="00E119AC"/>
    <w:rsid w:val="00E11AFF"/>
    <w:rsid w:val="00E11C14"/>
    <w:rsid w:val="00E11F90"/>
    <w:rsid w:val="00E12145"/>
    <w:rsid w:val="00E1229B"/>
    <w:rsid w:val="00E125A6"/>
    <w:rsid w:val="00E126DF"/>
    <w:rsid w:val="00E12726"/>
    <w:rsid w:val="00E1276C"/>
    <w:rsid w:val="00E127B9"/>
    <w:rsid w:val="00E127D1"/>
    <w:rsid w:val="00E12941"/>
    <w:rsid w:val="00E12A11"/>
    <w:rsid w:val="00E12B14"/>
    <w:rsid w:val="00E13367"/>
    <w:rsid w:val="00E134F0"/>
    <w:rsid w:val="00E135B9"/>
    <w:rsid w:val="00E135BB"/>
    <w:rsid w:val="00E135F6"/>
    <w:rsid w:val="00E137A0"/>
    <w:rsid w:val="00E13804"/>
    <w:rsid w:val="00E13B28"/>
    <w:rsid w:val="00E13E49"/>
    <w:rsid w:val="00E13EF7"/>
    <w:rsid w:val="00E13FFE"/>
    <w:rsid w:val="00E142D4"/>
    <w:rsid w:val="00E14337"/>
    <w:rsid w:val="00E1452A"/>
    <w:rsid w:val="00E1465E"/>
    <w:rsid w:val="00E1492D"/>
    <w:rsid w:val="00E1497B"/>
    <w:rsid w:val="00E14A42"/>
    <w:rsid w:val="00E14BF1"/>
    <w:rsid w:val="00E14C61"/>
    <w:rsid w:val="00E14CDA"/>
    <w:rsid w:val="00E14D80"/>
    <w:rsid w:val="00E14DEF"/>
    <w:rsid w:val="00E14E99"/>
    <w:rsid w:val="00E15059"/>
    <w:rsid w:val="00E150DF"/>
    <w:rsid w:val="00E15137"/>
    <w:rsid w:val="00E15148"/>
    <w:rsid w:val="00E1533C"/>
    <w:rsid w:val="00E153CC"/>
    <w:rsid w:val="00E15418"/>
    <w:rsid w:val="00E1547B"/>
    <w:rsid w:val="00E159B4"/>
    <w:rsid w:val="00E15BDE"/>
    <w:rsid w:val="00E15C8A"/>
    <w:rsid w:val="00E15FD3"/>
    <w:rsid w:val="00E1601B"/>
    <w:rsid w:val="00E1632B"/>
    <w:rsid w:val="00E16344"/>
    <w:rsid w:val="00E1671F"/>
    <w:rsid w:val="00E16BC5"/>
    <w:rsid w:val="00E16D38"/>
    <w:rsid w:val="00E16DD0"/>
    <w:rsid w:val="00E16EBB"/>
    <w:rsid w:val="00E16EFC"/>
    <w:rsid w:val="00E16F2D"/>
    <w:rsid w:val="00E1700A"/>
    <w:rsid w:val="00E174C3"/>
    <w:rsid w:val="00E1755E"/>
    <w:rsid w:val="00E17595"/>
    <w:rsid w:val="00E17977"/>
    <w:rsid w:val="00E179A2"/>
    <w:rsid w:val="00E17CE7"/>
    <w:rsid w:val="00E17F36"/>
    <w:rsid w:val="00E17F38"/>
    <w:rsid w:val="00E17F45"/>
    <w:rsid w:val="00E2043B"/>
    <w:rsid w:val="00E204BD"/>
    <w:rsid w:val="00E2062B"/>
    <w:rsid w:val="00E20641"/>
    <w:rsid w:val="00E20723"/>
    <w:rsid w:val="00E20A3C"/>
    <w:rsid w:val="00E20B93"/>
    <w:rsid w:val="00E20B97"/>
    <w:rsid w:val="00E20BAB"/>
    <w:rsid w:val="00E20DE3"/>
    <w:rsid w:val="00E211C3"/>
    <w:rsid w:val="00E2120E"/>
    <w:rsid w:val="00E21287"/>
    <w:rsid w:val="00E212E1"/>
    <w:rsid w:val="00E21665"/>
    <w:rsid w:val="00E2166E"/>
    <w:rsid w:val="00E21690"/>
    <w:rsid w:val="00E21891"/>
    <w:rsid w:val="00E21ADD"/>
    <w:rsid w:val="00E21B28"/>
    <w:rsid w:val="00E21C8B"/>
    <w:rsid w:val="00E21E23"/>
    <w:rsid w:val="00E22035"/>
    <w:rsid w:val="00E220AD"/>
    <w:rsid w:val="00E220DE"/>
    <w:rsid w:val="00E221C7"/>
    <w:rsid w:val="00E222AE"/>
    <w:rsid w:val="00E22339"/>
    <w:rsid w:val="00E2251B"/>
    <w:rsid w:val="00E22561"/>
    <w:rsid w:val="00E22588"/>
    <w:rsid w:val="00E22791"/>
    <w:rsid w:val="00E2287E"/>
    <w:rsid w:val="00E228E5"/>
    <w:rsid w:val="00E229F4"/>
    <w:rsid w:val="00E22B6B"/>
    <w:rsid w:val="00E22C70"/>
    <w:rsid w:val="00E22DE9"/>
    <w:rsid w:val="00E23034"/>
    <w:rsid w:val="00E2303B"/>
    <w:rsid w:val="00E2311D"/>
    <w:rsid w:val="00E232CF"/>
    <w:rsid w:val="00E235FF"/>
    <w:rsid w:val="00E237CE"/>
    <w:rsid w:val="00E238A7"/>
    <w:rsid w:val="00E23908"/>
    <w:rsid w:val="00E23A13"/>
    <w:rsid w:val="00E23B50"/>
    <w:rsid w:val="00E23C8E"/>
    <w:rsid w:val="00E23DAA"/>
    <w:rsid w:val="00E23E5C"/>
    <w:rsid w:val="00E241DA"/>
    <w:rsid w:val="00E241F1"/>
    <w:rsid w:val="00E2422D"/>
    <w:rsid w:val="00E24279"/>
    <w:rsid w:val="00E24531"/>
    <w:rsid w:val="00E24541"/>
    <w:rsid w:val="00E24578"/>
    <w:rsid w:val="00E24615"/>
    <w:rsid w:val="00E24654"/>
    <w:rsid w:val="00E24764"/>
    <w:rsid w:val="00E24846"/>
    <w:rsid w:val="00E24A6A"/>
    <w:rsid w:val="00E24A9A"/>
    <w:rsid w:val="00E24D58"/>
    <w:rsid w:val="00E24EDA"/>
    <w:rsid w:val="00E24FDB"/>
    <w:rsid w:val="00E25428"/>
    <w:rsid w:val="00E2564F"/>
    <w:rsid w:val="00E2586D"/>
    <w:rsid w:val="00E25870"/>
    <w:rsid w:val="00E25891"/>
    <w:rsid w:val="00E2593D"/>
    <w:rsid w:val="00E25A6B"/>
    <w:rsid w:val="00E25C13"/>
    <w:rsid w:val="00E25EDA"/>
    <w:rsid w:val="00E25F5B"/>
    <w:rsid w:val="00E25F96"/>
    <w:rsid w:val="00E261AE"/>
    <w:rsid w:val="00E261DC"/>
    <w:rsid w:val="00E262A3"/>
    <w:rsid w:val="00E2645F"/>
    <w:rsid w:val="00E265AD"/>
    <w:rsid w:val="00E26654"/>
    <w:rsid w:val="00E26BA2"/>
    <w:rsid w:val="00E26BB5"/>
    <w:rsid w:val="00E26D3F"/>
    <w:rsid w:val="00E26D8A"/>
    <w:rsid w:val="00E2726F"/>
    <w:rsid w:val="00E272AE"/>
    <w:rsid w:val="00E27361"/>
    <w:rsid w:val="00E27434"/>
    <w:rsid w:val="00E27439"/>
    <w:rsid w:val="00E2743D"/>
    <w:rsid w:val="00E27498"/>
    <w:rsid w:val="00E274AD"/>
    <w:rsid w:val="00E2764E"/>
    <w:rsid w:val="00E2765D"/>
    <w:rsid w:val="00E27943"/>
    <w:rsid w:val="00E27996"/>
    <w:rsid w:val="00E27A4B"/>
    <w:rsid w:val="00E27FBC"/>
    <w:rsid w:val="00E302B8"/>
    <w:rsid w:val="00E303AD"/>
    <w:rsid w:val="00E3047D"/>
    <w:rsid w:val="00E30523"/>
    <w:rsid w:val="00E3080E"/>
    <w:rsid w:val="00E308AE"/>
    <w:rsid w:val="00E308E6"/>
    <w:rsid w:val="00E30B6A"/>
    <w:rsid w:val="00E30DD9"/>
    <w:rsid w:val="00E30EDF"/>
    <w:rsid w:val="00E31096"/>
    <w:rsid w:val="00E31128"/>
    <w:rsid w:val="00E312EE"/>
    <w:rsid w:val="00E31407"/>
    <w:rsid w:val="00E314A4"/>
    <w:rsid w:val="00E3157C"/>
    <w:rsid w:val="00E31606"/>
    <w:rsid w:val="00E316AF"/>
    <w:rsid w:val="00E316E6"/>
    <w:rsid w:val="00E317C4"/>
    <w:rsid w:val="00E3188C"/>
    <w:rsid w:val="00E31A2A"/>
    <w:rsid w:val="00E31A97"/>
    <w:rsid w:val="00E31AB8"/>
    <w:rsid w:val="00E31AE3"/>
    <w:rsid w:val="00E31B16"/>
    <w:rsid w:val="00E31F75"/>
    <w:rsid w:val="00E31FC4"/>
    <w:rsid w:val="00E3224E"/>
    <w:rsid w:val="00E3227C"/>
    <w:rsid w:val="00E322E3"/>
    <w:rsid w:val="00E32309"/>
    <w:rsid w:val="00E323AD"/>
    <w:rsid w:val="00E32709"/>
    <w:rsid w:val="00E327B2"/>
    <w:rsid w:val="00E327C1"/>
    <w:rsid w:val="00E32819"/>
    <w:rsid w:val="00E32972"/>
    <w:rsid w:val="00E32AD6"/>
    <w:rsid w:val="00E32BDD"/>
    <w:rsid w:val="00E32C01"/>
    <w:rsid w:val="00E32E6D"/>
    <w:rsid w:val="00E32E72"/>
    <w:rsid w:val="00E32F25"/>
    <w:rsid w:val="00E32FAF"/>
    <w:rsid w:val="00E33033"/>
    <w:rsid w:val="00E3321E"/>
    <w:rsid w:val="00E33243"/>
    <w:rsid w:val="00E33296"/>
    <w:rsid w:val="00E33307"/>
    <w:rsid w:val="00E3330D"/>
    <w:rsid w:val="00E336AB"/>
    <w:rsid w:val="00E337F0"/>
    <w:rsid w:val="00E338DD"/>
    <w:rsid w:val="00E339D3"/>
    <w:rsid w:val="00E33C21"/>
    <w:rsid w:val="00E33CE0"/>
    <w:rsid w:val="00E33F2D"/>
    <w:rsid w:val="00E342B9"/>
    <w:rsid w:val="00E34302"/>
    <w:rsid w:val="00E34527"/>
    <w:rsid w:val="00E3453C"/>
    <w:rsid w:val="00E347FA"/>
    <w:rsid w:val="00E349D7"/>
    <w:rsid w:val="00E34A90"/>
    <w:rsid w:val="00E34AAC"/>
    <w:rsid w:val="00E34C83"/>
    <w:rsid w:val="00E35009"/>
    <w:rsid w:val="00E35028"/>
    <w:rsid w:val="00E35140"/>
    <w:rsid w:val="00E3515D"/>
    <w:rsid w:val="00E351E3"/>
    <w:rsid w:val="00E352BC"/>
    <w:rsid w:val="00E35394"/>
    <w:rsid w:val="00E35437"/>
    <w:rsid w:val="00E3568F"/>
    <w:rsid w:val="00E356D0"/>
    <w:rsid w:val="00E3570F"/>
    <w:rsid w:val="00E35802"/>
    <w:rsid w:val="00E35A5E"/>
    <w:rsid w:val="00E35B06"/>
    <w:rsid w:val="00E35CFE"/>
    <w:rsid w:val="00E35D2F"/>
    <w:rsid w:val="00E35D53"/>
    <w:rsid w:val="00E35E4D"/>
    <w:rsid w:val="00E35F2D"/>
    <w:rsid w:val="00E35F66"/>
    <w:rsid w:val="00E35F88"/>
    <w:rsid w:val="00E35F8C"/>
    <w:rsid w:val="00E35F95"/>
    <w:rsid w:val="00E35FBE"/>
    <w:rsid w:val="00E3612E"/>
    <w:rsid w:val="00E3616D"/>
    <w:rsid w:val="00E3621A"/>
    <w:rsid w:val="00E36226"/>
    <w:rsid w:val="00E362CB"/>
    <w:rsid w:val="00E36316"/>
    <w:rsid w:val="00E36401"/>
    <w:rsid w:val="00E36480"/>
    <w:rsid w:val="00E36502"/>
    <w:rsid w:val="00E36539"/>
    <w:rsid w:val="00E36556"/>
    <w:rsid w:val="00E36633"/>
    <w:rsid w:val="00E36676"/>
    <w:rsid w:val="00E367DB"/>
    <w:rsid w:val="00E36A4C"/>
    <w:rsid w:val="00E36A52"/>
    <w:rsid w:val="00E36BF4"/>
    <w:rsid w:val="00E36C24"/>
    <w:rsid w:val="00E36CEF"/>
    <w:rsid w:val="00E36F83"/>
    <w:rsid w:val="00E371F7"/>
    <w:rsid w:val="00E37349"/>
    <w:rsid w:val="00E3741E"/>
    <w:rsid w:val="00E37454"/>
    <w:rsid w:val="00E375BD"/>
    <w:rsid w:val="00E375F3"/>
    <w:rsid w:val="00E377A2"/>
    <w:rsid w:val="00E37BF6"/>
    <w:rsid w:val="00E37DF8"/>
    <w:rsid w:val="00E37E3B"/>
    <w:rsid w:val="00E37E71"/>
    <w:rsid w:val="00E37F7B"/>
    <w:rsid w:val="00E400CB"/>
    <w:rsid w:val="00E401AE"/>
    <w:rsid w:val="00E402B3"/>
    <w:rsid w:val="00E40353"/>
    <w:rsid w:val="00E406D3"/>
    <w:rsid w:val="00E40733"/>
    <w:rsid w:val="00E40936"/>
    <w:rsid w:val="00E40AB0"/>
    <w:rsid w:val="00E40C4F"/>
    <w:rsid w:val="00E40F41"/>
    <w:rsid w:val="00E410CB"/>
    <w:rsid w:val="00E41181"/>
    <w:rsid w:val="00E411A4"/>
    <w:rsid w:val="00E41268"/>
    <w:rsid w:val="00E413AA"/>
    <w:rsid w:val="00E413CE"/>
    <w:rsid w:val="00E413E0"/>
    <w:rsid w:val="00E41542"/>
    <w:rsid w:val="00E41567"/>
    <w:rsid w:val="00E415C6"/>
    <w:rsid w:val="00E41601"/>
    <w:rsid w:val="00E416B8"/>
    <w:rsid w:val="00E417D5"/>
    <w:rsid w:val="00E418AB"/>
    <w:rsid w:val="00E41A11"/>
    <w:rsid w:val="00E41A28"/>
    <w:rsid w:val="00E41D27"/>
    <w:rsid w:val="00E41E98"/>
    <w:rsid w:val="00E4207E"/>
    <w:rsid w:val="00E420F8"/>
    <w:rsid w:val="00E4215A"/>
    <w:rsid w:val="00E42454"/>
    <w:rsid w:val="00E42475"/>
    <w:rsid w:val="00E42702"/>
    <w:rsid w:val="00E42752"/>
    <w:rsid w:val="00E42B1E"/>
    <w:rsid w:val="00E42B64"/>
    <w:rsid w:val="00E42D3C"/>
    <w:rsid w:val="00E42E9D"/>
    <w:rsid w:val="00E42EA7"/>
    <w:rsid w:val="00E42F4B"/>
    <w:rsid w:val="00E43167"/>
    <w:rsid w:val="00E43589"/>
    <w:rsid w:val="00E436CE"/>
    <w:rsid w:val="00E4374D"/>
    <w:rsid w:val="00E437E6"/>
    <w:rsid w:val="00E4384E"/>
    <w:rsid w:val="00E43E8B"/>
    <w:rsid w:val="00E44252"/>
    <w:rsid w:val="00E44272"/>
    <w:rsid w:val="00E445BB"/>
    <w:rsid w:val="00E446D8"/>
    <w:rsid w:val="00E4484D"/>
    <w:rsid w:val="00E44997"/>
    <w:rsid w:val="00E449A3"/>
    <w:rsid w:val="00E44AE1"/>
    <w:rsid w:val="00E44B16"/>
    <w:rsid w:val="00E44E9B"/>
    <w:rsid w:val="00E45033"/>
    <w:rsid w:val="00E4507F"/>
    <w:rsid w:val="00E4525D"/>
    <w:rsid w:val="00E453D4"/>
    <w:rsid w:val="00E45400"/>
    <w:rsid w:val="00E45482"/>
    <w:rsid w:val="00E45521"/>
    <w:rsid w:val="00E4591A"/>
    <w:rsid w:val="00E45948"/>
    <w:rsid w:val="00E45CCD"/>
    <w:rsid w:val="00E45DC9"/>
    <w:rsid w:val="00E45DF8"/>
    <w:rsid w:val="00E45E03"/>
    <w:rsid w:val="00E45F4A"/>
    <w:rsid w:val="00E46013"/>
    <w:rsid w:val="00E46031"/>
    <w:rsid w:val="00E4612B"/>
    <w:rsid w:val="00E46154"/>
    <w:rsid w:val="00E46169"/>
    <w:rsid w:val="00E4617A"/>
    <w:rsid w:val="00E462B7"/>
    <w:rsid w:val="00E46380"/>
    <w:rsid w:val="00E466F9"/>
    <w:rsid w:val="00E46729"/>
    <w:rsid w:val="00E4683A"/>
    <w:rsid w:val="00E46971"/>
    <w:rsid w:val="00E46A0F"/>
    <w:rsid w:val="00E46A5C"/>
    <w:rsid w:val="00E46FB2"/>
    <w:rsid w:val="00E46FCE"/>
    <w:rsid w:val="00E46FD8"/>
    <w:rsid w:val="00E46FD9"/>
    <w:rsid w:val="00E4709C"/>
    <w:rsid w:val="00E4754B"/>
    <w:rsid w:val="00E4762D"/>
    <w:rsid w:val="00E477CF"/>
    <w:rsid w:val="00E4787F"/>
    <w:rsid w:val="00E47894"/>
    <w:rsid w:val="00E47A1A"/>
    <w:rsid w:val="00E47CDE"/>
    <w:rsid w:val="00E47CFE"/>
    <w:rsid w:val="00E47DBD"/>
    <w:rsid w:val="00E50112"/>
    <w:rsid w:val="00E502A6"/>
    <w:rsid w:val="00E502BA"/>
    <w:rsid w:val="00E50320"/>
    <w:rsid w:val="00E50496"/>
    <w:rsid w:val="00E50643"/>
    <w:rsid w:val="00E5071F"/>
    <w:rsid w:val="00E5086E"/>
    <w:rsid w:val="00E508F0"/>
    <w:rsid w:val="00E50A5C"/>
    <w:rsid w:val="00E50E8C"/>
    <w:rsid w:val="00E50F04"/>
    <w:rsid w:val="00E510A3"/>
    <w:rsid w:val="00E510C9"/>
    <w:rsid w:val="00E5115A"/>
    <w:rsid w:val="00E51237"/>
    <w:rsid w:val="00E512E1"/>
    <w:rsid w:val="00E513CD"/>
    <w:rsid w:val="00E5147E"/>
    <w:rsid w:val="00E51750"/>
    <w:rsid w:val="00E517DD"/>
    <w:rsid w:val="00E51874"/>
    <w:rsid w:val="00E51BD1"/>
    <w:rsid w:val="00E51CEF"/>
    <w:rsid w:val="00E51D45"/>
    <w:rsid w:val="00E51EF7"/>
    <w:rsid w:val="00E51F6A"/>
    <w:rsid w:val="00E51FDD"/>
    <w:rsid w:val="00E520DE"/>
    <w:rsid w:val="00E52154"/>
    <w:rsid w:val="00E52188"/>
    <w:rsid w:val="00E52375"/>
    <w:rsid w:val="00E52596"/>
    <w:rsid w:val="00E5265C"/>
    <w:rsid w:val="00E526C3"/>
    <w:rsid w:val="00E52850"/>
    <w:rsid w:val="00E5288D"/>
    <w:rsid w:val="00E52AF1"/>
    <w:rsid w:val="00E52B36"/>
    <w:rsid w:val="00E52B7C"/>
    <w:rsid w:val="00E52B84"/>
    <w:rsid w:val="00E52BE8"/>
    <w:rsid w:val="00E52C3A"/>
    <w:rsid w:val="00E52D71"/>
    <w:rsid w:val="00E52F95"/>
    <w:rsid w:val="00E530C3"/>
    <w:rsid w:val="00E530EA"/>
    <w:rsid w:val="00E53517"/>
    <w:rsid w:val="00E536C3"/>
    <w:rsid w:val="00E537AD"/>
    <w:rsid w:val="00E537FC"/>
    <w:rsid w:val="00E53980"/>
    <w:rsid w:val="00E53A1A"/>
    <w:rsid w:val="00E53CD8"/>
    <w:rsid w:val="00E53E27"/>
    <w:rsid w:val="00E54066"/>
    <w:rsid w:val="00E541C4"/>
    <w:rsid w:val="00E54677"/>
    <w:rsid w:val="00E546DF"/>
    <w:rsid w:val="00E547C7"/>
    <w:rsid w:val="00E54810"/>
    <w:rsid w:val="00E54828"/>
    <w:rsid w:val="00E54B6D"/>
    <w:rsid w:val="00E54B90"/>
    <w:rsid w:val="00E54D04"/>
    <w:rsid w:val="00E54E60"/>
    <w:rsid w:val="00E54FD0"/>
    <w:rsid w:val="00E55020"/>
    <w:rsid w:val="00E55052"/>
    <w:rsid w:val="00E550FF"/>
    <w:rsid w:val="00E55338"/>
    <w:rsid w:val="00E55361"/>
    <w:rsid w:val="00E5555A"/>
    <w:rsid w:val="00E5565E"/>
    <w:rsid w:val="00E55751"/>
    <w:rsid w:val="00E557A7"/>
    <w:rsid w:val="00E55807"/>
    <w:rsid w:val="00E55880"/>
    <w:rsid w:val="00E55B4F"/>
    <w:rsid w:val="00E55B91"/>
    <w:rsid w:val="00E55C5F"/>
    <w:rsid w:val="00E55E5C"/>
    <w:rsid w:val="00E5634B"/>
    <w:rsid w:val="00E56358"/>
    <w:rsid w:val="00E5638E"/>
    <w:rsid w:val="00E56493"/>
    <w:rsid w:val="00E565B1"/>
    <w:rsid w:val="00E566BC"/>
    <w:rsid w:val="00E5673E"/>
    <w:rsid w:val="00E56865"/>
    <w:rsid w:val="00E56886"/>
    <w:rsid w:val="00E56952"/>
    <w:rsid w:val="00E56A85"/>
    <w:rsid w:val="00E56B37"/>
    <w:rsid w:val="00E56C2E"/>
    <w:rsid w:val="00E56C5E"/>
    <w:rsid w:val="00E56ECB"/>
    <w:rsid w:val="00E56F34"/>
    <w:rsid w:val="00E56FBE"/>
    <w:rsid w:val="00E57085"/>
    <w:rsid w:val="00E570B9"/>
    <w:rsid w:val="00E5718C"/>
    <w:rsid w:val="00E5718F"/>
    <w:rsid w:val="00E57220"/>
    <w:rsid w:val="00E57273"/>
    <w:rsid w:val="00E573B0"/>
    <w:rsid w:val="00E575C7"/>
    <w:rsid w:val="00E57812"/>
    <w:rsid w:val="00E57A03"/>
    <w:rsid w:val="00E57BA6"/>
    <w:rsid w:val="00E57CC2"/>
    <w:rsid w:val="00E57E9C"/>
    <w:rsid w:val="00E57ED8"/>
    <w:rsid w:val="00E60096"/>
    <w:rsid w:val="00E6039D"/>
    <w:rsid w:val="00E6084A"/>
    <w:rsid w:val="00E60922"/>
    <w:rsid w:val="00E60940"/>
    <w:rsid w:val="00E6096D"/>
    <w:rsid w:val="00E6096F"/>
    <w:rsid w:val="00E609EB"/>
    <w:rsid w:val="00E609EF"/>
    <w:rsid w:val="00E60A3A"/>
    <w:rsid w:val="00E60BCD"/>
    <w:rsid w:val="00E60C3F"/>
    <w:rsid w:val="00E60D29"/>
    <w:rsid w:val="00E60D2E"/>
    <w:rsid w:val="00E60E2E"/>
    <w:rsid w:val="00E61095"/>
    <w:rsid w:val="00E61124"/>
    <w:rsid w:val="00E6123B"/>
    <w:rsid w:val="00E61314"/>
    <w:rsid w:val="00E614EB"/>
    <w:rsid w:val="00E616D9"/>
    <w:rsid w:val="00E61753"/>
    <w:rsid w:val="00E619D1"/>
    <w:rsid w:val="00E61C4E"/>
    <w:rsid w:val="00E61D9E"/>
    <w:rsid w:val="00E61DA7"/>
    <w:rsid w:val="00E61FE3"/>
    <w:rsid w:val="00E62346"/>
    <w:rsid w:val="00E6262B"/>
    <w:rsid w:val="00E6275A"/>
    <w:rsid w:val="00E62857"/>
    <w:rsid w:val="00E628A7"/>
    <w:rsid w:val="00E6296E"/>
    <w:rsid w:val="00E62B20"/>
    <w:rsid w:val="00E62D35"/>
    <w:rsid w:val="00E62D97"/>
    <w:rsid w:val="00E62E39"/>
    <w:rsid w:val="00E62EAD"/>
    <w:rsid w:val="00E63101"/>
    <w:rsid w:val="00E63147"/>
    <w:rsid w:val="00E63317"/>
    <w:rsid w:val="00E634E9"/>
    <w:rsid w:val="00E6359B"/>
    <w:rsid w:val="00E63607"/>
    <w:rsid w:val="00E6366C"/>
    <w:rsid w:val="00E6373C"/>
    <w:rsid w:val="00E6391F"/>
    <w:rsid w:val="00E63980"/>
    <w:rsid w:val="00E63C5C"/>
    <w:rsid w:val="00E63DA6"/>
    <w:rsid w:val="00E64067"/>
    <w:rsid w:val="00E640B1"/>
    <w:rsid w:val="00E641F9"/>
    <w:rsid w:val="00E64432"/>
    <w:rsid w:val="00E6446D"/>
    <w:rsid w:val="00E6450D"/>
    <w:rsid w:val="00E64559"/>
    <w:rsid w:val="00E6459F"/>
    <w:rsid w:val="00E64615"/>
    <w:rsid w:val="00E648F6"/>
    <w:rsid w:val="00E64B78"/>
    <w:rsid w:val="00E64BDE"/>
    <w:rsid w:val="00E64DE9"/>
    <w:rsid w:val="00E64E34"/>
    <w:rsid w:val="00E64E47"/>
    <w:rsid w:val="00E64F87"/>
    <w:rsid w:val="00E651CC"/>
    <w:rsid w:val="00E6525C"/>
    <w:rsid w:val="00E65318"/>
    <w:rsid w:val="00E654AD"/>
    <w:rsid w:val="00E65688"/>
    <w:rsid w:val="00E65744"/>
    <w:rsid w:val="00E6578E"/>
    <w:rsid w:val="00E657CB"/>
    <w:rsid w:val="00E6585E"/>
    <w:rsid w:val="00E65959"/>
    <w:rsid w:val="00E65BD4"/>
    <w:rsid w:val="00E65C1C"/>
    <w:rsid w:val="00E66306"/>
    <w:rsid w:val="00E664B6"/>
    <w:rsid w:val="00E66655"/>
    <w:rsid w:val="00E666D6"/>
    <w:rsid w:val="00E66760"/>
    <w:rsid w:val="00E66893"/>
    <w:rsid w:val="00E6697F"/>
    <w:rsid w:val="00E669A4"/>
    <w:rsid w:val="00E66A74"/>
    <w:rsid w:val="00E66BBE"/>
    <w:rsid w:val="00E66C0F"/>
    <w:rsid w:val="00E66C5E"/>
    <w:rsid w:val="00E66C69"/>
    <w:rsid w:val="00E66EBE"/>
    <w:rsid w:val="00E66F51"/>
    <w:rsid w:val="00E67128"/>
    <w:rsid w:val="00E671DD"/>
    <w:rsid w:val="00E671DF"/>
    <w:rsid w:val="00E67322"/>
    <w:rsid w:val="00E67607"/>
    <w:rsid w:val="00E67620"/>
    <w:rsid w:val="00E67887"/>
    <w:rsid w:val="00E67972"/>
    <w:rsid w:val="00E679A4"/>
    <w:rsid w:val="00E67E40"/>
    <w:rsid w:val="00E67F9D"/>
    <w:rsid w:val="00E701E2"/>
    <w:rsid w:val="00E703B2"/>
    <w:rsid w:val="00E70490"/>
    <w:rsid w:val="00E70594"/>
    <w:rsid w:val="00E7087F"/>
    <w:rsid w:val="00E70916"/>
    <w:rsid w:val="00E709D9"/>
    <w:rsid w:val="00E70A4F"/>
    <w:rsid w:val="00E70D1D"/>
    <w:rsid w:val="00E70E4E"/>
    <w:rsid w:val="00E70F54"/>
    <w:rsid w:val="00E71307"/>
    <w:rsid w:val="00E713BF"/>
    <w:rsid w:val="00E7150C"/>
    <w:rsid w:val="00E71613"/>
    <w:rsid w:val="00E71629"/>
    <w:rsid w:val="00E71866"/>
    <w:rsid w:val="00E7189D"/>
    <w:rsid w:val="00E71A78"/>
    <w:rsid w:val="00E71FD5"/>
    <w:rsid w:val="00E7230F"/>
    <w:rsid w:val="00E72459"/>
    <w:rsid w:val="00E724CA"/>
    <w:rsid w:val="00E725CE"/>
    <w:rsid w:val="00E73000"/>
    <w:rsid w:val="00E730A0"/>
    <w:rsid w:val="00E730BB"/>
    <w:rsid w:val="00E73168"/>
    <w:rsid w:val="00E731BF"/>
    <w:rsid w:val="00E73227"/>
    <w:rsid w:val="00E732B4"/>
    <w:rsid w:val="00E734F3"/>
    <w:rsid w:val="00E73536"/>
    <w:rsid w:val="00E735A2"/>
    <w:rsid w:val="00E738CE"/>
    <w:rsid w:val="00E738E8"/>
    <w:rsid w:val="00E73D4A"/>
    <w:rsid w:val="00E73DE0"/>
    <w:rsid w:val="00E73E4D"/>
    <w:rsid w:val="00E74031"/>
    <w:rsid w:val="00E7428C"/>
    <w:rsid w:val="00E744A2"/>
    <w:rsid w:val="00E74553"/>
    <w:rsid w:val="00E745EC"/>
    <w:rsid w:val="00E74910"/>
    <w:rsid w:val="00E749E7"/>
    <w:rsid w:val="00E74A3A"/>
    <w:rsid w:val="00E74C1D"/>
    <w:rsid w:val="00E74CAC"/>
    <w:rsid w:val="00E74D70"/>
    <w:rsid w:val="00E74E71"/>
    <w:rsid w:val="00E7513B"/>
    <w:rsid w:val="00E75336"/>
    <w:rsid w:val="00E753F0"/>
    <w:rsid w:val="00E75438"/>
    <w:rsid w:val="00E755DC"/>
    <w:rsid w:val="00E756C5"/>
    <w:rsid w:val="00E756D9"/>
    <w:rsid w:val="00E75773"/>
    <w:rsid w:val="00E75A8B"/>
    <w:rsid w:val="00E75B75"/>
    <w:rsid w:val="00E75B82"/>
    <w:rsid w:val="00E75C2A"/>
    <w:rsid w:val="00E75D48"/>
    <w:rsid w:val="00E75F62"/>
    <w:rsid w:val="00E75FB7"/>
    <w:rsid w:val="00E760E8"/>
    <w:rsid w:val="00E76100"/>
    <w:rsid w:val="00E762B0"/>
    <w:rsid w:val="00E76363"/>
    <w:rsid w:val="00E763C0"/>
    <w:rsid w:val="00E76811"/>
    <w:rsid w:val="00E7684B"/>
    <w:rsid w:val="00E768D9"/>
    <w:rsid w:val="00E76B69"/>
    <w:rsid w:val="00E76D81"/>
    <w:rsid w:val="00E76D94"/>
    <w:rsid w:val="00E76FF5"/>
    <w:rsid w:val="00E77030"/>
    <w:rsid w:val="00E7712E"/>
    <w:rsid w:val="00E77495"/>
    <w:rsid w:val="00E774D0"/>
    <w:rsid w:val="00E774E7"/>
    <w:rsid w:val="00E77550"/>
    <w:rsid w:val="00E776F7"/>
    <w:rsid w:val="00E77C6B"/>
    <w:rsid w:val="00E77C7C"/>
    <w:rsid w:val="00E77C9F"/>
    <w:rsid w:val="00E77CA3"/>
    <w:rsid w:val="00E77CAA"/>
    <w:rsid w:val="00E77D9A"/>
    <w:rsid w:val="00E77FD0"/>
    <w:rsid w:val="00E80072"/>
    <w:rsid w:val="00E800CB"/>
    <w:rsid w:val="00E80183"/>
    <w:rsid w:val="00E804B8"/>
    <w:rsid w:val="00E80695"/>
    <w:rsid w:val="00E8070A"/>
    <w:rsid w:val="00E81080"/>
    <w:rsid w:val="00E810A2"/>
    <w:rsid w:val="00E812F5"/>
    <w:rsid w:val="00E81331"/>
    <w:rsid w:val="00E813C1"/>
    <w:rsid w:val="00E81844"/>
    <w:rsid w:val="00E81866"/>
    <w:rsid w:val="00E81990"/>
    <w:rsid w:val="00E81B23"/>
    <w:rsid w:val="00E81BA0"/>
    <w:rsid w:val="00E81E02"/>
    <w:rsid w:val="00E81EB4"/>
    <w:rsid w:val="00E81F73"/>
    <w:rsid w:val="00E8209F"/>
    <w:rsid w:val="00E820C1"/>
    <w:rsid w:val="00E821AF"/>
    <w:rsid w:val="00E82232"/>
    <w:rsid w:val="00E8249C"/>
    <w:rsid w:val="00E824A2"/>
    <w:rsid w:val="00E82546"/>
    <w:rsid w:val="00E825A2"/>
    <w:rsid w:val="00E825D6"/>
    <w:rsid w:val="00E827BE"/>
    <w:rsid w:val="00E8281F"/>
    <w:rsid w:val="00E82822"/>
    <w:rsid w:val="00E82893"/>
    <w:rsid w:val="00E82A9C"/>
    <w:rsid w:val="00E82D59"/>
    <w:rsid w:val="00E82D60"/>
    <w:rsid w:val="00E82D62"/>
    <w:rsid w:val="00E83175"/>
    <w:rsid w:val="00E83403"/>
    <w:rsid w:val="00E8352B"/>
    <w:rsid w:val="00E83632"/>
    <w:rsid w:val="00E838BB"/>
    <w:rsid w:val="00E83976"/>
    <w:rsid w:val="00E83A30"/>
    <w:rsid w:val="00E83B14"/>
    <w:rsid w:val="00E83BC8"/>
    <w:rsid w:val="00E83CBE"/>
    <w:rsid w:val="00E840F3"/>
    <w:rsid w:val="00E841C8"/>
    <w:rsid w:val="00E84213"/>
    <w:rsid w:val="00E84260"/>
    <w:rsid w:val="00E84352"/>
    <w:rsid w:val="00E843CF"/>
    <w:rsid w:val="00E844A6"/>
    <w:rsid w:val="00E844BA"/>
    <w:rsid w:val="00E846D3"/>
    <w:rsid w:val="00E84709"/>
    <w:rsid w:val="00E8474D"/>
    <w:rsid w:val="00E848A2"/>
    <w:rsid w:val="00E84900"/>
    <w:rsid w:val="00E84DC3"/>
    <w:rsid w:val="00E84F64"/>
    <w:rsid w:val="00E85004"/>
    <w:rsid w:val="00E85216"/>
    <w:rsid w:val="00E85227"/>
    <w:rsid w:val="00E855B9"/>
    <w:rsid w:val="00E85627"/>
    <w:rsid w:val="00E85795"/>
    <w:rsid w:val="00E858DD"/>
    <w:rsid w:val="00E85AC7"/>
    <w:rsid w:val="00E85C2C"/>
    <w:rsid w:val="00E85E3F"/>
    <w:rsid w:val="00E86474"/>
    <w:rsid w:val="00E8696D"/>
    <w:rsid w:val="00E869C3"/>
    <w:rsid w:val="00E869D5"/>
    <w:rsid w:val="00E86AAB"/>
    <w:rsid w:val="00E86B29"/>
    <w:rsid w:val="00E86C55"/>
    <w:rsid w:val="00E86C9E"/>
    <w:rsid w:val="00E86CE3"/>
    <w:rsid w:val="00E86D48"/>
    <w:rsid w:val="00E86D50"/>
    <w:rsid w:val="00E86DEB"/>
    <w:rsid w:val="00E8711F"/>
    <w:rsid w:val="00E87178"/>
    <w:rsid w:val="00E87234"/>
    <w:rsid w:val="00E87432"/>
    <w:rsid w:val="00E874D5"/>
    <w:rsid w:val="00E87589"/>
    <w:rsid w:val="00E8759C"/>
    <w:rsid w:val="00E875A4"/>
    <w:rsid w:val="00E875CC"/>
    <w:rsid w:val="00E87896"/>
    <w:rsid w:val="00E87A17"/>
    <w:rsid w:val="00E87A70"/>
    <w:rsid w:val="00E87A81"/>
    <w:rsid w:val="00E87B30"/>
    <w:rsid w:val="00E87BF9"/>
    <w:rsid w:val="00E87D8B"/>
    <w:rsid w:val="00E87F0C"/>
    <w:rsid w:val="00E90114"/>
    <w:rsid w:val="00E90161"/>
    <w:rsid w:val="00E902A7"/>
    <w:rsid w:val="00E903A1"/>
    <w:rsid w:val="00E904CD"/>
    <w:rsid w:val="00E904ED"/>
    <w:rsid w:val="00E905CB"/>
    <w:rsid w:val="00E90D50"/>
    <w:rsid w:val="00E90DA1"/>
    <w:rsid w:val="00E91125"/>
    <w:rsid w:val="00E9142A"/>
    <w:rsid w:val="00E91851"/>
    <w:rsid w:val="00E919F6"/>
    <w:rsid w:val="00E91C49"/>
    <w:rsid w:val="00E9217F"/>
    <w:rsid w:val="00E921CC"/>
    <w:rsid w:val="00E9230D"/>
    <w:rsid w:val="00E92342"/>
    <w:rsid w:val="00E925C3"/>
    <w:rsid w:val="00E925C6"/>
    <w:rsid w:val="00E9272A"/>
    <w:rsid w:val="00E92F22"/>
    <w:rsid w:val="00E9300B"/>
    <w:rsid w:val="00E9313A"/>
    <w:rsid w:val="00E932B1"/>
    <w:rsid w:val="00E932B2"/>
    <w:rsid w:val="00E93311"/>
    <w:rsid w:val="00E9347E"/>
    <w:rsid w:val="00E936FD"/>
    <w:rsid w:val="00E93AF2"/>
    <w:rsid w:val="00E93B58"/>
    <w:rsid w:val="00E93CA6"/>
    <w:rsid w:val="00E93F6A"/>
    <w:rsid w:val="00E93FD9"/>
    <w:rsid w:val="00E9438E"/>
    <w:rsid w:val="00E944CC"/>
    <w:rsid w:val="00E944ED"/>
    <w:rsid w:val="00E944F8"/>
    <w:rsid w:val="00E9450A"/>
    <w:rsid w:val="00E94551"/>
    <w:rsid w:val="00E9456A"/>
    <w:rsid w:val="00E9468F"/>
    <w:rsid w:val="00E94B60"/>
    <w:rsid w:val="00E94C7C"/>
    <w:rsid w:val="00E94E0D"/>
    <w:rsid w:val="00E94F2B"/>
    <w:rsid w:val="00E950AE"/>
    <w:rsid w:val="00E95169"/>
    <w:rsid w:val="00E95215"/>
    <w:rsid w:val="00E9540D"/>
    <w:rsid w:val="00E95501"/>
    <w:rsid w:val="00E955E2"/>
    <w:rsid w:val="00E9587A"/>
    <w:rsid w:val="00E9597A"/>
    <w:rsid w:val="00E95A08"/>
    <w:rsid w:val="00E95A6A"/>
    <w:rsid w:val="00E95B65"/>
    <w:rsid w:val="00E95D00"/>
    <w:rsid w:val="00E96007"/>
    <w:rsid w:val="00E96032"/>
    <w:rsid w:val="00E9621E"/>
    <w:rsid w:val="00E963C4"/>
    <w:rsid w:val="00E965CF"/>
    <w:rsid w:val="00E96644"/>
    <w:rsid w:val="00E966B3"/>
    <w:rsid w:val="00E96735"/>
    <w:rsid w:val="00E96745"/>
    <w:rsid w:val="00E967C7"/>
    <w:rsid w:val="00E96A62"/>
    <w:rsid w:val="00E96A99"/>
    <w:rsid w:val="00E96B28"/>
    <w:rsid w:val="00E96D5C"/>
    <w:rsid w:val="00E96D98"/>
    <w:rsid w:val="00E97140"/>
    <w:rsid w:val="00E975A1"/>
    <w:rsid w:val="00E976A3"/>
    <w:rsid w:val="00E97727"/>
    <w:rsid w:val="00E978FF"/>
    <w:rsid w:val="00E97906"/>
    <w:rsid w:val="00E97994"/>
    <w:rsid w:val="00E97CFC"/>
    <w:rsid w:val="00E97D1B"/>
    <w:rsid w:val="00E97F00"/>
    <w:rsid w:val="00EA00A5"/>
    <w:rsid w:val="00EA031E"/>
    <w:rsid w:val="00EA03B8"/>
    <w:rsid w:val="00EA04E3"/>
    <w:rsid w:val="00EA059F"/>
    <w:rsid w:val="00EA093E"/>
    <w:rsid w:val="00EA0C79"/>
    <w:rsid w:val="00EA0C99"/>
    <w:rsid w:val="00EA0D82"/>
    <w:rsid w:val="00EA104B"/>
    <w:rsid w:val="00EA120F"/>
    <w:rsid w:val="00EA16C3"/>
    <w:rsid w:val="00EA189A"/>
    <w:rsid w:val="00EA19F0"/>
    <w:rsid w:val="00EA1FCF"/>
    <w:rsid w:val="00EA23A5"/>
    <w:rsid w:val="00EA25FD"/>
    <w:rsid w:val="00EA2746"/>
    <w:rsid w:val="00EA29F7"/>
    <w:rsid w:val="00EA2ABA"/>
    <w:rsid w:val="00EA2B20"/>
    <w:rsid w:val="00EA2FB9"/>
    <w:rsid w:val="00EA3077"/>
    <w:rsid w:val="00EA3293"/>
    <w:rsid w:val="00EA3359"/>
    <w:rsid w:val="00EA373C"/>
    <w:rsid w:val="00EA386F"/>
    <w:rsid w:val="00EA3C21"/>
    <w:rsid w:val="00EA3C98"/>
    <w:rsid w:val="00EA3D5B"/>
    <w:rsid w:val="00EA3ECD"/>
    <w:rsid w:val="00EA41FC"/>
    <w:rsid w:val="00EA423E"/>
    <w:rsid w:val="00EA4428"/>
    <w:rsid w:val="00EA48FF"/>
    <w:rsid w:val="00EA4A8A"/>
    <w:rsid w:val="00EA4AA5"/>
    <w:rsid w:val="00EA4AC9"/>
    <w:rsid w:val="00EA4BFC"/>
    <w:rsid w:val="00EA4E87"/>
    <w:rsid w:val="00EA52B1"/>
    <w:rsid w:val="00EA5337"/>
    <w:rsid w:val="00EA5634"/>
    <w:rsid w:val="00EA5AF1"/>
    <w:rsid w:val="00EA5CC6"/>
    <w:rsid w:val="00EA5D7A"/>
    <w:rsid w:val="00EA5DC5"/>
    <w:rsid w:val="00EA61E1"/>
    <w:rsid w:val="00EA61F9"/>
    <w:rsid w:val="00EA6263"/>
    <w:rsid w:val="00EA63F2"/>
    <w:rsid w:val="00EA6422"/>
    <w:rsid w:val="00EA64BE"/>
    <w:rsid w:val="00EA67B1"/>
    <w:rsid w:val="00EA67C5"/>
    <w:rsid w:val="00EA67F9"/>
    <w:rsid w:val="00EA6B6C"/>
    <w:rsid w:val="00EA6E8C"/>
    <w:rsid w:val="00EA7113"/>
    <w:rsid w:val="00EA71F6"/>
    <w:rsid w:val="00EA7482"/>
    <w:rsid w:val="00EA75CB"/>
    <w:rsid w:val="00EA76EC"/>
    <w:rsid w:val="00EA774F"/>
    <w:rsid w:val="00EA77F8"/>
    <w:rsid w:val="00EA78CF"/>
    <w:rsid w:val="00EA7B16"/>
    <w:rsid w:val="00EA7BFA"/>
    <w:rsid w:val="00EA7D49"/>
    <w:rsid w:val="00EA7FE5"/>
    <w:rsid w:val="00EB00F6"/>
    <w:rsid w:val="00EB034C"/>
    <w:rsid w:val="00EB0388"/>
    <w:rsid w:val="00EB03EC"/>
    <w:rsid w:val="00EB0683"/>
    <w:rsid w:val="00EB0774"/>
    <w:rsid w:val="00EB0906"/>
    <w:rsid w:val="00EB0ADB"/>
    <w:rsid w:val="00EB0BBC"/>
    <w:rsid w:val="00EB0DB4"/>
    <w:rsid w:val="00EB0DFD"/>
    <w:rsid w:val="00EB11A7"/>
    <w:rsid w:val="00EB1205"/>
    <w:rsid w:val="00EB1558"/>
    <w:rsid w:val="00EB15A7"/>
    <w:rsid w:val="00EB17F7"/>
    <w:rsid w:val="00EB182F"/>
    <w:rsid w:val="00EB1836"/>
    <w:rsid w:val="00EB1D2F"/>
    <w:rsid w:val="00EB1ED6"/>
    <w:rsid w:val="00EB2285"/>
    <w:rsid w:val="00EB23D2"/>
    <w:rsid w:val="00EB25DF"/>
    <w:rsid w:val="00EB262C"/>
    <w:rsid w:val="00EB294C"/>
    <w:rsid w:val="00EB2B37"/>
    <w:rsid w:val="00EB2E41"/>
    <w:rsid w:val="00EB2EC2"/>
    <w:rsid w:val="00EB2F38"/>
    <w:rsid w:val="00EB30C8"/>
    <w:rsid w:val="00EB30D8"/>
    <w:rsid w:val="00EB312D"/>
    <w:rsid w:val="00EB3376"/>
    <w:rsid w:val="00EB337B"/>
    <w:rsid w:val="00EB3A65"/>
    <w:rsid w:val="00EB3ECC"/>
    <w:rsid w:val="00EB3F6F"/>
    <w:rsid w:val="00EB3FAF"/>
    <w:rsid w:val="00EB4086"/>
    <w:rsid w:val="00EB4164"/>
    <w:rsid w:val="00EB420C"/>
    <w:rsid w:val="00EB424B"/>
    <w:rsid w:val="00EB4257"/>
    <w:rsid w:val="00EB44C1"/>
    <w:rsid w:val="00EB45CF"/>
    <w:rsid w:val="00EB47F8"/>
    <w:rsid w:val="00EB48CA"/>
    <w:rsid w:val="00EB4A8C"/>
    <w:rsid w:val="00EB4E6E"/>
    <w:rsid w:val="00EB5067"/>
    <w:rsid w:val="00EB5109"/>
    <w:rsid w:val="00EB5166"/>
    <w:rsid w:val="00EB5622"/>
    <w:rsid w:val="00EB56C5"/>
    <w:rsid w:val="00EB584F"/>
    <w:rsid w:val="00EB5856"/>
    <w:rsid w:val="00EB5C11"/>
    <w:rsid w:val="00EB5C2A"/>
    <w:rsid w:val="00EB5F03"/>
    <w:rsid w:val="00EB608E"/>
    <w:rsid w:val="00EB630D"/>
    <w:rsid w:val="00EB63DC"/>
    <w:rsid w:val="00EB645F"/>
    <w:rsid w:val="00EB64B6"/>
    <w:rsid w:val="00EB64D6"/>
    <w:rsid w:val="00EB655A"/>
    <w:rsid w:val="00EB67DA"/>
    <w:rsid w:val="00EB6852"/>
    <w:rsid w:val="00EB6A14"/>
    <w:rsid w:val="00EB6A88"/>
    <w:rsid w:val="00EB6B72"/>
    <w:rsid w:val="00EB6DBE"/>
    <w:rsid w:val="00EB6F67"/>
    <w:rsid w:val="00EB71DC"/>
    <w:rsid w:val="00EB7323"/>
    <w:rsid w:val="00EB7337"/>
    <w:rsid w:val="00EB73DD"/>
    <w:rsid w:val="00EB744E"/>
    <w:rsid w:val="00EB74EE"/>
    <w:rsid w:val="00EB757A"/>
    <w:rsid w:val="00EB78D4"/>
    <w:rsid w:val="00EB79B2"/>
    <w:rsid w:val="00EB7F06"/>
    <w:rsid w:val="00EC009F"/>
    <w:rsid w:val="00EC0104"/>
    <w:rsid w:val="00EC045B"/>
    <w:rsid w:val="00EC0542"/>
    <w:rsid w:val="00EC05F0"/>
    <w:rsid w:val="00EC075C"/>
    <w:rsid w:val="00EC07A1"/>
    <w:rsid w:val="00EC07B7"/>
    <w:rsid w:val="00EC097F"/>
    <w:rsid w:val="00EC09F0"/>
    <w:rsid w:val="00EC0A32"/>
    <w:rsid w:val="00EC0A39"/>
    <w:rsid w:val="00EC0A8D"/>
    <w:rsid w:val="00EC0AAE"/>
    <w:rsid w:val="00EC0C09"/>
    <w:rsid w:val="00EC0D4E"/>
    <w:rsid w:val="00EC0DA3"/>
    <w:rsid w:val="00EC0EB0"/>
    <w:rsid w:val="00EC0F1F"/>
    <w:rsid w:val="00EC0F4B"/>
    <w:rsid w:val="00EC103B"/>
    <w:rsid w:val="00EC118E"/>
    <w:rsid w:val="00EC17ED"/>
    <w:rsid w:val="00EC1810"/>
    <w:rsid w:val="00EC18D5"/>
    <w:rsid w:val="00EC196C"/>
    <w:rsid w:val="00EC19FE"/>
    <w:rsid w:val="00EC1A9B"/>
    <w:rsid w:val="00EC1D29"/>
    <w:rsid w:val="00EC1D77"/>
    <w:rsid w:val="00EC1E56"/>
    <w:rsid w:val="00EC222F"/>
    <w:rsid w:val="00EC2366"/>
    <w:rsid w:val="00EC2523"/>
    <w:rsid w:val="00EC26A0"/>
    <w:rsid w:val="00EC2730"/>
    <w:rsid w:val="00EC2B26"/>
    <w:rsid w:val="00EC2C2A"/>
    <w:rsid w:val="00EC2FD7"/>
    <w:rsid w:val="00EC30C6"/>
    <w:rsid w:val="00EC30D9"/>
    <w:rsid w:val="00EC3181"/>
    <w:rsid w:val="00EC3294"/>
    <w:rsid w:val="00EC32A8"/>
    <w:rsid w:val="00EC33FF"/>
    <w:rsid w:val="00EC361C"/>
    <w:rsid w:val="00EC37D6"/>
    <w:rsid w:val="00EC37DF"/>
    <w:rsid w:val="00EC3A42"/>
    <w:rsid w:val="00EC3CBE"/>
    <w:rsid w:val="00EC3D38"/>
    <w:rsid w:val="00EC3DA9"/>
    <w:rsid w:val="00EC3DB2"/>
    <w:rsid w:val="00EC3DCD"/>
    <w:rsid w:val="00EC3F0A"/>
    <w:rsid w:val="00EC3F12"/>
    <w:rsid w:val="00EC4006"/>
    <w:rsid w:val="00EC4238"/>
    <w:rsid w:val="00EC4416"/>
    <w:rsid w:val="00EC456D"/>
    <w:rsid w:val="00EC468F"/>
    <w:rsid w:val="00EC46BC"/>
    <w:rsid w:val="00EC489A"/>
    <w:rsid w:val="00EC48E4"/>
    <w:rsid w:val="00EC499D"/>
    <w:rsid w:val="00EC49CF"/>
    <w:rsid w:val="00EC4C1A"/>
    <w:rsid w:val="00EC4D6E"/>
    <w:rsid w:val="00EC4DC0"/>
    <w:rsid w:val="00EC4E3C"/>
    <w:rsid w:val="00EC4E41"/>
    <w:rsid w:val="00EC4E71"/>
    <w:rsid w:val="00EC5056"/>
    <w:rsid w:val="00EC51A9"/>
    <w:rsid w:val="00EC5382"/>
    <w:rsid w:val="00EC55E8"/>
    <w:rsid w:val="00EC5827"/>
    <w:rsid w:val="00EC5852"/>
    <w:rsid w:val="00EC5A98"/>
    <w:rsid w:val="00EC5B44"/>
    <w:rsid w:val="00EC5D9B"/>
    <w:rsid w:val="00EC5E11"/>
    <w:rsid w:val="00EC5E2F"/>
    <w:rsid w:val="00EC5ECE"/>
    <w:rsid w:val="00EC5ED4"/>
    <w:rsid w:val="00EC6075"/>
    <w:rsid w:val="00EC6366"/>
    <w:rsid w:val="00EC64EC"/>
    <w:rsid w:val="00EC6A72"/>
    <w:rsid w:val="00EC6A90"/>
    <w:rsid w:val="00EC6DF9"/>
    <w:rsid w:val="00EC6E20"/>
    <w:rsid w:val="00EC6FFB"/>
    <w:rsid w:val="00EC713A"/>
    <w:rsid w:val="00EC7248"/>
    <w:rsid w:val="00EC73B9"/>
    <w:rsid w:val="00EC75D9"/>
    <w:rsid w:val="00EC7711"/>
    <w:rsid w:val="00EC77F2"/>
    <w:rsid w:val="00EC787F"/>
    <w:rsid w:val="00EC79FC"/>
    <w:rsid w:val="00EC7D17"/>
    <w:rsid w:val="00EC7F18"/>
    <w:rsid w:val="00ED0453"/>
    <w:rsid w:val="00ED06AF"/>
    <w:rsid w:val="00ED06FF"/>
    <w:rsid w:val="00ED0B14"/>
    <w:rsid w:val="00ED0C65"/>
    <w:rsid w:val="00ED0D02"/>
    <w:rsid w:val="00ED0D26"/>
    <w:rsid w:val="00ED0F6E"/>
    <w:rsid w:val="00ED0F83"/>
    <w:rsid w:val="00ED11C9"/>
    <w:rsid w:val="00ED14BA"/>
    <w:rsid w:val="00ED154D"/>
    <w:rsid w:val="00ED1610"/>
    <w:rsid w:val="00ED165F"/>
    <w:rsid w:val="00ED18AE"/>
    <w:rsid w:val="00ED18E1"/>
    <w:rsid w:val="00ED18FC"/>
    <w:rsid w:val="00ED1B98"/>
    <w:rsid w:val="00ED1EFE"/>
    <w:rsid w:val="00ED20B1"/>
    <w:rsid w:val="00ED2261"/>
    <w:rsid w:val="00ED2313"/>
    <w:rsid w:val="00ED2624"/>
    <w:rsid w:val="00ED2645"/>
    <w:rsid w:val="00ED2875"/>
    <w:rsid w:val="00ED2938"/>
    <w:rsid w:val="00ED2A3D"/>
    <w:rsid w:val="00ED2BA9"/>
    <w:rsid w:val="00ED2D7D"/>
    <w:rsid w:val="00ED310A"/>
    <w:rsid w:val="00ED3159"/>
    <w:rsid w:val="00ED31C3"/>
    <w:rsid w:val="00ED34A6"/>
    <w:rsid w:val="00ED35A3"/>
    <w:rsid w:val="00ED3888"/>
    <w:rsid w:val="00ED38B4"/>
    <w:rsid w:val="00ED3903"/>
    <w:rsid w:val="00ED3CBF"/>
    <w:rsid w:val="00ED3D12"/>
    <w:rsid w:val="00ED3EF4"/>
    <w:rsid w:val="00ED3EFE"/>
    <w:rsid w:val="00ED3FBE"/>
    <w:rsid w:val="00ED3FDA"/>
    <w:rsid w:val="00ED4017"/>
    <w:rsid w:val="00ED404B"/>
    <w:rsid w:val="00ED404E"/>
    <w:rsid w:val="00ED42BE"/>
    <w:rsid w:val="00ED43C9"/>
    <w:rsid w:val="00ED4414"/>
    <w:rsid w:val="00ED4452"/>
    <w:rsid w:val="00ED49F6"/>
    <w:rsid w:val="00ED4A22"/>
    <w:rsid w:val="00ED4AA7"/>
    <w:rsid w:val="00ED4CF0"/>
    <w:rsid w:val="00ED52E0"/>
    <w:rsid w:val="00ED53E5"/>
    <w:rsid w:val="00ED53F3"/>
    <w:rsid w:val="00ED559E"/>
    <w:rsid w:val="00ED56CB"/>
    <w:rsid w:val="00ED57B5"/>
    <w:rsid w:val="00ED583D"/>
    <w:rsid w:val="00ED5ACB"/>
    <w:rsid w:val="00ED5BB9"/>
    <w:rsid w:val="00ED5C15"/>
    <w:rsid w:val="00ED5C8F"/>
    <w:rsid w:val="00ED5E63"/>
    <w:rsid w:val="00ED5F79"/>
    <w:rsid w:val="00ED5FC5"/>
    <w:rsid w:val="00ED6150"/>
    <w:rsid w:val="00ED63B5"/>
    <w:rsid w:val="00ED64D3"/>
    <w:rsid w:val="00ED6506"/>
    <w:rsid w:val="00ED6819"/>
    <w:rsid w:val="00ED684E"/>
    <w:rsid w:val="00ED6A40"/>
    <w:rsid w:val="00ED7058"/>
    <w:rsid w:val="00ED7176"/>
    <w:rsid w:val="00ED7648"/>
    <w:rsid w:val="00ED766D"/>
    <w:rsid w:val="00ED77ED"/>
    <w:rsid w:val="00ED7A49"/>
    <w:rsid w:val="00ED7C62"/>
    <w:rsid w:val="00ED7CA9"/>
    <w:rsid w:val="00ED7CCA"/>
    <w:rsid w:val="00ED7D94"/>
    <w:rsid w:val="00ED7ED1"/>
    <w:rsid w:val="00ED7FED"/>
    <w:rsid w:val="00EE0021"/>
    <w:rsid w:val="00EE034C"/>
    <w:rsid w:val="00EE0477"/>
    <w:rsid w:val="00EE053D"/>
    <w:rsid w:val="00EE055E"/>
    <w:rsid w:val="00EE0562"/>
    <w:rsid w:val="00EE0701"/>
    <w:rsid w:val="00EE076F"/>
    <w:rsid w:val="00EE089B"/>
    <w:rsid w:val="00EE08AF"/>
    <w:rsid w:val="00EE08BD"/>
    <w:rsid w:val="00EE08E2"/>
    <w:rsid w:val="00EE0A95"/>
    <w:rsid w:val="00EE0D3F"/>
    <w:rsid w:val="00EE0FEA"/>
    <w:rsid w:val="00EE1264"/>
    <w:rsid w:val="00EE1375"/>
    <w:rsid w:val="00EE153A"/>
    <w:rsid w:val="00EE15DC"/>
    <w:rsid w:val="00EE172D"/>
    <w:rsid w:val="00EE1784"/>
    <w:rsid w:val="00EE18F0"/>
    <w:rsid w:val="00EE1987"/>
    <w:rsid w:val="00EE1BF0"/>
    <w:rsid w:val="00EE1DE9"/>
    <w:rsid w:val="00EE21EE"/>
    <w:rsid w:val="00EE2259"/>
    <w:rsid w:val="00EE2457"/>
    <w:rsid w:val="00EE252A"/>
    <w:rsid w:val="00EE257B"/>
    <w:rsid w:val="00EE27A4"/>
    <w:rsid w:val="00EE27CD"/>
    <w:rsid w:val="00EE29BD"/>
    <w:rsid w:val="00EE2C09"/>
    <w:rsid w:val="00EE2E12"/>
    <w:rsid w:val="00EE2F61"/>
    <w:rsid w:val="00EE3095"/>
    <w:rsid w:val="00EE3129"/>
    <w:rsid w:val="00EE31E5"/>
    <w:rsid w:val="00EE32E9"/>
    <w:rsid w:val="00EE3553"/>
    <w:rsid w:val="00EE3599"/>
    <w:rsid w:val="00EE36B6"/>
    <w:rsid w:val="00EE3734"/>
    <w:rsid w:val="00EE3749"/>
    <w:rsid w:val="00EE375D"/>
    <w:rsid w:val="00EE378C"/>
    <w:rsid w:val="00EE393A"/>
    <w:rsid w:val="00EE3B78"/>
    <w:rsid w:val="00EE3B9E"/>
    <w:rsid w:val="00EE3BA7"/>
    <w:rsid w:val="00EE3C59"/>
    <w:rsid w:val="00EE3D00"/>
    <w:rsid w:val="00EE3D55"/>
    <w:rsid w:val="00EE3E12"/>
    <w:rsid w:val="00EE41F5"/>
    <w:rsid w:val="00EE4279"/>
    <w:rsid w:val="00EE42B6"/>
    <w:rsid w:val="00EE4571"/>
    <w:rsid w:val="00EE46A4"/>
    <w:rsid w:val="00EE4730"/>
    <w:rsid w:val="00EE4749"/>
    <w:rsid w:val="00EE4772"/>
    <w:rsid w:val="00EE4982"/>
    <w:rsid w:val="00EE499F"/>
    <w:rsid w:val="00EE49EA"/>
    <w:rsid w:val="00EE4D1F"/>
    <w:rsid w:val="00EE4D31"/>
    <w:rsid w:val="00EE4D56"/>
    <w:rsid w:val="00EE4D5D"/>
    <w:rsid w:val="00EE4E21"/>
    <w:rsid w:val="00EE4F77"/>
    <w:rsid w:val="00EE50F2"/>
    <w:rsid w:val="00EE51B8"/>
    <w:rsid w:val="00EE52B3"/>
    <w:rsid w:val="00EE541B"/>
    <w:rsid w:val="00EE54C4"/>
    <w:rsid w:val="00EE5614"/>
    <w:rsid w:val="00EE599E"/>
    <w:rsid w:val="00EE59B7"/>
    <w:rsid w:val="00EE59F9"/>
    <w:rsid w:val="00EE5D8D"/>
    <w:rsid w:val="00EE5E40"/>
    <w:rsid w:val="00EE5E8A"/>
    <w:rsid w:val="00EE5F6C"/>
    <w:rsid w:val="00EE60BD"/>
    <w:rsid w:val="00EE617C"/>
    <w:rsid w:val="00EE632E"/>
    <w:rsid w:val="00EE643F"/>
    <w:rsid w:val="00EE6441"/>
    <w:rsid w:val="00EE64C7"/>
    <w:rsid w:val="00EE6792"/>
    <w:rsid w:val="00EE6828"/>
    <w:rsid w:val="00EE6D68"/>
    <w:rsid w:val="00EE6E15"/>
    <w:rsid w:val="00EE6E1B"/>
    <w:rsid w:val="00EE6E1E"/>
    <w:rsid w:val="00EE7068"/>
    <w:rsid w:val="00EE70C7"/>
    <w:rsid w:val="00EE722A"/>
    <w:rsid w:val="00EE739A"/>
    <w:rsid w:val="00EE741B"/>
    <w:rsid w:val="00EE7517"/>
    <w:rsid w:val="00EE75AF"/>
    <w:rsid w:val="00EE7616"/>
    <w:rsid w:val="00EE76F0"/>
    <w:rsid w:val="00EE779D"/>
    <w:rsid w:val="00EE79A2"/>
    <w:rsid w:val="00EE7D50"/>
    <w:rsid w:val="00EE7E45"/>
    <w:rsid w:val="00EE7EDC"/>
    <w:rsid w:val="00EE7F6F"/>
    <w:rsid w:val="00EE7FAA"/>
    <w:rsid w:val="00EE7FE2"/>
    <w:rsid w:val="00EF01DD"/>
    <w:rsid w:val="00EF0242"/>
    <w:rsid w:val="00EF0289"/>
    <w:rsid w:val="00EF040E"/>
    <w:rsid w:val="00EF047F"/>
    <w:rsid w:val="00EF05C2"/>
    <w:rsid w:val="00EF0664"/>
    <w:rsid w:val="00EF085A"/>
    <w:rsid w:val="00EF08C6"/>
    <w:rsid w:val="00EF09C4"/>
    <w:rsid w:val="00EF0A7C"/>
    <w:rsid w:val="00EF0C14"/>
    <w:rsid w:val="00EF0EF7"/>
    <w:rsid w:val="00EF1036"/>
    <w:rsid w:val="00EF104E"/>
    <w:rsid w:val="00EF119C"/>
    <w:rsid w:val="00EF122C"/>
    <w:rsid w:val="00EF1234"/>
    <w:rsid w:val="00EF1452"/>
    <w:rsid w:val="00EF14B2"/>
    <w:rsid w:val="00EF151B"/>
    <w:rsid w:val="00EF16D9"/>
    <w:rsid w:val="00EF1939"/>
    <w:rsid w:val="00EF1A91"/>
    <w:rsid w:val="00EF1E19"/>
    <w:rsid w:val="00EF1E61"/>
    <w:rsid w:val="00EF1F00"/>
    <w:rsid w:val="00EF2995"/>
    <w:rsid w:val="00EF2A31"/>
    <w:rsid w:val="00EF2C00"/>
    <w:rsid w:val="00EF2CAD"/>
    <w:rsid w:val="00EF2CCE"/>
    <w:rsid w:val="00EF2D3E"/>
    <w:rsid w:val="00EF3108"/>
    <w:rsid w:val="00EF32DF"/>
    <w:rsid w:val="00EF32E4"/>
    <w:rsid w:val="00EF3406"/>
    <w:rsid w:val="00EF3516"/>
    <w:rsid w:val="00EF3537"/>
    <w:rsid w:val="00EF35DA"/>
    <w:rsid w:val="00EF3734"/>
    <w:rsid w:val="00EF3876"/>
    <w:rsid w:val="00EF392E"/>
    <w:rsid w:val="00EF39D4"/>
    <w:rsid w:val="00EF3A9C"/>
    <w:rsid w:val="00EF3BD0"/>
    <w:rsid w:val="00EF3C37"/>
    <w:rsid w:val="00EF3C89"/>
    <w:rsid w:val="00EF3D1B"/>
    <w:rsid w:val="00EF3E53"/>
    <w:rsid w:val="00EF3F16"/>
    <w:rsid w:val="00EF40D8"/>
    <w:rsid w:val="00EF414C"/>
    <w:rsid w:val="00EF4171"/>
    <w:rsid w:val="00EF42E4"/>
    <w:rsid w:val="00EF43AE"/>
    <w:rsid w:val="00EF4591"/>
    <w:rsid w:val="00EF47F2"/>
    <w:rsid w:val="00EF4A93"/>
    <w:rsid w:val="00EF4CF0"/>
    <w:rsid w:val="00EF4D3F"/>
    <w:rsid w:val="00EF4D54"/>
    <w:rsid w:val="00EF4E2E"/>
    <w:rsid w:val="00EF5057"/>
    <w:rsid w:val="00EF5631"/>
    <w:rsid w:val="00EF582C"/>
    <w:rsid w:val="00EF5898"/>
    <w:rsid w:val="00EF5C1E"/>
    <w:rsid w:val="00EF5C74"/>
    <w:rsid w:val="00EF5D6B"/>
    <w:rsid w:val="00EF5EA9"/>
    <w:rsid w:val="00EF60B7"/>
    <w:rsid w:val="00EF60FD"/>
    <w:rsid w:val="00EF6127"/>
    <w:rsid w:val="00EF61E3"/>
    <w:rsid w:val="00EF6253"/>
    <w:rsid w:val="00EF6281"/>
    <w:rsid w:val="00EF62BD"/>
    <w:rsid w:val="00EF6531"/>
    <w:rsid w:val="00EF66F0"/>
    <w:rsid w:val="00EF67C8"/>
    <w:rsid w:val="00EF6B3E"/>
    <w:rsid w:val="00EF6BE4"/>
    <w:rsid w:val="00EF6DCF"/>
    <w:rsid w:val="00EF704B"/>
    <w:rsid w:val="00EF7055"/>
    <w:rsid w:val="00EF7118"/>
    <w:rsid w:val="00EF7178"/>
    <w:rsid w:val="00EF733A"/>
    <w:rsid w:val="00EF737A"/>
    <w:rsid w:val="00EF765C"/>
    <w:rsid w:val="00EF76AE"/>
    <w:rsid w:val="00EF79F2"/>
    <w:rsid w:val="00EF7B77"/>
    <w:rsid w:val="00F001EA"/>
    <w:rsid w:val="00F00368"/>
    <w:rsid w:val="00F00387"/>
    <w:rsid w:val="00F0047A"/>
    <w:rsid w:val="00F0085D"/>
    <w:rsid w:val="00F00980"/>
    <w:rsid w:val="00F00A5E"/>
    <w:rsid w:val="00F00E3B"/>
    <w:rsid w:val="00F00E9A"/>
    <w:rsid w:val="00F010F8"/>
    <w:rsid w:val="00F011E6"/>
    <w:rsid w:val="00F014B6"/>
    <w:rsid w:val="00F01529"/>
    <w:rsid w:val="00F015D6"/>
    <w:rsid w:val="00F01749"/>
    <w:rsid w:val="00F017BE"/>
    <w:rsid w:val="00F01895"/>
    <w:rsid w:val="00F018CE"/>
    <w:rsid w:val="00F019AE"/>
    <w:rsid w:val="00F01C86"/>
    <w:rsid w:val="00F01E66"/>
    <w:rsid w:val="00F02105"/>
    <w:rsid w:val="00F0233A"/>
    <w:rsid w:val="00F024A8"/>
    <w:rsid w:val="00F026D5"/>
    <w:rsid w:val="00F0271B"/>
    <w:rsid w:val="00F0278E"/>
    <w:rsid w:val="00F027AC"/>
    <w:rsid w:val="00F02811"/>
    <w:rsid w:val="00F02814"/>
    <w:rsid w:val="00F02852"/>
    <w:rsid w:val="00F02901"/>
    <w:rsid w:val="00F029D3"/>
    <w:rsid w:val="00F02B99"/>
    <w:rsid w:val="00F02C60"/>
    <w:rsid w:val="00F02EE9"/>
    <w:rsid w:val="00F02F2E"/>
    <w:rsid w:val="00F02F8A"/>
    <w:rsid w:val="00F0302B"/>
    <w:rsid w:val="00F0305E"/>
    <w:rsid w:val="00F0307A"/>
    <w:rsid w:val="00F0347B"/>
    <w:rsid w:val="00F035A6"/>
    <w:rsid w:val="00F037B7"/>
    <w:rsid w:val="00F03803"/>
    <w:rsid w:val="00F03848"/>
    <w:rsid w:val="00F03871"/>
    <w:rsid w:val="00F03A13"/>
    <w:rsid w:val="00F03A91"/>
    <w:rsid w:val="00F03AFC"/>
    <w:rsid w:val="00F03B5E"/>
    <w:rsid w:val="00F03BF5"/>
    <w:rsid w:val="00F03C4F"/>
    <w:rsid w:val="00F03E3B"/>
    <w:rsid w:val="00F03EDE"/>
    <w:rsid w:val="00F0400F"/>
    <w:rsid w:val="00F04073"/>
    <w:rsid w:val="00F041E4"/>
    <w:rsid w:val="00F044DB"/>
    <w:rsid w:val="00F04527"/>
    <w:rsid w:val="00F04601"/>
    <w:rsid w:val="00F0462C"/>
    <w:rsid w:val="00F046E8"/>
    <w:rsid w:val="00F04702"/>
    <w:rsid w:val="00F04742"/>
    <w:rsid w:val="00F049FC"/>
    <w:rsid w:val="00F04C73"/>
    <w:rsid w:val="00F04CE1"/>
    <w:rsid w:val="00F051A5"/>
    <w:rsid w:val="00F0540E"/>
    <w:rsid w:val="00F057F6"/>
    <w:rsid w:val="00F05933"/>
    <w:rsid w:val="00F05A52"/>
    <w:rsid w:val="00F05AE5"/>
    <w:rsid w:val="00F05CA8"/>
    <w:rsid w:val="00F05DF8"/>
    <w:rsid w:val="00F05E33"/>
    <w:rsid w:val="00F05EB2"/>
    <w:rsid w:val="00F05F19"/>
    <w:rsid w:val="00F0606B"/>
    <w:rsid w:val="00F06536"/>
    <w:rsid w:val="00F06629"/>
    <w:rsid w:val="00F06A5C"/>
    <w:rsid w:val="00F06DDB"/>
    <w:rsid w:val="00F06F09"/>
    <w:rsid w:val="00F06F51"/>
    <w:rsid w:val="00F070DF"/>
    <w:rsid w:val="00F07138"/>
    <w:rsid w:val="00F071E1"/>
    <w:rsid w:val="00F07251"/>
    <w:rsid w:val="00F07377"/>
    <w:rsid w:val="00F0755E"/>
    <w:rsid w:val="00F07615"/>
    <w:rsid w:val="00F07698"/>
    <w:rsid w:val="00F076C8"/>
    <w:rsid w:val="00F07771"/>
    <w:rsid w:val="00F077A4"/>
    <w:rsid w:val="00F07887"/>
    <w:rsid w:val="00F079A1"/>
    <w:rsid w:val="00F079B3"/>
    <w:rsid w:val="00F07A29"/>
    <w:rsid w:val="00F07E3A"/>
    <w:rsid w:val="00F07F4E"/>
    <w:rsid w:val="00F07FDD"/>
    <w:rsid w:val="00F10050"/>
    <w:rsid w:val="00F10288"/>
    <w:rsid w:val="00F10534"/>
    <w:rsid w:val="00F1054C"/>
    <w:rsid w:val="00F10756"/>
    <w:rsid w:val="00F10783"/>
    <w:rsid w:val="00F10883"/>
    <w:rsid w:val="00F10992"/>
    <w:rsid w:val="00F10B07"/>
    <w:rsid w:val="00F10BEC"/>
    <w:rsid w:val="00F10D4D"/>
    <w:rsid w:val="00F10F56"/>
    <w:rsid w:val="00F11037"/>
    <w:rsid w:val="00F111A0"/>
    <w:rsid w:val="00F111B1"/>
    <w:rsid w:val="00F113D0"/>
    <w:rsid w:val="00F114A5"/>
    <w:rsid w:val="00F115B7"/>
    <w:rsid w:val="00F11634"/>
    <w:rsid w:val="00F118C6"/>
    <w:rsid w:val="00F11DB2"/>
    <w:rsid w:val="00F11F10"/>
    <w:rsid w:val="00F11F1B"/>
    <w:rsid w:val="00F11F29"/>
    <w:rsid w:val="00F12369"/>
    <w:rsid w:val="00F129B8"/>
    <w:rsid w:val="00F12C30"/>
    <w:rsid w:val="00F12CD8"/>
    <w:rsid w:val="00F1316B"/>
    <w:rsid w:val="00F132E2"/>
    <w:rsid w:val="00F133A4"/>
    <w:rsid w:val="00F13440"/>
    <w:rsid w:val="00F1376F"/>
    <w:rsid w:val="00F137B4"/>
    <w:rsid w:val="00F13921"/>
    <w:rsid w:val="00F13CFF"/>
    <w:rsid w:val="00F13E77"/>
    <w:rsid w:val="00F13E9B"/>
    <w:rsid w:val="00F13EA1"/>
    <w:rsid w:val="00F1402F"/>
    <w:rsid w:val="00F14229"/>
    <w:rsid w:val="00F1422D"/>
    <w:rsid w:val="00F143C6"/>
    <w:rsid w:val="00F148B4"/>
    <w:rsid w:val="00F149AF"/>
    <w:rsid w:val="00F14CB4"/>
    <w:rsid w:val="00F1503A"/>
    <w:rsid w:val="00F15388"/>
    <w:rsid w:val="00F154BC"/>
    <w:rsid w:val="00F15638"/>
    <w:rsid w:val="00F15930"/>
    <w:rsid w:val="00F15ACE"/>
    <w:rsid w:val="00F15B7C"/>
    <w:rsid w:val="00F15C22"/>
    <w:rsid w:val="00F15C60"/>
    <w:rsid w:val="00F15C88"/>
    <w:rsid w:val="00F15CF5"/>
    <w:rsid w:val="00F160A9"/>
    <w:rsid w:val="00F16144"/>
    <w:rsid w:val="00F162E5"/>
    <w:rsid w:val="00F165BA"/>
    <w:rsid w:val="00F165D7"/>
    <w:rsid w:val="00F167A2"/>
    <w:rsid w:val="00F16822"/>
    <w:rsid w:val="00F16A76"/>
    <w:rsid w:val="00F16BBA"/>
    <w:rsid w:val="00F16C2E"/>
    <w:rsid w:val="00F16DB0"/>
    <w:rsid w:val="00F16E2C"/>
    <w:rsid w:val="00F16F57"/>
    <w:rsid w:val="00F16FE2"/>
    <w:rsid w:val="00F1701B"/>
    <w:rsid w:val="00F17336"/>
    <w:rsid w:val="00F1737C"/>
    <w:rsid w:val="00F17441"/>
    <w:rsid w:val="00F175B3"/>
    <w:rsid w:val="00F1770F"/>
    <w:rsid w:val="00F1778D"/>
    <w:rsid w:val="00F1779F"/>
    <w:rsid w:val="00F177D5"/>
    <w:rsid w:val="00F17AF4"/>
    <w:rsid w:val="00F17CF3"/>
    <w:rsid w:val="00F17F22"/>
    <w:rsid w:val="00F17FE2"/>
    <w:rsid w:val="00F2002B"/>
    <w:rsid w:val="00F20085"/>
    <w:rsid w:val="00F2008C"/>
    <w:rsid w:val="00F20320"/>
    <w:rsid w:val="00F20324"/>
    <w:rsid w:val="00F203A2"/>
    <w:rsid w:val="00F207BC"/>
    <w:rsid w:val="00F2084E"/>
    <w:rsid w:val="00F2090A"/>
    <w:rsid w:val="00F20919"/>
    <w:rsid w:val="00F20ABF"/>
    <w:rsid w:val="00F20D33"/>
    <w:rsid w:val="00F2100B"/>
    <w:rsid w:val="00F21013"/>
    <w:rsid w:val="00F21045"/>
    <w:rsid w:val="00F21072"/>
    <w:rsid w:val="00F21185"/>
    <w:rsid w:val="00F21188"/>
    <w:rsid w:val="00F2133C"/>
    <w:rsid w:val="00F215B2"/>
    <w:rsid w:val="00F216C2"/>
    <w:rsid w:val="00F21759"/>
    <w:rsid w:val="00F217B8"/>
    <w:rsid w:val="00F219B7"/>
    <w:rsid w:val="00F219D2"/>
    <w:rsid w:val="00F21CE8"/>
    <w:rsid w:val="00F21F6C"/>
    <w:rsid w:val="00F221DA"/>
    <w:rsid w:val="00F222D0"/>
    <w:rsid w:val="00F2256A"/>
    <w:rsid w:val="00F2261D"/>
    <w:rsid w:val="00F227CA"/>
    <w:rsid w:val="00F22A56"/>
    <w:rsid w:val="00F22AF0"/>
    <w:rsid w:val="00F22BF1"/>
    <w:rsid w:val="00F22D10"/>
    <w:rsid w:val="00F22EBE"/>
    <w:rsid w:val="00F22F57"/>
    <w:rsid w:val="00F23284"/>
    <w:rsid w:val="00F2347E"/>
    <w:rsid w:val="00F23624"/>
    <w:rsid w:val="00F236D6"/>
    <w:rsid w:val="00F23765"/>
    <w:rsid w:val="00F237ED"/>
    <w:rsid w:val="00F2385A"/>
    <w:rsid w:val="00F23B2C"/>
    <w:rsid w:val="00F2426A"/>
    <w:rsid w:val="00F242FF"/>
    <w:rsid w:val="00F24459"/>
    <w:rsid w:val="00F245F1"/>
    <w:rsid w:val="00F24665"/>
    <w:rsid w:val="00F246AB"/>
    <w:rsid w:val="00F246DD"/>
    <w:rsid w:val="00F247A7"/>
    <w:rsid w:val="00F24D99"/>
    <w:rsid w:val="00F24E08"/>
    <w:rsid w:val="00F24EF2"/>
    <w:rsid w:val="00F252E2"/>
    <w:rsid w:val="00F2530D"/>
    <w:rsid w:val="00F255CA"/>
    <w:rsid w:val="00F2561D"/>
    <w:rsid w:val="00F256F0"/>
    <w:rsid w:val="00F25B15"/>
    <w:rsid w:val="00F25B79"/>
    <w:rsid w:val="00F25C42"/>
    <w:rsid w:val="00F25E35"/>
    <w:rsid w:val="00F25ED7"/>
    <w:rsid w:val="00F25FC9"/>
    <w:rsid w:val="00F2609D"/>
    <w:rsid w:val="00F262E8"/>
    <w:rsid w:val="00F26580"/>
    <w:rsid w:val="00F2672C"/>
    <w:rsid w:val="00F26777"/>
    <w:rsid w:val="00F26829"/>
    <w:rsid w:val="00F27448"/>
    <w:rsid w:val="00F274F3"/>
    <w:rsid w:val="00F27527"/>
    <w:rsid w:val="00F275E2"/>
    <w:rsid w:val="00F276B8"/>
    <w:rsid w:val="00F27757"/>
    <w:rsid w:val="00F277D3"/>
    <w:rsid w:val="00F27961"/>
    <w:rsid w:val="00F27BE9"/>
    <w:rsid w:val="00F27DE6"/>
    <w:rsid w:val="00F30071"/>
    <w:rsid w:val="00F30080"/>
    <w:rsid w:val="00F300B7"/>
    <w:rsid w:val="00F305C5"/>
    <w:rsid w:val="00F305DC"/>
    <w:rsid w:val="00F305ED"/>
    <w:rsid w:val="00F30655"/>
    <w:rsid w:val="00F3078E"/>
    <w:rsid w:val="00F307A2"/>
    <w:rsid w:val="00F30D50"/>
    <w:rsid w:val="00F30EF5"/>
    <w:rsid w:val="00F31033"/>
    <w:rsid w:val="00F310AE"/>
    <w:rsid w:val="00F31211"/>
    <w:rsid w:val="00F3171C"/>
    <w:rsid w:val="00F3177D"/>
    <w:rsid w:val="00F31796"/>
    <w:rsid w:val="00F31951"/>
    <w:rsid w:val="00F31F8C"/>
    <w:rsid w:val="00F320E0"/>
    <w:rsid w:val="00F32130"/>
    <w:rsid w:val="00F32265"/>
    <w:rsid w:val="00F32273"/>
    <w:rsid w:val="00F323B1"/>
    <w:rsid w:val="00F3269C"/>
    <w:rsid w:val="00F32A37"/>
    <w:rsid w:val="00F32BCA"/>
    <w:rsid w:val="00F32CCC"/>
    <w:rsid w:val="00F32D2C"/>
    <w:rsid w:val="00F32F1A"/>
    <w:rsid w:val="00F331D6"/>
    <w:rsid w:val="00F3322F"/>
    <w:rsid w:val="00F332A3"/>
    <w:rsid w:val="00F337B9"/>
    <w:rsid w:val="00F33A17"/>
    <w:rsid w:val="00F33B5A"/>
    <w:rsid w:val="00F33C41"/>
    <w:rsid w:val="00F341B8"/>
    <w:rsid w:val="00F341C9"/>
    <w:rsid w:val="00F34493"/>
    <w:rsid w:val="00F34556"/>
    <w:rsid w:val="00F34609"/>
    <w:rsid w:val="00F346EC"/>
    <w:rsid w:val="00F347CD"/>
    <w:rsid w:val="00F34867"/>
    <w:rsid w:val="00F348AB"/>
    <w:rsid w:val="00F34A6B"/>
    <w:rsid w:val="00F34A75"/>
    <w:rsid w:val="00F34C60"/>
    <w:rsid w:val="00F34C63"/>
    <w:rsid w:val="00F34C95"/>
    <w:rsid w:val="00F34D36"/>
    <w:rsid w:val="00F3519C"/>
    <w:rsid w:val="00F35300"/>
    <w:rsid w:val="00F3545A"/>
    <w:rsid w:val="00F357E6"/>
    <w:rsid w:val="00F357EB"/>
    <w:rsid w:val="00F35834"/>
    <w:rsid w:val="00F359FE"/>
    <w:rsid w:val="00F35BC7"/>
    <w:rsid w:val="00F35C8D"/>
    <w:rsid w:val="00F35E4A"/>
    <w:rsid w:val="00F35F50"/>
    <w:rsid w:val="00F360B2"/>
    <w:rsid w:val="00F362B8"/>
    <w:rsid w:val="00F36536"/>
    <w:rsid w:val="00F366C2"/>
    <w:rsid w:val="00F3672C"/>
    <w:rsid w:val="00F36A1E"/>
    <w:rsid w:val="00F36B4F"/>
    <w:rsid w:val="00F36C20"/>
    <w:rsid w:val="00F370BD"/>
    <w:rsid w:val="00F371FD"/>
    <w:rsid w:val="00F37316"/>
    <w:rsid w:val="00F374E2"/>
    <w:rsid w:val="00F378FC"/>
    <w:rsid w:val="00F37AD6"/>
    <w:rsid w:val="00F37B74"/>
    <w:rsid w:val="00F37BFF"/>
    <w:rsid w:val="00F37D45"/>
    <w:rsid w:val="00F37E55"/>
    <w:rsid w:val="00F4011B"/>
    <w:rsid w:val="00F4028A"/>
    <w:rsid w:val="00F404B0"/>
    <w:rsid w:val="00F406AE"/>
    <w:rsid w:val="00F40883"/>
    <w:rsid w:val="00F4099B"/>
    <w:rsid w:val="00F40BC0"/>
    <w:rsid w:val="00F40C3A"/>
    <w:rsid w:val="00F40CF5"/>
    <w:rsid w:val="00F40D81"/>
    <w:rsid w:val="00F40F6F"/>
    <w:rsid w:val="00F41001"/>
    <w:rsid w:val="00F411DB"/>
    <w:rsid w:val="00F41350"/>
    <w:rsid w:val="00F41528"/>
    <w:rsid w:val="00F41570"/>
    <w:rsid w:val="00F41762"/>
    <w:rsid w:val="00F41B08"/>
    <w:rsid w:val="00F41BBB"/>
    <w:rsid w:val="00F41C97"/>
    <w:rsid w:val="00F41D13"/>
    <w:rsid w:val="00F41DBB"/>
    <w:rsid w:val="00F41EC2"/>
    <w:rsid w:val="00F41FBA"/>
    <w:rsid w:val="00F421BC"/>
    <w:rsid w:val="00F422E6"/>
    <w:rsid w:val="00F42311"/>
    <w:rsid w:val="00F423FD"/>
    <w:rsid w:val="00F425C0"/>
    <w:rsid w:val="00F426F0"/>
    <w:rsid w:val="00F42915"/>
    <w:rsid w:val="00F4297C"/>
    <w:rsid w:val="00F42A7F"/>
    <w:rsid w:val="00F42B69"/>
    <w:rsid w:val="00F42BF5"/>
    <w:rsid w:val="00F42D48"/>
    <w:rsid w:val="00F42D8E"/>
    <w:rsid w:val="00F42F92"/>
    <w:rsid w:val="00F42FF2"/>
    <w:rsid w:val="00F43060"/>
    <w:rsid w:val="00F4316B"/>
    <w:rsid w:val="00F432A9"/>
    <w:rsid w:val="00F433F7"/>
    <w:rsid w:val="00F4355C"/>
    <w:rsid w:val="00F437F8"/>
    <w:rsid w:val="00F43832"/>
    <w:rsid w:val="00F43A57"/>
    <w:rsid w:val="00F43DC9"/>
    <w:rsid w:val="00F43EB0"/>
    <w:rsid w:val="00F43F7B"/>
    <w:rsid w:val="00F43F90"/>
    <w:rsid w:val="00F44050"/>
    <w:rsid w:val="00F4432D"/>
    <w:rsid w:val="00F4446F"/>
    <w:rsid w:val="00F44783"/>
    <w:rsid w:val="00F447EB"/>
    <w:rsid w:val="00F4494E"/>
    <w:rsid w:val="00F44A39"/>
    <w:rsid w:val="00F44AF2"/>
    <w:rsid w:val="00F44B9B"/>
    <w:rsid w:val="00F44BD9"/>
    <w:rsid w:val="00F44BE8"/>
    <w:rsid w:val="00F44C4B"/>
    <w:rsid w:val="00F44E66"/>
    <w:rsid w:val="00F450F9"/>
    <w:rsid w:val="00F452FB"/>
    <w:rsid w:val="00F4538E"/>
    <w:rsid w:val="00F456B1"/>
    <w:rsid w:val="00F457F1"/>
    <w:rsid w:val="00F4596B"/>
    <w:rsid w:val="00F45A10"/>
    <w:rsid w:val="00F45AEC"/>
    <w:rsid w:val="00F45B21"/>
    <w:rsid w:val="00F45B41"/>
    <w:rsid w:val="00F45C68"/>
    <w:rsid w:val="00F45C96"/>
    <w:rsid w:val="00F45E43"/>
    <w:rsid w:val="00F45F5F"/>
    <w:rsid w:val="00F45F8D"/>
    <w:rsid w:val="00F45FF7"/>
    <w:rsid w:val="00F46517"/>
    <w:rsid w:val="00F4659A"/>
    <w:rsid w:val="00F4659C"/>
    <w:rsid w:val="00F46690"/>
    <w:rsid w:val="00F469AD"/>
    <w:rsid w:val="00F46A9B"/>
    <w:rsid w:val="00F46BB6"/>
    <w:rsid w:val="00F46DC1"/>
    <w:rsid w:val="00F471FB"/>
    <w:rsid w:val="00F473F6"/>
    <w:rsid w:val="00F474E7"/>
    <w:rsid w:val="00F47658"/>
    <w:rsid w:val="00F4781B"/>
    <w:rsid w:val="00F47826"/>
    <w:rsid w:val="00F4783F"/>
    <w:rsid w:val="00F478D9"/>
    <w:rsid w:val="00F4799D"/>
    <w:rsid w:val="00F47AC5"/>
    <w:rsid w:val="00F47B91"/>
    <w:rsid w:val="00F47CD5"/>
    <w:rsid w:val="00F47DAF"/>
    <w:rsid w:val="00F47DD0"/>
    <w:rsid w:val="00F47E1B"/>
    <w:rsid w:val="00F47F16"/>
    <w:rsid w:val="00F500F4"/>
    <w:rsid w:val="00F50393"/>
    <w:rsid w:val="00F503F6"/>
    <w:rsid w:val="00F5040A"/>
    <w:rsid w:val="00F50422"/>
    <w:rsid w:val="00F5062A"/>
    <w:rsid w:val="00F50B68"/>
    <w:rsid w:val="00F50F76"/>
    <w:rsid w:val="00F51545"/>
    <w:rsid w:val="00F51556"/>
    <w:rsid w:val="00F51880"/>
    <w:rsid w:val="00F51CD8"/>
    <w:rsid w:val="00F51D49"/>
    <w:rsid w:val="00F51E28"/>
    <w:rsid w:val="00F51FAE"/>
    <w:rsid w:val="00F52165"/>
    <w:rsid w:val="00F52206"/>
    <w:rsid w:val="00F52264"/>
    <w:rsid w:val="00F522A8"/>
    <w:rsid w:val="00F522ED"/>
    <w:rsid w:val="00F5233E"/>
    <w:rsid w:val="00F52481"/>
    <w:rsid w:val="00F526C8"/>
    <w:rsid w:val="00F52852"/>
    <w:rsid w:val="00F5297F"/>
    <w:rsid w:val="00F52A5B"/>
    <w:rsid w:val="00F52BBA"/>
    <w:rsid w:val="00F52DAC"/>
    <w:rsid w:val="00F52E55"/>
    <w:rsid w:val="00F53276"/>
    <w:rsid w:val="00F53321"/>
    <w:rsid w:val="00F534BF"/>
    <w:rsid w:val="00F534E7"/>
    <w:rsid w:val="00F53636"/>
    <w:rsid w:val="00F53702"/>
    <w:rsid w:val="00F537B0"/>
    <w:rsid w:val="00F53989"/>
    <w:rsid w:val="00F53A1A"/>
    <w:rsid w:val="00F53B5B"/>
    <w:rsid w:val="00F53C9D"/>
    <w:rsid w:val="00F53F0D"/>
    <w:rsid w:val="00F53F7F"/>
    <w:rsid w:val="00F54067"/>
    <w:rsid w:val="00F54109"/>
    <w:rsid w:val="00F5424F"/>
    <w:rsid w:val="00F54252"/>
    <w:rsid w:val="00F542A5"/>
    <w:rsid w:val="00F543D1"/>
    <w:rsid w:val="00F54622"/>
    <w:rsid w:val="00F5464E"/>
    <w:rsid w:val="00F546CD"/>
    <w:rsid w:val="00F548C9"/>
    <w:rsid w:val="00F54BFF"/>
    <w:rsid w:val="00F54D2E"/>
    <w:rsid w:val="00F55005"/>
    <w:rsid w:val="00F550F2"/>
    <w:rsid w:val="00F55123"/>
    <w:rsid w:val="00F5529B"/>
    <w:rsid w:val="00F55311"/>
    <w:rsid w:val="00F55348"/>
    <w:rsid w:val="00F55362"/>
    <w:rsid w:val="00F55597"/>
    <w:rsid w:val="00F55696"/>
    <w:rsid w:val="00F556F3"/>
    <w:rsid w:val="00F55759"/>
    <w:rsid w:val="00F5598F"/>
    <w:rsid w:val="00F55A85"/>
    <w:rsid w:val="00F55BBE"/>
    <w:rsid w:val="00F55C60"/>
    <w:rsid w:val="00F55D9A"/>
    <w:rsid w:val="00F55DA6"/>
    <w:rsid w:val="00F55E07"/>
    <w:rsid w:val="00F55E9E"/>
    <w:rsid w:val="00F55F04"/>
    <w:rsid w:val="00F55FD6"/>
    <w:rsid w:val="00F560C3"/>
    <w:rsid w:val="00F5634F"/>
    <w:rsid w:val="00F56598"/>
    <w:rsid w:val="00F565AC"/>
    <w:rsid w:val="00F565B2"/>
    <w:rsid w:val="00F56962"/>
    <w:rsid w:val="00F56A69"/>
    <w:rsid w:val="00F56D95"/>
    <w:rsid w:val="00F56E51"/>
    <w:rsid w:val="00F56FBE"/>
    <w:rsid w:val="00F57170"/>
    <w:rsid w:val="00F57236"/>
    <w:rsid w:val="00F577F2"/>
    <w:rsid w:val="00F577FA"/>
    <w:rsid w:val="00F57986"/>
    <w:rsid w:val="00F57D0E"/>
    <w:rsid w:val="00F57DA4"/>
    <w:rsid w:val="00F57EE9"/>
    <w:rsid w:val="00F60065"/>
    <w:rsid w:val="00F60237"/>
    <w:rsid w:val="00F60242"/>
    <w:rsid w:val="00F607B2"/>
    <w:rsid w:val="00F60884"/>
    <w:rsid w:val="00F608C1"/>
    <w:rsid w:val="00F609FE"/>
    <w:rsid w:val="00F60AEA"/>
    <w:rsid w:val="00F60BDD"/>
    <w:rsid w:val="00F61427"/>
    <w:rsid w:val="00F61452"/>
    <w:rsid w:val="00F61468"/>
    <w:rsid w:val="00F614BD"/>
    <w:rsid w:val="00F61765"/>
    <w:rsid w:val="00F617A2"/>
    <w:rsid w:val="00F617C8"/>
    <w:rsid w:val="00F617DF"/>
    <w:rsid w:val="00F617ED"/>
    <w:rsid w:val="00F61854"/>
    <w:rsid w:val="00F619AB"/>
    <w:rsid w:val="00F61A15"/>
    <w:rsid w:val="00F61A80"/>
    <w:rsid w:val="00F61B76"/>
    <w:rsid w:val="00F62136"/>
    <w:rsid w:val="00F621B4"/>
    <w:rsid w:val="00F622B6"/>
    <w:rsid w:val="00F6237A"/>
    <w:rsid w:val="00F6238F"/>
    <w:rsid w:val="00F6243B"/>
    <w:rsid w:val="00F624CA"/>
    <w:rsid w:val="00F625D3"/>
    <w:rsid w:val="00F6263F"/>
    <w:rsid w:val="00F626A1"/>
    <w:rsid w:val="00F62765"/>
    <w:rsid w:val="00F627FB"/>
    <w:rsid w:val="00F62918"/>
    <w:rsid w:val="00F629B3"/>
    <w:rsid w:val="00F62AFE"/>
    <w:rsid w:val="00F62C98"/>
    <w:rsid w:val="00F62D9E"/>
    <w:rsid w:val="00F62DF6"/>
    <w:rsid w:val="00F62E09"/>
    <w:rsid w:val="00F62F6F"/>
    <w:rsid w:val="00F630DD"/>
    <w:rsid w:val="00F63165"/>
    <w:rsid w:val="00F631A2"/>
    <w:rsid w:val="00F631B6"/>
    <w:rsid w:val="00F632A7"/>
    <w:rsid w:val="00F6336F"/>
    <w:rsid w:val="00F63538"/>
    <w:rsid w:val="00F63855"/>
    <w:rsid w:val="00F63A52"/>
    <w:rsid w:val="00F63B01"/>
    <w:rsid w:val="00F63C87"/>
    <w:rsid w:val="00F63D9A"/>
    <w:rsid w:val="00F63EB4"/>
    <w:rsid w:val="00F63FA3"/>
    <w:rsid w:val="00F640A3"/>
    <w:rsid w:val="00F642C7"/>
    <w:rsid w:val="00F64392"/>
    <w:rsid w:val="00F6448C"/>
    <w:rsid w:val="00F64521"/>
    <w:rsid w:val="00F646D1"/>
    <w:rsid w:val="00F647AE"/>
    <w:rsid w:val="00F64896"/>
    <w:rsid w:val="00F648EB"/>
    <w:rsid w:val="00F64BE6"/>
    <w:rsid w:val="00F64C3C"/>
    <w:rsid w:val="00F64C3E"/>
    <w:rsid w:val="00F64CA5"/>
    <w:rsid w:val="00F64CE6"/>
    <w:rsid w:val="00F64DB9"/>
    <w:rsid w:val="00F64DC5"/>
    <w:rsid w:val="00F64E8D"/>
    <w:rsid w:val="00F64E8F"/>
    <w:rsid w:val="00F6511E"/>
    <w:rsid w:val="00F652BF"/>
    <w:rsid w:val="00F652FC"/>
    <w:rsid w:val="00F65365"/>
    <w:rsid w:val="00F657D6"/>
    <w:rsid w:val="00F65899"/>
    <w:rsid w:val="00F65C1B"/>
    <w:rsid w:val="00F65F43"/>
    <w:rsid w:val="00F65F87"/>
    <w:rsid w:val="00F66158"/>
    <w:rsid w:val="00F66449"/>
    <w:rsid w:val="00F66568"/>
    <w:rsid w:val="00F66815"/>
    <w:rsid w:val="00F66842"/>
    <w:rsid w:val="00F66869"/>
    <w:rsid w:val="00F668EB"/>
    <w:rsid w:val="00F66B5E"/>
    <w:rsid w:val="00F66DCE"/>
    <w:rsid w:val="00F671E5"/>
    <w:rsid w:val="00F672C2"/>
    <w:rsid w:val="00F67328"/>
    <w:rsid w:val="00F67476"/>
    <w:rsid w:val="00F6750C"/>
    <w:rsid w:val="00F675CD"/>
    <w:rsid w:val="00F6765B"/>
    <w:rsid w:val="00F678A5"/>
    <w:rsid w:val="00F6793C"/>
    <w:rsid w:val="00F67994"/>
    <w:rsid w:val="00F67A38"/>
    <w:rsid w:val="00F67B18"/>
    <w:rsid w:val="00F67B9C"/>
    <w:rsid w:val="00F67D08"/>
    <w:rsid w:val="00F67F46"/>
    <w:rsid w:val="00F70124"/>
    <w:rsid w:val="00F70202"/>
    <w:rsid w:val="00F702CA"/>
    <w:rsid w:val="00F704D5"/>
    <w:rsid w:val="00F7056C"/>
    <w:rsid w:val="00F70590"/>
    <w:rsid w:val="00F7065F"/>
    <w:rsid w:val="00F7073A"/>
    <w:rsid w:val="00F708D9"/>
    <w:rsid w:val="00F70AF9"/>
    <w:rsid w:val="00F70CC9"/>
    <w:rsid w:val="00F70D0E"/>
    <w:rsid w:val="00F70E3A"/>
    <w:rsid w:val="00F70E51"/>
    <w:rsid w:val="00F70EC3"/>
    <w:rsid w:val="00F71267"/>
    <w:rsid w:val="00F7128C"/>
    <w:rsid w:val="00F712C5"/>
    <w:rsid w:val="00F71372"/>
    <w:rsid w:val="00F71476"/>
    <w:rsid w:val="00F716C9"/>
    <w:rsid w:val="00F71770"/>
    <w:rsid w:val="00F7180A"/>
    <w:rsid w:val="00F719FA"/>
    <w:rsid w:val="00F71A5E"/>
    <w:rsid w:val="00F71B07"/>
    <w:rsid w:val="00F71BA5"/>
    <w:rsid w:val="00F71BC5"/>
    <w:rsid w:val="00F71BD9"/>
    <w:rsid w:val="00F71CF8"/>
    <w:rsid w:val="00F7211D"/>
    <w:rsid w:val="00F72187"/>
    <w:rsid w:val="00F72462"/>
    <w:rsid w:val="00F72594"/>
    <w:rsid w:val="00F72786"/>
    <w:rsid w:val="00F72CBB"/>
    <w:rsid w:val="00F72E63"/>
    <w:rsid w:val="00F730DC"/>
    <w:rsid w:val="00F73164"/>
    <w:rsid w:val="00F731A3"/>
    <w:rsid w:val="00F73250"/>
    <w:rsid w:val="00F73342"/>
    <w:rsid w:val="00F733C5"/>
    <w:rsid w:val="00F73579"/>
    <w:rsid w:val="00F73886"/>
    <w:rsid w:val="00F7391F"/>
    <w:rsid w:val="00F73ABA"/>
    <w:rsid w:val="00F73B15"/>
    <w:rsid w:val="00F73B61"/>
    <w:rsid w:val="00F73D8C"/>
    <w:rsid w:val="00F743B8"/>
    <w:rsid w:val="00F74534"/>
    <w:rsid w:val="00F74564"/>
    <w:rsid w:val="00F74635"/>
    <w:rsid w:val="00F7463A"/>
    <w:rsid w:val="00F746E9"/>
    <w:rsid w:val="00F7470F"/>
    <w:rsid w:val="00F7479A"/>
    <w:rsid w:val="00F7496C"/>
    <w:rsid w:val="00F74B11"/>
    <w:rsid w:val="00F74C2C"/>
    <w:rsid w:val="00F74CDF"/>
    <w:rsid w:val="00F74CF0"/>
    <w:rsid w:val="00F74EC3"/>
    <w:rsid w:val="00F74FC2"/>
    <w:rsid w:val="00F7504C"/>
    <w:rsid w:val="00F751A1"/>
    <w:rsid w:val="00F7536D"/>
    <w:rsid w:val="00F753AE"/>
    <w:rsid w:val="00F75586"/>
    <w:rsid w:val="00F75623"/>
    <w:rsid w:val="00F7572E"/>
    <w:rsid w:val="00F75A28"/>
    <w:rsid w:val="00F75A37"/>
    <w:rsid w:val="00F75A8A"/>
    <w:rsid w:val="00F75AF2"/>
    <w:rsid w:val="00F75C05"/>
    <w:rsid w:val="00F75C70"/>
    <w:rsid w:val="00F75C81"/>
    <w:rsid w:val="00F761BB"/>
    <w:rsid w:val="00F7626B"/>
    <w:rsid w:val="00F76374"/>
    <w:rsid w:val="00F765B4"/>
    <w:rsid w:val="00F7668B"/>
    <w:rsid w:val="00F766B1"/>
    <w:rsid w:val="00F76967"/>
    <w:rsid w:val="00F76AD4"/>
    <w:rsid w:val="00F76AE5"/>
    <w:rsid w:val="00F76BBC"/>
    <w:rsid w:val="00F76C0C"/>
    <w:rsid w:val="00F7708F"/>
    <w:rsid w:val="00F77110"/>
    <w:rsid w:val="00F7730A"/>
    <w:rsid w:val="00F774DE"/>
    <w:rsid w:val="00F77590"/>
    <w:rsid w:val="00F77667"/>
    <w:rsid w:val="00F7795C"/>
    <w:rsid w:val="00F77BC2"/>
    <w:rsid w:val="00F77C49"/>
    <w:rsid w:val="00F77C63"/>
    <w:rsid w:val="00F77C6C"/>
    <w:rsid w:val="00F77CFE"/>
    <w:rsid w:val="00F77D95"/>
    <w:rsid w:val="00F77DD3"/>
    <w:rsid w:val="00F77EA3"/>
    <w:rsid w:val="00F77FD5"/>
    <w:rsid w:val="00F8004E"/>
    <w:rsid w:val="00F80085"/>
    <w:rsid w:val="00F800A9"/>
    <w:rsid w:val="00F8022B"/>
    <w:rsid w:val="00F80272"/>
    <w:rsid w:val="00F80487"/>
    <w:rsid w:val="00F80616"/>
    <w:rsid w:val="00F807AD"/>
    <w:rsid w:val="00F80A92"/>
    <w:rsid w:val="00F80C1D"/>
    <w:rsid w:val="00F80DE3"/>
    <w:rsid w:val="00F811EA"/>
    <w:rsid w:val="00F813CA"/>
    <w:rsid w:val="00F81A0D"/>
    <w:rsid w:val="00F81A68"/>
    <w:rsid w:val="00F81AAD"/>
    <w:rsid w:val="00F81CB6"/>
    <w:rsid w:val="00F81CF3"/>
    <w:rsid w:val="00F82289"/>
    <w:rsid w:val="00F82333"/>
    <w:rsid w:val="00F8255B"/>
    <w:rsid w:val="00F825EA"/>
    <w:rsid w:val="00F82691"/>
    <w:rsid w:val="00F82818"/>
    <w:rsid w:val="00F82A03"/>
    <w:rsid w:val="00F82B06"/>
    <w:rsid w:val="00F82C4A"/>
    <w:rsid w:val="00F82C87"/>
    <w:rsid w:val="00F82D1F"/>
    <w:rsid w:val="00F82D61"/>
    <w:rsid w:val="00F82E36"/>
    <w:rsid w:val="00F82E60"/>
    <w:rsid w:val="00F830C6"/>
    <w:rsid w:val="00F83109"/>
    <w:rsid w:val="00F8317C"/>
    <w:rsid w:val="00F831D8"/>
    <w:rsid w:val="00F83323"/>
    <w:rsid w:val="00F83457"/>
    <w:rsid w:val="00F8351B"/>
    <w:rsid w:val="00F8367E"/>
    <w:rsid w:val="00F836BE"/>
    <w:rsid w:val="00F837A2"/>
    <w:rsid w:val="00F838BA"/>
    <w:rsid w:val="00F839BA"/>
    <w:rsid w:val="00F83A0D"/>
    <w:rsid w:val="00F83FFA"/>
    <w:rsid w:val="00F84151"/>
    <w:rsid w:val="00F846AD"/>
    <w:rsid w:val="00F8471D"/>
    <w:rsid w:val="00F847C4"/>
    <w:rsid w:val="00F84A74"/>
    <w:rsid w:val="00F84ADC"/>
    <w:rsid w:val="00F84BCA"/>
    <w:rsid w:val="00F84C33"/>
    <w:rsid w:val="00F84C70"/>
    <w:rsid w:val="00F84DE6"/>
    <w:rsid w:val="00F84E76"/>
    <w:rsid w:val="00F8527A"/>
    <w:rsid w:val="00F85281"/>
    <w:rsid w:val="00F85457"/>
    <w:rsid w:val="00F854C4"/>
    <w:rsid w:val="00F854DE"/>
    <w:rsid w:val="00F8567A"/>
    <w:rsid w:val="00F856C7"/>
    <w:rsid w:val="00F857DE"/>
    <w:rsid w:val="00F857E3"/>
    <w:rsid w:val="00F85985"/>
    <w:rsid w:val="00F859DE"/>
    <w:rsid w:val="00F85CE6"/>
    <w:rsid w:val="00F85D37"/>
    <w:rsid w:val="00F85D85"/>
    <w:rsid w:val="00F860A4"/>
    <w:rsid w:val="00F86174"/>
    <w:rsid w:val="00F86548"/>
    <w:rsid w:val="00F866C2"/>
    <w:rsid w:val="00F8676C"/>
    <w:rsid w:val="00F86996"/>
    <w:rsid w:val="00F869E6"/>
    <w:rsid w:val="00F86B14"/>
    <w:rsid w:val="00F86BD1"/>
    <w:rsid w:val="00F86C01"/>
    <w:rsid w:val="00F86CA8"/>
    <w:rsid w:val="00F86E60"/>
    <w:rsid w:val="00F8701F"/>
    <w:rsid w:val="00F870D2"/>
    <w:rsid w:val="00F87202"/>
    <w:rsid w:val="00F87250"/>
    <w:rsid w:val="00F8750A"/>
    <w:rsid w:val="00F875DE"/>
    <w:rsid w:val="00F878D2"/>
    <w:rsid w:val="00F878D8"/>
    <w:rsid w:val="00F878F4"/>
    <w:rsid w:val="00F87C05"/>
    <w:rsid w:val="00F87E6D"/>
    <w:rsid w:val="00F87FD9"/>
    <w:rsid w:val="00F87FDA"/>
    <w:rsid w:val="00F900F0"/>
    <w:rsid w:val="00F90164"/>
    <w:rsid w:val="00F901DB"/>
    <w:rsid w:val="00F90376"/>
    <w:rsid w:val="00F90420"/>
    <w:rsid w:val="00F904B6"/>
    <w:rsid w:val="00F90544"/>
    <w:rsid w:val="00F90607"/>
    <w:rsid w:val="00F9076A"/>
    <w:rsid w:val="00F9087D"/>
    <w:rsid w:val="00F90A07"/>
    <w:rsid w:val="00F90B5D"/>
    <w:rsid w:val="00F90D65"/>
    <w:rsid w:val="00F90E2A"/>
    <w:rsid w:val="00F90ED4"/>
    <w:rsid w:val="00F91093"/>
    <w:rsid w:val="00F9118E"/>
    <w:rsid w:val="00F912DC"/>
    <w:rsid w:val="00F915DC"/>
    <w:rsid w:val="00F916CE"/>
    <w:rsid w:val="00F917DB"/>
    <w:rsid w:val="00F918E3"/>
    <w:rsid w:val="00F91A6B"/>
    <w:rsid w:val="00F91B0C"/>
    <w:rsid w:val="00F91B6C"/>
    <w:rsid w:val="00F91ECB"/>
    <w:rsid w:val="00F921E6"/>
    <w:rsid w:val="00F9239C"/>
    <w:rsid w:val="00F925DE"/>
    <w:rsid w:val="00F92677"/>
    <w:rsid w:val="00F9267B"/>
    <w:rsid w:val="00F926EC"/>
    <w:rsid w:val="00F92862"/>
    <w:rsid w:val="00F92A76"/>
    <w:rsid w:val="00F92C75"/>
    <w:rsid w:val="00F92D48"/>
    <w:rsid w:val="00F92DF3"/>
    <w:rsid w:val="00F92E85"/>
    <w:rsid w:val="00F92E92"/>
    <w:rsid w:val="00F92F05"/>
    <w:rsid w:val="00F9303F"/>
    <w:rsid w:val="00F932AD"/>
    <w:rsid w:val="00F934C4"/>
    <w:rsid w:val="00F936B6"/>
    <w:rsid w:val="00F93946"/>
    <w:rsid w:val="00F939CF"/>
    <w:rsid w:val="00F93A1F"/>
    <w:rsid w:val="00F93AB0"/>
    <w:rsid w:val="00F93ABC"/>
    <w:rsid w:val="00F93B12"/>
    <w:rsid w:val="00F93B47"/>
    <w:rsid w:val="00F93D18"/>
    <w:rsid w:val="00F93E90"/>
    <w:rsid w:val="00F94005"/>
    <w:rsid w:val="00F9415A"/>
    <w:rsid w:val="00F941DB"/>
    <w:rsid w:val="00F942DF"/>
    <w:rsid w:val="00F942EA"/>
    <w:rsid w:val="00F9433C"/>
    <w:rsid w:val="00F94412"/>
    <w:rsid w:val="00F945DE"/>
    <w:rsid w:val="00F946F0"/>
    <w:rsid w:val="00F94731"/>
    <w:rsid w:val="00F9486B"/>
    <w:rsid w:val="00F948FB"/>
    <w:rsid w:val="00F94942"/>
    <w:rsid w:val="00F94A4B"/>
    <w:rsid w:val="00F94A6B"/>
    <w:rsid w:val="00F94ABD"/>
    <w:rsid w:val="00F94C79"/>
    <w:rsid w:val="00F94CD0"/>
    <w:rsid w:val="00F94EFF"/>
    <w:rsid w:val="00F94F5C"/>
    <w:rsid w:val="00F94F87"/>
    <w:rsid w:val="00F95036"/>
    <w:rsid w:val="00F950EC"/>
    <w:rsid w:val="00F95108"/>
    <w:rsid w:val="00F95132"/>
    <w:rsid w:val="00F95202"/>
    <w:rsid w:val="00F952CD"/>
    <w:rsid w:val="00F95509"/>
    <w:rsid w:val="00F955DF"/>
    <w:rsid w:val="00F95753"/>
    <w:rsid w:val="00F95930"/>
    <w:rsid w:val="00F95B9C"/>
    <w:rsid w:val="00F95E27"/>
    <w:rsid w:val="00F9622A"/>
    <w:rsid w:val="00F9628C"/>
    <w:rsid w:val="00F96315"/>
    <w:rsid w:val="00F96382"/>
    <w:rsid w:val="00F963F3"/>
    <w:rsid w:val="00F964EC"/>
    <w:rsid w:val="00F964EE"/>
    <w:rsid w:val="00F96597"/>
    <w:rsid w:val="00F96792"/>
    <w:rsid w:val="00F969E6"/>
    <w:rsid w:val="00F96B76"/>
    <w:rsid w:val="00F96DD3"/>
    <w:rsid w:val="00F96E8E"/>
    <w:rsid w:val="00F97098"/>
    <w:rsid w:val="00F97161"/>
    <w:rsid w:val="00F97195"/>
    <w:rsid w:val="00F973AA"/>
    <w:rsid w:val="00F9745C"/>
    <w:rsid w:val="00F97508"/>
    <w:rsid w:val="00F97617"/>
    <w:rsid w:val="00F97622"/>
    <w:rsid w:val="00F97681"/>
    <w:rsid w:val="00F97764"/>
    <w:rsid w:val="00F977DB"/>
    <w:rsid w:val="00F978B7"/>
    <w:rsid w:val="00F97A99"/>
    <w:rsid w:val="00F97B57"/>
    <w:rsid w:val="00F97BE6"/>
    <w:rsid w:val="00F97CBC"/>
    <w:rsid w:val="00F97CC6"/>
    <w:rsid w:val="00F97DEE"/>
    <w:rsid w:val="00F97EEB"/>
    <w:rsid w:val="00FA018F"/>
    <w:rsid w:val="00FA01D5"/>
    <w:rsid w:val="00FA033A"/>
    <w:rsid w:val="00FA037E"/>
    <w:rsid w:val="00FA0528"/>
    <w:rsid w:val="00FA06DD"/>
    <w:rsid w:val="00FA078F"/>
    <w:rsid w:val="00FA0B8B"/>
    <w:rsid w:val="00FA0C0D"/>
    <w:rsid w:val="00FA0C38"/>
    <w:rsid w:val="00FA0C5C"/>
    <w:rsid w:val="00FA0CB3"/>
    <w:rsid w:val="00FA0D6F"/>
    <w:rsid w:val="00FA0E40"/>
    <w:rsid w:val="00FA10E1"/>
    <w:rsid w:val="00FA12D6"/>
    <w:rsid w:val="00FA1332"/>
    <w:rsid w:val="00FA135D"/>
    <w:rsid w:val="00FA14F1"/>
    <w:rsid w:val="00FA1A81"/>
    <w:rsid w:val="00FA1A96"/>
    <w:rsid w:val="00FA1B51"/>
    <w:rsid w:val="00FA1B5E"/>
    <w:rsid w:val="00FA1E7E"/>
    <w:rsid w:val="00FA2098"/>
    <w:rsid w:val="00FA210C"/>
    <w:rsid w:val="00FA231F"/>
    <w:rsid w:val="00FA23AF"/>
    <w:rsid w:val="00FA2665"/>
    <w:rsid w:val="00FA266F"/>
    <w:rsid w:val="00FA2749"/>
    <w:rsid w:val="00FA283F"/>
    <w:rsid w:val="00FA2AE6"/>
    <w:rsid w:val="00FA2B80"/>
    <w:rsid w:val="00FA2C9F"/>
    <w:rsid w:val="00FA2EAE"/>
    <w:rsid w:val="00FA3033"/>
    <w:rsid w:val="00FA30E4"/>
    <w:rsid w:val="00FA30E5"/>
    <w:rsid w:val="00FA31AE"/>
    <w:rsid w:val="00FA3209"/>
    <w:rsid w:val="00FA3243"/>
    <w:rsid w:val="00FA32B2"/>
    <w:rsid w:val="00FA36FA"/>
    <w:rsid w:val="00FA3701"/>
    <w:rsid w:val="00FA3710"/>
    <w:rsid w:val="00FA3726"/>
    <w:rsid w:val="00FA377B"/>
    <w:rsid w:val="00FA38FE"/>
    <w:rsid w:val="00FA3BE0"/>
    <w:rsid w:val="00FA3C0D"/>
    <w:rsid w:val="00FA3DC8"/>
    <w:rsid w:val="00FA3EF8"/>
    <w:rsid w:val="00FA3FDF"/>
    <w:rsid w:val="00FA3FF4"/>
    <w:rsid w:val="00FA4168"/>
    <w:rsid w:val="00FA4410"/>
    <w:rsid w:val="00FA475F"/>
    <w:rsid w:val="00FA481D"/>
    <w:rsid w:val="00FA48A3"/>
    <w:rsid w:val="00FA499C"/>
    <w:rsid w:val="00FA49FB"/>
    <w:rsid w:val="00FA4A35"/>
    <w:rsid w:val="00FA4A61"/>
    <w:rsid w:val="00FA4AB7"/>
    <w:rsid w:val="00FA4AD6"/>
    <w:rsid w:val="00FA4B5A"/>
    <w:rsid w:val="00FA4C70"/>
    <w:rsid w:val="00FA4D2B"/>
    <w:rsid w:val="00FA5074"/>
    <w:rsid w:val="00FA5105"/>
    <w:rsid w:val="00FA5603"/>
    <w:rsid w:val="00FA5A21"/>
    <w:rsid w:val="00FA5C12"/>
    <w:rsid w:val="00FA5FF4"/>
    <w:rsid w:val="00FA61BE"/>
    <w:rsid w:val="00FA6224"/>
    <w:rsid w:val="00FA6376"/>
    <w:rsid w:val="00FA6435"/>
    <w:rsid w:val="00FA65A0"/>
    <w:rsid w:val="00FA66F5"/>
    <w:rsid w:val="00FA6938"/>
    <w:rsid w:val="00FA6977"/>
    <w:rsid w:val="00FA6A7D"/>
    <w:rsid w:val="00FA6C3C"/>
    <w:rsid w:val="00FA6C62"/>
    <w:rsid w:val="00FA6CFE"/>
    <w:rsid w:val="00FA6DDD"/>
    <w:rsid w:val="00FA6E9F"/>
    <w:rsid w:val="00FA72E3"/>
    <w:rsid w:val="00FA7351"/>
    <w:rsid w:val="00FA735B"/>
    <w:rsid w:val="00FA7626"/>
    <w:rsid w:val="00FA76A9"/>
    <w:rsid w:val="00FA77F2"/>
    <w:rsid w:val="00FA783F"/>
    <w:rsid w:val="00FA78D9"/>
    <w:rsid w:val="00FA790A"/>
    <w:rsid w:val="00FA7935"/>
    <w:rsid w:val="00FA7A31"/>
    <w:rsid w:val="00FA7BB0"/>
    <w:rsid w:val="00FA7E05"/>
    <w:rsid w:val="00FA7F95"/>
    <w:rsid w:val="00FA7FDD"/>
    <w:rsid w:val="00FB0183"/>
    <w:rsid w:val="00FB02FD"/>
    <w:rsid w:val="00FB040E"/>
    <w:rsid w:val="00FB055E"/>
    <w:rsid w:val="00FB064B"/>
    <w:rsid w:val="00FB06CA"/>
    <w:rsid w:val="00FB07DD"/>
    <w:rsid w:val="00FB0997"/>
    <w:rsid w:val="00FB0A48"/>
    <w:rsid w:val="00FB0AD9"/>
    <w:rsid w:val="00FB0AF7"/>
    <w:rsid w:val="00FB0B59"/>
    <w:rsid w:val="00FB0BAB"/>
    <w:rsid w:val="00FB0C79"/>
    <w:rsid w:val="00FB0DEA"/>
    <w:rsid w:val="00FB0ED9"/>
    <w:rsid w:val="00FB123E"/>
    <w:rsid w:val="00FB12E3"/>
    <w:rsid w:val="00FB1303"/>
    <w:rsid w:val="00FB1462"/>
    <w:rsid w:val="00FB14B2"/>
    <w:rsid w:val="00FB15A9"/>
    <w:rsid w:val="00FB16D9"/>
    <w:rsid w:val="00FB177B"/>
    <w:rsid w:val="00FB1821"/>
    <w:rsid w:val="00FB1903"/>
    <w:rsid w:val="00FB19B8"/>
    <w:rsid w:val="00FB1B59"/>
    <w:rsid w:val="00FB1D78"/>
    <w:rsid w:val="00FB1E6C"/>
    <w:rsid w:val="00FB1FEA"/>
    <w:rsid w:val="00FB207F"/>
    <w:rsid w:val="00FB20C1"/>
    <w:rsid w:val="00FB218F"/>
    <w:rsid w:val="00FB227E"/>
    <w:rsid w:val="00FB2347"/>
    <w:rsid w:val="00FB234E"/>
    <w:rsid w:val="00FB2449"/>
    <w:rsid w:val="00FB2498"/>
    <w:rsid w:val="00FB2536"/>
    <w:rsid w:val="00FB26C4"/>
    <w:rsid w:val="00FB27D0"/>
    <w:rsid w:val="00FB2942"/>
    <w:rsid w:val="00FB29F0"/>
    <w:rsid w:val="00FB2F10"/>
    <w:rsid w:val="00FB2F84"/>
    <w:rsid w:val="00FB3251"/>
    <w:rsid w:val="00FB366D"/>
    <w:rsid w:val="00FB37A2"/>
    <w:rsid w:val="00FB383E"/>
    <w:rsid w:val="00FB3A8E"/>
    <w:rsid w:val="00FB3BDF"/>
    <w:rsid w:val="00FB3CC3"/>
    <w:rsid w:val="00FB400A"/>
    <w:rsid w:val="00FB4117"/>
    <w:rsid w:val="00FB4205"/>
    <w:rsid w:val="00FB4313"/>
    <w:rsid w:val="00FB43A8"/>
    <w:rsid w:val="00FB43D2"/>
    <w:rsid w:val="00FB44DD"/>
    <w:rsid w:val="00FB4558"/>
    <w:rsid w:val="00FB47ED"/>
    <w:rsid w:val="00FB486B"/>
    <w:rsid w:val="00FB48AF"/>
    <w:rsid w:val="00FB4A72"/>
    <w:rsid w:val="00FB4B9E"/>
    <w:rsid w:val="00FB4DAD"/>
    <w:rsid w:val="00FB4EAC"/>
    <w:rsid w:val="00FB4F76"/>
    <w:rsid w:val="00FB5085"/>
    <w:rsid w:val="00FB5100"/>
    <w:rsid w:val="00FB555C"/>
    <w:rsid w:val="00FB55B2"/>
    <w:rsid w:val="00FB59E2"/>
    <w:rsid w:val="00FB59FC"/>
    <w:rsid w:val="00FB5A8E"/>
    <w:rsid w:val="00FB5B9A"/>
    <w:rsid w:val="00FB5C88"/>
    <w:rsid w:val="00FB5C8D"/>
    <w:rsid w:val="00FB600D"/>
    <w:rsid w:val="00FB60BE"/>
    <w:rsid w:val="00FB60F2"/>
    <w:rsid w:val="00FB61F7"/>
    <w:rsid w:val="00FB6477"/>
    <w:rsid w:val="00FB6503"/>
    <w:rsid w:val="00FB65D3"/>
    <w:rsid w:val="00FB669E"/>
    <w:rsid w:val="00FB67C4"/>
    <w:rsid w:val="00FB6853"/>
    <w:rsid w:val="00FB69E7"/>
    <w:rsid w:val="00FB6ABA"/>
    <w:rsid w:val="00FB6DC1"/>
    <w:rsid w:val="00FB6DF8"/>
    <w:rsid w:val="00FB7176"/>
    <w:rsid w:val="00FB72EC"/>
    <w:rsid w:val="00FB73A4"/>
    <w:rsid w:val="00FB7443"/>
    <w:rsid w:val="00FB78DE"/>
    <w:rsid w:val="00FB793A"/>
    <w:rsid w:val="00FB7A07"/>
    <w:rsid w:val="00FB7B10"/>
    <w:rsid w:val="00FB7B2F"/>
    <w:rsid w:val="00FB7BBB"/>
    <w:rsid w:val="00FB7E6E"/>
    <w:rsid w:val="00FB7F3B"/>
    <w:rsid w:val="00FC0063"/>
    <w:rsid w:val="00FC0144"/>
    <w:rsid w:val="00FC0161"/>
    <w:rsid w:val="00FC0368"/>
    <w:rsid w:val="00FC03C3"/>
    <w:rsid w:val="00FC058F"/>
    <w:rsid w:val="00FC0688"/>
    <w:rsid w:val="00FC0711"/>
    <w:rsid w:val="00FC07AA"/>
    <w:rsid w:val="00FC0815"/>
    <w:rsid w:val="00FC0985"/>
    <w:rsid w:val="00FC09FE"/>
    <w:rsid w:val="00FC0A29"/>
    <w:rsid w:val="00FC0BD8"/>
    <w:rsid w:val="00FC0D17"/>
    <w:rsid w:val="00FC0D28"/>
    <w:rsid w:val="00FC0E47"/>
    <w:rsid w:val="00FC0F0D"/>
    <w:rsid w:val="00FC106E"/>
    <w:rsid w:val="00FC107E"/>
    <w:rsid w:val="00FC10BC"/>
    <w:rsid w:val="00FC12EE"/>
    <w:rsid w:val="00FC1315"/>
    <w:rsid w:val="00FC1323"/>
    <w:rsid w:val="00FC144C"/>
    <w:rsid w:val="00FC1492"/>
    <w:rsid w:val="00FC14E0"/>
    <w:rsid w:val="00FC180B"/>
    <w:rsid w:val="00FC19AA"/>
    <w:rsid w:val="00FC1ABE"/>
    <w:rsid w:val="00FC1C94"/>
    <w:rsid w:val="00FC1CC0"/>
    <w:rsid w:val="00FC1D3D"/>
    <w:rsid w:val="00FC1E33"/>
    <w:rsid w:val="00FC1E89"/>
    <w:rsid w:val="00FC2027"/>
    <w:rsid w:val="00FC20C7"/>
    <w:rsid w:val="00FC229E"/>
    <w:rsid w:val="00FC23BC"/>
    <w:rsid w:val="00FC2508"/>
    <w:rsid w:val="00FC25C4"/>
    <w:rsid w:val="00FC2763"/>
    <w:rsid w:val="00FC284B"/>
    <w:rsid w:val="00FC29BF"/>
    <w:rsid w:val="00FC2A21"/>
    <w:rsid w:val="00FC2A2F"/>
    <w:rsid w:val="00FC2BE9"/>
    <w:rsid w:val="00FC2BEC"/>
    <w:rsid w:val="00FC2D0D"/>
    <w:rsid w:val="00FC30C0"/>
    <w:rsid w:val="00FC338E"/>
    <w:rsid w:val="00FC340C"/>
    <w:rsid w:val="00FC3622"/>
    <w:rsid w:val="00FC367B"/>
    <w:rsid w:val="00FC3703"/>
    <w:rsid w:val="00FC3776"/>
    <w:rsid w:val="00FC38EC"/>
    <w:rsid w:val="00FC39D3"/>
    <w:rsid w:val="00FC3AB2"/>
    <w:rsid w:val="00FC3D7C"/>
    <w:rsid w:val="00FC3DCB"/>
    <w:rsid w:val="00FC3EAC"/>
    <w:rsid w:val="00FC3F05"/>
    <w:rsid w:val="00FC42D4"/>
    <w:rsid w:val="00FC45BF"/>
    <w:rsid w:val="00FC4650"/>
    <w:rsid w:val="00FC4784"/>
    <w:rsid w:val="00FC47D1"/>
    <w:rsid w:val="00FC4851"/>
    <w:rsid w:val="00FC493F"/>
    <w:rsid w:val="00FC4C76"/>
    <w:rsid w:val="00FC4C83"/>
    <w:rsid w:val="00FC4D01"/>
    <w:rsid w:val="00FC4E47"/>
    <w:rsid w:val="00FC4E49"/>
    <w:rsid w:val="00FC4E7C"/>
    <w:rsid w:val="00FC4F55"/>
    <w:rsid w:val="00FC4F75"/>
    <w:rsid w:val="00FC508B"/>
    <w:rsid w:val="00FC50DB"/>
    <w:rsid w:val="00FC528F"/>
    <w:rsid w:val="00FC5346"/>
    <w:rsid w:val="00FC53BC"/>
    <w:rsid w:val="00FC540B"/>
    <w:rsid w:val="00FC5430"/>
    <w:rsid w:val="00FC5476"/>
    <w:rsid w:val="00FC5838"/>
    <w:rsid w:val="00FC598C"/>
    <w:rsid w:val="00FC5BB8"/>
    <w:rsid w:val="00FC5BEA"/>
    <w:rsid w:val="00FC5BF4"/>
    <w:rsid w:val="00FC5CE2"/>
    <w:rsid w:val="00FC60ED"/>
    <w:rsid w:val="00FC62E8"/>
    <w:rsid w:val="00FC6839"/>
    <w:rsid w:val="00FC693F"/>
    <w:rsid w:val="00FC6A73"/>
    <w:rsid w:val="00FC6DC7"/>
    <w:rsid w:val="00FC6E35"/>
    <w:rsid w:val="00FC6E99"/>
    <w:rsid w:val="00FC6EF0"/>
    <w:rsid w:val="00FC72A0"/>
    <w:rsid w:val="00FC73EE"/>
    <w:rsid w:val="00FC7427"/>
    <w:rsid w:val="00FC74F2"/>
    <w:rsid w:val="00FC7583"/>
    <w:rsid w:val="00FC7939"/>
    <w:rsid w:val="00FC798A"/>
    <w:rsid w:val="00FC7AD2"/>
    <w:rsid w:val="00FC7B1F"/>
    <w:rsid w:val="00FC7D6B"/>
    <w:rsid w:val="00FC7F6C"/>
    <w:rsid w:val="00FD0064"/>
    <w:rsid w:val="00FD01BF"/>
    <w:rsid w:val="00FD02F0"/>
    <w:rsid w:val="00FD033D"/>
    <w:rsid w:val="00FD0355"/>
    <w:rsid w:val="00FD03A4"/>
    <w:rsid w:val="00FD0405"/>
    <w:rsid w:val="00FD05A8"/>
    <w:rsid w:val="00FD0685"/>
    <w:rsid w:val="00FD06A6"/>
    <w:rsid w:val="00FD06DE"/>
    <w:rsid w:val="00FD0779"/>
    <w:rsid w:val="00FD0813"/>
    <w:rsid w:val="00FD08C3"/>
    <w:rsid w:val="00FD0928"/>
    <w:rsid w:val="00FD0B3E"/>
    <w:rsid w:val="00FD0B4B"/>
    <w:rsid w:val="00FD0BCA"/>
    <w:rsid w:val="00FD0CFC"/>
    <w:rsid w:val="00FD0D0C"/>
    <w:rsid w:val="00FD1007"/>
    <w:rsid w:val="00FD10A7"/>
    <w:rsid w:val="00FD140A"/>
    <w:rsid w:val="00FD175A"/>
    <w:rsid w:val="00FD1A97"/>
    <w:rsid w:val="00FD1BEA"/>
    <w:rsid w:val="00FD1C0F"/>
    <w:rsid w:val="00FD1D89"/>
    <w:rsid w:val="00FD1D96"/>
    <w:rsid w:val="00FD1D9C"/>
    <w:rsid w:val="00FD1DF5"/>
    <w:rsid w:val="00FD1F68"/>
    <w:rsid w:val="00FD20EA"/>
    <w:rsid w:val="00FD20F4"/>
    <w:rsid w:val="00FD216C"/>
    <w:rsid w:val="00FD2195"/>
    <w:rsid w:val="00FD225B"/>
    <w:rsid w:val="00FD2572"/>
    <w:rsid w:val="00FD2813"/>
    <w:rsid w:val="00FD2839"/>
    <w:rsid w:val="00FD2C70"/>
    <w:rsid w:val="00FD2CA7"/>
    <w:rsid w:val="00FD2D3D"/>
    <w:rsid w:val="00FD2F95"/>
    <w:rsid w:val="00FD30EA"/>
    <w:rsid w:val="00FD31E5"/>
    <w:rsid w:val="00FD31F8"/>
    <w:rsid w:val="00FD336F"/>
    <w:rsid w:val="00FD357D"/>
    <w:rsid w:val="00FD3615"/>
    <w:rsid w:val="00FD368B"/>
    <w:rsid w:val="00FD3858"/>
    <w:rsid w:val="00FD38E4"/>
    <w:rsid w:val="00FD3AFB"/>
    <w:rsid w:val="00FD3B74"/>
    <w:rsid w:val="00FD3BEE"/>
    <w:rsid w:val="00FD3C94"/>
    <w:rsid w:val="00FD3D0A"/>
    <w:rsid w:val="00FD3DAD"/>
    <w:rsid w:val="00FD3E0A"/>
    <w:rsid w:val="00FD3E3D"/>
    <w:rsid w:val="00FD3E63"/>
    <w:rsid w:val="00FD42BC"/>
    <w:rsid w:val="00FD430C"/>
    <w:rsid w:val="00FD4616"/>
    <w:rsid w:val="00FD484A"/>
    <w:rsid w:val="00FD4978"/>
    <w:rsid w:val="00FD49B0"/>
    <w:rsid w:val="00FD49DC"/>
    <w:rsid w:val="00FD4B99"/>
    <w:rsid w:val="00FD4F9F"/>
    <w:rsid w:val="00FD5383"/>
    <w:rsid w:val="00FD5452"/>
    <w:rsid w:val="00FD55D9"/>
    <w:rsid w:val="00FD58A8"/>
    <w:rsid w:val="00FD5973"/>
    <w:rsid w:val="00FD59D3"/>
    <w:rsid w:val="00FD59E8"/>
    <w:rsid w:val="00FD5D1E"/>
    <w:rsid w:val="00FD5E25"/>
    <w:rsid w:val="00FD60A5"/>
    <w:rsid w:val="00FD60E7"/>
    <w:rsid w:val="00FD6158"/>
    <w:rsid w:val="00FD63B9"/>
    <w:rsid w:val="00FD6408"/>
    <w:rsid w:val="00FD645B"/>
    <w:rsid w:val="00FD678D"/>
    <w:rsid w:val="00FD6821"/>
    <w:rsid w:val="00FD6994"/>
    <w:rsid w:val="00FD6A22"/>
    <w:rsid w:val="00FD6BF8"/>
    <w:rsid w:val="00FD6F43"/>
    <w:rsid w:val="00FD6F6C"/>
    <w:rsid w:val="00FD6F82"/>
    <w:rsid w:val="00FD6FBD"/>
    <w:rsid w:val="00FD71D2"/>
    <w:rsid w:val="00FD71F1"/>
    <w:rsid w:val="00FD721B"/>
    <w:rsid w:val="00FD73FD"/>
    <w:rsid w:val="00FD7480"/>
    <w:rsid w:val="00FD7909"/>
    <w:rsid w:val="00FD796A"/>
    <w:rsid w:val="00FD797A"/>
    <w:rsid w:val="00FD7993"/>
    <w:rsid w:val="00FD7A8D"/>
    <w:rsid w:val="00FD7E30"/>
    <w:rsid w:val="00FD7FC6"/>
    <w:rsid w:val="00FE002C"/>
    <w:rsid w:val="00FE01DB"/>
    <w:rsid w:val="00FE0386"/>
    <w:rsid w:val="00FE03F7"/>
    <w:rsid w:val="00FE06AD"/>
    <w:rsid w:val="00FE0747"/>
    <w:rsid w:val="00FE0AD5"/>
    <w:rsid w:val="00FE0B35"/>
    <w:rsid w:val="00FE0B56"/>
    <w:rsid w:val="00FE0C4A"/>
    <w:rsid w:val="00FE0DDA"/>
    <w:rsid w:val="00FE0E57"/>
    <w:rsid w:val="00FE1041"/>
    <w:rsid w:val="00FE1456"/>
    <w:rsid w:val="00FE14F6"/>
    <w:rsid w:val="00FE156B"/>
    <w:rsid w:val="00FE1ABE"/>
    <w:rsid w:val="00FE1BBA"/>
    <w:rsid w:val="00FE1BBD"/>
    <w:rsid w:val="00FE1DB2"/>
    <w:rsid w:val="00FE1E0D"/>
    <w:rsid w:val="00FE1F74"/>
    <w:rsid w:val="00FE1FB8"/>
    <w:rsid w:val="00FE2107"/>
    <w:rsid w:val="00FE213C"/>
    <w:rsid w:val="00FE249A"/>
    <w:rsid w:val="00FE2786"/>
    <w:rsid w:val="00FE279A"/>
    <w:rsid w:val="00FE290E"/>
    <w:rsid w:val="00FE2A2D"/>
    <w:rsid w:val="00FE2D52"/>
    <w:rsid w:val="00FE2E3B"/>
    <w:rsid w:val="00FE2E78"/>
    <w:rsid w:val="00FE3544"/>
    <w:rsid w:val="00FE35A6"/>
    <w:rsid w:val="00FE362D"/>
    <w:rsid w:val="00FE368E"/>
    <w:rsid w:val="00FE372E"/>
    <w:rsid w:val="00FE3806"/>
    <w:rsid w:val="00FE3B6F"/>
    <w:rsid w:val="00FE3C97"/>
    <w:rsid w:val="00FE3D99"/>
    <w:rsid w:val="00FE3DB8"/>
    <w:rsid w:val="00FE3DE0"/>
    <w:rsid w:val="00FE3F8C"/>
    <w:rsid w:val="00FE4125"/>
    <w:rsid w:val="00FE414D"/>
    <w:rsid w:val="00FE426E"/>
    <w:rsid w:val="00FE4346"/>
    <w:rsid w:val="00FE436F"/>
    <w:rsid w:val="00FE44C4"/>
    <w:rsid w:val="00FE45E3"/>
    <w:rsid w:val="00FE4616"/>
    <w:rsid w:val="00FE4703"/>
    <w:rsid w:val="00FE4737"/>
    <w:rsid w:val="00FE476F"/>
    <w:rsid w:val="00FE47B8"/>
    <w:rsid w:val="00FE4820"/>
    <w:rsid w:val="00FE4974"/>
    <w:rsid w:val="00FE4B98"/>
    <w:rsid w:val="00FE4C2F"/>
    <w:rsid w:val="00FE4D08"/>
    <w:rsid w:val="00FE4EB8"/>
    <w:rsid w:val="00FE4EDC"/>
    <w:rsid w:val="00FE4EF3"/>
    <w:rsid w:val="00FE508D"/>
    <w:rsid w:val="00FE50D2"/>
    <w:rsid w:val="00FE5313"/>
    <w:rsid w:val="00FE53E9"/>
    <w:rsid w:val="00FE54E0"/>
    <w:rsid w:val="00FE558B"/>
    <w:rsid w:val="00FE57A7"/>
    <w:rsid w:val="00FE57FC"/>
    <w:rsid w:val="00FE5CFB"/>
    <w:rsid w:val="00FE5E1D"/>
    <w:rsid w:val="00FE5EEC"/>
    <w:rsid w:val="00FE5FC9"/>
    <w:rsid w:val="00FE6003"/>
    <w:rsid w:val="00FE6282"/>
    <w:rsid w:val="00FE63A6"/>
    <w:rsid w:val="00FE63DE"/>
    <w:rsid w:val="00FE6448"/>
    <w:rsid w:val="00FE661E"/>
    <w:rsid w:val="00FE6873"/>
    <w:rsid w:val="00FE687F"/>
    <w:rsid w:val="00FE69BF"/>
    <w:rsid w:val="00FE6F0B"/>
    <w:rsid w:val="00FE6F98"/>
    <w:rsid w:val="00FE7219"/>
    <w:rsid w:val="00FE72F7"/>
    <w:rsid w:val="00FE7305"/>
    <w:rsid w:val="00FE7329"/>
    <w:rsid w:val="00FE73BE"/>
    <w:rsid w:val="00FE753E"/>
    <w:rsid w:val="00FE7607"/>
    <w:rsid w:val="00FE76D8"/>
    <w:rsid w:val="00FE7804"/>
    <w:rsid w:val="00FE792B"/>
    <w:rsid w:val="00FE7A29"/>
    <w:rsid w:val="00FE7ADC"/>
    <w:rsid w:val="00FE7B39"/>
    <w:rsid w:val="00FE7BDA"/>
    <w:rsid w:val="00FE7C10"/>
    <w:rsid w:val="00FE7D52"/>
    <w:rsid w:val="00FE7E8F"/>
    <w:rsid w:val="00FF01CA"/>
    <w:rsid w:val="00FF02A1"/>
    <w:rsid w:val="00FF02C9"/>
    <w:rsid w:val="00FF03F8"/>
    <w:rsid w:val="00FF0763"/>
    <w:rsid w:val="00FF07E7"/>
    <w:rsid w:val="00FF09A4"/>
    <w:rsid w:val="00FF0B85"/>
    <w:rsid w:val="00FF0BEF"/>
    <w:rsid w:val="00FF0E33"/>
    <w:rsid w:val="00FF1033"/>
    <w:rsid w:val="00FF10FA"/>
    <w:rsid w:val="00FF1219"/>
    <w:rsid w:val="00FF1360"/>
    <w:rsid w:val="00FF1531"/>
    <w:rsid w:val="00FF1589"/>
    <w:rsid w:val="00FF168D"/>
    <w:rsid w:val="00FF1749"/>
    <w:rsid w:val="00FF18B2"/>
    <w:rsid w:val="00FF19AB"/>
    <w:rsid w:val="00FF2156"/>
    <w:rsid w:val="00FF2184"/>
    <w:rsid w:val="00FF21F1"/>
    <w:rsid w:val="00FF228E"/>
    <w:rsid w:val="00FF238C"/>
    <w:rsid w:val="00FF2497"/>
    <w:rsid w:val="00FF2567"/>
    <w:rsid w:val="00FF29B6"/>
    <w:rsid w:val="00FF2A9D"/>
    <w:rsid w:val="00FF2E74"/>
    <w:rsid w:val="00FF2EBB"/>
    <w:rsid w:val="00FF2F4E"/>
    <w:rsid w:val="00FF2FE1"/>
    <w:rsid w:val="00FF310F"/>
    <w:rsid w:val="00FF333C"/>
    <w:rsid w:val="00FF354C"/>
    <w:rsid w:val="00FF36AB"/>
    <w:rsid w:val="00FF39A8"/>
    <w:rsid w:val="00FF3C21"/>
    <w:rsid w:val="00FF3C51"/>
    <w:rsid w:val="00FF3D06"/>
    <w:rsid w:val="00FF3D37"/>
    <w:rsid w:val="00FF3D85"/>
    <w:rsid w:val="00FF3EB9"/>
    <w:rsid w:val="00FF3FA3"/>
    <w:rsid w:val="00FF41B9"/>
    <w:rsid w:val="00FF41D8"/>
    <w:rsid w:val="00FF4318"/>
    <w:rsid w:val="00FF43A9"/>
    <w:rsid w:val="00FF4417"/>
    <w:rsid w:val="00FF4662"/>
    <w:rsid w:val="00FF46CB"/>
    <w:rsid w:val="00FF4D48"/>
    <w:rsid w:val="00FF4E50"/>
    <w:rsid w:val="00FF4FC1"/>
    <w:rsid w:val="00FF5228"/>
    <w:rsid w:val="00FF5238"/>
    <w:rsid w:val="00FF5687"/>
    <w:rsid w:val="00FF578D"/>
    <w:rsid w:val="00FF5BD9"/>
    <w:rsid w:val="00FF5C0D"/>
    <w:rsid w:val="00FF5D33"/>
    <w:rsid w:val="00FF5DA4"/>
    <w:rsid w:val="00FF5EAD"/>
    <w:rsid w:val="00FF5F2C"/>
    <w:rsid w:val="00FF5FEA"/>
    <w:rsid w:val="00FF6070"/>
    <w:rsid w:val="00FF6329"/>
    <w:rsid w:val="00FF6403"/>
    <w:rsid w:val="00FF6539"/>
    <w:rsid w:val="00FF66B9"/>
    <w:rsid w:val="00FF67A7"/>
    <w:rsid w:val="00FF6892"/>
    <w:rsid w:val="00FF6AD6"/>
    <w:rsid w:val="00FF6B29"/>
    <w:rsid w:val="00FF6C2D"/>
    <w:rsid w:val="00FF6C37"/>
    <w:rsid w:val="00FF6F3E"/>
    <w:rsid w:val="00FF7005"/>
    <w:rsid w:val="00FF723C"/>
    <w:rsid w:val="00FF73AE"/>
    <w:rsid w:val="00FF7426"/>
    <w:rsid w:val="00FF74CA"/>
    <w:rsid w:val="00FF7591"/>
    <w:rsid w:val="00FF7628"/>
    <w:rsid w:val="00FF76A2"/>
    <w:rsid w:val="00FF7759"/>
    <w:rsid w:val="00FF78FC"/>
    <w:rsid w:val="00FF7B2C"/>
    <w:rsid w:val="00FF7B3D"/>
    <w:rsid w:val="00FF7D82"/>
    <w:rsid w:val="01B116E5"/>
    <w:rsid w:val="01BF17A7"/>
    <w:rsid w:val="0286DF50"/>
    <w:rsid w:val="02FAFC1B"/>
    <w:rsid w:val="03196A1D"/>
    <w:rsid w:val="051509A1"/>
    <w:rsid w:val="05325F94"/>
    <w:rsid w:val="069F2D3E"/>
    <w:rsid w:val="076EC096"/>
    <w:rsid w:val="09CE978F"/>
    <w:rsid w:val="09F947B3"/>
    <w:rsid w:val="0A45894B"/>
    <w:rsid w:val="0CD1BBB8"/>
    <w:rsid w:val="0CE9588E"/>
    <w:rsid w:val="0E296009"/>
    <w:rsid w:val="0EB9C008"/>
    <w:rsid w:val="0F0FFF2F"/>
    <w:rsid w:val="10307747"/>
    <w:rsid w:val="14581FC2"/>
    <w:rsid w:val="1489918F"/>
    <w:rsid w:val="1630C99A"/>
    <w:rsid w:val="175DF95A"/>
    <w:rsid w:val="176009DB"/>
    <w:rsid w:val="18ED8D5C"/>
    <w:rsid w:val="195D3CC7"/>
    <w:rsid w:val="1AA218BE"/>
    <w:rsid w:val="1AE8ED44"/>
    <w:rsid w:val="1B2E3901"/>
    <w:rsid w:val="1B6555C0"/>
    <w:rsid w:val="1BC26669"/>
    <w:rsid w:val="1CA07C7F"/>
    <w:rsid w:val="1DCEA025"/>
    <w:rsid w:val="1E148E17"/>
    <w:rsid w:val="1F3185CB"/>
    <w:rsid w:val="1F56E789"/>
    <w:rsid w:val="1F992801"/>
    <w:rsid w:val="20697C85"/>
    <w:rsid w:val="20B83264"/>
    <w:rsid w:val="20C3E862"/>
    <w:rsid w:val="20E41DD1"/>
    <w:rsid w:val="20F696D3"/>
    <w:rsid w:val="2104A259"/>
    <w:rsid w:val="224FBCE9"/>
    <w:rsid w:val="22EEE84C"/>
    <w:rsid w:val="2393EC05"/>
    <w:rsid w:val="242F951C"/>
    <w:rsid w:val="2550B4D6"/>
    <w:rsid w:val="273ADB3C"/>
    <w:rsid w:val="27A67142"/>
    <w:rsid w:val="27A70464"/>
    <w:rsid w:val="27ADF19C"/>
    <w:rsid w:val="281219A7"/>
    <w:rsid w:val="2836EA40"/>
    <w:rsid w:val="29B6240F"/>
    <w:rsid w:val="2A8D8BB5"/>
    <w:rsid w:val="2B1CCE28"/>
    <w:rsid w:val="2B890DFD"/>
    <w:rsid w:val="2B9A3E07"/>
    <w:rsid w:val="2BD358E2"/>
    <w:rsid w:val="2D28F06C"/>
    <w:rsid w:val="2E21BEE1"/>
    <w:rsid w:val="3152070D"/>
    <w:rsid w:val="31A27773"/>
    <w:rsid w:val="335F3A37"/>
    <w:rsid w:val="33633953"/>
    <w:rsid w:val="33D15EAA"/>
    <w:rsid w:val="346E3522"/>
    <w:rsid w:val="350F6BB5"/>
    <w:rsid w:val="358A017B"/>
    <w:rsid w:val="36548129"/>
    <w:rsid w:val="36A302F9"/>
    <w:rsid w:val="36B363D9"/>
    <w:rsid w:val="375DF454"/>
    <w:rsid w:val="383DE0C0"/>
    <w:rsid w:val="39194C62"/>
    <w:rsid w:val="395FF32A"/>
    <w:rsid w:val="39D27230"/>
    <w:rsid w:val="3B2F5602"/>
    <w:rsid w:val="3B9FF2C7"/>
    <w:rsid w:val="3BD2D307"/>
    <w:rsid w:val="3CEE8666"/>
    <w:rsid w:val="3DB5B256"/>
    <w:rsid w:val="3DFC043A"/>
    <w:rsid w:val="3E89B18C"/>
    <w:rsid w:val="3F38AD5D"/>
    <w:rsid w:val="3F63B555"/>
    <w:rsid w:val="3F8AE7BC"/>
    <w:rsid w:val="404780FE"/>
    <w:rsid w:val="405ED51C"/>
    <w:rsid w:val="40AC25FB"/>
    <w:rsid w:val="40BE88A8"/>
    <w:rsid w:val="40D2D650"/>
    <w:rsid w:val="40F89470"/>
    <w:rsid w:val="4208C0DE"/>
    <w:rsid w:val="4215145C"/>
    <w:rsid w:val="43F3BDCF"/>
    <w:rsid w:val="4472A8E6"/>
    <w:rsid w:val="451A4155"/>
    <w:rsid w:val="4547CFBD"/>
    <w:rsid w:val="463E648A"/>
    <w:rsid w:val="46479A60"/>
    <w:rsid w:val="47D9A751"/>
    <w:rsid w:val="49062ACC"/>
    <w:rsid w:val="494BE264"/>
    <w:rsid w:val="49790F39"/>
    <w:rsid w:val="498D6355"/>
    <w:rsid w:val="4D8A05C1"/>
    <w:rsid w:val="4DBED499"/>
    <w:rsid w:val="4E365A66"/>
    <w:rsid w:val="4E576238"/>
    <w:rsid w:val="4FD557DA"/>
    <w:rsid w:val="504C53A7"/>
    <w:rsid w:val="50A8EBEC"/>
    <w:rsid w:val="52E4E3FE"/>
    <w:rsid w:val="5459083A"/>
    <w:rsid w:val="54DBD87A"/>
    <w:rsid w:val="5540F413"/>
    <w:rsid w:val="55C99016"/>
    <w:rsid w:val="56BE80B8"/>
    <w:rsid w:val="570A674B"/>
    <w:rsid w:val="583382B5"/>
    <w:rsid w:val="59720C41"/>
    <w:rsid w:val="5A308338"/>
    <w:rsid w:val="5A40935F"/>
    <w:rsid w:val="5D0D9AED"/>
    <w:rsid w:val="5E5635B5"/>
    <w:rsid w:val="608542AA"/>
    <w:rsid w:val="60C36C7D"/>
    <w:rsid w:val="60F85BA6"/>
    <w:rsid w:val="613DF69A"/>
    <w:rsid w:val="617FC137"/>
    <w:rsid w:val="62B70EA6"/>
    <w:rsid w:val="65242FC9"/>
    <w:rsid w:val="6566F9C6"/>
    <w:rsid w:val="65B1F88F"/>
    <w:rsid w:val="661E5EBA"/>
    <w:rsid w:val="66710CDB"/>
    <w:rsid w:val="675C01A3"/>
    <w:rsid w:val="67CE4A01"/>
    <w:rsid w:val="67DA3169"/>
    <w:rsid w:val="67EA3C89"/>
    <w:rsid w:val="6844501A"/>
    <w:rsid w:val="685E5461"/>
    <w:rsid w:val="69837D29"/>
    <w:rsid w:val="6A6A6F38"/>
    <w:rsid w:val="6A93B0C5"/>
    <w:rsid w:val="6B21C2E8"/>
    <w:rsid w:val="6BDA1697"/>
    <w:rsid w:val="6D63F39E"/>
    <w:rsid w:val="6DE5D4D8"/>
    <w:rsid w:val="6DFED020"/>
    <w:rsid w:val="702EC058"/>
    <w:rsid w:val="70B2FBA8"/>
    <w:rsid w:val="71F1275E"/>
    <w:rsid w:val="7213ACE2"/>
    <w:rsid w:val="72EB747B"/>
    <w:rsid w:val="75A45BEC"/>
    <w:rsid w:val="75BC309D"/>
    <w:rsid w:val="76050393"/>
    <w:rsid w:val="7694F708"/>
    <w:rsid w:val="76FFCE7F"/>
    <w:rsid w:val="7716F9C2"/>
    <w:rsid w:val="783FCB8A"/>
    <w:rsid w:val="7868D1A7"/>
    <w:rsid w:val="7A066227"/>
    <w:rsid w:val="7A0EB788"/>
    <w:rsid w:val="7A56BA5D"/>
    <w:rsid w:val="7AAE0278"/>
    <w:rsid w:val="7AE74689"/>
    <w:rsid w:val="7B521993"/>
    <w:rsid w:val="7C0888BB"/>
    <w:rsid w:val="7CFD78EC"/>
    <w:rsid w:val="7F6AD09B"/>
    <w:rsid w:val="7FD5145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085C62"/>
  <w14:defaultImageDpi w14:val="330"/>
  <w15:docId w15:val="{CA44446E-CF3A-4993-AB87-8485F0C88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467"/>
    <w:pPr>
      <w:spacing w:before="60" w:after="60" w:line="288" w:lineRule="auto"/>
    </w:pPr>
    <w:rPr>
      <w:rFonts w:ascii="Arial" w:hAnsi="Arial"/>
      <w:lang w:val="en-AU"/>
    </w:rPr>
  </w:style>
  <w:style w:type="paragraph" w:styleId="Heading1">
    <w:name w:val="heading 1"/>
    <w:basedOn w:val="Normal"/>
    <w:next w:val="Normal"/>
    <w:link w:val="Heading1Char"/>
    <w:qFormat/>
    <w:rsid w:val="00944D24"/>
    <w:pPr>
      <w:keepNext/>
      <w:keepLines/>
      <w:spacing w:before="0" w:after="480" w:line="192" w:lineRule="auto"/>
      <w:outlineLvl w:val="0"/>
    </w:pPr>
    <w:rPr>
      <w:rFonts w:asciiTheme="minorHAnsi" w:eastAsia="Arial Unicode MS" w:hAnsiTheme="minorHAnsi" w:cstheme="minorHAnsi"/>
      <w:b/>
      <w:color w:val="540EAF" w:themeColor="accent5" w:themeShade="BF"/>
      <w:sz w:val="44"/>
      <w:szCs w:val="44"/>
      <w:lang w:eastAsia="en-AU"/>
    </w:rPr>
  </w:style>
  <w:style w:type="paragraph" w:styleId="Heading2">
    <w:name w:val="heading 2"/>
    <w:basedOn w:val="Normal"/>
    <w:next w:val="Normal"/>
    <w:link w:val="Heading2Char"/>
    <w:unhideWhenUsed/>
    <w:qFormat/>
    <w:rsid w:val="00944D24"/>
    <w:pPr>
      <w:keepNext/>
      <w:keepLines/>
      <w:spacing w:before="240" w:after="120" w:line="240" w:lineRule="auto"/>
      <w:outlineLvl w:val="1"/>
    </w:pPr>
    <w:rPr>
      <w:rFonts w:asciiTheme="minorHAnsi" w:eastAsiaTheme="majorEastAsia" w:hAnsiTheme="minorHAnsi" w:cstheme="minorHAnsi"/>
      <w:b/>
      <w:color w:val="0C233C" w:themeColor="accent2"/>
      <w:sz w:val="32"/>
      <w:lang w:val="en-US"/>
    </w:rPr>
  </w:style>
  <w:style w:type="paragraph" w:styleId="Heading3">
    <w:name w:val="heading 3"/>
    <w:next w:val="Normal"/>
    <w:link w:val="Heading3Char"/>
    <w:unhideWhenUsed/>
    <w:qFormat/>
    <w:rsid w:val="000B5747"/>
    <w:pPr>
      <w:keepNext/>
      <w:keepLines/>
      <w:spacing w:after="120" w:line="240" w:lineRule="auto"/>
      <w:outlineLvl w:val="2"/>
    </w:pPr>
    <w:rPr>
      <w:rFonts w:eastAsiaTheme="majorEastAsia" w:cstheme="majorBidi"/>
      <w:b/>
      <w:bCs/>
      <w:color w:val="0C233C" w:themeColor="accent2"/>
      <w:sz w:val="24"/>
      <w:szCs w:val="24"/>
      <w:lang w:val="en-AU"/>
    </w:rPr>
  </w:style>
  <w:style w:type="paragraph" w:styleId="Heading4">
    <w:name w:val="heading 4"/>
    <w:basedOn w:val="Normal"/>
    <w:next w:val="Normal"/>
    <w:link w:val="Heading4Char"/>
    <w:unhideWhenUsed/>
    <w:qFormat/>
    <w:rsid w:val="00944D24"/>
    <w:pPr>
      <w:keepNext/>
      <w:keepLines/>
      <w:spacing w:before="200" w:after="0" w:line="240" w:lineRule="auto"/>
      <w:outlineLvl w:val="3"/>
    </w:pPr>
    <w:rPr>
      <w:rFonts w:asciiTheme="minorHAnsi" w:eastAsiaTheme="majorEastAsia" w:hAnsiTheme="minorHAnsi" w:cstheme="majorBidi"/>
      <w:b/>
      <w:color w:val="540EAF" w:themeColor="accent5" w:themeShade="BF"/>
      <w:sz w:val="24"/>
      <w:szCs w:val="32"/>
    </w:rPr>
  </w:style>
  <w:style w:type="paragraph" w:styleId="Heading5">
    <w:name w:val="heading 5"/>
    <w:basedOn w:val="Normal"/>
    <w:next w:val="Normal"/>
    <w:link w:val="Heading5Char"/>
    <w:unhideWhenUsed/>
    <w:qFormat/>
    <w:rsid w:val="007B6612"/>
    <w:pPr>
      <w:spacing w:before="0" w:after="200" w:line="276" w:lineRule="auto"/>
      <w:outlineLvl w:val="4"/>
    </w:pPr>
    <w:rPr>
      <w:b/>
      <w:color w:val="0C233C" w:themeColor="accent2"/>
    </w:rPr>
  </w:style>
  <w:style w:type="paragraph" w:styleId="Heading6">
    <w:name w:val="heading 6"/>
    <w:basedOn w:val="Normal"/>
    <w:next w:val="Normal"/>
    <w:link w:val="Heading6Char"/>
    <w:unhideWhenUsed/>
    <w:qFormat/>
    <w:rsid w:val="00FC693F"/>
    <w:pPr>
      <w:keepNext/>
      <w:keepLines/>
      <w:spacing w:before="200" w:after="0"/>
      <w:outlineLvl w:val="5"/>
    </w:pPr>
    <w:rPr>
      <w:rFonts w:asciiTheme="majorHAnsi" w:eastAsiaTheme="majorEastAsia" w:hAnsiTheme="majorHAnsi" w:cstheme="majorBidi"/>
      <w:i/>
      <w:iCs/>
      <w:color w:val="0E2370" w:themeColor="accent1" w:themeShade="7F"/>
    </w:rPr>
  </w:style>
  <w:style w:type="paragraph" w:styleId="Heading7">
    <w:name w:val="heading 7"/>
    <w:basedOn w:val="Normal"/>
    <w:next w:val="Normal"/>
    <w:link w:val="Heading7Char"/>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FC693F"/>
    <w:pPr>
      <w:keepNext/>
      <w:keepLines/>
      <w:spacing w:before="200" w:after="0"/>
      <w:outlineLvl w:val="7"/>
    </w:pPr>
    <w:rPr>
      <w:rFonts w:asciiTheme="majorHAnsi" w:eastAsiaTheme="majorEastAsia" w:hAnsiTheme="majorHAnsi" w:cstheme="majorBidi"/>
      <w:color w:val="1E49E2" w:themeColor="accent1"/>
      <w:szCs w:val="20"/>
    </w:rPr>
  </w:style>
  <w:style w:type="paragraph" w:styleId="Heading9">
    <w:name w:val="heading 9"/>
    <w:basedOn w:val="Normal"/>
    <w:next w:val="Normal"/>
    <w:link w:val="Heading9Char"/>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22CA"/>
    <w:pPr>
      <w:tabs>
        <w:tab w:val="center" w:pos="4680"/>
        <w:tab w:val="right" w:pos="9360"/>
      </w:tabs>
      <w:spacing w:after="0"/>
    </w:pPr>
    <w:rPr>
      <w:color w:val="0C233C" w:themeColor="accent2"/>
    </w:rPr>
  </w:style>
  <w:style w:type="character" w:customStyle="1" w:styleId="HeaderChar">
    <w:name w:val="Header Char"/>
    <w:basedOn w:val="DefaultParagraphFont"/>
    <w:link w:val="Header"/>
    <w:uiPriority w:val="99"/>
    <w:rsid w:val="009F22CA"/>
    <w:rPr>
      <w:rFonts w:ascii="Arial" w:hAnsi="Arial"/>
      <w:color w:val="0C233C" w:themeColor="accent2"/>
      <w:lang w:val="en-AU"/>
    </w:rPr>
  </w:style>
  <w:style w:type="paragraph" w:styleId="Footer">
    <w:name w:val="footer"/>
    <w:basedOn w:val="Normal"/>
    <w:link w:val="FooterChar"/>
    <w:uiPriority w:val="8"/>
    <w:unhideWhenUsed/>
    <w:rsid w:val="0056444C"/>
    <w:pPr>
      <w:tabs>
        <w:tab w:val="center" w:pos="4680"/>
        <w:tab w:val="right" w:pos="9360"/>
      </w:tabs>
      <w:spacing w:before="20"/>
    </w:pPr>
    <w:rPr>
      <w:color w:val="0C233C" w:themeColor="accent2"/>
      <w:sz w:val="12"/>
      <w:szCs w:val="12"/>
    </w:rPr>
  </w:style>
  <w:style w:type="character" w:customStyle="1" w:styleId="FooterChar">
    <w:name w:val="Footer Char"/>
    <w:basedOn w:val="DefaultParagraphFont"/>
    <w:link w:val="Footer"/>
    <w:uiPriority w:val="8"/>
    <w:rsid w:val="0056444C"/>
    <w:rPr>
      <w:rFonts w:ascii="Arial" w:hAnsi="Arial"/>
      <w:color w:val="0C233C" w:themeColor="accent2"/>
      <w:sz w:val="12"/>
      <w:szCs w:val="12"/>
      <w:lang w:val="en-AU"/>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rsid w:val="00944D24"/>
    <w:rPr>
      <w:rFonts w:eastAsia="Arial Unicode MS" w:cstheme="minorHAnsi"/>
      <w:b/>
      <w:color w:val="540EAF" w:themeColor="accent5" w:themeShade="BF"/>
      <w:sz w:val="44"/>
      <w:szCs w:val="44"/>
      <w:lang w:val="en-AU" w:eastAsia="en-AU"/>
    </w:rPr>
  </w:style>
  <w:style w:type="character" w:customStyle="1" w:styleId="Heading2Char">
    <w:name w:val="Heading 2 Char"/>
    <w:basedOn w:val="DefaultParagraphFont"/>
    <w:link w:val="Heading2"/>
    <w:rsid w:val="00944D24"/>
    <w:rPr>
      <w:rFonts w:eastAsiaTheme="majorEastAsia" w:cstheme="minorHAnsi"/>
      <w:b/>
      <w:color w:val="0C233C" w:themeColor="accent2"/>
      <w:sz w:val="32"/>
    </w:rPr>
  </w:style>
  <w:style w:type="character" w:customStyle="1" w:styleId="Heading3Char">
    <w:name w:val="Heading 3 Char"/>
    <w:basedOn w:val="DefaultParagraphFont"/>
    <w:link w:val="Heading3"/>
    <w:rsid w:val="000B5747"/>
    <w:rPr>
      <w:rFonts w:eastAsiaTheme="majorEastAsia" w:cstheme="majorBidi"/>
      <w:b/>
      <w:bCs/>
      <w:color w:val="0C233C" w:themeColor="accent2"/>
      <w:sz w:val="24"/>
      <w:szCs w:val="24"/>
      <w:lang w:val="en-AU"/>
    </w:rPr>
  </w:style>
  <w:style w:type="paragraph" w:styleId="Title">
    <w:name w:val="Title"/>
    <w:basedOn w:val="Normal"/>
    <w:next w:val="Normal"/>
    <w:link w:val="TitleChar"/>
    <w:uiPriority w:val="10"/>
    <w:qFormat/>
    <w:rsid w:val="00FC693F"/>
    <w:pPr>
      <w:pBdr>
        <w:bottom w:val="single" w:sz="8" w:space="4" w:color="1E49E2" w:themeColor="accent1"/>
      </w:pBdr>
      <w:spacing w:after="300"/>
      <w:contextualSpacing/>
    </w:pPr>
    <w:rPr>
      <w:rFonts w:asciiTheme="majorHAnsi" w:eastAsiaTheme="majorEastAsia" w:hAnsiTheme="majorHAnsi" w:cstheme="majorBidi"/>
      <w:color w:val="002669"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002669"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1E49E2"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1E49E2" w:themeColor="accent1"/>
      <w:spacing w:val="15"/>
      <w:sz w:val="24"/>
      <w:szCs w:val="24"/>
    </w:rPr>
  </w:style>
  <w:style w:type="paragraph" w:styleId="ListParagraph">
    <w:name w:val="List Paragraph"/>
    <w:basedOn w:val="Normal"/>
    <w:uiPriority w:val="34"/>
    <w:qFormat/>
    <w:rsid w:val="00800DE6"/>
    <w:pPr>
      <w:numPr>
        <w:numId w:val="6"/>
      </w:numPr>
      <w:tabs>
        <w:tab w:val="clear" w:pos="644"/>
        <w:tab w:val="num" w:pos="340"/>
        <w:tab w:val="left" w:pos="720"/>
      </w:tabs>
      <w:spacing w:before="0" w:after="0" w:line="300" w:lineRule="atLeast"/>
      <w:ind w:left="340" w:hanging="340"/>
      <w:contextualSpacing/>
    </w:pPr>
    <w:rPr>
      <w:rFonts w:asciiTheme="minorHAnsi" w:eastAsiaTheme="minorHAnsi" w:hAnsiTheme="minorHAnsi"/>
      <w:kern w:val="2"/>
      <w14:ligatures w14:val="standardContextual"/>
    </w:rPr>
  </w:style>
  <w:style w:type="paragraph" w:styleId="BodyText">
    <w:name w:val="Body Text"/>
    <w:basedOn w:val="Normal"/>
    <w:link w:val="BodyTextChar"/>
    <w:uiPriority w:val="99"/>
    <w:unhideWhenUsed/>
    <w:rsid w:val="006979E2"/>
    <w:pPr>
      <w:spacing w:before="120" w:after="120"/>
    </w:pPr>
    <w:rPr>
      <w:color w:val="000000" w:themeColor="text1"/>
    </w:rPr>
  </w:style>
  <w:style w:type="character" w:customStyle="1" w:styleId="BodyTextChar">
    <w:name w:val="Body Text Char"/>
    <w:basedOn w:val="DefaultParagraphFont"/>
    <w:link w:val="BodyText"/>
    <w:uiPriority w:val="99"/>
    <w:rsid w:val="0099388F"/>
    <w:rPr>
      <w:rFonts w:ascii="Arial" w:hAnsi="Arial"/>
      <w:color w:val="000000" w:themeColor="text1"/>
      <w:lang w:val="en-AU"/>
    </w:rPr>
  </w:style>
  <w:style w:type="paragraph" w:styleId="BodyText2">
    <w:name w:val="Body Text 2"/>
    <w:basedOn w:val="Normal"/>
    <w:link w:val="BodyText2Char"/>
    <w:uiPriority w:val="99"/>
    <w:unhideWhenUsed/>
    <w:rsid w:val="00CF0C62"/>
    <w:pPr>
      <w:spacing w:before="120" w:after="160"/>
    </w:pPr>
    <w:rPr>
      <w:b/>
      <w:color w:val="000000" w:themeColor="text1"/>
    </w:rPr>
  </w:style>
  <w:style w:type="character" w:customStyle="1" w:styleId="BodyText2Char">
    <w:name w:val="Body Text 2 Char"/>
    <w:basedOn w:val="DefaultParagraphFont"/>
    <w:link w:val="BodyText2"/>
    <w:uiPriority w:val="99"/>
    <w:rsid w:val="00AA1D8D"/>
    <w:rPr>
      <w:rFonts w:ascii="Arial" w:hAnsi="Arial"/>
      <w:b/>
      <w:color w:val="000000" w:themeColor="text1"/>
      <w:lang w:val="en-AU"/>
    </w:rPr>
  </w:style>
  <w:style w:type="paragraph" w:styleId="BodyText3">
    <w:name w:val="Body Text 3"/>
    <w:basedOn w:val="Normal"/>
    <w:link w:val="BodyText3Char"/>
    <w:uiPriority w:val="99"/>
    <w:unhideWhenUsed/>
    <w:rsid w:val="00964EB8"/>
    <w:pPr>
      <w:spacing w:before="120" w:after="120"/>
    </w:pPr>
    <w:rPr>
      <w:b/>
      <w:bCs/>
    </w:rPr>
  </w:style>
  <w:style w:type="character" w:customStyle="1" w:styleId="BodyText3Char">
    <w:name w:val="Body Text 3 Char"/>
    <w:basedOn w:val="DefaultParagraphFont"/>
    <w:link w:val="BodyText3"/>
    <w:uiPriority w:val="99"/>
    <w:rsid w:val="00AA1D8D"/>
    <w:rPr>
      <w:rFonts w:ascii="Arial" w:hAnsi="Arial"/>
      <w:b/>
      <w:bCs/>
      <w:lang w:val="en-AU"/>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nhideWhenUsed/>
    <w:qFormat/>
    <w:rsid w:val="00326F90"/>
    <w:pPr>
      <w:numPr>
        <w:numId w:val="1"/>
      </w:numPr>
      <w:contextualSpacing/>
    </w:pPr>
  </w:style>
  <w:style w:type="paragraph" w:styleId="ListBullet2">
    <w:name w:val="List Bullet 2"/>
    <w:basedOn w:val="Normal"/>
    <w:unhideWhenUsed/>
    <w:qFormat/>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11"/>
      </w:numPr>
      <w:contextualSpacing/>
    </w:pPr>
  </w:style>
  <w:style w:type="paragraph" w:styleId="ListNumber2">
    <w:name w:val="List Number 2"/>
    <w:basedOn w:val="Normal"/>
    <w:uiPriority w:val="99"/>
    <w:unhideWhenUsed/>
    <w:rsid w:val="0029639D"/>
    <w:pPr>
      <w:numPr>
        <w:numId w:val="4"/>
      </w:numPr>
      <w:contextualSpacing/>
    </w:pPr>
  </w:style>
  <w:style w:type="paragraph" w:styleId="ListNumber3">
    <w:name w:val="List Number 3"/>
    <w:basedOn w:val="Normal"/>
    <w:uiPriority w:val="99"/>
    <w:unhideWhenUsed/>
    <w:rsid w:val="0029639D"/>
    <w:pPr>
      <w:numPr>
        <w:numId w:val="5"/>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BodyText"/>
    <w:next w:val="Normal"/>
    <w:link w:val="QuoteChar"/>
    <w:uiPriority w:val="29"/>
    <w:qFormat/>
    <w:rsid w:val="00944D24"/>
    <w:pPr>
      <w:spacing w:line="240" w:lineRule="auto"/>
      <w:ind w:left="567" w:right="1843"/>
    </w:pPr>
    <w:rPr>
      <w:rFonts w:asciiTheme="minorHAnsi" w:hAnsiTheme="minorHAnsi" w:cstheme="minorHAnsi"/>
      <w:b/>
      <w:iCs/>
      <w:color w:val="0C233C" w:themeColor="accent2"/>
      <w:sz w:val="32"/>
      <w:szCs w:val="32"/>
    </w:rPr>
  </w:style>
  <w:style w:type="character" w:customStyle="1" w:styleId="QuoteChar">
    <w:name w:val="Quote Char"/>
    <w:basedOn w:val="DefaultParagraphFont"/>
    <w:link w:val="Quote"/>
    <w:uiPriority w:val="29"/>
    <w:rsid w:val="00944D24"/>
    <w:rPr>
      <w:rFonts w:cstheme="minorHAnsi"/>
      <w:b/>
      <w:iCs/>
      <w:color w:val="0C233C" w:themeColor="accent2"/>
      <w:sz w:val="32"/>
      <w:szCs w:val="32"/>
      <w:lang w:val="en-AU"/>
    </w:rPr>
  </w:style>
  <w:style w:type="character" w:customStyle="1" w:styleId="Heading4Char">
    <w:name w:val="Heading 4 Char"/>
    <w:basedOn w:val="DefaultParagraphFont"/>
    <w:link w:val="Heading4"/>
    <w:rsid w:val="00944D24"/>
    <w:rPr>
      <w:rFonts w:eastAsiaTheme="majorEastAsia" w:cstheme="majorBidi"/>
      <w:b/>
      <w:color w:val="540EAF" w:themeColor="accent5" w:themeShade="BF"/>
      <w:sz w:val="24"/>
      <w:szCs w:val="32"/>
      <w:lang w:val="en-AU"/>
    </w:rPr>
  </w:style>
  <w:style w:type="character" w:customStyle="1" w:styleId="Heading5Char">
    <w:name w:val="Heading 5 Char"/>
    <w:basedOn w:val="DefaultParagraphFont"/>
    <w:link w:val="Heading5"/>
    <w:rsid w:val="007B6612"/>
    <w:rPr>
      <w:rFonts w:ascii="Arial" w:hAnsi="Arial"/>
      <w:b/>
      <w:color w:val="0C233C" w:themeColor="accent2"/>
      <w:lang w:val="en-AU"/>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0E2370" w:themeColor="accent1" w:themeShade="7F"/>
    </w:rPr>
  </w:style>
  <w:style w:type="character" w:customStyle="1" w:styleId="Heading7Char">
    <w:name w:val="Heading 7 Char"/>
    <w:basedOn w:val="DefaultParagraphFont"/>
    <w:link w:val="Heading7"/>
    <w:uiPriority w:val="9"/>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FC693F"/>
    <w:rPr>
      <w:rFonts w:asciiTheme="majorHAnsi" w:eastAsiaTheme="majorEastAsia" w:hAnsiTheme="majorHAnsi" w:cstheme="majorBidi"/>
      <w:color w:val="1E49E2" w:themeColor="accent1"/>
      <w:sz w:val="20"/>
      <w:szCs w:val="20"/>
      <w:lang w:val="en-AU"/>
    </w:rPr>
  </w:style>
  <w:style w:type="character" w:customStyle="1" w:styleId="Heading9Char">
    <w:name w:val="Heading 9 Char"/>
    <w:basedOn w:val="DefaultParagraphFont"/>
    <w:link w:val="Heading9"/>
    <w:semiHidden/>
    <w:rsid w:val="00FC693F"/>
    <w:rPr>
      <w:rFonts w:asciiTheme="majorHAnsi" w:eastAsiaTheme="majorEastAsia" w:hAnsiTheme="majorHAnsi" w:cstheme="majorBidi"/>
      <w:i/>
      <w:iCs/>
      <w:color w:val="404040" w:themeColor="text1" w:themeTint="BF"/>
      <w:sz w:val="20"/>
      <w:szCs w:val="20"/>
      <w:lang w:val="en-AU"/>
    </w:rPr>
  </w:style>
  <w:style w:type="paragraph" w:styleId="Caption">
    <w:name w:val="caption"/>
    <w:basedOn w:val="Normal"/>
    <w:next w:val="Normal"/>
    <w:uiPriority w:val="35"/>
    <w:unhideWhenUsed/>
    <w:qFormat/>
    <w:rsid w:val="00E71FD5"/>
    <w:pPr>
      <w:spacing w:before="180" w:after="120"/>
    </w:pPr>
    <w:rPr>
      <w:b/>
      <w:bCs/>
      <w:color w:val="00338D" w:themeColor="text2"/>
      <w:sz w:val="18"/>
      <w:szCs w:val="18"/>
    </w:rPr>
  </w:style>
  <w:style w:type="character" w:styleId="Strong">
    <w:name w:val="Strong"/>
    <w:basedOn w:val="DefaultParagraphFont"/>
    <w:uiPriority w:val="22"/>
    <w:qFormat/>
    <w:rsid w:val="007B6612"/>
    <w:rPr>
      <w:b/>
      <w:bCs/>
      <w:color w:val="0C233C" w:themeColor="accent2"/>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1E49E2" w:themeColor="accent1"/>
      </w:pBdr>
      <w:spacing w:before="200" w:after="280"/>
      <w:ind w:left="936" w:right="936"/>
    </w:pPr>
    <w:rPr>
      <w:b/>
      <w:bCs/>
      <w:i/>
      <w:iCs/>
      <w:color w:val="1E49E2" w:themeColor="accent1"/>
    </w:rPr>
  </w:style>
  <w:style w:type="character" w:customStyle="1" w:styleId="IntenseQuoteChar">
    <w:name w:val="Intense Quote Char"/>
    <w:basedOn w:val="DefaultParagraphFont"/>
    <w:link w:val="IntenseQuote"/>
    <w:uiPriority w:val="30"/>
    <w:rsid w:val="00FC693F"/>
    <w:rPr>
      <w:b/>
      <w:bCs/>
      <w:i/>
      <w:iCs/>
      <w:color w:val="1E49E2"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105D31"/>
    <w:rPr>
      <w:b/>
      <w:bCs/>
      <w:i w:val="0"/>
      <w:iCs/>
      <w:color w:val="7213EA" w:themeColor="accent5"/>
      <w:sz w:val="22"/>
    </w:rPr>
  </w:style>
  <w:style w:type="character" w:styleId="SubtleReference">
    <w:name w:val="Subtle Reference"/>
    <w:basedOn w:val="DefaultParagraphFont"/>
    <w:uiPriority w:val="31"/>
    <w:qFormat/>
    <w:rsid w:val="00FC693F"/>
    <w:rPr>
      <w:smallCaps/>
      <w:color w:val="0C233C" w:themeColor="accent2"/>
      <w:u w:val="single"/>
    </w:rPr>
  </w:style>
  <w:style w:type="character" w:styleId="IntenseReference">
    <w:name w:val="Intense Reference"/>
    <w:basedOn w:val="DefaultParagraphFont"/>
    <w:uiPriority w:val="32"/>
    <w:qFormat/>
    <w:rsid w:val="00FC693F"/>
    <w:rPr>
      <w:b/>
      <w:bCs/>
      <w:smallCaps/>
      <w:color w:val="0C233C"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BF6D5A"/>
    <w:pPr>
      <w:spacing w:after="0" w:line="240" w:lineRule="auto"/>
    </w:pPr>
    <w:rPr>
      <w:sz w:val="20"/>
    </w:rPr>
    <w:tblPr>
      <w:tblBorders>
        <w:bottom w:val="single" w:sz="4" w:space="0" w:color="1E49E2" w:themeColor="accent1"/>
        <w:insideH w:val="dotted" w:sz="6" w:space="0" w:color="A6A6A6" w:themeColor="background1" w:themeShade="A6"/>
      </w:tblBorders>
    </w:tblPr>
    <w:tblStylePr w:type="firstRow">
      <w:rPr>
        <w:rFonts w:ascii="Arial" w:hAnsi="Arial"/>
        <w:color w:val="FFFFFF" w:themeColor="background1"/>
        <w:sz w:val="22"/>
      </w:rPr>
      <w:tblPr/>
      <w:tcPr>
        <w:tcBorders>
          <w:bottom w:val="single" w:sz="6" w:space="0" w:color="FFFFFF" w:themeColor="background1"/>
          <w:insideV w:val="single" w:sz="4" w:space="0" w:color="FFFFFF" w:themeColor="background1"/>
        </w:tcBorders>
        <w:shd w:val="clear" w:color="auto" w:fill="1E49E2" w:themeFill="accent1"/>
      </w:tcPr>
    </w:tblStylePr>
    <w:tblStylePr w:type="firstCol">
      <w:tblPr/>
      <w:tcPr>
        <w:shd w:val="clear" w:color="auto" w:fill="D9E8F7" w:themeFill="accent2" w:themeFillTint="1A"/>
      </w:tcPr>
    </w:tblStyle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1635A9" w:themeColor="accent1" w:themeShade="BF"/>
    </w:rPr>
    <w:tblPr>
      <w:tblStyleRowBandSize w:val="1"/>
      <w:tblStyleColBandSize w:val="1"/>
      <w:tblBorders>
        <w:top w:val="single" w:sz="8" w:space="0" w:color="1E49E2" w:themeColor="accent1"/>
        <w:bottom w:val="single" w:sz="8" w:space="0" w:color="1E49E2" w:themeColor="accent1"/>
      </w:tblBorders>
    </w:tblPr>
    <w:tblStylePr w:type="firstRow">
      <w:pPr>
        <w:spacing w:before="0" w:after="0" w:line="240" w:lineRule="auto"/>
      </w:pPr>
      <w:rPr>
        <w:b/>
        <w:bCs/>
      </w:rPr>
      <w:tblPr/>
      <w:tcPr>
        <w:tcBorders>
          <w:top w:val="single" w:sz="8" w:space="0" w:color="1E49E2" w:themeColor="accent1"/>
          <w:left w:val="nil"/>
          <w:bottom w:val="single" w:sz="8" w:space="0" w:color="1E49E2" w:themeColor="accent1"/>
          <w:right w:val="nil"/>
          <w:insideH w:val="nil"/>
          <w:insideV w:val="nil"/>
        </w:tcBorders>
      </w:tcPr>
    </w:tblStylePr>
    <w:tblStylePr w:type="lastRow">
      <w:pPr>
        <w:spacing w:before="0" w:after="0" w:line="240" w:lineRule="auto"/>
      </w:pPr>
      <w:rPr>
        <w:b/>
        <w:bCs/>
      </w:rPr>
      <w:tblPr/>
      <w:tcPr>
        <w:tcBorders>
          <w:top w:val="single" w:sz="8" w:space="0" w:color="1E49E2" w:themeColor="accent1"/>
          <w:left w:val="nil"/>
          <w:bottom w:val="single" w:sz="8" w:space="0" w:color="1E49E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D1F7" w:themeFill="accent1" w:themeFillTint="3F"/>
      </w:tcPr>
    </w:tblStylePr>
    <w:tblStylePr w:type="band1Horz">
      <w:tblPr/>
      <w:tcPr>
        <w:tcBorders>
          <w:left w:val="nil"/>
          <w:right w:val="nil"/>
          <w:insideH w:val="nil"/>
          <w:insideV w:val="nil"/>
        </w:tcBorders>
        <w:shd w:val="clear" w:color="auto" w:fill="C7D1F7" w:themeFill="accent1" w:themeFillTint="3F"/>
      </w:tcPr>
    </w:tblStylePr>
  </w:style>
  <w:style w:type="table" w:styleId="LightShading-Accent2">
    <w:name w:val="Light Shading Accent 2"/>
    <w:basedOn w:val="TableNormal"/>
    <w:uiPriority w:val="60"/>
    <w:rsid w:val="00FC693F"/>
    <w:pPr>
      <w:spacing w:after="0" w:line="240" w:lineRule="auto"/>
    </w:pPr>
    <w:rPr>
      <w:color w:val="091A2C" w:themeColor="accent2" w:themeShade="BF"/>
    </w:rPr>
    <w:tblPr>
      <w:tblStyleRowBandSize w:val="1"/>
      <w:tblStyleColBandSize w:val="1"/>
      <w:tblBorders>
        <w:top w:val="single" w:sz="8" w:space="0" w:color="0C233C" w:themeColor="accent2"/>
        <w:bottom w:val="single" w:sz="8" w:space="0" w:color="0C233C" w:themeColor="accent2"/>
      </w:tblBorders>
    </w:tblPr>
    <w:tblStylePr w:type="firstRow">
      <w:pPr>
        <w:spacing w:before="0" w:after="0" w:line="240" w:lineRule="auto"/>
      </w:pPr>
      <w:rPr>
        <w:b/>
        <w:bCs/>
      </w:rPr>
      <w:tblPr/>
      <w:tcPr>
        <w:tcBorders>
          <w:top w:val="single" w:sz="8" w:space="0" w:color="0C233C" w:themeColor="accent2"/>
          <w:left w:val="nil"/>
          <w:bottom w:val="single" w:sz="8" w:space="0" w:color="0C233C" w:themeColor="accent2"/>
          <w:right w:val="nil"/>
          <w:insideH w:val="nil"/>
          <w:insideV w:val="nil"/>
        </w:tcBorders>
      </w:tcPr>
    </w:tblStylePr>
    <w:tblStylePr w:type="lastRow">
      <w:pPr>
        <w:spacing w:before="0" w:after="0" w:line="240" w:lineRule="auto"/>
      </w:pPr>
      <w:rPr>
        <w:b/>
        <w:bCs/>
      </w:rPr>
      <w:tblPr/>
      <w:tcPr>
        <w:tcBorders>
          <w:top w:val="single" w:sz="8" w:space="0" w:color="0C233C" w:themeColor="accent2"/>
          <w:left w:val="nil"/>
          <w:bottom w:val="single" w:sz="8" w:space="0" w:color="0C23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4C7ED" w:themeFill="accent2" w:themeFillTint="3F"/>
      </w:tcPr>
    </w:tblStylePr>
    <w:tblStylePr w:type="band1Horz">
      <w:tblPr/>
      <w:tcPr>
        <w:tcBorders>
          <w:left w:val="nil"/>
          <w:right w:val="nil"/>
          <w:insideH w:val="nil"/>
          <w:insideV w:val="nil"/>
        </w:tcBorders>
        <w:shd w:val="clear" w:color="auto" w:fill="A4C7ED" w:themeFill="accent2" w:themeFillTint="3F"/>
      </w:tcPr>
    </w:tblStylePr>
  </w:style>
  <w:style w:type="table" w:styleId="LightShading-Accent3">
    <w:name w:val="Light Shading Accent 3"/>
    <w:basedOn w:val="TableNormal"/>
    <w:uiPriority w:val="60"/>
    <w:rsid w:val="00FC693F"/>
    <w:pPr>
      <w:spacing w:after="0" w:line="240" w:lineRule="auto"/>
    </w:pPr>
    <w:rPr>
      <w:color w:val="40CEFF" w:themeColor="accent3" w:themeShade="BF"/>
    </w:rPr>
    <w:tblPr>
      <w:tblStyleRowBandSize w:val="1"/>
      <w:tblStyleColBandSize w:val="1"/>
      <w:tblBorders>
        <w:top w:val="single" w:sz="8" w:space="0" w:color="ACEAFF" w:themeColor="accent3"/>
        <w:bottom w:val="single" w:sz="8" w:space="0" w:color="ACEAFF" w:themeColor="accent3"/>
      </w:tblBorders>
    </w:tblPr>
    <w:tblStylePr w:type="firstRow">
      <w:pPr>
        <w:spacing w:before="0" w:after="0" w:line="240" w:lineRule="auto"/>
      </w:pPr>
      <w:rPr>
        <w:b/>
        <w:bCs/>
      </w:rPr>
      <w:tblPr/>
      <w:tcPr>
        <w:tcBorders>
          <w:top w:val="single" w:sz="8" w:space="0" w:color="ACEAFF" w:themeColor="accent3"/>
          <w:left w:val="nil"/>
          <w:bottom w:val="single" w:sz="8" w:space="0" w:color="ACEAFF" w:themeColor="accent3"/>
          <w:right w:val="nil"/>
          <w:insideH w:val="nil"/>
          <w:insideV w:val="nil"/>
        </w:tcBorders>
      </w:tcPr>
    </w:tblStylePr>
    <w:tblStylePr w:type="lastRow">
      <w:pPr>
        <w:spacing w:before="0" w:after="0" w:line="240" w:lineRule="auto"/>
      </w:pPr>
      <w:rPr>
        <w:b/>
        <w:bCs/>
      </w:rPr>
      <w:tblPr/>
      <w:tcPr>
        <w:tcBorders>
          <w:top w:val="single" w:sz="8" w:space="0" w:color="ACEAFF" w:themeColor="accent3"/>
          <w:left w:val="nil"/>
          <w:bottom w:val="single" w:sz="8" w:space="0" w:color="ACEA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9FF" w:themeFill="accent3" w:themeFillTint="3F"/>
      </w:tcPr>
    </w:tblStylePr>
    <w:tblStylePr w:type="band1Horz">
      <w:tblPr/>
      <w:tcPr>
        <w:tcBorders>
          <w:left w:val="nil"/>
          <w:right w:val="nil"/>
          <w:insideH w:val="nil"/>
          <w:insideV w:val="nil"/>
        </w:tcBorders>
        <w:shd w:val="clear" w:color="auto" w:fill="EAF9FF" w:themeFill="accent3" w:themeFillTint="3F"/>
      </w:tcPr>
    </w:tblStylePr>
  </w:style>
  <w:style w:type="table" w:styleId="LightShading-Accent4">
    <w:name w:val="Light Shading Accent 4"/>
    <w:basedOn w:val="TableNormal"/>
    <w:uiPriority w:val="60"/>
    <w:rsid w:val="00FC693F"/>
    <w:pPr>
      <w:spacing w:after="0" w:line="240" w:lineRule="auto"/>
    </w:pPr>
    <w:rPr>
      <w:color w:val="0089B7" w:themeColor="accent4" w:themeShade="BF"/>
    </w:rPr>
    <w:tblPr>
      <w:tblStyleRowBandSize w:val="1"/>
      <w:tblStyleColBandSize w:val="1"/>
      <w:tblBorders>
        <w:top w:val="single" w:sz="8" w:space="0" w:color="00B8F5" w:themeColor="accent4"/>
        <w:bottom w:val="single" w:sz="8" w:space="0" w:color="00B8F5" w:themeColor="accent4"/>
      </w:tblBorders>
    </w:tblPr>
    <w:tblStylePr w:type="firstRow">
      <w:pPr>
        <w:spacing w:before="0" w:after="0" w:line="240" w:lineRule="auto"/>
      </w:pPr>
      <w:rPr>
        <w:b/>
        <w:bCs/>
      </w:rPr>
      <w:tblPr/>
      <w:tcPr>
        <w:tcBorders>
          <w:top w:val="single" w:sz="8" w:space="0" w:color="00B8F5" w:themeColor="accent4"/>
          <w:left w:val="nil"/>
          <w:bottom w:val="single" w:sz="8" w:space="0" w:color="00B8F5" w:themeColor="accent4"/>
          <w:right w:val="nil"/>
          <w:insideH w:val="nil"/>
          <w:insideV w:val="nil"/>
        </w:tcBorders>
      </w:tcPr>
    </w:tblStylePr>
    <w:tblStylePr w:type="lastRow">
      <w:pPr>
        <w:spacing w:before="0" w:after="0" w:line="240" w:lineRule="auto"/>
      </w:pPr>
      <w:rPr>
        <w:b/>
        <w:bCs/>
      </w:rPr>
      <w:tblPr/>
      <w:tcPr>
        <w:tcBorders>
          <w:top w:val="single" w:sz="8" w:space="0" w:color="00B8F5" w:themeColor="accent4"/>
          <w:left w:val="nil"/>
          <w:bottom w:val="single" w:sz="8" w:space="0" w:color="00B8F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EFF" w:themeFill="accent4" w:themeFillTint="3F"/>
      </w:tcPr>
    </w:tblStylePr>
    <w:tblStylePr w:type="band1Horz">
      <w:tblPr/>
      <w:tcPr>
        <w:tcBorders>
          <w:left w:val="nil"/>
          <w:right w:val="nil"/>
          <w:insideH w:val="nil"/>
          <w:insideV w:val="nil"/>
        </w:tcBorders>
        <w:shd w:val="clear" w:color="auto" w:fill="BDEEFF" w:themeFill="accent4" w:themeFillTint="3F"/>
      </w:tcPr>
    </w:tblStylePr>
  </w:style>
  <w:style w:type="table" w:styleId="LightShading-Accent5">
    <w:name w:val="Light Shading Accent 5"/>
    <w:basedOn w:val="TableNormal"/>
    <w:uiPriority w:val="60"/>
    <w:rsid w:val="00FC693F"/>
    <w:pPr>
      <w:spacing w:after="0" w:line="240" w:lineRule="auto"/>
    </w:pPr>
    <w:rPr>
      <w:color w:val="540EAF" w:themeColor="accent5" w:themeShade="BF"/>
    </w:rPr>
    <w:tblPr>
      <w:tblStyleRowBandSize w:val="1"/>
      <w:tblStyleColBandSize w:val="1"/>
      <w:tblBorders>
        <w:top w:val="single" w:sz="8" w:space="0" w:color="7213EA" w:themeColor="accent5"/>
        <w:bottom w:val="single" w:sz="8" w:space="0" w:color="7213EA" w:themeColor="accent5"/>
      </w:tblBorders>
    </w:tblPr>
    <w:tblStylePr w:type="firstRow">
      <w:pPr>
        <w:spacing w:before="0" w:after="0" w:line="240" w:lineRule="auto"/>
      </w:pPr>
      <w:rPr>
        <w:b/>
        <w:bCs/>
      </w:rPr>
      <w:tblPr/>
      <w:tcPr>
        <w:tcBorders>
          <w:top w:val="single" w:sz="8" w:space="0" w:color="7213EA" w:themeColor="accent5"/>
          <w:left w:val="nil"/>
          <w:bottom w:val="single" w:sz="8" w:space="0" w:color="7213EA" w:themeColor="accent5"/>
          <w:right w:val="nil"/>
          <w:insideH w:val="nil"/>
          <w:insideV w:val="nil"/>
        </w:tcBorders>
      </w:tcPr>
    </w:tblStylePr>
    <w:tblStylePr w:type="lastRow">
      <w:pPr>
        <w:spacing w:before="0" w:after="0" w:line="240" w:lineRule="auto"/>
      </w:pPr>
      <w:rPr>
        <w:b/>
        <w:bCs/>
      </w:rPr>
      <w:tblPr/>
      <w:tcPr>
        <w:tcBorders>
          <w:top w:val="single" w:sz="8" w:space="0" w:color="7213EA" w:themeColor="accent5"/>
          <w:left w:val="nil"/>
          <w:bottom w:val="single" w:sz="8" w:space="0" w:color="7213E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C4FA" w:themeFill="accent5" w:themeFillTint="3F"/>
      </w:tcPr>
    </w:tblStylePr>
    <w:tblStylePr w:type="band1Horz">
      <w:tblPr/>
      <w:tcPr>
        <w:tcBorders>
          <w:left w:val="nil"/>
          <w:right w:val="nil"/>
          <w:insideH w:val="nil"/>
          <w:insideV w:val="nil"/>
        </w:tcBorders>
        <w:shd w:val="clear" w:color="auto" w:fill="DBC4FA" w:themeFill="accent5" w:themeFillTint="3F"/>
      </w:tcPr>
    </w:tblStylePr>
  </w:style>
  <w:style w:type="table" w:styleId="LightShading-Accent6">
    <w:name w:val="Light Shading Accent 6"/>
    <w:basedOn w:val="TableNormal"/>
    <w:uiPriority w:val="60"/>
    <w:rsid w:val="00FC693F"/>
    <w:pPr>
      <w:spacing w:after="0" w:line="240" w:lineRule="auto"/>
    </w:pPr>
    <w:rPr>
      <w:color w:val="E20275" w:themeColor="accent6" w:themeShade="BF"/>
    </w:rPr>
    <w:tblPr>
      <w:tblStyleRowBandSize w:val="1"/>
      <w:tblStyleColBandSize w:val="1"/>
      <w:tblBorders>
        <w:top w:val="single" w:sz="8" w:space="0" w:color="FD349C" w:themeColor="accent6"/>
        <w:bottom w:val="single" w:sz="8" w:space="0" w:color="FD349C" w:themeColor="accent6"/>
      </w:tblBorders>
    </w:tblPr>
    <w:tblStylePr w:type="firstRow">
      <w:pPr>
        <w:spacing w:before="0" w:after="0" w:line="240" w:lineRule="auto"/>
      </w:pPr>
      <w:rPr>
        <w:b/>
        <w:bCs/>
      </w:rPr>
      <w:tblPr/>
      <w:tcPr>
        <w:tcBorders>
          <w:top w:val="single" w:sz="8" w:space="0" w:color="FD349C" w:themeColor="accent6"/>
          <w:left w:val="nil"/>
          <w:bottom w:val="single" w:sz="8" w:space="0" w:color="FD349C" w:themeColor="accent6"/>
          <w:right w:val="nil"/>
          <w:insideH w:val="nil"/>
          <w:insideV w:val="nil"/>
        </w:tcBorders>
      </w:tcPr>
    </w:tblStylePr>
    <w:tblStylePr w:type="lastRow">
      <w:pPr>
        <w:spacing w:before="0" w:after="0" w:line="240" w:lineRule="auto"/>
      </w:pPr>
      <w:rPr>
        <w:b/>
        <w:bCs/>
      </w:rPr>
      <w:tblPr/>
      <w:tcPr>
        <w:tcBorders>
          <w:top w:val="single" w:sz="8" w:space="0" w:color="FD349C" w:themeColor="accent6"/>
          <w:left w:val="nil"/>
          <w:bottom w:val="single" w:sz="8" w:space="0" w:color="FD349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CCE6" w:themeFill="accent6" w:themeFillTint="3F"/>
      </w:tcPr>
    </w:tblStylePr>
    <w:tblStylePr w:type="band1Horz">
      <w:tblPr/>
      <w:tcPr>
        <w:tcBorders>
          <w:left w:val="nil"/>
          <w:right w:val="nil"/>
          <w:insideH w:val="nil"/>
          <w:insideV w:val="nil"/>
        </w:tcBorders>
        <w:shd w:val="clear" w:color="auto" w:fill="FECCE6"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1E49E2" w:themeColor="accent1"/>
        <w:left w:val="single" w:sz="8" w:space="0" w:color="1E49E2" w:themeColor="accent1"/>
        <w:bottom w:val="single" w:sz="8" w:space="0" w:color="1E49E2" w:themeColor="accent1"/>
        <w:right w:val="single" w:sz="8" w:space="0" w:color="1E49E2" w:themeColor="accent1"/>
      </w:tblBorders>
    </w:tblPr>
    <w:tblStylePr w:type="firstRow">
      <w:pPr>
        <w:spacing w:before="0" w:after="0" w:line="240" w:lineRule="auto"/>
      </w:pPr>
      <w:rPr>
        <w:b/>
        <w:bCs/>
        <w:color w:val="FFFFFF" w:themeColor="background1"/>
      </w:rPr>
      <w:tblPr/>
      <w:tcPr>
        <w:shd w:val="clear" w:color="auto" w:fill="1E49E2" w:themeFill="accent1"/>
      </w:tcPr>
    </w:tblStylePr>
    <w:tblStylePr w:type="lastRow">
      <w:pPr>
        <w:spacing w:before="0" w:after="0" w:line="240" w:lineRule="auto"/>
      </w:pPr>
      <w:rPr>
        <w:b/>
        <w:bCs/>
      </w:rPr>
      <w:tblPr/>
      <w:tcPr>
        <w:tcBorders>
          <w:top w:val="double" w:sz="6" w:space="0" w:color="1E49E2" w:themeColor="accent1"/>
          <w:left w:val="single" w:sz="8" w:space="0" w:color="1E49E2" w:themeColor="accent1"/>
          <w:bottom w:val="single" w:sz="8" w:space="0" w:color="1E49E2" w:themeColor="accent1"/>
          <w:right w:val="single" w:sz="8" w:space="0" w:color="1E49E2" w:themeColor="accent1"/>
        </w:tcBorders>
      </w:tcPr>
    </w:tblStylePr>
    <w:tblStylePr w:type="firstCol">
      <w:rPr>
        <w:b/>
        <w:bCs/>
      </w:rPr>
    </w:tblStylePr>
    <w:tblStylePr w:type="lastCol">
      <w:rPr>
        <w:b/>
        <w:bCs/>
      </w:rPr>
    </w:tblStylePr>
    <w:tblStylePr w:type="band1Vert">
      <w:tblPr/>
      <w:tcPr>
        <w:tcBorders>
          <w:top w:val="single" w:sz="8" w:space="0" w:color="1E49E2" w:themeColor="accent1"/>
          <w:left w:val="single" w:sz="8" w:space="0" w:color="1E49E2" w:themeColor="accent1"/>
          <w:bottom w:val="single" w:sz="8" w:space="0" w:color="1E49E2" w:themeColor="accent1"/>
          <w:right w:val="single" w:sz="8" w:space="0" w:color="1E49E2" w:themeColor="accent1"/>
        </w:tcBorders>
      </w:tcPr>
    </w:tblStylePr>
    <w:tblStylePr w:type="band1Horz">
      <w:tblPr/>
      <w:tcPr>
        <w:tcBorders>
          <w:top w:val="single" w:sz="8" w:space="0" w:color="1E49E2" w:themeColor="accent1"/>
          <w:left w:val="single" w:sz="8" w:space="0" w:color="1E49E2" w:themeColor="accent1"/>
          <w:bottom w:val="single" w:sz="8" w:space="0" w:color="1E49E2" w:themeColor="accent1"/>
          <w:right w:val="single" w:sz="8" w:space="0" w:color="1E49E2"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0C233C" w:themeColor="accent2"/>
        <w:left w:val="single" w:sz="8" w:space="0" w:color="0C233C" w:themeColor="accent2"/>
        <w:bottom w:val="single" w:sz="8" w:space="0" w:color="0C233C" w:themeColor="accent2"/>
        <w:right w:val="single" w:sz="8" w:space="0" w:color="0C233C" w:themeColor="accent2"/>
      </w:tblBorders>
    </w:tblPr>
    <w:tblStylePr w:type="firstRow">
      <w:pPr>
        <w:spacing w:before="0" w:after="0" w:line="240" w:lineRule="auto"/>
      </w:pPr>
      <w:rPr>
        <w:b/>
        <w:bCs/>
        <w:color w:val="FFFFFF" w:themeColor="background1"/>
      </w:rPr>
      <w:tblPr/>
      <w:tcPr>
        <w:shd w:val="clear" w:color="auto" w:fill="0C233C" w:themeFill="accent2"/>
      </w:tcPr>
    </w:tblStylePr>
    <w:tblStylePr w:type="lastRow">
      <w:pPr>
        <w:spacing w:before="0" w:after="0" w:line="240" w:lineRule="auto"/>
      </w:pPr>
      <w:rPr>
        <w:b/>
        <w:bCs/>
      </w:rPr>
      <w:tblPr/>
      <w:tcPr>
        <w:tcBorders>
          <w:top w:val="double" w:sz="6" w:space="0" w:color="0C233C" w:themeColor="accent2"/>
          <w:left w:val="single" w:sz="8" w:space="0" w:color="0C233C" w:themeColor="accent2"/>
          <w:bottom w:val="single" w:sz="8" w:space="0" w:color="0C233C" w:themeColor="accent2"/>
          <w:right w:val="single" w:sz="8" w:space="0" w:color="0C233C" w:themeColor="accent2"/>
        </w:tcBorders>
      </w:tcPr>
    </w:tblStylePr>
    <w:tblStylePr w:type="firstCol">
      <w:rPr>
        <w:b/>
        <w:bCs/>
      </w:rPr>
    </w:tblStylePr>
    <w:tblStylePr w:type="lastCol">
      <w:rPr>
        <w:b/>
        <w:bCs/>
      </w:rPr>
    </w:tblStylePr>
    <w:tblStylePr w:type="band1Vert">
      <w:tblPr/>
      <w:tcPr>
        <w:tcBorders>
          <w:top w:val="single" w:sz="8" w:space="0" w:color="0C233C" w:themeColor="accent2"/>
          <w:left w:val="single" w:sz="8" w:space="0" w:color="0C233C" w:themeColor="accent2"/>
          <w:bottom w:val="single" w:sz="8" w:space="0" w:color="0C233C" w:themeColor="accent2"/>
          <w:right w:val="single" w:sz="8" w:space="0" w:color="0C233C" w:themeColor="accent2"/>
        </w:tcBorders>
      </w:tcPr>
    </w:tblStylePr>
    <w:tblStylePr w:type="band1Horz">
      <w:tblPr/>
      <w:tcPr>
        <w:tcBorders>
          <w:top w:val="single" w:sz="8" w:space="0" w:color="0C233C" w:themeColor="accent2"/>
          <w:left w:val="single" w:sz="8" w:space="0" w:color="0C233C" w:themeColor="accent2"/>
          <w:bottom w:val="single" w:sz="8" w:space="0" w:color="0C233C" w:themeColor="accent2"/>
          <w:right w:val="single" w:sz="8" w:space="0" w:color="0C233C"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ACEAFF" w:themeColor="accent3"/>
        <w:left w:val="single" w:sz="8" w:space="0" w:color="ACEAFF" w:themeColor="accent3"/>
        <w:bottom w:val="single" w:sz="8" w:space="0" w:color="ACEAFF" w:themeColor="accent3"/>
        <w:right w:val="single" w:sz="8" w:space="0" w:color="ACEAFF" w:themeColor="accent3"/>
      </w:tblBorders>
    </w:tblPr>
    <w:tblStylePr w:type="firstRow">
      <w:pPr>
        <w:spacing w:before="0" w:after="0" w:line="240" w:lineRule="auto"/>
      </w:pPr>
      <w:rPr>
        <w:b/>
        <w:bCs/>
        <w:color w:val="FFFFFF" w:themeColor="background1"/>
      </w:rPr>
      <w:tblPr/>
      <w:tcPr>
        <w:shd w:val="clear" w:color="auto" w:fill="ACEAFF" w:themeFill="accent3"/>
      </w:tcPr>
    </w:tblStylePr>
    <w:tblStylePr w:type="lastRow">
      <w:pPr>
        <w:spacing w:before="0" w:after="0" w:line="240" w:lineRule="auto"/>
      </w:pPr>
      <w:rPr>
        <w:b/>
        <w:bCs/>
      </w:rPr>
      <w:tblPr/>
      <w:tcPr>
        <w:tcBorders>
          <w:top w:val="double" w:sz="6" w:space="0" w:color="ACEAFF" w:themeColor="accent3"/>
          <w:left w:val="single" w:sz="8" w:space="0" w:color="ACEAFF" w:themeColor="accent3"/>
          <w:bottom w:val="single" w:sz="8" w:space="0" w:color="ACEAFF" w:themeColor="accent3"/>
          <w:right w:val="single" w:sz="8" w:space="0" w:color="ACEAFF" w:themeColor="accent3"/>
        </w:tcBorders>
      </w:tcPr>
    </w:tblStylePr>
    <w:tblStylePr w:type="firstCol">
      <w:rPr>
        <w:b/>
        <w:bCs/>
      </w:rPr>
    </w:tblStylePr>
    <w:tblStylePr w:type="lastCol">
      <w:rPr>
        <w:b/>
        <w:bCs/>
      </w:rPr>
    </w:tblStylePr>
    <w:tblStylePr w:type="band1Vert">
      <w:tblPr/>
      <w:tcPr>
        <w:tcBorders>
          <w:top w:val="single" w:sz="8" w:space="0" w:color="ACEAFF" w:themeColor="accent3"/>
          <w:left w:val="single" w:sz="8" w:space="0" w:color="ACEAFF" w:themeColor="accent3"/>
          <w:bottom w:val="single" w:sz="8" w:space="0" w:color="ACEAFF" w:themeColor="accent3"/>
          <w:right w:val="single" w:sz="8" w:space="0" w:color="ACEAFF" w:themeColor="accent3"/>
        </w:tcBorders>
      </w:tcPr>
    </w:tblStylePr>
    <w:tblStylePr w:type="band1Horz">
      <w:tblPr/>
      <w:tcPr>
        <w:tcBorders>
          <w:top w:val="single" w:sz="8" w:space="0" w:color="ACEAFF" w:themeColor="accent3"/>
          <w:left w:val="single" w:sz="8" w:space="0" w:color="ACEAFF" w:themeColor="accent3"/>
          <w:bottom w:val="single" w:sz="8" w:space="0" w:color="ACEAFF" w:themeColor="accent3"/>
          <w:right w:val="single" w:sz="8" w:space="0" w:color="ACEAFF"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00B8F5" w:themeColor="accent4"/>
        <w:left w:val="single" w:sz="8" w:space="0" w:color="00B8F5" w:themeColor="accent4"/>
        <w:bottom w:val="single" w:sz="8" w:space="0" w:color="00B8F5" w:themeColor="accent4"/>
        <w:right w:val="single" w:sz="8" w:space="0" w:color="00B8F5" w:themeColor="accent4"/>
      </w:tblBorders>
    </w:tblPr>
    <w:tblStylePr w:type="firstRow">
      <w:pPr>
        <w:spacing w:before="0" w:after="0" w:line="240" w:lineRule="auto"/>
      </w:pPr>
      <w:rPr>
        <w:b/>
        <w:bCs/>
        <w:color w:val="FFFFFF" w:themeColor="background1"/>
      </w:rPr>
      <w:tblPr/>
      <w:tcPr>
        <w:shd w:val="clear" w:color="auto" w:fill="00B8F5" w:themeFill="accent4"/>
      </w:tcPr>
    </w:tblStylePr>
    <w:tblStylePr w:type="lastRow">
      <w:pPr>
        <w:spacing w:before="0" w:after="0" w:line="240" w:lineRule="auto"/>
      </w:pPr>
      <w:rPr>
        <w:b/>
        <w:bCs/>
      </w:rPr>
      <w:tblPr/>
      <w:tcPr>
        <w:tcBorders>
          <w:top w:val="double" w:sz="6" w:space="0" w:color="00B8F5" w:themeColor="accent4"/>
          <w:left w:val="single" w:sz="8" w:space="0" w:color="00B8F5" w:themeColor="accent4"/>
          <w:bottom w:val="single" w:sz="8" w:space="0" w:color="00B8F5" w:themeColor="accent4"/>
          <w:right w:val="single" w:sz="8" w:space="0" w:color="00B8F5" w:themeColor="accent4"/>
        </w:tcBorders>
      </w:tcPr>
    </w:tblStylePr>
    <w:tblStylePr w:type="firstCol">
      <w:rPr>
        <w:b/>
        <w:bCs/>
      </w:rPr>
    </w:tblStylePr>
    <w:tblStylePr w:type="lastCol">
      <w:rPr>
        <w:b/>
        <w:bCs/>
      </w:rPr>
    </w:tblStylePr>
    <w:tblStylePr w:type="band1Vert">
      <w:tblPr/>
      <w:tcPr>
        <w:tcBorders>
          <w:top w:val="single" w:sz="8" w:space="0" w:color="00B8F5" w:themeColor="accent4"/>
          <w:left w:val="single" w:sz="8" w:space="0" w:color="00B8F5" w:themeColor="accent4"/>
          <w:bottom w:val="single" w:sz="8" w:space="0" w:color="00B8F5" w:themeColor="accent4"/>
          <w:right w:val="single" w:sz="8" w:space="0" w:color="00B8F5" w:themeColor="accent4"/>
        </w:tcBorders>
      </w:tcPr>
    </w:tblStylePr>
    <w:tblStylePr w:type="band1Horz">
      <w:tblPr/>
      <w:tcPr>
        <w:tcBorders>
          <w:top w:val="single" w:sz="8" w:space="0" w:color="00B8F5" w:themeColor="accent4"/>
          <w:left w:val="single" w:sz="8" w:space="0" w:color="00B8F5" w:themeColor="accent4"/>
          <w:bottom w:val="single" w:sz="8" w:space="0" w:color="00B8F5" w:themeColor="accent4"/>
          <w:right w:val="single" w:sz="8" w:space="0" w:color="00B8F5"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7213EA" w:themeColor="accent5"/>
        <w:left w:val="single" w:sz="8" w:space="0" w:color="7213EA" w:themeColor="accent5"/>
        <w:bottom w:val="single" w:sz="8" w:space="0" w:color="7213EA" w:themeColor="accent5"/>
        <w:right w:val="single" w:sz="8" w:space="0" w:color="7213EA" w:themeColor="accent5"/>
      </w:tblBorders>
    </w:tblPr>
    <w:tblStylePr w:type="firstRow">
      <w:pPr>
        <w:spacing w:before="0" w:after="0" w:line="240" w:lineRule="auto"/>
      </w:pPr>
      <w:rPr>
        <w:b/>
        <w:bCs/>
        <w:color w:val="FFFFFF" w:themeColor="background1"/>
      </w:rPr>
      <w:tblPr/>
      <w:tcPr>
        <w:shd w:val="clear" w:color="auto" w:fill="7213EA" w:themeFill="accent5"/>
      </w:tcPr>
    </w:tblStylePr>
    <w:tblStylePr w:type="lastRow">
      <w:pPr>
        <w:spacing w:before="0" w:after="0" w:line="240" w:lineRule="auto"/>
      </w:pPr>
      <w:rPr>
        <w:b/>
        <w:bCs/>
      </w:rPr>
      <w:tblPr/>
      <w:tcPr>
        <w:tcBorders>
          <w:top w:val="double" w:sz="6" w:space="0" w:color="7213EA" w:themeColor="accent5"/>
          <w:left w:val="single" w:sz="8" w:space="0" w:color="7213EA" w:themeColor="accent5"/>
          <w:bottom w:val="single" w:sz="8" w:space="0" w:color="7213EA" w:themeColor="accent5"/>
          <w:right w:val="single" w:sz="8" w:space="0" w:color="7213EA" w:themeColor="accent5"/>
        </w:tcBorders>
      </w:tcPr>
    </w:tblStylePr>
    <w:tblStylePr w:type="firstCol">
      <w:rPr>
        <w:b/>
        <w:bCs/>
      </w:rPr>
    </w:tblStylePr>
    <w:tblStylePr w:type="lastCol">
      <w:rPr>
        <w:b/>
        <w:bCs/>
      </w:rPr>
    </w:tblStylePr>
    <w:tblStylePr w:type="band1Vert">
      <w:tblPr/>
      <w:tcPr>
        <w:tcBorders>
          <w:top w:val="single" w:sz="8" w:space="0" w:color="7213EA" w:themeColor="accent5"/>
          <w:left w:val="single" w:sz="8" w:space="0" w:color="7213EA" w:themeColor="accent5"/>
          <w:bottom w:val="single" w:sz="8" w:space="0" w:color="7213EA" w:themeColor="accent5"/>
          <w:right w:val="single" w:sz="8" w:space="0" w:color="7213EA" w:themeColor="accent5"/>
        </w:tcBorders>
      </w:tcPr>
    </w:tblStylePr>
    <w:tblStylePr w:type="band1Horz">
      <w:tblPr/>
      <w:tcPr>
        <w:tcBorders>
          <w:top w:val="single" w:sz="8" w:space="0" w:color="7213EA" w:themeColor="accent5"/>
          <w:left w:val="single" w:sz="8" w:space="0" w:color="7213EA" w:themeColor="accent5"/>
          <w:bottom w:val="single" w:sz="8" w:space="0" w:color="7213EA" w:themeColor="accent5"/>
          <w:right w:val="single" w:sz="8" w:space="0" w:color="7213EA"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D349C" w:themeColor="accent6"/>
        <w:left w:val="single" w:sz="8" w:space="0" w:color="FD349C" w:themeColor="accent6"/>
        <w:bottom w:val="single" w:sz="8" w:space="0" w:color="FD349C" w:themeColor="accent6"/>
        <w:right w:val="single" w:sz="8" w:space="0" w:color="FD349C" w:themeColor="accent6"/>
      </w:tblBorders>
    </w:tblPr>
    <w:tblStylePr w:type="firstRow">
      <w:pPr>
        <w:spacing w:before="0" w:after="0" w:line="240" w:lineRule="auto"/>
      </w:pPr>
      <w:rPr>
        <w:b/>
        <w:bCs/>
        <w:color w:val="FFFFFF" w:themeColor="background1"/>
      </w:rPr>
      <w:tblPr/>
      <w:tcPr>
        <w:shd w:val="clear" w:color="auto" w:fill="FD349C" w:themeFill="accent6"/>
      </w:tcPr>
    </w:tblStylePr>
    <w:tblStylePr w:type="lastRow">
      <w:pPr>
        <w:spacing w:before="0" w:after="0" w:line="240" w:lineRule="auto"/>
      </w:pPr>
      <w:rPr>
        <w:b/>
        <w:bCs/>
      </w:rPr>
      <w:tblPr/>
      <w:tcPr>
        <w:tcBorders>
          <w:top w:val="double" w:sz="6" w:space="0" w:color="FD349C" w:themeColor="accent6"/>
          <w:left w:val="single" w:sz="8" w:space="0" w:color="FD349C" w:themeColor="accent6"/>
          <w:bottom w:val="single" w:sz="8" w:space="0" w:color="FD349C" w:themeColor="accent6"/>
          <w:right w:val="single" w:sz="8" w:space="0" w:color="FD349C" w:themeColor="accent6"/>
        </w:tcBorders>
      </w:tcPr>
    </w:tblStylePr>
    <w:tblStylePr w:type="firstCol">
      <w:rPr>
        <w:b/>
        <w:bCs/>
      </w:rPr>
    </w:tblStylePr>
    <w:tblStylePr w:type="lastCol">
      <w:rPr>
        <w:b/>
        <w:bCs/>
      </w:rPr>
    </w:tblStylePr>
    <w:tblStylePr w:type="band1Vert">
      <w:tblPr/>
      <w:tcPr>
        <w:tcBorders>
          <w:top w:val="single" w:sz="8" w:space="0" w:color="FD349C" w:themeColor="accent6"/>
          <w:left w:val="single" w:sz="8" w:space="0" w:color="FD349C" w:themeColor="accent6"/>
          <w:bottom w:val="single" w:sz="8" w:space="0" w:color="FD349C" w:themeColor="accent6"/>
          <w:right w:val="single" w:sz="8" w:space="0" w:color="FD349C" w:themeColor="accent6"/>
        </w:tcBorders>
      </w:tcPr>
    </w:tblStylePr>
    <w:tblStylePr w:type="band1Horz">
      <w:tblPr/>
      <w:tcPr>
        <w:tcBorders>
          <w:top w:val="single" w:sz="8" w:space="0" w:color="FD349C" w:themeColor="accent6"/>
          <w:left w:val="single" w:sz="8" w:space="0" w:color="FD349C" w:themeColor="accent6"/>
          <w:bottom w:val="single" w:sz="8" w:space="0" w:color="FD349C" w:themeColor="accent6"/>
          <w:right w:val="single" w:sz="8" w:space="0" w:color="FD349C"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1E49E2" w:themeColor="accent1"/>
        <w:left w:val="single" w:sz="8" w:space="0" w:color="1E49E2" w:themeColor="accent1"/>
        <w:bottom w:val="single" w:sz="8" w:space="0" w:color="1E49E2" w:themeColor="accent1"/>
        <w:right w:val="single" w:sz="8" w:space="0" w:color="1E49E2" w:themeColor="accent1"/>
        <w:insideH w:val="single" w:sz="8" w:space="0" w:color="1E49E2" w:themeColor="accent1"/>
        <w:insideV w:val="single" w:sz="8" w:space="0" w:color="1E49E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E49E2" w:themeColor="accent1"/>
          <w:left w:val="single" w:sz="8" w:space="0" w:color="1E49E2" w:themeColor="accent1"/>
          <w:bottom w:val="single" w:sz="18" w:space="0" w:color="1E49E2" w:themeColor="accent1"/>
          <w:right w:val="single" w:sz="8" w:space="0" w:color="1E49E2" w:themeColor="accent1"/>
          <w:insideH w:val="nil"/>
          <w:insideV w:val="single" w:sz="8" w:space="0" w:color="1E49E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E49E2" w:themeColor="accent1"/>
          <w:left w:val="single" w:sz="8" w:space="0" w:color="1E49E2" w:themeColor="accent1"/>
          <w:bottom w:val="single" w:sz="8" w:space="0" w:color="1E49E2" w:themeColor="accent1"/>
          <w:right w:val="single" w:sz="8" w:space="0" w:color="1E49E2" w:themeColor="accent1"/>
          <w:insideH w:val="nil"/>
          <w:insideV w:val="single" w:sz="8" w:space="0" w:color="1E49E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E49E2" w:themeColor="accent1"/>
          <w:left w:val="single" w:sz="8" w:space="0" w:color="1E49E2" w:themeColor="accent1"/>
          <w:bottom w:val="single" w:sz="8" w:space="0" w:color="1E49E2" w:themeColor="accent1"/>
          <w:right w:val="single" w:sz="8" w:space="0" w:color="1E49E2" w:themeColor="accent1"/>
        </w:tcBorders>
      </w:tcPr>
    </w:tblStylePr>
    <w:tblStylePr w:type="band1Vert">
      <w:tblPr/>
      <w:tcPr>
        <w:tcBorders>
          <w:top w:val="single" w:sz="8" w:space="0" w:color="1E49E2" w:themeColor="accent1"/>
          <w:left w:val="single" w:sz="8" w:space="0" w:color="1E49E2" w:themeColor="accent1"/>
          <w:bottom w:val="single" w:sz="8" w:space="0" w:color="1E49E2" w:themeColor="accent1"/>
          <w:right w:val="single" w:sz="8" w:space="0" w:color="1E49E2" w:themeColor="accent1"/>
        </w:tcBorders>
        <w:shd w:val="clear" w:color="auto" w:fill="C7D1F7" w:themeFill="accent1" w:themeFillTint="3F"/>
      </w:tcPr>
    </w:tblStylePr>
    <w:tblStylePr w:type="band1Horz">
      <w:tblPr/>
      <w:tcPr>
        <w:tcBorders>
          <w:top w:val="single" w:sz="8" w:space="0" w:color="1E49E2" w:themeColor="accent1"/>
          <w:left w:val="single" w:sz="8" w:space="0" w:color="1E49E2" w:themeColor="accent1"/>
          <w:bottom w:val="single" w:sz="8" w:space="0" w:color="1E49E2" w:themeColor="accent1"/>
          <w:right w:val="single" w:sz="8" w:space="0" w:color="1E49E2" w:themeColor="accent1"/>
          <w:insideV w:val="single" w:sz="8" w:space="0" w:color="1E49E2" w:themeColor="accent1"/>
        </w:tcBorders>
        <w:shd w:val="clear" w:color="auto" w:fill="C7D1F7" w:themeFill="accent1" w:themeFillTint="3F"/>
      </w:tcPr>
    </w:tblStylePr>
    <w:tblStylePr w:type="band2Horz">
      <w:tblPr/>
      <w:tcPr>
        <w:tcBorders>
          <w:top w:val="single" w:sz="8" w:space="0" w:color="1E49E2" w:themeColor="accent1"/>
          <w:left w:val="single" w:sz="8" w:space="0" w:color="1E49E2" w:themeColor="accent1"/>
          <w:bottom w:val="single" w:sz="8" w:space="0" w:color="1E49E2" w:themeColor="accent1"/>
          <w:right w:val="single" w:sz="8" w:space="0" w:color="1E49E2" w:themeColor="accent1"/>
          <w:insideV w:val="single" w:sz="8" w:space="0" w:color="1E49E2"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0C233C" w:themeColor="accent2"/>
        <w:left w:val="single" w:sz="8" w:space="0" w:color="0C233C" w:themeColor="accent2"/>
        <w:bottom w:val="single" w:sz="8" w:space="0" w:color="0C233C" w:themeColor="accent2"/>
        <w:right w:val="single" w:sz="8" w:space="0" w:color="0C233C" w:themeColor="accent2"/>
        <w:insideH w:val="single" w:sz="8" w:space="0" w:color="0C233C" w:themeColor="accent2"/>
        <w:insideV w:val="single" w:sz="8" w:space="0" w:color="0C23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C233C" w:themeColor="accent2"/>
          <w:left w:val="single" w:sz="8" w:space="0" w:color="0C233C" w:themeColor="accent2"/>
          <w:bottom w:val="single" w:sz="18" w:space="0" w:color="0C233C" w:themeColor="accent2"/>
          <w:right w:val="single" w:sz="8" w:space="0" w:color="0C233C" w:themeColor="accent2"/>
          <w:insideH w:val="nil"/>
          <w:insideV w:val="single" w:sz="8" w:space="0" w:color="0C23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C233C" w:themeColor="accent2"/>
          <w:left w:val="single" w:sz="8" w:space="0" w:color="0C233C" w:themeColor="accent2"/>
          <w:bottom w:val="single" w:sz="8" w:space="0" w:color="0C233C" w:themeColor="accent2"/>
          <w:right w:val="single" w:sz="8" w:space="0" w:color="0C233C" w:themeColor="accent2"/>
          <w:insideH w:val="nil"/>
          <w:insideV w:val="single" w:sz="8" w:space="0" w:color="0C23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C233C" w:themeColor="accent2"/>
          <w:left w:val="single" w:sz="8" w:space="0" w:color="0C233C" w:themeColor="accent2"/>
          <w:bottom w:val="single" w:sz="8" w:space="0" w:color="0C233C" w:themeColor="accent2"/>
          <w:right w:val="single" w:sz="8" w:space="0" w:color="0C233C" w:themeColor="accent2"/>
        </w:tcBorders>
      </w:tcPr>
    </w:tblStylePr>
    <w:tblStylePr w:type="band1Vert">
      <w:tblPr/>
      <w:tcPr>
        <w:tcBorders>
          <w:top w:val="single" w:sz="8" w:space="0" w:color="0C233C" w:themeColor="accent2"/>
          <w:left w:val="single" w:sz="8" w:space="0" w:color="0C233C" w:themeColor="accent2"/>
          <w:bottom w:val="single" w:sz="8" w:space="0" w:color="0C233C" w:themeColor="accent2"/>
          <w:right w:val="single" w:sz="8" w:space="0" w:color="0C233C" w:themeColor="accent2"/>
        </w:tcBorders>
        <w:shd w:val="clear" w:color="auto" w:fill="A4C7ED" w:themeFill="accent2" w:themeFillTint="3F"/>
      </w:tcPr>
    </w:tblStylePr>
    <w:tblStylePr w:type="band1Horz">
      <w:tblPr/>
      <w:tcPr>
        <w:tcBorders>
          <w:top w:val="single" w:sz="8" w:space="0" w:color="0C233C" w:themeColor="accent2"/>
          <w:left w:val="single" w:sz="8" w:space="0" w:color="0C233C" w:themeColor="accent2"/>
          <w:bottom w:val="single" w:sz="8" w:space="0" w:color="0C233C" w:themeColor="accent2"/>
          <w:right w:val="single" w:sz="8" w:space="0" w:color="0C233C" w:themeColor="accent2"/>
          <w:insideV w:val="single" w:sz="8" w:space="0" w:color="0C233C" w:themeColor="accent2"/>
        </w:tcBorders>
        <w:shd w:val="clear" w:color="auto" w:fill="A4C7ED" w:themeFill="accent2" w:themeFillTint="3F"/>
      </w:tcPr>
    </w:tblStylePr>
    <w:tblStylePr w:type="band2Horz">
      <w:tblPr/>
      <w:tcPr>
        <w:tcBorders>
          <w:top w:val="single" w:sz="8" w:space="0" w:color="0C233C" w:themeColor="accent2"/>
          <w:left w:val="single" w:sz="8" w:space="0" w:color="0C233C" w:themeColor="accent2"/>
          <w:bottom w:val="single" w:sz="8" w:space="0" w:color="0C233C" w:themeColor="accent2"/>
          <w:right w:val="single" w:sz="8" w:space="0" w:color="0C233C" w:themeColor="accent2"/>
          <w:insideV w:val="single" w:sz="8" w:space="0" w:color="0C233C"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ACEAFF" w:themeColor="accent3"/>
        <w:left w:val="single" w:sz="8" w:space="0" w:color="ACEAFF" w:themeColor="accent3"/>
        <w:bottom w:val="single" w:sz="8" w:space="0" w:color="ACEAFF" w:themeColor="accent3"/>
        <w:right w:val="single" w:sz="8" w:space="0" w:color="ACEAFF" w:themeColor="accent3"/>
        <w:insideH w:val="single" w:sz="8" w:space="0" w:color="ACEAFF" w:themeColor="accent3"/>
        <w:insideV w:val="single" w:sz="8" w:space="0" w:color="ACEA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CEAFF" w:themeColor="accent3"/>
          <w:left w:val="single" w:sz="8" w:space="0" w:color="ACEAFF" w:themeColor="accent3"/>
          <w:bottom w:val="single" w:sz="18" w:space="0" w:color="ACEAFF" w:themeColor="accent3"/>
          <w:right w:val="single" w:sz="8" w:space="0" w:color="ACEAFF" w:themeColor="accent3"/>
          <w:insideH w:val="nil"/>
          <w:insideV w:val="single" w:sz="8" w:space="0" w:color="ACEA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CEAFF" w:themeColor="accent3"/>
          <w:left w:val="single" w:sz="8" w:space="0" w:color="ACEAFF" w:themeColor="accent3"/>
          <w:bottom w:val="single" w:sz="8" w:space="0" w:color="ACEAFF" w:themeColor="accent3"/>
          <w:right w:val="single" w:sz="8" w:space="0" w:color="ACEAFF" w:themeColor="accent3"/>
          <w:insideH w:val="nil"/>
          <w:insideV w:val="single" w:sz="8" w:space="0" w:color="ACEA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CEAFF" w:themeColor="accent3"/>
          <w:left w:val="single" w:sz="8" w:space="0" w:color="ACEAFF" w:themeColor="accent3"/>
          <w:bottom w:val="single" w:sz="8" w:space="0" w:color="ACEAFF" w:themeColor="accent3"/>
          <w:right w:val="single" w:sz="8" w:space="0" w:color="ACEAFF" w:themeColor="accent3"/>
        </w:tcBorders>
      </w:tcPr>
    </w:tblStylePr>
    <w:tblStylePr w:type="band1Vert">
      <w:tblPr/>
      <w:tcPr>
        <w:tcBorders>
          <w:top w:val="single" w:sz="8" w:space="0" w:color="ACEAFF" w:themeColor="accent3"/>
          <w:left w:val="single" w:sz="8" w:space="0" w:color="ACEAFF" w:themeColor="accent3"/>
          <w:bottom w:val="single" w:sz="8" w:space="0" w:color="ACEAFF" w:themeColor="accent3"/>
          <w:right w:val="single" w:sz="8" w:space="0" w:color="ACEAFF" w:themeColor="accent3"/>
        </w:tcBorders>
        <w:shd w:val="clear" w:color="auto" w:fill="EAF9FF" w:themeFill="accent3" w:themeFillTint="3F"/>
      </w:tcPr>
    </w:tblStylePr>
    <w:tblStylePr w:type="band1Horz">
      <w:tblPr/>
      <w:tcPr>
        <w:tcBorders>
          <w:top w:val="single" w:sz="8" w:space="0" w:color="ACEAFF" w:themeColor="accent3"/>
          <w:left w:val="single" w:sz="8" w:space="0" w:color="ACEAFF" w:themeColor="accent3"/>
          <w:bottom w:val="single" w:sz="8" w:space="0" w:color="ACEAFF" w:themeColor="accent3"/>
          <w:right w:val="single" w:sz="8" w:space="0" w:color="ACEAFF" w:themeColor="accent3"/>
          <w:insideV w:val="single" w:sz="8" w:space="0" w:color="ACEAFF" w:themeColor="accent3"/>
        </w:tcBorders>
        <w:shd w:val="clear" w:color="auto" w:fill="EAF9FF" w:themeFill="accent3" w:themeFillTint="3F"/>
      </w:tcPr>
    </w:tblStylePr>
    <w:tblStylePr w:type="band2Horz">
      <w:tblPr/>
      <w:tcPr>
        <w:tcBorders>
          <w:top w:val="single" w:sz="8" w:space="0" w:color="ACEAFF" w:themeColor="accent3"/>
          <w:left w:val="single" w:sz="8" w:space="0" w:color="ACEAFF" w:themeColor="accent3"/>
          <w:bottom w:val="single" w:sz="8" w:space="0" w:color="ACEAFF" w:themeColor="accent3"/>
          <w:right w:val="single" w:sz="8" w:space="0" w:color="ACEAFF" w:themeColor="accent3"/>
          <w:insideV w:val="single" w:sz="8" w:space="0" w:color="ACEAFF"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00B8F5" w:themeColor="accent4"/>
        <w:left w:val="single" w:sz="8" w:space="0" w:color="00B8F5" w:themeColor="accent4"/>
        <w:bottom w:val="single" w:sz="8" w:space="0" w:color="00B8F5" w:themeColor="accent4"/>
        <w:right w:val="single" w:sz="8" w:space="0" w:color="00B8F5" w:themeColor="accent4"/>
        <w:insideH w:val="single" w:sz="8" w:space="0" w:color="00B8F5" w:themeColor="accent4"/>
        <w:insideV w:val="single" w:sz="8" w:space="0" w:color="00B8F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8F5" w:themeColor="accent4"/>
          <w:left w:val="single" w:sz="8" w:space="0" w:color="00B8F5" w:themeColor="accent4"/>
          <w:bottom w:val="single" w:sz="18" w:space="0" w:color="00B8F5" w:themeColor="accent4"/>
          <w:right w:val="single" w:sz="8" w:space="0" w:color="00B8F5" w:themeColor="accent4"/>
          <w:insideH w:val="nil"/>
          <w:insideV w:val="single" w:sz="8" w:space="0" w:color="00B8F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8F5" w:themeColor="accent4"/>
          <w:left w:val="single" w:sz="8" w:space="0" w:color="00B8F5" w:themeColor="accent4"/>
          <w:bottom w:val="single" w:sz="8" w:space="0" w:color="00B8F5" w:themeColor="accent4"/>
          <w:right w:val="single" w:sz="8" w:space="0" w:color="00B8F5" w:themeColor="accent4"/>
          <w:insideH w:val="nil"/>
          <w:insideV w:val="single" w:sz="8" w:space="0" w:color="00B8F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8F5" w:themeColor="accent4"/>
          <w:left w:val="single" w:sz="8" w:space="0" w:color="00B8F5" w:themeColor="accent4"/>
          <w:bottom w:val="single" w:sz="8" w:space="0" w:color="00B8F5" w:themeColor="accent4"/>
          <w:right w:val="single" w:sz="8" w:space="0" w:color="00B8F5" w:themeColor="accent4"/>
        </w:tcBorders>
      </w:tcPr>
    </w:tblStylePr>
    <w:tblStylePr w:type="band1Vert">
      <w:tblPr/>
      <w:tcPr>
        <w:tcBorders>
          <w:top w:val="single" w:sz="8" w:space="0" w:color="00B8F5" w:themeColor="accent4"/>
          <w:left w:val="single" w:sz="8" w:space="0" w:color="00B8F5" w:themeColor="accent4"/>
          <w:bottom w:val="single" w:sz="8" w:space="0" w:color="00B8F5" w:themeColor="accent4"/>
          <w:right w:val="single" w:sz="8" w:space="0" w:color="00B8F5" w:themeColor="accent4"/>
        </w:tcBorders>
        <w:shd w:val="clear" w:color="auto" w:fill="BDEEFF" w:themeFill="accent4" w:themeFillTint="3F"/>
      </w:tcPr>
    </w:tblStylePr>
    <w:tblStylePr w:type="band1Horz">
      <w:tblPr/>
      <w:tcPr>
        <w:tcBorders>
          <w:top w:val="single" w:sz="8" w:space="0" w:color="00B8F5" w:themeColor="accent4"/>
          <w:left w:val="single" w:sz="8" w:space="0" w:color="00B8F5" w:themeColor="accent4"/>
          <w:bottom w:val="single" w:sz="8" w:space="0" w:color="00B8F5" w:themeColor="accent4"/>
          <w:right w:val="single" w:sz="8" w:space="0" w:color="00B8F5" w:themeColor="accent4"/>
          <w:insideV w:val="single" w:sz="8" w:space="0" w:color="00B8F5" w:themeColor="accent4"/>
        </w:tcBorders>
        <w:shd w:val="clear" w:color="auto" w:fill="BDEEFF" w:themeFill="accent4" w:themeFillTint="3F"/>
      </w:tcPr>
    </w:tblStylePr>
    <w:tblStylePr w:type="band2Horz">
      <w:tblPr/>
      <w:tcPr>
        <w:tcBorders>
          <w:top w:val="single" w:sz="8" w:space="0" w:color="00B8F5" w:themeColor="accent4"/>
          <w:left w:val="single" w:sz="8" w:space="0" w:color="00B8F5" w:themeColor="accent4"/>
          <w:bottom w:val="single" w:sz="8" w:space="0" w:color="00B8F5" w:themeColor="accent4"/>
          <w:right w:val="single" w:sz="8" w:space="0" w:color="00B8F5" w:themeColor="accent4"/>
          <w:insideV w:val="single" w:sz="8" w:space="0" w:color="00B8F5"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7213EA" w:themeColor="accent5"/>
        <w:left w:val="single" w:sz="8" w:space="0" w:color="7213EA" w:themeColor="accent5"/>
        <w:bottom w:val="single" w:sz="8" w:space="0" w:color="7213EA" w:themeColor="accent5"/>
        <w:right w:val="single" w:sz="8" w:space="0" w:color="7213EA" w:themeColor="accent5"/>
        <w:insideH w:val="single" w:sz="8" w:space="0" w:color="7213EA" w:themeColor="accent5"/>
        <w:insideV w:val="single" w:sz="8" w:space="0" w:color="7213E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213EA" w:themeColor="accent5"/>
          <w:left w:val="single" w:sz="8" w:space="0" w:color="7213EA" w:themeColor="accent5"/>
          <w:bottom w:val="single" w:sz="18" w:space="0" w:color="7213EA" w:themeColor="accent5"/>
          <w:right w:val="single" w:sz="8" w:space="0" w:color="7213EA" w:themeColor="accent5"/>
          <w:insideH w:val="nil"/>
          <w:insideV w:val="single" w:sz="8" w:space="0" w:color="7213E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213EA" w:themeColor="accent5"/>
          <w:left w:val="single" w:sz="8" w:space="0" w:color="7213EA" w:themeColor="accent5"/>
          <w:bottom w:val="single" w:sz="8" w:space="0" w:color="7213EA" w:themeColor="accent5"/>
          <w:right w:val="single" w:sz="8" w:space="0" w:color="7213EA" w:themeColor="accent5"/>
          <w:insideH w:val="nil"/>
          <w:insideV w:val="single" w:sz="8" w:space="0" w:color="7213E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213EA" w:themeColor="accent5"/>
          <w:left w:val="single" w:sz="8" w:space="0" w:color="7213EA" w:themeColor="accent5"/>
          <w:bottom w:val="single" w:sz="8" w:space="0" w:color="7213EA" w:themeColor="accent5"/>
          <w:right w:val="single" w:sz="8" w:space="0" w:color="7213EA" w:themeColor="accent5"/>
        </w:tcBorders>
      </w:tcPr>
    </w:tblStylePr>
    <w:tblStylePr w:type="band1Vert">
      <w:tblPr/>
      <w:tcPr>
        <w:tcBorders>
          <w:top w:val="single" w:sz="8" w:space="0" w:color="7213EA" w:themeColor="accent5"/>
          <w:left w:val="single" w:sz="8" w:space="0" w:color="7213EA" w:themeColor="accent5"/>
          <w:bottom w:val="single" w:sz="8" w:space="0" w:color="7213EA" w:themeColor="accent5"/>
          <w:right w:val="single" w:sz="8" w:space="0" w:color="7213EA" w:themeColor="accent5"/>
        </w:tcBorders>
        <w:shd w:val="clear" w:color="auto" w:fill="DBC4FA" w:themeFill="accent5" w:themeFillTint="3F"/>
      </w:tcPr>
    </w:tblStylePr>
    <w:tblStylePr w:type="band1Horz">
      <w:tblPr/>
      <w:tcPr>
        <w:tcBorders>
          <w:top w:val="single" w:sz="8" w:space="0" w:color="7213EA" w:themeColor="accent5"/>
          <w:left w:val="single" w:sz="8" w:space="0" w:color="7213EA" w:themeColor="accent5"/>
          <w:bottom w:val="single" w:sz="8" w:space="0" w:color="7213EA" w:themeColor="accent5"/>
          <w:right w:val="single" w:sz="8" w:space="0" w:color="7213EA" w:themeColor="accent5"/>
          <w:insideV w:val="single" w:sz="8" w:space="0" w:color="7213EA" w:themeColor="accent5"/>
        </w:tcBorders>
        <w:shd w:val="clear" w:color="auto" w:fill="DBC4FA" w:themeFill="accent5" w:themeFillTint="3F"/>
      </w:tcPr>
    </w:tblStylePr>
    <w:tblStylePr w:type="band2Horz">
      <w:tblPr/>
      <w:tcPr>
        <w:tcBorders>
          <w:top w:val="single" w:sz="8" w:space="0" w:color="7213EA" w:themeColor="accent5"/>
          <w:left w:val="single" w:sz="8" w:space="0" w:color="7213EA" w:themeColor="accent5"/>
          <w:bottom w:val="single" w:sz="8" w:space="0" w:color="7213EA" w:themeColor="accent5"/>
          <w:right w:val="single" w:sz="8" w:space="0" w:color="7213EA" w:themeColor="accent5"/>
          <w:insideV w:val="single" w:sz="8" w:space="0" w:color="7213EA"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D349C" w:themeColor="accent6"/>
        <w:left w:val="single" w:sz="8" w:space="0" w:color="FD349C" w:themeColor="accent6"/>
        <w:bottom w:val="single" w:sz="8" w:space="0" w:color="FD349C" w:themeColor="accent6"/>
        <w:right w:val="single" w:sz="8" w:space="0" w:color="FD349C" w:themeColor="accent6"/>
        <w:insideH w:val="single" w:sz="8" w:space="0" w:color="FD349C" w:themeColor="accent6"/>
        <w:insideV w:val="single" w:sz="8" w:space="0" w:color="FD349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349C" w:themeColor="accent6"/>
          <w:left w:val="single" w:sz="8" w:space="0" w:color="FD349C" w:themeColor="accent6"/>
          <w:bottom w:val="single" w:sz="18" w:space="0" w:color="FD349C" w:themeColor="accent6"/>
          <w:right w:val="single" w:sz="8" w:space="0" w:color="FD349C" w:themeColor="accent6"/>
          <w:insideH w:val="nil"/>
          <w:insideV w:val="single" w:sz="8" w:space="0" w:color="FD349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349C" w:themeColor="accent6"/>
          <w:left w:val="single" w:sz="8" w:space="0" w:color="FD349C" w:themeColor="accent6"/>
          <w:bottom w:val="single" w:sz="8" w:space="0" w:color="FD349C" w:themeColor="accent6"/>
          <w:right w:val="single" w:sz="8" w:space="0" w:color="FD349C" w:themeColor="accent6"/>
          <w:insideH w:val="nil"/>
          <w:insideV w:val="single" w:sz="8" w:space="0" w:color="FD349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349C" w:themeColor="accent6"/>
          <w:left w:val="single" w:sz="8" w:space="0" w:color="FD349C" w:themeColor="accent6"/>
          <w:bottom w:val="single" w:sz="8" w:space="0" w:color="FD349C" w:themeColor="accent6"/>
          <w:right w:val="single" w:sz="8" w:space="0" w:color="FD349C" w:themeColor="accent6"/>
        </w:tcBorders>
      </w:tcPr>
    </w:tblStylePr>
    <w:tblStylePr w:type="band1Vert">
      <w:tblPr/>
      <w:tcPr>
        <w:tcBorders>
          <w:top w:val="single" w:sz="8" w:space="0" w:color="FD349C" w:themeColor="accent6"/>
          <w:left w:val="single" w:sz="8" w:space="0" w:color="FD349C" w:themeColor="accent6"/>
          <w:bottom w:val="single" w:sz="8" w:space="0" w:color="FD349C" w:themeColor="accent6"/>
          <w:right w:val="single" w:sz="8" w:space="0" w:color="FD349C" w:themeColor="accent6"/>
        </w:tcBorders>
        <w:shd w:val="clear" w:color="auto" w:fill="FECCE6" w:themeFill="accent6" w:themeFillTint="3F"/>
      </w:tcPr>
    </w:tblStylePr>
    <w:tblStylePr w:type="band1Horz">
      <w:tblPr/>
      <w:tcPr>
        <w:tcBorders>
          <w:top w:val="single" w:sz="8" w:space="0" w:color="FD349C" w:themeColor="accent6"/>
          <w:left w:val="single" w:sz="8" w:space="0" w:color="FD349C" w:themeColor="accent6"/>
          <w:bottom w:val="single" w:sz="8" w:space="0" w:color="FD349C" w:themeColor="accent6"/>
          <w:right w:val="single" w:sz="8" w:space="0" w:color="FD349C" w:themeColor="accent6"/>
          <w:insideV w:val="single" w:sz="8" w:space="0" w:color="FD349C" w:themeColor="accent6"/>
        </w:tcBorders>
        <w:shd w:val="clear" w:color="auto" w:fill="FECCE6" w:themeFill="accent6" w:themeFillTint="3F"/>
      </w:tcPr>
    </w:tblStylePr>
    <w:tblStylePr w:type="band2Horz">
      <w:tblPr/>
      <w:tcPr>
        <w:tcBorders>
          <w:top w:val="single" w:sz="8" w:space="0" w:color="FD349C" w:themeColor="accent6"/>
          <w:left w:val="single" w:sz="8" w:space="0" w:color="FD349C" w:themeColor="accent6"/>
          <w:bottom w:val="single" w:sz="8" w:space="0" w:color="FD349C" w:themeColor="accent6"/>
          <w:right w:val="single" w:sz="8" w:space="0" w:color="FD349C" w:themeColor="accent6"/>
          <w:insideV w:val="single" w:sz="8" w:space="0" w:color="FD349C"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5676E9" w:themeColor="accent1" w:themeTint="BF"/>
        <w:left w:val="single" w:sz="8" w:space="0" w:color="5676E9" w:themeColor="accent1" w:themeTint="BF"/>
        <w:bottom w:val="single" w:sz="8" w:space="0" w:color="5676E9" w:themeColor="accent1" w:themeTint="BF"/>
        <w:right w:val="single" w:sz="8" w:space="0" w:color="5676E9" w:themeColor="accent1" w:themeTint="BF"/>
        <w:insideH w:val="single" w:sz="8" w:space="0" w:color="5676E9" w:themeColor="accent1" w:themeTint="BF"/>
      </w:tblBorders>
    </w:tblPr>
    <w:tblStylePr w:type="firstRow">
      <w:pPr>
        <w:spacing w:before="0" w:after="0" w:line="240" w:lineRule="auto"/>
      </w:pPr>
      <w:rPr>
        <w:b/>
        <w:bCs/>
        <w:color w:val="FFFFFF" w:themeColor="background1"/>
      </w:rPr>
      <w:tblPr/>
      <w:tcPr>
        <w:tcBorders>
          <w:top w:val="single" w:sz="8" w:space="0" w:color="5676E9" w:themeColor="accent1" w:themeTint="BF"/>
          <w:left w:val="single" w:sz="8" w:space="0" w:color="5676E9" w:themeColor="accent1" w:themeTint="BF"/>
          <w:bottom w:val="single" w:sz="8" w:space="0" w:color="5676E9" w:themeColor="accent1" w:themeTint="BF"/>
          <w:right w:val="single" w:sz="8" w:space="0" w:color="5676E9" w:themeColor="accent1" w:themeTint="BF"/>
          <w:insideH w:val="nil"/>
          <w:insideV w:val="nil"/>
        </w:tcBorders>
        <w:shd w:val="clear" w:color="auto" w:fill="1E49E2" w:themeFill="accent1"/>
      </w:tcPr>
    </w:tblStylePr>
    <w:tblStylePr w:type="lastRow">
      <w:pPr>
        <w:spacing w:before="0" w:after="0" w:line="240" w:lineRule="auto"/>
      </w:pPr>
      <w:rPr>
        <w:b/>
        <w:bCs/>
      </w:rPr>
      <w:tblPr/>
      <w:tcPr>
        <w:tcBorders>
          <w:top w:val="double" w:sz="6" w:space="0" w:color="5676E9" w:themeColor="accent1" w:themeTint="BF"/>
          <w:left w:val="single" w:sz="8" w:space="0" w:color="5676E9" w:themeColor="accent1" w:themeTint="BF"/>
          <w:bottom w:val="single" w:sz="8" w:space="0" w:color="5676E9" w:themeColor="accent1" w:themeTint="BF"/>
          <w:right w:val="single" w:sz="8" w:space="0" w:color="5676E9" w:themeColor="accent1" w:themeTint="BF"/>
          <w:insideH w:val="nil"/>
          <w:insideV w:val="nil"/>
        </w:tcBorders>
      </w:tcPr>
    </w:tblStylePr>
    <w:tblStylePr w:type="firstCol">
      <w:rPr>
        <w:b/>
        <w:bCs/>
      </w:rPr>
    </w:tblStylePr>
    <w:tblStylePr w:type="lastCol">
      <w:rPr>
        <w:b/>
        <w:bCs/>
      </w:rPr>
    </w:tblStylePr>
    <w:tblStylePr w:type="band1Vert">
      <w:tblPr/>
      <w:tcPr>
        <w:shd w:val="clear" w:color="auto" w:fill="C7D1F7" w:themeFill="accent1" w:themeFillTint="3F"/>
      </w:tcPr>
    </w:tblStylePr>
    <w:tblStylePr w:type="band1Horz">
      <w:tblPr/>
      <w:tcPr>
        <w:tcBorders>
          <w:insideH w:val="nil"/>
          <w:insideV w:val="nil"/>
        </w:tcBorders>
        <w:shd w:val="clear" w:color="auto" w:fill="C7D1F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1E5897" w:themeColor="accent2" w:themeTint="BF"/>
        <w:left w:val="single" w:sz="8" w:space="0" w:color="1E5897" w:themeColor="accent2" w:themeTint="BF"/>
        <w:bottom w:val="single" w:sz="8" w:space="0" w:color="1E5897" w:themeColor="accent2" w:themeTint="BF"/>
        <w:right w:val="single" w:sz="8" w:space="0" w:color="1E5897" w:themeColor="accent2" w:themeTint="BF"/>
        <w:insideH w:val="single" w:sz="8" w:space="0" w:color="1E5897" w:themeColor="accent2" w:themeTint="BF"/>
      </w:tblBorders>
    </w:tblPr>
    <w:tblStylePr w:type="firstRow">
      <w:pPr>
        <w:spacing w:before="0" w:after="0" w:line="240" w:lineRule="auto"/>
      </w:pPr>
      <w:rPr>
        <w:b/>
        <w:bCs/>
        <w:color w:val="FFFFFF" w:themeColor="background1"/>
      </w:rPr>
      <w:tblPr/>
      <w:tcPr>
        <w:tcBorders>
          <w:top w:val="single" w:sz="8" w:space="0" w:color="1E5897" w:themeColor="accent2" w:themeTint="BF"/>
          <w:left w:val="single" w:sz="8" w:space="0" w:color="1E5897" w:themeColor="accent2" w:themeTint="BF"/>
          <w:bottom w:val="single" w:sz="8" w:space="0" w:color="1E5897" w:themeColor="accent2" w:themeTint="BF"/>
          <w:right w:val="single" w:sz="8" w:space="0" w:color="1E5897" w:themeColor="accent2" w:themeTint="BF"/>
          <w:insideH w:val="nil"/>
          <w:insideV w:val="nil"/>
        </w:tcBorders>
        <w:shd w:val="clear" w:color="auto" w:fill="0C233C" w:themeFill="accent2"/>
      </w:tcPr>
    </w:tblStylePr>
    <w:tblStylePr w:type="lastRow">
      <w:pPr>
        <w:spacing w:before="0" w:after="0" w:line="240" w:lineRule="auto"/>
      </w:pPr>
      <w:rPr>
        <w:b/>
        <w:bCs/>
      </w:rPr>
      <w:tblPr/>
      <w:tcPr>
        <w:tcBorders>
          <w:top w:val="double" w:sz="6" w:space="0" w:color="1E5897" w:themeColor="accent2" w:themeTint="BF"/>
          <w:left w:val="single" w:sz="8" w:space="0" w:color="1E5897" w:themeColor="accent2" w:themeTint="BF"/>
          <w:bottom w:val="single" w:sz="8" w:space="0" w:color="1E5897" w:themeColor="accent2" w:themeTint="BF"/>
          <w:right w:val="single" w:sz="8" w:space="0" w:color="1E5897" w:themeColor="accent2" w:themeTint="BF"/>
          <w:insideH w:val="nil"/>
          <w:insideV w:val="nil"/>
        </w:tcBorders>
      </w:tcPr>
    </w:tblStylePr>
    <w:tblStylePr w:type="firstCol">
      <w:rPr>
        <w:b/>
        <w:bCs/>
      </w:rPr>
    </w:tblStylePr>
    <w:tblStylePr w:type="lastCol">
      <w:rPr>
        <w:b/>
        <w:bCs/>
      </w:rPr>
    </w:tblStylePr>
    <w:tblStylePr w:type="band1Vert">
      <w:tblPr/>
      <w:tcPr>
        <w:shd w:val="clear" w:color="auto" w:fill="A4C7ED" w:themeFill="accent2" w:themeFillTint="3F"/>
      </w:tcPr>
    </w:tblStylePr>
    <w:tblStylePr w:type="band1Horz">
      <w:tblPr/>
      <w:tcPr>
        <w:tcBorders>
          <w:insideH w:val="nil"/>
          <w:insideV w:val="nil"/>
        </w:tcBorders>
        <w:shd w:val="clear" w:color="auto" w:fill="A4C7E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C0EFFF" w:themeColor="accent3" w:themeTint="BF"/>
        <w:left w:val="single" w:sz="8" w:space="0" w:color="C0EFFF" w:themeColor="accent3" w:themeTint="BF"/>
        <w:bottom w:val="single" w:sz="8" w:space="0" w:color="C0EFFF" w:themeColor="accent3" w:themeTint="BF"/>
        <w:right w:val="single" w:sz="8" w:space="0" w:color="C0EFFF" w:themeColor="accent3" w:themeTint="BF"/>
        <w:insideH w:val="single" w:sz="8" w:space="0" w:color="C0EFFF" w:themeColor="accent3" w:themeTint="BF"/>
      </w:tblBorders>
    </w:tblPr>
    <w:tblStylePr w:type="firstRow">
      <w:pPr>
        <w:spacing w:before="0" w:after="0" w:line="240" w:lineRule="auto"/>
      </w:pPr>
      <w:rPr>
        <w:b/>
        <w:bCs/>
        <w:color w:val="FFFFFF" w:themeColor="background1"/>
      </w:rPr>
      <w:tblPr/>
      <w:tcPr>
        <w:tcBorders>
          <w:top w:val="single" w:sz="8" w:space="0" w:color="C0EFFF" w:themeColor="accent3" w:themeTint="BF"/>
          <w:left w:val="single" w:sz="8" w:space="0" w:color="C0EFFF" w:themeColor="accent3" w:themeTint="BF"/>
          <w:bottom w:val="single" w:sz="8" w:space="0" w:color="C0EFFF" w:themeColor="accent3" w:themeTint="BF"/>
          <w:right w:val="single" w:sz="8" w:space="0" w:color="C0EFFF" w:themeColor="accent3" w:themeTint="BF"/>
          <w:insideH w:val="nil"/>
          <w:insideV w:val="nil"/>
        </w:tcBorders>
        <w:shd w:val="clear" w:color="auto" w:fill="ACEAFF" w:themeFill="accent3"/>
      </w:tcPr>
    </w:tblStylePr>
    <w:tblStylePr w:type="lastRow">
      <w:pPr>
        <w:spacing w:before="0" w:after="0" w:line="240" w:lineRule="auto"/>
      </w:pPr>
      <w:rPr>
        <w:b/>
        <w:bCs/>
      </w:rPr>
      <w:tblPr/>
      <w:tcPr>
        <w:tcBorders>
          <w:top w:val="double" w:sz="6" w:space="0" w:color="C0EFFF" w:themeColor="accent3" w:themeTint="BF"/>
          <w:left w:val="single" w:sz="8" w:space="0" w:color="C0EFFF" w:themeColor="accent3" w:themeTint="BF"/>
          <w:bottom w:val="single" w:sz="8" w:space="0" w:color="C0EFFF" w:themeColor="accent3" w:themeTint="BF"/>
          <w:right w:val="single" w:sz="8" w:space="0" w:color="C0EF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EAF9FF" w:themeFill="accent3" w:themeFillTint="3F"/>
      </w:tcPr>
    </w:tblStylePr>
    <w:tblStylePr w:type="band1Horz">
      <w:tblPr/>
      <w:tcPr>
        <w:tcBorders>
          <w:insideH w:val="nil"/>
          <w:insideV w:val="nil"/>
        </w:tcBorders>
        <w:shd w:val="clear" w:color="auto" w:fill="EAF9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38CDFF" w:themeColor="accent4" w:themeTint="BF"/>
        <w:left w:val="single" w:sz="8" w:space="0" w:color="38CDFF" w:themeColor="accent4" w:themeTint="BF"/>
        <w:bottom w:val="single" w:sz="8" w:space="0" w:color="38CDFF" w:themeColor="accent4" w:themeTint="BF"/>
        <w:right w:val="single" w:sz="8" w:space="0" w:color="38CDFF" w:themeColor="accent4" w:themeTint="BF"/>
        <w:insideH w:val="single" w:sz="8" w:space="0" w:color="38CDFF" w:themeColor="accent4" w:themeTint="BF"/>
      </w:tblBorders>
    </w:tblPr>
    <w:tblStylePr w:type="firstRow">
      <w:pPr>
        <w:spacing w:before="0" w:after="0" w:line="240" w:lineRule="auto"/>
      </w:pPr>
      <w:rPr>
        <w:b/>
        <w:bCs/>
        <w:color w:val="FFFFFF" w:themeColor="background1"/>
      </w:rPr>
      <w:tblPr/>
      <w:tcPr>
        <w:tcBorders>
          <w:top w:val="single" w:sz="8" w:space="0" w:color="38CDFF" w:themeColor="accent4" w:themeTint="BF"/>
          <w:left w:val="single" w:sz="8" w:space="0" w:color="38CDFF" w:themeColor="accent4" w:themeTint="BF"/>
          <w:bottom w:val="single" w:sz="8" w:space="0" w:color="38CDFF" w:themeColor="accent4" w:themeTint="BF"/>
          <w:right w:val="single" w:sz="8" w:space="0" w:color="38CDFF" w:themeColor="accent4" w:themeTint="BF"/>
          <w:insideH w:val="nil"/>
          <w:insideV w:val="nil"/>
        </w:tcBorders>
        <w:shd w:val="clear" w:color="auto" w:fill="00B8F5" w:themeFill="accent4"/>
      </w:tcPr>
    </w:tblStylePr>
    <w:tblStylePr w:type="lastRow">
      <w:pPr>
        <w:spacing w:before="0" w:after="0" w:line="240" w:lineRule="auto"/>
      </w:pPr>
      <w:rPr>
        <w:b/>
        <w:bCs/>
      </w:rPr>
      <w:tblPr/>
      <w:tcPr>
        <w:tcBorders>
          <w:top w:val="double" w:sz="6" w:space="0" w:color="38CDFF" w:themeColor="accent4" w:themeTint="BF"/>
          <w:left w:val="single" w:sz="8" w:space="0" w:color="38CDFF" w:themeColor="accent4" w:themeTint="BF"/>
          <w:bottom w:val="single" w:sz="8" w:space="0" w:color="38CDFF" w:themeColor="accent4" w:themeTint="BF"/>
          <w:right w:val="single" w:sz="8" w:space="0" w:color="38CD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EFF" w:themeFill="accent4" w:themeFillTint="3F"/>
      </w:tcPr>
    </w:tblStylePr>
    <w:tblStylePr w:type="band1Horz">
      <w:tblPr/>
      <w:tcPr>
        <w:tcBorders>
          <w:insideH w:val="nil"/>
          <w:insideV w:val="nil"/>
        </w:tcBorders>
        <w:shd w:val="clear" w:color="auto" w:fill="BDEE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944CF0" w:themeColor="accent5" w:themeTint="BF"/>
        <w:left w:val="single" w:sz="8" w:space="0" w:color="944CF0" w:themeColor="accent5" w:themeTint="BF"/>
        <w:bottom w:val="single" w:sz="8" w:space="0" w:color="944CF0" w:themeColor="accent5" w:themeTint="BF"/>
        <w:right w:val="single" w:sz="8" w:space="0" w:color="944CF0" w:themeColor="accent5" w:themeTint="BF"/>
        <w:insideH w:val="single" w:sz="8" w:space="0" w:color="944CF0" w:themeColor="accent5" w:themeTint="BF"/>
      </w:tblBorders>
    </w:tblPr>
    <w:tblStylePr w:type="firstRow">
      <w:pPr>
        <w:spacing w:before="0" w:after="0" w:line="240" w:lineRule="auto"/>
      </w:pPr>
      <w:rPr>
        <w:b/>
        <w:bCs/>
        <w:color w:val="FFFFFF" w:themeColor="background1"/>
      </w:rPr>
      <w:tblPr/>
      <w:tcPr>
        <w:tcBorders>
          <w:top w:val="single" w:sz="8" w:space="0" w:color="944CF0" w:themeColor="accent5" w:themeTint="BF"/>
          <w:left w:val="single" w:sz="8" w:space="0" w:color="944CF0" w:themeColor="accent5" w:themeTint="BF"/>
          <w:bottom w:val="single" w:sz="8" w:space="0" w:color="944CF0" w:themeColor="accent5" w:themeTint="BF"/>
          <w:right w:val="single" w:sz="8" w:space="0" w:color="944CF0" w:themeColor="accent5" w:themeTint="BF"/>
          <w:insideH w:val="nil"/>
          <w:insideV w:val="nil"/>
        </w:tcBorders>
        <w:shd w:val="clear" w:color="auto" w:fill="7213EA" w:themeFill="accent5"/>
      </w:tcPr>
    </w:tblStylePr>
    <w:tblStylePr w:type="lastRow">
      <w:pPr>
        <w:spacing w:before="0" w:after="0" w:line="240" w:lineRule="auto"/>
      </w:pPr>
      <w:rPr>
        <w:b/>
        <w:bCs/>
      </w:rPr>
      <w:tblPr/>
      <w:tcPr>
        <w:tcBorders>
          <w:top w:val="double" w:sz="6" w:space="0" w:color="944CF0" w:themeColor="accent5" w:themeTint="BF"/>
          <w:left w:val="single" w:sz="8" w:space="0" w:color="944CF0" w:themeColor="accent5" w:themeTint="BF"/>
          <w:bottom w:val="single" w:sz="8" w:space="0" w:color="944CF0" w:themeColor="accent5" w:themeTint="BF"/>
          <w:right w:val="single" w:sz="8" w:space="0" w:color="944CF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BC4FA" w:themeFill="accent5" w:themeFillTint="3F"/>
      </w:tcPr>
    </w:tblStylePr>
    <w:tblStylePr w:type="band1Horz">
      <w:tblPr/>
      <w:tcPr>
        <w:tcBorders>
          <w:insideH w:val="nil"/>
          <w:insideV w:val="nil"/>
        </w:tcBorders>
        <w:shd w:val="clear" w:color="auto" w:fill="DBC4F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D66B4" w:themeColor="accent6" w:themeTint="BF"/>
        <w:left w:val="single" w:sz="8" w:space="0" w:color="FD66B4" w:themeColor="accent6" w:themeTint="BF"/>
        <w:bottom w:val="single" w:sz="8" w:space="0" w:color="FD66B4" w:themeColor="accent6" w:themeTint="BF"/>
        <w:right w:val="single" w:sz="8" w:space="0" w:color="FD66B4" w:themeColor="accent6" w:themeTint="BF"/>
        <w:insideH w:val="single" w:sz="8" w:space="0" w:color="FD66B4" w:themeColor="accent6" w:themeTint="BF"/>
      </w:tblBorders>
    </w:tblPr>
    <w:tblStylePr w:type="firstRow">
      <w:pPr>
        <w:spacing w:before="0" w:after="0" w:line="240" w:lineRule="auto"/>
      </w:pPr>
      <w:rPr>
        <w:b/>
        <w:bCs/>
        <w:color w:val="FFFFFF" w:themeColor="background1"/>
      </w:rPr>
      <w:tblPr/>
      <w:tcPr>
        <w:tcBorders>
          <w:top w:val="single" w:sz="8" w:space="0" w:color="FD66B4" w:themeColor="accent6" w:themeTint="BF"/>
          <w:left w:val="single" w:sz="8" w:space="0" w:color="FD66B4" w:themeColor="accent6" w:themeTint="BF"/>
          <w:bottom w:val="single" w:sz="8" w:space="0" w:color="FD66B4" w:themeColor="accent6" w:themeTint="BF"/>
          <w:right w:val="single" w:sz="8" w:space="0" w:color="FD66B4" w:themeColor="accent6" w:themeTint="BF"/>
          <w:insideH w:val="nil"/>
          <w:insideV w:val="nil"/>
        </w:tcBorders>
        <w:shd w:val="clear" w:color="auto" w:fill="FD349C" w:themeFill="accent6"/>
      </w:tcPr>
    </w:tblStylePr>
    <w:tblStylePr w:type="lastRow">
      <w:pPr>
        <w:spacing w:before="0" w:after="0" w:line="240" w:lineRule="auto"/>
      </w:pPr>
      <w:rPr>
        <w:b/>
        <w:bCs/>
      </w:rPr>
      <w:tblPr/>
      <w:tcPr>
        <w:tcBorders>
          <w:top w:val="double" w:sz="6" w:space="0" w:color="FD66B4" w:themeColor="accent6" w:themeTint="BF"/>
          <w:left w:val="single" w:sz="8" w:space="0" w:color="FD66B4" w:themeColor="accent6" w:themeTint="BF"/>
          <w:bottom w:val="single" w:sz="8" w:space="0" w:color="FD66B4" w:themeColor="accent6" w:themeTint="BF"/>
          <w:right w:val="single" w:sz="8" w:space="0" w:color="FD66B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CCE6" w:themeFill="accent6" w:themeFillTint="3F"/>
      </w:tcPr>
    </w:tblStylePr>
    <w:tblStylePr w:type="band1Horz">
      <w:tblPr/>
      <w:tcPr>
        <w:tcBorders>
          <w:insideH w:val="nil"/>
          <w:insideV w:val="nil"/>
        </w:tcBorders>
        <w:shd w:val="clear" w:color="auto" w:fill="FECCE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E49E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E49E2" w:themeFill="accent1"/>
      </w:tcPr>
    </w:tblStylePr>
    <w:tblStylePr w:type="lastCol">
      <w:rPr>
        <w:b/>
        <w:bCs/>
        <w:color w:val="FFFFFF" w:themeColor="background1"/>
      </w:rPr>
      <w:tblPr/>
      <w:tcPr>
        <w:tcBorders>
          <w:left w:val="nil"/>
          <w:right w:val="nil"/>
          <w:insideH w:val="nil"/>
          <w:insideV w:val="nil"/>
        </w:tcBorders>
        <w:shd w:val="clear" w:color="auto" w:fill="1E49E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C23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C233C" w:themeFill="accent2"/>
      </w:tcPr>
    </w:tblStylePr>
    <w:tblStylePr w:type="lastCol">
      <w:rPr>
        <w:b/>
        <w:bCs/>
        <w:color w:val="FFFFFF" w:themeColor="background1"/>
      </w:rPr>
      <w:tblPr/>
      <w:tcPr>
        <w:tcBorders>
          <w:left w:val="nil"/>
          <w:right w:val="nil"/>
          <w:insideH w:val="nil"/>
          <w:insideV w:val="nil"/>
        </w:tcBorders>
        <w:shd w:val="clear" w:color="auto" w:fill="0C23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CEA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CEAFF" w:themeFill="accent3"/>
      </w:tcPr>
    </w:tblStylePr>
    <w:tblStylePr w:type="lastCol">
      <w:rPr>
        <w:b/>
        <w:bCs/>
        <w:color w:val="FFFFFF" w:themeColor="background1"/>
      </w:rPr>
      <w:tblPr/>
      <w:tcPr>
        <w:tcBorders>
          <w:left w:val="nil"/>
          <w:right w:val="nil"/>
          <w:insideH w:val="nil"/>
          <w:insideV w:val="nil"/>
        </w:tcBorders>
        <w:shd w:val="clear" w:color="auto" w:fill="ACEA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8F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8F5" w:themeFill="accent4"/>
      </w:tcPr>
    </w:tblStylePr>
    <w:tblStylePr w:type="lastCol">
      <w:rPr>
        <w:b/>
        <w:bCs/>
        <w:color w:val="FFFFFF" w:themeColor="background1"/>
      </w:rPr>
      <w:tblPr/>
      <w:tcPr>
        <w:tcBorders>
          <w:left w:val="nil"/>
          <w:right w:val="nil"/>
          <w:insideH w:val="nil"/>
          <w:insideV w:val="nil"/>
        </w:tcBorders>
        <w:shd w:val="clear" w:color="auto" w:fill="00B8F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213E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213EA" w:themeFill="accent5"/>
      </w:tcPr>
    </w:tblStylePr>
    <w:tblStylePr w:type="lastCol">
      <w:rPr>
        <w:b/>
        <w:bCs/>
        <w:color w:val="FFFFFF" w:themeColor="background1"/>
      </w:rPr>
      <w:tblPr/>
      <w:tcPr>
        <w:tcBorders>
          <w:left w:val="nil"/>
          <w:right w:val="nil"/>
          <w:insideH w:val="nil"/>
          <w:insideV w:val="nil"/>
        </w:tcBorders>
        <w:shd w:val="clear" w:color="auto" w:fill="7213E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349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D349C" w:themeFill="accent6"/>
      </w:tcPr>
    </w:tblStylePr>
    <w:tblStylePr w:type="lastCol">
      <w:rPr>
        <w:b/>
        <w:bCs/>
        <w:color w:val="FFFFFF" w:themeColor="background1"/>
      </w:rPr>
      <w:tblPr/>
      <w:tcPr>
        <w:tcBorders>
          <w:left w:val="nil"/>
          <w:right w:val="nil"/>
          <w:insideH w:val="nil"/>
          <w:insideV w:val="nil"/>
        </w:tcBorders>
        <w:shd w:val="clear" w:color="auto" w:fill="FD349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338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1E49E2" w:themeColor="accent1"/>
        <w:bottom w:val="single" w:sz="8" w:space="0" w:color="1E49E2" w:themeColor="accent1"/>
      </w:tblBorders>
    </w:tblPr>
    <w:tblStylePr w:type="firstRow">
      <w:rPr>
        <w:rFonts w:asciiTheme="majorHAnsi" w:eastAsiaTheme="majorEastAsia" w:hAnsiTheme="majorHAnsi" w:cstheme="majorBidi"/>
      </w:rPr>
      <w:tblPr/>
      <w:tcPr>
        <w:tcBorders>
          <w:top w:val="nil"/>
          <w:bottom w:val="single" w:sz="8" w:space="0" w:color="1E49E2" w:themeColor="accent1"/>
        </w:tcBorders>
      </w:tcPr>
    </w:tblStylePr>
    <w:tblStylePr w:type="lastRow">
      <w:rPr>
        <w:b/>
        <w:bCs/>
        <w:color w:val="00338D" w:themeColor="text2"/>
      </w:rPr>
      <w:tblPr/>
      <w:tcPr>
        <w:tcBorders>
          <w:top w:val="single" w:sz="8" w:space="0" w:color="1E49E2" w:themeColor="accent1"/>
          <w:bottom w:val="single" w:sz="8" w:space="0" w:color="1E49E2" w:themeColor="accent1"/>
        </w:tcBorders>
      </w:tcPr>
    </w:tblStylePr>
    <w:tblStylePr w:type="firstCol">
      <w:rPr>
        <w:b/>
        <w:bCs/>
      </w:rPr>
    </w:tblStylePr>
    <w:tblStylePr w:type="lastCol">
      <w:rPr>
        <w:b/>
        <w:bCs/>
      </w:rPr>
      <w:tblPr/>
      <w:tcPr>
        <w:tcBorders>
          <w:top w:val="single" w:sz="8" w:space="0" w:color="1E49E2" w:themeColor="accent1"/>
          <w:bottom w:val="single" w:sz="8" w:space="0" w:color="1E49E2" w:themeColor="accent1"/>
        </w:tcBorders>
      </w:tcPr>
    </w:tblStylePr>
    <w:tblStylePr w:type="band1Vert">
      <w:tblPr/>
      <w:tcPr>
        <w:shd w:val="clear" w:color="auto" w:fill="C7D1F7" w:themeFill="accent1" w:themeFillTint="3F"/>
      </w:tcPr>
    </w:tblStylePr>
    <w:tblStylePr w:type="band1Horz">
      <w:tblPr/>
      <w:tcPr>
        <w:shd w:val="clear" w:color="auto" w:fill="C7D1F7"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0C233C" w:themeColor="accent2"/>
        <w:bottom w:val="single" w:sz="8" w:space="0" w:color="0C233C" w:themeColor="accent2"/>
      </w:tblBorders>
    </w:tblPr>
    <w:tblStylePr w:type="firstRow">
      <w:rPr>
        <w:rFonts w:asciiTheme="majorHAnsi" w:eastAsiaTheme="majorEastAsia" w:hAnsiTheme="majorHAnsi" w:cstheme="majorBidi"/>
      </w:rPr>
      <w:tblPr/>
      <w:tcPr>
        <w:tcBorders>
          <w:top w:val="nil"/>
          <w:bottom w:val="single" w:sz="8" w:space="0" w:color="0C233C" w:themeColor="accent2"/>
        </w:tcBorders>
      </w:tcPr>
    </w:tblStylePr>
    <w:tblStylePr w:type="lastRow">
      <w:rPr>
        <w:b/>
        <w:bCs/>
        <w:color w:val="00338D" w:themeColor="text2"/>
      </w:rPr>
      <w:tblPr/>
      <w:tcPr>
        <w:tcBorders>
          <w:top w:val="single" w:sz="8" w:space="0" w:color="0C233C" w:themeColor="accent2"/>
          <w:bottom w:val="single" w:sz="8" w:space="0" w:color="0C233C" w:themeColor="accent2"/>
        </w:tcBorders>
      </w:tcPr>
    </w:tblStylePr>
    <w:tblStylePr w:type="firstCol">
      <w:rPr>
        <w:b/>
        <w:bCs/>
      </w:rPr>
    </w:tblStylePr>
    <w:tblStylePr w:type="lastCol">
      <w:rPr>
        <w:b/>
        <w:bCs/>
      </w:rPr>
      <w:tblPr/>
      <w:tcPr>
        <w:tcBorders>
          <w:top w:val="single" w:sz="8" w:space="0" w:color="0C233C" w:themeColor="accent2"/>
          <w:bottom w:val="single" w:sz="8" w:space="0" w:color="0C233C" w:themeColor="accent2"/>
        </w:tcBorders>
      </w:tcPr>
    </w:tblStylePr>
    <w:tblStylePr w:type="band1Vert">
      <w:tblPr/>
      <w:tcPr>
        <w:shd w:val="clear" w:color="auto" w:fill="A4C7ED" w:themeFill="accent2" w:themeFillTint="3F"/>
      </w:tcPr>
    </w:tblStylePr>
    <w:tblStylePr w:type="band1Horz">
      <w:tblPr/>
      <w:tcPr>
        <w:shd w:val="clear" w:color="auto" w:fill="A4C7ED"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ACEAFF" w:themeColor="accent3"/>
        <w:bottom w:val="single" w:sz="8" w:space="0" w:color="ACEAFF" w:themeColor="accent3"/>
      </w:tblBorders>
    </w:tblPr>
    <w:tblStylePr w:type="firstRow">
      <w:rPr>
        <w:rFonts w:asciiTheme="majorHAnsi" w:eastAsiaTheme="majorEastAsia" w:hAnsiTheme="majorHAnsi" w:cstheme="majorBidi"/>
      </w:rPr>
      <w:tblPr/>
      <w:tcPr>
        <w:tcBorders>
          <w:top w:val="nil"/>
          <w:bottom w:val="single" w:sz="8" w:space="0" w:color="ACEAFF" w:themeColor="accent3"/>
        </w:tcBorders>
      </w:tcPr>
    </w:tblStylePr>
    <w:tblStylePr w:type="lastRow">
      <w:rPr>
        <w:b/>
        <w:bCs/>
        <w:color w:val="00338D" w:themeColor="text2"/>
      </w:rPr>
      <w:tblPr/>
      <w:tcPr>
        <w:tcBorders>
          <w:top w:val="single" w:sz="8" w:space="0" w:color="ACEAFF" w:themeColor="accent3"/>
          <w:bottom w:val="single" w:sz="8" w:space="0" w:color="ACEAFF" w:themeColor="accent3"/>
        </w:tcBorders>
      </w:tcPr>
    </w:tblStylePr>
    <w:tblStylePr w:type="firstCol">
      <w:rPr>
        <w:b/>
        <w:bCs/>
      </w:rPr>
    </w:tblStylePr>
    <w:tblStylePr w:type="lastCol">
      <w:rPr>
        <w:b/>
        <w:bCs/>
      </w:rPr>
      <w:tblPr/>
      <w:tcPr>
        <w:tcBorders>
          <w:top w:val="single" w:sz="8" w:space="0" w:color="ACEAFF" w:themeColor="accent3"/>
          <w:bottom w:val="single" w:sz="8" w:space="0" w:color="ACEAFF" w:themeColor="accent3"/>
        </w:tcBorders>
      </w:tcPr>
    </w:tblStylePr>
    <w:tblStylePr w:type="band1Vert">
      <w:tblPr/>
      <w:tcPr>
        <w:shd w:val="clear" w:color="auto" w:fill="EAF9FF" w:themeFill="accent3" w:themeFillTint="3F"/>
      </w:tcPr>
    </w:tblStylePr>
    <w:tblStylePr w:type="band1Horz">
      <w:tblPr/>
      <w:tcPr>
        <w:shd w:val="clear" w:color="auto" w:fill="EAF9FF"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00B8F5" w:themeColor="accent4"/>
        <w:bottom w:val="single" w:sz="8" w:space="0" w:color="00B8F5" w:themeColor="accent4"/>
      </w:tblBorders>
    </w:tblPr>
    <w:tblStylePr w:type="firstRow">
      <w:rPr>
        <w:rFonts w:asciiTheme="majorHAnsi" w:eastAsiaTheme="majorEastAsia" w:hAnsiTheme="majorHAnsi" w:cstheme="majorBidi"/>
      </w:rPr>
      <w:tblPr/>
      <w:tcPr>
        <w:tcBorders>
          <w:top w:val="nil"/>
          <w:bottom w:val="single" w:sz="8" w:space="0" w:color="00B8F5" w:themeColor="accent4"/>
        </w:tcBorders>
      </w:tcPr>
    </w:tblStylePr>
    <w:tblStylePr w:type="lastRow">
      <w:rPr>
        <w:b/>
        <w:bCs/>
        <w:color w:val="00338D" w:themeColor="text2"/>
      </w:rPr>
      <w:tblPr/>
      <w:tcPr>
        <w:tcBorders>
          <w:top w:val="single" w:sz="8" w:space="0" w:color="00B8F5" w:themeColor="accent4"/>
          <w:bottom w:val="single" w:sz="8" w:space="0" w:color="00B8F5" w:themeColor="accent4"/>
        </w:tcBorders>
      </w:tcPr>
    </w:tblStylePr>
    <w:tblStylePr w:type="firstCol">
      <w:rPr>
        <w:b/>
        <w:bCs/>
      </w:rPr>
    </w:tblStylePr>
    <w:tblStylePr w:type="lastCol">
      <w:rPr>
        <w:b/>
        <w:bCs/>
      </w:rPr>
      <w:tblPr/>
      <w:tcPr>
        <w:tcBorders>
          <w:top w:val="single" w:sz="8" w:space="0" w:color="00B8F5" w:themeColor="accent4"/>
          <w:bottom w:val="single" w:sz="8" w:space="0" w:color="00B8F5" w:themeColor="accent4"/>
        </w:tcBorders>
      </w:tcPr>
    </w:tblStylePr>
    <w:tblStylePr w:type="band1Vert">
      <w:tblPr/>
      <w:tcPr>
        <w:shd w:val="clear" w:color="auto" w:fill="BDEEFF" w:themeFill="accent4" w:themeFillTint="3F"/>
      </w:tcPr>
    </w:tblStylePr>
    <w:tblStylePr w:type="band1Horz">
      <w:tblPr/>
      <w:tcPr>
        <w:shd w:val="clear" w:color="auto" w:fill="BDEEFF"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7213EA" w:themeColor="accent5"/>
        <w:bottom w:val="single" w:sz="8" w:space="0" w:color="7213EA" w:themeColor="accent5"/>
      </w:tblBorders>
    </w:tblPr>
    <w:tblStylePr w:type="firstRow">
      <w:rPr>
        <w:rFonts w:asciiTheme="majorHAnsi" w:eastAsiaTheme="majorEastAsia" w:hAnsiTheme="majorHAnsi" w:cstheme="majorBidi"/>
      </w:rPr>
      <w:tblPr/>
      <w:tcPr>
        <w:tcBorders>
          <w:top w:val="nil"/>
          <w:bottom w:val="single" w:sz="8" w:space="0" w:color="7213EA" w:themeColor="accent5"/>
        </w:tcBorders>
      </w:tcPr>
    </w:tblStylePr>
    <w:tblStylePr w:type="lastRow">
      <w:rPr>
        <w:b/>
        <w:bCs/>
        <w:color w:val="00338D" w:themeColor="text2"/>
      </w:rPr>
      <w:tblPr/>
      <w:tcPr>
        <w:tcBorders>
          <w:top w:val="single" w:sz="8" w:space="0" w:color="7213EA" w:themeColor="accent5"/>
          <w:bottom w:val="single" w:sz="8" w:space="0" w:color="7213EA" w:themeColor="accent5"/>
        </w:tcBorders>
      </w:tcPr>
    </w:tblStylePr>
    <w:tblStylePr w:type="firstCol">
      <w:rPr>
        <w:b/>
        <w:bCs/>
      </w:rPr>
    </w:tblStylePr>
    <w:tblStylePr w:type="lastCol">
      <w:rPr>
        <w:b/>
        <w:bCs/>
      </w:rPr>
      <w:tblPr/>
      <w:tcPr>
        <w:tcBorders>
          <w:top w:val="single" w:sz="8" w:space="0" w:color="7213EA" w:themeColor="accent5"/>
          <w:bottom w:val="single" w:sz="8" w:space="0" w:color="7213EA" w:themeColor="accent5"/>
        </w:tcBorders>
      </w:tcPr>
    </w:tblStylePr>
    <w:tblStylePr w:type="band1Vert">
      <w:tblPr/>
      <w:tcPr>
        <w:shd w:val="clear" w:color="auto" w:fill="DBC4FA" w:themeFill="accent5" w:themeFillTint="3F"/>
      </w:tcPr>
    </w:tblStylePr>
    <w:tblStylePr w:type="band1Horz">
      <w:tblPr/>
      <w:tcPr>
        <w:shd w:val="clear" w:color="auto" w:fill="DBC4FA"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D349C" w:themeColor="accent6"/>
        <w:bottom w:val="single" w:sz="8" w:space="0" w:color="FD349C" w:themeColor="accent6"/>
      </w:tblBorders>
    </w:tblPr>
    <w:tblStylePr w:type="firstRow">
      <w:rPr>
        <w:rFonts w:asciiTheme="majorHAnsi" w:eastAsiaTheme="majorEastAsia" w:hAnsiTheme="majorHAnsi" w:cstheme="majorBidi"/>
      </w:rPr>
      <w:tblPr/>
      <w:tcPr>
        <w:tcBorders>
          <w:top w:val="nil"/>
          <w:bottom w:val="single" w:sz="8" w:space="0" w:color="FD349C" w:themeColor="accent6"/>
        </w:tcBorders>
      </w:tcPr>
    </w:tblStylePr>
    <w:tblStylePr w:type="lastRow">
      <w:rPr>
        <w:b/>
        <w:bCs/>
        <w:color w:val="00338D" w:themeColor="text2"/>
      </w:rPr>
      <w:tblPr/>
      <w:tcPr>
        <w:tcBorders>
          <w:top w:val="single" w:sz="8" w:space="0" w:color="FD349C" w:themeColor="accent6"/>
          <w:bottom w:val="single" w:sz="8" w:space="0" w:color="FD349C" w:themeColor="accent6"/>
        </w:tcBorders>
      </w:tcPr>
    </w:tblStylePr>
    <w:tblStylePr w:type="firstCol">
      <w:rPr>
        <w:b/>
        <w:bCs/>
      </w:rPr>
    </w:tblStylePr>
    <w:tblStylePr w:type="lastCol">
      <w:rPr>
        <w:b/>
        <w:bCs/>
      </w:rPr>
      <w:tblPr/>
      <w:tcPr>
        <w:tcBorders>
          <w:top w:val="single" w:sz="8" w:space="0" w:color="FD349C" w:themeColor="accent6"/>
          <w:bottom w:val="single" w:sz="8" w:space="0" w:color="FD349C" w:themeColor="accent6"/>
        </w:tcBorders>
      </w:tcPr>
    </w:tblStylePr>
    <w:tblStylePr w:type="band1Vert">
      <w:tblPr/>
      <w:tcPr>
        <w:shd w:val="clear" w:color="auto" w:fill="FECCE6" w:themeFill="accent6" w:themeFillTint="3F"/>
      </w:tcPr>
    </w:tblStylePr>
    <w:tblStylePr w:type="band1Horz">
      <w:tblPr/>
      <w:tcPr>
        <w:shd w:val="clear" w:color="auto" w:fill="FECCE6"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E49E2" w:themeColor="accent1"/>
        <w:left w:val="single" w:sz="8" w:space="0" w:color="1E49E2" w:themeColor="accent1"/>
        <w:bottom w:val="single" w:sz="8" w:space="0" w:color="1E49E2" w:themeColor="accent1"/>
        <w:right w:val="single" w:sz="8" w:space="0" w:color="1E49E2" w:themeColor="accent1"/>
      </w:tblBorders>
    </w:tblPr>
    <w:tblStylePr w:type="firstRow">
      <w:rPr>
        <w:sz w:val="24"/>
        <w:szCs w:val="24"/>
      </w:rPr>
      <w:tblPr/>
      <w:tcPr>
        <w:tcBorders>
          <w:top w:val="nil"/>
          <w:left w:val="nil"/>
          <w:bottom w:val="single" w:sz="24" w:space="0" w:color="1E49E2" w:themeColor="accent1"/>
          <w:right w:val="nil"/>
          <w:insideH w:val="nil"/>
          <w:insideV w:val="nil"/>
        </w:tcBorders>
        <w:shd w:val="clear" w:color="auto" w:fill="FFFFFF" w:themeFill="background1"/>
      </w:tcPr>
    </w:tblStylePr>
    <w:tblStylePr w:type="lastRow">
      <w:tblPr/>
      <w:tcPr>
        <w:tcBorders>
          <w:top w:val="single" w:sz="8" w:space="0" w:color="1E49E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E49E2" w:themeColor="accent1"/>
          <w:insideH w:val="nil"/>
          <w:insideV w:val="nil"/>
        </w:tcBorders>
        <w:shd w:val="clear" w:color="auto" w:fill="FFFFFF" w:themeFill="background1"/>
      </w:tcPr>
    </w:tblStylePr>
    <w:tblStylePr w:type="lastCol">
      <w:tblPr/>
      <w:tcPr>
        <w:tcBorders>
          <w:top w:val="nil"/>
          <w:left w:val="single" w:sz="8" w:space="0" w:color="1E49E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D1F7" w:themeFill="accent1" w:themeFillTint="3F"/>
      </w:tcPr>
    </w:tblStylePr>
    <w:tblStylePr w:type="band1Horz">
      <w:tblPr/>
      <w:tcPr>
        <w:tcBorders>
          <w:top w:val="nil"/>
          <w:bottom w:val="nil"/>
          <w:insideH w:val="nil"/>
          <w:insideV w:val="nil"/>
        </w:tcBorders>
        <w:shd w:val="clear" w:color="auto" w:fill="C7D1F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C233C" w:themeColor="accent2"/>
        <w:left w:val="single" w:sz="8" w:space="0" w:color="0C233C" w:themeColor="accent2"/>
        <w:bottom w:val="single" w:sz="8" w:space="0" w:color="0C233C" w:themeColor="accent2"/>
        <w:right w:val="single" w:sz="8" w:space="0" w:color="0C233C" w:themeColor="accent2"/>
      </w:tblBorders>
    </w:tblPr>
    <w:tblStylePr w:type="firstRow">
      <w:rPr>
        <w:sz w:val="24"/>
        <w:szCs w:val="24"/>
      </w:rPr>
      <w:tblPr/>
      <w:tcPr>
        <w:tcBorders>
          <w:top w:val="nil"/>
          <w:left w:val="nil"/>
          <w:bottom w:val="single" w:sz="24" w:space="0" w:color="0C233C" w:themeColor="accent2"/>
          <w:right w:val="nil"/>
          <w:insideH w:val="nil"/>
          <w:insideV w:val="nil"/>
        </w:tcBorders>
        <w:shd w:val="clear" w:color="auto" w:fill="FFFFFF" w:themeFill="background1"/>
      </w:tcPr>
    </w:tblStylePr>
    <w:tblStylePr w:type="lastRow">
      <w:tblPr/>
      <w:tcPr>
        <w:tcBorders>
          <w:top w:val="single" w:sz="8" w:space="0" w:color="0C233C"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C233C" w:themeColor="accent2"/>
          <w:insideH w:val="nil"/>
          <w:insideV w:val="nil"/>
        </w:tcBorders>
        <w:shd w:val="clear" w:color="auto" w:fill="FFFFFF" w:themeFill="background1"/>
      </w:tcPr>
    </w:tblStylePr>
    <w:tblStylePr w:type="lastCol">
      <w:tblPr/>
      <w:tcPr>
        <w:tcBorders>
          <w:top w:val="nil"/>
          <w:left w:val="single" w:sz="8" w:space="0" w:color="0C23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4C7ED" w:themeFill="accent2" w:themeFillTint="3F"/>
      </w:tcPr>
    </w:tblStylePr>
    <w:tblStylePr w:type="band1Horz">
      <w:tblPr/>
      <w:tcPr>
        <w:tcBorders>
          <w:top w:val="nil"/>
          <w:bottom w:val="nil"/>
          <w:insideH w:val="nil"/>
          <w:insideV w:val="nil"/>
        </w:tcBorders>
        <w:shd w:val="clear" w:color="auto" w:fill="A4C7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CEAFF" w:themeColor="accent3"/>
        <w:left w:val="single" w:sz="8" w:space="0" w:color="ACEAFF" w:themeColor="accent3"/>
        <w:bottom w:val="single" w:sz="8" w:space="0" w:color="ACEAFF" w:themeColor="accent3"/>
        <w:right w:val="single" w:sz="8" w:space="0" w:color="ACEAFF" w:themeColor="accent3"/>
      </w:tblBorders>
    </w:tblPr>
    <w:tblStylePr w:type="firstRow">
      <w:rPr>
        <w:sz w:val="24"/>
        <w:szCs w:val="24"/>
      </w:rPr>
      <w:tblPr/>
      <w:tcPr>
        <w:tcBorders>
          <w:top w:val="nil"/>
          <w:left w:val="nil"/>
          <w:bottom w:val="single" w:sz="24" w:space="0" w:color="ACEAFF" w:themeColor="accent3"/>
          <w:right w:val="nil"/>
          <w:insideH w:val="nil"/>
          <w:insideV w:val="nil"/>
        </w:tcBorders>
        <w:shd w:val="clear" w:color="auto" w:fill="FFFFFF" w:themeFill="background1"/>
      </w:tcPr>
    </w:tblStylePr>
    <w:tblStylePr w:type="lastRow">
      <w:tblPr/>
      <w:tcPr>
        <w:tcBorders>
          <w:top w:val="single" w:sz="8" w:space="0" w:color="ACEAF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CEAFF" w:themeColor="accent3"/>
          <w:insideH w:val="nil"/>
          <w:insideV w:val="nil"/>
        </w:tcBorders>
        <w:shd w:val="clear" w:color="auto" w:fill="FFFFFF" w:themeFill="background1"/>
      </w:tcPr>
    </w:tblStylePr>
    <w:tblStylePr w:type="lastCol">
      <w:tblPr/>
      <w:tcPr>
        <w:tcBorders>
          <w:top w:val="nil"/>
          <w:left w:val="single" w:sz="8" w:space="0" w:color="ACEA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9FF" w:themeFill="accent3" w:themeFillTint="3F"/>
      </w:tcPr>
    </w:tblStylePr>
    <w:tblStylePr w:type="band1Horz">
      <w:tblPr/>
      <w:tcPr>
        <w:tcBorders>
          <w:top w:val="nil"/>
          <w:bottom w:val="nil"/>
          <w:insideH w:val="nil"/>
          <w:insideV w:val="nil"/>
        </w:tcBorders>
        <w:shd w:val="clear" w:color="auto" w:fill="EAF9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8F5" w:themeColor="accent4"/>
        <w:left w:val="single" w:sz="8" w:space="0" w:color="00B8F5" w:themeColor="accent4"/>
        <w:bottom w:val="single" w:sz="8" w:space="0" w:color="00B8F5" w:themeColor="accent4"/>
        <w:right w:val="single" w:sz="8" w:space="0" w:color="00B8F5" w:themeColor="accent4"/>
      </w:tblBorders>
    </w:tblPr>
    <w:tblStylePr w:type="firstRow">
      <w:rPr>
        <w:sz w:val="24"/>
        <w:szCs w:val="24"/>
      </w:rPr>
      <w:tblPr/>
      <w:tcPr>
        <w:tcBorders>
          <w:top w:val="nil"/>
          <w:left w:val="nil"/>
          <w:bottom w:val="single" w:sz="24" w:space="0" w:color="00B8F5" w:themeColor="accent4"/>
          <w:right w:val="nil"/>
          <w:insideH w:val="nil"/>
          <w:insideV w:val="nil"/>
        </w:tcBorders>
        <w:shd w:val="clear" w:color="auto" w:fill="FFFFFF" w:themeFill="background1"/>
      </w:tcPr>
    </w:tblStylePr>
    <w:tblStylePr w:type="lastRow">
      <w:tblPr/>
      <w:tcPr>
        <w:tcBorders>
          <w:top w:val="single" w:sz="8" w:space="0" w:color="00B8F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8F5" w:themeColor="accent4"/>
          <w:insideH w:val="nil"/>
          <w:insideV w:val="nil"/>
        </w:tcBorders>
        <w:shd w:val="clear" w:color="auto" w:fill="FFFFFF" w:themeFill="background1"/>
      </w:tcPr>
    </w:tblStylePr>
    <w:tblStylePr w:type="lastCol">
      <w:tblPr/>
      <w:tcPr>
        <w:tcBorders>
          <w:top w:val="nil"/>
          <w:left w:val="single" w:sz="8" w:space="0" w:color="00B8F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EFF" w:themeFill="accent4" w:themeFillTint="3F"/>
      </w:tcPr>
    </w:tblStylePr>
    <w:tblStylePr w:type="band1Horz">
      <w:tblPr/>
      <w:tcPr>
        <w:tcBorders>
          <w:top w:val="nil"/>
          <w:bottom w:val="nil"/>
          <w:insideH w:val="nil"/>
          <w:insideV w:val="nil"/>
        </w:tcBorders>
        <w:shd w:val="clear" w:color="auto" w:fill="BDEE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213EA" w:themeColor="accent5"/>
        <w:left w:val="single" w:sz="8" w:space="0" w:color="7213EA" w:themeColor="accent5"/>
        <w:bottom w:val="single" w:sz="8" w:space="0" w:color="7213EA" w:themeColor="accent5"/>
        <w:right w:val="single" w:sz="8" w:space="0" w:color="7213EA" w:themeColor="accent5"/>
      </w:tblBorders>
    </w:tblPr>
    <w:tblStylePr w:type="firstRow">
      <w:rPr>
        <w:sz w:val="24"/>
        <w:szCs w:val="24"/>
      </w:rPr>
      <w:tblPr/>
      <w:tcPr>
        <w:tcBorders>
          <w:top w:val="nil"/>
          <w:left w:val="nil"/>
          <w:bottom w:val="single" w:sz="24" w:space="0" w:color="7213EA" w:themeColor="accent5"/>
          <w:right w:val="nil"/>
          <w:insideH w:val="nil"/>
          <w:insideV w:val="nil"/>
        </w:tcBorders>
        <w:shd w:val="clear" w:color="auto" w:fill="FFFFFF" w:themeFill="background1"/>
      </w:tcPr>
    </w:tblStylePr>
    <w:tblStylePr w:type="lastRow">
      <w:tblPr/>
      <w:tcPr>
        <w:tcBorders>
          <w:top w:val="single" w:sz="8" w:space="0" w:color="7213EA"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213EA" w:themeColor="accent5"/>
          <w:insideH w:val="nil"/>
          <w:insideV w:val="nil"/>
        </w:tcBorders>
        <w:shd w:val="clear" w:color="auto" w:fill="FFFFFF" w:themeFill="background1"/>
      </w:tcPr>
    </w:tblStylePr>
    <w:tblStylePr w:type="lastCol">
      <w:tblPr/>
      <w:tcPr>
        <w:tcBorders>
          <w:top w:val="nil"/>
          <w:left w:val="single" w:sz="8" w:space="0" w:color="7213E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C4FA" w:themeFill="accent5" w:themeFillTint="3F"/>
      </w:tcPr>
    </w:tblStylePr>
    <w:tblStylePr w:type="band1Horz">
      <w:tblPr/>
      <w:tcPr>
        <w:tcBorders>
          <w:top w:val="nil"/>
          <w:bottom w:val="nil"/>
          <w:insideH w:val="nil"/>
          <w:insideV w:val="nil"/>
        </w:tcBorders>
        <w:shd w:val="clear" w:color="auto" w:fill="DBC4F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349C" w:themeColor="accent6"/>
        <w:left w:val="single" w:sz="8" w:space="0" w:color="FD349C" w:themeColor="accent6"/>
        <w:bottom w:val="single" w:sz="8" w:space="0" w:color="FD349C" w:themeColor="accent6"/>
        <w:right w:val="single" w:sz="8" w:space="0" w:color="FD349C" w:themeColor="accent6"/>
      </w:tblBorders>
    </w:tblPr>
    <w:tblStylePr w:type="firstRow">
      <w:rPr>
        <w:sz w:val="24"/>
        <w:szCs w:val="24"/>
      </w:rPr>
      <w:tblPr/>
      <w:tcPr>
        <w:tcBorders>
          <w:top w:val="nil"/>
          <w:left w:val="nil"/>
          <w:bottom w:val="single" w:sz="24" w:space="0" w:color="FD349C" w:themeColor="accent6"/>
          <w:right w:val="nil"/>
          <w:insideH w:val="nil"/>
          <w:insideV w:val="nil"/>
        </w:tcBorders>
        <w:shd w:val="clear" w:color="auto" w:fill="FFFFFF" w:themeFill="background1"/>
      </w:tcPr>
    </w:tblStylePr>
    <w:tblStylePr w:type="lastRow">
      <w:tblPr/>
      <w:tcPr>
        <w:tcBorders>
          <w:top w:val="single" w:sz="8" w:space="0" w:color="FD349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349C" w:themeColor="accent6"/>
          <w:insideH w:val="nil"/>
          <w:insideV w:val="nil"/>
        </w:tcBorders>
        <w:shd w:val="clear" w:color="auto" w:fill="FFFFFF" w:themeFill="background1"/>
      </w:tcPr>
    </w:tblStylePr>
    <w:tblStylePr w:type="lastCol">
      <w:tblPr/>
      <w:tcPr>
        <w:tcBorders>
          <w:top w:val="nil"/>
          <w:left w:val="single" w:sz="8" w:space="0" w:color="FD349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CCE6" w:themeFill="accent6" w:themeFillTint="3F"/>
      </w:tcPr>
    </w:tblStylePr>
    <w:tblStylePr w:type="band1Horz">
      <w:tblPr/>
      <w:tcPr>
        <w:tcBorders>
          <w:top w:val="nil"/>
          <w:bottom w:val="nil"/>
          <w:insideH w:val="nil"/>
          <w:insideV w:val="nil"/>
        </w:tcBorders>
        <w:shd w:val="clear" w:color="auto" w:fill="FECCE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5676E9" w:themeColor="accent1" w:themeTint="BF"/>
        <w:left w:val="single" w:sz="8" w:space="0" w:color="5676E9" w:themeColor="accent1" w:themeTint="BF"/>
        <w:bottom w:val="single" w:sz="8" w:space="0" w:color="5676E9" w:themeColor="accent1" w:themeTint="BF"/>
        <w:right w:val="single" w:sz="8" w:space="0" w:color="5676E9" w:themeColor="accent1" w:themeTint="BF"/>
        <w:insideH w:val="single" w:sz="8" w:space="0" w:color="5676E9" w:themeColor="accent1" w:themeTint="BF"/>
        <w:insideV w:val="single" w:sz="8" w:space="0" w:color="5676E9" w:themeColor="accent1" w:themeTint="BF"/>
      </w:tblBorders>
    </w:tblPr>
    <w:tcPr>
      <w:shd w:val="clear" w:color="auto" w:fill="C7D1F7" w:themeFill="accent1" w:themeFillTint="3F"/>
    </w:tcPr>
    <w:tblStylePr w:type="firstRow">
      <w:rPr>
        <w:b/>
        <w:bCs/>
      </w:rPr>
    </w:tblStylePr>
    <w:tblStylePr w:type="lastRow">
      <w:rPr>
        <w:b/>
        <w:bCs/>
      </w:rPr>
      <w:tblPr/>
      <w:tcPr>
        <w:tcBorders>
          <w:top w:val="single" w:sz="18" w:space="0" w:color="5676E9" w:themeColor="accent1" w:themeTint="BF"/>
        </w:tcBorders>
      </w:tcPr>
    </w:tblStylePr>
    <w:tblStylePr w:type="firstCol">
      <w:rPr>
        <w:b/>
        <w:bCs/>
      </w:rPr>
    </w:tblStylePr>
    <w:tblStylePr w:type="lastCol">
      <w:rPr>
        <w:b/>
        <w:bCs/>
      </w:rPr>
    </w:tblStylePr>
    <w:tblStylePr w:type="band1Vert">
      <w:tblPr/>
      <w:tcPr>
        <w:shd w:val="clear" w:color="auto" w:fill="8EA3F0" w:themeFill="accent1" w:themeFillTint="7F"/>
      </w:tcPr>
    </w:tblStylePr>
    <w:tblStylePr w:type="band1Horz">
      <w:tblPr/>
      <w:tcPr>
        <w:shd w:val="clear" w:color="auto" w:fill="8EA3F0"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1E5897" w:themeColor="accent2" w:themeTint="BF"/>
        <w:left w:val="single" w:sz="8" w:space="0" w:color="1E5897" w:themeColor="accent2" w:themeTint="BF"/>
        <w:bottom w:val="single" w:sz="8" w:space="0" w:color="1E5897" w:themeColor="accent2" w:themeTint="BF"/>
        <w:right w:val="single" w:sz="8" w:space="0" w:color="1E5897" w:themeColor="accent2" w:themeTint="BF"/>
        <w:insideH w:val="single" w:sz="8" w:space="0" w:color="1E5897" w:themeColor="accent2" w:themeTint="BF"/>
        <w:insideV w:val="single" w:sz="8" w:space="0" w:color="1E5897" w:themeColor="accent2" w:themeTint="BF"/>
      </w:tblBorders>
    </w:tblPr>
    <w:tcPr>
      <w:shd w:val="clear" w:color="auto" w:fill="A4C7ED" w:themeFill="accent2" w:themeFillTint="3F"/>
    </w:tcPr>
    <w:tblStylePr w:type="firstRow">
      <w:rPr>
        <w:b/>
        <w:bCs/>
      </w:rPr>
    </w:tblStylePr>
    <w:tblStylePr w:type="lastRow">
      <w:rPr>
        <w:b/>
        <w:bCs/>
      </w:rPr>
      <w:tblPr/>
      <w:tcPr>
        <w:tcBorders>
          <w:top w:val="single" w:sz="18" w:space="0" w:color="1E5897" w:themeColor="accent2" w:themeTint="BF"/>
        </w:tcBorders>
      </w:tcPr>
    </w:tblStylePr>
    <w:tblStylePr w:type="firstCol">
      <w:rPr>
        <w:b/>
        <w:bCs/>
      </w:rPr>
    </w:tblStylePr>
    <w:tblStylePr w:type="lastCol">
      <w:rPr>
        <w:b/>
        <w:bCs/>
      </w:rPr>
    </w:tblStylePr>
    <w:tblStylePr w:type="band1Vert">
      <w:tblPr/>
      <w:tcPr>
        <w:shd w:val="clear" w:color="auto" w:fill="498EDA" w:themeFill="accent2" w:themeFillTint="7F"/>
      </w:tcPr>
    </w:tblStylePr>
    <w:tblStylePr w:type="band1Horz">
      <w:tblPr/>
      <w:tcPr>
        <w:shd w:val="clear" w:color="auto" w:fill="498EDA"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C0EFFF" w:themeColor="accent3" w:themeTint="BF"/>
        <w:left w:val="single" w:sz="8" w:space="0" w:color="C0EFFF" w:themeColor="accent3" w:themeTint="BF"/>
        <w:bottom w:val="single" w:sz="8" w:space="0" w:color="C0EFFF" w:themeColor="accent3" w:themeTint="BF"/>
        <w:right w:val="single" w:sz="8" w:space="0" w:color="C0EFFF" w:themeColor="accent3" w:themeTint="BF"/>
        <w:insideH w:val="single" w:sz="8" w:space="0" w:color="C0EFFF" w:themeColor="accent3" w:themeTint="BF"/>
        <w:insideV w:val="single" w:sz="8" w:space="0" w:color="C0EFFF" w:themeColor="accent3" w:themeTint="BF"/>
      </w:tblBorders>
    </w:tblPr>
    <w:tcPr>
      <w:shd w:val="clear" w:color="auto" w:fill="EAF9FF" w:themeFill="accent3" w:themeFillTint="3F"/>
    </w:tcPr>
    <w:tblStylePr w:type="firstRow">
      <w:rPr>
        <w:b/>
        <w:bCs/>
      </w:rPr>
    </w:tblStylePr>
    <w:tblStylePr w:type="lastRow">
      <w:rPr>
        <w:b/>
        <w:bCs/>
      </w:rPr>
      <w:tblPr/>
      <w:tcPr>
        <w:tcBorders>
          <w:top w:val="single" w:sz="18" w:space="0" w:color="C0EFFF" w:themeColor="accent3" w:themeTint="BF"/>
        </w:tcBorders>
      </w:tcPr>
    </w:tblStylePr>
    <w:tblStylePr w:type="firstCol">
      <w:rPr>
        <w:b/>
        <w:bCs/>
      </w:rPr>
    </w:tblStylePr>
    <w:tblStylePr w:type="lastCol">
      <w:rPr>
        <w:b/>
        <w:bCs/>
      </w:rPr>
    </w:tblStylePr>
    <w:tblStylePr w:type="band1Vert">
      <w:tblPr/>
      <w:tcPr>
        <w:shd w:val="clear" w:color="auto" w:fill="D5F4FF" w:themeFill="accent3" w:themeFillTint="7F"/>
      </w:tcPr>
    </w:tblStylePr>
    <w:tblStylePr w:type="band1Horz">
      <w:tblPr/>
      <w:tcPr>
        <w:shd w:val="clear" w:color="auto" w:fill="D5F4FF"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38CDFF" w:themeColor="accent4" w:themeTint="BF"/>
        <w:left w:val="single" w:sz="8" w:space="0" w:color="38CDFF" w:themeColor="accent4" w:themeTint="BF"/>
        <w:bottom w:val="single" w:sz="8" w:space="0" w:color="38CDFF" w:themeColor="accent4" w:themeTint="BF"/>
        <w:right w:val="single" w:sz="8" w:space="0" w:color="38CDFF" w:themeColor="accent4" w:themeTint="BF"/>
        <w:insideH w:val="single" w:sz="8" w:space="0" w:color="38CDFF" w:themeColor="accent4" w:themeTint="BF"/>
        <w:insideV w:val="single" w:sz="8" w:space="0" w:color="38CDFF" w:themeColor="accent4" w:themeTint="BF"/>
      </w:tblBorders>
    </w:tblPr>
    <w:tcPr>
      <w:shd w:val="clear" w:color="auto" w:fill="BDEEFF" w:themeFill="accent4" w:themeFillTint="3F"/>
    </w:tcPr>
    <w:tblStylePr w:type="firstRow">
      <w:rPr>
        <w:b/>
        <w:bCs/>
      </w:rPr>
    </w:tblStylePr>
    <w:tblStylePr w:type="lastRow">
      <w:rPr>
        <w:b/>
        <w:bCs/>
      </w:rPr>
      <w:tblPr/>
      <w:tcPr>
        <w:tcBorders>
          <w:top w:val="single" w:sz="18" w:space="0" w:color="38CDFF" w:themeColor="accent4" w:themeTint="BF"/>
        </w:tcBorders>
      </w:tcPr>
    </w:tblStylePr>
    <w:tblStylePr w:type="firstCol">
      <w:rPr>
        <w:b/>
        <w:bCs/>
      </w:rPr>
    </w:tblStylePr>
    <w:tblStylePr w:type="lastCol">
      <w:rPr>
        <w:b/>
        <w:bCs/>
      </w:rPr>
    </w:tblStylePr>
    <w:tblStylePr w:type="band1Vert">
      <w:tblPr/>
      <w:tcPr>
        <w:shd w:val="clear" w:color="auto" w:fill="7BDDFF" w:themeFill="accent4" w:themeFillTint="7F"/>
      </w:tcPr>
    </w:tblStylePr>
    <w:tblStylePr w:type="band1Horz">
      <w:tblPr/>
      <w:tcPr>
        <w:shd w:val="clear" w:color="auto" w:fill="7BDDFF"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944CF0" w:themeColor="accent5" w:themeTint="BF"/>
        <w:left w:val="single" w:sz="8" w:space="0" w:color="944CF0" w:themeColor="accent5" w:themeTint="BF"/>
        <w:bottom w:val="single" w:sz="8" w:space="0" w:color="944CF0" w:themeColor="accent5" w:themeTint="BF"/>
        <w:right w:val="single" w:sz="8" w:space="0" w:color="944CF0" w:themeColor="accent5" w:themeTint="BF"/>
        <w:insideH w:val="single" w:sz="8" w:space="0" w:color="944CF0" w:themeColor="accent5" w:themeTint="BF"/>
        <w:insideV w:val="single" w:sz="8" w:space="0" w:color="944CF0" w:themeColor="accent5" w:themeTint="BF"/>
      </w:tblBorders>
    </w:tblPr>
    <w:tcPr>
      <w:shd w:val="clear" w:color="auto" w:fill="DBC4FA" w:themeFill="accent5" w:themeFillTint="3F"/>
    </w:tcPr>
    <w:tblStylePr w:type="firstRow">
      <w:rPr>
        <w:b/>
        <w:bCs/>
      </w:rPr>
    </w:tblStylePr>
    <w:tblStylePr w:type="lastRow">
      <w:rPr>
        <w:b/>
        <w:bCs/>
      </w:rPr>
      <w:tblPr/>
      <w:tcPr>
        <w:tcBorders>
          <w:top w:val="single" w:sz="18" w:space="0" w:color="944CF0" w:themeColor="accent5" w:themeTint="BF"/>
        </w:tcBorders>
      </w:tcPr>
    </w:tblStylePr>
    <w:tblStylePr w:type="firstCol">
      <w:rPr>
        <w:b/>
        <w:bCs/>
      </w:rPr>
    </w:tblStylePr>
    <w:tblStylePr w:type="lastCol">
      <w:rPr>
        <w:b/>
        <w:bCs/>
      </w:rPr>
    </w:tblStylePr>
    <w:tblStylePr w:type="band1Vert">
      <w:tblPr/>
      <w:tcPr>
        <w:shd w:val="clear" w:color="auto" w:fill="B888F5" w:themeFill="accent5" w:themeFillTint="7F"/>
      </w:tcPr>
    </w:tblStylePr>
    <w:tblStylePr w:type="band1Horz">
      <w:tblPr/>
      <w:tcPr>
        <w:shd w:val="clear" w:color="auto" w:fill="B888F5"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D66B4" w:themeColor="accent6" w:themeTint="BF"/>
        <w:left w:val="single" w:sz="8" w:space="0" w:color="FD66B4" w:themeColor="accent6" w:themeTint="BF"/>
        <w:bottom w:val="single" w:sz="8" w:space="0" w:color="FD66B4" w:themeColor="accent6" w:themeTint="BF"/>
        <w:right w:val="single" w:sz="8" w:space="0" w:color="FD66B4" w:themeColor="accent6" w:themeTint="BF"/>
        <w:insideH w:val="single" w:sz="8" w:space="0" w:color="FD66B4" w:themeColor="accent6" w:themeTint="BF"/>
        <w:insideV w:val="single" w:sz="8" w:space="0" w:color="FD66B4" w:themeColor="accent6" w:themeTint="BF"/>
      </w:tblBorders>
    </w:tblPr>
    <w:tcPr>
      <w:shd w:val="clear" w:color="auto" w:fill="FECCE6" w:themeFill="accent6" w:themeFillTint="3F"/>
    </w:tcPr>
    <w:tblStylePr w:type="firstRow">
      <w:rPr>
        <w:b/>
        <w:bCs/>
      </w:rPr>
    </w:tblStylePr>
    <w:tblStylePr w:type="lastRow">
      <w:rPr>
        <w:b/>
        <w:bCs/>
      </w:rPr>
      <w:tblPr/>
      <w:tcPr>
        <w:tcBorders>
          <w:top w:val="single" w:sz="18" w:space="0" w:color="FD66B4" w:themeColor="accent6" w:themeTint="BF"/>
        </w:tcBorders>
      </w:tcPr>
    </w:tblStylePr>
    <w:tblStylePr w:type="firstCol">
      <w:rPr>
        <w:b/>
        <w:bCs/>
      </w:rPr>
    </w:tblStylePr>
    <w:tblStylePr w:type="lastCol">
      <w:rPr>
        <w:b/>
        <w:bCs/>
      </w:rPr>
    </w:tblStylePr>
    <w:tblStylePr w:type="band1Vert">
      <w:tblPr/>
      <w:tcPr>
        <w:shd w:val="clear" w:color="auto" w:fill="FE99CD" w:themeFill="accent6" w:themeFillTint="7F"/>
      </w:tcPr>
    </w:tblStylePr>
    <w:tblStylePr w:type="band1Horz">
      <w:tblPr/>
      <w:tcPr>
        <w:shd w:val="clear" w:color="auto" w:fill="FE99CD"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E49E2" w:themeColor="accent1"/>
        <w:left w:val="single" w:sz="8" w:space="0" w:color="1E49E2" w:themeColor="accent1"/>
        <w:bottom w:val="single" w:sz="8" w:space="0" w:color="1E49E2" w:themeColor="accent1"/>
        <w:right w:val="single" w:sz="8" w:space="0" w:color="1E49E2" w:themeColor="accent1"/>
        <w:insideH w:val="single" w:sz="8" w:space="0" w:color="1E49E2" w:themeColor="accent1"/>
        <w:insideV w:val="single" w:sz="8" w:space="0" w:color="1E49E2" w:themeColor="accent1"/>
      </w:tblBorders>
    </w:tblPr>
    <w:tcPr>
      <w:shd w:val="clear" w:color="auto" w:fill="C7D1F7" w:themeFill="accent1" w:themeFillTint="3F"/>
    </w:tcPr>
    <w:tblStylePr w:type="firstRow">
      <w:rPr>
        <w:b/>
        <w:bCs/>
        <w:color w:val="000000" w:themeColor="text1"/>
      </w:rPr>
      <w:tblPr/>
      <w:tcPr>
        <w:shd w:val="clear" w:color="auto" w:fill="E8ED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DAF9" w:themeFill="accent1" w:themeFillTint="33"/>
      </w:tcPr>
    </w:tblStylePr>
    <w:tblStylePr w:type="band1Vert">
      <w:tblPr/>
      <w:tcPr>
        <w:shd w:val="clear" w:color="auto" w:fill="8EA3F0" w:themeFill="accent1" w:themeFillTint="7F"/>
      </w:tcPr>
    </w:tblStylePr>
    <w:tblStylePr w:type="band1Horz">
      <w:tblPr/>
      <w:tcPr>
        <w:tcBorders>
          <w:insideH w:val="single" w:sz="6" w:space="0" w:color="1E49E2" w:themeColor="accent1"/>
          <w:insideV w:val="single" w:sz="6" w:space="0" w:color="1E49E2" w:themeColor="accent1"/>
        </w:tcBorders>
        <w:shd w:val="clear" w:color="auto" w:fill="8EA3F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C233C" w:themeColor="accent2"/>
        <w:left w:val="single" w:sz="8" w:space="0" w:color="0C233C" w:themeColor="accent2"/>
        <w:bottom w:val="single" w:sz="8" w:space="0" w:color="0C233C" w:themeColor="accent2"/>
        <w:right w:val="single" w:sz="8" w:space="0" w:color="0C233C" w:themeColor="accent2"/>
        <w:insideH w:val="single" w:sz="8" w:space="0" w:color="0C233C" w:themeColor="accent2"/>
        <w:insideV w:val="single" w:sz="8" w:space="0" w:color="0C233C" w:themeColor="accent2"/>
      </w:tblBorders>
    </w:tblPr>
    <w:tcPr>
      <w:shd w:val="clear" w:color="auto" w:fill="A4C7ED" w:themeFill="accent2" w:themeFillTint="3F"/>
    </w:tcPr>
    <w:tblStylePr w:type="firstRow">
      <w:rPr>
        <w:b/>
        <w:bCs/>
        <w:color w:val="000000" w:themeColor="text1"/>
      </w:rPr>
      <w:tblPr/>
      <w:tcPr>
        <w:shd w:val="clear" w:color="auto" w:fill="DBE8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5D1F0" w:themeFill="accent2" w:themeFillTint="33"/>
      </w:tcPr>
    </w:tblStylePr>
    <w:tblStylePr w:type="band1Vert">
      <w:tblPr/>
      <w:tcPr>
        <w:shd w:val="clear" w:color="auto" w:fill="498EDA" w:themeFill="accent2" w:themeFillTint="7F"/>
      </w:tcPr>
    </w:tblStylePr>
    <w:tblStylePr w:type="band1Horz">
      <w:tblPr/>
      <w:tcPr>
        <w:tcBorders>
          <w:insideH w:val="single" w:sz="6" w:space="0" w:color="0C233C" w:themeColor="accent2"/>
          <w:insideV w:val="single" w:sz="6" w:space="0" w:color="0C233C" w:themeColor="accent2"/>
        </w:tcBorders>
        <w:shd w:val="clear" w:color="auto" w:fill="498ED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CEAFF" w:themeColor="accent3"/>
        <w:left w:val="single" w:sz="8" w:space="0" w:color="ACEAFF" w:themeColor="accent3"/>
        <w:bottom w:val="single" w:sz="8" w:space="0" w:color="ACEAFF" w:themeColor="accent3"/>
        <w:right w:val="single" w:sz="8" w:space="0" w:color="ACEAFF" w:themeColor="accent3"/>
        <w:insideH w:val="single" w:sz="8" w:space="0" w:color="ACEAFF" w:themeColor="accent3"/>
        <w:insideV w:val="single" w:sz="8" w:space="0" w:color="ACEAFF" w:themeColor="accent3"/>
      </w:tblBorders>
    </w:tblPr>
    <w:tcPr>
      <w:shd w:val="clear" w:color="auto" w:fill="EAF9FF" w:themeFill="accent3" w:themeFillTint="3F"/>
    </w:tcPr>
    <w:tblStylePr w:type="firstRow">
      <w:rPr>
        <w:b/>
        <w:bCs/>
        <w:color w:val="000000" w:themeColor="text1"/>
      </w:rPr>
      <w:tblPr/>
      <w:tcPr>
        <w:shd w:val="clear" w:color="auto" w:fill="F6FC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EFAFF" w:themeFill="accent3" w:themeFillTint="33"/>
      </w:tcPr>
    </w:tblStylePr>
    <w:tblStylePr w:type="band1Vert">
      <w:tblPr/>
      <w:tcPr>
        <w:shd w:val="clear" w:color="auto" w:fill="D5F4FF" w:themeFill="accent3" w:themeFillTint="7F"/>
      </w:tcPr>
    </w:tblStylePr>
    <w:tblStylePr w:type="band1Horz">
      <w:tblPr/>
      <w:tcPr>
        <w:tcBorders>
          <w:insideH w:val="single" w:sz="6" w:space="0" w:color="ACEAFF" w:themeColor="accent3"/>
          <w:insideV w:val="single" w:sz="6" w:space="0" w:color="ACEAFF" w:themeColor="accent3"/>
        </w:tcBorders>
        <w:shd w:val="clear" w:color="auto" w:fill="D5F4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8F5" w:themeColor="accent4"/>
        <w:left w:val="single" w:sz="8" w:space="0" w:color="00B8F5" w:themeColor="accent4"/>
        <w:bottom w:val="single" w:sz="8" w:space="0" w:color="00B8F5" w:themeColor="accent4"/>
        <w:right w:val="single" w:sz="8" w:space="0" w:color="00B8F5" w:themeColor="accent4"/>
        <w:insideH w:val="single" w:sz="8" w:space="0" w:color="00B8F5" w:themeColor="accent4"/>
        <w:insideV w:val="single" w:sz="8" w:space="0" w:color="00B8F5" w:themeColor="accent4"/>
      </w:tblBorders>
    </w:tblPr>
    <w:tcPr>
      <w:shd w:val="clear" w:color="auto" w:fill="BDEEFF" w:themeFill="accent4" w:themeFillTint="3F"/>
    </w:tcPr>
    <w:tblStylePr w:type="firstRow">
      <w:rPr>
        <w:b/>
        <w:bCs/>
        <w:color w:val="000000" w:themeColor="text1"/>
      </w:rPr>
      <w:tblPr/>
      <w:tcPr>
        <w:shd w:val="clear" w:color="auto" w:fill="E5F8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F1FF" w:themeFill="accent4" w:themeFillTint="33"/>
      </w:tcPr>
    </w:tblStylePr>
    <w:tblStylePr w:type="band1Vert">
      <w:tblPr/>
      <w:tcPr>
        <w:shd w:val="clear" w:color="auto" w:fill="7BDDFF" w:themeFill="accent4" w:themeFillTint="7F"/>
      </w:tcPr>
    </w:tblStylePr>
    <w:tblStylePr w:type="band1Horz">
      <w:tblPr/>
      <w:tcPr>
        <w:tcBorders>
          <w:insideH w:val="single" w:sz="6" w:space="0" w:color="00B8F5" w:themeColor="accent4"/>
          <w:insideV w:val="single" w:sz="6" w:space="0" w:color="00B8F5" w:themeColor="accent4"/>
        </w:tcBorders>
        <w:shd w:val="clear" w:color="auto" w:fill="7BDD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213EA" w:themeColor="accent5"/>
        <w:left w:val="single" w:sz="8" w:space="0" w:color="7213EA" w:themeColor="accent5"/>
        <w:bottom w:val="single" w:sz="8" w:space="0" w:color="7213EA" w:themeColor="accent5"/>
        <w:right w:val="single" w:sz="8" w:space="0" w:color="7213EA" w:themeColor="accent5"/>
        <w:insideH w:val="single" w:sz="8" w:space="0" w:color="7213EA" w:themeColor="accent5"/>
        <w:insideV w:val="single" w:sz="8" w:space="0" w:color="7213EA" w:themeColor="accent5"/>
      </w:tblBorders>
    </w:tblPr>
    <w:tcPr>
      <w:shd w:val="clear" w:color="auto" w:fill="DBC4FA" w:themeFill="accent5" w:themeFillTint="3F"/>
    </w:tcPr>
    <w:tblStylePr w:type="firstRow">
      <w:rPr>
        <w:b/>
        <w:bCs/>
        <w:color w:val="000000" w:themeColor="text1"/>
      </w:rPr>
      <w:tblPr/>
      <w:tcPr>
        <w:shd w:val="clear" w:color="auto" w:fill="F1E7FD"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CFFB" w:themeFill="accent5" w:themeFillTint="33"/>
      </w:tcPr>
    </w:tblStylePr>
    <w:tblStylePr w:type="band1Vert">
      <w:tblPr/>
      <w:tcPr>
        <w:shd w:val="clear" w:color="auto" w:fill="B888F5" w:themeFill="accent5" w:themeFillTint="7F"/>
      </w:tcPr>
    </w:tblStylePr>
    <w:tblStylePr w:type="band1Horz">
      <w:tblPr/>
      <w:tcPr>
        <w:tcBorders>
          <w:insideH w:val="single" w:sz="6" w:space="0" w:color="7213EA" w:themeColor="accent5"/>
          <w:insideV w:val="single" w:sz="6" w:space="0" w:color="7213EA" w:themeColor="accent5"/>
        </w:tcBorders>
        <w:shd w:val="clear" w:color="auto" w:fill="B888F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349C" w:themeColor="accent6"/>
        <w:left w:val="single" w:sz="8" w:space="0" w:color="FD349C" w:themeColor="accent6"/>
        <w:bottom w:val="single" w:sz="8" w:space="0" w:color="FD349C" w:themeColor="accent6"/>
        <w:right w:val="single" w:sz="8" w:space="0" w:color="FD349C" w:themeColor="accent6"/>
        <w:insideH w:val="single" w:sz="8" w:space="0" w:color="FD349C" w:themeColor="accent6"/>
        <w:insideV w:val="single" w:sz="8" w:space="0" w:color="FD349C" w:themeColor="accent6"/>
      </w:tblBorders>
    </w:tblPr>
    <w:tcPr>
      <w:shd w:val="clear" w:color="auto" w:fill="FECCE6" w:themeFill="accent6" w:themeFillTint="3F"/>
    </w:tcPr>
    <w:tblStylePr w:type="firstRow">
      <w:rPr>
        <w:b/>
        <w:bCs/>
        <w:color w:val="000000" w:themeColor="text1"/>
      </w:rPr>
      <w:tblPr/>
      <w:tcPr>
        <w:shd w:val="clear" w:color="auto" w:fill="FEEA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D6EB" w:themeFill="accent6" w:themeFillTint="33"/>
      </w:tcPr>
    </w:tblStylePr>
    <w:tblStylePr w:type="band1Vert">
      <w:tblPr/>
      <w:tcPr>
        <w:shd w:val="clear" w:color="auto" w:fill="FE99CD" w:themeFill="accent6" w:themeFillTint="7F"/>
      </w:tcPr>
    </w:tblStylePr>
    <w:tblStylePr w:type="band1Horz">
      <w:tblPr/>
      <w:tcPr>
        <w:tcBorders>
          <w:insideH w:val="single" w:sz="6" w:space="0" w:color="FD349C" w:themeColor="accent6"/>
          <w:insideV w:val="single" w:sz="6" w:space="0" w:color="FD349C" w:themeColor="accent6"/>
        </w:tcBorders>
        <w:shd w:val="clear" w:color="auto" w:fill="FE99C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D1F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E49E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E49E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E49E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E49E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EA3F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EA3F0"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4C7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C23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C23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C23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C23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98ED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98EDA"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9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CEA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CEA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CEA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CEA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5F4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5F4FF"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E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8F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8F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8F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8F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D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DFF"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C4F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213E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213E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213E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213E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88F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888F5"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CCE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349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349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349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349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99C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99CD"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1E49E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E2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635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635A9" w:themeFill="accent1" w:themeFillShade="BF"/>
      </w:tcPr>
    </w:tblStylePr>
    <w:tblStylePr w:type="band1Vert">
      <w:tblPr/>
      <w:tcPr>
        <w:tcBorders>
          <w:top w:val="nil"/>
          <w:left w:val="nil"/>
          <w:bottom w:val="nil"/>
          <w:right w:val="nil"/>
          <w:insideH w:val="nil"/>
          <w:insideV w:val="nil"/>
        </w:tcBorders>
        <w:shd w:val="clear" w:color="auto" w:fill="1635A9" w:themeFill="accent1" w:themeFillShade="BF"/>
      </w:tcPr>
    </w:tblStylePr>
    <w:tblStylePr w:type="band1Horz">
      <w:tblPr/>
      <w:tcPr>
        <w:tcBorders>
          <w:top w:val="nil"/>
          <w:left w:val="nil"/>
          <w:bottom w:val="nil"/>
          <w:right w:val="nil"/>
          <w:insideH w:val="nil"/>
          <w:insideV w:val="nil"/>
        </w:tcBorders>
        <w:shd w:val="clear" w:color="auto" w:fill="1635A9"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0C23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6111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91A2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91A2C" w:themeFill="accent2" w:themeFillShade="BF"/>
      </w:tcPr>
    </w:tblStylePr>
    <w:tblStylePr w:type="band1Vert">
      <w:tblPr/>
      <w:tcPr>
        <w:tcBorders>
          <w:top w:val="nil"/>
          <w:left w:val="nil"/>
          <w:bottom w:val="nil"/>
          <w:right w:val="nil"/>
          <w:insideH w:val="nil"/>
          <w:insideV w:val="nil"/>
        </w:tcBorders>
        <w:shd w:val="clear" w:color="auto" w:fill="091A2C" w:themeFill="accent2" w:themeFillShade="BF"/>
      </w:tcPr>
    </w:tblStylePr>
    <w:tblStylePr w:type="band1Horz">
      <w:tblPr/>
      <w:tcPr>
        <w:tcBorders>
          <w:top w:val="nil"/>
          <w:left w:val="nil"/>
          <w:bottom w:val="nil"/>
          <w:right w:val="nil"/>
          <w:insideH w:val="nil"/>
          <w:insideV w:val="nil"/>
        </w:tcBorders>
        <w:shd w:val="clear" w:color="auto" w:fill="091A2C"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ACEA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9ED4"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0CEF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0CEFF" w:themeFill="accent3" w:themeFillShade="BF"/>
      </w:tcPr>
    </w:tblStylePr>
    <w:tblStylePr w:type="band1Vert">
      <w:tblPr/>
      <w:tcPr>
        <w:tcBorders>
          <w:top w:val="nil"/>
          <w:left w:val="nil"/>
          <w:bottom w:val="nil"/>
          <w:right w:val="nil"/>
          <w:insideH w:val="nil"/>
          <w:insideV w:val="nil"/>
        </w:tcBorders>
        <w:shd w:val="clear" w:color="auto" w:fill="40CEFF" w:themeFill="accent3" w:themeFillShade="BF"/>
      </w:tcPr>
    </w:tblStylePr>
    <w:tblStylePr w:type="band1Horz">
      <w:tblPr/>
      <w:tcPr>
        <w:tcBorders>
          <w:top w:val="nil"/>
          <w:left w:val="nil"/>
          <w:bottom w:val="nil"/>
          <w:right w:val="nil"/>
          <w:insideH w:val="nil"/>
          <w:insideV w:val="nil"/>
        </w:tcBorders>
        <w:shd w:val="clear" w:color="auto" w:fill="40CEFF"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00B8F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B7A"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89B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89B7" w:themeFill="accent4" w:themeFillShade="BF"/>
      </w:tcPr>
    </w:tblStylePr>
    <w:tblStylePr w:type="band1Vert">
      <w:tblPr/>
      <w:tcPr>
        <w:tcBorders>
          <w:top w:val="nil"/>
          <w:left w:val="nil"/>
          <w:bottom w:val="nil"/>
          <w:right w:val="nil"/>
          <w:insideH w:val="nil"/>
          <w:insideV w:val="nil"/>
        </w:tcBorders>
        <w:shd w:val="clear" w:color="auto" w:fill="0089B7" w:themeFill="accent4" w:themeFillShade="BF"/>
      </w:tcPr>
    </w:tblStylePr>
    <w:tblStylePr w:type="band1Horz">
      <w:tblPr/>
      <w:tcPr>
        <w:tcBorders>
          <w:top w:val="nil"/>
          <w:left w:val="nil"/>
          <w:bottom w:val="nil"/>
          <w:right w:val="nil"/>
          <w:insideH w:val="nil"/>
          <w:insideV w:val="nil"/>
        </w:tcBorders>
        <w:shd w:val="clear" w:color="auto" w:fill="0089B7"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7213E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0974"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40EA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40EAF" w:themeFill="accent5" w:themeFillShade="BF"/>
      </w:tcPr>
    </w:tblStylePr>
    <w:tblStylePr w:type="band1Vert">
      <w:tblPr/>
      <w:tcPr>
        <w:tcBorders>
          <w:top w:val="nil"/>
          <w:left w:val="nil"/>
          <w:bottom w:val="nil"/>
          <w:right w:val="nil"/>
          <w:insideH w:val="nil"/>
          <w:insideV w:val="nil"/>
        </w:tcBorders>
        <w:shd w:val="clear" w:color="auto" w:fill="540EAF" w:themeFill="accent5" w:themeFillShade="BF"/>
      </w:tcPr>
    </w:tblStylePr>
    <w:tblStylePr w:type="band1Horz">
      <w:tblPr/>
      <w:tcPr>
        <w:tcBorders>
          <w:top w:val="nil"/>
          <w:left w:val="nil"/>
          <w:bottom w:val="nil"/>
          <w:right w:val="nil"/>
          <w:insideH w:val="nil"/>
          <w:insideV w:val="nil"/>
        </w:tcBorders>
        <w:shd w:val="clear" w:color="auto" w:fill="540EAF"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D349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014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2027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20275" w:themeFill="accent6" w:themeFillShade="BF"/>
      </w:tcPr>
    </w:tblStylePr>
    <w:tblStylePr w:type="band1Vert">
      <w:tblPr/>
      <w:tcPr>
        <w:tcBorders>
          <w:top w:val="nil"/>
          <w:left w:val="nil"/>
          <w:bottom w:val="nil"/>
          <w:right w:val="nil"/>
          <w:insideH w:val="nil"/>
          <w:insideV w:val="nil"/>
        </w:tcBorders>
        <w:shd w:val="clear" w:color="auto" w:fill="E20275" w:themeFill="accent6" w:themeFillShade="BF"/>
      </w:tcPr>
    </w:tblStylePr>
    <w:tblStylePr w:type="band1Horz">
      <w:tblPr/>
      <w:tcPr>
        <w:tcBorders>
          <w:top w:val="nil"/>
          <w:left w:val="nil"/>
          <w:bottom w:val="nil"/>
          <w:right w:val="nil"/>
          <w:insideH w:val="nil"/>
          <w:insideV w:val="nil"/>
        </w:tcBorders>
        <w:shd w:val="clear" w:color="auto" w:fill="E20275"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0C23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C23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0C233C" w:themeColor="accent2"/>
        <w:left w:val="single" w:sz="4" w:space="0" w:color="1E49E2" w:themeColor="accent1"/>
        <w:bottom w:val="single" w:sz="4" w:space="0" w:color="1E49E2" w:themeColor="accent1"/>
        <w:right w:val="single" w:sz="4" w:space="0" w:color="1E49E2" w:themeColor="accent1"/>
        <w:insideH w:val="single" w:sz="4" w:space="0" w:color="FFFFFF" w:themeColor="background1"/>
        <w:insideV w:val="single" w:sz="4" w:space="0" w:color="FFFFFF" w:themeColor="background1"/>
      </w:tblBorders>
    </w:tblPr>
    <w:tcPr>
      <w:shd w:val="clear" w:color="auto" w:fill="E8EDFC" w:themeFill="accent1" w:themeFillTint="19"/>
    </w:tcPr>
    <w:tblStylePr w:type="firstRow">
      <w:rPr>
        <w:b/>
        <w:bCs/>
      </w:rPr>
      <w:tblPr/>
      <w:tcPr>
        <w:tcBorders>
          <w:top w:val="nil"/>
          <w:left w:val="nil"/>
          <w:bottom w:val="single" w:sz="24" w:space="0" w:color="0C23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12B87" w:themeFill="accent1" w:themeFillShade="99"/>
      </w:tcPr>
    </w:tblStylePr>
    <w:tblStylePr w:type="firstCol">
      <w:rPr>
        <w:color w:val="FFFFFF" w:themeColor="background1"/>
      </w:rPr>
      <w:tblPr/>
      <w:tcPr>
        <w:tcBorders>
          <w:top w:val="nil"/>
          <w:left w:val="nil"/>
          <w:bottom w:val="nil"/>
          <w:right w:val="nil"/>
          <w:insideH w:val="single" w:sz="4" w:space="0" w:color="112B87" w:themeColor="accent1" w:themeShade="99"/>
          <w:insideV w:val="nil"/>
        </w:tcBorders>
        <w:shd w:val="clear" w:color="auto" w:fill="112B8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12B87" w:themeFill="accent1" w:themeFillShade="99"/>
      </w:tcPr>
    </w:tblStylePr>
    <w:tblStylePr w:type="band1Vert">
      <w:tblPr/>
      <w:tcPr>
        <w:shd w:val="clear" w:color="auto" w:fill="A4B5F3" w:themeFill="accent1" w:themeFillTint="66"/>
      </w:tcPr>
    </w:tblStylePr>
    <w:tblStylePr w:type="band1Horz">
      <w:tblPr/>
      <w:tcPr>
        <w:shd w:val="clear" w:color="auto" w:fill="8EA3F0"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0C233C" w:themeColor="accent2"/>
        <w:left w:val="single" w:sz="4" w:space="0" w:color="0C233C" w:themeColor="accent2"/>
        <w:bottom w:val="single" w:sz="4" w:space="0" w:color="0C233C" w:themeColor="accent2"/>
        <w:right w:val="single" w:sz="4" w:space="0" w:color="0C233C" w:themeColor="accent2"/>
        <w:insideH w:val="single" w:sz="4" w:space="0" w:color="FFFFFF" w:themeColor="background1"/>
        <w:insideV w:val="single" w:sz="4" w:space="0" w:color="FFFFFF" w:themeColor="background1"/>
      </w:tblBorders>
    </w:tblPr>
    <w:tcPr>
      <w:shd w:val="clear" w:color="auto" w:fill="DBE8F7" w:themeFill="accent2" w:themeFillTint="19"/>
    </w:tcPr>
    <w:tblStylePr w:type="firstRow">
      <w:rPr>
        <w:b/>
        <w:bCs/>
      </w:rPr>
      <w:tblPr/>
      <w:tcPr>
        <w:tcBorders>
          <w:top w:val="nil"/>
          <w:left w:val="nil"/>
          <w:bottom w:val="single" w:sz="24" w:space="0" w:color="0C23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71423" w:themeFill="accent2" w:themeFillShade="99"/>
      </w:tcPr>
    </w:tblStylePr>
    <w:tblStylePr w:type="firstCol">
      <w:rPr>
        <w:color w:val="FFFFFF" w:themeColor="background1"/>
      </w:rPr>
      <w:tblPr/>
      <w:tcPr>
        <w:tcBorders>
          <w:top w:val="nil"/>
          <w:left w:val="nil"/>
          <w:bottom w:val="nil"/>
          <w:right w:val="nil"/>
          <w:insideH w:val="single" w:sz="4" w:space="0" w:color="071423" w:themeColor="accent2" w:themeShade="99"/>
          <w:insideV w:val="nil"/>
        </w:tcBorders>
        <w:shd w:val="clear" w:color="auto" w:fill="07142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71423" w:themeFill="accent2" w:themeFillShade="99"/>
      </w:tcPr>
    </w:tblStylePr>
    <w:tblStylePr w:type="band1Vert">
      <w:tblPr/>
      <w:tcPr>
        <w:shd w:val="clear" w:color="auto" w:fill="6CA4E1" w:themeFill="accent2" w:themeFillTint="66"/>
      </w:tcPr>
    </w:tblStylePr>
    <w:tblStylePr w:type="band1Horz">
      <w:tblPr/>
      <w:tcPr>
        <w:shd w:val="clear" w:color="auto" w:fill="498EDA"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00B8F5" w:themeColor="accent4"/>
        <w:left w:val="single" w:sz="4" w:space="0" w:color="ACEAFF" w:themeColor="accent3"/>
        <w:bottom w:val="single" w:sz="4" w:space="0" w:color="ACEAFF" w:themeColor="accent3"/>
        <w:right w:val="single" w:sz="4" w:space="0" w:color="ACEAFF" w:themeColor="accent3"/>
        <w:insideH w:val="single" w:sz="4" w:space="0" w:color="FFFFFF" w:themeColor="background1"/>
        <w:insideV w:val="single" w:sz="4" w:space="0" w:color="FFFFFF" w:themeColor="background1"/>
      </w:tblBorders>
    </w:tblPr>
    <w:tcPr>
      <w:shd w:val="clear" w:color="auto" w:fill="F6FCFF" w:themeFill="accent3" w:themeFillTint="19"/>
    </w:tcPr>
    <w:tblStylePr w:type="firstRow">
      <w:rPr>
        <w:b/>
        <w:bCs/>
      </w:rPr>
      <w:tblPr/>
      <w:tcPr>
        <w:tcBorders>
          <w:top w:val="nil"/>
          <w:left w:val="nil"/>
          <w:bottom w:val="single" w:sz="24" w:space="0" w:color="00B8F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BEFF" w:themeFill="accent3" w:themeFillShade="99"/>
      </w:tcPr>
    </w:tblStylePr>
    <w:tblStylePr w:type="firstCol">
      <w:rPr>
        <w:color w:val="FFFFFF" w:themeColor="background1"/>
      </w:rPr>
      <w:tblPr/>
      <w:tcPr>
        <w:tcBorders>
          <w:top w:val="nil"/>
          <w:left w:val="nil"/>
          <w:bottom w:val="nil"/>
          <w:right w:val="nil"/>
          <w:insideH w:val="single" w:sz="4" w:space="0" w:color="01BEFF" w:themeColor="accent3" w:themeShade="99"/>
          <w:insideV w:val="nil"/>
        </w:tcBorders>
        <w:shd w:val="clear" w:color="auto" w:fill="01BEF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1BEFF" w:themeFill="accent3" w:themeFillShade="99"/>
      </w:tcPr>
    </w:tblStylePr>
    <w:tblStylePr w:type="band1Vert">
      <w:tblPr/>
      <w:tcPr>
        <w:shd w:val="clear" w:color="auto" w:fill="DDF6FF" w:themeFill="accent3" w:themeFillTint="66"/>
      </w:tcPr>
    </w:tblStylePr>
    <w:tblStylePr w:type="band1Horz">
      <w:tblPr/>
      <w:tcPr>
        <w:shd w:val="clear" w:color="auto" w:fill="D5F4FF"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ACEAFF" w:themeColor="accent3"/>
        <w:left w:val="single" w:sz="4" w:space="0" w:color="00B8F5" w:themeColor="accent4"/>
        <w:bottom w:val="single" w:sz="4" w:space="0" w:color="00B8F5" w:themeColor="accent4"/>
        <w:right w:val="single" w:sz="4" w:space="0" w:color="00B8F5" w:themeColor="accent4"/>
        <w:insideH w:val="single" w:sz="4" w:space="0" w:color="FFFFFF" w:themeColor="background1"/>
        <w:insideV w:val="single" w:sz="4" w:space="0" w:color="FFFFFF" w:themeColor="background1"/>
      </w:tblBorders>
    </w:tblPr>
    <w:tcPr>
      <w:shd w:val="clear" w:color="auto" w:fill="E5F8FF" w:themeFill="accent4" w:themeFillTint="19"/>
    </w:tcPr>
    <w:tblStylePr w:type="firstRow">
      <w:rPr>
        <w:b/>
        <w:bCs/>
      </w:rPr>
      <w:tblPr/>
      <w:tcPr>
        <w:tcBorders>
          <w:top w:val="nil"/>
          <w:left w:val="nil"/>
          <w:bottom w:val="single" w:sz="24" w:space="0" w:color="ACEA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E93" w:themeFill="accent4" w:themeFillShade="99"/>
      </w:tcPr>
    </w:tblStylePr>
    <w:tblStylePr w:type="firstCol">
      <w:rPr>
        <w:color w:val="FFFFFF" w:themeColor="background1"/>
      </w:rPr>
      <w:tblPr/>
      <w:tcPr>
        <w:tcBorders>
          <w:top w:val="nil"/>
          <w:left w:val="nil"/>
          <w:bottom w:val="nil"/>
          <w:right w:val="nil"/>
          <w:insideH w:val="single" w:sz="4" w:space="0" w:color="006E93" w:themeColor="accent4" w:themeShade="99"/>
          <w:insideV w:val="nil"/>
        </w:tcBorders>
        <w:shd w:val="clear" w:color="auto" w:fill="006E9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6E93" w:themeFill="accent4" w:themeFillShade="99"/>
      </w:tcPr>
    </w:tblStylePr>
    <w:tblStylePr w:type="band1Vert">
      <w:tblPr/>
      <w:tcPr>
        <w:shd w:val="clear" w:color="auto" w:fill="95E4FF" w:themeFill="accent4" w:themeFillTint="66"/>
      </w:tcPr>
    </w:tblStylePr>
    <w:tblStylePr w:type="band1Horz">
      <w:tblPr/>
      <w:tcPr>
        <w:shd w:val="clear" w:color="auto" w:fill="7BDD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D349C" w:themeColor="accent6"/>
        <w:left w:val="single" w:sz="4" w:space="0" w:color="7213EA" w:themeColor="accent5"/>
        <w:bottom w:val="single" w:sz="4" w:space="0" w:color="7213EA" w:themeColor="accent5"/>
        <w:right w:val="single" w:sz="4" w:space="0" w:color="7213EA" w:themeColor="accent5"/>
        <w:insideH w:val="single" w:sz="4" w:space="0" w:color="FFFFFF" w:themeColor="background1"/>
        <w:insideV w:val="single" w:sz="4" w:space="0" w:color="FFFFFF" w:themeColor="background1"/>
      </w:tblBorders>
    </w:tblPr>
    <w:tcPr>
      <w:shd w:val="clear" w:color="auto" w:fill="F1E7FD" w:themeFill="accent5" w:themeFillTint="19"/>
    </w:tcPr>
    <w:tblStylePr w:type="firstRow">
      <w:rPr>
        <w:b/>
        <w:bCs/>
      </w:rPr>
      <w:tblPr/>
      <w:tcPr>
        <w:tcBorders>
          <w:top w:val="nil"/>
          <w:left w:val="nil"/>
          <w:bottom w:val="single" w:sz="24" w:space="0" w:color="FD349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40B8C" w:themeFill="accent5" w:themeFillShade="99"/>
      </w:tcPr>
    </w:tblStylePr>
    <w:tblStylePr w:type="firstCol">
      <w:rPr>
        <w:color w:val="FFFFFF" w:themeColor="background1"/>
      </w:rPr>
      <w:tblPr/>
      <w:tcPr>
        <w:tcBorders>
          <w:top w:val="nil"/>
          <w:left w:val="nil"/>
          <w:bottom w:val="nil"/>
          <w:right w:val="nil"/>
          <w:insideH w:val="single" w:sz="4" w:space="0" w:color="440B8C" w:themeColor="accent5" w:themeShade="99"/>
          <w:insideV w:val="nil"/>
        </w:tcBorders>
        <w:shd w:val="clear" w:color="auto" w:fill="440B8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40B8C" w:themeFill="accent5" w:themeFillShade="99"/>
      </w:tcPr>
    </w:tblStylePr>
    <w:tblStylePr w:type="band1Vert">
      <w:tblPr/>
      <w:tcPr>
        <w:shd w:val="clear" w:color="auto" w:fill="C69FF7" w:themeFill="accent5" w:themeFillTint="66"/>
      </w:tcPr>
    </w:tblStylePr>
    <w:tblStylePr w:type="band1Horz">
      <w:tblPr/>
      <w:tcPr>
        <w:shd w:val="clear" w:color="auto" w:fill="B888F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7213EA" w:themeColor="accent5"/>
        <w:left w:val="single" w:sz="4" w:space="0" w:color="FD349C" w:themeColor="accent6"/>
        <w:bottom w:val="single" w:sz="4" w:space="0" w:color="FD349C" w:themeColor="accent6"/>
        <w:right w:val="single" w:sz="4" w:space="0" w:color="FD349C" w:themeColor="accent6"/>
        <w:insideH w:val="single" w:sz="4" w:space="0" w:color="FFFFFF" w:themeColor="background1"/>
        <w:insideV w:val="single" w:sz="4" w:space="0" w:color="FFFFFF" w:themeColor="background1"/>
      </w:tblBorders>
    </w:tblPr>
    <w:tcPr>
      <w:shd w:val="clear" w:color="auto" w:fill="FEEAF5" w:themeFill="accent6" w:themeFillTint="19"/>
    </w:tcPr>
    <w:tblStylePr w:type="firstRow">
      <w:rPr>
        <w:b/>
        <w:bCs/>
      </w:rPr>
      <w:tblPr/>
      <w:tcPr>
        <w:tcBorders>
          <w:top w:val="nil"/>
          <w:left w:val="nil"/>
          <w:bottom w:val="single" w:sz="24" w:space="0" w:color="7213E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015D" w:themeFill="accent6" w:themeFillShade="99"/>
      </w:tcPr>
    </w:tblStylePr>
    <w:tblStylePr w:type="firstCol">
      <w:rPr>
        <w:color w:val="FFFFFF" w:themeColor="background1"/>
      </w:rPr>
      <w:tblPr/>
      <w:tcPr>
        <w:tcBorders>
          <w:top w:val="nil"/>
          <w:left w:val="nil"/>
          <w:bottom w:val="nil"/>
          <w:right w:val="nil"/>
          <w:insideH w:val="single" w:sz="4" w:space="0" w:color="B5015D" w:themeColor="accent6" w:themeShade="99"/>
          <w:insideV w:val="nil"/>
        </w:tcBorders>
        <w:shd w:val="clear" w:color="auto" w:fill="B5015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015D" w:themeFill="accent6" w:themeFillShade="99"/>
      </w:tcPr>
    </w:tblStylePr>
    <w:tblStylePr w:type="band1Vert">
      <w:tblPr/>
      <w:tcPr>
        <w:shd w:val="clear" w:color="auto" w:fill="FEADD7" w:themeFill="accent6" w:themeFillTint="66"/>
      </w:tcPr>
    </w:tblStylePr>
    <w:tblStylePr w:type="band1Horz">
      <w:tblPr/>
      <w:tcPr>
        <w:shd w:val="clear" w:color="auto" w:fill="FE99CD"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91B2F" w:themeFill="accent2" w:themeFillShade="CC"/>
      </w:tcPr>
    </w:tblStylePr>
    <w:tblStylePr w:type="lastRow">
      <w:rPr>
        <w:b/>
        <w:bCs/>
        <w:color w:val="091B2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8EDFC" w:themeFill="accent1" w:themeFillTint="19"/>
    </w:tcPr>
    <w:tblStylePr w:type="firstRow">
      <w:rPr>
        <w:b/>
        <w:bCs/>
        <w:color w:val="FFFFFF" w:themeColor="background1"/>
      </w:rPr>
      <w:tblPr/>
      <w:tcPr>
        <w:tcBorders>
          <w:bottom w:val="single" w:sz="12" w:space="0" w:color="FFFFFF" w:themeColor="background1"/>
        </w:tcBorders>
        <w:shd w:val="clear" w:color="auto" w:fill="091B2F" w:themeFill="accent2" w:themeFillShade="CC"/>
      </w:tcPr>
    </w:tblStylePr>
    <w:tblStylePr w:type="lastRow">
      <w:rPr>
        <w:b/>
        <w:bCs/>
        <w:color w:val="091B2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D1F7" w:themeFill="accent1" w:themeFillTint="3F"/>
      </w:tcPr>
    </w:tblStylePr>
    <w:tblStylePr w:type="band1Horz">
      <w:tblPr/>
      <w:tcPr>
        <w:shd w:val="clear" w:color="auto" w:fill="D1DAF9"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DBE8F7" w:themeFill="accent2" w:themeFillTint="19"/>
    </w:tcPr>
    <w:tblStylePr w:type="firstRow">
      <w:rPr>
        <w:b/>
        <w:bCs/>
        <w:color w:val="FFFFFF" w:themeColor="background1"/>
      </w:rPr>
      <w:tblPr/>
      <w:tcPr>
        <w:tcBorders>
          <w:bottom w:val="single" w:sz="12" w:space="0" w:color="FFFFFF" w:themeColor="background1"/>
        </w:tcBorders>
        <w:shd w:val="clear" w:color="auto" w:fill="091B2F" w:themeFill="accent2" w:themeFillShade="CC"/>
      </w:tcPr>
    </w:tblStylePr>
    <w:tblStylePr w:type="lastRow">
      <w:rPr>
        <w:b/>
        <w:bCs/>
        <w:color w:val="091B2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4C7ED" w:themeFill="accent2" w:themeFillTint="3F"/>
      </w:tcPr>
    </w:tblStylePr>
    <w:tblStylePr w:type="band1Horz">
      <w:tblPr/>
      <w:tcPr>
        <w:shd w:val="clear" w:color="auto" w:fill="B5D1F0"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6FCFF" w:themeFill="accent3" w:themeFillTint="19"/>
    </w:tcPr>
    <w:tblStylePr w:type="firstRow">
      <w:rPr>
        <w:b/>
        <w:bCs/>
        <w:color w:val="FFFFFF" w:themeColor="background1"/>
      </w:rPr>
      <w:tblPr/>
      <w:tcPr>
        <w:tcBorders>
          <w:bottom w:val="single" w:sz="12" w:space="0" w:color="FFFFFF" w:themeColor="background1"/>
        </w:tcBorders>
        <w:shd w:val="clear" w:color="auto" w:fill="0092C4" w:themeFill="accent4" w:themeFillShade="CC"/>
      </w:tcPr>
    </w:tblStylePr>
    <w:tblStylePr w:type="lastRow">
      <w:rPr>
        <w:b/>
        <w:bCs/>
        <w:color w:val="0092C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9FF" w:themeFill="accent3" w:themeFillTint="3F"/>
      </w:tcPr>
    </w:tblStylePr>
    <w:tblStylePr w:type="band1Horz">
      <w:tblPr/>
      <w:tcPr>
        <w:shd w:val="clear" w:color="auto" w:fill="EEFAFF"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E5F8FF" w:themeFill="accent4" w:themeFillTint="19"/>
    </w:tcPr>
    <w:tblStylePr w:type="firstRow">
      <w:rPr>
        <w:b/>
        <w:bCs/>
        <w:color w:val="FFFFFF" w:themeColor="background1"/>
      </w:rPr>
      <w:tblPr/>
      <w:tcPr>
        <w:tcBorders>
          <w:bottom w:val="single" w:sz="12" w:space="0" w:color="FFFFFF" w:themeColor="background1"/>
        </w:tcBorders>
        <w:shd w:val="clear" w:color="auto" w:fill="56D4FF" w:themeFill="accent3" w:themeFillShade="CC"/>
      </w:tcPr>
    </w:tblStylePr>
    <w:tblStylePr w:type="lastRow">
      <w:rPr>
        <w:b/>
        <w:bCs/>
        <w:color w:val="56D4F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EFF" w:themeFill="accent4" w:themeFillTint="3F"/>
      </w:tcPr>
    </w:tblStylePr>
    <w:tblStylePr w:type="band1Horz">
      <w:tblPr/>
      <w:tcPr>
        <w:shd w:val="clear" w:color="auto" w:fill="CAF1FF"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F1E7FD" w:themeFill="accent5" w:themeFillTint="19"/>
    </w:tcPr>
    <w:tblStylePr w:type="firstRow">
      <w:rPr>
        <w:b/>
        <w:bCs/>
        <w:color w:val="FFFFFF" w:themeColor="background1"/>
      </w:rPr>
      <w:tblPr/>
      <w:tcPr>
        <w:tcBorders>
          <w:bottom w:val="single" w:sz="12" w:space="0" w:color="FFFFFF" w:themeColor="background1"/>
        </w:tcBorders>
        <w:shd w:val="clear" w:color="auto" w:fill="F1027D" w:themeFill="accent6" w:themeFillShade="CC"/>
      </w:tcPr>
    </w:tblStylePr>
    <w:tblStylePr w:type="lastRow">
      <w:rPr>
        <w:b/>
        <w:bCs/>
        <w:color w:val="F1027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C4FA" w:themeFill="accent5" w:themeFillTint="3F"/>
      </w:tcPr>
    </w:tblStylePr>
    <w:tblStylePr w:type="band1Horz">
      <w:tblPr/>
      <w:tcPr>
        <w:shd w:val="clear" w:color="auto" w:fill="E2CFFB"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EAF5" w:themeFill="accent6" w:themeFillTint="19"/>
    </w:tcPr>
    <w:tblStylePr w:type="firstRow">
      <w:rPr>
        <w:b/>
        <w:bCs/>
        <w:color w:val="FFFFFF" w:themeColor="background1"/>
      </w:rPr>
      <w:tblPr/>
      <w:tcPr>
        <w:tcBorders>
          <w:bottom w:val="single" w:sz="12" w:space="0" w:color="FFFFFF" w:themeColor="background1"/>
        </w:tcBorders>
        <w:shd w:val="clear" w:color="auto" w:fill="5A0FBB" w:themeFill="accent5" w:themeFillShade="CC"/>
      </w:tcPr>
    </w:tblStylePr>
    <w:tblStylePr w:type="lastRow">
      <w:rPr>
        <w:b/>
        <w:bCs/>
        <w:color w:val="5A0FBB"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CCE6" w:themeFill="accent6" w:themeFillTint="3F"/>
      </w:tcPr>
    </w:tblStylePr>
    <w:tblStylePr w:type="band1Horz">
      <w:tblPr/>
      <w:tcPr>
        <w:shd w:val="clear" w:color="auto" w:fill="FED6EB"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DAF9" w:themeFill="accent1" w:themeFillTint="33"/>
    </w:tcPr>
    <w:tblStylePr w:type="firstRow">
      <w:rPr>
        <w:b/>
        <w:bCs/>
      </w:rPr>
      <w:tblPr/>
      <w:tcPr>
        <w:shd w:val="clear" w:color="auto" w:fill="A4B5F3" w:themeFill="accent1" w:themeFillTint="66"/>
      </w:tcPr>
    </w:tblStylePr>
    <w:tblStylePr w:type="lastRow">
      <w:rPr>
        <w:b/>
        <w:bCs/>
        <w:color w:val="000000" w:themeColor="text1"/>
      </w:rPr>
      <w:tblPr/>
      <w:tcPr>
        <w:shd w:val="clear" w:color="auto" w:fill="A4B5F3" w:themeFill="accent1" w:themeFillTint="66"/>
      </w:tcPr>
    </w:tblStylePr>
    <w:tblStylePr w:type="firstCol">
      <w:rPr>
        <w:color w:val="FFFFFF" w:themeColor="background1"/>
      </w:rPr>
      <w:tblPr/>
      <w:tcPr>
        <w:shd w:val="clear" w:color="auto" w:fill="1635A9" w:themeFill="accent1" w:themeFillShade="BF"/>
      </w:tcPr>
    </w:tblStylePr>
    <w:tblStylePr w:type="lastCol">
      <w:rPr>
        <w:color w:val="FFFFFF" w:themeColor="background1"/>
      </w:rPr>
      <w:tblPr/>
      <w:tcPr>
        <w:shd w:val="clear" w:color="auto" w:fill="1635A9" w:themeFill="accent1" w:themeFillShade="BF"/>
      </w:tcPr>
    </w:tblStylePr>
    <w:tblStylePr w:type="band1Vert">
      <w:tblPr/>
      <w:tcPr>
        <w:shd w:val="clear" w:color="auto" w:fill="8EA3F0" w:themeFill="accent1" w:themeFillTint="7F"/>
      </w:tcPr>
    </w:tblStylePr>
    <w:tblStylePr w:type="band1Horz">
      <w:tblPr/>
      <w:tcPr>
        <w:shd w:val="clear" w:color="auto" w:fill="8EA3F0"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5D1F0" w:themeFill="accent2" w:themeFillTint="33"/>
    </w:tcPr>
    <w:tblStylePr w:type="firstRow">
      <w:rPr>
        <w:b/>
        <w:bCs/>
      </w:rPr>
      <w:tblPr/>
      <w:tcPr>
        <w:shd w:val="clear" w:color="auto" w:fill="6CA4E1" w:themeFill="accent2" w:themeFillTint="66"/>
      </w:tcPr>
    </w:tblStylePr>
    <w:tblStylePr w:type="lastRow">
      <w:rPr>
        <w:b/>
        <w:bCs/>
        <w:color w:val="000000" w:themeColor="text1"/>
      </w:rPr>
      <w:tblPr/>
      <w:tcPr>
        <w:shd w:val="clear" w:color="auto" w:fill="6CA4E1" w:themeFill="accent2" w:themeFillTint="66"/>
      </w:tcPr>
    </w:tblStylePr>
    <w:tblStylePr w:type="firstCol">
      <w:rPr>
        <w:color w:val="FFFFFF" w:themeColor="background1"/>
      </w:rPr>
      <w:tblPr/>
      <w:tcPr>
        <w:shd w:val="clear" w:color="auto" w:fill="091A2C" w:themeFill="accent2" w:themeFillShade="BF"/>
      </w:tcPr>
    </w:tblStylePr>
    <w:tblStylePr w:type="lastCol">
      <w:rPr>
        <w:color w:val="FFFFFF" w:themeColor="background1"/>
      </w:rPr>
      <w:tblPr/>
      <w:tcPr>
        <w:shd w:val="clear" w:color="auto" w:fill="091A2C" w:themeFill="accent2" w:themeFillShade="BF"/>
      </w:tcPr>
    </w:tblStylePr>
    <w:tblStylePr w:type="band1Vert">
      <w:tblPr/>
      <w:tcPr>
        <w:shd w:val="clear" w:color="auto" w:fill="498EDA" w:themeFill="accent2" w:themeFillTint="7F"/>
      </w:tcPr>
    </w:tblStylePr>
    <w:tblStylePr w:type="band1Horz">
      <w:tblPr/>
      <w:tcPr>
        <w:shd w:val="clear" w:color="auto" w:fill="498EDA"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EFAFF" w:themeFill="accent3" w:themeFillTint="33"/>
    </w:tcPr>
    <w:tblStylePr w:type="firstRow">
      <w:rPr>
        <w:b/>
        <w:bCs/>
      </w:rPr>
      <w:tblPr/>
      <w:tcPr>
        <w:shd w:val="clear" w:color="auto" w:fill="DDF6FF" w:themeFill="accent3" w:themeFillTint="66"/>
      </w:tcPr>
    </w:tblStylePr>
    <w:tblStylePr w:type="lastRow">
      <w:rPr>
        <w:b/>
        <w:bCs/>
        <w:color w:val="000000" w:themeColor="text1"/>
      </w:rPr>
      <w:tblPr/>
      <w:tcPr>
        <w:shd w:val="clear" w:color="auto" w:fill="DDF6FF" w:themeFill="accent3" w:themeFillTint="66"/>
      </w:tcPr>
    </w:tblStylePr>
    <w:tblStylePr w:type="firstCol">
      <w:rPr>
        <w:color w:val="FFFFFF" w:themeColor="background1"/>
      </w:rPr>
      <w:tblPr/>
      <w:tcPr>
        <w:shd w:val="clear" w:color="auto" w:fill="40CEFF" w:themeFill="accent3" w:themeFillShade="BF"/>
      </w:tcPr>
    </w:tblStylePr>
    <w:tblStylePr w:type="lastCol">
      <w:rPr>
        <w:color w:val="FFFFFF" w:themeColor="background1"/>
      </w:rPr>
      <w:tblPr/>
      <w:tcPr>
        <w:shd w:val="clear" w:color="auto" w:fill="40CEFF" w:themeFill="accent3" w:themeFillShade="BF"/>
      </w:tcPr>
    </w:tblStylePr>
    <w:tblStylePr w:type="band1Vert">
      <w:tblPr/>
      <w:tcPr>
        <w:shd w:val="clear" w:color="auto" w:fill="D5F4FF" w:themeFill="accent3" w:themeFillTint="7F"/>
      </w:tcPr>
    </w:tblStylePr>
    <w:tblStylePr w:type="band1Horz">
      <w:tblPr/>
      <w:tcPr>
        <w:shd w:val="clear" w:color="auto" w:fill="D5F4FF"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AF1FF" w:themeFill="accent4" w:themeFillTint="33"/>
    </w:tcPr>
    <w:tblStylePr w:type="firstRow">
      <w:rPr>
        <w:b/>
        <w:bCs/>
      </w:rPr>
      <w:tblPr/>
      <w:tcPr>
        <w:shd w:val="clear" w:color="auto" w:fill="95E4FF" w:themeFill="accent4" w:themeFillTint="66"/>
      </w:tcPr>
    </w:tblStylePr>
    <w:tblStylePr w:type="lastRow">
      <w:rPr>
        <w:b/>
        <w:bCs/>
        <w:color w:val="000000" w:themeColor="text1"/>
      </w:rPr>
      <w:tblPr/>
      <w:tcPr>
        <w:shd w:val="clear" w:color="auto" w:fill="95E4FF" w:themeFill="accent4" w:themeFillTint="66"/>
      </w:tcPr>
    </w:tblStylePr>
    <w:tblStylePr w:type="firstCol">
      <w:rPr>
        <w:color w:val="FFFFFF" w:themeColor="background1"/>
      </w:rPr>
      <w:tblPr/>
      <w:tcPr>
        <w:shd w:val="clear" w:color="auto" w:fill="0089B7" w:themeFill="accent4" w:themeFillShade="BF"/>
      </w:tcPr>
    </w:tblStylePr>
    <w:tblStylePr w:type="lastCol">
      <w:rPr>
        <w:color w:val="FFFFFF" w:themeColor="background1"/>
      </w:rPr>
      <w:tblPr/>
      <w:tcPr>
        <w:shd w:val="clear" w:color="auto" w:fill="0089B7" w:themeFill="accent4" w:themeFillShade="BF"/>
      </w:tcPr>
    </w:tblStylePr>
    <w:tblStylePr w:type="band1Vert">
      <w:tblPr/>
      <w:tcPr>
        <w:shd w:val="clear" w:color="auto" w:fill="7BDDFF" w:themeFill="accent4" w:themeFillTint="7F"/>
      </w:tcPr>
    </w:tblStylePr>
    <w:tblStylePr w:type="band1Horz">
      <w:tblPr/>
      <w:tcPr>
        <w:shd w:val="clear" w:color="auto" w:fill="7BDDFF"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CFFB" w:themeFill="accent5" w:themeFillTint="33"/>
    </w:tcPr>
    <w:tblStylePr w:type="firstRow">
      <w:rPr>
        <w:b/>
        <w:bCs/>
      </w:rPr>
      <w:tblPr/>
      <w:tcPr>
        <w:shd w:val="clear" w:color="auto" w:fill="C69FF7" w:themeFill="accent5" w:themeFillTint="66"/>
      </w:tcPr>
    </w:tblStylePr>
    <w:tblStylePr w:type="lastRow">
      <w:rPr>
        <w:b/>
        <w:bCs/>
        <w:color w:val="000000" w:themeColor="text1"/>
      </w:rPr>
      <w:tblPr/>
      <w:tcPr>
        <w:shd w:val="clear" w:color="auto" w:fill="C69FF7" w:themeFill="accent5" w:themeFillTint="66"/>
      </w:tcPr>
    </w:tblStylePr>
    <w:tblStylePr w:type="firstCol">
      <w:rPr>
        <w:color w:val="FFFFFF" w:themeColor="background1"/>
      </w:rPr>
      <w:tblPr/>
      <w:tcPr>
        <w:shd w:val="clear" w:color="auto" w:fill="540EAF" w:themeFill="accent5" w:themeFillShade="BF"/>
      </w:tcPr>
    </w:tblStylePr>
    <w:tblStylePr w:type="lastCol">
      <w:rPr>
        <w:color w:val="FFFFFF" w:themeColor="background1"/>
      </w:rPr>
      <w:tblPr/>
      <w:tcPr>
        <w:shd w:val="clear" w:color="auto" w:fill="540EAF" w:themeFill="accent5" w:themeFillShade="BF"/>
      </w:tcPr>
    </w:tblStylePr>
    <w:tblStylePr w:type="band1Vert">
      <w:tblPr/>
      <w:tcPr>
        <w:shd w:val="clear" w:color="auto" w:fill="B888F5" w:themeFill="accent5" w:themeFillTint="7F"/>
      </w:tcPr>
    </w:tblStylePr>
    <w:tblStylePr w:type="band1Horz">
      <w:tblPr/>
      <w:tcPr>
        <w:shd w:val="clear" w:color="auto" w:fill="B888F5"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D6EB" w:themeFill="accent6" w:themeFillTint="33"/>
    </w:tcPr>
    <w:tblStylePr w:type="firstRow">
      <w:rPr>
        <w:b/>
        <w:bCs/>
      </w:rPr>
      <w:tblPr/>
      <w:tcPr>
        <w:shd w:val="clear" w:color="auto" w:fill="FEADD7" w:themeFill="accent6" w:themeFillTint="66"/>
      </w:tcPr>
    </w:tblStylePr>
    <w:tblStylePr w:type="lastRow">
      <w:rPr>
        <w:b/>
        <w:bCs/>
        <w:color w:val="000000" w:themeColor="text1"/>
      </w:rPr>
      <w:tblPr/>
      <w:tcPr>
        <w:shd w:val="clear" w:color="auto" w:fill="FEADD7" w:themeFill="accent6" w:themeFillTint="66"/>
      </w:tcPr>
    </w:tblStylePr>
    <w:tblStylePr w:type="firstCol">
      <w:rPr>
        <w:color w:val="FFFFFF" w:themeColor="background1"/>
      </w:rPr>
      <w:tblPr/>
      <w:tcPr>
        <w:shd w:val="clear" w:color="auto" w:fill="E20275" w:themeFill="accent6" w:themeFillShade="BF"/>
      </w:tcPr>
    </w:tblStylePr>
    <w:tblStylePr w:type="lastCol">
      <w:rPr>
        <w:color w:val="FFFFFF" w:themeColor="background1"/>
      </w:rPr>
      <w:tblPr/>
      <w:tcPr>
        <w:shd w:val="clear" w:color="auto" w:fill="E20275" w:themeFill="accent6" w:themeFillShade="BF"/>
      </w:tcPr>
    </w:tblStylePr>
    <w:tblStylePr w:type="band1Vert">
      <w:tblPr/>
      <w:tcPr>
        <w:shd w:val="clear" w:color="auto" w:fill="FE99CD" w:themeFill="accent6" w:themeFillTint="7F"/>
      </w:tcPr>
    </w:tblStylePr>
    <w:tblStylePr w:type="band1Horz">
      <w:tblPr/>
      <w:tcPr>
        <w:shd w:val="clear" w:color="auto" w:fill="FE99CD" w:themeFill="accent6" w:themeFillTint="7F"/>
      </w:tcPr>
    </w:tblStylePr>
  </w:style>
  <w:style w:type="paragraph" w:customStyle="1" w:styleId="Style1">
    <w:name w:val="Style1"/>
    <w:basedOn w:val="Heading1"/>
    <w:link w:val="Style1Char"/>
    <w:qFormat/>
    <w:rsid w:val="0024492C"/>
    <w:rPr>
      <w:color w:val="7213EA" w:themeColor="accent5"/>
    </w:rPr>
  </w:style>
  <w:style w:type="character" w:customStyle="1" w:styleId="Style1Char">
    <w:name w:val="Style1 Char"/>
    <w:basedOn w:val="Heading1Char"/>
    <w:link w:val="Style1"/>
    <w:rsid w:val="0024492C"/>
    <w:rPr>
      <w:rFonts w:asciiTheme="majorHAnsi" w:eastAsiaTheme="majorEastAsia" w:hAnsiTheme="majorHAnsi" w:cstheme="majorBidi"/>
      <w:b/>
      <w:bCs w:val="0"/>
      <w:color w:val="7213EA" w:themeColor="accent5"/>
      <w:sz w:val="28"/>
      <w:szCs w:val="28"/>
      <w:lang w:val="en-GB" w:eastAsia="en-AU"/>
    </w:rPr>
  </w:style>
  <w:style w:type="character" w:styleId="Hyperlink">
    <w:name w:val="Hyperlink"/>
    <w:basedOn w:val="DefaultParagraphFont"/>
    <w:uiPriority w:val="99"/>
    <w:unhideWhenUsed/>
    <w:rsid w:val="005F7715"/>
    <w:rPr>
      <w:color w:val="FFFFFF" w:themeColor="background1"/>
      <w:u w:val="single"/>
    </w:rPr>
  </w:style>
  <w:style w:type="character" w:styleId="UnresolvedMention">
    <w:name w:val="Unresolved Mention"/>
    <w:basedOn w:val="DefaultParagraphFont"/>
    <w:uiPriority w:val="99"/>
    <w:semiHidden/>
    <w:unhideWhenUsed/>
    <w:rsid w:val="00AE1583"/>
    <w:rPr>
      <w:color w:val="605E5C"/>
      <w:shd w:val="clear" w:color="auto" w:fill="E1DFDD"/>
    </w:rPr>
  </w:style>
  <w:style w:type="paragraph" w:customStyle="1" w:styleId="zDocClassification">
    <w:name w:val="zDocClassification"/>
    <w:basedOn w:val="Footer"/>
    <w:semiHidden/>
    <w:rsid w:val="00614ED1"/>
    <w:pPr>
      <w:tabs>
        <w:tab w:val="clear" w:pos="4680"/>
        <w:tab w:val="clear" w:pos="9360"/>
        <w:tab w:val="right" w:pos="8505"/>
      </w:tabs>
      <w:jc w:val="center"/>
    </w:pPr>
    <w:rPr>
      <w:rFonts w:eastAsia="Arial Unicode MS" w:cs="Times New Roman"/>
      <w:b/>
      <w:sz w:val="14"/>
      <w:szCs w:val="14"/>
      <w:lang w:val="en-GB" w:eastAsia="en-AU"/>
    </w:rPr>
  </w:style>
  <w:style w:type="paragraph" w:customStyle="1" w:styleId="zContents">
    <w:name w:val="zContents"/>
    <w:basedOn w:val="Normal"/>
    <w:next w:val="BodyText"/>
    <w:semiHidden/>
    <w:rsid w:val="00614ED1"/>
    <w:pPr>
      <w:keepNext/>
      <w:pageBreakBefore/>
      <w:spacing w:after="500"/>
    </w:pPr>
    <w:rPr>
      <w:rFonts w:ascii="KPMG Bold" w:eastAsia="Arial Unicode MS" w:hAnsi="KPMG Bold" w:cs="Times New Roman"/>
      <w:b/>
      <w:color w:val="00338D"/>
      <w:sz w:val="72"/>
      <w:szCs w:val="44"/>
      <w:lang w:val="en-GB" w:eastAsia="en-AU"/>
    </w:rPr>
  </w:style>
  <w:style w:type="paragraph" w:styleId="ListBullet4">
    <w:name w:val="List Bullet 4"/>
    <w:basedOn w:val="ListBullet"/>
    <w:uiPriority w:val="99"/>
    <w:semiHidden/>
    <w:rsid w:val="00614ED1"/>
    <w:pPr>
      <w:numPr>
        <w:numId w:val="0"/>
      </w:numPr>
      <w:spacing w:before="70" w:after="70"/>
    </w:pPr>
    <w:rPr>
      <w:rFonts w:asciiTheme="minorHAnsi" w:hAnsiTheme="minorHAnsi"/>
      <w:color w:val="FD349C" w:themeColor="accent6"/>
      <w:szCs w:val="20"/>
      <w:lang w:val="en-GB" w:eastAsia="zh-CN"/>
    </w:rPr>
  </w:style>
  <w:style w:type="paragraph" w:styleId="ListBullet5">
    <w:name w:val="List Bullet 5"/>
    <w:basedOn w:val="ListBullet"/>
    <w:uiPriority w:val="99"/>
    <w:semiHidden/>
    <w:rsid w:val="00614ED1"/>
    <w:pPr>
      <w:numPr>
        <w:numId w:val="0"/>
      </w:numPr>
      <w:spacing w:before="70" w:after="70"/>
    </w:pPr>
    <w:rPr>
      <w:rFonts w:asciiTheme="minorHAnsi" w:hAnsiTheme="minorHAnsi"/>
      <w:color w:val="FD349C" w:themeColor="accent6"/>
      <w:szCs w:val="20"/>
      <w:lang w:val="en-GB" w:eastAsia="zh-CN"/>
    </w:rPr>
  </w:style>
  <w:style w:type="paragraph" w:customStyle="1" w:styleId="ListBulletLast">
    <w:name w:val="List Bullet Last"/>
    <w:basedOn w:val="ListBullet"/>
    <w:qFormat/>
    <w:rsid w:val="00614ED1"/>
    <w:pPr>
      <w:numPr>
        <w:numId w:val="0"/>
      </w:numPr>
      <w:spacing w:before="70" w:after="280"/>
      <w:contextualSpacing w:val="0"/>
    </w:pPr>
    <w:rPr>
      <w:rFonts w:asciiTheme="minorHAnsi" w:hAnsiTheme="minorHAnsi"/>
      <w:color w:val="FD349C" w:themeColor="accent6"/>
      <w:szCs w:val="20"/>
      <w:lang w:val="en-GB" w:eastAsia="zh-CN"/>
    </w:rPr>
  </w:style>
  <w:style w:type="paragraph" w:customStyle="1" w:styleId="ReportTitle">
    <w:name w:val="ReportTitle"/>
    <w:basedOn w:val="Normal"/>
    <w:semiHidden/>
    <w:rsid w:val="00AD144F"/>
    <w:pPr>
      <w:spacing w:after="700"/>
    </w:pPr>
    <w:rPr>
      <w:rFonts w:ascii="KPMG Bold" w:eastAsia="Arial Unicode MS" w:hAnsi="KPMG Bold" w:cs="Times New Roman"/>
      <w:b/>
      <w:color w:val="00338D"/>
      <w:sz w:val="150"/>
      <w:szCs w:val="96"/>
      <w:lang w:val="en-GB" w:eastAsia="en-AU"/>
    </w:rPr>
  </w:style>
  <w:style w:type="paragraph" w:customStyle="1" w:styleId="ReportSubtitle">
    <w:name w:val="ReportSubtitle"/>
    <w:basedOn w:val="ReportTitle"/>
    <w:semiHidden/>
    <w:rsid w:val="00AD144F"/>
    <w:pPr>
      <w:spacing w:after="600"/>
    </w:pPr>
    <w:rPr>
      <w:rFonts w:asciiTheme="minorHAnsi" w:hAnsiTheme="minorHAnsi" w:cstheme="majorHAnsi"/>
      <w:sz w:val="28"/>
      <w:szCs w:val="28"/>
    </w:rPr>
  </w:style>
  <w:style w:type="paragraph" w:customStyle="1" w:styleId="Cover">
    <w:name w:val="Cover"/>
    <w:basedOn w:val="ReportTitle"/>
    <w:qFormat/>
    <w:rsid w:val="00F15C88"/>
    <w:pPr>
      <w:framePr w:hSpace="180" w:wrap="around" w:vAnchor="text" w:hAnchor="margin" w:y="1122"/>
      <w:spacing w:after="6000" w:line="1200" w:lineRule="exact"/>
    </w:pPr>
    <w:rPr>
      <w:b w:val="0"/>
      <w:color w:val="FFFFFF" w:themeColor="background1"/>
      <w:sz w:val="140"/>
    </w:rPr>
  </w:style>
  <w:style w:type="paragraph" w:customStyle="1" w:styleId="Style2">
    <w:name w:val="Style2"/>
    <w:basedOn w:val="ReportSubtitle"/>
    <w:qFormat/>
    <w:rsid w:val="00093719"/>
    <w:pPr>
      <w:framePr w:hSpace="180" w:wrap="around" w:vAnchor="text" w:hAnchor="margin" w:y="1122"/>
      <w:spacing w:after="360"/>
    </w:pPr>
    <w:rPr>
      <w:color w:val="FFFFFF" w:themeColor="background1"/>
    </w:rPr>
  </w:style>
  <w:style w:type="paragraph" w:customStyle="1" w:styleId="Classification">
    <w:name w:val="Classification"/>
    <w:basedOn w:val="zDocClassification"/>
    <w:qFormat/>
    <w:rsid w:val="00093719"/>
    <w:pPr>
      <w:framePr w:hSpace="180" w:wrap="around" w:vAnchor="text" w:hAnchor="margin" w:y="1122"/>
      <w:jc w:val="left"/>
    </w:pPr>
  </w:style>
  <w:style w:type="paragraph" w:customStyle="1" w:styleId="HeaderNoShow">
    <w:name w:val="Header No Show"/>
    <w:basedOn w:val="zContents"/>
    <w:qFormat/>
    <w:rsid w:val="00D9060F"/>
    <w:rPr>
      <w:b w:val="0"/>
      <w:bCs/>
      <w:color w:val="0C233C" w:themeColor="accent2"/>
    </w:rPr>
  </w:style>
  <w:style w:type="paragraph" w:customStyle="1" w:styleId="Bodytextnavyhighlight">
    <w:name w:val="Body text navy highlight"/>
    <w:next w:val="BodyText"/>
    <w:qFormat/>
    <w:rsid w:val="004D061E"/>
    <w:pPr>
      <w:spacing w:before="200" w:after="80" w:line="240" w:lineRule="auto"/>
    </w:pPr>
    <w:rPr>
      <w:rFonts w:eastAsia="Arial Unicode MS" w:cs="Times New Roman"/>
      <w:b/>
      <w:color w:val="00338D"/>
      <w:sz w:val="20"/>
      <w:szCs w:val="20"/>
      <w:lang w:val="en-AU" w:eastAsia="en-AU"/>
    </w:rPr>
  </w:style>
  <w:style w:type="paragraph" w:customStyle="1" w:styleId="Contactbold">
    <w:name w:val="Contact bold"/>
    <w:basedOn w:val="Normal"/>
    <w:next w:val="Contactemail"/>
    <w:semiHidden/>
    <w:qFormat/>
    <w:rsid w:val="004D061E"/>
    <w:pPr>
      <w:framePr w:hSpace="181" w:wrap="around" w:vAnchor="page" w:hAnchor="margin" w:y="4821"/>
      <w:spacing w:before="0" w:after="0"/>
    </w:pPr>
    <w:rPr>
      <w:rFonts w:asciiTheme="minorHAnsi" w:eastAsia="Arial Unicode MS" w:hAnsiTheme="minorHAnsi" w:cs="Times New Roman"/>
      <w:b/>
      <w:szCs w:val="20"/>
      <w:lang w:val="en-GB" w:eastAsia="en-CA" w:bidi="th-TH"/>
    </w:rPr>
  </w:style>
  <w:style w:type="paragraph" w:customStyle="1" w:styleId="Contactname">
    <w:name w:val="Contact name"/>
    <w:basedOn w:val="Contactbold"/>
    <w:next w:val="Contactbold"/>
    <w:semiHidden/>
    <w:qFormat/>
    <w:rsid w:val="004D061E"/>
    <w:pPr>
      <w:framePr w:wrap="around"/>
      <w:spacing w:before="240"/>
    </w:pPr>
    <w:rPr>
      <w:color w:val="00338D"/>
    </w:rPr>
  </w:style>
  <w:style w:type="paragraph" w:customStyle="1" w:styleId="Contactemail">
    <w:name w:val="Contact email"/>
    <w:basedOn w:val="Normal"/>
    <w:semiHidden/>
    <w:qFormat/>
    <w:rsid w:val="004D061E"/>
    <w:pPr>
      <w:tabs>
        <w:tab w:val="left" w:pos="285"/>
      </w:tabs>
      <w:spacing w:before="0" w:after="0"/>
    </w:pPr>
    <w:rPr>
      <w:rFonts w:asciiTheme="minorHAnsi" w:eastAsia="Arial Unicode MS" w:hAnsiTheme="minorHAnsi" w:cs="Times New Roman"/>
      <w:szCs w:val="20"/>
      <w:lang w:val="en-GB" w:eastAsia="en-CA" w:bidi="th-TH"/>
    </w:rPr>
  </w:style>
  <w:style w:type="paragraph" w:customStyle="1" w:styleId="Disclaimer">
    <w:name w:val="Disclaimer"/>
    <w:basedOn w:val="Normal"/>
    <w:qFormat/>
    <w:rsid w:val="005F7715"/>
    <w:pPr>
      <w:framePr w:hSpace="181" w:wrap="around" w:vAnchor="page" w:hAnchor="margin" w:y="4821"/>
      <w:spacing w:before="120" w:after="0"/>
    </w:pPr>
    <w:rPr>
      <w:rFonts w:asciiTheme="minorHAnsi" w:eastAsia="Arial Unicode MS" w:hAnsiTheme="minorHAnsi" w:cs="Times New Roman"/>
      <w:color w:val="FFFFFF" w:themeColor="background1"/>
      <w:sz w:val="16"/>
      <w:szCs w:val="16"/>
      <w:lang w:val="en-GB" w:eastAsia="en-CA" w:bidi="th-TH"/>
    </w:rPr>
  </w:style>
  <w:style w:type="paragraph" w:customStyle="1" w:styleId="Footer1">
    <w:name w:val="Footer 1"/>
    <w:uiPriority w:val="11"/>
    <w:rsid w:val="005C3376"/>
    <w:pPr>
      <w:spacing w:before="60" w:after="60" w:line="140" w:lineRule="atLeast"/>
    </w:pPr>
    <w:rPr>
      <w:rFonts w:ascii="Arial" w:eastAsiaTheme="minorHAnsi" w:hAnsi="Arial"/>
      <w:sz w:val="14"/>
      <w:szCs w:val="20"/>
      <w:lang w:val="en-GB"/>
    </w:rPr>
  </w:style>
  <w:style w:type="paragraph" w:styleId="TOC1">
    <w:name w:val="toc 1"/>
    <w:basedOn w:val="Normal"/>
    <w:next w:val="Normal"/>
    <w:autoRedefine/>
    <w:uiPriority w:val="39"/>
    <w:unhideWhenUsed/>
    <w:rsid w:val="009F22CA"/>
    <w:pPr>
      <w:shd w:val="clear" w:color="auto" w:fill="403AA8"/>
      <w:tabs>
        <w:tab w:val="right" w:leader="dot" w:pos="9962"/>
      </w:tabs>
      <w:spacing w:before="120" w:after="180"/>
    </w:pPr>
    <w:rPr>
      <w:color w:val="FFFFFF" w:themeColor="background1"/>
    </w:rPr>
  </w:style>
  <w:style w:type="paragraph" w:styleId="TOC2">
    <w:name w:val="toc 2"/>
    <w:basedOn w:val="Normal"/>
    <w:next w:val="Normal"/>
    <w:autoRedefine/>
    <w:uiPriority w:val="39"/>
    <w:unhideWhenUsed/>
    <w:rsid w:val="00524836"/>
    <w:pPr>
      <w:spacing w:after="100"/>
      <w:ind w:left="220"/>
    </w:pPr>
  </w:style>
  <w:style w:type="character" w:styleId="CommentReference">
    <w:name w:val="annotation reference"/>
    <w:basedOn w:val="DefaultParagraphFont"/>
    <w:uiPriority w:val="99"/>
    <w:semiHidden/>
    <w:unhideWhenUsed/>
    <w:rsid w:val="00897FE2"/>
    <w:rPr>
      <w:sz w:val="16"/>
      <w:szCs w:val="16"/>
    </w:rPr>
  </w:style>
  <w:style w:type="paragraph" w:styleId="CommentText">
    <w:name w:val="annotation text"/>
    <w:basedOn w:val="Normal"/>
    <w:link w:val="CommentTextChar"/>
    <w:uiPriority w:val="99"/>
    <w:unhideWhenUsed/>
    <w:rsid w:val="00897FE2"/>
    <w:rPr>
      <w:szCs w:val="20"/>
    </w:rPr>
  </w:style>
  <w:style w:type="character" w:customStyle="1" w:styleId="CommentTextChar">
    <w:name w:val="Comment Text Char"/>
    <w:basedOn w:val="DefaultParagraphFont"/>
    <w:link w:val="CommentText"/>
    <w:uiPriority w:val="99"/>
    <w:rsid w:val="00897FE2"/>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897FE2"/>
    <w:rPr>
      <w:b/>
      <w:bCs/>
    </w:rPr>
  </w:style>
  <w:style w:type="character" w:customStyle="1" w:styleId="CommentSubjectChar">
    <w:name w:val="Comment Subject Char"/>
    <w:basedOn w:val="CommentTextChar"/>
    <w:link w:val="CommentSubject"/>
    <w:uiPriority w:val="99"/>
    <w:semiHidden/>
    <w:rsid w:val="00897FE2"/>
    <w:rPr>
      <w:rFonts w:ascii="Arial" w:hAnsi="Arial"/>
      <w:b/>
      <w:bCs/>
      <w:sz w:val="20"/>
      <w:szCs w:val="20"/>
      <w:lang w:val="en-AU"/>
    </w:rPr>
  </w:style>
  <w:style w:type="character" w:styleId="Mention">
    <w:name w:val="Mention"/>
    <w:basedOn w:val="DefaultParagraphFont"/>
    <w:uiPriority w:val="99"/>
    <w:unhideWhenUsed/>
    <w:rsid w:val="008D06F1"/>
    <w:rPr>
      <w:color w:val="2B579A"/>
      <w:shd w:val="clear" w:color="auto" w:fill="E1DFDD"/>
    </w:rPr>
  </w:style>
  <w:style w:type="paragraph" w:styleId="FootnoteText">
    <w:name w:val="footnote text"/>
    <w:basedOn w:val="Normal"/>
    <w:link w:val="FootnoteTextChar"/>
    <w:uiPriority w:val="99"/>
    <w:unhideWhenUsed/>
    <w:rsid w:val="006B6F23"/>
    <w:pPr>
      <w:spacing w:before="0" w:after="0"/>
    </w:pPr>
    <w:rPr>
      <w:color w:val="000000" w:themeColor="text1"/>
      <w:sz w:val="16"/>
      <w:szCs w:val="20"/>
    </w:rPr>
  </w:style>
  <w:style w:type="character" w:customStyle="1" w:styleId="FootnoteTextChar">
    <w:name w:val="Footnote Text Char"/>
    <w:basedOn w:val="DefaultParagraphFont"/>
    <w:link w:val="FootnoteText"/>
    <w:uiPriority w:val="99"/>
    <w:rsid w:val="00EA3ECD"/>
    <w:rPr>
      <w:rFonts w:ascii="Arial" w:hAnsi="Arial"/>
      <w:color w:val="000000" w:themeColor="text1"/>
      <w:sz w:val="16"/>
      <w:szCs w:val="20"/>
      <w:lang w:val="en-AU"/>
    </w:rPr>
  </w:style>
  <w:style w:type="character" w:styleId="FootnoteReference">
    <w:name w:val="footnote reference"/>
    <w:basedOn w:val="DefaultParagraphFont"/>
    <w:uiPriority w:val="99"/>
    <w:unhideWhenUsed/>
    <w:rsid w:val="00EA3ECD"/>
    <w:rPr>
      <w:vertAlign w:val="superscript"/>
    </w:rPr>
  </w:style>
  <w:style w:type="character" w:styleId="FollowedHyperlink">
    <w:name w:val="FollowedHyperlink"/>
    <w:basedOn w:val="DefaultParagraphFont"/>
    <w:uiPriority w:val="99"/>
    <w:semiHidden/>
    <w:unhideWhenUsed/>
    <w:rsid w:val="00202076"/>
    <w:rPr>
      <w:color w:val="000000" w:themeColor="followedHyperlink"/>
      <w:u w:val="single"/>
    </w:rPr>
  </w:style>
  <w:style w:type="table" w:styleId="GridTable4-Accent1">
    <w:name w:val="Grid Table 4 Accent 1"/>
    <w:basedOn w:val="TableNormal"/>
    <w:uiPriority w:val="49"/>
    <w:rsid w:val="0042465E"/>
    <w:pPr>
      <w:spacing w:after="0" w:line="240" w:lineRule="auto"/>
    </w:pPr>
    <w:tblPr>
      <w:tblStyleRowBandSize w:val="1"/>
      <w:tblStyleColBandSize w:val="1"/>
      <w:tblBorders>
        <w:top w:val="single" w:sz="4" w:space="0" w:color="7791ED" w:themeColor="accent1" w:themeTint="99"/>
        <w:left w:val="single" w:sz="4" w:space="0" w:color="7791ED" w:themeColor="accent1" w:themeTint="99"/>
        <w:bottom w:val="single" w:sz="4" w:space="0" w:color="7791ED" w:themeColor="accent1" w:themeTint="99"/>
        <w:right w:val="single" w:sz="4" w:space="0" w:color="7791ED" w:themeColor="accent1" w:themeTint="99"/>
        <w:insideH w:val="single" w:sz="4" w:space="0" w:color="7791ED" w:themeColor="accent1" w:themeTint="99"/>
        <w:insideV w:val="single" w:sz="4" w:space="0" w:color="7791ED" w:themeColor="accent1" w:themeTint="99"/>
      </w:tblBorders>
    </w:tblPr>
    <w:tblStylePr w:type="firstRow">
      <w:rPr>
        <w:b/>
        <w:bCs/>
        <w:color w:val="FFFFFF" w:themeColor="background1"/>
      </w:rPr>
      <w:tblPr/>
      <w:tcPr>
        <w:tcBorders>
          <w:top w:val="single" w:sz="4" w:space="0" w:color="1E49E2" w:themeColor="accent1"/>
          <w:left w:val="single" w:sz="4" w:space="0" w:color="1E49E2" w:themeColor="accent1"/>
          <w:bottom w:val="single" w:sz="4" w:space="0" w:color="1E49E2" w:themeColor="accent1"/>
          <w:right w:val="single" w:sz="4" w:space="0" w:color="1E49E2" w:themeColor="accent1"/>
          <w:insideH w:val="nil"/>
          <w:insideV w:val="nil"/>
        </w:tcBorders>
        <w:shd w:val="clear" w:color="auto" w:fill="1E49E2" w:themeFill="accent1"/>
      </w:tcPr>
    </w:tblStylePr>
    <w:tblStylePr w:type="lastRow">
      <w:rPr>
        <w:b/>
        <w:bCs/>
      </w:rPr>
      <w:tblPr/>
      <w:tcPr>
        <w:tcBorders>
          <w:top w:val="double" w:sz="4" w:space="0" w:color="1E49E2" w:themeColor="accent1"/>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paragraph" w:styleId="NormalWeb">
    <w:name w:val="Normal (Web)"/>
    <w:basedOn w:val="Normal"/>
    <w:uiPriority w:val="99"/>
    <w:unhideWhenUsed/>
    <w:rsid w:val="004E73A4"/>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wrap">
    <w:name w:val="nowrap"/>
    <w:basedOn w:val="DefaultParagraphFont"/>
    <w:rsid w:val="004E73A4"/>
  </w:style>
  <w:style w:type="paragraph" w:styleId="Revision">
    <w:name w:val="Revision"/>
    <w:hidden/>
    <w:uiPriority w:val="99"/>
    <w:semiHidden/>
    <w:rsid w:val="00BF749E"/>
    <w:pPr>
      <w:spacing w:after="0" w:line="240" w:lineRule="auto"/>
    </w:pPr>
    <w:rPr>
      <w:rFonts w:ascii="Arial" w:hAnsi="Arial"/>
      <w:lang w:val="en-AU"/>
    </w:rPr>
  </w:style>
  <w:style w:type="table" w:customStyle="1" w:styleId="KPMGTable">
    <w:name w:val="KPMG Table"/>
    <w:basedOn w:val="TableNormal"/>
    <w:uiPriority w:val="99"/>
    <w:rsid w:val="00641767"/>
    <w:pPr>
      <w:spacing w:after="0" w:line="240" w:lineRule="auto"/>
    </w:pPr>
    <w:rPr>
      <w:rFonts w:ascii="Arial" w:eastAsiaTheme="minorHAnsi" w:hAnsi="Arial"/>
      <w:sz w:val="20"/>
      <w:lang w:val="en-AU"/>
    </w:rPr>
    <w:tblPr>
      <w:tblStyleRowBandSize w:val="1"/>
      <w:tblBorders>
        <w:insideH w:val="single" w:sz="4" w:space="0" w:color="F2F2F2" w:themeColor="background1" w:themeShade="F2"/>
      </w:tblBorders>
    </w:tblPr>
    <w:tcPr>
      <w:shd w:val="clear" w:color="auto" w:fill="FFFFFF" w:themeFill="background1"/>
    </w:tcPr>
    <w:tblStylePr w:type="firstRow">
      <w:pPr>
        <w:jc w:val="left"/>
      </w:pPr>
      <w:rPr>
        <w:rFonts w:ascii="Arial" w:hAnsi="Arial"/>
        <w:b/>
        <w:i w:val="0"/>
        <w:color w:val="380975" w:themeColor="accent5" w:themeShade="80"/>
      </w:rPr>
      <w:tblPr/>
      <w:trPr>
        <w:cantSplit/>
        <w:tblHeader/>
      </w:trPr>
      <w:tcPr>
        <w:tcBorders>
          <w:bottom w:val="single" w:sz="4" w:space="0" w:color="540EAF" w:themeColor="accent5" w:themeShade="BF"/>
        </w:tcBorders>
        <w:shd w:val="clear" w:color="auto" w:fill="E2CFFB" w:themeFill="accent5" w:themeFillTint="33"/>
        <w:vAlign w:val="center"/>
      </w:tcPr>
    </w:tblStylePr>
    <w:tblStylePr w:type="lastRow">
      <w:tblPr/>
      <w:tcPr>
        <w:tcBorders>
          <w:bottom w:val="nil"/>
        </w:tcBorders>
        <w:shd w:val="clear" w:color="auto" w:fill="E5D6E6"/>
      </w:tcPr>
    </w:tblStylePr>
    <w:tblStylePr w:type="firstCol">
      <w:tblPr/>
      <w:tcPr>
        <w:shd w:val="clear" w:color="auto" w:fill="F2F2F2" w:themeFill="background1" w:themeFillShade="F2"/>
      </w:tcPr>
    </w:tblStylePr>
    <w:tblStylePr w:type="band1Horz">
      <w:rPr>
        <w:color w:val="auto"/>
      </w:rPr>
    </w:tblStylePr>
  </w:style>
  <w:style w:type="paragraph" w:customStyle="1" w:styleId="TableHeading">
    <w:name w:val="Table Heading"/>
    <w:basedOn w:val="Normal"/>
    <w:uiPriority w:val="3"/>
    <w:qFormat/>
    <w:rsid w:val="00005838"/>
    <w:pPr>
      <w:spacing w:before="120" w:after="120"/>
    </w:pPr>
    <w:rPr>
      <w:rFonts w:asciiTheme="minorHAnsi" w:eastAsiaTheme="minorHAnsi" w:hAnsiTheme="minorHAnsi" w:cstheme="minorHAnsi"/>
      <w:b/>
      <w:color w:val="FFFFFF" w:themeColor="background1"/>
      <w:szCs w:val="28"/>
    </w:rPr>
  </w:style>
  <w:style w:type="paragraph" w:customStyle="1" w:styleId="TableBullet1stlevel">
    <w:name w:val="Table Bullet 1st level"/>
    <w:basedOn w:val="Normal"/>
    <w:uiPriority w:val="99"/>
    <w:qFormat/>
    <w:rsid w:val="00CF1013"/>
    <w:pPr>
      <w:numPr>
        <w:numId w:val="7"/>
      </w:numPr>
      <w:spacing w:before="20" w:after="20" w:line="240" w:lineRule="auto"/>
      <w:ind w:left="170" w:hanging="170"/>
    </w:pPr>
    <w:rPr>
      <w:rFonts w:eastAsiaTheme="minorHAnsi"/>
      <w:color w:val="000000" w:themeColor="text1"/>
      <w:sz w:val="18"/>
      <w:szCs w:val="28"/>
      <w:lang w:eastAsia="en-AU"/>
    </w:rPr>
  </w:style>
  <w:style w:type="paragraph" w:customStyle="1" w:styleId="TableText">
    <w:name w:val="Table Text"/>
    <w:basedOn w:val="BodyText"/>
    <w:uiPriority w:val="3"/>
    <w:qFormat/>
    <w:rsid w:val="00CF1013"/>
    <w:pPr>
      <w:spacing w:before="20" w:after="20" w:line="240" w:lineRule="auto"/>
    </w:pPr>
    <w:rPr>
      <w:rFonts w:asciiTheme="minorHAnsi" w:eastAsiaTheme="minorHAnsi" w:hAnsiTheme="minorHAnsi"/>
      <w:sz w:val="18"/>
    </w:rPr>
  </w:style>
  <w:style w:type="paragraph" w:customStyle="1" w:styleId="CoverTitle4White">
    <w:name w:val="Cover Title 4 White"/>
    <w:basedOn w:val="BodyText"/>
    <w:uiPriority w:val="4"/>
    <w:qFormat/>
    <w:rsid w:val="002209C9"/>
    <w:rPr>
      <w:rFonts w:eastAsiaTheme="minorHAnsi"/>
      <w:color w:val="FFFFFF" w:themeColor="background1"/>
      <w:szCs w:val="24"/>
    </w:rPr>
  </w:style>
  <w:style w:type="paragraph" w:customStyle="1" w:styleId="Bullet1">
    <w:name w:val="Bullet_1"/>
    <w:qFormat/>
    <w:rsid w:val="00A45F9F"/>
    <w:pPr>
      <w:numPr>
        <w:numId w:val="9"/>
      </w:numPr>
      <w:spacing w:before="120" w:after="120" w:line="240" w:lineRule="auto"/>
    </w:pPr>
    <w:rPr>
      <w:rFonts w:eastAsiaTheme="minorHAnsi"/>
      <w:color w:val="000000" w:themeColor="text1"/>
      <w:kern w:val="2"/>
      <w:sz w:val="20"/>
      <w:lang w:val="en-AU"/>
      <w14:ligatures w14:val="standardContextual"/>
    </w:rPr>
  </w:style>
  <w:style w:type="paragraph" w:customStyle="1" w:styleId="Bodytext4">
    <w:name w:val="Body text4"/>
    <w:qFormat/>
    <w:rsid w:val="00F878F4"/>
    <w:pPr>
      <w:spacing w:before="120" w:after="120" w:line="240" w:lineRule="auto"/>
      <w:jc w:val="both"/>
    </w:pPr>
    <w:rPr>
      <w:rFonts w:ascii="Arial" w:hAnsi="Arial"/>
      <w:b/>
      <w:i/>
      <w:color w:val="000000" w:themeColor="text1"/>
      <w:lang w:val="en-AU"/>
    </w:rPr>
  </w:style>
  <w:style w:type="paragraph" w:customStyle="1" w:styleId="TableH">
    <w:name w:val="Table_H"/>
    <w:qFormat/>
    <w:rsid w:val="00F878F4"/>
    <w:pPr>
      <w:spacing w:before="120" w:after="120" w:line="240" w:lineRule="auto"/>
    </w:pPr>
    <w:rPr>
      <w:rFonts w:ascii="Arial" w:hAnsi="Arial"/>
      <w:b/>
      <w:color w:val="1E49E2" w:themeColor="accent1"/>
      <w:lang w:val="en-AU"/>
    </w:rPr>
  </w:style>
  <w:style w:type="paragraph" w:customStyle="1" w:styleId="Bullet2">
    <w:name w:val="Bullet_2"/>
    <w:qFormat/>
    <w:rsid w:val="00DC2C6A"/>
    <w:pPr>
      <w:numPr>
        <w:numId w:val="8"/>
      </w:numPr>
      <w:spacing w:before="120" w:after="120" w:line="240" w:lineRule="auto"/>
    </w:pPr>
    <w:rPr>
      <w:rFonts w:eastAsiaTheme="minorHAnsi"/>
      <w:kern w:val="2"/>
      <w:sz w:val="20"/>
      <w:lang w:val="en-AU"/>
      <w14:ligatures w14:val="standardContextual"/>
    </w:rPr>
  </w:style>
  <w:style w:type="paragraph" w:customStyle="1" w:styleId="Bullet3">
    <w:name w:val="Bullet_3"/>
    <w:qFormat/>
    <w:rsid w:val="00DC2C6A"/>
    <w:pPr>
      <w:numPr>
        <w:numId w:val="10"/>
      </w:numPr>
      <w:spacing w:before="120" w:after="120" w:line="240" w:lineRule="auto"/>
      <w:ind w:left="1071" w:hanging="357"/>
    </w:pPr>
    <w:rPr>
      <w:rFonts w:eastAsiaTheme="minorHAnsi"/>
      <w:kern w:val="2"/>
      <w:sz w:val="20"/>
      <w:lang w:val="en-AU"/>
      <w14:ligatures w14:val="standardContextual"/>
    </w:rPr>
  </w:style>
  <w:style w:type="paragraph" w:customStyle="1" w:styleId="TableheadingwhiteBold">
    <w:name w:val="Table heading white Bold"/>
    <w:basedOn w:val="Normal"/>
    <w:uiPriority w:val="99"/>
    <w:qFormat/>
    <w:rsid w:val="00621903"/>
    <w:pPr>
      <w:spacing w:before="80" w:after="80"/>
    </w:pPr>
    <w:rPr>
      <w:rFonts w:asciiTheme="minorHAnsi" w:eastAsia="SimSun" w:hAnsiTheme="minorHAnsi" w:cs="Times New Roman"/>
      <w:b/>
      <w:color w:val="E2CFFB" w:themeColor="accent5" w:themeTint="33"/>
      <w:szCs w:val="20"/>
      <w:lang w:eastAsia="zh-CN"/>
    </w:rPr>
  </w:style>
  <w:style w:type="table" w:styleId="ListTable3-Accent1">
    <w:name w:val="List Table 3 Accent 1"/>
    <w:basedOn w:val="TableNormal"/>
    <w:uiPriority w:val="48"/>
    <w:rsid w:val="00621903"/>
    <w:pPr>
      <w:spacing w:after="0" w:line="240" w:lineRule="auto"/>
    </w:pPr>
    <w:rPr>
      <w:rFonts w:eastAsiaTheme="minorHAnsi"/>
      <w:kern w:val="2"/>
      <w:sz w:val="24"/>
      <w:szCs w:val="24"/>
      <w:lang w:val="en-AU"/>
      <w14:ligatures w14:val="standardContextual"/>
    </w:rPr>
    <w:tblPr>
      <w:tblStyleRowBandSize w:val="1"/>
      <w:tblStyleColBandSize w:val="1"/>
      <w:tblBorders>
        <w:top w:val="single" w:sz="4" w:space="0" w:color="1E49E2" w:themeColor="accent1"/>
        <w:left w:val="single" w:sz="4" w:space="0" w:color="1E49E2" w:themeColor="accent1"/>
        <w:bottom w:val="single" w:sz="4" w:space="0" w:color="1E49E2" w:themeColor="accent1"/>
        <w:right w:val="single" w:sz="4" w:space="0" w:color="1E49E2" w:themeColor="accent1"/>
      </w:tblBorders>
    </w:tblPr>
    <w:tblStylePr w:type="firstRow">
      <w:rPr>
        <w:b/>
        <w:bCs/>
        <w:color w:val="FFFFFF" w:themeColor="background1"/>
      </w:rPr>
      <w:tblPr/>
      <w:tcPr>
        <w:shd w:val="clear" w:color="auto" w:fill="1E49E2" w:themeFill="accent1"/>
      </w:tcPr>
    </w:tblStylePr>
    <w:tblStylePr w:type="lastRow">
      <w:rPr>
        <w:b/>
        <w:bCs/>
      </w:rPr>
      <w:tblPr/>
      <w:tcPr>
        <w:tcBorders>
          <w:top w:val="double" w:sz="4" w:space="0" w:color="1E49E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E49E2" w:themeColor="accent1"/>
          <w:right w:val="single" w:sz="4" w:space="0" w:color="1E49E2" w:themeColor="accent1"/>
        </w:tcBorders>
      </w:tcPr>
    </w:tblStylePr>
    <w:tblStylePr w:type="band1Horz">
      <w:tblPr/>
      <w:tcPr>
        <w:tcBorders>
          <w:top w:val="single" w:sz="4" w:space="0" w:color="1E49E2" w:themeColor="accent1"/>
          <w:bottom w:val="single" w:sz="4" w:space="0" w:color="1E49E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49E2" w:themeColor="accent1"/>
          <w:left w:val="nil"/>
        </w:tcBorders>
      </w:tcPr>
    </w:tblStylePr>
    <w:tblStylePr w:type="swCell">
      <w:tblPr/>
      <w:tcPr>
        <w:tcBorders>
          <w:top w:val="double" w:sz="4" w:space="0" w:color="1E49E2" w:themeColor="accent1"/>
          <w:right w:val="nil"/>
        </w:tcBorders>
      </w:tcPr>
    </w:tblStylePr>
  </w:style>
  <w:style w:type="table" w:styleId="ListTable1Light-Accent1">
    <w:name w:val="List Table 1 Light Accent 1"/>
    <w:basedOn w:val="TableNormal"/>
    <w:uiPriority w:val="46"/>
    <w:rsid w:val="0063475E"/>
    <w:pPr>
      <w:spacing w:after="0" w:line="240" w:lineRule="auto"/>
    </w:pPr>
    <w:tblPr>
      <w:tblStyleRowBandSize w:val="1"/>
      <w:tblStyleColBandSize w:val="1"/>
    </w:tblPr>
    <w:tblStylePr w:type="firstRow">
      <w:rPr>
        <w:b/>
        <w:bCs/>
      </w:rPr>
      <w:tblPr/>
      <w:tcPr>
        <w:tcBorders>
          <w:bottom w:val="single" w:sz="4" w:space="0" w:color="7791ED" w:themeColor="accent1" w:themeTint="99"/>
        </w:tcBorders>
      </w:tcPr>
    </w:tblStylePr>
    <w:tblStylePr w:type="lastRow">
      <w:rPr>
        <w:b/>
        <w:bCs/>
      </w:rPr>
      <w:tblPr/>
      <w:tcPr>
        <w:tcBorders>
          <w:top w:val="single" w:sz="4" w:space="0" w:color="7791ED" w:themeColor="accent1" w:themeTint="99"/>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table" w:styleId="PlainTable4">
    <w:name w:val="Plain Table 4"/>
    <w:basedOn w:val="TableNormal"/>
    <w:uiPriority w:val="99"/>
    <w:rsid w:val="0063475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63475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overTitle1White">
    <w:name w:val="Cover Title 1 White"/>
    <w:basedOn w:val="BodyText"/>
    <w:next w:val="Covertitle2White"/>
    <w:uiPriority w:val="4"/>
    <w:qFormat/>
    <w:rsid w:val="005543E9"/>
    <w:pPr>
      <w:spacing w:before="720" w:after="400" w:line="168" w:lineRule="auto"/>
    </w:pPr>
    <w:rPr>
      <w:rFonts w:ascii="KPMG Bold" w:eastAsiaTheme="minorHAnsi" w:hAnsi="KPMG Bold"/>
      <w:color w:val="FFFFFF" w:themeColor="background1"/>
      <w:sz w:val="168"/>
      <w:szCs w:val="200"/>
    </w:rPr>
  </w:style>
  <w:style w:type="paragraph" w:customStyle="1" w:styleId="Covertitle2White">
    <w:name w:val="Cover title 2 White"/>
    <w:uiPriority w:val="4"/>
    <w:qFormat/>
    <w:rsid w:val="005543E9"/>
    <w:pPr>
      <w:spacing w:before="120" w:after="120" w:line="240" w:lineRule="auto"/>
    </w:pPr>
    <w:rPr>
      <w:rFonts w:ascii="Arial" w:eastAsiaTheme="minorHAnsi" w:hAnsi="Arial"/>
      <w:b/>
      <w:bCs/>
      <w:color w:val="FFFFFF" w:themeColor="background1"/>
      <w:sz w:val="32"/>
      <w:szCs w:val="40"/>
      <w:lang w:val="en-AU"/>
    </w:rPr>
  </w:style>
  <w:style w:type="paragraph" w:customStyle="1" w:styleId="CoverTitle3White">
    <w:name w:val="Cover Title 3 White"/>
    <w:uiPriority w:val="4"/>
    <w:qFormat/>
    <w:rsid w:val="005543E9"/>
    <w:pPr>
      <w:spacing w:before="120" w:after="120" w:line="240" w:lineRule="auto"/>
    </w:pPr>
    <w:rPr>
      <w:rFonts w:ascii="Arial" w:eastAsiaTheme="minorHAnsi" w:hAnsi="Arial"/>
      <w:color w:val="FFFFFF" w:themeColor="background1"/>
      <w:sz w:val="32"/>
      <w:szCs w:val="32"/>
      <w:lang w:val="en-AU"/>
    </w:rPr>
  </w:style>
  <w:style w:type="paragraph" w:customStyle="1" w:styleId="HeadingNO">
    <w:name w:val="Heading_NO"/>
    <w:qFormat/>
    <w:rsid w:val="00944D24"/>
    <w:pPr>
      <w:shd w:val="clear" w:color="auto" w:fill="403AA8"/>
      <w:spacing w:after="480" w:line="192" w:lineRule="auto"/>
      <w:ind w:right="7086"/>
    </w:pPr>
    <w:rPr>
      <w:rFonts w:eastAsia="Arial Unicode MS" w:cstheme="minorHAnsi"/>
      <w:b/>
      <w:color w:val="FFFFFF" w:themeColor="background1"/>
      <w:sz w:val="56"/>
      <w:szCs w:val="56"/>
      <w:lang w:val="en-GB" w:eastAsia="en-AU"/>
    </w:rPr>
  </w:style>
  <w:style w:type="paragraph" w:styleId="TOC3">
    <w:name w:val="toc 3"/>
    <w:basedOn w:val="Normal"/>
    <w:next w:val="Normal"/>
    <w:autoRedefine/>
    <w:uiPriority w:val="39"/>
    <w:unhideWhenUsed/>
    <w:rsid w:val="00CF4585"/>
    <w:pPr>
      <w:spacing w:after="100"/>
      <w:ind w:left="400"/>
    </w:pPr>
  </w:style>
  <w:style w:type="paragraph" w:styleId="TOC4">
    <w:name w:val="toc 4"/>
    <w:basedOn w:val="Normal"/>
    <w:next w:val="Normal"/>
    <w:autoRedefine/>
    <w:uiPriority w:val="39"/>
    <w:unhideWhenUsed/>
    <w:rsid w:val="00CF4585"/>
    <w:pPr>
      <w:spacing w:before="0" w:after="100" w:line="278" w:lineRule="auto"/>
      <w:ind w:left="720"/>
    </w:pPr>
    <w:rPr>
      <w:rFonts w:asciiTheme="minorHAnsi" w:hAnsiTheme="minorHAnsi"/>
      <w:kern w:val="2"/>
      <w:sz w:val="24"/>
      <w:szCs w:val="24"/>
      <w:lang w:eastAsia="en-AU"/>
      <w14:ligatures w14:val="standardContextual"/>
    </w:rPr>
  </w:style>
  <w:style w:type="paragraph" w:styleId="TOC5">
    <w:name w:val="toc 5"/>
    <w:basedOn w:val="Normal"/>
    <w:next w:val="Normal"/>
    <w:autoRedefine/>
    <w:uiPriority w:val="39"/>
    <w:unhideWhenUsed/>
    <w:rsid w:val="00CF4585"/>
    <w:pPr>
      <w:spacing w:before="0" w:after="100" w:line="278" w:lineRule="auto"/>
      <w:ind w:left="960"/>
    </w:pPr>
    <w:rPr>
      <w:rFonts w:asciiTheme="minorHAnsi" w:hAnsiTheme="minorHAnsi"/>
      <w:kern w:val="2"/>
      <w:sz w:val="24"/>
      <w:szCs w:val="24"/>
      <w:lang w:eastAsia="en-AU"/>
      <w14:ligatures w14:val="standardContextual"/>
    </w:rPr>
  </w:style>
  <w:style w:type="paragraph" w:styleId="TOC6">
    <w:name w:val="toc 6"/>
    <w:basedOn w:val="Normal"/>
    <w:next w:val="Normal"/>
    <w:autoRedefine/>
    <w:uiPriority w:val="39"/>
    <w:unhideWhenUsed/>
    <w:rsid w:val="00CF4585"/>
    <w:pPr>
      <w:spacing w:before="0" w:after="100" w:line="278" w:lineRule="auto"/>
      <w:ind w:left="1200"/>
    </w:pPr>
    <w:rPr>
      <w:rFonts w:asciiTheme="minorHAnsi" w:hAnsiTheme="minorHAnsi"/>
      <w:kern w:val="2"/>
      <w:sz w:val="24"/>
      <w:szCs w:val="24"/>
      <w:lang w:eastAsia="en-AU"/>
      <w14:ligatures w14:val="standardContextual"/>
    </w:rPr>
  </w:style>
  <w:style w:type="paragraph" w:styleId="TOC7">
    <w:name w:val="toc 7"/>
    <w:basedOn w:val="Normal"/>
    <w:next w:val="Normal"/>
    <w:autoRedefine/>
    <w:uiPriority w:val="39"/>
    <w:unhideWhenUsed/>
    <w:rsid w:val="00CF4585"/>
    <w:pPr>
      <w:spacing w:before="0" w:after="100" w:line="278" w:lineRule="auto"/>
      <w:ind w:left="1440"/>
    </w:pPr>
    <w:rPr>
      <w:rFonts w:asciiTheme="minorHAnsi" w:hAnsiTheme="minorHAnsi"/>
      <w:kern w:val="2"/>
      <w:sz w:val="24"/>
      <w:szCs w:val="24"/>
      <w:lang w:eastAsia="en-AU"/>
      <w14:ligatures w14:val="standardContextual"/>
    </w:rPr>
  </w:style>
  <w:style w:type="paragraph" w:styleId="TOC8">
    <w:name w:val="toc 8"/>
    <w:basedOn w:val="Normal"/>
    <w:next w:val="Normal"/>
    <w:autoRedefine/>
    <w:uiPriority w:val="39"/>
    <w:unhideWhenUsed/>
    <w:rsid w:val="00CF4585"/>
    <w:pPr>
      <w:spacing w:before="0" w:after="100" w:line="278" w:lineRule="auto"/>
      <w:ind w:left="1680"/>
    </w:pPr>
    <w:rPr>
      <w:rFonts w:asciiTheme="minorHAnsi" w:hAnsiTheme="minorHAnsi"/>
      <w:kern w:val="2"/>
      <w:sz w:val="24"/>
      <w:szCs w:val="24"/>
      <w:lang w:eastAsia="en-AU"/>
      <w14:ligatures w14:val="standardContextual"/>
    </w:rPr>
  </w:style>
  <w:style w:type="paragraph" w:styleId="TOC9">
    <w:name w:val="toc 9"/>
    <w:basedOn w:val="Normal"/>
    <w:next w:val="Normal"/>
    <w:autoRedefine/>
    <w:uiPriority w:val="39"/>
    <w:unhideWhenUsed/>
    <w:rsid w:val="00CF4585"/>
    <w:pPr>
      <w:spacing w:before="0" w:after="100" w:line="278" w:lineRule="auto"/>
      <w:ind w:left="1920"/>
    </w:pPr>
    <w:rPr>
      <w:rFonts w:asciiTheme="minorHAnsi" w:hAnsiTheme="minorHAnsi"/>
      <w:kern w:val="2"/>
      <w:sz w:val="24"/>
      <w:szCs w:val="24"/>
      <w:lang w:eastAsia="en-AU"/>
      <w14:ligatures w14:val="standardContextual"/>
    </w:rPr>
  </w:style>
  <w:style w:type="paragraph" w:customStyle="1" w:styleId="AoC">
    <w:name w:val="AoC"/>
    <w:basedOn w:val="Normal"/>
    <w:qFormat/>
    <w:rsid w:val="00944D24"/>
    <w:pPr>
      <w:pBdr>
        <w:top w:val="single" w:sz="4" w:space="6" w:color="FFFFFF" w:themeColor="background1"/>
        <w:left w:val="single" w:sz="4" w:space="6" w:color="FFFFFF" w:themeColor="background1"/>
        <w:bottom w:val="single" w:sz="4" w:space="6" w:color="FFFFFF" w:themeColor="background1"/>
        <w:right w:val="single" w:sz="4" w:space="6" w:color="FFFFFF" w:themeColor="background1"/>
      </w:pBdr>
      <w:shd w:val="clear" w:color="auto" w:fill="FFFFFF" w:themeFill="background1"/>
      <w:tabs>
        <w:tab w:val="left" w:pos="5954"/>
      </w:tabs>
      <w:spacing w:before="0" w:after="0" w:line="192" w:lineRule="auto"/>
      <w:ind w:right="4393"/>
    </w:pPr>
    <w:rPr>
      <w:rFonts w:asciiTheme="minorHAnsi" w:eastAsia="+mn-ea" w:hAnsiTheme="minorHAnsi" w:cstheme="minorHAnsi"/>
      <w:b/>
      <w:bCs/>
      <w:color w:val="0C233C" w:themeColor="accent2"/>
      <w:kern w:val="24"/>
      <w:sz w:val="52"/>
      <w:szCs w:val="52"/>
      <w:lang w:eastAsia="en-AU"/>
    </w:rPr>
  </w:style>
  <w:style w:type="paragraph" w:customStyle="1" w:styleId="AoC2">
    <w:name w:val="AoC 2"/>
    <w:basedOn w:val="Normal"/>
    <w:qFormat/>
    <w:rsid w:val="00746E8E"/>
    <w:pPr>
      <w:pBdr>
        <w:top w:val="single" w:sz="4" w:space="6" w:color="FFFFFF" w:themeColor="background1"/>
        <w:left w:val="single" w:sz="4" w:space="6" w:color="FFFFFF" w:themeColor="background1"/>
        <w:bottom w:val="single" w:sz="4" w:space="6" w:color="FFFFFF" w:themeColor="background1"/>
        <w:right w:val="single" w:sz="4" w:space="6" w:color="FFFFFF" w:themeColor="background1"/>
      </w:pBdr>
      <w:shd w:val="clear" w:color="auto" w:fill="FFFFFF" w:themeFill="background1"/>
      <w:tabs>
        <w:tab w:val="left" w:pos="5954"/>
      </w:tabs>
      <w:spacing w:before="120" w:after="120" w:line="240" w:lineRule="auto"/>
      <w:ind w:right="4393"/>
    </w:pPr>
    <w:rPr>
      <w:rFonts w:eastAsia="+mn-ea" w:cs="+mn-cs"/>
      <w:color w:val="0C233C" w:themeColor="accent2"/>
      <w:kern w:val="24"/>
      <w:sz w:val="24"/>
      <w:szCs w:val="26"/>
      <w:lang w:val="en-US" w:eastAsia="en-AU"/>
    </w:rPr>
  </w:style>
  <w:style w:type="paragraph" w:customStyle="1" w:styleId="AoC4">
    <w:name w:val="AoC 4"/>
    <w:basedOn w:val="Normal"/>
    <w:qFormat/>
    <w:rsid w:val="00746E8E"/>
    <w:pPr>
      <w:pBdr>
        <w:top w:val="single" w:sz="4" w:space="6" w:color="FFFFFF" w:themeColor="background1"/>
        <w:left w:val="single" w:sz="4" w:space="6" w:color="FFFFFF" w:themeColor="background1"/>
        <w:bottom w:val="single" w:sz="4" w:space="6" w:color="FFFFFF" w:themeColor="background1"/>
        <w:right w:val="single" w:sz="4" w:space="6" w:color="FFFFFF" w:themeColor="background1"/>
      </w:pBdr>
      <w:shd w:val="clear" w:color="auto" w:fill="FFFFFF" w:themeFill="background1"/>
      <w:tabs>
        <w:tab w:val="left" w:pos="5954"/>
      </w:tabs>
      <w:spacing w:before="120" w:after="120" w:line="240" w:lineRule="auto"/>
      <w:ind w:right="4393"/>
    </w:pPr>
    <w:rPr>
      <w:rFonts w:eastAsia="+mn-ea" w:cs="+mn-cs"/>
      <w:color w:val="0C233C" w:themeColor="accent2"/>
      <w:kern w:val="24"/>
      <w:sz w:val="20"/>
      <w:szCs w:val="20"/>
      <w:lang w:val="en-US" w:eastAsia="en-AU"/>
    </w:rPr>
  </w:style>
  <w:style w:type="paragraph" w:customStyle="1" w:styleId="Normal-Disclaimer">
    <w:name w:val="Normal - Disclaimer"/>
    <w:basedOn w:val="BodyText"/>
    <w:qFormat/>
    <w:rsid w:val="00006672"/>
    <w:pPr>
      <w:shd w:val="clear" w:color="auto" w:fill="403AA8"/>
      <w:tabs>
        <w:tab w:val="left" w:pos="4962"/>
      </w:tabs>
      <w:spacing w:line="240" w:lineRule="auto"/>
      <w:ind w:right="140"/>
    </w:pPr>
    <w:rPr>
      <w:rFonts w:asciiTheme="minorHAnsi" w:eastAsiaTheme="majorEastAsia" w:hAnsiTheme="minorHAnsi" w:cstheme="minorHAnsi"/>
      <w:iCs/>
      <w:color w:val="FFFFFF" w:themeColor="background1"/>
      <w:sz w:val="18"/>
      <w:szCs w:val="16"/>
    </w:rPr>
  </w:style>
  <w:style w:type="paragraph" w:customStyle="1" w:styleId="Footerwhite">
    <w:name w:val="Footer white"/>
    <w:basedOn w:val="Footer"/>
    <w:qFormat/>
    <w:rsid w:val="009F22CA"/>
    <w:pPr>
      <w:shd w:val="clear" w:color="auto" w:fill="403AA8"/>
      <w:tabs>
        <w:tab w:val="clear" w:pos="9360"/>
        <w:tab w:val="right" w:pos="5245"/>
        <w:tab w:val="left" w:pos="5387"/>
      </w:tabs>
      <w:ind w:right="4393"/>
    </w:pPr>
    <w:rPr>
      <w:color w:val="FFFFFF" w:themeColor="background1"/>
    </w:rPr>
  </w:style>
  <w:style w:type="paragraph" w:customStyle="1" w:styleId="Heading3blue">
    <w:name w:val="Heading 3 blue"/>
    <w:basedOn w:val="Heading3"/>
    <w:qFormat/>
    <w:rsid w:val="00E24EDA"/>
    <w:pPr>
      <w:pBdr>
        <w:top w:val="single" w:sz="8" w:space="6" w:color="CAF1FF" w:themeColor="accent4" w:themeTint="33"/>
        <w:left w:val="single" w:sz="8" w:space="6" w:color="CAF1FF" w:themeColor="accent4" w:themeTint="33"/>
        <w:bottom w:val="single" w:sz="8" w:space="6" w:color="CAF1FF" w:themeColor="accent4" w:themeTint="33"/>
        <w:right w:val="single" w:sz="8" w:space="6" w:color="CAF1FF" w:themeColor="accent4" w:themeTint="33"/>
      </w:pBdr>
      <w:shd w:val="clear" w:color="auto" w:fill="CAF1FF" w:themeFill="accent4" w:themeFillTint="33"/>
    </w:pPr>
  </w:style>
  <w:style w:type="paragraph" w:customStyle="1" w:styleId="Normal-blue">
    <w:name w:val="Normal - blue"/>
    <w:basedOn w:val="BodyText"/>
    <w:qFormat/>
    <w:rsid w:val="007B6612"/>
    <w:pPr>
      <w:pBdr>
        <w:top w:val="single" w:sz="8" w:space="6" w:color="CAF1FF" w:themeColor="accent4" w:themeTint="33"/>
        <w:left w:val="single" w:sz="8" w:space="6" w:color="CAF1FF" w:themeColor="accent4" w:themeTint="33"/>
        <w:bottom w:val="single" w:sz="8" w:space="6" w:color="CAF1FF" w:themeColor="accent4" w:themeTint="33"/>
        <w:right w:val="single" w:sz="8" w:space="6" w:color="CAF1FF" w:themeColor="accent4" w:themeTint="33"/>
      </w:pBdr>
      <w:shd w:val="clear" w:color="auto" w:fill="CAF1FF" w:themeFill="accent4" w:themeFillTint="33"/>
    </w:pPr>
    <w:rPr>
      <w:b/>
    </w:rPr>
  </w:style>
  <w:style w:type="paragraph" w:customStyle="1" w:styleId="Listbulletblue">
    <w:name w:val="List bullet blue"/>
    <w:basedOn w:val="ListBullet"/>
    <w:qFormat/>
    <w:rsid w:val="00514DE1"/>
    <w:pPr>
      <w:pBdr>
        <w:top w:val="single" w:sz="8" w:space="6" w:color="CAF1FF" w:themeColor="accent4" w:themeTint="33"/>
        <w:left w:val="single" w:sz="8" w:space="6" w:color="CAF1FF" w:themeColor="accent4" w:themeTint="33"/>
        <w:bottom w:val="single" w:sz="8" w:space="6" w:color="CAF1FF" w:themeColor="accent4" w:themeTint="33"/>
        <w:right w:val="single" w:sz="8" w:space="6" w:color="CAF1FF" w:themeColor="accent4" w:themeTint="33"/>
      </w:pBdr>
      <w:shd w:val="clear" w:color="auto" w:fill="CAF1FF" w:themeFill="accent4" w:themeFillTint="33"/>
    </w:pPr>
  </w:style>
  <w:style w:type="paragraph" w:customStyle="1" w:styleId="Normal-casestudy">
    <w:name w:val="Normal - case study"/>
    <w:basedOn w:val="BodyText"/>
    <w:qFormat/>
    <w:rsid w:val="007B6612"/>
    <w:pPr>
      <w:pBdr>
        <w:top w:val="single" w:sz="8" w:space="6" w:color="F2F2F2" w:themeColor="background1" w:themeShade="F2"/>
        <w:left w:val="single" w:sz="8" w:space="6" w:color="F2F2F2" w:themeColor="background1" w:themeShade="F2"/>
        <w:bottom w:val="single" w:sz="8" w:space="6" w:color="F2F2F2" w:themeColor="background1" w:themeShade="F2"/>
        <w:right w:val="single" w:sz="8" w:space="6" w:color="F2F2F2" w:themeColor="background1" w:themeShade="F2"/>
      </w:pBdr>
      <w:shd w:val="clear" w:color="auto" w:fill="F2F2F2" w:themeFill="background1" w:themeFillShade="F2"/>
    </w:pPr>
  </w:style>
  <w:style w:type="paragraph" w:customStyle="1" w:styleId="Quotesource">
    <w:name w:val="Quote source"/>
    <w:basedOn w:val="BodyText"/>
    <w:qFormat/>
    <w:rsid w:val="000271A7"/>
    <w:pPr>
      <w:numPr>
        <w:numId w:val="14"/>
      </w:numPr>
    </w:pPr>
    <w:rPr>
      <w:color w:val="0C233C" w:themeColor="accent2"/>
    </w:rPr>
  </w:style>
  <w:style w:type="paragraph" w:customStyle="1" w:styleId="HEading2Blue">
    <w:name w:val="HEading 2 Blue"/>
    <w:basedOn w:val="Heading3blue"/>
    <w:qFormat/>
    <w:rsid w:val="00E135B9"/>
    <w:pPr>
      <w:outlineLvl w:val="1"/>
    </w:pPr>
  </w:style>
  <w:style w:type="paragraph" w:styleId="BalloonText">
    <w:name w:val="Balloon Text"/>
    <w:basedOn w:val="Normal"/>
    <w:link w:val="BalloonTextChar"/>
    <w:uiPriority w:val="99"/>
    <w:semiHidden/>
    <w:unhideWhenUsed/>
    <w:rsid w:val="004B626C"/>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626C"/>
    <w:rPr>
      <w:rFonts w:ascii="Segoe UI" w:hAnsi="Segoe UI" w:cs="Segoe UI"/>
      <w:sz w:val="18"/>
      <w:szCs w:val="18"/>
      <w:lang w:val="en-AU"/>
    </w:rPr>
  </w:style>
  <w:style w:type="paragraph" w:styleId="Bibliography">
    <w:name w:val="Bibliography"/>
    <w:basedOn w:val="Normal"/>
    <w:next w:val="Normal"/>
    <w:uiPriority w:val="37"/>
    <w:semiHidden/>
    <w:unhideWhenUsed/>
    <w:rsid w:val="004B626C"/>
  </w:style>
  <w:style w:type="paragraph" w:styleId="BlockText">
    <w:name w:val="Block Text"/>
    <w:basedOn w:val="Normal"/>
    <w:uiPriority w:val="99"/>
    <w:semiHidden/>
    <w:unhideWhenUsed/>
    <w:rsid w:val="004B626C"/>
    <w:pPr>
      <w:pBdr>
        <w:top w:val="single" w:sz="2" w:space="10" w:color="1E49E2" w:themeColor="accent1"/>
        <w:left w:val="single" w:sz="2" w:space="10" w:color="1E49E2" w:themeColor="accent1"/>
        <w:bottom w:val="single" w:sz="2" w:space="10" w:color="1E49E2" w:themeColor="accent1"/>
        <w:right w:val="single" w:sz="2" w:space="10" w:color="1E49E2" w:themeColor="accent1"/>
      </w:pBdr>
      <w:ind w:left="1152" w:right="1152"/>
    </w:pPr>
    <w:rPr>
      <w:rFonts w:asciiTheme="minorHAnsi" w:hAnsiTheme="minorHAnsi"/>
      <w:i/>
      <w:iCs/>
      <w:color w:val="1E49E2" w:themeColor="accent1"/>
    </w:rPr>
  </w:style>
  <w:style w:type="paragraph" w:styleId="BodyTextFirstIndent">
    <w:name w:val="Body Text First Indent"/>
    <w:basedOn w:val="BodyText"/>
    <w:link w:val="BodyTextFirstIndentChar"/>
    <w:uiPriority w:val="99"/>
    <w:semiHidden/>
    <w:unhideWhenUsed/>
    <w:rsid w:val="004B626C"/>
    <w:pPr>
      <w:spacing w:before="60" w:after="60"/>
      <w:ind w:firstLine="360"/>
    </w:pPr>
    <w:rPr>
      <w:color w:val="auto"/>
    </w:rPr>
  </w:style>
  <w:style w:type="character" w:customStyle="1" w:styleId="BodyTextFirstIndentChar">
    <w:name w:val="Body Text First Indent Char"/>
    <w:basedOn w:val="BodyTextChar"/>
    <w:link w:val="BodyTextFirstIndent"/>
    <w:uiPriority w:val="99"/>
    <w:semiHidden/>
    <w:rsid w:val="004B626C"/>
    <w:rPr>
      <w:rFonts w:ascii="Arial" w:hAnsi="Arial"/>
      <w:color w:val="000000" w:themeColor="text1"/>
      <w:lang w:val="en-AU"/>
    </w:rPr>
  </w:style>
  <w:style w:type="paragraph" w:styleId="BodyTextIndent">
    <w:name w:val="Body Text Indent"/>
    <w:basedOn w:val="Normal"/>
    <w:link w:val="BodyTextIndentChar"/>
    <w:uiPriority w:val="99"/>
    <w:semiHidden/>
    <w:unhideWhenUsed/>
    <w:rsid w:val="004B626C"/>
    <w:pPr>
      <w:spacing w:after="120"/>
      <w:ind w:left="283"/>
    </w:pPr>
  </w:style>
  <w:style w:type="character" w:customStyle="1" w:styleId="BodyTextIndentChar">
    <w:name w:val="Body Text Indent Char"/>
    <w:basedOn w:val="DefaultParagraphFont"/>
    <w:link w:val="BodyTextIndent"/>
    <w:uiPriority w:val="99"/>
    <w:semiHidden/>
    <w:rsid w:val="004B626C"/>
    <w:rPr>
      <w:rFonts w:ascii="Arial" w:hAnsi="Arial"/>
      <w:lang w:val="en-AU"/>
    </w:rPr>
  </w:style>
  <w:style w:type="paragraph" w:styleId="BodyTextFirstIndent2">
    <w:name w:val="Body Text First Indent 2"/>
    <w:basedOn w:val="BodyTextIndent"/>
    <w:link w:val="BodyTextFirstIndent2Char"/>
    <w:uiPriority w:val="99"/>
    <w:semiHidden/>
    <w:unhideWhenUsed/>
    <w:rsid w:val="004B626C"/>
    <w:pPr>
      <w:spacing w:after="60"/>
      <w:ind w:left="360" w:firstLine="360"/>
    </w:pPr>
  </w:style>
  <w:style w:type="character" w:customStyle="1" w:styleId="BodyTextFirstIndent2Char">
    <w:name w:val="Body Text First Indent 2 Char"/>
    <w:basedOn w:val="BodyTextIndentChar"/>
    <w:link w:val="BodyTextFirstIndent2"/>
    <w:uiPriority w:val="99"/>
    <w:semiHidden/>
    <w:rsid w:val="004B626C"/>
    <w:rPr>
      <w:rFonts w:ascii="Arial" w:hAnsi="Arial"/>
      <w:lang w:val="en-AU"/>
    </w:rPr>
  </w:style>
  <w:style w:type="paragraph" w:styleId="BodyTextIndent2">
    <w:name w:val="Body Text Indent 2"/>
    <w:basedOn w:val="Normal"/>
    <w:link w:val="BodyTextIndent2Char"/>
    <w:uiPriority w:val="99"/>
    <w:semiHidden/>
    <w:unhideWhenUsed/>
    <w:rsid w:val="004B626C"/>
    <w:pPr>
      <w:spacing w:after="120" w:line="480" w:lineRule="auto"/>
      <w:ind w:left="283"/>
    </w:pPr>
  </w:style>
  <w:style w:type="character" w:customStyle="1" w:styleId="BodyTextIndent2Char">
    <w:name w:val="Body Text Indent 2 Char"/>
    <w:basedOn w:val="DefaultParagraphFont"/>
    <w:link w:val="BodyTextIndent2"/>
    <w:uiPriority w:val="99"/>
    <w:semiHidden/>
    <w:rsid w:val="004B626C"/>
    <w:rPr>
      <w:rFonts w:ascii="Arial" w:hAnsi="Arial"/>
      <w:lang w:val="en-AU"/>
    </w:rPr>
  </w:style>
  <w:style w:type="paragraph" w:styleId="BodyTextIndent3">
    <w:name w:val="Body Text Indent 3"/>
    <w:basedOn w:val="Normal"/>
    <w:link w:val="BodyTextIndent3Char"/>
    <w:uiPriority w:val="99"/>
    <w:semiHidden/>
    <w:unhideWhenUsed/>
    <w:rsid w:val="004B626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B626C"/>
    <w:rPr>
      <w:rFonts w:ascii="Arial" w:hAnsi="Arial"/>
      <w:sz w:val="16"/>
      <w:szCs w:val="16"/>
      <w:lang w:val="en-AU"/>
    </w:rPr>
  </w:style>
  <w:style w:type="paragraph" w:styleId="Closing">
    <w:name w:val="Closing"/>
    <w:basedOn w:val="Normal"/>
    <w:link w:val="ClosingChar"/>
    <w:uiPriority w:val="99"/>
    <w:semiHidden/>
    <w:unhideWhenUsed/>
    <w:rsid w:val="004B626C"/>
    <w:pPr>
      <w:spacing w:before="0" w:after="0" w:line="240" w:lineRule="auto"/>
      <w:ind w:left="4252"/>
    </w:pPr>
  </w:style>
  <w:style w:type="character" w:customStyle="1" w:styleId="ClosingChar">
    <w:name w:val="Closing Char"/>
    <w:basedOn w:val="DefaultParagraphFont"/>
    <w:link w:val="Closing"/>
    <w:uiPriority w:val="99"/>
    <w:semiHidden/>
    <w:rsid w:val="004B626C"/>
    <w:rPr>
      <w:rFonts w:ascii="Arial" w:hAnsi="Arial"/>
      <w:lang w:val="en-AU"/>
    </w:rPr>
  </w:style>
  <w:style w:type="paragraph" w:styleId="Date">
    <w:name w:val="Date"/>
    <w:basedOn w:val="Normal"/>
    <w:next w:val="Normal"/>
    <w:link w:val="DateChar"/>
    <w:uiPriority w:val="99"/>
    <w:semiHidden/>
    <w:unhideWhenUsed/>
    <w:rsid w:val="004B626C"/>
  </w:style>
  <w:style w:type="character" w:customStyle="1" w:styleId="DateChar">
    <w:name w:val="Date Char"/>
    <w:basedOn w:val="DefaultParagraphFont"/>
    <w:link w:val="Date"/>
    <w:uiPriority w:val="99"/>
    <w:semiHidden/>
    <w:rsid w:val="004B626C"/>
    <w:rPr>
      <w:rFonts w:ascii="Arial" w:hAnsi="Arial"/>
      <w:lang w:val="en-AU"/>
    </w:rPr>
  </w:style>
  <w:style w:type="paragraph" w:styleId="DocumentMap">
    <w:name w:val="Document Map"/>
    <w:basedOn w:val="Normal"/>
    <w:link w:val="DocumentMapChar"/>
    <w:uiPriority w:val="99"/>
    <w:semiHidden/>
    <w:unhideWhenUsed/>
    <w:rsid w:val="004B626C"/>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B626C"/>
    <w:rPr>
      <w:rFonts w:ascii="Segoe UI" w:hAnsi="Segoe UI" w:cs="Segoe UI"/>
      <w:sz w:val="16"/>
      <w:szCs w:val="16"/>
      <w:lang w:val="en-AU"/>
    </w:rPr>
  </w:style>
  <w:style w:type="paragraph" w:styleId="E-mailSignature">
    <w:name w:val="E-mail Signature"/>
    <w:basedOn w:val="Normal"/>
    <w:link w:val="E-mailSignatureChar"/>
    <w:uiPriority w:val="99"/>
    <w:semiHidden/>
    <w:unhideWhenUsed/>
    <w:rsid w:val="004B626C"/>
    <w:pPr>
      <w:spacing w:before="0" w:after="0" w:line="240" w:lineRule="auto"/>
    </w:pPr>
  </w:style>
  <w:style w:type="character" w:customStyle="1" w:styleId="E-mailSignatureChar">
    <w:name w:val="E-mail Signature Char"/>
    <w:basedOn w:val="DefaultParagraphFont"/>
    <w:link w:val="E-mailSignature"/>
    <w:uiPriority w:val="99"/>
    <w:semiHidden/>
    <w:rsid w:val="004B626C"/>
    <w:rPr>
      <w:rFonts w:ascii="Arial" w:hAnsi="Arial"/>
      <w:lang w:val="en-AU"/>
    </w:rPr>
  </w:style>
  <w:style w:type="paragraph" w:styleId="EndnoteText">
    <w:name w:val="endnote text"/>
    <w:basedOn w:val="Normal"/>
    <w:link w:val="EndnoteTextChar"/>
    <w:uiPriority w:val="99"/>
    <w:semiHidden/>
    <w:unhideWhenUsed/>
    <w:rsid w:val="004B626C"/>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4B626C"/>
    <w:rPr>
      <w:rFonts w:ascii="Arial" w:hAnsi="Arial"/>
      <w:sz w:val="20"/>
      <w:szCs w:val="20"/>
      <w:lang w:val="en-AU"/>
    </w:rPr>
  </w:style>
  <w:style w:type="paragraph" w:styleId="EnvelopeAddress">
    <w:name w:val="envelope address"/>
    <w:basedOn w:val="Normal"/>
    <w:uiPriority w:val="99"/>
    <w:semiHidden/>
    <w:unhideWhenUsed/>
    <w:rsid w:val="004B626C"/>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B626C"/>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4B626C"/>
    <w:pPr>
      <w:spacing w:before="0" w:after="0" w:line="240" w:lineRule="auto"/>
    </w:pPr>
    <w:rPr>
      <w:i/>
      <w:iCs/>
    </w:rPr>
  </w:style>
  <w:style w:type="character" w:customStyle="1" w:styleId="HTMLAddressChar">
    <w:name w:val="HTML Address Char"/>
    <w:basedOn w:val="DefaultParagraphFont"/>
    <w:link w:val="HTMLAddress"/>
    <w:uiPriority w:val="99"/>
    <w:semiHidden/>
    <w:rsid w:val="004B626C"/>
    <w:rPr>
      <w:rFonts w:ascii="Arial" w:hAnsi="Arial"/>
      <w:i/>
      <w:iCs/>
      <w:lang w:val="en-AU"/>
    </w:rPr>
  </w:style>
  <w:style w:type="paragraph" w:styleId="HTMLPreformatted">
    <w:name w:val="HTML Preformatted"/>
    <w:basedOn w:val="Normal"/>
    <w:link w:val="HTMLPreformattedChar"/>
    <w:uiPriority w:val="99"/>
    <w:semiHidden/>
    <w:unhideWhenUsed/>
    <w:rsid w:val="004B626C"/>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B626C"/>
    <w:rPr>
      <w:rFonts w:ascii="Consolas" w:hAnsi="Consolas"/>
      <w:sz w:val="20"/>
      <w:szCs w:val="20"/>
      <w:lang w:val="en-AU"/>
    </w:rPr>
  </w:style>
  <w:style w:type="paragraph" w:styleId="Index1">
    <w:name w:val="index 1"/>
    <w:basedOn w:val="Normal"/>
    <w:next w:val="Normal"/>
    <w:autoRedefine/>
    <w:uiPriority w:val="99"/>
    <w:semiHidden/>
    <w:unhideWhenUsed/>
    <w:rsid w:val="004B626C"/>
    <w:pPr>
      <w:spacing w:before="0" w:after="0" w:line="240" w:lineRule="auto"/>
      <w:ind w:left="220" w:hanging="220"/>
    </w:pPr>
  </w:style>
  <w:style w:type="paragraph" w:styleId="Index2">
    <w:name w:val="index 2"/>
    <w:basedOn w:val="Normal"/>
    <w:next w:val="Normal"/>
    <w:autoRedefine/>
    <w:uiPriority w:val="99"/>
    <w:semiHidden/>
    <w:unhideWhenUsed/>
    <w:rsid w:val="004B626C"/>
    <w:pPr>
      <w:spacing w:before="0" w:after="0" w:line="240" w:lineRule="auto"/>
      <w:ind w:left="440" w:hanging="220"/>
    </w:pPr>
  </w:style>
  <w:style w:type="paragraph" w:styleId="Index3">
    <w:name w:val="index 3"/>
    <w:basedOn w:val="Normal"/>
    <w:next w:val="Normal"/>
    <w:autoRedefine/>
    <w:uiPriority w:val="99"/>
    <w:semiHidden/>
    <w:unhideWhenUsed/>
    <w:rsid w:val="004B626C"/>
    <w:pPr>
      <w:spacing w:before="0" w:after="0" w:line="240" w:lineRule="auto"/>
      <w:ind w:left="660" w:hanging="220"/>
    </w:pPr>
  </w:style>
  <w:style w:type="paragraph" w:styleId="Index4">
    <w:name w:val="index 4"/>
    <w:basedOn w:val="Normal"/>
    <w:next w:val="Normal"/>
    <w:autoRedefine/>
    <w:uiPriority w:val="99"/>
    <w:semiHidden/>
    <w:unhideWhenUsed/>
    <w:rsid w:val="004B626C"/>
    <w:pPr>
      <w:spacing w:before="0" w:after="0" w:line="240" w:lineRule="auto"/>
      <w:ind w:left="880" w:hanging="220"/>
    </w:pPr>
  </w:style>
  <w:style w:type="paragraph" w:styleId="Index5">
    <w:name w:val="index 5"/>
    <w:basedOn w:val="Normal"/>
    <w:next w:val="Normal"/>
    <w:autoRedefine/>
    <w:uiPriority w:val="99"/>
    <w:semiHidden/>
    <w:unhideWhenUsed/>
    <w:rsid w:val="004B626C"/>
    <w:pPr>
      <w:spacing w:before="0" w:after="0" w:line="240" w:lineRule="auto"/>
      <w:ind w:left="1100" w:hanging="220"/>
    </w:pPr>
  </w:style>
  <w:style w:type="paragraph" w:styleId="Index6">
    <w:name w:val="index 6"/>
    <w:basedOn w:val="Normal"/>
    <w:next w:val="Normal"/>
    <w:autoRedefine/>
    <w:uiPriority w:val="99"/>
    <w:semiHidden/>
    <w:unhideWhenUsed/>
    <w:rsid w:val="004B626C"/>
    <w:pPr>
      <w:spacing w:before="0" w:after="0" w:line="240" w:lineRule="auto"/>
      <w:ind w:left="1320" w:hanging="220"/>
    </w:pPr>
  </w:style>
  <w:style w:type="paragraph" w:styleId="Index7">
    <w:name w:val="index 7"/>
    <w:basedOn w:val="Normal"/>
    <w:next w:val="Normal"/>
    <w:autoRedefine/>
    <w:uiPriority w:val="99"/>
    <w:semiHidden/>
    <w:unhideWhenUsed/>
    <w:rsid w:val="004B626C"/>
    <w:pPr>
      <w:spacing w:before="0" w:after="0" w:line="240" w:lineRule="auto"/>
      <w:ind w:left="1540" w:hanging="220"/>
    </w:pPr>
  </w:style>
  <w:style w:type="paragraph" w:styleId="Index8">
    <w:name w:val="index 8"/>
    <w:basedOn w:val="Normal"/>
    <w:next w:val="Normal"/>
    <w:autoRedefine/>
    <w:uiPriority w:val="99"/>
    <w:semiHidden/>
    <w:unhideWhenUsed/>
    <w:rsid w:val="004B626C"/>
    <w:pPr>
      <w:spacing w:before="0" w:after="0" w:line="240" w:lineRule="auto"/>
      <w:ind w:left="1760" w:hanging="220"/>
    </w:pPr>
  </w:style>
  <w:style w:type="paragraph" w:styleId="Index9">
    <w:name w:val="index 9"/>
    <w:basedOn w:val="Normal"/>
    <w:next w:val="Normal"/>
    <w:autoRedefine/>
    <w:uiPriority w:val="99"/>
    <w:semiHidden/>
    <w:unhideWhenUsed/>
    <w:rsid w:val="004B626C"/>
    <w:pPr>
      <w:spacing w:before="0" w:after="0" w:line="240" w:lineRule="auto"/>
      <w:ind w:left="1980" w:hanging="220"/>
    </w:pPr>
  </w:style>
  <w:style w:type="paragraph" w:styleId="IndexHeading">
    <w:name w:val="index heading"/>
    <w:basedOn w:val="Normal"/>
    <w:next w:val="Index1"/>
    <w:uiPriority w:val="99"/>
    <w:semiHidden/>
    <w:unhideWhenUsed/>
    <w:rsid w:val="004B626C"/>
    <w:rPr>
      <w:rFonts w:asciiTheme="majorHAnsi" w:eastAsiaTheme="majorEastAsia" w:hAnsiTheme="majorHAnsi" w:cstheme="majorBidi"/>
      <w:b/>
      <w:bCs/>
    </w:rPr>
  </w:style>
  <w:style w:type="paragraph" w:styleId="List4">
    <w:name w:val="List 4"/>
    <w:basedOn w:val="Normal"/>
    <w:uiPriority w:val="99"/>
    <w:semiHidden/>
    <w:unhideWhenUsed/>
    <w:rsid w:val="004B626C"/>
    <w:pPr>
      <w:ind w:left="1132" w:hanging="283"/>
      <w:contextualSpacing/>
    </w:pPr>
  </w:style>
  <w:style w:type="paragraph" w:styleId="List5">
    <w:name w:val="List 5"/>
    <w:basedOn w:val="Normal"/>
    <w:uiPriority w:val="99"/>
    <w:semiHidden/>
    <w:unhideWhenUsed/>
    <w:rsid w:val="004B626C"/>
    <w:pPr>
      <w:ind w:left="1415" w:hanging="283"/>
      <w:contextualSpacing/>
    </w:pPr>
  </w:style>
  <w:style w:type="paragraph" w:styleId="ListContinue4">
    <w:name w:val="List Continue 4"/>
    <w:basedOn w:val="Normal"/>
    <w:uiPriority w:val="99"/>
    <w:semiHidden/>
    <w:unhideWhenUsed/>
    <w:rsid w:val="004B626C"/>
    <w:pPr>
      <w:spacing w:after="120"/>
      <w:ind w:left="1132"/>
      <w:contextualSpacing/>
    </w:pPr>
  </w:style>
  <w:style w:type="paragraph" w:styleId="ListContinue5">
    <w:name w:val="List Continue 5"/>
    <w:basedOn w:val="Normal"/>
    <w:uiPriority w:val="99"/>
    <w:semiHidden/>
    <w:unhideWhenUsed/>
    <w:rsid w:val="004B626C"/>
    <w:pPr>
      <w:spacing w:after="120"/>
      <w:ind w:left="1415"/>
      <w:contextualSpacing/>
    </w:pPr>
  </w:style>
  <w:style w:type="paragraph" w:styleId="ListNumber4">
    <w:name w:val="List Number 4"/>
    <w:basedOn w:val="Normal"/>
    <w:uiPriority w:val="99"/>
    <w:semiHidden/>
    <w:unhideWhenUsed/>
    <w:rsid w:val="004B626C"/>
    <w:pPr>
      <w:numPr>
        <w:numId w:val="47"/>
      </w:numPr>
      <w:contextualSpacing/>
    </w:pPr>
  </w:style>
  <w:style w:type="paragraph" w:styleId="ListNumber5">
    <w:name w:val="List Number 5"/>
    <w:basedOn w:val="Normal"/>
    <w:uiPriority w:val="99"/>
    <w:semiHidden/>
    <w:unhideWhenUsed/>
    <w:rsid w:val="004B626C"/>
    <w:pPr>
      <w:numPr>
        <w:numId w:val="48"/>
      </w:numPr>
      <w:contextualSpacing/>
    </w:pPr>
  </w:style>
  <w:style w:type="paragraph" w:styleId="MessageHeader">
    <w:name w:val="Message Header"/>
    <w:basedOn w:val="Normal"/>
    <w:link w:val="MessageHeaderChar"/>
    <w:uiPriority w:val="99"/>
    <w:semiHidden/>
    <w:unhideWhenUsed/>
    <w:rsid w:val="004B626C"/>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B626C"/>
    <w:rPr>
      <w:rFonts w:asciiTheme="majorHAnsi" w:eastAsiaTheme="majorEastAsia" w:hAnsiTheme="majorHAnsi" w:cstheme="majorBidi"/>
      <w:sz w:val="24"/>
      <w:szCs w:val="24"/>
      <w:shd w:val="pct20" w:color="auto" w:fill="auto"/>
      <w:lang w:val="en-AU"/>
    </w:rPr>
  </w:style>
  <w:style w:type="paragraph" w:styleId="NormalIndent">
    <w:name w:val="Normal Indent"/>
    <w:basedOn w:val="Normal"/>
    <w:uiPriority w:val="99"/>
    <w:semiHidden/>
    <w:unhideWhenUsed/>
    <w:rsid w:val="004B626C"/>
    <w:pPr>
      <w:ind w:left="720"/>
    </w:pPr>
  </w:style>
  <w:style w:type="paragraph" w:styleId="NoteHeading">
    <w:name w:val="Note Heading"/>
    <w:basedOn w:val="Normal"/>
    <w:next w:val="Normal"/>
    <w:link w:val="NoteHeadingChar"/>
    <w:uiPriority w:val="99"/>
    <w:semiHidden/>
    <w:unhideWhenUsed/>
    <w:rsid w:val="004B626C"/>
    <w:pPr>
      <w:spacing w:before="0" w:after="0" w:line="240" w:lineRule="auto"/>
    </w:pPr>
  </w:style>
  <w:style w:type="character" w:customStyle="1" w:styleId="NoteHeadingChar">
    <w:name w:val="Note Heading Char"/>
    <w:basedOn w:val="DefaultParagraphFont"/>
    <w:link w:val="NoteHeading"/>
    <w:uiPriority w:val="99"/>
    <w:semiHidden/>
    <w:rsid w:val="004B626C"/>
    <w:rPr>
      <w:rFonts w:ascii="Arial" w:hAnsi="Arial"/>
      <w:lang w:val="en-AU"/>
    </w:rPr>
  </w:style>
  <w:style w:type="paragraph" w:styleId="PlainText">
    <w:name w:val="Plain Text"/>
    <w:basedOn w:val="Normal"/>
    <w:link w:val="PlainTextChar"/>
    <w:uiPriority w:val="99"/>
    <w:semiHidden/>
    <w:unhideWhenUsed/>
    <w:rsid w:val="004B626C"/>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4B626C"/>
    <w:rPr>
      <w:rFonts w:ascii="Consolas" w:hAnsi="Consolas"/>
      <w:sz w:val="21"/>
      <w:szCs w:val="21"/>
      <w:lang w:val="en-AU"/>
    </w:rPr>
  </w:style>
  <w:style w:type="paragraph" w:styleId="Salutation">
    <w:name w:val="Salutation"/>
    <w:basedOn w:val="Normal"/>
    <w:next w:val="Normal"/>
    <w:link w:val="SalutationChar"/>
    <w:uiPriority w:val="99"/>
    <w:semiHidden/>
    <w:unhideWhenUsed/>
    <w:rsid w:val="004B626C"/>
  </w:style>
  <w:style w:type="character" w:customStyle="1" w:styleId="SalutationChar">
    <w:name w:val="Salutation Char"/>
    <w:basedOn w:val="DefaultParagraphFont"/>
    <w:link w:val="Salutation"/>
    <w:uiPriority w:val="99"/>
    <w:semiHidden/>
    <w:rsid w:val="004B626C"/>
    <w:rPr>
      <w:rFonts w:ascii="Arial" w:hAnsi="Arial"/>
      <w:lang w:val="en-AU"/>
    </w:rPr>
  </w:style>
  <w:style w:type="paragraph" w:styleId="Signature">
    <w:name w:val="Signature"/>
    <w:basedOn w:val="Normal"/>
    <w:link w:val="SignatureChar"/>
    <w:uiPriority w:val="99"/>
    <w:semiHidden/>
    <w:unhideWhenUsed/>
    <w:rsid w:val="004B626C"/>
    <w:pPr>
      <w:spacing w:before="0" w:after="0" w:line="240" w:lineRule="auto"/>
      <w:ind w:left="4252"/>
    </w:pPr>
  </w:style>
  <w:style w:type="character" w:customStyle="1" w:styleId="SignatureChar">
    <w:name w:val="Signature Char"/>
    <w:basedOn w:val="DefaultParagraphFont"/>
    <w:link w:val="Signature"/>
    <w:uiPriority w:val="99"/>
    <w:semiHidden/>
    <w:rsid w:val="004B626C"/>
    <w:rPr>
      <w:rFonts w:ascii="Arial" w:hAnsi="Arial"/>
      <w:lang w:val="en-AU"/>
    </w:rPr>
  </w:style>
  <w:style w:type="paragraph" w:styleId="TableofAuthorities">
    <w:name w:val="table of authorities"/>
    <w:basedOn w:val="Normal"/>
    <w:next w:val="Normal"/>
    <w:uiPriority w:val="99"/>
    <w:semiHidden/>
    <w:unhideWhenUsed/>
    <w:rsid w:val="004B626C"/>
    <w:pPr>
      <w:spacing w:after="0"/>
      <w:ind w:left="220" w:hanging="220"/>
    </w:pPr>
  </w:style>
  <w:style w:type="paragraph" w:styleId="TableofFigures">
    <w:name w:val="table of figures"/>
    <w:basedOn w:val="Normal"/>
    <w:next w:val="Normal"/>
    <w:uiPriority w:val="99"/>
    <w:semiHidden/>
    <w:unhideWhenUsed/>
    <w:rsid w:val="004B626C"/>
    <w:pPr>
      <w:spacing w:after="0"/>
    </w:pPr>
  </w:style>
  <w:style w:type="paragraph" w:styleId="TOAHeading">
    <w:name w:val="toa heading"/>
    <w:basedOn w:val="Normal"/>
    <w:next w:val="Normal"/>
    <w:uiPriority w:val="99"/>
    <w:semiHidden/>
    <w:unhideWhenUsed/>
    <w:rsid w:val="004B626C"/>
    <w:pPr>
      <w:spacing w:before="120"/>
    </w:pPr>
    <w:rPr>
      <w:rFonts w:asciiTheme="majorHAnsi" w:eastAsiaTheme="majorEastAsia" w:hAnsiTheme="majorHAnsi" w:cstheme="majorBidi"/>
      <w:b/>
      <w:bCs/>
      <w:sz w:val="24"/>
      <w:szCs w:val="24"/>
    </w:rPr>
  </w:style>
  <w:style w:type="paragraph" w:customStyle="1" w:styleId="Headingdisclaimers">
    <w:name w:val="Heading disclaimers"/>
    <w:basedOn w:val="HeadingNO"/>
    <w:qFormat/>
    <w:rsid w:val="00944D24"/>
    <w:pPr>
      <w:spacing w:after="120"/>
      <w:ind w:right="7088"/>
    </w:pPr>
    <w:rPr>
      <w:b w:val="0"/>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svg"/><Relationship Id="rId21" Type="http://schemas.openxmlformats.org/officeDocument/2006/relationships/image" Target="media/image4.png"/><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header" Target="header17.xml"/><Relationship Id="rId68" Type="http://schemas.openxmlformats.org/officeDocument/2006/relationships/header" Target="header22.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5.xml"/><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footer" Target="footer7.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header" Target="header13.xml"/><Relationship Id="rId58" Type="http://schemas.openxmlformats.org/officeDocument/2006/relationships/image" Target="media/image24.jpeg"/><Relationship Id="rId66" Type="http://schemas.openxmlformats.org/officeDocument/2006/relationships/header" Target="header20.xm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7.jpeg"/><Relationship Id="rId19" Type="http://schemas.openxmlformats.org/officeDocument/2006/relationships/image" Target="media/image3.svg"/><Relationship Id="rId14" Type="http://schemas.openxmlformats.org/officeDocument/2006/relationships/footer" Target="footer1.xml"/><Relationship Id="rId22" Type="http://schemas.openxmlformats.org/officeDocument/2006/relationships/image" Target="media/image5.svg"/><Relationship Id="rId27" Type="http://schemas.openxmlformats.org/officeDocument/2006/relationships/header" Target="header6.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3.png"/><Relationship Id="rId64" Type="http://schemas.openxmlformats.org/officeDocument/2006/relationships/header" Target="header18.xml"/><Relationship Id="rId69"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image" Target="media/image22.jpeg"/><Relationship Id="rId72" Type="http://schemas.openxmlformats.org/officeDocument/2006/relationships/footer" Target="footer9.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png"/><Relationship Id="rId33" Type="http://schemas.openxmlformats.org/officeDocument/2006/relationships/header" Target="header9.xml"/><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image" Target="media/image25.jpeg"/><Relationship Id="rId67" Type="http://schemas.openxmlformats.org/officeDocument/2006/relationships/header" Target="header21.xml"/><Relationship Id="rId20" Type="http://schemas.openxmlformats.org/officeDocument/2006/relationships/header" Target="header4.xml"/><Relationship Id="rId41" Type="http://schemas.openxmlformats.org/officeDocument/2006/relationships/image" Target="media/image12.jpeg"/><Relationship Id="rId54" Type="http://schemas.openxmlformats.org/officeDocument/2006/relationships/header" Target="header14.xml"/><Relationship Id="rId62" Type="http://schemas.openxmlformats.org/officeDocument/2006/relationships/image" Target="media/image28.jpeg"/><Relationship Id="rId70" Type="http://schemas.openxmlformats.org/officeDocument/2006/relationships/header" Target="header23.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header" Target="header11.xml"/><Relationship Id="rId49" Type="http://schemas.openxmlformats.org/officeDocument/2006/relationships/image" Target="media/image20.jpeg"/><Relationship Id="rId57" Type="http://schemas.openxmlformats.org/officeDocument/2006/relationships/header" Target="header16.xml"/><Relationship Id="rId10" Type="http://schemas.openxmlformats.org/officeDocument/2006/relationships/endnotes" Target="endnotes.xml"/><Relationship Id="rId31" Type="http://schemas.openxmlformats.org/officeDocument/2006/relationships/header" Target="header8.xml"/><Relationship Id="rId44" Type="http://schemas.openxmlformats.org/officeDocument/2006/relationships/image" Target="media/image15.jpeg"/><Relationship Id="rId52" Type="http://schemas.openxmlformats.org/officeDocument/2006/relationships/header" Target="header12.xml"/><Relationship Id="rId60" Type="http://schemas.openxmlformats.org/officeDocument/2006/relationships/image" Target="media/image26.jpeg"/><Relationship Id="rId65" Type="http://schemas.openxmlformats.org/officeDocument/2006/relationships/header" Target="header19.xml"/><Relationship Id="rId73"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2.png"/><Relationship Id="rId39" Type="http://schemas.openxmlformats.org/officeDocument/2006/relationships/image" Target="media/image10.jpeg"/><Relationship Id="rId34" Type="http://schemas.openxmlformats.org/officeDocument/2006/relationships/header" Target="header10.xml"/><Relationship Id="rId50" Type="http://schemas.openxmlformats.org/officeDocument/2006/relationships/image" Target="media/image21.jpeg"/><Relationship Id="rId55" Type="http://schemas.openxmlformats.org/officeDocument/2006/relationships/header" Target="header15.xml"/><Relationship Id="rId7" Type="http://schemas.openxmlformats.org/officeDocument/2006/relationships/settings" Target="settings.xml"/><Relationship Id="rId71" Type="http://schemas.openxmlformats.org/officeDocument/2006/relationships/header" Target="header2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26" Type="http://schemas.openxmlformats.org/officeDocument/2006/relationships/hyperlink" Target="https://giwps.georgetown.edu/wp-content/uploads/2025/10/C25-Funding-Report.pdf" TargetMode="External"/><Relationship Id="rId21" Type="http://schemas.openxmlformats.org/officeDocument/2006/relationships/hyperlink" Target="https://asean.org/asean-regional-plan-of-action-on-women-peace-and-security/" TargetMode="External"/><Relationship Id="rId42" Type="http://schemas.openxmlformats.org/officeDocument/2006/relationships/hyperlink" Target="https://www.foreignminister.gov.au/minister/penny-wong/speech/international-womens-day-parliamentary-breakfast-0" TargetMode="External"/><Relationship Id="rId47" Type="http://schemas.openxmlformats.org/officeDocument/2006/relationships/hyperlink" Target="https://giwps.georgetown.edu/wp-content/uploads/2023/10/WPS-Index-full-report.pdf" TargetMode="External"/><Relationship Id="rId63" Type="http://schemas.openxmlformats.org/officeDocument/2006/relationships/hyperlink" Target="https://www.sfcg.org/wp-content/uploads/2024/12/Search-for-Common-Ground_WPS-Localization_Policy-Brief.pdf" TargetMode="External"/><Relationship Id="rId68" Type="http://schemas.openxmlformats.org/officeDocument/2006/relationships/hyperlink" Target="https://giwps.georgetown.edu/resource/practical-guidance-for-integrating-climate-into-wps-national-action-plans/" TargetMode="External"/><Relationship Id="rId7" Type="http://schemas.openxmlformats.org/officeDocument/2006/relationships/hyperlink" Target="https://press.un.org/en/2024/sc15676.doc.htm" TargetMode="External"/><Relationship Id="rId71" Type="http://schemas.openxmlformats.org/officeDocument/2006/relationships/hyperlink" Target="https://www.wpscoalition.org/_files/ugd/fc0472_adde28317d2e4d22ada992c9feff035a.pdf" TargetMode="External"/><Relationship Id="rId2" Type="http://schemas.openxmlformats.org/officeDocument/2006/relationships/hyperlink" Target="https://www.aspistrategist.org.au/us-defense-secretary-cancels-women-peace-and-security-programs/" TargetMode="External"/><Relationship Id="rId16" Type="http://schemas.openxmlformats.org/officeDocument/2006/relationships/hyperlink" Target="https://www.dfat.gov.au/sites/default/files/australias-national-action-plan-on-women-peace-and-security-2021-2031.pdf" TargetMode="External"/><Relationship Id="rId29" Type="http://schemas.openxmlformats.org/officeDocument/2006/relationships/hyperlink" Target="https://doi.org/10.1093/isagsq/ksab017" TargetMode="External"/><Relationship Id="rId11" Type="http://schemas.openxmlformats.org/officeDocument/2006/relationships/hyperlink" Target="https://careclimatechange.org/wp-content/uploads/2020/07/CARE-Climate-Migration-Report-v0.4.pdf" TargetMode="External"/><Relationship Id="rId24" Type="http://schemas.openxmlformats.org/officeDocument/2006/relationships/hyperlink" Target="https://wps.unwomen.org/participation/" TargetMode="External"/><Relationship Id="rId32" Type="http://schemas.openxmlformats.org/officeDocument/2006/relationships/hyperlink" Target="https://globalplatform.undrr.org/2022/sites/default/files/2022-05/Pacific%20Resilience%20Standards_A%20Practitioners%20Guide.pdf" TargetMode="External"/><Relationship Id="rId37" Type="http://schemas.openxmlformats.org/officeDocument/2006/relationships/hyperlink" Target="https://asiafoundation.org/the-asia-foundation-announces-new-regional-initiative-to-amplify-womens-peace-actions-in-asean/" TargetMode="External"/><Relationship Id="rId40" Type="http://schemas.openxmlformats.org/officeDocument/2006/relationships/hyperlink" Target="https://www.internationalaffairs.org.au/australianoutlook/from-three-strands-to-four-rs-the-evolution-of-australian-foreign-policy/" TargetMode="External"/><Relationship Id="rId45" Type="http://schemas.openxmlformats.org/officeDocument/2006/relationships/hyperlink" Target="https://www.tandfonline.com/doi/full/10.1080/03050629.2018.1492386" TargetMode="External"/><Relationship Id="rId53" Type="http://schemas.openxmlformats.org/officeDocument/2006/relationships/hyperlink" Target="https://peace.gov.ph/wp-content/uploads/2025/03/INDICATOR-HANBOOK-FOR-NAPWPS-2023-2033FINAL.pdf" TargetMode="External"/><Relationship Id="rId58" Type="http://schemas.openxmlformats.org/officeDocument/2006/relationships/hyperlink" Target="https://asiapacific.unwomen.org/en/focus-areas/peace-and-security/climate-security-and-gender" TargetMode="External"/><Relationship Id="rId66" Type="http://schemas.openxmlformats.org/officeDocument/2006/relationships/hyperlink" Target="https://www.dfat.gov.au/geo/pacific/development-assistance/empowering-women-and-girls" TargetMode="External"/><Relationship Id="rId5" Type="http://schemas.openxmlformats.org/officeDocument/2006/relationships/hyperlink" Target="https://pmc.ncbi.nlm.nih.gov/articles/PMC9744053/" TargetMode="External"/><Relationship Id="rId61" Type="http://schemas.openxmlformats.org/officeDocument/2006/relationships/hyperlink" Target="https://wiisglobal.org/resource_library/society-as-the-battlefield-reframing-women-peace-and-security-in-an-era-of-hybrid-threats/" TargetMode="External"/><Relationship Id="rId19" Type="http://schemas.openxmlformats.org/officeDocument/2006/relationships/hyperlink" Target="https://www.aspistrategist.org.au/reflecting-on-25-years-of-unsc-resolution-1325/" TargetMode="External"/><Relationship Id="rId14" Type="http://schemas.openxmlformats.org/officeDocument/2006/relationships/hyperlink" Target="https://www.9dashline.com/article/gendered-insecurities-and-gender-responsive-security-sector-reform-in-the-indo-pacific" TargetMode="External"/><Relationship Id="rId22" Type="http://schemas.openxmlformats.org/officeDocument/2006/relationships/hyperlink" Target="https://peacekeeping.un.org/en/women-peace-and-security-0" TargetMode="External"/><Relationship Id="rId27" Type="http://schemas.openxmlformats.org/officeDocument/2006/relationships/hyperlink" Target="https://www.wpsnaps.org/app/uploads/2020/03/Twenty-Years-of-Women-Peace-and-Security-National-Action-Plans_Report_Final_Web.pdf" TargetMode="External"/><Relationship Id="rId30" Type="http://schemas.openxmlformats.org/officeDocument/2006/relationships/hyperlink" Target="https://asiapacific.unwomen.org/sites/default/files/2022-12/FINAL_ASEAN%20Regional%20Plan%20of%20Action%20on%20Women%2C%20Peace%20and%20Security.pdf" TargetMode="External"/><Relationship Id="rId35" Type="http://schemas.openxmlformats.org/officeDocument/2006/relationships/hyperlink" Target="https://www.peacewomen.org/sites/default/files/pacific_region_regional_action_plan_2012-2015.pdf" TargetMode="External"/><Relationship Id="rId43" Type="http://schemas.openxmlformats.org/officeDocument/2006/relationships/hyperlink" Target="https://www.foreignminister.gov.au/minister/penny-wong/speech/un-women-international-womens-day-parliamentary-breakfast-0" TargetMode="External"/><Relationship Id="rId48" Type="http://schemas.openxmlformats.org/officeDocument/2006/relationships/hyperlink" Target="https://oursecurefuture.org/sites/default/files/2024-07/OSF-MakingTheCaseForWPS-July2024.pdf" TargetMode="External"/><Relationship Id="rId56" Type="http://schemas.openxmlformats.org/officeDocument/2006/relationships/hyperlink" Target="https://www.dss.gov.au/national-plan-end-violence-against-women-and-children" TargetMode="External"/><Relationship Id="rId64" Type="http://schemas.openxmlformats.org/officeDocument/2006/relationships/hyperlink" Target="https://17b3688d-ea3c-4192-80cd-ae98dad749bf.filesusr.com/ugd/62fd28_2ef522f3cab543379cf07e4bd046276a.pdf" TargetMode="External"/><Relationship Id="rId69" Type="http://schemas.openxmlformats.org/officeDocument/2006/relationships/hyperlink" Target="https://www.rnwps.ca/policy-briefs/pb-1-holly-ferron" TargetMode="External"/><Relationship Id="rId8" Type="http://schemas.openxmlformats.org/officeDocument/2006/relationships/hyperlink" Target="https://www.ohchr.org/en/press-releases/2024/07/myanmar-new-report-urges-robust-support-women-girls-and-lgbt-people-post" TargetMode="External"/><Relationship Id="rId51" Type="http://schemas.openxmlformats.org/officeDocument/2006/relationships/hyperlink" Target="https://www.international.gc.ca/transparency-transparence/assets/pdfs/women-peace-security-femmes-paix-securite/2023-2029-foundation-peace-fondation-paix-en.pdf" TargetMode="External"/><Relationship Id="rId3" Type="http://schemas.openxmlformats.org/officeDocument/2006/relationships/hyperlink" Target="https://www.unwomen.org/en/news-stories/press-release/2025/10/wars-on-women-escalate-as-global-conflicts-reach-record-highs" TargetMode="External"/><Relationship Id="rId12" Type="http://schemas.openxmlformats.org/officeDocument/2006/relationships/hyperlink" Target="https://www.tandfonline.com/doi/pdf/10.1080/01296612.2024.2367859" TargetMode="External"/><Relationship Id="rId17" Type="http://schemas.openxmlformats.org/officeDocument/2006/relationships/hyperlink" Target="https://www.dss.gov.au/national-plan-end-violence-against-women-and-children" TargetMode="External"/><Relationship Id="rId25" Type="http://schemas.openxmlformats.org/officeDocument/2006/relationships/hyperlink" Target="https://docs.un.org/en/S/2025/556" TargetMode="External"/><Relationship Id="rId33" Type="http://schemas.openxmlformats.org/officeDocument/2006/relationships/hyperlink" Target="https://forumsec.org/publications/boe-declaration-regional-security" TargetMode="External"/><Relationship Id="rId38" Type="http://schemas.openxmlformats.org/officeDocument/2006/relationships/hyperlink" Target="https://www.dfat.gov.au/international-relations/regional-architecture/quad" TargetMode="External"/><Relationship Id="rId46" Type="http://schemas.openxmlformats.org/officeDocument/2006/relationships/hyperlink" Target="https://www.un.org/en/peace-and-security/page/women-peace-and-security" TargetMode="External"/><Relationship Id="rId59" Type="http://schemas.openxmlformats.org/officeDocument/2006/relationships/hyperlink" Target="https://www.nema.gov.au/our-work/emergency-response" TargetMode="External"/><Relationship Id="rId67" Type="http://schemas.openxmlformats.org/officeDocument/2006/relationships/hyperlink" Target="https://www.un.org/development/desa/Indigenouspeoples/wp-content/uploads/sites/19/2018/11/UNDRIP_E_web.pdf" TargetMode="External"/><Relationship Id="rId20" Type="http://schemas.openxmlformats.org/officeDocument/2006/relationships/hyperlink" Target="https://asean.org/wp-content/uploads/2023/11/2023-10th-ADMM-Plus-Jakarta-16-Nov-2023-Final-Joint-Statement-by-the-ADMM-Plus-on-Women-Peace-and-Security.pdf" TargetMode="External"/><Relationship Id="rId41" Type="http://schemas.openxmlformats.org/officeDocument/2006/relationships/hyperlink" Target="https://www.foreignminister.gov.au/minister/penny-wong/speech/aiia-gala-dinner-keynote-address" TargetMode="External"/><Relationship Id="rId54" Type="http://schemas.openxmlformats.org/officeDocument/2006/relationships/hyperlink" Target="https://wrd.unwomen.org/explore/insights/women-suffer-most-climate-displacement" TargetMode="External"/><Relationship Id="rId62" Type="http://schemas.openxmlformats.org/officeDocument/2006/relationships/hyperlink" Target="https://www.unwomen.org/sites/default/files/2022-01/Intersectionality-resource-guide-and-toolkit-en.pdf" TargetMode="External"/><Relationship Id="rId70" Type="http://schemas.openxmlformats.org/officeDocument/2006/relationships/hyperlink" Target="https://wphfund.org/wp-content/uploads/2024/10/WPHF-RRWstudy-FIN.pdf" TargetMode="External"/><Relationship Id="rId1" Type="http://schemas.openxmlformats.org/officeDocument/2006/relationships/hyperlink" Target="https://www.un.org/shestandsforpeace/sites/www.un.org.shestandsforpeace/files/wps_sres1325.pdf" TargetMode="External"/><Relationship Id="rId6" Type="http://schemas.openxmlformats.org/officeDocument/2006/relationships/hyperlink" Target="https://www.iseas.edu.sg/centres/asean-studies-centre/state-of-southeast-asia-survey/the-state-of-southeast-asia-2025-survey-report/" TargetMode="External"/><Relationship Id="rId15" Type="http://schemas.openxmlformats.org/officeDocument/2006/relationships/hyperlink" Target="https://www.aph.gov.au/About_Parliament/House_of_Representatives/About_the_House_News/Media_Releases/New_inquiry_into_gender_equality_as_a_national_security_and_economic_security_imperative" TargetMode="External"/><Relationship Id="rId23" Type="http://schemas.openxmlformats.org/officeDocument/2006/relationships/hyperlink" Target="https://www.ipinst.org/wp-content/uploads/2015/06/IPI-E-pub-Reimagining-Peacemaking.pdf" TargetMode="External"/><Relationship Id="rId28" Type="http://schemas.openxmlformats.org/officeDocument/2006/relationships/hyperlink" Target="https://wiisglobal.org/wp-content/uploads/WIIS-Policy-Brief_WPS-Treaty_November-2025.pdf" TargetMode="External"/><Relationship Id="rId36" Type="http://schemas.openxmlformats.org/officeDocument/2006/relationships/hyperlink" Target="https://wpsfocalpointsnetwork.org/resources/" TargetMode="External"/><Relationship Id="rId49" Type="http://schemas.openxmlformats.org/officeDocument/2006/relationships/hyperlink" Target="https://www.mofa.go.jp/files/100647460.pdf" TargetMode="External"/><Relationship Id="rId57" Type="http://schemas.openxmlformats.org/officeDocument/2006/relationships/hyperlink" Target="https://17b3688d-ea3c-4192-80cd-ae98dad749bf.filesusr.com/ugd/62fd28_5a6272858f4c44d4bb1599bfa8daaa9d.pdf" TargetMode="External"/><Relationship Id="rId10" Type="http://schemas.openxmlformats.org/officeDocument/2006/relationships/hyperlink" Target="https://asiapacific.unwomen.org/en/countries/fiji/ending-violence-against-women/pacific-partnership" TargetMode="External"/><Relationship Id="rId31" Type="http://schemas.openxmlformats.org/officeDocument/2006/relationships/hyperlink" Target="https://forumsec.org/sites/default/files/2023-11/PIFS-2050-Strategy-Blue-Pacific-Continent-WEB-5Aug2022-1.pdf" TargetMode="External"/><Relationship Id="rId44" Type="http://schemas.openxmlformats.org/officeDocument/2006/relationships/hyperlink" Target="https://www.dfat.gov.au/sites/default/files/international-development-policy.pdf" TargetMode="External"/><Relationship Id="rId52" Type="http://schemas.openxmlformats.org/officeDocument/2006/relationships/hyperlink" Target="https://1325naps.peacewomen.org/wp-content/uploads/2025/02/NAPWPS-2023-2033-DIGITAL.pdf" TargetMode="External"/><Relationship Id="rId60" Type="http://schemas.openxmlformats.org/officeDocument/2006/relationships/hyperlink" Target="https://www.unwomen.org/en/news-stories/press-release/2025/11/digital-violence-is-intensifying-yet-nearly-half-of-the-worlds-women-and-girls-lack-legal-protection-from-digital-abuse" TargetMode="External"/><Relationship Id="rId65" Type="http://schemas.openxmlformats.org/officeDocument/2006/relationships/hyperlink" Target="https://www.gapbodhitaru.org/res/articles/%28390-395%29%20WOMEN'S%20VOICES%20IN%20INDIGENOUS%20KNOWLEDGE%20SYSTEMS%20GUARDIANS%20OF%20CULTURAL%20HERITAGE.pdf" TargetMode="External"/><Relationship Id="rId4" Type="http://schemas.openxmlformats.org/officeDocument/2006/relationships/hyperlink" Target="https://www.dfat.gov.au/publications/development/australias-international-gender-equality-strategy" TargetMode="External"/><Relationship Id="rId9" Type="http://schemas.openxmlformats.org/officeDocument/2006/relationships/hyperlink" Target="https://www.ohchr.org/sites/default/files/documents/issues/women/wgdawg/statements/2024-12-13-eom-thailand-wgdawg-en.pdf" TargetMode="External"/><Relationship Id="rId13" Type="http://schemas.openxmlformats.org/officeDocument/2006/relationships/hyperlink" Target="https://www.tandfonline.com/doi/pdf/10.1080/18335330.2025.2563210" TargetMode="External"/><Relationship Id="rId18" Type="http://schemas.openxmlformats.org/officeDocument/2006/relationships/hyperlink" Target="https://www.nato.int/en/about-us/official-texts-and-resources/official-texts/2024/07/10/nato-policy-on-women-peace-and-security-2024" TargetMode="External"/><Relationship Id="rId39" Type="http://schemas.openxmlformats.org/officeDocument/2006/relationships/hyperlink" Target="https://data.ipu.org/women-averages/?date_year=2025&amp;date_month=11" TargetMode="External"/><Relationship Id="rId34" Type="http://schemas.openxmlformats.org/officeDocument/2006/relationships/hyperlink" Target="https://forumsec.org/sites/default/files/2024-03/2050-Strategy-Implementation-Plan_2023-2030.pdf" TargetMode="External"/><Relationship Id="rId50" Type="http://schemas.openxmlformats.org/officeDocument/2006/relationships/hyperlink" Target="http://1325naps.peacewomen.org/wp-content/uploads/2023/08/uk-women-peace-security-national-action-plan-2023-2027.pdf" TargetMode="External"/><Relationship Id="rId55" Type="http://schemas.openxmlformats.org/officeDocument/2006/relationships/hyperlink" Target="https://www.afp.gov.au/news-centre/speech/afp-commissioner-krissy-barrett-senate-estimates-opening-statement-0" TargetMode="External"/></Relationships>
</file>

<file path=word/theme/theme1.xml><?xml version="1.0" encoding="utf-8"?>
<a:theme xmlns:a="http://schemas.openxmlformats.org/drawingml/2006/main" name="Office Theme">
  <a:themeElements>
    <a:clrScheme name="KPMG 2025">
      <a:dk1>
        <a:srgbClr val="000000"/>
      </a:dk1>
      <a:lt1>
        <a:sysClr val="window" lastClr="FFFFFF"/>
      </a:lt1>
      <a:dk2>
        <a:srgbClr val="00338D"/>
      </a:dk2>
      <a:lt2>
        <a:srgbClr val="BFBFBF"/>
      </a:lt2>
      <a:accent1>
        <a:srgbClr val="1E49E2"/>
      </a:accent1>
      <a:accent2>
        <a:srgbClr val="0C233C"/>
      </a:accent2>
      <a:accent3>
        <a:srgbClr val="ACEAFF"/>
      </a:accent3>
      <a:accent4>
        <a:srgbClr val="00B8F5"/>
      </a:accent4>
      <a:accent5>
        <a:srgbClr val="7213EA"/>
      </a:accent5>
      <a:accent6>
        <a:srgbClr val="FD349C"/>
      </a:accent6>
      <a:hlink>
        <a:srgbClr val="000000"/>
      </a:hlink>
      <a:folHlink>
        <a:srgbClr val="000000"/>
      </a:folHlink>
    </a:clrScheme>
    <a:fontScheme name="KPMG 2024">
      <a:majorFont>
        <a:latin typeface="KPMG Bold"/>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8928D7188AEE4EBF4847DC779867DA" ma:contentTypeVersion="14" ma:contentTypeDescription="Create a new document." ma:contentTypeScope="" ma:versionID="c8eebf75765acd9e28e9e349133d0a74">
  <xsd:schema xmlns:xsd="http://www.w3.org/2001/XMLSchema" xmlns:xs="http://www.w3.org/2001/XMLSchema" xmlns:p="http://schemas.microsoft.com/office/2006/metadata/properties" xmlns:ns2="9dbfa958-68d3-4588-a3fb-4ed6d4054c0e" xmlns:ns3="62cdc26a-b6a3-4d40-bda3-bbf59ef67685" targetNamespace="http://schemas.microsoft.com/office/2006/metadata/properties" ma:root="true" ma:fieldsID="1190ad1d97255b6a05ff7d22673affc6" ns2:_="" ns3:_="">
    <xsd:import namespace="9dbfa958-68d3-4588-a3fb-4ed6d4054c0e"/>
    <xsd:import namespace="62cdc26a-b6a3-4d40-bda3-bbf59ef6768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bfa958-68d3-4588-a3fb-4ed6d4054c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883d318-f35c-4577-94aa-4c8e836d27a7"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2cdc26a-b6a3-4d40-bda3-bbf59ef6768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9701fca2-780d-4806-a4f9-cc8903d067ba}" ma:internalName="TaxCatchAll" ma:showField="CatchAllData" ma:web="62cdc26a-b6a3-4d40-bda3-bbf59ef676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dbfa958-68d3-4588-a3fb-4ed6d4054c0e">
      <Terms xmlns="http://schemas.microsoft.com/office/infopath/2007/PartnerControls"/>
    </lcf76f155ced4ddcb4097134ff3c332f>
    <TaxCatchAll xmlns="62cdc26a-b6a3-4d40-bda3-bbf59ef67685" xsi:nil="true"/>
  </documentManagement>
</p:properties>
</file>

<file path=customXml/itemProps1.xml><?xml version="1.0" encoding="utf-8"?>
<ds:datastoreItem xmlns:ds="http://schemas.openxmlformats.org/officeDocument/2006/customXml" ds:itemID="{D1849BC9-FD66-4AB2-96D4-856871B621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bfa958-68d3-4588-a3fb-4ed6d4054c0e"/>
    <ds:schemaRef ds:uri="62cdc26a-b6a3-4d40-bda3-bbf59ef676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CB82D2-5474-47F0-A862-3BC298E6B1ED}">
  <ds:schemaRefs>
    <ds:schemaRef ds:uri="http://schemas.openxmlformats.org/officeDocument/2006/bibliography"/>
  </ds:schemaRefs>
</ds:datastoreItem>
</file>

<file path=customXml/itemProps3.xml><?xml version="1.0" encoding="utf-8"?>
<ds:datastoreItem xmlns:ds="http://schemas.openxmlformats.org/officeDocument/2006/customXml" ds:itemID="{7BF8A91F-27C8-49CF-90C0-BAB9EE55673D}">
  <ds:schemaRefs>
    <ds:schemaRef ds:uri="http://schemas.microsoft.com/sharepoint/v3/contenttype/forms"/>
  </ds:schemaRefs>
</ds:datastoreItem>
</file>

<file path=customXml/itemProps4.xml><?xml version="1.0" encoding="utf-8"?>
<ds:datastoreItem xmlns:ds="http://schemas.openxmlformats.org/officeDocument/2006/customXml" ds:itemID="{965004D8-737C-4450-AFEF-575D31F4348C}">
  <ds:schemaRefs>
    <ds:schemaRef ds:uri="http://purl.org/dc/terms/"/>
    <ds:schemaRef ds:uri="http://schemas.openxmlformats.org/package/2006/metadata/core-properties"/>
    <ds:schemaRef ds:uri="62cdc26a-b6a3-4d40-bda3-bbf59ef67685"/>
    <ds:schemaRef ds:uri="http://schemas.microsoft.com/office/infopath/2007/PartnerControls"/>
    <ds:schemaRef ds:uri="9dbfa958-68d3-4588-a3fb-4ed6d4054c0e"/>
    <ds:schemaRef ds:uri="http://www.w3.org/XML/1998/namespace"/>
    <ds:schemaRef ds:uri="http://schemas.microsoft.com/office/2006/documentManagement/types"/>
    <ds:schemaRef ds:uri="http://schemas.microsoft.com/office/2006/metadata/properties"/>
    <ds:schemaRef ds:uri="http://purl.org/dc/dcmitype/"/>
    <ds:schemaRef ds:uri="http://purl.org/dc/elements/1.1/"/>
  </ds:schemaRefs>
</ds:datastoreItem>
</file>

<file path=docMetadata/LabelInfo.xml><?xml version="1.0" encoding="utf-8"?>
<clbl:labelList xmlns:clbl="http://schemas.microsoft.com/office/2020/mipLabelMetadata">
  <clbl:label id="{4ed8881d-4062-46d6-b0ca-1cc939420954}" enabled="1" method="Privileged" siteId="{deff24bb-2089-4400-8c8e-f71e680378b2}" removed="0"/>
  <clbl:label id="{610a6645-df8a-461f-957a-aeb16698bd53}" enabled="1" method="Privileged" siteId="{9b7f23b3-0e83-47a5-8a40-ffa8a6fea536}" removed="0"/>
</clbl:labelList>
</file>

<file path=docProps/app.xml><?xml version="1.0" encoding="utf-8"?>
<Properties xmlns="http://schemas.openxmlformats.org/officeDocument/2006/extended-properties" xmlns:vt="http://schemas.openxmlformats.org/officeDocument/2006/docPropsVTypes">
  <Template>Normal.dotm</Template>
  <TotalTime>29</TotalTime>
  <Pages>85</Pages>
  <Words>27264</Words>
  <Characters>176269</Characters>
  <Application>Microsoft Office Word</Application>
  <DocSecurity>8</DocSecurity>
  <Lines>1468</Lines>
  <Paragraphs>406</Paragraphs>
  <ScaleCrop>false</ScaleCrop>
  <HeadingPairs>
    <vt:vector size="2" baseType="variant">
      <vt:variant>
        <vt:lpstr>Title</vt:lpstr>
      </vt:variant>
      <vt:variant>
        <vt:i4>1</vt:i4>
      </vt:variant>
    </vt:vector>
  </HeadingPairs>
  <TitlesOfParts>
    <vt:vector size="1" baseType="lpstr">
      <vt:lpstr>Women, Peace and Security Mid-Term Review [accessible]</vt:lpstr>
    </vt:vector>
  </TitlesOfParts>
  <Manager/>
  <Company/>
  <LinksUpToDate>false</LinksUpToDate>
  <CharactersWithSpaces>203127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Women, Peace and Security Mid-Term Review [accessible]</dc:title>
  <dc:subject/>
  <dc:creator>KPMG Australia</dc:creator>
  <cp:keywords/>
  <dc:description/>
  <cp:lastModifiedBy>Patrick Baggoley</cp:lastModifiedBy>
  <cp:revision>4</cp:revision>
  <cp:lastPrinted>2026-06-25T02:17:00Z</cp:lastPrinted>
  <dcterms:created xsi:type="dcterms:W3CDTF">2026-06-25T23:46:00Z</dcterms:created>
  <dcterms:modified xsi:type="dcterms:W3CDTF">2026-06-26T01:44:00Z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0x0101008B8928D7188AEE4EBF4847DC779867DA</vt:lpwstr>
  </property>
  <property fmtid="{D5CDD505-2E9C-101B-9397-08002B2CF9AE}" pid="3" name="MediaServiceImageTags">
    <vt:lpwstr/>
  </property>
  <property fmtid="{D5CDD505-2E9C-101B-9397-08002B2CF9AE}" pid="4" name="ClassificationContentMarkingHeaderShapeIds">
    <vt:lpwstr>42999e8f,2568c265,51d4af15,1a802fc5,4822e113,22ddffdf,13dbe4d2,251d2672,203508b0,158f76fe,6f60b878,2897c707,28e6f8d1,437128df,58acd7bf,50766872,134de1fe,16c2c36d,efc00ec,79c7e053,5dd26560,4237a661,373c2238</vt:lpwstr>
  </property>
  <property fmtid="{D5CDD505-2E9C-101B-9397-08002B2CF9AE}" pid="5" name="ClassificationContentMarkingHeaderShapeIds-1">
    <vt:lpwstr>3d77d259,14c76892</vt:lpwstr>
  </property>
  <property fmtid="{D5CDD505-2E9C-101B-9397-08002B2CF9AE}" pid="6" name="ClassificationContentMarkingHeaderFontProps">
    <vt:lpwstr>#ff0000,12,Aptos</vt:lpwstr>
  </property>
  <property fmtid="{D5CDD505-2E9C-101B-9397-08002B2CF9AE}" pid="7" name="ClassificationContentMarkingHeaderText">
    <vt:lpwstr>OFFICIAL</vt:lpwstr>
  </property>
  <property fmtid="{D5CDD505-2E9C-101B-9397-08002B2CF9AE}" pid="8" name="ClassificationContentMarkingFooterShapeIds">
    <vt:lpwstr>1fa5ac26,1a28d8cd,2d8507db,9059a07,72f43d5b,409064e2,77ffcd86,6a56a1f9,514f0697</vt:lpwstr>
  </property>
  <property fmtid="{D5CDD505-2E9C-101B-9397-08002B2CF9AE}" pid="9" name="ClassificationContentMarkingFooterFontProps">
    <vt:lpwstr>#ff0000,12,Aptos</vt:lpwstr>
  </property>
  <property fmtid="{D5CDD505-2E9C-101B-9397-08002B2CF9AE}" pid="10" name="ClassificationContentMarkingFooterText">
    <vt:lpwstr>OFFICIAL</vt:lpwstr>
  </property>
</Properties>
</file>