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9BD6" w14:textId="5531CE0B" w:rsidR="00746FBC" w:rsidRDefault="00D278A5" w:rsidP="005260BD">
      <w:pPr>
        <w:pStyle w:val="Heading2"/>
      </w:pPr>
      <w:r w:rsidRPr="00373AE1">
        <w:t>DFAT’s response to the Independent Evaluation</w:t>
      </w:r>
    </w:p>
    <w:p w14:paraId="2A5348A8" w14:textId="1CA66B53" w:rsidR="00D278A5" w:rsidRPr="00373AE1" w:rsidRDefault="00D278A5" w:rsidP="000369E2">
      <w:pPr>
        <w:rPr>
          <w:rFonts w:eastAsia="Calibri" w:cs="Calibri"/>
          <w:kern w:val="0"/>
          <w14:ligatures w14:val="none"/>
        </w:rPr>
      </w:pPr>
      <w:r w:rsidRPr="00373AE1">
        <w:rPr>
          <w:rFonts w:eastAsia="Calibri" w:cs="Calibri"/>
          <w:kern w:val="0"/>
          <w14:ligatures w14:val="none"/>
        </w:rPr>
        <w:t xml:space="preserve">DFAT agrees with </w:t>
      </w:r>
      <w:r w:rsidR="00C3273A" w:rsidRPr="00373AE1">
        <w:rPr>
          <w:rFonts w:eastAsia="Calibri" w:cs="Calibri"/>
          <w:kern w:val="0"/>
          <w14:ligatures w14:val="none"/>
        </w:rPr>
        <w:t>f</w:t>
      </w:r>
      <w:r w:rsidR="00E9719E">
        <w:rPr>
          <w:rFonts w:eastAsia="Calibri" w:cs="Calibri"/>
          <w:kern w:val="0"/>
          <w14:ligatures w14:val="none"/>
        </w:rPr>
        <w:t>our</w:t>
      </w:r>
      <w:r w:rsidR="00C3273A" w:rsidRPr="00373AE1">
        <w:rPr>
          <w:rFonts w:eastAsia="Calibri" w:cs="Calibri"/>
          <w:kern w:val="0"/>
          <w14:ligatures w14:val="none"/>
        </w:rPr>
        <w:t xml:space="preserve"> of the seven recommendations and partly agrees with </w:t>
      </w:r>
      <w:r w:rsidR="001375BF" w:rsidRPr="00373AE1">
        <w:rPr>
          <w:rFonts w:eastAsia="Calibri" w:cs="Calibri"/>
          <w:kern w:val="0"/>
          <w14:ligatures w14:val="none"/>
        </w:rPr>
        <w:t xml:space="preserve">three </w:t>
      </w:r>
      <w:r w:rsidR="00C3273A" w:rsidRPr="00373AE1">
        <w:rPr>
          <w:rFonts w:eastAsia="Calibri" w:cs="Calibri"/>
          <w:kern w:val="0"/>
          <w14:ligatures w14:val="none"/>
        </w:rPr>
        <w:t xml:space="preserve">recommendations, noting that </w:t>
      </w:r>
      <w:r w:rsidR="003238FC" w:rsidRPr="00373AE1">
        <w:rPr>
          <w:rFonts w:eastAsia="Calibri" w:cs="Calibri"/>
          <w:kern w:val="0"/>
          <w14:ligatures w14:val="none"/>
        </w:rPr>
        <w:t xml:space="preserve">DFAT’s funding for Water for Women has concluded and there are currently no planned future phases of the Fund. However, DFAT will </w:t>
      </w:r>
      <w:r w:rsidR="00B30B5C" w:rsidRPr="00373AE1">
        <w:rPr>
          <w:rFonts w:eastAsia="Calibri" w:cs="Calibri"/>
          <w:kern w:val="0"/>
          <w14:ligatures w14:val="none"/>
        </w:rPr>
        <w:t xml:space="preserve">draw on the evaluation’s recommendations to inform </w:t>
      </w:r>
      <w:r w:rsidR="000C7261" w:rsidRPr="00373AE1">
        <w:rPr>
          <w:rFonts w:eastAsia="Calibri" w:cs="Calibri"/>
          <w:kern w:val="0"/>
          <w14:ligatures w14:val="none"/>
        </w:rPr>
        <w:t xml:space="preserve">guidance </w:t>
      </w:r>
      <w:r w:rsidR="00C208CF">
        <w:rPr>
          <w:rFonts w:eastAsia="Calibri" w:cs="Calibri"/>
          <w:kern w:val="0"/>
          <w14:ligatures w14:val="none"/>
        </w:rPr>
        <w:t xml:space="preserve">and lessons </w:t>
      </w:r>
      <w:r w:rsidR="000C7261" w:rsidRPr="00373AE1">
        <w:rPr>
          <w:rFonts w:eastAsia="Calibri" w:cs="Calibri"/>
          <w:kern w:val="0"/>
          <w14:ligatures w14:val="none"/>
        </w:rPr>
        <w:t xml:space="preserve">on climate resilient inclusive WASH and water programming which will directly inform </w:t>
      </w:r>
      <w:r w:rsidR="006E4D5A" w:rsidRPr="00373AE1">
        <w:rPr>
          <w:rFonts w:eastAsia="Calibri" w:cs="Calibri"/>
          <w:kern w:val="0"/>
          <w14:ligatures w14:val="none"/>
        </w:rPr>
        <w:t>future DFAT WASH and water investments</w:t>
      </w:r>
      <w:r w:rsidRPr="00373AE1">
        <w:rPr>
          <w:rFonts w:eastAsia="Calibri" w:cs="Calibri"/>
          <w:kern w:val="0"/>
          <w14:ligatures w14:val="none"/>
        </w:rPr>
        <w:t xml:space="preserve">. </w:t>
      </w:r>
    </w:p>
    <w:tbl>
      <w:tblPr>
        <w:tblStyle w:val="TableGrid"/>
        <w:tblW w:w="9782" w:type="dxa"/>
        <w:tblInd w:w="-147" w:type="dxa"/>
        <w:tblLook w:val="04A0" w:firstRow="1" w:lastRow="0" w:firstColumn="1" w:lastColumn="0" w:noHBand="0" w:noVBand="1"/>
        <w:tblDescription w:val="Table summarising DFAT's response to the recommendations of the evaluation."/>
      </w:tblPr>
      <w:tblGrid>
        <w:gridCol w:w="3320"/>
        <w:gridCol w:w="1207"/>
        <w:gridCol w:w="3963"/>
        <w:gridCol w:w="1292"/>
      </w:tblGrid>
      <w:tr w:rsidR="00F47B0F" w:rsidRPr="00443033" w14:paraId="428A6E97" w14:textId="77777777" w:rsidTr="00917307">
        <w:trPr>
          <w:tblHeader/>
        </w:trPr>
        <w:tc>
          <w:tcPr>
            <w:tcW w:w="3403" w:type="dxa"/>
            <w:shd w:val="clear" w:color="auto" w:fill="BFBFBF" w:themeFill="background1" w:themeFillShade="BF"/>
          </w:tcPr>
          <w:p w14:paraId="6DFE6B8F" w14:textId="77777777" w:rsidR="00443033" w:rsidRPr="00443033" w:rsidRDefault="00443033" w:rsidP="00443033">
            <w:pPr>
              <w:spacing w:after="160" w:line="259" w:lineRule="auto"/>
              <w:rPr>
                <w:b/>
                <w:bCs/>
              </w:rPr>
            </w:pPr>
            <w:r w:rsidRPr="00443033">
              <w:rPr>
                <w:b/>
                <w:bCs/>
              </w:rPr>
              <w:t>Recommendation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4713B2B" w14:textId="77777777" w:rsidR="00443033" w:rsidRPr="00443033" w:rsidRDefault="00443033" w:rsidP="00443033">
            <w:pPr>
              <w:spacing w:after="160" w:line="259" w:lineRule="auto"/>
              <w:rPr>
                <w:b/>
                <w:bCs/>
              </w:rPr>
            </w:pPr>
            <w:r w:rsidRPr="00443033">
              <w:rPr>
                <w:b/>
                <w:bCs/>
              </w:rPr>
              <w:t>Response</w:t>
            </w:r>
          </w:p>
        </w:tc>
        <w:tc>
          <w:tcPr>
            <w:tcW w:w="4095" w:type="dxa"/>
            <w:shd w:val="clear" w:color="auto" w:fill="BFBFBF" w:themeFill="background1" w:themeFillShade="BF"/>
          </w:tcPr>
          <w:p w14:paraId="16F7C1F5" w14:textId="77777777" w:rsidR="00443033" w:rsidRPr="00443033" w:rsidRDefault="00443033" w:rsidP="00443033">
            <w:pPr>
              <w:spacing w:after="160" w:line="259" w:lineRule="auto"/>
              <w:rPr>
                <w:b/>
                <w:bCs/>
              </w:rPr>
            </w:pPr>
            <w:r w:rsidRPr="00443033">
              <w:rPr>
                <w:b/>
                <w:bCs/>
              </w:rPr>
              <w:t>Action Plan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39D8859B" w14:textId="77777777" w:rsidR="00443033" w:rsidRPr="00443033" w:rsidRDefault="00443033" w:rsidP="00443033">
            <w:pPr>
              <w:spacing w:after="160" w:line="259" w:lineRule="auto"/>
              <w:rPr>
                <w:b/>
                <w:bCs/>
              </w:rPr>
            </w:pPr>
            <w:r w:rsidRPr="00443033">
              <w:rPr>
                <w:b/>
                <w:bCs/>
              </w:rPr>
              <w:t>Timeframe</w:t>
            </w:r>
          </w:p>
        </w:tc>
      </w:tr>
      <w:tr w:rsidR="00F47B0F" w:rsidRPr="00443033" w14:paraId="3F848C94" w14:textId="77777777" w:rsidTr="00917307">
        <w:tc>
          <w:tcPr>
            <w:tcW w:w="3403" w:type="dxa"/>
          </w:tcPr>
          <w:p w14:paraId="6A2469D1" w14:textId="6CF889C1" w:rsidR="00443033" w:rsidRPr="00443033" w:rsidRDefault="00443033" w:rsidP="004A12E8">
            <w:pPr>
              <w:pStyle w:val="ListParagraph"/>
              <w:numPr>
                <w:ilvl w:val="0"/>
                <w:numId w:val="1"/>
              </w:numPr>
            </w:pPr>
            <w:r w:rsidRPr="004D51EC">
              <w:t xml:space="preserve">DFAT and/or CRC should develop guidance (including templates) to support robust and contextually relevant </w:t>
            </w:r>
            <w:r w:rsidR="00C1548A">
              <w:t>Climate Resilient Vulnerability Assessments (</w:t>
            </w:r>
            <w:r w:rsidRPr="004D51EC">
              <w:t>CRVA</w:t>
            </w:r>
            <w:r w:rsidR="00C1548A">
              <w:t>)</w:t>
            </w:r>
            <w:r w:rsidRPr="004D51EC">
              <w:t xml:space="preserve"> preparation to inform implementation of climate resilience investments.</w:t>
            </w:r>
          </w:p>
        </w:tc>
        <w:tc>
          <w:tcPr>
            <w:tcW w:w="992" w:type="dxa"/>
          </w:tcPr>
          <w:p w14:paraId="11FC6719" w14:textId="20BA5892" w:rsidR="00443033" w:rsidRPr="00443033" w:rsidRDefault="00443033" w:rsidP="00443033">
            <w:pPr>
              <w:spacing w:after="160" w:line="259" w:lineRule="auto"/>
              <w:rPr>
                <w:b/>
                <w:bCs/>
              </w:rPr>
            </w:pPr>
            <w:r>
              <w:t xml:space="preserve">Agree </w:t>
            </w:r>
          </w:p>
        </w:tc>
        <w:tc>
          <w:tcPr>
            <w:tcW w:w="4095" w:type="dxa"/>
          </w:tcPr>
          <w:p w14:paraId="67954BDA" w14:textId="5D0E1EFB" w:rsidR="00443033" w:rsidRPr="00443033" w:rsidRDefault="00443033" w:rsidP="00443033">
            <w:pPr>
              <w:spacing w:after="160" w:line="259" w:lineRule="auto"/>
            </w:pPr>
            <w:r w:rsidRPr="00443033">
              <w:t xml:space="preserve">DFAT will </w:t>
            </w:r>
            <w:proofErr w:type="gramStart"/>
            <w:r w:rsidRPr="00443033">
              <w:t>develop</w:t>
            </w:r>
            <w:r w:rsidR="00D1219E">
              <w:t>,</w:t>
            </w:r>
            <w:r w:rsidRPr="00443033">
              <w:t xml:space="preserve"> </w:t>
            </w:r>
            <w:r w:rsidR="00D1219E">
              <w:t>and</w:t>
            </w:r>
            <w:proofErr w:type="gramEnd"/>
            <w:r w:rsidR="00D1219E">
              <w:t xml:space="preserve"> disseminate guidance </w:t>
            </w:r>
            <w:r w:rsidR="00B16FC2">
              <w:t xml:space="preserve">and lessons </w:t>
            </w:r>
            <w:r w:rsidR="00D1219E">
              <w:t>on</w:t>
            </w:r>
            <w:r w:rsidRPr="00443033">
              <w:t xml:space="preserve"> climate</w:t>
            </w:r>
            <w:r w:rsidR="00D1219E">
              <w:t>-</w:t>
            </w:r>
            <w:r w:rsidRPr="00443033">
              <w:t>resilient inclusive WASH</w:t>
            </w:r>
            <w:r w:rsidR="00091077">
              <w:t>,</w:t>
            </w:r>
            <w:r w:rsidRPr="00443033">
              <w:t xml:space="preserve"> includ</w:t>
            </w:r>
            <w:r w:rsidR="00091077">
              <w:t>ing</w:t>
            </w:r>
            <w:r w:rsidRPr="00443033">
              <w:t xml:space="preserve"> </w:t>
            </w:r>
            <w:r w:rsidR="001301EC">
              <w:t xml:space="preserve">key </w:t>
            </w:r>
            <w:r w:rsidR="004A12E8">
              <w:t xml:space="preserve">requirements of </w:t>
            </w:r>
            <w:r w:rsidRPr="00443033">
              <w:t>Climate Risk and Vulnerability Assessment</w:t>
            </w:r>
            <w:r w:rsidR="004A12E8">
              <w:t>s</w:t>
            </w:r>
            <w:r w:rsidRPr="00443033">
              <w:t xml:space="preserve"> (CRVAs</w:t>
            </w:r>
            <w:r w:rsidR="00D1219E">
              <w:t xml:space="preserve">), to </w:t>
            </w:r>
            <w:r w:rsidR="004A12E8">
              <w:t xml:space="preserve">inform </w:t>
            </w:r>
            <w:r w:rsidR="00D1219E">
              <w:t xml:space="preserve">relevant </w:t>
            </w:r>
            <w:r w:rsidR="004A12E8">
              <w:t>investments.</w:t>
            </w:r>
          </w:p>
        </w:tc>
        <w:tc>
          <w:tcPr>
            <w:tcW w:w="1292" w:type="dxa"/>
          </w:tcPr>
          <w:p w14:paraId="658BCEAC" w14:textId="7D7B9177" w:rsidR="00443033" w:rsidRPr="00443033" w:rsidRDefault="00E02291" w:rsidP="00443033">
            <w:pPr>
              <w:spacing w:after="160" w:line="259" w:lineRule="auto"/>
            </w:pPr>
            <w:r>
              <w:t xml:space="preserve">First quarter </w:t>
            </w:r>
            <w:r w:rsidR="005E5973">
              <w:t>202</w:t>
            </w:r>
            <w:r>
              <w:t>6</w:t>
            </w:r>
            <w:r w:rsidR="00BB4595">
              <w:t xml:space="preserve"> </w:t>
            </w:r>
          </w:p>
        </w:tc>
      </w:tr>
      <w:tr w:rsidR="00F47B0F" w:rsidRPr="00443033" w14:paraId="0FB03913" w14:textId="77777777" w:rsidTr="00917307">
        <w:tc>
          <w:tcPr>
            <w:tcW w:w="3403" w:type="dxa"/>
          </w:tcPr>
          <w:p w14:paraId="3C89FECC" w14:textId="55B44739" w:rsidR="00443033" w:rsidRPr="00443033" w:rsidRDefault="00443033" w:rsidP="004A12E8">
            <w:pPr>
              <w:pStyle w:val="ListParagraph"/>
              <w:numPr>
                <w:ilvl w:val="0"/>
                <w:numId w:val="1"/>
              </w:numPr>
            </w:pPr>
            <w:r w:rsidRPr="004D51EC">
              <w:t>In climate resilience programming DFAT should resource collaboration between research organisations and implementing organisations to continue advancement of thinking and practice.</w:t>
            </w:r>
          </w:p>
        </w:tc>
        <w:tc>
          <w:tcPr>
            <w:tcW w:w="992" w:type="dxa"/>
          </w:tcPr>
          <w:p w14:paraId="1500AA75" w14:textId="27E48B2B" w:rsidR="00443033" w:rsidRPr="00443033" w:rsidRDefault="00443033" w:rsidP="00443033">
            <w:pPr>
              <w:rPr>
                <w:b/>
                <w:bCs/>
              </w:rPr>
            </w:pPr>
            <w:r>
              <w:t>Part</w:t>
            </w:r>
            <w:r w:rsidR="00021C51">
              <w:t>ial</w:t>
            </w:r>
            <w:r>
              <w:t xml:space="preserve">ly Agree </w:t>
            </w:r>
          </w:p>
        </w:tc>
        <w:tc>
          <w:tcPr>
            <w:tcW w:w="4095" w:type="dxa"/>
          </w:tcPr>
          <w:p w14:paraId="559815E1" w14:textId="79291868" w:rsidR="00443033" w:rsidRPr="00443033" w:rsidRDefault="00443033" w:rsidP="00091077">
            <w:r w:rsidRPr="00443033">
              <w:t xml:space="preserve">DFAT </w:t>
            </w:r>
            <w:r w:rsidR="00D25651">
              <w:t>currently support</w:t>
            </w:r>
            <w:r w:rsidR="00F47B0F">
              <w:t xml:space="preserve">s climate-relevant </w:t>
            </w:r>
            <w:r w:rsidRPr="00443033">
              <w:t>research</w:t>
            </w:r>
            <w:r w:rsidR="00D1219E">
              <w:t xml:space="preserve"> and collaboration</w:t>
            </w:r>
            <w:r w:rsidRPr="00443033">
              <w:t xml:space="preserve"> </w:t>
            </w:r>
            <w:r w:rsidR="00D1219E">
              <w:t xml:space="preserve">with research organisations </w:t>
            </w:r>
            <w:r w:rsidR="00F47B0F">
              <w:t xml:space="preserve">through existing programs, including the Australian Water Partnership and the Climate Resilient Communities </w:t>
            </w:r>
            <w:r w:rsidR="00D1219E">
              <w:t xml:space="preserve">(CRC) </w:t>
            </w:r>
            <w:r w:rsidR="00F47B0F">
              <w:t>initiative</w:t>
            </w:r>
            <w:r w:rsidR="00D1219E">
              <w:t>.</w:t>
            </w:r>
            <w:r w:rsidR="00B57019">
              <w:t xml:space="preserve"> </w:t>
            </w:r>
            <w:r w:rsidR="00D1219E">
              <w:t xml:space="preserve"> </w:t>
            </w:r>
            <w:r w:rsidR="00F47B0F">
              <w:t>Additional</w:t>
            </w:r>
            <w:r w:rsidR="005E5973">
              <w:t xml:space="preserve"> WASH</w:t>
            </w:r>
            <w:r w:rsidR="00F47B0F">
              <w:t xml:space="preserve">-specific support will be considered </w:t>
            </w:r>
            <w:r w:rsidRPr="00443033">
              <w:t xml:space="preserve">on a </w:t>
            </w:r>
            <w:proofErr w:type="gramStart"/>
            <w:r w:rsidRPr="00443033">
              <w:t>case by case</w:t>
            </w:r>
            <w:proofErr w:type="gramEnd"/>
            <w:r w:rsidRPr="00443033">
              <w:t xml:space="preserve"> basis</w:t>
            </w:r>
            <w:r w:rsidR="00B57019">
              <w:t>.</w:t>
            </w:r>
            <w:r w:rsidR="00137225">
              <w:t xml:space="preserve">  </w:t>
            </w:r>
            <w:r w:rsidR="00445365">
              <w:t xml:space="preserve">DFAT will also </w:t>
            </w:r>
            <w:r w:rsidR="009B5AD9">
              <w:t xml:space="preserve">look for opportunities </w:t>
            </w:r>
            <w:r w:rsidR="002D2F48">
              <w:t xml:space="preserve">to incorporate </w:t>
            </w:r>
            <w:r w:rsidR="00445365">
              <w:t xml:space="preserve">lessons </w:t>
            </w:r>
            <w:r w:rsidR="00D45BF7">
              <w:t xml:space="preserve">on the </w:t>
            </w:r>
            <w:r w:rsidR="00445365">
              <w:t>value of collaboration between research and implementing organisations.</w:t>
            </w:r>
          </w:p>
        </w:tc>
        <w:tc>
          <w:tcPr>
            <w:tcW w:w="1292" w:type="dxa"/>
          </w:tcPr>
          <w:p w14:paraId="468C4E9A" w14:textId="6C4D3739" w:rsidR="00443033" w:rsidRPr="00443033" w:rsidRDefault="005E5973" w:rsidP="00443033">
            <w:r>
              <w:t>Ongoing</w:t>
            </w:r>
          </w:p>
        </w:tc>
      </w:tr>
      <w:tr w:rsidR="00F47B0F" w:rsidRPr="00443033" w14:paraId="5C5DC63F" w14:textId="77777777" w:rsidTr="00917307">
        <w:tc>
          <w:tcPr>
            <w:tcW w:w="3403" w:type="dxa"/>
          </w:tcPr>
          <w:p w14:paraId="768A3A2F" w14:textId="1D174BE3" w:rsidR="00443033" w:rsidRPr="00443033" w:rsidRDefault="00443033" w:rsidP="004A12E8">
            <w:pPr>
              <w:pStyle w:val="ListParagraph"/>
              <w:numPr>
                <w:ilvl w:val="0"/>
                <w:numId w:val="1"/>
              </w:numPr>
            </w:pPr>
            <w:r w:rsidRPr="004D51EC">
              <w:t xml:space="preserve">In the absence of a dedicated, </w:t>
            </w:r>
            <w:proofErr w:type="gramStart"/>
            <w:r w:rsidRPr="004D51EC">
              <w:t>centrally-managed</w:t>
            </w:r>
            <w:proofErr w:type="gramEnd"/>
            <w:r w:rsidRPr="004D51EC">
              <w:t xml:space="preserve"> WASH sector investment, DFAT should incentivise bilateral programs to engage across ministerial portfolios to address WASH issues in an integrated way, noting this may otherwise be overlooked by sector-centric programming.</w:t>
            </w:r>
          </w:p>
        </w:tc>
        <w:tc>
          <w:tcPr>
            <w:tcW w:w="992" w:type="dxa"/>
          </w:tcPr>
          <w:p w14:paraId="2FE70454" w14:textId="05BBB7F5" w:rsidR="00443033" w:rsidRPr="00443033" w:rsidRDefault="00443033" w:rsidP="00443033">
            <w:pPr>
              <w:rPr>
                <w:b/>
                <w:bCs/>
              </w:rPr>
            </w:pPr>
            <w:r>
              <w:t xml:space="preserve">Agree </w:t>
            </w:r>
          </w:p>
        </w:tc>
        <w:tc>
          <w:tcPr>
            <w:tcW w:w="4095" w:type="dxa"/>
          </w:tcPr>
          <w:p w14:paraId="4C9DC9AE" w14:textId="1A84978C" w:rsidR="00443033" w:rsidRPr="00443033" w:rsidRDefault="0039091B" w:rsidP="00443033">
            <w:r w:rsidRPr="0039091B">
              <w:t xml:space="preserve">Acknowledging the importance of water </w:t>
            </w:r>
            <w:r>
              <w:t xml:space="preserve">security and WASH </w:t>
            </w:r>
            <w:r w:rsidRPr="0039091B">
              <w:t xml:space="preserve">in climate action, DFAT is </w:t>
            </w:r>
            <w:r w:rsidR="00E76565">
              <w:t>implementing</w:t>
            </w:r>
            <w:r w:rsidR="00E76565" w:rsidRPr="0039091B">
              <w:t xml:space="preserve"> </w:t>
            </w:r>
            <w:r w:rsidRPr="0039091B">
              <w:t xml:space="preserve">climate-resilient water </w:t>
            </w:r>
            <w:r w:rsidR="00021C51">
              <w:t xml:space="preserve">and WASH </w:t>
            </w:r>
            <w:r w:rsidRPr="0039091B">
              <w:t>investments across the development program</w:t>
            </w:r>
            <w:r w:rsidR="005B3ED7">
              <w:t xml:space="preserve">. Bilateral investments are </w:t>
            </w:r>
            <w:r w:rsidR="00D1219E">
              <w:t xml:space="preserve">driven by the priorities of in-country </w:t>
            </w:r>
            <w:r w:rsidR="00F47B0F">
              <w:t>partne</w:t>
            </w:r>
            <w:r w:rsidR="00D1219E">
              <w:t>rs</w:t>
            </w:r>
            <w:r w:rsidR="005B3ED7">
              <w:t>,</w:t>
            </w:r>
            <w:r w:rsidR="00F47B0F">
              <w:t xml:space="preserve"> </w:t>
            </w:r>
            <w:r w:rsidR="005B3ED7">
              <w:t xml:space="preserve">as </w:t>
            </w:r>
            <w:r w:rsidR="00021C51">
              <w:t xml:space="preserve">outlined </w:t>
            </w:r>
            <w:r w:rsidR="00F47B0F">
              <w:t xml:space="preserve">in </w:t>
            </w:r>
            <w:r w:rsidRPr="0039091B">
              <w:t>Development Partnership Plans</w:t>
            </w:r>
            <w:r>
              <w:t xml:space="preserve"> (DPP)</w:t>
            </w:r>
            <w:r w:rsidRPr="0039091B">
              <w:t>.</w:t>
            </w:r>
            <w:r>
              <w:t xml:space="preserve"> </w:t>
            </w:r>
            <w:r w:rsidR="005B3ED7">
              <w:t xml:space="preserve">Where relevant and </w:t>
            </w:r>
            <w:r w:rsidR="00D47435">
              <w:t>in line with local priorities</w:t>
            </w:r>
            <w:r w:rsidR="005B3ED7">
              <w:t>, DFAT</w:t>
            </w:r>
            <w:r w:rsidR="008E1C87">
              <w:t xml:space="preserve"> will encourage a multisectoral, integrated approach. Outreach and advice outlined in </w:t>
            </w:r>
            <w:r w:rsidR="001F0A3C">
              <w:t>c</w:t>
            </w:r>
            <w:r w:rsidR="008E1C87">
              <w:t xml:space="preserve">limate </w:t>
            </w:r>
            <w:r w:rsidR="001F0A3C">
              <w:t>r</w:t>
            </w:r>
            <w:r w:rsidR="008E1C87">
              <w:t xml:space="preserve">esilient </w:t>
            </w:r>
            <w:r w:rsidR="001F0A3C">
              <w:t>i</w:t>
            </w:r>
            <w:r w:rsidR="008E1C87">
              <w:t xml:space="preserve">nclusive WASH </w:t>
            </w:r>
            <w:r w:rsidR="001F0A3C">
              <w:t>g</w:t>
            </w:r>
            <w:r w:rsidR="008E1C87">
              <w:t xml:space="preserve">uidance </w:t>
            </w:r>
            <w:r w:rsidR="001F0A3C">
              <w:t xml:space="preserve">and lessons </w:t>
            </w:r>
            <w:r w:rsidR="008E1C87">
              <w:t xml:space="preserve">developed will </w:t>
            </w:r>
            <w:r w:rsidR="005B3ED7">
              <w:t>reflect this</w:t>
            </w:r>
            <w:r w:rsidR="008E1C87">
              <w:t>.</w:t>
            </w:r>
          </w:p>
        </w:tc>
        <w:tc>
          <w:tcPr>
            <w:tcW w:w="1292" w:type="dxa"/>
          </w:tcPr>
          <w:p w14:paraId="5C4EF6C5" w14:textId="10C3872D" w:rsidR="00443033" w:rsidRPr="00443033" w:rsidRDefault="00F47B0F" w:rsidP="00443033">
            <w:r>
              <w:t>Ongoing</w:t>
            </w:r>
          </w:p>
        </w:tc>
      </w:tr>
      <w:tr w:rsidR="00F47B0F" w:rsidRPr="00443033" w14:paraId="5121D08E" w14:textId="77777777" w:rsidTr="00917307">
        <w:tc>
          <w:tcPr>
            <w:tcW w:w="3403" w:type="dxa"/>
          </w:tcPr>
          <w:p w14:paraId="3B0F853F" w14:textId="7308C6AA" w:rsidR="00443033" w:rsidRPr="00443033" w:rsidRDefault="00443033" w:rsidP="004A12E8">
            <w:pPr>
              <w:pStyle w:val="ListParagraph"/>
              <w:numPr>
                <w:ilvl w:val="0"/>
                <w:numId w:val="1"/>
              </w:numPr>
            </w:pPr>
            <w:r w:rsidRPr="004D51EC">
              <w:t xml:space="preserve">Any DFAT programming in WASH should continue to focus on system </w:t>
            </w:r>
            <w:r w:rsidRPr="004D51EC">
              <w:lastRenderedPageBreak/>
              <w:t>strengthening in the relevant enabling institutions at all levels: national, subnational, community.</w:t>
            </w:r>
          </w:p>
        </w:tc>
        <w:tc>
          <w:tcPr>
            <w:tcW w:w="992" w:type="dxa"/>
          </w:tcPr>
          <w:p w14:paraId="5D7799A0" w14:textId="0D8CE27C" w:rsidR="00443033" w:rsidRPr="00443033" w:rsidRDefault="00443033" w:rsidP="00443033">
            <w:pPr>
              <w:rPr>
                <w:b/>
                <w:bCs/>
              </w:rPr>
            </w:pPr>
            <w:r>
              <w:lastRenderedPageBreak/>
              <w:t xml:space="preserve">Agree </w:t>
            </w:r>
          </w:p>
        </w:tc>
        <w:tc>
          <w:tcPr>
            <w:tcW w:w="4095" w:type="dxa"/>
          </w:tcPr>
          <w:p w14:paraId="504D83DD" w14:textId="72220A84" w:rsidR="00443033" w:rsidRPr="00443033" w:rsidRDefault="00D443B1" w:rsidP="00443033">
            <w:r>
              <w:t xml:space="preserve">In line with best practice, </w:t>
            </w:r>
            <w:r w:rsidR="00B66C60">
              <w:t>DFAT</w:t>
            </w:r>
            <w:r w:rsidR="00AE03AC">
              <w:t xml:space="preserve"> WASH programming</w:t>
            </w:r>
            <w:r w:rsidR="00B66C60" w:rsidRPr="00443033">
              <w:t xml:space="preserve"> </w:t>
            </w:r>
            <w:r w:rsidR="00AE03AC">
              <w:t>strive</w:t>
            </w:r>
            <w:r w:rsidR="00F47B0F">
              <w:t>s</w:t>
            </w:r>
            <w:r w:rsidR="00AE03AC">
              <w:t xml:space="preserve"> to</w:t>
            </w:r>
            <w:r w:rsidR="00AE03AC" w:rsidRPr="00443033">
              <w:t xml:space="preserve"> </w:t>
            </w:r>
            <w:r w:rsidR="00443033" w:rsidRPr="00443033">
              <w:t>address long</w:t>
            </w:r>
            <w:r w:rsidR="005E5973">
              <w:t>-</w:t>
            </w:r>
            <w:r w:rsidR="00443033" w:rsidRPr="00443033">
              <w:t>term sustainability challenges</w:t>
            </w:r>
            <w:r w:rsidR="00B66C60">
              <w:t>,</w:t>
            </w:r>
            <w:r w:rsidR="00443033" w:rsidRPr="00443033">
              <w:t xml:space="preserve"> </w:t>
            </w:r>
            <w:r w:rsidR="00443033" w:rsidRPr="00443033">
              <w:lastRenderedPageBreak/>
              <w:t xml:space="preserve">including via a </w:t>
            </w:r>
            <w:r w:rsidR="0098755E" w:rsidRPr="00443033">
              <w:t>joined-up</w:t>
            </w:r>
            <w:r w:rsidR="00443033" w:rsidRPr="00443033">
              <w:t xml:space="preserve"> approach to systems strengthening at all levels (including at the national, subnational and community levels).</w:t>
            </w:r>
            <w:r w:rsidR="005E5973">
              <w:t xml:space="preserve"> </w:t>
            </w:r>
            <w:r w:rsidR="00AE03AC">
              <w:t>DFAT’s g</w:t>
            </w:r>
            <w:r w:rsidR="005E5973" w:rsidRPr="005E5973">
              <w:t xml:space="preserve">uidance </w:t>
            </w:r>
            <w:r w:rsidR="00324FE6">
              <w:t xml:space="preserve">and lessons </w:t>
            </w:r>
            <w:r w:rsidR="005E5973" w:rsidRPr="005E5973">
              <w:t xml:space="preserve">on </w:t>
            </w:r>
            <w:r w:rsidR="00324FE6">
              <w:t>c</w:t>
            </w:r>
            <w:r w:rsidR="005E5973" w:rsidRPr="005E5973">
              <w:t xml:space="preserve">limate </w:t>
            </w:r>
            <w:r w:rsidR="00324FE6">
              <w:t>r</w:t>
            </w:r>
            <w:r w:rsidR="005E5973" w:rsidRPr="005E5973">
              <w:t xml:space="preserve">esilient </w:t>
            </w:r>
            <w:r w:rsidR="00324FE6">
              <w:t>i</w:t>
            </w:r>
            <w:r w:rsidR="005E5973" w:rsidRPr="005E5973">
              <w:t>nclusive WASH</w:t>
            </w:r>
            <w:r w:rsidR="005E5973">
              <w:t xml:space="preserve"> will note the importance </w:t>
            </w:r>
            <w:r w:rsidR="00F47B0F">
              <w:t xml:space="preserve">of </w:t>
            </w:r>
            <w:r w:rsidR="00CC35F4">
              <w:t xml:space="preserve">system strengthening. </w:t>
            </w:r>
            <w:r>
              <w:t xml:space="preserve">  </w:t>
            </w:r>
          </w:p>
        </w:tc>
        <w:tc>
          <w:tcPr>
            <w:tcW w:w="1292" w:type="dxa"/>
          </w:tcPr>
          <w:p w14:paraId="48C88EF9" w14:textId="089329D1" w:rsidR="00443033" w:rsidRPr="00443033" w:rsidRDefault="00F47B0F" w:rsidP="00443033">
            <w:r>
              <w:lastRenderedPageBreak/>
              <w:t>Ongoing</w:t>
            </w:r>
          </w:p>
        </w:tc>
      </w:tr>
      <w:tr w:rsidR="00F47B0F" w:rsidRPr="00443033" w14:paraId="21298210" w14:textId="77777777" w:rsidTr="00917307">
        <w:tc>
          <w:tcPr>
            <w:tcW w:w="3403" w:type="dxa"/>
          </w:tcPr>
          <w:p w14:paraId="194AB938" w14:textId="5B886DA4" w:rsidR="00443033" w:rsidRPr="00443033" w:rsidRDefault="00443033" w:rsidP="004A12E8">
            <w:pPr>
              <w:pStyle w:val="ListParagraph"/>
              <w:numPr>
                <w:ilvl w:val="0"/>
                <w:numId w:val="1"/>
              </w:numPr>
            </w:pPr>
            <w:r w:rsidRPr="004D51EC">
              <w:t xml:space="preserve">Any DFAT programming in WASH, environmental health, water supply development and community climate resilience should be strongly encouraged to include strategies that address faecal sludge management. </w:t>
            </w:r>
          </w:p>
        </w:tc>
        <w:tc>
          <w:tcPr>
            <w:tcW w:w="992" w:type="dxa"/>
          </w:tcPr>
          <w:p w14:paraId="62B066D1" w14:textId="70D97687" w:rsidR="00443033" w:rsidRPr="00443033" w:rsidRDefault="00443033" w:rsidP="00443033">
            <w:pPr>
              <w:rPr>
                <w:b/>
                <w:bCs/>
              </w:rPr>
            </w:pPr>
            <w:r>
              <w:t>Part</w:t>
            </w:r>
            <w:r w:rsidR="0015179D">
              <w:t>ially</w:t>
            </w:r>
            <w:r>
              <w:t xml:space="preserve"> Agree </w:t>
            </w:r>
          </w:p>
        </w:tc>
        <w:tc>
          <w:tcPr>
            <w:tcW w:w="4095" w:type="dxa"/>
          </w:tcPr>
          <w:p w14:paraId="24655916" w14:textId="76BDA04C" w:rsidR="00443033" w:rsidRPr="00443033" w:rsidRDefault="003A0CF3" w:rsidP="00443033">
            <w:r>
              <w:t xml:space="preserve">DFAT agrees </w:t>
            </w:r>
            <w:r w:rsidR="00AF038C">
              <w:t xml:space="preserve">that effectively addressing faecal sludge management </w:t>
            </w:r>
            <w:r w:rsidR="00C515DC">
              <w:t xml:space="preserve">is critical to good WASH </w:t>
            </w:r>
            <w:r w:rsidR="00C05F4A">
              <w:t>programming</w:t>
            </w:r>
            <w:r w:rsidR="002D76A4">
              <w:t xml:space="preserve"> and</w:t>
            </w:r>
            <w:r w:rsidR="005323CA">
              <w:t xml:space="preserve"> </w:t>
            </w:r>
            <w:r w:rsidR="009F786C" w:rsidRPr="009F786C">
              <w:t xml:space="preserve">DFAT’s guidance </w:t>
            </w:r>
            <w:r w:rsidR="00116688">
              <w:t xml:space="preserve">and lessons </w:t>
            </w:r>
            <w:r w:rsidR="009F786C" w:rsidRPr="009F786C">
              <w:t xml:space="preserve">on </w:t>
            </w:r>
            <w:r w:rsidR="00FE091D">
              <w:t>c</w:t>
            </w:r>
            <w:r w:rsidR="009F786C" w:rsidRPr="009F786C">
              <w:t xml:space="preserve">limate </w:t>
            </w:r>
            <w:r w:rsidR="00FE091D">
              <w:t>r</w:t>
            </w:r>
            <w:r w:rsidR="009F786C" w:rsidRPr="009F786C">
              <w:t xml:space="preserve">esilient </w:t>
            </w:r>
            <w:r w:rsidR="00FE091D">
              <w:t>i</w:t>
            </w:r>
            <w:r w:rsidR="009F786C" w:rsidRPr="009F786C">
              <w:t xml:space="preserve">nclusive WASH will </w:t>
            </w:r>
            <w:r w:rsidR="009F786C">
              <w:t>include advice on</w:t>
            </w:r>
            <w:r w:rsidR="005323CA">
              <w:t xml:space="preserve"> this.</w:t>
            </w:r>
            <w:r w:rsidR="009F786C">
              <w:t xml:space="preserve"> </w:t>
            </w:r>
            <w:r w:rsidR="00766607">
              <w:t>However, t</w:t>
            </w:r>
            <w:r w:rsidR="005C5A49">
              <w:t xml:space="preserve">he merits of </w:t>
            </w:r>
            <w:r w:rsidR="00D72551">
              <w:t xml:space="preserve">addressing </w:t>
            </w:r>
            <w:r w:rsidR="009C1BA2">
              <w:t xml:space="preserve">faecal sludge management </w:t>
            </w:r>
            <w:r w:rsidR="00A449D8">
              <w:t>in environmental, health</w:t>
            </w:r>
            <w:r w:rsidR="00A66F81">
              <w:t xml:space="preserve">, water supply development and community climate resilience programming will be considered </w:t>
            </w:r>
            <w:r w:rsidR="00534144">
              <w:t xml:space="preserve">on a </w:t>
            </w:r>
            <w:proofErr w:type="gramStart"/>
            <w:r w:rsidR="00534144">
              <w:t>case by case</w:t>
            </w:r>
            <w:proofErr w:type="gramEnd"/>
            <w:r w:rsidR="00534144">
              <w:t xml:space="preserve"> basis. </w:t>
            </w:r>
          </w:p>
        </w:tc>
        <w:tc>
          <w:tcPr>
            <w:tcW w:w="1292" w:type="dxa"/>
          </w:tcPr>
          <w:p w14:paraId="4736CF97" w14:textId="29B64FD7" w:rsidR="00055FC0" w:rsidRDefault="00055FC0" w:rsidP="00443033">
            <w:r>
              <w:t>Ongoing</w:t>
            </w:r>
          </w:p>
          <w:p w14:paraId="5F176FD1" w14:textId="0A31EAD9" w:rsidR="00443033" w:rsidRPr="00443033" w:rsidRDefault="00443033" w:rsidP="00443033"/>
        </w:tc>
      </w:tr>
      <w:tr w:rsidR="00F47B0F" w:rsidRPr="00443033" w14:paraId="0CF5C284" w14:textId="77777777" w:rsidTr="00917307">
        <w:tc>
          <w:tcPr>
            <w:tcW w:w="3403" w:type="dxa"/>
          </w:tcPr>
          <w:p w14:paraId="09F70DD9" w14:textId="610AC92E" w:rsidR="00443033" w:rsidRPr="00443033" w:rsidRDefault="00443033" w:rsidP="004A12E8">
            <w:pPr>
              <w:pStyle w:val="ListParagraph"/>
              <w:numPr>
                <w:ilvl w:val="0"/>
                <w:numId w:val="1"/>
              </w:numPr>
            </w:pPr>
            <w:bookmarkStart w:id="0" w:name="_Hlk204096025"/>
            <w:r w:rsidRPr="004D51EC">
              <w:t>Any DFAT programming that challenges gender norms and is serious about not doing harm should be required to support/create GBV referral pathways.</w:t>
            </w:r>
          </w:p>
        </w:tc>
        <w:tc>
          <w:tcPr>
            <w:tcW w:w="992" w:type="dxa"/>
          </w:tcPr>
          <w:p w14:paraId="65DB0623" w14:textId="61A4FDD2" w:rsidR="00443033" w:rsidRPr="00443033" w:rsidRDefault="067A64B5" w:rsidP="00443033">
            <w:pPr>
              <w:rPr>
                <w:b/>
                <w:bCs/>
              </w:rPr>
            </w:pPr>
            <w:r>
              <w:t xml:space="preserve">Partially </w:t>
            </w:r>
            <w:r w:rsidR="05F1C965">
              <w:t>A</w:t>
            </w:r>
            <w:r w:rsidR="00443033">
              <w:t>gree</w:t>
            </w:r>
          </w:p>
        </w:tc>
        <w:tc>
          <w:tcPr>
            <w:tcW w:w="4095" w:type="dxa"/>
          </w:tcPr>
          <w:p w14:paraId="1E87516C" w14:textId="714C51D7" w:rsidR="00443033" w:rsidRPr="00443033" w:rsidRDefault="00D443B1" w:rsidP="00443033">
            <w:hyperlink r:id="rId7">
              <w:r w:rsidRPr="01E4ABAA">
                <w:rPr>
                  <w:rStyle w:val="Hyperlink"/>
                </w:rPr>
                <w:t>Australia’s International Development Policy</w:t>
              </w:r>
            </w:hyperlink>
            <w:r>
              <w:t xml:space="preserve"> prioritizes action on </w:t>
            </w:r>
            <w:hyperlink r:id="rId8">
              <w:r w:rsidR="00373AE1" w:rsidRPr="01E4ABAA">
                <w:rPr>
                  <w:rStyle w:val="Hyperlink"/>
                </w:rPr>
                <w:t>g</w:t>
              </w:r>
              <w:r w:rsidR="00D45ED5" w:rsidRPr="01E4ABAA">
                <w:rPr>
                  <w:rStyle w:val="Hyperlink"/>
                </w:rPr>
                <w:t>ender equality</w:t>
              </w:r>
            </w:hyperlink>
            <w:r w:rsidR="00615FBB">
              <w:t xml:space="preserve">, </w:t>
            </w:r>
            <w:r w:rsidR="009A3EF5">
              <w:t xml:space="preserve">and </w:t>
            </w:r>
            <w:hyperlink r:id="rId9">
              <w:r w:rsidR="009A3EF5" w:rsidRPr="5AAAC482">
                <w:rPr>
                  <w:rStyle w:val="Hyperlink"/>
                </w:rPr>
                <w:t xml:space="preserve">Australia’s International Gender </w:t>
              </w:r>
              <w:r w:rsidR="00240051" w:rsidRPr="5AAAC482">
                <w:rPr>
                  <w:rStyle w:val="Hyperlink"/>
                </w:rPr>
                <w:t>Equality Strategy</w:t>
              </w:r>
            </w:hyperlink>
            <w:r w:rsidR="00240051">
              <w:t xml:space="preserve"> </w:t>
            </w:r>
            <w:r w:rsidR="00456449">
              <w:t>elevates our attention to</w:t>
            </w:r>
            <w:r w:rsidR="00615FBB">
              <w:t xml:space="preserve"> a do no harm approach</w:t>
            </w:r>
            <w:r w:rsidR="00456449">
              <w:t>. This is supported by DFAT’s existing</w:t>
            </w:r>
            <w:r w:rsidR="00F00E08">
              <w:t xml:space="preserve"> require</w:t>
            </w:r>
            <w:r w:rsidR="00456449">
              <w:t xml:space="preserve">ments for </w:t>
            </w:r>
            <w:r w:rsidR="00F00E08">
              <w:t xml:space="preserve">gender </w:t>
            </w:r>
            <w:r w:rsidDel="00F00E08">
              <w:t>analysis</w:t>
            </w:r>
            <w:r w:rsidR="00F00E08">
              <w:t>, including</w:t>
            </w:r>
            <w:r w:rsidR="0092796E">
              <w:t>,</w:t>
            </w:r>
            <w:r w:rsidR="00F00E08">
              <w:t xml:space="preserve"> </w:t>
            </w:r>
            <w:r w:rsidR="00DA0646">
              <w:t>where relevant</w:t>
            </w:r>
            <w:r w:rsidR="0092796E">
              <w:t>,</w:t>
            </w:r>
            <w:r w:rsidR="00DA0646">
              <w:t xml:space="preserve"> </w:t>
            </w:r>
            <w:r w:rsidR="00E71A5A">
              <w:t>gender-based</w:t>
            </w:r>
            <w:r w:rsidR="00F00E08">
              <w:t xml:space="preserve"> violence, </w:t>
            </w:r>
            <w:r w:rsidR="0092796E">
              <w:t xml:space="preserve">to </w:t>
            </w:r>
            <w:r w:rsidR="00AF0E0E">
              <w:t xml:space="preserve">inform </w:t>
            </w:r>
            <w:r w:rsidR="0092796E">
              <w:t xml:space="preserve">programs </w:t>
            </w:r>
            <w:r w:rsidR="00D47435">
              <w:t xml:space="preserve">of </w:t>
            </w:r>
            <w:r w:rsidR="0092796E">
              <w:t>$3 million and above.</w:t>
            </w:r>
            <w:r w:rsidR="00F00E08">
              <w:t xml:space="preserve"> DFAT will continue to </w:t>
            </w:r>
            <w:r w:rsidR="00E71A5A">
              <w:t>incorporate</w:t>
            </w:r>
            <w:r w:rsidR="00F00E08">
              <w:t xml:space="preserve"> GEDSI</w:t>
            </w:r>
            <w:r w:rsidR="00E71A5A">
              <w:t xml:space="preserve"> considerations </w:t>
            </w:r>
            <w:r>
              <w:t>in</w:t>
            </w:r>
            <w:r w:rsidR="0092796E">
              <w:t>to</w:t>
            </w:r>
            <w:r w:rsidR="00E71A5A">
              <w:t xml:space="preserve"> </w:t>
            </w:r>
            <w:r w:rsidR="0092796E">
              <w:t xml:space="preserve">(climate resilient inclusive) </w:t>
            </w:r>
            <w:r w:rsidR="00E71A5A">
              <w:t>WASH programs which challenge gender norms</w:t>
            </w:r>
            <w:r w:rsidR="00615FBB">
              <w:t>.</w:t>
            </w:r>
            <w:r w:rsidR="000334F9">
              <w:t xml:space="preserve"> </w:t>
            </w:r>
            <w:r w:rsidR="63E79E11">
              <w:t xml:space="preserve">While DFAT strongly encourages and facilitates consideration of </w:t>
            </w:r>
            <w:r w:rsidR="00914C81">
              <w:t>GBV referral pathways</w:t>
            </w:r>
            <w:r w:rsidR="63E79E11">
              <w:t xml:space="preserve"> in all programming, we are noting ‘partial agreement’ as the exact scope of investments is determined based on local context, including the work of other partners and stakeholder needs’</w:t>
            </w:r>
            <w:r w:rsidR="00914C81">
              <w:t xml:space="preserve"> </w:t>
            </w:r>
            <w:r w:rsidR="000334F9">
              <w:t>DFAT notes th</w:t>
            </w:r>
            <w:r w:rsidR="003F594C">
              <w:t>e</w:t>
            </w:r>
            <w:r w:rsidR="00884B37">
              <w:t xml:space="preserve"> recommendation</w:t>
            </w:r>
            <w:r w:rsidR="003F594C">
              <w:t xml:space="preserve">’s reference to </w:t>
            </w:r>
            <w:r w:rsidR="00A86930">
              <w:t>‘</w:t>
            </w:r>
            <w:r w:rsidR="000334F9">
              <w:t xml:space="preserve">any </w:t>
            </w:r>
            <w:r w:rsidR="00B14DB9">
              <w:t>DFAT programming</w:t>
            </w:r>
            <w:r w:rsidR="00884B37">
              <w:t>’</w:t>
            </w:r>
            <w:r w:rsidR="003F594C">
              <w:t xml:space="preserve"> is outside the specific scope </w:t>
            </w:r>
            <w:r w:rsidR="00F6601B">
              <w:t xml:space="preserve">(climate resilient inclusive WASH) </w:t>
            </w:r>
            <w:r w:rsidR="003F594C">
              <w:t xml:space="preserve">of the evaluation. </w:t>
            </w:r>
          </w:p>
        </w:tc>
        <w:tc>
          <w:tcPr>
            <w:tcW w:w="1292" w:type="dxa"/>
          </w:tcPr>
          <w:p w14:paraId="3DBBB378" w14:textId="2241A46A" w:rsidR="00F00E08" w:rsidRDefault="00F00E08" w:rsidP="00443033">
            <w:r>
              <w:t>Ongoing</w:t>
            </w:r>
          </w:p>
          <w:p w14:paraId="484B5481" w14:textId="42E5AF2F" w:rsidR="00443033" w:rsidRPr="00443033" w:rsidRDefault="00443033" w:rsidP="00443033"/>
        </w:tc>
      </w:tr>
      <w:bookmarkEnd w:id="0"/>
      <w:tr w:rsidR="00F47B0F" w:rsidRPr="00443033" w14:paraId="22AFBB0E" w14:textId="77777777" w:rsidTr="00917307">
        <w:tc>
          <w:tcPr>
            <w:tcW w:w="3403" w:type="dxa"/>
          </w:tcPr>
          <w:p w14:paraId="4B33F9C6" w14:textId="3DE6DAA7" w:rsidR="00443033" w:rsidRPr="00443033" w:rsidRDefault="00443033" w:rsidP="004A12E8">
            <w:pPr>
              <w:pStyle w:val="ListParagraph"/>
              <w:numPr>
                <w:ilvl w:val="0"/>
                <w:numId w:val="1"/>
              </w:numPr>
            </w:pPr>
            <w:r w:rsidRPr="004D51EC">
              <w:t xml:space="preserve">DFAT investments should be encouraged to resource collaboration with rights-holder organisations in support of the development policy commitment to </w:t>
            </w:r>
            <w:r w:rsidRPr="004D51EC">
              <w:lastRenderedPageBreak/>
              <w:t>improving GEDSI and locally led development.</w:t>
            </w:r>
          </w:p>
        </w:tc>
        <w:tc>
          <w:tcPr>
            <w:tcW w:w="992" w:type="dxa"/>
          </w:tcPr>
          <w:p w14:paraId="24020722" w14:textId="307416BF" w:rsidR="00443033" w:rsidRPr="00443033" w:rsidRDefault="00443033" w:rsidP="00443033">
            <w:pPr>
              <w:rPr>
                <w:b/>
                <w:bCs/>
              </w:rPr>
            </w:pPr>
            <w:r>
              <w:lastRenderedPageBreak/>
              <w:t>Agree</w:t>
            </w:r>
          </w:p>
        </w:tc>
        <w:tc>
          <w:tcPr>
            <w:tcW w:w="4095" w:type="dxa"/>
          </w:tcPr>
          <w:p w14:paraId="7CD873E5" w14:textId="215D1797" w:rsidR="00443033" w:rsidRPr="00443033" w:rsidRDefault="00D443B1" w:rsidP="00443033">
            <w:r>
              <w:t xml:space="preserve">In line with its commitment to </w:t>
            </w:r>
            <w:hyperlink r:id="rId10" w:history="1">
              <w:r w:rsidRPr="00FB5BC1">
                <w:rPr>
                  <w:rStyle w:val="Hyperlink"/>
                </w:rPr>
                <w:t>locally-led development</w:t>
              </w:r>
            </w:hyperlink>
            <w:r>
              <w:t xml:space="preserve"> and GEDSI, </w:t>
            </w:r>
            <w:r w:rsidR="00443033" w:rsidRPr="00443033">
              <w:t>DFAT</w:t>
            </w:r>
            <w:r w:rsidR="001E15E0">
              <w:t xml:space="preserve"> will</w:t>
            </w:r>
            <w:r w:rsidR="00443033" w:rsidRPr="00443033">
              <w:t xml:space="preserve"> </w:t>
            </w:r>
            <w:r w:rsidR="00533262">
              <w:t xml:space="preserve">continue to </w:t>
            </w:r>
            <w:r w:rsidR="00443033" w:rsidRPr="00443033">
              <w:t xml:space="preserve">explore the resourcing of collaboration with rights holder organisations </w:t>
            </w:r>
            <w:r>
              <w:t xml:space="preserve">as part of </w:t>
            </w:r>
            <w:r w:rsidR="001F0232">
              <w:t>WASH programming</w:t>
            </w:r>
            <w:r w:rsidR="00443033" w:rsidRPr="00443033">
              <w:t>.</w:t>
            </w:r>
            <w:r w:rsidR="00DA0646">
              <w:t xml:space="preserve"> </w:t>
            </w:r>
            <w:r w:rsidR="00CA6B70">
              <w:t xml:space="preserve">For example, The CRC </w:t>
            </w:r>
            <w:r w:rsidR="00CA6B70">
              <w:lastRenderedPageBreak/>
              <w:t xml:space="preserve">facility – which will support climate-resilient WASH programming – has its own locally-led development strategy. </w:t>
            </w:r>
            <w:r w:rsidR="00DA0646">
              <w:t xml:space="preserve">DFAT’s </w:t>
            </w:r>
            <w:hyperlink r:id="rId11" w:history="1">
              <w:r w:rsidR="00373AE1" w:rsidRPr="00373AE1">
                <w:rPr>
                  <w:rStyle w:val="Hyperlink"/>
                  <w:i/>
                  <w:iCs/>
                </w:rPr>
                <w:t>International G</w:t>
              </w:r>
              <w:r w:rsidR="00DA0646" w:rsidRPr="00373AE1">
                <w:rPr>
                  <w:rStyle w:val="Hyperlink"/>
                  <w:i/>
                  <w:iCs/>
                </w:rPr>
                <w:t xml:space="preserve">ender </w:t>
              </w:r>
              <w:r w:rsidR="00373AE1" w:rsidRPr="00373AE1">
                <w:rPr>
                  <w:rStyle w:val="Hyperlink"/>
                  <w:i/>
                  <w:iCs/>
                </w:rPr>
                <w:t>E</w:t>
              </w:r>
              <w:r w:rsidR="00DA0646" w:rsidRPr="00373AE1">
                <w:rPr>
                  <w:rStyle w:val="Hyperlink"/>
                  <w:i/>
                  <w:iCs/>
                </w:rPr>
                <w:t xml:space="preserve">quality </w:t>
              </w:r>
              <w:r w:rsidR="00373AE1" w:rsidRPr="00373AE1">
                <w:rPr>
                  <w:rStyle w:val="Hyperlink"/>
                  <w:i/>
                  <w:iCs/>
                </w:rPr>
                <w:t>S</w:t>
              </w:r>
              <w:r w:rsidR="00DA0646" w:rsidRPr="00373AE1">
                <w:rPr>
                  <w:rStyle w:val="Hyperlink"/>
                  <w:i/>
                  <w:iCs/>
                </w:rPr>
                <w:t>trategy</w:t>
              </w:r>
            </w:hyperlink>
            <w:r w:rsidR="00DA0646">
              <w:t xml:space="preserve"> commits DFAT to </w:t>
            </w:r>
            <w:r w:rsidR="00DA0646" w:rsidRPr="00DA0646">
              <w:t>increase support for women’s rights organisations and institutions</w:t>
            </w:r>
            <w:r w:rsidR="00DA0646">
              <w:t xml:space="preserve">. </w:t>
            </w:r>
          </w:p>
        </w:tc>
        <w:tc>
          <w:tcPr>
            <w:tcW w:w="1292" w:type="dxa"/>
          </w:tcPr>
          <w:p w14:paraId="16E32283" w14:textId="701490D3" w:rsidR="00443033" w:rsidRPr="00443033" w:rsidRDefault="00D443B1" w:rsidP="00443033">
            <w:r>
              <w:lastRenderedPageBreak/>
              <w:t>Ongoing</w:t>
            </w:r>
          </w:p>
        </w:tc>
      </w:tr>
    </w:tbl>
    <w:p w14:paraId="477C285B" w14:textId="77777777" w:rsidR="00223FC1" w:rsidRDefault="00223FC1"/>
    <w:sectPr w:rsidR="00223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4848" w14:textId="77777777" w:rsidR="008C04EF" w:rsidRDefault="008C04EF" w:rsidP="00443033">
      <w:pPr>
        <w:spacing w:after="0" w:line="240" w:lineRule="auto"/>
      </w:pPr>
      <w:r>
        <w:separator/>
      </w:r>
    </w:p>
  </w:endnote>
  <w:endnote w:type="continuationSeparator" w:id="0">
    <w:p w14:paraId="2DA01C43" w14:textId="77777777" w:rsidR="008C04EF" w:rsidRDefault="008C04EF" w:rsidP="0044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2155" w14:textId="77777777" w:rsidR="008C04EF" w:rsidRDefault="008C04EF" w:rsidP="00443033">
      <w:pPr>
        <w:spacing w:after="0" w:line="240" w:lineRule="auto"/>
      </w:pPr>
      <w:r>
        <w:separator/>
      </w:r>
    </w:p>
  </w:footnote>
  <w:footnote w:type="continuationSeparator" w:id="0">
    <w:p w14:paraId="2C7C95ED" w14:textId="77777777" w:rsidR="008C04EF" w:rsidRDefault="008C04EF" w:rsidP="00443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E2DCA"/>
    <w:multiLevelType w:val="hybridMultilevel"/>
    <w:tmpl w:val="796EFF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28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33"/>
    <w:rsid w:val="00021C51"/>
    <w:rsid w:val="000235A2"/>
    <w:rsid w:val="000334F9"/>
    <w:rsid w:val="000369E2"/>
    <w:rsid w:val="00052A79"/>
    <w:rsid w:val="00055FC0"/>
    <w:rsid w:val="00075473"/>
    <w:rsid w:val="00091077"/>
    <w:rsid w:val="0009589C"/>
    <w:rsid w:val="000A311C"/>
    <w:rsid w:val="000B29EA"/>
    <w:rsid w:val="000B426A"/>
    <w:rsid w:val="000C658B"/>
    <w:rsid w:val="000C7261"/>
    <w:rsid w:val="000F31AF"/>
    <w:rsid w:val="00116688"/>
    <w:rsid w:val="001301EC"/>
    <w:rsid w:val="0013084A"/>
    <w:rsid w:val="00137225"/>
    <w:rsid w:val="001375BF"/>
    <w:rsid w:val="00145C20"/>
    <w:rsid w:val="0015179D"/>
    <w:rsid w:val="00162752"/>
    <w:rsid w:val="001630FD"/>
    <w:rsid w:val="00175D48"/>
    <w:rsid w:val="001819C3"/>
    <w:rsid w:val="00196A1E"/>
    <w:rsid w:val="001A30F5"/>
    <w:rsid w:val="001A7473"/>
    <w:rsid w:val="001E15E0"/>
    <w:rsid w:val="001F0232"/>
    <w:rsid w:val="001F0A3C"/>
    <w:rsid w:val="00223D74"/>
    <w:rsid w:val="00223F14"/>
    <w:rsid w:val="00223FC1"/>
    <w:rsid w:val="00234E76"/>
    <w:rsid w:val="00240051"/>
    <w:rsid w:val="0024411D"/>
    <w:rsid w:val="0024446A"/>
    <w:rsid w:val="002633A8"/>
    <w:rsid w:val="00293995"/>
    <w:rsid w:val="002C69A3"/>
    <w:rsid w:val="002C7870"/>
    <w:rsid w:val="002D2F48"/>
    <w:rsid w:val="002D76A4"/>
    <w:rsid w:val="003020E1"/>
    <w:rsid w:val="00321DF5"/>
    <w:rsid w:val="003238FC"/>
    <w:rsid w:val="00324E31"/>
    <w:rsid w:val="00324FE6"/>
    <w:rsid w:val="00325EBE"/>
    <w:rsid w:val="00327A8A"/>
    <w:rsid w:val="00333B28"/>
    <w:rsid w:val="003413B5"/>
    <w:rsid w:val="00341CF5"/>
    <w:rsid w:val="00346268"/>
    <w:rsid w:val="00373AE1"/>
    <w:rsid w:val="0039091B"/>
    <w:rsid w:val="003A0CF3"/>
    <w:rsid w:val="003A13EE"/>
    <w:rsid w:val="003F594C"/>
    <w:rsid w:val="004046F7"/>
    <w:rsid w:val="004149C5"/>
    <w:rsid w:val="00437310"/>
    <w:rsid w:val="00443033"/>
    <w:rsid w:val="00445365"/>
    <w:rsid w:val="00456449"/>
    <w:rsid w:val="00457EE8"/>
    <w:rsid w:val="00484456"/>
    <w:rsid w:val="004A12E8"/>
    <w:rsid w:val="004A2299"/>
    <w:rsid w:val="004B6F27"/>
    <w:rsid w:val="005260BD"/>
    <w:rsid w:val="005323CA"/>
    <w:rsid w:val="00533262"/>
    <w:rsid w:val="00534144"/>
    <w:rsid w:val="005347C1"/>
    <w:rsid w:val="005742A5"/>
    <w:rsid w:val="0058362E"/>
    <w:rsid w:val="005930DA"/>
    <w:rsid w:val="00597952"/>
    <w:rsid w:val="005A5536"/>
    <w:rsid w:val="005B3ED7"/>
    <w:rsid w:val="005C5A49"/>
    <w:rsid w:val="005E256F"/>
    <w:rsid w:val="005E5973"/>
    <w:rsid w:val="00615FBB"/>
    <w:rsid w:val="0067412B"/>
    <w:rsid w:val="006D0C09"/>
    <w:rsid w:val="006D64A1"/>
    <w:rsid w:val="006E123D"/>
    <w:rsid w:val="006E4D5A"/>
    <w:rsid w:val="00723CB4"/>
    <w:rsid w:val="00730B3D"/>
    <w:rsid w:val="00742ED9"/>
    <w:rsid w:val="00746FBC"/>
    <w:rsid w:val="00766607"/>
    <w:rsid w:val="00773A5D"/>
    <w:rsid w:val="007966D0"/>
    <w:rsid w:val="007C438B"/>
    <w:rsid w:val="007D56D3"/>
    <w:rsid w:val="007F4AC2"/>
    <w:rsid w:val="007F6636"/>
    <w:rsid w:val="008346E6"/>
    <w:rsid w:val="00870D7F"/>
    <w:rsid w:val="00884B37"/>
    <w:rsid w:val="008A4475"/>
    <w:rsid w:val="008B2D9D"/>
    <w:rsid w:val="008C04EF"/>
    <w:rsid w:val="008D65C2"/>
    <w:rsid w:val="008D6E1C"/>
    <w:rsid w:val="008E1C87"/>
    <w:rsid w:val="00914C81"/>
    <w:rsid w:val="00917307"/>
    <w:rsid w:val="0092796E"/>
    <w:rsid w:val="009360AC"/>
    <w:rsid w:val="00961EC5"/>
    <w:rsid w:val="00972FC9"/>
    <w:rsid w:val="0098755E"/>
    <w:rsid w:val="009A003F"/>
    <w:rsid w:val="009A3EF5"/>
    <w:rsid w:val="009B1434"/>
    <w:rsid w:val="009B2066"/>
    <w:rsid w:val="009B5AD9"/>
    <w:rsid w:val="009C1BA2"/>
    <w:rsid w:val="009C5459"/>
    <w:rsid w:val="009D5089"/>
    <w:rsid w:val="009E231F"/>
    <w:rsid w:val="009E5C64"/>
    <w:rsid w:val="009F786C"/>
    <w:rsid w:val="00A268C5"/>
    <w:rsid w:val="00A37663"/>
    <w:rsid w:val="00A449D8"/>
    <w:rsid w:val="00A54E80"/>
    <w:rsid w:val="00A66F81"/>
    <w:rsid w:val="00A73158"/>
    <w:rsid w:val="00A86930"/>
    <w:rsid w:val="00AA1F57"/>
    <w:rsid w:val="00AB06C7"/>
    <w:rsid w:val="00AC2AE2"/>
    <w:rsid w:val="00AD65FD"/>
    <w:rsid w:val="00AE03AC"/>
    <w:rsid w:val="00AF038C"/>
    <w:rsid w:val="00AF0E0E"/>
    <w:rsid w:val="00B02E3D"/>
    <w:rsid w:val="00B104C8"/>
    <w:rsid w:val="00B117BE"/>
    <w:rsid w:val="00B14DB9"/>
    <w:rsid w:val="00B16FC2"/>
    <w:rsid w:val="00B30B5C"/>
    <w:rsid w:val="00B57019"/>
    <w:rsid w:val="00B60B8F"/>
    <w:rsid w:val="00B62BE2"/>
    <w:rsid w:val="00B66C60"/>
    <w:rsid w:val="00B67578"/>
    <w:rsid w:val="00B854C9"/>
    <w:rsid w:val="00B87824"/>
    <w:rsid w:val="00BA52B3"/>
    <w:rsid w:val="00BB4595"/>
    <w:rsid w:val="00BD100C"/>
    <w:rsid w:val="00BF002A"/>
    <w:rsid w:val="00BF00ED"/>
    <w:rsid w:val="00C05F4A"/>
    <w:rsid w:val="00C1548A"/>
    <w:rsid w:val="00C208CF"/>
    <w:rsid w:val="00C20D89"/>
    <w:rsid w:val="00C3273A"/>
    <w:rsid w:val="00C40D35"/>
    <w:rsid w:val="00C515DC"/>
    <w:rsid w:val="00C5666D"/>
    <w:rsid w:val="00C64C58"/>
    <w:rsid w:val="00CA6B70"/>
    <w:rsid w:val="00CC35F4"/>
    <w:rsid w:val="00D1219E"/>
    <w:rsid w:val="00D14530"/>
    <w:rsid w:val="00D25651"/>
    <w:rsid w:val="00D278A5"/>
    <w:rsid w:val="00D443B1"/>
    <w:rsid w:val="00D45BF7"/>
    <w:rsid w:val="00D45ED5"/>
    <w:rsid w:val="00D47254"/>
    <w:rsid w:val="00D47435"/>
    <w:rsid w:val="00D65EEB"/>
    <w:rsid w:val="00D72551"/>
    <w:rsid w:val="00D81B68"/>
    <w:rsid w:val="00D9216D"/>
    <w:rsid w:val="00D95676"/>
    <w:rsid w:val="00DA0646"/>
    <w:rsid w:val="00DC00C8"/>
    <w:rsid w:val="00E02291"/>
    <w:rsid w:val="00E11D63"/>
    <w:rsid w:val="00E166EE"/>
    <w:rsid w:val="00E35CF2"/>
    <w:rsid w:val="00E413B3"/>
    <w:rsid w:val="00E41AE2"/>
    <w:rsid w:val="00E626B3"/>
    <w:rsid w:val="00E71A5A"/>
    <w:rsid w:val="00E76565"/>
    <w:rsid w:val="00E77D76"/>
    <w:rsid w:val="00E9719E"/>
    <w:rsid w:val="00E97B8A"/>
    <w:rsid w:val="00ED0C92"/>
    <w:rsid w:val="00ED32F2"/>
    <w:rsid w:val="00EE780D"/>
    <w:rsid w:val="00EF5B7C"/>
    <w:rsid w:val="00F00E08"/>
    <w:rsid w:val="00F2152A"/>
    <w:rsid w:val="00F347D6"/>
    <w:rsid w:val="00F4422E"/>
    <w:rsid w:val="00F47303"/>
    <w:rsid w:val="00F47B0F"/>
    <w:rsid w:val="00F5287A"/>
    <w:rsid w:val="00F56883"/>
    <w:rsid w:val="00F6601B"/>
    <w:rsid w:val="00F92689"/>
    <w:rsid w:val="00F96EDC"/>
    <w:rsid w:val="00FB5BC1"/>
    <w:rsid w:val="00FC6128"/>
    <w:rsid w:val="00FD1250"/>
    <w:rsid w:val="00FE091D"/>
    <w:rsid w:val="00FF733A"/>
    <w:rsid w:val="01E4ABAA"/>
    <w:rsid w:val="05B2D115"/>
    <w:rsid w:val="05F1C965"/>
    <w:rsid w:val="067A64B5"/>
    <w:rsid w:val="10FE1E0B"/>
    <w:rsid w:val="22171E52"/>
    <w:rsid w:val="2FA8DEFD"/>
    <w:rsid w:val="34F27186"/>
    <w:rsid w:val="48E960C9"/>
    <w:rsid w:val="4E0F7F90"/>
    <w:rsid w:val="572CC6DE"/>
    <w:rsid w:val="5AAAC482"/>
    <w:rsid w:val="63A1E3B5"/>
    <w:rsid w:val="63E79E11"/>
    <w:rsid w:val="7836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7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3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0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6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6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47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96E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F2152A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68"/>
  </w:style>
  <w:style w:type="paragraph" w:styleId="Footer">
    <w:name w:val="footer"/>
    <w:basedOn w:val="Normal"/>
    <w:link w:val="FooterChar"/>
    <w:uiPriority w:val="99"/>
    <w:unhideWhenUsed/>
    <w:rsid w:val="0034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ublications/development/australias-international-gender-equality-strate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fat.gov.au/publications/development/australias-international-development-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fat.gov.au/international-relations/themes/gender-equality/new-international-gender-equality-strateg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fat.gov.au/about-us/business-opportunities/business-notifications/dfat-guidance-note-locally-led-develop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fat.gov.au/publications/development/australias-international-gender-equality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067652-e594-4683-81e3-2cbf4d08314b}" enabled="1" method="Standard" siteId="{dd4b51f9-ee38-4f0d-87d3-0fcc190484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4633</Characters>
  <Application>Microsoft Office Word</Application>
  <DocSecurity>0</DocSecurity>
  <Lines>185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Water for Women, Phase 2 - Independent Final Evaluation</dc:title>
  <dc:subject/>
  <dc:creator/>
  <cp:keywords>[SEC=OFFICIAL]</cp:keywords>
  <dc:description/>
  <cp:lastModifiedBy/>
  <cp:revision>1</cp:revision>
  <dcterms:created xsi:type="dcterms:W3CDTF">2025-09-19T00:45:00Z</dcterms:created>
  <dcterms:modified xsi:type="dcterms:W3CDTF">2025-09-19T00:49:00Z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v=2022.1;a=SHA256;h=3C8ACEA3A24ED3EDCFA94FA06468514991D362BC0A68C47AF336A51AC5B9174A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2025-07-04T05:01:58Z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E860236730664B99B86DDB501375D710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75D42929A53429C69CBD9F3F1D4EB7B2</vt:lpwstr>
  </property>
  <property fmtid="{D5CDD505-2E9C-101B-9397-08002B2CF9AE}" pid="24" name="PM_Hash_Salt">
    <vt:lpwstr>A657632562D614345F50CA74A577219E</vt:lpwstr>
  </property>
  <property fmtid="{D5CDD505-2E9C-101B-9397-08002B2CF9AE}" pid="25" name="PM_Hash_SHA1">
    <vt:lpwstr>1788F022C04EFA074AF7453354D56D4DAB5AAB24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