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36E80" w14:textId="3DA7835B" w:rsidR="000937DF" w:rsidRDefault="000937DF" w:rsidP="000937DF">
      <w:pPr>
        <w:pStyle w:val="Title"/>
        <w:spacing w:before="9360" w:after="240" w:line="240" w:lineRule="atLeast"/>
        <w:rPr>
          <w:lang w:val="en-AU"/>
        </w:rPr>
      </w:pPr>
      <w:r w:rsidRPr="00C97A19">
        <w:rPr>
          <w:noProof/>
          <w:sz w:val="18"/>
          <w:szCs w:val="18"/>
          <w:lang w:val="en-AU"/>
        </w:rPr>
        <w:drawing>
          <wp:anchor distT="0" distB="0" distL="114300" distR="114300" simplePos="0" relativeHeight="251658242" behindDoc="1" locked="0" layoutInCell="1" allowOverlap="1" wp14:anchorId="7C55DE42" wp14:editId="324EBE7B">
            <wp:simplePos x="0" y="0"/>
            <wp:positionH relativeFrom="column">
              <wp:posOffset>-1737360</wp:posOffset>
            </wp:positionH>
            <wp:positionV relativeFrom="paragraph">
              <wp:posOffset>-1287145</wp:posOffset>
            </wp:positionV>
            <wp:extent cx="8578215" cy="8578215"/>
            <wp:effectExtent l="0" t="0" r="0" b="0"/>
            <wp:wrapNone/>
            <wp:docPr id="994799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9274"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215" cy="8578215"/>
                    </a:xfrm>
                    <a:prstGeom prst="rect">
                      <a:avLst/>
                    </a:prstGeom>
                  </pic:spPr>
                </pic:pic>
              </a:graphicData>
            </a:graphic>
            <wp14:sizeRelH relativeFrom="margin">
              <wp14:pctWidth>0</wp14:pctWidth>
            </wp14:sizeRelH>
            <wp14:sizeRelV relativeFrom="margin">
              <wp14:pctHeight>0</wp14:pctHeight>
            </wp14:sizeRelV>
          </wp:anchor>
        </w:drawing>
      </w:r>
      <w:r w:rsidRPr="000937DF">
        <w:rPr>
          <w:lang w:val="en-AU"/>
        </w:rPr>
        <w:t>Mid-Term Review: Viet Nam Private Sector Development Partnership (VPSDP)</w:t>
      </w:r>
    </w:p>
    <w:p w14:paraId="00F162F7" w14:textId="77777777" w:rsidR="000937DF" w:rsidRDefault="000937DF" w:rsidP="000937DF">
      <w:pPr>
        <w:spacing w:before="360" w:line="240" w:lineRule="atLeast"/>
        <w:rPr>
          <w:b/>
          <w:bCs/>
          <w:sz w:val="44"/>
          <w:szCs w:val="44"/>
          <w:lang w:val="en-AU"/>
        </w:rPr>
      </w:pPr>
      <w:r w:rsidRPr="000937DF">
        <w:rPr>
          <w:b/>
          <w:bCs/>
          <w:sz w:val="44"/>
          <w:szCs w:val="44"/>
          <w:lang w:val="en-AU"/>
        </w:rPr>
        <w:t>Submitted to the International Finance Corporation (IFC) and Department of Foreign Affairs and Trade (DFAT)</w:t>
      </w:r>
    </w:p>
    <w:p w14:paraId="52697C5C" w14:textId="77777777" w:rsidR="000937DF" w:rsidRDefault="000937DF" w:rsidP="000937DF">
      <w:pPr>
        <w:rPr>
          <w:b/>
          <w:bCs/>
          <w:sz w:val="44"/>
          <w:szCs w:val="44"/>
          <w:lang w:val="en-AU"/>
        </w:rPr>
      </w:pPr>
      <w:r w:rsidRPr="000937DF">
        <w:rPr>
          <w:b/>
          <w:bCs/>
          <w:sz w:val="44"/>
          <w:szCs w:val="44"/>
          <w:lang w:val="en-AU"/>
        </w:rPr>
        <w:t>April 2026</w:t>
      </w:r>
    </w:p>
    <w:p w14:paraId="14521EB3" w14:textId="0E2F94BB" w:rsidR="008A10FA" w:rsidRPr="00C97A19" w:rsidRDefault="00596B15" w:rsidP="000937DF">
      <w:pPr>
        <w:rPr>
          <w:rFonts w:ascii="Calibri" w:hAnsi="Calibri" w:cs="Calibri"/>
          <w:b/>
          <w:bCs/>
          <w:lang w:val="en-AU"/>
        </w:rPr>
      </w:pPr>
      <w:r w:rsidRPr="000937DF">
        <w:rPr>
          <w:b/>
          <w:bCs/>
          <w:noProof/>
          <w:sz w:val="44"/>
          <w:szCs w:val="44"/>
          <w:lang w:val="en-AU"/>
        </w:rPr>
        <w:lastRenderedPageBreak/>
        <mc:AlternateContent>
          <mc:Choice Requires="wps">
            <w:drawing>
              <wp:anchor distT="0" distB="0" distL="114300" distR="114300" simplePos="0" relativeHeight="251658241" behindDoc="0" locked="1" layoutInCell="1" allowOverlap="1" wp14:anchorId="305F154D" wp14:editId="38679538">
                <wp:simplePos x="0" y="0"/>
                <wp:positionH relativeFrom="margin">
                  <wp:posOffset>-1043940</wp:posOffset>
                </wp:positionH>
                <wp:positionV relativeFrom="page">
                  <wp:posOffset>10507980</wp:posOffset>
                </wp:positionV>
                <wp:extent cx="7804785" cy="207645"/>
                <wp:effectExtent l="0" t="0" r="5715" b="1905"/>
                <wp:wrapNone/>
                <wp:docPr id="11" name="Rectangle 11"/>
                <wp:cNvGraphicFramePr/>
                <a:graphic xmlns:a="http://schemas.openxmlformats.org/drawingml/2006/main">
                  <a:graphicData uri="http://schemas.microsoft.com/office/word/2010/wordprocessingShape">
                    <wps:wsp>
                      <wps:cNvSpPr/>
                      <wps:spPr>
                        <a:xfrm>
                          <a:off x="0" y="0"/>
                          <a:ext cx="7804785" cy="207645"/>
                        </a:xfrm>
                        <a:prstGeom prst="rect">
                          <a:avLst/>
                        </a:prstGeom>
                        <a:solidFill>
                          <a:srgbClr val="F169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9FCEE" w14:textId="02340F5A" w:rsidR="00596B15" w:rsidRPr="00C32086" w:rsidRDefault="00596B15" w:rsidP="00596B15">
                            <w:pPr>
                              <w:pStyle w:val="Subtitle"/>
                              <w:rPr>
                                <w:rFonts w:ascii="Calibri" w:hAnsi="Calibri" w:cs="Calibri"/>
                                <w:caps/>
                                <w:color w:val="FFFFFF" w:themeColor="background1"/>
                              </w:rPr>
                            </w:pPr>
                          </w:p>
                        </w:txbxContent>
                      </wps:txbx>
                      <wps:bodyPr rot="0" spcFirstLastPara="0" vertOverflow="overflow" horzOverflow="overflow" vert="horz" wrap="square" lIns="685800" tIns="0" rIns="6858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154D" id="Rectangle 11" o:spid="_x0000_s1026" style="position:absolute;margin-left:-82.2pt;margin-top:827.4pt;width:614.55pt;height:16.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" fillcolor="#f16969" stroked="f" strokeweight="1pt">
                <v:textbox inset="54pt,0,54pt,5mm">
                  <w:txbxContent>
                    <w:p w14:paraId="64E9FCEE" w14:textId="02340F5A" w:rsidR="00596B15" w:rsidRPr="00C32086" w:rsidRDefault="00596B15" w:rsidP="00596B15">
                      <w:pPr>
                        <w:pStyle w:val="Subtitle"/>
                        <w:rPr>
                          <w:rFonts w:ascii="Calibri" w:hAnsi="Calibri" w:cs="Calibri"/>
                          <w:caps/>
                          <w:color w:val="FFFFFF" w:themeColor="background1"/>
                        </w:rPr>
                      </w:pPr>
                    </w:p>
                  </w:txbxContent>
                </v:textbox>
                <w10:wrap anchorx="margin" anchory="page"/>
                <w10:anchorlock/>
              </v:rect>
            </w:pict>
          </mc:Fallback>
        </mc:AlternateContent>
      </w:r>
      <w:bookmarkStart w:id="0" w:name="_Toc189479904"/>
      <w:r w:rsidR="008A10FA" w:rsidRPr="00C97A19">
        <w:rPr>
          <w:rFonts w:ascii="Calibri" w:hAnsi="Calibri" w:cs="Calibri"/>
          <w:b/>
          <w:bCs/>
          <w:color w:val="156082" w:themeColor="accent1"/>
          <w:lang w:val="en-AU"/>
        </w:rPr>
        <w:t xml:space="preserve">Document </w:t>
      </w:r>
      <w:r w:rsidR="006B0828" w:rsidRPr="00C97A19">
        <w:rPr>
          <w:rFonts w:ascii="Calibri" w:hAnsi="Calibri" w:cs="Calibri"/>
          <w:b/>
          <w:bCs/>
          <w:color w:val="156082" w:themeColor="accent1"/>
          <w:lang w:val="en-AU"/>
        </w:rPr>
        <w:t>I</w:t>
      </w:r>
      <w:r w:rsidR="008A10FA" w:rsidRPr="00C97A19">
        <w:rPr>
          <w:rFonts w:ascii="Calibri" w:hAnsi="Calibri" w:cs="Calibri"/>
          <w:b/>
          <w:bCs/>
          <w:color w:val="156082" w:themeColor="accent1"/>
          <w:lang w:val="en-AU"/>
        </w:rPr>
        <w:t>nformation</w:t>
      </w:r>
      <w:bookmarkEnd w:id="0"/>
    </w:p>
    <w:p w14:paraId="500A5F7D" w14:textId="1C7D8806" w:rsidR="008A10FA" w:rsidRPr="00C97A19" w:rsidRDefault="008A10FA" w:rsidP="006B0828">
      <w:pPr>
        <w:rPr>
          <w:rFonts w:ascii="Calibri" w:hAnsi="Calibri" w:cs="Calibri"/>
          <w:sz w:val="22"/>
          <w:szCs w:val="22"/>
          <w:lang w:val="en-AU"/>
        </w:rPr>
      </w:pPr>
      <w:r w:rsidRPr="00C97A19">
        <w:rPr>
          <w:rFonts w:ascii="Calibri" w:hAnsi="Calibri" w:cs="Calibri"/>
          <w:sz w:val="22"/>
          <w:szCs w:val="22"/>
          <w:lang w:val="en-AU"/>
        </w:rPr>
        <w:t>Citation</w:t>
      </w:r>
      <w:r w:rsidR="00C32086" w:rsidRPr="00C97A19">
        <w:rPr>
          <w:rFonts w:ascii="Calibri" w:hAnsi="Calibri" w:cs="Calibri"/>
          <w:sz w:val="22"/>
          <w:szCs w:val="22"/>
          <w:lang w:val="en-AU"/>
        </w:rPr>
        <w:t>:</w:t>
      </w:r>
      <w:r w:rsidR="006B0828" w:rsidRPr="00C97A19">
        <w:rPr>
          <w:rFonts w:ascii="Calibri" w:hAnsi="Calibri" w:cs="Calibri"/>
          <w:sz w:val="22"/>
          <w:szCs w:val="22"/>
          <w:lang w:val="en-AU"/>
        </w:rPr>
        <w:tab/>
      </w:r>
      <w:sdt>
        <w:sdtPr>
          <w:rPr>
            <w:rFonts w:ascii="Calibri" w:hAnsi="Calibri" w:cs="Calibri"/>
            <w:sz w:val="22"/>
            <w:szCs w:val="22"/>
            <w:lang w:val="en-AU"/>
          </w:rPr>
          <w:alias w:val="Title"/>
          <w:tag w:val=""/>
          <w:id w:val="1867169199"/>
          <w:placeholder>
            <w:docPart w:val="0404D3BB471D4F69B0575873685A0FF3"/>
          </w:placeholder>
          <w:dataBinding w:prefixMappings="xmlns:ns0='http://purl.org/dc/elements/1.1/' xmlns:ns1='http://schemas.openxmlformats.org/package/2006/metadata/core-properties' " w:xpath="/ns1:coreProperties[1]/ns0:title[1]" w:storeItemID="{6C3C8BC8-F283-45AE-878A-BAB7291924A1}"/>
          <w:text/>
        </w:sdtPr>
        <w:sdtEndPr/>
        <w:sdtContent>
          <w:r w:rsidR="00015B04">
            <w:rPr>
              <w:rFonts w:ascii="Calibri" w:hAnsi="Calibri" w:cs="Calibri"/>
              <w:sz w:val="22"/>
              <w:szCs w:val="22"/>
              <w:lang w:val="en-AU"/>
            </w:rPr>
            <w:t>Mid-Term Review: Viet Nam Private Sector Development Partnership (VPSDP)</w:t>
          </w:r>
        </w:sdtContent>
      </w:sdt>
    </w:p>
    <w:p w14:paraId="082DA5B9" w14:textId="70B08C52" w:rsidR="008A10FA" w:rsidRPr="00C97A19" w:rsidRDefault="008A10FA" w:rsidP="006B0828">
      <w:pPr>
        <w:rPr>
          <w:rFonts w:ascii="Calibri" w:hAnsi="Calibri" w:cs="Calibri"/>
          <w:sz w:val="22"/>
          <w:szCs w:val="22"/>
          <w:lang w:val="en-AU"/>
        </w:rPr>
      </w:pPr>
      <w:r w:rsidRPr="00C97A19">
        <w:rPr>
          <w:rFonts w:ascii="Calibri" w:hAnsi="Calibri" w:cs="Calibri"/>
          <w:sz w:val="22"/>
          <w:szCs w:val="22"/>
          <w:lang w:val="en-AU"/>
        </w:rPr>
        <w:t>Prepared for</w:t>
      </w:r>
      <w:r w:rsidR="00C32086" w:rsidRPr="00C97A19">
        <w:rPr>
          <w:rFonts w:ascii="Calibri" w:hAnsi="Calibri" w:cs="Calibri"/>
          <w:sz w:val="22"/>
          <w:szCs w:val="22"/>
          <w:lang w:val="en-AU"/>
        </w:rPr>
        <w:t>:</w:t>
      </w:r>
      <w:r w:rsidRPr="00C97A19">
        <w:rPr>
          <w:rFonts w:ascii="Calibri" w:hAnsi="Calibri" w:cs="Calibri"/>
          <w:sz w:val="22"/>
          <w:szCs w:val="22"/>
          <w:lang w:val="en-AU"/>
        </w:rPr>
        <w:tab/>
        <w:t>Department of Foreign Affairs and Trade (DFAT)</w:t>
      </w:r>
    </w:p>
    <w:p w14:paraId="188376C4" w14:textId="0CC83184" w:rsidR="008A10FA" w:rsidRPr="00C97A19" w:rsidRDefault="008A10FA" w:rsidP="006B0828">
      <w:pPr>
        <w:rPr>
          <w:rFonts w:ascii="Calibri" w:hAnsi="Calibri" w:cs="Calibri"/>
          <w:sz w:val="22"/>
          <w:szCs w:val="22"/>
          <w:lang w:val="en-AU"/>
        </w:rPr>
      </w:pPr>
      <w:r w:rsidRPr="00C97A19">
        <w:rPr>
          <w:rFonts w:ascii="Calibri" w:hAnsi="Calibri" w:cs="Calibri"/>
          <w:sz w:val="22"/>
          <w:szCs w:val="22"/>
          <w:lang w:val="en-AU"/>
        </w:rPr>
        <w:t>Date</w:t>
      </w:r>
      <w:r w:rsidR="00C32086" w:rsidRPr="00C97A19">
        <w:rPr>
          <w:rFonts w:ascii="Calibri" w:hAnsi="Calibri" w:cs="Calibri"/>
          <w:sz w:val="22"/>
          <w:szCs w:val="22"/>
          <w:lang w:val="en-AU"/>
        </w:rPr>
        <w:t>:</w:t>
      </w:r>
      <w:r w:rsidR="006B0828" w:rsidRPr="00C97A19">
        <w:rPr>
          <w:rFonts w:ascii="Calibri" w:hAnsi="Calibri" w:cs="Calibri"/>
          <w:sz w:val="22"/>
          <w:szCs w:val="22"/>
          <w:lang w:val="en-AU"/>
        </w:rPr>
        <w:tab/>
      </w:r>
      <w:r w:rsidR="006B0828" w:rsidRPr="00C97A19">
        <w:rPr>
          <w:rFonts w:ascii="Calibri" w:hAnsi="Calibri" w:cs="Calibri"/>
          <w:sz w:val="22"/>
          <w:szCs w:val="22"/>
          <w:lang w:val="en-AU"/>
        </w:rPr>
        <w:tab/>
      </w:r>
      <w:r w:rsidR="00015B04">
        <w:rPr>
          <w:rFonts w:ascii="Calibri" w:hAnsi="Calibri" w:cs="Calibri"/>
          <w:sz w:val="22"/>
          <w:szCs w:val="22"/>
          <w:lang w:val="en-AU"/>
        </w:rPr>
        <w:t>April</w:t>
      </w:r>
      <w:r w:rsidR="00015B04" w:rsidRPr="00C97A19">
        <w:rPr>
          <w:rFonts w:ascii="Calibri" w:hAnsi="Calibri" w:cs="Calibri"/>
          <w:sz w:val="22"/>
          <w:szCs w:val="22"/>
          <w:lang w:val="en-AU"/>
        </w:rPr>
        <w:t xml:space="preserve"> </w:t>
      </w:r>
      <w:r w:rsidR="00577D9F" w:rsidRPr="00C97A19">
        <w:rPr>
          <w:rFonts w:ascii="Calibri" w:hAnsi="Calibri" w:cs="Calibri"/>
          <w:sz w:val="22"/>
          <w:szCs w:val="22"/>
          <w:lang w:val="en-AU"/>
        </w:rPr>
        <w:t>2026</w:t>
      </w:r>
    </w:p>
    <w:p w14:paraId="04D09CC7" w14:textId="66D2B65B" w:rsidR="006B0828" w:rsidRPr="00C97A19" w:rsidRDefault="006B0828" w:rsidP="4EF1951E">
      <w:pPr>
        <w:pStyle w:val="TOCHeading"/>
        <w:rPr>
          <w:rFonts w:ascii="Calibri" w:hAnsi="Calibri" w:cs="Calibri"/>
          <w:b/>
          <w:bCs/>
          <w:lang w:val="en-AU"/>
        </w:rPr>
      </w:pPr>
      <w:bookmarkStart w:id="1" w:name="_Toc189479905"/>
      <w:r w:rsidRPr="00C97A19">
        <w:rPr>
          <w:rFonts w:ascii="Calibri" w:hAnsi="Calibri" w:cs="Calibri"/>
          <w:b/>
          <w:bCs/>
          <w:color w:val="156082" w:themeColor="accent1"/>
          <w:lang w:val="en-AU"/>
        </w:rPr>
        <w:t>Contact Information</w:t>
      </w:r>
      <w:bookmarkEnd w:id="1"/>
    </w:p>
    <w:p w14:paraId="29B0D9A0" w14:textId="2CB9BFCF" w:rsidR="00337073" w:rsidRPr="00C97A19" w:rsidRDefault="006B0828" w:rsidP="4EF1951E">
      <w:pPr>
        <w:rPr>
          <w:rFonts w:ascii="Calibri" w:hAnsi="Calibri" w:cs="Calibri"/>
          <w:b/>
          <w:bCs/>
          <w:color w:val="156082" w:themeColor="accent1"/>
          <w:sz w:val="22"/>
          <w:szCs w:val="22"/>
          <w:lang w:val="en-AU"/>
        </w:rPr>
      </w:pPr>
      <w:r w:rsidRPr="00C97A19">
        <w:rPr>
          <w:rFonts w:ascii="Calibri" w:hAnsi="Calibri" w:cs="Calibri"/>
          <w:sz w:val="22"/>
          <w:szCs w:val="22"/>
          <w:lang w:val="en-AU"/>
        </w:rPr>
        <w:t>Name</w:t>
      </w:r>
      <w:r w:rsidR="00C367F1" w:rsidRPr="00C97A19">
        <w:rPr>
          <w:rFonts w:ascii="Calibri" w:hAnsi="Calibri" w:cs="Calibri"/>
          <w:sz w:val="22"/>
          <w:szCs w:val="22"/>
          <w:lang w:val="en-AU"/>
        </w:rPr>
        <w:t>:</w:t>
      </w:r>
      <w:r w:rsidR="00337073" w:rsidRPr="00C97A19">
        <w:rPr>
          <w:rFonts w:ascii="Calibri" w:hAnsi="Calibri" w:cs="Calibri"/>
          <w:sz w:val="22"/>
          <w:szCs w:val="22"/>
          <w:lang w:val="en-AU"/>
        </w:rPr>
        <w:t xml:space="preserve"> Ty Morrissey</w:t>
      </w:r>
      <w:r w:rsidRPr="000348BD">
        <w:rPr>
          <w:lang w:val="en-AU"/>
        </w:rPr>
        <w:br/>
      </w:r>
      <w:r w:rsidRPr="00C97A19">
        <w:rPr>
          <w:rFonts w:ascii="Calibri" w:hAnsi="Calibri" w:cs="Calibri"/>
          <w:sz w:val="22"/>
          <w:szCs w:val="22"/>
          <w:lang w:val="en-AU"/>
        </w:rPr>
        <w:t>Position</w:t>
      </w:r>
      <w:r w:rsidR="00C367F1" w:rsidRPr="00C97A19">
        <w:rPr>
          <w:rFonts w:ascii="Calibri" w:hAnsi="Calibri" w:cs="Calibri"/>
          <w:sz w:val="22"/>
          <w:szCs w:val="22"/>
          <w:lang w:val="en-AU"/>
        </w:rPr>
        <w:t>:</w:t>
      </w:r>
      <w:r w:rsidR="00337073" w:rsidRPr="00C97A19">
        <w:rPr>
          <w:rFonts w:ascii="Calibri" w:hAnsi="Calibri" w:cs="Calibri"/>
          <w:sz w:val="22"/>
          <w:szCs w:val="22"/>
          <w:lang w:val="en-AU"/>
        </w:rPr>
        <w:t xml:space="preserve"> Director</w:t>
      </w:r>
      <w:r w:rsidRPr="000348BD">
        <w:rPr>
          <w:lang w:val="en-AU"/>
        </w:rPr>
        <w:br/>
      </w:r>
      <w:r w:rsidRPr="00C97A19">
        <w:rPr>
          <w:rFonts w:ascii="Calibri" w:hAnsi="Calibri" w:cs="Calibri"/>
          <w:sz w:val="22"/>
          <w:szCs w:val="22"/>
          <w:lang w:val="en-AU"/>
        </w:rPr>
        <w:t>Organisation</w:t>
      </w:r>
      <w:r w:rsidR="00C367F1" w:rsidRPr="00C97A19">
        <w:rPr>
          <w:rFonts w:ascii="Calibri" w:hAnsi="Calibri" w:cs="Calibri"/>
          <w:sz w:val="22"/>
          <w:szCs w:val="22"/>
          <w:lang w:val="en-AU"/>
        </w:rPr>
        <w:t>:</w:t>
      </w:r>
      <w:r w:rsidR="00337073" w:rsidRPr="00C97A19">
        <w:rPr>
          <w:rFonts w:ascii="Calibri" w:hAnsi="Calibri" w:cs="Calibri"/>
          <w:sz w:val="22"/>
          <w:szCs w:val="22"/>
          <w:lang w:val="en-AU"/>
        </w:rPr>
        <w:t xml:space="preserve"> Morrissey Consulting International Pty Ltd</w:t>
      </w:r>
      <w:r w:rsidRPr="000348BD">
        <w:rPr>
          <w:lang w:val="en-AU"/>
        </w:rPr>
        <w:br/>
      </w:r>
      <w:r w:rsidRPr="00C97A19">
        <w:rPr>
          <w:rFonts w:ascii="Calibri" w:hAnsi="Calibri" w:cs="Calibri"/>
          <w:sz w:val="22"/>
          <w:szCs w:val="22"/>
          <w:lang w:val="en-AU"/>
        </w:rPr>
        <w:t>+61</w:t>
      </w:r>
      <w:r w:rsidR="00337073" w:rsidRPr="00C97A19">
        <w:rPr>
          <w:rFonts w:ascii="Calibri" w:hAnsi="Calibri" w:cs="Calibri"/>
          <w:sz w:val="22"/>
          <w:szCs w:val="22"/>
          <w:lang w:val="en-AU"/>
        </w:rPr>
        <w:t>411113529</w:t>
      </w:r>
      <w:r w:rsidRPr="000348BD">
        <w:rPr>
          <w:lang w:val="en-AU"/>
        </w:rPr>
        <w:br/>
      </w:r>
      <w:hyperlink r:id="rId14">
        <w:r w:rsidR="00337073" w:rsidRPr="00C97A19">
          <w:rPr>
            <w:rStyle w:val="Hyperlink"/>
            <w:rFonts w:ascii="Calibri" w:hAnsi="Calibri" w:cs="Calibri"/>
            <w:b/>
            <w:bCs/>
            <w:color w:val="156082" w:themeColor="accent1"/>
            <w:sz w:val="22"/>
            <w:szCs w:val="22"/>
            <w:lang w:val="en-AU"/>
          </w:rPr>
          <w:t>morrissey@iimetro.com.au</w:t>
        </w:r>
      </w:hyperlink>
    </w:p>
    <w:p w14:paraId="0C762C8B" w14:textId="309B603E" w:rsidR="006B0828" w:rsidRPr="00C97A19" w:rsidRDefault="006B0828" w:rsidP="4EF1951E">
      <w:pPr>
        <w:pStyle w:val="TOCHeading"/>
        <w:rPr>
          <w:rFonts w:ascii="Calibri" w:hAnsi="Calibri" w:cs="Calibri"/>
          <w:b/>
          <w:bCs/>
          <w:color w:val="156082" w:themeColor="accent1"/>
          <w:lang w:val="en-AU"/>
        </w:rPr>
      </w:pPr>
      <w:bookmarkStart w:id="2" w:name="_Toc189479906"/>
      <w:r w:rsidRPr="00C97A19">
        <w:rPr>
          <w:rFonts w:ascii="Calibri" w:hAnsi="Calibri" w:cs="Calibri"/>
          <w:b/>
          <w:bCs/>
          <w:color w:val="156082" w:themeColor="accent1"/>
          <w:lang w:val="en-AU"/>
        </w:rPr>
        <w:t>Document History</w:t>
      </w:r>
      <w:bookmarkEnd w:id="2"/>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850"/>
        <w:gridCol w:w="1560"/>
        <w:gridCol w:w="2410"/>
        <w:gridCol w:w="2267"/>
        <w:gridCol w:w="1939"/>
      </w:tblGrid>
      <w:tr w:rsidR="00831F16" w:rsidRPr="00C97A19" w14:paraId="7F07BF1D" w14:textId="77777777" w:rsidTr="000937DF">
        <w:trPr>
          <w:tblHeader/>
        </w:trPr>
        <w:tc>
          <w:tcPr>
            <w:tcW w:w="471" w:type="pct"/>
          </w:tcPr>
          <w:p w14:paraId="41B028E8" w14:textId="1593CC22" w:rsidR="00831F16" w:rsidRPr="00C97A19" w:rsidRDefault="00831F16" w:rsidP="00831F16">
            <w:pPr>
              <w:pStyle w:val="TableHeading"/>
              <w:rPr>
                <w:rFonts w:ascii="Calibri" w:hAnsi="Calibri" w:cs="Calibri"/>
                <w:lang w:val="en-AU"/>
              </w:rPr>
            </w:pPr>
            <w:r w:rsidRPr="00C97A19">
              <w:rPr>
                <w:rFonts w:ascii="Calibri" w:hAnsi="Calibri" w:cs="Calibri"/>
                <w:lang w:val="en-AU"/>
              </w:rPr>
              <w:t>Version</w:t>
            </w:r>
          </w:p>
        </w:tc>
        <w:tc>
          <w:tcPr>
            <w:tcW w:w="864" w:type="pct"/>
          </w:tcPr>
          <w:p w14:paraId="1E1E345C" w14:textId="599F445C" w:rsidR="00831F16" w:rsidRPr="00C97A19" w:rsidRDefault="00831F16" w:rsidP="00831F16">
            <w:pPr>
              <w:pStyle w:val="TableHeading"/>
              <w:rPr>
                <w:rFonts w:ascii="Calibri" w:hAnsi="Calibri" w:cs="Calibri"/>
                <w:lang w:val="en-AU"/>
              </w:rPr>
            </w:pPr>
            <w:r w:rsidRPr="00C97A19">
              <w:rPr>
                <w:rFonts w:ascii="Calibri" w:hAnsi="Calibri" w:cs="Calibri"/>
                <w:lang w:val="en-AU"/>
              </w:rPr>
              <w:t>Effective Date</w:t>
            </w:r>
          </w:p>
        </w:tc>
        <w:tc>
          <w:tcPr>
            <w:tcW w:w="1335" w:type="pct"/>
          </w:tcPr>
          <w:p w14:paraId="07CB6C5E" w14:textId="37E25D69" w:rsidR="00831F16" w:rsidRPr="00C97A19" w:rsidRDefault="00831F16" w:rsidP="00831F16">
            <w:pPr>
              <w:pStyle w:val="TableHeading"/>
              <w:rPr>
                <w:rFonts w:ascii="Calibri" w:hAnsi="Calibri" w:cs="Calibri"/>
                <w:lang w:val="en-AU"/>
              </w:rPr>
            </w:pPr>
            <w:r w:rsidRPr="00C97A19">
              <w:rPr>
                <w:rFonts w:ascii="Calibri" w:hAnsi="Calibri" w:cs="Calibri"/>
                <w:lang w:val="en-AU"/>
              </w:rPr>
              <w:t>Description</w:t>
            </w:r>
          </w:p>
        </w:tc>
        <w:tc>
          <w:tcPr>
            <w:tcW w:w="1256" w:type="pct"/>
          </w:tcPr>
          <w:p w14:paraId="2208F571" w14:textId="19EED189" w:rsidR="00831F16" w:rsidRPr="00C97A19" w:rsidRDefault="00831F16" w:rsidP="005B0891">
            <w:pPr>
              <w:pStyle w:val="TableHeading"/>
              <w:rPr>
                <w:rFonts w:ascii="Calibri" w:hAnsi="Calibri" w:cs="Calibri"/>
                <w:lang w:val="en-AU"/>
              </w:rPr>
            </w:pPr>
            <w:r w:rsidRPr="00C97A19">
              <w:rPr>
                <w:rFonts w:ascii="Calibri" w:hAnsi="Calibri" w:cs="Calibri"/>
                <w:lang w:val="en-AU"/>
              </w:rPr>
              <w:t>Prepared By</w:t>
            </w:r>
          </w:p>
        </w:tc>
        <w:tc>
          <w:tcPr>
            <w:tcW w:w="1074" w:type="pct"/>
          </w:tcPr>
          <w:p w14:paraId="4CBCB8BB" w14:textId="68E850E8" w:rsidR="00831F16" w:rsidRPr="00C97A19" w:rsidRDefault="00831F16" w:rsidP="00831F16">
            <w:pPr>
              <w:pStyle w:val="TableHeading"/>
              <w:rPr>
                <w:rFonts w:ascii="Calibri" w:hAnsi="Calibri" w:cs="Calibri"/>
                <w:lang w:val="en-AU"/>
              </w:rPr>
            </w:pPr>
            <w:r w:rsidRPr="00C97A19">
              <w:rPr>
                <w:rFonts w:ascii="Calibri" w:hAnsi="Calibri" w:cs="Calibri"/>
                <w:lang w:val="en-AU"/>
              </w:rPr>
              <w:t>Reviewed By</w:t>
            </w:r>
          </w:p>
        </w:tc>
      </w:tr>
      <w:tr w:rsidR="00831F16" w:rsidRPr="00C97A19" w14:paraId="15413D81" w14:textId="77777777" w:rsidTr="00831F16">
        <w:tc>
          <w:tcPr>
            <w:tcW w:w="471" w:type="pct"/>
          </w:tcPr>
          <w:p w14:paraId="673BABED" w14:textId="0D0FA095" w:rsidR="00831F16" w:rsidRPr="00C97A19" w:rsidRDefault="00831F16" w:rsidP="00466A66">
            <w:pPr>
              <w:pStyle w:val="TableText"/>
              <w:jc w:val="center"/>
              <w:rPr>
                <w:rFonts w:ascii="Calibri" w:hAnsi="Calibri" w:cs="Calibri"/>
                <w:lang w:val="en-AU"/>
              </w:rPr>
            </w:pPr>
            <w:r w:rsidRPr="00C97A19">
              <w:rPr>
                <w:rFonts w:ascii="Calibri" w:hAnsi="Calibri" w:cs="Calibri"/>
                <w:lang w:val="en-AU"/>
              </w:rPr>
              <w:t>1.0</w:t>
            </w:r>
          </w:p>
        </w:tc>
        <w:tc>
          <w:tcPr>
            <w:tcW w:w="864" w:type="pct"/>
          </w:tcPr>
          <w:p w14:paraId="773F8E9E" w14:textId="46A0F595" w:rsidR="00831F16" w:rsidRPr="00C97A19" w:rsidRDefault="00B43069" w:rsidP="00B67388">
            <w:pPr>
              <w:pStyle w:val="TableText"/>
              <w:rPr>
                <w:rFonts w:ascii="Calibri" w:hAnsi="Calibri" w:cs="Calibri"/>
                <w:lang w:val="en-AU"/>
              </w:rPr>
            </w:pPr>
            <w:r w:rsidRPr="00C97A19">
              <w:rPr>
                <w:rFonts w:ascii="Calibri" w:hAnsi="Calibri" w:cs="Calibri"/>
                <w:lang w:val="en-AU"/>
              </w:rPr>
              <w:t>6</w:t>
            </w:r>
            <w:r w:rsidR="006C077C" w:rsidRPr="00C97A19">
              <w:rPr>
                <w:rFonts w:ascii="Calibri" w:hAnsi="Calibri" w:cs="Calibri"/>
                <w:lang w:val="en-AU"/>
              </w:rPr>
              <w:t xml:space="preserve"> March 2026</w:t>
            </w:r>
          </w:p>
        </w:tc>
        <w:tc>
          <w:tcPr>
            <w:tcW w:w="1335" w:type="pct"/>
          </w:tcPr>
          <w:p w14:paraId="35AE2D00" w14:textId="23CFEE4F" w:rsidR="00831F16" w:rsidRPr="00C97A19" w:rsidRDefault="00577D9F" w:rsidP="00B67388">
            <w:pPr>
              <w:pStyle w:val="TableText"/>
              <w:rPr>
                <w:rFonts w:ascii="Calibri" w:hAnsi="Calibri" w:cs="Calibri"/>
                <w:lang w:val="en-AU"/>
              </w:rPr>
            </w:pPr>
            <w:r w:rsidRPr="00C97A19">
              <w:rPr>
                <w:rFonts w:ascii="Calibri" w:hAnsi="Calibri" w:cs="Calibri"/>
                <w:lang w:val="en-AU"/>
              </w:rPr>
              <w:t>Mid-Term Review</w:t>
            </w:r>
            <w:r w:rsidR="00337073" w:rsidRPr="00C97A19">
              <w:rPr>
                <w:rFonts w:ascii="Calibri" w:hAnsi="Calibri" w:cs="Calibri"/>
                <w:lang w:val="en-AU"/>
              </w:rPr>
              <w:t xml:space="preserve"> Report</w:t>
            </w:r>
          </w:p>
          <w:p w14:paraId="5C4F3656" w14:textId="270D2D8F" w:rsidR="00337073" w:rsidRPr="00C97A19" w:rsidRDefault="00337073" w:rsidP="00B67388">
            <w:pPr>
              <w:pStyle w:val="TableText"/>
              <w:rPr>
                <w:rFonts w:ascii="Calibri" w:hAnsi="Calibri" w:cs="Calibri"/>
                <w:lang w:val="en-AU"/>
              </w:rPr>
            </w:pPr>
            <w:r w:rsidRPr="00C97A19">
              <w:rPr>
                <w:rFonts w:ascii="Calibri" w:hAnsi="Calibri" w:cs="Calibri"/>
                <w:lang w:val="en-AU"/>
              </w:rPr>
              <w:t>Draft Version 1</w:t>
            </w:r>
          </w:p>
        </w:tc>
        <w:tc>
          <w:tcPr>
            <w:tcW w:w="1256" w:type="pct"/>
          </w:tcPr>
          <w:p w14:paraId="65E473A8" w14:textId="28B930D7" w:rsidR="00831F16" w:rsidRPr="00C97A19" w:rsidRDefault="00337073" w:rsidP="00B67388">
            <w:pPr>
              <w:pStyle w:val="TableText"/>
              <w:rPr>
                <w:rFonts w:ascii="Calibri" w:hAnsi="Calibri" w:cs="Calibri"/>
                <w:lang w:val="en-AU"/>
              </w:rPr>
            </w:pPr>
            <w:r w:rsidRPr="00C97A19">
              <w:rPr>
                <w:rFonts w:ascii="Calibri" w:hAnsi="Calibri" w:cs="Calibri"/>
                <w:lang w:val="en-AU"/>
              </w:rPr>
              <w:t>Ty Morrissey</w:t>
            </w:r>
          </w:p>
        </w:tc>
        <w:tc>
          <w:tcPr>
            <w:tcW w:w="1074" w:type="pct"/>
          </w:tcPr>
          <w:p w14:paraId="6498EFA7" w14:textId="77777777" w:rsidR="00466A66" w:rsidRPr="00C97A19" w:rsidRDefault="00577D9F" w:rsidP="00B67388">
            <w:pPr>
              <w:pStyle w:val="TableText"/>
              <w:rPr>
                <w:rFonts w:ascii="Calibri" w:hAnsi="Calibri" w:cs="Calibri"/>
                <w:lang w:val="en-AU"/>
              </w:rPr>
            </w:pPr>
            <w:r w:rsidRPr="00C97A19">
              <w:rPr>
                <w:rFonts w:ascii="Calibri" w:hAnsi="Calibri" w:cs="Calibri"/>
                <w:lang w:val="en-AU"/>
              </w:rPr>
              <w:t>Kevin Mathees</w:t>
            </w:r>
          </w:p>
          <w:p w14:paraId="0835DBE3" w14:textId="7D464CDE" w:rsidR="00577D9F" w:rsidRPr="00C97A19" w:rsidRDefault="00577D9F" w:rsidP="00B67388">
            <w:pPr>
              <w:pStyle w:val="TableText"/>
              <w:rPr>
                <w:rFonts w:ascii="Calibri" w:hAnsi="Calibri" w:cs="Calibri"/>
                <w:lang w:val="en-AU"/>
              </w:rPr>
            </w:pPr>
            <w:r w:rsidRPr="00C97A19">
              <w:rPr>
                <w:rFonts w:ascii="Calibri" w:hAnsi="Calibri" w:cs="Calibri"/>
                <w:lang w:val="en-AU"/>
              </w:rPr>
              <w:t xml:space="preserve">Disha </w:t>
            </w:r>
            <w:r w:rsidR="00E024D3" w:rsidRPr="00C97A19">
              <w:rPr>
                <w:rFonts w:ascii="Calibri" w:hAnsi="Calibri" w:cs="Calibri"/>
                <w:lang w:val="en-AU"/>
              </w:rPr>
              <w:t>Pandey</w:t>
            </w:r>
          </w:p>
        </w:tc>
      </w:tr>
      <w:tr w:rsidR="00A869F5" w:rsidRPr="00C97A19" w14:paraId="0D2DFCC6" w14:textId="77777777" w:rsidTr="00831F16">
        <w:tc>
          <w:tcPr>
            <w:tcW w:w="471" w:type="pct"/>
          </w:tcPr>
          <w:p w14:paraId="4F9DDE6F" w14:textId="2DDA78E0" w:rsidR="00A869F5" w:rsidRPr="00C97A19" w:rsidRDefault="00A869F5" w:rsidP="00A869F5">
            <w:pPr>
              <w:pStyle w:val="TableText"/>
              <w:jc w:val="center"/>
              <w:rPr>
                <w:rFonts w:ascii="Calibri" w:hAnsi="Calibri" w:cs="Calibri"/>
                <w:lang w:val="en-AU"/>
              </w:rPr>
            </w:pPr>
            <w:r w:rsidRPr="00C97A19">
              <w:rPr>
                <w:rFonts w:ascii="Calibri" w:hAnsi="Calibri" w:cs="Calibri"/>
                <w:lang w:val="en-AU"/>
              </w:rPr>
              <w:t>2.0</w:t>
            </w:r>
          </w:p>
        </w:tc>
        <w:tc>
          <w:tcPr>
            <w:tcW w:w="864" w:type="pct"/>
          </w:tcPr>
          <w:p w14:paraId="766B21EF" w14:textId="51DA3E41" w:rsidR="00A869F5" w:rsidRPr="00C97A19" w:rsidRDefault="00A869F5" w:rsidP="00A869F5">
            <w:pPr>
              <w:pStyle w:val="TableText"/>
              <w:rPr>
                <w:rFonts w:ascii="Calibri" w:hAnsi="Calibri" w:cs="Calibri"/>
                <w:lang w:val="en-AU"/>
              </w:rPr>
            </w:pPr>
            <w:r w:rsidRPr="00C97A19">
              <w:rPr>
                <w:rFonts w:ascii="Calibri" w:hAnsi="Calibri" w:cs="Calibri"/>
                <w:lang w:val="en-AU"/>
              </w:rPr>
              <w:t>2 April 2026</w:t>
            </w:r>
          </w:p>
        </w:tc>
        <w:tc>
          <w:tcPr>
            <w:tcW w:w="1335" w:type="pct"/>
          </w:tcPr>
          <w:p w14:paraId="0701D752" w14:textId="5ACB46E3" w:rsidR="00A869F5" w:rsidRPr="00C97A19" w:rsidRDefault="00A869F5" w:rsidP="00A869F5">
            <w:pPr>
              <w:pStyle w:val="TableText"/>
              <w:rPr>
                <w:rFonts w:ascii="Calibri" w:hAnsi="Calibri" w:cs="Calibri"/>
                <w:lang w:val="en-AU"/>
              </w:rPr>
            </w:pPr>
            <w:r w:rsidRPr="00C97A19">
              <w:rPr>
                <w:rFonts w:ascii="Calibri" w:hAnsi="Calibri" w:cs="Calibri"/>
                <w:lang w:val="en-AU"/>
              </w:rPr>
              <w:t>Mid-Term Review Report Final</w:t>
            </w:r>
          </w:p>
        </w:tc>
        <w:tc>
          <w:tcPr>
            <w:tcW w:w="1256" w:type="pct"/>
          </w:tcPr>
          <w:p w14:paraId="6CAE2440" w14:textId="18EB07D3" w:rsidR="00A869F5" w:rsidRPr="00C97A19" w:rsidRDefault="00A869F5" w:rsidP="00A869F5">
            <w:pPr>
              <w:pStyle w:val="TableText"/>
              <w:rPr>
                <w:rFonts w:ascii="Calibri" w:hAnsi="Calibri" w:cs="Calibri"/>
                <w:lang w:val="en-AU"/>
              </w:rPr>
            </w:pPr>
            <w:r w:rsidRPr="00C97A19">
              <w:rPr>
                <w:rFonts w:ascii="Calibri" w:hAnsi="Calibri" w:cs="Calibri"/>
                <w:lang w:val="en-AU"/>
              </w:rPr>
              <w:t>Ty Morrissey</w:t>
            </w:r>
          </w:p>
        </w:tc>
        <w:tc>
          <w:tcPr>
            <w:tcW w:w="1074" w:type="pct"/>
          </w:tcPr>
          <w:p w14:paraId="0B97DA0F" w14:textId="77777777" w:rsidR="00A869F5" w:rsidRPr="00C97A19" w:rsidRDefault="00A869F5" w:rsidP="00A869F5">
            <w:pPr>
              <w:pStyle w:val="TableText"/>
              <w:rPr>
                <w:rFonts w:ascii="Calibri" w:hAnsi="Calibri" w:cs="Calibri"/>
                <w:lang w:val="en-AU"/>
              </w:rPr>
            </w:pPr>
            <w:r w:rsidRPr="00C97A19">
              <w:rPr>
                <w:rFonts w:ascii="Calibri" w:hAnsi="Calibri" w:cs="Calibri"/>
                <w:lang w:val="en-AU"/>
              </w:rPr>
              <w:t>Kevin Mathees</w:t>
            </w:r>
          </w:p>
          <w:p w14:paraId="6FB1A5AE" w14:textId="5B9531F6" w:rsidR="00A869F5" w:rsidRPr="00C97A19" w:rsidRDefault="00A869F5" w:rsidP="00A869F5">
            <w:pPr>
              <w:pStyle w:val="TableText"/>
              <w:rPr>
                <w:rFonts w:ascii="Calibri" w:hAnsi="Calibri" w:cs="Calibri"/>
                <w:lang w:val="en-AU"/>
              </w:rPr>
            </w:pPr>
            <w:r w:rsidRPr="00C97A19">
              <w:rPr>
                <w:rFonts w:ascii="Calibri" w:hAnsi="Calibri" w:cs="Calibri"/>
                <w:lang w:val="en-AU"/>
              </w:rPr>
              <w:t>Disha Pandey</w:t>
            </w:r>
          </w:p>
        </w:tc>
      </w:tr>
    </w:tbl>
    <w:p w14:paraId="190A3489" w14:textId="77777777" w:rsidR="00831F16" w:rsidRPr="00C97A19" w:rsidRDefault="00831F16" w:rsidP="00831F16">
      <w:pPr>
        <w:rPr>
          <w:rFonts w:ascii="Calibri" w:hAnsi="Calibri" w:cs="Calibri"/>
          <w:lang w:val="en-AU"/>
        </w:rPr>
      </w:pPr>
    </w:p>
    <w:p w14:paraId="41126E34" w14:textId="5801E873" w:rsidR="00596B15" w:rsidRPr="00C97A19" w:rsidRDefault="00067C41" w:rsidP="00577D9F">
      <w:pPr>
        <w:spacing w:after="120"/>
        <w:jc w:val="both"/>
        <w:rPr>
          <w:rFonts w:ascii="Calibri" w:hAnsi="Calibri" w:cs="Calibri"/>
          <w:sz w:val="22"/>
          <w:szCs w:val="22"/>
          <w:lang w:val="en-AU"/>
        </w:rPr>
      </w:pPr>
      <w:r w:rsidRPr="00AA442F">
        <w:rPr>
          <w:rFonts w:ascii="Calibri" w:hAnsi="Calibri" w:cs="Calibri"/>
          <w:sz w:val="22"/>
          <w:szCs w:val="22"/>
          <w:lang w:val="en-AU"/>
        </w:rPr>
        <w:t>This publication</w:t>
      </w:r>
      <w:r w:rsidRPr="00C97A19">
        <w:rPr>
          <w:rFonts w:ascii="Calibri" w:hAnsi="Calibri" w:cs="Calibri"/>
          <w:sz w:val="22"/>
          <w:szCs w:val="22"/>
          <w:lang w:val="en-AU"/>
        </w:rPr>
        <w:t xml:space="preserve"> has been funded by the Australian Government through the Department of Foreign Affairs and Trade. The views expressed in this publication are the author's alone and are not necessarily the views of the Australian Government. The Australian Government neither endorses the views in this publication nor vouches for the accuracy or completeness of the information contained within the publication. </w:t>
      </w:r>
    </w:p>
    <w:p w14:paraId="0B62609E" w14:textId="5C3F670E" w:rsidR="00067C41" w:rsidRPr="00C97A19" w:rsidRDefault="00067C41" w:rsidP="00577D9F">
      <w:pPr>
        <w:spacing w:after="120"/>
        <w:jc w:val="both"/>
        <w:rPr>
          <w:rFonts w:ascii="Calibri" w:hAnsi="Calibri" w:cs="Calibri"/>
          <w:sz w:val="22"/>
          <w:szCs w:val="22"/>
          <w:lang w:val="en-AU"/>
        </w:rPr>
      </w:pPr>
      <w:r w:rsidRPr="00C97A19">
        <w:rPr>
          <w:rFonts w:ascii="Calibri" w:hAnsi="Calibri" w:cs="Calibri"/>
          <w:sz w:val="22"/>
          <w:szCs w:val="22"/>
          <w:lang w:val="en-AU"/>
        </w:rPr>
        <w:t>The Australian Government, its officers, employees and agents accept no liability for any loss, damage or expense arising out of, or in connection with, any reliance on any omissions or inaccuracies in the material contained in this publication.</w:t>
      </w:r>
    </w:p>
    <w:p w14:paraId="2AA35DCD" w14:textId="2B0A80E3" w:rsidR="00067C41" w:rsidRPr="00C97A19" w:rsidRDefault="00C367F1" w:rsidP="00577D9F">
      <w:pPr>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577D9F" w:rsidRPr="00C97A19">
        <w:rPr>
          <w:rFonts w:ascii="Calibri" w:hAnsi="Calibri" w:cs="Calibri"/>
          <w:sz w:val="22"/>
          <w:szCs w:val="22"/>
          <w:lang w:val="en-AU"/>
        </w:rPr>
        <w:t xml:space="preserve">Viet Nam </w:t>
      </w:r>
      <w:r w:rsidRPr="00C97A19">
        <w:rPr>
          <w:rFonts w:ascii="Calibri" w:hAnsi="Calibri" w:cs="Calibri"/>
          <w:sz w:val="22"/>
          <w:szCs w:val="22"/>
          <w:lang w:val="en-AU"/>
        </w:rPr>
        <w:t>Private Sector Development Partnership (</w:t>
      </w:r>
      <w:r w:rsidR="00577D9F" w:rsidRPr="00C97A19">
        <w:rPr>
          <w:rFonts w:ascii="Calibri" w:hAnsi="Calibri" w:cs="Calibri"/>
          <w:sz w:val="22"/>
          <w:szCs w:val="22"/>
          <w:lang w:val="en-AU"/>
        </w:rPr>
        <w:t>V</w:t>
      </w:r>
      <w:r w:rsidRPr="00C97A19">
        <w:rPr>
          <w:rFonts w:ascii="Calibri" w:hAnsi="Calibri" w:cs="Calibri"/>
          <w:sz w:val="22"/>
          <w:szCs w:val="22"/>
          <w:lang w:val="en-AU"/>
        </w:rPr>
        <w:t>PSDP) program</w:t>
      </w:r>
      <w:r w:rsidR="00067C41" w:rsidRPr="00C97A19">
        <w:rPr>
          <w:rFonts w:ascii="Calibri" w:hAnsi="Calibri" w:cs="Calibri"/>
          <w:sz w:val="22"/>
          <w:szCs w:val="22"/>
          <w:lang w:val="en-AU"/>
        </w:rPr>
        <w:t xml:space="preserve"> is supported by the Australian Government and impl</w:t>
      </w:r>
      <w:r w:rsidR="00FA35BF" w:rsidRPr="00C97A19">
        <w:rPr>
          <w:rFonts w:ascii="Calibri" w:hAnsi="Calibri" w:cs="Calibri"/>
          <w:sz w:val="22"/>
          <w:szCs w:val="22"/>
          <w:lang w:val="en-AU"/>
        </w:rPr>
        <w:t>emen</w:t>
      </w:r>
      <w:r w:rsidR="00067C41" w:rsidRPr="00C97A19">
        <w:rPr>
          <w:rFonts w:ascii="Calibri" w:hAnsi="Calibri" w:cs="Calibri"/>
          <w:sz w:val="22"/>
          <w:szCs w:val="22"/>
          <w:lang w:val="en-AU"/>
        </w:rPr>
        <w:t xml:space="preserve">ted by </w:t>
      </w:r>
      <w:r w:rsidRPr="00C97A19">
        <w:rPr>
          <w:rFonts w:ascii="Calibri" w:hAnsi="Calibri" w:cs="Calibri"/>
          <w:sz w:val="22"/>
          <w:szCs w:val="22"/>
          <w:lang w:val="en-AU"/>
        </w:rPr>
        <w:t>the International Finance Corporation (IFC)</w:t>
      </w:r>
      <w:r w:rsidR="00596B15" w:rsidRPr="00C97A19">
        <w:rPr>
          <w:rFonts w:ascii="Calibri" w:hAnsi="Calibri" w:cs="Calibri"/>
          <w:sz w:val="22"/>
          <w:szCs w:val="22"/>
          <w:lang w:val="en-AU"/>
        </w:rPr>
        <w:t>.</w:t>
      </w:r>
    </w:p>
    <w:p w14:paraId="7BE09E9B" w14:textId="77777777" w:rsidR="00A37584" w:rsidRPr="00C97A19" w:rsidRDefault="00A37584" w:rsidP="00831F16">
      <w:pPr>
        <w:rPr>
          <w:rFonts w:ascii="Calibri" w:hAnsi="Calibri" w:cs="Calibri"/>
          <w:lang w:val="en-AU"/>
        </w:rPr>
      </w:pPr>
    </w:p>
    <w:p w14:paraId="49F11BCE" w14:textId="77460E94" w:rsidR="00067C41" w:rsidRPr="00C97A19" w:rsidRDefault="00067C41" w:rsidP="00831F16">
      <w:pPr>
        <w:rPr>
          <w:rFonts w:ascii="Calibri" w:hAnsi="Calibri" w:cs="Calibri"/>
          <w:lang w:val="en-AU"/>
        </w:rPr>
        <w:sectPr w:rsidR="00067C41" w:rsidRPr="00C97A19" w:rsidSect="00DB1B61">
          <w:headerReference w:type="default" r:id="rId15"/>
          <w:footerReference w:type="even" r:id="rId16"/>
          <w:footerReference w:type="default" r:id="rId17"/>
          <w:footerReference w:type="first" r:id="rId18"/>
          <w:pgSz w:w="11906" w:h="16838" w:code="9"/>
          <w:pgMar w:top="1440" w:right="1440" w:bottom="1440" w:left="1440" w:header="709" w:footer="709" w:gutter="0"/>
          <w:pgNumType w:fmt="lowerRoman" w:start="1"/>
          <w:cols w:space="708"/>
          <w:vAlign w:val="bottom"/>
          <w:docGrid w:linePitch="360"/>
        </w:sectPr>
      </w:pPr>
    </w:p>
    <w:sdt>
      <w:sdtPr>
        <w:rPr>
          <w:rFonts w:ascii="Times New Roman" w:eastAsia="Times New Roman" w:hAnsi="Times New Roman" w:cs="Times New Roman"/>
          <w:color w:val="auto"/>
          <w:kern w:val="0"/>
          <w:sz w:val="24"/>
          <w:szCs w:val="24"/>
          <w:lang w:val="en-AU"/>
          <w14:ligatures w14:val="none"/>
        </w:rPr>
        <w:id w:val="1875491492"/>
        <w:docPartObj>
          <w:docPartGallery w:val="Table of Contents"/>
          <w:docPartUnique/>
        </w:docPartObj>
      </w:sdtPr>
      <w:sdtEndPr>
        <w:rPr>
          <w:b/>
          <w:bCs/>
          <w:noProof/>
        </w:rPr>
      </w:sdtEndPr>
      <w:sdtContent>
        <w:p w14:paraId="6D6A7904" w14:textId="470F7ABF" w:rsidR="00A6262E" w:rsidRPr="008D0F9B" w:rsidRDefault="00A6262E">
          <w:pPr>
            <w:pStyle w:val="TOCHeading"/>
            <w:rPr>
              <w:color w:val="156082" w:themeColor="accent1"/>
              <w:lang w:val="en-AU"/>
            </w:rPr>
          </w:pPr>
          <w:r w:rsidRPr="008D0F9B">
            <w:rPr>
              <w:color w:val="156082" w:themeColor="accent1"/>
              <w:lang w:val="en-AU"/>
            </w:rPr>
            <w:t>Table of Contents</w:t>
          </w:r>
        </w:p>
        <w:p w14:paraId="0A1B777D" w14:textId="381906E1" w:rsidR="001848F6" w:rsidRDefault="00B7687D">
          <w:pPr>
            <w:pStyle w:val="TOC1"/>
            <w:rPr>
              <w:rFonts w:asciiTheme="minorHAnsi" w:eastAsiaTheme="minorEastAsia" w:hAnsiTheme="minorHAnsi" w:cstheme="minorBidi"/>
              <w:b w:val="0"/>
              <w:bCs w:val="0"/>
              <w:kern w:val="2"/>
              <w:szCs w:val="24"/>
              <w:lang w:val="en-US"/>
              <w14:ligatures w14:val="standardContextual"/>
            </w:rPr>
          </w:pPr>
          <w:r w:rsidRPr="00687F46">
            <w:rPr>
              <w:sz w:val="22"/>
              <w:szCs w:val="22"/>
              <w:lang w:val="en-AU"/>
            </w:rPr>
            <w:fldChar w:fldCharType="begin"/>
          </w:r>
          <w:r w:rsidRPr="00687F46">
            <w:rPr>
              <w:sz w:val="22"/>
              <w:szCs w:val="22"/>
              <w:lang w:val="en-AU"/>
            </w:rPr>
            <w:instrText xml:space="preserve"> TOC \o "1-2" \h \z \u </w:instrText>
          </w:r>
          <w:r w:rsidRPr="00687F46">
            <w:rPr>
              <w:sz w:val="22"/>
              <w:szCs w:val="22"/>
              <w:lang w:val="en-AU"/>
            </w:rPr>
            <w:fldChar w:fldCharType="separate"/>
          </w:r>
          <w:hyperlink w:anchor="_Toc233724243" w:history="1">
            <w:r w:rsidR="001848F6" w:rsidRPr="00B353B1">
              <w:rPr>
                <w:rStyle w:val="Hyperlink"/>
                <w:color w:val="auto"/>
                <w:lang w:val="en-AU"/>
              </w:rPr>
              <w:t>Executive Summary</w:t>
            </w:r>
            <w:r w:rsidR="001848F6">
              <w:rPr>
                <w:webHidden/>
              </w:rPr>
              <w:tab/>
            </w:r>
            <w:r w:rsidR="001848F6">
              <w:rPr>
                <w:webHidden/>
              </w:rPr>
              <w:fldChar w:fldCharType="begin"/>
            </w:r>
            <w:r w:rsidR="001848F6">
              <w:rPr>
                <w:webHidden/>
              </w:rPr>
              <w:instrText xml:space="preserve"> PAGEREF _Toc233724243 \h </w:instrText>
            </w:r>
            <w:r w:rsidR="001848F6">
              <w:rPr>
                <w:webHidden/>
              </w:rPr>
            </w:r>
            <w:r w:rsidR="001848F6">
              <w:rPr>
                <w:webHidden/>
              </w:rPr>
              <w:fldChar w:fldCharType="separate"/>
            </w:r>
            <w:r w:rsidR="001848F6">
              <w:rPr>
                <w:webHidden/>
              </w:rPr>
              <w:t>3</w:t>
            </w:r>
            <w:r w:rsidR="001848F6">
              <w:rPr>
                <w:webHidden/>
              </w:rPr>
              <w:fldChar w:fldCharType="end"/>
            </w:r>
          </w:hyperlink>
        </w:p>
        <w:p w14:paraId="5AC3BBCB" w14:textId="6382041E" w:rsidR="001848F6" w:rsidRDefault="001848F6">
          <w:pPr>
            <w:pStyle w:val="TOC2"/>
            <w:rPr>
              <w:rFonts w:asciiTheme="minorHAnsi" w:eastAsiaTheme="minorEastAsia" w:hAnsiTheme="minorHAnsi" w:cstheme="minorBidi"/>
              <w:kern w:val="2"/>
              <w:lang w:val="en-US"/>
              <w14:ligatures w14:val="standardContextual"/>
            </w:rPr>
          </w:pPr>
          <w:hyperlink w:anchor="_Toc233724244" w:history="1">
            <w:r w:rsidRPr="00B353B1">
              <w:rPr>
                <w:rStyle w:val="Hyperlink"/>
                <w:color w:val="auto"/>
                <w:lang w:val="en-AU"/>
              </w:rPr>
              <w:t>Purpose and Scope</w:t>
            </w:r>
            <w:r>
              <w:rPr>
                <w:webHidden/>
              </w:rPr>
              <w:tab/>
            </w:r>
            <w:r>
              <w:rPr>
                <w:webHidden/>
              </w:rPr>
              <w:fldChar w:fldCharType="begin"/>
            </w:r>
            <w:r>
              <w:rPr>
                <w:webHidden/>
              </w:rPr>
              <w:instrText xml:space="preserve"> PAGEREF _Toc233724244 \h </w:instrText>
            </w:r>
            <w:r>
              <w:rPr>
                <w:webHidden/>
              </w:rPr>
            </w:r>
            <w:r>
              <w:rPr>
                <w:webHidden/>
              </w:rPr>
              <w:fldChar w:fldCharType="separate"/>
            </w:r>
            <w:r>
              <w:rPr>
                <w:webHidden/>
              </w:rPr>
              <w:t>3</w:t>
            </w:r>
            <w:r>
              <w:rPr>
                <w:webHidden/>
              </w:rPr>
              <w:fldChar w:fldCharType="end"/>
            </w:r>
          </w:hyperlink>
        </w:p>
        <w:p w14:paraId="22083C3B" w14:textId="1FC586DB" w:rsidR="001848F6" w:rsidRDefault="001848F6">
          <w:pPr>
            <w:pStyle w:val="TOC2"/>
            <w:rPr>
              <w:rFonts w:asciiTheme="minorHAnsi" w:eastAsiaTheme="minorEastAsia" w:hAnsiTheme="minorHAnsi" w:cstheme="minorBidi"/>
              <w:kern w:val="2"/>
              <w:lang w:val="en-US"/>
              <w14:ligatures w14:val="standardContextual"/>
            </w:rPr>
          </w:pPr>
          <w:hyperlink w:anchor="_Toc233724245" w:history="1">
            <w:r w:rsidRPr="00B353B1">
              <w:rPr>
                <w:rStyle w:val="Hyperlink"/>
                <w:color w:val="auto"/>
                <w:lang w:val="en-AU"/>
              </w:rPr>
              <w:t>Approach and Methodology</w:t>
            </w:r>
            <w:r>
              <w:rPr>
                <w:webHidden/>
              </w:rPr>
              <w:tab/>
            </w:r>
            <w:r>
              <w:rPr>
                <w:webHidden/>
              </w:rPr>
              <w:fldChar w:fldCharType="begin"/>
            </w:r>
            <w:r>
              <w:rPr>
                <w:webHidden/>
              </w:rPr>
              <w:instrText xml:space="preserve"> PAGEREF _Toc233724245 \h </w:instrText>
            </w:r>
            <w:r>
              <w:rPr>
                <w:webHidden/>
              </w:rPr>
            </w:r>
            <w:r>
              <w:rPr>
                <w:webHidden/>
              </w:rPr>
              <w:fldChar w:fldCharType="separate"/>
            </w:r>
            <w:r>
              <w:rPr>
                <w:webHidden/>
              </w:rPr>
              <w:t>3</w:t>
            </w:r>
            <w:r>
              <w:rPr>
                <w:webHidden/>
              </w:rPr>
              <w:fldChar w:fldCharType="end"/>
            </w:r>
          </w:hyperlink>
        </w:p>
        <w:p w14:paraId="30FB62F9" w14:textId="01199B3E" w:rsidR="001848F6" w:rsidRDefault="001848F6">
          <w:pPr>
            <w:pStyle w:val="TOC2"/>
            <w:rPr>
              <w:rFonts w:asciiTheme="minorHAnsi" w:eastAsiaTheme="minorEastAsia" w:hAnsiTheme="minorHAnsi" w:cstheme="minorBidi"/>
              <w:kern w:val="2"/>
              <w:lang w:val="en-US"/>
              <w14:ligatures w14:val="standardContextual"/>
            </w:rPr>
          </w:pPr>
          <w:hyperlink w:anchor="_Toc233724246" w:history="1">
            <w:r w:rsidRPr="00B353B1">
              <w:rPr>
                <w:rStyle w:val="Hyperlink"/>
                <w:color w:val="auto"/>
                <w:lang w:val="en-AU"/>
              </w:rPr>
              <w:t>Key Findings</w:t>
            </w:r>
            <w:r>
              <w:rPr>
                <w:webHidden/>
              </w:rPr>
              <w:tab/>
            </w:r>
            <w:r>
              <w:rPr>
                <w:webHidden/>
              </w:rPr>
              <w:fldChar w:fldCharType="begin"/>
            </w:r>
            <w:r>
              <w:rPr>
                <w:webHidden/>
              </w:rPr>
              <w:instrText xml:space="preserve"> PAGEREF _Toc233724246 \h </w:instrText>
            </w:r>
            <w:r>
              <w:rPr>
                <w:webHidden/>
              </w:rPr>
            </w:r>
            <w:r>
              <w:rPr>
                <w:webHidden/>
              </w:rPr>
              <w:fldChar w:fldCharType="separate"/>
            </w:r>
            <w:r>
              <w:rPr>
                <w:webHidden/>
              </w:rPr>
              <w:t>3</w:t>
            </w:r>
            <w:r>
              <w:rPr>
                <w:webHidden/>
              </w:rPr>
              <w:fldChar w:fldCharType="end"/>
            </w:r>
          </w:hyperlink>
        </w:p>
        <w:p w14:paraId="3710C57F" w14:textId="1CB2A86C" w:rsidR="001848F6" w:rsidRDefault="001848F6">
          <w:pPr>
            <w:pStyle w:val="TOC2"/>
            <w:rPr>
              <w:rFonts w:asciiTheme="minorHAnsi" w:eastAsiaTheme="minorEastAsia" w:hAnsiTheme="minorHAnsi" w:cstheme="minorBidi"/>
              <w:kern w:val="2"/>
              <w:lang w:val="en-US"/>
              <w14:ligatures w14:val="standardContextual"/>
            </w:rPr>
          </w:pPr>
          <w:hyperlink w:anchor="_Toc233724247" w:history="1">
            <w:r w:rsidRPr="00B353B1">
              <w:rPr>
                <w:rStyle w:val="Hyperlink"/>
                <w:color w:val="auto"/>
                <w:lang w:val="en-AU"/>
              </w:rPr>
              <w:t>Recommendations</w:t>
            </w:r>
            <w:r>
              <w:rPr>
                <w:webHidden/>
              </w:rPr>
              <w:tab/>
            </w:r>
            <w:r>
              <w:rPr>
                <w:webHidden/>
              </w:rPr>
              <w:fldChar w:fldCharType="begin"/>
            </w:r>
            <w:r>
              <w:rPr>
                <w:webHidden/>
              </w:rPr>
              <w:instrText xml:space="preserve"> PAGEREF _Toc233724247 \h </w:instrText>
            </w:r>
            <w:r>
              <w:rPr>
                <w:webHidden/>
              </w:rPr>
            </w:r>
            <w:r>
              <w:rPr>
                <w:webHidden/>
              </w:rPr>
              <w:fldChar w:fldCharType="separate"/>
            </w:r>
            <w:r>
              <w:rPr>
                <w:webHidden/>
              </w:rPr>
              <w:t>7</w:t>
            </w:r>
            <w:r>
              <w:rPr>
                <w:webHidden/>
              </w:rPr>
              <w:fldChar w:fldCharType="end"/>
            </w:r>
          </w:hyperlink>
        </w:p>
        <w:p w14:paraId="19756737" w14:textId="04777A2E"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48" w:history="1">
            <w:r w:rsidRPr="00B353B1">
              <w:rPr>
                <w:rStyle w:val="Hyperlink"/>
                <w:color w:val="auto"/>
                <w:lang w:val="en-AU"/>
              </w:rPr>
              <w:t>Introduction</w:t>
            </w:r>
            <w:r>
              <w:rPr>
                <w:webHidden/>
              </w:rPr>
              <w:tab/>
            </w:r>
            <w:r>
              <w:rPr>
                <w:webHidden/>
              </w:rPr>
              <w:fldChar w:fldCharType="begin"/>
            </w:r>
            <w:r>
              <w:rPr>
                <w:webHidden/>
              </w:rPr>
              <w:instrText xml:space="preserve"> PAGEREF _Toc233724248 \h </w:instrText>
            </w:r>
            <w:r>
              <w:rPr>
                <w:webHidden/>
              </w:rPr>
            </w:r>
            <w:r>
              <w:rPr>
                <w:webHidden/>
              </w:rPr>
              <w:fldChar w:fldCharType="separate"/>
            </w:r>
            <w:r>
              <w:rPr>
                <w:webHidden/>
              </w:rPr>
              <w:t>8</w:t>
            </w:r>
            <w:r>
              <w:rPr>
                <w:webHidden/>
              </w:rPr>
              <w:fldChar w:fldCharType="end"/>
            </w:r>
          </w:hyperlink>
        </w:p>
        <w:p w14:paraId="480566CC" w14:textId="186C108D"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49" w:history="1">
            <w:r w:rsidRPr="00B353B1">
              <w:rPr>
                <w:rStyle w:val="Hyperlink"/>
                <w:color w:val="auto"/>
                <w:lang w:val="en-AU"/>
              </w:rPr>
              <w:t>Program Background</w:t>
            </w:r>
            <w:r>
              <w:rPr>
                <w:webHidden/>
              </w:rPr>
              <w:tab/>
            </w:r>
            <w:r>
              <w:rPr>
                <w:webHidden/>
              </w:rPr>
              <w:fldChar w:fldCharType="begin"/>
            </w:r>
            <w:r>
              <w:rPr>
                <w:webHidden/>
              </w:rPr>
              <w:instrText xml:space="preserve"> PAGEREF _Toc233724249 \h </w:instrText>
            </w:r>
            <w:r>
              <w:rPr>
                <w:webHidden/>
              </w:rPr>
            </w:r>
            <w:r>
              <w:rPr>
                <w:webHidden/>
              </w:rPr>
              <w:fldChar w:fldCharType="separate"/>
            </w:r>
            <w:r>
              <w:rPr>
                <w:webHidden/>
              </w:rPr>
              <w:t>8</w:t>
            </w:r>
            <w:r>
              <w:rPr>
                <w:webHidden/>
              </w:rPr>
              <w:fldChar w:fldCharType="end"/>
            </w:r>
          </w:hyperlink>
        </w:p>
        <w:p w14:paraId="12457455" w14:textId="600DFEA6"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50" w:history="1">
            <w:r w:rsidRPr="00B353B1">
              <w:rPr>
                <w:rStyle w:val="Hyperlink"/>
                <w:color w:val="auto"/>
                <w:lang w:val="en-AU"/>
              </w:rPr>
              <w:t>Purpose and Scope of the Evaluation</w:t>
            </w:r>
            <w:r>
              <w:rPr>
                <w:webHidden/>
              </w:rPr>
              <w:tab/>
            </w:r>
            <w:r>
              <w:rPr>
                <w:webHidden/>
              </w:rPr>
              <w:fldChar w:fldCharType="begin"/>
            </w:r>
            <w:r>
              <w:rPr>
                <w:webHidden/>
              </w:rPr>
              <w:instrText xml:space="preserve"> PAGEREF _Toc233724250 \h </w:instrText>
            </w:r>
            <w:r>
              <w:rPr>
                <w:webHidden/>
              </w:rPr>
            </w:r>
            <w:r>
              <w:rPr>
                <w:webHidden/>
              </w:rPr>
              <w:fldChar w:fldCharType="separate"/>
            </w:r>
            <w:r>
              <w:rPr>
                <w:webHidden/>
              </w:rPr>
              <w:t>11</w:t>
            </w:r>
            <w:r>
              <w:rPr>
                <w:webHidden/>
              </w:rPr>
              <w:fldChar w:fldCharType="end"/>
            </w:r>
          </w:hyperlink>
        </w:p>
        <w:p w14:paraId="0D8C9AA7" w14:textId="527DE1C5" w:rsidR="001848F6" w:rsidRDefault="001848F6">
          <w:pPr>
            <w:pStyle w:val="TOC2"/>
            <w:rPr>
              <w:rFonts w:asciiTheme="minorHAnsi" w:eastAsiaTheme="minorEastAsia" w:hAnsiTheme="minorHAnsi" w:cstheme="minorBidi"/>
              <w:kern w:val="2"/>
              <w:lang w:val="en-US"/>
              <w14:ligatures w14:val="standardContextual"/>
            </w:rPr>
          </w:pPr>
          <w:hyperlink w:anchor="_Toc233724251" w:history="1">
            <w:r w:rsidRPr="00B353B1">
              <w:rPr>
                <w:rStyle w:val="Hyperlink"/>
                <w:iCs/>
                <w:color w:val="auto"/>
                <w:lang w:val="en-AU"/>
              </w:rPr>
              <w:t>Purpose</w:t>
            </w:r>
            <w:r>
              <w:rPr>
                <w:webHidden/>
              </w:rPr>
              <w:tab/>
            </w:r>
            <w:r>
              <w:rPr>
                <w:webHidden/>
              </w:rPr>
              <w:fldChar w:fldCharType="begin"/>
            </w:r>
            <w:r>
              <w:rPr>
                <w:webHidden/>
              </w:rPr>
              <w:instrText xml:space="preserve"> PAGEREF _Toc233724251 \h </w:instrText>
            </w:r>
            <w:r>
              <w:rPr>
                <w:webHidden/>
              </w:rPr>
            </w:r>
            <w:r>
              <w:rPr>
                <w:webHidden/>
              </w:rPr>
              <w:fldChar w:fldCharType="separate"/>
            </w:r>
            <w:r>
              <w:rPr>
                <w:webHidden/>
              </w:rPr>
              <w:t>11</w:t>
            </w:r>
            <w:r>
              <w:rPr>
                <w:webHidden/>
              </w:rPr>
              <w:fldChar w:fldCharType="end"/>
            </w:r>
          </w:hyperlink>
        </w:p>
        <w:p w14:paraId="6615ADDD" w14:textId="55B8DD06" w:rsidR="001848F6" w:rsidRDefault="001848F6">
          <w:pPr>
            <w:pStyle w:val="TOC2"/>
            <w:rPr>
              <w:rFonts w:asciiTheme="minorHAnsi" w:eastAsiaTheme="minorEastAsia" w:hAnsiTheme="minorHAnsi" w:cstheme="minorBidi"/>
              <w:kern w:val="2"/>
              <w:lang w:val="en-US"/>
              <w14:ligatures w14:val="standardContextual"/>
            </w:rPr>
          </w:pPr>
          <w:hyperlink w:anchor="_Toc233724252" w:history="1">
            <w:r w:rsidRPr="00B353B1">
              <w:rPr>
                <w:rStyle w:val="Hyperlink"/>
                <w:iCs/>
                <w:color w:val="auto"/>
                <w:lang w:val="en-AU"/>
              </w:rPr>
              <w:t>Scope</w:t>
            </w:r>
            <w:r>
              <w:rPr>
                <w:webHidden/>
              </w:rPr>
              <w:tab/>
            </w:r>
            <w:r>
              <w:rPr>
                <w:webHidden/>
              </w:rPr>
              <w:fldChar w:fldCharType="begin"/>
            </w:r>
            <w:r>
              <w:rPr>
                <w:webHidden/>
              </w:rPr>
              <w:instrText xml:space="preserve"> PAGEREF _Toc233724252 \h </w:instrText>
            </w:r>
            <w:r>
              <w:rPr>
                <w:webHidden/>
              </w:rPr>
            </w:r>
            <w:r>
              <w:rPr>
                <w:webHidden/>
              </w:rPr>
              <w:fldChar w:fldCharType="separate"/>
            </w:r>
            <w:r>
              <w:rPr>
                <w:webHidden/>
              </w:rPr>
              <w:t>11</w:t>
            </w:r>
            <w:r>
              <w:rPr>
                <w:webHidden/>
              </w:rPr>
              <w:fldChar w:fldCharType="end"/>
            </w:r>
          </w:hyperlink>
        </w:p>
        <w:p w14:paraId="68BBF623" w14:textId="257EDAA1"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53" w:history="1">
            <w:r w:rsidRPr="00B353B1">
              <w:rPr>
                <w:rStyle w:val="Hyperlink"/>
                <w:color w:val="auto"/>
                <w:lang w:val="en-AU"/>
              </w:rPr>
              <w:t>Approach and Methodology</w:t>
            </w:r>
            <w:r>
              <w:rPr>
                <w:webHidden/>
              </w:rPr>
              <w:tab/>
            </w:r>
            <w:r>
              <w:rPr>
                <w:webHidden/>
              </w:rPr>
              <w:fldChar w:fldCharType="begin"/>
            </w:r>
            <w:r>
              <w:rPr>
                <w:webHidden/>
              </w:rPr>
              <w:instrText xml:space="preserve"> PAGEREF _Toc233724253 \h </w:instrText>
            </w:r>
            <w:r>
              <w:rPr>
                <w:webHidden/>
              </w:rPr>
            </w:r>
            <w:r>
              <w:rPr>
                <w:webHidden/>
              </w:rPr>
              <w:fldChar w:fldCharType="separate"/>
            </w:r>
            <w:r>
              <w:rPr>
                <w:webHidden/>
              </w:rPr>
              <w:t>11</w:t>
            </w:r>
            <w:r>
              <w:rPr>
                <w:webHidden/>
              </w:rPr>
              <w:fldChar w:fldCharType="end"/>
            </w:r>
          </w:hyperlink>
        </w:p>
        <w:p w14:paraId="0DDE8A6A" w14:textId="2EE24A36"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54" w:history="1">
            <w:r w:rsidRPr="00B353B1">
              <w:rPr>
                <w:rStyle w:val="Hyperlink"/>
                <w:color w:val="auto"/>
                <w:lang w:val="en-AU"/>
              </w:rPr>
              <w:t>Key Evaluation Questions</w:t>
            </w:r>
            <w:r>
              <w:rPr>
                <w:webHidden/>
              </w:rPr>
              <w:tab/>
            </w:r>
            <w:r>
              <w:rPr>
                <w:webHidden/>
              </w:rPr>
              <w:fldChar w:fldCharType="begin"/>
            </w:r>
            <w:r>
              <w:rPr>
                <w:webHidden/>
              </w:rPr>
              <w:instrText xml:space="preserve"> PAGEREF _Toc233724254 \h </w:instrText>
            </w:r>
            <w:r>
              <w:rPr>
                <w:webHidden/>
              </w:rPr>
            </w:r>
            <w:r>
              <w:rPr>
                <w:webHidden/>
              </w:rPr>
              <w:fldChar w:fldCharType="separate"/>
            </w:r>
            <w:r>
              <w:rPr>
                <w:webHidden/>
              </w:rPr>
              <w:t>12</w:t>
            </w:r>
            <w:r>
              <w:rPr>
                <w:webHidden/>
              </w:rPr>
              <w:fldChar w:fldCharType="end"/>
            </w:r>
          </w:hyperlink>
        </w:p>
        <w:p w14:paraId="2D70B4FD" w14:textId="21559DA1"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55" w:history="1">
            <w:r w:rsidRPr="00B353B1">
              <w:rPr>
                <w:rStyle w:val="Hyperlink"/>
                <w:color w:val="auto"/>
                <w:lang w:val="en-AU"/>
              </w:rPr>
              <w:t>Evaluation Limitations</w:t>
            </w:r>
            <w:r>
              <w:rPr>
                <w:webHidden/>
              </w:rPr>
              <w:tab/>
            </w:r>
            <w:r>
              <w:rPr>
                <w:webHidden/>
              </w:rPr>
              <w:fldChar w:fldCharType="begin"/>
            </w:r>
            <w:r>
              <w:rPr>
                <w:webHidden/>
              </w:rPr>
              <w:instrText xml:space="preserve"> PAGEREF _Toc233724255 \h </w:instrText>
            </w:r>
            <w:r>
              <w:rPr>
                <w:webHidden/>
              </w:rPr>
            </w:r>
            <w:r>
              <w:rPr>
                <w:webHidden/>
              </w:rPr>
              <w:fldChar w:fldCharType="separate"/>
            </w:r>
            <w:r>
              <w:rPr>
                <w:webHidden/>
              </w:rPr>
              <w:t>13</w:t>
            </w:r>
            <w:r>
              <w:rPr>
                <w:webHidden/>
              </w:rPr>
              <w:fldChar w:fldCharType="end"/>
            </w:r>
          </w:hyperlink>
        </w:p>
        <w:p w14:paraId="57DC1564" w14:textId="7697D846"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56" w:history="1">
            <w:r w:rsidRPr="00B353B1">
              <w:rPr>
                <w:rStyle w:val="Hyperlink"/>
                <w:color w:val="auto"/>
                <w:lang w:val="en-AU"/>
              </w:rPr>
              <w:t>Key Findings</w:t>
            </w:r>
            <w:r>
              <w:rPr>
                <w:webHidden/>
              </w:rPr>
              <w:tab/>
            </w:r>
            <w:r>
              <w:rPr>
                <w:webHidden/>
              </w:rPr>
              <w:fldChar w:fldCharType="begin"/>
            </w:r>
            <w:r>
              <w:rPr>
                <w:webHidden/>
              </w:rPr>
              <w:instrText xml:space="preserve"> PAGEREF _Toc233724256 \h </w:instrText>
            </w:r>
            <w:r>
              <w:rPr>
                <w:webHidden/>
              </w:rPr>
            </w:r>
            <w:r>
              <w:rPr>
                <w:webHidden/>
              </w:rPr>
              <w:fldChar w:fldCharType="separate"/>
            </w:r>
            <w:r>
              <w:rPr>
                <w:webHidden/>
              </w:rPr>
              <w:t>13</w:t>
            </w:r>
            <w:r>
              <w:rPr>
                <w:webHidden/>
              </w:rPr>
              <w:fldChar w:fldCharType="end"/>
            </w:r>
          </w:hyperlink>
        </w:p>
        <w:p w14:paraId="312D821C" w14:textId="4DEF24FA" w:rsidR="001848F6" w:rsidRDefault="001848F6">
          <w:pPr>
            <w:pStyle w:val="TOC2"/>
            <w:rPr>
              <w:rFonts w:asciiTheme="minorHAnsi" w:eastAsiaTheme="minorEastAsia" w:hAnsiTheme="minorHAnsi" w:cstheme="minorBidi"/>
              <w:kern w:val="2"/>
              <w:lang w:val="en-US"/>
              <w14:ligatures w14:val="standardContextual"/>
            </w:rPr>
          </w:pPr>
          <w:hyperlink w:anchor="_Toc233724257" w:history="1">
            <w:r w:rsidRPr="00B353B1">
              <w:rPr>
                <w:rStyle w:val="Hyperlink"/>
                <w:color w:val="auto"/>
                <w:lang w:val="en-AU"/>
              </w:rPr>
              <w:t>Relevance</w:t>
            </w:r>
            <w:r>
              <w:rPr>
                <w:webHidden/>
              </w:rPr>
              <w:tab/>
            </w:r>
            <w:r>
              <w:rPr>
                <w:webHidden/>
              </w:rPr>
              <w:fldChar w:fldCharType="begin"/>
            </w:r>
            <w:r>
              <w:rPr>
                <w:webHidden/>
              </w:rPr>
              <w:instrText xml:space="preserve"> PAGEREF _Toc233724257 \h </w:instrText>
            </w:r>
            <w:r>
              <w:rPr>
                <w:webHidden/>
              </w:rPr>
            </w:r>
            <w:r>
              <w:rPr>
                <w:webHidden/>
              </w:rPr>
              <w:fldChar w:fldCharType="separate"/>
            </w:r>
            <w:r>
              <w:rPr>
                <w:webHidden/>
              </w:rPr>
              <w:t>14</w:t>
            </w:r>
            <w:r>
              <w:rPr>
                <w:webHidden/>
              </w:rPr>
              <w:fldChar w:fldCharType="end"/>
            </w:r>
          </w:hyperlink>
        </w:p>
        <w:p w14:paraId="39E52B69" w14:textId="12396FD1" w:rsidR="001848F6" w:rsidRDefault="001848F6">
          <w:pPr>
            <w:pStyle w:val="TOC2"/>
            <w:rPr>
              <w:rFonts w:asciiTheme="minorHAnsi" w:eastAsiaTheme="minorEastAsia" w:hAnsiTheme="minorHAnsi" w:cstheme="minorBidi"/>
              <w:kern w:val="2"/>
              <w:lang w:val="en-US"/>
              <w14:ligatures w14:val="standardContextual"/>
            </w:rPr>
          </w:pPr>
          <w:hyperlink w:anchor="_Toc233724258" w:history="1">
            <w:r w:rsidRPr="00B353B1">
              <w:rPr>
                <w:rStyle w:val="Hyperlink"/>
                <w:color w:val="auto"/>
                <w:lang w:val="en-AU"/>
              </w:rPr>
              <w:t>Coherence</w:t>
            </w:r>
            <w:r>
              <w:rPr>
                <w:webHidden/>
              </w:rPr>
              <w:tab/>
            </w:r>
            <w:r>
              <w:rPr>
                <w:webHidden/>
              </w:rPr>
              <w:fldChar w:fldCharType="begin"/>
            </w:r>
            <w:r>
              <w:rPr>
                <w:webHidden/>
              </w:rPr>
              <w:instrText xml:space="preserve"> PAGEREF _Toc233724258 \h </w:instrText>
            </w:r>
            <w:r>
              <w:rPr>
                <w:webHidden/>
              </w:rPr>
            </w:r>
            <w:r>
              <w:rPr>
                <w:webHidden/>
              </w:rPr>
              <w:fldChar w:fldCharType="separate"/>
            </w:r>
            <w:r>
              <w:rPr>
                <w:webHidden/>
              </w:rPr>
              <w:t>16</w:t>
            </w:r>
            <w:r>
              <w:rPr>
                <w:webHidden/>
              </w:rPr>
              <w:fldChar w:fldCharType="end"/>
            </w:r>
          </w:hyperlink>
        </w:p>
        <w:p w14:paraId="27BF40AD" w14:textId="08482B96" w:rsidR="001848F6" w:rsidRDefault="001848F6">
          <w:pPr>
            <w:pStyle w:val="TOC2"/>
            <w:rPr>
              <w:rFonts w:asciiTheme="minorHAnsi" w:eastAsiaTheme="minorEastAsia" w:hAnsiTheme="minorHAnsi" w:cstheme="minorBidi"/>
              <w:kern w:val="2"/>
              <w:lang w:val="en-US"/>
              <w14:ligatures w14:val="standardContextual"/>
            </w:rPr>
          </w:pPr>
          <w:hyperlink w:anchor="_Toc233724259" w:history="1">
            <w:r w:rsidRPr="00B353B1">
              <w:rPr>
                <w:rStyle w:val="Hyperlink"/>
                <w:color w:val="auto"/>
                <w:lang w:val="en-AU"/>
              </w:rPr>
              <w:t>Effectiveness</w:t>
            </w:r>
            <w:r>
              <w:rPr>
                <w:webHidden/>
              </w:rPr>
              <w:tab/>
            </w:r>
            <w:r>
              <w:rPr>
                <w:webHidden/>
              </w:rPr>
              <w:fldChar w:fldCharType="begin"/>
            </w:r>
            <w:r>
              <w:rPr>
                <w:webHidden/>
              </w:rPr>
              <w:instrText xml:space="preserve"> PAGEREF _Toc233724259 \h </w:instrText>
            </w:r>
            <w:r>
              <w:rPr>
                <w:webHidden/>
              </w:rPr>
            </w:r>
            <w:r>
              <w:rPr>
                <w:webHidden/>
              </w:rPr>
              <w:fldChar w:fldCharType="separate"/>
            </w:r>
            <w:r>
              <w:rPr>
                <w:webHidden/>
              </w:rPr>
              <w:t>19</w:t>
            </w:r>
            <w:r>
              <w:rPr>
                <w:webHidden/>
              </w:rPr>
              <w:fldChar w:fldCharType="end"/>
            </w:r>
          </w:hyperlink>
        </w:p>
        <w:p w14:paraId="6F20E50B" w14:textId="0F12A09F" w:rsidR="001848F6" w:rsidRDefault="001848F6">
          <w:pPr>
            <w:pStyle w:val="TOC2"/>
            <w:rPr>
              <w:rFonts w:asciiTheme="minorHAnsi" w:eastAsiaTheme="minorEastAsia" w:hAnsiTheme="minorHAnsi" w:cstheme="minorBidi"/>
              <w:kern w:val="2"/>
              <w:lang w:val="en-US"/>
              <w14:ligatures w14:val="standardContextual"/>
            </w:rPr>
          </w:pPr>
          <w:hyperlink w:anchor="_Toc233724260" w:history="1">
            <w:r w:rsidRPr="00B353B1">
              <w:rPr>
                <w:rStyle w:val="Hyperlink"/>
                <w:color w:val="auto"/>
                <w:lang w:val="en-AU"/>
              </w:rPr>
              <w:t>Efficiency</w:t>
            </w:r>
            <w:r>
              <w:rPr>
                <w:webHidden/>
              </w:rPr>
              <w:tab/>
            </w:r>
            <w:r>
              <w:rPr>
                <w:webHidden/>
              </w:rPr>
              <w:fldChar w:fldCharType="begin"/>
            </w:r>
            <w:r>
              <w:rPr>
                <w:webHidden/>
              </w:rPr>
              <w:instrText xml:space="preserve"> PAGEREF _Toc233724260 \h </w:instrText>
            </w:r>
            <w:r>
              <w:rPr>
                <w:webHidden/>
              </w:rPr>
            </w:r>
            <w:r>
              <w:rPr>
                <w:webHidden/>
              </w:rPr>
              <w:fldChar w:fldCharType="separate"/>
            </w:r>
            <w:r>
              <w:rPr>
                <w:webHidden/>
              </w:rPr>
              <w:t>33</w:t>
            </w:r>
            <w:r>
              <w:rPr>
                <w:webHidden/>
              </w:rPr>
              <w:fldChar w:fldCharType="end"/>
            </w:r>
          </w:hyperlink>
        </w:p>
        <w:p w14:paraId="5BFFB9AD" w14:textId="57C310BD" w:rsidR="001848F6" w:rsidRDefault="001848F6">
          <w:pPr>
            <w:pStyle w:val="TOC2"/>
            <w:rPr>
              <w:rFonts w:asciiTheme="minorHAnsi" w:eastAsiaTheme="minorEastAsia" w:hAnsiTheme="minorHAnsi" w:cstheme="minorBidi"/>
              <w:kern w:val="2"/>
              <w:lang w:val="en-US"/>
              <w14:ligatures w14:val="standardContextual"/>
            </w:rPr>
          </w:pPr>
          <w:hyperlink w:anchor="_Toc233724261" w:history="1">
            <w:r w:rsidRPr="00B353B1">
              <w:rPr>
                <w:rStyle w:val="Hyperlink"/>
                <w:color w:val="auto"/>
                <w:lang w:val="en-AU"/>
              </w:rPr>
              <w:t>Sustainability</w:t>
            </w:r>
            <w:r>
              <w:rPr>
                <w:webHidden/>
              </w:rPr>
              <w:tab/>
            </w:r>
            <w:r>
              <w:rPr>
                <w:webHidden/>
              </w:rPr>
              <w:fldChar w:fldCharType="begin"/>
            </w:r>
            <w:r>
              <w:rPr>
                <w:webHidden/>
              </w:rPr>
              <w:instrText xml:space="preserve"> PAGEREF _Toc233724261 \h </w:instrText>
            </w:r>
            <w:r>
              <w:rPr>
                <w:webHidden/>
              </w:rPr>
            </w:r>
            <w:r>
              <w:rPr>
                <w:webHidden/>
              </w:rPr>
              <w:fldChar w:fldCharType="separate"/>
            </w:r>
            <w:r>
              <w:rPr>
                <w:webHidden/>
              </w:rPr>
              <w:t>35</w:t>
            </w:r>
            <w:r>
              <w:rPr>
                <w:webHidden/>
              </w:rPr>
              <w:fldChar w:fldCharType="end"/>
            </w:r>
          </w:hyperlink>
        </w:p>
        <w:p w14:paraId="7C83043A" w14:textId="71BC9ED9" w:rsidR="001848F6" w:rsidRDefault="001848F6">
          <w:pPr>
            <w:pStyle w:val="TOC2"/>
            <w:rPr>
              <w:rFonts w:asciiTheme="minorHAnsi" w:eastAsiaTheme="minorEastAsia" w:hAnsiTheme="minorHAnsi" w:cstheme="minorBidi"/>
              <w:kern w:val="2"/>
              <w:lang w:val="en-US"/>
              <w14:ligatures w14:val="standardContextual"/>
            </w:rPr>
          </w:pPr>
          <w:hyperlink w:anchor="_Toc233724262" w:history="1">
            <w:r w:rsidRPr="00B353B1">
              <w:rPr>
                <w:rStyle w:val="Hyperlink"/>
                <w:color w:val="auto"/>
                <w:lang w:val="en-AU"/>
              </w:rPr>
              <w:t>Future Guidance</w:t>
            </w:r>
            <w:r>
              <w:rPr>
                <w:webHidden/>
              </w:rPr>
              <w:tab/>
            </w:r>
            <w:r>
              <w:rPr>
                <w:webHidden/>
              </w:rPr>
              <w:fldChar w:fldCharType="begin"/>
            </w:r>
            <w:r>
              <w:rPr>
                <w:webHidden/>
              </w:rPr>
              <w:instrText xml:space="preserve"> PAGEREF _Toc233724262 \h </w:instrText>
            </w:r>
            <w:r>
              <w:rPr>
                <w:webHidden/>
              </w:rPr>
            </w:r>
            <w:r>
              <w:rPr>
                <w:webHidden/>
              </w:rPr>
              <w:fldChar w:fldCharType="separate"/>
            </w:r>
            <w:r>
              <w:rPr>
                <w:webHidden/>
              </w:rPr>
              <w:t>36</w:t>
            </w:r>
            <w:r>
              <w:rPr>
                <w:webHidden/>
              </w:rPr>
              <w:fldChar w:fldCharType="end"/>
            </w:r>
          </w:hyperlink>
        </w:p>
        <w:p w14:paraId="494611DE" w14:textId="2BA64EEF"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3" w:history="1">
            <w:r w:rsidRPr="00B353B1">
              <w:rPr>
                <w:rStyle w:val="Hyperlink"/>
                <w:color w:val="auto"/>
                <w:lang w:val="en-AU"/>
              </w:rPr>
              <w:t>Key Conclusions and Recommendations</w:t>
            </w:r>
            <w:r>
              <w:rPr>
                <w:webHidden/>
              </w:rPr>
              <w:tab/>
            </w:r>
            <w:r>
              <w:rPr>
                <w:webHidden/>
              </w:rPr>
              <w:fldChar w:fldCharType="begin"/>
            </w:r>
            <w:r>
              <w:rPr>
                <w:webHidden/>
              </w:rPr>
              <w:instrText xml:space="preserve"> PAGEREF _Toc233724263 \h </w:instrText>
            </w:r>
            <w:r>
              <w:rPr>
                <w:webHidden/>
              </w:rPr>
            </w:r>
            <w:r>
              <w:rPr>
                <w:webHidden/>
              </w:rPr>
              <w:fldChar w:fldCharType="separate"/>
            </w:r>
            <w:r>
              <w:rPr>
                <w:webHidden/>
              </w:rPr>
              <w:t>38</w:t>
            </w:r>
            <w:r>
              <w:rPr>
                <w:webHidden/>
              </w:rPr>
              <w:fldChar w:fldCharType="end"/>
            </w:r>
          </w:hyperlink>
        </w:p>
        <w:p w14:paraId="20284199" w14:textId="6FEF3CD4"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4" w:history="1">
            <w:r w:rsidRPr="00B353B1">
              <w:rPr>
                <w:rStyle w:val="Hyperlink"/>
                <w:color w:val="auto"/>
                <w:lang w:val="en-AU"/>
              </w:rPr>
              <w:t>Annex 1: Terms of Reference</w:t>
            </w:r>
            <w:r>
              <w:rPr>
                <w:webHidden/>
              </w:rPr>
              <w:tab/>
            </w:r>
            <w:r>
              <w:rPr>
                <w:webHidden/>
              </w:rPr>
              <w:fldChar w:fldCharType="begin"/>
            </w:r>
            <w:r>
              <w:rPr>
                <w:webHidden/>
              </w:rPr>
              <w:instrText xml:space="preserve"> PAGEREF _Toc233724264 \h </w:instrText>
            </w:r>
            <w:r>
              <w:rPr>
                <w:webHidden/>
              </w:rPr>
            </w:r>
            <w:r>
              <w:rPr>
                <w:webHidden/>
              </w:rPr>
              <w:fldChar w:fldCharType="separate"/>
            </w:r>
            <w:r>
              <w:rPr>
                <w:webHidden/>
              </w:rPr>
              <w:t>40</w:t>
            </w:r>
            <w:r>
              <w:rPr>
                <w:webHidden/>
              </w:rPr>
              <w:fldChar w:fldCharType="end"/>
            </w:r>
          </w:hyperlink>
        </w:p>
        <w:p w14:paraId="43695D27" w14:textId="65DB6189"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5" w:history="1">
            <w:r w:rsidRPr="00B353B1">
              <w:rPr>
                <w:rStyle w:val="Hyperlink"/>
                <w:color w:val="auto"/>
                <w:lang w:val="en-AU"/>
              </w:rPr>
              <w:t>Annex 2: VPSDP Theory of Change</w:t>
            </w:r>
            <w:r>
              <w:rPr>
                <w:webHidden/>
              </w:rPr>
              <w:tab/>
            </w:r>
            <w:r>
              <w:rPr>
                <w:webHidden/>
              </w:rPr>
              <w:fldChar w:fldCharType="begin"/>
            </w:r>
            <w:r>
              <w:rPr>
                <w:webHidden/>
              </w:rPr>
              <w:instrText xml:space="preserve"> PAGEREF _Toc233724265 \h </w:instrText>
            </w:r>
            <w:r>
              <w:rPr>
                <w:webHidden/>
              </w:rPr>
            </w:r>
            <w:r>
              <w:rPr>
                <w:webHidden/>
              </w:rPr>
              <w:fldChar w:fldCharType="separate"/>
            </w:r>
            <w:r>
              <w:rPr>
                <w:webHidden/>
              </w:rPr>
              <w:t>45</w:t>
            </w:r>
            <w:r>
              <w:rPr>
                <w:webHidden/>
              </w:rPr>
              <w:fldChar w:fldCharType="end"/>
            </w:r>
          </w:hyperlink>
        </w:p>
        <w:p w14:paraId="3C278174" w14:textId="3E96FE05"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6" w:history="1">
            <w:r w:rsidRPr="00B353B1">
              <w:rPr>
                <w:rStyle w:val="Hyperlink"/>
                <w:color w:val="auto"/>
                <w:lang w:val="en-AU"/>
              </w:rPr>
              <w:t>Annex 3: List of People Interviewed</w:t>
            </w:r>
            <w:r>
              <w:rPr>
                <w:webHidden/>
              </w:rPr>
              <w:tab/>
            </w:r>
            <w:r>
              <w:rPr>
                <w:webHidden/>
              </w:rPr>
              <w:fldChar w:fldCharType="begin"/>
            </w:r>
            <w:r>
              <w:rPr>
                <w:webHidden/>
              </w:rPr>
              <w:instrText xml:space="preserve"> PAGEREF _Toc233724266 \h </w:instrText>
            </w:r>
            <w:r>
              <w:rPr>
                <w:webHidden/>
              </w:rPr>
            </w:r>
            <w:r>
              <w:rPr>
                <w:webHidden/>
              </w:rPr>
              <w:fldChar w:fldCharType="separate"/>
            </w:r>
            <w:r>
              <w:rPr>
                <w:webHidden/>
              </w:rPr>
              <w:t>47</w:t>
            </w:r>
            <w:r>
              <w:rPr>
                <w:webHidden/>
              </w:rPr>
              <w:fldChar w:fldCharType="end"/>
            </w:r>
          </w:hyperlink>
        </w:p>
        <w:p w14:paraId="529E0247" w14:textId="113C8019"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7" w:history="1">
            <w:r w:rsidRPr="00B353B1">
              <w:rPr>
                <w:rStyle w:val="Hyperlink"/>
                <w:color w:val="auto"/>
                <w:lang w:val="en-AU"/>
              </w:rPr>
              <w:t>Annex 4: List of Documents Reviewed</w:t>
            </w:r>
            <w:r>
              <w:rPr>
                <w:webHidden/>
              </w:rPr>
              <w:tab/>
            </w:r>
            <w:r>
              <w:rPr>
                <w:webHidden/>
              </w:rPr>
              <w:fldChar w:fldCharType="begin"/>
            </w:r>
            <w:r>
              <w:rPr>
                <w:webHidden/>
              </w:rPr>
              <w:instrText xml:space="preserve"> PAGEREF _Toc233724267 \h </w:instrText>
            </w:r>
            <w:r>
              <w:rPr>
                <w:webHidden/>
              </w:rPr>
            </w:r>
            <w:r>
              <w:rPr>
                <w:webHidden/>
              </w:rPr>
              <w:fldChar w:fldCharType="separate"/>
            </w:r>
            <w:r>
              <w:rPr>
                <w:webHidden/>
              </w:rPr>
              <w:t>50</w:t>
            </w:r>
            <w:r>
              <w:rPr>
                <w:webHidden/>
              </w:rPr>
              <w:fldChar w:fldCharType="end"/>
            </w:r>
          </w:hyperlink>
        </w:p>
        <w:p w14:paraId="12CA2E0B" w14:textId="155E3A3C"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8" w:history="1">
            <w:r w:rsidRPr="00B353B1">
              <w:rPr>
                <w:rStyle w:val="Hyperlink"/>
                <w:color w:val="auto"/>
                <w:lang w:val="en-AU"/>
              </w:rPr>
              <w:t>Annex 5: VPSDP Results Framework</w:t>
            </w:r>
            <w:r>
              <w:rPr>
                <w:webHidden/>
              </w:rPr>
              <w:tab/>
            </w:r>
            <w:r>
              <w:rPr>
                <w:webHidden/>
              </w:rPr>
              <w:fldChar w:fldCharType="begin"/>
            </w:r>
            <w:r>
              <w:rPr>
                <w:webHidden/>
              </w:rPr>
              <w:instrText xml:space="preserve"> PAGEREF _Toc233724268 \h </w:instrText>
            </w:r>
            <w:r>
              <w:rPr>
                <w:webHidden/>
              </w:rPr>
            </w:r>
            <w:r>
              <w:rPr>
                <w:webHidden/>
              </w:rPr>
              <w:fldChar w:fldCharType="separate"/>
            </w:r>
            <w:r>
              <w:rPr>
                <w:webHidden/>
              </w:rPr>
              <w:t>51</w:t>
            </w:r>
            <w:r>
              <w:rPr>
                <w:webHidden/>
              </w:rPr>
              <w:fldChar w:fldCharType="end"/>
            </w:r>
          </w:hyperlink>
        </w:p>
        <w:p w14:paraId="71552413" w14:textId="4939F886" w:rsidR="001848F6" w:rsidRDefault="001848F6">
          <w:pPr>
            <w:pStyle w:val="TOC1"/>
            <w:rPr>
              <w:rFonts w:asciiTheme="minorHAnsi" w:eastAsiaTheme="minorEastAsia" w:hAnsiTheme="minorHAnsi" w:cstheme="minorBidi"/>
              <w:b w:val="0"/>
              <w:bCs w:val="0"/>
              <w:kern w:val="2"/>
              <w:szCs w:val="24"/>
              <w:lang w:val="en-US"/>
              <w14:ligatures w14:val="standardContextual"/>
            </w:rPr>
          </w:pPr>
          <w:hyperlink w:anchor="_Toc233724269" w:history="1">
            <w:r w:rsidRPr="00B353B1">
              <w:rPr>
                <w:rStyle w:val="Hyperlink"/>
                <w:color w:val="auto"/>
                <w:lang w:val="en-AU"/>
              </w:rPr>
              <w:t>Annex 6: Accessible Versions of Images</w:t>
            </w:r>
            <w:r>
              <w:rPr>
                <w:webHidden/>
              </w:rPr>
              <w:tab/>
            </w:r>
            <w:r>
              <w:rPr>
                <w:webHidden/>
              </w:rPr>
              <w:fldChar w:fldCharType="begin"/>
            </w:r>
            <w:r>
              <w:rPr>
                <w:webHidden/>
              </w:rPr>
              <w:instrText xml:space="preserve"> PAGEREF _Toc233724269 \h </w:instrText>
            </w:r>
            <w:r>
              <w:rPr>
                <w:webHidden/>
              </w:rPr>
            </w:r>
            <w:r>
              <w:rPr>
                <w:webHidden/>
              </w:rPr>
              <w:fldChar w:fldCharType="separate"/>
            </w:r>
            <w:r>
              <w:rPr>
                <w:webHidden/>
              </w:rPr>
              <w:t>53</w:t>
            </w:r>
            <w:r>
              <w:rPr>
                <w:webHidden/>
              </w:rPr>
              <w:fldChar w:fldCharType="end"/>
            </w:r>
          </w:hyperlink>
        </w:p>
        <w:p w14:paraId="5A0C4E02" w14:textId="6A55E310" w:rsidR="006C077C" w:rsidRPr="000348BD" w:rsidRDefault="00B7687D" w:rsidP="006C077C">
          <w:pPr>
            <w:rPr>
              <w:rFonts w:ascii="Calibri" w:hAnsi="Calibri" w:cs="Calibri"/>
              <w:noProof/>
              <w:sz w:val="22"/>
              <w:szCs w:val="22"/>
              <w:lang w:val="en-AU"/>
            </w:rPr>
          </w:pPr>
          <w:r w:rsidRPr="00687F46">
            <w:rPr>
              <w:rFonts w:ascii="Calibri" w:hAnsi="Calibri" w:cs="Calibri"/>
              <w:noProof/>
              <w:sz w:val="22"/>
              <w:szCs w:val="22"/>
              <w:lang w:val="en-AU"/>
            </w:rPr>
            <w:lastRenderedPageBreak/>
            <w:fldChar w:fldCharType="end"/>
          </w:r>
        </w:p>
        <w:p w14:paraId="19635330" w14:textId="77777777" w:rsidR="001848F6" w:rsidRDefault="00987C77" w:rsidP="001848F6">
          <w:pPr>
            <w:rPr>
              <w:b/>
              <w:bCs/>
              <w:noProof/>
              <w:lang w:val="en-AU"/>
            </w:rPr>
          </w:pPr>
        </w:p>
      </w:sdtContent>
    </w:sdt>
    <w:p w14:paraId="3416EA8C" w14:textId="56CD347C" w:rsidR="005B0891" w:rsidRPr="001848F6" w:rsidRDefault="00015B04" w:rsidP="001848F6">
      <w:pPr>
        <w:rPr>
          <w:b/>
          <w:bCs/>
          <w:noProof/>
          <w:lang w:val="en-AU"/>
        </w:rPr>
      </w:pPr>
      <w:r>
        <w:rPr>
          <w:rFonts w:ascii="Calibri" w:hAnsi="Calibri" w:cs="Calibri"/>
          <w:b/>
          <w:bCs/>
          <w:color w:val="156082" w:themeColor="accent1"/>
          <w:lang w:val="en-AU"/>
        </w:rPr>
        <w:t>Abbreviations</w:t>
      </w:r>
    </w:p>
    <w:tbl>
      <w:tblPr>
        <w:tblStyle w:val="TableGrid"/>
        <w:tblW w:w="0" w:type="auto"/>
        <w:tblLook w:val="04A0" w:firstRow="1" w:lastRow="0" w:firstColumn="1" w:lastColumn="0" w:noHBand="0" w:noVBand="1"/>
      </w:tblPr>
      <w:tblGrid>
        <w:gridCol w:w="2194"/>
        <w:gridCol w:w="6822"/>
      </w:tblGrid>
      <w:tr w:rsidR="00726C43" w:rsidRPr="00C97A19" w14:paraId="15930383" w14:textId="77777777" w:rsidTr="000937DF">
        <w:trPr>
          <w:tblHeader/>
        </w:trPr>
        <w:tc>
          <w:tcPr>
            <w:tcW w:w="2194" w:type="dxa"/>
            <w:shd w:val="clear" w:color="auto" w:fill="CAEDFB" w:themeFill="accent4" w:themeFillTint="33"/>
          </w:tcPr>
          <w:p w14:paraId="0FAB79B6" w14:textId="77777777" w:rsidR="00726C43" w:rsidRPr="000937DF" w:rsidRDefault="00726C43" w:rsidP="008240E0">
            <w:pPr>
              <w:rPr>
                <w:rFonts w:ascii="Calibri" w:hAnsi="Calibri" w:cs="Calibri"/>
                <w:b/>
                <w:bCs/>
                <w:sz w:val="22"/>
                <w:szCs w:val="22"/>
                <w:lang w:val="en-AU"/>
              </w:rPr>
            </w:pPr>
            <w:r w:rsidRPr="000937DF">
              <w:rPr>
                <w:rFonts w:ascii="Calibri" w:hAnsi="Calibri" w:cs="Calibri"/>
                <w:b/>
                <w:bCs/>
                <w:sz w:val="22"/>
                <w:szCs w:val="22"/>
                <w:lang w:val="en-AU"/>
              </w:rPr>
              <w:t>Term</w:t>
            </w:r>
          </w:p>
        </w:tc>
        <w:tc>
          <w:tcPr>
            <w:tcW w:w="6822" w:type="dxa"/>
            <w:shd w:val="clear" w:color="auto" w:fill="CAEDFB" w:themeFill="accent4" w:themeFillTint="33"/>
          </w:tcPr>
          <w:p w14:paraId="4068F530" w14:textId="77777777" w:rsidR="00726C43" w:rsidRPr="000937DF" w:rsidRDefault="00726C43" w:rsidP="008240E0">
            <w:pPr>
              <w:rPr>
                <w:rFonts w:ascii="Calibri" w:hAnsi="Calibri" w:cs="Calibri"/>
                <w:b/>
                <w:bCs/>
                <w:sz w:val="22"/>
                <w:szCs w:val="22"/>
                <w:lang w:val="en-AU"/>
              </w:rPr>
            </w:pPr>
            <w:r w:rsidRPr="000937DF">
              <w:rPr>
                <w:rFonts w:ascii="Calibri" w:hAnsi="Calibri" w:cs="Calibri"/>
                <w:b/>
                <w:bCs/>
                <w:sz w:val="22"/>
                <w:szCs w:val="22"/>
                <w:lang w:val="en-AU"/>
              </w:rPr>
              <w:t>Definition</w:t>
            </w:r>
          </w:p>
        </w:tc>
      </w:tr>
      <w:tr w:rsidR="00726C43" w:rsidRPr="00C97A19" w14:paraId="14484944" w14:textId="77777777" w:rsidTr="008240E0">
        <w:tc>
          <w:tcPr>
            <w:tcW w:w="2194" w:type="dxa"/>
          </w:tcPr>
          <w:p w14:paraId="43FA8099"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AES</w:t>
            </w:r>
          </w:p>
        </w:tc>
        <w:tc>
          <w:tcPr>
            <w:tcW w:w="6822" w:type="dxa"/>
          </w:tcPr>
          <w:p w14:paraId="7C243669"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Australian Evaluation Society</w:t>
            </w:r>
          </w:p>
        </w:tc>
      </w:tr>
      <w:tr w:rsidR="00B11520" w:rsidRPr="00C97A19" w14:paraId="4615F2BC" w14:textId="77777777" w:rsidTr="008240E0">
        <w:tc>
          <w:tcPr>
            <w:tcW w:w="2194" w:type="dxa"/>
          </w:tcPr>
          <w:p w14:paraId="7CC3F1DE" w14:textId="49E6E602" w:rsidR="00B11520" w:rsidRPr="00C97A19" w:rsidRDefault="00B11520" w:rsidP="008240E0">
            <w:pPr>
              <w:rPr>
                <w:rFonts w:ascii="Calibri" w:hAnsi="Calibri" w:cs="Calibri"/>
                <w:sz w:val="22"/>
                <w:szCs w:val="22"/>
                <w:lang w:val="en-AU"/>
              </w:rPr>
            </w:pPr>
            <w:r>
              <w:rPr>
                <w:rFonts w:ascii="Calibri" w:hAnsi="Calibri" w:cs="Calibri"/>
                <w:sz w:val="22"/>
                <w:szCs w:val="22"/>
                <w:lang w:val="en-AU"/>
              </w:rPr>
              <w:t>BRI</w:t>
            </w:r>
          </w:p>
        </w:tc>
        <w:tc>
          <w:tcPr>
            <w:tcW w:w="6822" w:type="dxa"/>
          </w:tcPr>
          <w:p w14:paraId="0422CCC2" w14:textId="38455C60" w:rsidR="00B11520" w:rsidRPr="00C97A19" w:rsidRDefault="00B11520" w:rsidP="008240E0">
            <w:pPr>
              <w:rPr>
                <w:rFonts w:ascii="Calibri" w:hAnsi="Calibri" w:cs="Calibri"/>
                <w:sz w:val="22"/>
                <w:szCs w:val="22"/>
                <w:lang w:val="en-AU"/>
              </w:rPr>
            </w:pPr>
            <w:r>
              <w:rPr>
                <w:rFonts w:ascii="Calibri" w:hAnsi="Calibri" w:cs="Calibri"/>
                <w:sz w:val="22"/>
                <w:szCs w:val="22"/>
                <w:lang w:val="en-AU"/>
              </w:rPr>
              <w:t>Building Resilience Index</w:t>
            </w:r>
          </w:p>
        </w:tc>
      </w:tr>
      <w:tr w:rsidR="00AA2D23" w:rsidRPr="00C97A19" w14:paraId="3A5D2E12" w14:textId="77777777" w:rsidTr="008240E0">
        <w:tc>
          <w:tcPr>
            <w:tcW w:w="2194" w:type="dxa"/>
          </w:tcPr>
          <w:p w14:paraId="4A96D9CB" w14:textId="49FF7F3B" w:rsidR="00AA2D23" w:rsidRPr="000348BD" w:rsidRDefault="00AA2D23" w:rsidP="008240E0">
            <w:pPr>
              <w:rPr>
                <w:rFonts w:ascii="Calibri" w:hAnsi="Calibri" w:cs="Calibri"/>
                <w:sz w:val="22"/>
                <w:szCs w:val="22"/>
                <w:lang w:val="en-AU"/>
              </w:rPr>
            </w:pPr>
            <w:r w:rsidRPr="000348BD">
              <w:rPr>
                <w:rFonts w:ascii="Calibri" w:hAnsi="Calibri" w:cs="Calibri"/>
                <w:sz w:val="22"/>
                <w:szCs w:val="22"/>
                <w:lang w:val="en-AU"/>
              </w:rPr>
              <w:t>CPSD</w:t>
            </w:r>
          </w:p>
        </w:tc>
        <w:tc>
          <w:tcPr>
            <w:tcW w:w="6822" w:type="dxa"/>
          </w:tcPr>
          <w:p w14:paraId="182E115F" w14:textId="2399E36E" w:rsidR="00AA2D23" w:rsidRPr="000348BD" w:rsidRDefault="00AA2D23" w:rsidP="008240E0">
            <w:pPr>
              <w:rPr>
                <w:rFonts w:ascii="Calibri" w:hAnsi="Calibri" w:cs="Calibri"/>
                <w:sz w:val="22"/>
                <w:szCs w:val="22"/>
                <w:lang w:val="en-AU"/>
              </w:rPr>
            </w:pPr>
            <w:r w:rsidRPr="000348BD">
              <w:rPr>
                <w:rFonts w:ascii="Calibri" w:eastAsiaTheme="minorHAnsi" w:hAnsi="Calibri" w:cs="Calibri"/>
                <w:sz w:val="22"/>
                <w:szCs w:val="22"/>
                <w:lang w:val="en-AU"/>
                <w14:ligatures w14:val="standardContextual"/>
              </w:rPr>
              <w:t xml:space="preserve">Country Private Sector Diagnostic </w:t>
            </w:r>
          </w:p>
        </w:tc>
      </w:tr>
      <w:tr w:rsidR="00726C43" w:rsidRPr="00C97A19" w14:paraId="76744AA0" w14:textId="77777777" w:rsidTr="008240E0">
        <w:trPr>
          <w:trHeight w:val="243"/>
        </w:trPr>
        <w:tc>
          <w:tcPr>
            <w:tcW w:w="2194" w:type="dxa"/>
          </w:tcPr>
          <w:p w14:paraId="376C606E"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DAC</w:t>
            </w:r>
          </w:p>
        </w:tc>
        <w:tc>
          <w:tcPr>
            <w:tcW w:w="6822" w:type="dxa"/>
          </w:tcPr>
          <w:p w14:paraId="53BC3619" w14:textId="77777777" w:rsidR="00726C43" w:rsidRPr="00C97A19" w:rsidRDefault="00726C43" w:rsidP="008240E0">
            <w:pPr>
              <w:rPr>
                <w:rFonts w:ascii="Calibri" w:hAnsi="Calibri" w:cs="Calibri"/>
                <w:sz w:val="22"/>
                <w:szCs w:val="22"/>
                <w:lang w:val="en-AU"/>
              </w:rPr>
            </w:pPr>
            <w:r w:rsidRPr="00C97A19">
              <w:rPr>
                <w:rFonts w:ascii="Calibri" w:hAnsi="Calibri" w:cs="Calibri"/>
                <w:color w:val="000000"/>
                <w:sz w:val="22"/>
                <w:szCs w:val="22"/>
                <w:lang w:val="en-AU"/>
              </w:rPr>
              <w:t>Development Assistance Committee</w:t>
            </w:r>
          </w:p>
        </w:tc>
      </w:tr>
      <w:tr w:rsidR="00726C43" w:rsidRPr="00C97A19" w14:paraId="2947F369" w14:textId="77777777" w:rsidTr="008240E0">
        <w:trPr>
          <w:trHeight w:val="243"/>
        </w:trPr>
        <w:tc>
          <w:tcPr>
            <w:tcW w:w="2194" w:type="dxa"/>
          </w:tcPr>
          <w:p w14:paraId="665FCB64"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DFAT</w:t>
            </w:r>
          </w:p>
        </w:tc>
        <w:tc>
          <w:tcPr>
            <w:tcW w:w="6822" w:type="dxa"/>
          </w:tcPr>
          <w:p w14:paraId="040AB17E" w14:textId="77777777" w:rsidR="00726C43" w:rsidRPr="00C97A19" w:rsidRDefault="00726C43" w:rsidP="008240E0">
            <w:pPr>
              <w:rPr>
                <w:rFonts w:ascii="Calibri" w:hAnsi="Calibri" w:cs="Calibri"/>
                <w:color w:val="000000"/>
                <w:sz w:val="22"/>
                <w:szCs w:val="22"/>
                <w:lang w:val="en-AU"/>
              </w:rPr>
            </w:pPr>
            <w:r w:rsidRPr="00C97A19">
              <w:rPr>
                <w:rFonts w:ascii="Calibri" w:hAnsi="Calibri" w:cs="Calibri"/>
                <w:color w:val="000000"/>
                <w:sz w:val="22"/>
                <w:szCs w:val="22"/>
                <w:lang w:val="en-AU"/>
              </w:rPr>
              <w:t>Department of Foreign Affairs and Trade</w:t>
            </w:r>
          </w:p>
        </w:tc>
      </w:tr>
      <w:tr w:rsidR="00726C43" w:rsidRPr="00C97A19" w14:paraId="3B5A6549" w14:textId="77777777" w:rsidTr="008240E0">
        <w:trPr>
          <w:trHeight w:val="243"/>
        </w:trPr>
        <w:tc>
          <w:tcPr>
            <w:tcW w:w="2194" w:type="dxa"/>
          </w:tcPr>
          <w:p w14:paraId="4851C54E"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DPP</w:t>
            </w:r>
          </w:p>
        </w:tc>
        <w:tc>
          <w:tcPr>
            <w:tcW w:w="6822" w:type="dxa"/>
          </w:tcPr>
          <w:p w14:paraId="040B2A17" w14:textId="77777777" w:rsidR="00726C43" w:rsidRPr="00C97A19" w:rsidRDefault="00726C43" w:rsidP="008240E0">
            <w:pPr>
              <w:rPr>
                <w:rFonts w:ascii="Calibri" w:hAnsi="Calibri" w:cs="Calibri"/>
                <w:color w:val="000000"/>
                <w:sz w:val="22"/>
                <w:szCs w:val="22"/>
                <w:lang w:val="en-AU"/>
              </w:rPr>
            </w:pPr>
            <w:r w:rsidRPr="000348BD">
              <w:rPr>
                <w:rFonts w:ascii="Calibri" w:hAnsi="Calibri" w:cs="Calibri"/>
                <w:color w:val="000000" w:themeColor="text1"/>
                <w:sz w:val="22"/>
                <w:szCs w:val="22"/>
                <w:lang w:val="en-AU"/>
              </w:rPr>
              <w:t>Development Partnership Plan</w:t>
            </w:r>
          </w:p>
        </w:tc>
      </w:tr>
      <w:tr w:rsidR="00726C43" w:rsidRPr="00C97A19" w14:paraId="407C03DE" w14:textId="77777777" w:rsidTr="008240E0">
        <w:trPr>
          <w:trHeight w:val="243"/>
        </w:trPr>
        <w:tc>
          <w:tcPr>
            <w:tcW w:w="2194" w:type="dxa"/>
          </w:tcPr>
          <w:p w14:paraId="15EC6C73"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EEES</w:t>
            </w:r>
          </w:p>
        </w:tc>
        <w:tc>
          <w:tcPr>
            <w:tcW w:w="6822" w:type="dxa"/>
          </w:tcPr>
          <w:p w14:paraId="2A0943D5" w14:textId="77777777" w:rsidR="00726C43" w:rsidRPr="00C97A19" w:rsidRDefault="00726C43" w:rsidP="008240E0">
            <w:pPr>
              <w:rPr>
                <w:rFonts w:ascii="Calibri" w:hAnsi="Calibri" w:cs="Calibri"/>
                <w:color w:val="000000"/>
                <w:sz w:val="22"/>
                <w:szCs w:val="22"/>
                <w:lang w:val="en-AU"/>
              </w:rPr>
            </w:pPr>
            <w:r w:rsidRPr="00C97A19">
              <w:rPr>
                <w:rFonts w:ascii="Calibri" w:hAnsi="Calibri" w:cs="Calibri"/>
                <w:color w:val="000000" w:themeColor="text1"/>
                <w:sz w:val="22"/>
                <w:szCs w:val="22"/>
                <w:lang w:val="en-AU"/>
              </w:rPr>
              <w:t>Australia-Vietnam Enhanced Economic Engagement Strategy</w:t>
            </w:r>
          </w:p>
        </w:tc>
      </w:tr>
      <w:tr w:rsidR="00726C43" w:rsidRPr="00C97A19" w14:paraId="40EBB6CC" w14:textId="77777777" w:rsidTr="008240E0">
        <w:trPr>
          <w:trHeight w:val="243"/>
        </w:trPr>
        <w:tc>
          <w:tcPr>
            <w:tcW w:w="2194" w:type="dxa"/>
          </w:tcPr>
          <w:p w14:paraId="70AD2C0B"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EMERGE</w:t>
            </w:r>
          </w:p>
        </w:tc>
        <w:tc>
          <w:tcPr>
            <w:tcW w:w="6822" w:type="dxa"/>
          </w:tcPr>
          <w:p w14:paraId="3E7F9E61" w14:textId="77777777" w:rsidR="00726C43" w:rsidRPr="00C97A19" w:rsidRDefault="00726C43" w:rsidP="008240E0">
            <w:pPr>
              <w:rPr>
                <w:rFonts w:ascii="Calibri" w:hAnsi="Calibri" w:cs="Calibri"/>
                <w:color w:val="000000" w:themeColor="text1"/>
                <w:sz w:val="22"/>
                <w:szCs w:val="22"/>
                <w:lang w:val="en-AU"/>
              </w:rPr>
            </w:pPr>
            <w:r w:rsidRPr="000348BD">
              <w:rPr>
                <w:rFonts w:ascii="Calibri" w:hAnsi="Calibri" w:cs="Calibri"/>
                <w:sz w:val="22"/>
                <w:szCs w:val="22"/>
                <w:lang w:val="en-AU"/>
              </w:rPr>
              <w:t>Empowering Enterprises to Reach Gender Equality</w:t>
            </w:r>
          </w:p>
        </w:tc>
      </w:tr>
      <w:tr w:rsidR="00726C43" w:rsidRPr="00C97A19" w14:paraId="569F5784" w14:textId="77777777" w:rsidTr="008240E0">
        <w:trPr>
          <w:trHeight w:val="243"/>
        </w:trPr>
        <w:tc>
          <w:tcPr>
            <w:tcW w:w="2194" w:type="dxa"/>
          </w:tcPr>
          <w:p w14:paraId="2DD0757F"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EOPO</w:t>
            </w:r>
          </w:p>
        </w:tc>
        <w:tc>
          <w:tcPr>
            <w:tcW w:w="6822" w:type="dxa"/>
          </w:tcPr>
          <w:p w14:paraId="31384442" w14:textId="77777777" w:rsidR="00726C43" w:rsidRPr="00C97A19" w:rsidRDefault="00726C43" w:rsidP="008240E0">
            <w:pPr>
              <w:rPr>
                <w:rFonts w:ascii="Calibri" w:hAnsi="Calibri" w:cs="Calibri"/>
                <w:color w:val="000000"/>
                <w:sz w:val="22"/>
                <w:szCs w:val="22"/>
                <w:lang w:val="en-AU"/>
              </w:rPr>
            </w:pPr>
            <w:r w:rsidRPr="00C97A19">
              <w:rPr>
                <w:rFonts w:ascii="Calibri" w:hAnsi="Calibri" w:cs="Calibri"/>
                <w:color w:val="000000" w:themeColor="text1"/>
                <w:sz w:val="22"/>
                <w:szCs w:val="22"/>
                <w:lang w:val="en-AU"/>
              </w:rPr>
              <w:t>End of Program Outcome</w:t>
            </w:r>
          </w:p>
        </w:tc>
      </w:tr>
      <w:tr w:rsidR="00726C43" w:rsidRPr="00C97A19" w14:paraId="2DD6C583" w14:textId="77777777" w:rsidTr="008240E0">
        <w:trPr>
          <w:trHeight w:val="243"/>
        </w:trPr>
        <w:tc>
          <w:tcPr>
            <w:tcW w:w="2194" w:type="dxa"/>
          </w:tcPr>
          <w:p w14:paraId="39ED3DFE"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ESG</w:t>
            </w:r>
          </w:p>
        </w:tc>
        <w:tc>
          <w:tcPr>
            <w:tcW w:w="6822" w:type="dxa"/>
          </w:tcPr>
          <w:p w14:paraId="5D700759" w14:textId="77777777" w:rsidR="00726C43" w:rsidRPr="00C97A19" w:rsidRDefault="00726C43" w:rsidP="008240E0">
            <w:pPr>
              <w:rPr>
                <w:rFonts w:ascii="Calibri" w:hAnsi="Calibri" w:cs="Calibri"/>
                <w:color w:val="000000" w:themeColor="text1"/>
                <w:sz w:val="22"/>
                <w:szCs w:val="22"/>
                <w:lang w:val="en-AU"/>
              </w:rPr>
            </w:pPr>
            <w:r w:rsidRPr="000348BD">
              <w:rPr>
                <w:rFonts w:ascii="Calibri" w:hAnsi="Calibri" w:cs="Calibri"/>
                <w:sz w:val="22"/>
                <w:szCs w:val="22"/>
                <w:lang w:val="en-AU"/>
              </w:rPr>
              <w:t>Environment, Social and Governance</w:t>
            </w:r>
          </w:p>
        </w:tc>
      </w:tr>
      <w:tr w:rsidR="00726C43" w:rsidRPr="00C97A19" w14:paraId="1A007F72" w14:textId="77777777" w:rsidTr="008240E0">
        <w:trPr>
          <w:trHeight w:val="243"/>
        </w:trPr>
        <w:tc>
          <w:tcPr>
            <w:tcW w:w="2194" w:type="dxa"/>
          </w:tcPr>
          <w:p w14:paraId="236406D0"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FDI</w:t>
            </w:r>
          </w:p>
        </w:tc>
        <w:tc>
          <w:tcPr>
            <w:tcW w:w="6822" w:type="dxa"/>
          </w:tcPr>
          <w:p w14:paraId="4F661355" w14:textId="77777777" w:rsidR="00726C43" w:rsidRPr="000348BD" w:rsidRDefault="00726C43" w:rsidP="008240E0">
            <w:pPr>
              <w:rPr>
                <w:rFonts w:ascii="Calibri" w:hAnsi="Calibri" w:cs="Calibri"/>
                <w:sz w:val="22"/>
                <w:szCs w:val="22"/>
                <w:lang w:val="en-AU"/>
              </w:rPr>
            </w:pPr>
            <w:r w:rsidRPr="000348BD">
              <w:rPr>
                <w:rFonts w:ascii="Calibri" w:hAnsi="Calibri" w:cs="Calibri"/>
                <w:color w:val="000000" w:themeColor="text1"/>
                <w:sz w:val="22"/>
                <w:szCs w:val="22"/>
                <w:lang w:val="en-AU" w:eastAsia="en-AU"/>
              </w:rPr>
              <w:t>Foreign Direct Investment</w:t>
            </w:r>
          </w:p>
        </w:tc>
      </w:tr>
      <w:tr w:rsidR="00726C43" w:rsidRPr="00C97A19" w14:paraId="44EAA4DC" w14:textId="77777777" w:rsidTr="008240E0">
        <w:trPr>
          <w:trHeight w:val="243"/>
        </w:trPr>
        <w:tc>
          <w:tcPr>
            <w:tcW w:w="2194" w:type="dxa"/>
          </w:tcPr>
          <w:p w14:paraId="2025EA8B"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FIG</w:t>
            </w:r>
          </w:p>
        </w:tc>
        <w:tc>
          <w:tcPr>
            <w:tcW w:w="6822" w:type="dxa"/>
          </w:tcPr>
          <w:p w14:paraId="69A39DD3" w14:textId="77777777" w:rsidR="00726C43" w:rsidRPr="000348BD" w:rsidRDefault="00726C43" w:rsidP="008240E0">
            <w:pPr>
              <w:rPr>
                <w:rFonts w:ascii="Calibri" w:hAnsi="Calibri" w:cs="Calibri"/>
                <w:color w:val="000000" w:themeColor="text1"/>
                <w:sz w:val="22"/>
                <w:szCs w:val="22"/>
                <w:lang w:val="en-AU" w:eastAsia="en-AU"/>
              </w:rPr>
            </w:pPr>
            <w:r w:rsidRPr="000348BD">
              <w:rPr>
                <w:rFonts w:ascii="Calibri" w:hAnsi="Calibri" w:cs="Calibri"/>
                <w:sz w:val="22"/>
                <w:szCs w:val="22"/>
                <w:lang w:val="en-AU"/>
              </w:rPr>
              <w:t>Financial Institutions Group</w:t>
            </w:r>
          </w:p>
        </w:tc>
      </w:tr>
      <w:tr w:rsidR="00726C43" w:rsidRPr="00C97A19" w14:paraId="1B7A12D8" w14:textId="77777777" w:rsidTr="008240E0">
        <w:trPr>
          <w:trHeight w:val="243"/>
        </w:trPr>
        <w:tc>
          <w:tcPr>
            <w:tcW w:w="2194" w:type="dxa"/>
          </w:tcPr>
          <w:p w14:paraId="78C35366"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GBV</w:t>
            </w:r>
          </w:p>
        </w:tc>
        <w:tc>
          <w:tcPr>
            <w:tcW w:w="6822" w:type="dxa"/>
          </w:tcPr>
          <w:p w14:paraId="78637B32"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Gender Based Violence</w:t>
            </w:r>
          </w:p>
        </w:tc>
      </w:tr>
      <w:tr w:rsidR="00726C43" w:rsidRPr="00C97A19" w14:paraId="7E3B108B" w14:textId="77777777" w:rsidTr="008240E0">
        <w:trPr>
          <w:trHeight w:val="243"/>
        </w:trPr>
        <w:tc>
          <w:tcPr>
            <w:tcW w:w="2194" w:type="dxa"/>
          </w:tcPr>
          <w:p w14:paraId="3531AEAD"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GEDSI</w:t>
            </w:r>
          </w:p>
        </w:tc>
        <w:tc>
          <w:tcPr>
            <w:tcW w:w="6822" w:type="dxa"/>
          </w:tcPr>
          <w:p w14:paraId="4E070441" w14:textId="77777777" w:rsidR="00726C43" w:rsidRPr="00C97A19" w:rsidRDefault="00726C43" w:rsidP="008240E0">
            <w:pPr>
              <w:rPr>
                <w:rFonts w:ascii="Calibri" w:hAnsi="Calibri" w:cs="Calibri"/>
                <w:color w:val="000000"/>
                <w:sz w:val="22"/>
                <w:szCs w:val="22"/>
                <w:lang w:val="en-AU"/>
              </w:rPr>
            </w:pPr>
            <w:r w:rsidRPr="000348BD">
              <w:rPr>
                <w:rFonts w:ascii="Calibri" w:hAnsi="Calibri" w:cs="Calibri"/>
                <w:color w:val="000000"/>
                <w:sz w:val="22"/>
                <w:szCs w:val="22"/>
                <w:lang w:val="en-AU"/>
              </w:rPr>
              <w:t>Gender Equality, Disability and Social Inclusion</w:t>
            </w:r>
          </w:p>
        </w:tc>
      </w:tr>
      <w:tr w:rsidR="00726C43" w:rsidRPr="00C97A19" w14:paraId="2F2862A8" w14:textId="77777777" w:rsidTr="008240E0">
        <w:trPr>
          <w:trHeight w:val="243"/>
        </w:trPr>
        <w:tc>
          <w:tcPr>
            <w:tcW w:w="2194" w:type="dxa"/>
          </w:tcPr>
          <w:p w14:paraId="3AF6AA05"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GoA</w:t>
            </w:r>
          </w:p>
        </w:tc>
        <w:tc>
          <w:tcPr>
            <w:tcW w:w="6822" w:type="dxa"/>
          </w:tcPr>
          <w:p w14:paraId="23E54F85" w14:textId="77777777" w:rsidR="00726C43" w:rsidRPr="00C97A19" w:rsidRDefault="00726C43" w:rsidP="008240E0">
            <w:pPr>
              <w:rPr>
                <w:rFonts w:ascii="Calibri" w:hAnsi="Calibri" w:cs="Calibri"/>
                <w:color w:val="000000"/>
                <w:sz w:val="22"/>
                <w:szCs w:val="22"/>
                <w:lang w:val="en-AU"/>
              </w:rPr>
            </w:pPr>
            <w:r w:rsidRPr="00C97A19">
              <w:rPr>
                <w:rFonts w:ascii="Calibri" w:hAnsi="Calibri" w:cs="Calibri"/>
                <w:color w:val="000000"/>
                <w:sz w:val="22"/>
                <w:szCs w:val="22"/>
                <w:lang w:val="en-AU"/>
              </w:rPr>
              <w:t>Government of Australia</w:t>
            </w:r>
          </w:p>
        </w:tc>
      </w:tr>
      <w:tr w:rsidR="00726C43" w:rsidRPr="00C97A19" w14:paraId="0DAC7115" w14:textId="77777777" w:rsidTr="008240E0">
        <w:trPr>
          <w:trHeight w:val="243"/>
        </w:trPr>
        <w:tc>
          <w:tcPr>
            <w:tcW w:w="2194" w:type="dxa"/>
          </w:tcPr>
          <w:p w14:paraId="3B5D897E"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GoV</w:t>
            </w:r>
          </w:p>
        </w:tc>
        <w:tc>
          <w:tcPr>
            <w:tcW w:w="6822" w:type="dxa"/>
          </w:tcPr>
          <w:p w14:paraId="0E708509" w14:textId="77777777" w:rsidR="00726C43" w:rsidRPr="00C97A19" w:rsidRDefault="00726C43" w:rsidP="008240E0">
            <w:pPr>
              <w:rPr>
                <w:rFonts w:ascii="Calibri" w:hAnsi="Calibri" w:cs="Calibri"/>
                <w:color w:val="000000"/>
                <w:sz w:val="22"/>
                <w:szCs w:val="22"/>
                <w:lang w:val="en-AU"/>
              </w:rPr>
            </w:pPr>
            <w:r w:rsidRPr="00C97A19">
              <w:rPr>
                <w:rFonts w:ascii="Calibri" w:hAnsi="Calibri" w:cs="Calibri"/>
                <w:color w:val="000000"/>
                <w:sz w:val="22"/>
                <w:szCs w:val="22"/>
                <w:lang w:val="en-AU"/>
              </w:rPr>
              <w:t>Government of Vietnam</w:t>
            </w:r>
          </w:p>
        </w:tc>
      </w:tr>
      <w:tr w:rsidR="00726C43" w:rsidRPr="00C97A19" w14:paraId="4F1E1CA5" w14:textId="77777777" w:rsidTr="008240E0">
        <w:trPr>
          <w:trHeight w:val="243"/>
        </w:trPr>
        <w:tc>
          <w:tcPr>
            <w:tcW w:w="2194" w:type="dxa"/>
          </w:tcPr>
          <w:p w14:paraId="2B7AD8B2"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IBST</w:t>
            </w:r>
          </w:p>
        </w:tc>
        <w:tc>
          <w:tcPr>
            <w:tcW w:w="6822" w:type="dxa"/>
          </w:tcPr>
          <w:p w14:paraId="22D7E2A2" w14:textId="77777777" w:rsidR="00726C43" w:rsidRPr="00C97A19" w:rsidRDefault="00726C43" w:rsidP="008240E0">
            <w:pPr>
              <w:rPr>
                <w:rFonts w:ascii="Calibri" w:hAnsi="Calibri" w:cs="Calibri"/>
                <w:color w:val="000000"/>
                <w:sz w:val="22"/>
                <w:szCs w:val="22"/>
                <w:lang w:val="en-AU"/>
              </w:rPr>
            </w:pPr>
            <w:r w:rsidRPr="000348BD">
              <w:rPr>
                <w:rFonts w:ascii="Calibri" w:eastAsiaTheme="minorHAnsi" w:hAnsi="Calibri" w:cs="Calibri"/>
                <w:color w:val="000000"/>
                <w:sz w:val="22"/>
                <w:szCs w:val="22"/>
                <w:lang w:val="en-AU"/>
                <w14:ligatures w14:val="standardContextual"/>
              </w:rPr>
              <w:t>Institute for Building Science and Technology</w:t>
            </w:r>
          </w:p>
        </w:tc>
      </w:tr>
      <w:tr w:rsidR="00726C43" w:rsidRPr="00C97A19" w14:paraId="00F807C1" w14:textId="77777777" w:rsidTr="008240E0">
        <w:trPr>
          <w:trHeight w:val="243"/>
        </w:trPr>
        <w:tc>
          <w:tcPr>
            <w:tcW w:w="2194" w:type="dxa"/>
          </w:tcPr>
          <w:p w14:paraId="513DBDD5"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IFC</w:t>
            </w:r>
          </w:p>
        </w:tc>
        <w:tc>
          <w:tcPr>
            <w:tcW w:w="6822" w:type="dxa"/>
          </w:tcPr>
          <w:p w14:paraId="48A870B1"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International Finance Corporation</w:t>
            </w:r>
          </w:p>
        </w:tc>
      </w:tr>
      <w:tr w:rsidR="00726C43" w:rsidRPr="00C97A19" w14:paraId="33EAA10F" w14:textId="77777777" w:rsidTr="008240E0">
        <w:trPr>
          <w:trHeight w:val="243"/>
        </w:trPr>
        <w:tc>
          <w:tcPr>
            <w:tcW w:w="2194" w:type="dxa"/>
          </w:tcPr>
          <w:p w14:paraId="464E153C"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J-CAP</w:t>
            </w:r>
          </w:p>
        </w:tc>
        <w:tc>
          <w:tcPr>
            <w:tcW w:w="6822" w:type="dxa"/>
          </w:tcPr>
          <w:p w14:paraId="3C917963"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Joint Capital Markets</w:t>
            </w:r>
          </w:p>
        </w:tc>
      </w:tr>
      <w:tr w:rsidR="00726C43" w:rsidRPr="00C97A19" w14:paraId="0365B97D" w14:textId="77777777" w:rsidTr="008240E0">
        <w:trPr>
          <w:trHeight w:val="243"/>
        </w:trPr>
        <w:tc>
          <w:tcPr>
            <w:tcW w:w="2194" w:type="dxa"/>
          </w:tcPr>
          <w:p w14:paraId="4B318AF9"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KEQs</w:t>
            </w:r>
          </w:p>
        </w:tc>
        <w:tc>
          <w:tcPr>
            <w:tcW w:w="6822" w:type="dxa"/>
          </w:tcPr>
          <w:p w14:paraId="46AD5A15"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Key Evaluation Questions</w:t>
            </w:r>
          </w:p>
        </w:tc>
      </w:tr>
      <w:tr w:rsidR="00726C43" w:rsidRPr="00C97A19" w14:paraId="209CF8A4" w14:textId="77777777" w:rsidTr="008240E0">
        <w:trPr>
          <w:trHeight w:val="243"/>
        </w:trPr>
        <w:tc>
          <w:tcPr>
            <w:tcW w:w="2194" w:type="dxa"/>
          </w:tcPr>
          <w:p w14:paraId="7089AC6D"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KII</w:t>
            </w:r>
          </w:p>
        </w:tc>
        <w:tc>
          <w:tcPr>
            <w:tcW w:w="6822" w:type="dxa"/>
          </w:tcPr>
          <w:p w14:paraId="6CA8BE64"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Key Informant Interview</w:t>
            </w:r>
          </w:p>
        </w:tc>
      </w:tr>
      <w:tr w:rsidR="00726C43" w:rsidRPr="00C97A19" w14:paraId="543D9762" w14:textId="77777777" w:rsidTr="008240E0">
        <w:trPr>
          <w:trHeight w:val="243"/>
        </w:trPr>
        <w:tc>
          <w:tcPr>
            <w:tcW w:w="2194" w:type="dxa"/>
          </w:tcPr>
          <w:p w14:paraId="40FB7E39"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MAGC</w:t>
            </w:r>
          </w:p>
        </w:tc>
        <w:tc>
          <w:tcPr>
            <w:tcW w:w="6822" w:type="dxa"/>
          </w:tcPr>
          <w:p w14:paraId="0B2637F6"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Market Accelerator for Green Construction</w:t>
            </w:r>
          </w:p>
        </w:tc>
      </w:tr>
      <w:tr w:rsidR="00726C43" w:rsidRPr="00C97A19" w14:paraId="6F91F60B" w14:textId="77777777" w:rsidTr="008240E0">
        <w:trPr>
          <w:trHeight w:val="243"/>
        </w:trPr>
        <w:tc>
          <w:tcPr>
            <w:tcW w:w="2194" w:type="dxa"/>
          </w:tcPr>
          <w:p w14:paraId="59E55B39"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MCI</w:t>
            </w:r>
          </w:p>
        </w:tc>
        <w:tc>
          <w:tcPr>
            <w:tcW w:w="6822" w:type="dxa"/>
          </w:tcPr>
          <w:p w14:paraId="4EE984A1"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Morrissey Consulting International</w:t>
            </w:r>
          </w:p>
        </w:tc>
      </w:tr>
      <w:tr w:rsidR="00726C43" w:rsidRPr="00C97A19" w14:paraId="392BA7FF" w14:textId="77777777" w:rsidTr="008240E0">
        <w:trPr>
          <w:trHeight w:val="243"/>
        </w:trPr>
        <w:tc>
          <w:tcPr>
            <w:tcW w:w="2194" w:type="dxa"/>
          </w:tcPr>
          <w:p w14:paraId="4D98F0DE"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 xml:space="preserve">M&amp;E </w:t>
            </w:r>
          </w:p>
        </w:tc>
        <w:tc>
          <w:tcPr>
            <w:tcW w:w="6822" w:type="dxa"/>
          </w:tcPr>
          <w:p w14:paraId="7F5D4BA3"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Monitoring and Evaluation</w:t>
            </w:r>
          </w:p>
        </w:tc>
      </w:tr>
      <w:tr w:rsidR="00726C43" w:rsidRPr="00C97A19" w14:paraId="7055B5B9" w14:textId="77777777" w:rsidTr="008240E0">
        <w:trPr>
          <w:trHeight w:val="243"/>
        </w:trPr>
        <w:tc>
          <w:tcPr>
            <w:tcW w:w="2194" w:type="dxa"/>
          </w:tcPr>
          <w:p w14:paraId="5AD8BE2C"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MEL</w:t>
            </w:r>
          </w:p>
        </w:tc>
        <w:tc>
          <w:tcPr>
            <w:tcW w:w="6822" w:type="dxa"/>
          </w:tcPr>
          <w:p w14:paraId="48048456"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Monitoring, Evaluation and Learning</w:t>
            </w:r>
          </w:p>
        </w:tc>
      </w:tr>
      <w:tr w:rsidR="00726C43" w:rsidRPr="00C97A19" w14:paraId="36FC8595" w14:textId="77777777" w:rsidTr="008240E0">
        <w:trPr>
          <w:trHeight w:val="243"/>
        </w:trPr>
        <w:tc>
          <w:tcPr>
            <w:tcW w:w="2194" w:type="dxa"/>
          </w:tcPr>
          <w:p w14:paraId="23297C49"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MTR</w:t>
            </w:r>
          </w:p>
        </w:tc>
        <w:tc>
          <w:tcPr>
            <w:tcW w:w="6822" w:type="dxa"/>
          </w:tcPr>
          <w:p w14:paraId="0991BC96"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Mid-Term Review</w:t>
            </w:r>
          </w:p>
        </w:tc>
      </w:tr>
      <w:tr w:rsidR="00726C43" w:rsidRPr="00C97A19" w14:paraId="4F01ECDF" w14:textId="77777777" w:rsidTr="008240E0">
        <w:trPr>
          <w:trHeight w:val="243"/>
        </w:trPr>
        <w:tc>
          <w:tcPr>
            <w:tcW w:w="2194" w:type="dxa"/>
          </w:tcPr>
          <w:p w14:paraId="109D7CB9"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NBFI</w:t>
            </w:r>
          </w:p>
        </w:tc>
        <w:tc>
          <w:tcPr>
            <w:tcW w:w="6822" w:type="dxa"/>
          </w:tcPr>
          <w:p w14:paraId="04C685A6" w14:textId="77777777" w:rsidR="00726C43" w:rsidRPr="00C97A19" w:rsidRDefault="00726C43" w:rsidP="008240E0">
            <w:pPr>
              <w:rPr>
                <w:rFonts w:ascii="Calibri" w:hAnsi="Calibri" w:cs="Calibri"/>
                <w:sz w:val="22"/>
                <w:szCs w:val="22"/>
                <w:lang w:val="en-AU"/>
              </w:rPr>
            </w:pPr>
            <w:r w:rsidRPr="000348BD">
              <w:rPr>
                <w:rFonts w:ascii="Calibri" w:hAnsi="Calibri" w:cs="Calibri"/>
                <w:color w:val="000000"/>
                <w:sz w:val="22"/>
                <w:szCs w:val="22"/>
                <w:lang w:val="en-AU"/>
              </w:rPr>
              <w:t>Non-Bank Financial Institutions</w:t>
            </w:r>
          </w:p>
        </w:tc>
      </w:tr>
      <w:tr w:rsidR="00726C43" w:rsidRPr="00C97A19" w14:paraId="30FCC968" w14:textId="77777777" w:rsidTr="008240E0">
        <w:trPr>
          <w:trHeight w:val="243"/>
        </w:trPr>
        <w:tc>
          <w:tcPr>
            <w:tcW w:w="2194" w:type="dxa"/>
          </w:tcPr>
          <w:p w14:paraId="17E9105D"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PSC</w:t>
            </w:r>
          </w:p>
        </w:tc>
        <w:tc>
          <w:tcPr>
            <w:tcW w:w="6822" w:type="dxa"/>
          </w:tcPr>
          <w:p w14:paraId="63258218"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Program Steering Committee</w:t>
            </w:r>
          </w:p>
        </w:tc>
      </w:tr>
      <w:tr w:rsidR="00726C43" w:rsidRPr="00C97A19" w14:paraId="158DF076" w14:textId="77777777" w:rsidTr="008240E0">
        <w:trPr>
          <w:trHeight w:val="243"/>
        </w:trPr>
        <w:tc>
          <w:tcPr>
            <w:tcW w:w="2194" w:type="dxa"/>
          </w:tcPr>
          <w:p w14:paraId="6CC769D4"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OECD</w:t>
            </w:r>
          </w:p>
        </w:tc>
        <w:tc>
          <w:tcPr>
            <w:tcW w:w="6822" w:type="dxa"/>
          </w:tcPr>
          <w:p w14:paraId="3933DC0F"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Organisation for Economic Cooperation and Development</w:t>
            </w:r>
          </w:p>
        </w:tc>
      </w:tr>
      <w:tr w:rsidR="00726C43" w:rsidRPr="00C97A19" w14:paraId="75340DAD" w14:textId="77777777" w:rsidTr="008240E0">
        <w:trPr>
          <w:trHeight w:val="243"/>
        </w:trPr>
        <w:tc>
          <w:tcPr>
            <w:tcW w:w="2194" w:type="dxa"/>
          </w:tcPr>
          <w:p w14:paraId="014E9D83"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SDG</w:t>
            </w:r>
          </w:p>
        </w:tc>
        <w:tc>
          <w:tcPr>
            <w:tcW w:w="6822" w:type="dxa"/>
          </w:tcPr>
          <w:p w14:paraId="3FFD585F" w14:textId="77777777" w:rsidR="00726C43" w:rsidRPr="00C97A19" w:rsidRDefault="00726C43" w:rsidP="008240E0">
            <w:pPr>
              <w:rPr>
                <w:rFonts w:ascii="Calibri" w:hAnsi="Calibri" w:cs="Calibri"/>
                <w:sz w:val="22"/>
                <w:szCs w:val="22"/>
                <w:lang w:val="en-AU"/>
              </w:rPr>
            </w:pPr>
            <w:r w:rsidRPr="000348BD">
              <w:rPr>
                <w:rFonts w:ascii="Calibri" w:eastAsiaTheme="minorEastAsia" w:hAnsi="Calibri" w:cs="Calibri"/>
                <w:sz w:val="22"/>
                <w:szCs w:val="22"/>
                <w:lang w:val="en-AU"/>
              </w:rPr>
              <w:t>Sustainable Development Goals</w:t>
            </w:r>
          </w:p>
        </w:tc>
      </w:tr>
      <w:tr w:rsidR="00726C43" w:rsidRPr="00C97A19" w14:paraId="21FC4ACF" w14:textId="77777777" w:rsidTr="008240E0">
        <w:trPr>
          <w:trHeight w:val="243"/>
        </w:trPr>
        <w:tc>
          <w:tcPr>
            <w:tcW w:w="2194" w:type="dxa"/>
          </w:tcPr>
          <w:p w14:paraId="68FD90FE"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SME</w:t>
            </w:r>
          </w:p>
        </w:tc>
        <w:tc>
          <w:tcPr>
            <w:tcW w:w="6822" w:type="dxa"/>
          </w:tcPr>
          <w:p w14:paraId="62B056BC" w14:textId="77777777" w:rsidR="00726C43" w:rsidRPr="000348BD" w:rsidRDefault="00726C43" w:rsidP="008240E0">
            <w:pPr>
              <w:rPr>
                <w:rFonts w:ascii="Calibri" w:eastAsiaTheme="minorEastAsia" w:hAnsi="Calibri" w:cs="Calibri"/>
                <w:sz w:val="22"/>
                <w:szCs w:val="22"/>
                <w:lang w:val="en-AU"/>
              </w:rPr>
            </w:pPr>
            <w:r w:rsidRPr="000348BD">
              <w:rPr>
                <w:rFonts w:ascii="Calibri" w:hAnsi="Calibri" w:cs="Calibri"/>
                <w:color w:val="000000"/>
                <w:sz w:val="22"/>
                <w:szCs w:val="22"/>
                <w:lang w:val="en-AU"/>
              </w:rPr>
              <w:t>Small to Medium Enterprises</w:t>
            </w:r>
          </w:p>
        </w:tc>
      </w:tr>
      <w:tr w:rsidR="00726C43" w:rsidRPr="00C97A19" w14:paraId="07B6CA55" w14:textId="77777777" w:rsidTr="008240E0">
        <w:trPr>
          <w:trHeight w:val="243"/>
        </w:trPr>
        <w:tc>
          <w:tcPr>
            <w:tcW w:w="2194" w:type="dxa"/>
          </w:tcPr>
          <w:p w14:paraId="66CE98E0"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UN</w:t>
            </w:r>
          </w:p>
        </w:tc>
        <w:tc>
          <w:tcPr>
            <w:tcW w:w="6822" w:type="dxa"/>
          </w:tcPr>
          <w:p w14:paraId="1ECBB3A0" w14:textId="77777777" w:rsidR="00726C43" w:rsidRPr="00C97A19" w:rsidRDefault="00726C43" w:rsidP="008240E0">
            <w:pPr>
              <w:rPr>
                <w:rFonts w:ascii="Calibri" w:hAnsi="Calibri" w:cs="Calibri"/>
                <w:sz w:val="22"/>
                <w:szCs w:val="22"/>
                <w:lang w:val="en-AU"/>
              </w:rPr>
            </w:pPr>
            <w:r w:rsidRPr="000348BD">
              <w:rPr>
                <w:rFonts w:ascii="Calibri" w:eastAsiaTheme="minorEastAsia" w:hAnsi="Calibri" w:cs="Calibri"/>
                <w:sz w:val="22"/>
                <w:szCs w:val="22"/>
                <w:lang w:val="en-AU"/>
              </w:rPr>
              <w:t>United Nations</w:t>
            </w:r>
          </w:p>
        </w:tc>
      </w:tr>
      <w:tr w:rsidR="00726C43" w:rsidRPr="00C97A19" w14:paraId="0937ED6A" w14:textId="77777777" w:rsidTr="008240E0">
        <w:trPr>
          <w:trHeight w:val="243"/>
        </w:trPr>
        <w:tc>
          <w:tcPr>
            <w:tcW w:w="2194" w:type="dxa"/>
          </w:tcPr>
          <w:p w14:paraId="0A7CE41E" w14:textId="77777777" w:rsidR="00726C43" w:rsidRPr="000348BD" w:rsidRDefault="00726C43" w:rsidP="008240E0">
            <w:pPr>
              <w:rPr>
                <w:rFonts w:ascii="Calibri" w:hAnsi="Calibri" w:cs="Calibri"/>
                <w:sz w:val="22"/>
                <w:szCs w:val="22"/>
                <w:lang w:val="en-AU"/>
              </w:rPr>
            </w:pPr>
            <w:r w:rsidRPr="000348BD">
              <w:rPr>
                <w:rFonts w:ascii="Calibri" w:hAnsi="Calibri" w:cs="Calibri"/>
                <w:sz w:val="22"/>
                <w:szCs w:val="22"/>
                <w:lang w:val="en-AU"/>
              </w:rPr>
              <w:t>VECAS</w:t>
            </w:r>
          </w:p>
        </w:tc>
        <w:tc>
          <w:tcPr>
            <w:tcW w:w="6822" w:type="dxa"/>
          </w:tcPr>
          <w:p w14:paraId="74480014" w14:textId="77777777" w:rsidR="00726C43" w:rsidRPr="000348BD" w:rsidRDefault="00726C43" w:rsidP="008240E0">
            <w:pPr>
              <w:rPr>
                <w:rFonts w:ascii="Calibri" w:eastAsiaTheme="minorEastAsia" w:hAnsi="Calibri" w:cs="Calibri"/>
                <w:sz w:val="22"/>
                <w:szCs w:val="22"/>
                <w:lang w:val="en-AU"/>
              </w:rPr>
            </w:pPr>
            <w:r w:rsidRPr="000348BD">
              <w:rPr>
                <w:rFonts w:ascii="Calibri" w:eastAsiaTheme="minorHAnsi" w:hAnsi="Calibri" w:cs="Calibri"/>
                <w:color w:val="000000"/>
                <w:sz w:val="22"/>
                <w:szCs w:val="22"/>
                <w:lang w:val="en-AU"/>
                <w14:ligatures w14:val="standardContextual"/>
              </w:rPr>
              <w:t>Viet Nam Engineering Consultant Association</w:t>
            </w:r>
          </w:p>
        </w:tc>
      </w:tr>
      <w:tr w:rsidR="00726C43" w:rsidRPr="00C97A19" w14:paraId="58EB7813" w14:textId="77777777" w:rsidTr="008240E0">
        <w:trPr>
          <w:trHeight w:val="243"/>
        </w:trPr>
        <w:tc>
          <w:tcPr>
            <w:tcW w:w="2194" w:type="dxa"/>
          </w:tcPr>
          <w:p w14:paraId="419BAF6F"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VPSDP</w:t>
            </w:r>
          </w:p>
        </w:tc>
        <w:tc>
          <w:tcPr>
            <w:tcW w:w="6822" w:type="dxa"/>
          </w:tcPr>
          <w:p w14:paraId="0CA60A72" w14:textId="77777777" w:rsidR="00726C43" w:rsidRPr="00C97A19" w:rsidRDefault="00726C43" w:rsidP="008240E0">
            <w:pPr>
              <w:rPr>
                <w:rFonts w:ascii="Calibri" w:hAnsi="Calibri" w:cs="Calibri"/>
                <w:sz w:val="22"/>
                <w:szCs w:val="22"/>
                <w:lang w:val="en-AU"/>
              </w:rPr>
            </w:pPr>
            <w:r w:rsidRPr="00C97A19">
              <w:rPr>
                <w:rFonts w:ascii="Calibri" w:hAnsi="Calibri" w:cs="Calibri"/>
                <w:sz w:val="22"/>
                <w:szCs w:val="22"/>
                <w:lang w:val="en-AU"/>
              </w:rPr>
              <w:t>Vietnam Private Sector Development Partnership</w:t>
            </w:r>
          </w:p>
        </w:tc>
      </w:tr>
      <w:tr w:rsidR="00726C43" w:rsidRPr="00C97A19" w14:paraId="0CAB95BE" w14:textId="77777777" w:rsidTr="008240E0">
        <w:trPr>
          <w:trHeight w:val="243"/>
        </w:trPr>
        <w:tc>
          <w:tcPr>
            <w:tcW w:w="2194" w:type="dxa"/>
          </w:tcPr>
          <w:p w14:paraId="5C6A67BD" w14:textId="77777777" w:rsidR="00726C43" w:rsidRPr="00C97A19" w:rsidRDefault="00726C43" w:rsidP="008240E0">
            <w:pPr>
              <w:rPr>
                <w:rFonts w:ascii="Calibri" w:hAnsi="Calibri" w:cs="Calibri"/>
                <w:sz w:val="22"/>
                <w:szCs w:val="22"/>
                <w:lang w:val="en-AU"/>
              </w:rPr>
            </w:pPr>
            <w:r w:rsidRPr="000348BD">
              <w:rPr>
                <w:rFonts w:ascii="Calibri" w:hAnsi="Calibri" w:cs="Calibri"/>
                <w:sz w:val="22"/>
                <w:szCs w:val="22"/>
                <w:lang w:val="en-AU"/>
              </w:rPr>
              <w:t>WBG</w:t>
            </w:r>
          </w:p>
        </w:tc>
        <w:tc>
          <w:tcPr>
            <w:tcW w:w="6822" w:type="dxa"/>
          </w:tcPr>
          <w:p w14:paraId="791A9AA5" w14:textId="77777777" w:rsidR="00726C43" w:rsidRPr="00C97A19" w:rsidRDefault="00726C43" w:rsidP="008240E0">
            <w:pPr>
              <w:rPr>
                <w:rFonts w:ascii="Calibri" w:hAnsi="Calibri" w:cs="Calibri"/>
                <w:sz w:val="22"/>
                <w:szCs w:val="22"/>
                <w:lang w:val="en-AU"/>
              </w:rPr>
            </w:pPr>
            <w:r w:rsidRPr="00C97A19">
              <w:rPr>
                <w:rFonts w:ascii="Calibri" w:hAnsi="Calibri" w:cs="Calibri"/>
                <w:color w:val="000000" w:themeColor="text1"/>
                <w:sz w:val="22"/>
                <w:szCs w:val="22"/>
                <w:lang w:val="en-AU"/>
              </w:rPr>
              <w:t>World Bank Group</w:t>
            </w:r>
          </w:p>
        </w:tc>
      </w:tr>
    </w:tbl>
    <w:p w14:paraId="02E4873D" w14:textId="77777777" w:rsidR="00E960D8" w:rsidRPr="00C97A19" w:rsidRDefault="00E960D8" w:rsidP="00831F16">
      <w:pPr>
        <w:rPr>
          <w:rFonts w:ascii="Calibri" w:hAnsi="Calibri" w:cs="Calibri"/>
          <w:lang w:val="en-AU"/>
        </w:rPr>
      </w:pPr>
    </w:p>
    <w:p w14:paraId="6442CDF8" w14:textId="77777777" w:rsidR="00C03508" w:rsidRPr="00C97A19" w:rsidRDefault="00C03508" w:rsidP="00831F16">
      <w:pPr>
        <w:rPr>
          <w:rFonts w:ascii="Calibri" w:hAnsi="Calibri" w:cs="Calibri"/>
          <w:lang w:val="en-AU"/>
        </w:rPr>
      </w:pPr>
    </w:p>
    <w:p w14:paraId="720A04FC" w14:textId="77777777" w:rsidR="00C03508" w:rsidRPr="00C97A19" w:rsidRDefault="00C03508" w:rsidP="00831F16">
      <w:pPr>
        <w:rPr>
          <w:rFonts w:ascii="Calibri" w:hAnsi="Calibri" w:cs="Calibri"/>
          <w:lang w:val="en-AU"/>
        </w:rPr>
        <w:sectPr w:rsidR="00C03508" w:rsidRPr="00C97A19" w:rsidSect="00AB7568">
          <w:pgSz w:w="11906" w:h="16838"/>
          <w:pgMar w:top="1440" w:right="1440" w:bottom="1440" w:left="1440" w:header="709" w:footer="709" w:gutter="0"/>
          <w:pgNumType w:fmt="lowerRoman" w:start="1"/>
          <w:cols w:space="708"/>
          <w:titlePg/>
          <w:docGrid w:linePitch="360"/>
        </w:sectPr>
      </w:pPr>
    </w:p>
    <w:p w14:paraId="4B3DF628" w14:textId="77777777" w:rsidR="00731802" w:rsidRPr="000348BD" w:rsidRDefault="00731802" w:rsidP="00731802">
      <w:pPr>
        <w:pStyle w:val="Heading1"/>
        <w:rPr>
          <w:lang w:val="en-AU"/>
        </w:rPr>
      </w:pPr>
      <w:bookmarkStart w:id="3" w:name="_Toc201131760"/>
      <w:bookmarkStart w:id="4" w:name="_Toc233724243"/>
      <w:r w:rsidRPr="000348BD">
        <w:rPr>
          <w:lang w:val="en-AU"/>
        </w:rPr>
        <w:lastRenderedPageBreak/>
        <w:t>Executive Summary</w:t>
      </w:r>
      <w:bookmarkEnd w:id="3"/>
      <w:bookmarkEnd w:id="4"/>
    </w:p>
    <w:p w14:paraId="23194788" w14:textId="527639E3" w:rsidR="00731802" w:rsidRPr="00AA442F" w:rsidRDefault="00731802" w:rsidP="00731802">
      <w:pPr>
        <w:pStyle w:val="BodyText"/>
        <w:jc w:val="both"/>
        <w:rPr>
          <w:rFonts w:cs="Calibri"/>
          <w:szCs w:val="22"/>
          <w:lang w:val="en-US"/>
        </w:rPr>
      </w:pPr>
      <w:r w:rsidRPr="00C97A19">
        <w:rPr>
          <w:rFonts w:cs="Calibri"/>
          <w:szCs w:val="22"/>
          <w:lang w:val="en-AU"/>
        </w:rPr>
        <w:t>This report outlines the key findings and associated recommendations of the final</w:t>
      </w:r>
      <w:r w:rsidR="00565252">
        <w:rPr>
          <w:rFonts w:cs="Calibri"/>
          <w:szCs w:val="22"/>
          <w:lang w:val="en-AU"/>
        </w:rPr>
        <w:t xml:space="preserve"> mid-term</w:t>
      </w:r>
      <w:r w:rsidRPr="00C97A19">
        <w:rPr>
          <w:rFonts w:cs="Calibri"/>
          <w:szCs w:val="22"/>
          <w:lang w:val="en-AU"/>
        </w:rPr>
        <w:t xml:space="preserve"> evaluation of the </w:t>
      </w:r>
      <w:r w:rsidRPr="00C97A19">
        <w:rPr>
          <w:rFonts w:cs="Calibri"/>
          <w:i/>
          <w:iCs/>
          <w:szCs w:val="22"/>
          <w:lang w:val="en-AU"/>
        </w:rPr>
        <w:t>IFC</w:t>
      </w:r>
      <w:r w:rsidRPr="00C97A19">
        <w:rPr>
          <w:rFonts w:cs="Calibri"/>
          <w:szCs w:val="22"/>
          <w:lang w:val="en-AU"/>
        </w:rPr>
        <w:t xml:space="preserve"> </w:t>
      </w:r>
      <w:r w:rsidRPr="00C97A19">
        <w:rPr>
          <w:rFonts w:cs="Calibri"/>
          <w:i/>
          <w:iCs/>
          <w:szCs w:val="22"/>
          <w:lang w:val="en-AU"/>
        </w:rPr>
        <w:t>Viet</w:t>
      </w:r>
      <w:r w:rsidR="002F437D" w:rsidRPr="00C97A19">
        <w:rPr>
          <w:rFonts w:cs="Calibri"/>
          <w:i/>
          <w:iCs/>
          <w:szCs w:val="22"/>
          <w:lang w:val="en-AU"/>
        </w:rPr>
        <w:t xml:space="preserve"> N</w:t>
      </w:r>
      <w:r w:rsidRPr="00C97A19">
        <w:rPr>
          <w:rFonts w:cs="Calibri"/>
          <w:i/>
          <w:iCs/>
          <w:szCs w:val="22"/>
          <w:lang w:val="en-AU"/>
        </w:rPr>
        <w:t xml:space="preserve">am Private Sector Development Partnership (VPSDP) </w:t>
      </w:r>
      <w:r w:rsidRPr="00C97A19">
        <w:rPr>
          <w:rFonts w:cs="Calibri"/>
          <w:szCs w:val="22"/>
          <w:lang w:val="en-AU"/>
        </w:rPr>
        <w:t xml:space="preserve">program. </w:t>
      </w:r>
      <w:r w:rsidR="00C22D95" w:rsidRPr="00C22D95">
        <w:rPr>
          <w:rFonts w:cs="Calibri"/>
          <w:szCs w:val="22"/>
          <w:lang w:val="en-US"/>
        </w:rPr>
        <w:t xml:space="preserve">The VPSDP is a five-year AUD15million investment funded by the Government of Australia (GoA) through the Department of Foreign Affairs and Trade (DFAT) and implemented by the International Finance Corporation (IFC). </w:t>
      </w:r>
      <w:r w:rsidRPr="00C97A19">
        <w:rPr>
          <w:rFonts w:cs="Calibri"/>
          <w:szCs w:val="22"/>
          <w:lang w:val="en-AU"/>
        </w:rPr>
        <w:t xml:space="preserve"> The</w:t>
      </w:r>
      <w:r w:rsidR="00565252">
        <w:rPr>
          <w:rFonts w:cs="Calibri"/>
          <w:szCs w:val="22"/>
          <w:lang w:val="en-AU"/>
        </w:rPr>
        <w:t xml:space="preserve"> Mid-Term Review</w:t>
      </w:r>
      <w:r w:rsidRPr="00C97A19">
        <w:rPr>
          <w:rFonts w:cs="Calibri"/>
          <w:szCs w:val="22"/>
          <w:lang w:val="en-AU"/>
        </w:rPr>
        <w:t xml:space="preserve"> </w:t>
      </w:r>
      <w:r w:rsidR="00565252">
        <w:rPr>
          <w:rFonts w:cs="Calibri"/>
          <w:szCs w:val="22"/>
          <w:lang w:val="en-AU"/>
        </w:rPr>
        <w:t>(</w:t>
      </w:r>
      <w:r w:rsidRPr="00C97A19">
        <w:rPr>
          <w:rFonts w:cs="Calibri"/>
          <w:szCs w:val="22"/>
          <w:lang w:val="en-AU"/>
        </w:rPr>
        <w:t>MTR</w:t>
      </w:r>
      <w:r w:rsidR="00565252">
        <w:rPr>
          <w:rFonts w:cs="Calibri"/>
          <w:szCs w:val="22"/>
          <w:lang w:val="en-AU"/>
        </w:rPr>
        <w:t>)</w:t>
      </w:r>
      <w:r w:rsidRPr="00C97A19">
        <w:rPr>
          <w:rFonts w:cs="Calibri"/>
          <w:szCs w:val="22"/>
          <w:lang w:val="en-AU"/>
        </w:rPr>
        <w:t xml:space="preserve"> was completed between January and March 2026. The MTR comprised a desk review of available documents, a field mission to Viet</w:t>
      </w:r>
      <w:r w:rsidR="002F437D" w:rsidRPr="00C97A19">
        <w:rPr>
          <w:rFonts w:cs="Calibri"/>
          <w:szCs w:val="22"/>
          <w:lang w:val="en-AU"/>
        </w:rPr>
        <w:t xml:space="preserve"> N</w:t>
      </w:r>
      <w:r w:rsidRPr="00C97A19">
        <w:rPr>
          <w:rFonts w:cs="Calibri"/>
          <w:szCs w:val="22"/>
          <w:lang w:val="en-AU"/>
        </w:rPr>
        <w:t>am from 1</w:t>
      </w:r>
      <w:r w:rsidR="006767DF">
        <w:rPr>
          <w:rFonts w:cs="Calibri"/>
          <w:szCs w:val="22"/>
          <w:lang w:val="en-AU"/>
        </w:rPr>
        <w:t xml:space="preserve"> to </w:t>
      </w:r>
      <w:r w:rsidRPr="00C97A19">
        <w:rPr>
          <w:rFonts w:cs="Calibri"/>
          <w:szCs w:val="22"/>
          <w:lang w:val="en-AU"/>
        </w:rPr>
        <w:t>9 February 2026</w:t>
      </w:r>
      <w:r w:rsidR="00F13F6F">
        <w:rPr>
          <w:rFonts w:cs="Calibri"/>
          <w:szCs w:val="22"/>
          <w:lang w:val="en-AU"/>
        </w:rPr>
        <w:t>,</w:t>
      </w:r>
      <w:r w:rsidRPr="00C97A19">
        <w:rPr>
          <w:rFonts w:cs="Calibri"/>
          <w:szCs w:val="22"/>
          <w:lang w:val="en-AU"/>
        </w:rPr>
        <w:t xml:space="preserve"> and a mix of online and face-to-face interviews.</w:t>
      </w:r>
    </w:p>
    <w:p w14:paraId="1BD9EE92" w14:textId="77777777" w:rsidR="00731802" w:rsidRPr="000348BD" w:rsidRDefault="00731802" w:rsidP="00731802">
      <w:pPr>
        <w:pStyle w:val="Heading2"/>
        <w:rPr>
          <w:lang w:val="en-AU"/>
        </w:rPr>
      </w:pPr>
      <w:bookmarkStart w:id="5" w:name="_Toc233724244"/>
      <w:r w:rsidRPr="000348BD">
        <w:rPr>
          <w:lang w:val="en-AU"/>
        </w:rPr>
        <w:t>Purpose and Scope</w:t>
      </w:r>
      <w:bookmarkEnd w:id="5"/>
    </w:p>
    <w:p w14:paraId="12A2196E" w14:textId="43B56E16" w:rsidR="00731802" w:rsidRPr="000348BD" w:rsidRDefault="00731802" w:rsidP="00731802">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The purpose of the MTR was to (i) independently assess the VPSDP’s effectiveness and efficiency in achieving the intended</w:t>
      </w:r>
      <w:r w:rsidR="006767DF">
        <w:rPr>
          <w:rFonts w:ascii="Calibri" w:hAnsi="Calibri" w:cs="Calibri"/>
          <w:sz w:val="22"/>
          <w:szCs w:val="22"/>
          <w:lang w:val="en-AU"/>
        </w:rPr>
        <w:t xml:space="preserve"> End of Program Outcomes</w:t>
      </w:r>
      <w:r w:rsidRPr="000348BD">
        <w:rPr>
          <w:rFonts w:ascii="Calibri" w:hAnsi="Calibri" w:cs="Calibri"/>
          <w:sz w:val="22"/>
          <w:szCs w:val="22"/>
          <w:lang w:val="en-AU"/>
        </w:rPr>
        <w:t xml:space="preserve"> </w:t>
      </w:r>
      <w:r w:rsidR="006767DF">
        <w:rPr>
          <w:rFonts w:ascii="Calibri" w:hAnsi="Calibri" w:cs="Calibri"/>
          <w:sz w:val="22"/>
          <w:szCs w:val="22"/>
          <w:lang w:val="en-AU"/>
        </w:rPr>
        <w:t>(</w:t>
      </w:r>
      <w:r w:rsidRPr="000348BD">
        <w:rPr>
          <w:rFonts w:ascii="Calibri" w:hAnsi="Calibri" w:cs="Calibri"/>
          <w:sz w:val="22"/>
          <w:szCs w:val="22"/>
          <w:lang w:val="en-AU"/>
        </w:rPr>
        <w:t>EOPOs</w:t>
      </w:r>
      <w:r w:rsidR="006767DF">
        <w:rPr>
          <w:rFonts w:ascii="Calibri" w:hAnsi="Calibri" w:cs="Calibri"/>
          <w:sz w:val="22"/>
          <w:szCs w:val="22"/>
          <w:lang w:val="en-AU"/>
        </w:rPr>
        <w:t>)</w:t>
      </w:r>
      <w:r w:rsidRPr="000348BD">
        <w:rPr>
          <w:rFonts w:ascii="Calibri" w:hAnsi="Calibri" w:cs="Calibri"/>
          <w:sz w:val="22"/>
          <w:szCs w:val="22"/>
          <w:lang w:val="en-AU"/>
        </w:rPr>
        <w:t xml:space="preserve"> to date; and (ii) based on the summative assessment, provide recommendations for improvement,</w:t>
      </w:r>
      <w:r w:rsidR="006767DF">
        <w:rPr>
          <w:rFonts w:ascii="Calibri" w:hAnsi="Calibri" w:cs="Calibri"/>
          <w:sz w:val="22"/>
          <w:szCs w:val="22"/>
          <w:lang w:val="en-AU"/>
        </w:rPr>
        <w:t xml:space="preserve"> and</w:t>
      </w:r>
      <w:r w:rsidRPr="000348BD">
        <w:rPr>
          <w:rFonts w:ascii="Calibri" w:hAnsi="Calibri" w:cs="Calibri"/>
          <w:sz w:val="22"/>
          <w:szCs w:val="22"/>
          <w:lang w:val="en-AU"/>
        </w:rPr>
        <w:t xml:space="preserve"> strengthen the alignment with Go</w:t>
      </w:r>
      <w:r w:rsidR="002F437D" w:rsidRPr="000348BD">
        <w:rPr>
          <w:rFonts w:ascii="Calibri" w:hAnsi="Calibri" w:cs="Calibri"/>
          <w:sz w:val="22"/>
          <w:szCs w:val="22"/>
          <w:lang w:val="en-AU"/>
        </w:rPr>
        <w:t>A</w:t>
      </w:r>
      <w:r w:rsidRPr="000348BD">
        <w:rPr>
          <w:rFonts w:ascii="Calibri" w:hAnsi="Calibri" w:cs="Calibri"/>
          <w:sz w:val="22"/>
          <w:szCs w:val="22"/>
          <w:lang w:val="en-AU"/>
        </w:rPr>
        <w:t xml:space="preserve"> and </w:t>
      </w:r>
      <w:r w:rsidR="00565252">
        <w:rPr>
          <w:rFonts w:ascii="Calibri" w:hAnsi="Calibri" w:cs="Calibri"/>
          <w:sz w:val="22"/>
          <w:szCs w:val="22"/>
          <w:lang w:val="en-AU"/>
        </w:rPr>
        <w:t>Government of Vietnam (</w:t>
      </w:r>
      <w:r w:rsidRPr="000348BD">
        <w:rPr>
          <w:rFonts w:ascii="Calibri" w:hAnsi="Calibri" w:cs="Calibri"/>
          <w:sz w:val="22"/>
          <w:szCs w:val="22"/>
          <w:lang w:val="en-AU"/>
        </w:rPr>
        <w:t>GoV</w:t>
      </w:r>
      <w:r w:rsidR="00565252">
        <w:rPr>
          <w:rFonts w:ascii="Calibri" w:hAnsi="Calibri" w:cs="Calibri"/>
          <w:sz w:val="22"/>
          <w:szCs w:val="22"/>
          <w:lang w:val="en-AU"/>
        </w:rPr>
        <w:t>)</w:t>
      </w:r>
      <w:r w:rsidRPr="000348BD">
        <w:rPr>
          <w:rFonts w:ascii="Calibri" w:hAnsi="Calibri" w:cs="Calibri"/>
          <w:sz w:val="22"/>
          <w:szCs w:val="22"/>
          <w:lang w:val="en-AU"/>
        </w:rPr>
        <w:t xml:space="preserve"> policies and objectives.</w:t>
      </w:r>
    </w:p>
    <w:p w14:paraId="6FB641E3" w14:textId="77777777" w:rsidR="00731802" w:rsidRPr="000348BD" w:rsidRDefault="00731802" w:rsidP="00731802">
      <w:pPr>
        <w:autoSpaceDE w:val="0"/>
        <w:autoSpaceDN w:val="0"/>
        <w:adjustRightInd w:val="0"/>
        <w:spacing w:after="120"/>
        <w:jc w:val="both"/>
        <w:rPr>
          <w:rFonts w:ascii="Calibri" w:hAnsi="Calibri" w:cs="Calibri"/>
          <w:color w:val="000000"/>
          <w:sz w:val="22"/>
          <w:szCs w:val="22"/>
          <w:lang w:val="en-AU"/>
        </w:rPr>
      </w:pPr>
      <w:r w:rsidRPr="00C97A19">
        <w:rPr>
          <w:rFonts w:ascii="Calibri" w:hAnsi="Calibri" w:cs="Calibri"/>
          <w:sz w:val="22"/>
          <w:szCs w:val="22"/>
          <w:lang w:val="en-AU"/>
        </w:rPr>
        <w:t xml:space="preserve">The scope of work will cover the period </w:t>
      </w:r>
      <w:r w:rsidRPr="000348BD">
        <w:rPr>
          <w:rFonts w:ascii="Calibri" w:hAnsi="Calibri" w:cs="Calibri"/>
          <w:sz w:val="22"/>
          <w:szCs w:val="22"/>
          <w:lang w:val="en-AU"/>
        </w:rPr>
        <w:t>April 2022 to December 2025. The MTR applied</w:t>
      </w:r>
      <w:r w:rsidRPr="000348BD">
        <w:rPr>
          <w:rFonts w:ascii="Calibri" w:hAnsi="Calibri" w:cs="Calibri"/>
          <w:color w:val="000000"/>
          <w:sz w:val="22"/>
          <w:szCs w:val="22"/>
          <w:lang w:val="en-AU"/>
        </w:rPr>
        <w:t xml:space="preserve"> the Organisation for Economic Co-operation and Development – Development Assistance Committee (OECD-DAC) evaluation criteria, with particular focus on relevance, coherence, effectiveness, and efficiency. </w:t>
      </w:r>
    </w:p>
    <w:p w14:paraId="3E0A92C2" w14:textId="77777777" w:rsidR="00731802" w:rsidRPr="000348BD" w:rsidRDefault="00731802" w:rsidP="00731802">
      <w:pPr>
        <w:pStyle w:val="Heading2"/>
        <w:rPr>
          <w:lang w:val="en-AU"/>
        </w:rPr>
      </w:pPr>
      <w:bookmarkStart w:id="6" w:name="_Toc233724245"/>
      <w:r w:rsidRPr="000348BD">
        <w:rPr>
          <w:lang w:val="en-AU"/>
        </w:rPr>
        <w:t>Approach and Methodology</w:t>
      </w:r>
      <w:bookmarkEnd w:id="6"/>
    </w:p>
    <w:p w14:paraId="36ACE888" w14:textId="63DDCD1C" w:rsidR="00731802" w:rsidRPr="00C97A19" w:rsidRDefault="00731802" w:rsidP="00731802">
      <w:pPr>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AA2D23" w:rsidRPr="00C97A19">
        <w:rPr>
          <w:rFonts w:ascii="Calibri" w:hAnsi="Calibri" w:cs="Calibri"/>
          <w:sz w:val="22"/>
          <w:szCs w:val="22"/>
          <w:lang w:val="en-AU"/>
        </w:rPr>
        <w:t xml:space="preserve">MTR </w:t>
      </w:r>
      <w:r w:rsidRPr="00C97A19">
        <w:rPr>
          <w:rFonts w:ascii="Calibri" w:hAnsi="Calibri" w:cs="Calibri"/>
          <w:sz w:val="22"/>
          <w:szCs w:val="22"/>
          <w:lang w:val="en-AU"/>
        </w:rPr>
        <w:t>aligned with DFAT’s Evaluation Policy and Design and Monitoring, Evaluation, and Learning Standards</w:t>
      </w:r>
      <w:r w:rsidRPr="00C97A19">
        <w:rPr>
          <w:rStyle w:val="FootnoteReference"/>
          <w:rFonts w:ascii="Calibri" w:hAnsi="Calibri" w:cs="Calibri"/>
          <w:sz w:val="22"/>
          <w:szCs w:val="22"/>
          <w:lang w:val="en-AU"/>
        </w:rPr>
        <w:footnoteReference w:id="2"/>
      </w:r>
      <w:r w:rsidRPr="00C97A19">
        <w:rPr>
          <w:rFonts w:ascii="Calibri" w:hAnsi="Calibri" w:cs="Calibri"/>
          <w:sz w:val="22"/>
          <w:szCs w:val="22"/>
          <w:lang w:val="en-AU"/>
        </w:rPr>
        <w:t xml:space="preserve">. Throughout the process, the </w:t>
      </w:r>
      <w:r w:rsidR="009C35EC" w:rsidRPr="00AA442F">
        <w:rPr>
          <w:rFonts w:ascii="Calibri" w:hAnsi="Calibri" w:cs="Calibri"/>
          <w:sz w:val="22"/>
          <w:szCs w:val="22"/>
          <w:lang w:val="en-AU"/>
        </w:rPr>
        <w:t xml:space="preserve">mid-term </w:t>
      </w:r>
      <w:r w:rsidR="00C05F2F">
        <w:rPr>
          <w:rFonts w:ascii="Calibri" w:hAnsi="Calibri" w:cs="Calibri"/>
          <w:sz w:val="22"/>
          <w:szCs w:val="22"/>
          <w:lang w:val="en-AU"/>
        </w:rPr>
        <w:t>review</w:t>
      </w:r>
      <w:r w:rsidR="00C05F2F" w:rsidRPr="00C97A19">
        <w:rPr>
          <w:rFonts w:ascii="Calibri" w:hAnsi="Calibri" w:cs="Calibri"/>
          <w:sz w:val="22"/>
          <w:szCs w:val="22"/>
          <w:lang w:val="en-AU"/>
        </w:rPr>
        <w:t xml:space="preserve"> </w:t>
      </w:r>
      <w:r w:rsidRPr="00C97A19">
        <w:rPr>
          <w:rFonts w:ascii="Calibri" w:hAnsi="Calibri" w:cs="Calibri"/>
          <w:sz w:val="22"/>
          <w:szCs w:val="22"/>
          <w:lang w:val="en-AU"/>
        </w:rPr>
        <w:t xml:space="preserve">considered </w:t>
      </w:r>
      <w:r w:rsidR="005C5325" w:rsidRPr="00C97A19">
        <w:rPr>
          <w:rFonts w:ascii="Calibri" w:hAnsi="Calibri" w:cs="Calibri"/>
          <w:sz w:val="22"/>
          <w:szCs w:val="22"/>
          <w:lang w:val="en-AU"/>
        </w:rPr>
        <w:t>V</w:t>
      </w:r>
      <w:r w:rsidRPr="00C97A19">
        <w:rPr>
          <w:rFonts w:ascii="Calibri" w:hAnsi="Calibri" w:cs="Calibri"/>
          <w:sz w:val="22"/>
          <w:szCs w:val="22"/>
          <w:lang w:val="en-AU"/>
        </w:rPr>
        <w:t>PSDP’s strategic goals and outcomes</w:t>
      </w:r>
      <w:r w:rsidR="005C5325" w:rsidRPr="00C97A19">
        <w:rPr>
          <w:rFonts w:ascii="Calibri" w:hAnsi="Calibri" w:cs="Calibri"/>
          <w:sz w:val="22"/>
          <w:szCs w:val="22"/>
          <w:lang w:val="en-AU"/>
        </w:rPr>
        <w:t>,</w:t>
      </w:r>
      <w:r w:rsidRPr="00C97A19">
        <w:rPr>
          <w:rFonts w:ascii="Calibri" w:hAnsi="Calibri" w:cs="Calibri"/>
          <w:sz w:val="22"/>
          <w:szCs w:val="22"/>
          <w:lang w:val="en-AU"/>
        </w:rPr>
        <w:t xml:space="preserve"> a</w:t>
      </w:r>
      <w:r w:rsidR="005C5325" w:rsidRPr="00C97A19">
        <w:rPr>
          <w:rFonts w:ascii="Calibri" w:hAnsi="Calibri" w:cs="Calibri"/>
          <w:sz w:val="22"/>
          <w:szCs w:val="22"/>
          <w:lang w:val="en-AU"/>
        </w:rPr>
        <w:t>s well as</w:t>
      </w:r>
      <w:r w:rsidRPr="00C97A19">
        <w:rPr>
          <w:rFonts w:ascii="Calibri" w:hAnsi="Calibri" w:cs="Calibri"/>
          <w:sz w:val="22"/>
          <w:szCs w:val="22"/>
          <w:lang w:val="en-AU"/>
        </w:rPr>
        <w:t xml:space="preserve"> DFAT’s specific evaluation requirements. The MTR was primarily qualitative and utilisation-focused to ensure it was conducted to enhance the utility of its findings and the process, thereby informing decisions and improving outcomes. There were eight primary Key Evaluation Questions (KEQs) supported by five secondary questions. All questions were considered and addressed in the key findings.</w:t>
      </w:r>
    </w:p>
    <w:p w14:paraId="22616AE5" w14:textId="77777777" w:rsidR="00731802" w:rsidRPr="000348BD" w:rsidRDefault="00731802" w:rsidP="00731802">
      <w:pPr>
        <w:pStyle w:val="Heading2"/>
        <w:rPr>
          <w:lang w:val="en-AU"/>
        </w:rPr>
      </w:pPr>
      <w:bookmarkStart w:id="7" w:name="_Toc233724246"/>
      <w:r w:rsidRPr="000348BD">
        <w:rPr>
          <w:lang w:val="en-AU"/>
        </w:rPr>
        <w:t>Key Findings</w:t>
      </w:r>
      <w:bookmarkEnd w:id="7"/>
    </w:p>
    <w:p w14:paraId="0E4EA398" w14:textId="77777777" w:rsidR="00731802" w:rsidRPr="00C97A19" w:rsidRDefault="00731802" w:rsidP="00731802">
      <w:pPr>
        <w:pStyle w:val="BodyText"/>
        <w:jc w:val="both"/>
        <w:rPr>
          <w:rFonts w:cs="Calibri"/>
          <w:i/>
          <w:iCs/>
          <w:szCs w:val="22"/>
          <w:u w:val="single"/>
          <w:lang w:val="en-AU"/>
        </w:rPr>
      </w:pPr>
      <w:r w:rsidRPr="00C97A19">
        <w:rPr>
          <w:rFonts w:cs="Calibri"/>
          <w:i/>
          <w:iCs/>
          <w:szCs w:val="22"/>
          <w:u w:val="single"/>
          <w:lang w:val="en-AU"/>
        </w:rPr>
        <w:t>Relevance</w:t>
      </w:r>
    </w:p>
    <w:p w14:paraId="79E6ADDF" w14:textId="0F16A090" w:rsidR="00731802" w:rsidRPr="00C97A19" w:rsidRDefault="00731802" w:rsidP="00731802">
      <w:pPr>
        <w:spacing w:after="120"/>
        <w:jc w:val="both"/>
        <w:rPr>
          <w:rFonts w:ascii="Calibri" w:hAnsi="Calibri" w:cs="Calibri"/>
          <w:color w:val="000000" w:themeColor="text1"/>
          <w:sz w:val="22"/>
          <w:szCs w:val="22"/>
          <w:lang w:val="en-AU"/>
        </w:rPr>
      </w:pPr>
      <w:r w:rsidRPr="00C97A19">
        <w:rPr>
          <w:rFonts w:ascii="Calibri" w:hAnsi="Calibri" w:cs="Calibri"/>
          <w:color w:val="000000" w:themeColor="text1"/>
          <w:sz w:val="22"/>
          <w:szCs w:val="22"/>
          <w:lang w:val="en-AU"/>
        </w:rPr>
        <w:t xml:space="preserve">The VPSDP is a well-designed, well-structured program highly relevant to both the GoA and the GoV. Through its project selection and implementation, the program demonstrates its ability to respond to the current and emerging needs and priorities of the private sector and the GoV. </w:t>
      </w:r>
    </w:p>
    <w:p w14:paraId="72ED6348" w14:textId="2903255B" w:rsidR="00731802" w:rsidRPr="00AA442F" w:rsidRDefault="00AA2D23" w:rsidP="0038167F">
      <w:pPr>
        <w:pStyle w:val="BodyText"/>
        <w:jc w:val="both"/>
        <w:rPr>
          <w:rFonts w:eastAsiaTheme="minorHAnsi" w:cs="Calibri"/>
          <w:lang w:val="en-AU"/>
          <w14:ligatures w14:val="standardContextual"/>
        </w:rPr>
      </w:pPr>
      <w:r w:rsidRPr="000348BD">
        <w:rPr>
          <w:rFonts w:eastAsiaTheme="minorHAnsi" w:cs="Calibri"/>
          <w:lang w:val="en-AU"/>
          <w14:ligatures w14:val="standardContextual"/>
        </w:rPr>
        <w:t xml:space="preserve">The </w:t>
      </w:r>
      <w:r w:rsidR="00F74A6B">
        <w:rPr>
          <w:rFonts w:eastAsiaTheme="minorHAnsi" w:cs="Calibri"/>
          <w:lang w:val="en-AU"/>
          <w14:ligatures w14:val="standardContextual"/>
        </w:rPr>
        <w:t>P</w:t>
      </w:r>
      <w:r w:rsidRPr="000348BD">
        <w:rPr>
          <w:rFonts w:eastAsiaTheme="minorHAnsi" w:cs="Calibri"/>
          <w:lang w:val="en-AU"/>
          <w14:ligatures w14:val="standardContextual"/>
        </w:rPr>
        <w:t>artnership aligns closely with IFC’s Country Private Sector Diagnostic (CPSD)</w:t>
      </w:r>
      <w:r w:rsidRPr="000348BD">
        <w:rPr>
          <w:rStyle w:val="FootnoteReference"/>
          <w:rFonts w:eastAsiaTheme="minorHAnsi" w:cs="Calibri"/>
          <w:lang w:val="en-AU"/>
          <w14:ligatures w14:val="standardContextual"/>
        </w:rPr>
        <w:footnoteReference w:id="3"/>
      </w:r>
      <w:r w:rsidR="00AF5D5C">
        <w:rPr>
          <w:rFonts w:eastAsiaTheme="minorHAnsi" w:cs="Calibri"/>
          <w:lang w:val="en-AU"/>
          <w14:ligatures w14:val="standardContextual"/>
        </w:rPr>
        <w:t xml:space="preserve"> “Creating Markets in Vietnam”</w:t>
      </w:r>
      <w:r w:rsidRPr="000348BD">
        <w:rPr>
          <w:rFonts w:eastAsiaTheme="minorHAnsi" w:cs="Calibri"/>
          <w:lang w:val="en-AU"/>
          <w14:ligatures w14:val="standardContextual"/>
        </w:rPr>
        <w:t xml:space="preserve">, </w:t>
      </w:r>
      <w:r w:rsidRPr="000348BD">
        <w:rPr>
          <w:rFonts w:eastAsiaTheme="minorHAnsi" w:cs="Calibri"/>
          <w:color w:val="000000"/>
          <w:lang w:val="en-AU"/>
          <w14:ligatures w14:val="standardContextual"/>
        </w:rPr>
        <w:t>which ha</w:t>
      </w:r>
      <w:r w:rsidR="008C5A29">
        <w:rPr>
          <w:rFonts w:eastAsiaTheme="minorHAnsi" w:cs="Calibri"/>
          <w:color w:val="000000"/>
          <w:lang w:val="en-AU"/>
          <w14:ligatures w14:val="standardContextual"/>
        </w:rPr>
        <w:t>s</w:t>
      </w:r>
      <w:r w:rsidRPr="000348BD">
        <w:rPr>
          <w:rFonts w:eastAsiaTheme="minorHAnsi" w:cs="Calibri"/>
          <w:color w:val="000000"/>
          <w:lang w:val="en-AU"/>
          <w14:ligatures w14:val="standardContextual"/>
        </w:rPr>
        <w:t xml:space="preserve"> a strong focus on private</w:t>
      </w:r>
      <w:r w:rsidR="008C5A29">
        <w:rPr>
          <w:rFonts w:eastAsiaTheme="minorHAnsi" w:cs="Calibri"/>
          <w:color w:val="000000"/>
          <w:lang w:val="en-AU"/>
          <w14:ligatures w14:val="standardContextual"/>
        </w:rPr>
        <w:t xml:space="preserve"> </w:t>
      </w:r>
      <w:r w:rsidRPr="000348BD">
        <w:rPr>
          <w:rFonts w:eastAsiaTheme="minorHAnsi" w:cs="Calibri"/>
          <w:color w:val="000000"/>
          <w:lang w:val="en-AU"/>
          <w14:ligatures w14:val="standardContextual"/>
        </w:rPr>
        <w:t>sector development</w:t>
      </w:r>
      <w:r w:rsidR="00F74A6B">
        <w:rPr>
          <w:rFonts w:eastAsiaTheme="minorHAnsi" w:cs="Calibri"/>
          <w:color w:val="000000"/>
          <w:lang w:val="en-AU"/>
          <w14:ligatures w14:val="standardContextual"/>
        </w:rPr>
        <w:t xml:space="preserve"> through strengthening the regulatory environment and enhancing access to finance</w:t>
      </w:r>
      <w:r w:rsidRPr="000348BD">
        <w:rPr>
          <w:rFonts w:eastAsiaTheme="minorHAnsi" w:cs="Calibri"/>
          <w:color w:val="000000"/>
          <w:lang w:val="en-AU"/>
          <w14:ligatures w14:val="standardContextual"/>
        </w:rPr>
        <w:t>,</w:t>
      </w:r>
      <w:r w:rsidR="00F74A6B">
        <w:rPr>
          <w:rFonts w:eastAsiaTheme="minorHAnsi" w:cs="Calibri"/>
          <w:color w:val="000000"/>
          <w:lang w:val="en-AU"/>
          <w14:ligatures w14:val="standardContextual"/>
        </w:rPr>
        <w:t xml:space="preserve"> bridging skill gaps and shortages, and improving core infrastructure services that support growth</w:t>
      </w:r>
      <w:r w:rsidR="00AF5D5C">
        <w:rPr>
          <w:rFonts w:eastAsiaTheme="minorHAnsi" w:cs="Calibri"/>
          <w:color w:val="000000"/>
          <w:lang w:val="en-AU"/>
          <w14:ligatures w14:val="standardContextual"/>
        </w:rPr>
        <w:t>.</w:t>
      </w:r>
      <w:r w:rsidR="00F74A6B">
        <w:rPr>
          <w:rFonts w:eastAsiaTheme="minorHAnsi" w:cs="Calibri"/>
          <w:color w:val="000000"/>
          <w:lang w:val="en-AU"/>
          <w14:ligatures w14:val="standardContextual"/>
        </w:rPr>
        <w:t xml:space="preserve"> The CPSDP is p</w:t>
      </w:r>
      <w:r w:rsidR="00F74A6B" w:rsidRPr="00F74A6B">
        <w:rPr>
          <w:rFonts w:eastAsiaTheme="minorHAnsi" w:cs="Calibri"/>
          <w:color w:val="000000"/>
          <w:lang w:val="en-AU"/>
          <w14:ligatures w14:val="standardContextual"/>
        </w:rPr>
        <w:t xml:space="preserve">repared jointly using IFC and World Bank staff’s complementary knowledge and expertise in </w:t>
      </w:r>
      <w:r w:rsidR="00F74A6B">
        <w:rPr>
          <w:rFonts w:eastAsiaTheme="minorHAnsi" w:cs="Calibri"/>
          <w:color w:val="000000"/>
          <w:lang w:val="en-AU"/>
          <w14:ligatures w14:val="standardContextual"/>
        </w:rPr>
        <w:t>private sector development</w:t>
      </w:r>
      <w:r w:rsidR="00F74A6B" w:rsidRPr="00F74A6B">
        <w:rPr>
          <w:rFonts w:eastAsiaTheme="minorHAnsi" w:cs="Calibri"/>
          <w:color w:val="000000"/>
          <w:lang w:val="en-AU"/>
          <w14:ligatures w14:val="standardContextual"/>
        </w:rPr>
        <w:t xml:space="preserve">, </w:t>
      </w:r>
      <w:r w:rsidR="00F74A6B">
        <w:rPr>
          <w:rFonts w:eastAsiaTheme="minorHAnsi" w:cs="Calibri"/>
          <w:color w:val="000000"/>
          <w:lang w:val="en-AU"/>
          <w14:ligatures w14:val="standardContextual"/>
        </w:rPr>
        <w:t>and</w:t>
      </w:r>
      <w:r w:rsidR="00F74A6B" w:rsidRPr="00F74A6B">
        <w:rPr>
          <w:rFonts w:eastAsiaTheme="minorHAnsi" w:cs="Calibri"/>
          <w:color w:val="000000"/>
          <w:lang w:val="en-AU"/>
          <w14:ligatures w14:val="standardContextual"/>
        </w:rPr>
        <w:t xml:space="preserve"> provides a common basis for the country’s policy makers, the private sector, and the World Bank Group (WBG)</w:t>
      </w:r>
      <w:r w:rsidR="00F74A6B">
        <w:rPr>
          <w:rFonts w:eastAsiaTheme="minorHAnsi" w:cs="Calibri"/>
          <w:color w:val="000000"/>
          <w:lang w:val="en-AU"/>
          <w14:ligatures w14:val="standardContextual"/>
        </w:rPr>
        <w:t xml:space="preserve"> </w:t>
      </w:r>
      <w:r w:rsidR="00F74A6B" w:rsidRPr="00F74A6B">
        <w:rPr>
          <w:rFonts w:eastAsiaTheme="minorHAnsi" w:cs="Calibri"/>
          <w:color w:val="000000"/>
          <w:lang w:val="en-AU"/>
          <w14:ligatures w14:val="standardContextual"/>
        </w:rPr>
        <w:t>to engage.</w:t>
      </w:r>
    </w:p>
    <w:p w14:paraId="1806A99C" w14:textId="7D4F5267" w:rsidR="00731802" w:rsidRPr="00C97A19" w:rsidRDefault="00731802" w:rsidP="00731802">
      <w:pPr>
        <w:pStyle w:val="BodyText"/>
        <w:jc w:val="both"/>
        <w:rPr>
          <w:rFonts w:cs="Calibri"/>
          <w:i/>
          <w:iCs/>
          <w:color w:val="000000" w:themeColor="text1"/>
          <w:szCs w:val="22"/>
          <w:u w:val="single"/>
          <w:lang w:val="en-AU"/>
        </w:rPr>
      </w:pPr>
      <w:r w:rsidRPr="00C97A19">
        <w:rPr>
          <w:rFonts w:eastAsiaTheme="minorHAnsi" w:cs="Calibri"/>
          <w:color w:val="000000" w:themeColor="text1"/>
          <w:szCs w:val="22"/>
          <w:lang w:val="en-AU"/>
          <w14:ligatures w14:val="standardContextual"/>
        </w:rPr>
        <w:t xml:space="preserve">IFC, through VPSDP, has prioritised clients' needs through consultations and engagements over the program's life to date. IFC has built significant “social capital” with </w:t>
      </w:r>
      <w:r w:rsidR="00C05F2F">
        <w:rPr>
          <w:rFonts w:eastAsiaTheme="minorHAnsi" w:cs="Calibri"/>
          <w:color w:val="000000" w:themeColor="text1"/>
          <w:szCs w:val="22"/>
          <w:lang w:val="en-AU"/>
          <w14:ligatures w14:val="standardContextual"/>
        </w:rPr>
        <w:t>stakeholders</w:t>
      </w:r>
      <w:r w:rsidR="00C05F2F" w:rsidRPr="00C97A19">
        <w:rPr>
          <w:rFonts w:eastAsiaTheme="minorHAnsi" w:cs="Calibri"/>
          <w:color w:val="000000" w:themeColor="text1"/>
          <w:szCs w:val="22"/>
          <w:lang w:val="en-AU"/>
          <w14:ligatures w14:val="standardContextual"/>
        </w:rPr>
        <w:t xml:space="preserve"> </w:t>
      </w:r>
      <w:r w:rsidRPr="00C97A19">
        <w:rPr>
          <w:rFonts w:eastAsiaTheme="minorHAnsi" w:cs="Calibri"/>
          <w:color w:val="000000" w:themeColor="text1"/>
          <w:szCs w:val="22"/>
          <w:lang w:val="en-AU"/>
          <w14:ligatures w14:val="standardContextual"/>
        </w:rPr>
        <w:t xml:space="preserve">across the portfolio of </w:t>
      </w:r>
      <w:r w:rsidRPr="00C97A19">
        <w:rPr>
          <w:rFonts w:eastAsiaTheme="minorHAnsi" w:cs="Calibri"/>
          <w:color w:val="000000" w:themeColor="text1"/>
          <w:szCs w:val="22"/>
          <w:lang w:val="en-AU"/>
          <w14:ligatures w14:val="standardContextual"/>
        </w:rPr>
        <w:lastRenderedPageBreak/>
        <w:t xml:space="preserve">work. </w:t>
      </w:r>
      <w:r w:rsidRPr="00C97A19">
        <w:rPr>
          <w:rFonts w:cs="Calibri"/>
          <w:color w:val="000000" w:themeColor="text1"/>
          <w:szCs w:val="22"/>
          <w:lang w:val="en-AU"/>
        </w:rPr>
        <w:t xml:space="preserve">Partnership arrangements remain “fit for purpose” and relevant. </w:t>
      </w:r>
      <w:r w:rsidRPr="00C97A19">
        <w:rPr>
          <w:rFonts w:eastAsiaTheme="minorHAnsi" w:cs="Calibri"/>
          <w:color w:val="000000" w:themeColor="text1"/>
          <w:szCs w:val="22"/>
          <w:lang w:val="en-AU"/>
          <w14:ligatures w14:val="standardContextual"/>
        </w:rPr>
        <w:t xml:space="preserve">IFC has also responded well to DFAT requests, input and feedback. </w:t>
      </w:r>
      <w:r w:rsidRPr="00C243D1">
        <w:rPr>
          <w:rFonts w:eastAsiaTheme="minorHAnsi" w:cs="Calibri"/>
          <w:color w:val="000000" w:themeColor="text1"/>
          <w:szCs w:val="22"/>
          <w:lang w:val="en-AU"/>
          <w14:ligatures w14:val="standardContextual"/>
        </w:rPr>
        <w:t>However, there is room for improvement.</w:t>
      </w:r>
    </w:p>
    <w:p w14:paraId="75A8732E" w14:textId="3FB22AC1" w:rsidR="00185C40" w:rsidRPr="0032599A" w:rsidRDefault="00F00F75" w:rsidP="0032599A">
      <w:pPr>
        <w:spacing w:after="120"/>
        <w:jc w:val="both"/>
        <w:rPr>
          <w:rFonts w:ascii="Calibri" w:hAnsi="Calibri" w:cs="Calibri"/>
          <w:sz w:val="22"/>
          <w:szCs w:val="22"/>
          <w:lang w:val="en-AU"/>
        </w:rPr>
      </w:pPr>
      <w:r w:rsidRPr="00C97A19">
        <w:rPr>
          <w:rFonts w:ascii="Calibri" w:hAnsi="Calibri" w:cs="Calibri"/>
          <w:sz w:val="22"/>
          <w:szCs w:val="22"/>
          <w:lang w:val="en-AU"/>
        </w:rPr>
        <w:t>Based on the findings and evidence, the MTR assigns a “highly satisfactory” rating to relevance.</w:t>
      </w:r>
    </w:p>
    <w:p w14:paraId="52A58117" w14:textId="481903F9" w:rsidR="00731802" w:rsidRPr="00C97A19" w:rsidRDefault="00731802" w:rsidP="00731802">
      <w:pPr>
        <w:pStyle w:val="BodyText"/>
        <w:jc w:val="both"/>
        <w:rPr>
          <w:rFonts w:cs="Calibri"/>
          <w:i/>
          <w:iCs/>
          <w:szCs w:val="22"/>
          <w:u w:val="single"/>
          <w:lang w:val="en-AU"/>
        </w:rPr>
      </w:pPr>
      <w:r w:rsidRPr="00C97A19">
        <w:rPr>
          <w:rFonts w:cs="Calibri"/>
          <w:i/>
          <w:iCs/>
          <w:szCs w:val="22"/>
          <w:u w:val="single"/>
          <w:lang w:val="en-AU"/>
        </w:rPr>
        <w:t>Coherence</w:t>
      </w:r>
    </w:p>
    <w:p w14:paraId="32562AC5" w14:textId="77777777" w:rsidR="00731802" w:rsidRPr="00C97A19" w:rsidRDefault="00731802" w:rsidP="00731802">
      <w:pPr>
        <w:spacing w:after="120"/>
        <w:jc w:val="both"/>
        <w:rPr>
          <w:rFonts w:ascii="Calibri" w:hAnsi="Calibri" w:cs="Calibri"/>
          <w:color w:val="000000"/>
          <w:sz w:val="22"/>
          <w:szCs w:val="22"/>
          <w:lang w:val="en-AU"/>
        </w:rPr>
      </w:pPr>
      <w:r w:rsidRPr="00C97A19">
        <w:rPr>
          <w:rFonts w:ascii="Calibri" w:hAnsi="Calibri" w:cs="Calibri"/>
          <w:color w:val="000000"/>
          <w:sz w:val="22"/>
          <w:szCs w:val="22"/>
          <w:lang w:val="en-AU"/>
        </w:rPr>
        <w:t>The VPSDP is a tightly focused, structured program that aligns with and supports DFAT's broader mandate to support Viet Nam. As the relevance section indicates, the program is well-positioned to support the broad policy and strategic objectives and approaches of both the GoV and the GoA.</w:t>
      </w:r>
    </w:p>
    <w:p w14:paraId="2EB3921F" w14:textId="5C250021" w:rsidR="00731802" w:rsidRPr="00C97A19" w:rsidRDefault="00731802" w:rsidP="00731802">
      <w:pPr>
        <w:pStyle w:val="BodyText"/>
        <w:jc w:val="both"/>
        <w:rPr>
          <w:rFonts w:cs="Calibri"/>
          <w:szCs w:val="22"/>
          <w:lang w:val="en-AU"/>
        </w:rPr>
      </w:pPr>
      <w:r w:rsidRPr="00C97A19">
        <w:rPr>
          <w:rFonts w:cs="Calibri"/>
          <w:szCs w:val="22"/>
          <w:lang w:val="en-AU"/>
        </w:rPr>
        <w:t>The VPSDP has also committed to raising visibility and awareness, thereby fostering greater coherence and opportunities for collaboration. IFC’s work to date demonstrates a strong focus and alignment with private sector and firm-level priorities. However, some projects may become somewhat fragmented, often operating in isolation without a long-term “line of sight” to achieve agreed-upon development outcomes. The “pillar structure” underpinning the program is well-structured and prioritised; however, the</w:t>
      </w:r>
      <w:r w:rsidR="0068562A">
        <w:rPr>
          <w:rFonts w:cs="Calibri"/>
          <w:szCs w:val="22"/>
          <w:lang w:val="en-AU"/>
        </w:rPr>
        <w:t>re is a</w:t>
      </w:r>
      <w:r w:rsidRPr="00C97A19">
        <w:rPr>
          <w:rFonts w:cs="Calibri"/>
          <w:szCs w:val="22"/>
          <w:lang w:val="en-AU"/>
        </w:rPr>
        <w:t xml:space="preserve"> risk that some projects become “individual” in nature, focusing on specific results while not fully aligned with the overall narrative.</w:t>
      </w:r>
    </w:p>
    <w:p w14:paraId="39F97ED6" w14:textId="51664D91" w:rsidR="00731802" w:rsidRPr="00C97A19" w:rsidRDefault="00731802" w:rsidP="00731802">
      <w:pPr>
        <w:spacing w:after="120"/>
        <w:jc w:val="both"/>
        <w:rPr>
          <w:rFonts w:ascii="Calibri" w:hAnsi="Calibri" w:cs="Calibri"/>
          <w:sz w:val="22"/>
          <w:szCs w:val="22"/>
          <w:lang w:val="en-AU"/>
        </w:rPr>
      </w:pPr>
      <w:r w:rsidRPr="00C97A19">
        <w:rPr>
          <w:rFonts w:ascii="Calibri" w:hAnsi="Calibri" w:cs="Calibri"/>
          <w:sz w:val="22"/>
          <w:szCs w:val="22"/>
          <w:lang w:val="en-AU"/>
        </w:rPr>
        <w:t>IFC established a</w:t>
      </w:r>
      <w:r w:rsidR="00AA2D23" w:rsidRPr="00C97A19">
        <w:rPr>
          <w:rFonts w:ascii="Calibri" w:hAnsi="Calibri" w:cs="Calibri"/>
          <w:sz w:val="22"/>
          <w:szCs w:val="22"/>
          <w:lang w:val="en-AU"/>
        </w:rPr>
        <w:t xml:space="preserve"> </w:t>
      </w:r>
      <w:r w:rsidR="00AA2D23" w:rsidRPr="000348BD">
        <w:rPr>
          <w:rFonts w:ascii="Calibri" w:eastAsiaTheme="minorHAnsi" w:hAnsi="Calibri" w:cs="Calibri"/>
          <w:color w:val="000000"/>
          <w:sz w:val="22"/>
          <w:szCs w:val="22"/>
          <w:lang w:val="en-AU"/>
          <w14:ligatures w14:val="standardContextual"/>
        </w:rPr>
        <w:t>comprehensive Monitoring and Evaluation (M&amp;E) Framework. The M&amp;E framework outlines the Partnership theory of change, modality, and methodology. The M&amp;E Framework included a fit</w:t>
      </w:r>
      <w:r w:rsidR="00185C40" w:rsidRPr="000348BD">
        <w:rPr>
          <w:rFonts w:ascii="Calibri" w:eastAsiaTheme="minorHAnsi" w:hAnsi="Calibri" w:cs="Calibri"/>
          <w:color w:val="000000"/>
          <w:sz w:val="22"/>
          <w:szCs w:val="22"/>
          <w:lang w:val="en-AU"/>
          <w14:ligatures w14:val="standardContextual"/>
        </w:rPr>
        <w:t>-for-purpose</w:t>
      </w:r>
      <w:r w:rsidR="00735969" w:rsidRPr="000348BD">
        <w:rPr>
          <w:rFonts w:ascii="Calibri" w:eastAsiaTheme="minorHAnsi" w:hAnsi="Calibri" w:cs="Calibri"/>
          <w:color w:val="000000"/>
          <w:sz w:val="22"/>
          <w:szCs w:val="22"/>
          <w:lang w:val="en-AU"/>
          <w14:ligatures w14:val="standardContextual"/>
        </w:rPr>
        <w:t xml:space="preserve"> </w:t>
      </w:r>
      <w:r w:rsidRPr="00C97A19">
        <w:rPr>
          <w:rFonts w:ascii="Calibri" w:hAnsi="Calibri" w:cs="Calibri"/>
          <w:sz w:val="22"/>
          <w:szCs w:val="22"/>
          <w:lang w:val="en-AU"/>
        </w:rPr>
        <w:t xml:space="preserve">project-level monitoring and evaluation system using standard and project-specific indicators to complement the approach and align with DFAT's Design and MEL Standards. </w:t>
      </w:r>
      <w:r w:rsidR="00AA2D23" w:rsidRPr="000348BD">
        <w:rPr>
          <w:rFonts w:ascii="Calibri" w:eastAsiaTheme="minorHAnsi" w:hAnsi="Calibri" w:cs="Calibri"/>
          <w:sz w:val="22"/>
          <w:szCs w:val="22"/>
          <w:lang w:val="en-AU"/>
          <w14:ligatures w14:val="standardContextual"/>
        </w:rPr>
        <w:t xml:space="preserve">While individual projects operate under their respective logframes, they collectively feed into a programmatic logframe that aggregates results and defines overall targets for the VPSDP.  </w:t>
      </w:r>
      <w:r w:rsidRPr="00C97A19">
        <w:rPr>
          <w:rFonts w:ascii="Calibri" w:hAnsi="Calibri" w:cs="Calibri"/>
          <w:sz w:val="22"/>
          <w:szCs w:val="22"/>
          <w:lang w:val="en-AU"/>
        </w:rPr>
        <w:t>The system is supported by ongoing quality control and independent evaluation</w:t>
      </w:r>
      <w:r w:rsidRPr="00C97A19">
        <w:rPr>
          <w:rStyle w:val="FootnoteReference"/>
          <w:rFonts w:ascii="Calibri" w:eastAsiaTheme="majorEastAsia" w:hAnsi="Calibri" w:cs="Calibri"/>
          <w:sz w:val="22"/>
          <w:szCs w:val="22"/>
          <w:lang w:val="en-AU"/>
        </w:rPr>
        <w:footnoteReference w:id="4"/>
      </w:r>
      <w:r w:rsidRPr="00C97A19">
        <w:rPr>
          <w:rFonts w:ascii="Calibri" w:hAnsi="Calibri" w:cs="Calibri"/>
          <w:sz w:val="22"/>
          <w:szCs w:val="22"/>
          <w:lang w:val="en-AU"/>
        </w:rPr>
        <w:t xml:space="preserve">. </w:t>
      </w:r>
      <w:r w:rsidR="00AA442F" w:rsidRPr="00AA442F">
        <w:rPr>
          <w:rFonts w:ascii="Calibri" w:hAnsi="Calibri" w:cs="Calibri"/>
          <w:sz w:val="22"/>
          <w:szCs w:val="22"/>
          <w:lang w:val="en-AU"/>
        </w:rPr>
        <w:t xml:space="preserve">Significantly, for DFAT’s interests, IFC also ensures that gender analysis is undertaken for each project with an assessment conducted at the outset and risks updated every six months. In addition, some projects are “gender flagged”, which means a specific opportunity for gender related interventions has been identified. At the time of the MTR, 94% of all VPSDP portfolio projects (active and closed) have a gender flag.   </w:t>
      </w:r>
    </w:p>
    <w:p w14:paraId="3383ADD6" w14:textId="3FE42B53" w:rsidR="00731802" w:rsidRPr="000348BD" w:rsidRDefault="00731802" w:rsidP="00731802">
      <w:pPr>
        <w:pStyle w:val="BodyText"/>
        <w:jc w:val="both"/>
        <w:rPr>
          <w:rFonts w:eastAsiaTheme="minorHAnsi" w:cs="Calibri"/>
          <w:lang w:val="en-AU"/>
          <w14:ligatures w14:val="standardContextual"/>
        </w:rPr>
      </w:pPr>
      <w:r w:rsidRPr="00C97A19">
        <w:rPr>
          <w:rFonts w:cs="Calibri"/>
          <w:szCs w:val="22"/>
          <w:lang w:val="en-AU"/>
        </w:rPr>
        <w:t xml:space="preserve">For VPSDP as a whole, the projects, over time, </w:t>
      </w:r>
      <w:r w:rsidR="0068562A">
        <w:rPr>
          <w:rFonts w:cs="Calibri"/>
          <w:szCs w:val="22"/>
          <w:lang w:val="en-AU"/>
        </w:rPr>
        <w:t xml:space="preserve">each </w:t>
      </w:r>
      <w:r w:rsidRPr="00C97A19">
        <w:rPr>
          <w:rFonts w:cs="Calibri"/>
          <w:szCs w:val="22"/>
          <w:lang w:val="en-AU"/>
        </w:rPr>
        <w:t xml:space="preserve">contribute </w:t>
      </w:r>
      <w:r w:rsidR="0068562A">
        <w:rPr>
          <w:rFonts w:cs="Calibri"/>
          <w:szCs w:val="22"/>
          <w:lang w:val="en-AU"/>
        </w:rPr>
        <w:t>meaningfully</w:t>
      </w:r>
      <w:r w:rsidRPr="00C97A19">
        <w:rPr>
          <w:rFonts w:cs="Calibri"/>
          <w:szCs w:val="22"/>
          <w:lang w:val="en-AU"/>
        </w:rPr>
        <w:t xml:space="preserve"> to the results sought. For this reason, aggregating project results alone is insufficient to understand the program's progress or support program improvement. </w:t>
      </w:r>
      <w:r w:rsidR="00AA2D23" w:rsidRPr="000348BD">
        <w:rPr>
          <w:rFonts w:eastAsiaTheme="minorHAnsi" w:cs="Calibri"/>
          <w:lang w:val="en-AU"/>
          <w14:ligatures w14:val="standardContextual"/>
        </w:rPr>
        <w:t>Looking ahead, the VPSDP could benefit from developing a series of short case studies or “performance stories” type approaches to explore and apply a more evaluative focus on the progress and achievement of specific activities.</w:t>
      </w:r>
    </w:p>
    <w:p w14:paraId="52865ABB" w14:textId="77777777" w:rsidR="00F00F75" w:rsidRPr="00C97A19" w:rsidRDefault="00F00F75" w:rsidP="00F00F75">
      <w:pPr>
        <w:spacing w:after="120"/>
        <w:rPr>
          <w:rFonts w:ascii="Calibri" w:hAnsi="Calibri" w:cs="Calibri"/>
          <w:sz w:val="22"/>
          <w:szCs w:val="22"/>
          <w:lang w:val="en-AU"/>
        </w:rPr>
      </w:pPr>
      <w:r w:rsidRPr="00C97A19">
        <w:rPr>
          <w:rFonts w:ascii="Calibri" w:hAnsi="Calibri" w:cs="Calibri"/>
          <w:sz w:val="22"/>
          <w:szCs w:val="22"/>
          <w:lang w:val="en-AU"/>
        </w:rPr>
        <w:t>In considering the findings and evidence, the MTR assigns a “highly satisfactory” rating to coherence.</w:t>
      </w:r>
    </w:p>
    <w:p w14:paraId="5DB0B944" w14:textId="77777777" w:rsidR="00731802" w:rsidRPr="00C97A19" w:rsidRDefault="00731802" w:rsidP="00731802">
      <w:pPr>
        <w:pStyle w:val="BodyText"/>
        <w:jc w:val="both"/>
        <w:rPr>
          <w:rFonts w:cs="Calibri"/>
          <w:i/>
          <w:iCs/>
          <w:szCs w:val="22"/>
          <w:u w:val="single"/>
          <w:lang w:val="en-AU"/>
        </w:rPr>
      </w:pPr>
      <w:r w:rsidRPr="00C97A19">
        <w:rPr>
          <w:rFonts w:cs="Calibri"/>
          <w:i/>
          <w:iCs/>
          <w:szCs w:val="22"/>
          <w:u w:val="single"/>
          <w:lang w:val="en-AU"/>
        </w:rPr>
        <w:t>Effectiveness</w:t>
      </w:r>
    </w:p>
    <w:p w14:paraId="523E4B96" w14:textId="7AA45DBD" w:rsidR="0068562A" w:rsidRDefault="00B11520" w:rsidP="00731802">
      <w:pPr>
        <w:pStyle w:val="BodyText"/>
        <w:jc w:val="both"/>
        <w:rPr>
          <w:rFonts w:cs="Calibri"/>
          <w:szCs w:val="22"/>
          <w:lang w:val="en-AU"/>
        </w:rPr>
      </w:pPr>
      <w:r>
        <w:rPr>
          <w:rFonts w:cs="Calibri"/>
          <w:szCs w:val="22"/>
          <w:lang w:val="en-AU"/>
        </w:rPr>
        <w:t xml:space="preserve">To date, </w:t>
      </w:r>
      <w:r w:rsidR="00731802" w:rsidRPr="00C97A19">
        <w:rPr>
          <w:rFonts w:cs="Calibri"/>
          <w:szCs w:val="22"/>
          <w:lang w:val="en-AU"/>
        </w:rPr>
        <w:t xml:space="preserve">VPSDP has demonstrated an evident ability to respond and adapt to the evolving needs of the private sector. </w:t>
      </w:r>
      <w:r w:rsidR="00D24A64" w:rsidRPr="000348BD">
        <w:rPr>
          <w:rFonts w:cs="Calibri"/>
          <w:szCs w:val="22"/>
          <w:lang w:val="en-AU"/>
        </w:rPr>
        <w:t>IFC designs well-structured projects that are grounded in and linked to technical experience and expertise, and that align with relevant IFC and government strategies and policies</w:t>
      </w:r>
      <w:r w:rsidR="00D24A64" w:rsidRPr="00C97A19">
        <w:rPr>
          <w:rFonts w:cs="Calibri"/>
          <w:b/>
          <w:bCs/>
          <w:szCs w:val="22"/>
          <w:lang w:val="en-AU"/>
        </w:rPr>
        <w:t xml:space="preserve">. </w:t>
      </w:r>
      <w:r w:rsidR="00D24A64">
        <w:rPr>
          <w:rFonts w:cs="Calibri"/>
          <w:szCs w:val="22"/>
          <w:lang w:val="en-AU"/>
        </w:rPr>
        <w:t>A</w:t>
      </w:r>
      <w:r w:rsidR="00731802" w:rsidRPr="00C97A19">
        <w:rPr>
          <w:rFonts w:cs="Calibri"/>
          <w:szCs w:val="22"/>
          <w:lang w:val="en-AU"/>
        </w:rPr>
        <w:t xml:space="preserve">ctivities and projects </w:t>
      </w:r>
      <w:r w:rsidR="00D24A64">
        <w:rPr>
          <w:rFonts w:cs="Calibri"/>
          <w:szCs w:val="22"/>
          <w:lang w:val="en-AU"/>
        </w:rPr>
        <w:t>are primarily funded for the long-term and have a clear</w:t>
      </w:r>
      <w:r w:rsidR="00731802" w:rsidRPr="00C97A19">
        <w:rPr>
          <w:rFonts w:cs="Calibri"/>
          <w:szCs w:val="22"/>
          <w:lang w:val="en-AU"/>
        </w:rPr>
        <w:t xml:space="preserve"> “end state”</w:t>
      </w:r>
      <w:r w:rsidR="00D24A64">
        <w:rPr>
          <w:rFonts w:cs="Calibri"/>
          <w:szCs w:val="22"/>
          <w:lang w:val="en-AU"/>
        </w:rPr>
        <w:t xml:space="preserve"> however some projects are also designed to test new ideas and approaches as “pilots”</w:t>
      </w:r>
      <w:r w:rsidR="0068562A">
        <w:rPr>
          <w:rFonts w:cs="Calibri"/>
          <w:szCs w:val="22"/>
          <w:lang w:val="en-AU"/>
        </w:rPr>
        <w:t>.</w:t>
      </w:r>
      <w:r w:rsidR="00731802" w:rsidRPr="00C97A19">
        <w:rPr>
          <w:rFonts w:cs="Calibri"/>
          <w:szCs w:val="22"/>
          <w:lang w:val="en-AU"/>
        </w:rPr>
        <w:t xml:space="preserve"> </w:t>
      </w:r>
      <w:r w:rsidR="00D24A64" w:rsidRPr="00D24A64">
        <w:rPr>
          <w:rFonts w:cs="Calibri"/>
          <w:szCs w:val="22"/>
          <w:lang w:val="en-AU"/>
        </w:rPr>
        <w:t xml:space="preserve"> </w:t>
      </w:r>
      <w:r w:rsidR="00D24A64" w:rsidRPr="00C97A19">
        <w:rPr>
          <w:rFonts w:cs="Calibri"/>
          <w:szCs w:val="22"/>
          <w:lang w:val="en-AU"/>
        </w:rPr>
        <w:t xml:space="preserve">If </w:t>
      </w:r>
      <w:r w:rsidR="0038167F">
        <w:rPr>
          <w:rFonts w:cs="Calibri"/>
          <w:szCs w:val="22"/>
          <w:lang w:val="en-AU"/>
        </w:rPr>
        <w:t>a</w:t>
      </w:r>
      <w:r w:rsidR="0038167F" w:rsidRPr="00C97A19">
        <w:rPr>
          <w:rFonts w:cs="Calibri"/>
          <w:szCs w:val="22"/>
          <w:lang w:val="en-AU"/>
        </w:rPr>
        <w:t xml:space="preserve"> </w:t>
      </w:r>
      <w:r w:rsidR="00D24A64" w:rsidRPr="00C97A19">
        <w:rPr>
          <w:rFonts w:cs="Calibri"/>
          <w:szCs w:val="22"/>
          <w:lang w:val="en-AU"/>
        </w:rPr>
        <w:t xml:space="preserve">project is intended only as a single “pilot”, this </w:t>
      </w:r>
      <w:r>
        <w:rPr>
          <w:rFonts w:cs="Calibri"/>
          <w:szCs w:val="22"/>
          <w:lang w:val="en-AU"/>
        </w:rPr>
        <w:t>is</w:t>
      </w:r>
      <w:r w:rsidR="00D24A64" w:rsidRPr="00C97A19">
        <w:rPr>
          <w:rFonts w:cs="Calibri"/>
          <w:szCs w:val="22"/>
          <w:lang w:val="en-AU"/>
        </w:rPr>
        <w:t xml:space="preserve"> clearly stated</w:t>
      </w:r>
      <w:r w:rsidR="00D24A64">
        <w:rPr>
          <w:rFonts w:cs="Calibri"/>
          <w:szCs w:val="22"/>
          <w:lang w:val="en-AU"/>
        </w:rPr>
        <w:t xml:space="preserve"> and communicated with DFAT</w:t>
      </w:r>
      <w:r w:rsidR="00731802" w:rsidRPr="00C97A19">
        <w:rPr>
          <w:rFonts w:cs="Calibri"/>
          <w:szCs w:val="22"/>
          <w:lang w:val="en-AU"/>
        </w:rPr>
        <w:t xml:space="preserve">. </w:t>
      </w:r>
    </w:p>
    <w:p w14:paraId="55012BE4" w14:textId="53ADEBDC" w:rsidR="00731802" w:rsidRPr="00C97A19" w:rsidRDefault="00731802" w:rsidP="00731802">
      <w:pPr>
        <w:pStyle w:val="BodyText"/>
        <w:jc w:val="both"/>
        <w:rPr>
          <w:rFonts w:cs="Calibri"/>
          <w:szCs w:val="22"/>
          <w:lang w:val="en-AU"/>
        </w:rPr>
      </w:pPr>
      <w:r w:rsidRPr="00C97A19">
        <w:rPr>
          <w:rFonts w:cs="Calibri"/>
          <w:szCs w:val="22"/>
          <w:lang w:val="en-AU"/>
        </w:rPr>
        <w:t>A summary of results against each pillar includes:</w:t>
      </w:r>
    </w:p>
    <w:p w14:paraId="28FDB6B3" w14:textId="72BB7AE7" w:rsidR="00731802" w:rsidRPr="000348BD" w:rsidRDefault="00731802" w:rsidP="00731802">
      <w:pPr>
        <w:autoSpaceDE w:val="0"/>
        <w:autoSpaceDN w:val="0"/>
        <w:adjustRightInd w:val="0"/>
        <w:spacing w:after="120"/>
        <w:jc w:val="both"/>
        <w:rPr>
          <w:rFonts w:ascii="Calibri" w:hAnsi="Calibri" w:cs="Calibri"/>
          <w:b/>
          <w:color w:val="000000"/>
          <w:sz w:val="22"/>
          <w:szCs w:val="22"/>
          <w:lang w:val="en-AU"/>
        </w:rPr>
      </w:pPr>
      <w:r w:rsidRPr="00C97A19">
        <w:rPr>
          <w:rFonts w:ascii="Calibri" w:hAnsi="Calibri"/>
          <w:b/>
          <w:i/>
          <w:iCs/>
          <w:color w:val="000000" w:themeColor="text1"/>
          <w:sz w:val="22"/>
          <w:szCs w:val="22"/>
          <w:u w:val="single"/>
          <w:lang w:val="en-AU"/>
        </w:rPr>
        <w:lastRenderedPageBreak/>
        <w:t xml:space="preserve">Pillar 1 – </w:t>
      </w:r>
      <w:r w:rsidRPr="00C97A19">
        <w:rPr>
          <w:rFonts w:ascii="Calibri" w:eastAsiaTheme="minorHAnsi" w:hAnsi="Calibri"/>
          <w:b/>
          <w:i/>
          <w:iCs/>
          <w:color w:val="000000" w:themeColor="text1"/>
          <w:sz w:val="22"/>
          <w:szCs w:val="22"/>
          <w:u w:val="single"/>
          <w:lang w:val="en-AU"/>
        </w:rPr>
        <w:t xml:space="preserve">Enabling Environment for the Private Sector: </w:t>
      </w:r>
      <w:r w:rsidRPr="000348BD">
        <w:rPr>
          <w:rFonts w:ascii="Calibri" w:hAnsi="Calibri" w:cs="Calibri"/>
          <w:sz w:val="22"/>
          <w:szCs w:val="22"/>
          <w:lang w:val="en-AU"/>
        </w:rPr>
        <w:t xml:space="preserve">This pillar involves economy-wide and sector-specific interventions to create a more conducive business environment that supports inclusive private-sector investment. Under </w:t>
      </w:r>
      <w:r w:rsidR="00B11520">
        <w:rPr>
          <w:rFonts w:ascii="Calibri" w:hAnsi="Calibri" w:cs="Calibri"/>
          <w:sz w:val="22"/>
          <w:szCs w:val="22"/>
          <w:lang w:val="en-AU"/>
        </w:rPr>
        <w:t>this</w:t>
      </w:r>
      <w:r w:rsidR="00B11520" w:rsidRPr="000348BD">
        <w:rPr>
          <w:rFonts w:ascii="Calibri" w:hAnsi="Calibri" w:cs="Calibri"/>
          <w:sz w:val="22"/>
          <w:szCs w:val="22"/>
          <w:lang w:val="en-AU"/>
        </w:rPr>
        <w:t xml:space="preserve"> </w:t>
      </w:r>
      <w:r w:rsidRPr="000348BD">
        <w:rPr>
          <w:rFonts w:ascii="Calibri" w:hAnsi="Calibri" w:cs="Calibri"/>
          <w:sz w:val="22"/>
          <w:szCs w:val="22"/>
          <w:lang w:val="en-AU"/>
        </w:rPr>
        <w:t>pillar, IFC has continued its strategic engagement, focusing on improving the investment climate to enable competitive, sustainable, and inclusive private sector development in Viet</w:t>
      </w:r>
      <w:r w:rsidR="00C45172">
        <w:rPr>
          <w:rFonts w:ascii="Calibri" w:hAnsi="Calibri" w:cs="Calibri"/>
          <w:sz w:val="22"/>
          <w:szCs w:val="22"/>
          <w:lang w:val="en-AU"/>
        </w:rPr>
        <w:t xml:space="preserve"> N</w:t>
      </w:r>
      <w:r w:rsidRPr="000348BD">
        <w:rPr>
          <w:rFonts w:ascii="Calibri" w:hAnsi="Calibri" w:cs="Calibri"/>
          <w:sz w:val="22"/>
          <w:szCs w:val="22"/>
          <w:lang w:val="en-AU"/>
        </w:rPr>
        <w:t>am.</w:t>
      </w:r>
      <w:r w:rsidR="00BE6843" w:rsidRPr="000348BD">
        <w:rPr>
          <w:rFonts w:ascii="Calibri" w:hAnsi="Calibri" w:cs="Calibri"/>
          <w:sz w:val="22"/>
          <w:szCs w:val="22"/>
          <w:lang w:val="en-AU"/>
        </w:rPr>
        <w:t xml:space="preserve"> </w:t>
      </w:r>
      <w:r w:rsidRPr="00C243D1">
        <w:rPr>
          <w:rFonts w:ascii="Calibri" w:hAnsi="Calibri" w:cs="Calibri"/>
          <w:color w:val="000000"/>
          <w:sz w:val="22"/>
          <w:szCs w:val="22"/>
          <w:lang w:val="en-AU"/>
        </w:rPr>
        <w:t>The project</w:t>
      </w:r>
      <w:r w:rsidR="00A71903">
        <w:rPr>
          <w:rFonts w:ascii="Calibri" w:hAnsi="Calibri" w:cs="Calibri"/>
          <w:color w:val="000000"/>
          <w:sz w:val="22"/>
          <w:szCs w:val="22"/>
          <w:lang w:val="en-AU"/>
        </w:rPr>
        <w:t xml:space="preserve"> under this pillar</w:t>
      </w:r>
      <w:r w:rsidRPr="00C243D1">
        <w:rPr>
          <w:rFonts w:ascii="Calibri" w:hAnsi="Calibri" w:cs="Calibri"/>
          <w:color w:val="000000"/>
          <w:sz w:val="22"/>
          <w:szCs w:val="22"/>
          <w:lang w:val="en-AU"/>
        </w:rPr>
        <w:t xml:space="preserve"> has not been highly visible and could be viewed as an “add-on” when compared with other projects funded under other Pillars.</w:t>
      </w:r>
    </w:p>
    <w:p w14:paraId="2856C7F2" w14:textId="42B24282" w:rsidR="00731802" w:rsidRPr="000348BD" w:rsidRDefault="00731802" w:rsidP="00152F0F">
      <w:pPr>
        <w:autoSpaceDE w:val="0"/>
        <w:autoSpaceDN w:val="0"/>
        <w:adjustRightInd w:val="0"/>
        <w:spacing w:after="120"/>
        <w:jc w:val="both"/>
        <w:rPr>
          <w:rFonts w:ascii="Calibri" w:hAnsi="Calibri" w:cs="Calibri"/>
          <w:b/>
          <w:color w:val="000000"/>
          <w:sz w:val="22"/>
          <w:szCs w:val="22"/>
          <w:u w:val="single"/>
          <w:lang w:val="en-AU"/>
        </w:rPr>
      </w:pPr>
      <w:r w:rsidRPr="000348BD">
        <w:rPr>
          <w:rFonts w:ascii="Calibri" w:hAnsi="Calibri" w:cs="Calibri"/>
          <w:b/>
          <w:color w:val="000000"/>
          <w:sz w:val="22"/>
          <w:szCs w:val="22"/>
          <w:u w:val="single"/>
          <w:lang w:val="en-AU"/>
        </w:rPr>
        <w:t xml:space="preserve">Pillar 2 – Accelerating Inclusive and Climate Smart Private Investment in Key Growth Sectors: </w:t>
      </w:r>
      <w:r w:rsidRPr="000348BD">
        <w:rPr>
          <w:rFonts w:ascii="Calibri" w:hAnsi="Calibri" w:cs="Calibri"/>
          <w:sz w:val="22"/>
          <w:szCs w:val="22"/>
          <w:lang w:val="en-AU"/>
        </w:rPr>
        <w:t>Viet</w:t>
      </w:r>
      <w:r w:rsidR="0033034E" w:rsidRPr="000348BD">
        <w:rPr>
          <w:rFonts w:ascii="Calibri" w:hAnsi="Calibri" w:cs="Calibri"/>
          <w:sz w:val="22"/>
          <w:szCs w:val="22"/>
          <w:lang w:val="en-AU"/>
        </w:rPr>
        <w:t xml:space="preserve"> N</w:t>
      </w:r>
      <w:r w:rsidRPr="000348BD">
        <w:rPr>
          <w:rFonts w:ascii="Calibri" w:hAnsi="Calibri" w:cs="Calibri"/>
          <w:sz w:val="22"/>
          <w:szCs w:val="22"/>
          <w:lang w:val="en-AU"/>
        </w:rPr>
        <w:t>am’s private sector has begun to play a dynamic role in transitioning to low-carbon, inclusive development. The Green Buildings pro</w:t>
      </w:r>
      <w:r w:rsidRPr="00BB7FFD">
        <w:rPr>
          <w:rFonts w:ascii="Calibri" w:hAnsi="Calibri" w:cs="Calibri"/>
          <w:sz w:val="22"/>
          <w:szCs w:val="22"/>
          <w:lang w:val="en-AU"/>
        </w:rPr>
        <w:t>ject</w:t>
      </w:r>
      <w:r w:rsidRPr="000348BD">
        <w:rPr>
          <w:rFonts w:ascii="Calibri" w:hAnsi="Calibri" w:cs="Calibri"/>
          <w:sz w:val="22"/>
          <w:szCs w:val="22"/>
          <w:lang w:val="en-AU"/>
        </w:rPr>
        <w:t xml:space="preserve"> leverages IFC’s experience across South and South-East Asia, with a focus on the EDGE application. To date, the EDGE program has certified projects covering 857,851 sqm of floor space, of which 81% (694,592 sqm) were residential, introducing 6,106 green housing units. Beyond housing, the project has supported a diverse portfolio, including offices (78,033 sqm, 4 projects), hospitality (29,971 sqm, 1 project), retail (29,845 sqm, 4 projects), and factories (25,411 sqm, 2 projects). </w:t>
      </w:r>
      <w:r w:rsidR="00B11520">
        <w:rPr>
          <w:rFonts w:ascii="Calibri" w:hAnsi="Calibri" w:cs="Calibri"/>
          <w:sz w:val="22"/>
          <w:szCs w:val="22"/>
          <w:lang w:val="en-AU"/>
        </w:rPr>
        <w:t xml:space="preserve"> </w:t>
      </w:r>
      <w:r w:rsidR="00E13CF5">
        <w:rPr>
          <w:rFonts w:ascii="Calibri" w:hAnsi="Calibri" w:cs="Calibri"/>
          <w:sz w:val="22"/>
          <w:szCs w:val="22"/>
          <w:lang w:val="en-AU"/>
        </w:rPr>
        <w:t xml:space="preserve">The </w:t>
      </w:r>
      <w:r w:rsidR="00B11520">
        <w:rPr>
          <w:rFonts w:ascii="Calibri" w:hAnsi="Calibri" w:cs="Calibri"/>
          <w:sz w:val="22"/>
          <w:szCs w:val="22"/>
          <w:lang w:val="en-AU"/>
        </w:rPr>
        <w:t>Building Resilience Index (</w:t>
      </w:r>
      <w:r w:rsidRPr="000348BD">
        <w:rPr>
          <w:rFonts w:ascii="Calibri" w:hAnsi="Calibri" w:cs="Calibri"/>
          <w:sz w:val="22"/>
          <w:szCs w:val="22"/>
          <w:lang w:val="en-AU"/>
        </w:rPr>
        <w:t>BRI</w:t>
      </w:r>
      <w:r w:rsidR="00B11520">
        <w:rPr>
          <w:rFonts w:ascii="Calibri" w:hAnsi="Calibri" w:cs="Calibri"/>
          <w:sz w:val="22"/>
          <w:szCs w:val="22"/>
          <w:lang w:val="en-AU"/>
        </w:rPr>
        <w:t>)</w:t>
      </w:r>
      <w:r w:rsidR="0012207A">
        <w:rPr>
          <w:rFonts w:ascii="Calibri" w:hAnsi="Calibri" w:cs="Calibri"/>
          <w:sz w:val="22"/>
          <w:szCs w:val="22"/>
          <w:lang w:val="en-AU"/>
        </w:rPr>
        <w:t xml:space="preserve"> </w:t>
      </w:r>
      <w:r w:rsidR="00E13CF5">
        <w:rPr>
          <w:rFonts w:ascii="Calibri" w:hAnsi="Calibri" w:cs="Calibri"/>
          <w:sz w:val="22"/>
          <w:szCs w:val="22"/>
          <w:lang w:val="en-AU"/>
        </w:rPr>
        <w:t xml:space="preserve">and </w:t>
      </w:r>
      <w:r w:rsidR="00C45172">
        <w:rPr>
          <w:rFonts w:ascii="Calibri" w:hAnsi="Calibri" w:cs="Calibri"/>
          <w:sz w:val="22"/>
          <w:szCs w:val="22"/>
          <w:lang w:val="en-AU"/>
        </w:rPr>
        <w:t xml:space="preserve">the </w:t>
      </w:r>
      <w:r w:rsidR="0012207A">
        <w:rPr>
          <w:rFonts w:ascii="Calibri" w:hAnsi="Calibri" w:cs="Calibri"/>
          <w:sz w:val="22"/>
          <w:szCs w:val="22"/>
          <w:lang w:val="en-AU"/>
        </w:rPr>
        <w:t>G</w:t>
      </w:r>
      <w:r w:rsidR="00C45172" w:rsidRPr="000348BD">
        <w:rPr>
          <w:rFonts w:ascii="Calibri" w:hAnsi="Calibri" w:cs="Calibri"/>
          <w:sz w:val="22"/>
          <w:szCs w:val="22"/>
          <w:lang w:val="en-AU"/>
        </w:rPr>
        <w:t xml:space="preserve">reen </w:t>
      </w:r>
      <w:r w:rsidR="0012207A">
        <w:rPr>
          <w:rFonts w:ascii="Calibri" w:hAnsi="Calibri" w:cs="Calibri"/>
          <w:sz w:val="22"/>
          <w:szCs w:val="22"/>
          <w:lang w:val="en-AU"/>
        </w:rPr>
        <w:t>B</w:t>
      </w:r>
      <w:r w:rsidR="00C45172" w:rsidRPr="000348BD">
        <w:rPr>
          <w:rFonts w:ascii="Calibri" w:hAnsi="Calibri" w:cs="Calibri"/>
          <w:sz w:val="22"/>
          <w:szCs w:val="22"/>
          <w:lang w:val="en-AU"/>
        </w:rPr>
        <w:t>uilding</w:t>
      </w:r>
      <w:r w:rsidR="00C45172">
        <w:rPr>
          <w:rFonts w:ascii="Calibri" w:hAnsi="Calibri" w:cs="Calibri"/>
          <w:sz w:val="22"/>
          <w:szCs w:val="22"/>
          <w:lang w:val="en-AU"/>
        </w:rPr>
        <w:t xml:space="preserve">s </w:t>
      </w:r>
      <w:r w:rsidR="0012207A">
        <w:rPr>
          <w:rFonts w:ascii="Calibri" w:hAnsi="Calibri" w:cs="Calibri"/>
          <w:sz w:val="22"/>
          <w:szCs w:val="22"/>
          <w:lang w:val="en-AU"/>
        </w:rPr>
        <w:t>projects</w:t>
      </w:r>
      <w:r w:rsidR="00C45172">
        <w:rPr>
          <w:rFonts w:ascii="Calibri" w:hAnsi="Calibri" w:cs="Calibri"/>
          <w:sz w:val="22"/>
          <w:szCs w:val="22"/>
          <w:lang w:val="en-AU"/>
        </w:rPr>
        <w:t xml:space="preserve"> </w:t>
      </w:r>
      <w:r w:rsidR="00E13CF5">
        <w:rPr>
          <w:rFonts w:ascii="Calibri" w:hAnsi="Calibri" w:cs="Calibri"/>
          <w:sz w:val="22"/>
          <w:szCs w:val="22"/>
          <w:lang w:val="en-AU"/>
        </w:rPr>
        <w:t xml:space="preserve">are closely aligned with the BRI designed to identify climate risks posed to the building sector, and </w:t>
      </w:r>
      <w:r w:rsidR="0012207A">
        <w:rPr>
          <w:rFonts w:ascii="Calibri" w:hAnsi="Calibri" w:cs="Calibri"/>
          <w:sz w:val="22"/>
          <w:szCs w:val="22"/>
          <w:lang w:val="en-AU"/>
        </w:rPr>
        <w:t>Green Buildings</w:t>
      </w:r>
      <w:r w:rsidR="00A71903">
        <w:rPr>
          <w:rFonts w:ascii="Calibri" w:hAnsi="Calibri" w:cs="Calibri"/>
          <w:sz w:val="22"/>
          <w:szCs w:val="22"/>
          <w:lang w:val="en-AU"/>
        </w:rPr>
        <w:t xml:space="preserve"> aim</w:t>
      </w:r>
      <w:r w:rsidR="0012207A">
        <w:rPr>
          <w:rFonts w:ascii="Calibri" w:hAnsi="Calibri" w:cs="Calibri"/>
          <w:sz w:val="22"/>
          <w:szCs w:val="22"/>
          <w:lang w:val="en-AU"/>
        </w:rPr>
        <w:t>ed at</w:t>
      </w:r>
      <w:r w:rsidR="00C45172">
        <w:rPr>
          <w:rFonts w:ascii="Calibri" w:hAnsi="Calibri" w:cs="Calibri"/>
          <w:sz w:val="22"/>
          <w:szCs w:val="22"/>
          <w:lang w:val="en-AU"/>
        </w:rPr>
        <w:t xml:space="preserve"> mitigat</w:t>
      </w:r>
      <w:r w:rsidR="0012207A">
        <w:rPr>
          <w:rFonts w:ascii="Calibri" w:hAnsi="Calibri" w:cs="Calibri"/>
          <w:sz w:val="22"/>
          <w:szCs w:val="22"/>
          <w:lang w:val="en-AU"/>
        </w:rPr>
        <w:t>ing</w:t>
      </w:r>
      <w:r w:rsidR="00A71903">
        <w:rPr>
          <w:rFonts w:ascii="Calibri" w:hAnsi="Calibri" w:cs="Calibri"/>
          <w:sz w:val="22"/>
          <w:szCs w:val="22"/>
          <w:lang w:val="en-AU"/>
        </w:rPr>
        <w:t xml:space="preserve"> </w:t>
      </w:r>
      <w:r w:rsidR="00C45172">
        <w:rPr>
          <w:rFonts w:ascii="Calibri" w:hAnsi="Calibri" w:cs="Calibri"/>
          <w:sz w:val="22"/>
          <w:szCs w:val="22"/>
          <w:lang w:val="en-AU"/>
        </w:rPr>
        <w:t>th</w:t>
      </w:r>
      <w:r w:rsidR="00A71903">
        <w:rPr>
          <w:rFonts w:ascii="Calibri" w:hAnsi="Calibri" w:cs="Calibri"/>
          <w:sz w:val="22"/>
          <w:szCs w:val="22"/>
          <w:lang w:val="en-AU"/>
        </w:rPr>
        <w:t xml:space="preserve">ose </w:t>
      </w:r>
      <w:r w:rsidR="00C45172">
        <w:rPr>
          <w:rFonts w:ascii="Calibri" w:hAnsi="Calibri" w:cs="Calibri"/>
          <w:sz w:val="22"/>
          <w:szCs w:val="22"/>
          <w:lang w:val="en-AU"/>
        </w:rPr>
        <w:t>risk</w:t>
      </w:r>
      <w:r w:rsidR="00A71903">
        <w:rPr>
          <w:rFonts w:ascii="Calibri" w:hAnsi="Calibri" w:cs="Calibri"/>
          <w:sz w:val="22"/>
          <w:szCs w:val="22"/>
          <w:lang w:val="en-AU"/>
        </w:rPr>
        <w:t>s</w:t>
      </w:r>
      <w:r w:rsidRPr="000348BD">
        <w:rPr>
          <w:rFonts w:ascii="Calibri" w:hAnsi="Calibri" w:cs="Calibri"/>
          <w:sz w:val="22"/>
          <w:szCs w:val="22"/>
          <w:lang w:val="en-AU"/>
        </w:rPr>
        <w:t xml:space="preserve">. The food safety and food loss projects demonstrate the broad level of engagement and coverage IFC can maintain using a </w:t>
      </w:r>
      <w:r w:rsidR="00AA2D23" w:rsidRPr="000348BD">
        <w:rPr>
          <w:rFonts w:ascii="Calibri" w:hAnsi="Calibri" w:cs="Calibri"/>
          <w:sz w:val="22"/>
          <w:szCs w:val="22"/>
          <w:lang w:val="en-AU"/>
        </w:rPr>
        <w:t xml:space="preserve">relatively </w:t>
      </w:r>
      <w:r w:rsidRPr="000348BD">
        <w:rPr>
          <w:rFonts w:ascii="Calibri" w:hAnsi="Calibri" w:cs="Calibri"/>
          <w:sz w:val="22"/>
          <w:szCs w:val="22"/>
          <w:lang w:val="en-AU"/>
        </w:rPr>
        <w:t>small envelope of funding</w:t>
      </w:r>
      <w:r w:rsidR="00AA2D23" w:rsidRPr="000348BD">
        <w:rPr>
          <w:rFonts w:ascii="Calibri" w:hAnsi="Calibri" w:cs="Calibri"/>
          <w:sz w:val="22"/>
          <w:szCs w:val="22"/>
          <w:lang w:val="en-AU"/>
        </w:rPr>
        <w:t xml:space="preserve"> through VPSDP</w:t>
      </w:r>
      <w:r w:rsidRPr="000348BD">
        <w:rPr>
          <w:rFonts w:ascii="Calibri" w:hAnsi="Calibri" w:cs="Calibri"/>
          <w:sz w:val="22"/>
          <w:szCs w:val="22"/>
          <w:lang w:val="en-AU"/>
        </w:rPr>
        <w:t>.</w:t>
      </w:r>
      <w:r w:rsidR="00AA2D23" w:rsidRPr="000348BD">
        <w:rPr>
          <w:rFonts w:ascii="Calibri" w:hAnsi="Calibri" w:cs="Calibri"/>
          <w:sz w:val="22"/>
          <w:szCs w:val="22"/>
          <w:lang w:val="en-AU"/>
        </w:rPr>
        <w:t xml:space="preserve"> This is a significant value add.</w:t>
      </w:r>
    </w:p>
    <w:p w14:paraId="24415D5E" w14:textId="4BDF7695" w:rsidR="00731802" w:rsidRPr="000348BD" w:rsidRDefault="5B5DAF36" w:rsidP="7050C311">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color w:val="000000" w:themeColor="text1"/>
          <w:sz w:val="22"/>
          <w:szCs w:val="22"/>
          <w:u w:val="single"/>
          <w:lang w:val="en-AU"/>
        </w:rPr>
        <w:t xml:space="preserve">Pillar 3 - Creating a Green, Sustainable, and Inclusive Financial Sector: </w:t>
      </w:r>
      <w:r w:rsidRPr="000348BD">
        <w:rPr>
          <w:rFonts w:ascii="Calibri" w:hAnsi="Calibri" w:cs="Calibri"/>
          <w:sz w:val="22"/>
          <w:szCs w:val="22"/>
          <w:lang w:val="en-AU"/>
        </w:rPr>
        <w:t>Under this pillar, IFC seeks to accelerate the green transformation of Viet</w:t>
      </w:r>
      <w:r w:rsidR="00C45172">
        <w:rPr>
          <w:rFonts w:ascii="Calibri" w:hAnsi="Calibri" w:cs="Calibri"/>
          <w:sz w:val="22"/>
          <w:szCs w:val="22"/>
          <w:lang w:val="en-AU"/>
        </w:rPr>
        <w:t xml:space="preserve"> N</w:t>
      </w:r>
      <w:r w:rsidRPr="000348BD">
        <w:rPr>
          <w:rFonts w:ascii="Calibri" w:hAnsi="Calibri" w:cs="Calibri"/>
          <w:sz w:val="22"/>
          <w:szCs w:val="22"/>
          <w:lang w:val="en-AU"/>
        </w:rPr>
        <w:t xml:space="preserve">am's financial sector. IFC will work with financial institutions to build and expand their climate finance product offerings and the share of green finance projects in their portfolios. </w:t>
      </w:r>
      <w:r w:rsidRPr="000348BD">
        <w:rPr>
          <w:rFonts w:ascii="Calibri" w:hAnsi="Calibri" w:cs="Calibri"/>
          <w:color w:val="000000" w:themeColor="text1"/>
          <w:sz w:val="22"/>
          <w:szCs w:val="22"/>
          <w:lang w:val="en-AU"/>
        </w:rPr>
        <w:t xml:space="preserve">A key result is that IFC has developed a scalable, workable model that can influence and support other commercial banks in increasing their green finance portfolios. There is evidence of growing demand from Banks (i.e., SEA Bank, </w:t>
      </w:r>
      <w:r w:rsidR="4F19A3FB" w:rsidRPr="000348BD">
        <w:rPr>
          <w:rFonts w:ascii="Calibri" w:hAnsi="Calibri" w:cs="Calibri"/>
          <w:color w:val="000000" w:themeColor="text1"/>
          <w:sz w:val="22"/>
          <w:szCs w:val="22"/>
          <w:lang w:val="en-AU"/>
        </w:rPr>
        <w:t>OCB, and Maritime Bank) to continue reviewing internal operations, ensure compliance, and support understandings to raise additional finance, as well as</w:t>
      </w:r>
      <w:r w:rsidRPr="000348BD">
        <w:rPr>
          <w:rFonts w:ascii="Calibri" w:hAnsi="Calibri" w:cs="Calibri"/>
          <w:color w:val="000000" w:themeColor="text1"/>
          <w:sz w:val="22"/>
          <w:szCs w:val="22"/>
          <w:lang w:val="en-AU"/>
        </w:rPr>
        <w:t xml:space="preserve"> potentially issue their own structured instruments to secure finance. Additional work through Non-Bank Financial Institutions (NBFI</w:t>
      </w:r>
      <w:r w:rsidR="00C45172">
        <w:rPr>
          <w:rFonts w:ascii="Calibri" w:hAnsi="Calibri" w:cs="Calibri"/>
          <w:color w:val="000000" w:themeColor="text1"/>
          <w:sz w:val="22"/>
          <w:szCs w:val="22"/>
          <w:lang w:val="en-AU"/>
        </w:rPr>
        <w:t>s</w:t>
      </w:r>
      <w:r w:rsidRPr="000348BD">
        <w:rPr>
          <w:rFonts w:ascii="Calibri" w:hAnsi="Calibri" w:cs="Calibri"/>
          <w:color w:val="000000" w:themeColor="text1"/>
          <w:sz w:val="22"/>
          <w:szCs w:val="22"/>
          <w:lang w:val="en-AU"/>
        </w:rPr>
        <w:t xml:space="preserve">) is </w:t>
      </w:r>
      <w:r w:rsidR="25A29E65" w:rsidRPr="000348BD">
        <w:rPr>
          <w:rFonts w:ascii="Calibri" w:hAnsi="Calibri" w:cs="Calibri"/>
          <w:color w:val="000000" w:themeColor="text1"/>
          <w:sz w:val="22"/>
          <w:szCs w:val="22"/>
          <w:lang w:val="en-AU"/>
        </w:rPr>
        <w:t>critical to addressing this issue, as the project's support focuses on small-</w:t>
      </w:r>
      <w:r w:rsidRPr="000348BD">
        <w:rPr>
          <w:rFonts w:ascii="Calibri" w:hAnsi="Calibri" w:cs="Calibri"/>
          <w:color w:val="000000" w:themeColor="text1"/>
          <w:sz w:val="22"/>
          <w:szCs w:val="22"/>
          <w:lang w:val="en-AU"/>
        </w:rPr>
        <w:t xml:space="preserve"> to medium-sized enterprises (SMEs). </w:t>
      </w:r>
      <w:r w:rsidRPr="000348BD">
        <w:rPr>
          <w:rFonts w:ascii="Calibri" w:hAnsi="Calibri" w:cs="Calibri"/>
          <w:sz w:val="22"/>
          <w:szCs w:val="22"/>
          <w:lang w:val="en-AU"/>
        </w:rPr>
        <w:t>The Joint Capital Markets (J-CAP) project</w:t>
      </w:r>
      <w:r w:rsidR="00531EDA">
        <w:rPr>
          <w:rStyle w:val="FootnoteReference"/>
          <w:rFonts w:ascii="Calibri" w:hAnsi="Calibri" w:cs="Calibri"/>
          <w:sz w:val="22"/>
          <w:szCs w:val="22"/>
          <w:lang w:val="en-AU"/>
        </w:rPr>
        <w:footnoteReference w:id="5"/>
      </w:r>
      <w:r w:rsidR="00531EDA">
        <w:rPr>
          <w:rFonts w:ascii="Calibri" w:hAnsi="Calibri" w:cs="Calibri"/>
          <w:sz w:val="22"/>
          <w:szCs w:val="22"/>
          <w:lang w:val="en-AU"/>
        </w:rPr>
        <w:t xml:space="preserve"> </w:t>
      </w:r>
      <w:r w:rsidRPr="000348BD">
        <w:rPr>
          <w:rFonts w:ascii="Calibri" w:hAnsi="Calibri" w:cs="Calibri"/>
          <w:sz w:val="22"/>
          <w:szCs w:val="22"/>
          <w:lang w:val="en-AU"/>
        </w:rPr>
        <w:t>and the Blue Finance project are good examples of relatively small investments that have the potential for ongoing growth.</w:t>
      </w:r>
    </w:p>
    <w:p w14:paraId="7AA79970" w14:textId="15A17983" w:rsidR="00731802" w:rsidRPr="000348BD" w:rsidRDefault="00731802" w:rsidP="00185C40">
      <w:pPr>
        <w:autoSpaceDE w:val="0"/>
        <w:autoSpaceDN w:val="0"/>
        <w:adjustRightInd w:val="0"/>
        <w:spacing w:after="120"/>
        <w:jc w:val="both"/>
        <w:rPr>
          <w:rFonts w:ascii="Calibri" w:eastAsiaTheme="minorHAnsi" w:hAnsi="Calibri" w:cs="Calibri"/>
          <w:sz w:val="22"/>
          <w:szCs w:val="22"/>
          <w:lang w:val="en-AU"/>
          <w14:ligatures w14:val="standardContextual"/>
        </w:rPr>
      </w:pPr>
      <w:r w:rsidRPr="000348BD">
        <w:rPr>
          <w:rFonts w:ascii="Calibri" w:hAnsi="Calibri" w:cs="Calibri"/>
          <w:b/>
          <w:color w:val="000000"/>
          <w:sz w:val="22"/>
          <w:szCs w:val="22"/>
          <w:u w:val="single"/>
          <w:lang w:val="en-AU"/>
        </w:rPr>
        <w:t>Pillar 4 – Enhancing Gender Equality, Inclusive Development and ESG standards:</w:t>
      </w:r>
      <w:r w:rsidRPr="000348BD">
        <w:rPr>
          <w:rFonts w:ascii="Calibri" w:hAnsi="Calibri" w:cs="Calibri"/>
          <w:b/>
          <w:color w:val="000000"/>
          <w:sz w:val="22"/>
          <w:szCs w:val="22"/>
          <w:lang w:val="en-AU"/>
        </w:rPr>
        <w:t xml:space="preserve"> </w:t>
      </w:r>
      <w:r w:rsidRPr="000348BD">
        <w:rPr>
          <w:rFonts w:ascii="Calibri" w:hAnsi="Calibri" w:cs="Calibri"/>
          <w:bCs/>
          <w:color w:val="000000"/>
          <w:sz w:val="22"/>
          <w:szCs w:val="22"/>
          <w:lang w:val="en-AU"/>
        </w:rPr>
        <w:t>A</w:t>
      </w:r>
      <w:r w:rsidRPr="000348BD">
        <w:rPr>
          <w:rFonts w:ascii="Calibri" w:hAnsi="Calibri" w:cs="Calibri"/>
          <w:sz w:val="22"/>
          <w:szCs w:val="22"/>
          <w:lang w:val="en-AU"/>
        </w:rPr>
        <w:t>ctivities under the VPSDP are aimed at accelerating progress on gender equality and women’s empowerment as a key aspect of the economic recovery, whilst enhancing the sustainability of private investment in Viet</w:t>
      </w:r>
      <w:r w:rsidR="0033034E" w:rsidRPr="000348BD">
        <w:rPr>
          <w:rFonts w:ascii="Calibri" w:hAnsi="Calibri" w:cs="Calibri"/>
          <w:sz w:val="22"/>
          <w:szCs w:val="22"/>
          <w:lang w:val="en-AU"/>
        </w:rPr>
        <w:t xml:space="preserve"> N</w:t>
      </w:r>
      <w:r w:rsidRPr="000348BD">
        <w:rPr>
          <w:rFonts w:ascii="Calibri" w:hAnsi="Calibri" w:cs="Calibri"/>
          <w:sz w:val="22"/>
          <w:szCs w:val="22"/>
          <w:lang w:val="en-AU"/>
        </w:rPr>
        <w:t xml:space="preserve">am by increasing adherence to international </w:t>
      </w:r>
      <w:r w:rsidR="005C5325" w:rsidRPr="000348BD">
        <w:rPr>
          <w:rFonts w:ascii="Calibri" w:hAnsi="Calibri" w:cs="Calibri"/>
          <w:sz w:val="22"/>
          <w:szCs w:val="22"/>
          <w:lang w:val="en-AU"/>
        </w:rPr>
        <w:t>Environment, Social and Governance (</w:t>
      </w:r>
      <w:r w:rsidRPr="000348BD">
        <w:rPr>
          <w:rFonts w:ascii="Calibri" w:hAnsi="Calibri" w:cs="Calibri"/>
          <w:sz w:val="22"/>
          <w:szCs w:val="22"/>
          <w:lang w:val="en-AU"/>
        </w:rPr>
        <w:t>ESG</w:t>
      </w:r>
      <w:r w:rsidR="005C5325" w:rsidRPr="000348BD">
        <w:rPr>
          <w:rFonts w:ascii="Calibri" w:hAnsi="Calibri" w:cs="Calibri"/>
          <w:sz w:val="22"/>
          <w:szCs w:val="22"/>
          <w:lang w:val="en-AU"/>
        </w:rPr>
        <w:t>)</w:t>
      </w:r>
      <w:r w:rsidRPr="000348BD">
        <w:rPr>
          <w:rFonts w:ascii="Calibri" w:hAnsi="Calibri" w:cs="Calibri"/>
          <w:sz w:val="22"/>
          <w:szCs w:val="22"/>
          <w:lang w:val="en-AU"/>
        </w:rPr>
        <w:t xml:space="preserve"> standards and risk management.</w:t>
      </w:r>
      <w:r w:rsidRPr="000348BD">
        <w:rPr>
          <w:rFonts w:ascii="Calibri" w:hAnsi="Calibri" w:cs="Calibri"/>
          <w:color w:val="000000"/>
          <w:sz w:val="22"/>
          <w:szCs w:val="22"/>
          <w:u w:val="single"/>
          <w:lang w:val="en-AU"/>
        </w:rPr>
        <w:t xml:space="preserve"> </w:t>
      </w:r>
      <w:r w:rsidRPr="000348BD">
        <w:rPr>
          <w:rFonts w:ascii="Calibri" w:hAnsi="Calibri" w:cs="Calibri"/>
          <w:sz w:val="22"/>
          <w:szCs w:val="22"/>
          <w:lang w:val="en-AU"/>
        </w:rPr>
        <w:t>The Empowering Enterprises to Reach Gender Equality (EM</w:t>
      </w:r>
      <w:r w:rsidR="002E119A">
        <w:rPr>
          <w:rFonts w:ascii="Calibri" w:hAnsi="Calibri" w:cs="Calibri"/>
          <w:sz w:val="22"/>
          <w:szCs w:val="22"/>
          <w:lang w:val="en-AU"/>
        </w:rPr>
        <w:t>E</w:t>
      </w:r>
      <w:r w:rsidRPr="000348BD">
        <w:rPr>
          <w:rFonts w:ascii="Calibri" w:hAnsi="Calibri" w:cs="Calibri"/>
          <w:sz w:val="22"/>
          <w:szCs w:val="22"/>
          <w:lang w:val="en-AU"/>
        </w:rPr>
        <w:t xml:space="preserve">RGE) is the largest investment under Pillar 4 and one of the largest investments under the VPSDP. Complementing the approach is data collection work to address additional market solutions and gender gaps. This is most evident through the assessment of childcare. A similar study is also being conducted on disability to address the lack of relevant and current data and statistics. The project </w:t>
      </w:r>
      <w:r w:rsidR="00E03004" w:rsidRPr="000348BD">
        <w:rPr>
          <w:rFonts w:ascii="Calibri" w:hAnsi="Calibri" w:cs="Calibri"/>
          <w:sz w:val="22"/>
          <w:szCs w:val="22"/>
          <w:lang w:val="en-AU"/>
        </w:rPr>
        <w:t xml:space="preserve">on </w:t>
      </w:r>
      <w:r w:rsidRPr="000348BD">
        <w:rPr>
          <w:rFonts w:ascii="Calibri" w:hAnsi="Calibri" w:cs="Calibri"/>
          <w:sz w:val="22"/>
          <w:szCs w:val="22"/>
          <w:lang w:val="en-AU"/>
        </w:rPr>
        <w:t>gender-smart climate diagnostics is less visible than other activities under the pilla</w:t>
      </w:r>
      <w:r w:rsidR="00AA2D23" w:rsidRPr="000348BD">
        <w:rPr>
          <w:rFonts w:ascii="Calibri" w:hAnsi="Calibri" w:cs="Calibri"/>
          <w:sz w:val="22"/>
          <w:szCs w:val="22"/>
          <w:lang w:val="en-AU"/>
        </w:rPr>
        <w:t xml:space="preserve">r, </w:t>
      </w:r>
      <w:r w:rsidR="00E03004" w:rsidRPr="000348BD">
        <w:rPr>
          <w:rFonts w:ascii="Calibri" w:hAnsi="Calibri" w:cs="Calibri"/>
          <w:sz w:val="22"/>
          <w:szCs w:val="22"/>
          <w:lang w:val="en-AU"/>
        </w:rPr>
        <w:t>as</w:t>
      </w:r>
      <w:r w:rsidR="00AA2D23" w:rsidRPr="000348BD">
        <w:rPr>
          <w:rFonts w:ascii="Calibri" w:hAnsi="Calibri" w:cs="Calibri"/>
          <w:sz w:val="22"/>
          <w:szCs w:val="22"/>
          <w:lang w:val="en-AU"/>
        </w:rPr>
        <w:t xml:space="preserve"> </w:t>
      </w:r>
      <w:r w:rsidR="00E03004" w:rsidRPr="000348BD">
        <w:rPr>
          <w:rFonts w:ascii="Calibri" w:hAnsi="Calibri" w:cs="Calibri"/>
          <w:sz w:val="22"/>
          <w:szCs w:val="22"/>
          <w:lang w:val="en-AU"/>
        </w:rPr>
        <w:t>i</w:t>
      </w:r>
      <w:r w:rsidR="00AA2D23" w:rsidRPr="000348BD">
        <w:rPr>
          <w:rFonts w:ascii="Calibri" w:hAnsi="Calibri" w:cs="Calibri"/>
          <w:sz w:val="22"/>
          <w:szCs w:val="22"/>
          <w:lang w:val="en-AU"/>
        </w:rPr>
        <w:t xml:space="preserve">t has closed. When active, </w:t>
      </w:r>
      <w:r w:rsidR="00AA2D23" w:rsidRPr="000348BD">
        <w:rPr>
          <w:rFonts w:ascii="Calibri" w:eastAsiaTheme="minorHAnsi" w:hAnsi="Calibri" w:cs="Calibri"/>
          <w:sz w:val="22"/>
          <w:szCs w:val="22"/>
          <w:lang w:val="en-AU"/>
          <w14:ligatures w14:val="standardContextual"/>
        </w:rPr>
        <w:t>the project had a high</w:t>
      </w:r>
      <w:r w:rsidR="00E03004" w:rsidRPr="000348BD">
        <w:rPr>
          <w:rFonts w:ascii="Calibri" w:eastAsiaTheme="minorHAnsi" w:hAnsi="Calibri" w:cs="Calibri"/>
          <w:sz w:val="22"/>
          <w:szCs w:val="22"/>
          <w:lang w:val="en-AU"/>
          <w14:ligatures w14:val="standardContextual"/>
        </w:rPr>
        <w:t xml:space="preserve"> </w:t>
      </w:r>
      <w:r w:rsidR="00AA2D23" w:rsidRPr="000348BD">
        <w:rPr>
          <w:rFonts w:ascii="Calibri" w:eastAsiaTheme="minorHAnsi" w:hAnsi="Calibri" w:cs="Calibri"/>
          <w:sz w:val="22"/>
          <w:szCs w:val="22"/>
          <w:lang w:val="en-AU"/>
          <w14:ligatures w14:val="standardContextual"/>
        </w:rPr>
        <w:t>degree of momentum and visibility. The climate leaders network launch was well attended</w:t>
      </w:r>
      <w:r w:rsidR="00E03004" w:rsidRPr="000348BD">
        <w:rPr>
          <w:rFonts w:ascii="Calibri" w:eastAsiaTheme="minorHAnsi" w:hAnsi="Calibri" w:cs="Calibri"/>
          <w:sz w:val="22"/>
          <w:szCs w:val="22"/>
          <w:lang w:val="en-AU"/>
          <w14:ligatures w14:val="standardContextual"/>
        </w:rPr>
        <w:t>,</w:t>
      </w:r>
      <w:r w:rsidR="00AA2D23" w:rsidRPr="000348BD">
        <w:rPr>
          <w:rFonts w:ascii="Calibri" w:eastAsiaTheme="minorHAnsi" w:hAnsi="Calibri" w:cs="Calibri"/>
          <w:sz w:val="22"/>
          <w:szCs w:val="22"/>
          <w:lang w:val="en-AU"/>
          <w14:ligatures w14:val="standardContextual"/>
        </w:rPr>
        <w:t xml:space="preserve"> and </w:t>
      </w:r>
      <w:r w:rsidR="00C45172">
        <w:rPr>
          <w:rFonts w:ascii="Calibri" w:eastAsiaTheme="minorHAnsi" w:hAnsi="Calibri" w:cs="Calibri"/>
          <w:sz w:val="22"/>
          <w:szCs w:val="22"/>
          <w:lang w:val="en-AU"/>
          <w14:ligatures w14:val="standardContextual"/>
        </w:rPr>
        <w:t>IFC</w:t>
      </w:r>
      <w:r w:rsidR="00C45172" w:rsidRPr="000348BD">
        <w:rPr>
          <w:rFonts w:ascii="Calibri" w:eastAsiaTheme="minorHAnsi" w:hAnsi="Calibri" w:cs="Calibri"/>
          <w:sz w:val="22"/>
          <w:szCs w:val="22"/>
          <w:lang w:val="en-AU"/>
          <w14:ligatures w14:val="standardContextual"/>
        </w:rPr>
        <w:t xml:space="preserve"> </w:t>
      </w:r>
      <w:r w:rsidR="00AA2D23" w:rsidRPr="000348BD">
        <w:rPr>
          <w:rFonts w:ascii="Calibri" w:eastAsiaTheme="minorHAnsi" w:hAnsi="Calibri" w:cs="Calibri"/>
          <w:sz w:val="22"/>
          <w:szCs w:val="22"/>
          <w:lang w:val="en-AU"/>
          <w14:ligatures w14:val="standardContextual"/>
        </w:rPr>
        <w:t>organised a career fair for women interested in climate jobs.</w:t>
      </w:r>
    </w:p>
    <w:p w14:paraId="180EF93E" w14:textId="77777777" w:rsidR="00F00F75" w:rsidRPr="00C97A19" w:rsidRDefault="00F00F75" w:rsidP="00F00F75">
      <w:pPr>
        <w:spacing w:after="120"/>
        <w:jc w:val="both"/>
        <w:rPr>
          <w:rFonts w:ascii="Calibri" w:hAnsi="Calibri" w:cs="Calibri"/>
          <w:sz w:val="22"/>
          <w:szCs w:val="22"/>
          <w:lang w:val="en-AU"/>
        </w:rPr>
      </w:pPr>
      <w:r w:rsidRPr="00C97A19">
        <w:rPr>
          <w:rFonts w:ascii="Calibri" w:hAnsi="Calibri" w:cs="Calibri"/>
          <w:sz w:val="22"/>
          <w:szCs w:val="22"/>
          <w:lang w:val="en-AU"/>
        </w:rPr>
        <w:t>Considering the findings and evidence, the MTR assigns a “satisfactory” rating to effectiveness.</w:t>
      </w:r>
    </w:p>
    <w:p w14:paraId="0AB66A08" w14:textId="77777777" w:rsidR="00731802" w:rsidRPr="00C97A19" w:rsidRDefault="00731802" w:rsidP="00731802">
      <w:pPr>
        <w:pStyle w:val="BodyText"/>
        <w:jc w:val="both"/>
        <w:rPr>
          <w:rFonts w:cs="Calibri"/>
          <w:i/>
          <w:iCs/>
          <w:szCs w:val="22"/>
          <w:u w:val="single"/>
          <w:lang w:val="en-AU"/>
        </w:rPr>
      </w:pPr>
      <w:r w:rsidRPr="00C97A19">
        <w:rPr>
          <w:rFonts w:cs="Calibri"/>
          <w:i/>
          <w:iCs/>
          <w:szCs w:val="22"/>
          <w:u w:val="single"/>
          <w:lang w:val="en-AU"/>
        </w:rPr>
        <w:t>Efficiency</w:t>
      </w:r>
    </w:p>
    <w:p w14:paraId="130E70A1" w14:textId="77777777" w:rsidR="00731802" w:rsidRPr="00C97A19" w:rsidRDefault="00731802" w:rsidP="00731802">
      <w:pPr>
        <w:pStyle w:val="BodyText"/>
        <w:jc w:val="both"/>
        <w:rPr>
          <w:rFonts w:cs="Calibri"/>
          <w:szCs w:val="22"/>
          <w:lang w:val="en-AU"/>
        </w:rPr>
      </w:pPr>
      <w:r w:rsidRPr="00C97A19">
        <w:rPr>
          <w:rFonts w:cs="Calibri"/>
          <w:szCs w:val="22"/>
          <w:lang w:val="en-AU"/>
        </w:rPr>
        <w:lastRenderedPageBreak/>
        <w:t>The program is efficient, underpinned by solid systems and processes.</w:t>
      </w:r>
      <w:r w:rsidRPr="00C97A19">
        <w:rPr>
          <w:rFonts w:cs="Calibri"/>
          <w:b/>
          <w:bCs/>
          <w:szCs w:val="22"/>
          <w:lang w:val="en-AU"/>
        </w:rPr>
        <w:t xml:space="preserve"> </w:t>
      </w:r>
      <w:r w:rsidRPr="00C97A19">
        <w:rPr>
          <w:rFonts w:cs="Calibri"/>
          <w:szCs w:val="22"/>
          <w:lang w:val="en-AU"/>
        </w:rPr>
        <w:t xml:space="preserve">This is critical given the considerable size and scope of most projects funded through the portfolio. Importantly, projects are delivered through existing systems, predominantly using locally engaged and regional staff and consultants. The program technically has 15 months remaining and an overall burn rate of 65%. The lowest project by expenditure was the </w:t>
      </w:r>
      <w:r w:rsidRPr="00C97A19">
        <w:rPr>
          <w:rFonts w:cs="Calibri"/>
          <w:i/>
          <w:iCs/>
          <w:szCs w:val="22"/>
          <w:lang w:val="en-AU"/>
        </w:rPr>
        <w:t xml:space="preserve">Vietnam Food Safety and Food Loss </w:t>
      </w:r>
      <w:r w:rsidRPr="00C97A19">
        <w:rPr>
          <w:rFonts w:cs="Calibri"/>
          <w:szCs w:val="22"/>
          <w:lang w:val="en-AU"/>
        </w:rPr>
        <w:t>project (24%). Given the relatively large budget for this project, it has contributed to a lower overall budget rate than would be expected at this stage of implementation. The low burn rate was due to the project also receiving a financial contribution from the Republic of Korea, which was exhausted before DFAT funds were utilised.</w:t>
      </w:r>
    </w:p>
    <w:p w14:paraId="7C477100" w14:textId="77777777" w:rsidR="00F00F75" w:rsidRPr="00C97A19" w:rsidRDefault="00F00F75" w:rsidP="00F00F75">
      <w:pPr>
        <w:jc w:val="both"/>
        <w:rPr>
          <w:rFonts w:ascii="Calibri" w:hAnsi="Calibri" w:cs="Calibri"/>
          <w:sz w:val="22"/>
          <w:szCs w:val="22"/>
          <w:lang w:val="en-AU"/>
        </w:rPr>
      </w:pPr>
      <w:r w:rsidRPr="00C97A19">
        <w:rPr>
          <w:rFonts w:ascii="Calibri" w:hAnsi="Calibri" w:cs="Calibri"/>
          <w:sz w:val="22"/>
          <w:szCs w:val="22"/>
          <w:lang w:val="en-AU"/>
        </w:rPr>
        <w:t>In considering the findings and evidence, the MTR assigns a “highly satisfactory” rating to efficiency.</w:t>
      </w:r>
    </w:p>
    <w:p w14:paraId="27E550B4" w14:textId="77777777" w:rsidR="00F00F75" w:rsidRPr="00C97A19" w:rsidRDefault="00F00F75" w:rsidP="00731802">
      <w:pPr>
        <w:spacing w:after="120"/>
        <w:jc w:val="both"/>
        <w:rPr>
          <w:rFonts w:ascii="Calibri" w:hAnsi="Calibri" w:cs="Calibri"/>
          <w:i/>
          <w:iCs/>
          <w:color w:val="000000" w:themeColor="text1"/>
          <w:sz w:val="22"/>
          <w:szCs w:val="22"/>
          <w:u w:val="single"/>
          <w:lang w:val="en-AU"/>
        </w:rPr>
      </w:pPr>
    </w:p>
    <w:p w14:paraId="2C037B0D" w14:textId="25C23E86" w:rsidR="00731802" w:rsidRPr="00C97A19" w:rsidRDefault="00731802" w:rsidP="00731802">
      <w:pPr>
        <w:spacing w:after="120"/>
        <w:jc w:val="both"/>
        <w:rPr>
          <w:rFonts w:ascii="Calibri" w:hAnsi="Calibri" w:cs="Calibri"/>
          <w:i/>
          <w:iCs/>
          <w:color w:val="000000" w:themeColor="text1"/>
          <w:sz w:val="22"/>
          <w:szCs w:val="22"/>
          <w:u w:val="single"/>
          <w:lang w:val="en-AU"/>
        </w:rPr>
      </w:pPr>
      <w:r w:rsidRPr="00C97A19">
        <w:rPr>
          <w:rFonts w:ascii="Calibri" w:hAnsi="Calibri" w:cs="Calibri"/>
          <w:i/>
          <w:iCs/>
          <w:color w:val="000000" w:themeColor="text1"/>
          <w:sz w:val="22"/>
          <w:szCs w:val="22"/>
          <w:u w:val="single"/>
          <w:lang w:val="en-AU"/>
        </w:rPr>
        <w:t>Sustainability</w:t>
      </w:r>
    </w:p>
    <w:p w14:paraId="5E6B128E" w14:textId="128C7AB9" w:rsidR="00AF75B7" w:rsidRDefault="00731802" w:rsidP="00731802">
      <w:pPr>
        <w:pStyle w:val="BodyText"/>
        <w:jc w:val="both"/>
        <w:rPr>
          <w:rFonts w:cs="Calibri"/>
          <w:szCs w:val="22"/>
          <w:lang w:val="en-AU"/>
        </w:rPr>
      </w:pPr>
      <w:r w:rsidRPr="00C97A19">
        <w:rPr>
          <w:rFonts w:cs="Calibri"/>
          <w:szCs w:val="22"/>
          <w:lang w:val="en-AU"/>
        </w:rPr>
        <w:t xml:space="preserve">Overall, projects and investments funded under the program are highly likely to be sustainable, given that they were primarily designed and implemented in a staged, considered manner and align with the previous and current GoV's priorities and needs. </w:t>
      </w:r>
      <w:r w:rsidR="00AF75B7">
        <w:rPr>
          <w:rFonts w:cs="Calibri"/>
          <w:szCs w:val="22"/>
          <w:lang w:val="en-AU"/>
        </w:rPr>
        <w:t>The other key evidence point is that several interventions under the VPSDP have been “converted” into IFC investments and private financing, which brings a certain level of sustainability, given the confidence to continue funding and supporting initiatives through private sources.</w:t>
      </w:r>
    </w:p>
    <w:p w14:paraId="1C945BCB" w14:textId="68BAB97E" w:rsidR="00731802" w:rsidRPr="00C97A19" w:rsidRDefault="00731802" w:rsidP="00731802">
      <w:pPr>
        <w:pStyle w:val="BodyText"/>
        <w:jc w:val="both"/>
        <w:rPr>
          <w:rFonts w:cs="Calibri"/>
          <w:szCs w:val="22"/>
          <w:lang w:val="en-AU"/>
        </w:rPr>
      </w:pPr>
      <w:r w:rsidRPr="00C97A19">
        <w:rPr>
          <w:rFonts w:cs="Calibri"/>
          <w:szCs w:val="22"/>
          <w:lang w:val="en-AU"/>
        </w:rPr>
        <w:t xml:space="preserve">The only outstanding sustainability questions concern project work under Pillar 1. While the work here is targeted, it requires significant time and investment and is subject to factors and context outside the program's control or influence. However, several key lessons have been learned and derived here that should provide a sound foundation for future decision-making. </w:t>
      </w:r>
    </w:p>
    <w:p w14:paraId="02924BD3" w14:textId="3C623840" w:rsidR="00731802" w:rsidRPr="00C97A19" w:rsidRDefault="00731802" w:rsidP="00731802">
      <w:pPr>
        <w:pStyle w:val="BodyText"/>
        <w:jc w:val="both"/>
        <w:rPr>
          <w:rFonts w:cs="Calibri"/>
          <w:szCs w:val="22"/>
          <w:lang w:val="en-AU"/>
        </w:rPr>
      </w:pPr>
      <w:r w:rsidRPr="00C97A19">
        <w:rPr>
          <w:rFonts w:cs="Calibri"/>
          <w:szCs w:val="22"/>
          <w:lang w:val="en-AU"/>
        </w:rPr>
        <w:t>Projects funded under VP</w:t>
      </w:r>
      <w:r w:rsidR="0033034E" w:rsidRPr="00C97A19">
        <w:rPr>
          <w:rFonts w:cs="Calibri"/>
          <w:szCs w:val="22"/>
          <w:lang w:val="en-AU"/>
        </w:rPr>
        <w:t>S</w:t>
      </w:r>
      <w:r w:rsidRPr="00C97A19">
        <w:rPr>
          <w:rFonts w:cs="Calibri"/>
          <w:szCs w:val="22"/>
          <w:lang w:val="en-AU"/>
        </w:rPr>
        <w:t>DP, in some instances, have been designed as “pilot in nature”, which allows for opportunities to test and trial. A key feature of the program has been the staged approach to implementing and managing core projects. Projects such as these have been designed and prioritised through close consultation</w:t>
      </w:r>
      <w:r w:rsidR="00E427FA">
        <w:rPr>
          <w:rFonts w:cs="Calibri"/>
          <w:szCs w:val="22"/>
          <w:lang w:val="en-AU"/>
        </w:rPr>
        <w:t>, both</w:t>
      </w:r>
      <w:r w:rsidRPr="00C97A19">
        <w:rPr>
          <w:rFonts w:cs="Calibri"/>
          <w:szCs w:val="22"/>
          <w:lang w:val="en-AU"/>
        </w:rPr>
        <w:t xml:space="preserve"> internally within IFC and</w:t>
      </w:r>
      <w:r w:rsidR="00E427FA">
        <w:rPr>
          <w:rFonts w:cs="Calibri"/>
          <w:szCs w:val="22"/>
          <w:lang w:val="en-AU"/>
        </w:rPr>
        <w:t xml:space="preserve"> in</w:t>
      </w:r>
      <w:r w:rsidRPr="00C97A19">
        <w:rPr>
          <w:rFonts w:cs="Calibri"/>
          <w:szCs w:val="22"/>
          <w:lang w:val="en-AU"/>
        </w:rPr>
        <w:t xml:space="preserve"> </w:t>
      </w:r>
      <w:r w:rsidR="00E427FA">
        <w:rPr>
          <w:rFonts w:cs="Calibri"/>
          <w:szCs w:val="22"/>
          <w:lang w:val="en-AU"/>
        </w:rPr>
        <w:t>consultations</w:t>
      </w:r>
      <w:r w:rsidRPr="00C97A19">
        <w:rPr>
          <w:rFonts w:cs="Calibri"/>
          <w:szCs w:val="22"/>
          <w:lang w:val="en-AU"/>
        </w:rPr>
        <w:t xml:space="preserve"> with DFAT. This finding is not a criticism; it pr</w:t>
      </w:r>
      <w:r w:rsidR="00AF75B7">
        <w:rPr>
          <w:rFonts w:cs="Calibri"/>
          <w:szCs w:val="22"/>
          <w:lang w:val="en-AU"/>
        </w:rPr>
        <w:t>esent</w:t>
      </w:r>
      <w:r w:rsidRPr="00C97A19">
        <w:rPr>
          <w:rFonts w:cs="Calibri"/>
          <w:szCs w:val="22"/>
          <w:lang w:val="en-AU"/>
        </w:rPr>
        <w:t xml:space="preserve">s an opportunity to establish clear selection criteria and consultation processes </w:t>
      </w:r>
      <w:r w:rsidR="00AF75B7">
        <w:rPr>
          <w:rFonts w:cs="Calibri"/>
          <w:szCs w:val="22"/>
          <w:lang w:val="en-AU"/>
        </w:rPr>
        <w:t>for</w:t>
      </w:r>
      <w:r w:rsidRPr="00C97A19">
        <w:rPr>
          <w:rFonts w:cs="Calibri"/>
          <w:szCs w:val="22"/>
          <w:lang w:val="en-AU"/>
        </w:rPr>
        <w:t xml:space="preserve"> identify</w:t>
      </w:r>
      <w:r w:rsidR="00AF75B7">
        <w:rPr>
          <w:rFonts w:cs="Calibri"/>
          <w:szCs w:val="22"/>
          <w:lang w:val="en-AU"/>
        </w:rPr>
        <w:t>ing</w:t>
      </w:r>
      <w:r w:rsidRPr="00C97A19">
        <w:rPr>
          <w:rFonts w:cs="Calibri"/>
          <w:szCs w:val="22"/>
          <w:lang w:val="en-AU"/>
        </w:rPr>
        <w:t xml:space="preserve"> priority projects. The program's ability to evolve and prioritise projects that build on successive iterations is crucial. This is evident through the Green Finance and Green Buildings work under Pillar</w:t>
      </w:r>
      <w:r w:rsidR="00BE6843" w:rsidRPr="00C97A19">
        <w:rPr>
          <w:rFonts w:cs="Calibri"/>
          <w:szCs w:val="22"/>
          <w:lang w:val="en-AU"/>
        </w:rPr>
        <w:t>s</w:t>
      </w:r>
      <w:r w:rsidRPr="00C97A19">
        <w:rPr>
          <w:rFonts w:cs="Calibri"/>
          <w:szCs w:val="22"/>
          <w:lang w:val="en-AU"/>
        </w:rPr>
        <w:t xml:space="preserve"> 2 and 3. </w:t>
      </w:r>
      <w:r w:rsidR="00BE6843" w:rsidRPr="00C97A19">
        <w:rPr>
          <w:rFonts w:cs="Calibri"/>
          <w:szCs w:val="22"/>
          <w:lang w:val="en-AU"/>
        </w:rPr>
        <w:t>F</w:t>
      </w:r>
      <w:r w:rsidRPr="00C97A19">
        <w:rPr>
          <w:rFonts w:cs="Calibri"/>
          <w:szCs w:val="22"/>
          <w:lang w:val="en-AU"/>
        </w:rPr>
        <w:t xml:space="preserve">uture iterations of the program </w:t>
      </w:r>
      <w:r w:rsidR="00BE6843" w:rsidRPr="00C97A19">
        <w:rPr>
          <w:rFonts w:cs="Calibri"/>
          <w:szCs w:val="22"/>
          <w:lang w:val="en-AU"/>
        </w:rPr>
        <w:t>should</w:t>
      </w:r>
      <w:r w:rsidRPr="00C97A19">
        <w:rPr>
          <w:rFonts w:cs="Calibri"/>
          <w:szCs w:val="22"/>
          <w:lang w:val="en-AU"/>
        </w:rPr>
        <w:t xml:space="preserve"> prioritise and design longer-term projects from the outset with clear stages that can be programmed, monitored, and assessed over time.</w:t>
      </w:r>
    </w:p>
    <w:p w14:paraId="41737F4C" w14:textId="625E82BB" w:rsidR="00731802" w:rsidRPr="000348BD" w:rsidRDefault="00731802" w:rsidP="00E03004">
      <w:pPr>
        <w:spacing w:after="120"/>
        <w:jc w:val="both"/>
        <w:rPr>
          <w:rFonts w:ascii="Calibri" w:eastAsiaTheme="minorHAnsi" w:hAnsi="Calibri" w:cs="Calibri"/>
          <w:sz w:val="22"/>
          <w:szCs w:val="22"/>
          <w:lang w:val="en-AU"/>
          <w14:ligatures w14:val="standardContextual"/>
        </w:rPr>
      </w:pPr>
      <w:r w:rsidRPr="000348BD">
        <w:rPr>
          <w:rFonts w:ascii="Calibri" w:hAnsi="Calibri" w:cs="Calibri"/>
          <w:sz w:val="22"/>
          <w:szCs w:val="22"/>
          <w:lang w:val="en-AU"/>
        </w:rPr>
        <w:t>Future programming should emphasise longer</w:t>
      </w:r>
      <w:r w:rsidRPr="000348BD">
        <w:rPr>
          <w:rFonts w:ascii="Cambria Math" w:hAnsi="Cambria Math" w:cs="Cambria Math"/>
          <w:sz w:val="22"/>
          <w:szCs w:val="22"/>
          <w:lang w:val="en-AU"/>
        </w:rPr>
        <w:t>‑</w:t>
      </w:r>
      <w:r w:rsidRPr="000348BD">
        <w:rPr>
          <w:rFonts w:ascii="Calibri" w:hAnsi="Calibri" w:cs="Calibri"/>
          <w:sz w:val="22"/>
          <w:szCs w:val="22"/>
          <w:lang w:val="en-AU"/>
        </w:rPr>
        <w:t xml:space="preserve">term, staged projects, with a particular opportunity to concentrate </w:t>
      </w:r>
      <w:r w:rsidR="00BE6843" w:rsidRPr="000348BD">
        <w:rPr>
          <w:rFonts w:ascii="Calibri" w:hAnsi="Calibri" w:cs="Calibri"/>
          <w:sz w:val="22"/>
          <w:szCs w:val="22"/>
          <w:lang w:val="en-AU"/>
        </w:rPr>
        <w:t>on</w:t>
      </w:r>
      <w:r w:rsidRPr="000348BD">
        <w:rPr>
          <w:rFonts w:ascii="Calibri" w:hAnsi="Calibri" w:cs="Calibri"/>
          <w:sz w:val="22"/>
          <w:szCs w:val="22"/>
          <w:lang w:val="en-AU"/>
        </w:rPr>
        <w:t xml:space="preserve"> agri</w:t>
      </w:r>
      <w:r w:rsidRPr="000348BD">
        <w:rPr>
          <w:rFonts w:ascii="Cambria Math" w:hAnsi="Cambria Math" w:cs="Cambria Math"/>
          <w:sz w:val="22"/>
          <w:szCs w:val="22"/>
          <w:lang w:val="en-AU"/>
        </w:rPr>
        <w:t>‑</w:t>
      </w:r>
      <w:r w:rsidRPr="000348BD">
        <w:rPr>
          <w:rFonts w:ascii="Calibri" w:hAnsi="Calibri" w:cs="Calibri"/>
          <w:sz w:val="22"/>
          <w:szCs w:val="22"/>
          <w:lang w:val="en-AU"/>
        </w:rPr>
        <w:t>business.</w:t>
      </w:r>
      <w:r w:rsidR="00AA2D23" w:rsidRPr="000348BD">
        <w:rPr>
          <w:rFonts w:ascii="Calibri" w:hAnsi="Calibri" w:cs="Calibri"/>
          <w:sz w:val="22"/>
          <w:szCs w:val="22"/>
          <w:lang w:val="en-AU"/>
        </w:rPr>
        <w:t xml:space="preserve"> A key supporting finding is that </w:t>
      </w:r>
      <w:r w:rsidR="00AA2D23" w:rsidRPr="000348BD">
        <w:rPr>
          <w:rFonts w:ascii="Calibri" w:eastAsiaTheme="minorHAnsi" w:hAnsi="Calibri" w:cs="Calibri"/>
          <w:sz w:val="22"/>
          <w:szCs w:val="22"/>
          <w:lang w:val="en-AU"/>
          <w14:ligatures w14:val="standardContextual"/>
        </w:rPr>
        <w:t xml:space="preserve">agribusiness is a focus because Viet Nam has been selected as a pilot country under the WBG’s new AgriConnect strategy. </w:t>
      </w:r>
      <w:r w:rsidR="00E427FA">
        <w:rPr>
          <w:rFonts w:ascii="Calibri" w:eastAsiaTheme="minorHAnsi" w:hAnsi="Calibri" w:cs="Calibri"/>
          <w:sz w:val="22"/>
          <w:szCs w:val="22"/>
          <w:lang w:val="en-AU"/>
          <w14:ligatures w14:val="standardContextual"/>
        </w:rPr>
        <w:t>This creates</w:t>
      </w:r>
      <w:r w:rsidR="00AA2D23" w:rsidRPr="000348BD">
        <w:rPr>
          <w:rFonts w:ascii="Calibri" w:eastAsiaTheme="minorHAnsi" w:hAnsi="Calibri" w:cs="Calibri"/>
          <w:sz w:val="22"/>
          <w:szCs w:val="22"/>
          <w:lang w:val="en-AU"/>
          <w14:ligatures w14:val="standardContextual"/>
        </w:rPr>
        <w:t xml:space="preserve"> opportunities to strengthen private-sector engagement in agribusiness</w:t>
      </w:r>
      <w:r w:rsidR="00E03004" w:rsidRPr="000348BD">
        <w:rPr>
          <w:rFonts w:ascii="Calibri" w:eastAsiaTheme="minorHAnsi" w:hAnsi="Calibri" w:cs="Calibri"/>
          <w:sz w:val="22"/>
          <w:szCs w:val="22"/>
          <w:lang w:val="en-AU"/>
          <w14:ligatures w14:val="standardContextual"/>
        </w:rPr>
        <w:t xml:space="preserve"> further</w:t>
      </w:r>
      <w:r w:rsidR="00AA2D23" w:rsidRPr="000348BD">
        <w:rPr>
          <w:rFonts w:ascii="Calibri" w:eastAsiaTheme="minorHAnsi" w:hAnsi="Calibri" w:cs="Calibri"/>
          <w:sz w:val="22"/>
          <w:szCs w:val="22"/>
          <w:lang w:val="en-AU"/>
          <w14:ligatures w14:val="standardContextual"/>
        </w:rPr>
        <w:t xml:space="preserve"> while building on existing VPSDP initiatives such as Green Finance, Blue Finance, and the Food Safety and Food Loss projects.</w:t>
      </w:r>
    </w:p>
    <w:p w14:paraId="6F57CFE6" w14:textId="77777777" w:rsidR="00F00F75" w:rsidRPr="00C97A19" w:rsidRDefault="00F00F75" w:rsidP="00F00F75">
      <w:pPr>
        <w:spacing w:after="120"/>
        <w:jc w:val="both"/>
        <w:rPr>
          <w:rFonts w:ascii="Calibri" w:hAnsi="Calibri" w:cs="Calibri"/>
          <w:sz w:val="22"/>
          <w:szCs w:val="22"/>
          <w:lang w:val="en-AU"/>
        </w:rPr>
      </w:pPr>
      <w:r w:rsidRPr="00C97A19">
        <w:rPr>
          <w:rFonts w:ascii="Calibri" w:hAnsi="Calibri" w:cs="Calibri"/>
          <w:sz w:val="22"/>
          <w:szCs w:val="22"/>
          <w:lang w:val="en-AU"/>
        </w:rPr>
        <w:t>In considering the findings and evidence, the MTR assigns a “satisfactory” rating to sustainability.</w:t>
      </w:r>
    </w:p>
    <w:p w14:paraId="06E74F72" w14:textId="3DFC3CDB" w:rsidR="00731802" w:rsidRPr="000348BD" w:rsidRDefault="002E119A" w:rsidP="00731802">
      <w:pPr>
        <w:spacing w:after="120"/>
        <w:jc w:val="both"/>
        <w:rPr>
          <w:rFonts w:ascii="Calibri" w:hAnsi="Calibri" w:cs="Calibri"/>
          <w:b/>
          <w:bCs/>
          <w:i/>
          <w:iCs/>
          <w:color w:val="151515"/>
          <w:position w:val="6"/>
          <w:sz w:val="22"/>
          <w:szCs w:val="22"/>
          <w:u w:val="single"/>
          <w:lang w:val="en-AU"/>
        </w:rPr>
      </w:pPr>
      <w:r w:rsidRPr="00BB7FFD">
        <w:rPr>
          <w:rFonts w:ascii="Calibri" w:hAnsi="Calibri" w:cs="Calibri"/>
          <w:b/>
          <w:bCs/>
          <w:i/>
          <w:iCs/>
          <w:color w:val="151515"/>
          <w:position w:val="6"/>
          <w:sz w:val="22"/>
          <w:szCs w:val="22"/>
          <w:u w:val="single"/>
          <w:lang w:val="en-AU"/>
        </w:rPr>
        <w:t>Gender Equality, Disability and Social Inclusion</w:t>
      </w:r>
      <w:r w:rsidRPr="000348BD">
        <w:rPr>
          <w:rFonts w:ascii="Calibri" w:hAnsi="Calibri" w:cs="Calibri"/>
          <w:b/>
          <w:bCs/>
          <w:i/>
          <w:iCs/>
          <w:color w:val="151515"/>
          <w:position w:val="6"/>
          <w:sz w:val="22"/>
          <w:szCs w:val="22"/>
          <w:u w:val="single"/>
          <w:lang w:val="en-AU"/>
        </w:rPr>
        <w:t xml:space="preserve"> </w:t>
      </w:r>
      <w:r>
        <w:rPr>
          <w:rFonts w:ascii="Calibri" w:hAnsi="Calibri" w:cs="Calibri"/>
          <w:b/>
          <w:bCs/>
          <w:i/>
          <w:iCs/>
          <w:color w:val="151515"/>
          <w:position w:val="6"/>
          <w:sz w:val="22"/>
          <w:szCs w:val="22"/>
          <w:u w:val="single"/>
          <w:lang w:val="en-AU"/>
        </w:rPr>
        <w:t>(</w:t>
      </w:r>
      <w:r w:rsidR="00731802" w:rsidRPr="000348BD">
        <w:rPr>
          <w:rFonts w:ascii="Calibri" w:hAnsi="Calibri" w:cs="Calibri"/>
          <w:b/>
          <w:bCs/>
          <w:i/>
          <w:iCs/>
          <w:color w:val="151515"/>
          <w:position w:val="6"/>
          <w:sz w:val="22"/>
          <w:szCs w:val="22"/>
          <w:u w:val="single"/>
          <w:lang w:val="en-AU"/>
        </w:rPr>
        <w:t>GEDSI</w:t>
      </w:r>
      <w:r>
        <w:rPr>
          <w:rFonts w:ascii="Calibri" w:hAnsi="Calibri" w:cs="Calibri"/>
          <w:b/>
          <w:bCs/>
          <w:i/>
          <w:iCs/>
          <w:color w:val="151515"/>
          <w:position w:val="6"/>
          <w:sz w:val="22"/>
          <w:szCs w:val="22"/>
          <w:u w:val="single"/>
          <w:lang w:val="en-AU"/>
        </w:rPr>
        <w:t>)</w:t>
      </w:r>
    </w:p>
    <w:p w14:paraId="72DF81CE" w14:textId="2DAA68A7" w:rsidR="00731802" w:rsidRPr="00C97A19" w:rsidRDefault="00731802" w:rsidP="00BE6843">
      <w:pPr>
        <w:jc w:val="both"/>
        <w:rPr>
          <w:rFonts w:ascii="Calibri" w:hAnsi="Calibri" w:cs="Calibri"/>
          <w:i/>
          <w:iCs/>
          <w:color w:val="000000" w:themeColor="text1"/>
          <w:sz w:val="22"/>
          <w:szCs w:val="22"/>
          <w:u w:val="single"/>
          <w:lang w:val="en-AU"/>
        </w:rPr>
      </w:pPr>
      <w:r w:rsidRPr="000348BD">
        <w:rPr>
          <w:rFonts w:ascii="Calibri" w:hAnsi="Calibri" w:cs="Calibri"/>
          <w:color w:val="000000" w:themeColor="text1"/>
          <w:sz w:val="22"/>
          <w:szCs w:val="22"/>
          <w:lang w:val="en-AU"/>
        </w:rPr>
        <w:t>IFC’s gender and inclusion team supports the private sector in driving a more inclusive allocation of capital, creating more inclusive employment and leadership, and supporting inclusive supply chains. The program has also sought to adopt disability-inclusive approaches. The most appropriate example is the disability diagnostic, which should provide a solid foundation for future engagement. While gender and disability requirements are comprehensive and robust within DFAT, it is important to acknowledge that implementing partners also need time to adjust systems and processes</w:t>
      </w:r>
      <w:r w:rsidR="00BE6843" w:rsidRPr="000348BD">
        <w:rPr>
          <w:rFonts w:ascii="Calibri" w:hAnsi="Calibri" w:cs="Calibri"/>
          <w:color w:val="000000" w:themeColor="text1"/>
          <w:sz w:val="22"/>
          <w:szCs w:val="22"/>
          <w:lang w:val="en-AU"/>
        </w:rPr>
        <w:t xml:space="preserve">. Progress is positive, but context </w:t>
      </w:r>
      <w:r w:rsidR="00BE6843" w:rsidRPr="000348BD">
        <w:rPr>
          <w:rFonts w:ascii="Calibri" w:hAnsi="Calibri" w:cs="Calibri"/>
          <w:color w:val="000000" w:themeColor="text1"/>
          <w:sz w:val="22"/>
          <w:szCs w:val="22"/>
          <w:lang w:val="en-AU"/>
        </w:rPr>
        <w:lastRenderedPageBreak/>
        <w:t>and systems limit the pace of change</w:t>
      </w:r>
      <w:r w:rsidR="00AA2D23" w:rsidRPr="000348BD">
        <w:rPr>
          <w:rFonts w:ascii="Calibri" w:hAnsi="Calibri" w:cs="Calibri"/>
          <w:color w:val="000000" w:themeColor="text1"/>
          <w:sz w:val="22"/>
          <w:szCs w:val="22"/>
          <w:lang w:val="en-AU"/>
        </w:rPr>
        <w:t xml:space="preserve">. </w:t>
      </w:r>
      <w:r w:rsidR="00AA2D23" w:rsidRPr="000348BD">
        <w:rPr>
          <w:rFonts w:ascii="Calibri" w:eastAsiaTheme="minorHAnsi" w:hAnsi="Calibri" w:cs="Calibri"/>
          <w:sz w:val="22"/>
          <w:szCs w:val="22"/>
          <w:lang w:val="en-AU"/>
          <w14:ligatures w14:val="standardContextual"/>
        </w:rPr>
        <w:t>DFAT and IFC can further build on the successful dialogue and activities on disability inclusion to advance disability-inclusive private sector development.</w:t>
      </w:r>
      <w:r w:rsidR="00BE6843" w:rsidRPr="000348BD">
        <w:rPr>
          <w:rFonts w:ascii="Calibri" w:hAnsi="Calibri" w:cs="Calibri"/>
          <w:color w:val="000000" w:themeColor="text1"/>
          <w:sz w:val="22"/>
          <w:szCs w:val="22"/>
          <w:lang w:val="en-AU"/>
        </w:rPr>
        <w:t xml:space="preserve"> </w:t>
      </w:r>
    </w:p>
    <w:p w14:paraId="0383C14A" w14:textId="77777777" w:rsidR="00731802" w:rsidRPr="000348BD" w:rsidRDefault="00731802" w:rsidP="00731802">
      <w:pPr>
        <w:pStyle w:val="Heading2"/>
        <w:rPr>
          <w:lang w:val="en-AU"/>
        </w:rPr>
      </w:pPr>
      <w:bookmarkStart w:id="8" w:name="_Toc233724247"/>
      <w:r w:rsidRPr="000348BD">
        <w:rPr>
          <w:lang w:val="en-AU"/>
        </w:rPr>
        <w:t>Recommendations</w:t>
      </w:r>
      <w:bookmarkEnd w:id="8"/>
    </w:p>
    <w:p w14:paraId="709AD453" w14:textId="77777777" w:rsidR="00731802" w:rsidRPr="00C97A19" w:rsidRDefault="00731802" w:rsidP="00731802">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Key recommendations for the program and partnership to consider include:</w:t>
      </w:r>
    </w:p>
    <w:p w14:paraId="7ED066F0" w14:textId="697CEBA3" w:rsidR="00731802" w:rsidRPr="000348BD" w:rsidRDefault="00731802" w:rsidP="00731802">
      <w:pPr>
        <w:pStyle w:val="BodyText2"/>
        <w:spacing w:line="240" w:lineRule="auto"/>
        <w:jc w:val="both"/>
        <w:rPr>
          <w:rFonts w:ascii="Calibri" w:hAnsi="Calibri" w:cs="Calibri"/>
          <w:b/>
          <w:bCs/>
          <w:color w:val="000000"/>
          <w:sz w:val="22"/>
          <w:szCs w:val="22"/>
          <w:lang w:val="en-AU"/>
        </w:rPr>
      </w:pPr>
      <w:bookmarkStart w:id="9" w:name="OLE_LINK3"/>
      <w:r w:rsidRPr="000348BD">
        <w:rPr>
          <w:rFonts w:ascii="Calibri" w:hAnsi="Calibri" w:cs="Calibri"/>
          <w:b/>
          <w:bCs/>
          <w:color w:val="000000"/>
          <w:sz w:val="22"/>
          <w:szCs w:val="22"/>
          <w:lang w:val="en-AU"/>
        </w:rPr>
        <w:t>Recommendation 1:</w:t>
      </w:r>
      <w:r w:rsidR="00BE6843" w:rsidRPr="000348BD">
        <w:rPr>
          <w:rFonts w:ascii="Calibri" w:hAnsi="Calibri" w:cs="Calibri"/>
          <w:b/>
          <w:bCs/>
          <w:color w:val="000000"/>
          <w:sz w:val="22"/>
          <w:szCs w:val="22"/>
          <w:lang w:val="en-AU"/>
        </w:rPr>
        <w:t xml:space="preserve"> </w:t>
      </w:r>
      <w:r w:rsidR="00BE6843" w:rsidRPr="000348BD">
        <w:rPr>
          <w:rFonts w:ascii="Calibri" w:hAnsi="Calibri" w:cs="Calibri"/>
          <w:color w:val="000000"/>
          <w:sz w:val="22"/>
          <w:szCs w:val="22"/>
          <w:lang w:val="en-AU"/>
        </w:rPr>
        <w:t xml:space="preserve">The IFC should continue to seek solutions to expedite activities with a “low burn” rate and accelerate implementation while maintaining quality and standards. There is scope in the </w:t>
      </w:r>
      <w:r w:rsidR="00AA2D23" w:rsidRPr="000348BD">
        <w:rPr>
          <w:rFonts w:ascii="Calibri" w:hAnsi="Calibri" w:cs="Calibri"/>
          <w:color w:val="000000"/>
          <w:sz w:val="22"/>
          <w:szCs w:val="22"/>
          <w:lang w:val="en-AU"/>
        </w:rPr>
        <w:t>le</w:t>
      </w:r>
      <w:r w:rsidR="00BE6843" w:rsidRPr="000348BD">
        <w:rPr>
          <w:rFonts w:ascii="Calibri" w:hAnsi="Calibri" w:cs="Calibri"/>
          <w:color w:val="000000"/>
          <w:sz w:val="22"/>
          <w:szCs w:val="22"/>
          <w:lang w:val="en-AU"/>
        </w:rPr>
        <w:t>ad-up to the completion report to develop a coherent narrative of overall support and engagement.</w:t>
      </w:r>
    </w:p>
    <w:bookmarkEnd w:id="9"/>
    <w:p w14:paraId="1C0A0FE2" w14:textId="27156A7F" w:rsidR="00731802" w:rsidRPr="00C97A19" w:rsidRDefault="00731802" w:rsidP="00731802">
      <w:pPr>
        <w:pStyle w:val="BodyText2"/>
        <w:spacing w:line="240" w:lineRule="auto"/>
        <w:jc w:val="both"/>
        <w:rPr>
          <w:rFonts w:ascii="Calibri" w:hAnsi="Calibri" w:cs="Calibri"/>
          <w:sz w:val="22"/>
          <w:szCs w:val="22"/>
          <w:lang w:val="en-AU"/>
        </w:rPr>
      </w:pPr>
      <w:r w:rsidRPr="000348BD">
        <w:rPr>
          <w:rFonts w:ascii="Calibri" w:hAnsi="Calibri" w:cs="Calibri"/>
          <w:b/>
          <w:bCs/>
          <w:color w:val="000000"/>
          <w:sz w:val="22"/>
          <w:szCs w:val="22"/>
          <w:lang w:val="en-AU"/>
        </w:rPr>
        <w:t xml:space="preserve">Recommendation 2: </w:t>
      </w:r>
      <w:r w:rsidRPr="000348BD">
        <w:rPr>
          <w:rFonts w:ascii="Calibri" w:hAnsi="Calibri" w:cs="Calibri"/>
          <w:color w:val="000000"/>
          <w:sz w:val="22"/>
          <w:szCs w:val="22"/>
          <w:lang w:val="en-AU"/>
        </w:rPr>
        <w:t>IFC should explore options to expand</w:t>
      </w:r>
      <w:r w:rsidR="003A47E1" w:rsidRPr="000348BD">
        <w:rPr>
          <w:rFonts w:ascii="Calibri" w:hAnsi="Calibri" w:cs="Calibri"/>
          <w:color w:val="000000"/>
          <w:sz w:val="22"/>
          <w:szCs w:val="22"/>
          <w:lang w:val="en-AU"/>
        </w:rPr>
        <w:t xml:space="preserve"> further</w:t>
      </w:r>
      <w:r w:rsidRPr="000348BD">
        <w:rPr>
          <w:rFonts w:ascii="Calibri" w:hAnsi="Calibri" w:cs="Calibri"/>
          <w:color w:val="000000"/>
          <w:sz w:val="22"/>
          <w:szCs w:val="22"/>
          <w:lang w:val="en-AU"/>
        </w:rPr>
        <w:t xml:space="preserve"> opportunities to build on </w:t>
      </w:r>
      <w:r w:rsidR="00BE6843" w:rsidRPr="000348BD">
        <w:rPr>
          <w:rFonts w:ascii="Calibri" w:hAnsi="Calibri" w:cs="Calibri"/>
          <w:color w:val="000000"/>
          <w:sz w:val="22"/>
          <w:szCs w:val="22"/>
          <w:lang w:val="en-AU"/>
        </w:rPr>
        <w:t>gender and disability</w:t>
      </w:r>
      <w:r w:rsidRPr="000348BD">
        <w:rPr>
          <w:rFonts w:ascii="Calibri" w:hAnsi="Calibri" w:cs="Calibri"/>
          <w:color w:val="000000"/>
          <w:sz w:val="22"/>
          <w:szCs w:val="22"/>
          <w:lang w:val="en-AU"/>
        </w:rPr>
        <w:t xml:space="preserve"> work and investments to date. Work in the sector should be incremental and staged, and recognise the need for care consultation and engagement with both public- and private-sector institutions and enterprises. GEDSI approaches should be fit for purpose and prioritise awareness raising and understanding, leading to more long-term institutional support and associated reforms.</w:t>
      </w:r>
    </w:p>
    <w:p w14:paraId="49100CF8" w14:textId="082A2924" w:rsidR="00731802" w:rsidRPr="00C97A19" w:rsidRDefault="00731802" w:rsidP="00731802">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3:</w:t>
      </w:r>
      <w:r w:rsidRPr="00C97A19">
        <w:rPr>
          <w:rFonts w:ascii="Calibri" w:hAnsi="Calibri" w:cs="Calibri"/>
          <w:sz w:val="22"/>
          <w:szCs w:val="22"/>
          <w:lang w:val="en-AU"/>
        </w:rPr>
        <w:t xml:space="preserve"> The current partnership arrangement has demonstrated an effective support mechanism. Existing governance mechanisms remain relevant and fit-for-purpose and should be maintained and supported. There is scope to build on the partnership model and promote more information engagement on areas of mutual interest. This could be facilitated through</w:t>
      </w:r>
      <w:r w:rsidR="00E03004" w:rsidRPr="00C97A19">
        <w:rPr>
          <w:rFonts w:ascii="Calibri" w:hAnsi="Calibri" w:cs="Calibri"/>
          <w:sz w:val="22"/>
          <w:szCs w:val="22"/>
          <w:lang w:val="en-AU"/>
        </w:rPr>
        <w:t xml:space="preserve"> an initial series of presentations and operational deep dives, which could transition into more formal, program-wide,</w:t>
      </w:r>
      <w:r w:rsidRPr="00C97A19">
        <w:rPr>
          <w:rFonts w:ascii="Calibri" w:hAnsi="Calibri" w:cs="Calibri"/>
          <w:sz w:val="22"/>
          <w:szCs w:val="22"/>
          <w:lang w:val="en-AU"/>
        </w:rPr>
        <w:t xml:space="preserve"> monthly meetings on </w:t>
      </w:r>
      <w:r w:rsidR="00E03004" w:rsidRPr="00C97A19">
        <w:rPr>
          <w:rFonts w:ascii="Calibri" w:hAnsi="Calibri" w:cs="Calibri"/>
          <w:sz w:val="22"/>
          <w:szCs w:val="22"/>
          <w:lang w:val="en-AU"/>
        </w:rPr>
        <w:t xml:space="preserve">additional </w:t>
      </w:r>
      <w:r w:rsidRPr="00C97A19">
        <w:rPr>
          <w:rFonts w:ascii="Calibri" w:hAnsi="Calibri" w:cs="Calibri"/>
          <w:sz w:val="22"/>
          <w:szCs w:val="22"/>
          <w:lang w:val="en-AU"/>
        </w:rPr>
        <w:t>topics of interest to deepen understanding and shared experiences. There is also scope to deepen engagements across programs, for example, with the Investing in Women program.</w:t>
      </w:r>
    </w:p>
    <w:p w14:paraId="07CE64F5" w14:textId="2A1B8BBC" w:rsidR="00731802" w:rsidRPr="00C97A19" w:rsidRDefault="00731802" w:rsidP="00731802">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4:</w:t>
      </w:r>
      <w:r w:rsidRPr="00C97A19">
        <w:rPr>
          <w:rFonts w:ascii="Calibri" w:hAnsi="Calibri" w:cs="Calibri"/>
          <w:sz w:val="22"/>
          <w:szCs w:val="22"/>
          <w:lang w:val="en-AU"/>
        </w:rPr>
        <w:t xml:space="preserve"> IF</w:t>
      </w:r>
      <w:r w:rsidR="00BE6843" w:rsidRPr="00C97A19">
        <w:rPr>
          <w:rFonts w:ascii="Calibri" w:hAnsi="Calibri" w:cs="Calibri"/>
          <w:sz w:val="22"/>
          <w:szCs w:val="22"/>
          <w:lang w:val="en-AU"/>
        </w:rPr>
        <w:t>C</w:t>
      </w:r>
      <w:r w:rsidRPr="00C97A19">
        <w:rPr>
          <w:rFonts w:ascii="Calibri" w:hAnsi="Calibri" w:cs="Calibri"/>
          <w:sz w:val="22"/>
          <w:szCs w:val="22"/>
          <w:lang w:val="en-AU"/>
        </w:rPr>
        <w:t xml:space="preserve"> should continue to explore a structured and specific approach to MEL. While the current program has </w:t>
      </w:r>
      <w:r w:rsidR="00AA2D23" w:rsidRPr="00C97A19">
        <w:rPr>
          <w:rFonts w:ascii="Calibri" w:hAnsi="Calibri" w:cs="Calibri"/>
          <w:sz w:val="22"/>
          <w:szCs w:val="22"/>
          <w:lang w:val="en-AU"/>
        </w:rPr>
        <w:t>implemented an</w:t>
      </w:r>
      <w:r w:rsidRPr="00C97A19">
        <w:rPr>
          <w:rFonts w:ascii="Calibri" w:hAnsi="Calibri" w:cs="Calibri"/>
          <w:sz w:val="22"/>
          <w:szCs w:val="22"/>
          <w:lang w:val="en-AU"/>
        </w:rPr>
        <w:t xml:space="preserve"> approach to MEL</w:t>
      </w:r>
      <w:r w:rsidR="00AA2D23" w:rsidRPr="00C97A19">
        <w:rPr>
          <w:rFonts w:ascii="Calibri" w:hAnsi="Calibri" w:cs="Calibri"/>
          <w:sz w:val="22"/>
          <w:szCs w:val="22"/>
          <w:lang w:val="en-AU"/>
        </w:rPr>
        <w:t xml:space="preserve"> that is “fit-for-purpose”</w:t>
      </w:r>
      <w:r w:rsidRPr="00C97A19">
        <w:rPr>
          <w:rFonts w:ascii="Calibri" w:hAnsi="Calibri" w:cs="Calibri"/>
          <w:sz w:val="22"/>
          <w:szCs w:val="22"/>
          <w:lang w:val="en-AU"/>
        </w:rPr>
        <w:t>, there is scope to continue building on and leveraging this, particularly with the future use of an MEL resource to prepare more outcome-focused knowledge products, such as case studies and performance stories. This should be prioritised for implementation over the remaining few months but considered more fully if a new program is considered.</w:t>
      </w:r>
    </w:p>
    <w:p w14:paraId="1403BCD6" w14:textId="77777777" w:rsidR="00731802" w:rsidRPr="00C97A19" w:rsidRDefault="00731802" w:rsidP="00731802">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5:</w:t>
      </w:r>
      <w:r w:rsidRPr="00C97A19">
        <w:rPr>
          <w:rFonts w:ascii="Calibri" w:hAnsi="Calibri" w:cs="Calibri"/>
          <w:sz w:val="22"/>
          <w:szCs w:val="22"/>
          <w:lang w:val="en-AU"/>
        </w:rPr>
        <w:t xml:space="preserve"> There is sufficient evidence of progress towards outcomes and key results from the current VPSDP to justify and support ongoing investment in private-sector initiatives. Future investments should continue to support, build, and leverage existing IFC private-sector investments initiated under the current program, and remain aligned with the priorities and focus areas for the GoV and GoA.</w:t>
      </w:r>
    </w:p>
    <w:p w14:paraId="5669EBA0" w14:textId="4E7ECB8F" w:rsidR="00251454" w:rsidRPr="00C97A19" w:rsidRDefault="00251454" w:rsidP="00251454">
      <w:pPr>
        <w:pStyle w:val="BodyText"/>
        <w:rPr>
          <w:rFonts w:cs="Calibri"/>
          <w:lang w:val="en-AU"/>
        </w:rPr>
      </w:pPr>
      <w:r w:rsidRPr="00C97A19">
        <w:rPr>
          <w:rFonts w:cs="Calibri"/>
          <w:lang w:val="en-AU"/>
        </w:rPr>
        <w:br w:type="page"/>
      </w:r>
    </w:p>
    <w:p w14:paraId="71540A15" w14:textId="47ECA396" w:rsidR="00251454" w:rsidRPr="000348BD" w:rsidRDefault="00F76090" w:rsidP="004F052F">
      <w:pPr>
        <w:pStyle w:val="Heading1"/>
        <w:rPr>
          <w:lang w:val="en-AU"/>
        </w:rPr>
      </w:pPr>
      <w:bookmarkStart w:id="10" w:name="_Toc201131761"/>
      <w:bookmarkStart w:id="11" w:name="_Toc233724248"/>
      <w:r w:rsidRPr="000348BD">
        <w:rPr>
          <w:lang w:val="en-AU"/>
        </w:rPr>
        <w:lastRenderedPageBreak/>
        <w:t>Introduction</w:t>
      </w:r>
      <w:bookmarkEnd w:id="10"/>
      <w:bookmarkEnd w:id="11"/>
    </w:p>
    <w:p w14:paraId="53F91B7B" w14:textId="77777777" w:rsidR="005C7024" w:rsidRPr="000348BD" w:rsidRDefault="00851C7B" w:rsidP="00577D9F">
      <w:pPr>
        <w:autoSpaceDE w:val="0"/>
        <w:autoSpaceDN w:val="0"/>
        <w:adjustRightInd w:val="0"/>
        <w:spacing w:after="120"/>
        <w:jc w:val="both"/>
        <w:rPr>
          <w:rFonts w:ascii="Calibri" w:hAnsi="Calibri" w:cs="Calibri"/>
          <w:sz w:val="22"/>
          <w:szCs w:val="22"/>
          <w:lang w:val="en-AU"/>
        </w:rPr>
      </w:pPr>
      <w:r w:rsidRPr="00C97A19">
        <w:rPr>
          <w:rFonts w:ascii="Calibri" w:hAnsi="Calibri" w:cs="Calibri"/>
          <w:sz w:val="22"/>
          <w:szCs w:val="22"/>
          <w:lang w:val="en-AU"/>
        </w:rPr>
        <w:t xml:space="preserve">This report outlines the key findings and associated recommendations of </w:t>
      </w:r>
      <w:r w:rsidR="00577D9F" w:rsidRPr="00C97A19">
        <w:rPr>
          <w:rFonts w:ascii="Calibri" w:hAnsi="Calibri" w:cs="Calibri"/>
          <w:sz w:val="22"/>
          <w:szCs w:val="22"/>
          <w:lang w:val="en-AU"/>
        </w:rPr>
        <w:t>a mid-term review (MTR)</w:t>
      </w:r>
      <w:r w:rsidRPr="00C97A19">
        <w:rPr>
          <w:rFonts w:ascii="Calibri" w:hAnsi="Calibri" w:cs="Calibri"/>
          <w:sz w:val="22"/>
          <w:szCs w:val="22"/>
          <w:lang w:val="en-AU"/>
        </w:rPr>
        <w:t xml:space="preserve"> of the </w:t>
      </w:r>
      <w:r w:rsidR="00577D9F" w:rsidRPr="00C97A19">
        <w:rPr>
          <w:rFonts w:ascii="Calibri" w:hAnsi="Calibri" w:cs="Calibri"/>
          <w:i/>
          <w:iCs/>
          <w:sz w:val="22"/>
          <w:szCs w:val="22"/>
          <w:lang w:val="en-AU"/>
        </w:rPr>
        <w:t>Viet Nam</w:t>
      </w:r>
      <w:r w:rsidRPr="00C97A19">
        <w:rPr>
          <w:rFonts w:ascii="Calibri" w:hAnsi="Calibri" w:cs="Calibri"/>
          <w:i/>
          <w:iCs/>
          <w:sz w:val="22"/>
          <w:szCs w:val="22"/>
          <w:lang w:val="en-AU"/>
        </w:rPr>
        <w:t xml:space="preserve"> Private Sector Development Partnership (</w:t>
      </w:r>
      <w:r w:rsidR="00577D9F" w:rsidRPr="00C97A19">
        <w:rPr>
          <w:rFonts w:ascii="Calibri" w:hAnsi="Calibri" w:cs="Calibri"/>
          <w:i/>
          <w:iCs/>
          <w:sz w:val="22"/>
          <w:szCs w:val="22"/>
          <w:lang w:val="en-AU"/>
        </w:rPr>
        <w:t>V</w:t>
      </w:r>
      <w:r w:rsidRPr="00C97A19">
        <w:rPr>
          <w:rFonts w:ascii="Calibri" w:hAnsi="Calibri" w:cs="Calibri"/>
          <w:i/>
          <w:iCs/>
          <w:sz w:val="22"/>
          <w:szCs w:val="22"/>
          <w:lang w:val="en-AU"/>
        </w:rPr>
        <w:t xml:space="preserve">PSDP) </w:t>
      </w:r>
      <w:r w:rsidRPr="00C97A19">
        <w:rPr>
          <w:rFonts w:ascii="Calibri" w:hAnsi="Calibri" w:cs="Calibri"/>
          <w:sz w:val="22"/>
          <w:szCs w:val="22"/>
          <w:lang w:val="en-AU"/>
        </w:rPr>
        <w:t xml:space="preserve">program. </w:t>
      </w:r>
      <w:r w:rsidR="00577D9F" w:rsidRPr="000348BD">
        <w:rPr>
          <w:rFonts w:ascii="Calibri" w:hAnsi="Calibri" w:cs="Calibri"/>
          <w:sz w:val="22"/>
          <w:szCs w:val="22"/>
          <w:lang w:val="en-AU"/>
        </w:rPr>
        <w:t>VPSDP is a collaboration between the Government of Australia (GoA) through the Department of Foreign Affairs and Trade (DFAT) and the International Finance Corporation (IFC)</w:t>
      </w:r>
      <w:r w:rsidR="00577D9F" w:rsidRPr="00BB7FFD">
        <w:rPr>
          <w:rStyle w:val="FootnoteReference"/>
          <w:rFonts w:ascii="Calibri" w:hAnsi="Calibri" w:cs="Calibri"/>
          <w:sz w:val="22"/>
          <w:szCs w:val="22"/>
          <w:lang w:val="en-AU"/>
        </w:rPr>
        <w:footnoteReference w:id="6"/>
      </w:r>
      <w:r w:rsidR="00577D9F" w:rsidRPr="00C97A19">
        <w:rPr>
          <w:rFonts w:cs="Calibri"/>
          <w:szCs w:val="22"/>
          <w:lang w:val="en-AU"/>
        </w:rPr>
        <w:t>.</w:t>
      </w:r>
      <w:r w:rsidR="00577D9F" w:rsidRPr="000348BD">
        <w:rPr>
          <w:rFonts w:ascii="Calibri" w:hAnsi="Calibri" w:cs="Calibri"/>
          <w:sz w:val="22"/>
          <w:szCs w:val="22"/>
          <w:lang w:val="en-AU"/>
        </w:rPr>
        <w:t xml:space="preserve"> </w:t>
      </w:r>
    </w:p>
    <w:p w14:paraId="455D9E83" w14:textId="147B1525" w:rsidR="00577D9F" w:rsidRPr="000348BD" w:rsidRDefault="00577D9F" w:rsidP="00577D9F">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VPSDP commenced in April 2022 and runs until the end of June 2027 and has a total funding envelope of AUD15 million. </w:t>
      </w:r>
      <w:r w:rsidRPr="00C97A19">
        <w:rPr>
          <w:rFonts w:ascii="Calibri" w:hAnsi="Calibri" w:cs="Calibri"/>
          <w:sz w:val="22"/>
          <w:szCs w:val="22"/>
          <w:lang w:val="en-AU"/>
        </w:rPr>
        <w:t xml:space="preserve">VPSDP is one of the mechanisms through which DFAT supports the government of Vietnam (GoV) in achieving its development objectives. VPSDP has evolved through shared but distinct policy interests between the two governments. </w:t>
      </w:r>
    </w:p>
    <w:p w14:paraId="6E26F65E" w14:textId="32B7DBA0" w:rsidR="00851C7B" w:rsidRPr="00C97A19" w:rsidRDefault="009E7CC3" w:rsidP="00355865">
      <w:pPr>
        <w:pStyle w:val="BodyText"/>
        <w:jc w:val="both"/>
        <w:rPr>
          <w:rFonts w:cs="Calibri"/>
          <w:szCs w:val="22"/>
          <w:lang w:val="en-AU"/>
        </w:rPr>
      </w:pPr>
      <w:r w:rsidRPr="00C97A19">
        <w:rPr>
          <w:rFonts w:cs="Calibri"/>
          <w:szCs w:val="22"/>
          <w:lang w:val="en-AU"/>
        </w:rPr>
        <w:t xml:space="preserve">The </w:t>
      </w:r>
      <w:r w:rsidR="00577D9F" w:rsidRPr="00C97A19">
        <w:rPr>
          <w:rFonts w:cs="Calibri"/>
          <w:szCs w:val="22"/>
          <w:lang w:val="en-AU"/>
        </w:rPr>
        <w:t>MTR</w:t>
      </w:r>
      <w:r w:rsidRPr="00C97A19">
        <w:rPr>
          <w:rFonts w:cs="Calibri"/>
          <w:szCs w:val="22"/>
          <w:lang w:val="en-AU"/>
        </w:rPr>
        <w:t xml:space="preserve"> was completed </w:t>
      </w:r>
      <w:r w:rsidR="00577D9F" w:rsidRPr="00C97A19">
        <w:rPr>
          <w:rFonts w:cs="Calibri"/>
          <w:szCs w:val="22"/>
          <w:lang w:val="en-AU"/>
        </w:rPr>
        <w:t>between January</w:t>
      </w:r>
      <w:r w:rsidR="005C7024" w:rsidRPr="00C97A19">
        <w:rPr>
          <w:rFonts w:cs="Calibri"/>
          <w:szCs w:val="22"/>
          <w:lang w:val="en-AU"/>
        </w:rPr>
        <w:t xml:space="preserve"> and </w:t>
      </w:r>
      <w:r w:rsidR="00577D9F" w:rsidRPr="00C97A19">
        <w:rPr>
          <w:rFonts w:cs="Calibri"/>
          <w:szCs w:val="22"/>
          <w:lang w:val="en-AU"/>
        </w:rPr>
        <w:t>March 2026</w:t>
      </w:r>
      <w:r w:rsidRPr="00C97A19">
        <w:rPr>
          <w:rFonts w:cs="Calibri"/>
          <w:szCs w:val="22"/>
          <w:lang w:val="en-AU"/>
        </w:rPr>
        <w:t xml:space="preserve">. </w:t>
      </w:r>
      <w:r w:rsidR="00851C7B" w:rsidRPr="00C97A19">
        <w:rPr>
          <w:rFonts w:cs="Calibri"/>
          <w:szCs w:val="22"/>
          <w:lang w:val="en-AU"/>
        </w:rPr>
        <w:t xml:space="preserve">The </w:t>
      </w:r>
      <w:r w:rsidR="00577D9F" w:rsidRPr="00C97A19">
        <w:rPr>
          <w:rFonts w:cs="Calibri"/>
          <w:szCs w:val="22"/>
          <w:lang w:val="en-AU"/>
        </w:rPr>
        <w:t>MTR</w:t>
      </w:r>
      <w:r w:rsidR="00851C7B" w:rsidRPr="00C97A19">
        <w:rPr>
          <w:rFonts w:cs="Calibri"/>
          <w:szCs w:val="22"/>
          <w:lang w:val="en-AU"/>
        </w:rPr>
        <w:t xml:space="preserve"> </w:t>
      </w:r>
      <w:r w:rsidRPr="00C97A19">
        <w:rPr>
          <w:rFonts w:cs="Calibri"/>
          <w:szCs w:val="22"/>
          <w:lang w:val="en-AU"/>
        </w:rPr>
        <w:t>comprised</w:t>
      </w:r>
      <w:r w:rsidR="00851C7B" w:rsidRPr="00C97A19">
        <w:rPr>
          <w:rFonts w:cs="Calibri"/>
          <w:szCs w:val="22"/>
          <w:lang w:val="en-AU"/>
        </w:rPr>
        <w:t xml:space="preserve"> a desk review of available documents, a field mission to </w:t>
      </w:r>
      <w:r w:rsidR="00577D9F" w:rsidRPr="00C97A19">
        <w:rPr>
          <w:rFonts w:cs="Calibri"/>
          <w:szCs w:val="22"/>
          <w:lang w:val="en-AU"/>
        </w:rPr>
        <w:t xml:space="preserve">Vietnam </w:t>
      </w:r>
      <w:r w:rsidR="00851C7B" w:rsidRPr="00C97A19">
        <w:rPr>
          <w:rFonts w:cs="Calibri"/>
          <w:szCs w:val="22"/>
          <w:lang w:val="en-AU"/>
        </w:rPr>
        <w:t xml:space="preserve">from </w:t>
      </w:r>
      <w:r w:rsidR="00955502" w:rsidRPr="00C97A19">
        <w:rPr>
          <w:rFonts w:cs="Calibri"/>
          <w:szCs w:val="22"/>
          <w:lang w:val="en-AU"/>
        </w:rPr>
        <w:t>1</w:t>
      </w:r>
      <w:r w:rsidR="00E427FA">
        <w:rPr>
          <w:rFonts w:cs="Calibri"/>
          <w:szCs w:val="22"/>
          <w:lang w:val="en-AU"/>
        </w:rPr>
        <w:t xml:space="preserve"> to</w:t>
      </w:r>
      <w:r w:rsidR="00955502" w:rsidRPr="00C97A19">
        <w:rPr>
          <w:rFonts w:cs="Calibri"/>
          <w:szCs w:val="22"/>
          <w:lang w:val="en-AU"/>
        </w:rPr>
        <w:t xml:space="preserve">9 </w:t>
      </w:r>
      <w:r w:rsidR="00577D9F" w:rsidRPr="00C97A19">
        <w:rPr>
          <w:rFonts w:cs="Calibri"/>
          <w:szCs w:val="22"/>
          <w:lang w:val="en-AU"/>
        </w:rPr>
        <w:t>February</w:t>
      </w:r>
      <w:r w:rsidR="00851C7B" w:rsidRPr="00C97A19">
        <w:rPr>
          <w:rFonts w:cs="Calibri"/>
          <w:szCs w:val="22"/>
          <w:lang w:val="en-AU"/>
        </w:rPr>
        <w:t xml:space="preserve"> 202</w:t>
      </w:r>
      <w:r w:rsidR="00577D9F" w:rsidRPr="00C97A19">
        <w:rPr>
          <w:rFonts w:cs="Calibri"/>
          <w:szCs w:val="22"/>
          <w:lang w:val="en-AU"/>
        </w:rPr>
        <w:t>6</w:t>
      </w:r>
      <w:r w:rsidR="00851C7B" w:rsidRPr="00C97A19">
        <w:rPr>
          <w:rFonts w:cs="Calibri"/>
          <w:szCs w:val="22"/>
          <w:lang w:val="en-AU"/>
        </w:rPr>
        <w:t xml:space="preserve"> and a mix of online and face-</w:t>
      </w:r>
      <w:r w:rsidR="00262EF7" w:rsidRPr="00C97A19">
        <w:rPr>
          <w:rFonts w:cs="Calibri"/>
          <w:szCs w:val="22"/>
          <w:lang w:val="en-AU"/>
        </w:rPr>
        <w:t>to-</w:t>
      </w:r>
      <w:r w:rsidR="00851C7B" w:rsidRPr="00C97A19">
        <w:rPr>
          <w:rFonts w:cs="Calibri"/>
          <w:szCs w:val="22"/>
          <w:lang w:val="en-AU"/>
        </w:rPr>
        <w:t>face interviews.</w:t>
      </w:r>
      <w:r w:rsidRPr="00C97A19">
        <w:rPr>
          <w:rFonts w:cs="Calibri"/>
          <w:szCs w:val="22"/>
          <w:lang w:val="en-AU"/>
        </w:rPr>
        <w:t xml:space="preserve"> A total of </w:t>
      </w:r>
      <w:r w:rsidR="00E03004" w:rsidRPr="00C97A19">
        <w:rPr>
          <w:rFonts w:cs="Calibri"/>
          <w:szCs w:val="22"/>
          <w:lang w:val="en-AU"/>
        </w:rPr>
        <w:t>38</w:t>
      </w:r>
      <w:r w:rsidRPr="00C97A19">
        <w:rPr>
          <w:rFonts w:cs="Calibri"/>
          <w:szCs w:val="22"/>
          <w:lang w:val="en-AU"/>
        </w:rPr>
        <w:t xml:space="preserve"> people (</w:t>
      </w:r>
      <w:r w:rsidR="00E03004" w:rsidRPr="00C97A19">
        <w:rPr>
          <w:rFonts w:cs="Calibri"/>
          <w:szCs w:val="22"/>
          <w:lang w:val="en-AU"/>
        </w:rPr>
        <w:t>15</w:t>
      </w:r>
      <w:r w:rsidRPr="00C97A19">
        <w:rPr>
          <w:rFonts w:cs="Calibri"/>
          <w:szCs w:val="22"/>
          <w:lang w:val="en-AU"/>
        </w:rPr>
        <w:t xml:space="preserve"> male and </w:t>
      </w:r>
      <w:r w:rsidR="00E03004" w:rsidRPr="00C97A19">
        <w:rPr>
          <w:rFonts w:cs="Calibri"/>
          <w:szCs w:val="22"/>
          <w:lang w:val="en-AU"/>
        </w:rPr>
        <w:t>23</w:t>
      </w:r>
      <w:r w:rsidRPr="00C97A19">
        <w:rPr>
          <w:rFonts w:cs="Calibri"/>
          <w:szCs w:val="22"/>
          <w:lang w:val="en-AU"/>
        </w:rPr>
        <w:t xml:space="preserve"> female) participated in various consultations, interviews and engagements to contribute to the </w:t>
      </w:r>
      <w:r w:rsidR="00577D9F" w:rsidRPr="00C97A19">
        <w:rPr>
          <w:rFonts w:cs="Calibri"/>
          <w:szCs w:val="22"/>
          <w:lang w:val="en-AU"/>
        </w:rPr>
        <w:t>MTR</w:t>
      </w:r>
      <w:r w:rsidRPr="00C97A19">
        <w:rPr>
          <w:rFonts w:cs="Calibri"/>
          <w:szCs w:val="22"/>
          <w:lang w:val="en-AU"/>
        </w:rPr>
        <w:t>.</w:t>
      </w:r>
      <w:r w:rsidR="00851C7B" w:rsidRPr="00C97A19">
        <w:rPr>
          <w:rFonts w:cs="Calibri"/>
          <w:szCs w:val="22"/>
          <w:lang w:val="en-AU"/>
        </w:rPr>
        <w:t xml:space="preserve"> </w:t>
      </w:r>
      <w:r w:rsidR="00126D14" w:rsidRPr="00C97A19">
        <w:rPr>
          <w:rFonts w:cs="Calibri"/>
          <w:szCs w:val="22"/>
          <w:lang w:val="en-AU"/>
        </w:rPr>
        <w:t xml:space="preserve">The Terms of Reference (ToR) for the </w:t>
      </w:r>
      <w:r w:rsidR="00577D9F" w:rsidRPr="00C97A19">
        <w:rPr>
          <w:rFonts w:cs="Calibri"/>
          <w:szCs w:val="22"/>
          <w:lang w:val="en-AU"/>
        </w:rPr>
        <w:t>MTR</w:t>
      </w:r>
      <w:r w:rsidR="00126D14" w:rsidRPr="00C97A19">
        <w:rPr>
          <w:rFonts w:cs="Calibri"/>
          <w:szCs w:val="22"/>
          <w:lang w:val="en-AU"/>
        </w:rPr>
        <w:t xml:space="preserve"> </w:t>
      </w:r>
      <w:r w:rsidR="00E03004" w:rsidRPr="00C97A19">
        <w:rPr>
          <w:rFonts w:cs="Calibri"/>
          <w:szCs w:val="22"/>
          <w:lang w:val="en-AU"/>
        </w:rPr>
        <w:t>are</w:t>
      </w:r>
      <w:r w:rsidR="00126D14" w:rsidRPr="00C97A19">
        <w:rPr>
          <w:rFonts w:cs="Calibri"/>
          <w:szCs w:val="22"/>
          <w:lang w:val="en-AU"/>
        </w:rPr>
        <w:t xml:space="preserve"> included as Annex 1.</w:t>
      </w:r>
    </w:p>
    <w:p w14:paraId="77A108CE" w14:textId="4857D27A" w:rsidR="00F76090" w:rsidRPr="000348BD" w:rsidRDefault="00F76090" w:rsidP="004F052F">
      <w:pPr>
        <w:pStyle w:val="Heading1"/>
        <w:rPr>
          <w:lang w:val="en-AU"/>
        </w:rPr>
      </w:pPr>
      <w:bookmarkStart w:id="12" w:name="_Toc201131762"/>
      <w:bookmarkStart w:id="13" w:name="_Toc233724249"/>
      <w:r w:rsidRPr="000348BD">
        <w:rPr>
          <w:lang w:val="en-AU"/>
        </w:rPr>
        <w:t>Program Background</w:t>
      </w:r>
      <w:bookmarkEnd w:id="12"/>
      <w:bookmarkEnd w:id="13"/>
    </w:p>
    <w:p w14:paraId="040BEBCE" w14:textId="7A597F5F" w:rsidR="00577D9F" w:rsidRPr="000348BD" w:rsidRDefault="00577D9F" w:rsidP="00577D9F">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The program commenced in April 2022 and runs until the end of June 2027. VPSDP has a total funding envelope of AUD15 million from DFAT. </w:t>
      </w:r>
      <w:r w:rsidRPr="00C97A19">
        <w:rPr>
          <w:rFonts w:ascii="Calibri" w:hAnsi="Calibri" w:cs="Calibri"/>
          <w:sz w:val="22"/>
          <w:szCs w:val="22"/>
          <w:lang w:val="en-AU"/>
        </w:rPr>
        <w:t xml:space="preserve">The </w:t>
      </w:r>
      <w:r w:rsidRPr="000348BD">
        <w:rPr>
          <w:rFonts w:ascii="Calibri" w:hAnsi="Calibri" w:cs="Calibri"/>
          <w:sz w:val="22"/>
          <w:szCs w:val="22"/>
          <w:lang w:val="en-AU"/>
        </w:rPr>
        <w:t xml:space="preserve">overall goal of this multi-year advisory program is </w:t>
      </w:r>
      <w:r w:rsidRPr="000348BD">
        <w:rPr>
          <w:rFonts w:ascii="Calibri" w:hAnsi="Calibri" w:cs="Calibri"/>
          <w:i/>
          <w:iCs/>
          <w:sz w:val="22"/>
          <w:szCs w:val="22"/>
          <w:lang w:val="en-AU"/>
        </w:rPr>
        <w:t xml:space="preserve">to enhance the competitiveness and diversification of the private sector and to foster inclusive and sustainable COVID-19 recovery and economic growth. </w:t>
      </w:r>
      <w:r w:rsidRPr="000348BD">
        <w:rPr>
          <w:rFonts w:ascii="Calibri" w:hAnsi="Calibri" w:cs="Calibri"/>
          <w:sz w:val="22"/>
          <w:szCs w:val="22"/>
          <w:lang w:val="en-AU"/>
        </w:rPr>
        <w:t>Th</w:t>
      </w:r>
      <w:r w:rsidRPr="00C97A19">
        <w:rPr>
          <w:rFonts w:ascii="Calibri" w:hAnsi="Calibri" w:cs="Calibri"/>
          <w:sz w:val="22"/>
          <w:szCs w:val="22"/>
          <w:lang w:val="en-AU"/>
        </w:rPr>
        <w:t xml:space="preserve">e goal statement is supported </w:t>
      </w:r>
      <w:r w:rsidRPr="000348BD">
        <w:rPr>
          <w:rFonts w:ascii="Calibri" w:hAnsi="Calibri" w:cs="Calibri"/>
          <w:sz w:val="22"/>
          <w:szCs w:val="22"/>
          <w:lang w:val="en-AU"/>
        </w:rPr>
        <w:t>through four mutually reinforcing pillars:</w:t>
      </w:r>
    </w:p>
    <w:p w14:paraId="5861FCC6" w14:textId="167B297F" w:rsidR="00577D9F" w:rsidRPr="003D4D78" w:rsidRDefault="00577D9F">
      <w:pPr>
        <w:pStyle w:val="ListParagraph"/>
        <w:numPr>
          <w:ilvl w:val="0"/>
          <w:numId w:val="9"/>
        </w:num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Pillar 1</w:t>
      </w:r>
      <w:r w:rsidR="003D4D78">
        <w:rPr>
          <w:rFonts w:ascii="Calibri" w:hAnsi="Calibri" w:cs="Calibri"/>
          <w:b/>
          <w:bCs/>
          <w:sz w:val="22"/>
          <w:szCs w:val="22"/>
          <w:lang w:val="en-AU"/>
        </w:rPr>
        <w:t xml:space="preserve"> – </w:t>
      </w:r>
      <w:r w:rsidRPr="003D4D78">
        <w:rPr>
          <w:rFonts w:ascii="Calibri" w:hAnsi="Calibri" w:cs="Calibri"/>
          <w:b/>
          <w:bCs/>
          <w:sz w:val="22"/>
          <w:szCs w:val="22"/>
          <w:lang w:val="en-AU"/>
        </w:rPr>
        <w:t xml:space="preserve">Enabling Environment for the private sector: </w:t>
      </w:r>
      <w:r w:rsidRPr="003D4D78">
        <w:rPr>
          <w:rFonts w:ascii="Calibri" w:hAnsi="Calibri" w:cs="Calibri"/>
          <w:sz w:val="22"/>
          <w:szCs w:val="22"/>
          <w:lang w:val="en-AU"/>
        </w:rPr>
        <w:t>Interventions geared towards improving the business enabling environment – legal and regulatory – through “bottom up” reform efforts that create a more attractive framework for inclusive private investment in the wake of COVID-19 across key sectors.</w:t>
      </w:r>
    </w:p>
    <w:p w14:paraId="422B27F3" w14:textId="77E63FAB" w:rsidR="00577D9F" w:rsidRPr="003D4D78" w:rsidRDefault="00577D9F">
      <w:pPr>
        <w:pStyle w:val="ListParagraph"/>
        <w:numPr>
          <w:ilvl w:val="0"/>
          <w:numId w:val="9"/>
        </w:num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Pillar 2</w:t>
      </w:r>
      <w:r w:rsidR="003D4D78">
        <w:rPr>
          <w:rFonts w:ascii="Calibri" w:hAnsi="Calibri" w:cs="Calibri"/>
          <w:b/>
          <w:bCs/>
          <w:sz w:val="22"/>
          <w:szCs w:val="22"/>
          <w:lang w:val="en-AU"/>
        </w:rPr>
        <w:t xml:space="preserve"> – </w:t>
      </w:r>
      <w:r w:rsidRPr="003D4D78">
        <w:rPr>
          <w:rFonts w:ascii="Calibri" w:hAnsi="Calibri" w:cs="Calibri"/>
          <w:b/>
          <w:bCs/>
          <w:sz w:val="22"/>
          <w:szCs w:val="22"/>
          <w:lang w:val="en-AU"/>
        </w:rPr>
        <w:t>Accelerating inclusive and climate-smart private investment in key growth sectors:</w:t>
      </w:r>
      <w:r w:rsidRPr="003D4D78">
        <w:rPr>
          <w:rFonts w:ascii="Calibri" w:hAnsi="Calibri" w:cs="Calibri"/>
          <w:sz w:val="22"/>
          <w:szCs w:val="22"/>
          <w:lang w:val="en-AU"/>
        </w:rPr>
        <w:t xml:space="preserve"> Creating concrete opportunities for facilitating private sector investment, including direct investment by IFC, in key sectors including tourism, infrastructure, agriculture, and the financial sector, whilst advancing climate change mitigation and adaptation and to support a gender-equal recovery from COVID-19</w:t>
      </w:r>
    </w:p>
    <w:p w14:paraId="0CA85DF6" w14:textId="234B7EF2" w:rsidR="00577D9F" w:rsidRPr="003D4D78" w:rsidRDefault="00577D9F">
      <w:pPr>
        <w:pStyle w:val="ListParagraph"/>
        <w:numPr>
          <w:ilvl w:val="0"/>
          <w:numId w:val="9"/>
        </w:num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Pillar 3</w:t>
      </w:r>
      <w:r w:rsidR="003D4D78">
        <w:rPr>
          <w:rFonts w:ascii="Calibri" w:hAnsi="Calibri" w:cs="Calibri"/>
          <w:b/>
          <w:bCs/>
          <w:sz w:val="22"/>
          <w:szCs w:val="22"/>
          <w:lang w:val="en-AU"/>
        </w:rPr>
        <w:t xml:space="preserve"> – </w:t>
      </w:r>
      <w:r w:rsidRPr="003D4D78">
        <w:rPr>
          <w:rFonts w:ascii="Calibri" w:hAnsi="Calibri" w:cs="Calibri"/>
          <w:b/>
          <w:bCs/>
          <w:sz w:val="22"/>
          <w:szCs w:val="22"/>
          <w:lang w:val="en-AU"/>
        </w:rPr>
        <w:t xml:space="preserve">Creating a green, sustainable, and inclusive financial sector: </w:t>
      </w:r>
      <w:r w:rsidRPr="003D4D78">
        <w:rPr>
          <w:rFonts w:ascii="Calibri" w:hAnsi="Calibri" w:cs="Calibri"/>
          <w:sz w:val="22"/>
          <w:szCs w:val="22"/>
          <w:lang w:val="en-AU"/>
        </w:rPr>
        <w:t>Enhancing financial inclusion and accelerating the green transformation in the financial sector. Interventions support financial institutions in building and expanding their financial product offerings by developing and launching inclusive and green finance products.</w:t>
      </w:r>
    </w:p>
    <w:p w14:paraId="32296130" w14:textId="097F5775" w:rsidR="00577D9F" w:rsidRPr="003D4D78" w:rsidRDefault="00577D9F">
      <w:pPr>
        <w:pStyle w:val="ListParagraph"/>
        <w:numPr>
          <w:ilvl w:val="0"/>
          <w:numId w:val="9"/>
        </w:num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Pillar 4</w:t>
      </w:r>
      <w:r w:rsidR="003D4D78">
        <w:rPr>
          <w:rFonts w:ascii="Calibri" w:hAnsi="Calibri" w:cs="Calibri"/>
          <w:b/>
          <w:bCs/>
          <w:sz w:val="22"/>
          <w:szCs w:val="22"/>
          <w:lang w:val="en-AU"/>
        </w:rPr>
        <w:t xml:space="preserve"> – </w:t>
      </w:r>
      <w:r w:rsidRPr="003D4D78">
        <w:rPr>
          <w:rFonts w:ascii="Calibri" w:hAnsi="Calibri" w:cs="Calibri"/>
          <w:b/>
          <w:bCs/>
          <w:sz w:val="22"/>
          <w:szCs w:val="22"/>
          <w:lang w:val="en-AU"/>
        </w:rPr>
        <w:t xml:space="preserve">Enhancing Standards &amp; Gender Inclusion: </w:t>
      </w:r>
      <w:r w:rsidRPr="003D4D78">
        <w:rPr>
          <w:rFonts w:ascii="Calibri" w:hAnsi="Calibri" w:cs="Calibri"/>
          <w:sz w:val="22"/>
          <w:szCs w:val="22"/>
          <w:lang w:val="en-AU"/>
        </w:rPr>
        <w:t xml:space="preserve">Adoption of best practices in Environmental and Social Governance (ESG) and accelerating women’s economic empowerment by addressing key barriers to women’s participation, including childcare and </w:t>
      </w:r>
      <w:r w:rsidR="005C5325" w:rsidRPr="003D4D78">
        <w:rPr>
          <w:rFonts w:ascii="Calibri" w:hAnsi="Calibri" w:cs="Calibri"/>
          <w:sz w:val="22"/>
          <w:szCs w:val="22"/>
          <w:lang w:val="en-AU"/>
        </w:rPr>
        <w:t>Gender</w:t>
      </w:r>
      <w:r w:rsidR="003A47E1" w:rsidRPr="003D4D78">
        <w:rPr>
          <w:rFonts w:ascii="Calibri" w:hAnsi="Calibri" w:cs="Calibri"/>
          <w:sz w:val="22"/>
          <w:szCs w:val="22"/>
          <w:lang w:val="en-AU"/>
        </w:rPr>
        <w:t>-</w:t>
      </w:r>
      <w:r w:rsidR="005C5325" w:rsidRPr="003D4D78">
        <w:rPr>
          <w:rFonts w:ascii="Calibri" w:hAnsi="Calibri" w:cs="Calibri"/>
          <w:sz w:val="22"/>
          <w:szCs w:val="22"/>
          <w:lang w:val="en-AU"/>
        </w:rPr>
        <w:t>Based Violence (</w:t>
      </w:r>
      <w:r w:rsidRPr="003D4D78">
        <w:rPr>
          <w:rFonts w:ascii="Calibri" w:hAnsi="Calibri" w:cs="Calibri"/>
          <w:sz w:val="22"/>
          <w:szCs w:val="22"/>
          <w:lang w:val="en-AU"/>
        </w:rPr>
        <w:t>GBV</w:t>
      </w:r>
      <w:r w:rsidR="005C5325" w:rsidRPr="003D4D78">
        <w:rPr>
          <w:rFonts w:ascii="Calibri" w:hAnsi="Calibri" w:cs="Calibri"/>
          <w:sz w:val="22"/>
          <w:szCs w:val="22"/>
          <w:lang w:val="en-AU"/>
        </w:rPr>
        <w:t>)</w:t>
      </w:r>
      <w:r w:rsidRPr="003D4D78">
        <w:rPr>
          <w:rFonts w:ascii="Calibri" w:hAnsi="Calibri" w:cs="Calibri"/>
          <w:sz w:val="22"/>
          <w:szCs w:val="22"/>
          <w:lang w:val="en-AU"/>
        </w:rPr>
        <w:t>.</w:t>
      </w:r>
    </w:p>
    <w:p w14:paraId="78823877" w14:textId="7F9AFC3A" w:rsidR="00577D9F" w:rsidRPr="00C97A19" w:rsidRDefault="00577D9F" w:rsidP="00577D9F">
      <w:pPr>
        <w:autoSpaceDE w:val="0"/>
        <w:autoSpaceDN w:val="0"/>
        <w:adjustRightInd w:val="0"/>
        <w:spacing w:after="120"/>
        <w:jc w:val="both"/>
        <w:rPr>
          <w:rFonts w:ascii="Calibri" w:hAnsi="Calibri" w:cs="Calibri"/>
          <w:color w:val="000000" w:themeColor="text1"/>
          <w:sz w:val="22"/>
          <w:szCs w:val="22"/>
          <w:lang w:val="en-AU"/>
        </w:rPr>
      </w:pPr>
      <w:r w:rsidRPr="00C97A19">
        <w:rPr>
          <w:rFonts w:ascii="Calibri" w:hAnsi="Calibri" w:cs="Calibri"/>
          <w:color w:val="000000" w:themeColor="text1"/>
          <w:sz w:val="22"/>
          <w:szCs w:val="22"/>
          <w:lang w:val="en-AU"/>
        </w:rPr>
        <w:t xml:space="preserve">VPSDP is implemented through a range of IFC projects that align with and contribute to the four program pillars outlined above. The projects are jointly identified and designed through in-country analysis and consultation with DFAT and key private- and public-sector stakeholders. Each project has its own internal </w:t>
      </w:r>
      <w:r w:rsidRPr="00C97A19">
        <w:rPr>
          <w:rFonts w:ascii="Calibri" w:hAnsi="Calibri" w:cs="Calibri"/>
          <w:color w:val="000000" w:themeColor="text1"/>
          <w:sz w:val="22"/>
          <w:szCs w:val="22"/>
          <w:lang w:val="en-AU"/>
        </w:rPr>
        <w:lastRenderedPageBreak/>
        <w:t>logic and intended results that contribute towards an overall assessment of progress towards key End of Program Outcomes (EOPOs). They are derived from the strategy that guides the World Bank Group’s</w:t>
      </w:r>
      <w:r w:rsidR="005C7024" w:rsidRPr="00C97A19">
        <w:rPr>
          <w:rFonts w:ascii="Calibri" w:hAnsi="Calibri" w:cs="Calibri"/>
          <w:color w:val="000000" w:themeColor="text1"/>
          <w:sz w:val="22"/>
          <w:szCs w:val="22"/>
          <w:lang w:val="en-AU"/>
        </w:rPr>
        <w:t xml:space="preserve"> (WBG)</w:t>
      </w:r>
      <w:r w:rsidRPr="00C97A19">
        <w:rPr>
          <w:rFonts w:ascii="Calibri" w:hAnsi="Calibri" w:cs="Calibri"/>
          <w:color w:val="000000" w:themeColor="text1"/>
          <w:sz w:val="22"/>
          <w:szCs w:val="22"/>
          <w:lang w:val="en-AU"/>
        </w:rPr>
        <w:t xml:space="preserve"> work in Viet Nam. </w:t>
      </w:r>
    </w:p>
    <w:p w14:paraId="73791509" w14:textId="512082C8" w:rsidR="005C7024" w:rsidRDefault="00577D9F" w:rsidP="005C7024">
      <w:pPr>
        <w:autoSpaceDE w:val="0"/>
        <w:autoSpaceDN w:val="0"/>
        <w:adjustRightInd w:val="0"/>
        <w:spacing w:after="120"/>
        <w:jc w:val="both"/>
        <w:rPr>
          <w:rFonts w:ascii="Calibri" w:hAnsi="Calibri" w:cs="Calibri"/>
          <w:sz w:val="22"/>
          <w:szCs w:val="22"/>
          <w:lang w:val="en-AU"/>
        </w:rPr>
      </w:pPr>
      <w:r w:rsidRPr="00C97A19">
        <w:rPr>
          <w:rFonts w:ascii="Calibri" w:hAnsi="Calibri" w:cs="Calibri"/>
          <w:color w:val="000000" w:themeColor="text1"/>
          <w:sz w:val="22"/>
          <w:szCs w:val="22"/>
          <w:lang w:val="en-AU"/>
        </w:rPr>
        <w:t xml:space="preserve">VPSDP has not, therefore, been designed as an overall project or program with a simple linear connection to specific results. It is a description of the work IFC undertakes (groups of projects) that both parties expect will make a significant contribution to progress across the </w:t>
      </w:r>
      <w:r w:rsidR="00735969" w:rsidRPr="00C97A19">
        <w:rPr>
          <w:rFonts w:ascii="Calibri" w:hAnsi="Calibri" w:cs="Calibri"/>
          <w:color w:val="000000" w:themeColor="text1"/>
          <w:sz w:val="22"/>
          <w:szCs w:val="22"/>
          <w:lang w:val="en-AU"/>
        </w:rPr>
        <w:t>four</w:t>
      </w:r>
      <w:r w:rsidRPr="00C97A19">
        <w:rPr>
          <w:rFonts w:ascii="Calibri" w:hAnsi="Calibri" w:cs="Calibri"/>
          <w:color w:val="000000" w:themeColor="text1"/>
          <w:sz w:val="22"/>
          <w:szCs w:val="22"/>
          <w:lang w:val="en-AU"/>
        </w:rPr>
        <w:t xml:space="preserve"> pillars.</w:t>
      </w:r>
      <w:r w:rsidR="005C7024" w:rsidRPr="00C97A19">
        <w:rPr>
          <w:rFonts w:ascii="Calibri" w:hAnsi="Calibri" w:cs="Calibri"/>
          <w:color w:val="000000" w:themeColor="text1"/>
          <w:sz w:val="22"/>
          <w:szCs w:val="22"/>
          <w:lang w:val="en-AU"/>
        </w:rPr>
        <w:t xml:space="preserve"> </w:t>
      </w:r>
      <w:r w:rsidR="005C7024" w:rsidRPr="00C97A19">
        <w:rPr>
          <w:rFonts w:ascii="Calibri" w:hAnsi="Calibri" w:cs="Calibri"/>
          <w:sz w:val="22"/>
          <w:szCs w:val="22"/>
          <w:lang w:val="en-AU"/>
        </w:rPr>
        <w:t>Table 1 below summarises all projects funded under the partnership.</w:t>
      </w:r>
      <w:r w:rsidR="000D0481" w:rsidRPr="00C97A19">
        <w:rPr>
          <w:rFonts w:ascii="Calibri" w:hAnsi="Calibri" w:cs="Calibri"/>
          <w:sz w:val="22"/>
          <w:szCs w:val="22"/>
          <w:lang w:val="en-AU"/>
        </w:rPr>
        <w:t xml:space="preserve"> </w:t>
      </w:r>
    </w:p>
    <w:p w14:paraId="489E71D4" w14:textId="77777777" w:rsidR="00EE1C47" w:rsidRDefault="00EE1C47" w:rsidP="005C7024">
      <w:pPr>
        <w:autoSpaceDE w:val="0"/>
        <w:autoSpaceDN w:val="0"/>
        <w:adjustRightInd w:val="0"/>
        <w:spacing w:after="120"/>
        <w:jc w:val="both"/>
        <w:rPr>
          <w:rFonts w:ascii="Calibri" w:hAnsi="Calibri" w:cs="Calibri"/>
          <w:sz w:val="22"/>
          <w:szCs w:val="22"/>
          <w:lang w:val="en-AU"/>
        </w:rPr>
      </w:pPr>
    </w:p>
    <w:p w14:paraId="71CA47AA" w14:textId="3FA083AA" w:rsidR="00DC2234" w:rsidRPr="00EE1C47" w:rsidRDefault="00EE1C47" w:rsidP="005C7024">
      <w:pPr>
        <w:autoSpaceDE w:val="0"/>
        <w:autoSpaceDN w:val="0"/>
        <w:adjustRightInd w:val="0"/>
        <w:spacing w:after="120"/>
        <w:jc w:val="both"/>
        <w:rPr>
          <w:rFonts w:ascii="Calibri" w:hAnsi="Calibri" w:cs="Calibri"/>
          <w:b/>
          <w:bCs/>
          <w:i/>
          <w:iCs/>
          <w:sz w:val="18"/>
          <w:szCs w:val="18"/>
          <w:lang w:val="en-AU"/>
        </w:rPr>
      </w:pPr>
      <w:r w:rsidRPr="00EB672E">
        <w:rPr>
          <w:rFonts w:ascii="Calibri" w:hAnsi="Calibri" w:cs="Calibri"/>
          <w:b/>
          <w:bCs/>
          <w:i/>
          <w:iCs/>
          <w:sz w:val="18"/>
          <w:szCs w:val="18"/>
          <w:lang w:val="en-AU"/>
        </w:rPr>
        <w:t>Image 1: Infographic showcasing the four pillars under Vietnam Private Sector Development Program</w:t>
      </w:r>
      <w:r w:rsidR="007617EE" w:rsidRPr="00EB672E">
        <w:rPr>
          <w:rFonts w:ascii="Calibri" w:hAnsi="Calibri" w:cs="Calibri"/>
          <w:b/>
          <w:bCs/>
          <w:i/>
          <w:iCs/>
          <w:sz w:val="18"/>
          <w:szCs w:val="18"/>
          <w:lang w:val="en-AU"/>
        </w:rPr>
        <w:t xml:space="preserve"> </w:t>
      </w:r>
    </w:p>
    <w:p w14:paraId="275265CF" w14:textId="1FB7C81E" w:rsidR="00DC2234" w:rsidRPr="00DC2234" w:rsidRDefault="00DC2234" w:rsidP="005C7024">
      <w:pPr>
        <w:autoSpaceDE w:val="0"/>
        <w:autoSpaceDN w:val="0"/>
        <w:adjustRightInd w:val="0"/>
        <w:spacing w:after="120"/>
        <w:jc w:val="both"/>
        <w:rPr>
          <w:rFonts w:ascii="Calibri" w:hAnsi="Calibri" w:cs="Calibri"/>
          <w:sz w:val="22"/>
          <w:szCs w:val="22"/>
          <w:lang w:val="en-US"/>
        </w:rPr>
      </w:pPr>
      <w:r w:rsidRPr="00DC2234">
        <w:rPr>
          <w:rFonts w:ascii="Calibri" w:hAnsi="Calibri" w:cs="Calibri"/>
          <w:noProof/>
          <w:sz w:val="22"/>
          <w:szCs w:val="22"/>
          <w:lang w:val="en-US"/>
        </w:rPr>
        <w:drawing>
          <wp:inline distT="0" distB="0" distL="0" distR="0" wp14:anchorId="446A15A2" wp14:editId="6BF92ED5">
            <wp:extent cx="5905500" cy="3876675"/>
            <wp:effectExtent l="0" t="0" r="0" b="9525"/>
            <wp:docPr id="212164081" name="Picture 15" descr="Program overview infographic — Viet Nam Private Sector Development Program (VPSDP) - please see further details in the Annex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4081" name="Picture 15" descr="Program overview infographic — Viet Nam Private Sector Development Program (VPSDP) - please see further details in the Annex 6&#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641" b="6822"/>
                    <a:stretch>
                      <a:fillRect/>
                    </a:stretch>
                  </pic:blipFill>
                  <pic:spPr bwMode="auto">
                    <a:xfrm>
                      <a:off x="0" y="0"/>
                      <a:ext cx="5905500"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5105F516" w14:textId="77777777" w:rsidR="00DC2234" w:rsidRPr="00C97A19" w:rsidRDefault="00DC2234" w:rsidP="005C7024">
      <w:pPr>
        <w:autoSpaceDE w:val="0"/>
        <w:autoSpaceDN w:val="0"/>
        <w:adjustRightInd w:val="0"/>
        <w:spacing w:after="120"/>
        <w:jc w:val="both"/>
        <w:rPr>
          <w:rFonts w:ascii="Calibri" w:hAnsi="Calibri" w:cs="Calibri"/>
          <w:sz w:val="22"/>
          <w:szCs w:val="22"/>
          <w:lang w:val="en-AU"/>
        </w:rPr>
      </w:pPr>
    </w:p>
    <w:p w14:paraId="2D25B724" w14:textId="566F763B" w:rsidR="00490235" w:rsidRDefault="004F7724" w:rsidP="004F7724">
      <w:pPr>
        <w:pStyle w:val="Caption"/>
        <w:rPr>
          <w:rFonts w:ascii="Calibri" w:hAnsi="Calibri" w:cs="Calibri"/>
          <w:color w:val="000000"/>
          <w:lang w:val="en-AU"/>
        </w:rPr>
      </w:pPr>
      <w:r w:rsidRPr="000348BD">
        <w:rPr>
          <w:rFonts w:ascii="Calibri" w:hAnsi="Calibri" w:cs="Calibri"/>
          <w:color w:val="000000"/>
          <w:lang w:val="en-AU"/>
        </w:rPr>
        <w:t xml:space="preserve">Table 1: </w:t>
      </w:r>
      <w:r w:rsidR="00FD5CDB" w:rsidRPr="000348BD">
        <w:rPr>
          <w:rFonts w:ascii="Calibri" w:hAnsi="Calibri" w:cs="Calibri"/>
          <w:color w:val="000000"/>
          <w:lang w:val="en-AU"/>
        </w:rPr>
        <w:t xml:space="preserve">Viet Nam </w:t>
      </w:r>
      <w:r w:rsidRPr="000348BD">
        <w:rPr>
          <w:rFonts w:ascii="Calibri" w:hAnsi="Calibri" w:cs="Calibri"/>
          <w:color w:val="000000"/>
          <w:lang w:val="en-AU"/>
        </w:rPr>
        <w:t>Private Sector Development Partnership Portfolio Summary</w:t>
      </w:r>
    </w:p>
    <w:p w14:paraId="75C2B7AB" w14:textId="1B244682" w:rsidR="00DB5E3D" w:rsidRPr="00DB5E3D" w:rsidRDefault="00DB5E3D" w:rsidP="00DB5E3D">
      <w:pPr>
        <w:rPr>
          <w:lang w:val="en-AU"/>
        </w:rPr>
      </w:pPr>
      <w:r w:rsidRPr="00796099">
        <w:rPr>
          <w:rFonts w:ascii="Calibri" w:hAnsi="Calibri" w:cs="Calibri"/>
          <w:b/>
          <w:bCs/>
          <w:sz w:val="22"/>
          <w:szCs w:val="22"/>
          <w:lang w:val="en-AU"/>
        </w:rPr>
        <w:t>Active projects</w:t>
      </w:r>
      <w:r>
        <w:rPr>
          <w:lang w:val="en-AU"/>
        </w:rPr>
        <w:t xml:space="preserve"> </w:t>
      </w:r>
    </w:p>
    <w:tbl>
      <w:tblPr>
        <w:tblStyle w:val="TableGrid"/>
        <w:tblW w:w="9356" w:type="dxa"/>
        <w:tblInd w:w="-5" w:type="dxa"/>
        <w:tblLayout w:type="fixed"/>
        <w:tblLook w:val="04A0" w:firstRow="1" w:lastRow="0" w:firstColumn="1" w:lastColumn="0" w:noHBand="0" w:noVBand="1"/>
      </w:tblPr>
      <w:tblGrid>
        <w:gridCol w:w="1843"/>
        <w:gridCol w:w="3260"/>
        <w:gridCol w:w="1134"/>
        <w:gridCol w:w="1560"/>
        <w:gridCol w:w="1559"/>
      </w:tblGrid>
      <w:tr w:rsidR="00376488" w:rsidRPr="00C97A19" w14:paraId="247895FB" w14:textId="77777777" w:rsidTr="00796099">
        <w:trPr>
          <w:trHeight w:val="640"/>
          <w:tblHeader/>
        </w:trPr>
        <w:tc>
          <w:tcPr>
            <w:tcW w:w="1843" w:type="dxa"/>
            <w:shd w:val="clear" w:color="auto" w:fill="CAEDFB" w:themeFill="accent4" w:themeFillTint="33"/>
            <w:hideMark/>
          </w:tcPr>
          <w:p w14:paraId="7E25DE14" w14:textId="77777777" w:rsidR="00376488" w:rsidRPr="000348BD" w:rsidRDefault="00376488" w:rsidP="008240E0">
            <w:pPr>
              <w:rPr>
                <w:rFonts w:ascii="Calibri" w:hAnsi="Calibri" w:cs="Calibri"/>
                <w:b/>
                <w:bCs/>
                <w:color w:val="000000"/>
                <w:sz w:val="18"/>
                <w:szCs w:val="18"/>
                <w:lang w:val="en-AU"/>
              </w:rPr>
            </w:pPr>
            <w:r w:rsidRPr="000348BD">
              <w:rPr>
                <w:rFonts w:ascii="Calibri" w:hAnsi="Calibri" w:cs="Calibri"/>
                <w:b/>
                <w:bCs/>
                <w:color w:val="000000"/>
                <w:sz w:val="18"/>
                <w:szCs w:val="18"/>
                <w:lang w:val="en-AU"/>
              </w:rPr>
              <w:t>Project Name</w:t>
            </w:r>
          </w:p>
        </w:tc>
        <w:tc>
          <w:tcPr>
            <w:tcW w:w="3260" w:type="dxa"/>
            <w:shd w:val="clear" w:color="auto" w:fill="CAEDFB" w:themeFill="accent4" w:themeFillTint="33"/>
            <w:hideMark/>
          </w:tcPr>
          <w:p w14:paraId="0DC5B2BC" w14:textId="77777777" w:rsidR="00376488" w:rsidRPr="000348BD" w:rsidRDefault="00376488" w:rsidP="008240E0">
            <w:pPr>
              <w:rPr>
                <w:rFonts w:ascii="Calibri" w:hAnsi="Calibri" w:cs="Calibri"/>
                <w:b/>
                <w:bCs/>
                <w:color w:val="000000"/>
                <w:sz w:val="18"/>
                <w:szCs w:val="18"/>
                <w:lang w:val="en-AU"/>
              </w:rPr>
            </w:pPr>
            <w:r w:rsidRPr="000348BD">
              <w:rPr>
                <w:rFonts w:ascii="Calibri" w:hAnsi="Calibri" w:cs="Calibri"/>
                <w:b/>
                <w:bCs/>
                <w:color w:val="000000"/>
                <w:sz w:val="18"/>
                <w:szCs w:val="18"/>
                <w:lang w:val="en-AU"/>
              </w:rPr>
              <w:t>Partnership Pillars</w:t>
            </w:r>
          </w:p>
        </w:tc>
        <w:tc>
          <w:tcPr>
            <w:tcW w:w="1134" w:type="dxa"/>
            <w:shd w:val="clear" w:color="auto" w:fill="CAEDFB" w:themeFill="accent4" w:themeFillTint="33"/>
            <w:hideMark/>
          </w:tcPr>
          <w:p w14:paraId="7466875F" w14:textId="77777777" w:rsidR="00376488" w:rsidRPr="000348BD" w:rsidRDefault="00376488" w:rsidP="008240E0">
            <w:pPr>
              <w:jc w:val="center"/>
              <w:rPr>
                <w:rFonts w:ascii="Calibri" w:hAnsi="Calibri" w:cs="Calibri"/>
                <w:b/>
                <w:bCs/>
                <w:color w:val="000000"/>
                <w:sz w:val="18"/>
                <w:szCs w:val="18"/>
                <w:lang w:val="en-AU"/>
              </w:rPr>
            </w:pPr>
            <w:r w:rsidRPr="000348BD">
              <w:rPr>
                <w:rFonts w:ascii="Calibri" w:hAnsi="Calibri" w:cs="Calibri"/>
                <w:b/>
                <w:bCs/>
                <w:color w:val="000000"/>
                <w:sz w:val="18"/>
                <w:szCs w:val="18"/>
                <w:lang w:val="en-AU"/>
              </w:rPr>
              <w:t>VPSDP Funding</w:t>
            </w:r>
          </w:p>
        </w:tc>
        <w:tc>
          <w:tcPr>
            <w:tcW w:w="1560" w:type="dxa"/>
            <w:shd w:val="clear" w:color="auto" w:fill="CAEDFB" w:themeFill="accent4" w:themeFillTint="33"/>
            <w:hideMark/>
          </w:tcPr>
          <w:p w14:paraId="1C6446BE" w14:textId="77777777" w:rsidR="00376488" w:rsidRPr="000348BD" w:rsidRDefault="00376488" w:rsidP="008240E0">
            <w:pPr>
              <w:jc w:val="center"/>
              <w:rPr>
                <w:rFonts w:ascii="Calibri" w:hAnsi="Calibri" w:cs="Calibri"/>
                <w:b/>
                <w:bCs/>
                <w:color w:val="000000"/>
                <w:sz w:val="18"/>
                <w:szCs w:val="18"/>
                <w:lang w:val="en-AU"/>
              </w:rPr>
            </w:pPr>
            <w:r w:rsidRPr="000348BD">
              <w:rPr>
                <w:rFonts w:ascii="Calibri" w:hAnsi="Calibri" w:cs="Calibri"/>
                <w:b/>
                <w:bCs/>
                <w:color w:val="000000"/>
                <w:sz w:val="18"/>
                <w:szCs w:val="18"/>
                <w:lang w:val="en-AU"/>
              </w:rPr>
              <w:t>Date Funding Approved</w:t>
            </w:r>
          </w:p>
        </w:tc>
        <w:tc>
          <w:tcPr>
            <w:tcW w:w="1559" w:type="dxa"/>
            <w:shd w:val="clear" w:color="auto" w:fill="CAEDFB" w:themeFill="accent4" w:themeFillTint="33"/>
            <w:hideMark/>
          </w:tcPr>
          <w:p w14:paraId="4DFAAAD5" w14:textId="59A8FAD7" w:rsidR="00376488" w:rsidRPr="000348BD" w:rsidRDefault="00376488" w:rsidP="008240E0">
            <w:pPr>
              <w:jc w:val="center"/>
              <w:rPr>
                <w:rFonts w:ascii="Calibri" w:hAnsi="Calibri" w:cs="Calibri"/>
                <w:b/>
                <w:bCs/>
                <w:color w:val="000000"/>
                <w:sz w:val="18"/>
                <w:szCs w:val="18"/>
                <w:lang w:val="en-AU"/>
              </w:rPr>
            </w:pPr>
            <w:r w:rsidRPr="000348BD">
              <w:rPr>
                <w:rFonts w:ascii="Calibri" w:hAnsi="Calibri" w:cs="Calibri"/>
                <w:b/>
                <w:bCs/>
                <w:color w:val="000000"/>
                <w:sz w:val="18"/>
                <w:szCs w:val="18"/>
                <w:lang w:val="en-AU"/>
              </w:rPr>
              <w:t xml:space="preserve">Project End </w:t>
            </w:r>
            <w:r w:rsidR="00F13F6F">
              <w:rPr>
                <w:rFonts w:ascii="Calibri" w:hAnsi="Calibri" w:cs="Calibri"/>
                <w:b/>
                <w:bCs/>
                <w:color w:val="000000"/>
                <w:sz w:val="18"/>
                <w:szCs w:val="18"/>
                <w:lang w:val="en-AU"/>
              </w:rPr>
              <w:t>D</w:t>
            </w:r>
            <w:r w:rsidRPr="000348BD">
              <w:rPr>
                <w:rFonts w:ascii="Calibri" w:hAnsi="Calibri" w:cs="Calibri"/>
                <w:b/>
                <w:bCs/>
                <w:color w:val="000000"/>
                <w:sz w:val="18"/>
                <w:szCs w:val="18"/>
                <w:lang w:val="en-AU"/>
              </w:rPr>
              <w:t>ate</w:t>
            </w:r>
          </w:p>
        </w:tc>
      </w:tr>
      <w:tr w:rsidR="00376488" w:rsidRPr="00C97A19" w14:paraId="19E3E4D1" w14:textId="77777777" w:rsidTr="7050C311">
        <w:trPr>
          <w:trHeight w:val="302"/>
        </w:trPr>
        <w:tc>
          <w:tcPr>
            <w:tcW w:w="1843" w:type="dxa"/>
            <w:hideMark/>
          </w:tcPr>
          <w:p w14:paraId="530D57A3" w14:textId="77777777" w:rsidR="00376488" w:rsidRPr="000348BD" w:rsidRDefault="00376488" w:rsidP="008240E0">
            <w:pPr>
              <w:rPr>
                <w:rFonts w:ascii="Calibri" w:hAnsi="Calibri" w:cs="Calibri"/>
                <w:color w:val="000000"/>
                <w:sz w:val="18"/>
                <w:szCs w:val="18"/>
                <w:lang w:val="en-AU"/>
              </w:rPr>
            </w:pPr>
            <w:r w:rsidRPr="000348BD">
              <w:rPr>
                <w:rFonts w:ascii="Calibri" w:hAnsi="Calibri" w:cs="Calibri"/>
                <w:color w:val="000000"/>
                <w:sz w:val="18"/>
                <w:szCs w:val="18"/>
                <w:lang w:val="en-AU"/>
              </w:rPr>
              <w:t>Investment Policy Reform</w:t>
            </w:r>
          </w:p>
        </w:tc>
        <w:tc>
          <w:tcPr>
            <w:tcW w:w="3260" w:type="dxa"/>
            <w:hideMark/>
          </w:tcPr>
          <w:p w14:paraId="41E7F71C" w14:textId="77777777" w:rsidR="00376488" w:rsidRPr="000348BD" w:rsidRDefault="00376488" w:rsidP="008240E0">
            <w:pPr>
              <w:rPr>
                <w:rFonts w:ascii="Calibri" w:hAnsi="Calibri" w:cs="Calibri"/>
                <w:color w:val="000000"/>
                <w:sz w:val="18"/>
                <w:szCs w:val="18"/>
                <w:lang w:val="en-AU"/>
              </w:rPr>
            </w:pPr>
            <w:r w:rsidRPr="000348BD">
              <w:rPr>
                <w:rFonts w:ascii="Calibri" w:hAnsi="Calibri" w:cs="Calibri"/>
                <w:color w:val="000000"/>
                <w:sz w:val="18"/>
                <w:szCs w:val="18"/>
                <w:lang w:val="en-AU"/>
              </w:rPr>
              <w:t>Pillar 1 -- Enabling Environment for the Private Sector</w:t>
            </w:r>
          </w:p>
        </w:tc>
        <w:tc>
          <w:tcPr>
            <w:tcW w:w="1134" w:type="dxa"/>
            <w:hideMark/>
          </w:tcPr>
          <w:p w14:paraId="7AFFC06A" w14:textId="77777777" w:rsidR="00376488" w:rsidRPr="000348BD" w:rsidRDefault="00376488" w:rsidP="008240E0">
            <w:pPr>
              <w:jc w:val="center"/>
              <w:rPr>
                <w:rFonts w:ascii="Calibri" w:hAnsi="Calibri" w:cs="Calibri"/>
                <w:color w:val="000000"/>
                <w:sz w:val="18"/>
                <w:szCs w:val="18"/>
                <w:lang w:val="en-AU"/>
              </w:rPr>
            </w:pPr>
            <w:r w:rsidRPr="000348BD">
              <w:rPr>
                <w:rFonts w:ascii="Calibri" w:hAnsi="Calibri" w:cs="Calibri"/>
                <w:color w:val="000000"/>
                <w:sz w:val="18"/>
                <w:szCs w:val="18"/>
                <w:lang w:val="en-AU"/>
              </w:rPr>
              <w:t>$700.000</w:t>
            </w:r>
          </w:p>
        </w:tc>
        <w:tc>
          <w:tcPr>
            <w:tcW w:w="1560" w:type="dxa"/>
            <w:hideMark/>
          </w:tcPr>
          <w:p w14:paraId="40859B25" w14:textId="77777777" w:rsidR="00376488" w:rsidRPr="000348BD" w:rsidRDefault="00376488" w:rsidP="008240E0">
            <w:pPr>
              <w:jc w:val="center"/>
              <w:rPr>
                <w:rFonts w:ascii="Calibri" w:hAnsi="Calibri" w:cs="Calibri"/>
                <w:color w:val="000000"/>
                <w:sz w:val="18"/>
                <w:szCs w:val="18"/>
                <w:lang w:val="en-AU"/>
              </w:rPr>
            </w:pPr>
            <w:r w:rsidRPr="000348BD">
              <w:rPr>
                <w:rFonts w:ascii="Calibri" w:hAnsi="Calibri" w:cs="Calibri"/>
                <w:color w:val="000000"/>
                <w:sz w:val="18"/>
                <w:szCs w:val="18"/>
                <w:lang w:val="en-AU"/>
              </w:rPr>
              <w:t>October 2022</w:t>
            </w:r>
          </w:p>
        </w:tc>
        <w:tc>
          <w:tcPr>
            <w:tcW w:w="1559" w:type="dxa"/>
            <w:hideMark/>
          </w:tcPr>
          <w:p w14:paraId="609D9ED9" w14:textId="77777777" w:rsidR="00376488" w:rsidRPr="000348BD" w:rsidRDefault="00376488" w:rsidP="008240E0">
            <w:pPr>
              <w:jc w:val="center"/>
              <w:rPr>
                <w:rFonts w:ascii="Calibri" w:hAnsi="Calibri" w:cs="Calibri"/>
                <w:color w:val="000000"/>
                <w:sz w:val="18"/>
                <w:szCs w:val="18"/>
                <w:lang w:val="en-AU"/>
              </w:rPr>
            </w:pPr>
            <w:r w:rsidRPr="000348BD">
              <w:rPr>
                <w:rFonts w:ascii="Calibri" w:hAnsi="Calibri" w:cs="Calibri"/>
                <w:color w:val="000000"/>
                <w:sz w:val="18"/>
                <w:szCs w:val="18"/>
                <w:lang w:val="en-AU"/>
              </w:rPr>
              <w:t>June 2026</w:t>
            </w:r>
          </w:p>
        </w:tc>
      </w:tr>
      <w:tr w:rsidR="00BF53F2" w:rsidRPr="00C97A19" w14:paraId="64C9EE9B" w14:textId="77777777" w:rsidTr="7050C311">
        <w:trPr>
          <w:trHeight w:val="97"/>
        </w:trPr>
        <w:tc>
          <w:tcPr>
            <w:tcW w:w="1843" w:type="dxa"/>
          </w:tcPr>
          <w:p w14:paraId="596C8AE4" w14:textId="79D0F882" w:rsidR="00BF53F2" w:rsidRPr="00BF53F2" w:rsidRDefault="00BF53F2" w:rsidP="00BF53F2">
            <w:pPr>
              <w:rPr>
                <w:rFonts w:ascii="Calibri" w:hAnsi="Calibri" w:cs="Calibri"/>
                <w:color w:val="000000"/>
                <w:sz w:val="18"/>
                <w:szCs w:val="18"/>
                <w:lang w:val="en-AU"/>
              </w:rPr>
            </w:pPr>
            <w:r w:rsidRPr="0013216F">
              <w:rPr>
                <w:rFonts w:ascii="Calibri" w:hAnsi="Calibri" w:cs="Calibri"/>
                <w:color w:val="000000"/>
                <w:sz w:val="18"/>
                <w:szCs w:val="18"/>
                <w:lang w:val="en-AU"/>
              </w:rPr>
              <w:t>Joint Capital Markets Program</w:t>
            </w:r>
          </w:p>
        </w:tc>
        <w:tc>
          <w:tcPr>
            <w:tcW w:w="3260" w:type="dxa"/>
          </w:tcPr>
          <w:p w14:paraId="475C31C8" w14:textId="77777777" w:rsidR="00BF53F2" w:rsidRDefault="00BF53F2" w:rsidP="00BF53F2">
            <w:pPr>
              <w:rPr>
                <w:rFonts w:ascii="Calibri" w:hAnsi="Calibri" w:cs="Calibri"/>
                <w:color w:val="000000"/>
                <w:sz w:val="18"/>
                <w:szCs w:val="18"/>
                <w:lang w:val="en-AU"/>
              </w:rPr>
            </w:pPr>
            <w:r w:rsidRPr="0013216F">
              <w:rPr>
                <w:rFonts w:ascii="Calibri" w:hAnsi="Calibri" w:cs="Calibri"/>
                <w:color w:val="000000"/>
                <w:sz w:val="18"/>
                <w:szCs w:val="18"/>
                <w:lang w:val="en-AU"/>
              </w:rPr>
              <w:t xml:space="preserve">Pillar </w:t>
            </w:r>
            <w:r>
              <w:rPr>
                <w:rFonts w:ascii="Calibri" w:hAnsi="Calibri" w:cs="Calibri"/>
                <w:color w:val="000000"/>
                <w:sz w:val="18"/>
                <w:szCs w:val="18"/>
                <w:lang w:val="en-AU"/>
              </w:rPr>
              <w:t>1</w:t>
            </w:r>
            <w:r w:rsidRPr="0013216F">
              <w:rPr>
                <w:rFonts w:ascii="Calibri" w:hAnsi="Calibri" w:cs="Calibri"/>
                <w:color w:val="000000"/>
                <w:sz w:val="18"/>
                <w:szCs w:val="18"/>
                <w:lang w:val="en-AU"/>
              </w:rPr>
              <w:t xml:space="preserve"> - </w:t>
            </w:r>
            <w:r>
              <w:rPr>
                <w:rFonts w:ascii="Calibri" w:hAnsi="Calibri" w:cs="Calibri"/>
                <w:color w:val="000000"/>
                <w:sz w:val="18"/>
                <w:szCs w:val="18"/>
                <w:lang w:val="en-AU"/>
              </w:rPr>
              <w:t>Enabling Environment</w:t>
            </w:r>
          </w:p>
          <w:p w14:paraId="34192C37" w14:textId="0F40302A" w:rsidR="002A3B92" w:rsidRPr="00BF53F2" w:rsidRDefault="002A3B92" w:rsidP="00BF53F2">
            <w:pPr>
              <w:rPr>
                <w:rFonts w:ascii="Calibri" w:hAnsi="Calibri" w:cs="Calibri"/>
                <w:color w:val="000000"/>
                <w:sz w:val="18"/>
                <w:szCs w:val="18"/>
                <w:lang w:val="en-AU"/>
              </w:rPr>
            </w:pPr>
            <w:r>
              <w:rPr>
                <w:rFonts w:ascii="Calibri" w:hAnsi="Calibri" w:cs="Calibri"/>
                <w:color w:val="000000"/>
                <w:sz w:val="18"/>
                <w:szCs w:val="18"/>
                <w:lang w:val="en-AU"/>
              </w:rPr>
              <w:t>P</w:t>
            </w:r>
            <w:r w:rsidRPr="000348BD">
              <w:rPr>
                <w:rFonts w:ascii="Calibri" w:hAnsi="Calibri" w:cs="Calibri"/>
                <w:color w:val="000000"/>
                <w:sz w:val="18"/>
                <w:szCs w:val="18"/>
                <w:lang w:val="en-AU"/>
              </w:rPr>
              <w:t>illar 3 - Creating a Green, Sustainable, and Inclusive Financial Sector</w:t>
            </w:r>
          </w:p>
        </w:tc>
        <w:tc>
          <w:tcPr>
            <w:tcW w:w="1134" w:type="dxa"/>
          </w:tcPr>
          <w:p w14:paraId="44C1F639" w14:textId="3C9BB19B" w:rsidR="00BF53F2" w:rsidRPr="00BF53F2" w:rsidRDefault="00BF53F2" w:rsidP="00BF53F2">
            <w:pPr>
              <w:jc w:val="center"/>
              <w:rPr>
                <w:rFonts w:ascii="Calibri" w:hAnsi="Calibri" w:cs="Calibri"/>
                <w:color w:val="000000"/>
                <w:sz w:val="18"/>
                <w:szCs w:val="18"/>
                <w:lang w:val="en-AU"/>
              </w:rPr>
            </w:pPr>
            <w:r w:rsidRPr="0013216F">
              <w:rPr>
                <w:rFonts w:ascii="Calibri" w:hAnsi="Calibri" w:cs="Calibri"/>
                <w:color w:val="000000"/>
                <w:sz w:val="18"/>
                <w:szCs w:val="18"/>
                <w:lang w:val="en-AU"/>
              </w:rPr>
              <w:t>$360.000</w:t>
            </w:r>
          </w:p>
        </w:tc>
        <w:tc>
          <w:tcPr>
            <w:tcW w:w="1560" w:type="dxa"/>
          </w:tcPr>
          <w:p w14:paraId="600FC40B" w14:textId="3BF9517D" w:rsidR="00BF53F2" w:rsidRPr="00BF53F2" w:rsidRDefault="00BF53F2" w:rsidP="00BF53F2">
            <w:pPr>
              <w:jc w:val="center"/>
              <w:rPr>
                <w:rFonts w:ascii="Calibri" w:hAnsi="Calibri" w:cs="Calibri"/>
                <w:color w:val="000000"/>
                <w:sz w:val="18"/>
                <w:szCs w:val="18"/>
                <w:lang w:val="en-AU"/>
              </w:rPr>
            </w:pPr>
            <w:r w:rsidRPr="0013216F">
              <w:rPr>
                <w:rFonts w:ascii="Calibri" w:hAnsi="Calibri" w:cs="Calibri"/>
                <w:color w:val="000000"/>
                <w:sz w:val="18"/>
                <w:szCs w:val="18"/>
                <w:lang w:val="en-AU"/>
              </w:rPr>
              <w:t>January 2025</w:t>
            </w:r>
          </w:p>
        </w:tc>
        <w:tc>
          <w:tcPr>
            <w:tcW w:w="1559" w:type="dxa"/>
          </w:tcPr>
          <w:p w14:paraId="57E0C3F2" w14:textId="66B7FB81" w:rsidR="00BF53F2" w:rsidRPr="00BF53F2" w:rsidRDefault="00BF53F2" w:rsidP="00BF53F2">
            <w:pPr>
              <w:jc w:val="center"/>
              <w:rPr>
                <w:rFonts w:ascii="Calibri" w:hAnsi="Calibri" w:cs="Calibri"/>
                <w:color w:val="000000"/>
                <w:sz w:val="18"/>
                <w:szCs w:val="18"/>
                <w:lang w:val="en-AU"/>
              </w:rPr>
            </w:pPr>
            <w:r w:rsidRPr="0013216F">
              <w:rPr>
                <w:rFonts w:ascii="Calibri" w:hAnsi="Calibri" w:cs="Calibri"/>
                <w:color w:val="000000"/>
                <w:sz w:val="18"/>
                <w:szCs w:val="18"/>
                <w:lang w:val="en-AU"/>
              </w:rPr>
              <w:t>June 2027</w:t>
            </w:r>
          </w:p>
        </w:tc>
      </w:tr>
      <w:tr w:rsidR="00BF53F2" w:rsidRPr="00C97A19" w14:paraId="41FEFF4E" w14:textId="77777777" w:rsidTr="7050C311">
        <w:trPr>
          <w:trHeight w:val="97"/>
        </w:trPr>
        <w:tc>
          <w:tcPr>
            <w:tcW w:w="1843" w:type="dxa"/>
            <w:hideMark/>
          </w:tcPr>
          <w:p w14:paraId="56CDF4AD"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Green Buildings</w:t>
            </w:r>
          </w:p>
        </w:tc>
        <w:tc>
          <w:tcPr>
            <w:tcW w:w="3260" w:type="dxa"/>
            <w:hideMark/>
          </w:tcPr>
          <w:p w14:paraId="36306704"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2 – Accelerating inclusive and climate-smart private investment in key growth sectors</w:t>
            </w:r>
          </w:p>
        </w:tc>
        <w:tc>
          <w:tcPr>
            <w:tcW w:w="1134" w:type="dxa"/>
            <w:hideMark/>
          </w:tcPr>
          <w:p w14:paraId="79ECD9F1"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$650.000</w:t>
            </w:r>
          </w:p>
        </w:tc>
        <w:tc>
          <w:tcPr>
            <w:tcW w:w="1560" w:type="dxa"/>
            <w:hideMark/>
          </w:tcPr>
          <w:p w14:paraId="0E71FC6C" w14:textId="6116C4B6"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October 2022</w:t>
            </w:r>
          </w:p>
        </w:tc>
        <w:tc>
          <w:tcPr>
            <w:tcW w:w="1559" w:type="dxa"/>
            <w:hideMark/>
          </w:tcPr>
          <w:p w14:paraId="45ED771A" w14:textId="25D59ABE"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December 2026*</w:t>
            </w:r>
          </w:p>
        </w:tc>
      </w:tr>
      <w:tr w:rsidR="00BF53F2" w:rsidRPr="00C97A19" w14:paraId="21B67D9E" w14:textId="77777777" w:rsidTr="7050C311">
        <w:trPr>
          <w:trHeight w:val="347"/>
        </w:trPr>
        <w:tc>
          <w:tcPr>
            <w:tcW w:w="1843" w:type="dxa"/>
            <w:hideMark/>
          </w:tcPr>
          <w:p w14:paraId="6E952B86"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lastRenderedPageBreak/>
              <w:t>Building Resilience Index (BRI)</w:t>
            </w:r>
          </w:p>
        </w:tc>
        <w:tc>
          <w:tcPr>
            <w:tcW w:w="3260" w:type="dxa"/>
            <w:hideMark/>
          </w:tcPr>
          <w:p w14:paraId="6BB3ABDD"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2 – Accelerating inclusive and climate-smart private investment in key growth sectors</w:t>
            </w:r>
          </w:p>
        </w:tc>
        <w:tc>
          <w:tcPr>
            <w:tcW w:w="1134" w:type="dxa"/>
            <w:hideMark/>
          </w:tcPr>
          <w:p w14:paraId="66D5249C"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$900.000</w:t>
            </w:r>
          </w:p>
        </w:tc>
        <w:tc>
          <w:tcPr>
            <w:tcW w:w="1560" w:type="dxa"/>
            <w:hideMark/>
          </w:tcPr>
          <w:p w14:paraId="19EA6119"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October 2022</w:t>
            </w:r>
          </w:p>
        </w:tc>
        <w:tc>
          <w:tcPr>
            <w:tcW w:w="1559" w:type="dxa"/>
            <w:hideMark/>
          </w:tcPr>
          <w:p w14:paraId="4F9BA930"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December 2027*</w:t>
            </w:r>
          </w:p>
        </w:tc>
      </w:tr>
      <w:tr w:rsidR="00BF53F2" w:rsidRPr="00C97A19" w14:paraId="327A9AF4" w14:textId="77777777" w:rsidTr="7050C311">
        <w:trPr>
          <w:trHeight w:val="311"/>
        </w:trPr>
        <w:tc>
          <w:tcPr>
            <w:tcW w:w="1843" w:type="dxa"/>
            <w:hideMark/>
          </w:tcPr>
          <w:p w14:paraId="70FDCE71"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Food Safety Food Loss</w:t>
            </w:r>
          </w:p>
        </w:tc>
        <w:tc>
          <w:tcPr>
            <w:tcW w:w="3260" w:type="dxa"/>
            <w:hideMark/>
          </w:tcPr>
          <w:p w14:paraId="53E5C028"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2 – Accelerating inclusive and climate-smart private investment in key growth sectors</w:t>
            </w:r>
          </w:p>
        </w:tc>
        <w:tc>
          <w:tcPr>
            <w:tcW w:w="1134" w:type="dxa"/>
            <w:hideMark/>
          </w:tcPr>
          <w:p w14:paraId="3009A928"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$1.050.000</w:t>
            </w:r>
          </w:p>
        </w:tc>
        <w:tc>
          <w:tcPr>
            <w:tcW w:w="1560" w:type="dxa"/>
            <w:hideMark/>
          </w:tcPr>
          <w:p w14:paraId="7DAB2936" w14:textId="382E3369"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January 2024</w:t>
            </w:r>
          </w:p>
        </w:tc>
        <w:tc>
          <w:tcPr>
            <w:tcW w:w="1559" w:type="dxa"/>
            <w:hideMark/>
          </w:tcPr>
          <w:p w14:paraId="2A58F9F9"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December 2027*</w:t>
            </w:r>
          </w:p>
        </w:tc>
      </w:tr>
      <w:tr w:rsidR="00BF53F2" w:rsidRPr="00C97A19" w14:paraId="2B02CDB6" w14:textId="77777777" w:rsidTr="7050C311">
        <w:trPr>
          <w:trHeight w:val="393"/>
        </w:trPr>
        <w:tc>
          <w:tcPr>
            <w:tcW w:w="1843" w:type="dxa"/>
            <w:hideMark/>
          </w:tcPr>
          <w:p w14:paraId="24973FC9"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Green Finance Umbrella</w:t>
            </w:r>
          </w:p>
        </w:tc>
        <w:tc>
          <w:tcPr>
            <w:tcW w:w="3260" w:type="dxa"/>
            <w:hideMark/>
          </w:tcPr>
          <w:p w14:paraId="5976BDE3"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3 - Creating a Green, Sustainable, and Inclusive Financial Sector</w:t>
            </w:r>
          </w:p>
        </w:tc>
        <w:tc>
          <w:tcPr>
            <w:tcW w:w="1134" w:type="dxa"/>
            <w:hideMark/>
          </w:tcPr>
          <w:p w14:paraId="3B5F8C53"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$1.280.000</w:t>
            </w:r>
          </w:p>
        </w:tc>
        <w:tc>
          <w:tcPr>
            <w:tcW w:w="1560" w:type="dxa"/>
            <w:hideMark/>
          </w:tcPr>
          <w:p w14:paraId="5B972457"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October 2022</w:t>
            </w:r>
          </w:p>
        </w:tc>
        <w:tc>
          <w:tcPr>
            <w:tcW w:w="1559" w:type="dxa"/>
            <w:hideMark/>
          </w:tcPr>
          <w:p w14:paraId="505A15CA"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June 2027</w:t>
            </w:r>
          </w:p>
        </w:tc>
      </w:tr>
      <w:tr w:rsidR="00BF53F2" w:rsidRPr="00C97A19" w14:paraId="6F7A399D" w14:textId="77777777" w:rsidTr="7050C311">
        <w:trPr>
          <w:trHeight w:val="229"/>
        </w:trPr>
        <w:tc>
          <w:tcPr>
            <w:tcW w:w="1843" w:type="dxa"/>
            <w:hideMark/>
          </w:tcPr>
          <w:p w14:paraId="259A851A"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Non-Banking Financial Institutions</w:t>
            </w:r>
          </w:p>
        </w:tc>
        <w:tc>
          <w:tcPr>
            <w:tcW w:w="3260" w:type="dxa"/>
            <w:hideMark/>
          </w:tcPr>
          <w:p w14:paraId="33F102F3"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3 - Creating a Green, Sustainable, and Inclusive Financial Sector</w:t>
            </w:r>
          </w:p>
        </w:tc>
        <w:tc>
          <w:tcPr>
            <w:tcW w:w="1134" w:type="dxa"/>
            <w:hideMark/>
          </w:tcPr>
          <w:p w14:paraId="400AE936"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$230.000</w:t>
            </w:r>
          </w:p>
        </w:tc>
        <w:tc>
          <w:tcPr>
            <w:tcW w:w="1560" w:type="dxa"/>
            <w:hideMark/>
          </w:tcPr>
          <w:p w14:paraId="7DA19AA6"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November 2023</w:t>
            </w:r>
          </w:p>
        </w:tc>
        <w:tc>
          <w:tcPr>
            <w:tcW w:w="1559" w:type="dxa"/>
            <w:hideMark/>
          </w:tcPr>
          <w:p w14:paraId="3BB6D0EF"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December 2026</w:t>
            </w:r>
          </w:p>
        </w:tc>
      </w:tr>
      <w:tr w:rsidR="00BF53F2" w:rsidRPr="00C97A19" w14:paraId="6BD49162" w14:textId="77777777" w:rsidTr="7050C311">
        <w:trPr>
          <w:trHeight w:val="556"/>
        </w:trPr>
        <w:tc>
          <w:tcPr>
            <w:tcW w:w="1843" w:type="dxa"/>
            <w:hideMark/>
          </w:tcPr>
          <w:p w14:paraId="2B35FE6E"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Blue Finance</w:t>
            </w:r>
          </w:p>
        </w:tc>
        <w:tc>
          <w:tcPr>
            <w:tcW w:w="3260" w:type="dxa"/>
            <w:hideMark/>
          </w:tcPr>
          <w:p w14:paraId="516E882B"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3 - Creating a Green, Sustainable, and Inclusive Financial Sector</w:t>
            </w:r>
          </w:p>
        </w:tc>
        <w:tc>
          <w:tcPr>
            <w:tcW w:w="1134" w:type="dxa"/>
            <w:hideMark/>
          </w:tcPr>
          <w:p w14:paraId="186ABB08"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$245.000</w:t>
            </w:r>
          </w:p>
        </w:tc>
        <w:tc>
          <w:tcPr>
            <w:tcW w:w="1560" w:type="dxa"/>
            <w:hideMark/>
          </w:tcPr>
          <w:p w14:paraId="5195DA7A" w14:textId="7F1E654B"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January 2025</w:t>
            </w:r>
          </w:p>
        </w:tc>
        <w:tc>
          <w:tcPr>
            <w:tcW w:w="1559" w:type="dxa"/>
            <w:hideMark/>
          </w:tcPr>
          <w:p w14:paraId="7CEB597A"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June 2027</w:t>
            </w:r>
          </w:p>
        </w:tc>
      </w:tr>
      <w:tr w:rsidR="00BF53F2" w:rsidRPr="00C97A19" w14:paraId="7E16E282" w14:textId="77777777" w:rsidTr="7050C311">
        <w:trPr>
          <w:trHeight w:val="550"/>
        </w:trPr>
        <w:tc>
          <w:tcPr>
            <w:tcW w:w="1843" w:type="dxa"/>
            <w:hideMark/>
          </w:tcPr>
          <w:p w14:paraId="54DA4460"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EMERGE</w:t>
            </w:r>
          </w:p>
        </w:tc>
        <w:tc>
          <w:tcPr>
            <w:tcW w:w="3260" w:type="dxa"/>
            <w:hideMark/>
          </w:tcPr>
          <w:p w14:paraId="547E06BE"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4 - Enhancing Gender Equality, Inclusive Development, and ESG Standards</w:t>
            </w:r>
          </w:p>
        </w:tc>
        <w:tc>
          <w:tcPr>
            <w:tcW w:w="1134" w:type="dxa"/>
            <w:hideMark/>
          </w:tcPr>
          <w:p w14:paraId="01D58822"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$1.886.770</w:t>
            </w:r>
          </w:p>
        </w:tc>
        <w:tc>
          <w:tcPr>
            <w:tcW w:w="1560" w:type="dxa"/>
            <w:hideMark/>
          </w:tcPr>
          <w:p w14:paraId="77D44369"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October 2022</w:t>
            </w:r>
          </w:p>
        </w:tc>
        <w:tc>
          <w:tcPr>
            <w:tcW w:w="1559" w:type="dxa"/>
            <w:hideMark/>
          </w:tcPr>
          <w:p w14:paraId="252B02CB"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December 2026</w:t>
            </w:r>
          </w:p>
        </w:tc>
      </w:tr>
      <w:tr w:rsidR="00BF53F2" w:rsidRPr="00C97A19" w14:paraId="713981D5" w14:textId="77777777" w:rsidTr="7050C311">
        <w:trPr>
          <w:trHeight w:val="294"/>
        </w:trPr>
        <w:tc>
          <w:tcPr>
            <w:tcW w:w="1843" w:type="dxa"/>
            <w:hideMark/>
          </w:tcPr>
          <w:p w14:paraId="4EFCA158"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Gender-Smart Climate Diagnostic</w:t>
            </w:r>
          </w:p>
        </w:tc>
        <w:tc>
          <w:tcPr>
            <w:tcW w:w="3260" w:type="dxa"/>
            <w:hideMark/>
          </w:tcPr>
          <w:p w14:paraId="4CC67A12" w14:textId="77777777" w:rsidR="00BF53F2" w:rsidRPr="000348BD" w:rsidRDefault="00BF53F2" w:rsidP="00BF53F2">
            <w:pPr>
              <w:rPr>
                <w:rFonts w:ascii="Calibri" w:hAnsi="Calibri" w:cs="Calibri"/>
                <w:color w:val="000000"/>
                <w:sz w:val="18"/>
                <w:szCs w:val="18"/>
                <w:lang w:val="en-AU"/>
              </w:rPr>
            </w:pPr>
            <w:r w:rsidRPr="000348BD">
              <w:rPr>
                <w:rFonts w:ascii="Calibri" w:hAnsi="Calibri" w:cs="Calibri"/>
                <w:color w:val="000000"/>
                <w:sz w:val="18"/>
                <w:szCs w:val="18"/>
                <w:lang w:val="en-AU"/>
              </w:rPr>
              <w:t>Pillar 4 - Enhancing Gender Equality, Inclusive Development, and ESG Standards</w:t>
            </w:r>
          </w:p>
        </w:tc>
        <w:tc>
          <w:tcPr>
            <w:tcW w:w="1134" w:type="dxa"/>
            <w:hideMark/>
          </w:tcPr>
          <w:p w14:paraId="7545DADB"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$380.000</w:t>
            </w:r>
          </w:p>
        </w:tc>
        <w:tc>
          <w:tcPr>
            <w:tcW w:w="1560" w:type="dxa"/>
            <w:hideMark/>
          </w:tcPr>
          <w:p w14:paraId="13E9E6FE"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August 2023</w:t>
            </w:r>
          </w:p>
        </w:tc>
        <w:tc>
          <w:tcPr>
            <w:tcW w:w="1559" w:type="dxa"/>
            <w:hideMark/>
          </w:tcPr>
          <w:p w14:paraId="0F4F5340" w14:textId="77777777" w:rsidR="00BF53F2" w:rsidRPr="000348BD" w:rsidRDefault="00BF53F2" w:rsidP="00BF53F2">
            <w:pPr>
              <w:jc w:val="center"/>
              <w:rPr>
                <w:rFonts w:ascii="Calibri" w:hAnsi="Calibri" w:cs="Calibri"/>
                <w:color w:val="000000"/>
                <w:sz w:val="18"/>
                <w:szCs w:val="18"/>
                <w:lang w:val="en-AU"/>
              </w:rPr>
            </w:pPr>
            <w:r w:rsidRPr="000348BD">
              <w:rPr>
                <w:rFonts w:ascii="Calibri" w:hAnsi="Calibri" w:cs="Calibri"/>
                <w:color w:val="000000"/>
                <w:sz w:val="18"/>
                <w:szCs w:val="18"/>
                <w:lang w:val="en-AU"/>
              </w:rPr>
              <w:t>June 2025</w:t>
            </w:r>
          </w:p>
        </w:tc>
      </w:tr>
    </w:tbl>
    <w:p w14:paraId="657C2A96" w14:textId="77777777" w:rsidR="00490235" w:rsidRPr="00C97A19" w:rsidRDefault="00490235">
      <w:pPr>
        <w:spacing w:after="160" w:line="259" w:lineRule="auto"/>
        <w:rPr>
          <w:rFonts w:ascii="Calibri" w:hAnsi="Calibri" w:cs="Calibri"/>
          <w:sz w:val="22"/>
          <w:szCs w:val="22"/>
          <w:lang w:val="en-AU"/>
        </w:rPr>
      </w:pPr>
    </w:p>
    <w:p w14:paraId="7C205A01" w14:textId="0D338069" w:rsidR="00EF2B10" w:rsidRPr="00935D1B" w:rsidRDefault="00816102" w:rsidP="005C7024">
      <w:pPr>
        <w:autoSpaceDE w:val="0"/>
        <w:autoSpaceDN w:val="0"/>
        <w:adjustRightInd w:val="0"/>
        <w:spacing w:after="120"/>
        <w:jc w:val="both"/>
        <w:rPr>
          <w:rFonts w:ascii="Calibri" w:hAnsi="Calibri" w:cs="Calibri"/>
          <w:b/>
          <w:bCs/>
          <w:color w:val="000000" w:themeColor="text1"/>
          <w:sz w:val="22"/>
          <w:szCs w:val="22"/>
          <w:lang w:val="en-AU"/>
        </w:rPr>
      </w:pPr>
      <w:r w:rsidRPr="00935D1B">
        <w:rPr>
          <w:rFonts w:ascii="Calibri" w:hAnsi="Calibri" w:cs="Calibri"/>
          <w:b/>
          <w:bCs/>
          <w:color w:val="000000" w:themeColor="text1"/>
          <w:sz w:val="22"/>
          <w:szCs w:val="22"/>
          <w:lang w:val="en-AU"/>
        </w:rPr>
        <w:t>Closed projects</w:t>
      </w:r>
    </w:p>
    <w:tbl>
      <w:tblPr>
        <w:tblStyle w:val="TableGrid"/>
        <w:tblW w:w="0" w:type="auto"/>
        <w:tblLook w:val="04A0" w:firstRow="1" w:lastRow="0" w:firstColumn="1" w:lastColumn="0" w:noHBand="0" w:noVBand="1"/>
      </w:tblPr>
      <w:tblGrid>
        <w:gridCol w:w="1870"/>
        <w:gridCol w:w="1870"/>
        <w:gridCol w:w="1870"/>
        <w:gridCol w:w="1870"/>
        <w:gridCol w:w="1870"/>
      </w:tblGrid>
      <w:tr w:rsidR="00816102" w14:paraId="4D19A468" w14:textId="77777777" w:rsidTr="000937DF">
        <w:trPr>
          <w:tblHeader/>
        </w:trPr>
        <w:tc>
          <w:tcPr>
            <w:tcW w:w="1870" w:type="dxa"/>
            <w:shd w:val="clear" w:color="auto" w:fill="CAEDFB" w:themeFill="accent4" w:themeFillTint="33"/>
          </w:tcPr>
          <w:p w14:paraId="20302E2F" w14:textId="2B076D9B"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b/>
                <w:bCs/>
                <w:color w:val="000000"/>
                <w:sz w:val="18"/>
                <w:szCs w:val="18"/>
                <w:lang w:val="en-AU"/>
              </w:rPr>
              <w:t>Project Name</w:t>
            </w:r>
          </w:p>
        </w:tc>
        <w:tc>
          <w:tcPr>
            <w:tcW w:w="1870" w:type="dxa"/>
            <w:shd w:val="clear" w:color="auto" w:fill="CAEDFB" w:themeFill="accent4" w:themeFillTint="33"/>
          </w:tcPr>
          <w:p w14:paraId="736892BE" w14:textId="5704952B"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b/>
                <w:bCs/>
                <w:color w:val="000000"/>
                <w:sz w:val="18"/>
                <w:szCs w:val="18"/>
                <w:lang w:val="en-AU"/>
              </w:rPr>
              <w:t>Partnership Pillars</w:t>
            </w:r>
          </w:p>
        </w:tc>
        <w:tc>
          <w:tcPr>
            <w:tcW w:w="1870" w:type="dxa"/>
            <w:shd w:val="clear" w:color="auto" w:fill="CAEDFB" w:themeFill="accent4" w:themeFillTint="33"/>
          </w:tcPr>
          <w:p w14:paraId="0DD282C8" w14:textId="65DB85DC"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b/>
                <w:bCs/>
                <w:color w:val="000000"/>
                <w:sz w:val="18"/>
                <w:szCs w:val="18"/>
                <w:lang w:val="en-AU"/>
              </w:rPr>
              <w:t>VPSDP Funding</w:t>
            </w:r>
          </w:p>
        </w:tc>
        <w:tc>
          <w:tcPr>
            <w:tcW w:w="1870" w:type="dxa"/>
            <w:shd w:val="clear" w:color="auto" w:fill="CAEDFB" w:themeFill="accent4" w:themeFillTint="33"/>
          </w:tcPr>
          <w:p w14:paraId="5FEFDA97" w14:textId="31AB30B3"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b/>
                <w:bCs/>
                <w:color w:val="000000"/>
                <w:sz w:val="18"/>
                <w:szCs w:val="18"/>
                <w:lang w:val="en-AU"/>
              </w:rPr>
              <w:t>Date Funding Approved</w:t>
            </w:r>
          </w:p>
        </w:tc>
        <w:tc>
          <w:tcPr>
            <w:tcW w:w="1870" w:type="dxa"/>
            <w:shd w:val="clear" w:color="auto" w:fill="CAEDFB" w:themeFill="accent4" w:themeFillTint="33"/>
          </w:tcPr>
          <w:p w14:paraId="0FA1CBF1" w14:textId="0F780C76"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b/>
                <w:bCs/>
                <w:color w:val="000000"/>
                <w:sz w:val="18"/>
                <w:szCs w:val="18"/>
                <w:lang w:val="en-AU"/>
              </w:rPr>
              <w:t xml:space="preserve">Project End </w:t>
            </w:r>
            <w:r>
              <w:rPr>
                <w:rFonts w:ascii="Calibri" w:hAnsi="Calibri" w:cs="Calibri"/>
                <w:b/>
                <w:bCs/>
                <w:color w:val="000000"/>
                <w:sz w:val="18"/>
                <w:szCs w:val="18"/>
                <w:lang w:val="en-AU"/>
              </w:rPr>
              <w:t>D</w:t>
            </w:r>
            <w:r w:rsidRPr="000348BD">
              <w:rPr>
                <w:rFonts w:ascii="Calibri" w:hAnsi="Calibri" w:cs="Calibri"/>
                <w:b/>
                <w:bCs/>
                <w:color w:val="000000"/>
                <w:sz w:val="18"/>
                <w:szCs w:val="18"/>
                <w:lang w:val="en-AU"/>
              </w:rPr>
              <w:t>ate</w:t>
            </w:r>
          </w:p>
        </w:tc>
      </w:tr>
      <w:tr w:rsidR="00816102" w14:paraId="2B0B0F5C" w14:textId="77777777" w:rsidTr="00816102">
        <w:tc>
          <w:tcPr>
            <w:tcW w:w="1870" w:type="dxa"/>
          </w:tcPr>
          <w:p w14:paraId="6BC50B09" w14:textId="35508A27"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themeColor="text1"/>
                <w:sz w:val="18"/>
                <w:szCs w:val="18"/>
                <w:lang w:val="en-AU"/>
              </w:rPr>
              <w:t>Digital Financial Services (Phase II for the DFS Project was approved in September 2025)</w:t>
            </w:r>
          </w:p>
        </w:tc>
        <w:tc>
          <w:tcPr>
            <w:tcW w:w="1870" w:type="dxa"/>
          </w:tcPr>
          <w:p w14:paraId="01454FA2" w14:textId="6DD0B7C2"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Pillar 3 - Creating a Green, Sustainable, and Inclusive Financial Sector</w:t>
            </w:r>
          </w:p>
        </w:tc>
        <w:tc>
          <w:tcPr>
            <w:tcW w:w="1870" w:type="dxa"/>
          </w:tcPr>
          <w:p w14:paraId="5B0CBAF7" w14:textId="7B267327"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 xml:space="preserve"> $275.000 </w:t>
            </w:r>
          </w:p>
        </w:tc>
        <w:tc>
          <w:tcPr>
            <w:tcW w:w="1870" w:type="dxa"/>
          </w:tcPr>
          <w:p w14:paraId="126D69A8" w14:textId="0D1C8BBE"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TBC</w:t>
            </w:r>
          </w:p>
        </w:tc>
        <w:tc>
          <w:tcPr>
            <w:tcW w:w="1870" w:type="dxa"/>
          </w:tcPr>
          <w:p w14:paraId="0A7AFB65" w14:textId="1B29B325"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TBC</w:t>
            </w:r>
          </w:p>
        </w:tc>
      </w:tr>
      <w:tr w:rsidR="00816102" w14:paraId="2A768E9A" w14:textId="77777777" w:rsidTr="00816102">
        <w:tc>
          <w:tcPr>
            <w:tcW w:w="1870" w:type="dxa"/>
          </w:tcPr>
          <w:p w14:paraId="625902B4" w14:textId="29CA51FB"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Embedded Finance</w:t>
            </w:r>
          </w:p>
        </w:tc>
        <w:tc>
          <w:tcPr>
            <w:tcW w:w="1870" w:type="dxa"/>
          </w:tcPr>
          <w:p w14:paraId="0BC99BC5" w14:textId="51B7E539"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Pillar 3 - Creating a Green, Sustainable, and Inclusive Financial Sector</w:t>
            </w:r>
          </w:p>
        </w:tc>
        <w:tc>
          <w:tcPr>
            <w:tcW w:w="1870" w:type="dxa"/>
          </w:tcPr>
          <w:p w14:paraId="50698904" w14:textId="16E189C9"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 xml:space="preserve"> $350.000 </w:t>
            </w:r>
          </w:p>
        </w:tc>
        <w:tc>
          <w:tcPr>
            <w:tcW w:w="1870" w:type="dxa"/>
          </w:tcPr>
          <w:p w14:paraId="7BBA3DFC" w14:textId="656FA1D5"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TBC</w:t>
            </w:r>
          </w:p>
        </w:tc>
        <w:tc>
          <w:tcPr>
            <w:tcW w:w="1870" w:type="dxa"/>
          </w:tcPr>
          <w:p w14:paraId="32E8DD17" w14:textId="06A062F7" w:rsidR="00816102" w:rsidRDefault="00816102" w:rsidP="00816102">
            <w:pPr>
              <w:autoSpaceDE w:val="0"/>
              <w:autoSpaceDN w:val="0"/>
              <w:adjustRightInd w:val="0"/>
              <w:spacing w:after="120"/>
              <w:jc w:val="both"/>
              <w:rPr>
                <w:rFonts w:ascii="Calibri" w:hAnsi="Calibri" w:cs="Calibri"/>
                <w:color w:val="000000" w:themeColor="text1"/>
                <w:sz w:val="22"/>
                <w:szCs w:val="22"/>
                <w:lang w:val="en-AU"/>
              </w:rPr>
            </w:pPr>
            <w:r w:rsidRPr="000348BD">
              <w:rPr>
                <w:rFonts w:ascii="Calibri" w:hAnsi="Calibri" w:cs="Calibri"/>
                <w:i/>
                <w:iCs/>
                <w:color w:val="000000"/>
                <w:sz w:val="18"/>
                <w:szCs w:val="18"/>
                <w:lang w:val="en-AU"/>
              </w:rPr>
              <w:t>TBC</w:t>
            </w:r>
          </w:p>
        </w:tc>
      </w:tr>
    </w:tbl>
    <w:p w14:paraId="22F75C53" w14:textId="3C53F665" w:rsidR="005C7024" w:rsidRPr="000348BD" w:rsidRDefault="005C7024" w:rsidP="005C7024">
      <w:pPr>
        <w:autoSpaceDE w:val="0"/>
        <w:autoSpaceDN w:val="0"/>
        <w:adjustRightInd w:val="0"/>
        <w:spacing w:after="120"/>
        <w:jc w:val="both"/>
        <w:rPr>
          <w:rFonts w:ascii="Calibri" w:hAnsi="Calibri" w:cs="Calibri"/>
          <w:color w:val="000000" w:themeColor="text1"/>
          <w:sz w:val="22"/>
          <w:szCs w:val="22"/>
          <w:lang w:val="en-AU"/>
        </w:rPr>
      </w:pPr>
      <w:r w:rsidRPr="00C97A19">
        <w:rPr>
          <w:rFonts w:ascii="Calibri" w:hAnsi="Calibri" w:cs="Calibri"/>
          <w:color w:val="000000" w:themeColor="text1"/>
          <w:sz w:val="22"/>
          <w:szCs w:val="22"/>
          <w:lang w:val="en-AU"/>
        </w:rPr>
        <w:t xml:space="preserve">Developed during the first 12 months of the Partnership, the interventions </w:t>
      </w:r>
      <w:r w:rsidRPr="000348BD">
        <w:rPr>
          <w:rFonts w:ascii="Calibri" w:hAnsi="Calibri" w:cs="Calibri"/>
          <w:color w:val="000000" w:themeColor="text1"/>
          <w:sz w:val="22"/>
          <w:szCs w:val="22"/>
          <w:lang w:val="en-AU"/>
        </w:rPr>
        <w:t xml:space="preserve">are guided by a comprehensive Monitoring and Evaluation (M&amp;E) Framework. The M&amp;E framework outlines the Partnership theory of change, modality, and methodology.  </w:t>
      </w:r>
    </w:p>
    <w:p w14:paraId="76C1AAA6" w14:textId="27B7B8A0" w:rsidR="00F76090" w:rsidRPr="00C97A19" w:rsidRDefault="00490235" w:rsidP="00F76090">
      <w:pPr>
        <w:pStyle w:val="Heading1"/>
        <w:rPr>
          <w:rFonts w:cs="Calibri"/>
          <w:lang w:val="en-AU"/>
        </w:rPr>
      </w:pPr>
      <w:r w:rsidRPr="00C97A19">
        <w:rPr>
          <w:rFonts w:cs="Calibri"/>
          <w:sz w:val="22"/>
          <w:szCs w:val="22"/>
          <w:lang w:val="en-AU"/>
        </w:rPr>
        <w:br w:type="page"/>
      </w:r>
      <w:bookmarkStart w:id="14" w:name="_Toc201131763"/>
      <w:bookmarkStart w:id="15" w:name="_Toc233724250"/>
      <w:r w:rsidR="00355865" w:rsidRPr="00C97A19">
        <w:rPr>
          <w:rFonts w:cs="Calibri"/>
          <w:b w:val="0"/>
          <w:bCs/>
          <w:lang w:val="en-AU"/>
        </w:rPr>
        <w:lastRenderedPageBreak/>
        <w:t>Purpose</w:t>
      </w:r>
      <w:r w:rsidR="00F76090" w:rsidRPr="00C97A19">
        <w:rPr>
          <w:rFonts w:cs="Calibri"/>
          <w:b w:val="0"/>
          <w:bCs/>
          <w:lang w:val="en-AU"/>
        </w:rPr>
        <w:t xml:space="preserve"> and Scope of the Evaluation</w:t>
      </w:r>
      <w:bookmarkEnd w:id="14"/>
      <w:bookmarkEnd w:id="15"/>
    </w:p>
    <w:p w14:paraId="6B8A0551" w14:textId="77777777" w:rsidR="00355865" w:rsidRPr="00C97A19" w:rsidRDefault="00355865" w:rsidP="00EB120F">
      <w:pPr>
        <w:pStyle w:val="Heading2"/>
        <w:rPr>
          <w:i w:val="0"/>
          <w:iCs/>
          <w:lang w:val="en-AU"/>
        </w:rPr>
      </w:pPr>
      <w:bookmarkStart w:id="16" w:name="_Toc192742827"/>
      <w:bookmarkStart w:id="17" w:name="_Toc201131764"/>
      <w:bookmarkStart w:id="18" w:name="_Toc233724251"/>
      <w:r w:rsidRPr="00C97A19">
        <w:rPr>
          <w:i w:val="0"/>
          <w:iCs/>
          <w:lang w:val="en-AU"/>
        </w:rPr>
        <w:t>Purpose</w:t>
      </w:r>
      <w:bookmarkEnd w:id="16"/>
      <w:bookmarkEnd w:id="17"/>
      <w:bookmarkEnd w:id="18"/>
    </w:p>
    <w:p w14:paraId="687A14D1" w14:textId="6E530C80" w:rsidR="005C7024" w:rsidRPr="000348BD" w:rsidRDefault="005C7024" w:rsidP="005C7024">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The purpose of the MTR </w:t>
      </w:r>
      <w:r w:rsidR="00753CEB" w:rsidRPr="000348BD">
        <w:rPr>
          <w:rFonts w:ascii="Calibri" w:hAnsi="Calibri" w:cs="Calibri"/>
          <w:sz w:val="22"/>
          <w:szCs w:val="22"/>
          <w:lang w:val="en-AU"/>
        </w:rPr>
        <w:t xml:space="preserve">was </w:t>
      </w:r>
      <w:r w:rsidRPr="000348BD">
        <w:rPr>
          <w:rFonts w:ascii="Calibri" w:hAnsi="Calibri" w:cs="Calibri"/>
          <w:sz w:val="22"/>
          <w:szCs w:val="22"/>
          <w:lang w:val="en-AU"/>
        </w:rPr>
        <w:t>to (i) independently assess the VPSDP’s effectiveness and efficiency in achieving the intended EOPOs to date; and (ii) based on the summative assessment, provide recommendations for improvement, strengthen the alignment with Goa and GoV policies and objectives.</w:t>
      </w:r>
    </w:p>
    <w:p w14:paraId="3B3D5C0E" w14:textId="4061B5A4" w:rsidR="00355865" w:rsidRPr="00C97A19" w:rsidRDefault="00355865" w:rsidP="00355865">
      <w:pPr>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5C7024" w:rsidRPr="00C97A19">
        <w:rPr>
          <w:rFonts w:ascii="Calibri" w:hAnsi="Calibri" w:cs="Calibri"/>
          <w:sz w:val="22"/>
          <w:szCs w:val="22"/>
          <w:lang w:val="en-AU"/>
        </w:rPr>
        <w:t>MTR</w:t>
      </w:r>
      <w:r w:rsidRPr="00C97A19">
        <w:rPr>
          <w:rFonts w:ascii="Calibri" w:hAnsi="Calibri" w:cs="Calibri"/>
          <w:sz w:val="22"/>
          <w:szCs w:val="22"/>
          <w:lang w:val="en-AU"/>
        </w:rPr>
        <w:t xml:space="preserve"> also</w:t>
      </w:r>
      <w:r w:rsidR="00262EF7" w:rsidRPr="00C97A19">
        <w:rPr>
          <w:rFonts w:ascii="Calibri" w:hAnsi="Calibri" w:cs="Calibri"/>
          <w:sz w:val="22"/>
          <w:szCs w:val="22"/>
          <w:lang w:val="en-AU"/>
        </w:rPr>
        <w:t xml:space="preserve"> calls for an evidence base to inform</w:t>
      </w:r>
      <w:r w:rsidRPr="00C97A19">
        <w:rPr>
          <w:rFonts w:ascii="Calibri" w:hAnsi="Calibri" w:cs="Calibri"/>
          <w:sz w:val="22"/>
          <w:szCs w:val="22"/>
          <w:lang w:val="en-AU"/>
        </w:rPr>
        <w:t xml:space="preserve"> possible future directions, approaches, and structures based on the evaluation </w:t>
      </w:r>
      <w:r w:rsidR="002348E5" w:rsidRPr="00C97A19">
        <w:rPr>
          <w:rFonts w:ascii="Calibri" w:hAnsi="Calibri" w:cs="Calibri"/>
          <w:sz w:val="22"/>
          <w:szCs w:val="22"/>
          <w:lang w:val="en-AU"/>
        </w:rPr>
        <w:t>itself</w:t>
      </w:r>
      <w:r w:rsidRPr="00C97A19">
        <w:rPr>
          <w:rFonts w:ascii="Calibri" w:hAnsi="Calibri" w:cs="Calibri"/>
          <w:sz w:val="22"/>
          <w:szCs w:val="22"/>
          <w:lang w:val="en-AU"/>
        </w:rPr>
        <w:t xml:space="preserve"> and the data, information, and evidence collected.</w:t>
      </w:r>
      <w:r w:rsidR="005C7024" w:rsidRPr="00C97A19">
        <w:rPr>
          <w:rFonts w:ascii="Calibri" w:hAnsi="Calibri" w:cs="Calibri"/>
          <w:sz w:val="22"/>
          <w:szCs w:val="22"/>
          <w:lang w:val="en-AU"/>
        </w:rPr>
        <w:t xml:space="preserve"> Guidance is provided a</w:t>
      </w:r>
      <w:r w:rsidR="00753CEB" w:rsidRPr="00C97A19">
        <w:rPr>
          <w:rFonts w:ascii="Calibri" w:hAnsi="Calibri" w:cs="Calibri"/>
          <w:sz w:val="22"/>
          <w:szCs w:val="22"/>
          <w:lang w:val="en-AU"/>
        </w:rPr>
        <w:t>t</w:t>
      </w:r>
      <w:r w:rsidR="005C7024" w:rsidRPr="00C97A19">
        <w:rPr>
          <w:rFonts w:ascii="Calibri" w:hAnsi="Calibri" w:cs="Calibri"/>
          <w:sz w:val="22"/>
          <w:szCs w:val="22"/>
          <w:lang w:val="en-AU"/>
        </w:rPr>
        <w:t xml:space="preserve"> two levels</w:t>
      </w:r>
      <w:r w:rsidR="00753CEB" w:rsidRPr="00C97A19">
        <w:rPr>
          <w:rFonts w:ascii="Calibri" w:hAnsi="Calibri" w:cs="Calibri"/>
          <w:sz w:val="22"/>
          <w:szCs w:val="22"/>
          <w:lang w:val="en-AU"/>
        </w:rPr>
        <w:t>:</w:t>
      </w:r>
      <w:r w:rsidR="005C7024" w:rsidRPr="00C97A19">
        <w:rPr>
          <w:rFonts w:ascii="Calibri" w:hAnsi="Calibri" w:cs="Calibri"/>
          <w:sz w:val="22"/>
          <w:szCs w:val="22"/>
          <w:lang w:val="en-AU"/>
        </w:rPr>
        <w:t xml:space="preserve"> (i) for the remainder</w:t>
      </w:r>
      <w:r w:rsidR="0083159F" w:rsidRPr="00C97A19">
        <w:rPr>
          <w:rFonts w:ascii="Calibri" w:hAnsi="Calibri" w:cs="Calibri"/>
          <w:sz w:val="22"/>
          <w:szCs w:val="22"/>
          <w:lang w:val="en-AU"/>
        </w:rPr>
        <w:t xml:space="preserve"> </w:t>
      </w:r>
      <w:r w:rsidR="005C7024" w:rsidRPr="00C97A19">
        <w:rPr>
          <w:rFonts w:ascii="Calibri" w:hAnsi="Calibri" w:cs="Calibri"/>
          <w:sz w:val="22"/>
          <w:szCs w:val="22"/>
          <w:lang w:val="en-AU"/>
        </w:rPr>
        <w:t xml:space="preserve">of the program through to June 2027, and (ii) broader guidance on a possible future design and </w:t>
      </w:r>
      <w:r w:rsidR="0083159F" w:rsidRPr="00C97A19">
        <w:rPr>
          <w:rFonts w:ascii="Calibri" w:hAnsi="Calibri" w:cs="Calibri"/>
          <w:sz w:val="22"/>
          <w:szCs w:val="22"/>
          <w:lang w:val="en-AU"/>
        </w:rPr>
        <w:t>implementation</w:t>
      </w:r>
      <w:r w:rsidR="005C7024" w:rsidRPr="00C97A19">
        <w:rPr>
          <w:rFonts w:ascii="Calibri" w:hAnsi="Calibri" w:cs="Calibri"/>
          <w:sz w:val="22"/>
          <w:szCs w:val="22"/>
          <w:lang w:val="en-AU"/>
        </w:rPr>
        <w:t xml:space="preserve"> </w:t>
      </w:r>
      <w:r w:rsidR="0083159F" w:rsidRPr="00C97A19">
        <w:rPr>
          <w:rFonts w:ascii="Calibri" w:hAnsi="Calibri" w:cs="Calibri"/>
          <w:sz w:val="22"/>
          <w:szCs w:val="22"/>
          <w:lang w:val="en-AU"/>
        </w:rPr>
        <w:t>arrangement</w:t>
      </w:r>
      <w:r w:rsidR="005C7024" w:rsidRPr="00C97A19">
        <w:rPr>
          <w:rFonts w:ascii="Calibri" w:hAnsi="Calibri" w:cs="Calibri"/>
          <w:sz w:val="22"/>
          <w:szCs w:val="22"/>
          <w:lang w:val="en-AU"/>
        </w:rPr>
        <w:t>.</w:t>
      </w:r>
      <w:r w:rsidR="00B61582" w:rsidRPr="00C97A19">
        <w:rPr>
          <w:rFonts w:ascii="Calibri" w:hAnsi="Calibri" w:cs="Calibri"/>
          <w:sz w:val="22"/>
          <w:szCs w:val="22"/>
          <w:lang w:val="en-AU"/>
        </w:rPr>
        <w:t xml:space="preserve"> </w:t>
      </w:r>
    </w:p>
    <w:p w14:paraId="3C014A52" w14:textId="77777777" w:rsidR="00355865" w:rsidRPr="00C97A19" w:rsidRDefault="00355865" w:rsidP="00EB120F">
      <w:pPr>
        <w:pStyle w:val="Heading2"/>
        <w:rPr>
          <w:i w:val="0"/>
          <w:iCs/>
          <w:lang w:val="en-AU"/>
        </w:rPr>
      </w:pPr>
      <w:bookmarkStart w:id="19" w:name="_Toc192742828"/>
      <w:bookmarkStart w:id="20" w:name="_Toc201131765"/>
      <w:bookmarkStart w:id="21" w:name="_Toc233724252"/>
      <w:r w:rsidRPr="00C97A19">
        <w:rPr>
          <w:i w:val="0"/>
          <w:iCs/>
          <w:lang w:val="en-AU"/>
        </w:rPr>
        <w:t>Scope</w:t>
      </w:r>
      <w:bookmarkEnd w:id="19"/>
      <w:bookmarkEnd w:id="20"/>
      <w:bookmarkEnd w:id="21"/>
    </w:p>
    <w:p w14:paraId="50645C66" w14:textId="427174B9" w:rsidR="0083159F" w:rsidRPr="000348BD" w:rsidRDefault="0083159F" w:rsidP="0083159F">
      <w:pPr>
        <w:autoSpaceDE w:val="0"/>
        <w:autoSpaceDN w:val="0"/>
        <w:adjustRightInd w:val="0"/>
        <w:spacing w:after="120"/>
        <w:jc w:val="both"/>
        <w:rPr>
          <w:rFonts w:ascii="Calibri" w:hAnsi="Calibri" w:cs="Calibri"/>
          <w:color w:val="000000"/>
          <w:sz w:val="22"/>
          <w:szCs w:val="22"/>
          <w:lang w:val="en-AU"/>
        </w:rPr>
      </w:pPr>
      <w:r w:rsidRPr="00C97A19">
        <w:rPr>
          <w:rFonts w:ascii="Calibri" w:hAnsi="Calibri" w:cs="Calibri"/>
          <w:sz w:val="22"/>
          <w:szCs w:val="22"/>
          <w:lang w:val="en-AU"/>
        </w:rPr>
        <w:t xml:space="preserve">The scope of work will cover the period </w:t>
      </w:r>
      <w:r w:rsidRPr="000348BD">
        <w:rPr>
          <w:rFonts w:ascii="Calibri" w:hAnsi="Calibri" w:cs="Calibri"/>
          <w:sz w:val="22"/>
          <w:szCs w:val="22"/>
          <w:lang w:val="en-AU"/>
        </w:rPr>
        <w:t>April 2022 to December 2025. The MTR applied</w:t>
      </w:r>
      <w:r w:rsidRPr="000348BD">
        <w:rPr>
          <w:rFonts w:ascii="Calibri" w:hAnsi="Calibri" w:cs="Calibri"/>
          <w:color w:val="000000"/>
          <w:sz w:val="22"/>
          <w:szCs w:val="22"/>
          <w:lang w:val="en-AU"/>
        </w:rPr>
        <w:t xml:space="preserve"> the Organisation </w:t>
      </w:r>
      <w:r w:rsidR="00C03508" w:rsidRPr="000348BD">
        <w:rPr>
          <w:rFonts w:ascii="Calibri" w:hAnsi="Calibri" w:cs="Calibri"/>
          <w:color w:val="000000"/>
          <w:sz w:val="22"/>
          <w:szCs w:val="22"/>
          <w:lang w:val="en-AU"/>
        </w:rPr>
        <w:t>for</w:t>
      </w:r>
      <w:r w:rsidRPr="000348BD">
        <w:rPr>
          <w:rFonts w:ascii="Calibri" w:hAnsi="Calibri" w:cs="Calibri"/>
          <w:color w:val="000000"/>
          <w:sz w:val="22"/>
          <w:szCs w:val="22"/>
          <w:lang w:val="en-AU"/>
        </w:rPr>
        <w:t xml:space="preserve"> Economic </w:t>
      </w:r>
      <w:r w:rsidR="00C03508" w:rsidRPr="000348BD">
        <w:rPr>
          <w:rFonts w:ascii="Calibri" w:hAnsi="Calibri" w:cs="Calibri"/>
          <w:color w:val="000000"/>
          <w:sz w:val="22"/>
          <w:szCs w:val="22"/>
          <w:lang w:val="en-AU"/>
        </w:rPr>
        <w:t>Co-</w:t>
      </w:r>
      <w:r w:rsidRPr="000348BD">
        <w:rPr>
          <w:rFonts w:ascii="Calibri" w:hAnsi="Calibri" w:cs="Calibri"/>
          <w:color w:val="000000"/>
          <w:sz w:val="22"/>
          <w:szCs w:val="22"/>
          <w:lang w:val="en-AU"/>
        </w:rPr>
        <w:t xml:space="preserve">operation and Development – Development </w:t>
      </w:r>
      <w:r w:rsidR="00C03508" w:rsidRPr="000348BD">
        <w:rPr>
          <w:rFonts w:ascii="Calibri" w:hAnsi="Calibri" w:cs="Calibri"/>
          <w:color w:val="000000"/>
          <w:sz w:val="22"/>
          <w:szCs w:val="22"/>
          <w:lang w:val="en-AU"/>
        </w:rPr>
        <w:t>A</w:t>
      </w:r>
      <w:r w:rsidRPr="000348BD">
        <w:rPr>
          <w:rFonts w:ascii="Calibri" w:hAnsi="Calibri" w:cs="Calibri"/>
          <w:color w:val="000000"/>
          <w:sz w:val="22"/>
          <w:szCs w:val="22"/>
          <w:lang w:val="en-AU"/>
        </w:rPr>
        <w:t>ssistance C</w:t>
      </w:r>
      <w:r w:rsidR="00C03508" w:rsidRPr="000348BD">
        <w:rPr>
          <w:rFonts w:ascii="Calibri" w:hAnsi="Calibri" w:cs="Calibri"/>
          <w:color w:val="000000"/>
          <w:sz w:val="22"/>
          <w:szCs w:val="22"/>
          <w:lang w:val="en-AU"/>
        </w:rPr>
        <w:t>ommittee</w:t>
      </w:r>
      <w:r w:rsidRPr="000348BD">
        <w:rPr>
          <w:rFonts w:ascii="Calibri" w:hAnsi="Calibri" w:cs="Calibri"/>
          <w:color w:val="000000"/>
          <w:sz w:val="22"/>
          <w:szCs w:val="22"/>
          <w:lang w:val="en-AU"/>
        </w:rPr>
        <w:t xml:space="preserve"> (OECD-DAC) evaluation criteria</w:t>
      </w:r>
      <w:r w:rsidR="00C03508"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with particular focus on relevance, coherence, effectiveness, and efficiency. The MTR process (and report) also complied with DFAT’s Design and MEL standards, specifically Standard 9 (Evaluation Plans) and Standard 10 (Independent Evaluation Reports).</w:t>
      </w:r>
    </w:p>
    <w:p w14:paraId="35399E08" w14:textId="1ECD096A" w:rsidR="0083159F" w:rsidRPr="000348BD" w:rsidRDefault="0083159F" w:rsidP="0083159F">
      <w:pPr>
        <w:autoSpaceDE w:val="0"/>
        <w:autoSpaceDN w:val="0"/>
        <w:adjustRightInd w:val="0"/>
        <w:spacing w:after="120"/>
        <w:jc w:val="both"/>
        <w:rPr>
          <w:rFonts w:ascii="Calibri" w:hAnsi="Calibri" w:cs="Calibri"/>
          <w:sz w:val="22"/>
          <w:szCs w:val="22"/>
          <w:lang w:val="en-AU"/>
        </w:rPr>
      </w:pPr>
      <w:r w:rsidRPr="000348BD">
        <w:rPr>
          <w:rFonts w:ascii="Calibri" w:hAnsi="Calibri" w:cs="Calibri"/>
          <w:color w:val="000000"/>
          <w:sz w:val="22"/>
          <w:szCs w:val="22"/>
          <w:lang w:val="en-AU"/>
        </w:rPr>
        <w:t>In applying these standards and criteria, the MTR:</w:t>
      </w:r>
    </w:p>
    <w:p w14:paraId="7E705EBC" w14:textId="67A77339" w:rsidR="0083159F" w:rsidRPr="000348BD" w:rsidRDefault="0083159F">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w:t>
      </w:r>
      <w:r w:rsidR="00B86F9D"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how VPSDP is relevant to the country-specific objectives of the GoA and GoV, and how it align</w:t>
      </w:r>
      <w:r w:rsidR="00B86F9D"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with the IFC’s strategic objectives.</w:t>
      </w:r>
    </w:p>
    <w:p w14:paraId="37EF5D97" w14:textId="707B105F" w:rsidR="0083159F" w:rsidRPr="000348BD" w:rsidRDefault="0083159F">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w:t>
      </w:r>
      <w:r w:rsidR="00B86F9D"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the effectiveness of VPSDP activities in advancing the overall partnership objective.</w:t>
      </w:r>
    </w:p>
    <w:p w14:paraId="74E6371B" w14:textId="471C61DB" w:rsidR="0083159F" w:rsidRPr="000348BD" w:rsidRDefault="0083159F">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Review</w:t>
      </w:r>
      <w:r w:rsidR="00B86F9D"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and assess</w:t>
      </w:r>
      <w:r w:rsidR="00B86F9D"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the relevance and effectiveness of the program logic and MEL framework in monitoring and evaluating the program. </w:t>
      </w:r>
    </w:p>
    <w:p w14:paraId="3EDCEB10" w14:textId="20A5A599" w:rsidR="0083159F" w:rsidRPr="000348BD" w:rsidRDefault="0083159F">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w:t>
      </w:r>
      <w:r w:rsidR="00961585"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the extent to which the partnership activities help to strengthen the coherence with other initiatives (of IFC and Australia)</w:t>
      </w:r>
    </w:p>
    <w:p w14:paraId="3C32A000" w14:textId="5B4D5464" w:rsidR="0083159F" w:rsidRPr="000348BD" w:rsidRDefault="00961585">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w:t>
      </w:r>
      <w:r w:rsidR="0083159F" w:rsidRPr="000348BD">
        <w:rPr>
          <w:rFonts w:ascii="Calibri" w:hAnsi="Calibri" w:cs="Calibri"/>
          <w:color w:val="000000"/>
          <w:sz w:val="22"/>
          <w:szCs w:val="22"/>
          <w:lang w:val="en-AU"/>
        </w:rPr>
        <w:t>ssess</w:t>
      </w:r>
      <w:r w:rsidRPr="000348BD">
        <w:rPr>
          <w:rFonts w:ascii="Calibri" w:hAnsi="Calibri" w:cs="Calibri"/>
          <w:color w:val="000000"/>
          <w:sz w:val="22"/>
          <w:szCs w:val="22"/>
          <w:lang w:val="en-AU"/>
        </w:rPr>
        <w:t>ed</w:t>
      </w:r>
      <w:r w:rsidR="0083159F" w:rsidRPr="000348BD">
        <w:rPr>
          <w:rFonts w:ascii="Calibri" w:hAnsi="Calibri" w:cs="Calibri"/>
          <w:color w:val="000000"/>
          <w:sz w:val="22"/>
          <w:szCs w:val="22"/>
          <w:lang w:val="en-AU"/>
        </w:rPr>
        <w:t xml:space="preserve"> how the partnership </w:t>
      </w:r>
      <w:r w:rsidRPr="000348BD">
        <w:rPr>
          <w:rFonts w:ascii="Calibri" w:hAnsi="Calibri" w:cs="Calibri"/>
          <w:color w:val="000000"/>
          <w:sz w:val="22"/>
          <w:szCs w:val="22"/>
          <w:lang w:val="en-AU"/>
        </w:rPr>
        <w:t xml:space="preserve">was </w:t>
      </w:r>
      <w:r w:rsidR="0083159F" w:rsidRPr="000348BD">
        <w:rPr>
          <w:rFonts w:ascii="Calibri" w:hAnsi="Calibri" w:cs="Calibri"/>
          <w:color w:val="000000"/>
          <w:sz w:val="22"/>
          <w:szCs w:val="22"/>
          <w:lang w:val="en-AU"/>
        </w:rPr>
        <w:t>making use of available resources to achieve its objectives</w:t>
      </w:r>
    </w:p>
    <w:p w14:paraId="7D30FC02" w14:textId="130A8C55" w:rsidR="0083159F" w:rsidRPr="000348BD" w:rsidRDefault="0083159F">
      <w:pPr>
        <w:pStyle w:val="ListParagraph"/>
        <w:numPr>
          <w:ilvl w:val="0"/>
          <w:numId w:val="1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w:t>
      </w:r>
      <w:r w:rsidR="00961585" w:rsidRPr="000348BD">
        <w:rPr>
          <w:rFonts w:ascii="Calibri" w:hAnsi="Calibri" w:cs="Calibri"/>
          <w:color w:val="000000"/>
          <w:sz w:val="22"/>
          <w:szCs w:val="22"/>
          <w:lang w:val="en-AU"/>
        </w:rPr>
        <w:t>ed</w:t>
      </w:r>
      <w:r w:rsidRPr="000348BD">
        <w:rPr>
          <w:rFonts w:ascii="Calibri" w:hAnsi="Calibri" w:cs="Calibri"/>
          <w:color w:val="000000"/>
          <w:sz w:val="22"/>
          <w:szCs w:val="22"/>
          <w:lang w:val="en-AU"/>
        </w:rPr>
        <w:t xml:space="preserve"> </w:t>
      </w:r>
      <w:r w:rsidR="00961585" w:rsidRPr="000348BD">
        <w:rPr>
          <w:rFonts w:ascii="Calibri" w:hAnsi="Calibri" w:cs="Calibri"/>
          <w:color w:val="000000"/>
          <w:sz w:val="22"/>
          <w:szCs w:val="22"/>
          <w:lang w:val="en-AU"/>
        </w:rPr>
        <w:t xml:space="preserve">the </w:t>
      </w:r>
      <w:r w:rsidRPr="000348BD">
        <w:rPr>
          <w:rFonts w:ascii="Calibri" w:hAnsi="Calibri" w:cs="Calibri"/>
          <w:color w:val="000000"/>
          <w:sz w:val="22"/>
          <w:szCs w:val="22"/>
          <w:lang w:val="en-AU"/>
        </w:rPr>
        <w:t>extent</w:t>
      </w:r>
      <w:r w:rsidR="00961585" w:rsidRPr="000348BD">
        <w:rPr>
          <w:rFonts w:ascii="Calibri" w:hAnsi="Calibri" w:cs="Calibri"/>
          <w:color w:val="000000"/>
          <w:sz w:val="22"/>
          <w:szCs w:val="22"/>
          <w:lang w:val="en-AU"/>
        </w:rPr>
        <w:t xml:space="preserve"> to which</w:t>
      </w:r>
      <w:r w:rsidRPr="000348BD">
        <w:rPr>
          <w:rFonts w:ascii="Calibri" w:hAnsi="Calibri" w:cs="Calibri"/>
          <w:color w:val="000000"/>
          <w:sz w:val="22"/>
          <w:szCs w:val="22"/>
          <w:lang w:val="en-AU"/>
        </w:rPr>
        <w:t xml:space="preserve"> gender equality, disability and social inclusion (GEDSI) issues </w:t>
      </w:r>
      <w:r w:rsidR="00961585" w:rsidRPr="000348BD">
        <w:rPr>
          <w:rFonts w:ascii="Calibri" w:hAnsi="Calibri" w:cs="Calibri"/>
          <w:color w:val="000000"/>
          <w:sz w:val="22"/>
          <w:szCs w:val="22"/>
          <w:lang w:val="en-AU"/>
        </w:rPr>
        <w:t>were</w:t>
      </w:r>
      <w:r w:rsidRPr="000348BD">
        <w:rPr>
          <w:rFonts w:ascii="Calibri" w:hAnsi="Calibri" w:cs="Calibri"/>
          <w:color w:val="000000"/>
          <w:sz w:val="22"/>
          <w:szCs w:val="22"/>
          <w:lang w:val="en-AU"/>
        </w:rPr>
        <w:t xml:space="preserve"> addressed as stand-alone topics or as integral components of the partnership.</w:t>
      </w:r>
    </w:p>
    <w:p w14:paraId="00C66EF3" w14:textId="3585669C" w:rsidR="00F76090" w:rsidRPr="00C97A19" w:rsidRDefault="00F76090" w:rsidP="4EF1951E">
      <w:pPr>
        <w:pStyle w:val="Heading1"/>
        <w:rPr>
          <w:rFonts w:cs="Calibri"/>
          <w:b w:val="0"/>
          <w:bCs/>
          <w:lang w:val="en-AU"/>
        </w:rPr>
      </w:pPr>
      <w:bookmarkStart w:id="22" w:name="_Toc201131766"/>
      <w:bookmarkStart w:id="23" w:name="_Toc233724253"/>
      <w:r w:rsidRPr="00C97A19">
        <w:rPr>
          <w:rFonts w:cs="Calibri"/>
          <w:b w:val="0"/>
          <w:bCs/>
          <w:lang w:val="en-AU"/>
        </w:rPr>
        <w:t>Approach and Methodology</w:t>
      </w:r>
      <w:bookmarkEnd w:id="22"/>
      <w:bookmarkEnd w:id="23"/>
    </w:p>
    <w:p w14:paraId="3D15F8E6" w14:textId="35ED87F0" w:rsidR="00355865" w:rsidRPr="00C97A19" w:rsidRDefault="00355865" w:rsidP="00355865">
      <w:pPr>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961585" w:rsidRPr="00C97A19">
        <w:rPr>
          <w:rFonts w:ascii="Calibri" w:hAnsi="Calibri" w:cs="Calibri"/>
          <w:sz w:val="22"/>
          <w:szCs w:val="22"/>
          <w:lang w:val="en-AU"/>
        </w:rPr>
        <w:t>MTR</w:t>
      </w:r>
      <w:r w:rsidRPr="00C97A19">
        <w:rPr>
          <w:rFonts w:ascii="Calibri" w:hAnsi="Calibri" w:cs="Calibri"/>
          <w:sz w:val="22"/>
          <w:szCs w:val="22"/>
          <w:lang w:val="en-AU"/>
        </w:rPr>
        <w:t xml:space="preserve"> al</w:t>
      </w:r>
      <w:r w:rsidR="00126D14" w:rsidRPr="00C97A19">
        <w:rPr>
          <w:rFonts w:ascii="Calibri" w:hAnsi="Calibri" w:cs="Calibri"/>
          <w:sz w:val="22"/>
          <w:szCs w:val="22"/>
          <w:lang w:val="en-AU"/>
        </w:rPr>
        <w:t>igned</w:t>
      </w:r>
      <w:r w:rsidRPr="00C97A19">
        <w:rPr>
          <w:rFonts w:ascii="Calibri" w:hAnsi="Calibri" w:cs="Calibri"/>
          <w:sz w:val="22"/>
          <w:szCs w:val="22"/>
          <w:lang w:val="en-AU"/>
        </w:rPr>
        <w:t xml:space="preserve"> with DFAT’s Evaluation Policy and Design and Monitoring, Evaluation, and Learning Standards</w:t>
      </w:r>
      <w:r w:rsidRPr="00C97A19">
        <w:rPr>
          <w:rStyle w:val="FootnoteReference"/>
          <w:rFonts w:ascii="Calibri" w:hAnsi="Calibri" w:cs="Calibri"/>
          <w:sz w:val="22"/>
          <w:szCs w:val="22"/>
          <w:lang w:val="en-AU"/>
        </w:rPr>
        <w:footnoteReference w:id="7"/>
      </w:r>
      <w:r w:rsidRPr="00C97A19">
        <w:rPr>
          <w:rFonts w:ascii="Calibri" w:hAnsi="Calibri" w:cs="Calibri"/>
          <w:sz w:val="22"/>
          <w:szCs w:val="22"/>
          <w:lang w:val="en-AU"/>
        </w:rPr>
        <w:t>. Throughout</w:t>
      </w:r>
      <w:r w:rsidR="00126D14" w:rsidRPr="00C97A19">
        <w:rPr>
          <w:rFonts w:ascii="Calibri" w:hAnsi="Calibri" w:cs="Calibri"/>
          <w:sz w:val="22"/>
          <w:szCs w:val="22"/>
          <w:lang w:val="en-AU"/>
        </w:rPr>
        <w:t xml:space="preserve"> the process</w:t>
      </w:r>
      <w:r w:rsidRPr="00C97A19">
        <w:rPr>
          <w:rFonts w:ascii="Calibri" w:hAnsi="Calibri" w:cs="Calibri"/>
          <w:sz w:val="22"/>
          <w:szCs w:val="22"/>
          <w:lang w:val="en-AU"/>
        </w:rPr>
        <w:t xml:space="preserve">, </w:t>
      </w:r>
      <w:r w:rsidR="00126D14" w:rsidRPr="00C97A19">
        <w:rPr>
          <w:rFonts w:ascii="Calibri" w:hAnsi="Calibri" w:cs="Calibri"/>
          <w:sz w:val="22"/>
          <w:szCs w:val="22"/>
          <w:lang w:val="en-AU"/>
        </w:rPr>
        <w:t xml:space="preserve">the </w:t>
      </w:r>
      <w:r w:rsidR="00961585" w:rsidRPr="00C97A19">
        <w:rPr>
          <w:rFonts w:ascii="Calibri" w:hAnsi="Calibri" w:cs="Calibri"/>
          <w:sz w:val="22"/>
          <w:szCs w:val="22"/>
          <w:lang w:val="en-AU"/>
        </w:rPr>
        <w:t xml:space="preserve">MTR </w:t>
      </w:r>
      <w:r w:rsidRPr="00C97A19">
        <w:rPr>
          <w:rFonts w:ascii="Calibri" w:hAnsi="Calibri" w:cs="Calibri"/>
          <w:sz w:val="22"/>
          <w:szCs w:val="22"/>
          <w:lang w:val="en-AU"/>
        </w:rPr>
        <w:t>consider</w:t>
      </w:r>
      <w:r w:rsidR="00126D14" w:rsidRPr="00C97A19">
        <w:rPr>
          <w:rFonts w:ascii="Calibri" w:hAnsi="Calibri" w:cs="Calibri"/>
          <w:sz w:val="22"/>
          <w:szCs w:val="22"/>
          <w:lang w:val="en-AU"/>
        </w:rPr>
        <w:t>ed</w:t>
      </w:r>
      <w:r w:rsidRPr="00C97A19">
        <w:rPr>
          <w:rFonts w:ascii="Calibri" w:hAnsi="Calibri" w:cs="Calibri"/>
          <w:sz w:val="22"/>
          <w:szCs w:val="22"/>
          <w:lang w:val="en-AU"/>
        </w:rPr>
        <w:t xml:space="preserve"> both </w:t>
      </w:r>
      <w:r w:rsidR="00961585" w:rsidRPr="00C97A19">
        <w:rPr>
          <w:rFonts w:ascii="Calibri" w:hAnsi="Calibri" w:cs="Calibri"/>
          <w:sz w:val="22"/>
          <w:szCs w:val="22"/>
          <w:lang w:val="en-AU"/>
        </w:rPr>
        <w:t>V</w:t>
      </w:r>
      <w:r w:rsidRPr="00C97A19">
        <w:rPr>
          <w:rFonts w:ascii="Calibri" w:hAnsi="Calibri" w:cs="Calibri"/>
          <w:sz w:val="22"/>
          <w:szCs w:val="22"/>
          <w:lang w:val="en-AU"/>
        </w:rPr>
        <w:t xml:space="preserve">PSDP’s strategic goals and outcomes and DFAT’s specific evaluation requirements. </w:t>
      </w:r>
    </w:p>
    <w:p w14:paraId="0EFA5444" w14:textId="03409EF0" w:rsidR="00355865" w:rsidRPr="00C97A19" w:rsidRDefault="00355865" w:rsidP="00355865">
      <w:pPr>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C03508" w:rsidRPr="00C97A19">
        <w:rPr>
          <w:rFonts w:ascii="Calibri" w:hAnsi="Calibri" w:cs="Calibri"/>
          <w:sz w:val="22"/>
          <w:szCs w:val="22"/>
          <w:lang w:val="en-AU"/>
        </w:rPr>
        <w:t>MTR was primarily qualitative in nature and utilisation-focused</w:t>
      </w:r>
      <w:r w:rsidR="00A47284" w:rsidRPr="00C97A19">
        <w:rPr>
          <w:rFonts w:ascii="Calibri" w:hAnsi="Calibri" w:cs="Calibri"/>
          <w:sz w:val="22"/>
          <w:szCs w:val="22"/>
          <w:lang w:val="en-AU"/>
        </w:rPr>
        <w:t>,</w:t>
      </w:r>
      <w:r w:rsidR="00C03508" w:rsidRPr="00C97A19">
        <w:rPr>
          <w:rStyle w:val="FootnoteReference"/>
          <w:rFonts w:ascii="Calibri" w:hAnsi="Calibri" w:cs="Calibri"/>
          <w:color w:val="000000" w:themeColor="text1"/>
          <w:sz w:val="22"/>
          <w:szCs w:val="22"/>
          <w:lang w:val="en-AU"/>
        </w:rPr>
        <w:footnoteReference w:id="8"/>
      </w:r>
      <w:r w:rsidR="00C03508" w:rsidRPr="00C97A19">
        <w:rPr>
          <w:rFonts w:ascii="Calibri" w:hAnsi="Calibri" w:cs="Calibri"/>
          <w:sz w:val="22"/>
          <w:szCs w:val="22"/>
          <w:lang w:val="en-AU"/>
        </w:rPr>
        <w:t xml:space="preserve"> </w:t>
      </w:r>
      <w:r w:rsidR="00A47284" w:rsidRPr="00C97A19">
        <w:rPr>
          <w:rFonts w:ascii="Calibri" w:hAnsi="Calibri" w:cs="Calibri"/>
          <w:sz w:val="22"/>
          <w:szCs w:val="22"/>
          <w:lang w:val="en-AU"/>
        </w:rPr>
        <w:t>ensuring</w:t>
      </w:r>
      <w:r w:rsidR="00C03508" w:rsidRPr="00C97A19">
        <w:rPr>
          <w:rFonts w:ascii="Calibri" w:hAnsi="Calibri" w:cs="Calibri"/>
          <w:sz w:val="22"/>
          <w:szCs w:val="22"/>
          <w:lang w:val="en-AU"/>
        </w:rPr>
        <w:t xml:space="preserve"> it was conducted to enhance the utility of its findings and the process, </w:t>
      </w:r>
      <w:r w:rsidR="00753CEB" w:rsidRPr="00C97A19">
        <w:rPr>
          <w:rFonts w:ascii="Calibri" w:hAnsi="Calibri" w:cs="Calibri"/>
          <w:sz w:val="22"/>
          <w:szCs w:val="22"/>
          <w:lang w:val="en-AU"/>
        </w:rPr>
        <w:t>thereby</w:t>
      </w:r>
      <w:r w:rsidR="00C03508" w:rsidRPr="00C97A19">
        <w:rPr>
          <w:rFonts w:ascii="Calibri" w:hAnsi="Calibri" w:cs="Calibri"/>
          <w:sz w:val="22"/>
          <w:szCs w:val="22"/>
          <w:lang w:val="en-AU"/>
        </w:rPr>
        <w:t xml:space="preserve"> inform</w:t>
      </w:r>
      <w:r w:rsidR="00753CEB" w:rsidRPr="00C97A19">
        <w:rPr>
          <w:rFonts w:ascii="Calibri" w:hAnsi="Calibri" w:cs="Calibri"/>
          <w:sz w:val="22"/>
          <w:szCs w:val="22"/>
          <w:lang w:val="en-AU"/>
        </w:rPr>
        <w:t>ing</w:t>
      </w:r>
      <w:r w:rsidR="00C03508" w:rsidRPr="00C97A19">
        <w:rPr>
          <w:rFonts w:ascii="Calibri" w:hAnsi="Calibri" w:cs="Calibri"/>
          <w:sz w:val="22"/>
          <w:szCs w:val="22"/>
          <w:lang w:val="en-AU"/>
        </w:rPr>
        <w:t xml:space="preserve"> decisions and </w:t>
      </w:r>
      <w:r w:rsidR="00753CEB" w:rsidRPr="00C97A19">
        <w:rPr>
          <w:rFonts w:ascii="Calibri" w:hAnsi="Calibri" w:cs="Calibri"/>
          <w:sz w:val="22"/>
          <w:szCs w:val="22"/>
          <w:lang w:val="en-AU"/>
        </w:rPr>
        <w:t>improving</w:t>
      </w:r>
      <w:r w:rsidRPr="00C97A19">
        <w:rPr>
          <w:rFonts w:ascii="Calibri" w:hAnsi="Calibri" w:cs="Calibri"/>
          <w:sz w:val="22"/>
          <w:szCs w:val="22"/>
          <w:lang w:val="en-AU"/>
        </w:rPr>
        <w:t xml:space="preserve"> outcomes. </w:t>
      </w:r>
    </w:p>
    <w:p w14:paraId="347F7DD6" w14:textId="3D231B03" w:rsidR="00355865" w:rsidRPr="00C97A19" w:rsidRDefault="00355865" w:rsidP="00355865">
      <w:pPr>
        <w:spacing w:after="120"/>
        <w:jc w:val="both"/>
        <w:rPr>
          <w:rFonts w:ascii="Calibri" w:hAnsi="Calibri" w:cs="Calibri"/>
          <w:sz w:val="22"/>
          <w:szCs w:val="22"/>
          <w:lang w:val="en-AU"/>
        </w:rPr>
      </w:pPr>
      <w:r w:rsidRPr="00C97A19">
        <w:rPr>
          <w:rFonts w:ascii="Calibri" w:hAnsi="Calibri" w:cs="Calibri"/>
          <w:sz w:val="22"/>
          <w:szCs w:val="22"/>
          <w:lang w:val="en-AU"/>
        </w:rPr>
        <w:t>The utilisation-focused approach involve</w:t>
      </w:r>
      <w:r w:rsidR="00280B2C" w:rsidRPr="00C97A19">
        <w:rPr>
          <w:rFonts w:ascii="Calibri" w:hAnsi="Calibri" w:cs="Calibri"/>
          <w:sz w:val="22"/>
          <w:szCs w:val="22"/>
          <w:lang w:val="en-AU"/>
        </w:rPr>
        <w:t>d</w:t>
      </w:r>
      <w:r w:rsidRPr="00C97A19">
        <w:rPr>
          <w:rFonts w:ascii="Calibri" w:hAnsi="Calibri" w:cs="Calibri"/>
          <w:sz w:val="22"/>
          <w:szCs w:val="22"/>
          <w:lang w:val="en-AU"/>
        </w:rPr>
        <w:t xml:space="preserve"> three steps. First, the </w:t>
      </w:r>
      <w:r w:rsidR="00961585" w:rsidRPr="00C97A19">
        <w:rPr>
          <w:rFonts w:ascii="Calibri" w:hAnsi="Calibri" w:cs="Calibri"/>
          <w:sz w:val="22"/>
          <w:szCs w:val="22"/>
          <w:lang w:val="en-AU"/>
        </w:rPr>
        <w:t>MTR</w:t>
      </w:r>
      <w:r w:rsidRPr="00C97A19">
        <w:rPr>
          <w:rFonts w:ascii="Calibri" w:hAnsi="Calibri" w:cs="Calibri"/>
          <w:sz w:val="22"/>
          <w:szCs w:val="22"/>
          <w:lang w:val="en-AU"/>
        </w:rPr>
        <w:t xml:space="preserve"> analyse</w:t>
      </w:r>
      <w:r w:rsidR="00280B2C" w:rsidRPr="00C97A19">
        <w:rPr>
          <w:rFonts w:ascii="Calibri" w:hAnsi="Calibri" w:cs="Calibri"/>
          <w:sz w:val="22"/>
          <w:szCs w:val="22"/>
          <w:lang w:val="en-AU"/>
        </w:rPr>
        <w:t>d</w:t>
      </w:r>
      <w:r w:rsidRPr="00C97A19">
        <w:rPr>
          <w:rFonts w:ascii="Calibri" w:hAnsi="Calibri" w:cs="Calibri"/>
          <w:sz w:val="22"/>
          <w:szCs w:val="22"/>
          <w:lang w:val="en-AU"/>
        </w:rPr>
        <w:t xml:space="preserve"> the primary stakeholders, including their specific information needs (</w:t>
      </w:r>
      <w:r w:rsidR="00C03508" w:rsidRPr="00C97A19">
        <w:rPr>
          <w:rFonts w:ascii="Calibri" w:hAnsi="Calibri" w:cs="Calibri"/>
          <w:sz w:val="22"/>
          <w:szCs w:val="22"/>
          <w:lang w:val="en-AU"/>
        </w:rPr>
        <w:t>e.g.,</w:t>
      </w:r>
      <w:r w:rsidRPr="00C97A19">
        <w:rPr>
          <w:rFonts w:ascii="Calibri" w:hAnsi="Calibri" w:cs="Calibri"/>
          <w:sz w:val="22"/>
          <w:szCs w:val="22"/>
          <w:lang w:val="en-AU"/>
        </w:rPr>
        <w:t xml:space="preserve"> through in-depth inception briefings with</w:t>
      </w:r>
      <w:r w:rsidR="00E024D3" w:rsidRPr="00C97A19">
        <w:rPr>
          <w:rFonts w:ascii="Calibri" w:hAnsi="Calibri" w:cs="Calibri"/>
          <w:sz w:val="22"/>
          <w:szCs w:val="22"/>
          <w:lang w:val="en-AU"/>
        </w:rPr>
        <w:t xml:space="preserve"> </w:t>
      </w:r>
      <w:r w:rsidRPr="00C97A19">
        <w:rPr>
          <w:rFonts w:ascii="Calibri" w:hAnsi="Calibri" w:cs="Calibri"/>
          <w:sz w:val="22"/>
          <w:szCs w:val="22"/>
          <w:lang w:val="en-AU"/>
        </w:rPr>
        <w:t xml:space="preserve">IFC and DFAT) and </w:t>
      </w:r>
      <w:r w:rsidR="00753CEB" w:rsidRPr="00C97A19">
        <w:rPr>
          <w:rFonts w:ascii="Calibri" w:hAnsi="Calibri" w:cs="Calibri"/>
          <w:sz w:val="22"/>
          <w:szCs w:val="22"/>
          <w:lang w:val="en-AU"/>
        </w:rPr>
        <w:t>the</w:t>
      </w:r>
      <w:r w:rsidRPr="00C97A19">
        <w:rPr>
          <w:rFonts w:ascii="Calibri" w:hAnsi="Calibri" w:cs="Calibri"/>
          <w:sz w:val="22"/>
          <w:szCs w:val="22"/>
          <w:lang w:val="en-AU"/>
        </w:rPr>
        <w:t xml:space="preserve"> </w:t>
      </w:r>
      <w:r w:rsidR="00C03508" w:rsidRPr="00C97A19">
        <w:rPr>
          <w:rFonts w:ascii="Calibri" w:hAnsi="Calibri" w:cs="Calibri"/>
          <w:sz w:val="22"/>
          <w:szCs w:val="22"/>
          <w:lang w:val="en-AU"/>
        </w:rPr>
        <w:t>most</w:t>
      </w:r>
      <w:r w:rsidRPr="00C97A19">
        <w:rPr>
          <w:rFonts w:ascii="Calibri" w:hAnsi="Calibri" w:cs="Calibri"/>
          <w:sz w:val="22"/>
          <w:szCs w:val="22"/>
          <w:lang w:val="en-AU"/>
        </w:rPr>
        <w:t xml:space="preserve"> </w:t>
      </w:r>
      <w:r w:rsidR="00C03508" w:rsidRPr="00C97A19">
        <w:rPr>
          <w:rFonts w:ascii="Calibri" w:hAnsi="Calibri" w:cs="Calibri"/>
          <w:sz w:val="22"/>
          <w:szCs w:val="22"/>
          <w:lang w:val="en-AU"/>
        </w:rPr>
        <w:t>effectiv</w:t>
      </w:r>
      <w:r w:rsidRPr="00C97A19">
        <w:rPr>
          <w:rFonts w:ascii="Calibri" w:hAnsi="Calibri" w:cs="Calibri"/>
          <w:sz w:val="22"/>
          <w:szCs w:val="22"/>
          <w:lang w:val="en-AU"/>
        </w:rPr>
        <w:t xml:space="preserve">e </w:t>
      </w:r>
      <w:r w:rsidR="00C03508" w:rsidRPr="00C97A19">
        <w:rPr>
          <w:rFonts w:ascii="Calibri" w:hAnsi="Calibri" w:cs="Calibri"/>
          <w:sz w:val="22"/>
          <w:szCs w:val="22"/>
          <w:lang w:val="en-AU"/>
        </w:rPr>
        <w:t>way</w:t>
      </w:r>
      <w:r w:rsidRPr="00C97A19">
        <w:rPr>
          <w:rFonts w:ascii="Calibri" w:hAnsi="Calibri" w:cs="Calibri"/>
          <w:sz w:val="22"/>
          <w:szCs w:val="22"/>
          <w:lang w:val="en-AU"/>
        </w:rPr>
        <w:t xml:space="preserve"> </w:t>
      </w:r>
      <w:r w:rsidR="00C03508" w:rsidRPr="00C97A19">
        <w:rPr>
          <w:rFonts w:ascii="Calibri" w:hAnsi="Calibri" w:cs="Calibri"/>
          <w:sz w:val="22"/>
          <w:szCs w:val="22"/>
          <w:lang w:val="en-AU"/>
        </w:rPr>
        <w:t>to communicate</w:t>
      </w:r>
      <w:r w:rsidRPr="00C97A19">
        <w:rPr>
          <w:rFonts w:ascii="Calibri" w:hAnsi="Calibri" w:cs="Calibri"/>
          <w:sz w:val="22"/>
          <w:szCs w:val="22"/>
          <w:lang w:val="en-AU"/>
        </w:rPr>
        <w:t xml:space="preserve"> with each stakeholder group. Second, the </w:t>
      </w:r>
      <w:r w:rsidR="00961585" w:rsidRPr="00C97A19">
        <w:rPr>
          <w:rFonts w:ascii="Calibri" w:hAnsi="Calibri" w:cs="Calibri"/>
          <w:sz w:val="22"/>
          <w:szCs w:val="22"/>
          <w:lang w:val="en-AU"/>
        </w:rPr>
        <w:t xml:space="preserve">MTR </w:t>
      </w:r>
      <w:r w:rsidRPr="00C97A19">
        <w:rPr>
          <w:rFonts w:ascii="Calibri" w:hAnsi="Calibri" w:cs="Calibri"/>
          <w:sz w:val="22"/>
          <w:szCs w:val="22"/>
          <w:lang w:val="en-AU"/>
        </w:rPr>
        <w:t>ensure</w:t>
      </w:r>
      <w:r w:rsidR="00280B2C" w:rsidRPr="00C97A19">
        <w:rPr>
          <w:rFonts w:ascii="Calibri" w:hAnsi="Calibri" w:cs="Calibri"/>
          <w:sz w:val="22"/>
          <w:szCs w:val="22"/>
          <w:lang w:val="en-AU"/>
        </w:rPr>
        <w:t>d</w:t>
      </w:r>
      <w:r w:rsidRPr="00C97A19">
        <w:rPr>
          <w:rFonts w:ascii="Calibri" w:hAnsi="Calibri" w:cs="Calibri"/>
          <w:sz w:val="22"/>
          <w:szCs w:val="22"/>
          <w:lang w:val="en-AU"/>
        </w:rPr>
        <w:t xml:space="preserve"> that primary stakeholders </w:t>
      </w:r>
      <w:r w:rsidR="00280B2C" w:rsidRPr="00C97A19">
        <w:rPr>
          <w:rFonts w:ascii="Calibri" w:hAnsi="Calibri" w:cs="Calibri"/>
          <w:sz w:val="22"/>
          <w:szCs w:val="22"/>
          <w:lang w:val="en-AU"/>
        </w:rPr>
        <w:t>understood</w:t>
      </w:r>
      <w:r w:rsidRPr="00C97A19">
        <w:rPr>
          <w:rFonts w:ascii="Calibri" w:hAnsi="Calibri" w:cs="Calibri"/>
          <w:sz w:val="22"/>
          <w:szCs w:val="22"/>
          <w:lang w:val="en-AU"/>
        </w:rPr>
        <w:t xml:space="preserve"> the evaluation approach, the strengths and limitations of the generated</w:t>
      </w:r>
      <w:r w:rsidR="00AB362B" w:rsidRPr="00C97A19">
        <w:rPr>
          <w:rFonts w:ascii="Calibri" w:hAnsi="Calibri" w:cs="Calibri"/>
          <w:sz w:val="22"/>
          <w:szCs w:val="22"/>
          <w:lang w:val="en-AU"/>
        </w:rPr>
        <w:t xml:space="preserve"> evidence</w:t>
      </w:r>
      <w:r w:rsidRPr="00C97A19">
        <w:rPr>
          <w:rFonts w:ascii="Calibri" w:hAnsi="Calibri" w:cs="Calibri"/>
          <w:sz w:val="22"/>
          <w:szCs w:val="22"/>
          <w:lang w:val="en-AU"/>
        </w:rPr>
        <w:t xml:space="preserve">, and how to interpret </w:t>
      </w:r>
      <w:r w:rsidR="00AB362B" w:rsidRPr="00C97A19">
        <w:rPr>
          <w:rFonts w:ascii="Calibri" w:hAnsi="Calibri" w:cs="Calibri"/>
          <w:sz w:val="22"/>
          <w:szCs w:val="22"/>
          <w:lang w:val="en-AU"/>
        </w:rPr>
        <w:t xml:space="preserve">the </w:t>
      </w:r>
      <w:r w:rsidRPr="00C97A19">
        <w:rPr>
          <w:rFonts w:ascii="Calibri" w:hAnsi="Calibri" w:cs="Calibri"/>
          <w:sz w:val="22"/>
          <w:szCs w:val="22"/>
          <w:lang w:val="en-AU"/>
        </w:rPr>
        <w:t xml:space="preserve">findings. Third, the </w:t>
      </w:r>
      <w:r w:rsidR="00961585" w:rsidRPr="00C97A19">
        <w:rPr>
          <w:rFonts w:ascii="Calibri" w:hAnsi="Calibri" w:cs="Calibri"/>
          <w:sz w:val="22"/>
          <w:szCs w:val="22"/>
          <w:lang w:val="en-AU"/>
        </w:rPr>
        <w:t xml:space="preserve">MTR </w:t>
      </w:r>
      <w:r w:rsidRPr="00C97A19">
        <w:rPr>
          <w:rFonts w:ascii="Calibri" w:hAnsi="Calibri" w:cs="Calibri"/>
          <w:sz w:val="22"/>
          <w:szCs w:val="22"/>
          <w:lang w:val="en-AU"/>
        </w:rPr>
        <w:t>ensure</w:t>
      </w:r>
      <w:r w:rsidR="00280B2C" w:rsidRPr="00C97A19">
        <w:rPr>
          <w:rFonts w:ascii="Calibri" w:hAnsi="Calibri" w:cs="Calibri"/>
          <w:sz w:val="22"/>
          <w:szCs w:val="22"/>
          <w:lang w:val="en-AU"/>
        </w:rPr>
        <w:t>d</w:t>
      </w:r>
      <w:r w:rsidRPr="00C97A19">
        <w:rPr>
          <w:rFonts w:ascii="Calibri" w:hAnsi="Calibri" w:cs="Calibri"/>
          <w:sz w:val="22"/>
          <w:szCs w:val="22"/>
          <w:lang w:val="en-AU"/>
        </w:rPr>
        <w:t xml:space="preserve"> that the evaluation objectives and </w:t>
      </w:r>
      <w:r w:rsidRPr="00C97A19">
        <w:rPr>
          <w:rFonts w:ascii="Calibri" w:hAnsi="Calibri" w:cs="Calibri"/>
          <w:sz w:val="22"/>
          <w:szCs w:val="22"/>
          <w:lang w:val="en-AU"/>
        </w:rPr>
        <w:lastRenderedPageBreak/>
        <w:t>questions address</w:t>
      </w:r>
      <w:r w:rsidR="00AB362B" w:rsidRPr="00C97A19">
        <w:rPr>
          <w:rFonts w:ascii="Calibri" w:hAnsi="Calibri" w:cs="Calibri"/>
          <w:sz w:val="22"/>
          <w:szCs w:val="22"/>
          <w:lang w:val="en-AU"/>
        </w:rPr>
        <w:t>ed</w:t>
      </w:r>
      <w:r w:rsidRPr="00C97A19">
        <w:rPr>
          <w:rFonts w:ascii="Calibri" w:hAnsi="Calibri" w:cs="Calibri"/>
          <w:sz w:val="22"/>
          <w:szCs w:val="22"/>
          <w:lang w:val="en-AU"/>
        </w:rPr>
        <w:t xml:space="preserve"> stakeholders' priority information needs. Primary stakeholders include</w:t>
      </w:r>
      <w:r w:rsidR="00280B2C" w:rsidRPr="00C97A19">
        <w:rPr>
          <w:rFonts w:ascii="Calibri" w:hAnsi="Calibri" w:cs="Calibri"/>
          <w:sz w:val="22"/>
          <w:szCs w:val="22"/>
          <w:lang w:val="en-AU"/>
        </w:rPr>
        <w:t>d</w:t>
      </w:r>
      <w:r w:rsidRPr="00C97A19">
        <w:rPr>
          <w:rFonts w:ascii="Calibri" w:hAnsi="Calibri" w:cs="Calibri"/>
          <w:sz w:val="22"/>
          <w:szCs w:val="22"/>
          <w:lang w:val="en-AU"/>
        </w:rPr>
        <w:t xml:space="preserve"> DFAT,</w:t>
      </w:r>
      <w:r w:rsidR="006C6428" w:rsidRPr="00C97A19">
        <w:rPr>
          <w:rFonts w:ascii="Calibri" w:hAnsi="Calibri" w:cs="Calibri"/>
          <w:sz w:val="22"/>
          <w:szCs w:val="22"/>
          <w:lang w:val="en-AU"/>
        </w:rPr>
        <w:t xml:space="preserve"> </w:t>
      </w:r>
      <w:r w:rsidRPr="00C97A19">
        <w:rPr>
          <w:rFonts w:ascii="Calibri" w:hAnsi="Calibri" w:cs="Calibri"/>
          <w:sz w:val="22"/>
          <w:szCs w:val="22"/>
          <w:lang w:val="en-AU"/>
        </w:rPr>
        <w:t xml:space="preserve">IFC, </w:t>
      </w:r>
      <w:r w:rsidR="00961585" w:rsidRPr="00C97A19">
        <w:rPr>
          <w:rFonts w:ascii="Calibri" w:hAnsi="Calibri" w:cs="Calibri"/>
          <w:sz w:val="22"/>
          <w:szCs w:val="22"/>
          <w:lang w:val="en-AU"/>
        </w:rPr>
        <w:t xml:space="preserve">and </w:t>
      </w:r>
      <w:r w:rsidRPr="00C97A19">
        <w:rPr>
          <w:rFonts w:ascii="Calibri" w:hAnsi="Calibri" w:cs="Calibri"/>
          <w:sz w:val="22"/>
          <w:szCs w:val="22"/>
          <w:lang w:val="en-AU"/>
        </w:rPr>
        <w:t xml:space="preserve">implementing project partners and </w:t>
      </w:r>
      <w:r w:rsidR="00961585" w:rsidRPr="00C97A19">
        <w:rPr>
          <w:rFonts w:ascii="Calibri" w:hAnsi="Calibri" w:cs="Calibri"/>
          <w:sz w:val="22"/>
          <w:szCs w:val="22"/>
          <w:lang w:val="en-AU"/>
        </w:rPr>
        <w:t xml:space="preserve">clients. </w:t>
      </w:r>
    </w:p>
    <w:p w14:paraId="1A0B3903" w14:textId="30CE56F2" w:rsidR="00355865" w:rsidRPr="00C97A19" w:rsidRDefault="00355865" w:rsidP="00355865">
      <w:pPr>
        <w:pStyle w:val="BodyText"/>
        <w:jc w:val="both"/>
        <w:rPr>
          <w:rFonts w:cs="Calibri"/>
          <w:szCs w:val="22"/>
          <w:lang w:val="en-AU"/>
        </w:rPr>
      </w:pPr>
      <w:r w:rsidRPr="00C97A19">
        <w:rPr>
          <w:rFonts w:cs="Calibri"/>
          <w:szCs w:val="22"/>
          <w:lang w:val="en-AU"/>
        </w:rPr>
        <w:t xml:space="preserve">The </w:t>
      </w:r>
      <w:r w:rsidR="00961585" w:rsidRPr="00C97A19">
        <w:rPr>
          <w:rFonts w:cs="Calibri"/>
          <w:szCs w:val="22"/>
          <w:lang w:val="en-AU"/>
        </w:rPr>
        <w:t>MTR</w:t>
      </w:r>
      <w:r w:rsidRPr="00C97A19">
        <w:rPr>
          <w:rFonts w:cs="Calibri"/>
          <w:szCs w:val="22"/>
          <w:lang w:val="en-AU"/>
        </w:rPr>
        <w:t xml:space="preserve"> </w:t>
      </w:r>
      <w:r w:rsidR="00280B2C" w:rsidRPr="00C97A19">
        <w:rPr>
          <w:rFonts w:cs="Calibri"/>
          <w:szCs w:val="22"/>
          <w:lang w:val="en-AU"/>
        </w:rPr>
        <w:t>commenced</w:t>
      </w:r>
      <w:r w:rsidRPr="00C97A19">
        <w:rPr>
          <w:rFonts w:cs="Calibri"/>
          <w:szCs w:val="22"/>
          <w:lang w:val="en-AU"/>
        </w:rPr>
        <w:t xml:space="preserve"> with a series of activities to clarify the scope and approach, including: </w:t>
      </w:r>
    </w:p>
    <w:p w14:paraId="7ACBD823" w14:textId="732CAA6F" w:rsidR="006C6428" w:rsidRPr="00C97A19" w:rsidRDefault="006C6428" w:rsidP="006C6428">
      <w:pPr>
        <w:pStyle w:val="BodyText"/>
        <w:numPr>
          <w:ilvl w:val="0"/>
          <w:numId w:val="4"/>
        </w:numPr>
        <w:jc w:val="both"/>
        <w:rPr>
          <w:rFonts w:cs="Calibri"/>
          <w:szCs w:val="22"/>
          <w:lang w:val="en-AU"/>
        </w:rPr>
      </w:pPr>
      <w:r w:rsidRPr="00C97A19">
        <w:rPr>
          <w:rFonts w:cs="Calibri"/>
          <w:b/>
          <w:szCs w:val="22"/>
          <w:lang w:val="en-AU"/>
        </w:rPr>
        <w:t>Identification of key stakeholders</w:t>
      </w:r>
      <w:r w:rsidRPr="00C97A19">
        <w:rPr>
          <w:rFonts w:cs="Calibri"/>
          <w:szCs w:val="22"/>
          <w:lang w:val="en-AU"/>
        </w:rPr>
        <w:t xml:space="preserve"> for consultation and early analysis of their roles and relationships regarding program implementation and management. Annex 2 lists people engaged </w:t>
      </w:r>
      <w:r w:rsidR="00582A26" w:rsidRPr="00C97A19">
        <w:rPr>
          <w:rFonts w:cs="Calibri"/>
          <w:szCs w:val="22"/>
          <w:lang w:val="en-AU"/>
        </w:rPr>
        <w:t xml:space="preserve">in the MTR </w:t>
      </w:r>
      <w:r w:rsidRPr="00C97A19">
        <w:rPr>
          <w:rFonts w:cs="Calibri"/>
          <w:szCs w:val="22"/>
          <w:lang w:val="en-AU"/>
        </w:rPr>
        <w:t>through Key Informant Interviews (KIIs)</w:t>
      </w:r>
      <w:r w:rsidR="00582A26" w:rsidRPr="00C97A19">
        <w:rPr>
          <w:rFonts w:cs="Calibri"/>
          <w:szCs w:val="22"/>
          <w:lang w:val="en-AU"/>
        </w:rPr>
        <w:t xml:space="preserve"> and group discussions</w:t>
      </w:r>
      <w:r w:rsidRPr="00C97A19">
        <w:rPr>
          <w:rFonts w:cs="Calibri"/>
          <w:szCs w:val="22"/>
          <w:lang w:val="en-AU"/>
        </w:rPr>
        <w:t>.</w:t>
      </w:r>
    </w:p>
    <w:p w14:paraId="3B96D965" w14:textId="1673E469" w:rsidR="00355865" w:rsidRPr="00C97A19" w:rsidRDefault="00355865" w:rsidP="00355865">
      <w:pPr>
        <w:pStyle w:val="BodyText"/>
        <w:numPr>
          <w:ilvl w:val="0"/>
          <w:numId w:val="4"/>
        </w:numPr>
        <w:jc w:val="both"/>
        <w:rPr>
          <w:rFonts w:cs="Calibri"/>
          <w:szCs w:val="22"/>
          <w:lang w:val="en-AU"/>
        </w:rPr>
      </w:pPr>
      <w:r w:rsidRPr="00C97A19">
        <w:rPr>
          <w:rFonts w:cs="Calibri"/>
          <w:szCs w:val="22"/>
          <w:lang w:val="en-AU"/>
        </w:rPr>
        <w:t xml:space="preserve">A </w:t>
      </w:r>
      <w:r w:rsidRPr="00C97A19">
        <w:rPr>
          <w:rFonts w:cs="Calibri"/>
          <w:b/>
          <w:szCs w:val="22"/>
          <w:lang w:val="en-AU"/>
        </w:rPr>
        <w:t>scan of available documentation</w:t>
      </w:r>
      <w:r w:rsidRPr="00C97A19">
        <w:rPr>
          <w:rFonts w:cs="Calibri"/>
          <w:szCs w:val="22"/>
          <w:lang w:val="en-AU"/>
        </w:rPr>
        <w:t xml:space="preserve"> and </w:t>
      </w:r>
      <w:r w:rsidR="006C6428" w:rsidRPr="00C97A19">
        <w:rPr>
          <w:rFonts w:cs="Calibri"/>
          <w:szCs w:val="22"/>
          <w:lang w:val="en-AU"/>
        </w:rPr>
        <w:t xml:space="preserve">an </w:t>
      </w:r>
      <w:r w:rsidRPr="00C97A19">
        <w:rPr>
          <w:rFonts w:cs="Calibri"/>
          <w:szCs w:val="22"/>
          <w:lang w:val="en-AU"/>
        </w:rPr>
        <w:t xml:space="preserve">in-depth analysis of key documents, including the </w:t>
      </w:r>
      <w:r w:rsidR="00582A26" w:rsidRPr="00C97A19">
        <w:rPr>
          <w:rFonts w:cs="Calibri"/>
          <w:szCs w:val="22"/>
          <w:lang w:val="en-AU"/>
        </w:rPr>
        <w:t>V</w:t>
      </w:r>
      <w:r w:rsidRPr="00C97A19">
        <w:rPr>
          <w:rFonts w:cs="Calibri"/>
          <w:szCs w:val="22"/>
          <w:lang w:val="en-AU"/>
        </w:rPr>
        <w:t xml:space="preserve">PSDP </w:t>
      </w:r>
      <w:r w:rsidR="00582A26" w:rsidRPr="00C97A19">
        <w:rPr>
          <w:rFonts w:cs="Calibri"/>
          <w:szCs w:val="22"/>
          <w:lang w:val="en-AU"/>
        </w:rPr>
        <w:t>investment design</w:t>
      </w:r>
      <w:r w:rsidRPr="00C97A19">
        <w:rPr>
          <w:rFonts w:cs="Calibri"/>
          <w:szCs w:val="22"/>
          <w:lang w:val="en-AU"/>
        </w:rPr>
        <w:t>, partnership agreements, and key program reports to date, and to identify key issues and stakeholders for the evaluation.</w:t>
      </w:r>
      <w:r w:rsidR="006C6428" w:rsidRPr="00C97A19">
        <w:rPr>
          <w:rFonts w:cs="Calibri"/>
          <w:szCs w:val="22"/>
          <w:lang w:val="en-AU"/>
        </w:rPr>
        <w:t xml:space="preserve"> Annex 3 </w:t>
      </w:r>
      <w:r w:rsidR="00582A26" w:rsidRPr="00C97A19">
        <w:rPr>
          <w:rFonts w:cs="Calibri"/>
          <w:szCs w:val="22"/>
          <w:lang w:val="en-AU"/>
        </w:rPr>
        <w:t>lists</w:t>
      </w:r>
      <w:r w:rsidR="006C6428" w:rsidRPr="00C97A19">
        <w:rPr>
          <w:rFonts w:cs="Calibri"/>
          <w:szCs w:val="22"/>
          <w:lang w:val="en-AU"/>
        </w:rPr>
        <w:t xml:space="preserve"> all documents reviewed.</w:t>
      </w:r>
    </w:p>
    <w:p w14:paraId="251EBF1A" w14:textId="78D0F5E0" w:rsidR="00355865" w:rsidRPr="00C97A19" w:rsidRDefault="00355865" w:rsidP="00355865">
      <w:pPr>
        <w:pStyle w:val="BodyText"/>
        <w:numPr>
          <w:ilvl w:val="0"/>
          <w:numId w:val="4"/>
        </w:numPr>
        <w:jc w:val="both"/>
        <w:rPr>
          <w:rFonts w:cs="Calibri"/>
          <w:szCs w:val="22"/>
          <w:lang w:val="en-AU"/>
        </w:rPr>
      </w:pPr>
      <w:r w:rsidRPr="00C97A19">
        <w:rPr>
          <w:rFonts w:cs="Calibri"/>
          <w:b/>
          <w:szCs w:val="22"/>
          <w:lang w:val="en-AU"/>
        </w:rPr>
        <w:t>Liais</w:t>
      </w:r>
      <w:r w:rsidR="00582A26" w:rsidRPr="00C97A19">
        <w:rPr>
          <w:rFonts w:cs="Calibri"/>
          <w:b/>
          <w:szCs w:val="22"/>
          <w:lang w:val="en-AU"/>
        </w:rPr>
        <w:t>ing</w:t>
      </w:r>
      <w:r w:rsidRPr="00C97A19">
        <w:rPr>
          <w:rFonts w:cs="Calibri"/>
          <w:b/>
          <w:szCs w:val="22"/>
          <w:lang w:val="en-AU"/>
        </w:rPr>
        <w:t xml:space="preserve"> with IFC and DFAT</w:t>
      </w:r>
      <w:r w:rsidRPr="00C97A19">
        <w:rPr>
          <w:rFonts w:cs="Calibri"/>
          <w:szCs w:val="22"/>
          <w:lang w:val="en-AU"/>
        </w:rPr>
        <w:t xml:space="preserve"> to clarify the </w:t>
      </w:r>
      <w:r w:rsidR="00582A26" w:rsidRPr="00C97A19">
        <w:rPr>
          <w:rFonts w:cs="Calibri"/>
          <w:szCs w:val="22"/>
          <w:lang w:val="en-AU"/>
        </w:rPr>
        <w:t>MTR</w:t>
      </w:r>
      <w:r w:rsidRPr="00C97A19">
        <w:rPr>
          <w:rFonts w:cs="Calibri"/>
          <w:szCs w:val="22"/>
          <w:lang w:val="en-AU"/>
        </w:rPr>
        <w:t>'s intent, prioritise questions</w:t>
      </w:r>
      <w:r w:rsidR="00582A26" w:rsidRPr="00C97A19">
        <w:rPr>
          <w:rFonts w:cs="Calibri"/>
          <w:szCs w:val="22"/>
          <w:lang w:val="en-AU"/>
        </w:rPr>
        <w:t>,</w:t>
      </w:r>
      <w:r w:rsidRPr="00C97A19">
        <w:rPr>
          <w:rFonts w:cs="Calibri"/>
          <w:szCs w:val="22"/>
          <w:lang w:val="en-AU"/>
        </w:rPr>
        <w:t xml:space="preserve"> and identify factors to </w:t>
      </w:r>
      <w:r w:rsidR="00582A26" w:rsidRPr="00C97A19">
        <w:rPr>
          <w:rFonts w:cs="Calibri"/>
          <w:szCs w:val="22"/>
          <w:lang w:val="en-AU"/>
        </w:rPr>
        <w:t>consider</w:t>
      </w:r>
      <w:r w:rsidRPr="00C97A19">
        <w:rPr>
          <w:rFonts w:cs="Calibri"/>
          <w:szCs w:val="22"/>
          <w:lang w:val="en-AU"/>
        </w:rPr>
        <w:t xml:space="preserve"> during data collection and reporting. The briefings also help</w:t>
      </w:r>
      <w:r w:rsidR="00F36268" w:rsidRPr="00C97A19">
        <w:rPr>
          <w:rFonts w:cs="Calibri"/>
          <w:szCs w:val="22"/>
          <w:lang w:val="en-AU"/>
        </w:rPr>
        <w:t>ed</w:t>
      </w:r>
      <w:r w:rsidRPr="00C97A19">
        <w:rPr>
          <w:rFonts w:cs="Calibri"/>
          <w:szCs w:val="22"/>
          <w:lang w:val="en-AU"/>
        </w:rPr>
        <w:t xml:space="preserve"> the evaluation </w:t>
      </w:r>
      <w:r w:rsidR="00582A26" w:rsidRPr="00C97A19">
        <w:rPr>
          <w:rFonts w:cs="Calibri"/>
          <w:szCs w:val="22"/>
          <w:lang w:val="en-AU"/>
        </w:rPr>
        <w:t>identify</w:t>
      </w:r>
      <w:r w:rsidRPr="00C97A19">
        <w:rPr>
          <w:rFonts w:cs="Calibri"/>
          <w:szCs w:val="22"/>
          <w:lang w:val="en-AU"/>
        </w:rPr>
        <w:t xml:space="preserve"> key issues to </w:t>
      </w:r>
      <w:r w:rsidR="00582A26" w:rsidRPr="00C97A19">
        <w:rPr>
          <w:rFonts w:cs="Calibri"/>
          <w:szCs w:val="22"/>
          <w:lang w:val="en-AU"/>
        </w:rPr>
        <w:t>address</w:t>
      </w:r>
      <w:r w:rsidRPr="00C97A19">
        <w:rPr>
          <w:rFonts w:cs="Calibri"/>
          <w:szCs w:val="22"/>
          <w:lang w:val="en-AU"/>
        </w:rPr>
        <w:t xml:space="preserve"> and practical considerations for data collection and stakeholder engagement.</w:t>
      </w:r>
    </w:p>
    <w:p w14:paraId="2795FFE5" w14:textId="17CDA0A6" w:rsidR="00355865" w:rsidRPr="00C97A19" w:rsidRDefault="00355865" w:rsidP="00355865">
      <w:pPr>
        <w:pStyle w:val="BodyText"/>
        <w:numPr>
          <w:ilvl w:val="0"/>
          <w:numId w:val="4"/>
        </w:numPr>
        <w:jc w:val="both"/>
        <w:rPr>
          <w:rFonts w:cs="Calibri"/>
          <w:szCs w:val="22"/>
          <w:lang w:val="en-AU"/>
        </w:rPr>
      </w:pPr>
      <w:r w:rsidRPr="00C97A19">
        <w:rPr>
          <w:rFonts w:cs="Calibri"/>
          <w:b/>
          <w:szCs w:val="22"/>
          <w:lang w:val="en-AU"/>
        </w:rPr>
        <w:t>Agreement of Key Evaluation Questions (KEQs)</w:t>
      </w:r>
      <w:r w:rsidRPr="00C97A19">
        <w:rPr>
          <w:rFonts w:cs="Calibri"/>
          <w:szCs w:val="22"/>
          <w:lang w:val="en-AU"/>
        </w:rPr>
        <w:t xml:space="preserve"> and </w:t>
      </w:r>
      <w:r w:rsidR="00955502" w:rsidRPr="00C97A19">
        <w:rPr>
          <w:rFonts w:cs="Calibri"/>
          <w:szCs w:val="22"/>
          <w:lang w:val="en-AU"/>
        </w:rPr>
        <w:t>relevant</w:t>
      </w:r>
      <w:r w:rsidR="00582A26" w:rsidRPr="00C97A19">
        <w:rPr>
          <w:rFonts w:cs="Calibri"/>
          <w:szCs w:val="22"/>
          <w:lang w:val="en-AU"/>
        </w:rPr>
        <w:t xml:space="preserve"> secondary questions</w:t>
      </w:r>
      <w:r w:rsidRPr="00C97A19">
        <w:rPr>
          <w:rFonts w:cs="Calibri"/>
          <w:szCs w:val="22"/>
          <w:lang w:val="en-AU"/>
        </w:rPr>
        <w:t xml:space="preserve"> against the evaluation criteria, as well as an indication of how these are expected to be answered from multiple sources. </w:t>
      </w:r>
    </w:p>
    <w:p w14:paraId="0B3C8161" w14:textId="681E8AD7" w:rsidR="00355865" w:rsidRPr="00C97A19" w:rsidRDefault="00355865" w:rsidP="00355865">
      <w:pPr>
        <w:pStyle w:val="BodyText"/>
        <w:numPr>
          <w:ilvl w:val="0"/>
          <w:numId w:val="4"/>
        </w:numPr>
        <w:jc w:val="both"/>
        <w:rPr>
          <w:rFonts w:cs="Calibri"/>
          <w:szCs w:val="22"/>
          <w:lang w:val="en-AU"/>
        </w:rPr>
      </w:pPr>
      <w:r w:rsidRPr="00C97A19">
        <w:rPr>
          <w:rFonts w:cs="Calibri"/>
          <w:szCs w:val="22"/>
          <w:lang w:val="en-AU"/>
        </w:rPr>
        <w:t xml:space="preserve">Clarification of </w:t>
      </w:r>
      <w:r w:rsidRPr="00C97A19">
        <w:rPr>
          <w:rFonts w:cs="Calibri"/>
          <w:b/>
          <w:szCs w:val="22"/>
          <w:lang w:val="en-AU"/>
        </w:rPr>
        <w:t>ways of working</w:t>
      </w:r>
      <w:r w:rsidRPr="00C97A19">
        <w:rPr>
          <w:rFonts w:cs="Calibri"/>
          <w:szCs w:val="22"/>
          <w:lang w:val="en-AU"/>
        </w:rPr>
        <w:t>, evaluation</w:t>
      </w:r>
      <w:r w:rsidR="006C6428" w:rsidRPr="00C97A19">
        <w:rPr>
          <w:rFonts w:cs="Calibri"/>
          <w:szCs w:val="22"/>
          <w:lang w:val="en-AU"/>
        </w:rPr>
        <w:t>,</w:t>
      </w:r>
      <w:r w:rsidRPr="00C97A19">
        <w:rPr>
          <w:rFonts w:cs="Calibri"/>
          <w:szCs w:val="22"/>
          <w:lang w:val="en-AU"/>
        </w:rPr>
        <w:t xml:space="preserve"> management and governance</w:t>
      </w:r>
      <w:r w:rsidR="006C6428" w:rsidRPr="00C97A19">
        <w:rPr>
          <w:rFonts w:cs="Calibri"/>
          <w:szCs w:val="22"/>
          <w:lang w:val="en-AU"/>
        </w:rPr>
        <w:t>.</w:t>
      </w:r>
    </w:p>
    <w:p w14:paraId="4CBBF856" w14:textId="77777777" w:rsidR="00355865" w:rsidRPr="00C97A19" w:rsidRDefault="00355865" w:rsidP="4EF1951E">
      <w:pPr>
        <w:pStyle w:val="Heading1"/>
        <w:rPr>
          <w:rFonts w:cs="Calibri"/>
          <w:b w:val="0"/>
          <w:bCs/>
          <w:lang w:val="en-AU"/>
        </w:rPr>
      </w:pPr>
      <w:bookmarkStart w:id="24" w:name="_Toc192742831"/>
      <w:bookmarkStart w:id="25" w:name="_Toc201131767"/>
      <w:bookmarkStart w:id="26" w:name="_Toc233724254"/>
      <w:r w:rsidRPr="00C97A19">
        <w:rPr>
          <w:rFonts w:cs="Calibri"/>
          <w:b w:val="0"/>
          <w:bCs/>
          <w:lang w:val="en-AU"/>
        </w:rPr>
        <w:t>Key Evaluation Questions</w:t>
      </w:r>
      <w:bookmarkEnd w:id="24"/>
      <w:bookmarkEnd w:id="25"/>
      <w:bookmarkEnd w:id="26"/>
    </w:p>
    <w:p w14:paraId="3E0FB54E" w14:textId="20E2780F" w:rsidR="006C6428" w:rsidRPr="00C97A19" w:rsidRDefault="00355865" w:rsidP="00355865">
      <w:pPr>
        <w:pStyle w:val="p1"/>
        <w:spacing w:after="120"/>
        <w:jc w:val="both"/>
        <w:rPr>
          <w:rFonts w:ascii="Calibri" w:hAnsi="Calibri" w:cs="Calibri"/>
          <w:sz w:val="22"/>
          <w:szCs w:val="22"/>
          <w:lang w:val="en-AU"/>
        </w:rPr>
      </w:pPr>
      <w:r w:rsidRPr="00C97A19">
        <w:rPr>
          <w:rFonts w:ascii="Calibri" w:hAnsi="Calibri" w:cs="Calibri"/>
          <w:sz w:val="22"/>
          <w:szCs w:val="22"/>
          <w:lang w:val="en-AU"/>
        </w:rPr>
        <w:t xml:space="preserve">The </w:t>
      </w:r>
      <w:r w:rsidR="00955502" w:rsidRPr="00C97A19">
        <w:rPr>
          <w:rFonts w:ascii="Calibri" w:hAnsi="Calibri" w:cs="Calibri"/>
          <w:sz w:val="22"/>
          <w:szCs w:val="22"/>
          <w:lang w:val="en-AU"/>
        </w:rPr>
        <w:t>MTR</w:t>
      </w:r>
      <w:r w:rsidRPr="00C97A19">
        <w:rPr>
          <w:rFonts w:ascii="Calibri" w:hAnsi="Calibri" w:cs="Calibri"/>
          <w:sz w:val="22"/>
          <w:szCs w:val="22"/>
          <w:lang w:val="en-AU"/>
        </w:rPr>
        <w:t xml:space="preserve"> complied with the approved </w:t>
      </w:r>
      <w:r w:rsidR="00280B2C" w:rsidRPr="00C97A19">
        <w:rPr>
          <w:rFonts w:ascii="Calibri" w:hAnsi="Calibri" w:cs="Calibri"/>
          <w:sz w:val="22"/>
          <w:szCs w:val="22"/>
          <w:lang w:val="en-AU"/>
        </w:rPr>
        <w:t>ToR (Annex 1)</w:t>
      </w:r>
      <w:r w:rsidRPr="00C97A19">
        <w:rPr>
          <w:rFonts w:ascii="Calibri" w:hAnsi="Calibri" w:cs="Calibri"/>
          <w:sz w:val="22"/>
          <w:szCs w:val="22"/>
          <w:lang w:val="en-AU"/>
        </w:rPr>
        <w:t xml:space="preserve"> and applied OECD-DAC criteria of relevance, coherence, effectiveness, efficiency,</w:t>
      </w:r>
      <w:r w:rsidR="00955502" w:rsidRPr="00C97A19">
        <w:rPr>
          <w:rFonts w:ascii="Calibri" w:hAnsi="Calibri" w:cs="Calibri"/>
          <w:sz w:val="22"/>
          <w:szCs w:val="22"/>
          <w:lang w:val="en-AU"/>
        </w:rPr>
        <w:t xml:space="preserve"> and</w:t>
      </w:r>
      <w:r w:rsidRPr="00C97A19">
        <w:rPr>
          <w:rFonts w:ascii="Calibri" w:hAnsi="Calibri" w:cs="Calibri"/>
          <w:sz w:val="22"/>
          <w:szCs w:val="22"/>
          <w:lang w:val="en-AU"/>
        </w:rPr>
        <w:t xml:space="preserve"> sustainability</w:t>
      </w:r>
      <w:r w:rsidR="00955502" w:rsidRPr="00C97A19">
        <w:rPr>
          <w:rFonts w:ascii="Calibri" w:hAnsi="Calibri" w:cs="Calibri"/>
          <w:sz w:val="22"/>
          <w:szCs w:val="22"/>
          <w:lang w:val="en-AU"/>
        </w:rPr>
        <w:t>.</w:t>
      </w:r>
      <w:r w:rsidRPr="00C97A19">
        <w:rPr>
          <w:rFonts w:ascii="Calibri" w:hAnsi="Calibri" w:cs="Calibri"/>
          <w:sz w:val="22"/>
          <w:szCs w:val="22"/>
          <w:lang w:val="en-AU"/>
        </w:rPr>
        <w:t xml:space="preserve"> The </w:t>
      </w:r>
      <w:r w:rsidR="00955502" w:rsidRPr="00C97A19">
        <w:rPr>
          <w:rFonts w:ascii="Calibri" w:hAnsi="Calibri" w:cs="Calibri"/>
          <w:sz w:val="22"/>
          <w:szCs w:val="22"/>
          <w:lang w:val="en-AU"/>
        </w:rPr>
        <w:t>MTR</w:t>
      </w:r>
      <w:r w:rsidRPr="00C97A19">
        <w:rPr>
          <w:rFonts w:ascii="Calibri" w:hAnsi="Calibri" w:cs="Calibri"/>
          <w:sz w:val="22"/>
          <w:szCs w:val="22"/>
          <w:lang w:val="en-AU"/>
        </w:rPr>
        <w:t xml:space="preserve"> </w:t>
      </w:r>
      <w:r w:rsidR="00280B2C" w:rsidRPr="00C97A19">
        <w:rPr>
          <w:rFonts w:ascii="Calibri" w:hAnsi="Calibri" w:cs="Calibri"/>
          <w:sz w:val="22"/>
          <w:szCs w:val="22"/>
          <w:lang w:val="en-AU"/>
        </w:rPr>
        <w:t>adapted</w:t>
      </w:r>
      <w:r w:rsidRPr="00C97A19">
        <w:rPr>
          <w:rFonts w:ascii="Calibri" w:hAnsi="Calibri" w:cs="Calibri"/>
          <w:sz w:val="22"/>
          <w:szCs w:val="22"/>
          <w:lang w:val="en-AU"/>
        </w:rPr>
        <w:t xml:space="preserve"> the evaluation questions</w:t>
      </w:r>
      <w:r w:rsidR="00280B2C" w:rsidRPr="00C97A19">
        <w:rPr>
          <w:rFonts w:ascii="Calibri" w:hAnsi="Calibri" w:cs="Calibri"/>
          <w:sz w:val="22"/>
          <w:szCs w:val="22"/>
          <w:lang w:val="en-AU"/>
        </w:rPr>
        <w:t xml:space="preserve"> slightly to align with specific information needs. Table </w:t>
      </w:r>
      <w:r w:rsidR="00955502" w:rsidRPr="00C97A19">
        <w:rPr>
          <w:rFonts w:ascii="Calibri" w:hAnsi="Calibri" w:cs="Calibri"/>
          <w:sz w:val="22"/>
          <w:szCs w:val="22"/>
          <w:lang w:val="en-AU"/>
        </w:rPr>
        <w:t>2</w:t>
      </w:r>
      <w:r w:rsidR="00280B2C" w:rsidRPr="00C97A19">
        <w:rPr>
          <w:rFonts w:ascii="Calibri" w:hAnsi="Calibri" w:cs="Calibri"/>
          <w:sz w:val="22"/>
          <w:szCs w:val="22"/>
          <w:lang w:val="en-AU"/>
        </w:rPr>
        <w:t xml:space="preserve"> </w:t>
      </w:r>
      <w:r w:rsidR="00A52E50" w:rsidRPr="00C97A19">
        <w:rPr>
          <w:rFonts w:ascii="Calibri" w:hAnsi="Calibri" w:cs="Calibri"/>
          <w:sz w:val="22"/>
          <w:szCs w:val="22"/>
          <w:lang w:val="en-AU"/>
        </w:rPr>
        <w:t>summarises</w:t>
      </w:r>
      <w:r w:rsidR="00280B2C" w:rsidRPr="00C97A19">
        <w:rPr>
          <w:rFonts w:ascii="Calibri" w:hAnsi="Calibri" w:cs="Calibri"/>
          <w:sz w:val="22"/>
          <w:szCs w:val="22"/>
          <w:lang w:val="en-AU"/>
        </w:rPr>
        <w:t xml:space="preserve"> the final KEQs and associated secondary questions</w:t>
      </w:r>
      <w:r w:rsidRPr="00C97A19">
        <w:rPr>
          <w:rFonts w:ascii="Calibri" w:hAnsi="Calibri" w:cs="Calibri"/>
          <w:sz w:val="22"/>
          <w:szCs w:val="22"/>
          <w:lang w:val="en-AU"/>
        </w:rPr>
        <w:t>. The focus w</w:t>
      </w:r>
      <w:r w:rsidR="00280B2C" w:rsidRPr="00C97A19">
        <w:rPr>
          <w:rFonts w:ascii="Calibri" w:hAnsi="Calibri" w:cs="Calibri"/>
          <w:sz w:val="22"/>
          <w:szCs w:val="22"/>
          <w:lang w:val="en-AU"/>
        </w:rPr>
        <w:t>as</w:t>
      </w:r>
      <w:r w:rsidRPr="00C97A19">
        <w:rPr>
          <w:rFonts w:ascii="Calibri" w:hAnsi="Calibri" w:cs="Calibri"/>
          <w:sz w:val="22"/>
          <w:szCs w:val="22"/>
          <w:lang w:val="en-AU"/>
        </w:rPr>
        <w:t xml:space="preserve"> on addressing primary questions, but secondary questions </w:t>
      </w:r>
      <w:r w:rsidR="00280B2C" w:rsidRPr="00C97A19">
        <w:rPr>
          <w:rFonts w:ascii="Calibri" w:hAnsi="Calibri" w:cs="Calibri"/>
          <w:sz w:val="22"/>
          <w:szCs w:val="22"/>
          <w:lang w:val="en-AU"/>
        </w:rPr>
        <w:t>a</w:t>
      </w:r>
      <w:r w:rsidRPr="00C97A19">
        <w:rPr>
          <w:rFonts w:ascii="Calibri" w:hAnsi="Calibri" w:cs="Calibri"/>
          <w:sz w:val="22"/>
          <w:szCs w:val="22"/>
          <w:lang w:val="en-AU"/>
        </w:rPr>
        <w:t xml:space="preserve">lso </w:t>
      </w:r>
      <w:r w:rsidR="00955502" w:rsidRPr="00C97A19">
        <w:rPr>
          <w:rFonts w:ascii="Calibri" w:hAnsi="Calibri" w:cs="Calibri"/>
          <w:sz w:val="22"/>
          <w:szCs w:val="22"/>
          <w:lang w:val="en-AU"/>
        </w:rPr>
        <w:t>informed</w:t>
      </w:r>
      <w:r w:rsidRPr="00C97A19">
        <w:rPr>
          <w:rFonts w:ascii="Calibri" w:hAnsi="Calibri" w:cs="Calibri"/>
          <w:sz w:val="22"/>
          <w:szCs w:val="22"/>
          <w:lang w:val="en-AU"/>
        </w:rPr>
        <w:t xml:space="preserve"> and guide</w:t>
      </w:r>
      <w:r w:rsidR="00955502" w:rsidRPr="00C97A19">
        <w:rPr>
          <w:rFonts w:ascii="Calibri" w:hAnsi="Calibri" w:cs="Calibri"/>
          <w:sz w:val="22"/>
          <w:szCs w:val="22"/>
          <w:lang w:val="en-AU"/>
        </w:rPr>
        <w:t>d the</w:t>
      </w:r>
      <w:r w:rsidRPr="00C97A19">
        <w:rPr>
          <w:rFonts w:ascii="Calibri" w:hAnsi="Calibri" w:cs="Calibri"/>
          <w:sz w:val="22"/>
          <w:szCs w:val="22"/>
          <w:lang w:val="en-AU"/>
        </w:rPr>
        <w:t xml:space="preserve"> questioning and overall analysis.</w:t>
      </w:r>
    </w:p>
    <w:p w14:paraId="6D2A1789" w14:textId="77777777" w:rsidR="001C53EC" w:rsidRDefault="001C53EC" w:rsidP="00280B2C">
      <w:pPr>
        <w:pStyle w:val="Caption"/>
        <w:rPr>
          <w:rFonts w:ascii="Calibri" w:hAnsi="Calibri" w:cs="Calibri"/>
          <w:i/>
          <w:iCs/>
          <w:lang w:val="en-AU"/>
        </w:rPr>
      </w:pPr>
    </w:p>
    <w:p w14:paraId="413D70BF" w14:textId="0834D05C" w:rsidR="00280B2C" w:rsidRPr="00C97A19" w:rsidRDefault="00280B2C" w:rsidP="00280B2C">
      <w:pPr>
        <w:pStyle w:val="Caption"/>
        <w:rPr>
          <w:rFonts w:ascii="Calibri" w:hAnsi="Calibri" w:cs="Calibri"/>
          <w:i/>
          <w:iCs/>
          <w:lang w:val="en-AU"/>
        </w:rPr>
      </w:pPr>
      <w:r w:rsidRPr="00C97A19">
        <w:rPr>
          <w:rFonts w:ascii="Calibri" w:hAnsi="Calibri" w:cs="Calibri"/>
          <w:i/>
          <w:iCs/>
          <w:lang w:val="en-AU"/>
        </w:rPr>
        <w:t xml:space="preserve">Table </w:t>
      </w:r>
      <w:r w:rsidR="00955502" w:rsidRPr="00C97A19">
        <w:rPr>
          <w:rFonts w:ascii="Calibri" w:hAnsi="Calibri" w:cs="Calibri"/>
          <w:i/>
          <w:iCs/>
          <w:lang w:val="en-AU"/>
        </w:rPr>
        <w:t>2</w:t>
      </w:r>
      <w:r w:rsidRPr="00C97A19">
        <w:rPr>
          <w:rFonts w:ascii="Calibri" w:hAnsi="Calibri" w:cs="Calibri"/>
          <w:i/>
          <w:iCs/>
          <w:lang w:val="en-AU"/>
        </w:rPr>
        <w:t xml:space="preserve">: </w:t>
      </w:r>
      <w:r w:rsidR="00955502" w:rsidRPr="00C97A19">
        <w:rPr>
          <w:rFonts w:ascii="Calibri" w:hAnsi="Calibri" w:cs="Calibri"/>
          <w:i/>
          <w:iCs/>
          <w:lang w:val="en-AU"/>
        </w:rPr>
        <w:t xml:space="preserve">VPSDP </w:t>
      </w:r>
      <w:r w:rsidRPr="00C97A19">
        <w:rPr>
          <w:rFonts w:ascii="Calibri" w:hAnsi="Calibri" w:cs="Calibri"/>
          <w:i/>
          <w:iCs/>
          <w:lang w:val="en-AU"/>
        </w:rPr>
        <w:t>KEQ</w:t>
      </w:r>
      <w:r w:rsidR="00955502" w:rsidRPr="00C97A19">
        <w:rPr>
          <w:rFonts w:ascii="Calibri" w:hAnsi="Calibri" w:cs="Calibri"/>
          <w:i/>
          <w:iCs/>
          <w:lang w:val="en-AU"/>
        </w:rPr>
        <w:t>s</w:t>
      </w:r>
      <w:r w:rsidRPr="00C97A19">
        <w:rPr>
          <w:rFonts w:ascii="Calibri" w:hAnsi="Calibri" w:cs="Calibri"/>
          <w:i/>
          <w:iCs/>
          <w:lang w:val="en-AU"/>
        </w:rPr>
        <w:t xml:space="preserve"> and Secondary Question</w:t>
      </w:r>
    </w:p>
    <w:tbl>
      <w:tblPr>
        <w:tblStyle w:val="TableGrid"/>
        <w:tblW w:w="0" w:type="auto"/>
        <w:tblLook w:val="04A0" w:firstRow="1" w:lastRow="0" w:firstColumn="1" w:lastColumn="0" w:noHBand="0" w:noVBand="1"/>
      </w:tblPr>
      <w:tblGrid>
        <w:gridCol w:w="1962"/>
        <w:gridCol w:w="4215"/>
        <w:gridCol w:w="3173"/>
      </w:tblGrid>
      <w:tr w:rsidR="00835C54" w:rsidRPr="00C97A19" w14:paraId="2BD9A489" w14:textId="77777777" w:rsidTr="001C53EC">
        <w:trPr>
          <w:tblHeader/>
        </w:trPr>
        <w:tc>
          <w:tcPr>
            <w:tcW w:w="1838" w:type="dxa"/>
            <w:tcBorders>
              <w:bottom w:val="single" w:sz="4" w:space="0" w:color="auto"/>
            </w:tcBorders>
            <w:shd w:val="clear" w:color="auto" w:fill="C1E4F5" w:themeFill="accent1" w:themeFillTint="33"/>
          </w:tcPr>
          <w:p w14:paraId="7F90FC50" w14:textId="05593B5F" w:rsidR="00835C54" w:rsidRPr="00C97A19" w:rsidRDefault="00006988" w:rsidP="00955502">
            <w:pPr>
              <w:ind w:left="360"/>
              <w:rPr>
                <w:rFonts w:ascii="Calibri" w:hAnsi="Calibri" w:cs="Calibri"/>
                <w:b/>
                <w:bCs/>
                <w:sz w:val="18"/>
                <w:szCs w:val="18"/>
                <w:lang w:val="en-AU"/>
              </w:rPr>
            </w:pPr>
            <w:r>
              <w:rPr>
                <w:rFonts w:ascii="Calibri" w:hAnsi="Calibri" w:cs="Calibri"/>
                <w:b/>
                <w:bCs/>
                <w:sz w:val="18"/>
                <w:szCs w:val="18"/>
                <w:lang w:val="en-AU"/>
              </w:rPr>
              <w:t>Criteria/Questions</w:t>
            </w:r>
          </w:p>
        </w:tc>
        <w:tc>
          <w:tcPr>
            <w:tcW w:w="4299" w:type="dxa"/>
            <w:tcBorders>
              <w:bottom w:val="single" w:sz="4" w:space="0" w:color="auto"/>
            </w:tcBorders>
            <w:shd w:val="clear" w:color="auto" w:fill="C1E4F5" w:themeFill="accent1" w:themeFillTint="33"/>
          </w:tcPr>
          <w:p w14:paraId="1F37BFFD" w14:textId="7ABEAA1C" w:rsidR="00835C54" w:rsidRPr="00C97A19" w:rsidRDefault="00835C54" w:rsidP="00955502">
            <w:pPr>
              <w:ind w:left="360"/>
              <w:rPr>
                <w:rFonts w:ascii="Calibri" w:hAnsi="Calibri" w:cs="Calibri"/>
                <w:b/>
                <w:bCs/>
                <w:sz w:val="18"/>
                <w:szCs w:val="18"/>
                <w:lang w:val="en-AU"/>
              </w:rPr>
            </w:pPr>
            <w:r w:rsidRPr="00C97A19">
              <w:rPr>
                <w:rFonts w:ascii="Calibri" w:hAnsi="Calibri" w:cs="Calibri"/>
                <w:b/>
                <w:bCs/>
                <w:sz w:val="18"/>
                <w:szCs w:val="18"/>
                <w:lang w:val="en-AU"/>
              </w:rPr>
              <w:t>Primary Questions</w:t>
            </w:r>
          </w:p>
        </w:tc>
        <w:tc>
          <w:tcPr>
            <w:tcW w:w="3213" w:type="dxa"/>
            <w:tcBorders>
              <w:bottom w:val="single" w:sz="4" w:space="0" w:color="auto"/>
            </w:tcBorders>
            <w:shd w:val="clear" w:color="auto" w:fill="C1E4F5" w:themeFill="accent1" w:themeFillTint="33"/>
          </w:tcPr>
          <w:p w14:paraId="40B115FA" w14:textId="77777777" w:rsidR="00835C54" w:rsidRDefault="00835C54" w:rsidP="00955502">
            <w:pPr>
              <w:ind w:left="360"/>
              <w:rPr>
                <w:rFonts w:ascii="Calibri" w:hAnsi="Calibri" w:cs="Calibri"/>
                <w:b/>
                <w:bCs/>
                <w:sz w:val="18"/>
                <w:szCs w:val="18"/>
                <w:lang w:val="en-AU"/>
              </w:rPr>
            </w:pPr>
            <w:r w:rsidRPr="00C97A19">
              <w:rPr>
                <w:rFonts w:ascii="Calibri" w:hAnsi="Calibri" w:cs="Calibri"/>
                <w:b/>
                <w:bCs/>
                <w:sz w:val="18"/>
                <w:szCs w:val="18"/>
                <w:lang w:val="en-AU"/>
              </w:rPr>
              <w:t>Secondary Questions</w:t>
            </w:r>
          </w:p>
          <w:p w14:paraId="38CD022F" w14:textId="77777777" w:rsidR="00006988" w:rsidRPr="00C97A19" w:rsidRDefault="00006988" w:rsidP="00955502">
            <w:pPr>
              <w:ind w:left="360"/>
              <w:rPr>
                <w:rFonts w:ascii="Calibri" w:hAnsi="Calibri" w:cs="Calibri"/>
                <w:b/>
                <w:bCs/>
                <w:sz w:val="18"/>
                <w:szCs w:val="18"/>
                <w:lang w:val="en-AU"/>
              </w:rPr>
            </w:pPr>
          </w:p>
        </w:tc>
      </w:tr>
      <w:tr w:rsidR="00835C54" w:rsidRPr="00C97A19" w14:paraId="6989859E" w14:textId="77777777" w:rsidTr="001C53EC">
        <w:tc>
          <w:tcPr>
            <w:tcW w:w="1838" w:type="dxa"/>
            <w:tcBorders>
              <w:bottom w:val="single" w:sz="4" w:space="0" w:color="auto"/>
            </w:tcBorders>
          </w:tcPr>
          <w:p w14:paraId="30C74B5B" w14:textId="2A2041E0" w:rsidR="00835C54" w:rsidRPr="00006988" w:rsidRDefault="00006988" w:rsidP="00006988">
            <w:pPr>
              <w:pStyle w:val="ListParagraph"/>
              <w:autoSpaceDE w:val="0"/>
              <w:autoSpaceDN w:val="0"/>
              <w:adjustRightInd w:val="0"/>
              <w:ind w:left="319"/>
              <w:jc w:val="both"/>
              <w:rPr>
                <w:rFonts w:ascii="Calibri" w:hAnsi="Calibri" w:cs="Calibri"/>
                <w:b/>
                <w:bCs/>
                <w:color w:val="000000"/>
                <w:sz w:val="18"/>
                <w:szCs w:val="18"/>
                <w:lang w:val="en-AU"/>
              </w:rPr>
            </w:pPr>
            <w:r w:rsidRPr="00006988">
              <w:rPr>
                <w:rFonts w:ascii="Calibri" w:hAnsi="Calibri" w:cs="Calibri"/>
                <w:b/>
                <w:bCs/>
                <w:color w:val="000000"/>
                <w:sz w:val="18"/>
                <w:szCs w:val="18"/>
                <w:lang w:val="en-AU"/>
              </w:rPr>
              <w:t xml:space="preserve">Relevance </w:t>
            </w:r>
          </w:p>
        </w:tc>
        <w:tc>
          <w:tcPr>
            <w:tcW w:w="4299" w:type="dxa"/>
            <w:tcBorders>
              <w:bottom w:val="single" w:sz="4" w:space="0" w:color="auto"/>
            </w:tcBorders>
          </w:tcPr>
          <w:p w14:paraId="23BE55C3" w14:textId="77777777" w:rsidR="00835C54" w:rsidRDefault="00835C54">
            <w:pPr>
              <w:pStyle w:val="ListParagraph"/>
              <w:numPr>
                <w:ilvl w:val="0"/>
                <w:numId w:val="11"/>
              </w:numPr>
              <w:autoSpaceDE w:val="0"/>
              <w:autoSpaceDN w:val="0"/>
              <w:adjustRightInd w:val="0"/>
              <w:ind w:left="319" w:hanging="319"/>
              <w:jc w:val="both"/>
              <w:rPr>
                <w:rFonts w:ascii="Calibri" w:hAnsi="Calibri" w:cs="Calibri"/>
                <w:color w:val="000000"/>
                <w:sz w:val="18"/>
                <w:szCs w:val="18"/>
                <w:lang w:val="en-AU"/>
              </w:rPr>
            </w:pPr>
            <w:r w:rsidRPr="000348BD">
              <w:rPr>
                <w:rFonts w:ascii="Calibri" w:hAnsi="Calibri" w:cs="Calibri"/>
                <w:color w:val="000000"/>
                <w:sz w:val="18"/>
                <w:szCs w:val="18"/>
                <w:lang w:val="en-AU"/>
              </w:rPr>
              <w:t>To what extent was the VPSDP projects/activities relevant to Australia, IFC strategic objectives in Viet Nam</w:t>
            </w:r>
            <w:r>
              <w:rPr>
                <w:rFonts w:ascii="Calibri" w:hAnsi="Calibri" w:cs="Calibri"/>
                <w:color w:val="000000"/>
                <w:sz w:val="18"/>
                <w:szCs w:val="18"/>
                <w:lang w:val="en-AU"/>
              </w:rPr>
              <w:t>?</w:t>
            </w:r>
          </w:p>
          <w:p w14:paraId="1FCDA561" w14:textId="7AD74D8E" w:rsidR="00006988" w:rsidRPr="000348BD" w:rsidRDefault="00006988" w:rsidP="00006988">
            <w:pPr>
              <w:pStyle w:val="ListParagraph"/>
              <w:autoSpaceDE w:val="0"/>
              <w:autoSpaceDN w:val="0"/>
              <w:adjustRightInd w:val="0"/>
              <w:ind w:left="319"/>
              <w:jc w:val="both"/>
              <w:rPr>
                <w:rFonts w:ascii="Calibri" w:hAnsi="Calibri" w:cs="Calibri"/>
                <w:color w:val="000000"/>
                <w:sz w:val="18"/>
                <w:szCs w:val="18"/>
                <w:lang w:val="en-AU"/>
              </w:rPr>
            </w:pPr>
          </w:p>
        </w:tc>
        <w:tc>
          <w:tcPr>
            <w:tcW w:w="3213" w:type="dxa"/>
            <w:tcBorders>
              <w:bottom w:val="single" w:sz="4" w:space="0" w:color="auto"/>
            </w:tcBorders>
          </w:tcPr>
          <w:p w14:paraId="2F4E4A6A" w14:textId="6884D2C6" w:rsidR="00835C54" w:rsidRPr="000348BD" w:rsidRDefault="00461F9A" w:rsidP="00955502">
            <w:pPr>
              <w:autoSpaceDE w:val="0"/>
              <w:autoSpaceDN w:val="0"/>
              <w:adjustRightInd w:val="0"/>
              <w:ind w:left="1080"/>
              <w:jc w:val="both"/>
              <w:rPr>
                <w:rFonts w:ascii="Calibri" w:hAnsi="Calibri" w:cs="Calibri"/>
                <w:sz w:val="18"/>
                <w:szCs w:val="18"/>
                <w:lang w:val="en-AU"/>
              </w:rPr>
            </w:pPr>
            <w:r>
              <w:rPr>
                <w:rFonts w:ascii="Calibri" w:hAnsi="Calibri" w:cs="Calibri"/>
                <w:sz w:val="18"/>
                <w:szCs w:val="18"/>
                <w:lang w:val="en-AU"/>
              </w:rPr>
              <w:t>N/A</w:t>
            </w:r>
            <w:r w:rsidR="00835C54" w:rsidRPr="000348BD">
              <w:rPr>
                <w:rFonts w:ascii="Calibri" w:hAnsi="Calibri" w:cs="Calibri"/>
                <w:sz w:val="18"/>
                <w:szCs w:val="18"/>
                <w:lang w:val="en-AU"/>
              </w:rPr>
              <w:t xml:space="preserve"> </w:t>
            </w:r>
          </w:p>
        </w:tc>
      </w:tr>
      <w:tr w:rsidR="00835C54" w:rsidRPr="00C97A19" w14:paraId="52691BF7" w14:textId="77777777" w:rsidTr="001C53EC">
        <w:tc>
          <w:tcPr>
            <w:tcW w:w="1838" w:type="dxa"/>
            <w:tcBorders>
              <w:bottom w:val="single" w:sz="4" w:space="0" w:color="auto"/>
            </w:tcBorders>
          </w:tcPr>
          <w:p w14:paraId="216984F6" w14:textId="30A64793" w:rsidR="00835C54" w:rsidRPr="00006988" w:rsidRDefault="00006988" w:rsidP="00006988">
            <w:pPr>
              <w:pStyle w:val="ListParagraph"/>
              <w:autoSpaceDE w:val="0"/>
              <w:autoSpaceDN w:val="0"/>
              <w:adjustRightInd w:val="0"/>
              <w:ind w:left="319"/>
              <w:jc w:val="both"/>
              <w:rPr>
                <w:rFonts w:ascii="Calibri" w:hAnsi="Calibri" w:cs="Calibri"/>
                <w:b/>
                <w:bCs/>
                <w:color w:val="000000"/>
                <w:sz w:val="18"/>
                <w:szCs w:val="18"/>
                <w:lang w:val="en-AU"/>
              </w:rPr>
            </w:pPr>
            <w:r w:rsidRPr="00006988">
              <w:rPr>
                <w:rFonts w:ascii="Calibri" w:hAnsi="Calibri" w:cs="Calibri"/>
                <w:b/>
                <w:bCs/>
                <w:color w:val="000000"/>
                <w:sz w:val="18"/>
                <w:szCs w:val="18"/>
                <w:lang w:val="en-AU"/>
              </w:rPr>
              <w:t>Coherence</w:t>
            </w:r>
          </w:p>
        </w:tc>
        <w:tc>
          <w:tcPr>
            <w:tcW w:w="4299" w:type="dxa"/>
            <w:tcBorders>
              <w:bottom w:val="single" w:sz="4" w:space="0" w:color="auto"/>
            </w:tcBorders>
          </w:tcPr>
          <w:p w14:paraId="588E786D" w14:textId="6DE91222" w:rsidR="00835C54" w:rsidRPr="000348BD" w:rsidRDefault="00835C54">
            <w:pPr>
              <w:pStyle w:val="ListParagraph"/>
              <w:numPr>
                <w:ilvl w:val="0"/>
                <w:numId w:val="11"/>
              </w:numPr>
              <w:autoSpaceDE w:val="0"/>
              <w:autoSpaceDN w:val="0"/>
              <w:adjustRightInd w:val="0"/>
              <w:ind w:left="319" w:hanging="319"/>
              <w:jc w:val="both"/>
              <w:rPr>
                <w:rFonts w:ascii="Calibri" w:hAnsi="Calibri" w:cs="Calibri"/>
                <w:color w:val="000000"/>
                <w:sz w:val="18"/>
                <w:szCs w:val="18"/>
                <w:lang w:val="en-AU"/>
              </w:rPr>
            </w:pPr>
            <w:r w:rsidRPr="000348BD">
              <w:rPr>
                <w:rFonts w:ascii="Calibri" w:hAnsi="Calibri" w:cs="Calibri"/>
                <w:color w:val="000000"/>
                <w:sz w:val="18"/>
                <w:szCs w:val="18"/>
                <w:lang w:val="en-AU"/>
              </w:rPr>
              <w:t>To what extent did the VPSDP and its interventions complement (and collaborate with) other private sector development work being undertaken in Viet Nam?</w:t>
            </w:r>
          </w:p>
        </w:tc>
        <w:tc>
          <w:tcPr>
            <w:tcW w:w="3213" w:type="dxa"/>
            <w:tcBorders>
              <w:bottom w:val="single" w:sz="4" w:space="0" w:color="auto"/>
            </w:tcBorders>
          </w:tcPr>
          <w:p w14:paraId="07B8AA47" w14:textId="24C6D881" w:rsidR="00835C54" w:rsidRPr="000348BD" w:rsidRDefault="00835C54">
            <w:pPr>
              <w:pStyle w:val="NoSpacing"/>
              <w:numPr>
                <w:ilvl w:val="0"/>
                <w:numId w:val="11"/>
              </w:numPr>
              <w:autoSpaceDE w:val="0"/>
              <w:autoSpaceDN w:val="0"/>
              <w:adjustRightInd w:val="0"/>
              <w:ind w:left="183" w:hanging="183"/>
              <w:jc w:val="both"/>
              <w:rPr>
                <w:rFonts w:ascii="Calibri" w:hAnsi="Calibri" w:cs="Calibri"/>
                <w:b/>
                <w:bCs/>
                <w:color w:val="000000"/>
                <w:sz w:val="18"/>
                <w:szCs w:val="18"/>
              </w:rPr>
            </w:pPr>
            <w:r w:rsidRPr="000348BD">
              <w:rPr>
                <w:rFonts w:ascii="Calibri" w:hAnsi="Calibri" w:cs="Calibri"/>
                <w:color w:val="000000" w:themeColor="text1"/>
                <w:sz w:val="18"/>
                <w:szCs w:val="18"/>
              </w:rPr>
              <w:t>Include reference to the value of the Partnership for DFAT’s policy objectives included in the M&amp;E Framework.</w:t>
            </w:r>
          </w:p>
        </w:tc>
      </w:tr>
      <w:tr w:rsidR="00835C54" w:rsidRPr="00C97A19" w14:paraId="0083318B" w14:textId="77777777" w:rsidTr="001C53EC">
        <w:tc>
          <w:tcPr>
            <w:tcW w:w="1838" w:type="dxa"/>
            <w:tcBorders>
              <w:bottom w:val="single" w:sz="4" w:space="0" w:color="auto"/>
            </w:tcBorders>
          </w:tcPr>
          <w:p w14:paraId="374A14F5" w14:textId="771CDBF4" w:rsidR="00835C54" w:rsidRPr="000348BD" w:rsidRDefault="00006988" w:rsidP="00006988">
            <w:pPr>
              <w:pStyle w:val="ListParagraph"/>
              <w:autoSpaceDE w:val="0"/>
              <w:autoSpaceDN w:val="0"/>
              <w:adjustRightInd w:val="0"/>
              <w:ind w:left="319"/>
              <w:jc w:val="both"/>
              <w:rPr>
                <w:rFonts w:ascii="Calibri" w:hAnsi="Calibri" w:cs="Calibri"/>
                <w:color w:val="000000"/>
                <w:sz w:val="18"/>
                <w:szCs w:val="18"/>
                <w:lang w:val="en-AU"/>
              </w:rPr>
            </w:pPr>
            <w:r w:rsidRPr="00C97A19">
              <w:rPr>
                <w:rFonts w:ascii="Calibri" w:hAnsi="Calibri" w:cs="Calibri"/>
                <w:b/>
                <w:bCs/>
                <w:color w:val="000000"/>
                <w:sz w:val="18"/>
                <w:szCs w:val="18"/>
                <w:lang w:val="en-AU"/>
              </w:rPr>
              <w:t xml:space="preserve">Effectiveness and </w:t>
            </w:r>
            <w:r>
              <w:rPr>
                <w:rFonts w:ascii="Calibri" w:hAnsi="Calibri" w:cs="Calibri"/>
                <w:b/>
                <w:bCs/>
                <w:color w:val="000000"/>
                <w:sz w:val="18"/>
                <w:szCs w:val="18"/>
                <w:lang w:val="en-AU"/>
              </w:rPr>
              <w:t>I</w:t>
            </w:r>
            <w:r w:rsidRPr="00C97A19">
              <w:rPr>
                <w:rFonts w:ascii="Calibri" w:hAnsi="Calibri" w:cs="Calibri"/>
                <w:b/>
                <w:bCs/>
                <w:color w:val="000000"/>
                <w:sz w:val="18"/>
                <w:szCs w:val="18"/>
                <w:lang w:val="en-AU"/>
              </w:rPr>
              <w:t>mpact</w:t>
            </w:r>
          </w:p>
        </w:tc>
        <w:tc>
          <w:tcPr>
            <w:tcW w:w="4299" w:type="dxa"/>
            <w:tcBorders>
              <w:bottom w:val="single" w:sz="4" w:space="0" w:color="auto"/>
            </w:tcBorders>
          </w:tcPr>
          <w:p w14:paraId="1492E940" w14:textId="67E0D4A1" w:rsidR="00835C54" w:rsidRPr="000348BD" w:rsidRDefault="00835C54">
            <w:pPr>
              <w:pStyle w:val="ListParagraph"/>
              <w:numPr>
                <w:ilvl w:val="0"/>
                <w:numId w:val="13"/>
              </w:numPr>
              <w:autoSpaceDE w:val="0"/>
              <w:autoSpaceDN w:val="0"/>
              <w:adjustRightInd w:val="0"/>
              <w:ind w:left="319" w:hanging="284"/>
              <w:jc w:val="both"/>
              <w:rPr>
                <w:rFonts w:ascii="Calibri" w:hAnsi="Calibri" w:cs="Calibri"/>
                <w:color w:val="000000"/>
                <w:sz w:val="18"/>
                <w:szCs w:val="18"/>
                <w:lang w:val="en-AU"/>
              </w:rPr>
            </w:pPr>
            <w:r w:rsidRPr="000348BD">
              <w:rPr>
                <w:rFonts w:ascii="Calibri" w:hAnsi="Calibri" w:cs="Calibri"/>
                <w:color w:val="000000"/>
                <w:sz w:val="18"/>
                <w:szCs w:val="18"/>
                <w:lang w:val="en-AU"/>
              </w:rPr>
              <w:t>To what extent has the VPDSP delivered its anticipated impacts, with particular reference to the evaluative questions in the M&amp;E framework?</w:t>
            </w:r>
          </w:p>
          <w:p w14:paraId="630AFC50" w14:textId="77777777" w:rsidR="00835C54" w:rsidRPr="000348BD" w:rsidRDefault="00835C54">
            <w:pPr>
              <w:pStyle w:val="ListParagraph"/>
              <w:numPr>
                <w:ilvl w:val="0"/>
                <w:numId w:val="13"/>
              </w:numPr>
              <w:autoSpaceDE w:val="0"/>
              <w:autoSpaceDN w:val="0"/>
              <w:adjustRightInd w:val="0"/>
              <w:ind w:left="319" w:hanging="284"/>
              <w:jc w:val="both"/>
              <w:rPr>
                <w:rFonts w:ascii="Calibri" w:hAnsi="Calibri" w:cs="Calibri"/>
                <w:color w:val="000000"/>
                <w:sz w:val="18"/>
                <w:szCs w:val="18"/>
                <w:lang w:val="en-AU"/>
              </w:rPr>
            </w:pPr>
            <w:r w:rsidRPr="000348BD">
              <w:rPr>
                <w:rFonts w:ascii="Calibri" w:hAnsi="Calibri" w:cs="Calibri"/>
                <w:sz w:val="18"/>
                <w:szCs w:val="18"/>
                <w:lang w:val="en-AU"/>
              </w:rPr>
              <w:t xml:space="preserve">How </w:t>
            </w:r>
            <w:r w:rsidRPr="000348BD">
              <w:rPr>
                <w:rFonts w:ascii="Calibri" w:hAnsi="Calibri" w:cs="Calibri"/>
                <w:color w:val="000000"/>
                <w:sz w:val="18"/>
                <w:szCs w:val="18"/>
                <w:lang w:val="en-AU"/>
              </w:rPr>
              <w:t>effectively has the Partnership been able to respond and adapt to the evolving needs of private sector stakeholders</w:t>
            </w:r>
            <w:r w:rsidRPr="000348BD">
              <w:rPr>
                <w:rFonts w:ascii="Calibri" w:hAnsi="Calibri" w:cs="Calibri"/>
                <w:sz w:val="18"/>
                <w:szCs w:val="18"/>
                <w:lang w:val="en-AU"/>
              </w:rPr>
              <w:t xml:space="preserve"> and the enabling environment for private investment in Viet Nam? </w:t>
            </w:r>
          </w:p>
          <w:p w14:paraId="67321AA3" w14:textId="77777777" w:rsidR="00835C54" w:rsidRPr="001C53EC" w:rsidRDefault="00835C54">
            <w:pPr>
              <w:pStyle w:val="ListParagraph"/>
              <w:numPr>
                <w:ilvl w:val="0"/>
                <w:numId w:val="13"/>
              </w:numPr>
              <w:autoSpaceDE w:val="0"/>
              <w:autoSpaceDN w:val="0"/>
              <w:adjustRightInd w:val="0"/>
              <w:ind w:left="319" w:hanging="284"/>
              <w:jc w:val="both"/>
              <w:rPr>
                <w:rFonts w:ascii="Calibri" w:hAnsi="Calibri" w:cs="Calibri"/>
                <w:color w:val="000000"/>
                <w:sz w:val="18"/>
                <w:szCs w:val="18"/>
                <w:lang w:val="en-AU"/>
              </w:rPr>
            </w:pPr>
            <w:r w:rsidRPr="000348BD">
              <w:rPr>
                <w:rFonts w:ascii="Calibri" w:hAnsi="Calibri" w:cs="Calibri"/>
                <w:sz w:val="18"/>
                <w:szCs w:val="18"/>
                <w:lang w:val="en-AU"/>
              </w:rPr>
              <w:t>To what extent gender equality and social inclusion issues have been addressed in VPSDP?</w:t>
            </w:r>
          </w:p>
          <w:p w14:paraId="377E6E84" w14:textId="77777777" w:rsidR="001C53EC" w:rsidRPr="000348BD" w:rsidRDefault="001C53EC" w:rsidP="001C53EC">
            <w:pPr>
              <w:pStyle w:val="ListParagraph"/>
              <w:autoSpaceDE w:val="0"/>
              <w:autoSpaceDN w:val="0"/>
              <w:adjustRightInd w:val="0"/>
              <w:ind w:left="319"/>
              <w:jc w:val="both"/>
              <w:rPr>
                <w:rFonts w:ascii="Calibri" w:hAnsi="Calibri" w:cs="Calibri"/>
                <w:color w:val="000000"/>
                <w:sz w:val="18"/>
                <w:szCs w:val="18"/>
                <w:lang w:val="en-AU"/>
              </w:rPr>
            </w:pPr>
          </w:p>
        </w:tc>
        <w:tc>
          <w:tcPr>
            <w:tcW w:w="3213" w:type="dxa"/>
            <w:tcBorders>
              <w:bottom w:val="single" w:sz="4" w:space="0" w:color="auto"/>
            </w:tcBorders>
          </w:tcPr>
          <w:p w14:paraId="0862958C" w14:textId="77777777" w:rsidR="00835C54" w:rsidRPr="000348BD" w:rsidRDefault="00835C54">
            <w:pPr>
              <w:pStyle w:val="ListParagraph"/>
              <w:numPr>
                <w:ilvl w:val="0"/>
                <w:numId w:val="12"/>
              </w:numPr>
              <w:autoSpaceDE w:val="0"/>
              <w:autoSpaceDN w:val="0"/>
              <w:adjustRightInd w:val="0"/>
              <w:ind w:left="319" w:hanging="284"/>
              <w:jc w:val="both"/>
              <w:rPr>
                <w:rFonts w:ascii="Calibri" w:hAnsi="Calibri" w:cs="Calibri"/>
                <w:sz w:val="18"/>
                <w:szCs w:val="18"/>
                <w:lang w:val="en-AU"/>
              </w:rPr>
            </w:pPr>
            <w:r w:rsidRPr="000348BD">
              <w:rPr>
                <w:rFonts w:ascii="Calibri" w:hAnsi="Calibri" w:cs="Calibri"/>
                <w:sz w:val="18"/>
                <w:szCs w:val="18"/>
                <w:lang w:val="en-AU"/>
              </w:rPr>
              <w:t xml:space="preserve">Refer to the range of project types/interventions (firm level technical advice, government technical advice etc.) and describe overall progress to date, and any identified barriers including those related to delivery in complex/challenging environments. </w:t>
            </w:r>
          </w:p>
          <w:p w14:paraId="490FDC4C" w14:textId="77777777" w:rsidR="00835C54" w:rsidRPr="00C97A19" w:rsidRDefault="00835C54" w:rsidP="00955502">
            <w:pPr>
              <w:pStyle w:val="NoSpacing"/>
              <w:autoSpaceDE w:val="0"/>
              <w:autoSpaceDN w:val="0"/>
              <w:adjustRightInd w:val="0"/>
              <w:ind w:left="319" w:hanging="284"/>
              <w:jc w:val="both"/>
              <w:rPr>
                <w:rFonts w:ascii="Calibri" w:hAnsi="Calibri" w:cs="Calibri"/>
                <w:color w:val="000000"/>
                <w:sz w:val="18"/>
                <w:szCs w:val="18"/>
              </w:rPr>
            </w:pPr>
          </w:p>
        </w:tc>
      </w:tr>
      <w:tr w:rsidR="00835C54" w:rsidRPr="00C97A19" w14:paraId="23BABBFE" w14:textId="77777777" w:rsidTr="001C53EC">
        <w:tc>
          <w:tcPr>
            <w:tcW w:w="1838" w:type="dxa"/>
            <w:tcBorders>
              <w:bottom w:val="single" w:sz="4" w:space="0" w:color="auto"/>
            </w:tcBorders>
          </w:tcPr>
          <w:p w14:paraId="76F88E24" w14:textId="557BD11A" w:rsidR="00835C54" w:rsidRPr="00C97A19" w:rsidRDefault="00006988" w:rsidP="00006988">
            <w:pPr>
              <w:pStyle w:val="ListParagraph"/>
              <w:autoSpaceDE w:val="0"/>
              <w:autoSpaceDN w:val="0"/>
              <w:adjustRightInd w:val="0"/>
              <w:ind w:left="319"/>
              <w:jc w:val="both"/>
              <w:rPr>
                <w:rFonts w:ascii="Calibri" w:hAnsi="Calibri" w:cs="Calibri"/>
                <w:sz w:val="18"/>
                <w:szCs w:val="18"/>
                <w:lang w:val="en-AU"/>
              </w:rPr>
            </w:pPr>
            <w:r w:rsidRPr="00C97A19">
              <w:rPr>
                <w:rFonts w:ascii="Calibri" w:hAnsi="Calibri" w:cs="Calibri"/>
                <w:b/>
                <w:bCs/>
                <w:sz w:val="18"/>
                <w:szCs w:val="18"/>
                <w:lang w:val="en-AU"/>
              </w:rPr>
              <w:lastRenderedPageBreak/>
              <w:t>Efficiency</w:t>
            </w:r>
          </w:p>
        </w:tc>
        <w:tc>
          <w:tcPr>
            <w:tcW w:w="4299" w:type="dxa"/>
            <w:tcBorders>
              <w:bottom w:val="single" w:sz="4" w:space="0" w:color="auto"/>
            </w:tcBorders>
          </w:tcPr>
          <w:p w14:paraId="4319C436" w14:textId="62FBF526" w:rsidR="00835C54" w:rsidRPr="00C97A19" w:rsidRDefault="00835C54">
            <w:pPr>
              <w:pStyle w:val="ListParagraph"/>
              <w:numPr>
                <w:ilvl w:val="0"/>
                <w:numId w:val="12"/>
              </w:numPr>
              <w:autoSpaceDE w:val="0"/>
              <w:autoSpaceDN w:val="0"/>
              <w:adjustRightInd w:val="0"/>
              <w:ind w:left="319" w:hanging="284"/>
              <w:jc w:val="both"/>
              <w:rPr>
                <w:rFonts w:ascii="Calibri" w:hAnsi="Calibri" w:cs="Calibri"/>
                <w:sz w:val="18"/>
                <w:szCs w:val="18"/>
                <w:lang w:val="en-AU"/>
              </w:rPr>
            </w:pPr>
            <w:r w:rsidRPr="00C97A19">
              <w:rPr>
                <w:rFonts w:ascii="Calibri" w:hAnsi="Calibri" w:cs="Calibri"/>
                <w:sz w:val="18"/>
                <w:szCs w:val="18"/>
                <w:lang w:val="en-AU"/>
              </w:rPr>
              <w:t>To what extent has VPSDP maintained appropriate use of financial, human and technical resources in both implementation and management</w:t>
            </w:r>
            <w:r>
              <w:rPr>
                <w:rFonts w:ascii="Calibri" w:hAnsi="Calibri" w:cs="Calibri"/>
                <w:sz w:val="18"/>
                <w:szCs w:val="18"/>
                <w:lang w:val="en-AU"/>
              </w:rPr>
              <w:t>?</w:t>
            </w:r>
          </w:p>
        </w:tc>
        <w:tc>
          <w:tcPr>
            <w:tcW w:w="3213" w:type="dxa"/>
            <w:tcBorders>
              <w:bottom w:val="single" w:sz="4" w:space="0" w:color="auto"/>
            </w:tcBorders>
          </w:tcPr>
          <w:p w14:paraId="4E8912A6" w14:textId="77777777" w:rsidR="00835C54" w:rsidRPr="000348BD" w:rsidRDefault="00835C54">
            <w:pPr>
              <w:pStyle w:val="ListParagraph"/>
              <w:numPr>
                <w:ilvl w:val="0"/>
                <w:numId w:val="12"/>
              </w:numPr>
              <w:autoSpaceDE w:val="0"/>
              <w:autoSpaceDN w:val="0"/>
              <w:adjustRightInd w:val="0"/>
              <w:ind w:left="319" w:hanging="284"/>
              <w:jc w:val="both"/>
              <w:rPr>
                <w:rFonts w:ascii="Calibri" w:hAnsi="Calibri" w:cs="Calibri"/>
                <w:color w:val="000000"/>
                <w:sz w:val="18"/>
                <w:szCs w:val="18"/>
                <w:lang w:val="en-AU"/>
              </w:rPr>
            </w:pPr>
            <w:r w:rsidRPr="000348BD">
              <w:rPr>
                <w:rFonts w:ascii="Calibri" w:hAnsi="Calibri" w:cs="Calibri"/>
                <w:color w:val="000000"/>
                <w:sz w:val="18"/>
                <w:szCs w:val="18"/>
                <w:lang w:val="en-AU"/>
              </w:rPr>
              <w:t xml:space="preserve">To what extent VPSDP resources able to respond/address the critical gaps of the private sector and client government agencies in Viet Nam? </w:t>
            </w:r>
          </w:p>
          <w:p w14:paraId="7B9D4BA2" w14:textId="77777777" w:rsidR="00835C54" w:rsidRPr="000348BD" w:rsidRDefault="00835C54">
            <w:pPr>
              <w:pStyle w:val="ListParagraph"/>
              <w:numPr>
                <w:ilvl w:val="0"/>
                <w:numId w:val="14"/>
              </w:numPr>
              <w:autoSpaceDE w:val="0"/>
              <w:autoSpaceDN w:val="0"/>
              <w:adjustRightInd w:val="0"/>
              <w:jc w:val="both"/>
              <w:rPr>
                <w:rFonts w:ascii="Calibri" w:hAnsi="Calibri" w:cs="Calibri"/>
                <w:color w:val="000000"/>
                <w:sz w:val="18"/>
                <w:szCs w:val="18"/>
                <w:lang w:val="en-AU"/>
              </w:rPr>
            </w:pPr>
            <w:r w:rsidRPr="000348BD">
              <w:rPr>
                <w:rFonts w:ascii="Calibri" w:hAnsi="Calibri" w:cs="Calibri"/>
                <w:sz w:val="18"/>
                <w:szCs w:val="18"/>
                <w:lang w:val="en-AU"/>
              </w:rPr>
              <w:t>Refer to the needs of clients which include government, firm and market level stakeholders.</w:t>
            </w:r>
          </w:p>
          <w:p w14:paraId="5C6B842E" w14:textId="77777777" w:rsidR="00835C54" w:rsidRPr="000348BD" w:rsidRDefault="00835C54">
            <w:pPr>
              <w:pStyle w:val="NoSpacing"/>
              <w:numPr>
                <w:ilvl w:val="0"/>
                <w:numId w:val="14"/>
              </w:numPr>
              <w:autoSpaceDE w:val="0"/>
              <w:autoSpaceDN w:val="0"/>
              <w:adjustRightInd w:val="0"/>
              <w:jc w:val="both"/>
              <w:rPr>
                <w:rFonts w:ascii="Calibri" w:hAnsi="Calibri" w:cs="Calibri"/>
                <w:color w:val="000000"/>
                <w:sz w:val="18"/>
                <w:szCs w:val="18"/>
              </w:rPr>
            </w:pPr>
            <w:r w:rsidRPr="000348BD">
              <w:rPr>
                <w:rFonts w:ascii="Calibri" w:hAnsi="Calibri" w:cs="Calibri"/>
                <w:sz w:val="18"/>
                <w:szCs w:val="18"/>
              </w:rPr>
              <w:t>Refer to the ability of Partnership design and partners (risk management and governance arrangements and resources etc.) to facilitate this evolution.</w:t>
            </w:r>
          </w:p>
        </w:tc>
      </w:tr>
      <w:tr w:rsidR="00835C54" w:rsidRPr="00C97A19" w14:paraId="32917249" w14:textId="77777777" w:rsidTr="001C53EC">
        <w:tc>
          <w:tcPr>
            <w:tcW w:w="1838" w:type="dxa"/>
          </w:tcPr>
          <w:p w14:paraId="38415CD5" w14:textId="4BBF29EB" w:rsidR="00835C54" w:rsidRPr="00C97A19" w:rsidRDefault="00006988" w:rsidP="00006988">
            <w:pPr>
              <w:pStyle w:val="NoSpacing"/>
              <w:autoSpaceDE w:val="0"/>
              <w:autoSpaceDN w:val="0"/>
              <w:adjustRightInd w:val="0"/>
              <w:ind w:left="319"/>
              <w:jc w:val="both"/>
              <w:rPr>
                <w:rFonts w:ascii="Calibri" w:hAnsi="Calibri" w:cs="Calibri"/>
                <w:color w:val="000000"/>
                <w:sz w:val="18"/>
                <w:szCs w:val="18"/>
              </w:rPr>
            </w:pPr>
            <w:r w:rsidRPr="00C97A19">
              <w:rPr>
                <w:rFonts w:ascii="Calibri" w:hAnsi="Calibri" w:cs="Calibri"/>
                <w:b/>
                <w:bCs/>
                <w:color w:val="000000"/>
                <w:sz w:val="18"/>
                <w:szCs w:val="18"/>
              </w:rPr>
              <w:t>Sustainability</w:t>
            </w:r>
          </w:p>
        </w:tc>
        <w:tc>
          <w:tcPr>
            <w:tcW w:w="4299" w:type="dxa"/>
          </w:tcPr>
          <w:p w14:paraId="4A1759E7" w14:textId="7D40C137" w:rsidR="00835C54" w:rsidRPr="00C97A19" w:rsidRDefault="00835C54">
            <w:pPr>
              <w:pStyle w:val="NoSpacing"/>
              <w:numPr>
                <w:ilvl w:val="0"/>
                <w:numId w:val="15"/>
              </w:numPr>
              <w:autoSpaceDE w:val="0"/>
              <w:autoSpaceDN w:val="0"/>
              <w:adjustRightInd w:val="0"/>
              <w:ind w:left="319" w:hanging="142"/>
              <w:jc w:val="both"/>
              <w:rPr>
                <w:rFonts w:ascii="Calibri" w:hAnsi="Calibri" w:cs="Calibri"/>
                <w:color w:val="000000"/>
                <w:sz w:val="18"/>
                <w:szCs w:val="18"/>
              </w:rPr>
            </w:pPr>
            <w:r w:rsidRPr="00C97A19">
              <w:rPr>
                <w:rFonts w:ascii="Calibri" w:hAnsi="Calibri" w:cs="Calibri"/>
                <w:color w:val="000000"/>
                <w:sz w:val="18"/>
                <w:szCs w:val="18"/>
              </w:rPr>
              <w:t xml:space="preserve">What are the overall highlights and lessons learned for the VPSDP in terms of design of private sector development and investment programming in Viet Nam? </w:t>
            </w:r>
          </w:p>
          <w:p w14:paraId="7CE0CF4D" w14:textId="77777777" w:rsidR="00835C54" w:rsidRPr="000348BD" w:rsidRDefault="00835C54">
            <w:pPr>
              <w:pStyle w:val="NoSpacing"/>
              <w:numPr>
                <w:ilvl w:val="0"/>
                <w:numId w:val="15"/>
              </w:numPr>
              <w:autoSpaceDE w:val="0"/>
              <w:autoSpaceDN w:val="0"/>
              <w:adjustRightInd w:val="0"/>
              <w:ind w:left="319" w:hanging="142"/>
              <w:jc w:val="both"/>
              <w:rPr>
                <w:rFonts w:ascii="Calibri" w:hAnsi="Calibri" w:cs="Calibri"/>
                <w:color w:val="000000"/>
                <w:sz w:val="18"/>
                <w:szCs w:val="18"/>
              </w:rPr>
            </w:pPr>
            <w:r w:rsidRPr="000348BD">
              <w:rPr>
                <w:rFonts w:ascii="Calibri" w:hAnsi="Calibri" w:cs="Calibri"/>
                <w:color w:val="000000" w:themeColor="text1"/>
                <w:sz w:val="18"/>
                <w:szCs w:val="18"/>
              </w:rPr>
              <w:t>Based on the evidence identified and analysed, what are potential areas for further improvement going forward?</w:t>
            </w:r>
          </w:p>
        </w:tc>
        <w:tc>
          <w:tcPr>
            <w:tcW w:w="3213" w:type="dxa"/>
          </w:tcPr>
          <w:p w14:paraId="577DBBC0" w14:textId="77777777" w:rsidR="00835C54" w:rsidRPr="000348BD" w:rsidRDefault="00835C54">
            <w:pPr>
              <w:pStyle w:val="NoSpacing"/>
              <w:numPr>
                <w:ilvl w:val="1"/>
                <w:numId w:val="16"/>
              </w:numPr>
              <w:autoSpaceDE w:val="0"/>
              <w:autoSpaceDN w:val="0"/>
              <w:adjustRightInd w:val="0"/>
              <w:ind w:left="325" w:hanging="283"/>
              <w:jc w:val="both"/>
              <w:rPr>
                <w:rFonts w:ascii="Calibri" w:hAnsi="Calibri" w:cs="Calibri"/>
                <w:color w:val="000000"/>
                <w:sz w:val="18"/>
                <w:szCs w:val="18"/>
              </w:rPr>
            </w:pPr>
            <w:r w:rsidRPr="000348BD">
              <w:rPr>
                <w:rFonts w:ascii="Calibri" w:hAnsi="Calibri" w:cs="Calibri"/>
                <w:color w:val="000000" w:themeColor="text1"/>
                <w:sz w:val="18"/>
                <w:szCs w:val="18"/>
              </w:rPr>
              <w:t>Include reference to impacts related to gender, disability and climate change</w:t>
            </w:r>
          </w:p>
          <w:p w14:paraId="0D989B7B" w14:textId="77777777" w:rsidR="00835C54" w:rsidRPr="00C97A19" w:rsidRDefault="00835C54">
            <w:pPr>
              <w:pStyle w:val="NoSpacing"/>
              <w:numPr>
                <w:ilvl w:val="1"/>
                <w:numId w:val="16"/>
              </w:numPr>
              <w:autoSpaceDE w:val="0"/>
              <w:autoSpaceDN w:val="0"/>
              <w:adjustRightInd w:val="0"/>
              <w:ind w:left="325" w:hanging="283"/>
              <w:jc w:val="both"/>
              <w:rPr>
                <w:rFonts w:ascii="Calibri" w:hAnsi="Calibri" w:cs="Calibri"/>
                <w:color w:val="000000"/>
                <w:sz w:val="18"/>
                <w:szCs w:val="18"/>
              </w:rPr>
            </w:pPr>
            <w:r w:rsidRPr="00C97A19">
              <w:rPr>
                <w:rFonts w:ascii="Calibri" w:hAnsi="Calibri" w:cs="Calibri"/>
                <w:color w:val="000000"/>
                <w:sz w:val="18"/>
                <w:szCs w:val="18"/>
              </w:rPr>
              <w:t>To what extend the impacts are likely to be sustained?</w:t>
            </w:r>
          </w:p>
        </w:tc>
      </w:tr>
    </w:tbl>
    <w:p w14:paraId="700B2823" w14:textId="77777777" w:rsidR="00F76090" w:rsidRPr="00C97A19" w:rsidRDefault="00F76090" w:rsidP="00F76090">
      <w:pPr>
        <w:pStyle w:val="BodyText"/>
        <w:rPr>
          <w:rFonts w:cs="Calibri"/>
          <w:lang w:val="en-AU"/>
        </w:rPr>
      </w:pPr>
    </w:p>
    <w:p w14:paraId="6430D3C6" w14:textId="75B309A7" w:rsidR="008362E5" w:rsidRPr="00C97A19" w:rsidRDefault="008362E5" w:rsidP="008362E5">
      <w:pPr>
        <w:pStyle w:val="BodyText"/>
        <w:jc w:val="both"/>
        <w:rPr>
          <w:rFonts w:cs="Calibri"/>
          <w:szCs w:val="22"/>
          <w:lang w:val="en-AU"/>
        </w:rPr>
      </w:pPr>
      <w:r w:rsidRPr="00C97A19">
        <w:rPr>
          <w:rFonts w:cs="Calibri"/>
          <w:szCs w:val="22"/>
          <w:lang w:val="en-AU"/>
        </w:rPr>
        <w:t xml:space="preserve">In the report below, </w:t>
      </w:r>
      <w:r w:rsidR="003E33AD" w:rsidRPr="00C97A19">
        <w:rPr>
          <w:rFonts w:cs="Calibri"/>
          <w:szCs w:val="22"/>
          <w:lang w:val="en-AU"/>
        </w:rPr>
        <w:t>coherence</w:t>
      </w:r>
      <w:r w:rsidRPr="00C97A19">
        <w:rPr>
          <w:rFonts w:cs="Calibri"/>
          <w:szCs w:val="22"/>
          <w:lang w:val="en-AU"/>
        </w:rPr>
        <w:t xml:space="preserve"> and effectiveness have been switched around. This was primarily </w:t>
      </w:r>
      <w:r w:rsidR="003E33AD" w:rsidRPr="00C97A19">
        <w:rPr>
          <w:rFonts w:cs="Calibri"/>
          <w:szCs w:val="22"/>
          <w:lang w:val="en-AU"/>
        </w:rPr>
        <w:t>because</w:t>
      </w:r>
      <w:r w:rsidRPr="00C97A19">
        <w:rPr>
          <w:rFonts w:cs="Calibri"/>
          <w:szCs w:val="22"/>
          <w:lang w:val="en-AU"/>
        </w:rPr>
        <w:t xml:space="preserve"> elements</w:t>
      </w:r>
      <w:r w:rsidR="003E33AD" w:rsidRPr="00C97A19">
        <w:rPr>
          <w:rFonts w:cs="Calibri"/>
          <w:szCs w:val="22"/>
          <w:lang w:val="en-AU"/>
        </w:rPr>
        <w:t xml:space="preserve"> </w:t>
      </w:r>
      <w:r w:rsidRPr="00C97A19">
        <w:rPr>
          <w:rFonts w:cs="Calibri"/>
          <w:szCs w:val="22"/>
          <w:lang w:val="en-AU"/>
        </w:rPr>
        <w:t xml:space="preserve">of the MEL </w:t>
      </w:r>
      <w:r w:rsidR="003E33AD" w:rsidRPr="00C97A19">
        <w:rPr>
          <w:rFonts w:cs="Calibri"/>
          <w:szCs w:val="22"/>
          <w:lang w:val="en-AU"/>
        </w:rPr>
        <w:t>framework</w:t>
      </w:r>
      <w:r w:rsidRPr="00C97A19">
        <w:rPr>
          <w:rFonts w:cs="Calibri"/>
          <w:szCs w:val="22"/>
          <w:lang w:val="en-AU"/>
        </w:rPr>
        <w:t xml:space="preserve"> were introduced in the </w:t>
      </w:r>
      <w:r w:rsidR="003E33AD" w:rsidRPr="00C97A19">
        <w:rPr>
          <w:rFonts w:cs="Calibri"/>
          <w:szCs w:val="22"/>
          <w:lang w:val="en-AU"/>
        </w:rPr>
        <w:t>coherence</w:t>
      </w:r>
      <w:r w:rsidRPr="00C97A19">
        <w:rPr>
          <w:rFonts w:cs="Calibri"/>
          <w:szCs w:val="22"/>
          <w:lang w:val="en-AU"/>
        </w:rPr>
        <w:t xml:space="preserve"> section</w:t>
      </w:r>
      <w:r w:rsidR="003E33AD" w:rsidRPr="00C97A19">
        <w:rPr>
          <w:rFonts w:cs="Calibri"/>
          <w:szCs w:val="22"/>
          <w:lang w:val="en-AU"/>
        </w:rPr>
        <w:t>,</w:t>
      </w:r>
      <w:r w:rsidRPr="00C97A19">
        <w:rPr>
          <w:rFonts w:cs="Calibri"/>
          <w:szCs w:val="22"/>
          <w:lang w:val="en-AU"/>
        </w:rPr>
        <w:t xml:space="preserve"> which had direct implications for </w:t>
      </w:r>
      <w:r w:rsidR="003E33AD" w:rsidRPr="00C97A19">
        <w:rPr>
          <w:rFonts w:cs="Calibri"/>
          <w:szCs w:val="22"/>
          <w:lang w:val="en-AU"/>
        </w:rPr>
        <w:t>aspects of</w:t>
      </w:r>
      <w:r w:rsidRPr="00C97A19">
        <w:rPr>
          <w:rFonts w:cs="Calibri"/>
          <w:szCs w:val="22"/>
          <w:lang w:val="en-AU"/>
        </w:rPr>
        <w:t xml:space="preserve"> effectiveness.</w:t>
      </w:r>
      <w:r w:rsidR="003E33AD" w:rsidRPr="00C97A19">
        <w:rPr>
          <w:rFonts w:cs="Calibri"/>
          <w:szCs w:val="22"/>
          <w:lang w:val="en-AU"/>
        </w:rPr>
        <w:t xml:space="preserve"> </w:t>
      </w:r>
    </w:p>
    <w:p w14:paraId="11B649AF" w14:textId="7FB6B920" w:rsidR="00F76090" w:rsidRPr="00C97A19" w:rsidRDefault="00F76090" w:rsidP="4EF1951E">
      <w:pPr>
        <w:pStyle w:val="Heading1"/>
        <w:rPr>
          <w:rFonts w:cs="Calibri"/>
          <w:b w:val="0"/>
          <w:bCs/>
          <w:lang w:val="en-AU"/>
        </w:rPr>
      </w:pPr>
      <w:bookmarkStart w:id="27" w:name="_Toc201131768"/>
      <w:bookmarkStart w:id="28" w:name="_Toc233724255"/>
      <w:r w:rsidRPr="00C97A19">
        <w:rPr>
          <w:rFonts w:cs="Calibri"/>
          <w:b w:val="0"/>
          <w:bCs/>
          <w:lang w:val="en-AU"/>
        </w:rPr>
        <w:t>Evaluation Limitations</w:t>
      </w:r>
      <w:bookmarkEnd w:id="27"/>
      <w:bookmarkEnd w:id="28"/>
    </w:p>
    <w:p w14:paraId="5E657495" w14:textId="668682C3" w:rsidR="00C03508" w:rsidRPr="00C97A19" w:rsidRDefault="00C03508" w:rsidP="00C03508">
      <w:pPr>
        <w:pStyle w:val="BodyText"/>
        <w:jc w:val="both"/>
        <w:rPr>
          <w:rFonts w:cs="Calibri"/>
          <w:b/>
          <w:lang w:val="en-AU"/>
        </w:rPr>
      </w:pPr>
      <w:bookmarkStart w:id="29" w:name="_Toc201131769"/>
      <w:r w:rsidRPr="00C97A19">
        <w:rPr>
          <w:rFonts w:cs="Calibri"/>
          <w:lang w:val="en-AU"/>
        </w:rPr>
        <w:t xml:space="preserve">All evaluations and reviews are constrained by time and resources. Some limitations of this review are outlined below: </w:t>
      </w:r>
    </w:p>
    <w:p w14:paraId="75366107" w14:textId="57A1D752" w:rsidR="00C03508" w:rsidRPr="00C97A19" w:rsidRDefault="00C03508" w:rsidP="00C03508">
      <w:pPr>
        <w:pStyle w:val="BodyText"/>
        <w:jc w:val="both"/>
        <w:rPr>
          <w:rFonts w:cs="Calibri"/>
          <w:lang w:val="en-AU"/>
        </w:rPr>
      </w:pPr>
      <w:r w:rsidRPr="00C97A19">
        <w:rPr>
          <w:rFonts w:cs="Calibri"/>
          <w:b/>
          <w:lang w:val="en-AU"/>
        </w:rPr>
        <w:t>Time and Resources:</w:t>
      </w:r>
      <w:r w:rsidRPr="00C97A19">
        <w:rPr>
          <w:rFonts w:cs="Calibri"/>
          <w:lang w:val="en-AU"/>
        </w:rPr>
        <w:t xml:space="preserve"> </w:t>
      </w:r>
      <w:r w:rsidR="00535F4D" w:rsidRPr="00C97A19">
        <w:rPr>
          <w:rFonts w:cs="Calibri"/>
          <w:lang w:val="en-AU"/>
        </w:rPr>
        <w:t>T</w:t>
      </w:r>
      <w:r w:rsidRPr="00C97A19">
        <w:rPr>
          <w:rFonts w:cs="Calibri"/>
          <w:lang w:val="en-AU"/>
        </w:rPr>
        <w:t>he rigour of the data</w:t>
      </w:r>
      <w:r w:rsidR="00535F4D" w:rsidRPr="00C97A19">
        <w:rPr>
          <w:rFonts w:cs="Calibri"/>
          <w:lang w:val="en-AU"/>
        </w:rPr>
        <w:t>-</w:t>
      </w:r>
      <w:r w:rsidRPr="00C97A19">
        <w:rPr>
          <w:rFonts w:cs="Calibri"/>
          <w:lang w:val="en-AU"/>
        </w:rPr>
        <w:t xml:space="preserve">gathering analysis was constrained to some </w:t>
      </w:r>
      <w:r w:rsidR="00A47284" w:rsidRPr="00C97A19">
        <w:rPr>
          <w:rFonts w:cs="Calibri"/>
          <w:lang w:val="en-AU"/>
        </w:rPr>
        <w:t>extent</w:t>
      </w:r>
      <w:r w:rsidRPr="00C97A19">
        <w:rPr>
          <w:rFonts w:cs="Calibri"/>
          <w:lang w:val="en-AU"/>
        </w:rPr>
        <w:t xml:space="preserve"> by the available</w:t>
      </w:r>
      <w:r w:rsidR="00A47284" w:rsidRPr="00C97A19">
        <w:rPr>
          <w:rFonts w:cs="Calibri"/>
          <w:lang w:val="en-AU"/>
        </w:rPr>
        <w:t xml:space="preserve"> time</w:t>
      </w:r>
      <w:r w:rsidRPr="00C97A19">
        <w:rPr>
          <w:rFonts w:cs="Calibri"/>
          <w:lang w:val="en-AU"/>
        </w:rPr>
        <w:t>. The evaluator met with all identified key stakeholders but had limited time for follow-up meetings and discussions. However, the evaluator worked closely with IFC and DFAT to identify and select key stakeholders to meet with during the interview process.</w:t>
      </w:r>
    </w:p>
    <w:p w14:paraId="42352EC5" w14:textId="05E6568B" w:rsidR="00C03508" w:rsidRPr="00C97A19" w:rsidRDefault="00C03508" w:rsidP="00C03508">
      <w:pPr>
        <w:pStyle w:val="BodyText"/>
        <w:jc w:val="both"/>
        <w:rPr>
          <w:rFonts w:cs="Calibri"/>
          <w:lang w:val="en-AU"/>
        </w:rPr>
      </w:pPr>
      <w:r w:rsidRPr="00C97A19">
        <w:rPr>
          <w:rFonts w:cs="Calibri"/>
          <w:b/>
          <w:bCs/>
          <w:lang w:val="en-AU"/>
        </w:rPr>
        <w:t xml:space="preserve">Representation of Stakeholders: </w:t>
      </w:r>
      <w:r w:rsidRPr="00C97A19">
        <w:rPr>
          <w:rFonts w:cs="Calibri"/>
          <w:lang w:val="en-AU"/>
        </w:rPr>
        <w:t>Careful consideration</w:t>
      </w:r>
      <w:r w:rsidR="00535F4D" w:rsidRPr="00C97A19">
        <w:rPr>
          <w:rFonts w:cs="Calibri"/>
          <w:lang w:val="en-AU"/>
        </w:rPr>
        <w:t xml:space="preserve"> </w:t>
      </w:r>
      <w:r w:rsidRPr="00C97A19">
        <w:rPr>
          <w:rFonts w:cs="Calibri"/>
          <w:lang w:val="en-AU"/>
        </w:rPr>
        <w:t xml:space="preserve">was required to ensure an appropriate mix of stakeholders, particularly those involved in day-to-day implementation and management. This issue was discussed with IFC, and </w:t>
      </w:r>
      <w:r w:rsidR="00535F4D" w:rsidRPr="00C97A19">
        <w:rPr>
          <w:rFonts w:cs="Calibri"/>
          <w:lang w:val="en-AU"/>
        </w:rPr>
        <w:t>appropriate</w:t>
      </w:r>
      <w:r w:rsidRPr="00C97A19">
        <w:rPr>
          <w:rFonts w:cs="Calibri"/>
          <w:lang w:val="en-AU"/>
        </w:rPr>
        <w:t xml:space="preserve"> targeting and participant selection w</w:t>
      </w:r>
      <w:r w:rsidR="00535F4D" w:rsidRPr="00C97A19">
        <w:rPr>
          <w:rFonts w:cs="Calibri"/>
          <w:lang w:val="en-AU"/>
        </w:rPr>
        <w:t>ere</w:t>
      </w:r>
      <w:r w:rsidRPr="00C97A19">
        <w:rPr>
          <w:rFonts w:cs="Calibri"/>
          <w:lang w:val="en-AU"/>
        </w:rPr>
        <w:t xml:space="preserve"> implemented, particularly </w:t>
      </w:r>
      <w:r w:rsidR="00535F4D" w:rsidRPr="00C97A19">
        <w:rPr>
          <w:rFonts w:cs="Calibri"/>
          <w:lang w:val="en-AU"/>
        </w:rPr>
        <w:t>to</w:t>
      </w:r>
      <w:r w:rsidRPr="00C97A19">
        <w:rPr>
          <w:rFonts w:cs="Calibri"/>
          <w:lang w:val="en-AU"/>
        </w:rPr>
        <w:t xml:space="preserve"> </w:t>
      </w:r>
      <w:r w:rsidR="00535F4D" w:rsidRPr="00C97A19">
        <w:rPr>
          <w:rFonts w:cs="Calibri"/>
          <w:lang w:val="en-AU"/>
        </w:rPr>
        <w:t>ensure</w:t>
      </w:r>
      <w:r w:rsidRPr="00C97A19">
        <w:rPr>
          <w:rFonts w:cs="Calibri"/>
          <w:lang w:val="en-AU"/>
        </w:rPr>
        <w:t xml:space="preserve"> equal representation of Clients.</w:t>
      </w:r>
    </w:p>
    <w:p w14:paraId="0D5024B2" w14:textId="612CB449" w:rsidR="00C03508" w:rsidRPr="00C97A19" w:rsidRDefault="00C03508" w:rsidP="00C03508">
      <w:pPr>
        <w:pStyle w:val="BodyText"/>
        <w:jc w:val="both"/>
        <w:rPr>
          <w:rFonts w:cs="Calibri"/>
          <w:lang w:val="en-AU"/>
        </w:rPr>
      </w:pPr>
      <w:r w:rsidRPr="00C97A19">
        <w:rPr>
          <w:rFonts w:cs="Calibri"/>
          <w:b/>
          <w:lang w:val="en-AU"/>
        </w:rPr>
        <w:t>Judgements:</w:t>
      </w:r>
      <w:r w:rsidRPr="00C97A19">
        <w:rPr>
          <w:rFonts w:cs="Calibri"/>
          <w:lang w:val="en-AU"/>
        </w:rPr>
        <w:t xml:space="preserve"> </w:t>
      </w:r>
      <w:r w:rsidR="00535F4D" w:rsidRPr="00C97A19">
        <w:rPr>
          <w:rFonts w:cs="Calibri"/>
          <w:lang w:val="en-AU"/>
        </w:rPr>
        <w:t>T</w:t>
      </w:r>
      <w:r w:rsidRPr="00C97A19">
        <w:rPr>
          <w:rFonts w:cs="Calibri"/>
          <w:lang w:val="en-AU"/>
        </w:rPr>
        <w:t xml:space="preserve">ime </w:t>
      </w:r>
      <w:r w:rsidR="00535F4D" w:rsidRPr="00C97A19">
        <w:rPr>
          <w:rFonts w:cs="Calibri"/>
          <w:lang w:val="en-AU"/>
        </w:rPr>
        <w:t>constraints</w:t>
      </w:r>
      <w:r w:rsidRPr="00C97A19">
        <w:rPr>
          <w:rFonts w:cs="Calibri"/>
          <w:lang w:val="en-AU"/>
        </w:rPr>
        <w:t xml:space="preserve"> </w:t>
      </w:r>
      <w:r w:rsidR="00535F4D" w:rsidRPr="00C97A19">
        <w:rPr>
          <w:rFonts w:cs="Calibri"/>
          <w:lang w:val="en-AU"/>
        </w:rPr>
        <w:t>often required</w:t>
      </w:r>
      <w:r w:rsidRPr="00C97A19">
        <w:rPr>
          <w:rFonts w:cs="Calibri"/>
          <w:lang w:val="en-AU"/>
        </w:rPr>
        <w:t xml:space="preserve"> professional judgement to interpret stakeholder perspectives.</w:t>
      </w:r>
    </w:p>
    <w:p w14:paraId="569C6E12" w14:textId="4E04EACF" w:rsidR="00C03508" w:rsidRPr="00C97A19" w:rsidRDefault="00C03508" w:rsidP="00C03508">
      <w:pPr>
        <w:tabs>
          <w:tab w:val="left" w:pos="0"/>
        </w:tabs>
        <w:spacing w:after="120"/>
        <w:jc w:val="both"/>
        <w:rPr>
          <w:rFonts w:ascii="Calibri" w:hAnsi="Calibri" w:cs="Calibri"/>
          <w:sz w:val="22"/>
          <w:szCs w:val="22"/>
          <w:lang w:val="en-AU"/>
        </w:rPr>
      </w:pPr>
      <w:r w:rsidRPr="00C97A19">
        <w:rPr>
          <w:rFonts w:ascii="Calibri" w:hAnsi="Calibri" w:cs="Calibri"/>
          <w:b/>
          <w:sz w:val="22"/>
          <w:szCs w:val="22"/>
          <w:lang w:val="en-AU"/>
        </w:rPr>
        <w:t>Attribution</w:t>
      </w:r>
      <w:r w:rsidRPr="00C97A19">
        <w:rPr>
          <w:rFonts w:ascii="Calibri" w:hAnsi="Calibri" w:cs="Calibri"/>
          <w:sz w:val="22"/>
          <w:szCs w:val="22"/>
          <w:lang w:val="en-AU"/>
        </w:rPr>
        <w:t>: The progr</w:t>
      </w:r>
      <w:r w:rsidR="00535F4D" w:rsidRPr="00C97A19">
        <w:rPr>
          <w:rFonts w:ascii="Calibri" w:hAnsi="Calibri" w:cs="Calibri"/>
          <w:sz w:val="22"/>
          <w:szCs w:val="22"/>
          <w:lang w:val="en-AU"/>
        </w:rPr>
        <w:t>am</w:t>
      </w:r>
      <w:r w:rsidRPr="00C97A19">
        <w:rPr>
          <w:rFonts w:ascii="Calibri" w:hAnsi="Calibri" w:cs="Calibri"/>
          <w:sz w:val="22"/>
          <w:szCs w:val="22"/>
          <w:lang w:val="en-AU"/>
        </w:rPr>
        <w:t xml:space="preserve"> operates in a fluid</w:t>
      </w:r>
      <w:r w:rsidR="00535F4D" w:rsidRPr="00C97A19">
        <w:rPr>
          <w:rFonts w:ascii="Calibri" w:hAnsi="Calibri" w:cs="Calibri"/>
          <w:sz w:val="22"/>
          <w:szCs w:val="22"/>
          <w:lang w:val="en-AU"/>
        </w:rPr>
        <w:t>,</w:t>
      </w:r>
      <w:r w:rsidRPr="00C97A19">
        <w:rPr>
          <w:rFonts w:ascii="Calibri" w:hAnsi="Calibri" w:cs="Calibri"/>
          <w:sz w:val="22"/>
          <w:szCs w:val="22"/>
          <w:lang w:val="en-AU"/>
        </w:rPr>
        <w:t xml:space="preserve"> dynamic environment, </w:t>
      </w:r>
      <w:r w:rsidR="00535F4D" w:rsidRPr="00C97A19">
        <w:rPr>
          <w:rFonts w:ascii="Calibri" w:hAnsi="Calibri" w:cs="Calibri"/>
          <w:sz w:val="22"/>
          <w:szCs w:val="22"/>
          <w:lang w:val="en-AU"/>
        </w:rPr>
        <w:t>with</w:t>
      </w:r>
      <w:r w:rsidRPr="00C97A19">
        <w:rPr>
          <w:rFonts w:ascii="Calibri" w:hAnsi="Calibri" w:cs="Calibri"/>
          <w:sz w:val="22"/>
          <w:szCs w:val="22"/>
          <w:lang w:val="en-AU"/>
        </w:rPr>
        <w:t xml:space="preserve"> many factors influenc</w:t>
      </w:r>
      <w:r w:rsidR="00535F4D" w:rsidRPr="00C97A19">
        <w:rPr>
          <w:rFonts w:ascii="Calibri" w:hAnsi="Calibri" w:cs="Calibri"/>
          <w:sz w:val="22"/>
          <w:szCs w:val="22"/>
          <w:lang w:val="en-AU"/>
        </w:rPr>
        <w:t>ing</w:t>
      </w:r>
      <w:r w:rsidRPr="00C97A19">
        <w:rPr>
          <w:rFonts w:ascii="Calibri" w:hAnsi="Calibri" w:cs="Calibri"/>
          <w:sz w:val="22"/>
          <w:szCs w:val="22"/>
          <w:lang w:val="en-AU"/>
        </w:rPr>
        <w:t xml:space="preserve"> performance and operational efficiency. Defining and identifying specific attribution areas remain</w:t>
      </w:r>
      <w:r w:rsidR="00535F4D" w:rsidRPr="00C97A19">
        <w:rPr>
          <w:rFonts w:ascii="Calibri" w:hAnsi="Calibri" w:cs="Calibri"/>
          <w:sz w:val="22"/>
          <w:szCs w:val="22"/>
          <w:lang w:val="en-AU"/>
        </w:rPr>
        <w:t>ed</w:t>
      </w:r>
      <w:r w:rsidRPr="00C97A19">
        <w:rPr>
          <w:rFonts w:ascii="Calibri" w:hAnsi="Calibri" w:cs="Calibri"/>
          <w:sz w:val="22"/>
          <w:szCs w:val="22"/>
          <w:lang w:val="en-AU"/>
        </w:rPr>
        <w:t xml:space="preserve"> challenging</w:t>
      </w:r>
      <w:r w:rsidR="00535F4D" w:rsidRPr="00C97A19">
        <w:rPr>
          <w:rFonts w:ascii="Calibri" w:hAnsi="Calibri" w:cs="Calibri"/>
          <w:sz w:val="22"/>
          <w:szCs w:val="22"/>
          <w:lang w:val="en-AU"/>
        </w:rPr>
        <w:t>; however, some examples of attribution were identified.</w:t>
      </w:r>
    </w:p>
    <w:p w14:paraId="7A860B30" w14:textId="1E22EFE1" w:rsidR="00F76090" w:rsidRPr="00C97A19" w:rsidRDefault="00F76090" w:rsidP="4EF1951E">
      <w:pPr>
        <w:pStyle w:val="Heading1"/>
        <w:spacing w:after="120"/>
        <w:jc w:val="both"/>
        <w:rPr>
          <w:rFonts w:cs="Calibri"/>
          <w:b w:val="0"/>
          <w:bCs/>
          <w:lang w:val="en-AU"/>
        </w:rPr>
      </w:pPr>
      <w:bookmarkStart w:id="30" w:name="_Toc233724256"/>
      <w:r w:rsidRPr="00C97A19">
        <w:rPr>
          <w:rFonts w:cs="Calibri"/>
          <w:b w:val="0"/>
          <w:bCs/>
          <w:lang w:val="en-AU"/>
        </w:rPr>
        <w:t>Key Findings</w:t>
      </w:r>
      <w:bookmarkEnd w:id="29"/>
      <w:bookmarkEnd w:id="30"/>
    </w:p>
    <w:p w14:paraId="136CF54C" w14:textId="2EA4B091" w:rsidR="00F76090" w:rsidRPr="00C97A19" w:rsidRDefault="00D972A1" w:rsidP="00B2301D">
      <w:pPr>
        <w:spacing w:after="120"/>
        <w:jc w:val="both"/>
        <w:rPr>
          <w:rFonts w:ascii="Calibri" w:hAnsi="Calibri" w:cs="Calibri"/>
          <w:sz w:val="22"/>
          <w:szCs w:val="22"/>
          <w:lang w:val="en-AU"/>
        </w:rPr>
      </w:pPr>
      <w:r w:rsidRPr="00C97A19">
        <w:rPr>
          <w:rFonts w:ascii="Calibri" w:hAnsi="Calibri" w:cs="Calibri"/>
          <w:sz w:val="22"/>
          <w:szCs w:val="22"/>
          <w:lang w:val="en-AU"/>
        </w:rPr>
        <w:t xml:space="preserve">The following sections provide key findings and analysis against the ToR and the KEQs listed above. </w:t>
      </w:r>
      <w:r w:rsidR="00047C6D" w:rsidRPr="00C97A19">
        <w:rPr>
          <w:rFonts w:ascii="Calibri" w:hAnsi="Calibri" w:cs="Calibri"/>
          <w:sz w:val="22"/>
          <w:szCs w:val="22"/>
          <w:lang w:val="en-AU"/>
        </w:rPr>
        <w:t>Secondary</w:t>
      </w:r>
      <w:r w:rsidRPr="00C97A19">
        <w:rPr>
          <w:rFonts w:ascii="Calibri" w:hAnsi="Calibri" w:cs="Calibri"/>
          <w:sz w:val="22"/>
          <w:szCs w:val="22"/>
          <w:lang w:val="en-AU"/>
        </w:rPr>
        <w:t xml:space="preserve"> questions are integrated into relevant sections and sub-sections</w:t>
      </w:r>
      <w:r w:rsidR="006C6428" w:rsidRPr="00C97A19">
        <w:rPr>
          <w:rFonts w:ascii="Calibri" w:hAnsi="Calibri" w:cs="Calibri"/>
          <w:sz w:val="22"/>
          <w:szCs w:val="22"/>
          <w:lang w:val="en-AU"/>
        </w:rPr>
        <w:t>,</w:t>
      </w:r>
      <w:r w:rsidRPr="00C97A19">
        <w:rPr>
          <w:rFonts w:ascii="Calibri" w:hAnsi="Calibri" w:cs="Calibri"/>
          <w:sz w:val="22"/>
          <w:szCs w:val="22"/>
          <w:lang w:val="en-AU"/>
        </w:rPr>
        <w:t xml:space="preserve"> highlighted to demonstrate coverage and completeness. </w:t>
      </w:r>
      <w:r w:rsidR="006F603B" w:rsidRPr="00C97A19">
        <w:rPr>
          <w:rFonts w:ascii="Calibri" w:hAnsi="Calibri" w:cs="Calibri"/>
          <w:sz w:val="22"/>
          <w:szCs w:val="22"/>
          <w:lang w:val="en-AU"/>
        </w:rPr>
        <w:t>The report has also assigned a rating based on each criteri</w:t>
      </w:r>
      <w:r w:rsidR="002E44E6" w:rsidRPr="00C97A19">
        <w:rPr>
          <w:rFonts w:ascii="Calibri" w:hAnsi="Calibri" w:cs="Calibri"/>
          <w:sz w:val="22"/>
          <w:szCs w:val="22"/>
          <w:lang w:val="en-AU"/>
        </w:rPr>
        <w:t>on</w:t>
      </w:r>
      <w:r w:rsidR="006F603B" w:rsidRPr="00C97A19">
        <w:rPr>
          <w:rFonts w:ascii="Calibri" w:hAnsi="Calibri" w:cs="Calibri"/>
          <w:sz w:val="22"/>
          <w:szCs w:val="22"/>
          <w:lang w:val="en-AU"/>
        </w:rPr>
        <w:t xml:space="preserve"> on a four</w:t>
      </w:r>
      <w:r w:rsidR="002E44E6" w:rsidRPr="00C97A19">
        <w:rPr>
          <w:rFonts w:ascii="Calibri" w:hAnsi="Calibri" w:cs="Calibri"/>
          <w:sz w:val="22"/>
          <w:szCs w:val="22"/>
          <w:lang w:val="en-AU"/>
        </w:rPr>
        <w:t>-</w:t>
      </w:r>
      <w:r w:rsidR="006F603B" w:rsidRPr="00C97A19">
        <w:rPr>
          <w:rFonts w:ascii="Calibri" w:hAnsi="Calibri" w:cs="Calibri"/>
          <w:sz w:val="22"/>
          <w:szCs w:val="22"/>
          <w:lang w:val="en-AU"/>
        </w:rPr>
        <w:t xml:space="preserve">point </w:t>
      </w:r>
      <w:r w:rsidR="006F603B" w:rsidRPr="00C97A19">
        <w:rPr>
          <w:rFonts w:ascii="Calibri" w:hAnsi="Calibri" w:cs="Calibri"/>
          <w:sz w:val="22"/>
          <w:szCs w:val="22"/>
          <w:lang w:val="en-AU"/>
        </w:rPr>
        <w:lastRenderedPageBreak/>
        <w:t>scale.</w:t>
      </w:r>
      <w:r w:rsidR="006F603B" w:rsidRPr="00C97A19">
        <w:rPr>
          <w:rStyle w:val="FootnoteReference"/>
          <w:rFonts w:ascii="Calibri" w:hAnsi="Calibri" w:cs="Calibri"/>
          <w:sz w:val="22"/>
          <w:szCs w:val="22"/>
          <w:lang w:val="en-AU"/>
        </w:rPr>
        <w:footnoteReference w:id="9"/>
      </w:r>
      <w:r w:rsidR="006F603B" w:rsidRPr="00C97A19">
        <w:rPr>
          <w:rFonts w:ascii="Calibri" w:hAnsi="Calibri" w:cs="Calibri"/>
          <w:sz w:val="22"/>
          <w:szCs w:val="22"/>
          <w:lang w:val="en-AU"/>
        </w:rPr>
        <w:t xml:space="preserve"> </w:t>
      </w:r>
      <w:r w:rsidRPr="00C97A19">
        <w:rPr>
          <w:rFonts w:ascii="Calibri" w:hAnsi="Calibri" w:cs="Calibri"/>
          <w:sz w:val="22"/>
          <w:szCs w:val="22"/>
          <w:lang w:val="en-AU"/>
        </w:rPr>
        <w:t xml:space="preserve">The results also </w:t>
      </w:r>
      <w:r w:rsidR="002E44E6" w:rsidRPr="00C97A19">
        <w:rPr>
          <w:rFonts w:ascii="Calibri" w:hAnsi="Calibri" w:cs="Calibri"/>
          <w:sz w:val="22"/>
          <w:szCs w:val="22"/>
          <w:lang w:val="en-AU"/>
        </w:rPr>
        <w:t>inform</w:t>
      </w:r>
      <w:r w:rsidR="006C6428" w:rsidRPr="00C97A19">
        <w:rPr>
          <w:rFonts w:ascii="Calibri" w:hAnsi="Calibri" w:cs="Calibri"/>
          <w:sz w:val="22"/>
          <w:szCs w:val="22"/>
          <w:lang w:val="en-AU"/>
        </w:rPr>
        <w:t xml:space="preserve"> </w:t>
      </w:r>
      <w:r w:rsidRPr="00C97A19">
        <w:rPr>
          <w:rFonts w:ascii="Calibri" w:hAnsi="Calibri" w:cs="Calibri"/>
          <w:sz w:val="22"/>
          <w:szCs w:val="22"/>
          <w:lang w:val="en-AU"/>
        </w:rPr>
        <w:t xml:space="preserve">a series of recommendations and guidance for project staff and stakeholders </w:t>
      </w:r>
      <w:r w:rsidR="002E44E6" w:rsidRPr="00C97A19">
        <w:rPr>
          <w:rFonts w:ascii="Calibri" w:hAnsi="Calibri" w:cs="Calibri"/>
          <w:sz w:val="22"/>
          <w:szCs w:val="22"/>
          <w:lang w:val="en-AU"/>
        </w:rPr>
        <w:t>to consider in</w:t>
      </w:r>
      <w:r w:rsidRPr="00C97A19">
        <w:rPr>
          <w:rFonts w:ascii="Calibri" w:hAnsi="Calibri" w:cs="Calibri"/>
          <w:sz w:val="22"/>
          <w:szCs w:val="22"/>
          <w:lang w:val="en-AU"/>
        </w:rPr>
        <w:t xml:space="preserve"> future interventions.</w:t>
      </w:r>
    </w:p>
    <w:p w14:paraId="08C296D6" w14:textId="7F1666D7" w:rsidR="00251454" w:rsidRPr="000348BD" w:rsidRDefault="00F76090" w:rsidP="00EB120F">
      <w:pPr>
        <w:pStyle w:val="Heading2"/>
        <w:rPr>
          <w:lang w:val="en-AU"/>
        </w:rPr>
      </w:pPr>
      <w:bookmarkStart w:id="31" w:name="_Toc233724257"/>
      <w:bookmarkStart w:id="32" w:name="_Toc201131770"/>
      <w:r w:rsidRPr="000348BD">
        <w:rPr>
          <w:lang w:val="en-AU"/>
        </w:rPr>
        <w:t>Relevance</w:t>
      </w:r>
      <w:bookmarkEnd w:id="31"/>
      <w:r w:rsidRPr="000348BD">
        <w:rPr>
          <w:lang w:val="en-AU"/>
        </w:rPr>
        <w:t xml:space="preserve"> </w:t>
      </w:r>
      <w:bookmarkEnd w:id="32"/>
    </w:p>
    <w:p w14:paraId="08B2112A" w14:textId="61D693B4" w:rsidR="00D972A1" w:rsidRPr="00C97A19" w:rsidRDefault="00D972A1" w:rsidP="00047C6D">
      <w:pPr>
        <w:spacing w:after="120"/>
        <w:jc w:val="both"/>
        <w:rPr>
          <w:rFonts w:ascii="Calibri" w:hAnsi="Calibri" w:cs="Calibri"/>
          <w:sz w:val="22"/>
          <w:szCs w:val="22"/>
          <w:lang w:val="en-AU"/>
        </w:rPr>
      </w:pPr>
      <w:bookmarkStart w:id="33" w:name="OLE_LINK4"/>
      <w:r w:rsidRPr="00C97A19">
        <w:rPr>
          <w:rFonts w:ascii="Calibri" w:hAnsi="Calibri" w:cs="Calibri"/>
          <w:sz w:val="22"/>
          <w:szCs w:val="22"/>
          <w:lang w:val="en-AU"/>
        </w:rPr>
        <w:t>Relevance is the extent to which an intervention’s objectives and design respond to beneficiaries, country, and partner/institution needs, policies, and priorities, and continue to do so if circumstances change</w:t>
      </w:r>
      <w:r w:rsidRPr="00C97A19">
        <w:rPr>
          <w:rFonts w:ascii="Calibri" w:hAnsi="Calibri" w:cs="Calibri"/>
          <w:i/>
          <w:sz w:val="22"/>
          <w:szCs w:val="22"/>
          <w:vertAlign w:val="superscript"/>
          <w:lang w:val="en-AU"/>
        </w:rPr>
        <w:footnoteReference w:id="10"/>
      </w:r>
      <w:r w:rsidRPr="00C97A19">
        <w:rPr>
          <w:rFonts w:ascii="Calibri" w:hAnsi="Calibri" w:cs="Calibri"/>
          <w:sz w:val="22"/>
          <w:szCs w:val="22"/>
          <w:lang w:val="en-AU"/>
        </w:rPr>
        <w:t>. Three aspects of relevance were explored through this evaluation</w:t>
      </w:r>
      <w:r w:rsidR="00540E64" w:rsidRPr="00C97A19">
        <w:rPr>
          <w:rFonts w:ascii="Calibri" w:hAnsi="Calibri" w:cs="Calibri"/>
          <w:sz w:val="22"/>
          <w:szCs w:val="22"/>
          <w:lang w:val="en-AU"/>
        </w:rPr>
        <w:t>:</w:t>
      </w:r>
      <w:r w:rsidRPr="00C97A19">
        <w:rPr>
          <w:rFonts w:ascii="Calibri" w:hAnsi="Calibri" w:cs="Calibri"/>
          <w:sz w:val="22"/>
          <w:szCs w:val="22"/>
          <w:lang w:val="en-AU"/>
        </w:rPr>
        <w:t xml:space="preserve"> </w:t>
      </w:r>
      <w:r w:rsidR="00540E64" w:rsidRPr="00C97A19">
        <w:rPr>
          <w:rFonts w:ascii="Calibri" w:hAnsi="Calibri" w:cs="Calibri"/>
          <w:sz w:val="22"/>
          <w:szCs w:val="22"/>
          <w:lang w:val="en-AU"/>
        </w:rPr>
        <w:t xml:space="preserve">the </w:t>
      </w:r>
      <w:r w:rsidRPr="00C97A19">
        <w:rPr>
          <w:rFonts w:ascii="Calibri" w:hAnsi="Calibri" w:cs="Calibri"/>
          <w:sz w:val="22"/>
          <w:szCs w:val="22"/>
          <w:lang w:val="en-AU"/>
        </w:rPr>
        <w:t xml:space="preserve">needs of </w:t>
      </w:r>
      <w:r w:rsidR="0030343D" w:rsidRPr="00C97A19">
        <w:rPr>
          <w:rFonts w:ascii="Calibri" w:hAnsi="Calibri" w:cs="Calibri"/>
          <w:sz w:val="22"/>
          <w:szCs w:val="22"/>
          <w:lang w:val="en-AU"/>
        </w:rPr>
        <w:t>both the</w:t>
      </w:r>
      <w:r w:rsidR="00540E64" w:rsidRPr="00C97A19">
        <w:rPr>
          <w:rFonts w:ascii="Calibri" w:hAnsi="Calibri" w:cs="Calibri"/>
          <w:sz w:val="22"/>
          <w:szCs w:val="22"/>
          <w:lang w:val="en-AU"/>
        </w:rPr>
        <w:t xml:space="preserve"> </w:t>
      </w:r>
      <w:r w:rsidRPr="00C97A19">
        <w:rPr>
          <w:rFonts w:ascii="Calibri" w:hAnsi="Calibri" w:cs="Calibri"/>
          <w:sz w:val="22"/>
          <w:szCs w:val="22"/>
          <w:lang w:val="en-AU"/>
        </w:rPr>
        <w:t>government</w:t>
      </w:r>
      <w:r w:rsidR="0030343D" w:rsidRPr="00C97A19">
        <w:rPr>
          <w:rFonts w:ascii="Calibri" w:hAnsi="Calibri" w:cs="Calibri"/>
          <w:sz w:val="22"/>
          <w:szCs w:val="22"/>
          <w:lang w:val="en-AU"/>
        </w:rPr>
        <w:t>s of GoA and GoV</w:t>
      </w:r>
      <w:r w:rsidRPr="00C97A19">
        <w:rPr>
          <w:rFonts w:ascii="Calibri" w:hAnsi="Calibri" w:cs="Calibri"/>
          <w:sz w:val="22"/>
          <w:szCs w:val="22"/>
          <w:lang w:val="en-AU"/>
        </w:rPr>
        <w:t>, firms</w:t>
      </w:r>
      <w:r w:rsidR="006C6428" w:rsidRPr="00C97A19">
        <w:rPr>
          <w:rFonts w:ascii="Calibri" w:hAnsi="Calibri" w:cs="Calibri"/>
          <w:sz w:val="22"/>
          <w:szCs w:val="22"/>
          <w:lang w:val="en-AU"/>
        </w:rPr>
        <w:t>,</w:t>
      </w:r>
      <w:r w:rsidRPr="00C97A19">
        <w:rPr>
          <w:rFonts w:ascii="Calibri" w:hAnsi="Calibri" w:cs="Calibri"/>
          <w:sz w:val="22"/>
          <w:szCs w:val="22"/>
          <w:lang w:val="en-AU"/>
        </w:rPr>
        <w:t xml:space="preserve"> and the </w:t>
      </w:r>
      <w:r w:rsidR="00FC655A">
        <w:rPr>
          <w:rFonts w:ascii="Calibri" w:hAnsi="Calibri" w:cs="Calibri"/>
          <w:sz w:val="22"/>
          <w:szCs w:val="22"/>
          <w:lang w:val="en-AU"/>
        </w:rPr>
        <w:t>P</w:t>
      </w:r>
      <w:r w:rsidRPr="00C97A19">
        <w:rPr>
          <w:rFonts w:ascii="Calibri" w:hAnsi="Calibri" w:cs="Calibri"/>
          <w:sz w:val="22"/>
          <w:szCs w:val="22"/>
          <w:lang w:val="en-AU"/>
        </w:rPr>
        <w:t xml:space="preserve">artnership itself. The findings </w:t>
      </w:r>
      <w:r w:rsidR="000D0481" w:rsidRPr="00C97A19">
        <w:rPr>
          <w:rFonts w:ascii="Calibri" w:hAnsi="Calibri" w:cs="Calibri"/>
          <w:sz w:val="22"/>
          <w:szCs w:val="22"/>
          <w:lang w:val="en-AU"/>
        </w:rPr>
        <w:t>regarding</w:t>
      </w:r>
      <w:r w:rsidRPr="00C97A19">
        <w:rPr>
          <w:rFonts w:ascii="Calibri" w:hAnsi="Calibri" w:cs="Calibri"/>
          <w:sz w:val="22"/>
          <w:szCs w:val="22"/>
          <w:lang w:val="en-AU"/>
        </w:rPr>
        <w:t xml:space="preserve"> </w:t>
      </w:r>
      <w:r w:rsidR="00262EF7" w:rsidRPr="00C97A19">
        <w:rPr>
          <w:rFonts w:ascii="Calibri" w:hAnsi="Calibri" w:cs="Calibri"/>
          <w:sz w:val="22"/>
          <w:szCs w:val="22"/>
          <w:lang w:val="en-AU"/>
        </w:rPr>
        <w:t>the KEQ</w:t>
      </w:r>
      <w:r w:rsidR="000D0481" w:rsidRPr="00C97A19">
        <w:rPr>
          <w:rFonts w:ascii="Calibri" w:hAnsi="Calibri" w:cs="Calibri"/>
          <w:sz w:val="22"/>
          <w:szCs w:val="22"/>
          <w:lang w:val="en-AU"/>
        </w:rPr>
        <w:t>s (and incorporated secondary questions)</w:t>
      </w:r>
      <w:r w:rsidR="00262EF7" w:rsidRPr="00C97A19">
        <w:rPr>
          <w:rFonts w:ascii="Calibri" w:hAnsi="Calibri" w:cs="Calibri"/>
          <w:sz w:val="22"/>
          <w:szCs w:val="22"/>
          <w:lang w:val="en-AU"/>
        </w:rPr>
        <w:t xml:space="preserve"> </w:t>
      </w:r>
      <w:r w:rsidRPr="00C97A19">
        <w:rPr>
          <w:rFonts w:ascii="Calibri" w:hAnsi="Calibri" w:cs="Calibri"/>
          <w:sz w:val="22"/>
          <w:szCs w:val="22"/>
          <w:lang w:val="en-AU"/>
        </w:rPr>
        <w:t xml:space="preserve">are presented below. </w:t>
      </w:r>
    </w:p>
    <w:bookmarkEnd w:id="33"/>
    <w:p w14:paraId="6AAB79B9" w14:textId="6FFD1054" w:rsidR="00251454" w:rsidRPr="000348BD" w:rsidRDefault="00F76090" w:rsidP="00047C6D">
      <w:pPr>
        <w:spacing w:after="120"/>
        <w:jc w:val="both"/>
        <w:rPr>
          <w:rFonts w:ascii="Calibri" w:hAnsi="Calibri" w:cs="Calibri"/>
          <w:b/>
          <w:bCs/>
          <w:i/>
          <w:iCs/>
          <w:color w:val="000000"/>
          <w:sz w:val="22"/>
          <w:szCs w:val="22"/>
          <w:u w:val="single"/>
          <w:lang w:val="en-AU"/>
        </w:rPr>
      </w:pPr>
      <w:r w:rsidRPr="00C97A19">
        <w:rPr>
          <w:rFonts w:ascii="Calibri" w:hAnsi="Calibri" w:cs="Calibri"/>
          <w:b/>
          <w:bCs/>
          <w:i/>
          <w:iCs/>
          <w:color w:val="000000" w:themeColor="text1"/>
          <w:sz w:val="22"/>
          <w:szCs w:val="22"/>
          <w:u w:val="single"/>
          <w:lang w:val="en-AU"/>
        </w:rPr>
        <w:t xml:space="preserve">KEQ 1: </w:t>
      </w:r>
      <w:r w:rsidR="002E44E6" w:rsidRPr="000348BD">
        <w:rPr>
          <w:rFonts w:ascii="Calibri" w:hAnsi="Calibri" w:cs="Calibri"/>
          <w:b/>
          <w:bCs/>
          <w:i/>
          <w:iCs/>
          <w:color w:val="000000"/>
          <w:sz w:val="22"/>
          <w:szCs w:val="22"/>
          <w:u w:val="single"/>
          <w:lang w:val="en-AU"/>
        </w:rPr>
        <w:t>To what exten</w:t>
      </w:r>
      <w:r w:rsidR="0030343D" w:rsidRPr="000348BD">
        <w:rPr>
          <w:rFonts w:ascii="Calibri" w:hAnsi="Calibri" w:cs="Calibri"/>
          <w:b/>
          <w:bCs/>
          <w:i/>
          <w:iCs/>
          <w:color w:val="000000"/>
          <w:sz w:val="22"/>
          <w:szCs w:val="22"/>
          <w:u w:val="single"/>
          <w:lang w:val="en-AU"/>
        </w:rPr>
        <w:t>t are</w:t>
      </w:r>
      <w:r w:rsidR="002E44E6" w:rsidRPr="000348BD">
        <w:rPr>
          <w:rFonts w:ascii="Calibri" w:hAnsi="Calibri" w:cs="Calibri"/>
          <w:b/>
          <w:bCs/>
          <w:i/>
          <w:iCs/>
          <w:color w:val="000000"/>
          <w:sz w:val="22"/>
          <w:szCs w:val="22"/>
          <w:u w:val="single"/>
          <w:lang w:val="en-AU"/>
        </w:rPr>
        <w:t xml:space="preserve"> the VPSDP projects/activities relevant to Australia, IFC strategic objectives in Viet Nam</w:t>
      </w:r>
      <w:r w:rsidR="0030343D" w:rsidRPr="000348BD">
        <w:rPr>
          <w:rFonts w:ascii="Calibri" w:hAnsi="Calibri" w:cs="Calibri"/>
          <w:b/>
          <w:bCs/>
          <w:i/>
          <w:iCs/>
          <w:color w:val="000000"/>
          <w:sz w:val="22"/>
          <w:szCs w:val="22"/>
          <w:u w:val="single"/>
          <w:lang w:val="en-AU"/>
        </w:rPr>
        <w:t>?</w:t>
      </w:r>
    </w:p>
    <w:p w14:paraId="039C7ADD" w14:textId="5A9E892F" w:rsidR="00505839" w:rsidRPr="00C97A19" w:rsidRDefault="00505839" w:rsidP="00842907">
      <w:pPr>
        <w:spacing w:after="120"/>
        <w:jc w:val="both"/>
        <w:rPr>
          <w:rFonts w:ascii="Calibri" w:hAnsi="Calibri" w:cs="Calibri"/>
          <w:color w:val="000000" w:themeColor="text1"/>
          <w:sz w:val="22"/>
          <w:szCs w:val="22"/>
          <w:lang w:val="en-AU"/>
        </w:rPr>
      </w:pPr>
      <w:bookmarkStart w:id="34" w:name="OLE_LINK5"/>
      <w:r w:rsidRPr="00C97A19">
        <w:rPr>
          <w:rFonts w:ascii="Calibri" w:hAnsi="Calibri" w:cs="Calibri"/>
          <w:b/>
          <w:bCs/>
          <w:color w:val="000000" w:themeColor="text1"/>
          <w:sz w:val="22"/>
          <w:szCs w:val="22"/>
          <w:lang w:val="en-AU"/>
        </w:rPr>
        <w:t>The VPSDP is a well-designed, well-structured program highly relevant to both the GoA and the GoV.</w:t>
      </w:r>
      <w:r w:rsidRPr="00C97A19">
        <w:rPr>
          <w:rFonts w:ascii="Calibri" w:hAnsi="Calibri" w:cs="Calibri"/>
          <w:color w:val="000000" w:themeColor="text1"/>
          <w:sz w:val="22"/>
          <w:szCs w:val="22"/>
          <w:lang w:val="en-AU"/>
        </w:rPr>
        <w:t xml:space="preserve"> Through its project selection and implementation, the program demonstrates </w:t>
      </w:r>
      <w:r w:rsidR="000D0481" w:rsidRPr="00C97A19">
        <w:rPr>
          <w:rFonts w:ascii="Calibri" w:hAnsi="Calibri" w:cs="Calibri"/>
          <w:color w:val="000000" w:themeColor="text1"/>
          <w:sz w:val="22"/>
          <w:szCs w:val="22"/>
          <w:lang w:val="en-AU"/>
        </w:rPr>
        <w:t>its</w:t>
      </w:r>
      <w:r w:rsidRPr="00C97A19">
        <w:rPr>
          <w:rFonts w:ascii="Calibri" w:hAnsi="Calibri" w:cs="Calibri"/>
          <w:color w:val="000000" w:themeColor="text1"/>
          <w:sz w:val="22"/>
          <w:szCs w:val="22"/>
          <w:lang w:val="en-AU"/>
        </w:rPr>
        <w:t xml:space="preserve"> ability to respond to the current and emerging needs and priorities of </w:t>
      </w:r>
      <w:r w:rsidR="00842907" w:rsidRPr="00C97A19">
        <w:rPr>
          <w:rFonts w:ascii="Calibri" w:hAnsi="Calibri" w:cs="Calibri"/>
          <w:color w:val="000000" w:themeColor="text1"/>
          <w:sz w:val="22"/>
          <w:szCs w:val="22"/>
          <w:lang w:val="en-AU"/>
        </w:rPr>
        <w:t xml:space="preserve">the </w:t>
      </w:r>
      <w:r w:rsidRPr="00C97A19">
        <w:rPr>
          <w:rFonts w:ascii="Calibri" w:hAnsi="Calibri" w:cs="Calibri"/>
          <w:color w:val="000000" w:themeColor="text1"/>
          <w:sz w:val="22"/>
          <w:szCs w:val="22"/>
          <w:lang w:val="en-AU"/>
        </w:rPr>
        <w:t xml:space="preserve">private sector and the GoV. </w:t>
      </w:r>
    </w:p>
    <w:p w14:paraId="736040E1" w14:textId="39BE4A36" w:rsidR="00505839" w:rsidRPr="00C97A19" w:rsidRDefault="00505839" w:rsidP="00842907">
      <w:pPr>
        <w:spacing w:after="120"/>
        <w:jc w:val="both"/>
        <w:rPr>
          <w:rFonts w:ascii="Calibri" w:hAnsi="Calibri" w:cs="Calibri"/>
          <w:color w:val="000000" w:themeColor="text1"/>
          <w:sz w:val="22"/>
          <w:szCs w:val="22"/>
          <w:lang w:val="en-AU"/>
        </w:rPr>
      </w:pPr>
      <w:r w:rsidRPr="00C97A19">
        <w:rPr>
          <w:rFonts w:ascii="Calibri" w:hAnsi="Calibri" w:cs="Calibri"/>
          <w:b/>
          <w:bCs/>
          <w:color w:val="000000" w:themeColor="text1"/>
          <w:sz w:val="22"/>
          <w:szCs w:val="22"/>
          <w:lang w:val="en-AU"/>
        </w:rPr>
        <w:t xml:space="preserve">The program </w:t>
      </w:r>
      <w:r w:rsidR="00AB362B" w:rsidRPr="00C97A19">
        <w:rPr>
          <w:rFonts w:ascii="Calibri" w:hAnsi="Calibri" w:cs="Calibri"/>
          <w:b/>
          <w:bCs/>
          <w:color w:val="000000" w:themeColor="text1"/>
          <w:sz w:val="22"/>
          <w:szCs w:val="22"/>
          <w:lang w:val="en-AU"/>
        </w:rPr>
        <w:t>aligns</w:t>
      </w:r>
      <w:r w:rsidRPr="00C97A19">
        <w:rPr>
          <w:rFonts w:ascii="Calibri" w:hAnsi="Calibri" w:cs="Calibri"/>
          <w:b/>
          <w:bCs/>
          <w:color w:val="000000" w:themeColor="text1"/>
          <w:sz w:val="22"/>
          <w:szCs w:val="22"/>
          <w:lang w:val="en-AU"/>
        </w:rPr>
        <w:t xml:space="preserve"> </w:t>
      </w:r>
      <w:r w:rsidR="00AB362B" w:rsidRPr="00C97A19">
        <w:rPr>
          <w:rFonts w:ascii="Calibri" w:hAnsi="Calibri" w:cs="Calibri"/>
          <w:b/>
          <w:bCs/>
          <w:color w:val="000000" w:themeColor="text1"/>
          <w:sz w:val="22"/>
          <w:szCs w:val="22"/>
          <w:lang w:val="en-AU"/>
        </w:rPr>
        <w:t>with</w:t>
      </w:r>
      <w:r w:rsidRPr="00C97A19">
        <w:rPr>
          <w:rFonts w:ascii="Calibri" w:hAnsi="Calibri" w:cs="Calibri"/>
          <w:b/>
          <w:bCs/>
          <w:color w:val="000000" w:themeColor="text1"/>
          <w:sz w:val="22"/>
          <w:szCs w:val="22"/>
          <w:lang w:val="en-AU"/>
        </w:rPr>
        <w:t xml:space="preserve"> the GoA’s </w:t>
      </w:r>
      <w:r w:rsidRPr="00C97A19">
        <w:rPr>
          <w:rFonts w:ascii="Calibri" w:hAnsi="Calibri" w:cs="Calibri"/>
          <w:b/>
          <w:bCs/>
          <w:i/>
          <w:iCs/>
          <w:color w:val="000000" w:themeColor="text1"/>
          <w:sz w:val="22"/>
          <w:szCs w:val="22"/>
          <w:lang w:val="en-AU"/>
        </w:rPr>
        <w:t>Invested: Australia’s Southeast Asia Economic Strategy to 2040</w:t>
      </w:r>
      <w:r w:rsidRPr="00C97A19">
        <w:rPr>
          <w:rFonts w:ascii="Calibri" w:hAnsi="Calibri" w:cs="Calibri"/>
          <w:i/>
          <w:iCs/>
          <w:color w:val="000000" w:themeColor="text1"/>
          <w:sz w:val="22"/>
          <w:szCs w:val="22"/>
          <w:lang w:val="en-AU"/>
        </w:rPr>
        <w:t>.</w:t>
      </w:r>
      <w:r w:rsidRPr="00C97A19">
        <w:rPr>
          <w:rStyle w:val="FootnoteReference"/>
          <w:rFonts w:ascii="Calibri" w:hAnsi="Calibri" w:cs="Calibri"/>
          <w:i/>
          <w:iCs/>
          <w:color w:val="000000" w:themeColor="text1"/>
          <w:sz w:val="22"/>
          <w:szCs w:val="22"/>
          <w:lang w:val="en-AU"/>
        </w:rPr>
        <w:footnoteReference w:id="11"/>
      </w:r>
      <w:r w:rsidRPr="00C97A19">
        <w:rPr>
          <w:rFonts w:ascii="Calibri" w:hAnsi="Calibri" w:cs="Calibri"/>
          <w:i/>
          <w:iCs/>
          <w:color w:val="000000" w:themeColor="text1"/>
          <w:sz w:val="22"/>
          <w:szCs w:val="22"/>
          <w:lang w:val="en-AU"/>
        </w:rPr>
        <w:t xml:space="preserve"> </w:t>
      </w:r>
      <w:r w:rsidRPr="00C97A19">
        <w:rPr>
          <w:rFonts w:ascii="Calibri" w:hAnsi="Calibri" w:cs="Calibri"/>
          <w:color w:val="000000" w:themeColor="text1"/>
          <w:sz w:val="22"/>
          <w:szCs w:val="22"/>
          <w:lang w:val="en-AU"/>
        </w:rPr>
        <w:t xml:space="preserve"> VPSDP </w:t>
      </w:r>
      <w:r w:rsidR="00AB362B" w:rsidRPr="00C97A19">
        <w:rPr>
          <w:rFonts w:ascii="Calibri" w:hAnsi="Calibri" w:cs="Calibri"/>
          <w:color w:val="000000" w:themeColor="text1"/>
          <w:sz w:val="22"/>
          <w:szCs w:val="22"/>
          <w:lang w:val="en-AU"/>
        </w:rPr>
        <w:t>specifically targets the</w:t>
      </w:r>
      <w:r w:rsidR="003660CC" w:rsidRPr="00C97A19">
        <w:rPr>
          <w:rFonts w:ascii="Calibri" w:hAnsi="Calibri" w:cs="Calibri"/>
          <w:color w:val="000000" w:themeColor="text1"/>
          <w:sz w:val="22"/>
          <w:szCs w:val="22"/>
          <w:lang w:val="en-AU"/>
        </w:rPr>
        <w:t xml:space="preserve"> strategy’s priorities in agriculture and food, the green energy transition, infrastructure, the digital economy,</w:t>
      </w:r>
      <w:r w:rsidRPr="00C97A19">
        <w:rPr>
          <w:rFonts w:ascii="Calibri" w:hAnsi="Calibri" w:cs="Calibri"/>
          <w:color w:val="000000" w:themeColor="text1"/>
          <w:sz w:val="22"/>
          <w:szCs w:val="22"/>
          <w:lang w:val="en-AU"/>
        </w:rPr>
        <w:t xml:space="preserve"> and professional and financial services. </w:t>
      </w:r>
      <w:r w:rsidR="003660CC" w:rsidRPr="00C97A19">
        <w:rPr>
          <w:rFonts w:ascii="Calibri" w:hAnsi="Calibri" w:cs="Calibri"/>
          <w:color w:val="000000" w:themeColor="text1"/>
          <w:sz w:val="22"/>
          <w:szCs w:val="22"/>
          <w:lang w:val="en-AU"/>
        </w:rPr>
        <w:t xml:space="preserve">Importantly, the projects implemented under the </w:t>
      </w:r>
      <w:r w:rsidR="002423CE" w:rsidRPr="00C97A19">
        <w:rPr>
          <w:rFonts w:ascii="Calibri" w:hAnsi="Calibri" w:cs="Calibri"/>
          <w:color w:val="000000" w:themeColor="text1"/>
          <w:sz w:val="22"/>
          <w:szCs w:val="22"/>
          <w:lang w:val="en-AU"/>
        </w:rPr>
        <w:t xml:space="preserve">VPSDP </w:t>
      </w:r>
      <w:r w:rsidR="003660CC" w:rsidRPr="00C97A19">
        <w:rPr>
          <w:rFonts w:ascii="Calibri" w:hAnsi="Calibri" w:cs="Calibri"/>
          <w:color w:val="000000" w:themeColor="text1"/>
          <w:sz w:val="22"/>
          <w:szCs w:val="22"/>
          <w:lang w:val="en-AU"/>
        </w:rPr>
        <w:t>also provide a basis for engagement and longer-term financing through Investment Deal Teams</w:t>
      </w:r>
      <w:r w:rsidR="003660CC" w:rsidRPr="00C97A19">
        <w:rPr>
          <w:rStyle w:val="FootnoteReference"/>
          <w:rFonts w:ascii="Calibri" w:hAnsi="Calibri" w:cs="Calibri"/>
          <w:color w:val="000000" w:themeColor="text1"/>
          <w:sz w:val="22"/>
          <w:szCs w:val="22"/>
          <w:lang w:val="en-AU"/>
        </w:rPr>
        <w:footnoteReference w:id="12"/>
      </w:r>
      <w:r w:rsidR="003660CC" w:rsidRPr="00C97A19">
        <w:rPr>
          <w:rFonts w:ascii="Calibri" w:hAnsi="Calibri" w:cs="Calibri"/>
          <w:color w:val="000000" w:themeColor="text1"/>
          <w:sz w:val="22"/>
          <w:szCs w:val="22"/>
          <w:lang w:val="en-AU"/>
        </w:rPr>
        <w:t>. At the co</w:t>
      </w:r>
      <w:r w:rsidR="00842907" w:rsidRPr="00C97A19">
        <w:rPr>
          <w:rFonts w:ascii="Calibri" w:hAnsi="Calibri" w:cs="Calibri"/>
          <w:color w:val="000000" w:themeColor="text1"/>
          <w:sz w:val="22"/>
          <w:szCs w:val="22"/>
          <w:lang w:val="en-AU"/>
        </w:rPr>
        <w:t>u</w:t>
      </w:r>
      <w:r w:rsidR="003660CC" w:rsidRPr="00C97A19">
        <w:rPr>
          <w:rFonts w:ascii="Calibri" w:hAnsi="Calibri" w:cs="Calibri"/>
          <w:color w:val="000000" w:themeColor="text1"/>
          <w:sz w:val="22"/>
          <w:szCs w:val="22"/>
          <w:lang w:val="en-AU"/>
        </w:rPr>
        <w:t xml:space="preserve">ntry level, VPSDP aligns with the </w:t>
      </w:r>
      <w:r w:rsidR="003660CC" w:rsidRPr="00C97A19">
        <w:rPr>
          <w:rFonts w:ascii="Calibri" w:hAnsi="Calibri" w:cs="Calibri"/>
          <w:i/>
          <w:iCs/>
          <w:color w:val="000000" w:themeColor="text1"/>
          <w:sz w:val="22"/>
          <w:szCs w:val="22"/>
          <w:lang w:val="en-AU"/>
        </w:rPr>
        <w:t>Australia-Vietnam Enhanced Economic Engagement Strategy</w:t>
      </w:r>
      <w:r w:rsidR="000D0481" w:rsidRPr="00C97A19">
        <w:rPr>
          <w:rFonts w:ascii="Calibri" w:hAnsi="Calibri" w:cs="Calibri"/>
          <w:i/>
          <w:iCs/>
          <w:color w:val="000000" w:themeColor="text1"/>
          <w:sz w:val="22"/>
          <w:szCs w:val="22"/>
          <w:lang w:val="en-AU"/>
        </w:rPr>
        <w:t xml:space="preserve"> (EEES)</w:t>
      </w:r>
      <w:r w:rsidR="003660CC" w:rsidRPr="00C97A19">
        <w:rPr>
          <w:rStyle w:val="FootnoteReference"/>
          <w:rFonts w:ascii="Calibri" w:hAnsi="Calibri" w:cs="Calibri"/>
          <w:i/>
          <w:iCs/>
          <w:color w:val="000000" w:themeColor="text1"/>
          <w:sz w:val="22"/>
          <w:szCs w:val="22"/>
          <w:lang w:val="en-AU"/>
        </w:rPr>
        <w:footnoteReference w:id="13"/>
      </w:r>
      <w:r w:rsidR="003660CC" w:rsidRPr="00C97A19">
        <w:rPr>
          <w:rFonts w:ascii="Calibri" w:hAnsi="Calibri" w:cs="Calibri"/>
          <w:color w:val="000000" w:themeColor="text1"/>
          <w:sz w:val="22"/>
          <w:szCs w:val="22"/>
          <w:lang w:val="en-AU"/>
        </w:rPr>
        <w:t xml:space="preserve">. The </w:t>
      </w:r>
      <w:r w:rsidR="000D0481" w:rsidRPr="00C97A19">
        <w:rPr>
          <w:rFonts w:ascii="Calibri" w:hAnsi="Calibri" w:cs="Calibri"/>
          <w:color w:val="000000" w:themeColor="text1"/>
          <w:sz w:val="22"/>
          <w:szCs w:val="22"/>
          <w:lang w:val="en-AU"/>
        </w:rPr>
        <w:t>EEES</w:t>
      </w:r>
      <w:r w:rsidR="003660CC" w:rsidRPr="00C97A19">
        <w:rPr>
          <w:rFonts w:ascii="Calibri" w:hAnsi="Calibri" w:cs="Calibri"/>
          <w:color w:val="000000" w:themeColor="text1"/>
          <w:sz w:val="22"/>
          <w:szCs w:val="22"/>
          <w:lang w:val="en-AU"/>
        </w:rPr>
        <w:t xml:space="preserve"> identifies </w:t>
      </w:r>
      <w:r w:rsidR="00842907" w:rsidRPr="00C97A19">
        <w:rPr>
          <w:rFonts w:ascii="Calibri" w:hAnsi="Calibri" w:cs="Calibri"/>
          <w:color w:val="000000" w:themeColor="text1"/>
          <w:sz w:val="22"/>
          <w:szCs w:val="22"/>
          <w:lang w:val="en-AU"/>
        </w:rPr>
        <w:t>several</w:t>
      </w:r>
      <w:r w:rsidR="003660CC" w:rsidRPr="00C97A19">
        <w:rPr>
          <w:rFonts w:ascii="Calibri" w:hAnsi="Calibri" w:cs="Calibri"/>
          <w:color w:val="000000" w:themeColor="text1"/>
          <w:sz w:val="22"/>
          <w:szCs w:val="22"/>
          <w:lang w:val="en-AU"/>
        </w:rPr>
        <w:t xml:space="preserve"> sectors in which both Australia and Viet Nam </w:t>
      </w:r>
      <w:r w:rsidR="00842907" w:rsidRPr="00C97A19">
        <w:rPr>
          <w:rFonts w:ascii="Calibri" w:hAnsi="Calibri" w:cs="Calibri"/>
          <w:color w:val="000000" w:themeColor="text1"/>
          <w:sz w:val="22"/>
          <w:szCs w:val="22"/>
          <w:lang w:val="en-AU"/>
        </w:rPr>
        <w:t xml:space="preserve">have particular strengths that can underpin and deepen trade and investment. Like the broader </w:t>
      </w:r>
      <w:r w:rsidR="00842907" w:rsidRPr="00C97A19">
        <w:rPr>
          <w:rFonts w:ascii="Calibri" w:hAnsi="Calibri" w:cs="Calibri"/>
          <w:i/>
          <w:iCs/>
          <w:color w:val="000000" w:themeColor="text1"/>
          <w:sz w:val="22"/>
          <w:szCs w:val="22"/>
          <w:lang w:val="en-AU"/>
        </w:rPr>
        <w:t>“Invested Strategy”,</w:t>
      </w:r>
      <w:r w:rsidR="00842907" w:rsidRPr="00C97A19">
        <w:rPr>
          <w:rFonts w:ascii="Calibri" w:hAnsi="Calibri" w:cs="Calibri"/>
          <w:color w:val="000000" w:themeColor="text1"/>
          <w:sz w:val="22"/>
          <w:szCs w:val="22"/>
          <w:lang w:val="en-AU"/>
        </w:rPr>
        <w:t xml:space="preserve"> the VPSDP provides direct</w:t>
      </w:r>
      <w:r w:rsidR="00A47284" w:rsidRPr="00C97A19">
        <w:rPr>
          <w:rFonts w:ascii="Calibri" w:hAnsi="Calibri" w:cs="Calibri"/>
          <w:color w:val="000000" w:themeColor="text1"/>
          <w:sz w:val="22"/>
          <w:szCs w:val="22"/>
          <w:lang w:val="en-AU"/>
        </w:rPr>
        <w:t>,</w:t>
      </w:r>
      <w:r w:rsidR="00842907" w:rsidRPr="00C97A19">
        <w:rPr>
          <w:rFonts w:ascii="Calibri" w:hAnsi="Calibri" w:cs="Calibri"/>
          <w:color w:val="000000" w:themeColor="text1"/>
          <w:sz w:val="22"/>
          <w:szCs w:val="22"/>
          <w:lang w:val="en-AU"/>
        </w:rPr>
        <w:t xml:space="preserve"> tangible support to the Strategy’s priority areas of agriculture, fisheries, manufacturing, </w:t>
      </w:r>
      <w:r w:rsidR="00A47284" w:rsidRPr="00C97A19">
        <w:rPr>
          <w:rFonts w:ascii="Calibri" w:hAnsi="Calibri" w:cs="Calibri"/>
          <w:color w:val="000000" w:themeColor="text1"/>
          <w:sz w:val="22"/>
          <w:szCs w:val="22"/>
          <w:lang w:val="en-AU"/>
        </w:rPr>
        <w:t xml:space="preserve">the </w:t>
      </w:r>
      <w:r w:rsidR="00842907" w:rsidRPr="00C97A19">
        <w:rPr>
          <w:rFonts w:ascii="Calibri" w:hAnsi="Calibri" w:cs="Calibri"/>
          <w:color w:val="000000" w:themeColor="text1"/>
          <w:sz w:val="22"/>
          <w:szCs w:val="22"/>
          <w:lang w:val="en-AU"/>
        </w:rPr>
        <w:t>digital economy</w:t>
      </w:r>
      <w:r w:rsidR="00A47284" w:rsidRPr="00C97A19">
        <w:rPr>
          <w:rFonts w:ascii="Calibri" w:hAnsi="Calibri" w:cs="Calibri"/>
          <w:color w:val="000000" w:themeColor="text1"/>
          <w:sz w:val="22"/>
          <w:szCs w:val="22"/>
          <w:lang w:val="en-AU"/>
        </w:rPr>
        <w:t>,</w:t>
      </w:r>
      <w:r w:rsidR="00842907" w:rsidRPr="00C97A19">
        <w:rPr>
          <w:rFonts w:ascii="Calibri" w:hAnsi="Calibri" w:cs="Calibri"/>
          <w:color w:val="000000" w:themeColor="text1"/>
          <w:sz w:val="22"/>
          <w:szCs w:val="22"/>
          <w:lang w:val="en-AU"/>
        </w:rPr>
        <w:t xml:space="preserve"> and professional services.</w:t>
      </w:r>
    </w:p>
    <w:bookmarkEnd w:id="34"/>
    <w:p w14:paraId="2072BF50" w14:textId="4C525A84" w:rsidR="00842907" w:rsidRPr="00C97A19" w:rsidRDefault="00842907" w:rsidP="00842907">
      <w:pPr>
        <w:spacing w:after="120"/>
        <w:jc w:val="both"/>
        <w:rPr>
          <w:rFonts w:ascii="Calibri" w:hAnsi="Calibri" w:cs="Calibri"/>
          <w:i/>
          <w:iCs/>
          <w:color w:val="000000" w:themeColor="text1"/>
          <w:sz w:val="22"/>
          <w:szCs w:val="22"/>
          <w:lang w:val="en-AU"/>
        </w:rPr>
      </w:pPr>
      <w:r w:rsidRPr="00C97A19">
        <w:rPr>
          <w:rFonts w:ascii="Calibri" w:hAnsi="Calibri" w:cs="Calibri"/>
          <w:b/>
          <w:bCs/>
          <w:color w:val="000000" w:themeColor="text1"/>
          <w:sz w:val="22"/>
          <w:szCs w:val="22"/>
          <w:lang w:val="en-AU"/>
        </w:rPr>
        <w:t>The VPSDP also aligns with the broader Australian International Development Policy 2023</w:t>
      </w:r>
      <w:r w:rsidRPr="00C97A19">
        <w:rPr>
          <w:rFonts w:ascii="Calibri" w:hAnsi="Calibri" w:cs="Calibri"/>
          <w:color w:val="000000" w:themeColor="text1"/>
          <w:sz w:val="22"/>
          <w:szCs w:val="22"/>
          <w:lang w:val="en-AU"/>
        </w:rPr>
        <w:t xml:space="preserve">, which seeks to build on existing partnerships to create social and economic value. The </w:t>
      </w:r>
      <w:r w:rsidR="0030343D" w:rsidRPr="00C97A19">
        <w:rPr>
          <w:rFonts w:ascii="Calibri" w:hAnsi="Calibri" w:cs="Calibri"/>
          <w:color w:val="000000" w:themeColor="text1"/>
          <w:sz w:val="22"/>
          <w:szCs w:val="22"/>
          <w:lang w:val="en-AU"/>
        </w:rPr>
        <w:t>V</w:t>
      </w:r>
      <w:r w:rsidRPr="00C97A19">
        <w:rPr>
          <w:rFonts w:ascii="Calibri" w:hAnsi="Calibri" w:cs="Calibri"/>
          <w:color w:val="000000" w:themeColor="text1"/>
          <w:sz w:val="22"/>
          <w:szCs w:val="22"/>
          <w:lang w:val="en-AU"/>
        </w:rPr>
        <w:t xml:space="preserve">PSDP contributes to </w:t>
      </w:r>
      <w:r w:rsidRPr="00C97A19">
        <w:rPr>
          <w:rFonts w:ascii="Calibri" w:hAnsi="Calibri" w:cs="Calibri"/>
          <w:i/>
          <w:iCs/>
          <w:color w:val="000000" w:themeColor="text1"/>
          <w:sz w:val="22"/>
          <w:szCs w:val="22"/>
          <w:lang w:val="en-AU"/>
        </w:rPr>
        <w:t>“building effective and accountable states that drive their own development”</w:t>
      </w:r>
      <w:r w:rsidRPr="00C97A19">
        <w:rPr>
          <w:rFonts w:ascii="Calibri" w:hAnsi="Calibri" w:cs="Calibri"/>
          <w:color w:val="000000" w:themeColor="text1"/>
          <w:sz w:val="22"/>
          <w:szCs w:val="22"/>
          <w:lang w:val="en-AU"/>
        </w:rPr>
        <w:t xml:space="preserve"> and </w:t>
      </w:r>
      <w:r w:rsidRPr="00C97A19">
        <w:rPr>
          <w:rFonts w:ascii="Calibri" w:hAnsi="Calibri" w:cs="Calibri"/>
          <w:i/>
          <w:iCs/>
          <w:color w:val="000000" w:themeColor="text1"/>
          <w:sz w:val="22"/>
          <w:szCs w:val="22"/>
          <w:lang w:val="en-AU"/>
        </w:rPr>
        <w:t xml:space="preserve">“enhancing state and community resilience to external pressures and shocks.” </w:t>
      </w:r>
    </w:p>
    <w:p w14:paraId="0763B1D2" w14:textId="534C8247" w:rsidR="0030343D" w:rsidRPr="00C97A19" w:rsidRDefault="00842907" w:rsidP="0030343D">
      <w:pPr>
        <w:pStyle w:val="TableBodyCopy"/>
        <w:spacing w:before="0" w:after="120"/>
        <w:jc w:val="both"/>
        <w:rPr>
          <w:rFonts w:ascii="Calibri" w:eastAsia="Times New Roman" w:hAnsi="Calibri" w:cs="Calibri"/>
          <w:i/>
          <w:iCs/>
          <w:sz w:val="22"/>
          <w:szCs w:val="22"/>
          <w:lang w:eastAsia="en-AU"/>
        </w:rPr>
      </w:pPr>
      <w:r w:rsidRPr="00C97A19">
        <w:rPr>
          <w:rFonts w:ascii="Calibri" w:hAnsi="Calibri" w:cs="Calibri"/>
          <w:b/>
          <w:bCs/>
          <w:color w:val="000000" w:themeColor="text1"/>
          <w:sz w:val="22"/>
          <w:szCs w:val="22"/>
        </w:rPr>
        <w:t xml:space="preserve">The VPSDP also closely aligns with </w:t>
      </w:r>
      <w:r w:rsidRPr="00C97A19">
        <w:rPr>
          <w:rFonts w:ascii="Calibri" w:hAnsi="Calibri" w:cs="Calibri"/>
          <w:b/>
          <w:bCs/>
          <w:i/>
          <w:iCs/>
          <w:color w:val="000000" w:themeColor="text1"/>
          <w:sz w:val="22"/>
          <w:szCs w:val="22"/>
        </w:rPr>
        <w:t>DFAT’s Development Partnership Plan (DPP) 2025-2030</w:t>
      </w:r>
      <w:r w:rsidRPr="00C97A19">
        <w:rPr>
          <w:rFonts w:ascii="Calibri" w:hAnsi="Calibri" w:cs="Calibri"/>
          <w:b/>
          <w:bCs/>
          <w:color w:val="000000" w:themeColor="text1"/>
          <w:sz w:val="22"/>
          <w:szCs w:val="22"/>
        </w:rPr>
        <w:t>,</w:t>
      </w:r>
      <w:r w:rsidRPr="00C97A19">
        <w:rPr>
          <w:rFonts w:ascii="Calibri" w:hAnsi="Calibri" w:cs="Calibri"/>
          <w:color w:val="000000" w:themeColor="text1"/>
          <w:sz w:val="22"/>
          <w:szCs w:val="22"/>
        </w:rPr>
        <w:t xml:space="preserve"> which translates the development priorities outlined in the strategies and policies above into action. Specifically, the VPSDP aligns with the </w:t>
      </w:r>
      <w:r w:rsidRPr="00C97A19">
        <w:rPr>
          <w:rFonts w:ascii="Calibri" w:hAnsi="Calibri" w:cs="Calibri"/>
          <w:i/>
          <w:iCs/>
          <w:color w:val="000000" w:themeColor="text1"/>
          <w:sz w:val="22"/>
          <w:szCs w:val="22"/>
        </w:rPr>
        <w:t xml:space="preserve">DPP’s Strategic Objective 1: </w:t>
      </w:r>
      <w:r w:rsidRPr="00C97A19">
        <w:rPr>
          <w:rFonts w:ascii="Calibri" w:hAnsi="Calibri" w:cs="Calibri"/>
          <w:i/>
          <w:iCs/>
          <w:sz w:val="22"/>
          <w:szCs w:val="22"/>
        </w:rPr>
        <w:t xml:space="preserve">An inclusive, resilient, </w:t>
      </w:r>
      <w:r w:rsidR="0030343D" w:rsidRPr="00C97A19">
        <w:rPr>
          <w:rFonts w:ascii="Calibri" w:hAnsi="Calibri" w:cs="Calibri"/>
          <w:i/>
          <w:iCs/>
          <w:sz w:val="22"/>
          <w:szCs w:val="22"/>
        </w:rPr>
        <w:t xml:space="preserve">sustainable, and prosperous economy, </w:t>
      </w:r>
      <w:r w:rsidR="0030343D" w:rsidRPr="00C97A19">
        <w:rPr>
          <w:rFonts w:ascii="Calibri" w:hAnsi="Calibri" w:cs="Calibri"/>
          <w:sz w:val="22"/>
          <w:szCs w:val="22"/>
        </w:rPr>
        <w:t xml:space="preserve">with particular focus on </w:t>
      </w:r>
      <w:r w:rsidR="0030343D" w:rsidRPr="00C97A19">
        <w:rPr>
          <w:rFonts w:ascii="Calibri" w:hAnsi="Calibri" w:cs="Calibri"/>
          <w:i/>
          <w:iCs/>
          <w:sz w:val="22"/>
          <w:szCs w:val="22"/>
        </w:rPr>
        <w:t>Outcome 1.1:</w:t>
      </w:r>
      <w:r w:rsidR="0030343D" w:rsidRPr="00C97A19">
        <w:rPr>
          <w:rFonts w:ascii="Calibri" w:hAnsi="Calibri" w:cs="Calibri"/>
          <w:i/>
          <w:iCs/>
          <w:sz w:val="22"/>
          <w:szCs w:val="22"/>
          <w:lang w:eastAsia="en-AU"/>
        </w:rPr>
        <w:t xml:space="preserve"> Enhanced private sector development, productivity, and competitiveness;</w:t>
      </w:r>
      <w:r w:rsidRPr="00C97A19">
        <w:rPr>
          <w:rFonts w:ascii="Calibri" w:eastAsia="Times New Roman" w:hAnsi="Calibri" w:cs="Calibri"/>
          <w:i/>
          <w:iCs/>
          <w:sz w:val="22"/>
          <w:szCs w:val="22"/>
          <w:lang w:eastAsia="en-AU"/>
        </w:rPr>
        <w:t xml:space="preserve"> and Outcome 1.2: Strengthened innovation and digital capacity.</w:t>
      </w:r>
      <w:r w:rsidRPr="00C97A19">
        <w:rPr>
          <w:rFonts w:ascii="Calibri" w:eastAsia="Times New Roman" w:hAnsi="Calibri" w:cs="Calibri"/>
          <w:sz w:val="22"/>
          <w:szCs w:val="22"/>
          <w:lang w:eastAsia="en-AU"/>
        </w:rPr>
        <w:t xml:space="preserve"> The VPSDP has also raised its profile to contribute more to </w:t>
      </w:r>
      <w:r w:rsidRPr="00C97A19">
        <w:rPr>
          <w:rFonts w:ascii="Calibri" w:eastAsia="Times New Roman" w:hAnsi="Calibri" w:cs="Calibri"/>
          <w:i/>
          <w:iCs/>
          <w:sz w:val="22"/>
          <w:szCs w:val="22"/>
          <w:lang w:eastAsia="en-AU"/>
        </w:rPr>
        <w:t xml:space="preserve">Objective 3: </w:t>
      </w:r>
      <w:r w:rsidRPr="00C97A19">
        <w:rPr>
          <w:rFonts w:ascii="Calibri" w:hAnsi="Calibri" w:cs="Calibri"/>
          <w:i/>
          <w:iCs/>
          <w:sz w:val="22"/>
          <w:szCs w:val="22"/>
        </w:rPr>
        <w:t>Strengthened climate resilience, adaptation</w:t>
      </w:r>
      <w:r w:rsidR="0030343D" w:rsidRPr="00C97A19">
        <w:rPr>
          <w:rFonts w:ascii="Calibri" w:hAnsi="Calibri" w:cs="Calibri"/>
          <w:i/>
          <w:iCs/>
          <w:sz w:val="22"/>
          <w:szCs w:val="22"/>
        </w:rPr>
        <w:t>,</w:t>
      </w:r>
      <w:r w:rsidRPr="00C97A19">
        <w:rPr>
          <w:rFonts w:ascii="Calibri" w:hAnsi="Calibri" w:cs="Calibri"/>
          <w:i/>
          <w:iCs/>
          <w:sz w:val="22"/>
          <w:szCs w:val="22"/>
        </w:rPr>
        <w:t xml:space="preserve"> and emissions reduction </w:t>
      </w:r>
      <w:r w:rsidR="00A47284" w:rsidRPr="00C97A19">
        <w:rPr>
          <w:rFonts w:ascii="Calibri" w:hAnsi="Calibri" w:cs="Calibri"/>
          <w:i/>
          <w:iCs/>
          <w:sz w:val="22"/>
          <w:szCs w:val="22"/>
        </w:rPr>
        <w:t>by</w:t>
      </w:r>
      <w:r w:rsidRPr="00C97A19">
        <w:rPr>
          <w:rFonts w:ascii="Calibri" w:hAnsi="Calibri" w:cs="Calibri"/>
          <w:sz w:val="22"/>
          <w:szCs w:val="22"/>
        </w:rPr>
        <w:t xml:space="preserve"> support</w:t>
      </w:r>
      <w:r w:rsidR="00A47284" w:rsidRPr="00C97A19">
        <w:rPr>
          <w:rFonts w:ascii="Calibri" w:hAnsi="Calibri" w:cs="Calibri"/>
          <w:sz w:val="22"/>
          <w:szCs w:val="22"/>
        </w:rPr>
        <w:t>ing</w:t>
      </w:r>
      <w:r w:rsidRPr="00C97A19">
        <w:rPr>
          <w:rFonts w:ascii="Calibri" w:hAnsi="Calibri" w:cs="Calibri"/>
          <w:sz w:val="22"/>
          <w:szCs w:val="22"/>
        </w:rPr>
        <w:t xml:space="preserve"> the GoV and </w:t>
      </w:r>
      <w:r w:rsidR="0030343D" w:rsidRPr="00C97A19">
        <w:rPr>
          <w:rFonts w:ascii="Calibri" w:hAnsi="Calibri" w:cs="Calibri"/>
          <w:sz w:val="22"/>
          <w:szCs w:val="22"/>
        </w:rPr>
        <w:t>GoA</w:t>
      </w:r>
      <w:r w:rsidRPr="00C97A19">
        <w:rPr>
          <w:rFonts w:ascii="Calibri" w:hAnsi="Calibri" w:cs="Calibri"/>
          <w:sz w:val="22"/>
          <w:szCs w:val="22"/>
        </w:rPr>
        <w:t xml:space="preserve"> </w:t>
      </w:r>
      <w:r w:rsidR="00E03004" w:rsidRPr="00C97A19">
        <w:rPr>
          <w:rFonts w:ascii="Calibri" w:hAnsi="Calibri" w:cs="Calibri"/>
          <w:sz w:val="22"/>
          <w:szCs w:val="22"/>
        </w:rPr>
        <w:t>in</w:t>
      </w:r>
      <w:r w:rsidRPr="00C97A19">
        <w:rPr>
          <w:rFonts w:ascii="Calibri" w:hAnsi="Calibri" w:cs="Calibri"/>
          <w:sz w:val="22"/>
          <w:szCs w:val="22"/>
        </w:rPr>
        <w:t xml:space="preserve"> achiev</w:t>
      </w:r>
      <w:r w:rsidR="00E03004" w:rsidRPr="00C97A19">
        <w:rPr>
          <w:rFonts w:ascii="Calibri" w:hAnsi="Calibri" w:cs="Calibri"/>
          <w:sz w:val="22"/>
          <w:szCs w:val="22"/>
        </w:rPr>
        <w:t>ing</w:t>
      </w:r>
      <w:r w:rsidRPr="00C97A19">
        <w:rPr>
          <w:rFonts w:ascii="Calibri" w:hAnsi="Calibri" w:cs="Calibri"/>
          <w:sz w:val="22"/>
          <w:szCs w:val="22"/>
        </w:rPr>
        <w:t xml:space="preserve"> </w:t>
      </w:r>
      <w:r w:rsidRPr="00C97A19">
        <w:rPr>
          <w:rFonts w:ascii="Calibri" w:hAnsi="Calibri" w:cs="Calibri"/>
          <w:i/>
          <w:iCs/>
          <w:sz w:val="22"/>
          <w:szCs w:val="22"/>
        </w:rPr>
        <w:t xml:space="preserve">Outcome 3.2: </w:t>
      </w:r>
      <w:r w:rsidRPr="00C97A19">
        <w:rPr>
          <w:rFonts w:ascii="Calibri" w:eastAsia="Times New Roman" w:hAnsi="Calibri" w:cs="Calibri"/>
          <w:i/>
          <w:iCs/>
          <w:sz w:val="22"/>
          <w:szCs w:val="22"/>
          <w:lang w:eastAsia="en-AU"/>
        </w:rPr>
        <w:t>Strengthened transition to a low-carbon economy in response to climate change and the 2050 net</w:t>
      </w:r>
      <w:r w:rsidR="0030343D" w:rsidRPr="00C97A19">
        <w:rPr>
          <w:rFonts w:ascii="Calibri" w:eastAsia="Times New Roman" w:hAnsi="Calibri" w:cs="Calibri"/>
          <w:i/>
          <w:iCs/>
          <w:sz w:val="22"/>
          <w:szCs w:val="22"/>
          <w:lang w:eastAsia="en-AU"/>
        </w:rPr>
        <w:t>-</w:t>
      </w:r>
      <w:r w:rsidRPr="00C97A19">
        <w:rPr>
          <w:rFonts w:ascii="Calibri" w:eastAsia="Times New Roman" w:hAnsi="Calibri" w:cs="Calibri"/>
          <w:i/>
          <w:iCs/>
          <w:sz w:val="22"/>
          <w:szCs w:val="22"/>
          <w:lang w:eastAsia="en-AU"/>
        </w:rPr>
        <w:t>zero emissions target</w:t>
      </w:r>
      <w:r w:rsidR="0030343D" w:rsidRPr="00C97A19">
        <w:rPr>
          <w:rFonts w:ascii="Calibri" w:eastAsia="Times New Roman" w:hAnsi="Calibri" w:cs="Calibri"/>
          <w:i/>
          <w:iCs/>
          <w:sz w:val="22"/>
          <w:szCs w:val="22"/>
          <w:lang w:eastAsia="en-AU"/>
        </w:rPr>
        <w:t>.</w:t>
      </w:r>
    </w:p>
    <w:p w14:paraId="4F4997BD" w14:textId="0D255008" w:rsidR="0030343D" w:rsidRPr="00C97A19" w:rsidRDefault="0030343D" w:rsidP="0030343D">
      <w:pPr>
        <w:pStyle w:val="TableBodyCopy"/>
        <w:spacing w:before="0" w:after="120"/>
        <w:jc w:val="both"/>
        <w:rPr>
          <w:rFonts w:ascii="Calibri" w:eastAsiaTheme="minorEastAsia" w:hAnsi="Calibri" w:cs="Calibri"/>
          <w:i/>
          <w:iCs/>
          <w:sz w:val="22"/>
          <w:szCs w:val="22"/>
        </w:rPr>
      </w:pPr>
      <w:r w:rsidRPr="00C97A19">
        <w:rPr>
          <w:rFonts w:ascii="Calibri" w:hAnsi="Calibri" w:cs="Calibri"/>
          <w:b/>
          <w:bCs/>
          <w:color w:val="000000" w:themeColor="text1"/>
          <w:sz w:val="22"/>
          <w:szCs w:val="22"/>
        </w:rPr>
        <w:t xml:space="preserve">From the outset, VPSDP has aligned itself </w:t>
      </w:r>
      <w:r w:rsidRPr="00C97A19">
        <w:rPr>
          <w:rFonts w:ascii="Calibri" w:eastAsiaTheme="minorEastAsia" w:hAnsi="Calibri" w:cs="Calibri"/>
          <w:b/>
          <w:bCs/>
          <w:sz w:val="22"/>
          <w:szCs w:val="22"/>
        </w:rPr>
        <w:t>with DFAT’s core global strategies</w:t>
      </w:r>
      <w:r w:rsidRPr="00C97A19">
        <w:rPr>
          <w:rFonts w:ascii="Calibri" w:eastAsiaTheme="minorEastAsia" w:hAnsi="Calibri" w:cs="Calibri"/>
          <w:sz w:val="22"/>
          <w:szCs w:val="22"/>
        </w:rPr>
        <w:t xml:space="preserve"> including the </w:t>
      </w:r>
      <w:r w:rsidRPr="00C97A19">
        <w:rPr>
          <w:rFonts w:ascii="Calibri" w:eastAsiaTheme="minorEastAsia" w:hAnsi="Calibri" w:cs="Calibri"/>
          <w:i/>
          <w:iCs/>
          <w:sz w:val="22"/>
          <w:szCs w:val="22"/>
        </w:rPr>
        <w:t>Partnerships for Recovery: Australia’s COVID-19 Development Response</w:t>
      </w:r>
      <w:r w:rsidRPr="00C97A19">
        <w:rPr>
          <w:rFonts w:ascii="Calibri" w:eastAsiaTheme="minorEastAsia" w:hAnsi="Calibri" w:cs="Calibri"/>
          <w:sz w:val="22"/>
          <w:szCs w:val="22"/>
        </w:rPr>
        <w:t xml:space="preserve">, </w:t>
      </w:r>
      <w:r w:rsidRPr="00C97A19">
        <w:rPr>
          <w:rFonts w:ascii="Calibri" w:eastAsiaTheme="minorEastAsia" w:hAnsi="Calibri" w:cs="Calibri"/>
          <w:i/>
          <w:iCs/>
          <w:sz w:val="22"/>
          <w:szCs w:val="22"/>
        </w:rPr>
        <w:t>Gender Equality and Women’s Empowerment Strategy</w:t>
      </w:r>
      <w:r w:rsidRPr="00C97A19">
        <w:rPr>
          <w:rFonts w:ascii="Calibri" w:eastAsiaTheme="minorEastAsia" w:hAnsi="Calibri" w:cs="Calibri"/>
          <w:sz w:val="22"/>
          <w:szCs w:val="22"/>
        </w:rPr>
        <w:t xml:space="preserve">, the </w:t>
      </w:r>
      <w:r w:rsidRPr="00C97A19">
        <w:rPr>
          <w:rFonts w:ascii="Calibri" w:eastAsiaTheme="minorEastAsia" w:hAnsi="Calibri" w:cs="Calibri"/>
          <w:i/>
          <w:iCs/>
          <w:sz w:val="22"/>
          <w:szCs w:val="22"/>
        </w:rPr>
        <w:t>Strategy for Australia’s Aid Investments in Private Sector Development</w:t>
      </w:r>
      <w:r w:rsidRPr="00C97A19">
        <w:rPr>
          <w:rFonts w:ascii="Calibri" w:eastAsiaTheme="minorEastAsia" w:hAnsi="Calibri" w:cs="Calibri"/>
          <w:sz w:val="22"/>
          <w:szCs w:val="22"/>
        </w:rPr>
        <w:t xml:space="preserve">, </w:t>
      </w:r>
      <w:r w:rsidRPr="00C97A19">
        <w:rPr>
          <w:rFonts w:ascii="Calibri" w:eastAsiaTheme="minorEastAsia" w:hAnsi="Calibri" w:cs="Calibri"/>
          <w:i/>
          <w:iCs/>
          <w:sz w:val="22"/>
          <w:szCs w:val="22"/>
        </w:rPr>
        <w:t>Australia’s Strategy for Investments in Economic Infrastructure</w:t>
      </w:r>
      <w:r w:rsidRPr="00C97A19">
        <w:rPr>
          <w:rFonts w:ascii="Calibri" w:eastAsiaTheme="minorEastAsia" w:hAnsi="Calibri" w:cs="Calibri"/>
          <w:sz w:val="22"/>
          <w:szCs w:val="22"/>
        </w:rPr>
        <w:t xml:space="preserve">, and the </w:t>
      </w:r>
      <w:r w:rsidRPr="00C97A19">
        <w:rPr>
          <w:rFonts w:ascii="Calibri" w:eastAsiaTheme="minorEastAsia" w:hAnsi="Calibri" w:cs="Calibri"/>
          <w:i/>
          <w:iCs/>
          <w:sz w:val="22"/>
          <w:szCs w:val="22"/>
        </w:rPr>
        <w:t xml:space="preserve">Strategy for Australia’s Aid Investments in Agriculture, </w:t>
      </w:r>
      <w:r w:rsidRPr="00C97A19">
        <w:rPr>
          <w:rFonts w:ascii="Calibri" w:eastAsiaTheme="minorEastAsia" w:hAnsi="Calibri" w:cs="Calibri"/>
          <w:i/>
          <w:iCs/>
          <w:sz w:val="22"/>
          <w:szCs w:val="22"/>
        </w:rPr>
        <w:lastRenderedPageBreak/>
        <w:t xml:space="preserve">Fisheries and Water. </w:t>
      </w:r>
      <w:r w:rsidR="00482836" w:rsidRPr="00C97A19">
        <w:rPr>
          <w:rFonts w:ascii="Calibri" w:eastAsiaTheme="minorEastAsia" w:hAnsi="Calibri" w:cs="Calibri"/>
          <w:i/>
          <w:iCs/>
          <w:sz w:val="22"/>
          <w:szCs w:val="22"/>
        </w:rPr>
        <w:t xml:space="preserve"> </w:t>
      </w:r>
      <w:r w:rsidR="0082062A" w:rsidRPr="00C97A19">
        <w:rPr>
          <w:rFonts w:ascii="Calibri" w:eastAsiaTheme="minorEastAsia" w:hAnsi="Calibri" w:cs="Calibri"/>
          <w:sz w:val="22"/>
          <w:szCs w:val="22"/>
        </w:rPr>
        <w:t xml:space="preserve">An important finding is </w:t>
      </w:r>
      <w:r w:rsidR="00482836" w:rsidRPr="00C97A19">
        <w:rPr>
          <w:rFonts w:ascii="Calibri" w:eastAsiaTheme="minorEastAsia" w:hAnsi="Calibri" w:cs="Calibri"/>
          <w:sz w:val="22"/>
          <w:szCs w:val="22"/>
        </w:rPr>
        <w:t xml:space="preserve">joint engagement between </w:t>
      </w:r>
      <w:r w:rsidR="00E024D3" w:rsidRPr="00C97A19">
        <w:rPr>
          <w:rFonts w:ascii="Calibri" w:eastAsiaTheme="minorEastAsia" w:hAnsi="Calibri" w:cs="Calibri"/>
          <w:sz w:val="22"/>
          <w:szCs w:val="22"/>
        </w:rPr>
        <w:t>DFAT</w:t>
      </w:r>
      <w:r w:rsidR="00482836" w:rsidRPr="00C97A19">
        <w:rPr>
          <w:rFonts w:ascii="Calibri" w:eastAsiaTheme="minorEastAsia" w:hAnsi="Calibri" w:cs="Calibri"/>
          <w:sz w:val="22"/>
          <w:szCs w:val="22"/>
        </w:rPr>
        <w:t xml:space="preserve"> and </w:t>
      </w:r>
      <w:r w:rsidR="00E024D3" w:rsidRPr="00C97A19">
        <w:rPr>
          <w:rFonts w:ascii="Calibri" w:eastAsiaTheme="minorEastAsia" w:hAnsi="Calibri" w:cs="Calibri"/>
          <w:sz w:val="22"/>
          <w:szCs w:val="22"/>
        </w:rPr>
        <w:t>IFC</w:t>
      </w:r>
      <w:r w:rsidR="00482836" w:rsidRPr="00C97A19">
        <w:rPr>
          <w:rFonts w:ascii="Calibri" w:eastAsiaTheme="minorEastAsia" w:hAnsi="Calibri" w:cs="Calibri"/>
          <w:sz w:val="22"/>
          <w:szCs w:val="22"/>
        </w:rPr>
        <w:t xml:space="preserve"> to evolve the program away from an initial negotiated design feature as a COVID-19 response mechanism to </w:t>
      </w:r>
      <w:r w:rsidR="00A47284" w:rsidRPr="00C97A19">
        <w:rPr>
          <w:rFonts w:ascii="Calibri" w:eastAsiaTheme="minorEastAsia" w:hAnsi="Calibri" w:cs="Calibri"/>
          <w:sz w:val="22"/>
          <w:szCs w:val="22"/>
        </w:rPr>
        <w:t>one</w:t>
      </w:r>
      <w:r w:rsidR="00482836" w:rsidRPr="00C97A19">
        <w:rPr>
          <w:rFonts w:ascii="Calibri" w:eastAsiaTheme="minorEastAsia" w:hAnsi="Calibri" w:cs="Calibri"/>
          <w:sz w:val="22"/>
          <w:szCs w:val="22"/>
        </w:rPr>
        <w:t xml:space="preserve"> that focuses on more long-term development priorities </w:t>
      </w:r>
      <w:r w:rsidR="00A47284" w:rsidRPr="00C97A19">
        <w:rPr>
          <w:rFonts w:ascii="Calibri" w:eastAsiaTheme="minorEastAsia" w:hAnsi="Calibri" w:cs="Calibri"/>
          <w:sz w:val="22"/>
          <w:szCs w:val="22"/>
        </w:rPr>
        <w:t>align</w:t>
      </w:r>
      <w:r w:rsidR="00482836" w:rsidRPr="00C97A19">
        <w:rPr>
          <w:rFonts w:ascii="Calibri" w:eastAsiaTheme="minorEastAsia" w:hAnsi="Calibri" w:cs="Calibri"/>
          <w:sz w:val="22"/>
          <w:szCs w:val="22"/>
        </w:rPr>
        <w:t xml:space="preserve">ed </w:t>
      </w:r>
      <w:r w:rsidR="00A47284" w:rsidRPr="00C97A19">
        <w:rPr>
          <w:rFonts w:ascii="Calibri" w:eastAsiaTheme="minorEastAsia" w:hAnsi="Calibri" w:cs="Calibri"/>
          <w:sz w:val="22"/>
          <w:szCs w:val="22"/>
        </w:rPr>
        <w:t>with</w:t>
      </w:r>
      <w:r w:rsidR="00482836" w:rsidRPr="00C97A19">
        <w:rPr>
          <w:rFonts w:ascii="Calibri" w:eastAsiaTheme="minorEastAsia" w:hAnsi="Calibri" w:cs="Calibri"/>
          <w:sz w:val="22"/>
          <w:szCs w:val="22"/>
        </w:rPr>
        <w:t xml:space="preserve"> the needs of </w:t>
      </w:r>
      <w:r w:rsidR="00AB362B" w:rsidRPr="00C97A19">
        <w:rPr>
          <w:rFonts w:ascii="Calibri" w:eastAsiaTheme="minorEastAsia" w:hAnsi="Calibri" w:cs="Calibri"/>
          <w:sz w:val="22"/>
          <w:szCs w:val="22"/>
        </w:rPr>
        <w:t xml:space="preserve">the </w:t>
      </w:r>
      <w:r w:rsidR="00482836" w:rsidRPr="00C97A19">
        <w:rPr>
          <w:rFonts w:ascii="Calibri" w:eastAsiaTheme="minorEastAsia" w:hAnsi="Calibri" w:cs="Calibri"/>
          <w:sz w:val="22"/>
          <w:szCs w:val="22"/>
        </w:rPr>
        <w:t>GoV. This has been a significant achievement and demonstrates an ability to maintain and progress relevance.</w:t>
      </w:r>
    </w:p>
    <w:p w14:paraId="55CC8951" w14:textId="613D020B" w:rsidR="0030343D" w:rsidRPr="00C97A19" w:rsidRDefault="0030343D" w:rsidP="0030343D">
      <w:pPr>
        <w:pStyle w:val="TableBodyCopy"/>
        <w:spacing w:before="0" w:after="120"/>
        <w:jc w:val="both"/>
        <w:rPr>
          <w:rFonts w:ascii="Calibri" w:eastAsia="Times New Roman" w:hAnsi="Calibri" w:cs="Calibri"/>
          <w:i/>
          <w:iCs/>
          <w:sz w:val="22"/>
          <w:szCs w:val="22"/>
          <w:lang w:eastAsia="en-AU"/>
        </w:rPr>
      </w:pPr>
      <w:r w:rsidRPr="00C97A19">
        <w:rPr>
          <w:rFonts w:ascii="Calibri" w:eastAsiaTheme="minorEastAsia" w:hAnsi="Calibri" w:cs="Calibri"/>
          <w:b/>
          <w:bCs/>
          <w:sz w:val="22"/>
          <w:szCs w:val="22"/>
        </w:rPr>
        <w:t>VPSDP contributes globally to the United Nations (UN) Sustainable Development Goals (SDGs).</w:t>
      </w:r>
      <w:r w:rsidRPr="00C97A19">
        <w:rPr>
          <w:rFonts w:ascii="Calibri" w:eastAsiaTheme="minorEastAsia" w:hAnsi="Calibri" w:cs="Calibri"/>
          <w:sz w:val="22"/>
          <w:szCs w:val="22"/>
        </w:rPr>
        <w:t xml:space="preserve"> VPSDP directly contributes to </w:t>
      </w:r>
      <w:r w:rsidR="00B61582" w:rsidRPr="00C97A19">
        <w:rPr>
          <w:rFonts w:ascii="Calibri" w:eastAsiaTheme="minorEastAsia" w:hAnsi="Calibri" w:cs="Calibri"/>
          <w:sz w:val="22"/>
          <w:szCs w:val="22"/>
        </w:rPr>
        <w:t>SDGs 5 (Gender Equality), 7 (Affordable and Clean Energy), 8 (Economic Growth), 9 (Industry, Innovation and Infrastructure), and 13</w:t>
      </w:r>
      <w:r w:rsidRPr="00C97A19">
        <w:rPr>
          <w:rFonts w:ascii="Calibri" w:eastAsiaTheme="minorEastAsia" w:hAnsi="Calibri" w:cs="Calibri"/>
          <w:sz w:val="22"/>
          <w:szCs w:val="22"/>
        </w:rPr>
        <w:t xml:space="preserve"> (Climate Action).</w:t>
      </w:r>
      <w:r w:rsidRPr="00C97A19">
        <w:rPr>
          <w:rFonts w:ascii="Calibri" w:eastAsiaTheme="minorEastAsia" w:hAnsi="Calibri" w:cs="Calibri"/>
          <w:b/>
          <w:bCs/>
          <w:sz w:val="22"/>
          <w:szCs w:val="22"/>
        </w:rPr>
        <w:t xml:space="preserve"> </w:t>
      </w:r>
    </w:p>
    <w:p w14:paraId="735E9B54" w14:textId="410EA23F" w:rsidR="0030343D" w:rsidRPr="000348BD" w:rsidRDefault="00842907" w:rsidP="000D0481">
      <w:pPr>
        <w:tabs>
          <w:tab w:val="left" w:pos="284"/>
        </w:tabs>
        <w:spacing w:after="120"/>
        <w:jc w:val="both"/>
        <w:rPr>
          <w:rFonts w:ascii="Calibri" w:hAnsi="Calibri" w:cs="Calibri"/>
          <w:color w:val="000000" w:themeColor="text1"/>
          <w:sz w:val="22"/>
          <w:szCs w:val="22"/>
          <w:lang w:val="en-AU" w:eastAsia="en-AU"/>
        </w:rPr>
      </w:pPr>
      <w:r w:rsidRPr="00C97A19">
        <w:rPr>
          <w:rFonts w:ascii="Calibri" w:hAnsi="Calibri" w:cs="Calibri"/>
          <w:color w:val="000000" w:themeColor="text1"/>
          <w:sz w:val="22"/>
          <w:szCs w:val="22"/>
          <w:lang w:val="en-AU"/>
        </w:rPr>
        <w:t xml:space="preserve">From a GoV perspective, the </w:t>
      </w:r>
      <w:r w:rsidRPr="00C97A19">
        <w:rPr>
          <w:rFonts w:ascii="Calibri" w:hAnsi="Calibri" w:cs="Calibri"/>
          <w:b/>
          <w:bCs/>
          <w:color w:val="000000" w:themeColor="text1"/>
          <w:sz w:val="22"/>
          <w:szCs w:val="22"/>
          <w:lang w:val="en-AU"/>
        </w:rPr>
        <w:t>VPSDP closely aligns with</w:t>
      </w:r>
      <w:r w:rsidR="0030343D" w:rsidRPr="00C97A19">
        <w:rPr>
          <w:rFonts w:ascii="Calibri" w:hAnsi="Calibri" w:cs="Calibri"/>
          <w:b/>
          <w:bCs/>
          <w:color w:val="000000" w:themeColor="text1"/>
          <w:sz w:val="22"/>
          <w:szCs w:val="22"/>
          <w:lang w:val="en-AU"/>
        </w:rPr>
        <w:t xml:space="preserve"> </w:t>
      </w:r>
      <w:r w:rsidR="0030343D" w:rsidRPr="000348BD">
        <w:rPr>
          <w:rFonts w:ascii="Calibri" w:eastAsiaTheme="minorEastAsia" w:hAnsi="Calibri" w:cs="Calibri"/>
          <w:b/>
          <w:bCs/>
          <w:color w:val="000000" w:themeColor="text1"/>
          <w:sz w:val="22"/>
          <w:szCs w:val="22"/>
          <w:lang w:val="en-AU"/>
        </w:rPr>
        <w:t xml:space="preserve">the </w:t>
      </w:r>
      <w:r w:rsidR="0030343D" w:rsidRPr="000348BD">
        <w:rPr>
          <w:rFonts w:ascii="Calibri" w:eastAsiaTheme="minorEastAsia" w:hAnsi="Calibri" w:cs="Calibri"/>
          <w:b/>
          <w:bCs/>
          <w:i/>
          <w:iCs/>
          <w:color w:val="000000" w:themeColor="text1"/>
          <w:sz w:val="22"/>
          <w:szCs w:val="22"/>
          <w:lang w:val="en-AU"/>
        </w:rPr>
        <w:t>Government of Vietnam’s Vision 2035</w:t>
      </w:r>
      <w:r w:rsidR="000D0481" w:rsidRPr="000348BD">
        <w:rPr>
          <w:rFonts w:ascii="Calibri" w:eastAsiaTheme="minorEastAsia" w:hAnsi="Calibri" w:cs="Calibri"/>
          <w:color w:val="000000" w:themeColor="text1"/>
          <w:sz w:val="22"/>
          <w:szCs w:val="22"/>
          <w:lang w:val="en-AU"/>
        </w:rPr>
        <w:t>,</w:t>
      </w:r>
      <w:r w:rsidR="0030343D" w:rsidRPr="000348BD">
        <w:rPr>
          <w:rFonts w:ascii="Calibri" w:eastAsiaTheme="minorEastAsia" w:hAnsi="Calibri" w:cs="Calibri"/>
          <w:color w:val="000000" w:themeColor="text1"/>
          <w:sz w:val="22"/>
          <w:szCs w:val="22"/>
          <w:lang w:val="en-AU"/>
        </w:rPr>
        <w:t xml:space="preserve"> which focuses on inclusive</w:t>
      </w:r>
      <w:r w:rsidR="000D0481" w:rsidRPr="000348BD">
        <w:rPr>
          <w:rFonts w:ascii="Calibri" w:eastAsiaTheme="minorEastAsia" w:hAnsi="Calibri" w:cs="Calibri"/>
          <w:color w:val="000000" w:themeColor="text1"/>
          <w:sz w:val="22"/>
          <w:szCs w:val="22"/>
          <w:lang w:val="en-AU"/>
        </w:rPr>
        <w:t>,</w:t>
      </w:r>
      <w:r w:rsidR="0030343D" w:rsidRPr="000348BD">
        <w:rPr>
          <w:rFonts w:ascii="Calibri" w:eastAsiaTheme="minorEastAsia" w:hAnsi="Calibri" w:cs="Calibri"/>
          <w:color w:val="000000" w:themeColor="text1"/>
          <w:sz w:val="22"/>
          <w:szCs w:val="22"/>
          <w:lang w:val="en-AU"/>
        </w:rPr>
        <w:t xml:space="preserve"> sustainable development, economic moderni</w:t>
      </w:r>
      <w:r w:rsidR="000D0481" w:rsidRPr="000348BD">
        <w:rPr>
          <w:rFonts w:ascii="Calibri" w:eastAsiaTheme="minorEastAsia" w:hAnsi="Calibri" w:cs="Calibri"/>
          <w:color w:val="000000" w:themeColor="text1"/>
          <w:sz w:val="22"/>
          <w:szCs w:val="22"/>
          <w:lang w:val="en-AU"/>
        </w:rPr>
        <w:t>sation,</w:t>
      </w:r>
      <w:r w:rsidR="0030343D" w:rsidRPr="000348BD">
        <w:rPr>
          <w:rFonts w:ascii="Calibri" w:eastAsiaTheme="minorEastAsia" w:hAnsi="Calibri" w:cs="Calibri"/>
          <w:color w:val="000000" w:themeColor="text1"/>
          <w:sz w:val="22"/>
          <w:szCs w:val="22"/>
          <w:lang w:val="en-AU"/>
        </w:rPr>
        <w:t xml:space="preserve"> </w:t>
      </w:r>
      <w:r w:rsidR="00B61582" w:rsidRPr="000348BD">
        <w:rPr>
          <w:rFonts w:ascii="Calibri" w:eastAsiaTheme="minorEastAsia" w:hAnsi="Calibri" w:cs="Calibri"/>
          <w:color w:val="000000" w:themeColor="text1"/>
          <w:sz w:val="22"/>
          <w:szCs w:val="22"/>
          <w:lang w:val="en-AU"/>
        </w:rPr>
        <w:t>private-</w:t>
      </w:r>
      <w:r w:rsidR="0030343D" w:rsidRPr="000348BD">
        <w:rPr>
          <w:rFonts w:ascii="Calibri" w:eastAsiaTheme="minorEastAsia" w:hAnsi="Calibri" w:cs="Calibri"/>
          <w:color w:val="000000" w:themeColor="text1"/>
          <w:sz w:val="22"/>
          <w:szCs w:val="22"/>
          <w:lang w:val="en-AU"/>
        </w:rPr>
        <w:t xml:space="preserve">sector development, and equity and social inclusion. </w:t>
      </w:r>
      <w:r w:rsidR="0030343D" w:rsidRPr="000348BD">
        <w:rPr>
          <w:rFonts w:ascii="Calibri" w:hAnsi="Calibri" w:cs="Calibri"/>
          <w:color w:val="000000" w:themeColor="text1"/>
          <w:sz w:val="22"/>
          <w:szCs w:val="22"/>
          <w:lang w:val="en-AU" w:eastAsia="en-AU"/>
        </w:rPr>
        <w:t xml:space="preserve">Vietnam </w:t>
      </w:r>
      <w:r w:rsidR="00AB362B" w:rsidRPr="000348BD">
        <w:rPr>
          <w:rFonts w:ascii="Calibri" w:hAnsi="Calibri" w:cs="Calibri"/>
          <w:color w:val="000000" w:themeColor="text1"/>
          <w:sz w:val="22"/>
          <w:szCs w:val="22"/>
          <w:lang w:val="en-AU" w:eastAsia="en-AU"/>
        </w:rPr>
        <w:t>aim</w:t>
      </w:r>
      <w:r w:rsidR="0030343D" w:rsidRPr="000348BD">
        <w:rPr>
          <w:rFonts w:ascii="Calibri" w:hAnsi="Calibri" w:cs="Calibri"/>
          <w:color w:val="000000" w:themeColor="text1"/>
          <w:sz w:val="22"/>
          <w:szCs w:val="22"/>
          <w:lang w:val="en-AU" w:eastAsia="en-AU"/>
        </w:rPr>
        <w:t>s to be</w:t>
      </w:r>
      <w:r w:rsidR="00AB362B" w:rsidRPr="000348BD">
        <w:rPr>
          <w:rFonts w:ascii="Calibri" w:hAnsi="Calibri" w:cs="Calibri"/>
          <w:color w:val="000000" w:themeColor="text1"/>
          <w:sz w:val="22"/>
          <w:szCs w:val="22"/>
          <w:lang w:val="en-AU" w:eastAsia="en-AU"/>
        </w:rPr>
        <w:t>come</w:t>
      </w:r>
      <w:r w:rsidR="0030343D" w:rsidRPr="000348BD">
        <w:rPr>
          <w:rFonts w:ascii="Calibri" w:hAnsi="Calibri" w:cs="Calibri"/>
          <w:color w:val="000000" w:themeColor="text1"/>
          <w:sz w:val="22"/>
          <w:szCs w:val="22"/>
          <w:lang w:val="en-AU" w:eastAsia="en-AU"/>
        </w:rPr>
        <w:t xml:space="preserve"> an upper-middle</w:t>
      </w:r>
      <w:r w:rsidR="000D0481" w:rsidRPr="000348BD">
        <w:rPr>
          <w:rFonts w:ascii="Calibri" w:hAnsi="Calibri" w:cs="Calibri"/>
          <w:color w:val="000000" w:themeColor="text1"/>
          <w:sz w:val="22"/>
          <w:szCs w:val="22"/>
          <w:lang w:val="en-AU" w:eastAsia="en-AU"/>
        </w:rPr>
        <w:t>-</w:t>
      </w:r>
      <w:r w:rsidR="0030343D" w:rsidRPr="000348BD">
        <w:rPr>
          <w:rFonts w:ascii="Calibri" w:hAnsi="Calibri" w:cs="Calibri"/>
          <w:color w:val="000000" w:themeColor="text1"/>
          <w:sz w:val="22"/>
          <w:szCs w:val="22"/>
          <w:lang w:val="en-AU" w:eastAsia="en-AU"/>
        </w:rPr>
        <w:t xml:space="preserve">income country by 2030 and a developed country by 2040. </w:t>
      </w:r>
      <w:r w:rsidR="000D0481" w:rsidRPr="000348BD">
        <w:rPr>
          <w:rFonts w:ascii="Calibri" w:hAnsi="Calibri" w:cs="Calibri"/>
          <w:color w:val="000000" w:themeColor="text1"/>
          <w:sz w:val="22"/>
          <w:szCs w:val="22"/>
          <w:lang w:val="en-AU" w:eastAsia="en-AU"/>
        </w:rPr>
        <w:t>To achieve this, 6% annual GDP growth is required</w:t>
      </w:r>
      <w:r w:rsidR="000D0481" w:rsidRPr="000348BD">
        <w:rPr>
          <w:rStyle w:val="FootnoteReference"/>
          <w:rFonts w:ascii="Calibri" w:hAnsi="Calibri" w:cs="Calibri"/>
          <w:color w:val="000000" w:themeColor="text1"/>
          <w:sz w:val="22"/>
          <w:szCs w:val="22"/>
          <w:lang w:val="en-AU" w:eastAsia="en-AU"/>
        </w:rPr>
        <w:footnoteReference w:id="14"/>
      </w:r>
      <w:r w:rsidR="000D0481" w:rsidRPr="000348BD">
        <w:rPr>
          <w:rFonts w:ascii="Calibri" w:hAnsi="Calibri" w:cs="Calibri"/>
          <w:color w:val="000000" w:themeColor="text1"/>
          <w:sz w:val="22"/>
          <w:szCs w:val="22"/>
          <w:lang w:val="en-AU" w:eastAsia="en-AU"/>
        </w:rPr>
        <w:t>.</w:t>
      </w:r>
      <w:r w:rsidR="0030343D" w:rsidRPr="000348BD">
        <w:rPr>
          <w:rFonts w:ascii="Calibri" w:hAnsi="Calibri" w:cs="Calibri"/>
          <w:color w:val="000000" w:themeColor="text1"/>
          <w:sz w:val="22"/>
          <w:szCs w:val="22"/>
          <w:lang w:val="en-AU" w:eastAsia="en-AU"/>
        </w:rPr>
        <w:t xml:space="preserve"> </w:t>
      </w:r>
    </w:p>
    <w:p w14:paraId="1BB73829" w14:textId="60C37608" w:rsidR="000D0481" w:rsidRPr="000348BD" w:rsidRDefault="000D0481" w:rsidP="000D0481">
      <w:pPr>
        <w:tabs>
          <w:tab w:val="left" w:pos="284"/>
        </w:tabs>
        <w:spacing w:after="120"/>
        <w:jc w:val="both"/>
        <w:rPr>
          <w:rFonts w:ascii="Calibri" w:hAnsi="Calibri" w:cs="Calibri"/>
          <w:color w:val="000000" w:themeColor="text1"/>
          <w:sz w:val="22"/>
          <w:szCs w:val="22"/>
          <w:lang w:val="en-AU" w:eastAsia="en-AU"/>
        </w:rPr>
      </w:pPr>
      <w:r w:rsidRPr="000348BD">
        <w:rPr>
          <w:rFonts w:ascii="Calibri" w:hAnsi="Calibri" w:cs="Calibri"/>
          <w:color w:val="000000" w:themeColor="text1"/>
          <w:sz w:val="22"/>
          <w:szCs w:val="22"/>
          <w:lang w:val="en-AU" w:eastAsia="en-AU"/>
        </w:rPr>
        <w:t xml:space="preserve">At a more </w:t>
      </w:r>
      <w:r w:rsidRPr="000348BD">
        <w:rPr>
          <w:rFonts w:ascii="Calibri" w:hAnsi="Calibri" w:cs="Calibri"/>
          <w:b/>
          <w:bCs/>
          <w:color w:val="000000" w:themeColor="text1"/>
          <w:sz w:val="22"/>
          <w:szCs w:val="22"/>
          <w:lang w:val="en-AU" w:eastAsia="en-AU"/>
        </w:rPr>
        <w:t>secto</w:t>
      </w:r>
      <w:r w:rsidR="00E91421" w:rsidRPr="000348BD">
        <w:rPr>
          <w:rFonts w:ascii="Calibri" w:hAnsi="Calibri" w:cs="Calibri"/>
          <w:b/>
          <w:bCs/>
          <w:color w:val="000000" w:themeColor="text1"/>
          <w:sz w:val="22"/>
          <w:szCs w:val="22"/>
          <w:lang w:val="en-AU" w:eastAsia="en-AU"/>
        </w:rPr>
        <w:t>r</w:t>
      </w:r>
      <w:r w:rsidRPr="000348BD">
        <w:rPr>
          <w:rFonts w:ascii="Calibri" w:hAnsi="Calibri" w:cs="Calibri"/>
          <w:b/>
          <w:bCs/>
          <w:color w:val="000000" w:themeColor="text1"/>
          <w:sz w:val="22"/>
          <w:szCs w:val="22"/>
          <w:lang w:val="en-AU" w:eastAsia="en-AU"/>
        </w:rPr>
        <w:t>-focused level, the GoV Economic Strategy 2021-2030 aims to achieve the 6% annual growth target by becoming a high-income nation by 2045 wit</w:t>
      </w:r>
      <w:r w:rsidR="00E91421" w:rsidRPr="000348BD">
        <w:rPr>
          <w:rFonts w:ascii="Calibri" w:hAnsi="Calibri" w:cs="Calibri"/>
          <w:b/>
          <w:bCs/>
          <w:color w:val="000000" w:themeColor="text1"/>
          <w:sz w:val="22"/>
          <w:szCs w:val="22"/>
          <w:lang w:val="en-AU" w:eastAsia="en-AU"/>
        </w:rPr>
        <w:t>h</w:t>
      </w:r>
      <w:r w:rsidRPr="000348BD">
        <w:rPr>
          <w:rFonts w:ascii="Calibri" w:hAnsi="Calibri" w:cs="Calibri"/>
          <w:b/>
          <w:bCs/>
          <w:color w:val="000000" w:themeColor="text1"/>
          <w:sz w:val="22"/>
          <w:szCs w:val="22"/>
          <w:lang w:val="en-AU" w:eastAsia="en-AU"/>
        </w:rPr>
        <w:t xml:space="preserve"> a focus on manufacturing, digital economy development and innovation</w:t>
      </w:r>
      <w:r w:rsidRPr="000348BD">
        <w:rPr>
          <w:rFonts w:ascii="Calibri" w:hAnsi="Calibri" w:cs="Calibri"/>
          <w:color w:val="000000" w:themeColor="text1"/>
          <w:sz w:val="22"/>
          <w:szCs w:val="22"/>
          <w:lang w:val="en-AU" w:eastAsia="en-AU"/>
        </w:rPr>
        <w:t xml:space="preserve">. The </w:t>
      </w:r>
      <w:r w:rsidRPr="000348BD">
        <w:rPr>
          <w:rFonts w:ascii="Calibri" w:hAnsi="Calibri" w:cs="Calibri"/>
          <w:i/>
          <w:iCs/>
          <w:color w:val="000000" w:themeColor="text1"/>
          <w:sz w:val="22"/>
          <w:szCs w:val="22"/>
          <w:lang w:val="en-AU" w:eastAsia="en-AU"/>
        </w:rPr>
        <w:t xml:space="preserve">National Green Growth </w:t>
      </w:r>
      <w:r w:rsidR="00FC655A">
        <w:rPr>
          <w:rFonts w:ascii="Calibri" w:hAnsi="Calibri" w:cs="Calibri"/>
          <w:i/>
          <w:iCs/>
          <w:color w:val="000000" w:themeColor="text1"/>
          <w:sz w:val="22"/>
          <w:szCs w:val="22"/>
          <w:lang w:val="en-AU" w:eastAsia="en-AU"/>
        </w:rPr>
        <w:t>S</w:t>
      </w:r>
      <w:r w:rsidRPr="000348BD">
        <w:rPr>
          <w:rFonts w:ascii="Calibri" w:hAnsi="Calibri" w:cs="Calibri"/>
          <w:i/>
          <w:iCs/>
          <w:color w:val="000000" w:themeColor="text1"/>
          <w:sz w:val="22"/>
          <w:szCs w:val="22"/>
          <w:lang w:val="en-AU" w:eastAsia="en-AU"/>
        </w:rPr>
        <w:t xml:space="preserve">trategy for </w:t>
      </w:r>
      <w:r w:rsidR="00E91421" w:rsidRPr="000348BD">
        <w:rPr>
          <w:rFonts w:ascii="Calibri" w:hAnsi="Calibri" w:cs="Calibri"/>
          <w:i/>
          <w:iCs/>
          <w:color w:val="000000" w:themeColor="text1"/>
          <w:sz w:val="22"/>
          <w:szCs w:val="22"/>
          <w:lang w:val="en-AU" w:eastAsia="en-AU"/>
        </w:rPr>
        <w:t xml:space="preserve">2021-2030. </w:t>
      </w:r>
      <w:r w:rsidR="00E91421" w:rsidRPr="000348BD">
        <w:rPr>
          <w:rFonts w:ascii="Calibri" w:hAnsi="Calibri" w:cs="Calibri"/>
          <w:color w:val="000000" w:themeColor="text1"/>
          <w:sz w:val="22"/>
          <w:szCs w:val="22"/>
          <w:lang w:val="en-AU" w:eastAsia="en-AU"/>
        </w:rPr>
        <w:t>The strategy outlines key principles and a long-term</w:t>
      </w:r>
      <w:r w:rsidRPr="000348BD">
        <w:rPr>
          <w:rFonts w:ascii="Calibri" w:hAnsi="Calibri" w:cs="Calibri"/>
          <w:color w:val="000000" w:themeColor="text1"/>
          <w:sz w:val="22"/>
          <w:szCs w:val="22"/>
          <w:lang w:val="en-AU" w:eastAsia="en-AU"/>
        </w:rPr>
        <w:t xml:space="preserve"> objective of achieving Net Zero by 2050</w:t>
      </w:r>
      <w:r w:rsidR="00E91421" w:rsidRPr="000348BD">
        <w:rPr>
          <w:rFonts w:ascii="Calibri" w:hAnsi="Calibri" w:cs="Calibri"/>
          <w:color w:val="000000" w:themeColor="text1"/>
          <w:sz w:val="22"/>
          <w:szCs w:val="22"/>
          <w:lang w:val="en-AU" w:eastAsia="en-AU"/>
        </w:rPr>
        <w:t xml:space="preserve">. The Foreign Direct Investment (FDI) Strategy 2021-2030 also prioritises a high-technology, digital economy underpinned by eco-friendly projects. The strategy is underpinned by a series of incentives, including lower corporate taxes and land rent exemptions for special economic zones. In addition, amendments to the Investment Law and the Land Law were initiated in 2024. </w:t>
      </w:r>
      <w:r w:rsidR="00E91421" w:rsidRPr="000348BD">
        <w:rPr>
          <w:rFonts w:ascii="Calibri" w:hAnsi="Calibri" w:cs="Calibri"/>
          <w:color w:val="0A0A0A"/>
          <w:sz w:val="22"/>
          <w:szCs w:val="22"/>
          <w:shd w:val="clear" w:color="auto" w:fill="FFFFFF"/>
          <w:lang w:val="en-AU"/>
        </w:rPr>
        <w:t>New regulations</w:t>
      </w:r>
      <w:r w:rsidR="00E91421" w:rsidRPr="000348BD">
        <w:rPr>
          <w:rStyle w:val="FootnoteReference"/>
          <w:rFonts w:ascii="Calibri" w:hAnsi="Calibri" w:cs="Calibri"/>
          <w:color w:val="0A0A0A"/>
          <w:sz w:val="22"/>
          <w:szCs w:val="22"/>
          <w:shd w:val="clear" w:color="auto" w:fill="FFFFFF"/>
          <w:lang w:val="en-AU"/>
        </w:rPr>
        <w:footnoteReference w:id="15"/>
      </w:r>
      <w:r w:rsidR="00E91421" w:rsidRPr="000348BD">
        <w:rPr>
          <w:rFonts w:ascii="Calibri" w:hAnsi="Calibri" w:cs="Calibri"/>
          <w:color w:val="0A0A0A"/>
          <w:sz w:val="22"/>
          <w:szCs w:val="22"/>
          <w:shd w:val="clear" w:color="auto" w:fill="FFFFFF"/>
          <w:lang w:val="en-AU"/>
        </w:rPr>
        <w:t xml:space="preserve"> have also introduced "special investment procedures" to significantly shorten licensing timelines for projects in high-tech zones and strategic industrial clusters.</w:t>
      </w:r>
    </w:p>
    <w:p w14:paraId="7FA3B72E" w14:textId="46F71EF6" w:rsidR="00E91421" w:rsidRPr="000348BD" w:rsidRDefault="000D0481" w:rsidP="000D0481">
      <w:pPr>
        <w:tabs>
          <w:tab w:val="left" w:pos="284"/>
        </w:tabs>
        <w:spacing w:after="120"/>
        <w:jc w:val="both"/>
        <w:rPr>
          <w:rFonts w:ascii="Calibri" w:eastAsia="Calibri Light" w:hAnsi="Calibri" w:cs="Calibri"/>
          <w:color w:val="000000" w:themeColor="text1"/>
          <w:sz w:val="22"/>
          <w:szCs w:val="22"/>
          <w:lang w:val="en-AU"/>
        </w:rPr>
      </w:pPr>
      <w:r w:rsidRPr="000348BD">
        <w:rPr>
          <w:rFonts w:ascii="Calibri" w:eastAsia="Calibri Light" w:hAnsi="Calibri" w:cs="Calibri"/>
          <w:b/>
          <w:bCs/>
          <w:color w:val="000000" w:themeColor="text1"/>
          <w:sz w:val="22"/>
          <w:szCs w:val="22"/>
          <w:lang w:val="en-AU"/>
        </w:rPr>
        <w:t xml:space="preserve">The GoV’s </w:t>
      </w:r>
      <w:r w:rsidR="0030343D" w:rsidRPr="000348BD">
        <w:rPr>
          <w:rFonts w:ascii="Calibri" w:eastAsia="Calibri Light" w:hAnsi="Calibri" w:cs="Calibri"/>
          <w:b/>
          <w:bCs/>
          <w:color w:val="000000" w:themeColor="text1"/>
          <w:sz w:val="22"/>
          <w:szCs w:val="22"/>
          <w:lang w:val="en-AU"/>
        </w:rPr>
        <w:t>commitment to gender equality is evidenced by its government’s adoption of a dedicated Gender Equality Law in 2006 (currently under revision) and its second National Strategy on Gender Equality for the period 2021-2030</w:t>
      </w:r>
      <w:r w:rsidR="0030343D" w:rsidRPr="000348BD">
        <w:rPr>
          <w:rFonts w:ascii="Calibri" w:eastAsia="Calibri Light" w:hAnsi="Calibri" w:cs="Calibri"/>
          <w:color w:val="000000" w:themeColor="text1"/>
          <w:sz w:val="22"/>
          <w:szCs w:val="22"/>
          <w:lang w:val="en-AU"/>
        </w:rPr>
        <w:t xml:space="preserve">. The Strategy aims to foster gender equality and women’s entrepreneurship during this period and builds on the progress made from the National Strategy on Gender Equality 2011-2020. </w:t>
      </w:r>
    </w:p>
    <w:p w14:paraId="17C0AA1E" w14:textId="025A384D" w:rsidR="00AF5D5C" w:rsidRPr="000348BD" w:rsidRDefault="00AF5D5C" w:rsidP="00152F0F">
      <w:pPr>
        <w:pStyle w:val="BodyText"/>
        <w:jc w:val="both"/>
        <w:rPr>
          <w:rFonts w:eastAsia="Calibri Light" w:cs="Calibri"/>
          <w:color w:val="000000" w:themeColor="text1"/>
          <w:szCs w:val="22"/>
          <w:lang w:val="en-AU"/>
        </w:rPr>
      </w:pPr>
      <w:r w:rsidRPr="000348BD">
        <w:rPr>
          <w:rFonts w:eastAsiaTheme="minorHAnsi" w:cs="Calibri"/>
          <w:lang w:val="en-AU"/>
          <w14:ligatures w14:val="standardContextual"/>
        </w:rPr>
        <w:t xml:space="preserve">The </w:t>
      </w:r>
      <w:r>
        <w:rPr>
          <w:rFonts w:eastAsiaTheme="minorHAnsi" w:cs="Calibri"/>
          <w:lang w:val="en-AU"/>
          <w14:ligatures w14:val="standardContextual"/>
        </w:rPr>
        <w:t>VPSDP</w:t>
      </w:r>
      <w:r w:rsidRPr="000348BD">
        <w:rPr>
          <w:rFonts w:eastAsiaTheme="minorHAnsi" w:cs="Calibri"/>
          <w:lang w:val="en-AU"/>
          <w14:ligatures w14:val="standardContextual"/>
        </w:rPr>
        <w:t xml:space="preserve"> aligns closely with IFC’s Country Private Sector Diagnostic (CPSD)</w:t>
      </w:r>
      <w:r w:rsidRPr="000348BD">
        <w:rPr>
          <w:rStyle w:val="FootnoteReference"/>
          <w:rFonts w:eastAsiaTheme="minorHAnsi" w:cs="Calibri"/>
          <w:lang w:val="en-AU"/>
          <w14:ligatures w14:val="standardContextual"/>
        </w:rPr>
        <w:footnoteReference w:id="16"/>
      </w:r>
      <w:r w:rsidRPr="000348BD">
        <w:rPr>
          <w:rFonts w:eastAsiaTheme="minorHAnsi" w:cs="Calibri"/>
          <w:lang w:val="en-AU"/>
          <w14:ligatures w14:val="standardContextual"/>
        </w:rPr>
        <w:t xml:space="preserve">, </w:t>
      </w:r>
      <w:r w:rsidRPr="000348BD">
        <w:rPr>
          <w:rFonts w:eastAsiaTheme="minorHAnsi" w:cs="Calibri"/>
          <w:color w:val="000000"/>
          <w:lang w:val="en-AU"/>
          <w14:ligatures w14:val="standardContextual"/>
        </w:rPr>
        <w:t>which ha</w:t>
      </w:r>
      <w:r>
        <w:rPr>
          <w:rFonts w:eastAsiaTheme="minorHAnsi" w:cs="Calibri"/>
          <w:color w:val="000000"/>
          <w:lang w:val="en-AU"/>
          <w14:ligatures w14:val="standardContextual"/>
        </w:rPr>
        <w:t>s</w:t>
      </w:r>
      <w:r w:rsidRPr="000348BD">
        <w:rPr>
          <w:rFonts w:eastAsiaTheme="minorHAnsi" w:cs="Calibri"/>
          <w:color w:val="000000"/>
          <w:lang w:val="en-AU"/>
          <w14:ligatures w14:val="standardContextual"/>
        </w:rPr>
        <w:t xml:space="preserve"> a strong focus on private</w:t>
      </w:r>
      <w:r>
        <w:rPr>
          <w:rFonts w:eastAsiaTheme="minorHAnsi" w:cs="Calibri"/>
          <w:color w:val="000000"/>
          <w:lang w:val="en-AU"/>
          <w14:ligatures w14:val="standardContextual"/>
        </w:rPr>
        <w:t xml:space="preserve"> </w:t>
      </w:r>
      <w:r w:rsidRPr="000348BD">
        <w:rPr>
          <w:rFonts w:eastAsiaTheme="minorHAnsi" w:cs="Calibri"/>
          <w:color w:val="000000"/>
          <w:lang w:val="en-AU"/>
          <w14:ligatures w14:val="standardContextual"/>
        </w:rPr>
        <w:t>sector development</w:t>
      </w:r>
      <w:r>
        <w:rPr>
          <w:rFonts w:eastAsiaTheme="minorHAnsi" w:cs="Calibri"/>
          <w:color w:val="000000"/>
          <w:lang w:val="en-AU"/>
          <w14:ligatures w14:val="standardContextual"/>
        </w:rPr>
        <w:t xml:space="preserve"> through strengthening the regulatory environment and enhancing access to finance</w:t>
      </w:r>
      <w:r w:rsidRPr="000348BD">
        <w:rPr>
          <w:rFonts w:eastAsiaTheme="minorHAnsi" w:cs="Calibri"/>
          <w:color w:val="000000"/>
          <w:lang w:val="en-AU"/>
          <w14:ligatures w14:val="standardContextual"/>
        </w:rPr>
        <w:t>,</w:t>
      </w:r>
      <w:r>
        <w:rPr>
          <w:rFonts w:eastAsiaTheme="minorHAnsi" w:cs="Calibri"/>
          <w:color w:val="000000"/>
          <w:lang w:val="en-AU"/>
          <w14:ligatures w14:val="standardContextual"/>
        </w:rPr>
        <w:t xml:space="preserve"> bridging skill gaps and shortages, and improving core infrastructure services that support growth. P</w:t>
      </w:r>
      <w:r w:rsidRPr="00F74A6B">
        <w:rPr>
          <w:rFonts w:eastAsiaTheme="minorHAnsi" w:cs="Calibri"/>
          <w:color w:val="000000"/>
          <w:lang w:val="en-AU"/>
          <w14:ligatures w14:val="standardContextual"/>
        </w:rPr>
        <w:t xml:space="preserve">repared jointly using IFC and World Bank staff’s complementary knowledge and expertise in </w:t>
      </w:r>
      <w:r>
        <w:rPr>
          <w:rFonts w:eastAsiaTheme="minorHAnsi" w:cs="Calibri"/>
          <w:color w:val="000000"/>
          <w:lang w:val="en-AU"/>
          <w14:ligatures w14:val="standardContextual"/>
        </w:rPr>
        <w:t>private sector development</w:t>
      </w:r>
      <w:r w:rsidRPr="00F74A6B">
        <w:rPr>
          <w:rFonts w:eastAsiaTheme="minorHAnsi" w:cs="Calibri"/>
          <w:color w:val="000000"/>
          <w:lang w:val="en-AU"/>
          <w14:ligatures w14:val="standardContextual"/>
        </w:rPr>
        <w:t xml:space="preserve">, </w:t>
      </w:r>
      <w:r>
        <w:rPr>
          <w:rFonts w:eastAsiaTheme="minorHAnsi" w:cs="Calibri"/>
          <w:color w:val="000000"/>
          <w:lang w:val="en-AU"/>
          <w14:ligatures w14:val="standardContextual"/>
        </w:rPr>
        <w:t>the CPSDP</w:t>
      </w:r>
      <w:r w:rsidRPr="00F74A6B">
        <w:rPr>
          <w:rFonts w:eastAsiaTheme="minorHAnsi" w:cs="Calibri"/>
          <w:color w:val="000000"/>
          <w:lang w:val="en-AU"/>
          <w14:ligatures w14:val="standardContextual"/>
        </w:rPr>
        <w:t xml:space="preserve"> provides a common basis for policy makers, the private sector, and the World Bank Group (WBG)</w:t>
      </w:r>
      <w:r>
        <w:rPr>
          <w:rFonts w:eastAsiaTheme="minorHAnsi" w:cs="Calibri"/>
          <w:color w:val="000000"/>
          <w:lang w:val="en-AU"/>
          <w14:ligatures w14:val="standardContextual"/>
        </w:rPr>
        <w:t xml:space="preserve"> </w:t>
      </w:r>
      <w:r w:rsidRPr="00F74A6B">
        <w:rPr>
          <w:rFonts w:eastAsiaTheme="minorHAnsi" w:cs="Calibri"/>
          <w:color w:val="000000"/>
          <w:lang w:val="en-AU"/>
          <w14:ligatures w14:val="standardContextual"/>
        </w:rPr>
        <w:t>to engage.</w:t>
      </w:r>
    </w:p>
    <w:p w14:paraId="7B9A9F60" w14:textId="77777777" w:rsidR="00E43B9C" w:rsidRPr="000348BD" w:rsidRDefault="00E43B9C" w:rsidP="00E43B9C">
      <w:pPr>
        <w:pStyle w:val="BodyText"/>
        <w:rPr>
          <w:b/>
          <w:bCs/>
          <w:i/>
          <w:iCs/>
          <w:u w:val="single"/>
          <w:lang w:val="en-AU"/>
        </w:rPr>
      </w:pPr>
      <w:bookmarkStart w:id="35" w:name="_Toc201131771"/>
      <w:bookmarkStart w:id="36" w:name="_Toc201131773"/>
      <w:r w:rsidRPr="000348BD">
        <w:rPr>
          <w:b/>
          <w:bCs/>
          <w:i/>
          <w:iCs/>
          <w:u w:val="single"/>
          <w:lang w:val="en-AU"/>
        </w:rPr>
        <w:t>Needs of Clients and Partners</w:t>
      </w:r>
      <w:bookmarkEnd w:id="35"/>
    </w:p>
    <w:p w14:paraId="75E10DDF" w14:textId="311037EC" w:rsidR="00E43B9C" w:rsidRPr="00C97A19" w:rsidRDefault="00E43B9C" w:rsidP="00E43B9C">
      <w:pPr>
        <w:autoSpaceDE w:val="0"/>
        <w:autoSpaceDN w:val="0"/>
        <w:adjustRightInd w:val="0"/>
        <w:spacing w:after="120"/>
        <w:jc w:val="both"/>
        <w:rPr>
          <w:rFonts w:ascii="Calibri" w:eastAsiaTheme="minorHAnsi" w:hAnsi="Calibri" w:cs="Calibri"/>
          <w:sz w:val="22"/>
          <w:szCs w:val="22"/>
          <w:lang w:val="en-AU"/>
          <w14:ligatures w14:val="standardContextual"/>
        </w:rPr>
      </w:pPr>
      <w:r w:rsidRPr="00C97A19">
        <w:rPr>
          <w:rFonts w:ascii="Calibri" w:eastAsiaTheme="minorHAnsi" w:hAnsi="Calibri" w:cs="Calibri"/>
          <w:b/>
          <w:bCs/>
          <w:sz w:val="22"/>
          <w:szCs w:val="22"/>
          <w:lang w:val="en-AU"/>
          <w14:ligatures w14:val="standardContextual"/>
        </w:rPr>
        <w:t xml:space="preserve">IFC, through VPSDP, has prioritised clients' needs through consultations and engagements over the program's life to date. </w:t>
      </w:r>
      <w:r w:rsidRPr="00C97A19">
        <w:rPr>
          <w:rFonts w:ascii="Calibri" w:eastAsiaTheme="minorHAnsi" w:hAnsi="Calibri" w:cs="Calibri"/>
          <w:sz w:val="22"/>
          <w:szCs w:val="22"/>
          <w:lang w:val="en-AU"/>
          <w14:ligatures w14:val="standardContextual"/>
        </w:rPr>
        <w:t xml:space="preserve">IFC has built significant “social capital” with </w:t>
      </w:r>
      <w:r w:rsidR="00B5648D">
        <w:rPr>
          <w:rFonts w:ascii="Calibri" w:eastAsiaTheme="minorHAnsi" w:hAnsi="Calibri" w:cs="Calibri"/>
          <w:sz w:val="22"/>
          <w:szCs w:val="22"/>
          <w:lang w:val="en-AU"/>
          <w14:ligatures w14:val="standardContextual"/>
        </w:rPr>
        <w:t>stakeholders</w:t>
      </w:r>
      <w:r w:rsidR="00B5648D" w:rsidRPr="00C97A19">
        <w:rPr>
          <w:rFonts w:ascii="Calibri" w:eastAsiaTheme="minorHAnsi" w:hAnsi="Calibri" w:cs="Calibri"/>
          <w:sz w:val="22"/>
          <w:szCs w:val="22"/>
          <w:lang w:val="en-AU"/>
          <w14:ligatures w14:val="standardContextual"/>
        </w:rPr>
        <w:t xml:space="preserve"> </w:t>
      </w:r>
      <w:r w:rsidRPr="00C97A19">
        <w:rPr>
          <w:rFonts w:ascii="Calibri" w:eastAsiaTheme="minorHAnsi" w:hAnsi="Calibri" w:cs="Calibri"/>
          <w:sz w:val="22"/>
          <w:szCs w:val="22"/>
          <w:lang w:val="en-AU"/>
          <w14:ligatures w14:val="standardContextual"/>
        </w:rPr>
        <w:t xml:space="preserve">across the </w:t>
      </w:r>
      <w:r w:rsidR="00E024D3" w:rsidRPr="00C97A19">
        <w:rPr>
          <w:rFonts w:ascii="Calibri" w:eastAsiaTheme="minorHAnsi" w:hAnsi="Calibri" w:cs="Calibri"/>
          <w:sz w:val="22"/>
          <w:szCs w:val="22"/>
          <w:lang w:val="en-AU"/>
          <w14:ligatures w14:val="standardContextual"/>
        </w:rPr>
        <w:t>portfolio</w:t>
      </w:r>
      <w:r w:rsidRPr="00C97A19">
        <w:rPr>
          <w:rFonts w:ascii="Calibri" w:eastAsiaTheme="minorHAnsi" w:hAnsi="Calibri" w:cs="Calibri"/>
          <w:sz w:val="22"/>
          <w:szCs w:val="22"/>
          <w:lang w:val="en-AU"/>
          <w14:ligatures w14:val="standardContextual"/>
        </w:rPr>
        <w:t xml:space="preserve"> of work. An important finding is that </w:t>
      </w:r>
      <w:r w:rsidRPr="00C97A19">
        <w:rPr>
          <w:rFonts w:ascii="Calibri" w:eastAsiaTheme="minorHAnsi" w:hAnsi="Calibri" w:cs="Calibri"/>
          <w:sz w:val="22"/>
          <w:szCs w:val="22"/>
          <w:lang w:val="en-AU"/>
        </w:rPr>
        <w:t>IFC-promoted work is often staged and builds on prior</w:t>
      </w:r>
      <w:r w:rsidRPr="00C97A19">
        <w:rPr>
          <w:rFonts w:ascii="Calibri" w:eastAsiaTheme="minorHAnsi" w:hAnsi="Calibri" w:cs="Calibri"/>
          <w:sz w:val="22"/>
          <w:szCs w:val="22"/>
          <w:lang w:val="en-AU"/>
          <w14:ligatures w14:val="standardContextual"/>
        </w:rPr>
        <w:t xml:space="preserve"> experiences and IFC's core competencies. Engagements with </w:t>
      </w:r>
      <w:r w:rsidR="00B5648D">
        <w:rPr>
          <w:rFonts w:ascii="Calibri" w:eastAsiaTheme="minorHAnsi" w:hAnsi="Calibri" w:cs="Calibri"/>
          <w:sz w:val="22"/>
          <w:szCs w:val="22"/>
          <w:lang w:val="en-AU"/>
          <w14:ligatures w14:val="standardContextual"/>
        </w:rPr>
        <w:t>key stakeholders</w:t>
      </w:r>
      <w:r w:rsidR="00B5648D" w:rsidRPr="00C97A19">
        <w:rPr>
          <w:rFonts w:ascii="Calibri" w:eastAsiaTheme="minorHAnsi" w:hAnsi="Calibri" w:cs="Calibri"/>
          <w:sz w:val="22"/>
          <w:szCs w:val="22"/>
          <w:lang w:val="en-AU"/>
          <w14:ligatures w14:val="standardContextual"/>
        </w:rPr>
        <w:t xml:space="preserve"> </w:t>
      </w:r>
      <w:r w:rsidRPr="00C97A19">
        <w:rPr>
          <w:rFonts w:ascii="Calibri" w:eastAsiaTheme="minorHAnsi" w:hAnsi="Calibri" w:cs="Calibri"/>
          <w:sz w:val="22"/>
          <w:szCs w:val="22"/>
          <w:lang w:val="en-AU"/>
          <w14:ligatures w14:val="standardContextual"/>
        </w:rPr>
        <w:t>revealed that the advice and technical support provided by IFC through the program ha</w:t>
      </w:r>
      <w:r w:rsidR="00A47284" w:rsidRPr="00C97A19">
        <w:rPr>
          <w:rFonts w:ascii="Calibri" w:eastAsiaTheme="minorHAnsi" w:hAnsi="Calibri" w:cs="Calibri"/>
          <w:sz w:val="22"/>
          <w:szCs w:val="22"/>
          <w:lang w:val="en-AU"/>
          <w14:ligatures w14:val="standardContextual"/>
        </w:rPr>
        <w:t>ve</w:t>
      </w:r>
      <w:r w:rsidRPr="00C97A19">
        <w:rPr>
          <w:rFonts w:ascii="Calibri" w:eastAsiaTheme="minorHAnsi" w:hAnsi="Calibri" w:cs="Calibri"/>
          <w:sz w:val="22"/>
          <w:szCs w:val="22"/>
          <w:lang w:val="en-AU"/>
          <w14:ligatures w14:val="standardContextual"/>
        </w:rPr>
        <w:t xml:space="preserve"> been well received and </w:t>
      </w:r>
      <w:r w:rsidR="00A47284" w:rsidRPr="00C97A19">
        <w:rPr>
          <w:rFonts w:ascii="Calibri" w:eastAsiaTheme="minorHAnsi" w:hAnsi="Calibri" w:cs="Calibri"/>
          <w:sz w:val="22"/>
          <w:szCs w:val="22"/>
          <w:lang w:val="en-AU"/>
          <w14:ligatures w14:val="standardContextual"/>
        </w:rPr>
        <w:t xml:space="preserve">have </w:t>
      </w:r>
      <w:r w:rsidRPr="00C97A19">
        <w:rPr>
          <w:rFonts w:ascii="Calibri" w:eastAsiaTheme="minorHAnsi" w:hAnsi="Calibri" w:cs="Calibri"/>
          <w:sz w:val="22"/>
          <w:szCs w:val="22"/>
          <w:lang w:val="en-AU"/>
          <w14:ligatures w14:val="standardContextual"/>
        </w:rPr>
        <w:t>addressed specific</w:t>
      </w:r>
      <w:r w:rsidR="00A47284" w:rsidRPr="00C97A19">
        <w:rPr>
          <w:rFonts w:ascii="Calibri" w:eastAsiaTheme="minorHAnsi" w:hAnsi="Calibri" w:cs="Calibri"/>
          <w:sz w:val="22"/>
          <w:szCs w:val="22"/>
          <w:lang w:val="en-AU"/>
          <w14:ligatures w14:val="standardContextual"/>
        </w:rPr>
        <w:t>,</w:t>
      </w:r>
      <w:r w:rsidRPr="00C97A19">
        <w:rPr>
          <w:rFonts w:ascii="Calibri" w:eastAsiaTheme="minorHAnsi" w:hAnsi="Calibri" w:cs="Calibri"/>
          <w:sz w:val="22"/>
          <w:szCs w:val="22"/>
          <w:lang w:val="en-AU"/>
          <w14:ligatures w14:val="standardContextual"/>
        </w:rPr>
        <w:t xml:space="preserve"> targeted needs. While </w:t>
      </w:r>
      <w:r w:rsidRPr="00C97A19">
        <w:rPr>
          <w:rFonts w:ascii="Calibri" w:eastAsiaTheme="minorHAnsi" w:hAnsi="Calibri" w:cs="Calibri"/>
          <w:sz w:val="22"/>
          <w:szCs w:val="22"/>
          <w:lang w:val="en-AU"/>
        </w:rPr>
        <w:t>stakeholders have changed and evolved, IFC's support has evolved to meet</w:t>
      </w:r>
      <w:r w:rsidRPr="00C97A19">
        <w:rPr>
          <w:rFonts w:ascii="Calibri" w:eastAsiaTheme="minorHAnsi" w:hAnsi="Calibri" w:cs="Calibri"/>
          <w:sz w:val="22"/>
          <w:szCs w:val="22"/>
          <w:lang w:val="en-AU"/>
          <w14:ligatures w14:val="standardContextual"/>
        </w:rPr>
        <w:t xml:space="preserve"> priority needs and demands. </w:t>
      </w:r>
    </w:p>
    <w:p w14:paraId="220EA838" w14:textId="77777777" w:rsidR="00E03004" w:rsidRPr="000348BD" w:rsidRDefault="00E03004" w:rsidP="00E43B9C">
      <w:pPr>
        <w:pStyle w:val="BodyText"/>
        <w:rPr>
          <w:b/>
          <w:bCs/>
          <w:i/>
          <w:iCs/>
          <w:u w:val="single"/>
          <w:lang w:val="en-AU"/>
        </w:rPr>
      </w:pPr>
      <w:bookmarkStart w:id="37" w:name="_Toc201131772"/>
    </w:p>
    <w:p w14:paraId="50053391" w14:textId="1BAEF58B" w:rsidR="00E43B9C" w:rsidRPr="000348BD" w:rsidRDefault="00E43B9C" w:rsidP="00E43B9C">
      <w:pPr>
        <w:pStyle w:val="BodyText"/>
        <w:rPr>
          <w:b/>
          <w:bCs/>
          <w:i/>
          <w:iCs/>
          <w:u w:val="single"/>
          <w:lang w:val="en-AU"/>
        </w:rPr>
      </w:pPr>
      <w:r w:rsidRPr="000348BD">
        <w:rPr>
          <w:b/>
          <w:bCs/>
          <w:i/>
          <w:iCs/>
          <w:u w:val="single"/>
          <w:lang w:val="en-AU"/>
        </w:rPr>
        <w:t>Partnership Design</w:t>
      </w:r>
      <w:bookmarkEnd w:id="37"/>
    </w:p>
    <w:p w14:paraId="7298106C" w14:textId="7E9AAB43" w:rsidR="00E43B9C" w:rsidRPr="00C97A19" w:rsidRDefault="00E43B9C" w:rsidP="00E43B9C">
      <w:pPr>
        <w:spacing w:after="120"/>
        <w:jc w:val="both"/>
        <w:rPr>
          <w:rFonts w:ascii="Calibri" w:hAnsi="Calibri" w:cs="Calibri"/>
          <w:sz w:val="22"/>
          <w:szCs w:val="22"/>
          <w:lang w:val="en-AU"/>
        </w:rPr>
      </w:pPr>
      <w:r w:rsidRPr="00C97A19">
        <w:rPr>
          <w:rFonts w:ascii="Calibri" w:hAnsi="Calibri" w:cs="Calibri"/>
          <w:b/>
          <w:bCs/>
          <w:sz w:val="22"/>
          <w:szCs w:val="22"/>
          <w:lang w:val="en-AU"/>
        </w:rPr>
        <w:t>Current partnership arrangements are highly relevant to both DFAT and IFC</w:t>
      </w:r>
      <w:r w:rsidRPr="00C97A19">
        <w:rPr>
          <w:rFonts w:ascii="Calibri" w:hAnsi="Calibri" w:cs="Calibri"/>
          <w:sz w:val="22"/>
          <w:szCs w:val="22"/>
          <w:lang w:val="en-AU"/>
        </w:rPr>
        <w:t xml:space="preserve">. Given its focus on the private sector, DFAT leveraged IFC's strong presence and experience in Viet Nam. IFC has established itself as a “trusted adviser” through many years of engagement and support for Clients. The partnership has enabled IFC and DFAT to leverage experience, knowledge and access. DFAT’s role was primarily diplomatic, ensuring alignment with other broader development, political, and economic priorities </w:t>
      </w:r>
      <w:r w:rsidR="0082062A" w:rsidRPr="00C97A19">
        <w:rPr>
          <w:rFonts w:ascii="Calibri" w:hAnsi="Calibri" w:cs="Calibri"/>
          <w:sz w:val="22"/>
          <w:szCs w:val="22"/>
          <w:lang w:val="en-AU"/>
        </w:rPr>
        <w:t>(</w:t>
      </w:r>
      <w:r w:rsidRPr="00C97A19">
        <w:rPr>
          <w:rFonts w:ascii="Calibri" w:hAnsi="Calibri" w:cs="Calibri"/>
          <w:sz w:val="22"/>
          <w:szCs w:val="22"/>
          <w:lang w:val="en-AU"/>
        </w:rPr>
        <w:t>including DFAT’s broader bilateral arr</w:t>
      </w:r>
      <w:r w:rsidR="0082062A" w:rsidRPr="00C97A19">
        <w:rPr>
          <w:rFonts w:ascii="Calibri" w:hAnsi="Calibri" w:cs="Calibri"/>
          <w:sz w:val="22"/>
          <w:szCs w:val="22"/>
          <w:lang w:val="en-AU"/>
        </w:rPr>
        <w:t>an</w:t>
      </w:r>
      <w:r w:rsidRPr="00C97A19">
        <w:rPr>
          <w:rFonts w:ascii="Calibri" w:hAnsi="Calibri" w:cs="Calibri"/>
          <w:sz w:val="22"/>
          <w:szCs w:val="22"/>
          <w:lang w:val="en-AU"/>
        </w:rPr>
        <w:t>gements) while enabling IFC to focus on specific technical and advisory support. The mutually beneficial arrangements were well grounded in strong formal and informal commitments and were overseen by a well-structured government mechanism, the Program Steering Committee (PSC).</w:t>
      </w:r>
    </w:p>
    <w:p w14:paraId="3E79F0B9" w14:textId="6BAE0736" w:rsidR="00E43B9C" w:rsidRPr="00C97A19" w:rsidRDefault="0082062A" w:rsidP="0082062A">
      <w:pPr>
        <w:autoSpaceDE w:val="0"/>
        <w:autoSpaceDN w:val="0"/>
        <w:adjustRightInd w:val="0"/>
        <w:spacing w:after="120"/>
        <w:jc w:val="both"/>
        <w:rPr>
          <w:rFonts w:ascii="Calibri" w:eastAsiaTheme="minorHAnsi" w:hAnsi="Calibri" w:cs="Calibri"/>
          <w:sz w:val="22"/>
          <w:szCs w:val="22"/>
          <w:lang w:val="en-AU"/>
          <w14:ligatures w14:val="standardContextual"/>
        </w:rPr>
      </w:pPr>
      <w:r w:rsidRPr="00C97A19">
        <w:rPr>
          <w:rFonts w:ascii="Calibri" w:hAnsi="Calibri" w:cs="Calibri"/>
          <w:b/>
          <w:bCs/>
          <w:sz w:val="22"/>
          <w:szCs w:val="22"/>
          <w:lang w:val="en-AU"/>
        </w:rPr>
        <w:t xml:space="preserve">Partnership arrangements remain </w:t>
      </w:r>
      <w:r w:rsidR="00E43B9C" w:rsidRPr="00C97A19">
        <w:rPr>
          <w:rFonts w:ascii="Calibri" w:hAnsi="Calibri" w:cs="Calibri"/>
          <w:b/>
          <w:bCs/>
          <w:sz w:val="22"/>
          <w:szCs w:val="22"/>
          <w:lang w:val="en-AU"/>
        </w:rPr>
        <w:t>“fit for purpose”</w:t>
      </w:r>
      <w:r w:rsidRPr="00C97A19">
        <w:rPr>
          <w:rFonts w:ascii="Calibri" w:hAnsi="Calibri" w:cs="Calibri"/>
          <w:b/>
          <w:bCs/>
          <w:sz w:val="22"/>
          <w:szCs w:val="22"/>
          <w:lang w:val="en-AU"/>
        </w:rPr>
        <w:t xml:space="preserve"> and relevant.</w:t>
      </w:r>
      <w:r w:rsidR="00E43B9C" w:rsidRPr="00C97A19">
        <w:rPr>
          <w:rFonts w:ascii="Calibri" w:hAnsi="Calibri" w:cs="Calibri"/>
          <w:sz w:val="22"/>
          <w:szCs w:val="22"/>
          <w:lang w:val="en-AU"/>
        </w:rPr>
        <w:t xml:space="preserve"> </w:t>
      </w:r>
      <w:r w:rsidRPr="00C97A19">
        <w:rPr>
          <w:rFonts w:ascii="Calibri" w:eastAsiaTheme="minorHAnsi" w:hAnsi="Calibri" w:cs="Calibri"/>
          <w:b/>
          <w:bCs/>
          <w:sz w:val="22"/>
          <w:szCs w:val="22"/>
          <w:lang w:val="en-AU"/>
          <w14:ligatures w14:val="standardContextual"/>
        </w:rPr>
        <w:t>IFC has also responded well to DFAT requests, input and feedback. However, there is room for improvement.</w:t>
      </w:r>
      <w:r w:rsidRPr="00C97A19">
        <w:rPr>
          <w:rFonts w:ascii="Calibri" w:eastAsiaTheme="minorHAnsi" w:hAnsi="Calibri" w:cs="Calibri"/>
          <w:sz w:val="22"/>
          <w:szCs w:val="22"/>
          <w:lang w:val="en-AU"/>
          <w14:ligatures w14:val="standardContextual"/>
        </w:rPr>
        <w:t xml:space="preserve"> There is scope for IFC to better engage with DFAT and to bring them in as equal partners to address current, new, and emerging priorities and needs. Too often, it is assumed that DFAT is aware of key actions and decisions. Informal briefings and updates promote engagement and ensure clear, effective communication. To </w:t>
      </w:r>
      <w:r w:rsidR="00E43B9C" w:rsidRPr="00C97A19">
        <w:rPr>
          <w:rFonts w:ascii="Calibri" w:hAnsi="Calibri" w:cs="Calibri"/>
          <w:sz w:val="22"/>
          <w:szCs w:val="22"/>
          <w:lang w:val="en-AU"/>
        </w:rPr>
        <w:t>address the communication and engagement issue, there is scope for more informal briefings and discussions</w:t>
      </w:r>
      <w:r w:rsidR="00E03004" w:rsidRPr="00C97A19">
        <w:rPr>
          <w:rFonts w:ascii="Calibri" w:hAnsi="Calibri" w:cs="Calibri"/>
          <w:sz w:val="22"/>
          <w:szCs w:val="22"/>
          <w:lang w:val="en-AU"/>
        </w:rPr>
        <w:t xml:space="preserve"> (on specific topics) that could then evolve into a more formal monthly meeting process. </w:t>
      </w:r>
      <w:r w:rsidR="00E43B9C" w:rsidRPr="00C97A19">
        <w:rPr>
          <w:rFonts w:ascii="Calibri" w:hAnsi="Calibri" w:cs="Calibri"/>
          <w:sz w:val="22"/>
          <w:szCs w:val="22"/>
          <w:lang w:val="en-AU"/>
        </w:rPr>
        <w:t>The</w:t>
      </w:r>
      <w:r w:rsidR="00E03004" w:rsidRPr="00C97A19">
        <w:rPr>
          <w:rFonts w:ascii="Calibri" w:hAnsi="Calibri" w:cs="Calibri"/>
          <w:sz w:val="22"/>
          <w:szCs w:val="22"/>
          <w:lang w:val="en-AU"/>
        </w:rPr>
        <w:t>se suggested</w:t>
      </w:r>
      <w:r w:rsidR="00E43B9C" w:rsidRPr="00C97A19">
        <w:rPr>
          <w:rFonts w:ascii="Calibri" w:hAnsi="Calibri" w:cs="Calibri"/>
          <w:sz w:val="22"/>
          <w:szCs w:val="22"/>
          <w:lang w:val="en-AU"/>
        </w:rPr>
        <w:t xml:space="preserve"> briefings </w:t>
      </w:r>
      <w:r w:rsidR="00E03004" w:rsidRPr="00C97A19">
        <w:rPr>
          <w:rFonts w:ascii="Calibri" w:hAnsi="Calibri" w:cs="Calibri"/>
          <w:sz w:val="22"/>
          <w:szCs w:val="22"/>
          <w:lang w:val="en-AU"/>
        </w:rPr>
        <w:t xml:space="preserve">and engagements </w:t>
      </w:r>
      <w:r w:rsidR="00E43B9C" w:rsidRPr="00C97A19">
        <w:rPr>
          <w:rFonts w:ascii="Calibri" w:hAnsi="Calibri" w:cs="Calibri"/>
          <w:sz w:val="22"/>
          <w:szCs w:val="22"/>
          <w:lang w:val="en-AU"/>
        </w:rPr>
        <w:t xml:space="preserve">also enable and underpin effective risk management. </w:t>
      </w:r>
      <w:r w:rsidR="00E03004" w:rsidRPr="00C97A19">
        <w:rPr>
          <w:rFonts w:ascii="Calibri" w:eastAsiaTheme="minorHAnsi" w:hAnsi="Calibri" w:cs="Calibri"/>
          <w:sz w:val="22"/>
          <w:szCs w:val="22"/>
          <w:lang w:val="en-AU"/>
          <w14:ligatures w14:val="standardContextual"/>
        </w:rPr>
        <w:t>This is discussed further in the section on effectiveness.</w:t>
      </w:r>
    </w:p>
    <w:p w14:paraId="6639BC99" w14:textId="7CCC5492" w:rsidR="00E43B9C" w:rsidRPr="00C97A19" w:rsidRDefault="0082062A" w:rsidP="0082062A">
      <w:pPr>
        <w:spacing w:after="120"/>
        <w:jc w:val="both"/>
        <w:rPr>
          <w:rFonts w:ascii="Calibri" w:hAnsi="Calibri" w:cs="Calibri"/>
          <w:sz w:val="22"/>
          <w:szCs w:val="22"/>
          <w:lang w:val="en-AU"/>
        </w:rPr>
      </w:pPr>
      <w:r w:rsidRPr="00C97A19">
        <w:rPr>
          <w:rFonts w:ascii="Calibri" w:hAnsi="Calibri" w:cs="Calibri"/>
          <w:sz w:val="22"/>
          <w:szCs w:val="22"/>
          <w:lang w:val="en-AU"/>
        </w:rPr>
        <w:t>Based on</w:t>
      </w:r>
      <w:r w:rsidR="00E43B9C" w:rsidRPr="00C97A19">
        <w:rPr>
          <w:rFonts w:ascii="Calibri" w:hAnsi="Calibri" w:cs="Calibri"/>
          <w:sz w:val="22"/>
          <w:szCs w:val="22"/>
          <w:lang w:val="en-AU"/>
        </w:rPr>
        <w:t xml:space="preserve"> the findings and evidence above, the evaluation assigns a “highly satisfactory” rating</w:t>
      </w:r>
      <w:r w:rsidRPr="00C97A19">
        <w:rPr>
          <w:rFonts w:ascii="Calibri" w:hAnsi="Calibri" w:cs="Calibri"/>
          <w:sz w:val="22"/>
          <w:szCs w:val="22"/>
          <w:lang w:val="en-AU"/>
        </w:rPr>
        <w:t xml:space="preserve"> to relevance.</w:t>
      </w:r>
    </w:p>
    <w:p w14:paraId="2CEB78C4" w14:textId="77777777" w:rsidR="008362E5" w:rsidRPr="000348BD" w:rsidRDefault="008362E5" w:rsidP="00EB120F">
      <w:pPr>
        <w:pStyle w:val="Heading2"/>
        <w:rPr>
          <w:lang w:val="en-AU"/>
        </w:rPr>
      </w:pPr>
      <w:bookmarkStart w:id="38" w:name="_Toc233724258"/>
      <w:r w:rsidRPr="000348BD">
        <w:rPr>
          <w:lang w:val="en-AU"/>
        </w:rPr>
        <w:t>Coherence</w:t>
      </w:r>
      <w:bookmarkEnd w:id="36"/>
      <w:bookmarkEnd w:id="38"/>
    </w:p>
    <w:p w14:paraId="6084D204" w14:textId="60601DD3" w:rsidR="008362E5" w:rsidRPr="00C97A19" w:rsidRDefault="008362E5" w:rsidP="008362E5">
      <w:pPr>
        <w:spacing w:after="120"/>
        <w:jc w:val="both"/>
        <w:rPr>
          <w:rFonts w:ascii="Calibri" w:hAnsi="Calibri" w:cs="Calibri"/>
          <w:sz w:val="22"/>
          <w:szCs w:val="22"/>
          <w:lang w:val="en-AU"/>
        </w:rPr>
      </w:pPr>
      <w:r w:rsidRPr="00C97A19">
        <w:rPr>
          <w:rFonts w:ascii="Calibri" w:hAnsi="Calibri" w:cs="Calibri"/>
          <w:color w:val="1F1F1F"/>
          <w:sz w:val="22"/>
          <w:szCs w:val="22"/>
          <w:shd w:val="clear" w:color="auto" w:fill="FFFFFF"/>
          <w:lang w:val="en-AU"/>
        </w:rPr>
        <w:t>Coherence </w:t>
      </w:r>
      <w:r w:rsidR="002E44E6" w:rsidRPr="00C97A19">
        <w:rPr>
          <w:rFonts w:ascii="Calibri" w:hAnsi="Calibri" w:cs="Calibri"/>
          <w:sz w:val="22"/>
          <w:szCs w:val="22"/>
          <w:lang w:val="en-AU"/>
        </w:rPr>
        <w:t>assesses how well an intervention fits within the broader context of other policies, actions, and initiatives in the same or cross-sectoral contexts.</w:t>
      </w:r>
      <w:r w:rsidRPr="00C97A19">
        <w:rPr>
          <w:rStyle w:val="FootnoteReference"/>
          <w:rFonts w:ascii="Calibri" w:hAnsi="Calibri" w:cs="Calibri"/>
          <w:sz w:val="22"/>
          <w:szCs w:val="22"/>
          <w:lang w:val="en-AU"/>
        </w:rPr>
        <w:footnoteReference w:id="17"/>
      </w:r>
    </w:p>
    <w:p w14:paraId="6279C2FC" w14:textId="13096027" w:rsidR="008362E5" w:rsidRPr="00C97A19" w:rsidRDefault="008362E5" w:rsidP="008362E5">
      <w:pPr>
        <w:spacing w:after="120"/>
        <w:jc w:val="both"/>
        <w:rPr>
          <w:rFonts w:ascii="Calibri" w:hAnsi="Calibri" w:cs="Calibri"/>
          <w:b/>
          <w:bCs/>
          <w:i/>
          <w:iCs/>
          <w:color w:val="000000" w:themeColor="text1"/>
          <w:sz w:val="22"/>
          <w:szCs w:val="22"/>
          <w:u w:val="single"/>
          <w:lang w:val="en-AU"/>
        </w:rPr>
      </w:pPr>
      <w:r w:rsidRPr="00C97A19">
        <w:rPr>
          <w:rFonts w:ascii="Calibri" w:hAnsi="Calibri" w:cs="Calibri"/>
          <w:b/>
          <w:bCs/>
          <w:i/>
          <w:iCs/>
          <w:color w:val="000000" w:themeColor="text1"/>
          <w:sz w:val="22"/>
          <w:szCs w:val="22"/>
          <w:u w:val="single"/>
          <w:lang w:val="en-AU"/>
        </w:rPr>
        <w:t xml:space="preserve">KEQ 2: </w:t>
      </w:r>
      <w:r w:rsidR="002E44E6" w:rsidRPr="000348BD">
        <w:rPr>
          <w:rFonts w:ascii="Calibri" w:hAnsi="Calibri" w:cs="Calibri"/>
          <w:b/>
          <w:bCs/>
          <w:i/>
          <w:iCs/>
          <w:color w:val="000000"/>
          <w:sz w:val="22"/>
          <w:szCs w:val="22"/>
          <w:u w:val="single"/>
          <w:lang w:val="en-AU"/>
        </w:rPr>
        <w:t>To what extent did the VPSDP and its interventions complement (and collaborate with) other private sector development work being undertaken in Viet Nam?</w:t>
      </w:r>
    </w:p>
    <w:p w14:paraId="16359AAB" w14:textId="1CDEAB49" w:rsidR="00BD36FD" w:rsidRPr="00C97A19" w:rsidRDefault="00BD36FD" w:rsidP="00B96845">
      <w:pPr>
        <w:spacing w:after="120"/>
        <w:jc w:val="both"/>
        <w:rPr>
          <w:rFonts w:ascii="Calibri" w:hAnsi="Calibri" w:cs="Calibri"/>
          <w:color w:val="000000"/>
          <w:sz w:val="22"/>
          <w:szCs w:val="22"/>
          <w:lang w:val="en-AU"/>
        </w:rPr>
      </w:pPr>
      <w:bookmarkStart w:id="39" w:name="_Toc201131774"/>
      <w:r w:rsidRPr="00C97A19">
        <w:rPr>
          <w:rFonts w:ascii="Calibri" w:hAnsi="Calibri" w:cs="Calibri"/>
          <w:b/>
          <w:bCs/>
          <w:color w:val="000000"/>
          <w:sz w:val="22"/>
          <w:szCs w:val="22"/>
          <w:lang w:val="en-AU"/>
        </w:rPr>
        <w:t>The VPSDP is a tightly focused, structured program that aligns with and supports DFAT's broader mandate to support Viet Nam</w:t>
      </w:r>
      <w:r w:rsidRPr="00C97A19">
        <w:rPr>
          <w:rFonts w:ascii="Calibri" w:hAnsi="Calibri" w:cs="Calibri"/>
          <w:color w:val="000000"/>
          <w:sz w:val="22"/>
          <w:szCs w:val="22"/>
          <w:lang w:val="en-AU"/>
        </w:rPr>
        <w:t>. As the relevance section indicates, the program is well</w:t>
      </w:r>
      <w:r w:rsidR="00A47284" w:rsidRPr="00C97A19">
        <w:rPr>
          <w:rFonts w:ascii="Calibri" w:hAnsi="Calibri" w:cs="Calibri"/>
          <w:color w:val="000000"/>
          <w:sz w:val="22"/>
          <w:szCs w:val="22"/>
          <w:lang w:val="en-AU"/>
        </w:rPr>
        <w:t>-</w:t>
      </w:r>
      <w:r w:rsidRPr="00C97A19">
        <w:rPr>
          <w:rFonts w:ascii="Calibri" w:hAnsi="Calibri" w:cs="Calibri"/>
          <w:color w:val="000000"/>
          <w:sz w:val="22"/>
          <w:szCs w:val="22"/>
          <w:lang w:val="en-AU"/>
        </w:rPr>
        <w:t xml:space="preserve">positioned to support the broad policy and strategic objectives and approaches of both the GoV and </w:t>
      </w:r>
      <w:r w:rsidR="00AB362B" w:rsidRPr="00C97A19">
        <w:rPr>
          <w:rFonts w:ascii="Calibri" w:hAnsi="Calibri" w:cs="Calibri"/>
          <w:color w:val="000000"/>
          <w:sz w:val="22"/>
          <w:szCs w:val="22"/>
          <w:lang w:val="en-AU"/>
        </w:rPr>
        <w:t xml:space="preserve">the </w:t>
      </w:r>
      <w:r w:rsidRPr="00C97A19">
        <w:rPr>
          <w:rFonts w:ascii="Calibri" w:hAnsi="Calibri" w:cs="Calibri"/>
          <w:color w:val="000000"/>
          <w:sz w:val="22"/>
          <w:szCs w:val="22"/>
          <w:lang w:val="en-AU"/>
        </w:rPr>
        <w:t>GoA.</w:t>
      </w:r>
    </w:p>
    <w:p w14:paraId="36EACC59" w14:textId="68CBE875" w:rsidR="00F56D6A" w:rsidRPr="00C97A19" w:rsidRDefault="00F56D6A" w:rsidP="00B96845">
      <w:pPr>
        <w:spacing w:after="120"/>
        <w:jc w:val="both"/>
        <w:rPr>
          <w:rFonts w:ascii="Calibri" w:hAnsi="Calibri" w:cs="Calibri"/>
          <w:color w:val="000000"/>
          <w:sz w:val="22"/>
          <w:szCs w:val="22"/>
          <w:lang w:val="en-AU"/>
        </w:rPr>
      </w:pPr>
      <w:r w:rsidRPr="00C97A19">
        <w:rPr>
          <w:rFonts w:ascii="Calibri" w:hAnsi="Calibri" w:cs="Calibri"/>
          <w:b/>
          <w:bCs/>
          <w:color w:val="000000"/>
          <w:sz w:val="22"/>
          <w:szCs w:val="22"/>
          <w:lang w:val="en-AU"/>
        </w:rPr>
        <w:t>The program's focus on "firm-</w:t>
      </w:r>
      <w:r w:rsidRPr="00C97A19">
        <w:rPr>
          <w:rFonts w:ascii="Calibri" w:hAnsi="Calibri" w:cs="Calibri"/>
          <w:b/>
          <w:bCs/>
          <w:i/>
          <w:iCs/>
          <w:color w:val="000000"/>
          <w:sz w:val="22"/>
          <w:szCs w:val="22"/>
          <w:lang w:val="en-AU"/>
        </w:rPr>
        <w:t>level</w:t>
      </w:r>
      <w:r w:rsidRPr="00C97A19">
        <w:rPr>
          <w:rStyle w:val="FootnoteReference"/>
          <w:rFonts w:ascii="Calibri" w:hAnsi="Calibri" w:cs="Calibri"/>
          <w:b/>
          <w:bCs/>
          <w:i/>
          <w:iCs/>
          <w:color w:val="000000"/>
          <w:sz w:val="22"/>
          <w:szCs w:val="22"/>
          <w:lang w:val="en-AU"/>
        </w:rPr>
        <w:footnoteReference w:id="18"/>
      </w:r>
      <w:r w:rsidRPr="00C97A19">
        <w:rPr>
          <w:rFonts w:ascii="Calibri" w:hAnsi="Calibri" w:cs="Calibri"/>
          <w:b/>
          <w:bCs/>
          <w:i/>
          <w:iCs/>
          <w:color w:val="000000"/>
          <w:sz w:val="22"/>
          <w:szCs w:val="22"/>
          <w:lang w:val="en-AU"/>
        </w:rPr>
        <w:t xml:space="preserve">” </w:t>
      </w:r>
      <w:r w:rsidRPr="00C97A19">
        <w:rPr>
          <w:rFonts w:ascii="Calibri" w:hAnsi="Calibri" w:cs="Calibri"/>
          <w:b/>
          <w:bCs/>
          <w:color w:val="000000"/>
          <w:sz w:val="22"/>
          <w:szCs w:val="22"/>
          <w:lang w:val="en-AU"/>
        </w:rPr>
        <w:t xml:space="preserve">support provides strategic advantages for </w:t>
      </w:r>
      <w:r w:rsidR="00806083" w:rsidRPr="00C97A19">
        <w:rPr>
          <w:rFonts w:ascii="Calibri" w:hAnsi="Calibri" w:cs="Calibri"/>
          <w:b/>
          <w:bCs/>
          <w:color w:val="000000"/>
          <w:sz w:val="22"/>
          <w:szCs w:val="22"/>
          <w:lang w:val="en-AU"/>
        </w:rPr>
        <w:t xml:space="preserve">both </w:t>
      </w:r>
      <w:r w:rsidRPr="00C97A19">
        <w:rPr>
          <w:rFonts w:ascii="Calibri" w:hAnsi="Calibri" w:cs="Calibri"/>
          <w:b/>
          <w:bCs/>
          <w:color w:val="000000"/>
          <w:sz w:val="22"/>
          <w:szCs w:val="22"/>
          <w:lang w:val="en-AU"/>
        </w:rPr>
        <w:t>IFC and DFAT.</w:t>
      </w:r>
      <w:r w:rsidRPr="00C97A19">
        <w:rPr>
          <w:rFonts w:ascii="Calibri" w:hAnsi="Calibri" w:cs="Calibri"/>
          <w:color w:val="000000"/>
          <w:sz w:val="22"/>
          <w:szCs w:val="22"/>
          <w:lang w:val="en-AU"/>
        </w:rPr>
        <w:t xml:space="preserve"> Given DFAT's extensive portfolio of support, both bilateral and through multilateral partnerships, IFC's focus on firm-level support is essential. The focus at this level underpins IFC’s strategic and technical advantage and provides opportunities and linkages with other interventions. </w:t>
      </w:r>
      <w:r w:rsidR="00A47284" w:rsidRPr="00C97A19">
        <w:rPr>
          <w:rFonts w:ascii="Calibri" w:hAnsi="Calibri" w:cs="Calibri"/>
          <w:color w:val="000000"/>
          <w:sz w:val="22"/>
          <w:szCs w:val="22"/>
          <w:lang w:val="en-AU"/>
        </w:rPr>
        <w:t xml:space="preserve">Examples include the Green Finance work, work with </w:t>
      </w:r>
      <w:r w:rsidR="00B5648D">
        <w:rPr>
          <w:rFonts w:ascii="Calibri" w:hAnsi="Calibri" w:cs="Calibri"/>
          <w:color w:val="000000"/>
          <w:sz w:val="22"/>
          <w:szCs w:val="22"/>
          <w:lang w:val="en-AU"/>
        </w:rPr>
        <w:t>NBFIs</w:t>
      </w:r>
      <w:r w:rsidR="00A47284" w:rsidRPr="00C97A19">
        <w:rPr>
          <w:rFonts w:ascii="Calibri" w:hAnsi="Calibri" w:cs="Calibri"/>
          <w:color w:val="000000"/>
          <w:sz w:val="22"/>
          <w:szCs w:val="22"/>
          <w:lang w:val="en-AU"/>
        </w:rPr>
        <w:t>, and work through EMERGE.</w:t>
      </w:r>
    </w:p>
    <w:p w14:paraId="740F791B" w14:textId="30EC82E8" w:rsidR="00806083" w:rsidRPr="00C97A19" w:rsidRDefault="00806083" w:rsidP="00B96845">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The VPSDP program also complements </w:t>
      </w:r>
      <w:r w:rsidR="00B96845" w:rsidRPr="00C97A19">
        <w:rPr>
          <w:rFonts w:ascii="Calibri" w:hAnsi="Calibri" w:cs="Calibri"/>
          <w:b/>
          <w:bCs/>
          <w:sz w:val="22"/>
          <w:szCs w:val="22"/>
          <w:lang w:val="en-AU"/>
        </w:rPr>
        <w:t>the</w:t>
      </w:r>
      <w:r w:rsidRPr="00C97A19">
        <w:rPr>
          <w:rFonts w:ascii="Calibri" w:hAnsi="Calibri" w:cs="Calibri"/>
          <w:b/>
          <w:bCs/>
          <w:sz w:val="22"/>
          <w:szCs w:val="22"/>
          <w:lang w:val="en-AU"/>
        </w:rPr>
        <w:t xml:space="preserve"> WBG</w:t>
      </w:r>
      <w:r w:rsidR="00B96845" w:rsidRPr="00C97A19">
        <w:rPr>
          <w:rFonts w:ascii="Calibri" w:hAnsi="Calibri" w:cs="Calibri"/>
          <w:b/>
          <w:bCs/>
          <w:sz w:val="22"/>
          <w:szCs w:val="22"/>
          <w:lang w:val="en-AU"/>
        </w:rPr>
        <w:t>'s broader</w:t>
      </w:r>
      <w:r w:rsidRPr="00C97A19">
        <w:rPr>
          <w:rFonts w:ascii="Calibri" w:hAnsi="Calibri" w:cs="Calibri"/>
          <w:b/>
          <w:bCs/>
          <w:sz w:val="22"/>
          <w:szCs w:val="22"/>
          <w:lang w:val="en-AU"/>
        </w:rPr>
        <w:t xml:space="preserve"> work in Viet Nam.</w:t>
      </w:r>
      <w:r w:rsidRPr="00C97A19">
        <w:rPr>
          <w:rFonts w:ascii="Calibri" w:hAnsi="Calibri" w:cs="Calibri"/>
          <w:sz w:val="22"/>
          <w:szCs w:val="22"/>
          <w:lang w:val="en-AU"/>
        </w:rPr>
        <w:t xml:space="preserve"> This is most evident in the WBG's shift to a “One World Bank” approach, </w:t>
      </w:r>
      <w:r w:rsidR="00A47284" w:rsidRPr="00C97A19">
        <w:rPr>
          <w:rFonts w:ascii="Calibri" w:hAnsi="Calibri" w:cs="Calibri"/>
          <w:sz w:val="22"/>
          <w:szCs w:val="22"/>
          <w:lang w:val="en-AU"/>
        </w:rPr>
        <w:t>in which the WBG management group represents different organisations within the WBG (including the</w:t>
      </w:r>
      <w:r w:rsidRPr="00C97A19">
        <w:rPr>
          <w:rFonts w:ascii="Calibri" w:hAnsi="Calibri" w:cs="Calibri"/>
          <w:sz w:val="22"/>
          <w:szCs w:val="22"/>
          <w:lang w:val="en-AU"/>
        </w:rPr>
        <w:t xml:space="preserve"> </w:t>
      </w:r>
      <w:r w:rsidR="00A47284" w:rsidRPr="00C97A19">
        <w:rPr>
          <w:rFonts w:ascii="Calibri" w:hAnsi="Calibri" w:cs="Calibri"/>
          <w:sz w:val="22"/>
          <w:szCs w:val="22"/>
          <w:lang w:val="en-AU"/>
        </w:rPr>
        <w:t>IFC)</w:t>
      </w:r>
      <w:r w:rsidRPr="00C97A19">
        <w:rPr>
          <w:rFonts w:ascii="Calibri" w:hAnsi="Calibri" w:cs="Calibri"/>
          <w:sz w:val="22"/>
          <w:szCs w:val="22"/>
          <w:lang w:val="en-AU"/>
        </w:rPr>
        <w:t xml:space="preserve">. This approach helps streamline management engagement and provides a unified approach to engagement with both the GoV and DFAT. In addition, it </w:t>
      </w:r>
      <w:r w:rsidRPr="00C97A19">
        <w:rPr>
          <w:rFonts w:ascii="Calibri" w:eastAsiaTheme="minorHAnsi" w:hAnsi="Calibri" w:cs="Calibri"/>
          <w:color w:val="000000"/>
          <w:sz w:val="22"/>
          <w:szCs w:val="22"/>
          <w:lang w:val="en-AU"/>
          <w14:ligatures w14:val="standardContextual"/>
        </w:rPr>
        <w:t xml:space="preserve">enhances the capacity to address development challenges by more effectively utilising the instruments of </w:t>
      </w:r>
      <w:r w:rsidRPr="00C97A19">
        <w:rPr>
          <w:rFonts w:ascii="Calibri" w:eastAsiaTheme="minorHAnsi" w:hAnsi="Calibri" w:cs="Calibri"/>
          <w:color w:val="000000"/>
          <w:sz w:val="22"/>
          <w:szCs w:val="22"/>
          <w:lang w:val="en-AU"/>
          <w14:ligatures w14:val="standardContextual"/>
        </w:rPr>
        <w:lastRenderedPageBreak/>
        <w:t xml:space="preserve">both the World Bank and the IFC. This is most evident in the work </w:t>
      </w:r>
      <w:r w:rsidR="00385865" w:rsidRPr="00C97A19">
        <w:rPr>
          <w:rFonts w:ascii="Calibri" w:eastAsiaTheme="minorHAnsi" w:hAnsi="Calibri" w:cs="Calibri"/>
          <w:color w:val="000000"/>
          <w:sz w:val="22"/>
          <w:szCs w:val="22"/>
          <w:lang w:val="en-AU"/>
        </w:rPr>
        <w:t>on the broader “enabling environment,” where the World Bank has more direct engagement in supporting</w:t>
      </w:r>
      <w:r w:rsidRPr="00C97A19">
        <w:rPr>
          <w:rFonts w:ascii="Calibri" w:eastAsiaTheme="minorHAnsi" w:hAnsi="Calibri" w:cs="Calibri"/>
          <w:color w:val="000000"/>
          <w:sz w:val="22"/>
          <w:szCs w:val="22"/>
          <w:lang w:val="en-AU"/>
          <w14:ligatures w14:val="standardContextual"/>
        </w:rPr>
        <w:t xml:space="preserve"> policy and regulatory reform. This is discussed further in the </w:t>
      </w:r>
      <w:r w:rsidR="00AB362B" w:rsidRPr="00C97A19">
        <w:rPr>
          <w:rFonts w:ascii="Calibri" w:eastAsiaTheme="minorHAnsi" w:hAnsi="Calibri" w:cs="Calibri"/>
          <w:color w:val="000000"/>
          <w:sz w:val="22"/>
          <w:szCs w:val="22"/>
          <w:lang w:val="en-AU"/>
          <w14:ligatures w14:val="standardContextual"/>
        </w:rPr>
        <w:t>effectiveness</w:t>
      </w:r>
      <w:r w:rsidR="00B96845" w:rsidRPr="00C97A19">
        <w:rPr>
          <w:rFonts w:ascii="Calibri" w:eastAsiaTheme="minorHAnsi" w:hAnsi="Calibri" w:cs="Calibri"/>
          <w:color w:val="000000"/>
          <w:sz w:val="22"/>
          <w:szCs w:val="22"/>
          <w:lang w:val="en-AU"/>
          <w14:ligatures w14:val="standardContextual"/>
        </w:rPr>
        <w:t xml:space="preserve"> </w:t>
      </w:r>
      <w:r w:rsidR="00AB362B" w:rsidRPr="00C97A19">
        <w:rPr>
          <w:rFonts w:ascii="Calibri" w:eastAsiaTheme="minorHAnsi" w:hAnsi="Calibri" w:cs="Calibri"/>
          <w:color w:val="000000"/>
          <w:sz w:val="22"/>
          <w:szCs w:val="22"/>
          <w:lang w:val="en-AU"/>
          <w14:ligatures w14:val="standardContextual"/>
        </w:rPr>
        <w:t>section</w:t>
      </w:r>
      <w:r w:rsidRPr="00C97A19">
        <w:rPr>
          <w:rFonts w:ascii="Calibri" w:eastAsiaTheme="minorHAnsi" w:hAnsi="Calibri" w:cs="Calibri"/>
          <w:color w:val="000000"/>
          <w:sz w:val="22"/>
          <w:szCs w:val="22"/>
          <w:lang w:val="en-AU"/>
          <w14:ligatures w14:val="standardContextual"/>
        </w:rPr>
        <w:t>.</w:t>
      </w:r>
    </w:p>
    <w:p w14:paraId="4EFC6389" w14:textId="17425FDF" w:rsidR="00BD36FD" w:rsidRPr="00C97A19" w:rsidRDefault="00806083" w:rsidP="00B96845">
      <w:pPr>
        <w:pStyle w:val="BodyText"/>
        <w:jc w:val="both"/>
        <w:rPr>
          <w:rFonts w:cs="Calibri"/>
          <w:szCs w:val="22"/>
          <w:lang w:val="en-AU"/>
        </w:rPr>
      </w:pPr>
      <w:r w:rsidRPr="00C97A19">
        <w:rPr>
          <w:rFonts w:cs="Calibri"/>
          <w:b/>
          <w:bCs/>
          <w:szCs w:val="22"/>
          <w:lang w:val="en-AU"/>
        </w:rPr>
        <w:t xml:space="preserve">The VPSDP has also committed to raising visibility and awareness, thereby fostering greater coherence and opportunities for collaboration. </w:t>
      </w:r>
      <w:r w:rsidRPr="00C97A19">
        <w:rPr>
          <w:rFonts w:cs="Calibri"/>
          <w:szCs w:val="22"/>
          <w:lang w:val="en-AU"/>
        </w:rPr>
        <w:t xml:space="preserve">IFC’s work to date demonstrates a strong focus and alignment with private sector and firm-level priorities. However, </w:t>
      </w:r>
      <w:r w:rsidR="00965C5A" w:rsidRPr="00C97A19">
        <w:rPr>
          <w:rFonts w:cs="Calibri"/>
          <w:szCs w:val="22"/>
          <w:lang w:val="en-AU"/>
        </w:rPr>
        <w:t xml:space="preserve">there is a small risk that </w:t>
      </w:r>
      <w:r w:rsidRPr="00C97A19">
        <w:rPr>
          <w:rFonts w:cs="Calibri"/>
          <w:szCs w:val="22"/>
          <w:lang w:val="en-AU"/>
        </w:rPr>
        <w:t>projects may become fragmented, operating in isolation without a long-term “line of sight” to achieve agreed</w:t>
      </w:r>
      <w:r w:rsidR="00A47284" w:rsidRPr="00C97A19">
        <w:rPr>
          <w:rFonts w:cs="Calibri"/>
          <w:szCs w:val="22"/>
          <w:lang w:val="en-AU"/>
        </w:rPr>
        <w:t>-upon</w:t>
      </w:r>
      <w:r w:rsidRPr="00C97A19">
        <w:rPr>
          <w:rFonts w:cs="Calibri"/>
          <w:szCs w:val="22"/>
          <w:lang w:val="en-AU"/>
        </w:rPr>
        <w:t xml:space="preserve"> development outcomes. The “pillar structure” </w:t>
      </w:r>
      <w:r w:rsidR="00385865" w:rsidRPr="00C97A19">
        <w:rPr>
          <w:rFonts w:cs="Calibri"/>
          <w:szCs w:val="22"/>
          <w:lang w:val="en-AU"/>
        </w:rPr>
        <w:t>underpinning</w:t>
      </w:r>
      <w:r w:rsidRPr="00C97A19">
        <w:rPr>
          <w:rFonts w:cs="Calibri"/>
          <w:szCs w:val="22"/>
          <w:lang w:val="en-AU"/>
        </w:rPr>
        <w:t xml:space="preserve"> the program is well-structured and prioritised</w:t>
      </w:r>
      <w:r w:rsidR="00965C5A" w:rsidRPr="00C97A19">
        <w:rPr>
          <w:rFonts w:cs="Calibri"/>
          <w:szCs w:val="22"/>
          <w:lang w:val="en-AU"/>
        </w:rPr>
        <w:t>, minimising the potential risk</w:t>
      </w:r>
      <w:r w:rsidRPr="00C97A19">
        <w:rPr>
          <w:rFonts w:cs="Calibri"/>
          <w:szCs w:val="22"/>
          <w:lang w:val="en-AU"/>
        </w:rPr>
        <w:t xml:space="preserve">. A key focus is to </w:t>
      </w:r>
      <w:r w:rsidR="00B96845" w:rsidRPr="00C97A19">
        <w:rPr>
          <w:rFonts w:cs="Calibri"/>
          <w:szCs w:val="22"/>
          <w:lang w:val="en-AU"/>
        </w:rPr>
        <w:t xml:space="preserve">present a broader narrative on the selection, implementation, and management of project activities, and to </w:t>
      </w:r>
      <w:r w:rsidR="00385865" w:rsidRPr="00C97A19">
        <w:rPr>
          <w:rFonts w:cs="Calibri"/>
          <w:szCs w:val="22"/>
          <w:lang w:val="en-AU"/>
        </w:rPr>
        <w:t>build</w:t>
      </w:r>
      <w:r w:rsidR="00B96845" w:rsidRPr="00C97A19">
        <w:rPr>
          <w:rFonts w:cs="Calibri"/>
          <w:szCs w:val="22"/>
          <w:lang w:val="en-AU"/>
        </w:rPr>
        <w:t xml:space="preserve"> an evidence base </w:t>
      </w:r>
      <w:r w:rsidR="00385865" w:rsidRPr="00C97A19">
        <w:rPr>
          <w:rFonts w:cs="Calibri"/>
          <w:szCs w:val="22"/>
          <w:lang w:val="en-AU"/>
        </w:rPr>
        <w:t>demonstrating</w:t>
      </w:r>
      <w:r w:rsidRPr="00C97A19">
        <w:rPr>
          <w:rFonts w:cs="Calibri"/>
          <w:szCs w:val="22"/>
          <w:lang w:val="en-AU"/>
        </w:rPr>
        <w:t xml:space="preserve"> the interconnectedness and alignment of projects within and across pillars.</w:t>
      </w:r>
    </w:p>
    <w:p w14:paraId="2B8443CA" w14:textId="6494A091" w:rsidR="00806083" w:rsidRPr="000348BD" w:rsidRDefault="00806083" w:rsidP="00B96845">
      <w:pPr>
        <w:pStyle w:val="BodyText"/>
        <w:jc w:val="both"/>
        <w:rPr>
          <w:i/>
          <w:iCs/>
          <w:lang w:val="en-AU"/>
        </w:rPr>
      </w:pPr>
      <w:r w:rsidRPr="00C97A19">
        <w:rPr>
          <w:rFonts w:cs="Calibri"/>
          <w:b/>
          <w:bCs/>
          <w:szCs w:val="22"/>
          <w:lang w:val="en-AU"/>
        </w:rPr>
        <w:t>There is also scope for VPSDP to strengthen linkages with DFAT’s other bilateral investments.</w:t>
      </w:r>
      <w:r w:rsidRPr="00C97A19">
        <w:rPr>
          <w:rFonts w:cs="Calibri"/>
          <w:szCs w:val="22"/>
          <w:lang w:val="en-AU"/>
        </w:rPr>
        <w:t xml:space="preserve"> For example</w:t>
      </w:r>
      <w:r w:rsidR="00B96845" w:rsidRPr="00C97A19">
        <w:rPr>
          <w:rFonts w:cs="Calibri"/>
          <w:szCs w:val="22"/>
          <w:lang w:val="en-AU"/>
        </w:rPr>
        <w:t>,</w:t>
      </w:r>
      <w:r w:rsidRPr="00C97A19">
        <w:rPr>
          <w:rFonts w:cs="Calibri"/>
          <w:szCs w:val="22"/>
          <w:lang w:val="en-AU"/>
        </w:rPr>
        <w:t xml:space="preserve"> there </w:t>
      </w:r>
      <w:r w:rsidR="00B96845" w:rsidRPr="00C97A19">
        <w:rPr>
          <w:rFonts w:cs="Calibri"/>
          <w:szCs w:val="22"/>
          <w:lang w:val="en-AU"/>
        </w:rPr>
        <w:t>are</w:t>
      </w:r>
      <w:r w:rsidRPr="00C97A19">
        <w:rPr>
          <w:rFonts w:cs="Calibri"/>
          <w:szCs w:val="22"/>
          <w:lang w:val="en-AU"/>
        </w:rPr>
        <w:t xml:space="preserve"> scalable opportunities to transfer </w:t>
      </w:r>
      <w:r w:rsidR="00B96845" w:rsidRPr="00C97A19">
        <w:rPr>
          <w:rFonts w:cs="Calibri"/>
          <w:szCs w:val="22"/>
          <w:lang w:val="en-AU"/>
        </w:rPr>
        <w:t>knowledge and advice, and to link interventions with DFAT-funded</w:t>
      </w:r>
      <w:r w:rsidRPr="00C97A19">
        <w:rPr>
          <w:rFonts w:cs="Calibri"/>
          <w:szCs w:val="22"/>
          <w:lang w:val="en-AU"/>
        </w:rPr>
        <w:t xml:space="preserve"> Investing in Women</w:t>
      </w:r>
      <w:r w:rsidR="00BF488C">
        <w:rPr>
          <w:rFonts w:cs="Calibri"/>
          <w:szCs w:val="22"/>
          <w:lang w:val="en-AU"/>
        </w:rPr>
        <w:t>,</w:t>
      </w:r>
      <w:r w:rsidRPr="00C97A19">
        <w:rPr>
          <w:rFonts w:cs="Calibri"/>
          <w:szCs w:val="22"/>
          <w:lang w:val="en-AU"/>
        </w:rPr>
        <w:t>Aus4Adaptation</w:t>
      </w:r>
      <w:r w:rsidR="005071D1" w:rsidRPr="00C97A19">
        <w:rPr>
          <w:rFonts w:cs="Calibri"/>
          <w:szCs w:val="22"/>
          <w:lang w:val="en-AU"/>
        </w:rPr>
        <w:t>, and Aus4Growth</w:t>
      </w:r>
      <w:r w:rsidRPr="00C97A19">
        <w:rPr>
          <w:rFonts w:cs="Calibri"/>
          <w:szCs w:val="22"/>
          <w:lang w:val="en-AU"/>
        </w:rPr>
        <w:t>. This approach would help strengthen DFAT’s overall narrative and res</w:t>
      </w:r>
      <w:r w:rsidR="00B96845" w:rsidRPr="00C97A19">
        <w:rPr>
          <w:rFonts w:cs="Calibri"/>
          <w:szCs w:val="22"/>
          <w:lang w:val="en-AU"/>
        </w:rPr>
        <w:t>o</w:t>
      </w:r>
      <w:r w:rsidRPr="00C97A19">
        <w:rPr>
          <w:rFonts w:cs="Calibri"/>
          <w:szCs w:val="22"/>
          <w:lang w:val="en-AU"/>
        </w:rPr>
        <w:t xml:space="preserve">urce </w:t>
      </w:r>
      <w:r w:rsidR="00385865" w:rsidRPr="00C97A19">
        <w:rPr>
          <w:rFonts w:cs="Calibri"/>
          <w:szCs w:val="22"/>
          <w:lang w:val="en-AU"/>
        </w:rPr>
        <w:t>allocation and support IFC in focusing on its comparative advantages while maintaining</w:t>
      </w:r>
      <w:r w:rsidRPr="00C97A19">
        <w:rPr>
          <w:rFonts w:cs="Calibri"/>
          <w:szCs w:val="22"/>
          <w:lang w:val="en-AU"/>
        </w:rPr>
        <w:t xml:space="preserve"> close linkages with DFAT.</w:t>
      </w:r>
    </w:p>
    <w:p w14:paraId="6229DC11" w14:textId="41B0D099" w:rsidR="00332E18" w:rsidRPr="000348BD" w:rsidRDefault="00332E18" w:rsidP="00F32D53">
      <w:pPr>
        <w:pStyle w:val="BodyText"/>
        <w:rPr>
          <w:b/>
          <w:bCs/>
          <w:lang w:val="en-AU"/>
        </w:rPr>
      </w:pPr>
      <w:r w:rsidRPr="000348BD">
        <w:rPr>
          <w:b/>
          <w:bCs/>
          <w:lang w:val="en-AU"/>
        </w:rPr>
        <w:t xml:space="preserve">Brief Discussion on </w:t>
      </w:r>
      <w:r w:rsidR="00B96845" w:rsidRPr="000348BD">
        <w:rPr>
          <w:b/>
          <w:bCs/>
          <w:lang w:val="en-AU"/>
        </w:rPr>
        <w:t>VPSDP</w:t>
      </w:r>
      <w:r w:rsidR="00AB362B" w:rsidRPr="000348BD">
        <w:rPr>
          <w:b/>
          <w:bCs/>
          <w:lang w:val="en-AU"/>
        </w:rPr>
        <w:t xml:space="preserve"> </w:t>
      </w:r>
      <w:r w:rsidRPr="000348BD">
        <w:rPr>
          <w:b/>
          <w:bCs/>
          <w:lang w:val="en-AU"/>
        </w:rPr>
        <w:t>MEL Arrangements</w:t>
      </w:r>
      <w:bookmarkEnd w:id="39"/>
    </w:p>
    <w:p w14:paraId="03006B82" w14:textId="43444280" w:rsidR="008362E5" w:rsidRPr="00C97A19" w:rsidRDefault="008362E5" w:rsidP="008362E5">
      <w:pPr>
        <w:spacing w:after="120"/>
        <w:jc w:val="both"/>
        <w:rPr>
          <w:rFonts w:ascii="Calibri" w:hAnsi="Calibri" w:cs="Calibri"/>
          <w:color w:val="000000"/>
          <w:sz w:val="22"/>
          <w:szCs w:val="22"/>
          <w:lang w:val="en-AU"/>
        </w:rPr>
      </w:pPr>
      <w:r w:rsidRPr="00C97A19">
        <w:rPr>
          <w:rFonts w:ascii="Calibri" w:hAnsi="Calibri" w:cs="Calibri"/>
          <w:color w:val="000000"/>
          <w:sz w:val="22"/>
          <w:szCs w:val="22"/>
          <w:lang w:val="en-AU"/>
        </w:rPr>
        <w:t xml:space="preserve">The </w:t>
      </w:r>
      <w:r w:rsidR="00B96845" w:rsidRPr="00C97A19">
        <w:rPr>
          <w:rFonts w:ascii="Calibri" w:hAnsi="Calibri" w:cs="Calibri"/>
          <w:color w:val="000000"/>
          <w:sz w:val="22"/>
          <w:szCs w:val="22"/>
          <w:lang w:val="en-AU"/>
        </w:rPr>
        <w:t>V</w:t>
      </w:r>
      <w:r w:rsidRPr="00C97A19">
        <w:rPr>
          <w:rFonts w:ascii="Calibri" w:hAnsi="Calibri" w:cs="Calibri"/>
          <w:color w:val="000000"/>
          <w:sz w:val="22"/>
          <w:szCs w:val="22"/>
          <w:lang w:val="en-AU"/>
        </w:rPr>
        <w:t xml:space="preserve">PSDP Monitoring Evaluation and Learning (MEL) Framework was </w:t>
      </w:r>
      <w:r w:rsidR="008A559D" w:rsidRPr="00C97A19">
        <w:rPr>
          <w:rFonts w:ascii="Calibri" w:hAnsi="Calibri" w:cs="Calibri"/>
          <w:color w:val="000000"/>
          <w:sz w:val="22"/>
          <w:szCs w:val="22"/>
          <w:lang w:val="en-AU"/>
        </w:rPr>
        <w:t xml:space="preserve">finalised </w:t>
      </w:r>
      <w:r w:rsidRPr="00C97A19">
        <w:rPr>
          <w:rFonts w:ascii="Calibri" w:hAnsi="Calibri" w:cs="Calibri"/>
          <w:color w:val="000000"/>
          <w:sz w:val="22"/>
          <w:szCs w:val="22"/>
          <w:lang w:val="en-AU"/>
        </w:rPr>
        <w:t xml:space="preserve">in </w:t>
      </w:r>
      <w:r w:rsidR="00B96845" w:rsidRPr="00C97A19">
        <w:rPr>
          <w:rFonts w:ascii="Calibri" w:hAnsi="Calibri" w:cs="Calibri"/>
          <w:color w:val="000000"/>
          <w:sz w:val="22"/>
          <w:szCs w:val="22"/>
          <w:lang w:val="en-AU"/>
        </w:rPr>
        <w:t>January 2024</w:t>
      </w:r>
      <w:r w:rsidRPr="00C97A19">
        <w:rPr>
          <w:rFonts w:ascii="Calibri" w:hAnsi="Calibri" w:cs="Calibri"/>
          <w:color w:val="000000"/>
          <w:sz w:val="22"/>
          <w:szCs w:val="22"/>
          <w:lang w:val="en-AU"/>
        </w:rPr>
        <w:t xml:space="preserve">. Investments </w:t>
      </w:r>
      <w:r w:rsidR="00B96845" w:rsidRPr="00C97A19">
        <w:rPr>
          <w:rFonts w:ascii="Calibri" w:hAnsi="Calibri" w:cs="Calibri"/>
          <w:color w:val="000000"/>
          <w:sz w:val="22"/>
          <w:szCs w:val="22"/>
          <w:lang w:val="en-AU"/>
        </w:rPr>
        <w:t>such as</w:t>
      </w:r>
      <w:r w:rsidRPr="00C97A19">
        <w:rPr>
          <w:rFonts w:ascii="Calibri" w:hAnsi="Calibri" w:cs="Calibri"/>
          <w:color w:val="000000"/>
          <w:sz w:val="22"/>
          <w:szCs w:val="22"/>
          <w:lang w:val="en-AU"/>
        </w:rPr>
        <w:t xml:space="preserve"> the </w:t>
      </w:r>
      <w:r w:rsidR="00B96845" w:rsidRPr="00C97A19">
        <w:rPr>
          <w:rFonts w:ascii="Calibri" w:hAnsi="Calibri" w:cs="Calibri"/>
          <w:color w:val="000000"/>
          <w:sz w:val="22"/>
          <w:szCs w:val="22"/>
          <w:lang w:val="en-AU"/>
        </w:rPr>
        <w:t>V</w:t>
      </w:r>
      <w:r w:rsidRPr="00C97A19">
        <w:rPr>
          <w:rFonts w:ascii="Calibri" w:hAnsi="Calibri" w:cs="Calibri"/>
          <w:color w:val="000000"/>
          <w:sz w:val="22"/>
          <w:szCs w:val="22"/>
          <w:lang w:val="en-AU"/>
        </w:rPr>
        <w:t xml:space="preserve">PSDP often struggle with “traditional approaches” to MEL, </w:t>
      </w:r>
      <w:r w:rsidR="00B96845" w:rsidRPr="00C97A19">
        <w:rPr>
          <w:rFonts w:ascii="Calibri" w:hAnsi="Calibri" w:cs="Calibri"/>
          <w:color w:val="000000"/>
          <w:sz w:val="22"/>
          <w:szCs w:val="22"/>
          <w:lang w:val="en-AU"/>
        </w:rPr>
        <w:t>including</w:t>
      </w:r>
      <w:r w:rsidRPr="00C97A19">
        <w:rPr>
          <w:rFonts w:ascii="Calibri" w:hAnsi="Calibri" w:cs="Calibri"/>
          <w:color w:val="000000"/>
          <w:sz w:val="22"/>
          <w:szCs w:val="22"/>
          <w:lang w:val="en-AU"/>
        </w:rPr>
        <w:t xml:space="preserve"> simplified log</w:t>
      </w:r>
      <w:r w:rsidR="00D643FF" w:rsidRPr="00C97A19">
        <w:rPr>
          <w:rFonts w:ascii="Calibri" w:hAnsi="Calibri" w:cs="Calibri"/>
          <w:color w:val="000000"/>
          <w:sz w:val="22"/>
          <w:szCs w:val="22"/>
          <w:lang w:val="en-AU"/>
        </w:rPr>
        <w:t xml:space="preserve"> </w:t>
      </w:r>
      <w:r w:rsidRPr="00C97A19">
        <w:rPr>
          <w:rFonts w:ascii="Calibri" w:hAnsi="Calibri" w:cs="Calibri"/>
          <w:color w:val="000000"/>
          <w:sz w:val="22"/>
          <w:szCs w:val="22"/>
          <w:lang w:val="en-AU"/>
        </w:rPr>
        <w:t xml:space="preserve">frames and results frameworks with defined targets and indicators. </w:t>
      </w:r>
      <w:r w:rsidR="00D643FF" w:rsidRPr="00C97A19">
        <w:rPr>
          <w:rFonts w:ascii="Calibri" w:hAnsi="Calibri" w:cs="Calibri"/>
          <w:color w:val="000000"/>
          <w:sz w:val="22"/>
          <w:szCs w:val="22"/>
          <w:lang w:val="en-AU"/>
        </w:rPr>
        <w:t>Such modalities usually</w:t>
      </w:r>
      <w:r w:rsidRPr="00C97A19">
        <w:rPr>
          <w:rFonts w:ascii="Calibri" w:hAnsi="Calibri" w:cs="Calibri"/>
          <w:color w:val="000000"/>
          <w:sz w:val="22"/>
          <w:szCs w:val="22"/>
          <w:lang w:val="en-AU"/>
        </w:rPr>
        <w:t xml:space="preserve"> assume that results and progress are linear in nature and design. However, given the </w:t>
      </w:r>
      <w:r w:rsidR="00385865" w:rsidRPr="00C97A19">
        <w:rPr>
          <w:rFonts w:ascii="Calibri" w:hAnsi="Calibri" w:cs="Calibri"/>
          <w:color w:val="000000"/>
          <w:sz w:val="22"/>
          <w:szCs w:val="22"/>
          <w:lang w:val="en-AU"/>
        </w:rPr>
        <w:t xml:space="preserve">VPSDP design's </w:t>
      </w:r>
      <w:r w:rsidRPr="00C97A19">
        <w:rPr>
          <w:rFonts w:ascii="Calibri" w:hAnsi="Calibri" w:cs="Calibri"/>
          <w:color w:val="000000"/>
          <w:sz w:val="22"/>
          <w:szCs w:val="22"/>
          <w:lang w:val="en-AU"/>
        </w:rPr>
        <w:t>flexible and responsive mechanisms, alternative measures and methodologies are often required.</w:t>
      </w:r>
      <w:r w:rsidR="00C97A19">
        <w:rPr>
          <w:rFonts w:ascii="Calibri" w:hAnsi="Calibri" w:cs="Calibri"/>
          <w:color w:val="000000"/>
          <w:sz w:val="22"/>
          <w:szCs w:val="22"/>
          <w:lang w:val="en-AU"/>
        </w:rPr>
        <w:t xml:space="preserve"> It is pleasing to note the collaboration between DFAT and IFC in developing the framework and its usefulness in guiding reporting, discussions and planning.</w:t>
      </w:r>
    </w:p>
    <w:p w14:paraId="3A2DD904" w14:textId="73B38EC5" w:rsidR="008362E5" w:rsidRPr="00C97A19" w:rsidRDefault="008362E5" w:rsidP="008362E5">
      <w:pPr>
        <w:spacing w:after="120"/>
        <w:jc w:val="both"/>
        <w:rPr>
          <w:rFonts w:ascii="Calibri" w:hAnsi="Calibri" w:cs="Calibri"/>
          <w:color w:val="000000"/>
          <w:sz w:val="22"/>
          <w:szCs w:val="22"/>
          <w:lang w:val="en-AU"/>
        </w:rPr>
      </w:pPr>
      <w:r w:rsidRPr="00C97A19">
        <w:rPr>
          <w:rFonts w:ascii="Calibri" w:hAnsi="Calibri" w:cs="Calibri"/>
          <w:color w:val="000000"/>
          <w:sz w:val="22"/>
          <w:szCs w:val="22"/>
          <w:lang w:val="en-AU"/>
        </w:rPr>
        <w:t>The MEL framework include</w:t>
      </w:r>
      <w:r w:rsidR="00385865" w:rsidRPr="00C97A19">
        <w:rPr>
          <w:rFonts w:ascii="Calibri" w:hAnsi="Calibri" w:cs="Calibri"/>
          <w:color w:val="000000"/>
          <w:sz w:val="22"/>
          <w:szCs w:val="22"/>
          <w:lang w:val="en-AU"/>
        </w:rPr>
        <w:t>s the</w:t>
      </w:r>
      <w:r w:rsidR="008A559D" w:rsidRPr="00C97A19">
        <w:rPr>
          <w:rFonts w:ascii="Calibri" w:hAnsi="Calibri" w:cs="Calibri"/>
          <w:color w:val="000000"/>
          <w:sz w:val="22"/>
          <w:szCs w:val="22"/>
          <w:lang w:val="en-AU"/>
        </w:rPr>
        <w:t xml:space="preserve"> </w:t>
      </w:r>
      <w:r w:rsidRPr="00C97A19">
        <w:rPr>
          <w:rFonts w:ascii="Calibri" w:hAnsi="Calibri" w:cs="Calibri"/>
          <w:color w:val="000000"/>
          <w:sz w:val="22"/>
          <w:szCs w:val="22"/>
          <w:lang w:val="en-AU"/>
        </w:rPr>
        <w:t xml:space="preserve">program logic, which is </w:t>
      </w:r>
      <w:r w:rsidR="00385865" w:rsidRPr="00C97A19">
        <w:rPr>
          <w:rFonts w:ascii="Calibri" w:hAnsi="Calibri" w:cs="Calibri"/>
          <w:color w:val="000000"/>
          <w:sz w:val="22"/>
          <w:szCs w:val="22"/>
          <w:lang w:val="en-AU"/>
        </w:rPr>
        <w:t>provi</w:t>
      </w:r>
      <w:r w:rsidRPr="00C97A19">
        <w:rPr>
          <w:rFonts w:ascii="Calibri" w:hAnsi="Calibri" w:cs="Calibri"/>
          <w:color w:val="000000"/>
          <w:sz w:val="22"/>
          <w:szCs w:val="22"/>
          <w:lang w:val="en-AU"/>
        </w:rPr>
        <w:t xml:space="preserve">ded in Annex </w:t>
      </w:r>
      <w:r w:rsidR="00B61582" w:rsidRPr="00C97A19">
        <w:rPr>
          <w:rFonts w:ascii="Calibri" w:hAnsi="Calibri" w:cs="Calibri"/>
          <w:color w:val="000000"/>
          <w:sz w:val="22"/>
          <w:szCs w:val="22"/>
          <w:lang w:val="en-AU"/>
        </w:rPr>
        <w:t>2</w:t>
      </w:r>
      <w:r w:rsidR="006D5DEF" w:rsidRPr="00C97A19">
        <w:rPr>
          <w:rFonts w:ascii="Calibri" w:hAnsi="Calibri" w:cs="Calibri"/>
          <w:color w:val="000000"/>
          <w:sz w:val="22"/>
          <w:szCs w:val="22"/>
          <w:lang w:val="en-AU"/>
        </w:rPr>
        <w:t xml:space="preserve"> for reference</w:t>
      </w:r>
      <w:r w:rsidRPr="00C97A19">
        <w:rPr>
          <w:rFonts w:ascii="Calibri" w:hAnsi="Calibri" w:cs="Calibri"/>
          <w:color w:val="000000"/>
          <w:sz w:val="22"/>
          <w:szCs w:val="22"/>
          <w:lang w:val="en-AU"/>
        </w:rPr>
        <w:t>.</w:t>
      </w:r>
      <w:r w:rsidR="006D5DEF" w:rsidRPr="00C97A19">
        <w:rPr>
          <w:rFonts w:ascii="Calibri" w:hAnsi="Calibri" w:cs="Calibri"/>
          <w:color w:val="000000"/>
          <w:sz w:val="22"/>
          <w:szCs w:val="22"/>
          <w:lang w:val="en-AU"/>
        </w:rPr>
        <w:t xml:space="preserve"> </w:t>
      </w:r>
      <w:r w:rsidRPr="00C97A19">
        <w:rPr>
          <w:rFonts w:ascii="Calibri" w:hAnsi="Calibri" w:cs="Calibri"/>
          <w:color w:val="000000"/>
          <w:sz w:val="22"/>
          <w:szCs w:val="22"/>
          <w:lang w:val="en-AU"/>
        </w:rPr>
        <w:t xml:space="preserve">Clear outcome statements were also presented across the </w:t>
      </w:r>
      <w:r w:rsidR="00B96845" w:rsidRPr="00C97A19">
        <w:rPr>
          <w:rFonts w:ascii="Calibri" w:hAnsi="Calibri" w:cs="Calibri"/>
          <w:color w:val="000000"/>
          <w:sz w:val="22"/>
          <w:szCs w:val="22"/>
          <w:lang w:val="en-AU"/>
        </w:rPr>
        <w:t xml:space="preserve">four </w:t>
      </w:r>
      <w:r w:rsidRPr="00C97A19">
        <w:rPr>
          <w:rFonts w:ascii="Calibri" w:hAnsi="Calibri" w:cs="Calibri"/>
          <w:color w:val="000000"/>
          <w:sz w:val="22"/>
          <w:szCs w:val="22"/>
          <w:lang w:val="en-AU"/>
        </w:rPr>
        <w:t xml:space="preserve">pillars. These are summarised in Table </w:t>
      </w:r>
      <w:r w:rsidR="00054F9C" w:rsidRPr="00C97A19">
        <w:rPr>
          <w:rFonts w:ascii="Calibri" w:hAnsi="Calibri" w:cs="Calibri"/>
          <w:color w:val="000000"/>
          <w:sz w:val="22"/>
          <w:szCs w:val="22"/>
          <w:lang w:val="en-AU"/>
        </w:rPr>
        <w:t xml:space="preserve">3 </w:t>
      </w:r>
      <w:r w:rsidRPr="00C97A19">
        <w:rPr>
          <w:rFonts w:ascii="Calibri" w:hAnsi="Calibri" w:cs="Calibri"/>
          <w:color w:val="000000"/>
          <w:sz w:val="22"/>
          <w:szCs w:val="22"/>
          <w:lang w:val="en-AU"/>
        </w:rPr>
        <w:t>below.</w:t>
      </w:r>
    </w:p>
    <w:p w14:paraId="0BEB47EC" w14:textId="3731AA71" w:rsidR="008362E5" w:rsidRPr="00C97A19" w:rsidRDefault="008362E5" w:rsidP="008362E5">
      <w:pPr>
        <w:pStyle w:val="Caption"/>
        <w:rPr>
          <w:rFonts w:ascii="Calibri" w:hAnsi="Calibri" w:cs="Calibri"/>
          <w:i/>
          <w:iCs/>
          <w:lang w:val="en-AU"/>
        </w:rPr>
      </w:pPr>
      <w:r w:rsidRPr="00C97A19">
        <w:rPr>
          <w:rFonts w:ascii="Calibri" w:hAnsi="Calibri" w:cs="Calibri"/>
          <w:i/>
          <w:iCs/>
          <w:lang w:val="en-AU"/>
        </w:rPr>
        <w:t xml:space="preserve">Table </w:t>
      </w:r>
      <w:r w:rsidR="00054F9C" w:rsidRPr="00C97A19">
        <w:rPr>
          <w:rFonts w:ascii="Calibri" w:hAnsi="Calibri" w:cs="Calibri"/>
          <w:i/>
          <w:iCs/>
          <w:lang w:val="en-AU"/>
        </w:rPr>
        <w:t>3</w:t>
      </w:r>
      <w:r w:rsidRPr="00C97A19">
        <w:rPr>
          <w:rFonts w:ascii="Calibri" w:hAnsi="Calibri" w:cs="Calibri"/>
          <w:i/>
          <w:iCs/>
          <w:lang w:val="en-AU"/>
        </w:rPr>
        <w:t xml:space="preserve">: </w:t>
      </w:r>
      <w:r w:rsidR="00B96845" w:rsidRPr="00C97A19">
        <w:rPr>
          <w:rFonts w:ascii="Calibri" w:hAnsi="Calibri" w:cs="Calibri"/>
          <w:i/>
          <w:iCs/>
          <w:lang w:val="en-AU"/>
        </w:rPr>
        <w:t>VPSDP</w:t>
      </w:r>
      <w:r w:rsidRPr="00C97A19">
        <w:rPr>
          <w:rFonts w:ascii="Calibri" w:hAnsi="Calibri" w:cs="Calibri"/>
          <w:i/>
          <w:iCs/>
          <w:lang w:val="en-AU"/>
        </w:rPr>
        <w:t xml:space="preserve"> Pillars and Associated Outcomes</w:t>
      </w:r>
    </w:p>
    <w:tbl>
      <w:tblPr>
        <w:tblStyle w:val="TableGrid"/>
        <w:tblW w:w="0" w:type="auto"/>
        <w:tblLook w:val="04A0" w:firstRow="1" w:lastRow="0" w:firstColumn="1" w:lastColumn="0" w:noHBand="0" w:noVBand="1"/>
      </w:tblPr>
      <w:tblGrid>
        <w:gridCol w:w="2547"/>
        <w:gridCol w:w="6469"/>
      </w:tblGrid>
      <w:tr w:rsidR="000937DF" w:rsidRPr="00C97A19" w14:paraId="3127F03F" w14:textId="77777777" w:rsidTr="000937DF">
        <w:trPr>
          <w:tblHeader/>
        </w:trPr>
        <w:tc>
          <w:tcPr>
            <w:tcW w:w="2547" w:type="dxa"/>
            <w:shd w:val="clear" w:color="auto" w:fill="DAE9F7" w:themeFill="text2" w:themeFillTint="1A"/>
          </w:tcPr>
          <w:p w14:paraId="32AB1E69" w14:textId="2E87AE1E" w:rsidR="000937DF" w:rsidRPr="000348BD" w:rsidRDefault="000937DF" w:rsidP="008240E0">
            <w:pPr>
              <w:jc w:val="both"/>
              <w:rPr>
                <w:rFonts w:ascii="Calibri" w:hAnsi="Calibri" w:cs="Calibri"/>
                <w:sz w:val="18"/>
                <w:szCs w:val="18"/>
                <w:lang w:val="en-AU"/>
              </w:rPr>
            </w:pPr>
            <w:r w:rsidRPr="000348BD">
              <w:rPr>
                <w:rFonts w:ascii="Calibri" w:hAnsi="Calibri" w:cs="Calibri"/>
                <w:b/>
                <w:bCs/>
                <w:color w:val="000000" w:themeColor="text1"/>
                <w:sz w:val="18"/>
                <w:szCs w:val="18"/>
                <w:lang w:val="en-AU"/>
              </w:rPr>
              <w:t>VPSDP Pillar</w:t>
            </w:r>
            <w:r>
              <w:rPr>
                <w:rFonts w:ascii="Calibri" w:hAnsi="Calibri" w:cs="Calibri"/>
                <w:b/>
                <w:bCs/>
                <w:color w:val="000000" w:themeColor="text1"/>
                <w:sz w:val="18"/>
                <w:szCs w:val="18"/>
                <w:lang w:val="en-AU"/>
              </w:rPr>
              <w:t>s</w:t>
            </w:r>
          </w:p>
        </w:tc>
        <w:tc>
          <w:tcPr>
            <w:tcW w:w="6469" w:type="dxa"/>
            <w:shd w:val="clear" w:color="auto" w:fill="DAE9F7" w:themeFill="text2" w:themeFillTint="1A"/>
          </w:tcPr>
          <w:p w14:paraId="69BA7503" w14:textId="74AC6DF7" w:rsidR="000937DF" w:rsidRPr="000937DF" w:rsidRDefault="000937DF" w:rsidP="000937DF">
            <w:pPr>
              <w:jc w:val="both"/>
              <w:rPr>
                <w:rFonts w:ascii="Calibri" w:hAnsi="Calibri" w:cs="Calibri"/>
                <w:sz w:val="18"/>
                <w:szCs w:val="18"/>
                <w:lang w:val="en-AU"/>
              </w:rPr>
            </w:pPr>
            <w:r w:rsidRPr="000937DF">
              <w:rPr>
                <w:rFonts w:ascii="Calibri" w:hAnsi="Calibri" w:cs="Calibri"/>
                <w:b/>
                <w:bCs/>
                <w:color w:val="000000" w:themeColor="text1"/>
                <w:sz w:val="18"/>
                <w:szCs w:val="18"/>
                <w:lang w:val="en-AU"/>
              </w:rPr>
              <w:t>Objectives</w:t>
            </w:r>
            <w:r w:rsidRPr="000348BD">
              <w:rPr>
                <w:rStyle w:val="FootnoteReference"/>
                <w:rFonts w:ascii="Calibri" w:hAnsi="Calibri" w:cs="Calibri"/>
                <w:b/>
                <w:bCs/>
                <w:color w:val="000000" w:themeColor="text1"/>
                <w:sz w:val="18"/>
                <w:szCs w:val="18"/>
                <w:lang w:val="en-AU"/>
              </w:rPr>
              <w:footnoteReference w:id="19"/>
            </w:r>
          </w:p>
        </w:tc>
      </w:tr>
      <w:tr w:rsidR="00B96845" w:rsidRPr="00C97A19" w14:paraId="5D4F6164" w14:textId="77777777" w:rsidTr="00B96845">
        <w:tc>
          <w:tcPr>
            <w:tcW w:w="2547" w:type="dxa"/>
          </w:tcPr>
          <w:p w14:paraId="2EDA63D4" w14:textId="77777777" w:rsidR="00B96845" w:rsidRPr="000348BD" w:rsidRDefault="00B96845" w:rsidP="008240E0">
            <w:pPr>
              <w:jc w:val="both"/>
              <w:rPr>
                <w:rFonts w:ascii="Calibri" w:hAnsi="Calibri" w:cs="Calibri"/>
                <w:sz w:val="18"/>
                <w:szCs w:val="18"/>
                <w:lang w:val="en-AU"/>
              </w:rPr>
            </w:pPr>
            <w:r w:rsidRPr="000348BD">
              <w:rPr>
                <w:rFonts w:ascii="Calibri" w:hAnsi="Calibri" w:cs="Calibri"/>
                <w:sz w:val="18"/>
                <w:szCs w:val="18"/>
                <w:lang w:val="en-AU"/>
              </w:rPr>
              <w:t>Enabling environment for the private sector</w:t>
            </w:r>
          </w:p>
        </w:tc>
        <w:tc>
          <w:tcPr>
            <w:tcW w:w="6469" w:type="dxa"/>
          </w:tcPr>
          <w:p w14:paraId="0B3483A7" w14:textId="108C2FEA" w:rsidR="00B96845" w:rsidRPr="000348BD" w:rsidRDefault="003B3B9A" w:rsidP="00AB362B">
            <w:pPr>
              <w:pStyle w:val="ListParagraph"/>
              <w:numPr>
                <w:ilvl w:val="0"/>
                <w:numId w:val="8"/>
              </w:numPr>
              <w:ind w:left="182" w:hanging="182"/>
              <w:jc w:val="both"/>
              <w:rPr>
                <w:rFonts w:ascii="Calibri" w:hAnsi="Calibri" w:cs="Calibri"/>
                <w:sz w:val="18"/>
                <w:szCs w:val="18"/>
                <w:lang w:val="en-AU"/>
              </w:rPr>
            </w:pPr>
            <w:r>
              <w:rPr>
                <w:rFonts w:ascii="Calibri" w:hAnsi="Calibri" w:cs="Calibri"/>
                <w:sz w:val="18"/>
                <w:szCs w:val="18"/>
                <w:lang w:val="en-AU"/>
              </w:rPr>
              <w:t>I</w:t>
            </w:r>
            <w:r w:rsidR="00B96845" w:rsidRPr="000348BD">
              <w:rPr>
                <w:rFonts w:ascii="Calibri" w:hAnsi="Calibri" w:cs="Calibri"/>
                <w:sz w:val="18"/>
                <w:szCs w:val="18"/>
                <w:lang w:val="en-AU"/>
              </w:rPr>
              <w:t>mproving the business enabling environment, legal and regulatory, through activities such as technical assistance for reforms that respond to private sector needs and create a more attractive framework for inclusive private investment.</w:t>
            </w:r>
          </w:p>
          <w:p w14:paraId="78AB43A7" w14:textId="77777777" w:rsidR="00B96845" w:rsidRPr="000348BD" w:rsidRDefault="00B96845" w:rsidP="00AB362B">
            <w:pPr>
              <w:pStyle w:val="ListParagraph"/>
              <w:numPr>
                <w:ilvl w:val="0"/>
                <w:numId w:val="8"/>
              </w:numPr>
              <w:ind w:left="182" w:hanging="182"/>
              <w:jc w:val="both"/>
              <w:rPr>
                <w:rFonts w:ascii="Calibri" w:hAnsi="Calibri" w:cs="Calibri"/>
                <w:sz w:val="18"/>
                <w:szCs w:val="18"/>
                <w:lang w:val="en-AU"/>
              </w:rPr>
            </w:pPr>
            <w:r w:rsidRPr="000348BD">
              <w:rPr>
                <w:rFonts w:ascii="Calibri" w:hAnsi="Calibri" w:cs="Calibri"/>
                <w:sz w:val="18"/>
                <w:szCs w:val="18"/>
                <w:lang w:val="en-AU"/>
              </w:rPr>
              <w:t>Improved predictability, accountability, and transparency of Government-to-Business (G2B) services that respond to private sector needs.</w:t>
            </w:r>
          </w:p>
        </w:tc>
      </w:tr>
      <w:tr w:rsidR="00B96845" w:rsidRPr="00C97A19" w14:paraId="17E0027D" w14:textId="77777777" w:rsidTr="00B96845">
        <w:tc>
          <w:tcPr>
            <w:tcW w:w="2547" w:type="dxa"/>
          </w:tcPr>
          <w:p w14:paraId="49581F9B" w14:textId="77777777" w:rsidR="00B96845" w:rsidRPr="000348BD" w:rsidRDefault="00B96845" w:rsidP="008240E0">
            <w:pPr>
              <w:jc w:val="both"/>
              <w:rPr>
                <w:rFonts w:ascii="Calibri" w:hAnsi="Calibri" w:cs="Calibri"/>
                <w:sz w:val="18"/>
                <w:szCs w:val="18"/>
                <w:lang w:val="en-AU"/>
              </w:rPr>
            </w:pPr>
            <w:r w:rsidRPr="000348BD">
              <w:rPr>
                <w:rFonts w:ascii="Calibri" w:hAnsi="Calibri" w:cs="Calibri"/>
                <w:sz w:val="18"/>
                <w:szCs w:val="18"/>
                <w:lang w:val="en-AU"/>
              </w:rPr>
              <w:t>Accelerating inclusive and climate smart private sector investment in key growth sectors</w:t>
            </w:r>
          </w:p>
        </w:tc>
        <w:tc>
          <w:tcPr>
            <w:tcW w:w="6469" w:type="dxa"/>
          </w:tcPr>
          <w:p w14:paraId="54C154D3" w14:textId="77777777" w:rsidR="00B96845" w:rsidRPr="000348BD" w:rsidRDefault="00B96845" w:rsidP="00AB362B">
            <w:pPr>
              <w:pStyle w:val="ListParagraph"/>
              <w:numPr>
                <w:ilvl w:val="0"/>
                <w:numId w:val="7"/>
              </w:numPr>
              <w:ind w:left="182" w:hanging="182"/>
              <w:jc w:val="both"/>
              <w:rPr>
                <w:rFonts w:ascii="Calibri" w:hAnsi="Calibri" w:cs="Calibri"/>
                <w:sz w:val="18"/>
                <w:szCs w:val="18"/>
                <w:lang w:val="en-AU"/>
              </w:rPr>
            </w:pPr>
            <w:r w:rsidRPr="000348BD">
              <w:rPr>
                <w:rFonts w:ascii="Calibri" w:hAnsi="Calibri" w:cs="Calibri"/>
                <w:sz w:val="18"/>
                <w:szCs w:val="18"/>
                <w:lang w:val="en-AU"/>
              </w:rPr>
              <w:t>Pipeline of potentially bankable and climate smart private investments across key growth sectors including infrastructure, housing, logistics, energy, and agribusiness, to advance climate change mitigation and adaptation and to support a gender-equal and inclusive private sector-led development.</w:t>
            </w:r>
          </w:p>
        </w:tc>
      </w:tr>
      <w:tr w:rsidR="00B96845" w:rsidRPr="00C97A19" w14:paraId="30BE262B" w14:textId="77777777" w:rsidTr="00B96845">
        <w:tc>
          <w:tcPr>
            <w:tcW w:w="2547" w:type="dxa"/>
          </w:tcPr>
          <w:p w14:paraId="07CC351A" w14:textId="77777777" w:rsidR="00B96845" w:rsidRPr="000348BD" w:rsidRDefault="00B96845" w:rsidP="008240E0">
            <w:pPr>
              <w:jc w:val="both"/>
              <w:rPr>
                <w:rFonts w:ascii="Calibri" w:hAnsi="Calibri" w:cs="Calibri"/>
                <w:sz w:val="18"/>
                <w:szCs w:val="18"/>
                <w:lang w:val="en-AU"/>
              </w:rPr>
            </w:pPr>
            <w:r w:rsidRPr="000348BD">
              <w:rPr>
                <w:rFonts w:ascii="Calibri" w:hAnsi="Calibri" w:cs="Calibri"/>
                <w:sz w:val="18"/>
                <w:szCs w:val="18"/>
                <w:lang w:val="en-AU"/>
              </w:rPr>
              <w:t>Creating a green, sustainable, and inclusive financial sector</w:t>
            </w:r>
          </w:p>
          <w:p w14:paraId="401DE90F" w14:textId="77777777" w:rsidR="00B96845" w:rsidRPr="000348BD" w:rsidRDefault="00B96845" w:rsidP="008240E0">
            <w:pPr>
              <w:jc w:val="both"/>
              <w:rPr>
                <w:rFonts w:ascii="Calibri" w:hAnsi="Calibri" w:cs="Calibri"/>
                <w:sz w:val="18"/>
                <w:szCs w:val="18"/>
                <w:lang w:val="en-AU"/>
              </w:rPr>
            </w:pPr>
          </w:p>
        </w:tc>
        <w:tc>
          <w:tcPr>
            <w:tcW w:w="6469" w:type="dxa"/>
          </w:tcPr>
          <w:p w14:paraId="5682AA48" w14:textId="77777777" w:rsidR="00B96845" w:rsidRPr="000348BD" w:rsidRDefault="00B96845" w:rsidP="00AB362B">
            <w:pPr>
              <w:pStyle w:val="ListParagraph"/>
              <w:numPr>
                <w:ilvl w:val="0"/>
                <w:numId w:val="7"/>
              </w:numPr>
              <w:ind w:left="182" w:hanging="182"/>
              <w:jc w:val="both"/>
              <w:rPr>
                <w:rFonts w:ascii="Calibri" w:hAnsi="Calibri" w:cs="Calibri"/>
                <w:sz w:val="18"/>
                <w:szCs w:val="18"/>
                <w:lang w:val="en-AU"/>
              </w:rPr>
            </w:pPr>
            <w:r w:rsidRPr="000348BD">
              <w:rPr>
                <w:rFonts w:ascii="Calibri" w:hAnsi="Calibri" w:cs="Calibri"/>
                <w:sz w:val="18"/>
                <w:szCs w:val="18"/>
                <w:lang w:val="en-AU"/>
              </w:rPr>
              <w:t>New financial products and services developed including those that aim to increase access to financial services for women in women-owned enterprises.</w:t>
            </w:r>
          </w:p>
          <w:p w14:paraId="6DCB7115" w14:textId="77777777" w:rsidR="00B96845" w:rsidRPr="000348BD" w:rsidRDefault="00B96845" w:rsidP="00AB362B">
            <w:pPr>
              <w:pStyle w:val="ListParagraph"/>
              <w:numPr>
                <w:ilvl w:val="0"/>
                <w:numId w:val="7"/>
              </w:numPr>
              <w:ind w:left="182" w:hanging="182"/>
              <w:jc w:val="both"/>
              <w:rPr>
                <w:rFonts w:ascii="Calibri" w:hAnsi="Calibri" w:cs="Calibri"/>
                <w:sz w:val="18"/>
                <w:szCs w:val="18"/>
                <w:lang w:val="en-AU"/>
              </w:rPr>
            </w:pPr>
            <w:r w:rsidRPr="000348BD">
              <w:rPr>
                <w:rFonts w:ascii="Calibri" w:hAnsi="Calibri" w:cs="Calibri"/>
                <w:sz w:val="18"/>
                <w:szCs w:val="18"/>
                <w:lang w:val="en-AU"/>
              </w:rPr>
              <w:t xml:space="preserve">Adoption of climate risk assessment by financial institutions in Viet Nam. </w:t>
            </w:r>
          </w:p>
        </w:tc>
      </w:tr>
      <w:tr w:rsidR="00B96845" w:rsidRPr="00C97A19" w14:paraId="4F01543B" w14:textId="77777777" w:rsidTr="00B96845">
        <w:tc>
          <w:tcPr>
            <w:tcW w:w="2547" w:type="dxa"/>
          </w:tcPr>
          <w:p w14:paraId="09CB1CE9" w14:textId="77777777" w:rsidR="00B96845" w:rsidRPr="000348BD" w:rsidRDefault="00B96845" w:rsidP="008240E0">
            <w:pPr>
              <w:jc w:val="both"/>
              <w:rPr>
                <w:rFonts w:ascii="Calibri" w:hAnsi="Calibri" w:cs="Calibri"/>
                <w:sz w:val="18"/>
                <w:szCs w:val="18"/>
                <w:lang w:val="en-AU"/>
              </w:rPr>
            </w:pPr>
            <w:r w:rsidRPr="000348BD">
              <w:rPr>
                <w:rFonts w:ascii="Calibri" w:hAnsi="Calibri" w:cs="Calibri"/>
                <w:sz w:val="18"/>
                <w:szCs w:val="18"/>
                <w:lang w:val="en-AU"/>
              </w:rPr>
              <w:t>Enhancing standards and gender inclusion</w:t>
            </w:r>
          </w:p>
        </w:tc>
        <w:tc>
          <w:tcPr>
            <w:tcW w:w="6469" w:type="dxa"/>
          </w:tcPr>
          <w:p w14:paraId="5020CF97" w14:textId="77777777" w:rsidR="00B96845" w:rsidRPr="000348BD" w:rsidRDefault="00B96845" w:rsidP="00AB362B">
            <w:pPr>
              <w:pStyle w:val="ListParagraph"/>
              <w:numPr>
                <w:ilvl w:val="0"/>
                <w:numId w:val="6"/>
              </w:numPr>
              <w:ind w:left="182" w:hanging="182"/>
              <w:jc w:val="both"/>
              <w:rPr>
                <w:rFonts w:ascii="Calibri" w:hAnsi="Calibri" w:cs="Calibri"/>
                <w:sz w:val="18"/>
                <w:szCs w:val="18"/>
                <w:lang w:val="en-AU"/>
              </w:rPr>
            </w:pPr>
            <w:r w:rsidRPr="000348BD">
              <w:rPr>
                <w:rFonts w:ascii="Calibri" w:hAnsi="Calibri" w:cs="Calibri"/>
                <w:sz w:val="18"/>
                <w:szCs w:val="18"/>
                <w:lang w:val="en-AU"/>
              </w:rPr>
              <w:t>Increased understanding and uptake of gender inclusive practices by firms.</w:t>
            </w:r>
          </w:p>
          <w:p w14:paraId="15C8AF7F" w14:textId="77777777" w:rsidR="00B96845" w:rsidRPr="000348BD" w:rsidRDefault="00B96845" w:rsidP="00AB362B">
            <w:pPr>
              <w:pStyle w:val="ListParagraph"/>
              <w:numPr>
                <w:ilvl w:val="0"/>
                <w:numId w:val="6"/>
              </w:numPr>
              <w:ind w:left="182" w:hanging="182"/>
              <w:jc w:val="both"/>
              <w:rPr>
                <w:rFonts w:ascii="Calibri" w:hAnsi="Calibri" w:cs="Calibri"/>
                <w:sz w:val="18"/>
                <w:szCs w:val="18"/>
                <w:lang w:val="en-AU"/>
              </w:rPr>
            </w:pPr>
            <w:r w:rsidRPr="000348BD">
              <w:rPr>
                <w:rFonts w:ascii="Calibri" w:hAnsi="Calibri" w:cs="Calibri"/>
                <w:sz w:val="18"/>
                <w:szCs w:val="18"/>
                <w:lang w:val="en-AU"/>
              </w:rPr>
              <w:t>Use of best practice corporate governance (CG) and industry standards by companies.</w:t>
            </w:r>
          </w:p>
        </w:tc>
      </w:tr>
    </w:tbl>
    <w:p w14:paraId="26D19E5C" w14:textId="77777777" w:rsidR="00B96845" w:rsidRPr="00C97A19" w:rsidRDefault="00B96845" w:rsidP="00B96845">
      <w:pPr>
        <w:rPr>
          <w:lang w:val="en-AU"/>
        </w:rPr>
      </w:pPr>
    </w:p>
    <w:p w14:paraId="0FDD44D5" w14:textId="3DD9B02F" w:rsidR="00962649" w:rsidRPr="00C97A19" w:rsidRDefault="00962649" w:rsidP="00962649">
      <w:pPr>
        <w:spacing w:after="120"/>
        <w:jc w:val="both"/>
        <w:rPr>
          <w:rFonts w:ascii="Calibri" w:hAnsi="Calibri" w:cs="Calibri"/>
          <w:sz w:val="22"/>
          <w:szCs w:val="22"/>
          <w:lang w:val="en-AU"/>
        </w:rPr>
      </w:pPr>
      <w:bookmarkStart w:id="40" w:name="_Toc201131775"/>
      <w:r w:rsidRPr="00C97A19">
        <w:rPr>
          <w:rFonts w:ascii="Calibri" w:hAnsi="Calibri" w:cs="Calibri"/>
          <w:sz w:val="22"/>
          <w:szCs w:val="22"/>
          <w:lang w:val="en-AU"/>
        </w:rPr>
        <w:lastRenderedPageBreak/>
        <w:t>All VPSDP projects were designed with causal logic, which assumes an attributable relationship between action and result</w:t>
      </w:r>
      <w:r w:rsidRPr="00C97A19">
        <w:rPr>
          <w:rStyle w:val="FootnoteReference"/>
          <w:rFonts w:ascii="Calibri" w:eastAsiaTheme="majorEastAsia" w:hAnsi="Calibri" w:cs="Calibri"/>
          <w:sz w:val="22"/>
          <w:szCs w:val="22"/>
          <w:lang w:val="en-AU"/>
        </w:rPr>
        <w:footnoteReference w:id="20"/>
      </w:r>
      <w:r w:rsidRPr="00C97A19">
        <w:rPr>
          <w:rFonts w:ascii="Calibri" w:hAnsi="Calibri" w:cs="Calibri"/>
          <w:sz w:val="22"/>
          <w:szCs w:val="22"/>
          <w:lang w:val="en-AU"/>
        </w:rPr>
        <w:t>. In practice, this means that indicators can represent the anticipated change</w:t>
      </w:r>
      <w:r w:rsidRPr="00C97A19">
        <w:rPr>
          <w:rFonts w:ascii="Calibri" w:hAnsi="Calibri" w:cs="Calibri"/>
          <w:i/>
          <w:iCs/>
          <w:sz w:val="22"/>
          <w:szCs w:val="22"/>
          <w:lang w:val="en-AU"/>
        </w:rPr>
        <w:t>s.</w:t>
      </w:r>
      <w:r w:rsidRPr="00C97A19">
        <w:rPr>
          <w:rFonts w:ascii="Calibri" w:hAnsi="Calibri" w:cs="Calibri"/>
          <w:sz w:val="22"/>
          <w:szCs w:val="22"/>
          <w:lang w:val="en-AU"/>
        </w:rPr>
        <w:t xml:space="preserve"> Achievements against those indicators provide a strong measure that the project is proceeding as planned and that outcomes are likely to be achieved.</w:t>
      </w:r>
    </w:p>
    <w:p w14:paraId="36A651BB" w14:textId="3486E200" w:rsidR="00962649" w:rsidRPr="00C97A19" w:rsidRDefault="00962649" w:rsidP="00962649">
      <w:pPr>
        <w:spacing w:after="120"/>
        <w:jc w:val="both"/>
        <w:rPr>
          <w:rFonts w:ascii="Calibri" w:hAnsi="Calibri" w:cs="Calibri"/>
          <w:sz w:val="22"/>
          <w:szCs w:val="22"/>
          <w:lang w:val="en-AU"/>
        </w:rPr>
      </w:pPr>
      <w:r w:rsidRPr="00C97A19">
        <w:rPr>
          <w:rFonts w:ascii="Calibri" w:hAnsi="Calibri" w:cs="Calibri"/>
          <w:b/>
          <w:bCs/>
          <w:sz w:val="22"/>
          <w:szCs w:val="22"/>
          <w:lang w:val="en-AU"/>
        </w:rPr>
        <w:t>IFC established a project-level monitoring and evaluation system using standard and project-specific indicators to complement the approach and align with DFAT's Design and MEL Standards</w:t>
      </w:r>
      <w:r w:rsidRPr="00C97A19">
        <w:rPr>
          <w:rFonts w:ascii="Calibri" w:hAnsi="Calibri" w:cs="Calibri"/>
          <w:sz w:val="22"/>
          <w:szCs w:val="22"/>
          <w:lang w:val="en-AU"/>
        </w:rPr>
        <w:t>. The system is supported by ongoing quality control and independent evaluation</w:t>
      </w:r>
      <w:r w:rsidRPr="00C97A19">
        <w:rPr>
          <w:rStyle w:val="FootnoteReference"/>
          <w:rFonts w:ascii="Calibri" w:eastAsiaTheme="majorEastAsia" w:hAnsi="Calibri" w:cs="Calibri"/>
          <w:sz w:val="22"/>
          <w:szCs w:val="22"/>
          <w:lang w:val="en-AU"/>
        </w:rPr>
        <w:footnoteReference w:id="21"/>
      </w:r>
      <w:r w:rsidRPr="00C97A19">
        <w:rPr>
          <w:rFonts w:ascii="Calibri" w:hAnsi="Calibri" w:cs="Calibri"/>
          <w:sz w:val="22"/>
          <w:szCs w:val="22"/>
          <w:lang w:val="en-AU"/>
        </w:rPr>
        <w:t>. Significantly for DFAT’s interest</w:t>
      </w:r>
      <w:r w:rsidR="00A47284" w:rsidRPr="00C97A19">
        <w:rPr>
          <w:rFonts w:ascii="Calibri" w:hAnsi="Calibri" w:cs="Calibri"/>
          <w:sz w:val="22"/>
          <w:szCs w:val="22"/>
          <w:lang w:val="en-AU"/>
        </w:rPr>
        <w:t>s</w:t>
      </w:r>
      <w:r w:rsidRPr="00C97A19">
        <w:rPr>
          <w:rFonts w:ascii="Calibri" w:hAnsi="Calibri" w:cs="Calibri"/>
          <w:sz w:val="22"/>
          <w:szCs w:val="22"/>
          <w:lang w:val="en-AU"/>
        </w:rPr>
        <w:t xml:space="preserve">, IFC also ensures </w:t>
      </w:r>
      <w:r w:rsidR="00B61582" w:rsidRPr="00C97A19">
        <w:rPr>
          <w:rFonts w:ascii="Calibri" w:hAnsi="Calibri" w:cs="Calibri"/>
          <w:sz w:val="22"/>
          <w:szCs w:val="22"/>
          <w:lang w:val="en-AU"/>
        </w:rPr>
        <w:t xml:space="preserve">that </w:t>
      </w:r>
      <w:r w:rsidRPr="00C97A19">
        <w:rPr>
          <w:rFonts w:ascii="Calibri" w:hAnsi="Calibri" w:cs="Calibri"/>
          <w:sz w:val="22"/>
          <w:szCs w:val="22"/>
          <w:lang w:val="en-AU"/>
        </w:rPr>
        <w:t xml:space="preserve">gender analysis is undertaken for each project and, where relevant, </w:t>
      </w:r>
      <w:r w:rsidR="00A47284" w:rsidRPr="00C97A19">
        <w:rPr>
          <w:rFonts w:ascii="Calibri" w:hAnsi="Calibri" w:cs="Calibri"/>
          <w:sz w:val="22"/>
          <w:szCs w:val="22"/>
          <w:lang w:val="en-AU"/>
        </w:rPr>
        <w:t xml:space="preserve">that </w:t>
      </w:r>
      <w:r w:rsidR="00B61582" w:rsidRPr="00C97A19">
        <w:rPr>
          <w:rFonts w:ascii="Calibri" w:hAnsi="Calibri" w:cs="Calibri"/>
          <w:sz w:val="22"/>
          <w:szCs w:val="22"/>
          <w:lang w:val="en-AU"/>
        </w:rPr>
        <w:t>gender</w:t>
      </w:r>
      <w:r w:rsidRPr="00C97A19">
        <w:rPr>
          <w:rFonts w:ascii="Calibri" w:hAnsi="Calibri" w:cs="Calibri"/>
          <w:sz w:val="22"/>
          <w:szCs w:val="22"/>
          <w:lang w:val="en-AU"/>
        </w:rPr>
        <w:t xml:space="preserve"> in</w:t>
      </w:r>
      <w:r w:rsidR="00B61582" w:rsidRPr="00C97A19">
        <w:rPr>
          <w:rFonts w:ascii="Calibri" w:hAnsi="Calibri" w:cs="Calibri"/>
          <w:sz w:val="22"/>
          <w:szCs w:val="22"/>
          <w:lang w:val="en-AU"/>
        </w:rPr>
        <w:t>dicators</w:t>
      </w:r>
      <w:r w:rsidRPr="00C97A19">
        <w:rPr>
          <w:rFonts w:ascii="Calibri" w:hAnsi="Calibri" w:cs="Calibri"/>
          <w:sz w:val="22"/>
          <w:szCs w:val="22"/>
          <w:lang w:val="en-AU"/>
        </w:rPr>
        <w:t xml:space="preserve"> a</w:t>
      </w:r>
      <w:r w:rsidR="00B61582" w:rsidRPr="00C97A19">
        <w:rPr>
          <w:rFonts w:ascii="Calibri" w:hAnsi="Calibri" w:cs="Calibri"/>
          <w:sz w:val="22"/>
          <w:szCs w:val="22"/>
          <w:lang w:val="en-AU"/>
        </w:rPr>
        <w:t>re</w:t>
      </w:r>
      <w:r w:rsidRPr="00C97A19">
        <w:rPr>
          <w:rFonts w:ascii="Calibri" w:hAnsi="Calibri" w:cs="Calibri"/>
          <w:sz w:val="22"/>
          <w:szCs w:val="22"/>
          <w:lang w:val="en-AU"/>
        </w:rPr>
        <w:t xml:space="preserve"> </w:t>
      </w:r>
      <w:r w:rsidR="00B61582" w:rsidRPr="00C97A19">
        <w:rPr>
          <w:rFonts w:ascii="Calibri" w:hAnsi="Calibri" w:cs="Calibri"/>
          <w:sz w:val="22"/>
          <w:szCs w:val="22"/>
          <w:lang w:val="en-AU"/>
        </w:rPr>
        <w:t>included</w:t>
      </w:r>
      <w:r w:rsidRPr="00C97A19">
        <w:rPr>
          <w:rFonts w:ascii="Calibri" w:hAnsi="Calibri" w:cs="Calibri"/>
          <w:sz w:val="22"/>
          <w:szCs w:val="22"/>
          <w:lang w:val="en-AU"/>
        </w:rPr>
        <w:t xml:space="preserve"> at the output level. </w:t>
      </w:r>
    </w:p>
    <w:p w14:paraId="6A4D8095" w14:textId="4A9C194C" w:rsidR="00962649" w:rsidRPr="00C97A19" w:rsidRDefault="00962649" w:rsidP="00962649">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For VPSDP as a whole, the projects, over time, </w:t>
      </w:r>
      <w:r w:rsidR="00B61582" w:rsidRPr="00C97A19">
        <w:rPr>
          <w:rFonts w:ascii="Calibri" w:hAnsi="Calibri" w:cs="Calibri"/>
          <w:b/>
          <w:bCs/>
          <w:sz w:val="22"/>
          <w:szCs w:val="22"/>
          <w:lang w:val="en-AU"/>
        </w:rPr>
        <w:t xml:space="preserve">contribute </w:t>
      </w:r>
      <w:r w:rsidRPr="00C97A19">
        <w:rPr>
          <w:rFonts w:ascii="Calibri" w:hAnsi="Calibri" w:cs="Calibri"/>
          <w:b/>
          <w:bCs/>
          <w:sz w:val="22"/>
          <w:szCs w:val="22"/>
          <w:lang w:val="en-AU"/>
        </w:rPr>
        <w:t>in various ways to the results sought</w:t>
      </w:r>
      <w:r w:rsidRPr="00C97A19">
        <w:rPr>
          <w:rFonts w:ascii="Calibri" w:hAnsi="Calibri" w:cs="Calibri"/>
          <w:sz w:val="22"/>
          <w:szCs w:val="22"/>
          <w:lang w:val="en-AU"/>
        </w:rPr>
        <w:t>. For this reason, aggregating project results alone is insufficient to understand the program's progress or support program improvement. VPSDP relies on reporting against output</w:t>
      </w:r>
      <w:r w:rsidR="00B61582" w:rsidRPr="00C97A19">
        <w:rPr>
          <w:rFonts w:ascii="Calibri" w:hAnsi="Calibri" w:cs="Calibri"/>
          <w:sz w:val="22"/>
          <w:szCs w:val="22"/>
          <w:lang w:val="en-AU"/>
        </w:rPr>
        <w:t>-</w:t>
      </w:r>
      <w:r w:rsidRPr="00C97A19">
        <w:rPr>
          <w:rFonts w:ascii="Calibri" w:hAnsi="Calibri" w:cs="Calibri"/>
          <w:sz w:val="22"/>
          <w:szCs w:val="22"/>
          <w:lang w:val="en-AU"/>
        </w:rPr>
        <w:t>level targets</w:t>
      </w:r>
      <w:r w:rsidR="00B61582" w:rsidRPr="00C97A19">
        <w:rPr>
          <w:rFonts w:ascii="Calibri" w:hAnsi="Calibri" w:cs="Calibri"/>
          <w:sz w:val="22"/>
          <w:szCs w:val="22"/>
          <w:lang w:val="en-AU"/>
        </w:rPr>
        <w:t>,</w:t>
      </w:r>
      <w:r w:rsidRPr="00C97A19">
        <w:rPr>
          <w:rFonts w:ascii="Calibri" w:hAnsi="Calibri" w:cs="Calibri"/>
          <w:sz w:val="22"/>
          <w:szCs w:val="22"/>
          <w:lang w:val="en-AU"/>
        </w:rPr>
        <w:t xml:space="preserve"> </w:t>
      </w:r>
      <w:r w:rsidR="00B61582" w:rsidRPr="00C97A19">
        <w:rPr>
          <w:rFonts w:ascii="Calibri" w:hAnsi="Calibri" w:cs="Calibri"/>
          <w:sz w:val="22"/>
          <w:szCs w:val="22"/>
          <w:lang w:val="en-AU"/>
        </w:rPr>
        <w:t>which</w:t>
      </w:r>
      <w:r w:rsidRPr="00C97A19">
        <w:rPr>
          <w:rFonts w:ascii="Calibri" w:hAnsi="Calibri" w:cs="Calibri"/>
          <w:sz w:val="22"/>
          <w:szCs w:val="22"/>
          <w:lang w:val="en-AU"/>
        </w:rPr>
        <w:t xml:space="preserve"> are then supported by </w:t>
      </w:r>
      <w:r w:rsidR="00B61582" w:rsidRPr="00C97A19">
        <w:rPr>
          <w:rFonts w:ascii="Calibri" w:hAnsi="Calibri" w:cs="Calibri"/>
          <w:sz w:val="22"/>
          <w:szCs w:val="22"/>
          <w:lang w:val="en-AU"/>
        </w:rPr>
        <w:t xml:space="preserve">a </w:t>
      </w:r>
      <w:r w:rsidRPr="00C97A19">
        <w:rPr>
          <w:rFonts w:ascii="Calibri" w:hAnsi="Calibri" w:cs="Calibri"/>
          <w:sz w:val="22"/>
          <w:szCs w:val="22"/>
          <w:lang w:val="en-AU"/>
        </w:rPr>
        <w:t>narrative to demonstrate “change”. This is somewhat ineffective</w:t>
      </w:r>
      <w:r w:rsidR="00B61582" w:rsidRPr="00C97A19">
        <w:rPr>
          <w:rFonts w:ascii="Calibri" w:hAnsi="Calibri" w:cs="Calibri"/>
          <w:sz w:val="22"/>
          <w:szCs w:val="22"/>
          <w:lang w:val="en-AU"/>
        </w:rPr>
        <w:t>,</w:t>
      </w:r>
      <w:r w:rsidRPr="00C97A19">
        <w:rPr>
          <w:rFonts w:ascii="Calibri" w:hAnsi="Calibri" w:cs="Calibri"/>
          <w:sz w:val="22"/>
          <w:szCs w:val="22"/>
          <w:lang w:val="en-AU"/>
        </w:rPr>
        <w:t xml:space="preserve"> as it misses an opportunity to focus on the desired “end state” of an intervention</w:t>
      </w:r>
      <w:r w:rsidR="00B61582" w:rsidRPr="00C97A19">
        <w:rPr>
          <w:rFonts w:ascii="Calibri" w:hAnsi="Calibri" w:cs="Calibri"/>
          <w:sz w:val="22"/>
          <w:szCs w:val="22"/>
          <w:lang w:val="en-AU"/>
        </w:rPr>
        <w:t>,</w:t>
      </w:r>
      <w:r w:rsidRPr="00C97A19">
        <w:rPr>
          <w:rFonts w:ascii="Calibri" w:hAnsi="Calibri" w:cs="Calibri"/>
          <w:sz w:val="22"/>
          <w:szCs w:val="22"/>
          <w:lang w:val="en-AU"/>
        </w:rPr>
        <w:t xml:space="preserve"> demonstrate higher</w:t>
      </w:r>
      <w:r w:rsidR="005A3B51" w:rsidRPr="00C97A19">
        <w:rPr>
          <w:rFonts w:ascii="Calibri" w:hAnsi="Calibri" w:cs="Calibri"/>
          <w:sz w:val="22"/>
          <w:szCs w:val="22"/>
          <w:lang w:val="en-AU"/>
        </w:rPr>
        <w:t>-</w:t>
      </w:r>
      <w:r w:rsidRPr="00C97A19">
        <w:rPr>
          <w:rFonts w:ascii="Calibri" w:hAnsi="Calibri" w:cs="Calibri"/>
          <w:sz w:val="22"/>
          <w:szCs w:val="22"/>
          <w:lang w:val="en-AU"/>
        </w:rPr>
        <w:t>level change</w:t>
      </w:r>
      <w:r w:rsidR="00B61582" w:rsidRPr="00C97A19">
        <w:rPr>
          <w:rFonts w:ascii="Calibri" w:hAnsi="Calibri" w:cs="Calibri"/>
          <w:sz w:val="22"/>
          <w:szCs w:val="22"/>
          <w:lang w:val="en-AU"/>
        </w:rPr>
        <w:t>,</w:t>
      </w:r>
      <w:r w:rsidRPr="00C97A19">
        <w:rPr>
          <w:rFonts w:ascii="Calibri" w:hAnsi="Calibri" w:cs="Calibri"/>
          <w:sz w:val="22"/>
          <w:szCs w:val="22"/>
          <w:lang w:val="en-AU"/>
        </w:rPr>
        <w:t xml:space="preserve"> and inform a “performance story” </w:t>
      </w:r>
      <w:r w:rsidR="00B61582" w:rsidRPr="00C97A19">
        <w:rPr>
          <w:rFonts w:ascii="Calibri" w:hAnsi="Calibri" w:cs="Calibri"/>
          <w:sz w:val="22"/>
          <w:szCs w:val="22"/>
          <w:lang w:val="en-AU"/>
        </w:rPr>
        <w:t>that</w:t>
      </w:r>
      <w:r w:rsidRPr="00C97A19">
        <w:rPr>
          <w:rFonts w:ascii="Calibri" w:hAnsi="Calibri" w:cs="Calibri"/>
          <w:sz w:val="22"/>
          <w:szCs w:val="22"/>
          <w:lang w:val="en-AU"/>
        </w:rPr>
        <w:t xml:space="preserve"> would benefit both </w:t>
      </w:r>
      <w:r w:rsidR="00B61582" w:rsidRPr="00C97A19">
        <w:rPr>
          <w:rFonts w:ascii="Calibri" w:hAnsi="Calibri" w:cs="Calibri"/>
          <w:sz w:val="22"/>
          <w:szCs w:val="22"/>
          <w:lang w:val="en-AU"/>
        </w:rPr>
        <w:t>IFC</w:t>
      </w:r>
      <w:r w:rsidRPr="00C97A19">
        <w:rPr>
          <w:rFonts w:ascii="Calibri" w:hAnsi="Calibri" w:cs="Calibri"/>
          <w:sz w:val="22"/>
          <w:szCs w:val="22"/>
          <w:lang w:val="en-AU"/>
        </w:rPr>
        <w:t xml:space="preserve"> and DFA</w:t>
      </w:r>
      <w:r w:rsidR="00B61582" w:rsidRPr="00C97A19">
        <w:rPr>
          <w:rFonts w:ascii="Calibri" w:hAnsi="Calibri" w:cs="Calibri"/>
          <w:sz w:val="22"/>
          <w:szCs w:val="22"/>
          <w:lang w:val="en-AU"/>
        </w:rPr>
        <w:t>T.</w:t>
      </w:r>
    </w:p>
    <w:p w14:paraId="69B3D947" w14:textId="4239DB15" w:rsidR="00965C5A" w:rsidRPr="00C97A19" w:rsidRDefault="00962649" w:rsidP="00962649">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Looking forward, VPSDP </w:t>
      </w:r>
      <w:r w:rsidR="00965C5A" w:rsidRPr="00C97A19">
        <w:rPr>
          <w:rFonts w:ascii="Calibri" w:hAnsi="Calibri" w:cs="Calibri"/>
          <w:b/>
          <w:bCs/>
          <w:sz w:val="22"/>
          <w:szCs w:val="22"/>
          <w:lang w:val="en-AU"/>
        </w:rPr>
        <w:t>would</w:t>
      </w:r>
      <w:r w:rsidRPr="00C97A19">
        <w:rPr>
          <w:rFonts w:ascii="Calibri" w:hAnsi="Calibri" w:cs="Calibri"/>
          <w:b/>
          <w:bCs/>
          <w:sz w:val="22"/>
          <w:szCs w:val="22"/>
          <w:lang w:val="en-AU"/>
        </w:rPr>
        <w:t xml:space="preserve"> benefi</w:t>
      </w:r>
      <w:r w:rsidR="00965C5A" w:rsidRPr="00C97A19">
        <w:rPr>
          <w:rFonts w:ascii="Calibri" w:hAnsi="Calibri" w:cs="Calibri"/>
          <w:b/>
          <w:bCs/>
          <w:sz w:val="22"/>
          <w:szCs w:val="22"/>
          <w:lang w:val="en-AU"/>
        </w:rPr>
        <w:t>t</w:t>
      </w:r>
      <w:r w:rsidRPr="00C97A19">
        <w:rPr>
          <w:rFonts w:ascii="Calibri" w:hAnsi="Calibri" w:cs="Calibri"/>
          <w:b/>
          <w:bCs/>
          <w:sz w:val="22"/>
          <w:szCs w:val="22"/>
          <w:lang w:val="en-AU"/>
        </w:rPr>
        <w:t xml:space="preserve"> from implementing a series of short “case study or “performance story” type approaches to explore and apply a more evaluative focus on the progress and achievement of specific activities.</w:t>
      </w:r>
      <w:r w:rsidRPr="00C97A19">
        <w:rPr>
          <w:rFonts w:ascii="Calibri" w:hAnsi="Calibri" w:cs="Calibri"/>
          <w:sz w:val="22"/>
          <w:szCs w:val="22"/>
          <w:lang w:val="en-AU"/>
        </w:rPr>
        <w:t xml:space="preserve"> </w:t>
      </w:r>
      <w:r w:rsidR="00965C5A" w:rsidRPr="00C97A19">
        <w:rPr>
          <w:rFonts w:ascii="Calibri" w:hAnsi="Calibri" w:cs="Calibri"/>
          <w:sz w:val="22"/>
          <w:szCs w:val="22"/>
          <w:lang w:val="en-AU"/>
        </w:rPr>
        <w:t>It is important to note that VPSDP has already initiated two “case studies”</w:t>
      </w:r>
      <w:r w:rsidR="00965C5A" w:rsidRPr="00C97A19">
        <w:rPr>
          <w:rStyle w:val="FootnoteReference"/>
          <w:rFonts w:ascii="Calibri" w:hAnsi="Calibri" w:cs="Calibri"/>
          <w:sz w:val="22"/>
          <w:szCs w:val="22"/>
          <w:lang w:val="en-AU"/>
        </w:rPr>
        <w:footnoteReference w:id="22"/>
      </w:r>
      <w:r w:rsidR="00965C5A" w:rsidRPr="00C97A19">
        <w:rPr>
          <w:rFonts w:ascii="Calibri" w:hAnsi="Calibri" w:cs="Calibri"/>
          <w:sz w:val="22"/>
          <w:szCs w:val="22"/>
          <w:lang w:val="en-AU"/>
        </w:rPr>
        <w:t xml:space="preserve">. </w:t>
      </w:r>
      <w:r w:rsidR="00965C5A" w:rsidRPr="000348BD">
        <w:rPr>
          <w:rFonts w:ascii="Calibri" w:eastAsiaTheme="minorHAnsi" w:hAnsi="Calibri" w:cs="Calibri"/>
          <w:i/>
          <w:iCs/>
          <w:sz w:val="22"/>
          <w:szCs w:val="22"/>
          <w:lang w:val="en-AU"/>
          <w14:ligatures w14:val="standardContextual"/>
        </w:rPr>
        <w:t>“Weaving Respect into Workplace Culture”</w:t>
      </w:r>
      <w:r w:rsidR="00965C5A" w:rsidRPr="000348BD">
        <w:rPr>
          <w:rFonts w:ascii="Calibri" w:eastAsiaTheme="minorHAnsi" w:hAnsi="Calibri" w:cs="Calibri"/>
          <w:sz w:val="22"/>
          <w:szCs w:val="22"/>
          <w:lang w:val="en-AU"/>
          <w14:ligatures w14:val="standardContextual"/>
        </w:rPr>
        <w:t xml:space="preserve"> in Viet Nam’s garment sector and the impact story </w:t>
      </w:r>
      <w:r w:rsidR="00965C5A" w:rsidRPr="000348BD">
        <w:rPr>
          <w:rFonts w:ascii="Calibri" w:eastAsiaTheme="minorHAnsi" w:hAnsi="Calibri" w:cs="Calibri"/>
          <w:i/>
          <w:iCs/>
          <w:sz w:val="22"/>
          <w:szCs w:val="22"/>
          <w:lang w:val="en-AU"/>
          <w14:ligatures w14:val="standardContextual"/>
        </w:rPr>
        <w:t>“Behind the Wheel: Towards a Sustainable Future,”</w:t>
      </w:r>
      <w:r w:rsidR="00965C5A" w:rsidRPr="000348BD">
        <w:rPr>
          <w:rFonts w:ascii="Calibri" w:eastAsiaTheme="minorHAnsi" w:hAnsi="Calibri" w:cs="Calibri"/>
          <w:sz w:val="22"/>
          <w:szCs w:val="22"/>
          <w:lang w:val="en-AU"/>
          <w14:ligatures w14:val="standardContextual"/>
        </w:rPr>
        <w:t xml:space="preserve"> which highlight the development outcomes and private sector impact of the Green Finance and EMERGE Projects. This approach could build on recent examples and strengthen the broader narrative of </w:t>
      </w:r>
      <w:r w:rsidR="00F00F75" w:rsidRPr="000348BD">
        <w:rPr>
          <w:rFonts w:ascii="Calibri" w:eastAsiaTheme="minorHAnsi" w:hAnsi="Calibri" w:cs="Calibri"/>
          <w:sz w:val="22"/>
          <w:szCs w:val="22"/>
          <w:lang w:val="en-AU"/>
          <w14:ligatures w14:val="standardContextual"/>
        </w:rPr>
        <w:t xml:space="preserve">achieving </w:t>
      </w:r>
      <w:r w:rsidR="00965C5A" w:rsidRPr="000348BD">
        <w:rPr>
          <w:rFonts w:ascii="Calibri" w:eastAsiaTheme="minorHAnsi" w:hAnsi="Calibri" w:cs="Calibri"/>
          <w:sz w:val="22"/>
          <w:szCs w:val="22"/>
          <w:lang w:val="en-AU"/>
          <w14:ligatures w14:val="standardContextual"/>
        </w:rPr>
        <w:t xml:space="preserve">key results. </w:t>
      </w:r>
    </w:p>
    <w:p w14:paraId="43BB6C86" w14:textId="167EB8E2" w:rsidR="00962649" w:rsidRPr="00C97A19" w:rsidRDefault="00962649" w:rsidP="00962649">
      <w:pPr>
        <w:spacing w:after="120"/>
        <w:jc w:val="both"/>
        <w:rPr>
          <w:rFonts w:ascii="Calibri" w:hAnsi="Calibri" w:cs="Calibri"/>
          <w:sz w:val="22"/>
          <w:szCs w:val="22"/>
          <w:lang w:val="en-AU"/>
        </w:rPr>
      </w:pPr>
      <w:r w:rsidRPr="00C97A19">
        <w:rPr>
          <w:rFonts w:ascii="Calibri" w:hAnsi="Calibri" w:cs="Calibri"/>
          <w:sz w:val="22"/>
          <w:szCs w:val="22"/>
          <w:lang w:val="en-AU"/>
        </w:rPr>
        <w:t xml:space="preserve">Six-monthly reporting has been completed to a very high standard. However, the focus on results frameworks and counting of numbers does not fully explain or attribute overall progress, nuance and challenges to the audience. The proposed enhancement would involve more bespoke evaluative efforts, and </w:t>
      </w:r>
      <w:r w:rsidR="00B61582" w:rsidRPr="00C97A19">
        <w:rPr>
          <w:rFonts w:ascii="Calibri" w:hAnsi="Calibri" w:cs="Calibri"/>
          <w:sz w:val="22"/>
          <w:szCs w:val="22"/>
          <w:lang w:val="en-AU"/>
        </w:rPr>
        <w:t xml:space="preserve">a </w:t>
      </w:r>
      <w:r w:rsidRPr="00C97A19">
        <w:rPr>
          <w:rFonts w:ascii="Calibri" w:hAnsi="Calibri" w:cs="Calibri"/>
          <w:sz w:val="22"/>
          <w:szCs w:val="22"/>
          <w:lang w:val="en-AU"/>
        </w:rPr>
        <w:t xml:space="preserve">more detailed analysis of progress against outcomes would help IFC and DFAT have a more complete picture of progress and contribution to program and DFAT-level outcomes and expected results. These do not need to be complex or expensive. </w:t>
      </w:r>
      <w:r w:rsidR="00B61582" w:rsidRPr="00C97A19">
        <w:rPr>
          <w:rFonts w:ascii="Calibri" w:hAnsi="Calibri" w:cs="Calibri"/>
          <w:sz w:val="22"/>
          <w:szCs w:val="22"/>
          <w:lang w:val="en-AU"/>
        </w:rPr>
        <w:t>One possible option is t</w:t>
      </w:r>
      <w:r w:rsidR="00A47284" w:rsidRPr="00C97A19">
        <w:rPr>
          <w:rFonts w:ascii="Calibri" w:hAnsi="Calibri" w:cs="Calibri"/>
          <w:sz w:val="22"/>
          <w:szCs w:val="22"/>
          <w:lang w:val="en-AU"/>
        </w:rPr>
        <w:t>o</w:t>
      </w:r>
      <w:r w:rsidR="00B61582" w:rsidRPr="00C97A19">
        <w:rPr>
          <w:rFonts w:ascii="Calibri" w:hAnsi="Calibri" w:cs="Calibri"/>
          <w:sz w:val="22"/>
          <w:szCs w:val="22"/>
          <w:lang w:val="en-AU"/>
        </w:rPr>
        <w:t xml:space="preserve"> </w:t>
      </w:r>
      <w:r w:rsidR="00A47284" w:rsidRPr="00C97A19">
        <w:rPr>
          <w:rFonts w:ascii="Calibri" w:hAnsi="Calibri" w:cs="Calibri"/>
          <w:sz w:val="22"/>
          <w:szCs w:val="22"/>
          <w:lang w:val="en-AU"/>
        </w:rPr>
        <w:t>apply</w:t>
      </w:r>
      <w:r w:rsidR="00B61582" w:rsidRPr="00C97A19">
        <w:rPr>
          <w:rFonts w:ascii="Calibri" w:hAnsi="Calibri" w:cs="Calibri"/>
          <w:sz w:val="22"/>
          <w:szCs w:val="22"/>
          <w:lang w:val="en-AU"/>
        </w:rPr>
        <w:t xml:space="preserve"> a short “performance story” or “case study” to a specific work or thematic area.</w:t>
      </w:r>
      <w:r w:rsidRPr="00C97A19">
        <w:rPr>
          <w:rFonts w:ascii="Calibri" w:hAnsi="Calibri" w:cs="Calibri"/>
          <w:sz w:val="22"/>
          <w:szCs w:val="22"/>
          <w:lang w:val="en-AU"/>
        </w:rPr>
        <w:t xml:space="preserve"> </w:t>
      </w:r>
    </w:p>
    <w:p w14:paraId="6F5D6BFA" w14:textId="3DDF1759" w:rsidR="00962649" w:rsidRPr="00C97A19" w:rsidRDefault="00962649" w:rsidP="00962649">
      <w:pPr>
        <w:spacing w:after="120"/>
        <w:jc w:val="both"/>
        <w:rPr>
          <w:rFonts w:ascii="Calibri" w:hAnsi="Calibri" w:cs="Calibri"/>
          <w:sz w:val="22"/>
          <w:szCs w:val="22"/>
          <w:lang w:val="en-AU"/>
        </w:rPr>
      </w:pPr>
      <w:r w:rsidRPr="00C97A19">
        <w:rPr>
          <w:rFonts w:ascii="Calibri" w:hAnsi="Calibri" w:cs="Calibri"/>
          <w:b/>
          <w:bCs/>
          <w:sz w:val="22"/>
          <w:szCs w:val="22"/>
          <w:lang w:val="en-AU"/>
        </w:rPr>
        <w:t>VPSDP would also benefit from the inclusion of KEQs t</w:t>
      </w:r>
      <w:r w:rsidR="005A3B51" w:rsidRPr="00C97A19">
        <w:rPr>
          <w:rFonts w:ascii="Calibri" w:hAnsi="Calibri" w:cs="Calibri"/>
          <w:b/>
          <w:bCs/>
          <w:sz w:val="22"/>
          <w:szCs w:val="22"/>
          <w:lang w:val="en-AU"/>
        </w:rPr>
        <w:t>o</w:t>
      </w:r>
      <w:r w:rsidRPr="00C97A19">
        <w:rPr>
          <w:rFonts w:ascii="Calibri" w:hAnsi="Calibri" w:cs="Calibri"/>
          <w:b/>
          <w:bCs/>
          <w:sz w:val="22"/>
          <w:szCs w:val="22"/>
          <w:lang w:val="en-AU"/>
        </w:rPr>
        <w:t xml:space="preserve"> support a more holistic</w:t>
      </w:r>
      <w:r w:rsidR="005A3B51" w:rsidRPr="00C97A19">
        <w:rPr>
          <w:rFonts w:ascii="Calibri" w:hAnsi="Calibri" w:cs="Calibri"/>
          <w:b/>
          <w:bCs/>
          <w:sz w:val="22"/>
          <w:szCs w:val="22"/>
          <w:lang w:val="en-AU"/>
        </w:rPr>
        <w:t>,</w:t>
      </w:r>
      <w:r w:rsidRPr="00C97A19">
        <w:rPr>
          <w:rFonts w:ascii="Calibri" w:hAnsi="Calibri" w:cs="Calibri"/>
          <w:b/>
          <w:bCs/>
          <w:sz w:val="22"/>
          <w:szCs w:val="22"/>
          <w:lang w:val="en-AU"/>
        </w:rPr>
        <w:t xml:space="preserve"> overall narrative of progress. </w:t>
      </w:r>
      <w:r w:rsidRPr="00C97A19">
        <w:rPr>
          <w:rFonts w:ascii="Calibri" w:hAnsi="Calibri" w:cs="Calibri"/>
          <w:sz w:val="22"/>
          <w:szCs w:val="22"/>
          <w:lang w:val="en-AU"/>
        </w:rPr>
        <w:t xml:space="preserve">A similar approach was applied to DFAT’s Private Sector Development Program in </w:t>
      </w:r>
      <w:r w:rsidR="005A3B51" w:rsidRPr="00C97A19">
        <w:rPr>
          <w:rFonts w:ascii="Calibri" w:hAnsi="Calibri" w:cs="Calibri"/>
          <w:sz w:val="22"/>
          <w:szCs w:val="22"/>
          <w:lang w:val="en-AU"/>
        </w:rPr>
        <w:t>F</w:t>
      </w:r>
      <w:r w:rsidRPr="00C97A19">
        <w:rPr>
          <w:rFonts w:ascii="Calibri" w:hAnsi="Calibri" w:cs="Calibri"/>
          <w:sz w:val="22"/>
          <w:szCs w:val="22"/>
          <w:lang w:val="en-AU"/>
        </w:rPr>
        <w:t xml:space="preserve">iji, where the MEL system was revised and overall reporting restructured. It is strongly recommended that a similar style and structure </w:t>
      </w:r>
      <w:r w:rsidR="005A3B51" w:rsidRPr="00C97A19">
        <w:rPr>
          <w:rFonts w:ascii="Calibri" w:hAnsi="Calibri" w:cs="Calibri"/>
          <w:sz w:val="22"/>
          <w:szCs w:val="22"/>
          <w:lang w:val="en-AU"/>
        </w:rPr>
        <w:t>be</w:t>
      </w:r>
      <w:r w:rsidRPr="00C97A19">
        <w:rPr>
          <w:rFonts w:ascii="Calibri" w:hAnsi="Calibri" w:cs="Calibri"/>
          <w:sz w:val="22"/>
          <w:szCs w:val="22"/>
          <w:lang w:val="en-AU"/>
        </w:rPr>
        <w:t xml:space="preserve"> applied </w:t>
      </w:r>
      <w:r w:rsidR="00B61582" w:rsidRPr="00C97A19">
        <w:rPr>
          <w:rFonts w:ascii="Calibri" w:hAnsi="Calibri" w:cs="Calibri"/>
          <w:sz w:val="22"/>
          <w:szCs w:val="22"/>
          <w:lang w:val="en-AU"/>
        </w:rPr>
        <w:t>to</w:t>
      </w:r>
      <w:r w:rsidR="005A3B51" w:rsidRPr="00C97A19">
        <w:rPr>
          <w:rFonts w:ascii="Calibri" w:hAnsi="Calibri" w:cs="Calibri"/>
          <w:sz w:val="22"/>
          <w:szCs w:val="22"/>
          <w:lang w:val="en-AU"/>
        </w:rPr>
        <w:t xml:space="preserve"> VPSDP. This approach could be initiated relatively easily and agreed with DFAT.</w:t>
      </w:r>
      <w:r w:rsidR="00B61582" w:rsidRPr="00C97A19">
        <w:rPr>
          <w:rFonts w:ascii="Calibri" w:hAnsi="Calibri" w:cs="Calibri"/>
          <w:sz w:val="22"/>
          <w:szCs w:val="22"/>
          <w:lang w:val="en-AU"/>
        </w:rPr>
        <w:t xml:space="preserve"> Some suggested KEQs for consideration could include:</w:t>
      </w:r>
    </w:p>
    <w:p w14:paraId="10C1FD7F" w14:textId="060EFD66" w:rsidR="00B61582" w:rsidRPr="00C97A19" w:rsidRDefault="004F2B1B">
      <w:pPr>
        <w:pStyle w:val="ListParagraph"/>
        <w:numPr>
          <w:ilvl w:val="0"/>
          <w:numId w:val="24"/>
        </w:numPr>
        <w:spacing w:after="120"/>
        <w:jc w:val="both"/>
        <w:rPr>
          <w:rFonts w:ascii="Calibri" w:hAnsi="Calibri" w:cs="Calibri"/>
          <w:sz w:val="22"/>
          <w:szCs w:val="22"/>
          <w:lang w:val="en-AU"/>
        </w:rPr>
      </w:pPr>
      <w:r w:rsidRPr="00C97A19">
        <w:rPr>
          <w:rFonts w:ascii="Calibri" w:hAnsi="Calibri" w:cs="Calibri"/>
          <w:sz w:val="22"/>
          <w:szCs w:val="22"/>
          <w:lang w:val="en-AU"/>
        </w:rPr>
        <w:t>KEQ 1: To what extent have selected projects contributed towards strengthening the enabling environment for private sector development in Viet Nam?</w:t>
      </w:r>
    </w:p>
    <w:p w14:paraId="1F5AA160" w14:textId="1CDBDB92" w:rsidR="004F2B1B" w:rsidRPr="00C97A19" w:rsidRDefault="004F2B1B">
      <w:pPr>
        <w:pStyle w:val="ListParagraph"/>
        <w:numPr>
          <w:ilvl w:val="0"/>
          <w:numId w:val="24"/>
        </w:numPr>
        <w:spacing w:after="120"/>
        <w:jc w:val="both"/>
        <w:rPr>
          <w:rFonts w:ascii="Calibri" w:hAnsi="Calibri" w:cs="Calibri"/>
          <w:sz w:val="22"/>
          <w:szCs w:val="22"/>
          <w:lang w:val="en-AU"/>
        </w:rPr>
      </w:pPr>
      <w:r w:rsidRPr="00C97A19">
        <w:rPr>
          <w:rFonts w:ascii="Calibri" w:hAnsi="Calibri" w:cs="Calibri"/>
          <w:sz w:val="22"/>
          <w:szCs w:val="22"/>
          <w:lang w:val="en-AU"/>
        </w:rPr>
        <w:t>KEQ: To what extent has VPSDP continued and contributed to more investment in green economy initiatives within Viet Nam?</w:t>
      </w:r>
    </w:p>
    <w:p w14:paraId="6AE6ADED" w14:textId="3873693D" w:rsidR="004F2B1B" w:rsidRPr="00C97A19" w:rsidRDefault="004F2B1B">
      <w:pPr>
        <w:pStyle w:val="ListParagraph"/>
        <w:numPr>
          <w:ilvl w:val="0"/>
          <w:numId w:val="24"/>
        </w:numPr>
        <w:spacing w:after="120"/>
        <w:jc w:val="both"/>
        <w:rPr>
          <w:rFonts w:ascii="Calibri" w:hAnsi="Calibri" w:cs="Calibri"/>
          <w:sz w:val="22"/>
          <w:szCs w:val="22"/>
          <w:lang w:val="en-AU"/>
        </w:rPr>
      </w:pPr>
      <w:r w:rsidRPr="00C97A19">
        <w:rPr>
          <w:rFonts w:ascii="Calibri" w:hAnsi="Calibri" w:cs="Calibri"/>
          <w:sz w:val="22"/>
          <w:szCs w:val="22"/>
          <w:lang w:val="en-AU"/>
        </w:rPr>
        <w:lastRenderedPageBreak/>
        <w:t>KEQ 3:</w:t>
      </w:r>
      <w:r w:rsidR="003B3B9A">
        <w:rPr>
          <w:rFonts w:ascii="Calibri" w:hAnsi="Calibri" w:cs="Calibri"/>
          <w:sz w:val="22"/>
          <w:szCs w:val="22"/>
          <w:lang w:val="en-AU"/>
        </w:rPr>
        <w:t xml:space="preserve"> </w:t>
      </w:r>
      <w:r w:rsidRPr="00C97A19">
        <w:rPr>
          <w:rFonts w:ascii="Calibri" w:hAnsi="Calibri" w:cs="Calibri"/>
          <w:sz w:val="22"/>
          <w:szCs w:val="22"/>
          <w:lang w:val="en-AU"/>
        </w:rPr>
        <w:t>To what extent has VPSDP incorporated the needs of women and other marginalised groups into all project designs and investments?</w:t>
      </w:r>
    </w:p>
    <w:p w14:paraId="3AD57344" w14:textId="29BE2461" w:rsidR="004F2B1B" w:rsidRPr="00C97A19" w:rsidRDefault="004F2B1B" w:rsidP="004F2B1B">
      <w:pPr>
        <w:spacing w:after="120"/>
        <w:jc w:val="both"/>
        <w:rPr>
          <w:rFonts w:ascii="Calibri" w:hAnsi="Calibri" w:cs="Calibri"/>
          <w:sz w:val="22"/>
          <w:szCs w:val="22"/>
          <w:lang w:val="en-AU"/>
        </w:rPr>
      </w:pPr>
      <w:r w:rsidRPr="00C97A19">
        <w:rPr>
          <w:rFonts w:ascii="Calibri" w:hAnsi="Calibri" w:cs="Calibri"/>
          <w:sz w:val="22"/>
          <w:szCs w:val="22"/>
          <w:lang w:val="en-AU"/>
        </w:rPr>
        <w:t>These questions are general in nature but serve as examples to consider, particularly as the program progresses towards its final implementation phase. The KEQs would undertake a detailed narrative and analysis in the proposed completion reporting template.</w:t>
      </w:r>
    </w:p>
    <w:p w14:paraId="0634BAE1" w14:textId="67EC5644" w:rsidR="00962649" w:rsidRPr="00C97A19" w:rsidRDefault="00962649" w:rsidP="00152F0F">
      <w:pPr>
        <w:spacing w:after="120"/>
        <w:jc w:val="both"/>
        <w:rPr>
          <w:rFonts w:ascii="Calibri" w:hAnsi="Calibri" w:cs="Calibri"/>
          <w:sz w:val="22"/>
          <w:szCs w:val="22"/>
          <w:lang w:val="en-AU"/>
        </w:rPr>
      </w:pPr>
      <w:r w:rsidRPr="00C97A19">
        <w:rPr>
          <w:rFonts w:ascii="Calibri" w:hAnsi="Calibri" w:cs="Calibri"/>
          <w:sz w:val="22"/>
          <w:szCs w:val="22"/>
          <w:lang w:val="en-AU"/>
        </w:rPr>
        <w:t>In considering the findings and evidence above, the evaluation assigns a “highly satisfactory” rating to coherence.</w:t>
      </w:r>
    </w:p>
    <w:p w14:paraId="47154D68" w14:textId="7DC8845B" w:rsidR="00F76090" w:rsidRPr="000348BD" w:rsidRDefault="00F76090" w:rsidP="00EB120F">
      <w:pPr>
        <w:pStyle w:val="Heading2"/>
        <w:rPr>
          <w:lang w:val="en-AU"/>
        </w:rPr>
      </w:pPr>
      <w:bookmarkStart w:id="41" w:name="_Toc233724259"/>
      <w:r w:rsidRPr="000348BD">
        <w:rPr>
          <w:lang w:val="en-AU"/>
        </w:rPr>
        <w:t>Effectiveness</w:t>
      </w:r>
      <w:bookmarkEnd w:id="40"/>
      <w:bookmarkEnd w:id="41"/>
    </w:p>
    <w:p w14:paraId="1A83A88A" w14:textId="655C2B83" w:rsidR="00194D9B" w:rsidRPr="00C97A19" w:rsidRDefault="00194D9B" w:rsidP="00047C6D">
      <w:pPr>
        <w:spacing w:after="120"/>
        <w:jc w:val="both"/>
        <w:rPr>
          <w:rFonts w:ascii="Calibri" w:hAnsi="Calibri" w:cs="Calibri"/>
          <w:sz w:val="22"/>
          <w:szCs w:val="22"/>
          <w:lang w:val="en-AU"/>
        </w:rPr>
      </w:pPr>
      <w:r w:rsidRPr="00C97A19">
        <w:rPr>
          <w:rFonts w:ascii="Calibri" w:hAnsi="Calibri" w:cs="Calibri"/>
          <w:sz w:val="22"/>
          <w:szCs w:val="22"/>
          <w:lang w:val="en-AU"/>
        </w:rPr>
        <w:t xml:space="preserve">DFAT defines effectiveness as the extent to which </w:t>
      </w:r>
      <w:r w:rsidR="00DE58CB" w:rsidRPr="00C97A19">
        <w:rPr>
          <w:rFonts w:ascii="Calibri" w:hAnsi="Calibri" w:cs="Calibri"/>
          <w:sz w:val="22"/>
          <w:szCs w:val="22"/>
          <w:lang w:val="en-AU"/>
        </w:rPr>
        <w:t>an aid activity's</w:t>
      </w:r>
      <w:r w:rsidRPr="00C97A19">
        <w:rPr>
          <w:rFonts w:ascii="Calibri" w:hAnsi="Calibri" w:cs="Calibri"/>
          <w:sz w:val="22"/>
          <w:szCs w:val="22"/>
          <w:lang w:val="en-AU"/>
        </w:rPr>
        <w:t xml:space="preserve"> expected results (i.e., outputs or outcomes) have been achieved</w:t>
      </w:r>
      <w:r w:rsidRPr="00C97A19">
        <w:rPr>
          <w:rStyle w:val="FootnoteReference"/>
          <w:rFonts w:ascii="Calibri" w:eastAsiaTheme="majorEastAsia" w:hAnsi="Calibri" w:cs="Calibri"/>
          <w:sz w:val="22"/>
          <w:szCs w:val="22"/>
          <w:lang w:val="en-AU"/>
        </w:rPr>
        <w:footnoteReference w:id="23"/>
      </w:r>
      <w:r w:rsidRPr="00C97A19">
        <w:rPr>
          <w:rFonts w:ascii="Calibri" w:hAnsi="Calibri" w:cs="Calibri"/>
          <w:sz w:val="22"/>
          <w:szCs w:val="22"/>
          <w:lang w:val="en-AU"/>
        </w:rPr>
        <w:t xml:space="preserve">. At </w:t>
      </w:r>
      <w:r w:rsidR="00B96845" w:rsidRPr="00C97A19">
        <w:rPr>
          <w:rFonts w:ascii="Calibri" w:hAnsi="Calibri" w:cs="Calibri"/>
          <w:sz w:val="22"/>
          <w:szCs w:val="22"/>
          <w:lang w:val="en-AU"/>
        </w:rPr>
        <w:t>this stage of implementation, it is essential to assess performance and provide clear statements and conclusions on whether the program has made significant, tangible progress toward its EOPOs and whether these are likely to be achieved at the end of the current phase</w:t>
      </w:r>
      <w:r w:rsidRPr="00C97A19">
        <w:rPr>
          <w:rFonts w:ascii="Calibri" w:hAnsi="Calibri" w:cs="Calibri"/>
          <w:sz w:val="22"/>
          <w:szCs w:val="22"/>
          <w:lang w:val="en-AU"/>
        </w:rPr>
        <w:t xml:space="preserve">. This </w:t>
      </w:r>
      <w:r w:rsidR="00B96845" w:rsidRPr="00C97A19">
        <w:rPr>
          <w:rFonts w:ascii="Calibri" w:hAnsi="Calibri" w:cs="Calibri"/>
          <w:sz w:val="22"/>
          <w:szCs w:val="22"/>
          <w:lang w:val="en-AU"/>
        </w:rPr>
        <w:t>enable</w:t>
      </w:r>
      <w:r w:rsidRPr="00C97A19">
        <w:rPr>
          <w:rFonts w:ascii="Calibri" w:hAnsi="Calibri" w:cs="Calibri"/>
          <w:sz w:val="22"/>
          <w:szCs w:val="22"/>
          <w:lang w:val="en-AU"/>
        </w:rPr>
        <w:t xml:space="preserve">s </w:t>
      </w:r>
      <w:r w:rsidR="00B96845" w:rsidRPr="00C97A19">
        <w:rPr>
          <w:rFonts w:ascii="Calibri" w:hAnsi="Calibri" w:cs="Calibri"/>
          <w:sz w:val="22"/>
          <w:szCs w:val="22"/>
          <w:lang w:val="en-AU"/>
        </w:rPr>
        <w:t>the</w:t>
      </w:r>
      <w:r w:rsidRPr="00C97A19">
        <w:rPr>
          <w:rFonts w:ascii="Calibri" w:hAnsi="Calibri" w:cs="Calibri"/>
          <w:sz w:val="22"/>
          <w:szCs w:val="22"/>
          <w:lang w:val="en-AU"/>
        </w:rPr>
        <w:t xml:space="preserve"> </w:t>
      </w:r>
      <w:r w:rsidR="00DE58CB" w:rsidRPr="00C97A19">
        <w:rPr>
          <w:rFonts w:ascii="Calibri" w:hAnsi="Calibri" w:cs="Calibri"/>
          <w:sz w:val="22"/>
          <w:szCs w:val="22"/>
          <w:lang w:val="en-AU"/>
        </w:rPr>
        <w:t>identi</w:t>
      </w:r>
      <w:r w:rsidR="00B96845" w:rsidRPr="00C97A19">
        <w:rPr>
          <w:rFonts w:ascii="Calibri" w:hAnsi="Calibri" w:cs="Calibri"/>
          <w:sz w:val="22"/>
          <w:szCs w:val="22"/>
          <w:lang w:val="en-AU"/>
        </w:rPr>
        <w:t>fication of</w:t>
      </w:r>
      <w:r w:rsidRPr="00C97A19">
        <w:rPr>
          <w:rFonts w:ascii="Calibri" w:hAnsi="Calibri" w:cs="Calibri"/>
          <w:sz w:val="22"/>
          <w:szCs w:val="22"/>
          <w:lang w:val="en-AU"/>
        </w:rPr>
        <w:t xml:space="preserve"> adaptations that may be required to improve performance over the remaining years. Th</w:t>
      </w:r>
      <w:r w:rsidR="00DE58CB" w:rsidRPr="00C97A19">
        <w:rPr>
          <w:rFonts w:ascii="Calibri" w:hAnsi="Calibri" w:cs="Calibri"/>
          <w:sz w:val="22"/>
          <w:szCs w:val="22"/>
          <w:lang w:val="en-AU"/>
        </w:rPr>
        <w:t xml:space="preserve">ree secondary evaluation </w:t>
      </w:r>
      <w:r w:rsidR="00263CC4" w:rsidRPr="00C97A19">
        <w:rPr>
          <w:rFonts w:ascii="Calibri" w:hAnsi="Calibri" w:cs="Calibri"/>
          <w:sz w:val="22"/>
          <w:szCs w:val="22"/>
          <w:lang w:val="en-AU"/>
        </w:rPr>
        <w:t xml:space="preserve">areas </w:t>
      </w:r>
      <w:r w:rsidR="00B96845" w:rsidRPr="00C97A19">
        <w:rPr>
          <w:rFonts w:ascii="Calibri" w:hAnsi="Calibri" w:cs="Calibri"/>
          <w:sz w:val="22"/>
          <w:szCs w:val="22"/>
          <w:lang w:val="en-AU"/>
        </w:rPr>
        <w:t>inform</w:t>
      </w:r>
      <w:r w:rsidR="00DE58CB" w:rsidRPr="00C97A19">
        <w:rPr>
          <w:rFonts w:ascii="Calibri" w:hAnsi="Calibri" w:cs="Calibri"/>
          <w:sz w:val="22"/>
          <w:szCs w:val="22"/>
          <w:lang w:val="en-AU"/>
        </w:rPr>
        <w:t>ed the examination of effectivenes</w:t>
      </w:r>
      <w:r w:rsidRPr="00C97A19">
        <w:rPr>
          <w:rFonts w:ascii="Calibri" w:hAnsi="Calibri" w:cs="Calibri"/>
          <w:sz w:val="22"/>
          <w:szCs w:val="22"/>
          <w:lang w:val="en-AU"/>
        </w:rPr>
        <w:t>s</w:t>
      </w:r>
      <w:r w:rsidR="00B96845" w:rsidRPr="00C97A19">
        <w:rPr>
          <w:rFonts w:ascii="Calibri" w:hAnsi="Calibri" w:cs="Calibri"/>
          <w:sz w:val="22"/>
          <w:szCs w:val="22"/>
          <w:lang w:val="en-AU"/>
        </w:rPr>
        <w:t>;</w:t>
      </w:r>
      <w:r w:rsidR="00DE58CB" w:rsidRPr="00C97A19">
        <w:rPr>
          <w:rFonts w:ascii="Calibri" w:hAnsi="Calibri" w:cs="Calibri"/>
          <w:sz w:val="22"/>
          <w:szCs w:val="22"/>
          <w:lang w:val="en-AU"/>
        </w:rPr>
        <w:t xml:space="preserve"> </w:t>
      </w:r>
      <w:r w:rsidRPr="00C97A19">
        <w:rPr>
          <w:rFonts w:ascii="Calibri" w:hAnsi="Calibri" w:cs="Calibri"/>
          <w:sz w:val="22"/>
          <w:szCs w:val="22"/>
          <w:lang w:val="en-AU"/>
        </w:rPr>
        <w:t>the</w:t>
      </w:r>
      <w:r w:rsidR="00B96845" w:rsidRPr="00C97A19">
        <w:rPr>
          <w:rFonts w:ascii="Calibri" w:hAnsi="Calibri" w:cs="Calibri"/>
          <w:sz w:val="22"/>
          <w:szCs w:val="22"/>
          <w:lang w:val="en-AU"/>
        </w:rPr>
        <w:t>ir</w:t>
      </w:r>
      <w:r w:rsidRPr="00C97A19">
        <w:rPr>
          <w:rFonts w:ascii="Calibri" w:hAnsi="Calibri" w:cs="Calibri"/>
          <w:sz w:val="22"/>
          <w:szCs w:val="22"/>
          <w:lang w:val="en-AU"/>
        </w:rPr>
        <w:t xml:space="preserve"> findings are presented below. </w:t>
      </w:r>
    </w:p>
    <w:p w14:paraId="749F7DC7" w14:textId="77777777" w:rsidR="002E44E6" w:rsidRPr="000348BD" w:rsidRDefault="00F76090" w:rsidP="00385865">
      <w:pPr>
        <w:autoSpaceDE w:val="0"/>
        <w:autoSpaceDN w:val="0"/>
        <w:adjustRightInd w:val="0"/>
        <w:jc w:val="both"/>
        <w:rPr>
          <w:rFonts w:ascii="Calibri" w:hAnsi="Calibri" w:cs="Calibri"/>
          <w:b/>
          <w:bCs/>
          <w:i/>
          <w:iCs/>
          <w:color w:val="000000"/>
          <w:sz w:val="22"/>
          <w:szCs w:val="22"/>
          <w:u w:val="single"/>
          <w:lang w:val="en-AU"/>
        </w:rPr>
      </w:pPr>
      <w:r w:rsidRPr="00C97A19">
        <w:rPr>
          <w:rFonts w:ascii="Calibri" w:hAnsi="Calibri" w:cs="Calibri"/>
          <w:b/>
          <w:bCs/>
          <w:i/>
          <w:iCs/>
          <w:color w:val="000000" w:themeColor="text1"/>
          <w:sz w:val="22"/>
          <w:szCs w:val="22"/>
          <w:u w:val="single"/>
          <w:lang w:val="en-AU"/>
        </w:rPr>
        <w:t xml:space="preserve">KEQ </w:t>
      </w:r>
      <w:r w:rsidR="008362E5" w:rsidRPr="00C97A19">
        <w:rPr>
          <w:rFonts w:ascii="Calibri" w:hAnsi="Calibri" w:cs="Calibri"/>
          <w:b/>
          <w:bCs/>
          <w:i/>
          <w:iCs/>
          <w:color w:val="000000" w:themeColor="text1"/>
          <w:sz w:val="22"/>
          <w:szCs w:val="22"/>
          <w:u w:val="single"/>
          <w:lang w:val="en-AU"/>
        </w:rPr>
        <w:t>3</w:t>
      </w:r>
      <w:r w:rsidRPr="00C97A19">
        <w:rPr>
          <w:rFonts w:ascii="Calibri" w:hAnsi="Calibri" w:cs="Calibri"/>
          <w:b/>
          <w:bCs/>
          <w:i/>
          <w:iCs/>
          <w:color w:val="000000" w:themeColor="text1"/>
          <w:sz w:val="22"/>
          <w:szCs w:val="22"/>
          <w:u w:val="single"/>
          <w:lang w:val="en-AU"/>
        </w:rPr>
        <w:t xml:space="preserve">: </w:t>
      </w:r>
      <w:r w:rsidR="002E44E6" w:rsidRPr="000348BD">
        <w:rPr>
          <w:rFonts w:ascii="Calibri" w:hAnsi="Calibri" w:cs="Calibri"/>
          <w:b/>
          <w:bCs/>
          <w:i/>
          <w:iCs/>
          <w:color w:val="000000"/>
          <w:sz w:val="22"/>
          <w:szCs w:val="22"/>
          <w:u w:val="single"/>
          <w:lang w:val="en-AU"/>
        </w:rPr>
        <w:t>To what extent has the VPDSP delivered its anticipated impacts, with particular reference to the evaluative questions in the M&amp;E framework?</w:t>
      </w:r>
    </w:p>
    <w:p w14:paraId="0C448485" w14:textId="77777777" w:rsidR="00E059E5" w:rsidRPr="000348BD" w:rsidRDefault="00E059E5" w:rsidP="00E059E5">
      <w:pPr>
        <w:pStyle w:val="Heading3"/>
        <w:rPr>
          <w:sz w:val="22"/>
          <w:szCs w:val="22"/>
          <w:u w:val="single"/>
          <w:lang w:val="en-AU"/>
        </w:rPr>
      </w:pPr>
      <w:bookmarkStart w:id="42" w:name="_Toc201131776"/>
      <w:bookmarkStart w:id="43" w:name="OLE_LINK15"/>
      <w:r w:rsidRPr="000348BD">
        <w:rPr>
          <w:sz w:val="22"/>
          <w:szCs w:val="22"/>
          <w:u w:val="single"/>
          <w:lang w:val="en-AU"/>
        </w:rPr>
        <w:t>Adaptation and Response</w:t>
      </w:r>
      <w:bookmarkEnd w:id="42"/>
    </w:p>
    <w:bookmarkEnd w:id="43"/>
    <w:p w14:paraId="3B9C8D2D" w14:textId="150460F7" w:rsidR="00E059E5" w:rsidRPr="00C97A19" w:rsidRDefault="00E059E5" w:rsidP="00E059E5">
      <w:pPr>
        <w:spacing w:after="120"/>
        <w:jc w:val="both"/>
        <w:rPr>
          <w:rFonts w:ascii="Calibri" w:hAnsi="Calibri" w:cs="Calibri"/>
          <w:sz w:val="22"/>
          <w:szCs w:val="22"/>
          <w:lang w:val="en-AU"/>
        </w:rPr>
      </w:pPr>
      <w:r w:rsidRPr="00C97A19">
        <w:rPr>
          <w:rFonts w:ascii="Calibri" w:hAnsi="Calibri" w:cs="Calibri"/>
          <w:b/>
          <w:bCs/>
          <w:sz w:val="22"/>
          <w:szCs w:val="22"/>
          <w:lang w:val="en-AU"/>
        </w:rPr>
        <w:t>As indicated in earlier sections, the VPSDP has demonstrated an evident ability to date to respond and adapt to the evolving needs of the private sector.</w:t>
      </w:r>
      <w:r w:rsidRPr="00C97A19">
        <w:rPr>
          <w:rFonts w:ascii="Calibri" w:hAnsi="Calibri" w:cs="Calibri"/>
          <w:sz w:val="22"/>
          <w:szCs w:val="22"/>
          <w:lang w:val="en-AU"/>
        </w:rPr>
        <w:t xml:space="preserve"> The program has proven adaptable and responsive. This is evidenced by the type and scope of projects identified, funded and implemented. This is also evidenced by PSC minutes and actions that support relevant projects. Finally, the selection projects that firmly focused on private</w:t>
      </w:r>
      <w:r w:rsidR="005A3B51" w:rsidRPr="00C97A19">
        <w:rPr>
          <w:rFonts w:ascii="Calibri" w:hAnsi="Calibri" w:cs="Calibri"/>
          <w:sz w:val="22"/>
          <w:szCs w:val="22"/>
          <w:lang w:val="en-AU"/>
        </w:rPr>
        <w:t>-</w:t>
      </w:r>
      <w:r w:rsidRPr="00C97A19">
        <w:rPr>
          <w:rFonts w:ascii="Calibri" w:hAnsi="Calibri" w:cs="Calibri"/>
          <w:sz w:val="22"/>
          <w:szCs w:val="22"/>
          <w:lang w:val="en-AU"/>
        </w:rPr>
        <w:t xml:space="preserve">sector </w:t>
      </w:r>
      <w:r w:rsidR="005A3B51" w:rsidRPr="00C97A19">
        <w:rPr>
          <w:rFonts w:ascii="Calibri" w:hAnsi="Calibri" w:cs="Calibri"/>
          <w:sz w:val="22"/>
          <w:szCs w:val="22"/>
          <w:lang w:val="en-AU"/>
        </w:rPr>
        <w:t>outcome</w:t>
      </w:r>
      <w:r w:rsidRPr="00C97A19">
        <w:rPr>
          <w:rFonts w:ascii="Calibri" w:hAnsi="Calibri" w:cs="Calibri"/>
          <w:sz w:val="22"/>
          <w:szCs w:val="22"/>
          <w:lang w:val="en-AU"/>
        </w:rPr>
        <w:t>s, particularly as the GoV has emerged from COVID-19, demonstrated the program's ability to adapt and respond to immediate priorities and needs. Importantly, the program has continued to evolve beyon</w:t>
      </w:r>
      <w:r w:rsidR="005A3B51" w:rsidRPr="00C97A19">
        <w:rPr>
          <w:rFonts w:ascii="Calibri" w:hAnsi="Calibri" w:cs="Calibri"/>
          <w:sz w:val="22"/>
          <w:szCs w:val="22"/>
          <w:lang w:val="en-AU"/>
        </w:rPr>
        <w:t>d</w:t>
      </w:r>
      <w:r w:rsidRPr="00C97A19">
        <w:rPr>
          <w:rFonts w:ascii="Calibri" w:hAnsi="Calibri" w:cs="Calibri"/>
          <w:sz w:val="22"/>
          <w:szCs w:val="22"/>
          <w:lang w:val="en-AU"/>
        </w:rPr>
        <w:t xml:space="preserve"> </w:t>
      </w:r>
      <w:r w:rsidR="00A47284" w:rsidRPr="00C97A19">
        <w:rPr>
          <w:rFonts w:ascii="Calibri" w:hAnsi="Calibri" w:cs="Calibri"/>
          <w:sz w:val="22"/>
          <w:szCs w:val="22"/>
          <w:lang w:val="en-AU"/>
        </w:rPr>
        <w:t xml:space="preserve">its </w:t>
      </w:r>
      <w:r w:rsidRPr="00C97A19">
        <w:rPr>
          <w:rFonts w:ascii="Calibri" w:hAnsi="Calibri" w:cs="Calibri"/>
          <w:sz w:val="22"/>
          <w:szCs w:val="22"/>
          <w:lang w:val="en-AU"/>
        </w:rPr>
        <w:t>initial COVID-19 responses to reflect a more mature</w:t>
      </w:r>
      <w:r w:rsidR="00A47284" w:rsidRPr="00C97A19">
        <w:rPr>
          <w:rFonts w:ascii="Calibri" w:hAnsi="Calibri" w:cs="Calibri"/>
          <w:sz w:val="22"/>
          <w:szCs w:val="22"/>
          <w:lang w:val="en-AU"/>
        </w:rPr>
        <w:t>,</w:t>
      </w:r>
      <w:r w:rsidRPr="00C97A19">
        <w:rPr>
          <w:rFonts w:ascii="Calibri" w:hAnsi="Calibri" w:cs="Calibri"/>
          <w:sz w:val="22"/>
          <w:szCs w:val="22"/>
          <w:lang w:val="en-AU"/>
        </w:rPr>
        <w:t xml:space="preserve"> integrated set of projects.</w:t>
      </w:r>
    </w:p>
    <w:p w14:paraId="0B8A1704" w14:textId="27DDDC05" w:rsidR="00E059E5" w:rsidRPr="00C97A19" w:rsidRDefault="00731194" w:rsidP="00E059E5">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IFC generally designs well-structured projects that are grounded in and linked to technical experience and expertise, and that align with relevant IFC and government strategies and policies. </w:t>
      </w:r>
      <w:r w:rsidR="00E059E5" w:rsidRPr="00C97A19">
        <w:rPr>
          <w:rFonts w:ascii="Calibri" w:hAnsi="Calibri" w:cs="Calibri"/>
          <w:b/>
          <w:bCs/>
          <w:sz w:val="22"/>
          <w:szCs w:val="22"/>
          <w:lang w:val="en-AU"/>
        </w:rPr>
        <w:t xml:space="preserve">The only suggested improvement is to ensure </w:t>
      </w:r>
      <w:r w:rsidR="00A47284" w:rsidRPr="00C97A19">
        <w:rPr>
          <w:rFonts w:ascii="Calibri" w:hAnsi="Calibri" w:cs="Calibri"/>
          <w:b/>
          <w:bCs/>
          <w:sz w:val="22"/>
          <w:szCs w:val="22"/>
          <w:lang w:val="en-AU"/>
        </w:rPr>
        <w:t xml:space="preserve">that </w:t>
      </w:r>
      <w:r w:rsidRPr="00C97A19">
        <w:rPr>
          <w:rFonts w:ascii="Calibri" w:hAnsi="Calibri" w:cs="Calibri"/>
          <w:b/>
          <w:bCs/>
          <w:sz w:val="22"/>
          <w:szCs w:val="22"/>
          <w:lang w:val="en-AU"/>
        </w:rPr>
        <w:t xml:space="preserve">any </w:t>
      </w:r>
      <w:r w:rsidR="00E059E5" w:rsidRPr="00C97A19">
        <w:rPr>
          <w:rFonts w:ascii="Calibri" w:hAnsi="Calibri" w:cs="Calibri"/>
          <w:b/>
          <w:bCs/>
          <w:sz w:val="22"/>
          <w:szCs w:val="22"/>
          <w:lang w:val="en-AU"/>
        </w:rPr>
        <w:t>future</w:t>
      </w:r>
      <w:r w:rsidRPr="00C97A19">
        <w:rPr>
          <w:rFonts w:ascii="Calibri" w:hAnsi="Calibri" w:cs="Calibri"/>
          <w:b/>
          <w:bCs/>
          <w:sz w:val="22"/>
          <w:szCs w:val="22"/>
          <w:lang w:val="en-AU"/>
        </w:rPr>
        <w:t xml:space="preserve"> “pilot”</w:t>
      </w:r>
      <w:r w:rsidR="00E059E5" w:rsidRPr="00C97A19">
        <w:rPr>
          <w:rFonts w:ascii="Calibri" w:hAnsi="Calibri" w:cs="Calibri"/>
          <w:b/>
          <w:bCs/>
          <w:sz w:val="22"/>
          <w:szCs w:val="22"/>
          <w:lang w:val="en-AU"/>
        </w:rPr>
        <w:t xml:space="preserve"> activity/investment designs are </w:t>
      </w:r>
      <w:r w:rsidRPr="00C97A19">
        <w:rPr>
          <w:rFonts w:ascii="Calibri" w:hAnsi="Calibri" w:cs="Calibri"/>
          <w:b/>
          <w:bCs/>
          <w:sz w:val="22"/>
          <w:szCs w:val="22"/>
          <w:lang w:val="en-AU"/>
        </w:rPr>
        <w:t>structured and planned in a way for the long-term.</w:t>
      </w:r>
      <w:r w:rsidR="00E059E5" w:rsidRPr="00C97A19">
        <w:rPr>
          <w:rFonts w:ascii="Calibri" w:hAnsi="Calibri" w:cs="Calibri"/>
          <w:sz w:val="22"/>
          <w:szCs w:val="22"/>
          <w:lang w:val="en-AU"/>
        </w:rPr>
        <w:t xml:space="preserve"> In other words, activities and projects should be designed and implemented so that there is a clearly defined “end state” at which point both DFAT and IFC have a clear sense (and associated evidence) that the project has </w:t>
      </w:r>
      <w:r w:rsidR="00A47284" w:rsidRPr="00C97A19">
        <w:rPr>
          <w:rFonts w:ascii="Calibri" w:hAnsi="Calibri" w:cs="Calibri"/>
          <w:sz w:val="22"/>
          <w:szCs w:val="22"/>
          <w:lang w:val="en-AU"/>
        </w:rPr>
        <w:t>reached</w:t>
      </w:r>
      <w:r w:rsidR="00E059E5" w:rsidRPr="00C97A19">
        <w:rPr>
          <w:rFonts w:ascii="Calibri" w:hAnsi="Calibri" w:cs="Calibri"/>
          <w:sz w:val="22"/>
          <w:szCs w:val="22"/>
          <w:lang w:val="en-AU"/>
        </w:rPr>
        <w:t xml:space="preserve"> a desired outcome and achieved a defined level of success.</w:t>
      </w:r>
      <w:r w:rsidRPr="00C97A19">
        <w:rPr>
          <w:rFonts w:ascii="Calibri" w:hAnsi="Calibri" w:cs="Calibri"/>
          <w:sz w:val="22"/>
          <w:szCs w:val="22"/>
          <w:lang w:val="en-AU"/>
        </w:rPr>
        <w:t xml:space="preserve"> If the project is intended only as a single “pilot”, this can be clearly stated.</w:t>
      </w:r>
      <w:r w:rsidR="00E059E5" w:rsidRPr="00C97A19">
        <w:rPr>
          <w:rFonts w:ascii="Calibri" w:hAnsi="Calibri" w:cs="Calibri"/>
          <w:sz w:val="22"/>
          <w:szCs w:val="22"/>
          <w:lang w:val="en-AU"/>
        </w:rPr>
        <w:t xml:space="preserve"> It is noted that the IFC specifies intended outcomes for each project; however, it is more of a conversation </w:t>
      </w:r>
      <w:r w:rsidR="00A47284" w:rsidRPr="00C97A19">
        <w:rPr>
          <w:rFonts w:ascii="Calibri" w:hAnsi="Calibri" w:cs="Calibri"/>
          <w:sz w:val="22"/>
          <w:szCs w:val="22"/>
          <w:lang w:val="en-AU"/>
        </w:rPr>
        <w:t>about the end state and the evidence required to demonstrate it.</w:t>
      </w:r>
      <w:r w:rsidR="00E059E5" w:rsidRPr="00C97A19">
        <w:rPr>
          <w:rFonts w:ascii="Calibri" w:hAnsi="Calibri" w:cs="Calibri"/>
          <w:sz w:val="22"/>
          <w:szCs w:val="22"/>
          <w:lang w:val="en-AU"/>
        </w:rPr>
        <w:t xml:space="preserve"> Some projects have become “core projects” </w:t>
      </w:r>
      <w:r w:rsidR="00005408" w:rsidRPr="00C97A19">
        <w:rPr>
          <w:rFonts w:ascii="Calibri" w:hAnsi="Calibri" w:cs="Calibri"/>
          <w:sz w:val="22"/>
          <w:szCs w:val="22"/>
          <w:lang w:val="en-AU"/>
        </w:rPr>
        <w:t xml:space="preserve">(e.g., green finance and green buildings), and there is a need to ensure that pilot initiatives transition </w:t>
      </w:r>
      <w:r w:rsidRPr="00C97A19">
        <w:rPr>
          <w:rFonts w:ascii="Calibri" w:hAnsi="Calibri" w:cs="Calibri"/>
          <w:sz w:val="22"/>
          <w:szCs w:val="22"/>
          <w:lang w:val="en-AU"/>
        </w:rPr>
        <w:t>in</w:t>
      </w:r>
      <w:r w:rsidR="00005408" w:rsidRPr="00C97A19">
        <w:rPr>
          <w:rFonts w:ascii="Calibri" w:hAnsi="Calibri" w:cs="Calibri"/>
          <w:sz w:val="22"/>
          <w:szCs w:val="22"/>
          <w:lang w:val="en-AU"/>
        </w:rPr>
        <w:t>to longer-term interventions.</w:t>
      </w:r>
    </w:p>
    <w:p w14:paraId="7F4233F4" w14:textId="1D147AB9" w:rsidR="00E059E5" w:rsidRPr="000348BD" w:rsidRDefault="00E059E5" w:rsidP="00E059E5">
      <w:pPr>
        <w:pStyle w:val="Heading3"/>
        <w:rPr>
          <w:sz w:val="22"/>
          <w:szCs w:val="22"/>
          <w:u w:val="single"/>
          <w:lang w:val="en-AU"/>
        </w:rPr>
      </w:pPr>
      <w:r w:rsidRPr="000348BD">
        <w:rPr>
          <w:sz w:val="22"/>
          <w:szCs w:val="22"/>
          <w:u w:val="single"/>
          <w:lang w:val="en-AU"/>
        </w:rPr>
        <w:t>Project Selection, Coverage and Key Results</w:t>
      </w:r>
    </w:p>
    <w:p w14:paraId="7190B26A" w14:textId="3CEA381A" w:rsidR="00E059E5" w:rsidRPr="00C97A19" w:rsidRDefault="00E059E5" w:rsidP="00E059E5">
      <w:pPr>
        <w:spacing w:after="120"/>
        <w:jc w:val="both"/>
        <w:rPr>
          <w:rFonts w:ascii="Calibri" w:hAnsi="Calibri" w:cs="Calibri"/>
          <w:bCs/>
          <w:sz w:val="22"/>
          <w:szCs w:val="22"/>
          <w:lang w:val="en-AU"/>
        </w:rPr>
      </w:pPr>
      <w:r w:rsidRPr="00C97A19">
        <w:rPr>
          <w:rFonts w:ascii="Calibri" w:hAnsi="Calibri" w:cs="Calibri"/>
          <w:b/>
          <w:sz w:val="22"/>
          <w:szCs w:val="22"/>
          <w:lang w:val="en-AU"/>
        </w:rPr>
        <w:t>At the overall program level, there is a way to achieve the Partnership's impact-level targets</w:t>
      </w:r>
      <w:r w:rsidRPr="00C97A19">
        <w:rPr>
          <w:rFonts w:ascii="Calibri" w:hAnsi="Calibri" w:cs="Calibri"/>
          <w:bCs/>
          <w:sz w:val="22"/>
          <w:szCs w:val="22"/>
          <w:lang w:val="en-AU"/>
        </w:rPr>
        <w:t xml:space="preserve">. The key challenge with assessing initial results was that the </w:t>
      </w:r>
      <w:r w:rsidR="003B3B9A">
        <w:rPr>
          <w:rFonts w:ascii="Calibri" w:hAnsi="Calibri" w:cs="Calibri"/>
          <w:bCs/>
          <w:sz w:val="22"/>
          <w:szCs w:val="22"/>
          <w:lang w:val="en-AU"/>
        </w:rPr>
        <w:t xml:space="preserve">theory </w:t>
      </w:r>
      <w:r w:rsidRPr="00C97A19">
        <w:rPr>
          <w:rFonts w:ascii="Calibri" w:hAnsi="Calibri" w:cs="Calibri"/>
          <w:bCs/>
          <w:sz w:val="22"/>
          <w:szCs w:val="22"/>
          <w:lang w:val="en-AU"/>
        </w:rPr>
        <w:t>o</w:t>
      </w:r>
      <w:r w:rsidR="003B3B9A">
        <w:rPr>
          <w:rFonts w:ascii="Calibri" w:hAnsi="Calibri" w:cs="Calibri"/>
          <w:bCs/>
          <w:sz w:val="22"/>
          <w:szCs w:val="22"/>
          <w:lang w:val="en-AU"/>
        </w:rPr>
        <w:t>f change</w:t>
      </w:r>
      <w:r w:rsidRPr="00C97A19">
        <w:rPr>
          <w:rFonts w:ascii="Calibri" w:hAnsi="Calibri" w:cs="Calibri"/>
          <w:bCs/>
          <w:sz w:val="22"/>
          <w:szCs w:val="22"/>
          <w:lang w:val="en-AU"/>
        </w:rPr>
        <w:t xml:space="preserve"> and results framework focused on high-level impacts. Indicators and targets in the results framework tended to focus on numbers rather </w:t>
      </w:r>
      <w:r w:rsidRPr="00C97A19">
        <w:rPr>
          <w:rFonts w:ascii="Calibri" w:hAnsi="Calibri" w:cs="Calibri"/>
          <w:bCs/>
          <w:sz w:val="22"/>
          <w:szCs w:val="22"/>
          <w:lang w:val="en-AU"/>
        </w:rPr>
        <w:lastRenderedPageBreak/>
        <w:t>than the expected changes. This often requires an assessment and evidence of change (</w:t>
      </w:r>
      <w:r w:rsidR="00005408" w:rsidRPr="00C97A19">
        <w:rPr>
          <w:rFonts w:ascii="Calibri" w:hAnsi="Calibri" w:cs="Calibri"/>
          <w:bCs/>
          <w:sz w:val="22"/>
          <w:szCs w:val="22"/>
          <w:lang w:val="en-AU"/>
        </w:rPr>
        <w:t>e.g.,</w:t>
      </w:r>
      <w:r w:rsidRPr="00C97A19">
        <w:rPr>
          <w:rFonts w:ascii="Calibri" w:hAnsi="Calibri" w:cs="Calibri"/>
          <w:bCs/>
          <w:sz w:val="22"/>
          <w:szCs w:val="22"/>
          <w:lang w:val="en-AU"/>
        </w:rPr>
        <w:t xml:space="preserve"> a ratio or %) to demonstrate </w:t>
      </w:r>
      <w:r w:rsidR="00005408" w:rsidRPr="00C97A19">
        <w:rPr>
          <w:rFonts w:ascii="Calibri" w:hAnsi="Calibri" w:cs="Calibri"/>
          <w:bCs/>
          <w:sz w:val="22"/>
          <w:szCs w:val="22"/>
          <w:lang w:val="en-AU"/>
        </w:rPr>
        <w:t>it</w:t>
      </w:r>
      <w:r w:rsidRPr="00C97A19">
        <w:rPr>
          <w:rFonts w:ascii="Calibri" w:hAnsi="Calibri" w:cs="Calibri"/>
          <w:bCs/>
          <w:sz w:val="22"/>
          <w:szCs w:val="22"/>
          <w:lang w:val="en-AU"/>
        </w:rPr>
        <w:t>. The application of evaluative questions</w:t>
      </w:r>
      <w:r w:rsidR="00965C5A" w:rsidRPr="00C97A19">
        <w:rPr>
          <w:rFonts w:ascii="Calibri" w:hAnsi="Calibri" w:cs="Calibri"/>
          <w:bCs/>
          <w:sz w:val="22"/>
          <w:szCs w:val="22"/>
          <w:lang w:val="en-AU"/>
        </w:rPr>
        <w:t xml:space="preserve"> (mentioned in the previous section)</w:t>
      </w:r>
      <w:r w:rsidRPr="00C97A19">
        <w:rPr>
          <w:rFonts w:ascii="Calibri" w:hAnsi="Calibri" w:cs="Calibri"/>
          <w:bCs/>
          <w:sz w:val="22"/>
          <w:szCs w:val="22"/>
          <w:lang w:val="en-AU"/>
        </w:rPr>
        <w:t xml:space="preserve"> would be beneficial, relevant, and appropriate, and it demonstrates good practice in supporting effective MEL.</w:t>
      </w:r>
    </w:p>
    <w:p w14:paraId="57198C42" w14:textId="5170CFD9" w:rsidR="00E059E5" w:rsidRPr="00C97A19" w:rsidRDefault="00E059E5" w:rsidP="00E059E5">
      <w:pPr>
        <w:spacing w:after="120"/>
        <w:jc w:val="both"/>
        <w:rPr>
          <w:rFonts w:ascii="Calibri" w:hAnsi="Calibri" w:cs="Calibri"/>
          <w:bCs/>
          <w:sz w:val="22"/>
          <w:szCs w:val="22"/>
          <w:lang w:val="en-AU"/>
        </w:rPr>
      </w:pPr>
      <w:r w:rsidRPr="00C97A19">
        <w:rPr>
          <w:rFonts w:ascii="Calibri" w:hAnsi="Calibri" w:cs="Calibri"/>
          <w:b/>
          <w:sz w:val="22"/>
          <w:szCs w:val="22"/>
          <w:lang w:val="en-AU"/>
        </w:rPr>
        <w:t>Notably, IFC implemented a multifaceted approach to support a conducive private-sector environment while focusing on key sector investments</w:t>
      </w:r>
      <w:r w:rsidRPr="00C97A19">
        <w:rPr>
          <w:rFonts w:ascii="Calibri" w:hAnsi="Calibri" w:cs="Calibri"/>
          <w:bCs/>
          <w:sz w:val="22"/>
          <w:szCs w:val="22"/>
          <w:lang w:val="en-AU"/>
        </w:rPr>
        <w:t xml:space="preserve">. Aligning activities to each pillar was also valuable, enabling better assessment of progress towards Pillar outcomes and results. However, the portfolio's project weighting is primarily focused on Pillars 2 and 3. Work against Pillar 1 is less relevant to the </w:t>
      </w:r>
      <w:r w:rsidR="005A3B51" w:rsidRPr="00C97A19">
        <w:rPr>
          <w:rFonts w:ascii="Calibri" w:hAnsi="Calibri" w:cs="Calibri"/>
          <w:bCs/>
          <w:sz w:val="22"/>
          <w:szCs w:val="22"/>
          <w:lang w:val="en-AU"/>
        </w:rPr>
        <w:t>funded</w:t>
      </w:r>
      <w:r w:rsidRPr="00C97A19">
        <w:rPr>
          <w:rFonts w:ascii="Calibri" w:hAnsi="Calibri" w:cs="Calibri"/>
          <w:bCs/>
          <w:sz w:val="22"/>
          <w:szCs w:val="22"/>
          <w:lang w:val="en-AU"/>
        </w:rPr>
        <w:t xml:space="preserve"> projects, and guidance is also provided </w:t>
      </w:r>
      <w:r w:rsidR="005A3B51" w:rsidRPr="00C97A19">
        <w:rPr>
          <w:rFonts w:ascii="Calibri" w:hAnsi="Calibri" w:cs="Calibri"/>
          <w:bCs/>
          <w:sz w:val="22"/>
          <w:szCs w:val="22"/>
          <w:lang w:val="en-AU"/>
        </w:rPr>
        <w:t>for</w:t>
      </w:r>
      <w:r w:rsidRPr="00C97A19">
        <w:rPr>
          <w:rFonts w:ascii="Calibri" w:hAnsi="Calibri" w:cs="Calibri"/>
          <w:bCs/>
          <w:sz w:val="22"/>
          <w:szCs w:val="22"/>
          <w:lang w:val="en-AU"/>
        </w:rPr>
        <w:t xml:space="preserve"> Pillar 4. The following sections report on the progress of each pillar and the projects grouped under them. The analysis highlights respective benefits and outlines some key challenges and guidance for the future. </w:t>
      </w:r>
    </w:p>
    <w:p w14:paraId="4BDE1A4C" w14:textId="77777777" w:rsidR="00E059E5" w:rsidRPr="00C97A19" w:rsidRDefault="00E059E5" w:rsidP="00E059E5">
      <w:pPr>
        <w:pStyle w:val="Heading4"/>
        <w:rPr>
          <w:rFonts w:ascii="Calibri" w:eastAsiaTheme="minorHAnsi" w:hAnsi="Calibri"/>
          <w:b/>
          <w:i w:val="0"/>
          <w:iCs w:val="0"/>
          <w:color w:val="000000" w:themeColor="text1"/>
          <w:sz w:val="22"/>
          <w:szCs w:val="22"/>
          <w:u w:val="single"/>
          <w:lang w:val="en-AU"/>
        </w:rPr>
      </w:pPr>
      <w:r w:rsidRPr="00C97A19">
        <w:rPr>
          <w:rFonts w:ascii="Calibri" w:hAnsi="Calibri"/>
          <w:b/>
          <w:i w:val="0"/>
          <w:iCs w:val="0"/>
          <w:color w:val="000000" w:themeColor="text1"/>
          <w:sz w:val="22"/>
          <w:szCs w:val="22"/>
          <w:u w:val="single"/>
          <w:lang w:val="en-AU"/>
        </w:rPr>
        <w:t xml:space="preserve">Pillar 1 – </w:t>
      </w:r>
      <w:r w:rsidRPr="00C97A19">
        <w:rPr>
          <w:rFonts w:ascii="Calibri" w:eastAsiaTheme="minorHAnsi" w:hAnsi="Calibri"/>
          <w:b/>
          <w:i w:val="0"/>
          <w:iCs w:val="0"/>
          <w:color w:val="000000" w:themeColor="text1"/>
          <w:sz w:val="22"/>
          <w:szCs w:val="22"/>
          <w:u w:val="single"/>
          <w:lang w:val="en-AU"/>
        </w:rPr>
        <w:t>Enabling Environment for the Private Sector</w:t>
      </w:r>
    </w:p>
    <w:p w14:paraId="32429166" w14:textId="3EEF1EC1" w:rsidR="0087092B" w:rsidRPr="000348BD" w:rsidRDefault="0087092B"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This pillar involves economy-wide and sector-specific interventions </w:t>
      </w:r>
      <w:r w:rsidR="00990FF9" w:rsidRPr="000348BD">
        <w:rPr>
          <w:rFonts w:ascii="Calibri" w:hAnsi="Calibri" w:cs="Calibri"/>
          <w:b/>
          <w:bCs/>
          <w:sz w:val="22"/>
          <w:szCs w:val="22"/>
          <w:lang w:val="en-AU"/>
        </w:rPr>
        <w:t>to</w:t>
      </w:r>
      <w:r w:rsidRPr="000348BD">
        <w:rPr>
          <w:rFonts w:ascii="Calibri" w:hAnsi="Calibri" w:cs="Calibri"/>
          <w:b/>
          <w:bCs/>
          <w:sz w:val="22"/>
          <w:szCs w:val="22"/>
          <w:lang w:val="en-AU"/>
        </w:rPr>
        <w:t xml:space="preserve"> creat</w:t>
      </w:r>
      <w:r w:rsidR="00990FF9" w:rsidRPr="000348BD">
        <w:rPr>
          <w:rFonts w:ascii="Calibri" w:hAnsi="Calibri" w:cs="Calibri"/>
          <w:b/>
          <w:bCs/>
          <w:sz w:val="22"/>
          <w:szCs w:val="22"/>
          <w:lang w:val="en-AU"/>
        </w:rPr>
        <w:t>e</w:t>
      </w:r>
      <w:r w:rsidRPr="000348BD">
        <w:rPr>
          <w:rFonts w:ascii="Calibri" w:hAnsi="Calibri" w:cs="Calibri"/>
          <w:b/>
          <w:bCs/>
          <w:sz w:val="22"/>
          <w:szCs w:val="22"/>
          <w:lang w:val="en-AU"/>
        </w:rPr>
        <w:t xml:space="preserve"> a more conducive business environment t</w:t>
      </w:r>
      <w:r w:rsidR="00990FF9" w:rsidRPr="000348BD">
        <w:rPr>
          <w:rFonts w:ascii="Calibri" w:hAnsi="Calibri" w:cs="Calibri"/>
          <w:b/>
          <w:bCs/>
          <w:sz w:val="22"/>
          <w:szCs w:val="22"/>
          <w:lang w:val="en-AU"/>
        </w:rPr>
        <w:t>hat</w:t>
      </w:r>
      <w:r w:rsidRPr="000348BD">
        <w:rPr>
          <w:rFonts w:ascii="Calibri" w:hAnsi="Calibri" w:cs="Calibri"/>
          <w:b/>
          <w:bCs/>
          <w:sz w:val="22"/>
          <w:szCs w:val="22"/>
          <w:lang w:val="en-AU"/>
        </w:rPr>
        <w:t xml:space="preserve"> support</w:t>
      </w:r>
      <w:r w:rsidR="00990FF9" w:rsidRPr="000348BD">
        <w:rPr>
          <w:rFonts w:ascii="Calibri" w:hAnsi="Calibri" w:cs="Calibri"/>
          <w:b/>
          <w:bCs/>
          <w:sz w:val="22"/>
          <w:szCs w:val="22"/>
          <w:lang w:val="en-AU"/>
        </w:rPr>
        <w:t>s</w:t>
      </w:r>
      <w:r w:rsidRPr="000348BD">
        <w:rPr>
          <w:rFonts w:ascii="Calibri" w:hAnsi="Calibri" w:cs="Calibri"/>
          <w:b/>
          <w:bCs/>
          <w:sz w:val="22"/>
          <w:szCs w:val="22"/>
          <w:lang w:val="en-AU"/>
        </w:rPr>
        <w:t xml:space="preserve"> inclusive private</w:t>
      </w:r>
      <w:r w:rsidR="005A3B51" w:rsidRPr="000348BD">
        <w:rPr>
          <w:rFonts w:ascii="Calibri" w:hAnsi="Calibri" w:cs="Calibri"/>
          <w:b/>
          <w:bCs/>
          <w:sz w:val="22"/>
          <w:szCs w:val="22"/>
          <w:lang w:val="en-AU"/>
        </w:rPr>
        <w:t>-</w:t>
      </w:r>
      <w:r w:rsidRPr="000348BD">
        <w:rPr>
          <w:rFonts w:ascii="Calibri" w:hAnsi="Calibri" w:cs="Calibri"/>
          <w:b/>
          <w:bCs/>
          <w:sz w:val="22"/>
          <w:szCs w:val="22"/>
          <w:lang w:val="en-AU"/>
        </w:rPr>
        <w:t>sector investment.</w:t>
      </w:r>
      <w:r w:rsidRPr="000348BD">
        <w:rPr>
          <w:rFonts w:ascii="Calibri" w:hAnsi="Calibri" w:cs="Calibri"/>
          <w:sz w:val="22"/>
          <w:szCs w:val="22"/>
          <w:lang w:val="en-AU"/>
        </w:rPr>
        <w:t xml:space="preserve"> Viet</w:t>
      </w:r>
      <w:r w:rsidR="0015478D" w:rsidRPr="000348BD">
        <w:rPr>
          <w:rFonts w:ascii="Calibri" w:hAnsi="Calibri" w:cs="Calibri"/>
          <w:sz w:val="22"/>
          <w:szCs w:val="22"/>
          <w:lang w:val="en-AU"/>
        </w:rPr>
        <w:t xml:space="preserve"> N</w:t>
      </w:r>
      <w:r w:rsidRPr="000348BD">
        <w:rPr>
          <w:rFonts w:ascii="Calibri" w:hAnsi="Calibri" w:cs="Calibri"/>
          <w:sz w:val="22"/>
          <w:szCs w:val="22"/>
          <w:lang w:val="en-AU"/>
        </w:rPr>
        <w:t>am is facing unprecedented challenges</w:t>
      </w:r>
      <w:r w:rsidR="005A3B51" w:rsidRPr="000348BD">
        <w:rPr>
          <w:rFonts w:ascii="Calibri" w:hAnsi="Calibri" w:cs="Calibri"/>
          <w:sz w:val="22"/>
          <w:szCs w:val="22"/>
          <w:lang w:val="en-AU"/>
        </w:rPr>
        <w:t>,</w:t>
      </w:r>
      <w:r w:rsidRPr="000348BD">
        <w:rPr>
          <w:rFonts w:ascii="Calibri" w:hAnsi="Calibri" w:cs="Calibri"/>
          <w:sz w:val="22"/>
          <w:szCs w:val="22"/>
          <w:lang w:val="en-AU"/>
        </w:rPr>
        <w:t xml:space="preserve"> many of which have been exacerbated by the pandemic – declining productivity growth, rapid technological and supply chain disruptions, climate change, and </w:t>
      </w:r>
      <w:r w:rsidR="00005408" w:rsidRPr="000348BD">
        <w:rPr>
          <w:rFonts w:ascii="Calibri" w:hAnsi="Calibri" w:cs="Calibri"/>
          <w:sz w:val="22"/>
          <w:szCs w:val="22"/>
          <w:lang w:val="en-AU"/>
        </w:rPr>
        <w:t>ri</w:t>
      </w:r>
      <w:r w:rsidRPr="000348BD">
        <w:rPr>
          <w:rFonts w:ascii="Calibri" w:hAnsi="Calibri" w:cs="Calibri"/>
          <w:sz w:val="22"/>
          <w:szCs w:val="22"/>
          <w:lang w:val="en-AU"/>
        </w:rPr>
        <w:t>sing non-performing loans (NPLs)</w:t>
      </w:r>
      <w:r w:rsidR="00005408" w:rsidRPr="000348BD">
        <w:rPr>
          <w:rFonts w:ascii="Calibri" w:hAnsi="Calibri" w:cs="Calibri"/>
          <w:sz w:val="22"/>
          <w:szCs w:val="22"/>
          <w:lang w:val="en-AU"/>
        </w:rPr>
        <w:t xml:space="preserve"> - all of</w:t>
      </w:r>
      <w:r w:rsidRPr="000348BD">
        <w:rPr>
          <w:rFonts w:ascii="Calibri" w:hAnsi="Calibri" w:cs="Calibri"/>
          <w:sz w:val="22"/>
          <w:szCs w:val="22"/>
          <w:lang w:val="en-AU"/>
        </w:rPr>
        <w:t xml:space="preserve"> which threaten the country’s growth model and require swift action.</w:t>
      </w:r>
    </w:p>
    <w:p w14:paraId="71FB5EC6" w14:textId="27D9B122" w:rsidR="0087092B" w:rsidRPr="000348BD" w:rsidRDefault="0087092B"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Unde</w:t>
      </w:r>
      <w:r w:rsidR="005A3B51" w:rsidRPr="000348BD">
        <w:rPr>
          <w:rFonts w:ascii="Calibri" w:hAnsi="Calibri" w:cs="Calibri"/>
          <w:sz w:val="22"/>
          <w:szCs w:val="22"/>
          <w:lang w:val="en-AU"/>
        </w:rPr>
        <w:t>r</w:t>
      </w:r>
      <w:r w:rsidRPr="000348BD">
        <w:rPr>
          <w:rFonts w:ascii="Calibri" w:hAnsi="Calibri" w:cs="Calibri"/>
          <w:sz w:val="22"/>
          <w:szCs w:val="22"/>
          <w:lang w:val="en-AU"/>
        </w:rPr>
        <w:t xml:space="preserve"> </w:t>
      </w:r>
      <w:r w:rsidR="005A3B51" w:rsidRPr="000348BD">
        <w:rPr>
          <w:rFonts w:ascii="Calibri" w:hAnsi="Calibri" w:cs="Calibri"/>
          <w:sz w:val="22"/>
          <w:szCs w:val="22"/>
          <w:lang w:val="en-AU"/>
        </w:rPr>
        <w:t>th</w:t>
      </w:r>
      <w:r w:rsidR="003B3B9A">
        <w:rPr>
          <w:rFonts w:ascii="Calibri" w:hAnsi="Calibri" w:cs="Calibri"/>
          <w:sz w:val="22"/>
          <w:szCs w:val="22"/>
          <w:lang w:val="en-AU"/>
        </w:rPr>
        <w:t>is</w:t>
      </w:r>
      <w:r w:rsidRPr="000348BD">
        <w:rPr>
          <w:rFonts w:ascii="Calibri" w:hAnsi="Calibri" w:cs="Calibri"/>
          <w:sz w:val="22"/>
          <w:szCs w:val="22"/>
          <w:lang w:val="en-AU"/>
        </w:rPr>
        <w:t xml:space="preserve"> pillar, the IFC has continue</w:t>
      </w:r>
      <w:r w:rsidR="005A3B51" w:rsidRPr="000348BD">
        <w:rPr>
          <w:rFonts w:ascii="Calibri" w:hAnsi="Calibri" w:cs="Calibri"/>
          <w:sz w:val="22"/>
          <w:szCs w:val="22"/>
          <w:lang w:val="en-AU"/>
        </w:rPr>
        <w:t>d</w:t>
      </w:r>
      <w:r w:rsidRPr="000348BD">
        <w:rPr>
          <w:rFonts w:ascii="Calibri" w:hAnsi="Calibri" w:cs="Calibri"/>
          <w:sz w:val="22"/>
          <w:szCs w:val="22"/>
          <w:lang w:val="en-AU"/>
        </w:rPr>
        <w:t xml:space="preserve"> its strategic engagement</w:t>
      </w:r>
      <w:r w:rsidR="00990FF9" w:rsidRPr="000348BD">
        <w:rPr>
          <w:rFonts w:ascii="Calibri" w:hAnsi="Calibri" w:cs="Calibri"/>
          <w:sz w:val="22"/>
          <w:szCs w:val="22"/>
          <w:lang w:val="en-AU"/>
        </w:rPr>
        <w:t>,</w:t>
      </w:r>
      <w:r w:rsidRPr="000348BD">
        <w:rPr>
          <w:rFonts w:ascii="Calibri" w:hAnsi="Calibri" w:cs="Calibri"/>
          <w:sz w:val="22"/>
          <w:szCs w:val="22"/>
          <w:lang w:val="en-AU"/>
        </w:rPr>
        <w:t xml:space="preserve"> focusing on improving the investment climate to enable competitive, sustainable, and inclusive private sector development in Vietnam</w:t>
      </w:r>
      <w:r w:rsidR="00005408" w:rsidRPr="000348BD">
        <w:rPr>
          <w:rFonts w:ascii="Calibri" w:hAnsi="Calibri" w:cs="Calibri"/>
          <w:sz w:val="22"/>
          <w:szCs w:val="22"/>
          <w:lang w:val="en-AU"/>
        </w:rPr>
        <w:t>.</w:t>
      </w:r>
    </w:p>
    <w:p w14:paraId="6FD38CE1" w14:textId="7D006340" w:rsidR="00E059E5" w:rsidRPr="000348BD" w:rsidRDefault="00E059E5" w:rsidP="00386AC1">
      <w:pPr>
        <w:autoSpaceDE w:val="0"/>
        <w:autoSpaceDN w:val="0"/>
        <w:adjustRightInd w:val="0"/>
        <w:spacing w:after="120"/>
        <w:jc w:val="both"/>
        <w:rPr>
          <w:rFonts w:ascii="Calibri" w:hAnsi="Calibri" w:cs="Calibri"/>
          <w:bCs/>
          <w:color w:val="000000"/>
          <w:sz w:val="22"/>
          <w:szCs w:val="22"/>
          <w:lang w:val="en-AU"/>
        </w:rPr>
      </w:pPr>
      <w:r w:rsidRPr="000348BD">
        <w:rPr>
          <w:rFonts w:ascii="Calibri" w:hAnsi="Calibri" w:cs="Calibri"/>
          <w:b/>
          <w:color w:val="000000"/>
          <w:sz w:val="22"/>
          <w:szCs w:val="22"/>
          <w:lang w:val="en-AU"/>
        </w:rPr>
        <w:t xml:space="preserve">The project has not been highly visible and could be viewed as an “add-on” when compared with other </w:t>
      </w:r>
      <w:r w:rsidR="00F31A3A" w:rsidRPr="000348BD">
        <w:rPr>
          <w:rFonts w:ascii="Calibri" w:hAnsi="Calibri" w:cs="Calibri"/>
          <w:b/>
          <w:color w:val="000000"/>
          <w:sz w:val="22"/>
          <w:szCs w:val="22"/>
          <w:lang w:val="en-AU"/>
        </w:rPr>
        <w:t xml:space="preserve">projects funded under other </w:t>
      </w:r>
      <w:r w:rsidRPr="000348BD">
        <w:rPr>
          <w:rFonts w:ascii="Calibri" w:hAnsi="Calibri" w:cs="Calibri"/>
          <w:b/>
          <w:color w:val="000000"/>
          <w:sz w:val="22"/>
          <w:szCs w:val="22"/>
          <w:lang w:val="en-AU"/>
        </w:rPr>
        <w:t>Pillars.</w:t>
      </w:r>
      <w:r w:rsidRPr="000348BD">
        <w:rPr>
          <w:rFonts w:ascii="Calibri" w:hAnsi="Calibri" w:cs="Calibri"/>
          <w:bCs/>
          <w:color w:val="000000"/>
          <w:sz w:val="22"/>
          <w:szCs w:val="22"/>
          <w:lang w:val="en-AU"/>
        </w:rPr>
        <w:t xml:space="preserve"> The project </w:t>
      </w:r>
      <w:r w:rsidR="00990FF9" w:rsidRPr="000348BD">
        <w:rPr>
          <w:rFonts w:ascii="Calibri" w:hAnsi="Calibri" w:cs="Calibri"/>
          <w:bCs/>
          <w:color w:val="000000"/>
          <w:sz w:val="22"/>
          <w:szCs w:val="22"/>
          <w:lang w:val="en-AU"/>
        </w:rPr>
        <w:t>aligns</w:t>
      </w:r>
      <w:r w:rsidRPr="000348BD">
        <w:rPr>
          <w:rFonts w:ascii="Calibri" w:hAnsi="Calibri" w:cs="Calibri"/>
          <w:bCs/>
          <w:color w:val="000000"/>
          <w:sz w:val="22"/>
          <w:szCs w:val="22"/>
          <w:lang w:val="en-AU"/>
        </w:rPr>
        <w:t xml:space="preserve"> </w:t>
      </w:r>
      <w:r w:rsidR="005A3B51" w:rsidRPr="000348BD">
        <w:rPr>
          <w:rFonts w:ascii="Calibri" w:hAnsi="Calibri" w:cs="Calibri"/>
          <w:bCs/>
          <w:color w:val="000000"/>
          <w:sz w:val="22"/>
          <w:szCs w:val="22"/>
          <w:lang w:val="en-AU"/>
        </w:rPr>
        <w:t>with</w:t>
      </w:r>
      <w:r w:rsidRPr="000348BD">
        <w:rPr>
          <w:rFonts w:ascii="Calibri" w:hAnsi="Calibri" w:cs="Calibri"/>
          <w:bCs/>
          <w:color w:val="000000"/>
          <w:sz w:val="22"/>
          <w:szCs w:val="22"/>
          <w:lang w:val="en-AU"/>
        </w:rPr>
        <w:t xml:space="preserve"> broader GoV priorities </w:t>
      </w:r>
      <w:r w:rsidR="00990FF9" w:rsidRPr="000348BD">
        <w:rPr>
          <w:rFonts w:ascii="Calibri" w:hAnsi="Calibri" w:cs="Calibri"/>
          <w:bCs/>
          <w:color w:val="000000"/>
          <w:sz w:val="22"/>
          <w:szCs w:val="22"/>
          <w:lang w:val="en-AU"/>
        </w:rPr>
        <w:t>to</w:t>
      </w:r>
      <w:r w:rsidRPr="000348BD">
        <w:rPr>
          <w:rFonts w:ascii="Calibri" w:hAnsi="Calibri" w:cs="Calibri"/>
          <w:bCs/>
          <w:color w:val="000000"/>
          <w:sz w:val="22"/>
          <w:szCs w:val="22"/>
          <w:lang w:val="en-AU"/>
        </w:rPr>
        <w:t xml:space="preserve"> shift towards high-income country </w:t>
      </w:r>
      <w:r w:rsidR="00F31A3A" w:rsidRPr="000348BD">
        <w:rPr>
          <w:rFonts w:ascii="Calibri" w:hAnsi="Calibri" w:cs="Calibri"/>
          <w:bCs/>
          <w:color w:val="000000"/>
          <w:sz w:val="22"/>
          <w:szCs w:val="22"/>
          <w:lang w:val="en-AU"/>
        </w:rPr>
        <w:t xml:space="preserve">status </w:t>
      </w:r>
      <w:r w:rsidRPr="000348BD">
        <w:rPr>
          <w:rFonts w:ascii="Calibri" w:hAnsi="Calibri" w:cs="Calibri"/>
          <w:bCs/>
          <w:color w:val="000000"/>
          <w:sz w:val="22"/>
          <w:szCs w:val="22"/>
          <w:lang w:val="en-AU"/>
        </w:rPr>
        <w:t xml:space="preserve">by 2045 and </w:t>
      </w:r>
      <w:r w:rsidR="005A3B51" w:rsidRPr="000348BD">
        <w:rPr>
          <w:rFonts w:ascii="Calibri" w:hAnsi="Calibri" w:cs="Calibri"/>
          <w:bCs/>
          <w:color w:val="000000"/>
          <w:sz w:val="22"/>
          <w:szCs w:val="22"/>
          <w:lang w:val="en-AU"/>
        </w:rPr>
        <w:t>achiev</w:t>
      </w:r>
      <w:r w:rsidR="00990FF9" w:rsidRPr="000348BD">
        <w:rPr>
          <w:rFonts w:ascii="Calibri" w:hAnsi="Calibri" w:cs="Calibri"/>
          <w:bCs/>
          <w:color w:val="000000"/>
          <w:sz w:val="22"/>
          <w:szCs w:val="22"/>
          <w:lang w:val="en-AU"/>
        </w:rPr>
        <w:t>e</w:t>
      </w:r>
      <w:r w:rsidRPr="000348BD">
        <w:rPr>
          <w:rFonts w:ascii="Calibri" w:hAnsi="Calibri" w:cs="Calibri"/>
          <w:bCs/>
          <w:color w:val="000000"/>
          <w:sz w:val="22"/>
          <w:szCs w:val="22"/>
          <w:lang w:val="en-AU"/>
        </w:rPr>
        <w:t xml:space="preserve"> </w:t>
      </w:r>
      <w:r w:rsidR="005A3B51" w:rsidRPr="000348BD">
        <w:rPr>
          <w:rFonts w:ascii="Calibri" w:hAnsi="Calibri" w:cs="Calibri"/>
          <w:bCs/>
          <w:color w:val="000000"/>
          <w:sz w:val="22"/>
          <w:szCs w:val="22"/>
          <w:lang w:val="en-AU"/>
        </w:rPr>
        <w:t>carbon-</w:t>
      </w:r>
      <w:r w:rsidRPr="000348BD">
        <w:rPr>
          <w:rFonts w:ascii="Calibri" w:hAnsi="Calibri" w:cs="Calibri"/>
          <w:bCs/>
          <w:color w:val="000000"/>
          <w:sz w:val="22"/>
          <w:szCs w:val="22"/>
          <w:lang w:val="en-AU"/>
        </w:rPr>
        <w:t>neutral</w:t>
      </w:r>
      <w:r w:rsidR="00F31A3A" w:rsidRPr="000348BD">
        <w:rPr>
          <w:rFonts w:ascii="Calibri" w:hAnsi="Calibri" w:cs="Calibri"/>
          <w:bCs/>
          <w:color w:val="000000"/>
          <w:sz w:val="22"/>
          <w:szCs w:val="22"/>
          <w:lang w:val="en-AU"/>
        </w:rPr>
        <w:t>ity</w:t>
      </w:r>
      <w:r w:rsidRPr="000348BD">
        <w:rPr>
          <w:rFonts w:ascii="Calibri" w:hAnsi="Calibri" w:cs="Calibri"/>
          <w:bCs/>
          <w:color w:val="000000"/>
          <w:sz w:val="22"/>
          <w:szCs w:val="22"/>
          <w:lang w:val="en-AU"/>
        </w:rPr>
        <w:t xml:space="preserve"> by 2050. However, policy and regulatory </w:t>
      </w:r>
      <w:r w:rsidR="00990FF9" w:rsidRPr="000348BD">
        <w:rPr>
          <w:rFonts w:ascii="Calibri" w:hAnsi="Calibri" w:cs="Calibri"/>
          <w:bCs/>
          <w:color w:val="000000"/>
          <w:sz w:val="22"/>
          <w:szCs w:val="22"/>
          <w:lang w:val="en-AU"/>
        </w:rPr>
        <w:t>work</w:t>
      </w:r>
      <w:r w:rsidRPr="000348BD">
        <w:rPr>
          <w:rFonts w:ascii="Calibri" w:hAnsi="Calibri" w:cs="Calibri"/>
          <w:bCs/>
          <w:color w:val="000000"/>
          <w:sz w:val="22"/>
          <w:szCs w:val="22"/>
          <w:lang w:val="en-AU"/>
        </w:rPr>
        <w:t xml:space="preserve"> </w:t>
      </w:r>
      <w:r w:rsidR="00054F9C" w:rsidRPr="000348BD">
        <w:rPr>
          <w:rFonts w:ascii="Calibri" w:hAnsi="Calibri" w:cs="Calibri"/>
          <w:bCs/>
          <w:color w:val="000000"/>
          <w:sz w:val="22"/>
          <w:szCs w:val="22"/>
          <w:lang w:val="en-AU"/>
        </w:rPr>
        <w:t>in</w:t>
      </w:r>
      <w:r w:rsidRPr="000348BD">
        <w:rPr>
          <w:rFonts w:ascii="Calibri" w:hAnsi="Calibri" w:cs="Calibri"/>
          <w:bCs/>
          <w:color w:val="000000"/>
          <w:sz w:val="22"/>
          <w:szCs w:val="22"/>
          <w:lang w:val="en-AU"/>
        </w:rPr>
        <w:t xml:space="preserve"> Viet Nam requires significant investment, and it is unlikely that external donors or programs will achieve significant traction. The strategic intent of the Pillar is acknowledged, but influencing FDI laws and regulations c</w:t>
      </w:r>
      <w:r w:rsidR="00F31A3A" w:rsidRPr="000348BD">
        <w:rPr>
          <w:rFonts w:ascii="Calibri" w:hAnsi="Calibri" w:cs="Calibri"/>
          <w:bCs/>
          <w:color w:val="000000"/>
          <w:sz w:val="22"/>
          <w:szCs w:val="22"/>
          <w:lang w:val="en-AU"/>
        </w:rPr>
        <w:t>arries</w:t>
      </w:r>
      <w:r w:rsidRPr="000348BD">
        <w:rPr>
          <w:rFonts w:ascii="Calibri" w:hAnsi="Calibri" w:cs="Calibri"/>
          <w:bCs/>
          <w:color w:val="000000"/>
          <w:sz w:val="22"/>
          <w:szCs w:val="22"/>
          <w:lang w:val="en-AU"/>
        </w:rPr>
        <w:t xml:space="preserve"> sign</w:t>
      </w:r>
      <w:r w:rsidR="005A3B51" w:rsidRPr="000348BD">
        <w:rPr>
          <w:rFonts w:ascii="Calibri" w:hAnsi="Calibri" w:cs="Calibri"/>
          <w:bCs/>
          <w:color w:val="000000"/>
          <w:sz w:val="22"/>
          <w:szCs w:val="22"/>
          <w:lang w:val="en-AU"/>
        </w:rPr>
        <w:t>ific</w:t>
      </w:r>
      <w:r w:rsidRPr="000348BD">
        <w:rPr>
          <w:rFonts w:ascii="Calibri" w:hAnsi="Calibri" w:cs="Calibri"/>
          <w:bCs/>
          <w:color w:val="000000"/>
          <w:sz w:val="22"/>
          <w:szCs w:val="22"/>
          <w:lang w:val="en-AU"/>
        </w:rPr>
        <w:t>ant rep</w:t>
      </w:r>
      <w:r w:rsidR="00F31A3A" w:rsidRPr="000348BD">
        <w:rPr>
          <w:rFonts w:ascii="Calibri" w:hAnsi="Calibri" w:cs="Calibri"/>
          <w:bCs/>
          <w:color w:val="000000"/>
          <w:sz w:val="22"/>
          <w:szCs w:val="22"/>
          <w:lang w:val="en-AU"/>
        </w:rPr>
        <w:t>utational</w:t>
      </w:r>
      <w:r w:rsidRPr="000348BD">
        <w:rPr>
          <w:rFonts w:ascii="Calibri" w:hAnsi="Calibri" w:cs="Calibri"/>
          <w:bCs/>
          <w:color w:val="000000"/>
          <w:sz w:val="22"/>
          <w:szCs w:val="22"/>
          <w:lang w:val="en-AU"/>
        </w:rPr>
        <w:t xml:space="preserve"> risk and will require </w:t>
      </w:r>
      <w:r w:rsidR="005A3B51" w:rsidRPr="000348BD">
        <w:rPr>
          <w:rFonts w:ascii="Calibri" w:hAnsi="Calibri" w:cs="Calibri"/>
          <w:bCs/>
          <w:color w:val="000000"/>
          <w:sz w:val="22"/>
          <w:szCs w:val="22"/>
          <w:lang w:val="en-AU"/>
        </w:rPr>
        <w:t xml:space="preserve">a </w:t>
      </w:r>
      <w:r w:rsidRPr="000348BD">
        <w:rPr>
          <w:rFonts w:ascii="Calibri" w:hAnsi="Calibri" w:cs="Calibri"/>
          <w:bCs/>
          <w:color w:val="000000"/>
          <w:sz w:val="22"/>
          <w:szCs w:val="22"/>
          <w:lang w:val="en-AU"/>
        </w:rPr>
        <w:t>s</w:t>
      </w:r>
      <w:r w:rsidR="00F31A3A" w:rsidRPr="000348BD">
        <w:rPr>
          <w:rFonts w:ascii="Calibri" w:hAnsi="Calibri" w:cs="Calibri"/>
          <w:bCs/>
          <w:color w:val="000000"/>
          <w:sz w:val="22"/>
          <w:szCs w:val="22"/>
          <w:lang w:val="en-AU"/>
        </w:rPr>
        <w:t>ubstantial</w:t>
      </w:r>
      <w:r w:rsidRPr="000348BD">
        <w:rPr>
          <w:rFonts w:ascii="Calibri" w:hAnsi="Calibri" w:cs="Calibri"/>
          <w:bCs/>
          <w:color w:val="000000"/>
          <w:sz w:val="22"/>
          <w:szCs w:val="22"/>
          <w:lang w:val="en-AU"/>
        </w:rPr>
        <w:t xml:space="preserve"> investment of time and resources. The situation is compounded </w:t>
      </w:r>
      <w:r w:rsidR="00054F9C" w:rsidRPr="000348BD">
        <w:rPr>
          <w:rFonts w:ascii="Calibri" w:hAnsi="Calibri" w:cs="Calibri"/>
          <w:bCs/>
          <w:color w:val="000000"/>
          <w:sz w:val="22"/>
          <w:szCs w:val="22"/>
          <w:lang w:val="en-AU"/>
        </w:rPr>
        <w:t>by</w:t>
      </w:r>
      <w:r w:rsidRPr="000348BD">
        <w:rPr>
          <w:rFonts w:ascii="Calibri" w:hAnsi="Calibri" w:cs="Calibri"/>
          <w:bCs/>
          <w:color w:val="000000"/>
          <w:sz w:val="22"/>
          <w:szCs w:val="22"/>
          <w:lang w:val="en-AU"/>
        </w:rPr>
        <w:t xml:space="preserve"> the consolidation of GoV ministries in recent years as the government se</w:t>
      </w:r>
      <w:r w:rsidR="00F31A3A" w:rsidRPr="000348BD">
        <w:rPr>
          <w:rFonts w:ascii="Calibri" w:hAnsi="Calibri" w:cs="Calibri"/>
          <w:bCs/>
          <w:color w:val="000000"/>
          <w:sz w:val="22"/>
          <w:szCs w:val="22"/>
          <w:lang w:val="en-AU"/>
        </w:rPr>
        <w:t>e</w:t>
      </w:r>
      <w:r w:rsidRPr="000348BD">
        <w:rPr>
          <w:rFonts w:ascii="Calibri" w:hAnsi="Calibri" w:cs="Calibri"/>
          <w:bCs/>
          <w:color w:val="000000"/>
          <w:sz w:val="22"/>
          <w:szCs w:val="22"/>
          <w:lang w:val="en-AU"/>
        </w:rPr>
        <w:t xml:space="preserve">ks to accelerate reform and progress. The risk to VDSDP is that the project is not </w:t>
      </w:r>
      <w:r w:rsidR="00612BB1">
        <w:rPr>
          <w:rFonts w:ascii="Calibri" w:hAnsi="Calibri" w:cs="Calibri"/>
          <w:bCs/>
          <w:color w:val="000000"/>
          <w:sz w:val="22"/>
          <w:szCs w:val="22"/>
          <w:lang w:val="en-AU"/>
        </w:rPr>
        <w:t xml:space="preserve">being visible and maintaining pace </w:t>
      </w:r>
      <w:r w:rsidRPr="000348BD">
        <w:rPr>
          <w:rFonts w:ascii="Calibri" w:hAnsi="Calibri" w:cs="Calibri"/>
          <w:bCs/>
          <w:color w:val="000000"/>
          <w:sz w:val="22"/>
          <w:szCs w:val="22"/>
          <w:lang w:val="en-AU"/>
        </w:rPr>
        <w:t xml:space="preserve">with the level of reforms </w:t>
      </w:r>
      <w:r w:rsidR="00F31A3A" w:rsidRPr="000348BD">
        <w:rPr>
          <w:rFonts w:ascii="Calibri" w:hAnsi="Calibri" w:cs="Calibri"/>
          <w:bCs/>
          <w:color w:val="000000"/>
          <w:sz w:val="22"/>
          <w:szCs w:val="22"/>
          <w:lang w:val="en-AU"/>
        </w:rPr>
        <w:t>being implemented by</w:t>
      </w:r>
      <w:r w:rsidRPr="000348BD">
        <w:rPr>
          <w:rFonts w:ascii="Calibri" w:hAnsi="Calibri" w:cs="Calibri"/>
          <w:bCs/>
          <w:color w:val="000000"/>
          <w:sz w:val="22"/>
          <w:szCs w:val="22"/>
          <w:lang w:val="en-AU"/>
        </w:rPr>
        <w:t xml:space="preserve"> the </w:t>
      </w:r>
      <w:r w:rsidR="00F31A3A" w:rsidRPr="000348BD">
        <w:rPr>
          <w:rFonts w:ascii="Calibri" w:hAnsi="Calibri" w:cs="Calibri"/>
          <w:bCs/>
          <w:color w:val="000000"/>
          <w:sz w:val="22"/>
          <w:szCs w:val="22"/>
          <w:lang w:val="en-AU"/>
        </w:rPr>
        <w:t>G</w:t>
      </w:r>
      <w:r w:rsidRPr="000348BD">
        <w:rPr>
          <w:rFonts w:ascii="Calibri" w:hAnsi="Calibri" w:cs="Calibri"/>
          <w:bCs/>
          <w:color w:val="000000"/>
          <w:sz w:val="22"/>
          <w:szCs w:val="22"/>
          <w:lang w:val="en-AU"/>
        </w:rPr>
        <w:t>oV. Even if traction is re</w:t>
      </w:r>
      <w:r w:rsidR="00F31A3A" w:rsidRPr="000348BD">
        <w:rPr>
          <w:rFonts w:ascii="Calibri" w:hAnsi="Calibri" w:cs="Calibri"/>
          <w:bCs/>
          <w:color w:val="000000"/>
          <w:sz w:val="22"/>
          <w:szCs w:val="22"/>
          <w:lang w:val="en-AU"/>
        </w:rPr>
        <w:t>al</w:t>
      </w:r>
      <w:r w:rsidRPr="000348BD">
        <w:rPr>
          <w:rFonts w:ascii="Calibri" w:hAnsi="Calibri" w:cs="Calibri"/>
          <w:bCs/>
          <w:color w:val="000000"/>
          <w:sz w:val="22"/>
          <w:szCs w:val="22"/>
          <w:lang w:val="en-AU"/>
        </w:rPr>
        <w:t xml:space="preserve">ised, progress </w:t>
      </w:r>
      <w:r w:rsidR="00735969" w:rsidRPr="000348BD">
        <w:rPr>
          <w:rFonts w:ascii="Calibri" w:hAnsi="Calibri" w:cs="Calibri"/>
          <w:bCs/>
          <w:color w:val="000000"/>
          <w:sz w:val="22"/>
          <w:szCs w:val="22"/>
          <w:lang w:val="en-AU"/>
        </w:rPr>
        <w:t>is un</w:t>
      </w:r>
      <w:r w:rsidR="00005408" w:rsidRPr="000348BD">
        <w:rPr>
          <w:rFonts w:ascii="Calibri" w:hAnsi="Calibri" w:cs="Calibri"/>
          <w:bCs/>
          <w:color w:val="000000"/>
          <w:sz w:val="22"/>
          <w:szCs w:val="22"/>
          <w:lang w:val="en-AU"/>
        </w:rPr>
        <w:t>likely</w:t>
      </w:r>
      <w:r w:rsidRPr="000348BD">
        <w:rPr>
          <w:rFonts w:ascii="Calibri" w:hAnsi="Calibri" w:cs="Calibri"/>
          <w:bCs/>
          <w:color w:val="000000"/>
          <w:sz w:val="22"/>
          <w:szCs w:val="22"/>
          <w:lang w:val="en-AU"/>
        </w:rPr>
        <w:t xml:space="preserve"> </w:t>
      </w:r>
      <w:r w:rsidR="00735969" w:rsidRPr="000348BD">
        <w:rPr>
          <w:rFonts w:ascii="Calibri" w:hAnsi="Calibri" w:cs="Calibri"/>
          <w:bCs/>
          <w:color w:val="000000"/>
          <w:sz w:val="22"/>
          <w:szCs w:val="22"/>
          <w:lang w:val="en-AU"/>
        </w:rPr>
        <w:t xml:space="preserve">to be </w:t>
      </w:r>
      <w:r w:rsidRPr="000348BD">
        <w:rPr>
          <w:rFonts w:ascii="Calibri" w:hAnsi="Calibri" w:cs="Calibri"/>
          <w:bCs/>
          <w:color w:val="000000"/>
          <w:sz w:val="22"/>
          <w:szCs w:val="22"/>
          <w:lang w:val="en-AU"/>
        </w:rPr>
        <w:t>accelerated further. The work would be bet</w:t>
      </w:r>
      <w:r w:rsidR="00F31A3A" w:rsidRPr="000348BD">
        <w:rPr>
          <w:rFonts w:ascii="Calibri" w:hAnsi="Calibri" w:cs="Calibri"/>
          <w:bCs/>
          <w:color w:val="000000"/>
          <w:sz w:val="22"/>
          <w:szCs w:val="22"/>
          <w:lang w:val="en-AU"/>
        </w:rPr>
        <w:t>t</w:t>
      </w:r>
      <w:r w:rsidRPr="000348BD">
        <w:rPr>
          <w:rFonts w:ascii="Calibri" w:hAnsi="Calibri" w:cs="Calibri"/>
          <w:bCs/>
          <w:color w:val="000000"/>
          <w:sz w:val="22"/>
          <w:szCs w:val="22"/>
          <w:lang w:val="en-AU"/>
        </w:rPr>
        <w:t>er suited to longer</w:t>
      </w:r>
      <w:r w:rsidR="00F31A3A" w:rsidRPr="000348BD">
        <w:rPr>
          <w:rFonts w:ascii="Calibri" w:hAnsi="Calibri" w:cs="Calibri"/>
          <w:bCs/>
          <w:color w:val="000000"/>
          <w:sz w:val="22"/>
          <w:szCs w:val="22"/>
          <w:lang w:val="en-AU"/>
        </w:rPr>
        <w:t>-</w:t>
      </w:r>
      <w:r w:rsidRPr="000348BD">
        <w:rPr>
          <w:rFonts w:ascii="Calibri" w:hAnsi="Calibri" w:cs="Calibri"/>
          <w:bCs/>
          <w:color w:val="000000"/>
          <w:sz w:val="22"/>
          <w:szCs w:val="22"/>
          <w:lang w:val="en-AU"/>
        </w:rPr>
        <w:t>term, forward-facing work financed under the WB</w:t>
      </w:r>
      <w:r w:rsidR="00965C5A" w:rsidRPr="000348BD">
        <w:rPr>
          <w:rFonts w:ascii="Calibri" w:hAnsi="Calibri" w:cs="Calibri"/>
          <w:bCs/>
          <w:color w:val="000000"/>
          <w:sz w:val="22"/>
          <w:szCs w:val="22"/>
          <w:lang w:val="en-AU"/>
        </w:rPr>
        <w:t>G’s</w:t>
      </w:r>
      <w:r w:rsidRPr="000348BD">
        <w:rPr>
          <w:rFonts w:ascii="Calibri" w:hAnsi="Calibri" w:cs="Calibri"/>
          <w:bCs/>
          <w:color w:val="000000"/>
          <w:sz w:val="22"/>
          <w:szCs w:val="22"/>
          <w:lang w:val="en-AU"/>
        </w:rPr>
        <w:t xml:space="preserve"> broader portfolio rather than a project under VPSDP.</w:t>
      </w:r>
    </w:p>
    <w:p w14:paraId="5427DE11" w14:textId="06F6DDCB" w:rsidR="00E059E5" w:rsidRPr="000348BD" w:rsidRDefault="00E059E5" w:rsidP="00386AC1">
      <w:pPr>
        <w:autoSpaceDE w:val="0"/>
        <w:autoSpaceDN w:val="0"/>
        <w:adjustRightInd w:val="0"/>
        <w:spacing w:after="120"/>
        <w:jc w:val="both"/>
        <w:rPr>
          <w:rFonts w:ascii="Calibri" w:hAnsi="Calibri" w:cs="Calibri"/>
          <w:bCs/>
          <w:color w:val="000000"/>
          <w:sz w:val="22"/>
          <w:szCs w:val="22"/>
          <w:lang w:val="en-AU"/>
        </w:rPr>
      </w:pPr>
      <w:r w:rsidRPr="000348BD">
        <w:rPr>
          <w:rFonts w:ascii="Calibri" w:hAnsi="Calibri" w:cs="Calibri"/>
          <w:bCs/>
          <w:color w:val="000000"/>
          <w:sz w:val="22"/>
          <w:szCs w:val="22"/>
          <w:lang w:val="en-AU"/>
        </w:rPr>
        <w:t xml:space="preserve">A key result of the work to date has been the </w:t>
      </w:r>
      <w:r w:rsidRPr="000348BD">
        <w:rPr>
          <w:rFonts w:ascii="Calibri" w:hAnsi="Calibri" w:cs="Calibri"/>
          <w:b/>
          <w:color w:val="000000"/>
          <w:sz w:val="22"/>
          <w:szCs w:val="22"/>
          <w:lang w:val="en-AU"/>
        </w:rPr>
        <w:t xml:space="preserve">development of a green procurement framework </w:t>
      </w:r>
      <w:r w:rsidR="00F31A3A" w:rsidRPr="000348BD">
        <w:rPr>
          <w:rFonts w:ascii="Calibri" w:hAnsi="Calibri" w:cs="Calibri"/>
          <w:b/>
          <w:color w:val="000000"/>
          <w:sz w:val="22"/>
          <w:szCs w:val="22"/>
          <w:lang w:val="en-AU"/>
        </w:rPr>
        <w:t>focused</w:t>
      </w:r>
      <w:r w:rsidRPr="000348BD">
        <w:rPr>
          <w:rFonts w:ascii="Calibri" w:hAnsi="Calibri" w:cs="Calibri"/>
          <w:b/>
          <w:color w:val="000000"/>
          <w:sz w:val="22"/>
          <w:szCs w:val="22"/>
          <w:lang w:val="en-AU"/>
        </w:rPr>
        <w:t xml:space="preserve"> on </w:t>
      </w:r>
      <w:r w:rsidR="00F31A3A" w:rsidRPr="000348BD">
        <w:rPr>
          <w:rFonts w:ascii="Calibri" w:hAnsi="Calibri" w:cs="Calibri"/>
          <w:b/>
          <w:color w:val="000000"/>
          <w:sz w:val="22"/>
          <w:szCs w:val="22"/>
          <w:lang w:val="en-AU"/>
        </w:rPr>
        <w:t xml:space="preserve">the </w:t>
      </w:r>
      <w:r w:rsidRPr="000348BD">
        <w:rPr>
          <w:rFonts w:ascii="Calibri" w:hAnsi="Calibri" w:cs="Calibri"/>
          <w:b/>
          <w:color w:val="000000"/>
          <w:sz w:val="22"/>
          <w:szCs w:val="22"/>
          <w:lang w:val="en-AU"/>
        </w:rPr>
        <w:t>man</w:t>
      </w:r>
      <w:r w:rsidR="00F31A3A" w:rsidRPr="000348BD">
        <w:rPr>
          <w:rFonts w:ascii="Calibri" w:hAnsi="Calibri" w:cs="Calibri"/>
          <w:b/>
          <w:color w:val="000000"/>
          <w:sz w:val="22"/>
          <w:szCs w:val="22"/>
          <w:lang w:val="en-AU"/>
        </w:rPr>
        <w:t>ufacturing</w:t>
      </w:r>
      <w:r w:rsidRPr="000348BD">
        <w:rPr>
          <w:rFonts w:ascii="Calibri" w:hAnsi="Calibri" w:cs="Calibri"/>
          <w:b/>
          <w:color w:val="000000"/>
          <w:sz w:val="22"/>
          <w:szCs w:val="22"/>
          <w:lang w:val="en-AU"/>
        </w:rPr>
        <w:t xml:space="preserve"> and building materials sector</w:t>
      </w:r>
      <w:r w:rsidR="00F31A3A" w:rsidRPr="000348BD">
        <w:rPr>
          <w:rFonts w:ascii="Calibri" w:hAnsi="Calibri" w:cs="Calibri"/>
          <w:b/>
          <w:color w:val="000000"/>
          <w:sz w:val="22"/>
          <w:szCs w:val="22"/>
          <w:lang w:val="en-AU"/>
        </w:rPr>
        <w:t>s</w:t>
      </w:r>
      <w:r w:rsidRPr="000348BD">
        <w:rPr>
          <w:rFonts w:ascii="Calibri" w:hAnsi="Calibri" w:cs="Calibri"/>
          <w:bCs/>
          <w:color w:val="000000"/>
          <w:sz w:val="22"/>
          <w:szCs w:val="22"/>
          <w:lang w:val="en-AU"/>
        </w:rPr>
        <w:t xml:space="preserve">. This has potential </w:t>
      </w:r>
      <w:r w:rsidR="00F31A3A" w:rsidRPr="000348BD">
        <w:rPr>
          <w:rFonts w:ascii="Calibri" w:hAnsi="Calibri" w:cs="Calibri"/>
          <w:bCs/>
          <w:color w:val="000000"/>
          <w:sz w:val="22"/>
          <w:szCs w:val="22"/>
          <w:lang w:val="en-AU"/>
        </w:rPr>
        <w:t>linkages to the Green Finance and Green Buildings work under Pill</w:t>
      </w:r>
      <w:r w:rsidR="00054F9C" w:rsidRPr="000348BD">
        <w:rPr>
          <w:rFonts w:ascii="Calibri" w:hAnsi="Calibri" w:cs="Calibri"/>
          <w:bCs/>
          <w:color w:val="000000"/>
          <w:sz w:val="22"/>
          <w:szCs w:val="22"/>
          <w:lang w:val="en-AU"/>
        </w:rPr>
        <w:t>ars 2 and 3</w:t>
      </w:r>
      <w:r w:rsidR="00F31A3A" w:rsidRPr="000348BD">
        <w:rPr>
          <w:rFonts w:ascii="Calibri" w:hAnsi="Calibri" w:cs="Calibri"/>
          <w:bCs/>
          <w:color w:val="000000"/>
          <w:sz w:val="22"/>
          <w:szCs w:val="22"/>
          <w:lang w:val="en-AU"/>
        </w:rPr>
        <w:t>, but the structure, design and reporting of results do not indicate close linkages or alignments.</w:t>
      </w:r>
    </w:p>
    <w:p w14:paraId="0F493990" w14:textId="25B99E1C" w:rsidR="003C7CF5" w:rsidRPr="000348BD" w:rsidRDefault="00E059E5" w:rsidP="00386AC1">
      <w:pPr>
        <w:autoSpaceDE w:val="0"/>
        <w:autoSpaceDN w:val="0"/>
        <w:adjustRightInd w:val="0"/>
        <w:spacing w:after="120"/>
        <w:jc w:val="both"/>
        <w:rPr>
          <w:rFonts w:ascii="Calibri" w:hAnsi="Calibri" w:cs="Calibri"/>
          <w:bCs/>
          <w:color w:val="000000"/>
          <w:sz w:val="22"/>
          <w:szCs w:val="22"/>
          <w:lang w:val="en-AU"/>
        </w:rPr>
      </w:pPr>
      <w:r w:rsidRPr="000348BD">
        <w:rPr>
          <w:rFonts w:ascii="Calibri" w:hAnsi="Calibri" w:cs="Calibri"/>
          <w:b/>
          <w:color w:val="000000"/>
          <w:sz w:val="22"/>
          <w:szCs w:val="22"/>
          <w:lang w:val="en-AU"/>
        </w:rPr>
        <w:t>The work on the recycling ind</w:t>
      </w:r>
      <w:r w:rsidR="00F31A3A" w:rsidRPr="000348BD">
        <w:rPr>
          <w:rFonts w:ascii="Calibri" w:hAnsi="Calibri" w:cs="Calibri"/>
          <w:b/>
          <w:color w:val="000000"/>
          <w:sz w:val="22"/>
          <w:szCs w:val="22"/>
          <w:lang w:val="en-AU"/>
        </w:rPr>
        <w:t>us</w:t>
      </w:r>
      <w:r w:rsidRPr="000348BD">
        <w:rPr>
          <w:rFonts w:ascii="Calibri" w:hAnsi="Calibri" w:cs="Calibri"/>
          <w:b/>
          <w:color w:val="000000"/>
          <w:sz w:val="22"/>
          <w:szCs w:val="22"/>
          <w:lang w:val="en-AU"/>
        </w:rPr>
        <w:t>try is innovative and is an interesting pilot.</w:t>
      </w:r>
      <w:r w:rsidRPr="000348BD">
        <w:rPr>
          <w:rFonts w:ascii="Calibri" w:hAnsi="Calibri" w:cs="Calibri"/>
          <w:bCs/>
          <w:color w:val="000000"/>
          <w:sz w:val="22"/>
          <w:szCs w:val="22"/>
          <w:lang w:val="en-AU"/>
        </w:rPr>
        <w:t xml:space="preserve"> </w:t>
      </w:r>
      <w:r w:rsidR="00F31A3A" w:rsidRPr="000348BD">
        <w:rPr>
          <w:rFonts w:ascii="Calibri" w:hAnsi="Calibri" w:cs="Calibri"/>
          <w:bCs/>
          <w:color w:val="000000"/>
          <w:sz w:val="22"/>
          <w:szCs w:val="22"/>
          <w:lang w:val="en-AU"/>
        </w:rPr>
        <w:t>However, as indicated, it needs to transition from a pilot to a potential</w:t>
      </w:r>
      <w:r w:rsidRPr="000348BD">
        <w:rPr>
          <w:rFonts w:ascii="Calibri" w:hAnsi="Calibri" w:cs="Calibri"/>
          <w:bCs/>
          <w:color w:val="000000"/>
          <w:sz w:val="22"/>
          <w:szCs w:val="22"/>
          <w:lang w:val="en-AU"/>
        </w:rPr>
        <w:t xml:space="preserve"> long-term intervention. The development of </w:t>
      </w:r>
      <w:r w:rsidR="00F31A3A" w:rsidRPr="000348BD">
        <w:rPr>
          <w:rFonts w:ascii="Calibri" w:hAnsi="Calibri" w:cs="Calibri"/>
          <w:bCs/>
          <w:color w:val="000000"/>
          <w:sz w:val="22"/>
          <w:szCs w:val="22"/>
          <w:lang w:val="en-AU"/>
        </w:rPr>
        <w:t>guidelines and regulations is an important output</w:t>
      </w:r>
      <w:r w:rsidR="00054F9C" w:rsidRPr="000348BD">
        <w:rPr>
          <w:rFonts w:ascii="Calibri" w:hAnsi="Calibri" w:cs="Calibri"/>
          <w:bCs/>
          <w:color w:val="000000"/>
          <w:sz w:val="22"/>
          <w:szCs w:val="22"/>
          <w:lang w:val="en-AU"/>
        </w:rPr>
        <w:t>,</w:t>
      </w:r>
      <w:r w:rsidR="00F31A3A" w:rsidRPr="000348BD">
        <w:rPr>
          <w:rFonts w:ascii="Calibri" w:hAnsi="Calibri" w:cs="Calibri"/>
          <w:bCs/>
          <w:color w:val="000000"/>
          <w:sz w:val="22"/>
          <w:szCs w:val="22"/>
          <w:lang w:val="en-AU"/>
        </w:rPr>
        <w:t xml:space="preserve"> but </w:t>
      </w:r>
      <w:r w:rsidR="00054F9C" w:rsidRPr="000348BD">
        <w:rPr>
          <w:rFonts w:ascii="Calibri" w:hAnsi="Calibri" w:cs="Calibri"/>
          <w:bCs/>
          <w:color w:val="000000"/>
          <w:sz w:val="22"/>
          <w:szCs w:val="22"/>
          <w:lang w:val="en-AU"/>
        </w:rPr>
        <w:t xml:space="preserve">it </w:t>
      </w:r>
      <w:r w:rsidR="00F31A3A" w:rsidRPr="000348BD">
        <w:rPr>
          <w:rFonts w:ascii="Calibri" w:hAnsi="Calibri" w:cs="Calibri"/>
          <w:bCs/>
          <w:color w:val="000000"/>
          <w:sz w:val="22"/>
          <w:szCs w:val="22"/>
          <w:lang w:val="en-AU"/>
        </w:rPr>
        <w:t xml:space="preserve">needs further “downstream clarity” on how they will be implemented and </w:t>
      </w:r>
      <w:r w:rsidR="00005408" w:rsidRPr="000348BD">
        <w:rPr>
          <w:rFonts w:ascii="Calibri" w:hAnsi="Calibri" w:cs="Calibri"/>
          <w:bCs/>
          <w:color w:val="000000"/>
          <w:sz w:val="22"/>
          <w:szCs w:val="22"/>
          <w:lang w:val="en-AU"/>
        </w:rPr>
        <w:t xml:space="preserve">how they will </w:t>
      </w:r>
      <w:r w:rsidR="00F31A3A" w:rsidRPr="000348BD">
        <w:rPr>
          <w:rFonts w:ascii="Calibri" w:hAnsi="Calibri" w:cs="Calibri"/>
          <w:bCs/>
          <w:color w:val="000000"/>
          <w:sz w:val="22"/>
          <w:szCs w:val="22"/>
          <w:lang w:val="en-AU"/>
        </w:rPr>
        <w:t>influence future</w:t>
      </w:r>
      <w:r w:rsidRPr="000348BD">
        <w:rPr>
          <w:rFonts w:ascii="Calibri" w:hAnsi="Calibri" w:cs="Calibri"/>
          <w:bCs/>
          <w:color w:val="000000"/>
          <w:sz w:val="22"/>
          <w:szCs w:val="22"/>
          <w:lang w:val="en-AU"/>
        </w:rPr>
        <w:t xml:space="preserve"> work. If this activity is to continue, it could be cons</w:t>
      </w:r>
      <w:r w:rsidR="00F31A3A" w:rsidRPr="000348BD">
        <w:rPr>
          <w:rFonts w:ascii="Calibri" w:hAnsi="Calibri" w:cs="Calibri"/>
          <w:bCs/>
          <w:color w:val="000000"/>
          <w:sz w:val="22"/>
          <w:szCs w:val="22"/>
          <w:lang w:val="en-AU"/>
        </w:rPr>
        <w:t>ider</w:t>
      </w:r>
      <w:r w:rsidRPr="000348BD">
        <w:rPr>
          <w:rFonts w:ascii="Calibri" w:hAnsi="Calibri" w:cs="Calibri"/>
          <w:bCs/>
          <w:color w:val="000000"/>
          <w:sz w:val="22"/>
          <w:szCs w:val="22"/>
          <w:lang w:val="en-AU"/>
        </w:rPr>
        <w:t xml:space="preserve">ed under future </w:t>
      </w:r>
      <w:r w:rsidR="00054F9C" w:rsidRPr="000348BD">
        <w:rPr>
          <w:rFonts w:ascii="Calibri" w:hAnsi="Calibri" w:cs="Calibri"/>
          <w:bCs/>
          <w:color w:val="000000"/>
          <w:sz w:val="22"/>
          <w:szCs w:val="22"/>
          <w:lang w:val="en-AU"/>
        </w:rPr>
        <w:t>P</w:t>
      </w:r>
      <w:r w:rsidRPr="000348BD">
        <w:rPr>
          <w:rFonts w:ascii="Calibri" w:hAnsi="Calibri" w:cs="Calibri"/>
          <w:bCs/>
          <w:color w:val="000000"/>
          <w:sz w:val="22"/>
          <w:szCs w:val="22"/>
          <w:lang w:val="en-AU"/>
        </w:rPr>
        <w:t>illar 2 and 3 work.</w:t>
      </w:r>
      <w:r w:rsidR="00054F9C" w:rsidRPr="000348BD">
        <w:rPr>
          <w:rFonts w:ascii="Calibri" w:hAnsi="Calibri" w:cs="Calibri"/>
          <w:bCs/>
          <w:color w:val="000000"/>
          <w:sz w:val="22"/>
          <w:szCs w:val="22"/>
          <w:lang w:val="en-AU"/>
        </w:rPr>
        <w:t xml:space="preserve"> Table 4 summarises key results across the Pil</w:t>
      </w:r>
      <w:r w:rsidR="00005408" w:rsidRPr="000348BD">
        <w:rPr>
          <w:rFonts w:ascii="Calibri" w:hAnsi="Calibri" w:cs="Calibri"/>
          <w:bCs/>
          <w:color w:val="000000"/>
          <w:sz w:val="22"/>
          <w:szCs w:val="22"/>
          <w:lang w:val="en-AU"/>
        </w:rPr>
        <w:t>la</w:t>
      </w:r>
      <w:r w:rsidR="00054F9C" w:rsidRPr="000348BD">
        <w:rPr>
          <w:rFonts w:ascii="Calibri" w:hAnsi="Calibri" w:cs="Calibri"/>
          <w:bCs/>
          <w:color w:val="000000"/>
          <w:sz w:val="22"/>
          <w:szCs w:val="22"/>
          <w:lang w:val="en-AU"/>
        </w:rPr>
        <w:t>r 1 portfolio.</w:t>
      </w:r>
    </w:p>
    <w:p w14:paraId="27E35ED0" w14:textId="77777777" w:rsidR="000937DF" w:rsidRDefault="000937DF">
      <w:pPr>
        <w:spacing w:after="160" w:line="259" w:lineRule="auto"/>
        <w:rPr>
          <w:rFonts w:ascii="Calibri" w:hAnsi="Calibri" w:cs="Calibri"/>
          <w:b/>
          <w:i/>
          <w:iCs/>
          <w:color w:val="000000"/>
          <w:sz w:val="18"/>
          <w:szCs w:val="18"/>
          <w:lang w:val="en-AU"/>
        </w:rPr>
      </w:pPr>
      <w:r>
        <w:rPr>
          <w:rFonts w:ascii="Calibri" w:hAnsi="Calibri" w:cs="Calibri"/>
          <w:b/>
          <w:i/>
          <w:iCs/>
          <w:color w:val="000000"/>
          <w:sz w:val="18"/>
          <w:szCs w:val="18"/>
          <w:lang w:val="en-AU"/>
        </w:rPr>
        <w:br w:type="page"/>
      </w:r>
    </w:p>
    <w:p w14:paraId="5EB9224A" w14:textId="4C59B0E0" w:rsidR="00675A26" w:rsidRDefault="00054F9C" w:rsidP="00386AC1">
      <w:pPr>
        <w:autoSpaceDE w:val="0"/>
        <w:autoSpaceDN w:val="0"/>
        <w:adjustRightInd w:val="0"/>
        <w:spacing w:after="120"/>
        <w:jc w:val="both"/>
        <w:rPr>
          <w:rFonts w:ascii="Calibri" w:hAnsi="Calibri" w:cs="Calibri"/>
          <w:b/>
          <w:i/>
          <w:iCs/>
          <w:color w:val="000000"/>
          <w:sz w:val="18"/>
          <w:szCs w:val="18"/>
          <w:lang w:val="en-AU"/>
        </w:rPr>
      </w:pPr>
      <w:r w:rsidRPr="000348BD">
        <w:rPr>
          <w:rFonts w:ascii="Calibri" w:hAnsi="Calibri" w:cs="Calibri"/>
          <w:b/>
          <w:i/>
          <w:iCs/>
          <w:color w:val="000000"/>
          <w:sz w:val="18"/>
          <w:szCs w:val="18"/>
          <w:lang w:val="en-AU"/>
        </w:rPr>
        <w:lastRenderedPageBreak/>
        <w:t xml:space="preserve">Table 4: </w:t>
      </w:r>
      <w:r w:rsidR="00E20DEB" w:rsidRPr="000348BD">
        <w:rPr>
          <w:rFonts w:ascii="Calibri" w:hAnsi="Calibri" w:cs="Calibri"/>
          <w:b/>
          <w:i/>
          <w:iCs/>
          <w:color w:val="000000"/>
          <w:sz w:val="18"/>
          <w:szCs w:val="18"/>
          <w:lang w:val="en-AU"/>
        </w:rPr>
        <w:t>Summary</w:t>
      </w:r>
      <w:r w:rsidRPr="000348BD">
        <w:rPr>
          <w:rFonts w:ascii="Calibri" w:hAnsi="Calibri" w:cs="Calibri"/>
          <w:b/>
          <w:i/>
          <w:iCs/>
          <w:color w:val="000000"/>
          <w:sz w:val="18"/>
          <w:szCs w:val="18"/>
          <w:lang w:val="en-AU"/>
        </w:rPr>
        <w:t xml:space="preserve"> of Pillar 1 Results</w:t>
      </w:r>
    </w:p>
    <w:tbl>
      <w:tblPr>
        <w:tblW w:w="9346" w:type="dxa"/>
        <w:tblLook w:val="04A0" w:firstRow="1" w:lastRow="0" w:firstColumn="1" w:lastColumn="0" w:noHBand="0" w:noVBand="1"/>
      </w:tblPr>
      <w:tblGrid>
        <w:gridCol w:w="5802"/>
        <w:gridCol w:w="1276"/>
        <w:gridCol w:w="1134"/>
        <w:gridCol w:w="1134"/>
      </w:tblGrid>
      <w:tr w:rsidR="000937DF" w14:paraId="6245563F" w14:textId="77777777" w:rsidTr="00361731">
        <w:trPr>
          <w:trHeight w:val="840"/>
          <w:tblHeader/>
        </w:trPr>
        <w:tc>
          <w:tcPr>
            <w:tcW w:w="5802"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4FED7279" w14:textId="77777777" w:rsidR="000937DF" w:rsidRDefault="000937DF" w:rsidP="00361731">
            <w:pPr>
              <w:rPr>
                <w:rFonts w:ascii="Calibri" w:hAnsi="Calibri" w:cs="Calibri"/>
                <w:b/>
                <w:bCs/>
                <w:color w:val="000000"/>
                <w:sz w:val="18"/>
                <w:szCs w:val="18"/>
                <w:lang w:val="en-US"/>
              </w:rPr>
            </w:pPr>
            <w:r>
              <w:rPr>
                <w:rFonts w:ascii="Calibri" w:hAnsi="Calibri" w:cs="Calibri"/>
                <w:b/>
                <w:bCs/>
                <w:color w:val="000000"/>
                <w:sz w:val="18"/>
                <w:szCs w:val="18"/>
                <w:lang w:val="en-AU"/>
              </w:rPr>
              <w:t>Viet Nam Investment Policy Reform - OUTPUTS</w:t>
            </w:r>
          </w:p>
        </w:tc>
        <w:tc>
          <w:tcPr>
            <w:tcW w:w="1276" w:type="dxa"/>
            <w:tcBorders>
              <w:top w:val="single" w:sz="8" w:space="0" w:color="auto"/>
              <w:left w:val="nil"/>
              <w:bottom w:val="single" w:sz="4" w:space="0" w:color="auto"/>
              <w:right w:val="single" w:sz="4" w:space="0" w:color="auto"/>
            </w:tcBorders>
            <w:shd w:val="clear" w:color="000000" w:fill="CAEDFB"/>
            <w:vAlign w:val="center"/>
            <w:hideMark/>
          </w:tcPr>
          <w:p w14:paraId="634D5DE4"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Cumulative Results until Dec 2025</w:t>
            </w:r>
          </w:p>
        </w:tc>
        <w:tc>
          <w:tcPr>
            <w:tcW w:w="1134" w:type="dxa"/>
            <w:tcBorders>
              <w:top w:val="single" w:sz="8" w:space="0" w:color="auto"/>
              <w:left w:val="nil"/>
              <w:bottom w:val="single" w:sz="4" w:space="0" w:color="auto"/>
              <w:right w:val="single" w:sz="4" w:space="0" w:color="auto"/>
            </w:tcBorders>
            <w:shd w:val="clear" w:color="000000" w:fill="CAEDFB"/>
            <w:vAlign w:val="center"/>
            <w:hideMark/>
          </w:tcPr>
          <w:p w14:paraId="2A17D264"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Cumulative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6EEF02A5"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Achieved</w:t>
            </w:r>
          </w:p>
        </w:tc>
      </w:tr>
      <w:tr w:rsidR="000937DF" w:rsidRPr="005D6606" w14:paraId="57B75F96" w14:textId="77777777" w:rsidTr="00361731">
        <w:trPr>
          <w:trHeight w:val="439"/>
        </w:trPr>
        <w:tc>
          <w:tcPr>
            <w:tcW w:w="5802" w:type="dxa"/>
            <w:tcBorders>
              <w:top w:val="nil"/>
              <w:left w:val="single" w:sz="8" w:space="0" w:color="auto"/>
              <w:bottom w:val="single" w:sz="4" w:space="0" w:color="auto"/>
              <w:right w:val="single" w:sz="4" w:space="0" w:color="auto"/>
            </w:tcBorders>
            <w:vAlign w:val="center"/>
            <w:hideMark/>
          </w:tcPr>
          <w:p w14:paraId="190A94B8"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entities receiving advisory services</w:t>
            </w:r>
          </w:p>
        </w:tc>
        <w:tc>
          <w:tcPr>
            <w:tcW w:w="1276" w:type="dxa"/>
            <w:tcBorders>
              <w:top w:val="nil"/>
              <w:left w:val="nil"/>
              <w:bottom w:val="single" w:sz="4" w:space="0" w:color="auto"/>
              <w:right w:val="single" w:sz="4" w:space="0" w:color="auto"/>
            </w:tcBorders>
            <w:vAlign w:val="center"/>
            <w:hideMark/>
          </w:tcPr>
          <w:p w14:paraId="45F8048D"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3</w:t>
            </w:r>
          </w:p>
        </w:tc>
        <w:tc>
          <w:tcPr>
            <w:tcW w:w="1134" w:type="dxa"/>
            <w:tcBorders>
              <w:top w:val="nil"/>
              <w:left w:val="nil"/>
              <w:bottom w:val="single" w:sz="4" w:space="0" w:color="auto"/>
              <w:right w:val="single" w:sz="4" w:space="0" w:color="auto"/>
            </w:tcBorders>
            <w:vAlign w:val="center"/>
            <w:hideMark/>
          </w:tcPr>
          <w:p w14:paraId="56D3676B"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3</w:t>
            </w:r>
          </w:p>
        </w:tc>
        <w:tc>
          <w:tcPr>
            <w:tcW w:w="1134" w:type="dxa"/>
            <w:tcBorders>
              <w:top w:val="nil"/>
              <w:left w:val="nil"/>
              <w:bottom w:val="single" w:sz="4" w:space="0" w:color="auto"/>
              <w:right w:val="single" w:sz="8" w:space="0" w:color="auto"/>
            </w:tcBorders>
            <w:hideMark/>
          </w:tcPr>
          <w:p w14:paraId="073357AE" w14:textId="77777777" w:rsidR="000937DF" w:rsidRPr="005D6606" w:rsidRDefault="000937DF" w:rsidP="00361731">
            <w:pPr>
              <w:jc w:val="center"/>
              <w:rPr>
                <w:rFonts w:ascii="Calibri" w:hAnsi="Calibri" w:cs="Calibri"/>
                <w:color w:val="000000"/>
                <w:sz w:val="18"/>
                <w:szCs w:val="18"/>
              </w:rPr>
            </w:pPr>
            <w:r w:rsidRPr="005D6606">
              <w:rPr>
                <w:rFonts w:ascii="Calibri" w:hAnsi="Calibri" w:cs="Calibri"/>
                <w:color w:val="000000"/>
                <w:sz w:val="18"/>
                <w:szCs w:val="18"/>
              </w:rPr>
              <w:t>Yes</w:t>
            </w:r>
          </w:p>
        </w:tc>
      </w:tr>
      <w:tr w:rsidR="000937DF" w:rsidRPr="005D6606" w14:paraId="46458E1C" w14:textId="77777777" w:rsidTr="00361731">
        <w:trPr>
          <w:trHeight w:val="540"/>
        </w:trPr>
        <w:tc>
          <w:tcPr>
            <w:tcW w:w="5802" w:type="dxa"/>
            <w:tcBorders>
              <w:top w:val="nil"/>
              <w:left w:val="single" w:sz="8" w:space="0" w:color="auto"/>
              <w:bottom w:val="single" w:sz="4" w:space="0" w:color="auto"/>
              <w:right w:val="single" w:sz="4" w:space="0" w:color="auto"/>
            </w:tcBorders>
            <w:vAlign w:val="center"/>
            <w:hideMark/>
          </w:tcPr>
          <w:p w14:paraId="30DAF23B"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new laws/regulations/amendments/codes/ government policies drafted, or contributed to the drafting</w:t>
            </w:r>
          </w:p>
        </w:tc>
        <w:tc>
          <w:tcPr>
            <w:tcW w:w="1276" w:type="dxa"/>
            <w:tcBorders>
              <w:top w:val="nil"/>
              <w:left w:val="nil"/>
              <w:bottom w:val="single" w:sz="4" w:space="0" w:color="auto"/>
              <w:right w:val="single" w:sz="4" w:space="0" w:color="auto"/>
            </w:tcBorders>
            <w:vAlign w:val="center"/>
            <w:hideMark/>
          </w:tcPr>
          <w:p w14:paraId="5A8B9B1F"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2</w:t>
            </w:r>
          </w:p>
        </w:tc>
        <w:tc>
          <w:tcPr>
            <w:tcW w:w="1134" w:type="dxa"/>
            <w:tcBorders>
              <w:top w:val="nil"/>
              <w:left w:val="nil"/>
              <w:bottom w:val="single" w:sz="4" w:space="0" w:color="auto"/>
              <w:right w:val="single" w:sz="4" w:space="0" w:color="auto"/>
            </w:tcBorders>
            <w:vAlign w:val="center"/>
            <w:hideMark/>
          </w:tcPr>
          <w:p w14:paraId="38CADE5C"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2</w:t>
            </w:r>
          </w:p>
        </w:tc>
        <w:tc>
          <w:tcPr>
            <w:tcW w:w="1134" w:type="dxa"/>
            <w:tcBorders>
              <w:top w:val="nil"/>
              <w:left w:val="nil"/>
              <w:bottom w:val="single" w:sz="4" w:space="0" w:color="auto"/>
              <w:right w:val="single" w:sz="8" w:space="0" w:color="auto"/>
            </w:tcBorders>
            <w:hideMark/>
          </w:tcPr>
          <w:p w14:paraId="59C1510D" w14:textId="77777777" w:rsidR="000937DF" w:rsidRDefault="000937DF" w:rsidP="00361731">
            <w:pPr>
              <w:jc w:val="center"/>
              <w:rPr>
                <w:rFonts w:ascii="Calibri" w:hAnsi="Calibri" w:cs="Calibri"/>
                <w:noProof/>
                <w:color w:val="000000"/>
                <w:sz w:val="18"/>
                <w:szCs w:val="18"/>
              </w:rPr>
            </w:pPr>
          </w:p>
          <w:p w14:paraId="684F538F" w14:textId="77777777" w:rsidR="000937DF" w:rsidRPr="005D6606" w:rsidRDefault="000937DF" w:rsidP="00361731">
            <w:pPr>
              <w:jc w:val="center"/>
              <w:rPr>
                <w:rFonts w:ascii="Calibri" w:hAnsi="Calibri" w:cs="Calibri"/>
                <w:color w:val="000000"/>
                <w:sz w:val="18"/>
                <w:szCs w:val="18"/>
              </w:rPr>
            </w:pPr>
            <w:r>
              <w:rPr>
                <w:rFonts w:ascii="Calibri" w:hAnsi="Calibri" w:cs="Calibri"/>
                <w:noProof/>
                <w:color w:val="000000"/>
                <w:sz w:val="18"/>
                <w:szCs w:val="18"/>
              </w:rPr>
              <w:t>Y</w:t>
            </w:r>
            <w:r w:rsidRPr="005D6606">
              <w:rPr>
                <w:rFonts w:ascii="Calibri" w:hAnsi="Calibri" w:cs="Calibri"/>
                <w:noProof/>
                <w:color w:val="000000"/>
                <w:sz w:val="18"/>
                <w:szCs w:val="18"/>
              </w:rPr>
              <w:t>es</w:t>
            </w:r>
          </w:p>
        </w:tc>
      </w:tr>
      <w:tr w:rsidR="000937DF" w:rsidRPr="005D6606" w14:paraId="630574C7" w14:textId="77777777" w:rsidTr="00361731">
        <w:trPr>
          <w:trHeight w:val="525"/>
        </w:trPr>
        <w:tc>
          <w:tcPr>
            <w:tcW w:w="5802" w:type="dxa"/>
            <w:tcBorders>
              <w:top w:val="nil"/>
              <w:left w:val="single" w:sz="8" w:space="0" w:color="auto"/>
              <w:bottom w:val="single" w:sz="4" w:space="0" w:color="auto"/>
              <w:right w:val="single" w:sz="4" w:space="0" w:color="auto"/>
            </w:tcBorders>
            <w:vAlign w:val="center"/>
            <w:hideMark/>
          </w:tcPr>
          <w:p w14:paraId="756996FE"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procedures/firm-level policies/practices/ standards recommended for improvement or elimination</w:t>
            </w:r>
          </w:p>
        </w:tc>
        <w:tc>
          <w:tcPr>
            <w:tcW w:w="1276" w:type="dxa"/>
            <w:tcBorders>
              <w:top w:val="nil"/>
              <w:left w:val="nil"/>
              <w:bottom w:val="single" w:sz="4" w:space="0" w:color="auto"/>
              <w:right w:val="single" w:sz="4" w:space="0" w:color="auto"/>
            </w:tcBorders>
            <w:vAlign w:val="center"/>
            <w:hideMark/>
          </w:tcPr>
          <w:p w14:paraId="6ED291C5"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7</w:t>
            </w:r>
          </w:p>
        </w:tc>
        <w:tc>
          <w:tcPr>
            <w:tcW w:w="1134" w:type="dxa"/>
            <w:tcBorders>
              <w:top w:val="nil"/>
              <w:left w:val="nil"/>
              <w:bottom w:val="single" w:sz="4" w:space="0" w:color="auto"/>
              <w:right w:val="single" w:sz="4" w:space="0" w:color="auto"/>
            </w:tcBorders>
            <w:vAlign w:val="center"/>
            <w:hideMark/>
          </w:tcPr>
          <w:p w14:paraId="1F2F2A61"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7</w:t>
            </w:r>
          </w:p>
        </w:tc>
        <w:tc>
          <w:tcPr>
            <w:tcW w:w="1134" w:type="dxa"/>
            <w:tcBorders>
              <w:top w:val="nil"/>
              <w:left w:val="nil"/>
              <w:bottom w:val="single" w:sz="4" w:space="0" w:color="auto"/>
              <w:right w:val="single" w:sz="8" w:space="0" w:color="auto"/>
            </w:tcBorders>
            <w:hideMark/>
          </w:tcPr>
          <w:p w14:paraId="6F798FCC" w14:textId="77777777" w:rsidR="000937DF" w:rsidRDefault="000937DF" w:rsidP="00361731">
            <w:pPr>
              <w:jc w:val="center"/>
              <w:rPr>
                <w:rFonts w:ascii="Calibri" w:hAnsi="Calibri" w:cs="Calibri"/>
                <w:noProof/>
                <w:color w:val="000000"/>
                <w:sz w:val="18"/>
                <w:szCs w:val="18"/>
              </w:rPr>
            </w:pPr>
          </w:p>
          <w:p w14:paraId="258E66AB" w14:textId="77777777" w:rsidR="000937DF" w:rsidRPr="005D6606" w:rsidRDefault="000937DF" w:rsidP="00361731">
            <w:pPr>
              <w:jc w:val="center"/>
              <w:rPr>
                <w:rFonts w:ascii="Calibri" w:hAnsi="Calibri" w:cs="Calibri"/>
                <w:color w:val="000000"/>
                <w:sz w:val="18"/>
                <w:szCs w:val="18"/>
              </w:rPr>
            </w:pPr>
            <w:r>
              <w:rPr>
                <w:rFonts w:ascii="Calibri" w:hAnsi="Calibri" w:cs="Calibri"/>
                <w:noProof/>
                <w:color w:val="000000"/>
                <w:sz w:val="18"/>
                <w:szCs w:val="18"/>
              </w:rPr>
              <w:t>Yes</w:t>
            </w:r>
          </w:p>
        </w:tc>
      </w:tr>
      <w:tr w:rsidR="000937DF" w:rsidRPr="005D6606" w14:paraId="6BE307BA" w14:textId="77777777" w:rsidTr="00361731">
        <w:trPr>
          <w:trHeight w:val="510"/>
        </w:trPr>
        <w:tc>
          <w:tcPr>
            <w:tcW w:w="5802" w:type="dxa"/>
            <w:tcBorders>
              <w:top w:val="nil"/>
              <w:left w:val="single" w:sz="8" w:space="0" w:color="auto"/>
              <w:bottom w:val="single" w:sz="4" w:space="0" w:color="auto"/>
              <w:right w:val="single" w:sz="4" w:space="0" w:color="auto"/>
            </w:tcBorders>
            <w:vAlign w:val="center"/>
            <w:hideMark/>
          </w:tcPr>
          <w:p w14:paraId="635DDB25"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reports (assessments, surveys, manuals, Phase I/strategic option reports, research, analytical, evaluations, etc.) completed</w:t>
            </w:r>
          </w:p>
        </w:tc>
        <w:tc>
          <w:tcPr>
            <w:tcW w:w="1276" w:type="dxa"/>
            <w:tcBorders>
              <w:top w:val="nil"/>
              <w:left w:val="nil"/>
              <w:bottom w:val="single" w:sz="4" w:space="0" w:color="auto"/>
              <w:right w:val="single" w:sz="4" w:space="0" w:color="auto"/>
            </w:tcBorders>
            <w:vAlign w:val="center"/>
            <w:hideMark/>
          </w:tcPr>
          <w:p w14:paraId="22AD0704"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7</w:t>
            </w:r>
          </w:p>
        </w:tc>
        <w:tc>
          <w:tcPr>
            <w:tcW w:w="1134" w:type="dxa"/>
            <w:tcBorders>
              <w:top w:val="nil"/>
              <w:left w:val="nil"/>
              <w:bottom w:val="single" w:sz="4" w:space="0" w:color="auto"/>
              <w:right w:val="single" w:sz="4" w:space="0" w:color="auto"/>
            </w:tcBorders>
            <w:vAlign w:val="center"/>
            <w:hideMark/>
          </w:tcPr>
          <w:p w14:paraId="62F2DF7F"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5</w:t>
            </w:r>
          </w:p>
        </w:tc>
        <w:tc>
          <w:tcPr>
            <w:tcW w:w="1134" w:type="dxa"/>
            <w:tcBorders>
              <w:top w:val="nil"/>
              <w:left w:val="nil"/>
              <w:bottom w:val="single" w:sz="4" w:space="0" w:color="auto"/>
              <w:right w:val="single" w:sz="8" w:space="0" w:color="auto"/>
            </w:tcBorders>
            <w:hideMark/>
          </w:tcPr>
          <w:p w14:paraId="1A74EA13" w14:textId="77777777" w:rsidR="000937DF" w:rsidRDefault="000937DF" w:rsidP="00361731">
            <w:pPr>
              <w:jc w:val="center"/>
              <w:rPr>
                <w:rFonts w:ascii="Calibri" w:hAnsi="Calibri" w:cs="Calibri"/>
                <w:noProof/>
                <w:color w:val="000000"/>
                <w:sz w:val="18"/>
                <w:szCs w:val="18"/>
              </w:rPr>
            </w:pPr>
          </w:p>
          <w:p w14:paraId="124493B3" w14:textId="77777777" w:rsidR="000937DF" w:rsidRPr="005D6606" w:rsidRDefault="000937DF" w:rsidP="00361731">
            <w:pPr>
              <w:jc w:val="center"/>
              <w:rPr>
                <w:rFonts w:ascii="Calibri" w:hAnsi="Calibri" w:cs="Calibri"/>
                <w:color w:val="000000"/>
                <w:sz w:val="18"/>
                <w:szCs w:val="18"/>
              </w:rPr>
            </w:pPr>
            <w:r>
              <w:rPr>
                <w:rFonts w:ascii="Calibri" w:hAnsi="Calibri" w:cs="Calibri"/>
                <w:noProof/>
                <w:color w:val="000000"/>
                <w:sz w:val="18"/>
                <w:szCs w:val="18"/>
              </w:rPr>
              <w:t>Yes</w:t>
            </w:r>
          </w:p>
        </w:tc>
      </w:tr>
      <w:tr w:rsidR="000937DF" w:rsidRPr="005D6606" w14:paraId="7DA07492" w14:textId="77777777" w:rsidTr="00361731">
        <w:trPr>
          <w:trHeight w:val="439"/>
        </w:trPr>
        <w:tc>
          <w:tcPr>
            <w:tcW w:w="5802" w:type="dxa"/>
            <w:tcBorders>
              <w:top w:val="nil"/>
              <w:left w:val="single" w:sz="8" w:space="0" w:color="auto"/>
              <w:bottom w:val="single" w:sz="4" w:space="0" w:color="auto"/>
              <w:right w:val="single" w:sz="4" w:space="0" w:color="auto"/>
            </w:tcBorders>
            <w:vAlign w:val="center"/>
            <w:hideMark/>
          </w:tcPr>
          <w:p w14:paraId="7FAC5244"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workshops, training events, seminars, conferences, etc.</w:t>
            </w:r>
          </w:p>
        </w:tc>
        <w:tc>
          <w:tcPr>
            <w:tcW w:w="1276" w:type="dxa"/>
            <w:tcBorders>
              <w:top w:val="nil"/>
              <w:left w:val="nil"/>
              <w:bottom w:val="single" w:sz="4" w:space="0" w:color="auto"/>
              <w:right w:val="single" w:sz="4" w:space="0" w:color="auto"/>
            </w:tcBorders>
            <w:vAlign w:val="center"/>
            <w:hideMark/>
          </w:tcPr>
          <w:p w14:paraId="10DD09E5"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7</w:t>
            </w:r>
          </w:p>
        </w:tc>
        <w:tc>
          <w:tcPr>
            <w:tcW w:w="1134" w:type="dxa"/>
            <w:tcBorders>
              <w:top w:val="nil"/>
              <w:left w:val="nil"/>
              <w:bottom w:val="single" w:sz="4" w:space="0" w:color="auto"/>
              <w:right w:val="single" w:sz="4" w:space="0" w:color="auto"/>
            </w:tcBorders>
            <w:vAlign w:val="center"/>
            <w:hideMark/>
          </w:tcPr>
          <w:p w14:paraId="0AD14E2B"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8</w:t>
            </w:r>
          </w:p>
        </w:tc>
        <w:tc>
          <w:tcPr>
            <w:tcW w:w="1134" w:type="dxa"/>
            <w:tcBorders>
              <w:top w:val="nil"/>
              <w:left w:val="nil"/>
              <w:bottom w:val="single" w:sz="4" w:space="0" w:color="auto"/>
              <w:right w:val="single" w:sz="8" w:space="0" w:color="auto"/>
            </w:tcBorders>
            <w:vAlign w:val="center"/>
            <w:hideMark/>
          </w:tcPr>
          <w:p w14:paraId="1AB06F09" w14:textId="77777777" w:rsidR="000937DF" w:rsidRPr="005D6606" w:rsidRDefault="000937DF" w:rsidP="00361731">
            <w:pPr>
              <w:jc w:val="center"/>
              <w:rPr>
                <w:rFonts w:ascii="Calibri" w:hAnsi="Calibri" w:cs="Calibri"/>
                <w:color w:val="000000"/>
                <w:sz w:val="18"/>
                <w:szCs w:val="18"/>
              </w:rPr>
            </w:pPr>
            <w:r w:rsidRPr="005D6606">
              <w:rPr>
                <w:rFonts w:ascii="Calibri" w:hAnsi="Calibri" w:cs="Calibri"/>
                <w:color w:val="000000"/>
                <w:sz w:val="18"/>
                <w:szCs w:val="18"/>
                <w:lang w:val="en-AU"/>
              </w:rPr>
              <w:t>87%</w:t>
            </w:r>
          </w:p>
        </w:tc>
      </w:tr>
      <w:tr w:rsidR="000937DF" w:rsidRPr="005D6606" w14:paraId="590B3CD6" w14:textId="77777777" w:rsidTr="00361731">
        <w:trPr>
          <w:trHeight w:val="585"/>
        </w:trPr>
        <w:tc>
          <w:tcPr>
            <w:tcW w:w="5802" w:type="dxa"/>
            <w:tcBorders>
              <w:top w:val="nil"/>
              <w:left w:val="single" w:sz="8" w:space="0" w:color="auto"/>
              <w:bottom w:val="single" w:sz="4" w:space="0" w:color="auto"/>
              <w:right w:val="single" w:sz="4" w:space="0" w:color="auto"/>
            </w:tcBorders>
            <w:vAlign w:val="center"/>
            <w:hideMark/>
          </w:tcPr>
          <w:p w14:paraId="0FA5101C"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participants in workshops, training events, seminars, conferences, etc.</w:t>
            </w:r>
          </w:p>
        </w:tc>
        <w:tc>
          <w:tcPr>
            <w:tcW w:w="1276" w:type="dxa"/>
            <w:tcBorders>
              <w:top w:val="nil"/>
              <w:left w:val="nil"/>
              <w:bottom w:val="single" w:sz="4" w:space="0" w:color="auto"/>
              <w:right w:val="single" w:sz="4" w:space="0" w:color="auto"/>
            </w:tcBorders>
            <w:vAlign w:val="center"/>
            <w:hideMark/>
          </w:tcPr>
          <w:p w14:paraId="4A67BA71"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437</w:t>
            </w:r>
          </w:p>
        </w:tc>
        <w:tc>
          <w:tcPr>
            <w:tcW w:w="1134" w:type="dxa"/>
            <w:tcBorders>
              <w:top w:val="nil"/>
              <w:left w:val="nil"/>
              <w:bottom w:val="single" w:sz="4" w:space="0" w:color="auto"/>
              <w:right w:val="single" w:sz="4" w:space="0" w:color="auto"/>
            </w:tcBorders>
            <w:vAlign w:val="center"/>
            <w:hideMark/>
          </w:tcPr>
          <w:p w14:paraId="08686AB4"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400</w:t>
            </w:r>
          </w:p>
        </w:tc>
        <w:tc>
          <w:tcPr>
            <w:tcW w:w="1134" w:type="dxa"/>
            <w:tcBorders>
              <w:top w:val="nil"/>
              <w:left w:val="nil"/>
              <w:bottom w:val="single" w:sz="4" w:space="0" w:color="auto"/>
              <w:right w:val="single" w:sz="8" w:space="0" w:color="auto"/>
            </w:tcBorders>
            <w:hideMark/>
          </w:tcPr>
          <w:p w14:paraId="28D23337" w14:textId="77777777" w:rsidR="000937DF" w:rsidRDefault="000937DF" w:rsidP="00361731">
            <w:pPr>
              <w:jc w:val="center"/>
              <w:rPr>
                <w:rFonts w:ascii="Calibri" w:hAnsi="Calibri" w:cs="Calibri"/>
                <w:noProof/>
                <w:color w:val="000000"/>
                <w:sz w:val="18"/>
                <w:szCs w:val="18"/>
              </w:rPr>
            </w:pPr>
          </w:p>
          <w:p w14:paraId="230384D2" w14:textId="77777777" w:rsidR="000937DF" w:rsidRPr="005D6606" w:rsidRDefault="000937DF" w:rsidP="00361731">
            <w:pPr>
              <w:jc w:val="center"/>
              <w:rPr>
                <w:rFonts w:ascii="Calibri" w:hAnsi="Calibri" w:cs="Calibri"/>
                <w:color w:val="000000"/>
                <w:sz w:val="18"/>
                <w:szCs w:val="18"/>
              </w:rPr>
            </w:pPr>
            <w:r>
              <w:rPr>
                <w:rFonts w:ascii="Calibri" w:hAnsi="Calibri" w:cs="Calibri"/>
                <w:noProof/>
                <w:color w:val="000000"/>
                <w:sz w:val="18"/>
                <w:szCs w:val="18"/>
              </w:rPr>
              <w:t>Yes</w:t>
            </w:r>
          </w:p>
        </w:tc>
      </w:tr>
      <w:tr w:rsidR="000937DF" w14:paraId="0E31B529" w14:textId="77777777" w:rsidTr="00361731">
        <w:trPr>
          <w:trHeight w:val="570"/>
        </w:trPr>
        <w:tc>
          <w:tcPr>
            <w:tcW w:w="5802" w:type="dxa"/>
            <w:tcBorders>
              <w:top w:val="nil"/>
              <w:left w:val="single" w:sz="8" w:space="0" w:color="auto"/>
              <w:bottom w:val="single" w:sz="4" w:space="0" w:color="auto"/>
              <w:right w:val="single" w:sz="4" w:space="0" w:color="auto"/>
            </w:tcBorders>
            <w:vAlign w:val="center"/>
            <w:hideMark/>
          </w:tcPr>
          <w:p w14:paraId="1F29C1B3" w14:textId="77777777" w:rsidR="000937DF" w:rsidRDefault="000937DF" w:rsidP="00361731">
            <w:pPr>
              <w:rPr>
                <w:rFonts w:ascii="Calibri" w:hAnsi="Calibri" w:cs="Calibri"/>
                <w:b/>
                <w:bCs/>
                <w:color w:val="000000"/>
                <w:sz w:val="18"/>
                <w:szCs w:val="18"/>
              </w:rPr>
            </w:pPr>
            <w:r>
              <w:rPr>
                <w:rFonts w:ascii="Calibri" w:hAnsi="Calibri" w:cs="Calibri"/>
                <w:b/>
                <w:bCs/>
                <w:color w:val="000000"/>
                <w:sz w:val="18"/>
                <w:szCs w:val="18"/>
                <w:lang w:val="en-AU"/>
              </w:rPr>
              <w:t>Number of women participants in workshops, training events, seminars, conferences, etc.</w:t>
            </w:r>
          </w:p>
        </w:tc>
        <w:tc>
          <w:tcPr>
            <w:tcW w:w="1276" w:type="dxa"/>
            <w:tcBorders>
              <w:top w:val="nil"/>
              <w:left w:val="nil"/>
              <w:bottom w:val="single" w:sz="4" w:space="0" w:color="auto"/>
              <w:right w:val="single" w:sz="4" w:space="0" w:color="auto"/>
            </w:tcBorders>
            <w:vAlign w:val="center"/>
            <w:hideMark/>
          </w:tcPr>
          <w:p w14:paraId="1FF8AF58"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147</w:t>
            </w:r>
          </w:p>
        </w:tc>
        <w:tc>
          <w:tcPr>
            <w:tcW w:w="1134" w:type="dxa"/>
            <w:tcBorders>
              <w:top w:val="nil"/>
              <w:left w:val="nil"/>
              <w:bottom w:val="single" w:sz="4" w:space="0" w:color="auto"/>
              <w:right w:val="single" w:sz="4" w:space="0" w:color="auto"/>
            </w:tcBorders>
            <w:vAlign w:val="center"/>
            <w:hideMark/>
          </w:tcPr>
          <w:p w14:paraId="226B891B"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160</w:t>
            </w:r>
          </w:p>
        </w:tc>
        <w:tc>
          <w:tcPr>
            <w:tcW w:w="1134" w:type="dxa"/>
            <w:tcBorders>
              <w:top w:val="nil"/>
              <w:left w:val="nil"/>
              <w:bottom w:val="single" w:sz="4" w:space="0" w:color="auto"/>
              <w:right w:val="single" w:sz="8" w:space="0" w:color="auto"/>
            </w:tcBorders>
            <w:vAlign w:val="center"/>
            <w:hideMark/>
          </w:tcPr>
          <w:p w14:paraId="127784E3"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92%</w:t>
            </w:r>
          </w:p>
        </w:tc>
      </w:tr>
    </w:tbl>
    <w:p w14:paraId="23FF9E51" w14:textId="77777777" w:rsidR="000937DF" w:rsidRDefault="000937DF" w:rsidP="000937DF"/>
    <w:tbl>
      <w:tblPr>
        <w:tblW w:w="9346" w:type="dxa"/>
        <w:tblLook w:val="04A0" w:firstRow="1" w:lastRow="0" w:firstColumn="1" w:lastColumn="0" w:noHBand="0" w:noVBand="1"/>
      </w:tblPr>
      <w:tblGrid>
        <w:gridCol w:w="5802"/>
        <w:gridCol w:w="1276"/>
        <w:gridCol w:w="1134"/>
        <w:gridCol w:w="1134"/>
      </w:tblGrid>
      <w:tr w:rsidR="000937DF" w14:paraId="6D8DF5DA" w14:textId="77777777" w:rsidTr="000937DF">
        <w:trPr>
          <w:trHeight w:val="570"/>
          <w:tblHeader/>
        </w:trPr>
        <w:tc>
          <w:tcPr>
            <w:tcW w:w="5802" w:type="dxa"/>
            <w:tcBorders>
              <w:top w:val="single" w:sz="8" w:space="0" w:color="auto"/>
              <w:left w:val="single" w:sz="8" w:space="0" w:color="auto"/>
              <w:bottom w:val="single" w:sz="4" w:space="0" w:color="auto"/>
              <w:right w:val="single" w:sz="4" w:space="0" w:color="auto"/>
            </w:tcBorders>
            <w:shd w:val="clear" w:color="000000" w:fill="CAEDFB"/>
            <w:vAlign w:val="center"/>
          </w:tcPr>
          <w:p w14:paraId="20695AA6" w14:textId="77777777" w:rsidR="000937DF" w:rsidRDefault="000937DF" w:rsidP="00361731">
            <w:pPr>
              <w:rPr>
                <w:rFonts w:ascii="Calibri" w:hAnsi="Calibri" w:cs="Calibri"/>
                <w:b/>
                <w:bCs/>
                <w:color w:val="000000"/>
                <w:sz w:val="18"/>
                <w:szCs w:val="18"/>
                <w:lang w:val="en-AU"/>
              </w:rPr>
            </w:pPr>
            <w:r>
              <w:rPr>
                <w:rFonts w:ascii="Calibri" w:hAnsi="Calibri" w:cs="Calibri"/>
                <w:b/>
                <w:bCs/>
                <w:color w:val="000000"/>
                <w:sz w:val="18"/>
                <w:szCs w:val="18"/>
                <w:lang w:val="en-AU"/>
              </w:rPr>
              <w:t>Viet Nam Investment Policy Reform - OUTCOMES</w:t>
            </w:r>
          </w:p>
        </w:tc>
        <w:tc>
          <w:tcPr>
            <w:tcW w:w="1276" w:type="dxa"/>
            <w:tcBorders>
              <w:top w:val="single" w:sz="8" w:space="0" w:color="auto"/>
              <w:left w:val="nil"/>
              <w:bottom w:val="single" w:sz="4" w:space="0" w:color="auto"/>
              <w:right w:val="single" w:sz="4" w:space="0" w:color="auto"/>
            </w:tcBorders>
            <w:shd w:val="clear" w:color="000000" w:fill="CAEDFB"/>
            <w:vAlign w:val="center"/>
          </w:tcPr>
          <w:p w14:paraId="04C76840" w14:textId="77777777" w:rsidR="000937DF" w:rsidRDefault="000937DF"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Cumulative Results until Dec 2025</w:t>
            </w:r>
          </w:p>
        </w:tc>
        <w:tc>
          <w:tcPr>
            <w:tcW w:w="1134" w:type="dxa"/>
            <w:tcBorders>
              <w:top w:val="single" w:sz="8" w:space="0" w:color="auto"/>
              <w:left w:val="nil"/>
              <w:bottom w:val="single" w:sz="4" w:space="0" w:color="auto"/>
              <w:right w:val="single" w:sz="4" w:space="0" w:color="auto"/>
            </w:tcBorders>
            <w:shd w:val="clear" w:color="000000" w:fill="CAEDFB"/>
            <w:vAlign w:val="center"/>
          </w:tcPr>
          <w:p w14:paraId="70F71FD6" w14:textId="77777777" w:rsidR="000937DF" w:rsidRDefault="000937DF"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Cumulative Target</w:t>
            </w:r>
          </w:p>
        </w:tc>
        <w:tc>
          <w:tcPr>
            <w:tcW w:w="1134" w:type="dxa"/>
            <w:tcBorders>
              <w:top w:val="single" w:sz="8" w:space="0" w:color="auto"/>
              <w:left w:val="nil"/>
              <w:bottom w:val="single" w:sz="4" w:space="0" w:color="auto"/>
              <w:right w:val="single" w:sz="8" w:space="0" w:color="auto"/>
            </w:tcBorders>
            <w:shd w:val="clear" w:color="000000" w:fill="CAEDFB"/>
            <w:vAlign w:val="center"/>
          </w:tcPr>
          <w:p w14:paraId="538D449C" w14:textId="77777777" w:rsidR="000937DF" w:rsidRDefault="000937DF"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Achieved</w:t>
            </w:r>
          </w:p>
        </w:tc>
      </w:tr>
      <w:tr w:rsidR="000937DF" w:rsidRPr="005D6606" w14:paraId="0A5FFF02" w14:textId="77777777" w:rsidTr="00361731">
        <w:trPr>
          <w:trHeight w:val="439"/>
        </w:trPr>
        <w:tc>
          <w:tcPr>
            <w:tcW w:w="5802" w:type="dxa"/>
            <w:tcBorders>
              <w:top w:val="nil"/>
              <w:left w:val="single" w:sz="8" w:space="0" w:color="auto"/>
              <w:bottom w:val="single" w:sz="4" w:space="0" w:color="auto"/>
              <w:right w:val="single" w:sz="4" w:space="0" w:color="auto"/>
            </w:tcBorders>
            <w:vAlign w:val="center"/>
            <w:hideMark/>
          </w:tcPr>
          <w:p w14:paraId="7A1D9C96"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entities that implemented recommended changes</w:t>
            </w:r>
          </w:p>
        </w:tc>
        <w:tc>
          <w:tcPr>
            <w:tcW w:w="1276" w:type="dxa"/>
            <w:tcBorders>
              <w:top w:val="nil"/>
              <w:left w:val="nil"/>
              <w:bottom w:val="single" w:sz="4" w:space="0" w:color="auto"/>
              <w:right w:val="single" w:sz="4" w:space="0" w:color="auto"/>
            </w:tcBorders>
            <w:vAlign w:val="center"/>
            <w:hideMark/>
          </w:tcPr>
          <w:p w14:paraId="5D0D1203"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2</w:t>
            </w:r>
          </w:p>
        </w:tc>
        <w:tc>
          <w:tcPr>
            <w:tcW w:w="1134" w:type="dxa"/>
            <w:tcBorders>
              <w:top w:val="nil"/>
              <w:left w:val="nil"/>
              <w:bottom w:val="single" w:sz="4" w:space="0" w:color="auto"/>
              <w:right w:val="single" w:sz="4" w:space="0" w:color="auto"/>
            </w:tcBorders>
            <w:vAlign w:val="center"/>
            <w:hideMark/>
          </w:tcPr>
          <w:p w14:paraId="5978F01B"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2</w:t>
            </w:r>
          </w:p>
        </w:tc>
        <w:tc>
          <w:tcPr>
            <w:tcW w:w="1134" w:type="dxa"/>
            <w:tcBorders>
              <w:top w:val="nil"/>
              <w:left w:val="nil"/>
              <w:bottom w:val="single" w:sz="4" w:space="0" w:color="auto"/>
              <w:right w:val="single" w:sz="8" w:space="0" w:color="auto"/>
            </w:tcBorders>
            <w:hideMark/>
          </w:tcPr>
          <w:p w14:paraId="0FA00EAF" w14:textId="77777777" w:rsidR="000937DF" w:rsidRPr="005D6606" w:rsidRDefault="000937DF" w:rsidP="00361731">
            <w:pPr>
              <w:jc w:val="center"/>
              <w:rPr>
                <w:rFonts w:ascii="Calibri" w:hAnsi="Calibri" w:cs="Calibri"/>
                <w:color w:val="000000"/>
                <w:sz w:val="18"/>
                <w:szCs w:val="18"/>
              </w:rPr>
            </w:pPr>
            <w:r w:rsidRPr="005D6606">
              <w:rPr>
                <w:rFonts w:ascii="Calibri" w:hAnsi="Calibri" w:cs="Calibri"/>
                <w:noProof/>
                <w:color w:val="000000"/>
                <w:sz w:val="18"/>
                <w:szCs w:val="18"/>
              </w:rPr>
              <w:t>Yes</w:t>
            </w:r>
          </w:p>
        </w:tc>
      </w:tr>
      <w:tr w:rsidR="000937DF" w:rsidRPr="005D6606" w14:paraId="2D113C1F" w14:textId="77777777" w:rsidTr="00361731">
        <w:trPr>
          <w:trHeight w:val="570"/>
        </w:trPr>
        <w:tc>
          <w:tcPr>
            <w:tcW w:w="5802" w:type="dxa"/>
            <w:tcBorders>
              <w:top w:val="nil"/>
              <w:left w:val="single" w:sz="8" w:space="0" w:color="auto"/>
              <w:bottom w:val="single" w:sz="4" w:space="0" w:color="auto"/>
              <w:right w:val="single" w:sz="4" w:space="0" w:color="auto"/>
            </w:tcBorders>
            <w:vAlign w:val="center"/>
            <w:hideMark/>
          </w:tcPr>
          <w:p w14:paraId="1FC6A261"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recommended laws/regulations/amendments/ codes enacted or government policies adopted</w:t>
            </w:r>
          </w:p>
        </w:tc>
        <w:tc>
          <w:tcPr>
            <w:tcW w:w="1276" w:type="dxa"/>
            <w:tcBorders>
              <w:top w:val="nil"/>
              <w:left w:val="nil"/>
              <w:bottom w:val="single" w:sz="4" w:space="0" w:color="auto"/>
              <w:right w:val="single" w:sz="4" w:space="0" w:color="auto"/>
            </w:tcBorders>
            <w:vAlign w:val="center"/>
            <w:hideMark/>
          </w:tcPr>
          <w:p w14:paraId="225034FD"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2</w:t>
            </w:r>
          </w:p>
        </w:tc>
        <w:tc>
          <w:tcPr>
            <w:tcW w:w="1134" w:type="dxa"/>
            <w:tcBorders>
              <w:top w:val="nil"/>
              <w:left w:val="nil"/>
              <w:bottom w:val="single" w:sz="4" w:space="0" w:color="auto"/>
              <w:right w:val="single" w:sz="4" w:space="0" w:color="auto"/>
            </w:tcBorders>
            <w:vAlign w:val="center"/>
            <w:hideMark/>
          </w:tcPr>
          <w:p w14:paraId="7A0D87E7"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2</w:t>
            </w:r>
          </w:p>
        </w:tc>
        <w:tc>
          <w:tcPr>
            <w:tcW w:w="1134" w:type="dxa"/>
            <w:tcBorders>
              <w:top w:val="nil"/>
              <w:left w:val="nil"/>
              <w:bottom w:val="single" w:sz="4" w:space="0" w:color="auto"/>
              <w:right w:val="single" w:sz="8" w:space="0" w:color="auto"/>
            </w:tcBorders>
            <w:hideMark/>
          </w:tcPr>
          <w:p w14:paraId="74239962" w14:textId="77777777" w:rsidR="000937DF" w:rsidRDefault="000937DF" w:rsidP="00361731">
            <w:pPr>
              <w:jc w:val="center"/>
              <w:rPr>
                <w:rFonts w:ascii="Calibri" w:hAnsi="Calibri" w:cs="Calibri"/>
                <w:b/>
                <w:bCs/>
                <w:noProof/>
                <w:color w:val="000000"/>
                <w:sz w:val="18"/>
                <w:szCs w:val="18"/>
              </w:rPr>
            </w:pPr>
          </w:p>
          <w:p w14:paraId="14C0372B" w14:textId="77777777" w:rsidR="000937DF" w:rsidRPr="005D6606" w:rsidRDefault="000937DF" w:rsidP="00361731">
            <w:pPr>
              <w:jc w:val="center"/>
              <w:rPr>
                <w:rFonts w:ascii="Calibri" w:hAnsi="Calibri" w:cs="Calibri"/>
                <w:color w:val="000000"/>
                <w:sz w:val="18"/>
                <w:szCs w:val="18"/>
              </w:rPr>
            </w:pPr>
            <w:r w:rsidRPr="005D6606">
              <w:rPr>
                <w:rFonts w:ascii="Calibri" w:hAnsi="Calibri" w:cs="Calibri"/>
                <w:noProof/>
                <w:color w:val="000000"/>
                <w:sz w:val="18"/>
                <w:szCs w:val="18"/>
              </w:rPr>
              <w:t>Yes</w:t>
            </w:r>
          </w:p>
        </w:tc>
      </w:tr>
      <w:tr w:rsidR="000937DF" w14:paraId="65E13474" w14:textId="77777777" w:rsidTr="00361731">
        <w:trPr>
          <w:trHeight w:val="585"/>
        </w:trPr>
        <w:tc>
          <w:tcPr>
            <w:tcW w:w="5802" w:type="dxa"/>
            <w:tcBorders>
              <w:top w:val="nil"/>
              <w:left w:val="single" w:sz="8" w:space="0" w:color="auto"/>
              <w:bottom w:val="single" w:sz="4" w:space="0" w:color="auto"/>
              <w:right w:val="single" w:sz="4" w:space="0" w:color="auto"/>
            </w:tcBorders>
            <w:vAlign w:val="center"/>
            <w:hideMark/>
          </w:tcPr>
          <w:p w14:paraId="093C4064"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recommended procedures/firm-level policies/practices/standards that were improved or eliminated</w:t>
            </w:r>
          </w:p>
        </w:tc>
        <w:tc>
          <w:tcPr>
            <w:tcW w:w="1276" w:type="dxa"/>
            <w:tcBorders>
              <w:top w:val="nil"/>
              <w:left w:val="nil"/>
              <w:bottom w:val="single" w:sz="4" w:space="0" w:color="auto"/>
              <w:right w:val="single" w:sz="4" w:space="0" w:color="auto"/>
            </w:tcBorders>
            <w:vAlign w:val="center"/>
            <w:hideMark/>
          </w:tcPr>
          <w:p w14:paraId="677EE89C"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4</w:t>
            </w:r>
          </w:p>
        </w:tc>
        <w:tc>
          <w:tcPr>
            <w:tcW w:w="1134" w:type="dxa"/>
            <w:tcBorders>
              <w:top w:val="nil"/>
              <w:left w:val="nil"/>
              <w:bottom w:val="single" w:sz="4" w:space="0" w:color="auto"/>
              <w:right w:val="single" w:sz="4" w:space="0" w:color="auto"/>
            </w:tcBorders>
            <w:vAlign w:val="center"/>
            <w:hideMark/>
          </w:tcPr>
          <w:p w14:paraId="0AAE8FED"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4</w:t>
            </w:r>
          </w:p>
        </w:tc>
        <w:tc>
          <w:tcPr>
            <w:tcW w:w="1134" w:type="dxa"/>
            <w:tcBorders>
              <w:top w:val="nil"/>
              <w:left w:val="nil"/>
              <w:bottom w:val="single" w:sz="4" w:space="0" w:color="auto"/>
              <w:right w:val="single" w:sz="8" w:space="0" w:color="auto"/>
            </w:tcBorders>
            <w:hideMark/>
          </w:tcPr>
          <w:p w14:paraId="65D4361C" w14:textId="77777777" w:rsidR="000937DF" w:rsidRDefault="000937DF" w:rsidP="00361731">
            <w:pPr>
              <w:jc w:val="center"/>
              <w:rPr>
                <w:rFonts w:ascii="Calibri" w:hAnsi="Calibri" w:cs="Calibri"/>
                <w:noProof/>
                <w:color w:val="000000"/>
                <w:sz w:val="18"/>
                <w:szCs w:val="18"/>
              </w:rPr>
            </w:pPr>
          </w:p>
          <w:p w14:paraId="192CC729" w14:textId="77777777" w:rsidR="000937DF" w:rsidRDefault="000937DF" w:rsidP="00361731">
            <w:pPr>
              <w:jc w:val="center"/>
              <w:rPr>
                <w:rFonts w:ascii="Calibri" w:hAnsi="Calibri" w:cs="Calibri"/>
                <w:color w:val="000000"/>
                <w:sz w:val="18"/>
                <w:szCs w:val="18"/>
              </w:rPr>
            </w:pPr>
            <w:r>
              <w:rPr>
                <w:rFonts w:ascii="Calibri" w:hAnsi="Calibri" w:cs="Calibri"/>
                <w:noProof/>
                <w:color w:val="000000"/>
                <w:sz w:val="18"/>
                <w:szCs w:val="18"/>
              </w:rPr>
              <w:t>Yes</w:t>
            </w:r>
          </w:p>
        </w:tc>
      </w:tr>
    </w:tbl>
    <w:p w14:paraId="0BA627B3" w14:textId="77777777" w:rsidR="000937DF" w:rsidRDefault="000937DF" w:rsidP="000937DF"/>
    <w:tbl>
      <w:tblPr>
        <w:tblW w:w="9346" w:type="dxa"/>
        <w:tblLook w:val="04A0" w:firstRow="1" w:lastRow="0" w:firstColumn="1" w:lastColumn="0" w:noHBand="0" w:noVBand="1"/>
      </w:tblPr>
      <w:tblGrid>
        <w:gridCol w:w="5802"/>
        <w:gridCol w:w="1276"/>
        <w:gridCol w:w="1134"/>
        <w:gridCol w:w="1134"/>
      </w:tblGrid>
      <w:tr w:rsidR="000937DF" w14:paraId="408AB6E9" w14:textId="77777777" w:rsidTr="00361731">
        <w:trPr>
          <w:trHeight w:val="840"/>
          <w:tblHeader/>
        </w:trPr>
        <w:tc>
          <w:tcPr>
            <w:tcW w:w="5802"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004DC48A" w14:textId="77777777" w:rsidR="000937DF" w:rsidRDefault="000937DF" w:rsidP="00361731">
            <w:pPr>
              <w:rPr>
                <w:rFonts w:ascii="Calibri" w:hAnsi="Calibri" w:cs="Calibri"/>
                <w:b/>
                <w:bCs/>
                <w:color w:val="000000"/>
                <w:sz w:val="18"/>
                <w:szCs w:val="18"/>
                <w:lang w:val="en-US"/>
              </w:rPr>
            </w:pPr>
            <w:r>
              <w:rPr>
                <w:rFonts w:ascii="Calibri" w:hAnsi="Calibri" w:cs="Calibri"/>
                <w:b/>
                <w:bCs/>
                <w:color w:val="000000"/>
                <w:sz w:val="18"/>
                <w:szCs w:val="18"/>
                <w:lang w:val="en-AU"/>
              </w:rPr>
              <w:t>Viet Nam Investment Policy Reform - IMPACT</w:t>
            </w:r>
          </w:p>
        </w:tc>
        <w:tc>
          <w:tcPr>
            <w:tcW w:w="1276" w:type="dxa"/>
            <w:tcBorders>
              <w:top w:val="single" w:sz="8" w:space="0" w:color="auto"/>
              <w:left w:val="nil"/>
              <w:bottom w:val="single" w:sz="4" w:space="0" w:color="auto"/>
              <w:right w:val="single" w:sz="4" w:space="0" w:color="auto"/>
            </w:tcBorders>
            <w:shd w:val="clear" w:color="000000" w:fill="CAEDFB"/>
            <w:vAlign w:val="center"/>
            <w:hideMark/>
          </w:tcPr>
          <w:p w14:paraId="427992B0"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Cumulative Results until Dec 2025</w:t>
            </w:r>
          </w:p>
        </w:tc>
        <w:tc>
          <w:tcPr>
            <w:tcW w:w="1134" w:type="dxa"/>
            <w:tcBorders>
              <w:top w:val="single" w:sz="8" w:space="0" w:color="auto"/>
              <w:left w:val="nil"/>
              <w:bottom w:val="single" w:sz="4" w:space="0" w:color="auto"/>
              <w:right w:val="single" w:sz="4" w:space="0" w:color="auto"/>
            </w:tcBorders>
            <w:shd w:val="clear" w:color="000000" w:fill="CAEDFB"/>
            <w:vAlign w:val="center"/>
            <w:hideMark/>
          </w:tcPr>
          <w:p w14:paraId="4CFD3863"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Cumulative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29691D03" w14:textId="77777777" w:rsidR="000937DF" w:rsidRDefault="000937DF" w:rsidP="00361731">
            <w:pPr>
              <w:jc w:val="center"/>
              <w:rPr>
                <w:rFonts w:ascii="Calibri" w:hAnsi="Calibri" w:cs="Calibri"/>
                <w:b/>
                <w:bCs/>
                <w:color w:val="000000"/>
                <w:sz w:val="18"/>
                <w:szCs w:val="18"/>
              </w:rPr>
            </w:pPr>
            <w:r>
              <w:rPr>
                <w:rFonts w:ascii="Calibri" w:hAnsi="Calibri" w:cs="Calibri"/>
                <w:b/>
                <w:bCs/>
                <w:color w:val="000000"/>
                <w:sz w:val="18"/>
                <w:szCs w:val="18"/>
                <w:lang w:val="en-AU"/>
              </w:rPr>
              <w:t>Achieved</w:t>
            </w:r>
          </w:p>
        </w:tc>
      </w:tr>
      <w:tr w:rsidR="000937DF" w14:paraId="536856D1" w14:textId="77777777" w:rsidTr="00361731">
        <w:trPr>
          <w:trHeight w:val="439"/>
        </w:trPr>
        <w:tc>
          <w:tcPr>
            <w:tcW w:w="5802" w:type="dxa"/>
            <w:tcBorders>
              <w:top w:val="nil"/>
              <w:left w:val="single" w:sz="8" w:space="0" w:color="auto"/>
              <w:bottom w:val="single" w:sz="4" w:space="0" w:color="auto"/>
              <w:right w:val="single" w:sz="4" w:space="0" w:color="auto"/>
            </w:tcBorders>
            <w:vAlign w:val="center"/>
            <w:hideMark/>
          </w:tcPr>
          <w:p w14:paraId="2497D2AD"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Number of bids with a product(s) evaluated and qualified as green</w:t>
            </w:r>
          </w:p>
        </w:tc>
        <w:tc>
          <w:tcPr>
            <w:tcW w:w="1276" w:type="dxa"/>
            <w:tcBorders>
              <w:top w:val="nil"/>
              <w:left w:val="nil"/>
              <w:bottom w:val="single" w:sz="4" w:space="0" w:color="auto"/>
              <w:right w:val="single" w:sz="4" w:space="0" w:color="auto"/>
            </w:tcBorders>
            <w:vAlign w:val="center"/>
            <w:hideMark/>
          </w:tcPr>
          <w:p w14:paraId="6F79FC01"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0</w:t>
            </w:r>
          </w:p>
        </w:tc>
        <w:tc>
          <w:tcPr>
            <w:tcW w:w="1134" w:type="dxa"/>
            <w:tcBorders>
              <w:top w:val="nil"/>
              <w:left w:val="nil"/>
              <w:bottom w:val="single" w:sz="4" w:space="0" w:color="auto"/>
              <w:right w:val="single" w:sz="4" w:space="0" w:color="auto"/>
            </w:tcBorders>
            <w:vAlign w:val="center"/>
            <w:hideMark/>
          </w:tcPr>
          <w:p w14:paraId="35C5A54E"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10</w:t>
            </w:r>
          </w:p>
        </w:tc>
        <w:tc>
          <w:tcPr>
            <w:tcW w:w="1134" w:type="dxa"/>
            <w:tcBorders>
              <w:top w:val="nil"/>
              <w:left w:val="nil"/>
              <w:bottom w:val="single" w:sz="4" w:space="0" w:color="auto"/>
              <w:right w:val="single" w:sz="8" w:space="0" w:color="auto"/>
            </w:tcBorders>
            <w:vAlign w:val="center"/>
            <w:hideMark/>
          </w:tcPr>
          <w:p w14:paraId="7A636D63"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0%</w:t>
            </w:r>
          </w:p>
        </w:tc>
      </w:tr>
      <w:tr w:rsidR="000937DF" w14:paraId="645731F5" w14:textId="77777777" w:rsidTr="00361731">
        <w:trPr>
          <w:trHeight w:val="439"/>
        </w:trPr>
        <w:tc>
          <w:tcPr>
            <w:tcW w:w="5802" w:type="dxa"/>
            <w:tcBorders>
              <w:top w:val="nil"/>
              <w:left w:val="single" w:sz="8" w:space="0" w:color="auto"/>
              <w:bottom w:val="single" w:sz="8" w:space="0" w:color="auto"/>
              <w:right w:val="single" w:sz="4" w:space="0" w:color="auto"/>
            </w:tcBorders>
            <w:vAlign w:val="center"/>
            <w:hideMark/>
          </w:tcPr>
          <w:p w14:paraId="64D76079" w14:textId="77777777" w:rsidR="000937DF" w:rsidRDefault="000937DF" w:rsidP="00361731">
            <w:pPr>
              <w:rPr>
                <w:rFonts w:ascii="Calibri" w:hAnsi="Calibri" w:cs="Calibri"/>
                <w:color w:val="000000"/>
                <w:sz w:val="18"/>
                <w:szCs w:val="18"/>
              </w:rPr>
            </w:pPr>
            <w:r>
              <w:rPr>
                <w:rFonts w:ascii="Calibri" w:hAnsi="Calibri" w:cs="Calibri"/>
                <w:color w:val="000000"/>
                <w:sz w:val="18"/>
                <w:szCs w:val="18"/>
                <w:lang w:val="en-AU"/>
              </w:rPr>
              <w:t>Value of financing facilitated (US$)</w:t>
            </w:r>
          </w:p>
        </w:tc>
        <w:tc>
          <w:tcPr>
            <w:tcW w:w="1276" w:type="dxa"/>
            <w:tcBorders>
              <w:top w:val="nil"/>
              <w:left w:val="nil"/>
              <w:bottom w:val="single" w:sz="8" w:space="0" w:color="auto"/>
              <w:right w:val="single" w:sz="4" w:space="0" w:color="auto"/>
            </w:tcBorders>
            <w:vAlign w:val="center"/>
            <w:hideMark/>
          </w:tcPr>
          <w:p w14:paraId="359CE5EA"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0</w:t>
            </w:r>
          </w:p>
        </w:tc>
        <w:tc>
          <w:tcPr>
            <w:tcW w:w="1134" w:type="dxa"/>
            <w:tcBorders>
              <w:top w:val="nil"/>
              <w:left w:val="nil"/>
              <w:bottom w:val="single" w:sz="8" w:space="0" w:color="auto"/>
              <w:right w:val="single" w:sz="4" w:space="0" w:color="auto"/>
            </w:tcBorders>
            <w:vAlign w:val="center"/>
            <w:hideMark/>
          </w:tcPr>
          <w:p w14:paraId="5F2D0152"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12,000,000</w:t>
            </w:r>
          </w:p>
        </w:tc>
        <w:tc>
          <w:tcPr>
            <w:tcW w:w="1134" w:type="dxa"/>
            <w:tcBorders>
              <w:top w:val="nil"/>
              <w:left w:val="nil"/>
              <w:bottom w:val="single" w:sz="8" w:space="0" w:color="auto"/>
              <w:right w:val="single" w:sz="8" w:space="0" w:color="auto"/>
            </w:tcBorders>
            <w:vAlign w:val="center"/>
            <w:hideMark/>
          </w:tcPr>
          <w:p w14:paraId="5C989349" w14:textId="77777777" w:rsidR="000937DF" w:rsidRDefault="000937DF" w:rsidP="00361731">
            <w:pPr>
              <w:jc w:val="center"/>
              <w:rPr>
                <w:rFonts w:ascii="Calibri" w:hAnsi="Calibri" w:cs="Calibri"/>
                <w:color w:val="000000"/>
                <w:sz w:val="18"/>
                <w:szCs w:val="18"/>
              </w:rPr>
            </w:pPr>
            <w:r>
              <w:rPr>
                <w:rFonts w:ascii="Calibri" w:hAnsi="Calibri" w:cs="Calibri"/>
                <w:color w:val="000000"/>
                <w:sz w:val="18"/>
                <w:szCs w:val="18"/>
                <w:lang w:val="en-AU"/>
              </w:rPr>
              <w:t>0%</w:t>
            </w:r>
          </w:p>
        </w:tc>
      </w:tr>
    </w:tbl>
    <w:p w14:paraId="19E923F9" w14:textId="77777777" w:rsidR="003C7CF5" w:rsidRPr="000348BD" w:rsidRDefault="003C7CF5" w:rsidP="00386AC1">
      <w:pPr>
        <w:autoSpaceDE w:val="0"/>
        <w:autoSpaceDN w:val="0"/>
        <w:adjustRightInd w:val="0"/>
        <w:spacing w:after="120"/>
        <w:jc w:val="both"/>
        <w:rPr>
          <w:rFonts w:ascii="Calibri" w:hAnsi="Calibri" w:cs="Calibri"/>
          <w:bCs/>
          <w:color w:val="000000"/>
          <w:sz w:val="22"/>
          <w:szCs w:val="22"/>
          <w:lang w:val="en-AU"/>
        </w:rPr>
      </w:pPr>
    </w:p>
    <w:p w14:paraId="0055B630" w14:textId="6A926C06" w:rsidR="00E059E5" w:rsidRPr="000348BD" w:rsidRDefault="00F31A3A" w:rsidP="00385865">
      <w:pPr>
        <w:autoSpaceDE w:val="0"/>
        <w:autoSpaceDN w:val="0"/>
        <w:adjustRightInd w:val="0"/>
        <w:jc w:val="both"/>
        <w:rPr>
          <w:rFonts w:ascii="Calibri" w:hAnsi="Calibri" w:cs="Calibri"/>
          <w:b/>
          <w:color w:val="000000"/>
          <w:sz w:val="22"/>
          <w:szCs w:val="22"/>
          <w:u w:val="single"/>
          <w:lang w:val="en-AU"/>
        </w:rPr>
      </w:pPr>
      <w:r w:rsidRPr="000348BD">
        <w:rPr>
          <w:rFonts w:ascii="Calibri" w:hAnsi="Calibri" w:cs="Calibri"/>
          <w:b/>
          <w:color w:val="000000"/>
          <w:sz w:val="22"/>
          <w:szCs w:val="22"/>
          <w:u w:val="single"/>
          <w:lang w:val="en-AU"/>
        </w:rPr>
        <w:t>Pillar</w:t>
      </w:r>
      <w:r w:rsidR="00E059E5" w:rsidRPr="000348BD">
        <w:rPr>
          <w:rFonts w:ascii="Calibri" w:hAnsi="Calibri" w:cs="Calibri"/>
          <w:b/>
          <w:color w:val="000000"/>
          <w:sz w:val="22"/>
          <w:szCs w:val="22"/>
          <w:u w:val="single"/>
          <w:lang w:val="en-AU"/>
        </w:rPr>
        <w:t xml:space="preserve"> 2 – Accelerating Inclusive and Climate Smart Private Investment </w:t>
      </w:r>
      <w:r w:rsidR="002E224E" w:rsidRPr="000348BD">
        <w:rPr>
          <w:rFonts w:ascii="Calibri" w:hAnsi="Calibri" w:cs="Calibri"/>
          <w:b/>
          <w:color w:val="000000"/>
          <w:sz w:val="22"/>
          <w:szCs w:val="22"/>
          <w:u w:val="single"/>
          <w:lang w:val="en-AU"/>
        </w:rPr>
        <w:t>in</w:t>
      </w:r>
      <w:r w:rsidR="00E059E5" w:rsidRPr="000348BD">
        <w:rPr>
          <w:rFonts w:ascii="Calibri" w:hAnsi="Calibri" w:cs="Calibri"/>
          <w:b/>
          <w:color w:val="000000"/>
          <w:sz w:val="22"/>
          <w:szCs w:val="22"/>
          <w:u w:val="single"/>
          <w:lang w:val="en-AU"/>
        </w:rPr>
        <w:t xml:space="preserve"> Key Gro</w:t>
      </w:r>
      <w:r w:rsidR="002E224E" w:rsidRPr="000348BD">
        <w:rPr>
          <w:rFonts w:ascii="Calibri" w:hAnsi="Calibri" w:cs="Calibri"/>
          <w:b/>
          <w:color w:val="000000"/>
          <w:sz w:val="22"/>
          <w:szCs w:val="22"/>
          <w:u w:val="single"/>
          <w:lang w:val="en-AU"/>
        </w:rPr>
        <w:t>w</w:t>
      </w:r>
      <w:r w:rsidR="00E059E5" w:rsidRPr="000348BD">
        <w:rPr>
          <w:rFonts w:ascii="Calibri" w:hAnsi="Calibri" w:cs="Calibri"/>
          <w:b/>
          <w:color w:val="000000"/>
          <w:sz w:val="22"/>
          <w:szCs w:val="22"/>
          <w:u w:val="single"/>
          <w:lang w:val="en-AU"/>
        </w:rPr>
        <w:t>th Sectors</w:t>
      </w:r>
    </w:p>
    <w:p w14:paraId="29B33097" w14:textId="6B0655A3" w:rsidR="0087092B" w:rsidRPr="000348BD" w:rsidRDefault="0087092B"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Viet</w:t>
      </w:r>
      <w:r w:rsidR="0082132D" w:rsidRPr="000348BD">
        <w:rPr>
          <w:rFonts w:ascii="Calibri" w:hAnsi="Calibri" w:cs="Calibri"/>
          <w:b/>
          <w:bCs/>
          <w:sz w:val="22"/>
          <w:szCs w:val="22"/>
          <w:lang w:val="en-AU"/>
        </w:rPr>
        <w:t xml:space="preserve"> N</w:t>
      </w:r>
      <w:r w:rsidRPr="000348BD">
        <w:rPr>
          <w:rFonts w:ascii="Calibri" w:hAnsi="Calibri" w:cs="Calibri"/>
          <w:b/>
          <w:bCs/>
          <w:sz w:val="22"/>
          <w:szCs w:val="22"/>
          <w:lang w:val="en-AU"/>
        </w:rPr>
        <w:t xml:space="preserve">am’s private sector has </w:t>
      </w:r>
      <w:r w:rsidR="00F31A3A" w:rsidRPr="000348BD">
        <w:rPr>
          <w:rFonts w:ascii="Calibri" w:hAnsi="Calibri" w:cs="Calibri"/>
          <w:b/>
          <w:bCs/>
          <w:sz w:val="22"/>
          <w:szCs w:val="22"/>
          <w:lang w:val="en-AU"/>
        </w:rPr>
        <w:t>begun</w:t>
      </w:r>
      <w:r w:rsidRPr="000348BD">
        <w:rPr>
          <w:rFonts w:ascii="Calibri" w:hAnsi="Calibri" w:cs="Calibri"/>
          <w:b/>
          <w:bCs/>
          <w:sz w:val="22"/>
          <w:szCs w:val="22"/>
          <w:lang w:val="en-AU"/>
        </w:rPr>
        <w:t xml:space="preserve"> to play a dynamic role in transitioning to low-carbon</w:t>
      </w:r>
      <w:r w:rsidR="00F31A3A" w:rsidRPr="000348BD">
        <w:rPr>
          <w:rFonts w:ascii="Calibri" w:hAnsi="Calibri" w:cs="Calibri"/>
          <w:b/>
          <w:bCs/>
          <w:sz w:val="22"/>
          <w:szCs w:val="22"/>
          <w:lang w:val="en-AU"/>
        </w:rPr>
        <w:t>,</w:t>
      </w:r>
      <w:r w:rsidRPr="000348BD">
        <w:rPr>
          <w:rFonts w:ascii="Calibri" w:hAnsi="Calibri" w:cs="Calibri"/>
          <w:b/>
          <w:bCs/>
          <w:sz w:val="22"/>
          <w:szCs w:val="22"/>
          <w:lang w:val="en-AU"/>
        </w:rPr>
        <w:t xml:space="preserve"> inclusive development</w:t>
      </w:r>
      <w:r w:rsidRPr="000348BD">
        <w:rPr>
          <w:rFonts w:ascii="Calibri" w:hAnsi="Calibri" w:cs="Calibri"/>
          <w:sz w:val="22"/>
          <w:szCs w:val="22"/>
          <w:lang w:val="en-AU"/>
        </w:rPr>
        <w:t>. The incorporation of sustainability and inclusion must be a major determinant of the country’s growth trajectory</w:t>
      </w:r>
      <w:r w:rsidR="00F31A3A" w:rsidRPr="000348BD">
        <w:rPr>
          <w:rFonts w:ascii="Calibri" w:hAnsi="Calibri" w:cs="Calibri"/>
          <w:sz w:val="22"/>
          <w:szCs w:val="22"/>
          <w:lang w:val="en-AU"/>
        </w:rPr>
        <w:t>.</w:t>
      </w:r>
      <w:r w:rsidRPr="000348BD">
        <w:rPr>
          <w:rFonts w:ascii="Calibri" w:hAnsi="Calibri" w:cs="Calibri"/>
          <w:sz w:val="22"/>
          <w:szCs w:val="22"/>
          <w:lang w:val="en-AU"/>
        </w:rPr>
        <w:t xml:space="preserve"> There has been a gradual shift by the private sector from passive to a more active participation in addressing climate change adaptation goals and greater inclusion. According to the IFC’s </w:t>
      </w:r>
      <w:r w:rsidRPr="000348BD">
        <w:rPr>
          <w:rFonts w:ascii="Calibri" w:hAnsi="Calibri" w:cs="Calibri"/>
          <w:i/>
          <w:iCs/>
          <w:sz w:val="22"/>
          <w:szCs w:val="22"/>
          <w:lang w:val="en-AU"/>
        </w:rPr>
        <w:t xml:space="preserve">"Climate Investment Opportunities in Emerging Markets" </w:t>
      </w:r>
      <w:r w:rsidRPr="000348BD">
        <w:rPr>
          <w:rFonts w:ascii="Calibri" w:hAnsi="Calibri" w:cs="Calibri"/>
          <w:sz w:val="22"/>
          <w:szCs w:val="22"/>
          <w:lang w:val="en-AU"/>
        </w:rPr>
        <w:t>study, Viet</w:t>
      </w:r>
      <w:r w:rsidR="00F631CD" w:rsidRPr="000348BD">
        <w:rPr>
          <w:rFonts w:ascii="Calibri" w:hAnsi="Calibri" w:cs="Calibri"/>
          <w:sz w:val="22"/>
          <w:szCs w:val="22"/>
          <w:lang w:val="en-AU"/>
        </w:rPr>
        <w:t xml:space="preserve"> N</w:t>
      </w:r>
      <w:r w:rsidRPr="000348BD">
        <w:rPr>
          <w:rFonts w:ascii="Calibri" w:hAnsi="Calibri" w:cs="Calibri"/>
          <w:sz w:val="22"/>
          <w:szCs w:val="22"/>
          <w:lang w:val="en-AU"/>
        </w:rPr>
        <w:t xml:space="preserve">am has a </w:t>
      </w:r>
      <w:r w:rsidR="00852AD4">
        <w:rPr>
          <w:rFonts w:ascii="Calibri" w:hAnsi="Calibri" w:cs="Calibri"/>
          <w:sz w:val="22"/>
          <w:szCs w:val="22"/>
          <w:lang w:val="en-AU"/>
        </w:rPr>
        <w:t>US</w:t>
      </w:r>
      <w:r w:rsidRPr="000348BD">
        <w:rPr>
          <w:rFonts w:ascii="Calibri" w:hAnsi="Calibri" w:cs="Calibri"/>
          <w:sz w:val="22"/>
          <w:szCs w:val="22"/>
          <w:lang w:val="en-AU"/>
        </w:rPr>
        <w:t>$753</w:t>
      </w:r>
      <w:r w:rsidR="00852AD4">
        <w:rPr>
          <w:rFonts w:ascii="Calibri" w:hAnsi="Calibri" w:cs="Calibri"/>
          <w:sz w:val="22"/>
          <w:szCs w:val="22"/>
          <w:lang w:val="en-AU"/>
        </w:rPr>
        <w:t xml:space="preserve"> </w:t>
      </w:r>
      <w:r w:rsidRPr="000348BD">
        <w:rPr>
          <w:rFonts w:ascii="Calibri" w:hAnsi="Calibri" w:cs="Calibri"/>
          <w:sz w:val="22"/>
          <w:szCs w:val="22"/>
          <w:lang w:val="en-AU"/>
        </w:rPr>
        <w:t>billion climate investment opportunity between 2016 and 2030 to reduce GHG emissions and mitigate climate change impacts. To reali</w:t>
      </w:r>
      <w:r w:rsidR="00F31A3A" w:rsidRPr="000348BD">
        <w:rPr>
          <w:rFonts w:ascii="Calibri" w:hAnsi="Calibri" w:cs="Calibri"/>
          <w:sz w:val="22"/>
          <w:szCs w:val="22"/>
          <w:lang w:val="en-AU"/>
        </w:rPr>
        <w:t>s</w:t>
      </w:r>
      <w:r w:rsidRPr="000348BD">
        <w:rPr>
          <w:rFonts w:ascii="Calibri" w:hAnsi="Calibri" w:cs="Calibri"/>
          <w:sz w:val="22"/>
          <w:szCs w:val="22"/>
          <w:lang w:val="en-AU"/>
        </w:rPr>
        <w:t>e this, the private sector could become the major driver of job creation and trade opportunities in sectors such as sustainable agriculture and clean energy development.</w:t>
      </w:r>
    </w:p>
    <w:p w14:paraId="4265E506" w14:textId="17424107" w:rsidR="00054F9C" w:rsidRPr="000348BD" w:rsidRDefault="0087092B"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lastRenderedPageBreak/>
        <w:t>Interventions under this pillar are expected to create new opportunities for climate-smart and inclusive private investment, including direct investment by IFC, in sectors that will enhance Viet</w:t>
      </w:r>
      <w:r w:rsidR="00F631CD" w:rsidRPr="000348BD">
        <w:rPr>
          <w:rFonts w:ascii="Calibri" w:hAnsi="Calibri" w:cs="Calibri"/>
          <w:b/>
          <w:bCs/>
          <w:sz w:val="22"/>
          <w:szCs w:val="22"/>
          <w:lang w:val="en-AU"/>
        </w:rPr>
        <w:t xml:space="preserve"> N</w:t>
      </w:r>
      <w:r w:rsidRPr="000348BD">
        <w:rPr>
          <w:rFonts w:ascii="Calibri" w:hAnsi="Calibri" w:cs="Calibri"/>
          <w:b/>
          <w:bCs/>
          <w:sz w:val="22"/>
          <w:szCs w:val="22"/>
          <w:lang w:val="en-AU"/>
        </w:rPr>
        <w:t>am’s long-term productivity and growth potential.</w:t>
      </w:r>
      <w:r w:rsidRPr="000348BD">
        <w:rPr>
          <w:rFonts w:ascii="Calibri" w:hAnsi="Calibri" w:cs="Calibri"/>
          <w:sz w:val="22"/>
          <w:szCs w:val="22"/>
          <w:lang w:val="en-AU"/>
        </w:rPr>
        <w:t xml:space="preserve"> Applying both climate and inclusi</w:t>
      </w:r>
      <w:r w:rsidR="003B3B9A">
        <w:rPr>
          <w:rFonts w:ascii="Calibri" w:hAnsi="Calibri" w:cs="Calibri"/>
          <w:sz w:val="22"/>
          <w:szCs w:val="22"/>
          <w:lang w:val="en-AU"/>
        </w:rPr>
        <w:t>on</w:t>
      </w:r>
      <w:r w:rsidRPr="000348BD">
        <w:rPr>
          <w:rFonts w:ascii="Calibri" w:hAnsi="Calibri" w:cs="Calibri"/>
          <w:sz w:val="22"/>
          <w:szCs w:val="22"/>
          <w:lang w:val="en-AU"/>
        </w:rPr>
        <w:t xml:space="preserve"> lenses is the cornerstone to deliver green, resilient, and inclusive development outcomes through economic recovery.</w:t>
      </w:r>
      <w:r w:rsidR="00F31A3A" w:rsidRPr="000348BD">
        <w:rPr>
          <w:rFonts w:ascii="Calibri" w:hAnsi="Calibri" w:cs="Calibri"/>
          <w:sz w:val="22"/>
          <w:szCs w:val="22"/>
          <w:lang w:val="en-AU"/>
        </w:rPr>
        <w:t xml:space="preserve"> The main interventions supported are green buildings, the building resilience index, and food safety and food loss.</w:t>
      </w:r>
    </w:p>
    <w:p w14:paraId="32BD660C" w14:textId="13CEAE92" w:rsidR="00054F9C" w:rsidRPr="000348BD" w:rsidRDefault="00054F9C" w:rsidP="00054F9C">
      <w:pPr>
        <w:pStyle w:val="Default"/>
        <w:spacing w:after="120"/>
        <w:jc w:val="both"/>
        <w:rPr>
          <w:lang w:val="en-AU"/>
        </w:rPr>
      </w:pPr>
      <w:r w:rsidRPr="000348BD">
        <w:rPr>
          <w:b/>
          <w:bCs/>
          <w:sz w:val="22"/>
          <w:szCs w:val="22"/>
          <w:lang w:val="en-AU"/>
        </w:rPr>
        <w:t>The Green Buildings project leverages IFC’s experience across South and South-East Asia, with a focus on the EDGE application.</w:t>
      </w:r>
      <w:r w:rsidRPr="000348BD">
        <w:rPr>
          <w:sz w:val="22"/>
          <w:szCs w:val="22"/>
          <w:lang w:val="en-AU"/>
        </w:rPr>
        <w:t xml:space="preserve"> EDGE is an application that certifies </w:t>
      </w:r>
      <w:r w:rsidR="00670A1B" w:rsidRPr="000348BD">
        <w:rPr>
          <w:sz w:val="22"/>
          <w:szCs w:val="22"/>
          <w:lang w:val="en-AU"/>
        </w:rPr>
        <w:t>green</w:t>
      </w:r>
      <w:r w:rsidRPr="000348BD">
        <w:rPr>
          <w:sz w:val="22"/>
          <w:szCs w:val="22"/>
          <w:lang w:val="en-AU"/>
        </w:rPr>
        <w:t xml:space="preserve"> buildings and </w:t>
      </w:r>
      <w:r w:rsidR="00005408" w:rsidRPr="000348BD">
        <w:rPr>
          <w:sz w:val="22"/>
          <w:szCs w:val="22"/>
          <w:lang w:val="en-AU"/>
        </w:rPr>
        <w:t>seeks to promote the broader use of energy- and water-saving infrastructure and green materials by mainstreaming design, construction, retrofitting, and financing for relevant</w:t>
      </w:r>
      <w:r w:rsidRPr="000348BD">
        <w:rPr>
          <w:sz w:val="22"/>
          <w:szCs w:val="22"/>
          <w:lang w:val="en-AU"/>
        </w:rPr>
        <w:t xml:space="preserve"> buildings. VPSDP has </w:t>
      </w:r>
      <w:r w:rsidR="00E20DEB" w:rsidRPr="000348BD">
        <w:rPr>
          <w:sz w:val="22"/>
          <w:szCs w:val="22"/>
          <w:lang w:val="en-AU"/>
        </w:rPr>
        <w:t>successfully raised awareness among private and public investors and developers and has highlighted potential</w:t>
      </w:r>
      <w:r w:rsidRPr="000348BD">
        <w:rPr>
          <w:sz w:val="22"/>
          <w:szCs w:val="22"/>
          <w:lang w:val="en-AU"/>
        </w:rPr>
        <w:t xml:space="preserve"> financing options. Most importantly, the VPSDP has supported the development of </w:t>
      </w:r>
      <w:r w:rsidR="00005408" w:rsidRPr="000348BD">
        <w:rPr>
          <w:sz w:val="22"/>
          <w:szCs w:val="22"/>
          <w:lang w:val="en-AU"/>
        </w:rPr>
        <w:t xml:space="preserve">a </w:t>
      </w:r>
      <w:r w:rsidRPr="000348BD">
        <w:rPr>
          <w:sz w:val="22"/>
          <w:szCs w:val="22"/>
          <w:lang w:val="en-AU"/>
        </w:rPr>
        <w:t>cadre of market-ready green bui</w:t>
      </w:r>
      <w:r w:rsidR="00005408" w:rsidRPr="000348BD">
        <w:rPr>
          <w:sz w:val="22"/>
          <w:szCs w:val="22"/>
          <w:lang w:val="en-AU"/>
        </w:rPr>
        <w:t>l</w:t>
      </w:r>
      <w:r w:rsidRPr="000348BD">
        <w:rPr>
          <w:sz w:val="22"/>
          <w:szCs w:val="22"/>
          <w:lang w:val="en-AU"/>
        </w:rPr>
        <w:t>ding pro</w:t>
      </w:r>
      <w:r w:rsidR="00005408" w:rsidRPr="000348BD">
        <w:rPr>
          <w:sz w:val="22"/>
          <w:szCs w:val="22"/>
          <w:lang w:val="en-AU"/>
        </w:rPr>
        <w:t>fessionals</w:t>
      </w:r>
      <w:r w:rsidRPr="000348BD">
        <w:rPr>
          <w:sz w:val="22"/>
          <w:szCs w:val="22"/>
          <w:lang w:val="en-AU"/>
        </w:rPr>
        <w:t xml:space="preserve"> through </w:t>
      </w:r>
      <w:r w:rsidR="00005408" w:rsidRPr="000348BD">
        <w:rPr>
          <w:sz w:val="22"/>
          <w:szCs w:val="22"/>
          <w:lang w:val="en-AU"/>
        </w:rPr>
        <w:t>partnershi</w:t>
      </w:r>
      <w:r w:rsidRPr="000348BD">
        <w:rPr>
          <w:sz w:val="22"/>
          <w:szCs w:val="22"/>
          <w:lang w:val="en-AU"/>
        </w:rPr>
        <w:t>p arr</w:t>
      </w:r>
      <w:r w:rsidR="00005408" w:rsidRPr="000348BD">
        <w:rPr>
          <w:sz w:val="22"/>
          <w:szCs w:val="22"/>
          <w:lang w:val="en-AU"/>
        </w:rPr>
        <w:t>ang</w:t>
      </w:r>
      <w:r w:rsidRPr="000348BD">
        <w:rPr>
          <w:sz w:val="22"/>
          <w:szCs w:val="22"/>
          <w:lang w:val="en-AU"/>
        </w:rPr>
        <w:t>ements with professional organisations</w:t>
      </w:r>
      <w:r w:rsidR="00005408" w:rsidRPr="000348BD">
        <w:rPr>
          <w:sz w:val="22"/>
          <w:szCs w:val="22"/>
          <w:lang w:val="en-AU"/>
        </w:rPr>
        <w:t>,</w:t>
      </w:r>
      <w:r w:rsidRPr="000348BD">
        <w:rPr>
          <w:sz w:val="22"/>
          <w:szCs w:val="22"/>
          <w:lang w:val="en-AU"/>
        </w:rPr>
        <w:t xml:space="preserve"> including the Viet Nam Engineering Consultant Association (VECAS)</w:t>
      </w:r>
      <w:r w:rsidR="0023408D" w:rsidRPr="000348BD">
        <w:rPr>
          <w:sz w:val="22"/>
          <w:szCs w:val="22"/>
          <w:lang w:val="en-AU"/>
        </w:rPr>
        <w:t xml:space="preserve">, </w:t>
      </w:r>
      <w:r w:rsidRPr="000348BD">
        <w:rPr>
          <w:sz w:val="22"/>
          <w:szCs w:val="22"/>
          <w:lang w:val="en-AU"/>
        </w:rPr>
        <w:t>the Institute for Building Science and Technology (IBST)</w:t>
      </w:r>
      <w:r w:rsidR="0023408D" w:rsidRPr="000348BD">
        <w:rPr>
          <w:sz w:val="22"/>
          <w:szCs w:val="22"/>
          <w:lang w:val="en-AU"/>
        </w:rPr>
        <w:t xml:space="preserve">, and Vietnamese universities. </w:t>
      </w:r>
      <w:r w:rsidRPr="000348BD">
        <w:rPr>
          <w:sz w:val="22"/>
          <w:szCs w:val="22"/>
          <w:lang w:val="en-AU"/>
        </w:rPr>
        <w:t xml:space="preserve"> </w:t>
      </w:r>
    </w:p>
    <w:p w14:paraId="6EE9EE0C" w14:textId="4C956F91" w:rsidR="00054F9C" w:rsidRPr="000348BD" w:rsidRDefault="00054F9C"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To date, the EDGE program has certified projects covering 857,851 sqm of floor space, of which 81% (694,592 sqm) were residential, introducing 6,106 green housing units</w:t>
      </w:r>
      <w:r w:rsidRPr="000348BD">
        <w:rPr>
          <w:rFonts w:ascii="Calibri" w:hAnsi="Calibri" w:cs="Calibri"/>
          <w:sz w:val="22"/>
          <w:szCs w:val="22"/>
          <w:lang w:val="en-AU"/>
        </w:rPr>
        <w:t xml:space="preserve"> in provinces such as Binh Duong, Nghe An, Dong Nai, and Thai Nguyen. Beyond housing, the </w:t>
      </w:r>
      <w:r w:rsidR="00E20DEB" w:rsidRPr="000348BD">
        <w:rPr>
          <w:rFonts w:ascii="Calibri" w:hAnsi="Calibri" w:cs="Calibri"/>
          <w:sz w:val="22"/>
          <w:szCs w:val="22"/>
          <w:lang w:val="en-AU"/>
        </w:rPr>
        <w:t xml:space="preserve">project has </w:t>
      </w:r>
      <w:r w:rsidRPr="000348BD">
        <w:rPr>
          <w:rFonts w:ascii="Calibri" w:hAnsi="Calibri" w:cs="Calibri"/>
          <w:sz w:val="22"/>
          <w:szCs w:val="22"/>
          <w:lang w:val="en-AU"/>
        </w:rPr>
        <w:t>supported a diverse portfolio, including offices (78,033 sqm, 4 projects), hospitality (29,971 sqm, 1 project), retail (29,845 sqm, 4 projects), and factories (25,411 sqm, 2 projects). Importantly, 291,847 sqm achieved Final EDGE Certification, including nine retrofit projects such as WTC Tower and Courtyard by Marriott Da Nang, underscoring verified delivery of sustainability standards.</w:t>
      </w:r>
    </w:p>
    <w:p w14:paraId="1E38A852" w14:textId="4439D13D" w:rsidR="00054F9C" w:rsidRPr="000348BD" w:rsidRDefault="00054F9C"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The importa</w:t>
      </w:r>
      <w:r w:rsidR="009915B8">
        <w:rPr>
          <w:rFonts w:ascii="Calibri" w:hAnsi="Calibri" w:cs="Calibri"/>
          <w:b/>
          <w:bCs/>
          <w:sz w:val="22"/>
          <w:szCs w:val="22"/>
          <w:lang w:val="en-AU"/>
        </w:rPr>
        <w:t>n</w:t>
      </w:r>
      <w:r w:rsidRPr="000348BD">
        <w:rPr>
          <w:rFonts w:ascii="Calibri" w:hAnsi="Calibri" w:cs="Calibri"/>
          <w:b/>
          <w:bCs/>
          <w:sz w:val="22"/>
          <w:szCs w:val="22"/>
          <w:lang w:val="en-AU"/>
        </w:rPr>
        <w:t xml:space="preserve">t finding is that </w:t>
      </w:r>
      <w:r w:rsidR="00E20DEB" w:rsidRPr="000348BD">
        <w:rPr>
          <w:rFonts w:ascii="Calibri" w:hAnsi="Calibri" w:cs="Calibri"/>
          <w:b/>
          <w:bCs/>
          <w:sz w:val="22"/>
          <w:szCs w:val="22"/>
          <w:lang w:val="en-AU"/>
        </w:rPr>
        <w:t>V</w:t>
      </w:r>
      <w:r w:rsidRPr="000348BD">
        <w:rPr>
          <w:rFonts w:ascii="Calibri" w:hAnsi="Calibri" w:cs="Calibri"/>
          <w:b/>
          <w:bCs/>
          <w:sz w:val="22"/>
          <w:szCs w:val="22"/>
          <w:lang w:val="en-AU"/>
        </w:rPr>
        <w:t>PSDP has combined a solid mix of awareness</w:t>
      </w:r>
      <w:r w:rsidR="00E20DEB" w:rsidRPr="000348BD">
        <w:rPr>
          <w:rFonts w:ascii="Calibri" w:hAnsi="Calibri" w:cs="Calibri"/>
          <w:b/>
          <w:bCs/>
          <w:sz w:val="22"/>
          <w:szCs w:val="22"/>
          <w:lang w:val="en-AU"/>
        </w:rPr>
        <w:t>-</w:t>
      </w:r>
      <w:r w:rsidRPr="000348BD">
        <w:rPr>
          <w:rFonts w:ascii="Calibri" w:hAnsi="Calibri" w:cs="Calibri"/>
          <w:b/>
          <w:bCs/>
          <w:sz w:val="22"/>
          <w:szCs w:val="22"/>
          <w:lang w:val="en-AU"/>
        </w:rPr>
        <w:t xml:space="preserve">raising with direct support </w:t>
      </w:r>
      <w:r w:rsidR="00005408" w:rsidRPr="000348BD">
        <w:rPr>
          <w:rFonts w:ascii="Calibri" w:hAnsi="Calibri" w:cs="Calibri"/>
          <w:b/>
          <w:bCs/>
          <w:sz w:val="22"/>
          <w:szCs w:val="22"/>
          <w:lang w:val="en-AU"/>
        </w:rPr>
        <w:t>for</w:t>
      </w:r>
      <w:r w:rsidRPr="000348BD">
        <w:rPr>
          <w:rFonts w:ascii="Calibri" w:hAnsi="Calibri" w:cs="Calibri"/>
          <w:b/>
          <w:bCs/>
          <w:sz w:val="22"/>
          <w:szCs w:val="22"/>
          <w:lang w:val="en-AU"/>
        </w:rPr>
        <w:t xml:space="preserve"> financial ins</w:t>
      </w:r>
      <w:r w:rsidR="00005408" w:rsidRPr="000348BD">
        <w:rPr>
          <w:rFonts w:ascii="Calibri" w:hAnsi="Calibri" w:cs="Calibri"/>
          <w:b/>
          <w:bCs/>
          <w:sz w:val="22"/>
          <w:szCs w:val="22"/>
          <w:lang w:val="en-AU"/>
        </w:rPr>
        <w:t>titut</w:t>
      </w:r>
      <w:r w:rsidRPr="000348BD">
        <w:rPr>
          <w:rFonts w:ascii="Calibri" w:hAnsi="Calibri" w:cs="Calibri"/>
          <w:b/>
          <w:bCs/>
          <w:sz w:val="22"/>
          <w:szCs w:val="22"/>
          <w:lang w:val="en-AU"/>
        </w:rPr>
        <w:t>ions to increase the green</w:t>
      </w:r>
      <w:r w:rsidR="00E20DEB" w:rsidRPr="000348BD">
        <w:rPr>
          <w:rFonts w:ascii="Calibri" w:hAnsi="Calibri" w:cs="Calibri"/>
          <w:b/>
          <w:bCs/>
          <w:sz w:val="22"/>
          <w:szCs w:val="22"/>
          <w:lang w:val="en-AU"/>
        </w:rPr>
        <w:t>-</w:t>
      </w:r>
      <w:r w:rsidRPr="000348BD">
        <w:rPr>
          <w:rFonts w:ascii="Calibri" w:hAnsi="Calibri" w:cs="Calibri"/>
          <w:b/>
          <w:bCs/>
          <w:sz w:val="22"/>
          <w:szCs w:val="22"/>
          <w:lang w:val="en-AU"/>
        </w:rPr>
        <w:t>building offering</w:t>
      </w:r>
      <w:r w:rsidRPr="000348BD">
        <w:rPr>
          <w:rFonts w:ascii="Calibri" w:hAnsi="Calibri" w:cs="Calibri"/>
          <w:sz w:val="22"/>
          <w:szCs w:val="22"/>
          <w:lang w:val="en-AU"/>
        </w:rPr>
        <w:t>. IFC has worked closely with SeABank and OCB, resulting in the first two Market Accelerator for Green Construction (MAGC</w:t>
      </w:r>
      <w:r w:rsidR="00005408" w:rsidRPr="000348BD">
        <w:rPr>
          <w:rFonts w:ascii="Calibri" w:hAnsi="Calibri" w:cs="Calibri"/>
          <w:sz w:val="22"/>
          <w:szCs w:val="22"/>
          <w:lang w:val="en-AU"/>
        </w:rPr>
        <w:t>)</w:t>
      </w:r>
      <w:r w:rsidRPr="000348BD">
        <w:rPr>
          <w:rFonts w:ascii="Calibri" w:hAnsi="Calibri" w:cs="Calibri"/>
          <w:sz w:val="22"/>
          <w:szCs w:val="22"/>
          <w:lang w:val="en-AU"/>
        </w:rPr>
        <w:t xml:space="preserve"> </w:t>
      </w:r>
      <w:r w:rsidR="00005408" w:rsidRPr="000348BD">
        <w:rPr>
          <w:rFonts w:ascii="Calibri" w:hAnsi="Calibri" w:cs="Calibri"/>
          <w:sz w:val="22"/>
          <w:szCs w:val="22"/>
          <w:lang w:val="en-AU"/>
        </w:rPr>
        <w:t>blended-</w:t>
      </w:r>
      <w:r w:rsidRPr="000348BD">
        <w:rPr>
          <w:rFonts w:ascii="Calibri" w:hAnsi="Calibri" w:cs="Calibri"/>
          <w:sz w:val="22"/>
          <w:szCs w:val="22"/>
          <w:lang w:val="en-AU"/>
        </w:rPr>
        <w:t>finance transactions in Viet Nam. This work included delivering green</w:t>
      </w:r>
      <w:r w:rsidR="00005408" w:rsidRPr="000348BD">
        <w:rPr>
          <w:rFonts w:ascii="Calibri" w:hAnsi="Calibri" w:cs="Calibri"/>
          <w:sz w:val="22"/>
          <w:szCs w:val="22"/>
          <w:lang w:val="en-AU"/>
        </w:rPr>
        <w:t>-</w:t>
      </w:r>
      <w:r w:rsidRPr="000348BD">
        <w:rPr>
          <w:rFonts w:ascii="Calibri" w:hAnsi="Calibri" w:cs="Calibri"/>
          <w:sz w:val="22"/>
          <w:szCs w:val="22"/>
          <w:lang w:val="en-AU"/>
        </w:rPr>
        <w:t>building training, supplying a pipeline of EDGE-certified projects, and sharing pitch materials and case studies to strengthen client readiness. The team also partnered with IFC</w:t>
      </w:r>
      <w:r w:rsidR="00005408" w:rsidRPr="000348BD">
        <w:rPr>
          <w:rFonts w:ascii="Calibri" w:hAnsi="Calibri" w:cs="Calibri"/>
          <w:sz w:val="22"/>
          <w:szCs w:val="22"/>
          <w:lang w:val="en-AU"/>
        </w:rPr>
        <w:t>’s</w:t>
      </w:r>
      <w:r w:rsidRPr="000348BD">
        <w:rPr>
          <w:rFonts w:ascii="Calibri" w:hAnsi="Calibri" w:cs="Calibri"/>
          <w:sz w:val="22"/>
          <w:szCs w:val="22"/>
          <w:lang w:val="en-AU"/>
        </w:rPr>
        <w:t xml:space="preserve"> Financial Ins</w:t>
      </w:r>
      <w:r w:rsidR="00005408" w:rsidRPr="000348BD">
        <w:rPr>
          <w:rFonts w:ascii="Calibri" w:hAnsi="Calibri" w:cs="Calibri"/>
          <w:sz w:val="22"/>
          <w:szCs w:val="22"/>
          <w:lang w:val="en-AU"/>
        </w:rPr>
        <w:t>t</w:t>
      </w:r>
      <w:r w:rsidRPr="000348BD">
        <w:rPr>
          <w:rFonts w:ascii="Calibri" w:hAnsi="Calibri" w:cs="Calibri"/>
          <w:sz w:val="22"/>
          <w:szCs w:val="22"/>
          <w:lang w:val="en-AU"/>
        </w:rPr>
        <w:t>itutions Group (FIG)</w:t>
      </w:r>
      <w:r w:rsidR="00005408" w:rsidRPr="000348BD">
        <w:rPr>
          <w:rFonts w:ascii="Calibri" w:hAnsi="Calibri" w:cs="Calibri"/>
          <w:sz w:val="22"/>
          <w:szCs w:val="22"/>
          <w:lang w:val="en-AU"/>
        </w:rPr>
        <w:t xml:space="preserve"> </w:t>
      </w:r>
      <w:r w:rsidRPr="000348BD">
        <w:rPr>
          <w:rFonts w:ascii="Calibri" w:hAnsi="Calibri" w:cs="Calibri"/>
          <w:sz w:val="22"/>
          <w:szCs w:val="22"/>
          <w:lang w:val="en-AU"/>
        </w:rPr>
        <w:t>to explore a potential green building investment with HD</w:t>
      </w:r>
      <w:r w:rsidR="00005408" w:rsidRPr="000348BD">
        <w:rPr>
          <w:rFonts w:ascii="Calibri" w:hAnsi="Calibri" w:cs="Calibri"/>
          <w:sz w:val="22"/>
          <w:szCs w:val="22"/>
          <w:lang w:val="en-AU"/>
        </w:rPr>
        <w:t xml:space="preserve"> </w:t>
      </w:r>
      <w:r w:rsidRPr="000348BD">
        <w:rPr>
          <w:rFonts w:ascii="Calibri" w:hAnsi="Calibri" w:cs="Calibri"/>
          <w:sz w:val="22"/>
          <w:szCs w:val="22"/>
          <w:lang w:val="en-AU"/>
        </w:rPr>
        <w:t>Bank. All of this is underpinned b</w:t>
      </w:r>
      <w:r w:rsidR="00005408" w:rsidRPr="000348BD">
        <w:rPr>
          <w:rFonts w:ascii="Calibri" w:hAnsi="Calibri" w:cs="Calibri"/>
          <w:sz w:val="22"/>
          <w:szCs w:val="22"/>
          <w:lang w:val="en-AU"/>
        </w:rPr>
        <w:t>y</w:t>
      </w:r>
      <w:r w:rsidRPr="000348BD">
        <w:rPr>
          <w:rFonts w:ascii="Calibri" w:hAnsi="Calibri" w:cs="Calibri"/>
          <w:sz w:val="22"/>
          <w:szCs w:val="22"/>
          <w:lang w:val="en-AU"/>
        </w:rPr>
        <w:t xml:space="preserve"> a growing network of p</w:t>
      </w:r>
      <w:r w:rsidR="00005408" w:rsidRPr="000348BD">
        <w:rPr>
          <w:rFonts w:ascii="Calibri" w:hAnsi="Calibri" w:cs="Calibri"/>
          <w:sz w:val="22"/>
          <w:szCs w:val="22"/>
          <w:lang w:val="en-AU"/>
        </w:rPr>
        <w:t>rofessional staff and institutions</w:t>
      </w:r>
      <w:r w:rsidRPr="000348BD">
        <w:rPr>
          <w:rFonts w:ascii="Calibri" w:hAnsi="Calibri" w:cs="Calibri"/>
          <w:sz w:val="22"/>
          <w:szCs w:val="22"/>
          <w:lang w:val="en-AU"/>
        </w:rPr>
        <w:t xml:space="preserve"> to progress work </w:t>
      </w:r>
      <w:r w:rsidR="00005408" w:rsidRPr="000348BD">
        <w:rPr>
          <w:rFonts w:ascii="Calibri" w:hAnsi="Calibri" w:cs="Calibri"/>
          <w:sz w:val="22"/>
          <w:szCs w:val="22"/>
          <w:lang w:val="en-AU"/>
        </w:rPr>
        <w:t>in</w:t>
      </w:r>
      <w:r w:rsidRPr="000348BD">
        <w:rPr>
          <w:rFonts w:ascii="Calibri" w:hAnsi="Calibri" w:cs="Calibri"/>
          <w:sz w:val="22"/>
          <w:szCs w:val="22"/>
          <w:lang w:val="en-AU"/>
        </w:rPr>
        <w:t xml:space="preserve"> </w:t>
      </w:r>
      <w:r w:rsidR="00005408" w:rsidRPr="000348BD">
        <w:rPr>
          <w:rFonts w:ascii="Calibri" w:hAnsi="Calibri" w:cs="Calibri"/>
          <w:sz w:val="22"/>
          <w:szCs w:val="22"/>
          <w:lang w:val="en-AU"/>
        </w:rPr>
        <w:t>the future.</w:t>
      </w:r>
    </w:p>
    <w:p w14:paraId="526B4409" w14:textId="43772B6B" w:rsidR="00054F9C" w:rsidRPr="000348BD" w:rsidRDefault="00F31A3A"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There is close alignment between the green building and the </w:t>
      </w:r>
      <w:r w:rsidR="003B3B9A">
        <w:rPr>
          <w:rFonts w:ascii="Calibri" w:hAnsi="Calibri" w:cs="Calibri"/>
          <w:b/>
          <w:bCs/>
          <w:sz w:val="22"/>
          <w:szCs w:val="22"/>
          <w:lang w:val="en-AU"/>
        </w:rPr>
        <w:t>Building Resilience Index (</w:t>
      </w:r>
      <w:r w:rsidRPr="000348BD">
        <w:rPr>
          <w:rFonts w:ascii="Calibri" w:hAnsi="Calibri" w:cs="Calibri"/>
          <w:b/>
          <w:bCs/>
          <w:sz w:val="22"/>
          <w:szCs w:val="22"/>
          <w:lang w:val="en-AU"/>
        </w:rPr>
        <w:t>BRI</w:t>
      </w:r>
      <w:r w:rsidR="003B3B9A">
        <w:rPr>
          <w:rFonts w:ascii="Calibri" w:hAnsi="Calibri" w:cs="Calibri"/>
          <w:b/>
          <w:bCs/>
          <w:sz w:val="22"/>
          <w:szCs w:val="22"/>
          <w:lang w:val="en-AU"/>
        </w:rPr>
        <w:t>)</w:t>
      </w:r>
      <w:r w:rsidRPr="000348BD">
        <w:rPr>
          <w:rFonts w:ascii="Calibri" w:hAnsi="Calibri" w:cs="Calibri"/>
          <w:b/>
          <w:bCs/>
          <w:sz w:val="22"/>
          <w:szCs w:val="22"/>
          <w:lang w:val="en-AU"/>
        </w:rPr>
        <w:t xml:space="preserve"> work</w:t>
      </w:r>
      <w:r w:rsidR="00054F9C" w:rsidRPr="000348BD">
        <w:rPr>
          <w:rFonts w:ascii="Calibri" w:hAnsi="Calibri" w:cs="Calibri"/>
          <w:sz w:val="22"/>
          <w:szCs w:val="22"/>
          <w:lang w:val="en-AU"/>
        </w:rPr>
        <w:t>. The BRI project operates through a web-based assessment tool</w:t>
      </w:r>
      <w:r w:rsidR="00005408" w:rsidRPr="000348BD">
        <w:rPr>
          <w:rFonts w:ascii="Calibri" w:hAnsi="Calibri" w:cs="Calibri"/>
          <w:sz w:val="22"/>
          <w:szCs w:val="22"/>
          <w:lang w:val="en-AU"/>
        </w:rPr>
        <w:t xml:space="preserve"> that</w:t>
      </w:r>
      <w:r w:rsidR="00054F9C" w:rsidRPr="000348BD">
        <w:rPr>
          <w:rFonts w:ascii="Calibri" w:hAnsi="Calibri" w:cs="Calibri"/>
          <w:sz w:val="22"/>
          <w:szCs w:val="22"/>
          <w:lang w:val="en-AU"/>
        </w:rPr>
        <w:t xml:space="preserve"> helps identify, manage, and disclose risks across hazards</w:t>
      </w:r>
      <w:r w:rsidR="00005408" w:rsidRPr="000348BD">
        <w:rPr>
          <w:rFonts w:ascii="Calibri" w:hAnsi="Calibri" w:cs="Calibri"/>
          <w:sz w:val="22"/>
          <w:szCs w:val="22"/>
          <w:lang w:val="en-AU"/>
        </w:rPr>
        <w:t>,</w:t>
      </w:r>
      <w:r w:rsidR="00054F9C" w:rsidRPr="000348BD">
        <w:rPr>
          <w:rFonts w:ascii="Calibri" w:hAnsi="Calibri" w:cs="Calibri"/>
          <w:sz w:val="22"/>
          <w:szCs w:val="22"/>
          <w:lang w:val="en-AU"/>
        </w:rPr>
        <w:t xml:space="preserve"> and works to mainstream </w:t>
      </w:r>
      <w:r w:rsidR="00005408" w:rsidRPr="000348BD">
        <w:rPr>
          <w:rFonts w:ascii="Calibri" w:hAnsi="Calibri" w:cs="Calibri"/>
          <w:sz w:val="22"/>
          <w:szCs w:val="22"/>
          <w:lang w:val="en-AU"/>
        </w:rPr>
        <w:t xml:space="preserve">the </w:t>
      </w:r>
      <w:r w:rsidR="00054F9C" w:rsidRPr="000348BD">
        <w:rPr>
          <w:rFonts w:ascii="Calibri" w:hAnsi="Calibri" w:cs="Calibri"/>
          <w:sz w:val="22"/>
          <w:szCs w:val="22"/>
          <w:lang w:val="en-AU"/>
        </w:rPr>
        <w:t>design, construction, retrofit, finance, and insurance of resilient buildings. Work has progressed under this activity</w:t>
      </w:r>
      <w:r w:rsidR="00005408" w:rsidRPr="000348BD">
        <w:rPr>
          <w:rFonts w:ascii="Calibri" w:hAnsi="Calibri" w:cs="Calibri"/>
          <w:sz w:val="22"/>
          <w:szCs w:val="22"/>
          <w:lang w:val="en-AU"/>
        </w:rPr>
        <w:t>,</w:t>
      </w:r>
      <w:r w:rsidR="00054F9C" w:rsidRPr="000348BD">
        <w:rPr>
          <w:rFonts w:ascii="Calibri" w:hAnsi="Calibri" w:cs="Calibri"/>
          <w:sz w:val="22"/>
          <w:szCs w:val="22"/>
          <w:lang w:val="en-AU"/>
        </w:rPr>
        <w:t xml:space="preserve"> and it closel</w:t>
      </w:r>
      <w:r w:rsidR="00005408" w:rsidRPr="000348BD">
        <w:rPr>
          <w:rFonts w:ascii="Calibri" w:hAnsi="Calibri" w:cs="Calibri"/>
          <w:sz w:val="22"/>
          <w:szCs w:val="22"/>
          <w:lang w:val="en-AU"/>
        </w:rPr>
        <w:t>y</w:t>
      </w:r>
      <w:r w:rsidR="00054F9C" w:rsidRPr="000348BD">
        <w:rPr>
          <w:rFonts w:ascii="Calibri" w:hAnsi="Calibri" w:cs="Calibri"/>
          <w:sz w:val="22"/>
          <w:szCs w:val="22"/>
          <w:lang w:val="en-AU"/>
        </w:rPr>
        <w:t xml:space="preserve"> aligns with the </w:t>
      </w:r>
      <w:r w:rsidR="00005408" w:rsidRPr="000348BD">
        <w:rPr>
          <w:rFonts w:ascii="Calibri" w:hAnsi="Calibri" w:cs="Calibri"/>
          <w:sz w:val="22"/>
          <w:szCs w:val="22"/>
          <w:lang w:val="en-AU"/>
        </w:rPr>
        <w:t>E</w:t>
      </w:r>
      <w:r w:rsidR="00054F9C" w:rsidRPr="000348BD">
        <w:rPr>
          <w:rFonts w:ascii="Calibri" w:hAnsi="Calibri" w:cs="Calibri"/>
          <w:sz w:val="22"/>
          <w:szCs w:val="22"/>
          <w:lang w:val="en-AU"/>
        </w:rPr>
        <w:t xml:space="preserve">DGE project. </w:t>
      </w:r>
    </w:p>
    <w:p w14:paraId="2D79809A" w14:textId="0A42580A" w:rsidR="00054F9C" w:rsidRPr="000348BD" w:rsidRDefault="00054F9C" w:rsidP="00054F9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The food safety and food loss projects demonst</w:t>
      </w:r>
      <w:r w:rsidR="00005408" w:rsidRPr="000348BD">
        <w:rPr>
          <w:rFonts w:ascii="Calibri" w:hAnsi="Calibri" w:cs="Calibri"/>
          <w:b/>
          <w:bCs/>
          <w:sz w:val="22"/>
          <w:szCs w:val="22"/>
          <w:lang w:val="en-AU"/>
        </w:rPr>
        <w:t>rate</w:t>
      </w:r>
      <w:r w:rsidRPr="000348BD">
        <w:rPr>
          <w:rFonts w:ascii="Calibri" w:hAnsi="Calibri" w:cs="Calibri"/>
          <w:b/>
          <w:bCs/>
          <w:sz w:val="22"/>
          <w:szCs w:val="22"/>
          <w:lang w:val="en-AU"/>
        </w:rPr>
        <w:t xml:space="preserve"> the broad level of engagement and coverage the IFC can maintain using a smaller envelope of funding.</w:t>
      </w:r>
      <w:r w:rsidRPr="000348BD">
        <w:rPr>
          <w:rFonts w:ascii="Calibri" w:hAnsi="Calibri" w:cs="Calibri"/>
          <w:sz w:val="22"/>
          <w:szCs w:val="22"/>
          <w:lang w:val="en-AU"/>
        </w:rPr>
        <w:t xml:space="preserve"> Food safety and </w:t>
      </w:r>
      <w:r w:rsidR="00005408" w:rsidRPr="000348BD">
        <w:rPr>
          <w:rFonts w:ascii="Calibri" w:hAnsi="Calibri" w:cs="Calibri"/>
          <w:sz w:val="22"/>
          <w:szCs w:val="22"/>
          <w:lang w:val="en-AU"/>
        </w:rPr>
        <w:t>minimising waste are key priorities for the GoV as it seeks to take control of the broader supply chains in its export markets.</w:t>
      </w:r>
      <w:r w:rsidRPr="000348BD">
        <w:rPr>
          <w:rFonts w:ascii="Calibri" w:hAnsi="Calibri" w:cs="Calibri"/>
          <w:sz w:val="22"/>
          <w:szCs w:val="22"/>
          <w:lang w:val="en-AU"/>
        </w:rPr>
        <w:t xml:space="preserve"> The project seeks to advance industry best practices and enhance food safety while minimi</w:t>
      </w:r>
      <w:r w:rsidR="00005408" w:rsidRPr="000348BD">
        <w:rPr>
          <w:rFonts w:ascii="Calibri" w:hAnsi="Calibri" w:cs="Calibri"/>
          <w:sz w:val="22"/>
          <w:szCs w:val="22"/>
          <w:lang w:val="en-AU"/>
        </w:rPr>
        <w:t>s</w:t>
      </w:r>
      <w:r w:rsidRPr="000348BD">
        <w:rPr>
          <w:rFonts w:ascii="Calibri" w:hAnsi="Calibri" w:cs="Calibri"/>
          <w:sz w:val="22"/>
          <w:szCs w:val="22"/>
          <w:lang w:val="en-AU"/>
        </w:rPr>
        <w:t xml:space="preserve">ing food losses across </w:t>
      </w:r>
      <w:r w:rsidR="00005408" w:rsidRPr="000348BD">
        <w:rPr>
          <w:rFonts w:ascii="Calibri" w:hAnsi="Calibri" w:cs="Calibri"/>
          <w:sz w:val="22"/>
          <w:szCs w:val="22"/>
          <w:lang w:val="en-AU"/>
        </w:rPr>
        <w:t>Viet Nam'</w:t>
      </w:r>
      <w:r w:rsidRPr="000348BD">
        <w:rPr>
          <w:rFonts w:ascii="Calibri" w:hAnsi="Calibri" w:cs="Calibri"/>
          <w:sz w:val="22"/>
          <w:szCs w:val="22"/>
          <w:lang w:val="en-AU"/>
        </w:rPr>
        <w:t>s food supply chains, from production to distribution. The results to date are impressive and lay a solid foundation for continued work across a r</w:t>
      </w:r>
      <w:r w:rsidR="00005408" w:rsidRPr="000348BD">
        <w:rPr>
          <w:rFonts w:ascii="Calibri" w:hAnsi="Calibri" w:cs="Calibri"/>
          <w:sz w:val="22"/>
          <w:szCs w:val="22"/>
          <w:lang w:val="en-AU"/>
        </w:rPr>
        <w:t>an</w:t>
      </w:r>
      <w:r w:rsidRPr="000348BD">
        <w:rPr>
          <w:rFonts w:ascii="Calibri" w:hAnsi="Calibri" w:cs="Calibri"/>
          <w:sz w:val="22"/>
          <w:szCs w:val="22"/>
          <w:lang w:val="en-AU"/>
        </w:rPr>
        <w:t>ge of sectors, but most importantly</w:t>
      </w:r>
      <w:r w:rsidR="00005408" w:rsidRPr="000348BD">
        <w:rPr>
          <w:rFonts w:ascii="Calibri" w:hAnsi="Calibri" w:cs="Calibri"/>
          <w:sz w:val="22"/>
          <w:szCs w:val="22"/>
          <w:lang w:val="en-AU"/>
        </w:rPr>
        <w:t>,</w:t>
      </w:r>
      <w:r w:rsidRPr="000348BD">
        <w:rPr>
          <w:rFonts w:ascii="Calibri" w:hAnsi="Calibri" w:cs="Calibri"/>
          <w:sz w:val="22"/>
          <w:szCs w:val="22"/>
          <w:lang w:val="en-AU"/>
        </w:rPr>
        <w:t xml:space="preserve"> as work shifts towards a more agri</w:t>
      </w:r>
      <w:r w:rsidR="00005408" w:rsidRPr="000348BD">
        <w:rPr>
          <w:rFonts w:ascii="Calibri" w:hAnsi="Calibri" w:cs="Calibri"/>
          <w:sz w:val="22"/>
          <w:szCs w:val="22"/>
          <w:lang w:val="en-AU"/>
        </w:rPr>
        <w:t>business-</w:t>
      </w:r>
      <w:r w:rsidRPr="000348BD">
        <w:rPr>
          <w:rFonts w:ascii="Calibri" w:hAnsi="Calibri" w:cs="Calibri"/>
          <w:sz w:val="22"/>
          <w:szCs w:val="22"/>
          <w:lang w:val="en-AU"/>
        </w:rPr>
        <w:t>centric focus.</w:t>
      </w:r>
      <w:r w:rsidR="0013617E" w:rsidRPr="000348BD">
        <w:rPr>
          <w:rFonts w:ascii="Calibri" w:hAnsi="Calibri" w:cs="Calibri"/>
          <w:sz w:val="22"/>
          <w:szCs w:val="22"/>
          <w:lang w:val="en-AU"/>
        </w:rPr>
        <w:t xml:space="preserve"> </w:t>
      </w:r>
      <w:r w:rsidRPr="000348BD">
        <w:rPr>
          <w:rFonts w:ascii="Calibri" w:hAnsi="Calibri" w:cs="Calibri"/>
          <w:sz w:val="22"/>
          <w:szCs w:val="22"/>
          <w:lang w:val="en-AU"/>
        </w:rPr>
        <w:t>Table 5 below sum</w:t>
      </w:r>
      <w:r w:rsidR="00005408" w:rsidRPr="000348BD">
        <w:rPr>
          <w:rFonts w:ascii="Calibri" w:hAnsi="Calibri" w:cs="Calibri"/>
          <w:sz w:val="22"/>
          <w:szCs w:val="22"/>
          <w:lang w:val="en-AU"/>
        </w:rPr>
        <w:t>ma</w:t>
      </w:r>
      <w:r w:rsidRPr="000348BD">
        <w:rPr>
          <w:rFonts w:ascii="Calibri" w:hAnsi="Calibri" w:cs="Calibri"/>
          <w:sz w:val="22"/>
          <w:szCs w:val="22"/>
          <w:lang w:val="en-AU"/>
        </w:rPr>
        <w:t>rises key achievement</w:t>
      </w:r>
      <w:r w:rsidR="00005408" w:rsidRPr="000348BD">
        <w:rPr>
          <w:rFonts w:ascii="Calibri" w:hAnsi="Calibri" w:cs="Calibri"/>
          <w:sz w:val="22"/>
          <w:szCs w:val="22"/>
          <w:lang w:val="en-AU"/>
        </w:rPr>
        <w:t xml:space="preserve">s </w:t>
      </w:r>
      <w:r w:rsidRPr="000348BD">
        <w:rPr>
          <w:rFonts w:ascii="Calibri" w:hAnsi="Calibri" w:cs="Calibri"/>
          <w:sz w:val="22"/>
          <w:szCs w:val="22"/>
          <w:lang w:val="en-AU"/>
        </w:rPr>
        <w:t>of work under Pil</w:t>
      </w:r>
      <w:r w:rsidR="00005408" w:rsidRPr="000348BD">
        <w:rPr>
          <w:rFonts w:ascii="Calibri" w:hAnsi="Calibri" w:cs="Calibri"/>
          <w:sz w:val="22"/>
          <w:szCs w:val="22"/>
          <w:lang w:val="en-AU"/>
        </w:rPr>
        <w:t>la</w:t>
      </w:r>
      <w:r w:rsidRPr="000348BD">
        <w:rPr>
          <w:rFonts w:ascii="Calibri" w:hAnsi="Calibri" w:cs="Calibri"/>
          <w:sz w:val="22"/>
          <w:szCs w:val="22"/>
          <w:lang w:val="en-AU"/>
        </w:rPr>
        <w:t>r 2</w:t>
      </w:r>
      <w:r w:rsidR="003A47E1" w:rsidRPr="000348BD">
        <w:rPr>
          <w:rFonts w:ascii="Calibri" w:hAnsi="Calibri" w:cs="Calibri"/>
          <w:sz w:val="22"/>
          <w:szCs w:val="22"/>
          <w:lang w:val="en-AU"/>
        </w:rPr>
        <w:t>.</w:t>
      </w:r>
    </w:p>
    <w:p w14:paraId="7979B027" w14:textId="77777777" w:rsidR="000937DF" w:rsidRDefault="000937DF">
      <w:pPr>
        <w:spacing w:after="160" w:line="259" w:lineRule="auto"/>
        <w:rPr>
          <w:rFonts w:ascii="Calibri" w:hAnsi="Calibri" w:cs="Calibri"/>
          <w:b/>
          <w:bCs/>
          <w:i/>
          <w:iCs/>
          <w:sz w:val="18"/>
          <w:szCs w:val="18"/>
          <w:lang w:val="en-AU"/>
        </w:rPr>
      </w:pPr>
      <w:r>
        <w:rPr>
          <w:rFonts w:ascii="Calibri" w:hAnsi="Calibri" w:cs="Calibri"/>
          <w:b/>
          <w:bCs/>
          <w:i/>
          <w:iCs/>
          <w:sz w:val="18"/>
          <w:szCs w:val="18"/>
          <w:lang w:val="en-AU"/>
        </w:rPr>
        <w:br w:type="page"/>
      </w:r>
    </w:p>
    <w:p w14:paraId="42BFFBF2" w14:textId="3103CA6E" w:rsidR="00B60A0D" w:rsidRDefault="00054F9C" w:rsidP="00054F9C">
      <w:pPr>
        <w:autoSpaceDE w:val="0"/>
        <w:autoSpaceDN w:val="0"/>
        <w:adjustRightInd w:val="0"/>
        <w:spacing w:after="120"/>
        <w:jc w:val="both"/>
        <w:rPr>
          <w:rFonts w:ascii="Calibri" w:hAnsi="Calibri" w:cs="Calibri"/>
          <w:b/>
          <w:bCs/>
          <w:i/>
          <w:iCs/>
          <w:color w:val="000000"/>
          <w:sz w:val="18"/>
          <w:szCs w:val="18"/>
          <w:lang w:val="en-AU"/>
        </w:rPr>
      </w:pPr>
      <w:r w:rsidRPr="000348BD">
        <w:rPr>
          <w:rFonts w:ascii="Calibri" w:hAnsi="Calibri" w:cs="Calibri"/>
          <w:b/>
          <w:bCs/>
          <w:i/>
          <w:iCs/>
          <w:sz w:val="18"/>
          <w:szCs w:val="18"/>
          <w:lang w:val="en-AU"/>
        </w:rPr>
        <w:lastRenderedPageBreak/>
        <w:t xml:space="preserve">Table 5: </w:t>
      </w:r>
      <w:r w:rsidR="00005408" w:rsidRPr="000348BD">
        <w:rPr>
          <w:rFonts w:ascii="Calibri" w:hAnsi="Calibri" w:cs="Calibri"/>
          <w:b/>
          <w:bCs/>
          <w:i/>
          <w:iCs/>
          <w:color w:val="000000"/>
          <w:sz w:val="18"/>
          <w:szCs w:val="18"/>
          <w:lang w:val="en-AU"/>
        </w:rPr>
        <w:t>Summary</w:t>
      </w:r>
      <w:r w:rsidRPr="000348BD">
        <w:rPr>
          <w:rFonts w:ascii="Calibri" w:hAnsi="Calibri" w:cs="Calibri"/>
          <w:b/>
          <w:bCs/>
          <w:i/>
          <w:iCs/>
          <w:color w:val="000000"/>
          <w:sz w:val="18"/>
          <w:szCs w:val="18"/>
          <w:lang w:val="en-AU"/>
        </w:rPr>
        <w:t xml:space="preserve"> of Pillar 2</w:t>
      </w:r>
      <w:r w:rsidR="0013617E" w:rsidRPr="000348BD">
        <w:rPr>
          <w:rFonts w:ascii="Calibri" w:hAnsi="Calibri" w:cs="Calibri"/>
          <w:b/>
          <w:bCs/>
          <w:i/>
          <w:iCs/>
          <w:color w:val="000000"/>
          <w:sz w:val="18"/>
          <w:szCs w:val="18"/>
          <w:lang w:val="en-AU"/>
        </w:rPr>
        <w:t xml:space="preserve"> </w:t>
      </w:r>
      <w:r w:rsidRPr="000348BD">
        <w:rPr>
          <w:rFonts w:ascii="Calibri" w:hAnsi="Calibri" w:cs="Calibri"/>
          <w:b/>
          <w:bCs/>
          <w:i/>
          <w:iCs/>
          <w:color w:val="000000"/>
          <w:sz w:val="18"/>
          <w:szCs w:val="18"/>
          <w:lang w:val="en-AU"/>
        </w:rPr>
        <w:t>Results</w:t>
      </w:r>
    </w:p>
    <w:tbl>
      <w:tblPr>
        <w:tblStyle w:val="TableGrid"/>
        <w:tblW w:w="9781" w:type="dxa"/>
        <w:tblInd w:w="-147" w:type="dxa"/>
        <w:tblLook w:val="04A0" w:firstRow="1" w:lastRow="0" w:firstColumn="1" w:lastColumn="0" w:noHBand="0" w:noVBand="1"/>
      </w:tblPr>
      <w:tblGrid>
        <w:gridCol w:w="5812"/>
        <w:gridCol w:w="1418"/>
        <w:gridCol w:w="1417"/>
        <w:gridCol w:w="1134"/>
      </w:tblGrid>
      <w:tr w:rsidR="00752C0B" w:rsidRPr="00FF0016" w14:paraId="29A65307" w14:textId="77777777" w:rsidTr="00361731">
        <w:trPr>
          <w:tblHeader/>
        </w:trPr>
        <w:tc>
          <w:tcPr>
            <w:tcW w:w="5812" w:type="dxa"/>
            <w:tcBorders>
              <w:top w:val="single" w:sz="8" w:space="0" w:color="auto"/>
              <w:left w:val="single" w:sz="4" w:space="0" w:color="auto"/>
              <w:bottom w:val="single" w:sz="4" w:space="0" w:color="auto"/>
              <w:right w:val="single" w:sz="4" w:space="0" w:color="auto"/>
            </w:tcBorders>
            <w:shd w:val="clear" w:color="000000" w:fill="CAEDFB"/>
            <w:vAlign w:val="center"/>
          </w:tcPr>
          <w:p w14:paraId="05697252" w14:textId="77777777" w:rsidR="00752C0B" w:rsidRDefault="00752C0B" w:rsidP="00361731">
            <w:pPr>
              <w:autoSpaceDE w:val="0"/>
              <w:autoSpaceDN w:val="0"/>
              <w:adjustRightInd w:val="0"/>
              <w:spacing w:after="120"/>
              <w:jc w:val="both"/>
              <w:rPr>
                <w:sz w:val="18"/>
                <w:szCs w:val="18"/>
                <w:lang w:val="en-AU"/>
              </w:rPr>
            </w:pPr>
            <w:r w:rsidRPr="004F707C">
              <w:rPr>
                <w:rFonts w:ascii="Calibri" w:hAnsi="Calibri" w:cs="Calibri"/>
                <w:b/>
                <w:bCs/>
                <w:color w:val="000000"/>
                <w:sz w:val="20"/>
                <w:szCs w:val="20"/>
                <w:lang w:val="en-AU"/>
              </w:rPr>
              <w:t>Viet Nam Green Buildings - OUTPUTS</w:t>
            </w:r>
          </w:p>
        </w:tc>
        <w:tc>
          <w:tcPr>
            <w:tcW w:w="1418" w:type="dxa"/>
            <w:tcBorders>
              <w:top w:val="single" w:sz="8" w:space="0" w:color="auto"/>
              <w:left w:val="nil"/>
              <w:bottom w:val="single" w:sz="4" w:space="0" w:color="auto"/>
              <w:right w:val="single" w:sz="4" w:space="0" w:color="auto"/>
            </w:tcBorders>
            <w:shd w:val="clear" w:color="000000" w:fill="CAEDFB"/>
            <w:vAlign w:val="center"/>
          </w:tcPr>
          <w:p w14:paraId="39537A26"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Cumulative Results till Dec 2025</w:t>
            </w:r>
          </w:p>
        </w:tc>
        <w:tc>
          <w:tcPr>
            <w:tcW w:w="1417" w:type="dxa"/>
            <w:tcBorders>
              <w:top w:val="single" w:sz="8" w:space="0" w:color="auto"/>
              <w:left w:val="nil"/>
              <w:bottom w:val="single" w:sz="4" w:space="0" w:color="auto"/>
              <w:right w:val="single" w:sz="4" w:space="0" w:color="auto"/>
            </w:tcBorders>
            <w:shd w:val="clear" w:color="000000" w:fill="CAEDFB"/>
            <w:vAlign w:val="center"/>
          </w:tcPr>
          <w:p w14:paraId="5281CCC9"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tcPr>
          <w:p w14:paraId="589A11B6"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Achieved</w:t>
            </w:r>
          </w:p>
        </w:tc>
      </w:tr>
      <w:tr w:rsidR="00752C0B" w14:paraId="0B0A0917" w14:textId="77777777" w:rsidTr="00361731">
        <w:tc>
          <w:tcPr>
            <w:tcW w:w="5812" w:type="dxa"/>
            <w:vAlign w:val="center"/>
          </w:tcPr>
          <w:p w14:paraId="6CCBFA33"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b/>
                <w:bCs/>
                <w:color w:val="000000"/>
                <w:sz w:val="20"/>
                <w:szCs w:val="20"/>
                <w:lang w:val="en-AU"/>
              </w:rPr>
              <w:t>Component 1: Support the development of Green Building stock</w:t>
            </w:r>
            <w:r w:rsidRPr="00DD4061">
              <w:rPr>
                <w:rFonts w:ascii="Calibri" w:hAnsi="Calibri" w:cs="Calibri"/>
                <w:color w:val="000000"/>
                <w:sz w:val="20"/>
                <w:szCs w:val="20"/>
                <w:lang w:val="en-AU"/>
              </w:rPr>
              <w:t xml:space="preserve"> Number of participants in workshops, training events, seminars, conferences, etc.</w:t>
            </w:r>
          </w:p>
        </w:tc>
        <w:tc>
          <w:tcPr>
            <w:tcW w:w="1418" w:type="dxa"/>
            <w:vAlign w:val="center"/>
          </w:tcPr>
          <w:p w14:paraId="684A5B61"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1,790</w:t>
            </w:r>
          </w:p>
        </w:tc>
        <w:tc>
          <w:tcPr>
            <w:tcW w:w="1417" w:type="dxa"/>
            <w:vAlign w:val="center"/>
          </w:tcPr>
          <w:p w14:paraId="07A084F7"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1,290</w:t>
            </w:r>
          </w:p>
        </w:tc>
        <w:tc>
          <w:tcPr>
            <w:tcW w:w="1134" w:type="dxa"/>
          </w:tcPr>
          <w:p w14:paraId="55431F06"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US"/>
              </w:rPr>
              <w:t>Yes</w:t>
            </w:r>
          </w:p>
        </w:tc>
      </w:tr>
      <w:tr w:rsidR="00752C0B" w14:paraId="616B303E" w14:textId="77777777" w:rsidTr="00361731">
        <w:tc>
          <w:tcPr>
            <w:tcW w:w="5812" w:type="dxa"/>
            <w:vAlign w:val="center"/>
          </w:tcPr>
          <w:p w14:paraId="1B0B7E04" w14:textId="77777777" w:rsidR="00752C0B" w:rsidRDefault="00752C0B" w:rsidP="00361731">
            <w:pPr>
              <w:autoSpaceDE w:val="0"/>
              <w:autoSpaceDN w:val="0"/>
              <w:adjustRightInd w:val="0"/>
              <w:spacing w:after="120"/>
              <w:jc w:val="both"/>
              <w:rPr>
                <w:sz w:val="18"/>
                <w:szCs w:val="18"/>
                <w:lang w:val="en-AU"/>
              </w:rPr>
            </w:pPr>
            <w:r w:rsidRPr="002945EB">
              <w:rPr>
                <w:rFonts w:ascii="Calibri" w:hAnsi="Calibri" w:cs="Calibri"/>
                <w:color w:val="000000"/>
                <w:sz w:val="20"/>
                <w:szCs w:val="20"/>
                <w:lang w:val="en-AU"/>
              </w:rPr>
              <w:t>Number of female participants in workshops, training events, seminars, conferences, etc</w:t>
            </w:r>
          </w:p>
        </w:tc>
        <w:tc>
          <w:tcPr>
            <w:tcW w:w="1418" w:type="dxa"/>
            <w:vAlign w:val="center"/>
          </w:tcPr>
          <w:p w14:paraId="22EE1DF2"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644</w:t>
            </w:r>
          </w:p>
        </w:tc>
        <w:tc>
          <w:tcPr>
            <w:tcW w:w="1417" w:type="dxa"/>
            <w:vAlign w:val="center"/>
          </w:tcPr>
          <w:p w14:paraId="23FF9320"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387</w:t>
            </w:r>
          </w:p>
        </w:tc>
        <w:tc>
          <w:tcPr>
            <w:tcW w:w="1134" w:type="dxa"/>
          </w:tcPr>
          <w:p w14:paraId="2A99980F"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US"/>
              </w:rPr>
              <w:t>Yes</w:t>
            </w:r>
          </w:p>
        </w:tc>
      </w:tr>
      <w:tr w:rsidR="00752C0B" w14:paraId="0E0D145C" w14:textId="77777777" w:rsidTr="00361731">
        <w:tc>
          <w:tcPr>
            <w:tcW w:w="5812" w:type="dxa"/>
            <w:vAlign w:val="center"/>
          </w:tcPr>
          <w:p w14:paraId="6826AE96" w14:textId="77777777" w:rsidR="00752C0B" w:rsidRDefault="00752C0B" w:rsidP="00361731">
            <w:pPr>
              <w:autoSpaceDE w:val="0"/>
              <w:autoSpaceDN w:val="0"/>
              <w:adjustRightInd w:val="0"/>
              <w:spacing w:after="120"/>
              <w:jc w:val="both"/>
              <w:rPr>
                <w:sz w:val="18"/>
                <w:szCs w:val="18"/>
                <w:lang w:val="en-AU"/>
              </w:rPr>
            </w:pPr>
            <w:r w:rsidRPr="00331C65">
              <w:rPr>
                <w:rFonts w:ascii="Calibri" w:hAnsi="Calibri" w:cs="Calibri"/>
                <w:color w:val="000000"/>
                <w:sz w:val="20"/>
                <w:szCs w:val="20"/>
                <w:lang w:val="en-AU"/>
              </w:rPr>
              <w:t>Number of participants reporting satisfied or very satisfied with workshops, training, seminars, conference, etc.</w:t>
            </w:r>
            <w:r w:rsidRPr="00DD4061">
              <w:rPr>
                <w:rFonts w:ascii="Calibri" w:hAnsi="Calibri" w:cs="Calibri"/>
                <w:color w:val="000000"/>
                <w:sz w:val="20"/>
                <w:szCs w:val="20"/>
                <w:lang w:val="en-AU"/>
              </w:rPr>
              <w:t xml:space="preserve">     </w:t>
            </w:r>
          </w:p>
        </w:tc>
        <w:tc>
          <w:tcPr>
            <w:tcW w:w="1418" w:type="dxa"/>
            <w:vAlign w:val="center"/>
          </w:tcPr>
          <w:p w14:paraId="2F049832"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662</w:t>
            </w:r>
          </w:p>
        </w:tc>
        <w:tc>
          <w:tcPr>
            <w:tcW w:w="1417" w:type="dxa"/>
            <w:vAlign w:val="center"/>
          </w:tcPr>
          <w:p w14:paraId="5E4F78A0"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621</w:t>
            </w:r>
          </w:p>
        </w:tc>
        <w:tc>
          <w:tcPr>
            <w:tcW w:w="1134" w:type="dxa"/>
          </w:tcPr>
          <w:p w14:paraId="2F8B4CC6"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US"/>
              </w:rPr>
              <w:t>Yes</w:t>
            </w:r>
          </w:p>
        </w:tc>
      </w:tr>
      <w:tr w:rsidR="00752C0B" w14:paraId="1CA872BB" w14:textId="77777777" w:rsidTr="00361731">
        <w:tc>
          <w:tcPr>
            <w:tcW w:w="5812" w:type="dxa"/>
            <w:vAlign w:val="center"/>
          </w:tcPr>
          <w:p w14:paraId="26D2CB64"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b/>
                <w:bCs/>
                <w:color w:val="000000"/>
                <w:sz w:val="20"/>
                <w:szCs w:val="20"/>
                <w:lang w:val="en-AU"/>
              </w:rPr>
              <w:t>Component 2: Support upstream Green Building investment</w:t>
            </w:r>
            <w:r>
              <w:rPr>
                <w:rFonts w:ascii="Calibri" w:hAnsi="Calibri" w:cs="Calibri"/>
                <w:b/>
                <w:bCs/>
                <w:color w:val="000000"/>
                <w:sz w:val="20"/>
                <w:szCs w:val="20"/>
                <w:lang w:val="en-AU"/>
              </w:rPr>
              <w:t xml:space="preserve"> - </w:t>
            </w:r>
            <w:r w:rsidRPr="00DD4061">
              <w:rPr>
                <w:rFonts w:ascii="Calibri" w:hAnsi="Calibri" w:cs="Calibri"/>
                <w:color w:val="000000"/>
                <w:sz w:val="20"/>
                <w:szCs w:val="20"/>
                <w:lang w:val="en-AU"/>
              </w:rPr>
              <w:t>Number of IFC green building investment transactions supported</w:t>
            </w:r>
          </w:p>
        </w:tc>
        <w:tc>
          <w:tcPr>
            <w:tcW w:w="1418" w:type="dxa"/>
            <w:vAlign w:val="center"/>
          </w:tcPr>
          <w:p w14:paraId="7FD1771E"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3</w:t>
            </w:r>
          </w:p>
        </w:tc>
        <w:tc>
          <w:tcPr>
            <w:tcW w:w="1417" w:type="dxa"/>
            <w:vAlign w:val="center"/>
          </w:tcPr>
          <w:p w14:paraId="21D3B828"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3</w:t>
            </w:r>
          </w:p>
        </w:tc>
        <w:tc>
          <w:tcPr>
            <w:tcW w:w="1134" w:type="dxa"/>
          </w:tcPr>
          <w:p w14:paraId="5DB8FC00"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US"/>
              </w:rPr>
              <w:t>Yes</w:t>
            </w:r>
          </w:p>
        </w:tc>
      </w:tr>
      <w:tr w:rsidR="00752C0B" w14:paraId="03E314F6" w14:textId="77777777" w:rsidTr="00361731">
        <w:tc>
          <w:tcPr>
            <w:tcW w:w="5812" w:type="dxa"/>
            <w:vAlign w:val="center"/>
          </w:tcPr>
          <w:p w14:paraId="0546248A"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b/>
                <w:bCs/>
                <w:color w:val="000000"/>
                <w:sz w:val="20"/>
                <w:szCs w:val="20"/>
                <w:lang w:val="en-AU"/>
              </w:rPr>
              <w:t>Component 3: Create market-ready Green Building professionals</w:t>
            </w:r>
            <w:r>
              <w:rPr>
                <w:rFonts w:ascii="Calibri" w:hAnsi="Calibri" w:cs="Calibri"/>
                <w:b/>
                <w:bCs/>
                <w:color w:val="000000"/>
                <w:sz w:val="20"/>
                <w:szCs w:val="20"/>
                <w:lang w:val="en-AU"/>
              </w:rPr>
              <w:t xml:space="preserve"> - </w:t>
            </w:r>
            <w:r w:rsidRPr="00DD4061">
              <w:rPr>
                <w:rFonts w:ascii="Calibri" w:hAnsi="Calibri" w:cs="Calibri"/>
                <w:color w:val="000000"/>
                <w:sz w:val="20"/>
                <w:szCs w:val="20"/>
                <w:lang w:val="en-AU"/>
              </w:rPr>
              <w:t>Number of educational entities (e.g. universities, professional organizations) receiving advisory services</w:t>
            </w:r>
          </w:p>
        </w:tc>
        <w:tc>
          <w:tcPr>
            <w:tcW w:w="1418" w:type="dxa"/>
            <w:vAlign w:val="center"/>
          </w:tcPr>
          <w:p w14:paraId="6EF462E0"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4</w:t>
            </w:r>
          </w:p>
        </w:tc>
        <w:tc>
          <w:tcPr>
            <w:tcW w:w="1417" w:type="dxa"/>
            <w:vAlign w:val="center"/>
          </w:tcPr>
          <w:p w14:paraId="308213AD"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7</w:t>
            </w:r>
          </w:p>
        </w:tc>
        <w:tc>
          <w:tcPr>
            <w:tcW w:w="1134" w:type="dxa"/>
            <w:vAlign w:val="center"/>
          </w:tcPr>
          <w:p w14:paraId="0939A7B2"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57%</w:t>
            </w:r>
          </w:p>
        </w:tc>
      </w:tr>
      <w:tr w:rsidR="00752C0B" w14:paraId="69A51CE2" w14:textId="77777777" w:rsidTr="00361731">
        <w:tc>
          <w:tcPr>
            <w:tcW w:w="5812" w:type="dxa"/>
            <w:vAlign w:val="center"/>
          </w:tcPr>
          <w:p w14:paraId="39A7C4CF"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color w:val="000000"/>
                <w:sz w:val="20"/>
                <w:szCs w:val="20"/>
                <w:lang w:val="en-AU"/>
              </w:rPr>
              <w:t>Number of university staff or professional trainers trained to deliver new or improved green building training</w:t>
            </w:r>
          </w:p>
        </w:tc>
        <w:tc>
          <w:tcPr>
            <w:tcW w:w="1418" w:type="dxa"/>
            <w:vAlign w:val="center"/>
          </w:tcPr>
          <w:p w14:paraId="74360FD0"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44</w:t>
            </w:r>
          </w:p>
        </w:tc>
        <w:tc>
          <w:tcPr>
            <w:tcW w:w="1417" w:type="dxa"/>
            <w:vAlign w:val="center"/>
          </w:tcPr>
          <w:p w14:paraId="59099DDD"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AU"/>
              </w:rPr>
              <w:t>42</w:t>
            </w:r>
          </w:p>
        </w:tc>
        <w:tc>
          <w:tcPr>
            <w:tcW w:w="1134" w:type="dxa"/>
          </w:tcPr>
          <w:p w14:paraId="758AD1F2" w14:textId="77777777" w:rsidR="00752C0B" w:rsidRDefault="00752C0B" w:rsidP="00361731">
            <w:pPr>
              <w:autoSpaceDE w:val="0"/>
              <w:autoSpaceDN w:val="0"/>
              <w:adjustRightInd w:val="0"/>
              <w:spacing w:after="120"/>
              <w:jc w:val="center"/>
              <w:rPr>
                <w:sz w:val="18"/>
                <w:szCs w:val="18"/>
                <w:lang w:val="en-AU"/>
              </w:rPr>
            </w:pPr>
            <w:r w:rsidRPr="008D711B">
              <w:rPr>
                <w:rFonts w:ascii="Calibri" w:hAnsi="Calibri" w:cs="Calibri"/>
                <w:color w:val="000000"/>
                <w:sz w:val="20"/>
                <w:szCs w:val="20"/>
                <w:lang w:val="en-US"/>
              </w:rPr>
              <w:t>Yes</w:t>
            </w:r>
          </w:p>
        </w:tc>
      </w:tr>
    </w:tbl>
    <w:p w14:paraId="7E52008F" w14:textId="77777777" w:rsidR="00752C0B" w:rsidRDefault="00752C0B" w:rsidP="00752C0B"/>
    <w:tbl>
      <w:tblPr>
        <w:tblStyle w:val="TableGrid"/>
        <w:tblW w:w="9781" w:type="dxa"/>
        <w:tblInd w:w="-147" w:type="dxa"/>
        <w:tblLook w:val="04A0" w:firstRow="1" w:lastRow="0" w:firstColumn="1" w:lastColumn="0" w:noHBand="0" w:noVBand="1"/>
      </w:tblPr>
      <w:tblGrid>
        <w:gridCol w:w="5812"/>
        <w:gridCol w:w="1418"/>
        <w:gridCol w:w="1417"/>
        <w:gridCol w:w="1134"/>
      </w:tblGrid>
      <w:tr w:rsidR="00752C0B" w:rsidRPr="00FF0016" w14:paraId="19F6CD62" w14:textId="77777777" w:rsidTr="00361731">
        <w:trPr>
          <w:tblHeader/>
        </w:trPr>
        <w:tc>
          <w:tcPr>
            <w:tcW w:w="5812" w:type="dxa"/>
            <w:tcBorders>
              <w:top w:val="single" w:sz="8" w:space="0" w:color="auto"/>
              <w:left w:val="single" w:sz="4" w:space="0" w:color="auto"/>
              <w:bottom w:val="single" w:sz="4" w:space="0" w:color="auto"/>
              <w:right w:val="single" w:sz="4" w:space="0" w:color="auto"/>
            </w:tcBorders>
            <w:shd w:val="clear" w:color="000000" w:fill="CAEDFB"/>
            <w:vAlign w:val="center"/>
          </w:tcPr>
          <w:p w14:paraId="2AEC74D2" w14:textId="77777777" w:rsidR="00752C0B" w:rsidRDefault="00752C0B" w:rsidP="00361731">
            <w:pPr>
              <w:autoSpaceDE w:val="0"/>
              <w:autoSpaceDN w:val="0"/>
              <w:adjustRightInd w:val="0"/>
              <w:spacing w:after="120"/>
              <w:jc w:val="both"/>
              <w:rPr>
                <w:sz w:val="18"/>
                <w:szCs w:val="18"/>
                <w:lang w:val="en-AU"/>
              </w:rPr>
            </w:pPr>
            <w:r w:rsidRPr="004F707C">
              <w:rPr>
                <w:rFonts w:ascii="Calibri" w:hAnsi="Calibri" w:cs="Calibri"/>
                <w:b/>
                <w:bCs/>
                <w:color w:val="000000"/>
                <w:sz w:val="20"/>
                <w:szCs w:val="20"/>
                <w:lang w:val="en-AU"/>
              </w:rPr>
              <w:t>Viet Nam Green Buildings - OUT</w:t>
            </w:r>
            <w:r>
              <w:rPr>
                <w:rFonts w:ascii="Calibri" w:hAnsi="Calibri" w:cs="Calibri"/>
                <w:b/>
                <w:bCs/>
                <w:color w:val="000000"/>
                <w:sz w:val="20"/>
                <w:szCs w:val="20"/>
                <w:lang w:val="en-AU"/>
              </w:rPr>
              <w:t>COME</w:t>
            </w:r>
          </w:p>
        </w:tc>
        <w:tc>
          <w:tcPr>
            <w:tcW w:w="1418" w:type="dxa"/>
            <w:tcBorders>
              <w:top w:val="single" w:sz="8" w:space="0" w:color="auto"/>
              <w:left w:val="nil"/>
              <w:bottom w:val="single" w:sz="4" w:space="0" w:color="auto"/>
              <w:right w:val="single" w:sz="4" w:space="0" w:color="auto"/>
            </w:tcBorders>
            <w:shd w:val="clear" w:color="000000" w:fill="CAEDFB"/>
            <w:vAlign w:val="center"/>
          </w:tcPr>
          <w:p w14:paraId="4C4A7454"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Cumulative Results till Dec 2025</w:t>
            </w:r>
          </w:p>
        </w:tc>
        <w:tc>
          <w:tcPr>
            <w:tcW w:w="1417" w:type="dxa"/>
            <w:tcBorders>
              <w:top w:val="single" w:sz="8" w:space="0" w:color="auto"/>
              <w:left w:val="nil"/>
              <w:bottom w:val="single" w:sz="4" w:space="0" w:color="auto"/>
              <w:right w:val="single" w:sz="4" w:space="0" w:color="auto"/>
            </w:tcBorders>
            <w:shd w:val="clear" w:color="000000" w:fill="CAEDFB"/>
            <w:vAlign w:val="center"/>
          </w:tcPr>
          <w:p w14:paraId="5F5DA4C3"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tcPr>
          <w:p w14:paraId="2686BC69" w14:textId="77777777" w:rsidR="00752C0B" w:rsidRPr="00FF0016" w:rsidRDefault="00752C0B" w:rsidP="00361731">
            <w:pPr>
              <w:autoSpaceDE w:val="0"/>
              <w:autoSpaceDN w:val="0"/>
              <w:adjustRightInd w:val="0"/>
              <w:spacing w:after="120"/>
              <w:jc w:val="center"/>
              <w:rPr>
                <w:sz w:val="20"/>
                <w:szCs w:val="20"/>
                <w:lang w:val="en-AU"/>
              </w:rPr>
            </w:pPr>
            <w:r w:rsidRPr="00FF0016">
              <w:rPr>
                <w:rFonts w:ascii="Calibri" w:hAnsi="Calibri" w:cs="Calibri"/>
                <w:b/>
                <w:bCs/>
                <w:color w:val="000000"/>
                <w:sz w:val="20"/>
                <w:szCs w:val="20"/>
                <w:lang w:val="en-AU"/>
              </w:rPr>
              <w:t>Achieved</w:t>
            </w:r>
          </w:p>
        </w:tc>
      </w:tr>
      <w:tr w:rsidR="00752C0B" w14:paraId="6316B939" w14:textId="77777777" w:rsidTr="00361731">
        <w:tc>
          <w:tcPr>
            <w:tcW w:w="5812" w:type="dxa"/>
            <w:vAlign w:val="center"/>
          </w:tcPr>
          <w:p w14:paraId="2C31D5C9" w14:textId="77777777" w:rsidR="00752C0B" w:rsidRDefault="00752C0B" w:rsidP="00361731">
            <w:pPr>
              <w:autoSpaceDE w:val="0"/>
              <w:autoSpaceDN w:val="0"/>
              <w:adjustRightInd w:val="0"/>
              <w:spacing w:after="120"/>
              <w:jc w:val="both"/>
              <w:rPr>
                <w:rFonts w:ascii="Calibri" w:hAnsi="Calibri" w:cs="Calibri"/>
                <w:b/>
                <w:bCs/>
                <w:color w:val="000000"/>
                <w:sz w:val="20"/>
                <w:szCs w:val="20"/>
                <w:lang w:val="en-AU"/>
              </w:rPr>
            </w:pPr>
            <w:r w:rsidRPr="00DD4061">
              <w:rPr>
                <w:rFonts w:ascii="Calibri" w:hAnsi="Calibri" w:cs="Calibri"/>
                <w:b/>
                <w:bCs/>
                <w:color w:val="000000"/>
                <w:sz w:val="20"/>
                <w:szCs w:val="20"/>
                <w:lang w:val="en-AU"/>
              </w:rPr>
              <w:t>Component 1: Support the development of Green Building stock</w:t>
            </w:r>
          </w:p>
          <w:p w14:paraId="0EE347CE" w14:textId="77777777" w:rsidR="00752C0B" w:rsidRDefault="00752C0B" w:rsidP="00361731">
            <w:pPr>
              <w:autoSpaceDE w:val="0"/>
              <w:autoSpaceDN w:val="0"/>
              <w:adjustRightInd w:val="0"/>
              <w:spacing w:after="120"/>
              <w:rPr>
                <w:sz w:val="18"/>
                <w:szCs w:val="18"/>
                <w:lang w:val="en-AU"/>
              </w:rPr>
            </w:pPr>
            <w:r w:rsidRPr="00DD4061">
              <w:rPr>
                <w:rFonts w:ascii="Calibri" w:hAnsi="Calibri" w:cs="Calibri"/>
                <w:color w:val="000000"/>
                <w:sz w:val="20"/>
                <w:szCs w:val="20"/>
                <w:lang w:val="en-AU"/>
              </w:rPr>
              <w:t>Number of participants reporting improved knowledge/awareness/practices</w:t>
            </w:r>
          </w:p>
        </w:tc>
        <w:tc>
          <w:tcPr>
            <w:tcW w:w="1418" w:type="dxa"/>
            <w:vAlign w:val="center"/>
          </w:tcPr>
          <w:p w14:paraId="40465DC3"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697</w:t>
            </w:r>
          </w:p>
        </w:tc>
        <w:tc>
          <w:tcPr>
            <w:tcW w:w="1417" w:type="dxa"/>
            <w:vAlign w:val="center"/>
          </w:tcPr>
          <w:p w14:paraId="6687D6F5"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462</w:t>
            </w:r>
          </w:p>
        </w:tc>
        <w:tc>
          <w:tcPr>
            <w:tcW w:w="1134" w:type="dxa"/>
          </w:tcPr>
          <w:p w14:paraId="4D2D6F61" w14:textId="77777777" w:rsidR="00752C0B" w:rsidRDefault="00752C0B" w:rsidP="00361731">
            <w:pPr>
              <w:autoSpaceDE w:val="0"/>
              <w:autoSpaceDN w:val="0"/>
              <w:adjustRightInd w:val="0"/>
              <w:spacing w:after="120"/>
              <w:jc w:val="center"/>
              <w:rPr>
                <w:sz w:val="18"/>
                <w:szCs w:val="18"/>
                <w:lang w:val="en-AU"/>
              </w:rPr>
            </w:pPr>
            <w:r w:rsidRPr="00331C65">
              <w:rPr>
                <w:rFonts w:ascii="Calibri" w:hAnsi="Calibri" w:cs="Calibri"/>
                <w:color w:val="000000"/>
                <w:sz w:val="20"/>
                <w:szCs w:val="20"/>
                <w:lang w:val="en-US"/>
              </w:rPr>
              <w:t>Yes</w:t>
            </w:r>
          </w:p>
        </w:tc>
      </w:tr>
      <w:tr w:rsidR="00752C0B" w14:paraId="0A12E6F8" w14:textId="77777777" w:rsidTr="00361731">
        <w:tc>
          <w:tcPr>
            <w:tcW w:w="5812" w:type="dxa"/>
            <w:vAlign w:val="center"/>
          </w:tcPr>
          <w:p w14:paraId="79CCA981"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color w:val="000000"/>
                <w:sz w:val="20"/>
                <w:szCs w:val="20"/>
                <w:lang w:val="en-AU"/>
              </w:rPr>
              <w:t>Floor space that received post-design EDGE Preliminary Certification (m2)</w:t>
            </w:r>
          </w:p>
        </w:tc>
        <w:tc>
          <w:tcPr>
            <w:tcW w:w="1418" w:type="dxa"/>
            <w:vAlign w:val="center"/>
          </w:tcPr>
          <w:p w14:paraId="3B8FA5FC"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5,094,986</w:t>
            </w:r>
          </w:p>
        </w:tc>
        <w:tc>
          <w:tcPr>
            <w:tcW w:w="1417" w:type="dxa"/>
            <w:vAlign w:val="center"/>
          </w:tcPr>
          <w:p w14:paraId="10DF9296"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3,928,126</w:t>
            </w:r>
          </w:p>
        </w:tc>
        <w:tc>
          <w:tcPr>
            <w:tcW w:w="1134" w:type="dxa"/>
          </w:tcPr>
          <w:p w14:paraId="6BBE997B" w14:textId="77777777" w:rsidR="00752C0B" w:rsidRDefault="00752C0B" w:rsidP="00361731">
            <w:pPr>
              <w:autoSpaceDE w:val="0"/>
              <w:autoSpaceDN w:val="0"/>
              <w:adjustRightInd w:val="0"/>
              <w:spacing w:after="120"/>
              <w:jc w:val="center"/>
              <w:rPr>
                <w:sz w:val="18"/>
                <w:szCs w:val="18"/>
                <w:lang w:val="en-AU"/>
              </w:rPr>
            </w:pPr>
            <w:r w:rsidRPr="0078013A">
              <w:rPr>
                <w:rFonts w:ascii="Calibri" w:hAnsi="Calibri" w:cs="Calibri"/>
                <w:color w:val="000000"/>
                <w:sz w:val="20"/>
                <w:szCs w:val="20"/>
                <w:lang w:val="en-US"/>
              </w:rPr>
              <w:t>Yes</w:t>
            </w:r>
          </w:p>
        </w:tc>
      </w:tr>
      <w:tr w:rsidR="00752C0B" w14:paraId="36E260B3" w14:textId="77777777" w:rsidTr="00361731">
        <w:tc>
          <w:tcPr>
            <w:tcW w:w="5812" w:type="dxa"/>
            <w:vAlign w:val="center"/>
          </w:tcPr>
          <w:p w14:paraId="12335F22"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color w:val="000000"/>
                <w:sz w:val="20"/>
                <w:szCs w:val="20"/>
                <w:lang w:val="en-AU"/>
              </w:rPr>
              <w:t>Floor space that received Final (post-construction) EDGE Certification (m2)</w:t>
            </w:r>
          </w:p>
        </w:tc>
        <w:tc>
          <w:tcPr>
            <w:tcW w:w="1418" w:type="dxa"/>
            <w:vAlign w:val="center"/>
          </w:tcPr>
          <w:p w14:paraId="57D5672E"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2,366,738*</w:t>
            </w:r>
          </w:p>
        </w:tc>
        <w:tc>
          <w:tcPr>
            <w:tcW w:w="1417" w:type="dxa"/>
            <w:vAlign w:val="center"/>
          </w:tcPr>
          <w:p w14:paraId="30E422A8"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1,571,249*</w:t>
            </w:r>
          </w:p>
        </w:tc>
        <w:tc>
          <w:tcPr>
            <w:tcW w:w="1134" w:type="dxa"/>
          </w:tcPr>
          <w:p w14:paraId="4B8B37A4" w14:textId="77777777" w:rsidR="00752C0B" w:rsidRDefault="00752C0B" w:rsidP="00361731">
            <w:pPr>
              <w:autoSpaceDE w:val="0"/>
              <w:autoSpaceDN w:val="0"/>
              <w:adjustRightInd w:val="0"/>
              <w:spacing w:after="120"/>
              <w:jc w:val="center"/>
              <w:rPr>
                <w:sz w:val="18"/>
                <w:szCs w:val="18"/>
                <w:lang w:val="en-AU"/>
              </w:rPr>
            </w:pPr>
            <w:r w:rsidRPr="0078013A">
              <w:rPr>
                <w:rFonts w:ascii="Calibri" w:hAnsi="Calibri" w:cs="Calibri"/>
                <w:color w:val="000000"/>
                <w:sz w:val="20"/>
                <w:szCs w:val="20"/>
                <w:lang w:val="en-US"/>
              </w:rPr>
              <w:t>Yes</w:t>
            </w:r>
          </w:p>
        </w:tc>
      </w:tr>
      <w:tr w:rsidR="00752C0B" w14:paraId="5DED3040" w14:textId="77777777" w:rsidTr="00361731">
        <w:tc>
          <w:tcPr>
            <w:tcW w:w="5812" w:type="dxa"/>
            <w:vAlign w:val="center"/>
          </w:tcPr>
          <w:p w14:paraId="25A48FDE" w14:textId="77777777" w:rsidR="00752C0B" w:rsidRDefault="00752C0B" w:rsidP="00361731">
            <w:pPr>
              <w:autoSpaceDE w:val="0"/>
              <w:autoSpaceDN w:val="0"/>
              <w:adjustRightInd w:val="0"/>
              <w:spacing w:after="120"/>
              <w:jc w:val="both"/>
              <w:rPr>
                <w:rFonts w:ascii="Calibri" w:hAnsi="Calibri" w:cs="Calibri"/>
                <w:b/>
                <w:bCs/>
                <w:color w:val="000000"/>
                <w:sz w:val="20"/>
                <w:szCs w:val="20"/>
                <w:lang w:val="en-AU"/>
              </w:rPr>
            </w:pPr>
            <w:r w:rsidRPr="00DD4061">
              <w:rPr>
                <w:rFonts w:ascii="Calibri" w:hAnsi="Calibri" w:cs="Calibri"/>
                <w:b/>
                <w:bCs/>
                <w:color w:val="000000"/>
                <w:sz w:val="20"/>
                <w:szCs w:val="20"/>
                <w:lang w:val="en-AU"/>
              </w:rPr>
              <w:t>Component 2: Support upstream Green Building investment</w:t>
            </w:r>
          </w:p>
          <w:p w14:paraId="352FED26" w14:textId="77777777" w:rsidR="00752C0B" w:rsidRDefault="00752C0B" w:rsidP="00361731">
            <w:pPr>
              <w:autoSpaceDE w:val="0"/>
              <w:autoSpaceDN w:val="0"/>
              <w:adjustRightInd w:val="0"/>
              <w:spacing w:after="120"/>
              <w:jc w:val="both"/>
              <w:rPr>
                <w:sz w:val="18"/>
                <w:szCs w:val="18"/>
                <w:lang w:val="en-AU"/>
              </w:rPr>
            </w:pPr>
            <w:r w:rsidRPr="00DD4061">
              <w:rPr>
                <w:rFonts w:ascii="Calibri" w:hAnsi="Calibri" w:cs="Calibri"/>
                <w:color w:val="000000"/>
                <w:sz w:val="20"/>
                <w:szCs w:val="20"/>
                <w:lang w:val="en-AU"/>
              </w:rPr>
              <w:t>Value of IFC green building investments supported (USD)</w:t>
            </w:r>
          </w:p>
        </w:tc>
        <w:tc>
          <w:tcPr>
            <w:tcW w:w="1418" w:type="dxa"/>
            <w:vAlign w:val="center"/>
          </w:tcPr>
          <w:p w14:paraId="0AA998CF"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250,000,000</w:t>
            </w:r>
          </w:p>
        </w:tc>
        <w:tc>
          <w:tcPr>
            <w:tcW w:w="1417" w:type="dxa"/>
            <w:vAlign w:val="center"/>
          </w:tcPr>
          <w:p w14:paraId="2757F40C" w14:textId="77777777" w:rsidR="00752C0B" w:rsidRDefault="00752C0B" w:rsidP="00361731">
            <w:pPr>
              <w:autoSpaceDE w:val="0"/>
              <w:autoSpaceDN w:val="0"/>
              <w:adjustRightInd w:val="0"/>
              <w:spacing w:after="120"/>
              <w:jc w:val="center"/>
              <w:rPr>
                <w:sz w:val="18"/>
                <w:szCs w:val="18"/>
                <w:lang w:val="en-AU"/>
              </w:rPr>
            </w:pPr>
            <w:r w:rsidRPr="00DD4061">
              <w:rPr>
                <w:rFonts w:ascii="Calibri" w:hAnsi="Calibri" w:cs="Calibri"/>
                <w:color w:val="000000"/>
                <w:sz w:val="20"/>
                <w:szCs w:val="20"/>
                <w:lang w:val="en-AU"/>
              </w:rPr>
              <w:t>60,000,000</w:t>
            </w:r>
          </w:p>
        </w:tc>
        <w:tc>
          <w:tcPr>
            <w:tcW w:w="1134" w:type="dxa"/>
          </w:tcPr>
          <w:p w14:paraId="7B03DAC8" w14:textId="77777777" w:rsidR="00752C0B" w:rsidRDefault="00752C0B" w:rsidP="00361731">
            <w:pPr>
              <w:autoSpaceDE w:val="0"/>
              <w:autoSpaceDN w:val="0"/>
              <w:adjustRightInd w:val="0"/>
              <w:spacing w:after="120"/>
              <w:jc w:val="center"/>
              <w:rPr>
                <w:sz w:val="18"/>
                <w:szCs w:val="18"/>
                <w:lang w:val="en-AU"/>
              </w:rPr>
            </w:pPr>
            <w:r w:rsidRPr="005319D8">
              <w:rPr>
                <w:rFonts w:ascii="Calibri" w:hAnsi="Calibri" w:cs="Calibri"/>
                <w:color w:val="000000"/>
                <w:sz w:val="20"/>
                <w:szCs w:val="20"/>
                <w:lang w:val="en-US"/>
              </w:rPr>
              <w:t>Yes</w:t>
            </w:r>
          </w:p>
        </w:tc>
      </w:tr>
      <w:tr w:rsidR="00752C0B" w:rsidRPr="00D66DE7" w14:paraId="7EF060E6" w14:textId="77777777" w:rsidTr="00361731">
        <w:tc>
          <w:tcPr>
            <w:tcW w:w="5812" w:type="dxa"/>
            <w:vAlign w:val="center"/>
          </w:tcPr>
          <w:p w14:paraId="6F61025B" w14:textId="77777777" w:rsidR="00752C0B" w:rsidRDefault="00752C0B" w:rsidP="00361731">
            <w:pPr>
              <w:autoSpaceDE w:val="0"/>
              <w:autoSpaceDN w:val="0"/>
              <w:adjustRightInd w:val="0"/>
              <w:spacing w:after="120"/>
              <w:jc w:val="both"/>
              <w:rPr>
                <w:rFonts w:ascii="Calibri" w:hAnsi="Calibri" w:cs="Calibri"/>
                <w:b/>
                <w:bCs/>
                <w:color w:val="000000"/>
                <w:sz w:val="20"/>
                <w:szCs w:val="20"/>
                <w:lang w:val="en-AU"/>
              </w:rPr>
            </w:pPr>
            <w:r w:rsidRPr="00737AEC">
              <w:rPr>
                <w:rFonts w:ascii="Calibri" w:hAnsi="Calibri" w:cs="Calibri"/>
                <w:b/>
                <w:bCs/>
                <w:color w:val="000000"/>
                <w:sz w:val="20"/>
                <w:szCs w:val="20"/>
                <w:lang w:val="en-AU"/>
              </w:rPr>
              <w:t>Component 3: Create market-ready Green Building professionals</w:t>
            </w:r>
          </w:p>
          <w:p w14:paraId="77A4479B" w14:textId="77777777" w:rsidR="00752C0B" w:rsidRDefault="00752C0B" w:rsidP="00361731">
            <w:pPr>
              <w:autoSpaceDE w:val="0"/>
              <w:autoSpaceDN w:val="0"/>
              <w:adjustRightInd w:val="0"/>
              <w:spacing w:after="120"/>
              <w:jc w:val="both"/>
              <w:rPr>
                <w:sz w:val="18"/>
                <w:szCs w:val="18"/>
                <w:lang w:val="en-AU"/>
              </w:rPr>
            </w:pPr>
            <w:r w:rsidRPr="00B17BC9">
              <w:rPr>
                <w:rFonts w:ascii="Calibri" w:hAnsi="Calibri" w:cs="Calibri"/>
                <w:color w:val="000000"/>
                <w:sz w:val="22"/>
                <w:szCs w:val="22"/>
                <w:lang w:val="en-AU"/>
              </w:rPr>
              <w:t>Number of educational entities (e.g. universities, professional organizations) th</w:t>
            </w:r>
            <w:r w:rsidRPr="00737AEC">
              <w:rPr>
                <w:rFonts w:ascii="Calibri" w:hAnsi="Calibri" w:cs="Calibri"/>
                <w:color w:val="000000"/>
                <w:sz w:val="20"/>
                <w:szCs w:val="20"/>
                <w:lang w:val="en-AU"/>
              </w:rPr>
              <w:t>at offer new or improved green building training</w:t>
            </w:r>
          </w:p>
        </w:tc>
        <w:tc>
          <w:tcPr>
            <w:tcW w:w="1418" w:type="dxa"/>
            <w:vAlign w:val="center"/>
          </w:tcPr>
          <w:p w14:paraId="745BEA89"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11</w:t>
            </w:r>
          </w:p>
        </w:tc>
        <w:tc>
          <w:tcPr>
            <w:tcW w:w="1417" w:type="dxa"/>
            <w:vAlign w:val="center"/>
          </w:tcPr>
          <w:p w14:paraId="054172E6"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7</w:t>
            </w:r>
          </w:p>
        </w:tc>
        <w:tc>
          <w:tcPr>
            <w:tcW w:w="1134" w:type="dxa"/>
          </w:tcPr>
          <w:p w14:paraId="7A392FEC"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Yes</w:t>
            </w:r>
          </w:p>
        </w:tc>
      </w:tr>
      <w:tr w:rsidR="00752C0B" w:rsidRPr="00D66DE7" w14:paraId="2C75FCCA" w14:textId="77777777" w:rsidTr="00361731">
        <w:tc>
          <w:tcPr>
            <w:tcW w:w="5812" w:type="dxa"/>
          </w:tcPr>
          <w:p w14:paraId="66C2549C" w14:textId="77777777" w:rsidR="00752C0B" w:rsidRDefault="00752C0B" w:rsidP="00361731">
            <w:pPr>
              <w:autoSpaceDE w:val="0"/>
              <w:autoSpaceDN w:val="0"/>
              <w:adjustRightInd w:val="0"/>
              <w:spacing w:after="120"/>
              <w:jc w:val="both"/>
              <w:rPr>
                <w:sz w:val="18"/>
                <w:szCs w:val="18"/>
                <w:lang w:val="en-AU"/>
              </w:rPr>
            </w:pPr>
            <w:r w:rsidRPr="00737AEC">
              <w:rPr>
                <w:rFonts w:ascii="Calibri" w:hAnsi="Calibri" w:cs="Calibri"/>
                <w:color w:val="000000"/>
                <w:sz w:val="20"/>
                <w:szCs w:val="20"/>
                <w:lang w:val="en-AU"/>
              </w:rPr>
              <w:t>Number of students and professionals trained by project-trained people</w:t>
            </w:r>
          </w:p>
        </w:tc>
        <w:tc>
          <w:tcPr>
            <w:tcW w:w="1418" w:type="dxa"/>
          </w:tcPr>
          <w:p w14:paraId="4834C4A8"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821</w:t>
            </w:r>
          </w:p>
        </w:tc>
        <w:tc>
          <w:tcPr>
            <w:tcW w:w="1417" w:type="dxa"/>
          </w:tcPr>
          <w:p w14:paraId="2B692EA9"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420</w:t>
            </w:r>
          </w:p>
        </w:tc>
        <w:tc>
          <w:tcPr>
            <w:tcW w:w="1134" w:type="dxa"/>
          </w:tcPr>
          <w:p w14:paraId="7D2FC3C3" w14:textId="77777777" w:rsidR="00752C0B" w:rsidRPr="00D66DE7" w:rsidRDefault="00752C0B" w:rsidP="00361731">
            <w:pPr>
              <w:autoSpaceDE w:val="0"/>
              <w:autoSpaceDN w:val="0"/>
              <w:adjustRightInd w:val="0"/>
              <w:spacing w:after="120"/>
              <w:jc w:val="center"/>
              <w:rPr>
                <w:rFonts w:ascii="Calibri" w:hAnsi="Calibri" w:cs="Calibri"/>
                <w:sz w:val="20"/>
                <w:szCs w:val="20"/>
                <w:lang w:val="en-AU"/>
              </w:rPr>
            </w:pPr>
            <w:r w:rsidRPr="00D66DE7">
              <w:rPr>
                <w:rFonts w:ascii="Calibri" w:hAnsi="Calibri" w:cs="Calibri"/>
                <w:sz w:val="20"/>
                <w:szCs w:val="20"/>
                <w:lang w:val="en-AU"/>
              </w:rPr>
              <w:t>Yes</w:t>
            </w:r>
          </w:p>
        </w:tc>
      </w:tr>
      <w:tr w:rsidR="00752C0B" w14:paraId="4B8366F8" w14:textId="77777777" w:rsidTr="00361731">
        <w:tc>
          <w:tcPr>
            <w:tcW w:w="5812" w:type="dxa"/>
          </w:tcPr>
          <w:p w14:paraId="456F890E" w14:textId="77777777" w:rsidR="00752C0B" w:rsidRDefault="00752C0B" w:rsidP="00361731">
            <w:pPr>
              <w:autoSpaceDE w:val="0"/>
              <w:autoSpaceDN w:val="0"/>
              <w:adjustRightInd w:val="0"/>
              <w:spacing w:after="120"/>
              <w:jc w:val="both"/>
              <w:rPr>
                <w:sz w:val="18"/>
                <w:szCs w:val="18"/>
                <w:lang w:val="en-AU"/>
              </w:rPr>
            </w:pPr>
            <w:r w:rsidRPr="00737AEC">
              <w:rPr>
                <w:rFonts w:ascii="Calibri" w:hAnsi="Calibri" w:cs="Calibri"/>
                <w:color w:val="000000"/>
                <w:sz w:val="20"/>
                <w:szCs w:val="20"/>
                <w:lang w:val="en-AU"/>
              </w:rPr>
              <w:t>Number of female students and professionals trained by project-trained people</w:t>
            </w:r>
          </w:p>
        </w:tc>
        <w:tc>
          <w:tcPr>
            <w:tcW w:w="1418" w:type="dxa"/>
            <w:tcBorders>
              <w:top w:val="nil"/>
              <w:left w:val="nil"/>
              <w:bottom w:val="single" w:sz="4" w:space="0" w:color="auto"/>
              <w:right w:val="single" w:sz="4" w:space="0" w:color="auto"/>
            </w:tcBorders>
            <w:vAlign w:val="center"/>
          </w:tcPr>
          <w:p w14:paraId="62E9B65A" w14:textId="77777777" w:rsidR="00752C0B" w:rsidRDefault="00752C0B" w:rsidP="00361731">
            <w:pPr>
              <w:autoSpaceDE w:val="0"/>
              <w:autoSpaceDN w:val="0"/>
              <w:adjustRightInd w:val="0"/>
              <w:spacing w:after="120"/>
              <w:jc w:val="center"/>
              <w:rPr>
                <w:sz w:val="18"/>
                <w:szCs w:val="18"/>
                <w:lang w:val="en-AU"/>
              </w:rPr>
            </w:pPr>
            <w:r w:rsidRPr="00737AEC">
              <w:rPr>
                <w:rFonts w:ascii="Calibri" w:hAnsi="Calibri" w:cs="Calibri"/>
                <w:color w:val="000000"/>
                <w:sz w:val="20"/>
                <w:szCs w:val="20"/>
                <w:lang w:val="en-AU"/>
              </w:rPr>
              <w:t>302</w:t>
            </w:r>
          </w:p>
        </w:tc>
        <w:tc>
          <w:tcPr>
            <w:tcW w:w="1417" w:type="dxa"/>
            <w:tcBorders>
              <w:top w:val="nil"/>
              <w:left w:val="nil"/>
              <w:bottom w:val="single" w:sz="4" w:space="0" w:color="auto"/>
              <w:right w:val="single" w:sz="4" w:space="0" w:color="auto"/>
            </w:tcBorders>
            <w:vAlign w:val="center"/>
          </w:tcPr>
          <w:p w14:paraId="3B05737C" w14:textId="77777777" w:rsidR="00752C0B" w:rsidRDefault="00752C0B" w:rsidP="00361731">
            <w:pPr>
              <w:autoSpaceDE w:val="0"/>
              <w:autoSpaceDN w:val="0"/>
              <w:adjustRightInd w:val="0"/>
              <w:spacing w:after="120"/>
              <w:jc w:val="center"/>
              <w:rPr>
                <w:sz w:val="18"/>
                <w:szCs w:val="18"/>
                <w:lang w:val="en-AU"/>
              </w:rPr>
            </w:pPr>
            <w:r w:rsidRPr="00737AEC">
              <w:rPr>
                <w:rFonts w:ascii="Calibri" w:hAnsi="Calibri" w:cs="Calibri"/>
                <w:color w:val="000000"/>
                <w:sz w:val="20"/>
                <w:szCs w:val="20"/>
                <w:lang w:val="en-AU"/>
              </w:rPr>
              <w:t>126</w:t>
            </w:r>
          </w:p>
        </w:tc>
        <w:tc>
          <w:tcPr>
            <w:tcW w:w="1134" w:type="dxa"/>
            <w:tcBorders>
              <w:top w:val="single" w:sz="4" w:space="0" w:color="auto"/>
              <w:left w:val="nil"/>
              <w:bottom w:val="nil"/>
              <w:right w:val="single" w:sz="4" w:space="0" w:color="auto"/>
            </w:tcBorders>
          </w:tcPr>
          <w:p w14:paraId="5B2C3F40" w14:textId="77777777" w:rsidR="00752C0B" w:rsidRDefault="00752C0B" w:rsidP="00361731">
            <w:pPr>
              <w:autoSpaceDE w:val="0"/>
              <w:autoSpaceDN w:val="0"/>
              <w:adjustRightInd w:val="0"/>
              <w:spacing w:after="120"/>
              <w:jc w:val="center"/>
              <w:rPr>
                <w:sz w:val="18"/>
                <w:szCs w:val="18"/>
                <w:lang w:val="en-AU"/>
              </w:rPr>
            </w:pPr>
            <w:r w:rsidRPr="000533AD">
              <w:rPr>
                <w:rFonts w:ascii="Calibri" w:hAnsi="Calibri" w:cs="Calibri"/>
                <w:sz w:val="20"/>
                <w:szCs w:val="20"/>
                <w:lang w:val="en-US"/>
              </w:rPr>
              <w:t>Yes</w:t>
            </w:r>
          </w:p>
        </w:tc>
      </w:tr>
      <w:tr w:rsidR="00752C0B" w:rsidRPr="003800A3" w14:paraId="7AFD8EB8" w14:textId="77777777" w:rsidTr="00361731">
        <w:tc>
          <w:tcPr>
            <w:tcW w:w="5812" w:type="dxa"/>
          </w:tcPr>
          <w:p w14:paraId="0B122771" w14:textId="77777777" w:rsidR="00752C0B" w:rsidRDefault="00752C0B" w:rsidP="00361731">
            <w:pPr>
              <w:autoSpaceDE w:val="0"/>
              <w:autoSpaceDN w:val="0"/>
              <w:adjustRightInd w:val="0"/>
              <w:spacing w:after="120"/>
              <w:rPr>
                <w:sz w:val="18"/>
                <w:szCs w:val="18"/>
                <w:lang w:val="en-AU"/>
              </w:rPr>
            </w:pPr>
            <w:r w:rsidRPr="00737AEC">
              <w:rPr>
                <w:rFonts w:ascii="Calibri" w:hAnsi="Calibri" w:cs="Calibri"/>
                <w:color w:val="000000"/>
                <w:sz w:val="20"/>
                <w:szCs w:val="20"/>
                <w:lang w:val="en-AU"/>
              </w:rPr>
              <w:t>Number of participants reporting improved knowledge/awareness/practices</w:t>
            </w:r>
          </w:p>
        </w:tc>
        <w:tc>
          <w:tcPr>
            <w:tcW w:w="1418" w:type="dxa"/>
          </w:tcPr>
          <w:p w14:paraId="527FCA61" w14:textId="77777777" w:rsidR="00752C0B" w:rsidRPr="003800A3" w:rsidRDefault="00752C0B" w:rsidP="00361731">
            <w:pPr>
              <w:autoSpaceDE w:val="0"/>
              <w:autoSpaceDN w:val="0"/>
              <w:adjustRightInd w:val="0"/>
              <w:spacing w:after="120"/>
              <w:jc w:val="center"/>
              <w:rPr>
                <w:rFonts w:ascii="Calibri" w:hAnsi="Calibri" w:cs="Calibri"/>
                <w:sz w:val="20"/>
                <w:szCs w:val="20"/>
                <w:lang w:val="en-AU"/>
              </w:rPr>
            </w:pPr>
            <w:r w:rsidRPr="003800A3">
              <w:rPr>
                <w:rFonts w:ascii="Calibri" w:hAnsi="Calibri" w:cs="Calibri"/>
                <w:sz w:val="20"/>
                <w:szCs w:val="20"/>
                <w:lang w:val="en-AU"/>
              </w:rPr>
              <w:t>577</w:t>
            </w:r>
          </w:p>
        </w:tc>
        <w:tc>
          <w:tcPr>
            <w:tcW w:w="1417" w:type="dxa"/>
          </w:tcPr>
          <w:p w14:paraId="0B83CB26" w14:textId="77777777" w:rsidR="00752C0B" w:rsidRPr="003800A3" w:rsidRDefault="00752C0B" w:rsidP="00361731">
            <w:pPr>
              <w:autoSpaceDE w:val="0"/>
              <w:autoSpaceDN w:val="0"/>
              <w:adjustRightInd w:val="0"/>
              <w:spacing w:after="120"/>
              <w:jc w:val="center"/>
              <w:rPr>
                <w:rFonts w:ascii="Calibri" w:hAnsi="Calibri" w:cs="Calibri"/>
                <w:sz w:val="20"/>
                <w:szCs w:val="20"/>
                <w:lang w:val="en-AU"/>
              </w:rPr>
            </w:pPr>
            <w:r w:rsidRPr="003800A3">
              <w:rPr>
                <w:rFonts w:ascii="Calibri" w:hAnsi="Calibri" w:cs="Calibri"/>
                <w:sz w:val="20"/>
                <w:szCs w:val="20"/>
                <w:lang w:val="en-AU"/>
              </w:rPr>
              <w:t>154</w:t>
            </w:r>
          </w:p>
        </w:tc>
        <w:tc>
          <w:tcPr>
            <w:tcW w:w="1134" w:type="dxa"/>
          </w:tcPr>
          <w:p w14:paraId="5A153776" w14:textId="77777777" w:rsidR="00752C0B" w:rsidRPr="003800A3" w:rsidRDefault="00752C0B" w:rsidP="00361731">
            <w:pPr>
              <w:autoSpaceDE w:val="0"/>
              <w:autoSpaceDN w:val="0"/>
              <w:adjustRightInd w:val="0"/>
              <w:spacing w:after="120"/>
              <w:jc w:val="center"/>
              <w:rPr>
                <w:rFonts w:ascii="Calibri" w:hAnsi="Calibri" w:cs="Calibri"/>
                <w:sz w:val="20"/>
                <w:szCs w:val="20"/>
                <w:lang w:val="en-AU"/>
              </w:rPr>
            </w:pPr>
            <w:r w:rsidRPr="003800A3">
              <w:rPr>
                <w:rFonts w:ascii="Calibri" w:hAnsi="Calibri" w:cs="Calibri"/>
                <w:sz w:val="20"/>
                <w:szCs w:val="20"/>
                <w:lang w:val="en-AU"/>
              </w:rPr>
              <w:t>Yes</w:t>
            </w:r>
          </w:p>
        </w:tc>
      </w:tr>
    </w:tbl>
    <w:p w14:paraId="16DC4F6C" w14:textId="77777777" w:rsidR="00424C83" w:rsidRDefault="00424C83" w:rsidP="00054F9C">
      <w:pPr>
        <w:autoSpaceDE w:val="0"/>
        <w:autoSpaceDN w:val="0"/>
        <w:adjustRightInd w:val="0"/>
        <w:spacing w:after="120"/>
        <w:jc w:val="both"/>
        <w:rPr>
          <w:lang w:val="en-A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418"/>
        <w:gridCol w:w="1417"/>
        <w:gridCol w:w="1134"/>
      </w:tblGrid>
      <w:tr w:rsidR="00752C0B" w:rsidRPr="00FF0016" w14:paraId="188121A7" w14:textId="77777777" w:rsidTr="00752C0B">
        <w:trPr>
          <w:trHeight w:val="480"/>
          <w:tblHeader/>
        </w:trPr>
        <w:tc>
          <w:tcPr>
            <w:tcW w:w="5812" w:type="dxa"/>
            <w:shd w:val="clear" w:color="000000" w:fill="CAEDFB"/>
            <w:vAlign w:val="center"/>
            <w:hideMark/>
          </w:tcPr>
          <w:p w14:paraId="75309804" w14:textId="77777777" w:rsidR="00752C0B" w:rsidRPr="00737AEC" w:rsidRDefault="00752C0B" w:rsidP="00361731">
            <w:pPr>
              <w:rPr>
                <w:rFonts w:ascii="Calibri" w:hAnsi="Calibri" w:cs="Calibri"/>
                <w:b/>
                <w:bCs/>
                <w:color w:val="000000"/>
                <w:sz w:val="20"/>
                <w:szCs w:val="20"/>
                <w:lang w:val="en-US"/>
              </w:rPr>
            </w:pPr>
            <w:r w:rsidRPr="004F707C">
              <w:rPr>
                <w:rFonts w:ascii="Calibri" w:hAnsi="Calibri" w:cs="Calibri"/>
                <w:b/>
                <w:bCs/>
                <w:color w:val="000000"/>
                <w:sz w:val="20"/>
                <w:szCs w:val="20"/>
                <w:lang w:val="en-AU"/>
              </w:rPr>
              <w:lastRenderedPageBreak/>
              <w:t xml:space="preserve">Viet Nam Green Buildings - </w:t>
            </w:r>
            <w:r w:rsidRPr="00737AEC">
              <w:rPr>
                <w:rFonts w:ascii="Calibri" w:hAnsi="Calibri" w:cs="Calibri"/>
                <w:b/>
                <w:bCs/>
                <w:color w:val="000000"/>
                <w:sz w:val="20"/>
                <w:szCs w:val="20"/>
                <w:lang w:val="en-AU"/>
              </w:rPr>
              <w:t>IMPACT</w:t>
            </w:r>
          </w:p>
        </w:tc>
        <w:tc>
          <w:tcPr>
            <w:tcW w:w="1418" w:type="dxa"/>
            <w:shd w:val="clear" w:color="000000" w:fill="CAEDFB"/>
            <w:vAlign w:val="center"/>
            <w:hideMark/>
          </w:tcPr>
          <w:p w14:paraId="6444D0D4" w14:textId="77777777" w:rsidR="00752C0B" w:rsidRPr="00FF0016" w:rsidRDefault="00752C0B" w:rsidP="00361731">
            <w:pPr>
              <w:jc w:val="center"/>
              <w:rPr>
                <w:rFonts w:ascii="Calibri" w:hAnsi="Calibri" w:cs="Calibri"/>
                <w:b/>
                <w:bCs/>
                <w:color w:val="000000"/>
                <w:sz w:val="20"/>
                <w:szCs w:val="20"/>
                <w:lang w:val="en-US"/>
              </w:rPr>
            </w:pPr>
            <w:r w:rsidRPr="00FF0016">
              <w:rPr>
                <w:rFonts w:ascii="Calibri" w:hAnsi="Calibri" w:cs="Calibri"/>
                <w:b/>
                <w:bCs/>
                <w:color w:val="000000"/>
                <w:sz w:val="20"/>
                <w:szCs w:val="20"/>
                <w:lang w:val="en-AU"/>
              </w:rPr>
              <w:t>Cumulative Results till Dec 2025</w:t>
            </w:r>
          </w:p>
        </w:tc>
        <w:tc>
          <w:tcPr>
            <w:tcW w:w="1417" w:type="dxa"/>
            <w:shd w:val="clear" w:color="000000" w:fill="CAEDFB"/>
            <w:vAlign w:val="center"/>
            <w:hideMark/>
          </w:tcPr>
          <w:p w14:paraId="3F0C4D20" w14:textId="77777777" w:rsidR="00752C0B" w:rsidRPr="00FF0016" w:rsidRDefault="00752C0B" w:rsidP="00361731">
            <w:pPr>
              <w:jc w:val="center"/>
              <w:rPr>
                <w:rFonts w:ascii="Calibri" w:hAnsi="Calibri" w:cs="Calibri"/>
                <w:b/>
                <w:bCs/>
                <w:color w:val="000000"/>
                <w:sz w:val="20"/>
                <w:szCs w:val="20"/>
                <w:lang w:val="en-US"/>
              </w:rPr>
            </w:pPr>
            <w:r w:rsidRPr="00FF0016">
              <w:rPr>
                <w:rFonts w:ascii="Calibri" w:hAnsi="Calibri" w:cs="Calibri"/>
                <w:b/>
                <w:bCs/>
                <w:color w:val="000000"/>
                <w:sz w:val="20"/>
                <w:szCs w:val="20"/>
                <w:lang w:val="en-AU"/>
              </w:rPr>
              <w:t>Overall Target</w:t>
            </w:r>
          </w:p>
        </w:tc>
        <w:tc>
          <w:tcPr>
            <w:tcW w:w="1134" w:type="dxa"/>
            <w:shd w:val="clear" w:color="000000" w:fill="CAEDFB"/>
            <w:vAlign w:val="center"/>
            <w:hideMark/>
          </w:tcPr>
          <w:p w14:paraId="55F7A4FB" w14:textId="77777777" w:rsidR="00752C0B" w:rsidRPr="00FF0016" w:rsidRDefault="00752C0B" w:rsidP="00361731">
            <w:pPr>
              <w:jc w:val="center"/>
              <w:rPr>
                <w:rFonts w:ascii="Calibri" w:hAnsi="Calibri" w:cs="Calibri"/>
                <w:b/>
                <w:bCs/>
                <w:color w:val="000000"/>
                <w:sz w:val="20"/>
                <w:szCs w:val="20"/>
                <w:lang w:val="en-US"/>
              </w:rPr>
            </w:pPr>
            <w:r w:rsidRPr="00FF0016">
              <w:rPr>
                <w:rFonts w:ascii="Calibri" w:hAnsi="Calibri" w:cs="Calibri"/>
                <w:b/>
                <w:bCs/>
                <w:color w:val="000000"/>
                <w:sz w:val="20"/>
                <w:szCs w:val="20"/>
                <w:lang w:val="en-AU"/>
              </w:rPr>
              <w:t>Achieved</w:t>
            </w:r>
          </w:p>
        </w:tc>
      </w:tr>
      <w:tr w:rsidR="00752C0B" w:rsidRPr="00737AEC" w14:paraId="3DA27F4E" w14:textId="77777777" w:rsidTr="00361731">
        <w:trPr>
          <w:trHeight w:val="601"/>
        </w:trPr>
        <w:tc>
          <w:tcPr>
            <w:tcW w:w="5812" w:type="dxa"/>
            <w:vAlign w:val="center"/>
            <w:hideMark/>
          </w:tcPr>
          <w:p w14:paraId="2CF4CFCC" w14:textId="77777777" w:rsidR="00752C0B" w:rsidRPr="00737AEC" w:rsidRDefault="00752C0B" w:rsidP="00361731">
            <w:pPr>
              <w:rPr>
                <w:rFonts w:ascii="Calibri" w:hAnsi="Calibri" w:cs="Calibri"/>
                <w:color w:val="000000"/>
                <w:sz w:val="20"/>
                <w:szCs w:val="20"/>
                <w:lang w:val="en-US"/>
              </w:rPr>
            </w:pPr>
            <w:r w:rsidRPr="00737AEC">
              <w:rPr>
                <w:rFonts w:ascii="Calibri" w:hAnsi="Calibri" w:cs="Calibri"/>
                <w:color w:val="000000"/>
                <w:sz w:val="20"/>
                <w:szCs w:val="20"/>
                <w:lang w:val="en-AU"/>
              </w:rPr>
              <w:t>Energy use expected to be avoided (MWh per year) from Preliminary (post-design) EDGE certified buildings</w:t>
            </w:r>
          </w:p>
        </w:tc>
        <w:tc>
          <w:tcPr>
            <w:tcW w:w="1418" w:type="dxa"/>
            <w:vAlign w:val="center"/>
            <w:hideMark/>
          </w:tcPr>
          <w:p w14:paraId="46D48D91"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97,500</w:t>
            </w:r>
          </w:p>
        </w:tc>
        <w:tc>
          <w:tcPr>
            <w:tcW w:w="1417" w:type="dxa"/>
            <w:vAlign w:val="center"/>
            <w:hideMark/>
          </w:tcPr>
          <w:p w14:paraId="6347BFF3"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102,166</w:t>
            </w:r>
          </w:p>
        </w:tc>
        <w:tc>
          <w:tcPr>
            <w:tcW w:w="1134" w:type="dxa"/>
            <w:vAlign w:val="center"/>
            <w:hideMark/>
          </w:tcPr>
          <w:p w14:paraId="529BCA08"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95%</w:t>
            </w:r>
          </w:p>
        </w:tc>
      </w:tr>
      <w:tr w:rsidR="00752C0B" w:rsidRPr="00737AEC" w14:paraId="7B2A8226" w14:textId="77777777" w:rsidTr="00361731">
        <w:trPr>
          <w:trHeight w:val="586"/>
        </w:trPr>
        <w:tc>
          <w:tcPr>
            <w:tcW w:w="5812" w:type="dxa"/>
            <w:vAlign w:val="center"/>
            <w:hideMark/>
          </w:tcPr>
          <w:p w14:paraId="1DFAAA7B" w14:textId="77777777" w:rsidR="00752C0B" w:rsidRPr="00737AEC" w:rsidRDefault="00752C0B" w:rsidP="00361731">
            <w:pPr>
              <w:rPr>
                <w:rFonts w:ascii="Calibri" w:hAnsi="Calibri" w:cs="Calibri"/>
                <w:color w:val="000000"/>
                <w:sz w:val="20"/>
                <w:szCs w:val="20"/>
                <w:lang w:val="en-US"/>
              </w:rPr>
            </w:pPr>
            <w:r w:rsidRPr="00737AEC">
              <w:rPr>
                <w:rFonts w:ascii="Calibri" w:hAnsi="Calibri" w:cs="Calibri"/>
                <w:color w:val="000000"/>
                <w:sz w:val="20"/>
                <w:szCs w:val="20"/>
                <w:lang w:val="en-AU"/>
              </w:rPr>
              <w:t>Water use expected to be avoided from Preliminary (post-design) EDGE certified buildings</w:t>
            </w:r>
          </w:p>
        </w:tc>
        <w:tc>
          <w:tcPr>
            <w:tcW w:w="1418" w:type="dxa"/>
            <w:vAlign w:val="center"/>
            <w:hideMark/>
          </w:tcPr>
          <w:p w14:paraId="346AEDAD"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3,544,120</w:t>
            </w:r>
          </w:p>
        </w:tc>
        <w:tc>
          <w:tcPr>
            <w:tcW w:w="1417" w:type="dxa"/>
            <w:vAlign w:val="center"/>
            <w:hideMark/>
          </w:tcPr>
          <w:p w14:paraId="052CDA25"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2,020,425</w:t>
            </w:r>
          </w:p>
        </w:tc>
        <w:tc>
          <w:tcPr>
            <w:tcW w:w="1134" w:type="dxa"/>
            <w:hideMark/>
          </w:tcPr>
          <w:p w14:paraId="24B97E2E" w14:textId="77777777" w:rsidR="00752C0B" w:rsidRPr="00737AEC" w:rsidRDefault="00752C0B" w:rsidP="00361731">
            <w:pPr>
              <w:jc w:val="center"/>
              <w:rPr>
                <w:rFonts w:ascii="Calibri" w:hAnsi="Calibri" w:cs="Calibri"/>
                <w:b/>
                <w:bCs/>
                <w:color w:val="00B050"/>
                <w:sz w:val="20"/>
                <w:szCs w:val="20"/>
                <w:lang w:val="en-US"/>
              </w:rPr>
            </w:pPr>
            <w:r w:rsidRPr="00424C83">
              <w:rPr>
                <w:rFonts w:ascii="Calibri" w:hAnsi="Calibri" w:cs="Calibri"/>
                <w:sz w:val="20"/>
                <w:szCs w:val="20"/>
                <w:lang w:val="en-US"/>
              </w:rPr>
              <w:t>Yes</w:t>
            </w:r>
          </w:p>
        </w:tc>
      </w:tr>
      <w:tr w:rsidR="00752C0B" w:rsidRPr="00424C83" w14:paraId="7BB67AF0" w14:textId="77777777" w:rsidTr="00361731">
        <w:trPr>
          <w:trHeight w:val="571"/>
        </w:trPr>
        <w:tc>
          <w:tcPr>
            <w:tcW w:w="5812" w:type="dxa"/>
            <w:vAlign w:val="center"/>
            <w:hideMark/>
          </w:tcPr>
          <w:p w14:paraId="28CFEB09" w14:textId="77777777" w:rsidR="00752C0B" w:rsidRPr="00737AEC" w:rsidRDefault="00752C0B" w:rsidP="00361731">
            <w:pPr>
              <w:rPr>
                <w:rFonts w:ascii="Calibri" w:hAnsi="Calibri" w:cs="Calibri"/>
                <w:color w:val="000000"/>
                <w:sz w:val="20"/>
                <w:szCs w:val="20"/>
                <w:lang w:val="en-US"/>
              </w:rPr>
            </w:pPr>
            <w:r w:rsidRPr="00737AEC">
              <w:rPr>
                <w:rFonts w:ascii="Calibri" w:hAnsi="Calibri" w:cs="Calibri"/>
                <w:color w:val="000000"/>
                <w:sz w:val="20"/>
                <w:szCs w:val="20"/>
                <w:lang w:val="en-AU"/>
              </w:rPr>
              <w:t>Estimated construction cost of Preliminary (post-design) EDGE certified buildings (US$)</w:t>
            </w:r>
          </w:p>
        </w:tc>
        <w:tc>
          <w:tcPr>
            <w:tcW w:w="1418" w:type="dxa"/>
            <w:vAlign w:val="center"/>
            <w:hideMark/>
          </w:tcPr>
          <w:p w14:paraId="4B787C3B"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5,094,985,670</w:t>
            </w:r>
          </w:p>
        </w:tc>
        <w:tc>
          <w:tcPr>
            <w:tcW w:w="1417" w:type="dxa"/>
            <w:vAlign w:val="center"/>
            <w:hideMark/>
          </w:tcPr>
          <w:p w14:paraId="6842B39B" w14:textId="77777777" w:rsidR="00752C0B" w:rsidRPr="00737AEC" w:rsidRDefault="00752C0B" w:rsidP="00361731">
            <w:pPr>
              <w:jc w:val="center"/>
              <w:rPr>
                <w:rFonts w:ascii="Calibri" w:hAnsi="Calibri" w:cs="Calibri"/>
                <w:color w:val="000000"/>
                <w:sz w:val="18"/>
                <w:szCs w:val="18"/>
                <w:lang w:val="en-US"/>
              </w:rPr>
            </w:pPr>
            <w:r w:rsidRPr="00737AEC">
              <w:rPr>
                <w:rFonts w:ascii="Calibri" w:hAnsi="Calibri" w:cs="Calibri"/>
                <w:color w:val="000000"/>
                <w:sz w:val="18"/>
                <w:szCs w:val="18"/>
                <w:lang w:val="en-AU"/>
              </w:rPr>
              <w:t>3,928,122,533</w:t>
            </w:r>
          </w:p>
        </w:tc>
        <w:tc>
          <w:tcPr>
            <w:tcW w:w="1134" w:type="dxa"/>
            <w:hideMark/>
          </w:tcPr>
          <w:p w14:paraId="61F128C8" w14:textId="77777777" w:rsidR="00752C0B" w:rsidRPr="00424C83" w:rsidRDefault="00752C0B" w:rsidP="00361731">
            <w:pPr>
              <w:jc w:val="center"/>
              <w:rPr>
                <w:rFonts w:ascii="Calibri" w:hAnsi="Calibri" w:cs="Calibri"/>
                <w:color w:val="00B050"/>
                <w:sz w:val="20"/>
                <w:szCs w:val="20"/>
                <w:lang w:val="en-US"/>
              </w:rPr>
            </w:pPr>
            <w:r w:rsidRPr="00424C83">
              <w:rPr>
                <w:rFonts w:ascii="Calibri" w:hAnsi="Calibri" w:cs="Calibri"/>
                <w:sz w:val="20"/>
                <w:szCs w:val="20"/>
                <w:lang w:val="en-US"/>
              </w:rPr>
              <w:t>Yes</w:t>
            </w:r>
          </w:p>
        </w:tc>
      </w:tr>
      <w:tr w:rsidR="00752C0B" w:rsidRPr="00737AEC" w14:paraId="09387B46" w14:textId="77777777" w:rsidTr="00361731">
        <w:trPr>
          <w:trHeight w:val="616"/>
        </w:trPr>
        <w:tc>
          <w:tcPr>
            <w:tcW w:w="5812" w:type="dxa"/>
            <w:vAlign w:val="center"/>
            <w:hideMark/>
          </w:tcPr>
          <w:p w14:paraId="229733D0" w14:textId="77777777" w:rsidR="00752C0B" w:rsidRPr="00737AEC" w:rsidRDefault="00752C0B" w:rsidP="00361731">
            <w:pPr>
              <w:rPr>
                <w:rFonts w:ascii="Calibri" w:hAnsi="Calibri" w:cs="Calibri"/>
                <w:color w:val="000000"/>
                <w:sz w:val="20"/>
                <w:szCs w:val="20"/>
                <w:lang w:val="en-US"/>
              </w:rPr>
            </w:pPr>
            <w:r w:rsidRPr="00737AEC">
              <w:rPr>
                <w:rFonts w:ascii="Calibri" w:hAnsi="Calibri" w:cs="Calibri"/>
                <w:color w:val="000000"/>
                <w:sz w:val="20"/>
                <w:szCs w:val="20"/>
                <w:lang w:val="en-AU"/>
              </w:rPr>
              <w:t>Cost expected to be avoided (US$ per year) from Preliminary (post-design) EDGE certified buildings</w:t>
            </w:r>
          </w:p>
        </w:tc>
        <w:tc>
          <w:tcPr>
            <w:tcW w:w="1418" w:type="dxa"/>
            <w:vAlign w:val="center"/>
            <w:hideMark/>
          </w:tcPr>
          <w:p w14:paraId="1DAB7853"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8,420,700</w:t>
            </w:r>
          </w:p>
        </w:tc>
        <w:tc>
          <w:tcPr>
            <w:tcW w:w="1417" w:type="dxa"/>
            <w:vAlign w:val="center"/>
            <w:hideMark/>
          </w:tcPr>
          <w:p w14:paraId="5633BFC0"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7,236,567</w:t>
            </w:r>
          </w:p>
        </w:tc>
        <w:tc>
          <w:tcPr>
            <w:tcW w:w="1134" w:type="dxa"/>
            <w:hideMark/>
          </w:tcPr>
          <w:p w14:paraId="1A4FFA0D" w14:textId="77777777" w:rsidR="00752C0B" w:rsidRPr="00737AEC"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737AEC" w14:paraId="1CF36763" w14:textId="77777777" w:rsidTr="00361731">
        <w:trPr>
          <w:trHeight w:val="676"/>
        </w:trPr>
        <w:tc>
          <w:tcPr>
            <w:tcW w:w="5812" w:type="dxa"/>
            <w:vAlign w:val="center"/>
            <w:hideMark/>
          </w:tcPr>
          <w:p w14:paraId="56DDE8E5" w14:textId="77777777" w:rsidR="00752C0B" w:rsidRPr="00737AEC" w:rsidRDefault="00752C0B" w:rsidP="00361731">
            <w:pPr>
              <w:rPr>
                <w:rFonts w:ascii="Calibri" w:hAnsi="Calibri" w:cs="Calibri"/>
                <w:color w:val="000000"/>
                <w:sz w:val="20"/>
                <w:szCs w:val="20"/>
                <w:lang w:val="en-US"/>
              </w:rPr>
            </w:pPr>
            <w:r w:rsidRPr="00737AEC">
              <w:rPr>
                <w:rFonts w:ascii="Calibri" w:hAnsi="Calibri" w:cs="Calibri"/>
                <w:color w:val="000000"/>
                <w:sz w:val="20"/>
                <w:szCs w:val="20"/>
                <w:lang w:val="en-AU"/>
              </w:rPr>
              <w:t>GHG emissions expected to be avoided (tons CO2e per year) from Preliminary (post-design) EDGE certified buildings</w:t>
            </w:r>
          </w:p>
        </w:tc>
        <w:tc>
          <w:tcPr>
            <w:tcW w:w="1418" w:type="dxa"/>
            <w:vAlign w:val="center"/>
            <w:hideMark/>
          </w:tcPr>
          <w:p w14:paraId="1A3C8970"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87,113</w:t>
            </w:r>
          </w:p>
        </w:tc>
        <w:tc>
          <w:tcPr>
            <w:tcW w:w="1417" w:type="dxa"/>
            <w:vAlign w:val="center"/>
            <w:hideMark/>
          </w:tcPr>
          <w:p w14:paraId="1F7144E9"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92,971</w:t>
            </w:r>
          </w:p>
        </w:tc>
        <w:tc>
          <w:tcPr>
            <w:tcW w:w="1134" w:type="dxa"/>
            <w:vAlign w:val="center"/>
            <w:hideMark/>
          </w:tcPr>
          <w:p w14:paraId="576D7376" w14:textId="77777777" w:rsidR="00752C0B" w:rsidRPr="00737AEC" w:rsidRDefault="00752C0B" w:rsidP="00361731">
            <w:pPr>
              <w:jc w:val="center"/>
              <w:rPr>
                <w:rFonts w:ascii="Calibri" w:hAnsi="Calibri" w:cs="Calibri"/>
                <w:color w:val="000000"/>
                <w:sz w:val="20"/>
                <w:szCs w:val="20"/>
                <w:lang w:val="en-US"/>
              </w:rPr>
            </w:pPr>
            <w:r w:rsidRPr="00737AEC">
              <w:rPr>
                <w:rFonts w:ascii="Calibri" w:hAnsi="Calibri" w:cs="Calibri"/>
                <w:color w:val="000000"/>
                <w:sz w:val="20"/>
                <w:szCs w:val="20"/>
                <w:lang w:val="en-AU"/>
              </w:rPr>
              <w:t>94%</w:t>
            </w:r>
          </w:p>
        </w:tc>
      </w:tr>
    </w:tbl>
    <w:p w14:paraId="6246B16E" w14:textId="4988F2FF" w:rsidR="00752C0B" w:rsidRDefault="00752C0B" w:rsidP="00752C0B">
      <w:pPr>
        <w:autoSpaceDE w:val="0"/>
        <w:autoSpaceDN w:val="0"/>
        <w:adjustRightInd w:val="0"/>
        <w:spacing w:after="120"/>
        <w:jc w:val="both"/>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1A0565" w14:paraId="19176053" w14:textId="77777777" w:rsidTr="00361731">
        <w:trPr>
          <w:trHeight w:val="765"/>
          <w:tblHeader/>
        </w:trPr>
        <w:tc>
          <w:tcPr>
            <w:tcW w:w="5812"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487FC49C" w14:textId="77777777" w:rsidR="00752C0B" w:rsidRPr="001A0565" w:rsidRDefault="00752C0B" w:rsidP="00361731">
            <w:pPr>
              <w:rPr>
                <w:rFonts w:ascii="Calibri" w:hAnsi="Calibri" w:cs="Calibri"/>
                <w:b/>
                <w:bCs/>
                <w:color w:val="000000"/>
                <w:sz w:val="20"/>
                <w:szCs w:val="20"/>
                <w:lang w:val="en-US"/>
              </w:rPr>
            </w:pPr>
            <w:r w:rsidRPr="001A0565">
              <w:rPr>
                <w:rFonts w:ascii="Calibri" w:hAnsi="Calibri" w:cs="Calibri"/>
                <w:b/>
                <w:bCs/>
                <w:color w:val="000000"/>
                <w:sz w:val="20"/>
                <w:szCs w:val="20"/>
                <w:lang w:val="en-AU"/>
              </w:rPr>
              <w:t>Viet Nam Building Resilience Index</w:t>
            </w:r>
            <w:r>
              <w:rPr>
                <w:rFonts w:ascii="Calibri" w:hAnsi="Calibri" w:cs="Calibri"/>
                <w:b/>
                <w:bCs/>
                <w:color w:val="000000"/>
                <w:sz w:val="20"/>
                <w:szCs w:val="20"/>
                <w:lang w:val="en-AU"/>
              </w:rPr>
              <w:t xml:space="preserve"> - </w:t>
            </w:r>
            <w:r w:rsidRPr="001A0565">
              <w:rPr>
                <w:rFonts w:ascii="Calibri" w:hAnsi="Calibri" w:cs="Calibri"/>
                <w:b/>
                <w:bCs/>
                <w:color w:val="000000"/>
                <w:sz w:val="20"/>
                <w:szCs w:val="20"/>
                <w:lang w:val="en-AU"/>
              </w:rPr>
              <w:t>OUTPUT</w:t>
            </w:r>
          </w:p>
        </w:tc>
        <w:tc>
          <w:tcPr>
            <w:tcW w:w="1418" w:type="dxa"/>
            <w:tcBorders>
              <w:top w:val="single" w:sz="8" w:space="0" w:color="auto"/>
              <w:left w:val="nil"/>
              <w:bottom w:val="single" w:sz="4" w:space="0" w:color="auto"/>
              <w:right w:val="single" w:sz="4" w:space="0" w:color="auto"/>
            </w:tcBorders>
            <w:shd w:val="clear" w:color="000000" w:fill="CAEDFB"/>
            <w:vAlign w:val="center"/>
            <w:hideMark/>
          </w:tcPr>
          <w:p w14:paraId="68A6689F"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Cumulative Results till Dec 2025</w:t>
            </w:r>
          </w:p>
        </w:tc>
        <w:tc>
          <w:tcPr>
            <w:tcW w:w="1417" w:type="dxa"/>
            <w:tcBorders>
              <w:top w:val="single" w:sz="8" w:space="0" w:color="auto"/>
              <w:left w:val="nil"/>
              <w:bottom w:val="single" w:sz="4" w:space="0" w:color="auto"/>
              <w:right w:val="single" w:sz="4" w:space="0" w:color="auto"/>
            </w:tcBorders>
            <w:shd w:val="clear" w:color="000000" w:fill="CAEDFB"/>
            <w:vAlign w:val="center"/>
            <w:hideMark/>
          </w:tcPr>
          <w:p w14:paraId="53089572"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0B5A0FA8"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Achieved</w:t>
            </w:r>
          </w:p>
        </w:tc>
      </w:tr>
      <w:tr w:rsidR="00752C0B" w:rsidRPr="0021307F" w14:paraId="445A2A5A"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30D6FDC9" w14:textId="77777777" w:rsidR="00752C0B" w:rsidRDefault="00752C0B" w:rsidP="00361731">
            <w:pPr>
              <w:rPr>
                <w:rFonts w:ascii="Calibri" w:hAnsi="Calibri" w:cs="Calibri"/>
                <w:color w:val="000000"/>
                <w:sz w:val="20"/>
                <w:szCs w:val="20"/>
                <w:lang w:val="en-AU"/>
              </w:rPr>
            </w:pPr>
            <w:r w:rsidRPr="00492BA7">
              <w:rPr>
                <w:rFonts w:ascii="Calibri" w:hAnsi="Calibri" w:cs="Calibri"/>
                <w:b/>
                <w:bCs/>
                <w:color w:val="000000"/>
                <w:sz w:val="20"/>
                <w:szCs w:val="20"/>
                <w:lang w:val="en-AU"/>
              </w:rPr>
              <w:t>Component 1</w:t>
            </w:r>
            <w:r>
              <w:rPr>
                <w:rFonts w:ascii="Calibri" w:hAnsi="Calibri" w:cs="Calibri"/>
                <w:color w:val="000000"/>
                <w:sz w:val="20"/>
                <w:szCs w:val="20"/>
                <w:lang w:val="en-AU"/>
              </w:rPr>
              <w:t xml:space="preserve">: </w:t>
            </w:r>
          </w:p>
          <w:p w14:paraId="42D2D33F"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Number of products developed under the BRI platform (hazard maps, technical guideline, training modules)</w:t>
            </w:r>
          </w:p>
        </w:tc>
        <w:tc>
          <w:tcPr>
            <w:tcW w:w="1418" w:type="dxa"/>
            <w:tcBorders>
              <w:top w:val="nil"/>
              <w:left w:val="nil"/>
              <w:bottom w:val="single" w:sz="4" w:space="0" w:color="auto"/>
              <w:right w:val="single" w:sz="4" w:space="0" w:color="auto"/>
            </w:tcBorders>
            <w:vAlign w:val="center"/>
            <w:hideMark/>
          </w:tcPr>
          <w:p w14:paraId="2CFEFFD0"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5</w:t>
            </w:r>
          </w:p>
        </w:tc>
        <w:tc>
          <w:tcPr>
            <w:tcW w:w="1417" w:type="dxa"/>
            <w:tcBorders>
              <w:top w:val="nil"/>
              <w:left w:val="nil"/>
              <w:bottom w:val="single" w:sz="4" w:space="0" w:color="auto"/>
              <w:right w:val="single" w:sz="4" w:space="0" w:color="auto"/>
            </w:tcBorders>
            <w:vAlign w:val="center"/>
            <w:hideMark/>
          </w:tcPr>
          <w:p w14:paraId="4DA8A5EE"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3</w:t>
            </w:r>
          </w:p>
        </w:tc>
        <w:tc>
          <w:tcPr>
            <w:tcW w:w="1134" w:type="dxa"/>
            <w:tcBorders>
              <w:top w:val="nil"/>
              <w:left w:val="nil"/>
              <w:bottom w:val="single" w:sz="4" w:space="0" w:color="auto"/>
              <w:right w:val="single" w:sz="8" w:space="0" w:color="auto"/>
            </w:tcBorders>
            <w:hideMark/>
          </w:tcPr>
          <w:p w14:paraId="59F26D5B"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US"/>
              </w:rPr>
              <w:t>Yes</w:t>
            </w:r>
          </w:p>
        </w:tc>
      </w:tr>
      <w:tr w:rsidR="00752C0B" w:rsidRPr="0021307F" w14:paraId="4A3B5C43" w14:textId="77777777" w:rsidTr="00361731">
        <w:trPr>
          <w:trHeight w:val="450"/>
        </w:trPr>
        <w:tc>
          <w:tcPr>
            <w:tcW w:w="5812" w:type="dxa"/>
            <w:tcBorders>
              <w:top w:val="nil"/>
              <w:left w:val="single" w:sz="8" w:space="0" w:color="auto"/>
              <w:bottom w:val="single" w:sz="4" w:space="0" w:color="auto"/>
              <w:right w:val="single" w:sz="4" w:space="0" w:color="auto"/>
            </w:tcBorders>
            <w:vAlign w:val="center"/>
            <w:hideMark/>
          </w:tcPr>
          <w:p w14:paraId="5217A6EB"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Number of reports (assessments, surveys, manuals etc.) completed</w:t>
            </w:r>
          </w:p>
        </w:tc>
        <w:tc>
          <w:tcPr>
            <w:tcW w:w="1418" w:type="dxa"/>
            <w:tcBorders>
              <w:top w:val="nil"/>
              <w:left w:val="nil"/>
              <w:bottom w:val="single" w:sz="4" w:space="0" w:color="auto"/>
              <w:right w:val="single" w:sz="4" w:space="0" w:color="auto"/>
            </w:tcBorders>
            <w:vAlign w:val="center"/>
            <w:hideMark/>
          </w:tcPr>
          <w:p w14:paraId="706B789C"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2</w:t>
            </w:r>
          </w:p>
        </w:tc>
        <w:tc>
          <w:tcPr>
            <w:tcW w:w="1417" w:type="dxa"/>
            <w:tcBorders>
              <w:top w:val="nil"/>
              <w:left w:val="nil"/>
              <w:bottom w:val="single" w:sz="4" w:space="0" w:color="auto"/>
              <w:right w:val="single" w:sz="4" w:space="0" w:color="auto"/>
            </w:tcBorders>
            <w:vAlign w:val="center"/>
            <w:hideMark/>
          </w:tcPr>
          <w:p w14:paraId="65FEE072"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7DF56547"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US"/>
              </w:rPr>
              <w:t>Yes</w:t>
            </w:r>
          </w:p>
        </w:tc>
      </w:tr>
      <w:tr w:rsidR="00752C0B" w:rsidRPr="0021307F" w14:paraId="20055422"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624F5FC3" w14:textId="77777777" w:rsidR="00752C0B" w:rsidRPr="00492BA7" w:rsidRDefault="00752C0B" w:rsidP="00361731">
            <w:pPr>
              <w:rPr>
                <w:rFonts w:ascii="Calibri" w:hAnsi="Calibri" w:cs="Calibri"/>
                <w:b/>
                <w:bCs/>
                <w:color w:val="000000"/>
                <w:sz w:val="20"/>
                <w:szCs w:val="20"/>
                <w:lang w:val="en-AU"/>
              </w:rPr>
            </w:pPr>
            <w:r w:rsidRPr="00492BA7">
              <w:rPr>
                <w:rFonts w:ascii="Calibri" w:hAnsi="Calibri" w:cs="Calibri"/>
                <w:b/>
                <w:bCs/>
                <w:color w:val="000000"/>
                <w:sz w:val="20"/>
                <w:szCs w:val="20"/>
                <w:lang w:val="en-AU"/>
              </w:rPr>
              <w:t>Component 2: Support upstream Green Building investment</w:t>
            </w:r>
          </w:p>
          <w:p w14:paraId="1A19AB7C" w14:textId="77777777" w:rsidR="00752C0B" w:rsidRPr="006E6E32" w:rsidRDefault="00752C0B" w:rsidP="00361731">
            <w:pPr>
              <w:rPr>
                <w:rFonts w:ascii="Calibri" w:hAnsi="Calibri" w:cs="Calibri"/>
                <w:color w:val="000000"/>
                <w:sz w:val="20"/>
                <w:szCs w:val="20"/>
                <w:lang w:val="en-US"/>
              </w:rPr>
            </w:pPr>
            <w:r w:rsidRPr="006E6E32">
              <w:rPr>
                <w:rFonts w:ascii="Calibri" w:hAnsi="Calibri" w:cs="Calibri"/>
                <w:color w:val="000000"/>
                <w:sz w:val="20"/>
                <w:szCs w:val="20"/>
                <w:lang w:val="en-AU"/>
              </w:rPr>
              <w:t>Number of entities in Viet Nam with over 50% female employees that use BRI App</w:t>
            </w:r>
          </w:p>
        </w:tc>
        <w:tc>
          <w:tcPr>
            <w:tcW w:w="1418" w:type="dxa"/>
            <w:tcBorders>
              <w:top w:val="nil"/>
              <w:left w:val="nil"/>
              <w:bottom w:val="single" w:sz="4" w:space="0" w:color="auto"/>
              <w:right w:val="single" w:sz="4" w:space="0" w:color="auto"/>
            </w:tcBorders>
            <w:vAlign w:val="center"/>
            <w:hideMark/>
          </w:tcPr>
          <w:p w14:paraId="65D4803F"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7</w:t>
            </w:r>
          </w:p>
        </w:tc>
        <w:tc>
          <w:tcPr>
            <w:tcW w:w="1417" w:type="dxa"/>
            <w:tcBorders>
              <w:top w:val="nil"/>
              <w:left w:val="nil"/>
              <w:bottom w:val="single" w:sz="4" w:space="0" w:color="auto"/>
              <w:right w:val="single" w:sz="4" w:space="0" w:color="auto"/>
            </w:tcBorders>
            <w:vAlign w:val="center"/>
            <w:hideMark/>
          </w:tcPr>
          <w:p w14:paraId="2448E6AD"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9</w:t>
            </w:r>
          </w:p>
        </w:tc>
        <w:tc>
          <w:tcPr>
            <w:tcW w:w="1134" w:type="dxa"/>
            <w:tcBorders>
              <w:top w:val="nil"/>
              <w:left w:val="nil"/>
              <w:bottom w:val="single" w:sz="4" w:space="0" w:color="auto"/>
              <w:right w:val="single" w:sz="8" w:space="0" w:color="auto"/>
            </w:tcBorders>
            <w:vAlign w:val="center"/>
            <w:hideMark/>
          </w:tcPr>
          <w:p w14:paraId="1BC64302"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AU"/>
              </w:rPr>
              <w:t>78%</w:t>
            </w:r>
          </w:p>
        </w:tc>
      </w:tr>
      <w:tr w:rsidR="00752C0B" w:rsidRPr="0021307F" w14:paraId="4F4F2921"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07795CDE"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Number of entities receiving advisory services</w:t>
            </w:r>
          </w:p>
        </w:tc>
        <w:tc>
          <w:tcPr>
            <w:tcW w:w="1418" w:type="dxa"/>
            <w:tcBorders>
              <w:top w:val="nil"/>
              <w:left w:val="nil"/>
              <w:bottom w:val="single" w:sz="4" w:space="0" w:color="auto"/>
              <w:right w:val="single" w:sz="4" w:space="0" w:color="auto"/>
            </w:tcBorders>
            <w:vAlign w:val="center"/>
            <w:hideMark/>
          </w:tcPr>
          <w:p w14:paraId="55EC732F"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12</w:t>
            </w:r>
          </w:p>
        </w:tc>
        <w:tc>
          <w:tcPr>
            <w:tcW w:w="1417" w:type="dxa"/>
            <w:tcBorders>
              <w:top w:val="nil"/>
              <w:left w:val="nil"/>
              <w:bottom w:val="single" w:sz="4" w:space="0" w:color="auto"/>
              <w:right w:val="single" w:sz="4" w:space="0" w:color="auto"/>
            </w:tcBorders>
            <w:vAlign w:val="center"/>
            <w:hideMark/>
          </w:tcPr>
          <w:p w14:paraId="6B0BB74D"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15</w:t>
            </w:r>
          </w:p>
        </w:tc>
        <w:tc>
          <w:tcPr>
            <w:tcW w:w="1134" w:type="dxa"/>
            <w:tcBorders>
              <w:top w:val="nil"/>
              <w:left w:val="nil"/>
              <w:bottom w:val="single" w:sz="4" w:space="0" w:color="auto"/>
              <w:right w:val="single" w:sz="8" w:space="0" w:color="auto"/>
            </w:tcBorders>
            <w:vAlign w:val="center"/>
            <w:hideMark/>
          </w:tcPr>
          <w:p w14:paraId="3B83EE06"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AU"/>
              </w:rPr>
              <w:t>80%</w:t>
            </w:r>
          </w:p>
        </w:tc>
      </w:tr>
      <w:tr w:rsidR="00752C0B" w:rsidRPr="0021307F" w14:paraId="4D0DAFBA"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2AE9C5BC" w14:textId="77777777" w:rsidR="00752C0B" w:rsidRPr="001A0565" w:rsidRDefault="00752C0B" w:rsidP="00361731">
            <w:pPr>
              <w:rPr>
                <w:rFonts w:ascii="Calibri" w:hAnsi="Calibri" w:cs="Calibri"/>
                <w:b/>
                <w:bCs/>
                <w:color w:val="000000"/>
                <w:sz w:val="20"/>
                <w:szCs w:val="20"/>
                <w:lang w:val="en-US"/>
              </w:rPr>
            </w:pPr>
            <w:r w:rsidRPr="001A0565">
              <w:rPr>
                <w:rFonts w:ascii="Calibri" w:hAnsi="Calibri" w:cs="Calibri"/>
                <w:b/>
                <w:bCs/>
                <w:color w:val="000000"/>
                <w:sz w:val="20"/>
                <w:szCs w:val="20"/>
                <w:lang w:val="en-AU"/>
              </w:rPr>
              <w:t>Number of female participants in workshops, training events, seminars, conferences, etc.</w:t>
            </w:r>
          </w:p>
        </w:tc>
        <w:tc>
          <w:tcPr>
            <w:tcW w:w="1418" w:type="dxa"/>
            <w:tcBorders>
              <w:top w:val="nil"/>
              <w:left w:val="nil"/>
              <w:bottom w:val="single" w:sz="4" w:space="0" w:color="auto"/>
              <w:right w:val="single" w:sz="4" w:space="0" w:color="auto"/>
            </w:tcBorders>
            <w:vAlign w:val="center"/>
            <w:hideMark/>
          </w:tcPr>
          <w:p w14:paraId="6553829B"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293</w:t>
            </w:r>
          </w:p>
        </w:tc>
        <w:tc>
          <w:tcPr>
            <w:tcW w:w="1417" w:type="dxa"/>
            <w:tcBorders>
              <w:top w:val="nil"/>
              <w:left w:val="nil"/>
              <w:bottom w:val="single" w:sz="4" w:space="0" w:color="auto"/>
              <w:right w:val="single" w:sz="4" w:space="0" w:color="auto"/>
            </w:tcBorders>
            <w:vAlign w:val="center"/>
            <w:hideMark/>
          </w:tcPr>
          <w:p w14:paraId="4FC64ED2"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133</w:t>
            </w:r>
          </w:p>
        </w:tc>
        <w:tc>
          <w:tcPr>
            <w:tcW w:w="1134" w:type="dxa"/>
            <w:tcBorders>
              <w:top w:val="nil"/>
              <w:left w:val="nil"/>
              <w:bottom w:val="single" w:sz="4" w:space="0" w:color="auto"/>
              <w:right w:val="single" w:sz="8" w:space="0" w:color="auto"/>
            </w:tcBorders>
            <w:hideMark/>
          </w:tcPr>
          <w:p w14:paraId="05CAB851"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US"/>
              </w:rPr>
              <w:t>Yes</w:t>
            </w:r>
          </w:p>
        </w:tc>
      </w:tr>
      <w:tr w:rsidR="00752C0B" w:rsidRPr="0021307F" w14:paraId="63DF64D4"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211B442B"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Number of participants in workshops, training events, seminars, conferences, etc.</w:t>
            </w:r>
          </w:p>
        </w:tc>
        <w:tc>
          <w:tcPr>
            <w:tcW w:w="1418" w:type="dxa"/>
            <w:tcBorders>
              <w:top w:val="nil"/>
              <w:left w:val="nil"/>
              <w:bottom w:val="single" w:sz="4" w:space="0" w:color="auto"/>
              <w:right w:val="single" w:sz="4" w:space="0" w:color="auto"/>
            </w:tcBorders>
            <w:vAlign w:val="center"/>
            <w:hideMark/>
          </w:tcPr>
          <w:p w14:paraId="2E12F80B"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726</w:t>
            </w:r>
          </w:p>
        </w:tc>
        <w:tc>
          <w:tcPr>
            <w:tcW w:w="1417" w:type="dxa"/>
            <w:tcBorders>
              <w:top w:val="nil"/>
              <w:left w:val="nil"/>
              <w:bottom w:val="single" w:sz="4" w:space="0" w:color="auto"/>
              <w:right w:val="single" w:sz="4" w:space="0" w:color="auto"/>
            </w:tcBorders>
            <w:vAlign w:val="center"/>
            <w:hideMark/>
          </w:tcPr>
          <w:p w14:paraId="28C29058"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335</w:t>
            </w:r>
          </w:p>
        </w:tc>
        <w:tc>
          <w:tcPr>
            <w:tcW w:w="1134" w:type="dxa"/>
            <w:tcBorders>
              <w:top w:val="nil"/>
              <w:left w:val="nil"/>
              <w:bottom w:val="single" w:sz="4" w:space="0" w:color="auto"/>
              <w:right w:val="single" w:sz="8" w:space="0" w:color="auto"/>
            </w:tcBorders>
            <w:hideMark/>
          </w:tcPr>
          <w:p w14:paraId="4B284B59" w14:textId="77777777" w:rsidR="00752C0B" w:rsidRPr="0021307F" w:rsidRDefault="00752C0B" w:rsidP="00361731">
            <w:pPr>
              <w:jc w:val="center"/>
              <w:rPr>
                <w:rFonts w:ascii="Calibri" w:hAnsi="Calibri" w:cs="Calibri"/>
                <w:color w:val="000000"/>
                <w:sz w:val="20"/>
                <w:szCs w:val="20"/>
                <w:lang w:val="en-US"/>
              </w:rPr>
            </w:pPr>
            <w:r w:rsidRPr="0021307F">
              <w:rPr>
                <w:rFonts w:ascii="Calibri" w:hAnsi="Calibri" w:cs="Calibri"/>
                <w:color w:val="000000"/>
                <w:sz w:val="20"/>
                <w:szCs w:val="20"/>
                <w:lang w:val="en-US"/>
              </w:rPr>
              <w:t>Yes</w:t>
            </w:r>
          </w:p>
        </w:tc>
      </w:tr>
    </w:tbl>
    <w:p w14:paraId="0C2C0E82" w14:textId="77777777" w:rsidR="00752C0B" w:rsidRDefault="00752C0B" w:rsidP="00752C0B">
      <w:pPr>
        <w:autoSpaceDE w:val="0"/>
        <w:autoSpaceDN w:val="0"/>
        <w:adjustRightInd w:val="0"/>
        <w:spacing w:after="120"/>
        <w:jc w:val="both"/>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1A0565" w14:paraId="6FA50E3A" w14:textId="77777777" w:rsidTr="00361731">
        <w:trPr>
          <w:trHeight w:val="300"/>
          <w:tblHeader/>
        </w:trPr>
        <w:tc>
          <w:tcPr>
            <w:tcW w:w="5812"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1353D83" w14:textId="77777777" w:rsidR="00752C0B" w:rsidRPr="001A0565" w:rsidRDefault="00752C0B" w:rsidP="00361731">
            <w:pPr>
              <w:rPr>
                <w:rFonts w:ascii="Calibri" w:hAnsi="Calibri" w:cs="Calibri"/>
                <w:b/>
                <w:bCs/>
                <w:color w:val="000000"/>
                <w:sz w:val="20"/>
                <w:szCs w:val="20"/>
                <w:lang w:val="en-US"/>
              </w:rPr>
            </w:pPr>
            <w:r w:rsidRPr="00604850">
              <w:rPr>
                <w:rFonts w:ascii="Calibri" w:hAnsi="Calibri" w:cs="Calibri"/>
                <w:b/>
                <w:bCs/>
                <w:color w:val="000000"/>
                <w:sz w:val="20"/>
                <w:szCs w:val="20"/>
                <w:lang w:val="en-AU"/>
              </w:rPr>
              <w:t xml:space="preserve">Viet Nam Building Resilience Index </w:t>
            </w:r>
            <w:r>
              <w:rPr>
                <w:rFonts w:ascii="Calibri" w:hAnsi="Calibri" w:cs="Calibri"/>
                <w:b/>
                <w:bCs/>
                <w:color w:val="000000"/>
                <w:sz w:val="20"/>
                <w:szCs w:val="20"/>
                <w:lang w:val="en-AU"/>
              </w:rPr>
              <w:t xml:space="preserve">- </w:t>
            </w:r>
            <w:r w:rsidRPr="001A0565">
              <w:rPr>
                <w:rFonts w:ascii="Calibri" w:hAnsi="Calibri" w:cs="Calibri"/>
                <w:b/>
                <w:bCs/>
                <w:color w:val="000000"/>
                <w:sz w:val="20"/>
                <w:szCs w:val="20"/>
                <w:lang w:val="en-AU"/>
              </w:rPr>
              <w:t>OUTCOME</w:t>
            </w:r>
          </w:p>
        </w:tc>
        <w:tc>
          <w:tcPr>
            <w:tcW w:w="1418"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42858B7A"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Cumulative Results till Dec 2025</w:t>
            </w:r>
          </w:p>
        </w:tc>
        <w:tc>
          <w:tcPr>
            <w:tcW w:w="1417"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844ACB3"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Overall Target</w:t>
            </w:r>
          </w:p>
        </w:tc>
        <w:tc>
          <w:tcPr>
            <w:tcW w:w="1134"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DA21FA7"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Achieved</w:t>
            </w:r>
          </w:p>
        </w:tc>
      </w:tr>
      <w:tr w:rsidR="00752C0B" w:rsidRPr="00207E1E" w14:paraId="58D3B355" w14:textId="77777777" w:rsidTr="00361731">
        <w:trPr>
          <w:trHeight w:val="525"/>
        </w:trPr>
        <w:tc>
          <w:tcPr>
            <w:tcW w:w="5812" w:type="dxa"/>
            <w:tcBorders>
              <w:top w:val="nil"/>
              <w:left w:val="single" w:sz="8" w:space="0" w:color="auto"/>
              <w:bottom w:val="single" w:sz="4" w:space="0" w:color="auto"/>
              <w:right w:val="single" w:sz="4" w:space="0" w:color="auto"/>
            </w:tcBorders>
            <w:vAlign w:val="center"/>
            <w:hideMark/>
          </w:tcPr>
          <w:p w14:paraId="2A1FA8A1" w14:textId="77777777" w:rsidR="00752C0B" w:rsidRPr="001A0565" w:rsidRDefault="00752C0B" w:rsidP="00361731">
            <w:pPr>
              <w:rPr>
                <w:rFonts w:ascii="Calibri" w:hAnsi="Calibri" w:cs="Calibri"/>
                <w:color w:val="000000"/>
                <w:sz w:val="20"/>
                <w:szCs w:val="20"/>
                <w:lang w:val="en-US"/>
              </w:rPr>
            </w:pPr>
            <w:r w:rsidRPr="00604850">
              <w:rPr>
                <w:rFonts w:ascii="Calibri" w:hAnsi="Calibri" w:cs="Calibri"/>
                <w:b/>
                <w:bCs/>
                <w:color w:val="000000"/>
                <w:sz w:val="20"/>
                <w:szCs w:val="20"/>
                <w:lang w:val="en-AU"/>
              </w:rPr>
              <w:t>Component 1</w:t>
            </w:r>
            <w:r>
              <w:rPr>
                <w:rFonts w:ascii="Calibri" w:hAnsi="Calibri" w:cs="Calibri"/>
                <w:color w:val="000000"/>
                <w:sz w:val="20"/>
                <w:szCs w:val="20"/>
                <w:lang w:val="en-AU"/>
              </w:rPr>
              <w:t xml:space="preserve">: </w:t>
            </w:r>
            <w:r w:rsidRPr="001A0565">
              <w:rPr>
                <w:rFonts w:ascii="Calibri" w:hAnsi="Calibri" w:cs="Calibri"/>
                <w:color w:val="000000"/>
                <w:sz w:val="20"/>
                <w:szCs w:val="20"/>
                <w:lang w:val="en-AU"/>
              </w:rPr>
              <w:t>Number of products launched</w:t>
            </w:r>
          </w:p>
        </w:tc>
        <w:tc>
          <w:tcPr>
            <w:tcW w:w="1418" w:type="dxa"/>
            <w:tcBorders>
              <w:top w:val="nil"/>
              <w:left w:val="nil"/>
              <w:bottom w:val="single" w:sz="4" w:space="0" w:color="auto"/>
              <w:right w:val="single" w:sz="4" w:space="0" w:color="auto"/>
            </w:tcBorders>
            <w:vAlign w:val="center"/>
            <w:hideMark/>
          </w:tcPr>
          <w:p w14:paraId="1B94EF26"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3</w:t>
            </w:r>
          </w:p>
        </w:tc>
        <w:tc>
          <w:tcPr>
            <w:tcW w:w="1417" w:type="dxa"/>
            <w:tcBorders>
              <w:top w:val="nil"/>
              <w:left w:val="nil"/>
              <w:bottom w:val="single" w:sz="4" w:space="0" w:color="auto"/>
              <w:right w:val="single" w:sz="4" w:space="0" w:color="auto"/>
            </w:tcBorders>
            <w:vAlign w:val="center"/>
            <w:hideMark/>
          </w:tcPr>
          <w:p w14:paraId="3BA7434C"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1ACD80D2" w14:textId="77777777" w:rsidR="00752C0B" w:rsidRPr="00207E1E" w:rsidRDefault="00752C0B" w:rsidP="00361731">
            <w:pPr>
              <w:jc w:val="center"/>
              <w:rPr>
                <w:rFonts w:ascii="Calibri" w:hAnsi="Calibri" w:cs="Calibri"/>
                <w:color w:val="000000"/>
                <w:sz w:val="20"/>
                <w:szCs w:val="20"/>
                <w:lang w:val="en-US"/>
              </w:rPr>
            </w:pPr>
            <w:r w:rsidRPr="00207E1E">
              <w:rPr>
                <w:rFonts w:ascii="Calibri" w:hAnsi="Calibri" w:cs="Calibri"/>
                <w:color w:val="000000"/>
                <w:sz w:val="20"/>
                <w:szCs w:val="20"/>
                <w:lang w:val="en-US"/>
              </w:rPr>
              <w:t>Yes</w:t>
            </w:r>
          </w:p>
        </w:tc>
      </w:tr>
      <w:tr w:rsidR="00752C0B" w:rsidRPr="00207E1E" w14:paraId="1F064F03"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4C93A2D0" w14:textId="77777777" w:rsidR="00752C0B" w:rsidRPr="001A0565" w:rsidRDefault="00752C0B" w:rsidP="00361731">
            <w:pPr>
              <w:rPr>
                <w:rFonts w:ascii="Calibri" w:hAnsi="Calibri" w:cs="Calibri"/>
                <w:color w:val="000000"/>
                <w:sz w:val="20"/>
                <w:szCs w:val="20"/>
                <w:lang w:val="en-US"/>
              </w:rPr>
            </w:pPr>
            <w:r w:rsidRPr="00604850">
              <w:rPr>
                <w:rFonts w:ascii="Calibri" w:hAnsi="Calibri" w:cs="Calibri"/>
                <w:b/>
                <w:bCs/>
                <w:color w:val="000000"/>
                <w:sz w:val="20"/>
                <w:szCs w:val="20"/>
                <w:lang w:val="en-AU"/>
              </w:rPr>
              <w:t>Component 2:</w:t>
            </w:r>
            <w:r>
              <w:rPr>
                <w:rFonts w:ascii="Calibri" w:hAnsi="Calibri" w:cs="Calibri"/>
                <w:color w:val="000000"/>
                <w:sz w:val="20"/>
                <w:szCs w:val="20"/>
                <w:lang w:val="en-AU"/>
              </w:rPr>
              <w:t xml:space="preserve"> </w:t>
            </w:r>
            <w:r w:rsidRPr="001A0565">
              <w:rPr>
                <w:rFonts w:ascii="Calibri" w:hAnsi="Calibri" w:cs="Calibri"/>
                <w:color w:val="000000"/>
                <w:sz w:val="20"/>
                <w:szCs w:val="20"/>
                <w:lang w:val="en-AU"/>
              </w:rPr>
              <w:t>Number of entities in Viet Nam with over 50% female employees making decisions informed by BRI App</w:t>
            </w:r>
          </w:p>
        </w:tc>
        <w:tc>
          <w:tcPr>
            <w:tcW w:w="1418" w:type="dxa"/>
            <w:tcBorders>
              <w:top w:val="nil"/>
              <w:left w:val="nil"/>
              <w:bottom w:val="single" w:sz="4" w:space="0" w:color="auto"/>
              <w:right w:val="single" w:sz="4" w:space="0" w:color="auto"/>
            </w:tcBorders>
            <w:vAlign w:val="center"/>
            <w:hideMark/>
          </w:tcPr>
          <w:p w14:paraId="56D9E4B8"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5</w:t>
            </w:r>
          </w:p>
        </w:tc>
        <w:tc>
          <w:tcPr>
            <w:tcW w:w="1417" w:type="dxa"/>
            <w:tcBorders>
              <w:top w:val="nil"/>
              <w:left w:val="nil"/>
              <w:bottom w:val="single" w:sz="4" w:space="0" w:color="auto"/>
              <w:right w:val="single" w:sz="4" w:space="0" w:color="auto"/>
            </w:tcBorders>
            <w:vAlign w:val="center"/>
            <w:hideMark/>
          </w:tcPr>
          <w:p w14:paraId="00285AE9"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5</w:t>
            </w:r>
          </w:p>
        </w:tc>
        <w:tc>
          <w:tcPr>
            <w:tcW w:w="1134" w:type="dxa"/>
            <w:tcBorders>
              <w:top w:val="nil"/>
              <w:left w:val="nil"/>
              <w:bottom w:val="single" w:sz="4" w:space="0" w:color="auto"/>
              <w:right w:val="single" w:sz="8" w:space="0" w:color="auto"/>
            </w:tcBorders>
            <w:hideMark/>
          </w:tcPr>
          <w:p w14:paraId="27345DFC" w14:textId="77777777" w:rsidR="00752C0B" w:rsidRPr="00207E1E" w:rsidRDefault="00752C0B" w:rsidP="00361731">
            <w:pPr>
              <w:jc w:val="center"/>
              <w:rPr>
                <w:rFonts w:ascii="Calibri" w:hAnsi="Calibri" w:cs="Calibri"/>
                <w:color w:val="000000"/>
                <w:sz w:val="20"/>
                <w:szCs w:val="20"/>
                <w:lang w:val="en-US"/>
              </w:rPr>
            </w:pPr>
            <w:r w:rsidRPr="00207E1E">
              <w:rPr>
                <w:rFonts w:ascii="Calibri" w:hAnsi="Calibri" w:cs="Calibri"/>
                <w:color w:val="000000"/>
                <w:sz w:val="20"/>
                <w:szCs w:val="20"/>
                <w:lang w:val="en-US"/>
              </w:rPr>
              <w:t>Yes</w:t>
            </w:r>
          </w:p>
        </w:tc>
      </w:tr>
      <w:tr w:rsidR="00752C0B" w:rsidRPr="00207E1E" w14:paraId="3FC36EB2"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5011EC5F"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Number of participants reporting improved knowledge/awareness/practices</w:t>
            </w:r>
          </w:p>
        </w:tc>
        <w:tc>
          <w:tcPr>
            <w:tcW w:w="1418" w:type="dxa"/>
            <w:tcBorders>
              <w:top w:val="nil"/>
              <w:left w:val="nil"/>
              <w:bottom w:val="single" w:sz="4" w:space="0" w:color="auto"/>
              <w:right w:val="single" w:sz="4" w:space="0" w:color="auto"/>
            </w:tcBorders>
            <w:vAlign w:val="center"/>
            <w:hideMark/>
          </w:tcPr>
          <w:p w14:paraId="5AA5E0E3"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274</w:t>
            </w:r>
          </w:p>
        </w:tc>
        <w:tc>
          <w:tcPr>
            <w:tcW w:w="1417" w:type="dxa"/>
            <w:tcBorders>
              <w:top w:val="nil"/>
              <w:left w:val="nil"/>
              <w:bottom w:val="single" w:sz="4" w:space="0" w:color="auto"/>
              <w:right w:val="single" w:sz="4" w:space="0" w:color="auto"/>
            </w:tcBorders>
            <w:vAlign w:val="center"/>
            <w:hideMark/>
          </w:tcPr>
          <w:p w14:paraId="28B13F48"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150</w:t>
            </w:r>
          </w:p>
        </w:tc>
        <w:tc>
          <w:tcPr>
            <w:tcW w:w="1134" w:type="dxa"/>
            <w:tcBorders>
              <w:top w:val="nil"/>
              <w:left w:val="nil"/>
              <w:bottom w:val="single" w:sz="4" w:space="0" w:color="auto"/>
              <w:right w:val="single" w:sz="8" w:space="0" w:color="auto"/>
            </w:tcBorders>
            <w:hideMark/>
          </w:tcPr>
          <w:p w14:paraId="32D56654" w14:textId="77777777" w:rsidR="00752C0B" w:rsidRPr="00207E1E" w:rsidRDefault="00752C0B" w:rsidP="00361731">
            <w:pPr>
              <w:jc w:val="center"/>
              <w:rPr>
                <w:rFonts w:ascii="Calibri" w:hAnsi="Calibri" w:cs="Calibri"/>
                <w:color w:val="000000"/>
                <w:sz w:val="20"/>
                <w:szCs w:val="20"/>
                <w:lang w:val="en-US"/>
              </w:rPr>
            </w:pPr>
            <w:r w:rsidRPr="00207E1E">
              <w:rPr>
                <w:rFonts w:ascii="Calibri" w:hAnsi="Calibri" w:cs="Calibri"/>
                <w:color w:val="000000"/>
                <w:sz w:val="20"/>
                <w:szCs w:val="20"/>
                <w:lang w:val="en-US"/>
              </w:rPr>
              <w:t>Yes</w:t>
            </w:r>
          </w:p>
        </w:tc>
      </w:tr>
      <w:tr w:rsidR="00752C0B" w:rsidRPr="00207E1E" w14:paraId="578023CE" w14:textId="77777777" w:rsidTr="00361731">
        <w:trPr>
          <w:trHeight w:val="480"/>
        </w:trPr>
        <w:tc>
          <w:tcPr>
            <w:tcW w:w="5812" w:type="dxa"/>
            <w:tcBorders>
              <w:top w:val="nil"/>
              <w:left w:val="single" w:sz="8" w:space="0" w:color="auto"/>
              <w:bottom w:val="single" w:sz="4" w:space="0" w:color="auto"/>
              <w:right w:val="single" w:sz="4" w:space="0" w:color="auto"/>
            </w:tcBorders>
            <w:vAlign w:val="center"/>
            <w:hideMark/>
          </w:tcPr>
          <w:p w14:paraId="477A75C2"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Floor space verified with increased resilience (m2)</w:t>
            </w:r>
          </w:p>
        </w:tc>
        <w:tc>
          <w:tcPr>
            <w:tcW w:w="1418" w:type="dxa"/>
            <w:tcBorders>
              <w:top w:val="nil"/>
              <w:left w:val="nil"/>
              <w:bottom w:val="single" w:sz="4" w:space="0" w:color="auto"/>
              <w:right w:val="single" w:sz="4" w:space="0" w:color="auto"/>
            </w:tcBorders>
            <w:vAlign w:val="center"/>
            <w:hideMark/>
          </w:tcPr>
          <w:p w14:paraId="40047E2D"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609,306</w:t>
            </w:r>
          </w:p>
        </w:tc>
        <w:tc>
          <w:tcPr>
            <w:tcW w:w="1417" w:type="dxa"/>
            <w:tcBorders>
              <w:top w:val="nil"/>
              <w:left w:val="nil"/>
              <w:bottom w:val="single" w:sz="4" w:space="0" w:color="auto"/>
              <w:right w:val="single" w:sz="4" w:space="0" w:color="auto"/>
            </w:tcBorders>
            <w:vAlign w:val="center"/>
            <w:hideMark/>
          </w:tcPr>
          <w:p w14:paraId="07695101"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400,000</w:t>
            </w:r>
          </w:p>
        </w:tc>
        <w:tc>
          <w:tcPr>
            <w:tcW w:w="1134" w:type="dxa"/>
            <w:tcBorders>
              <w:top w:val="nil"/>
              <w:left w:val="nil"/>
              <w:bottom w:val="single" w:sz="4" w:space="0" w:color="auto"/>
              <w:right w:val="single" w:sz="8" w:space="0" w:color="auto"/>
            </w:tcBorders>
            <w:hideMark/>
          </w:tcPr>
          <w:p w14:paraId="6E553FDE" w14:textId="77777777" w:rsidR="00752C0B" w:rsidRPr="00207E1E" w:rsidRDefault="00752C0B" w:rsidP="00361731">
            <w:pPr>
              <w:jc w:val="center"/>
              <w:rPr>
                <w:rFonts w:ascii="Calibri" w:hAnsi="Calibri" w:cs="Calibri"/>
                <w:color w:val="000000"/>
                <w:sz w:val="20"/>
                <w:szCs w:val="20"/>
                <w:lang w:val="en-US"/>
              </w:rPr>
            </w:pPr>
            <w:r w:rsidRPr="00207E1E">
              <w:rPr>
                <w:rFonts w:ascii="Calibri" w:hAnsi="Calibri" w:cs="Calibri"/>
                <w:color w:val="000000"/>
                <w:sz w:val="20"/>
                <w:szCs w:val="20"/>
                <w:lang w:val="en-US"/>
              </w:rPr>
              <w:t>Yes</w:t>
            </w:r>
          </w:p>
        </w:tc>
      </w:tr>
    </w:tbl>
    <w:p w14:paraId="69EA6EEC" w14:textId="77777777" w:rsidR="00752C0B" w:rsidRDefault="00752C0B" w:rsidP="00752C0B">
      <w:pPr>
        <w:autoSpaceDE w:val="0"/>
        <w:autoSpaceDN w:val="0"/>
        <w:adjustRightInd w:val="0"/>
        <w:spacing w:after="120"/>
        <w:jc w:val="both"/>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1A0565" w14:paraId="160586D8" w14:textId="77777777" w:rsidTr="00361731">
        <w:trPr>
          <w:trHeight w:val="300"/>
          <w:tblHeader/>
        </w:trPr>
        <w:tc>
          <w:tcPr>
            <w:tcW w:w="5812"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1AE52D0" w14:textId="77777777" w:rsidR="00752C0B" w:rsidRPr="001A0565" w:rsidRDefault="00752C0B" w:rsidP="00361731">
            <w:pPr>
              <w:rPr>
                <w:rFonts w:ascii="Calibri" w:hAnsi="Calibri" w:cs="Calibri"/>
                <w:b/>
                <w:bCs/>
                <w:color w:val="000000"/>
                <w:sz w:val="20"/>
                <w:szCs w:val="20"/>
                <w:lang w:val="en-US"/>
              </w:rPr>
            </w:pPr>
            <w:r w:rsidRPr="00604850">
              <w:rPr>
                <w:rFonts w:ascii="Calibri" w:hAnsi="Calibri" w:cs="Calibri"/>
                <w:b/>
                <w:bCs/>
                <w:color w:val="000000"/>
                <w:sz w:val="20"/>
                <w:szCs w:val="20"/>
                <w:lang w:val="en-AU"/>
              </w:rPr>
              <w:lastRenderedPageBreak/>
              <w:t>Viet Nam Building Resilience Index</w:t>
            </w:r>
            <w:r w:rsidRPr="001A0565">
              <w:rPr>
                <w:rFonts w:ascii="Calibri" w:hAnsi="Calibri" w:cs="Calibri"/>
                <w:b/>
                <w:bCs/>
                <w:color w:val="000000"/>
                <w:sz w:val="20"/>
                <w:szCs w:val="20"/>
                <w:lang w:val="en-AU"/>
              </w:rPr>
              <w:t xml:space="preserve"> </w:t>
            </w:r>
            <w:r>
              <w:rPr>
                <w:rFonts w:ascii="Calibri" w:hAnsi="Calibri" w:cs="Calibri"/>
                <w:b/>
                <w:bCs/>
                <w:color w:val="000000"/>
                <w:sz w:val="20"/>
                <w:szCs w:val="20"/>
                <w:lang w:val="en-AU"/>
              </w:rPr>
              <w:t xml:space="preserve">- </w:t>
            </w:r>
            <w:r w:rsidRPr="001A0565">
              <w:rPr>
                <w:rFonts w:ascii="Calibri" w:hAnsi="Calibri" w:cs="Calibri"/>
                <w:b/>
                <w:bCs/>
                <w:color w:val="000000"/>
                <w:sz w:val="20"/>
                <w:szCs w:val="20"/>
                <w:lang w:val="en-AU"/>
              </w:rPr>
              <w:t>IMPACT</w:t>
            </w:r>
          </w:p>
        </w:tc>
        <w:tc>
          <w:tcPr>
            <w:tcW w:w="141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77ABD1CC"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Cumulative Results till Dec 2025</w:t>
            </w:r>
          </w:p>
        </w:tc>
        <w:tc>
          <w:tcPr>
            <w:tcW w:w="1417"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159C6FF4"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Overall Target</w:t>
            </w:r>
          </w:p>
        </w:tc>
        <w:tc>
          <w:tcPr>
            <w:tcW w:w="1134"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2D7FAC66" w14:textId="77777777" w:rsidR="00752C0B" w:rsidRPr="001A0565" w:rsidRDefault="00752C0B" w:rsidP="00361731">
            <w:pPr>
              <w:jc w:val="center"/>
              <w:rPr>
                <w:rFonts w:ascii="Calibri" w:hAnsi="Calibri" w:cs="Calibri"/>
                <w:b/>
                <w:bCs/>
                <w:color w:val="000000"/>
                <w:sz w:val="20"/>
                <w:szCs w:val="20"/>
                <w:lang w:val="en-US"/>
              </w:rPr>
            </w:pPr>
            <w:r w:rsidRPr="001A0565">
              <w:rPr>
                <w:rFonts w:ascii="Calibri" w:hAnsi="Calibri" w:cs="Calibri"/>
                <w:b/>
                <w:bCs/>
                <w:color w:val="000000"/>
                <w:sz w:val="20"/>
                <w:szCs w:val="20"/>
                <w:lang w:val="en-AU"/>
              </w:rPr>
              <w:t>Achieved</w:t>
            </w:r>
          </w:p>
        </w:tc>
      </w:tr>
      <w:tr w:rsidR="00752C0B" w:rsidRPr="001A0565" w14:paraId="3DAC560B" w14:textId="77777777" w:rsidTr="00361731">
        <w:trPr>
          <w:trHeight w:val="525"/>
        </w:trPr>
        <w:tc>
          <w:tcPr>
            <w:tcW w:w="5812" w:type="dxa"/>
            <w:tcBorders>
              <w:top w:val="single" w:sz="4" w:space="0" w:color="auto"/>
              <w:left w:val="single" w:sz="4" w:space="0" w:color="auto"/>
              <w:bottom w:val="single" w:sz="4" w:space="0" w:color="auto"/>
              <w:right w:val="single" w:sz="4" w:space="0" w:color="auto"/>
            </w:tcBorders>
            <w:vAlign w:val="center"/>
            <w:hideMark/>
          </w:tcPr>
          <w:p w14:paraId="6D12D260" w14:textId="77777777" w:rsidR="00752C0B" w:rsidRPr="001A0565" w:rsidRDefault="00752C0B" w:rsidP="00361731">
            <w:pPr>
              <w:rPr>
                <w:rFonts w:ascii="Calibri" w:hAnsi="Calibri" w:cs="Calibri"/>
                <w:color w:val="000000"/>
                <w:sz w:val="20"/>
                <w:szCs w:val="20"/>
                <w:lang w:val="en-US"/>
              </w:rPr>
            </w:pPr>
            <w:r w:rsidRPr="001A0565">
              <w:rPr>
                <w:rFonts w:ascii="Calibri" w:hAnsi="Calibri" w:cs="Calibri"/>
                <w:color w:val="000000"/>
                <w:sz w:val="20"/>
                <w:szCs w:val="20"/>
                <w:lang w:val="en-AU"/>
              </w:rPr>
              <w:t>Expected Total reduction of PML (probable maximum loss) by resilient buildings</w:t>
            </w:r>
          </w:p>
        </w:tc>
        <w:tc>
          <w:tcPr>
            <w:tcW w:w="1418" w:type="dxa"/>
            <w:tcBorders>
              <w:top w:val="single" w:sz="4" w:space="0" w:color="auto"/>
              <w:left w:val="nil"/>
              <w:bottom w:val="single" w:sz="4" w:space="0" w:color="auto"/>
              <w:right w:val="single" w:sz="4" w:space="0" w:color="auto"/>
            </w:tcBorders>
            <w:vAlign w:val="center"/>
            <w:hideMark/>
          </w:tcPr>
          <w:p w14:paraId="061D98C7"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79,400,000</w:t>
            </w:r>
          </w:p>
        </w:tc>
        <w:tc>
          <w:tcPr>
            <w:tcW w:w="1417" w:type="dxa"/>
            <w:tcBorders>
              <w:top w:val="single" w:sz="4" w:space="0" w:color="auto"/>
              <w:left w:val="nil"/>
              <w:bottom w:val="single" w:sz="4" w:space="0" w:color="auto"/>
              <w:right w:val="single" w:sz="4" w:space="0" w:color="auto"/>
            </w:tcBorders>
            <w:vAlign w:val="center"/>
            <w:hideMark/>
          </w:tcPr>
          <w:p w14:paraId="387AACFC"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90,000,000</w:t>
            </w:r>
          </w:p>
        </w:tc>
        <w:tc>
          <w:tcPr>
            <w:tcW w:w="1134" w:type="dxa"/>
            <w:tcBorders>
              <w:top w:val="single" w:sz="4" w:space="0" w:color="auto"/>
              <w:left w:val="nil"/>
              <w:bottom w:val="single" w:sz="4" w:space="0" w:color="auto"/>
              <w:right w:val="single" w:sz="4" w:space="0" w:color="auto"/>
            </w:tcBorders>
            <w:vAlign w:val="center"/>
            <w:hideMark/>
          </w:tcPr>
          <w:p w14:paraId="554B1D35" w14:textId="77777777" w:rsidR="00752C0B" w:rsidRPr="001A0565" w:rsidRDefault="00752C0B" w:rsidP="00361731">
            <w:pPr>
              <w:jc w:val="center"/>
              <w:rPr>
                <w:rFonts w:ascii="Calibri" w:hAnsi="Calibri" w:cs="Calibri"/>
                <w:color w:val="000000"/>
                <w:sz w:val="20"/>
                <w:szCs w:val="20"/>
                <w:lang w:val="en-US"/>
              </w:rPr>
            </w:pPr>
            <w:r w:rsidRPr="001A0565">
              <w:rPr>
                <w:rFonts w:ascii="Calibri" w:hAnsi="Calibri" w:cs="Calibri"/>
                <w:color w:val="000000"/>
                <w:sz w:val="20"/>
                <w:szCs w:val="20"/>
                <w:lang w:val="en-AU"/>
              </w:rPr>
              <w:t>88%</w:t>
            </w:r>
          </w:p>
        </w:tc>
      </w:tr>
    </w:tbl>
    <w:p w14:paraId="176DAB08" w14:textId="77777777" w:rsidR="00752C0B" w:rsidRDefault="00752C0B" w:rsidP="00752C0B">
      <w:pPr>
        <w:autoSpaceDE w:val="0"/>
        <w:autoSpaceDN w:val="0"/>
        <w:adjustRightInd w:val="0"/>
        <w:spacing w:after="120"/>
        <w:jc w:val="both"/>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7B4203" w14:paraId="0691227B" w14:textId="77777777" w:rsidTr="00361731">
        <w:trPr>
          <w:trHeight w:val="765"/>
          <w:tblHeader/>
        </w:trPr>
        <w:tc>
          <w:tcPr>
            <w:tcW w:w="5812" w:type="dxa"/>
            <w:tcBorders>
              <w:top w:val="single" w:sz="8" w:space="0" w:color="auto"/>
              <w:left w:val="single" w:sz="8" w:space="0" w:color="auto"/>
              <w:bottom w:val="single" w:sz="4" w:space="0" w:color="auto"/>
              <w:right w:val="single" w:sz="4" w:space="0" w:color="auto"/>
            </w:tcBorders>
            <w:shd w:val="clear" w:color="000000" w:fill="C0E6F5"/>
            <w:vAlign w:val="center"/>
            <w:hideMark/>
          </w:tcPr>
          <w:p w14:paraId="65470CDF"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Viet Nam Food Safety and Food Loss</w:t>
            </w:r>
            <w:r>
              <w:rPr>
                <w:rFonts w:ascii="Calibri" w:hAnsi="Calibri" w:cs="Calibri"/>
                <w:b/>
                <w:bCs/>
                <w:color w:val="000000"/>
                <w:sz w:val="20"/>
                <w:szCs w:val="20"/>
                <w:lang w:val="en-AU"/>
              </w:rPr>
              <w:t xml:space="preserve"> - OUTPUT</w:t>
            </w:r>
          </w:p>
        </w:tc>
        <w:tc>
          <w:tcPr>
            <w:tcW w:w="1418" w:type="dxa"/>
            <w:tcBorders>
              <w:top w:val="single" w:sz="8" w:space="0" w:color="auto"/>
              <w:left w:val="nil"/>
              <w:bottom w:val="single" w:sz="4" w:space="0" w:color="auto"/>
              <w:right w:val="single" w:sz="4" w:space="0" w:color="auto"/>
            </w:tcBorders>
            <w:shd w:val="clear" w:color="000000" w:fill="C0E6F5"/>
            <w:vAlign w:val="center"/>
            <w:hideMark/>
          </w:tcPr>
          <w:p w14:paraId="71C5C557"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Cumulative Results till Dec 2025</w:t>
            </w:r>
          </w:p>
        </w:tc>
        <w:tc>
          <w:tcPr>
            <w:tcW w:w="1417" w:type="dxa"/>
            <w:tcBorders>
              <w:top w:val="single" w:sz="8" w:space="0" w:color="auto"/>
              <w:left w:val="nil"/>
              <w:bottom w:val="single" w:sz="4" w:space="0" w:color="auto"/>
              <w:right w:val="single" w:sz="4" w:space="0" w:color="auto"/>
            </w:tcBorders>
            <w:shd w:val="clear" w:color="000000" w:fill="C0E6F5"/>
            <w:vAlign w:val="center"/>
            <w:hideMark/>
          </w:tcPr>
          <w:p w14:paraId="4B307DE3"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0E6F5"/>
            <w:vAlign w:val="center"/>
            <w:hideMark/>
          </w:tcPr>
          <w:p w14:paraId="1E5A3ADE"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Achieved</w:t>
            </w:r>
          </w:p>
        </w:tc>
      </w:tr>
      <w:tr w:rsidR="00752C0B" w:rsidRPr="00D31858" w14:paraId="2C2EF792"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08E47545" w14:textId="77777777" w:rsidR="00752C0B" w:rsidRDefault="00752C0B" w:rsidP="00361731">
            <w:pPr>
              <w:rPr>
                <w:rFonts w:ascii="Calibri" w:hAnsi="Calibri" w:cs="Calibri"/>
                <w:color w:val="000000"/>
                <w:sz w:val="20"/>
                <w:szCs w:val="20"/>
                <w:lang w:val="en-AU"/>
              </w:rPr>
            </w:pPr>
            <w:r w:rsidRPr="007B4203">
              <w:rPr>
                <w:rFonts w:ascii="Calibri" w:hAnsi="Calibri" w:cs="Calibri"/>
                <w:b/>
                <w:bCs/>
                <w:color w:val="000000"/>
                <w:sz w:val="20"/>
                <w:szCs w:val="20"/>
                <w:lang w:val="en-AU"/>
              </w:rPr>
              <w:t>Component 1: Sector Capacity Building</w:t>
            </w:r>
            <w:r w:rsidRPr="007B4203">
              <w:rPr>
                <w:rFonts w:ascii="Calibri" w:hAnsi="Calibri" w:cs="Calibri"/>
                <w:color w:val="000000"/>
                <w:sz w:val="20"/>
                <w:szCs w:val="20"/>
                <w:lang w:val="en-AU"/>
              </w:rPr>
              <w:t xml:space="preserve"> </w:t>
            </w:r>
          </w:p>
          <w:p w14:paraId="3F738E77"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participants in workshops, training events, seminars, conferences, etc.</w:t>
            </w:r>
          </w:p>
        </w:tc>
        <w:tc>
          <w:tcPr>
            <w:tcW w:w="1418" w:type="dxa"/>
            <w:tcBorders>
              <w:top w:val="nil"/>
              <w:left w:val="nil"/>
              <w:bottom w:val="single" w:sz="4" w:space="0" w:color="auto"/>
              <w:right w:val="single" w:sz="4" w:space="0" w:color="auto"/>
            </w:tcBorders>
            <w:vAlign w:val="center"/>
            <w:hideMark/>
          </w:tcPr>
          <w:p w14:paraId="4F2D402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1,219</w:t>
            </w:r>
          </w:p>
        </w:tc>
        <w:tc>
          <w:tcPr>
            <w:tcW w:w="1417" w:type="dxa"/>
            <w:tcBorders>
              <w:top w:val="nil"/>
              <w:left w:val="nil"/>
              <w:bottom w:val="single" w:sz="4" w:space="0" w:color="auto"/>
              <w:right w:val="single" w:sz="4" w:space="0" w:color="auto"/>
            </w:tcBorders>
            <w:vAlign w:val="center"/>
            <w:hideMark/>
          </w:tcPr>
          <w:p w14:paraId="1601DDC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1,000</w:t>
            </w:r>
          </w:p>
        </w:tc>
        <w:tc>
          <w:tcPr>
            <w:tcW w:w="1134" w:type="dxa"/>
            <w:tcBorders>
              <w:top w:val="nil"/>
              <w:left w:val="nil"/>
              <w:bottom w:val="single" w:sz="4" w:space="0" w:color="auto"/>
              <w:right w:val="single" w:sz="8" w:space="0" w:color="auto"/>
            </w:tcBorders>
            <w:hideMark/>
          </w:tcPr>
          <w:p w14:paraId="60A4C539"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55192616"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20DC6A0B"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reports (assessments, surveys, manuals, Phase I/strategic option reports, research, analytical, evaluations, etc.) completed</w:t>
            </w:r>
          </w:p>
        </w:tc>
        <w:tc>
          <w:tcPr>
            <w:tcW w:w="1418" w:type="dxa"/>
            <w:tcBorders>
              <w:top w:val="nil"/>
              <w:left w:val="nil"/>
              <w:bottom w:val="single" w:sz="4" w:space="0" w:color="auto"/>
              <w:right w:val="single" w:sz="4" w:space="0" w:color="auto"/>
            </w:tcBorders>
            <w:vAlign w:val="center"/>
            <w:hideMark/>
          </w:tcPr>
          <w:p w14:paraId="42DCDED8"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2</w:t>
            </w:r>
          </w:p>
        </w:tc>
        <w:tc>
          <w:tcPr>
            <w:tcW w:w="1417" w:type="dxa"/>
            <w:tcBorders>
              <w:top w:val="nil"/>
              <w:left w:val="nil"/>
              <w:bottom w:val="single" w:sz="4" w:space="0" w:color="auto"/>
              <w:right w:val="single" w:sz="4" w:space="0" w:color="auto"/>
            </w:tcBorders>
            <w:vAlign w:val="center"/>
            <w:hideMark/>
          </w:tcPr>
          <w:p w14:paraId="2E5DDCD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61ECD0F5"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1084486D" w14:textId="77777777" w:rsidTr="00361731">
        <w:trPr>
          <w:trHeight w:val="465"/>
        </w:trPr>
        <w:tc>
          <w:tcPr>
            <w:tcW w:w="5812" w:type="dxa"/>
            <w:tcBorders>
              <w:top w:val="nil"/>
              <w:left w:val="single" w:sz="8" w:space="0" w:color="auto"/>
              <w:bottom w:val="single" w:sz="4" w:space="0" w:color="auto"/>
              <w:right w:val="single" w:sz="4" w:space="0" w:color="auto"/>
            </w:tcBorders>
            <w:vAlign w:val="center"/>
            <w:hideMark/>
          </w:tcPr>
          <w:p w14:paraId="40D70717"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trainers trained</w:t>
            </w:r>
          </w:p>
        </w:tc>
        <w:tc>
          <w:tcPr>
            <w:tcW w:w="1418" w:type="dxa"/>
            <w:tcBorders>
              <w:top w:val="nil"/>
              <w:left w:val="nil"/>
              <w:bottom w:val="single" w:sz="4" w:space="0" w:color="auto"/>
              <w:right w:val="single" w:sz="4" w:space="0" w:color="auto"/>
            </w:tcBorders>
            <w:vAlign w:val="center"/>
            <w:hideMark/>
          </w:tcPr>
          <w:p w14:paraId="1437C2D1"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224</w:t>
            </w:r>
          </w:p>
        </w:tc>
        <w:tc>
          <w:tcPr>
            <w:tcW w:w="1417" w:type="dxa"/>
            <w:tcBorders>
              <w:top w:val="nil"/>
              <w:left w:val="nil"/>
              <w:bottom w:val="single" w:sz="4" w:space="0" w:color="auto"/>
              <w:right w:val="single" w:sz="4" w:space="0" w:color="auto"/>
            </w:tcBorders>
            <w:vAlign w:val="center"/>
            <w:hideMark/>
          </w:tcPr>
          <w:p w14:paraId="3A398E03"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140</w:t>
            </w:r>
          </w:p>
        </w:tc>
        <w:tc>
          <w:tcPr>
            <w:tcW w:w="1134" w:type="dxa"/>
            <w:tcBorders>
              <w:top w:val="nil"/>
              <w:left w:val="nil"/>
              <w:bottom w:val="single" w:sz="4" w:space="0" w:color="auto"/>
              <w:right w:val="single" w:sz="8" w:space="0" w:color="auto"/>
            </w:tcBorders>
            <w:hideMark/>
          </w:tcPr>
          <w:p w14:paraId="4D09EADF"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3E6921DC"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3DDB4827"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women participants in workshops, training events, seminars, conferences, etc.</w:t>
            </w:r>
          </w:p>
        </w:tc>
        <w:tc>
          <w:tcPr>
            <w:tcW w:w="1418" w:type="dxa"/>
            <w:tcBorders>
              <w:top w:val="nil"/>
              <w:left w:val="nil"/>
              <w:bottom w:val="single" w:sz="4" w:space="0" w:color="auto"/>
              <w:right w:val="single" w:sz="4" w:space="0" w:color="auto"/>
            </w:tcBorders>
            <w:vAlign w:val="center"/>
            <w:hideMark/>
          </w:tcPr>
          <w:p w14:paraId="206BCFBE"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604</w:t>
            </w:r>
          </w:p>
        </w:tc>
        <w:tc>
          <w:tcPr>
            <w:tcW w:w="1417" w:type="dxa"/>
            <w:tcBorders>
              <w:top w:val="nil"/>
              <w:left w:val="nil"/>
              <w:bottom w:val="single" w:sz="4" w:space="0" w:color="auto"/>
              <w:right w:val="single" w:sz="4" w:space="0" w:color="auto"/>
            </w:tcBorders>
            <w:vAlign w:val="center"/>
            <w:hideMark/>
          </w:tcPr>
          <w:p w14:paraId="630D821D"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400</w:t>
            </w:r>
          </w:p>
        </w:tc>
        <w:tc>
          <w:tcPr>
            <w:tcW w:w="1134" w:type="dxa"/>
            <w:tcBorders>
              <w:top w:val="nil"/>
              <w:left w:val="nil"/>
              <w:bottom w:val="single" w:sz="4" w:space="0" w:color="auto"/>
              <w:right w:val="single" w:sz="8" w:space="0" w:color="auto"/>
            </w:tcBorders>
            <w:hideMark/>
          </w:tcPr>
          <w:p w14:paraId="1845876D"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50CB9574" w14:textId="77777777" w:rsidTr="00361731">
        <w:trPr>
          <w:trHeight w:val="480"/>
        </w:trPr>
        <w:tc>
          <w:tcPr>
            <w:tcW w:w="5812" w:type="dxa"/>
            <w:tcBorders>
              <w:top w:val="nil"/>
              <w:left w:val="single" w:sz="8" w:space="0" w:color="auto"/>
              <w:bottom w:val="single" w:sz="4" w:space="0" w:color="auto"/>
              <w:right w:val="single" w:sz="4" w:space="0" w:color="auto"/>
            </w:tcBorders>
            <w:vAlign w:val="center"/>
            <w:hideMark/>
          </w:tcPr>
          <w:p w14:paraId="6244D6C7"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women trainers trained</w:t>
            </w:r>
          </w:p>
        </w:tc>
        <w:tc>
          <w:tcPr>
            <w:tcW w:w="1418" w:type="dxa"/>
            <w:tcBorders>
              <w:top w:val="nil"/>
              <w:left w:val="nil"/>
              <w:bottom w:val="single" w:sz="4" w:space="0" w:color="auto"/>
              <w:right w:val="single" w:sz="4" w:space="0" w:color="auto"/>
            </w:tcBorders>
            <w:vAlign w:val="center"/>
            <w:hideMark/>
          </w:tcPr>
          <w:p w14:paraId="05F072AD"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131</w:t>
            </w:r>
          </w:p>
        </w:tc>
        <w:tc>
          <w:tcPr>
            <w:tcW w:w="1417" w:type="dxa"/>
            <w:tcBorders>
              <w:top w:val="nil"/>
              <w:left w:val="nil"/>
              <w:bottom w:val="single" w:sz="4" w:space="0" w:color="auto"/>
              <w:right w:val="single" w:sz="4" w:space="0" w:color="auto"/>
            </w:tcBorders>
            <w:vAlign w:val="center"/>
            <w:hideMark/>
          </w:tcPr>
          <w:p w14:paraId="746C1D47"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64</w:t>
            </w:r>
          </w:p>
        </w:tc>
        <w:tc>
          <w:tcPr>
            <w:tcW w:w="1134" w:type="dxa"/>
            <w:tcBorders>
              <w:top w:val="nil"/>
              <w:left w:val="nil"/>
              <w:bottom w:val="single" w:sz="4" w:space="0" w:color="auto"/>
              <w:right w:val="single" w:sz="8" w:space="0" w:color="auto"/>
            </w:tcBorders>
            <w:hideMark/>
          </w:tcPr>
          <w:p w14:paraId="72AC231A"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3001A309"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2D316A78"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workshops, training events, seminars, conferences, etc.</w:t>
            </w:r>
          </w:p>
        </w:tc>
        <w:tc>
          <w:tcPr>
            <w:tcW w:w="1418" w:type="dxa"/>
            <w:tcBorders>
              <w:top w:val="nil"/>
              <w:left w:val="nil"/>
              <w:bottom w:val="single" w:sz="4" w:space="0" w:color="auto"/>
              <w:right w:val="single" w:sz="4" w:space="0" w:color="auto"/>
            </w:tcBorders>
            <w:vAlign w:val="center"/>
            <w:hideMark/>
          </w:tcPr>
          <w:p w14:paraId="5BCE4393"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13</w:t>
            </w:r>
          </w:p>
        </w:tc>
        <w:tc>
          <w:tcPr>
            <w:tcW w:w="1417" w:type="dxa"/>
            <w:tcBorders>
              <w:top w:val="nil"/>
              <w:left w:val="nil"/>
              <w:bottom w:val="single" w:sz="4" w:space="0" w:color="auto"/>
              <w:right w:val="single" w:sz="4" w:space="0" w:color="auto"/>
            </w:tcBorders>
            <w:vAlign w:val="center"/>
            <w:hideMark/>
          </w:tcPr>
          <w:p w14:paraId="13035145"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14</w:t>
            </w:r>
          </w:p>
        </w:tc>
        <w:tc>
          <w:tcPr>
            <w:tcW w:w="1134" w:type="dxa"/>
            <w:tcBorders>
              <w:top w:val="nil"/>
              <w:left w:val="nil"/>
              <w:bottom w:val="single" w:sz="4" w:space="0" w:color="auto"/>
              <w:right w:val="single" w:sz="8" w:space="0" w:color="auto"/>
            </w:tcBorders>
            <w:vAlign w:val="center"/>
            <w:hideMark/>
          </w:tcPr>
          <w:p w14:paraId="01518901"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93%</w:t>
            </w:r>
          </w:p>
        </w:tc>
      </w:tr>
      <w:tr w:rsidR="00752C0B" w:rsidRPr="00D31858" w14:paraId="5467D4E1"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49D86889"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participants providing feedback on satisfaction</w:t>
            </w:r>
          </w:p>
        </w:tc>
        <w:tc>
          <w:tcPr>
            <w:tcW w:w="1418" w:type="dxa"/>
            <w:tcBorders>
              <w:top w:val="nil"/>
              <w:left w:val="nil"/>
              <w:bottom w:val="single" w:sz="4" w:space="0" w:color="auto"/>
              <w:right w:val="single" w:sz="4" w:space="0" w:color="auto"/>
            </w:tcBorders>
            <w:vAlign w:val="center"/>
            <w:hideMark/>
          </w:tcPr>
          <w:p w14:paraId="0E2F341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197</w:t>
            </w:r>
          </w:p>
        </w:tc>
        <w:tc>
          <w:tcPr>
            <w:tcW w:w="1417" w:type="dxa"/>
            <w:tcBorders>
              <w:top w:val="nil"/>
              <w:left w:val="nil"/>
              <w:bottom w:val="single" w:sz="4" w:space="0" w:color="auto"/>
              <w:right w:val="single" w:sz="4" w:space="0" w:color="auto"/>
            </w:tcBorders>
            <w:vAlign w:val="center"/>
            <w:hideMark/>
          </w:tcPr>
          <w:p w14:paraId="43ED1557"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120</w:t>
            </w:r>
          </w:p>
        </w:tc>
        <w:tc>
          <w:tcPr>
            <w:tcW w:w="1134" w:type="dxa"/>
            <w:tcBorders>
              <w:top w:val="nil"/>
              <w:left w:val="nil"/>
              <w:bottom w:val="single" w:sz="4" w:space="0" w:color="auto"/>
              <w:right w:val="single" w:sz="8" w:space="0" w:color="auto"/>
            </w:tcBorders>
            <w:hideMark/>
          </w:tcPr>
          <w:p w14:paraId="7958880A"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2C1594C5"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2E5E8F49" w14:textId="77777777" w:rsidR="00752C0B" w:rsidRDefault="00752C0B" w:rsidP="00361731">
            <w:pPr>
              <w:rPr>
                <w:rFonts w:ascii="Calibri" w:hAnsi="Calibri" w:cs="Calibri"/>
                <w:color w:val="000000"/>
                <w:sz w:val="20"/>
                <w:szCs w:val="20"/>
                <w:lang w:val="en-AU"/>
              </w:rPr>
            </w:pPr>
            <w:r w:rsidRPr="00E60BF4">
              <w:rPr>
                <w:rFonts w:ascii="Calibri" w:hAnsi="Calibri" w:cs="Calibri"/>
                <w:b/>
                <w:bCs/>
                <w:color w:val="000000"/>
                <w:sz w:val="20"/>
                <w:szCs w:val="20"/>
                <w:lang w:val="en-AU"/>
              </w:rPr>
              <w:t>Component 2: Firm-Level and Supply Chain Food Loss Advisory</w:t>
            </w:r>
          </w:p>
          <w:p w14:paraId="7CABAB4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entities receiving in-depth advisory services</w:t>
            </w:r>
          </w:p>
        </w:tc>
        <w:tc>
          <w:tcPr>
            <w:tcW w:w="1418" w:type="dxa"/>
            <w:tcBorders>
              <w:top w:val="nil"/>
              <w:left w:val="nil"/>
              <w:bottom w:val="single" w:sz="4" w:space="0" w:color="auto"/>
              <w:right w:val="single" w:sz="4" w:space="0" w:color="auto"/>
            </w:tcBorders>
            <w:vAlign w:val="center"/>
            <w:hideMark/>
          </w:tcPr>
          <w:p w14:paraId="60D78342"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36</w:t>
            </w:r>
          </w:p>
        </w:tc>
        <w:tc>
          <w:tcPr>
            <w:tcW w:w="1417" w:type="dxa"/>
            <w:tcBorders>
              <w:top w:val="nil"/>
              <w:left w:val="nil"/>
              <w:bottom w:val="single" w:sz="4" w:space="0" w:color="auto"/>
              <w:right w:val="single" w:sz="4" w:space="0" w:color="auto"/>
            </w:tcBorders>
            <w:vAlign w:val="center"/>
            <w:hideMark/>
          </w:tcPr>
          <w:p w14:paraId="46D37689"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30</w:t>
            </w:r>
          </w:p>
        </w:tc>
        <w:tc>
          <w:tcPr>
            <w:tcW w:w="1134" w:type="dxa"/>
            <w:tcBorders>
              <w:top w:val="nil"/>
              <w:left w:val="nil"/>
              <w:bottom w:val="single" w:sz="4" w:space="0" w:color="auto"/>
              <w:right w:val="single" w:sz="8" w:space="0" w:color="auto"/>
            </w:tcBorders>
            <w:hideMark/>
          </w:tcPr>
          <w:p w14:paraId="39772D67"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D31858" w14:paraId="338098F3"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52F926ED"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reports (assessments, surveys, manuals, Phase I/strategic option reports, research, analytical, evaluations, etc.) completed</w:t>
            </w:r>
          </w:p>
        </w:tc>
        <w:tc>
          <w:tcPr>
            <w:tcW w:w="1418" w:type="dxa"/>
            <w:tcBorders>
              <w:top w:val="nil"/>
              <w:left w:val="nil"/>
              <w:bottom w:val="single" w:sz="4" w:space="0" w:color="auto"/>
              <w:right w:val="single" w:sz="4" w:space="0" w:color="auto"/>
            </w:tcBorders>
            <w:vAlign w:val="center"/>
            <w:hideMark/>
          </w:tcPr>
          <w:p w14:paraId="3B57386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60</w:t>
            </w:r>
          </w:p>
        </w:tc>
        <w:tc>
          <w:tcPr>
            <w:tcW w:w="1417" w:type="dxa"/>
            <w:tcBorders>
              <w:top w:val="nil"/>
              <w:left w:val="nil"/>
              <w:bottom w:val="single" w:sz="4" w:space="0" w:color="auto"/>
              <w:right w:val="single" w:sz="4" w:space="0" w:color="auto"/>
            </w:tcBorders>
            <w:vAlign w:val="center"/>
            <w:hideMark/>
          </w:tcPr>
          <w:p w14:paraId="1C1A9265"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20</w:t>
            </w:r>
          </w:p>
        </w:tc>
        <w:tc>
          <w:tcPr>
            <w:tcW w:w="1134" w:type="dxa"/>
            <w:tcBorders>
              <w:top w:val="nil"/>
              <w:left w:val="nil"/>
              <w:bottom w:val="single" w:sz="4" w:space="0" w:color="auto"/>
              <w:right w:val="single" w:sz="8" w:space="0" w:color="auto"/>
            </w:tcBorders>
            <w:hideMark/>
          </w:tcPr>
          <w:p w14:paraId="426EE629"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D31858" w14:paraId="6F9CE8CC"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677864E3"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trainers trained</w:t>
            </w:r>
          </w:p>
        </w:tc>
        <w:tc>
          <w:tcPr>
            <w:tcW w:w="1418" w:type="dxa"/>
            <w:tcBorders>
              <w:top w:val="nil"/>
              <w:left w:val="nil"/>
              <w:bottom w:val="single" w:sz="4" w:space="0" w:color="auto"/>
              <w:right w:val="single" w:sz="4" w:space="0" w:color="auto"/>
            </w:tcBorders>
            <w:vAlign w:val="center"/>
            <w:hideMark/>
          </w:tcPr>
          <w:p w14:paraId="10C344AA"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812</w:t>
            </w:r>
          </w:p>
        </w:tc>
        <w:tc>
          <w:tcPr>
            <w:tcW w:w="1417" w:type="dxa"/>
            <w:tcBorders>
              <w:top w:val="nil"/>
              <w:left w:val="nil"/>
              <w:bottom w:val="single" w:sz="4" w:space="0" w:color="auto"/>
              <w:right w:val="single" w:sz="4" w:space="0" w:color="auto"/>
            </w:tcBorders>
            <w:vAlign w:val="center"/>
            <w:hideMark/>
          </w:tcPr>
          <w:p w14:paraId="2E2DEC53"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400</w:t>
            </w:r>
          </w:p>
        </w:tc>
        <w:tc>
          <w:tcPr>
            <w:tcW w:w="1134" w:type="dxa"/>
            <w:tcBorders>
              <w:top w:val="nil"/>
              <w:left w:val="nil"/>
              <w:bottom w:val="single" w:sz="4" w:space="0" w:color="auto"/>
              <w:right w:val="single" w:sz="8" w:space="0" w:color="auto"/>
            </w:tcBorders>
            <w:hideMark/>
          </w:tcPr>
          <w:p w14:paraId="32CFF954"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D31858" w14:paraId="59D2F541" w14:textId="77777777" w:rsidTr="00361731">
        <w:trPr>
          <w:trHeight w:val="435"/>
        </w:trPr>
        <w:tc>
          <w:tcPr>
            <w:tcW w:w="5812" w:type="dxa"/>
            <w:tcBorders>
              <w:top w:val="nil"/>
              <w:left w:val="single" w:sz="8" w:space="0" w:color="auto"/>
              <w:bottom w:val="single" w:sz="4" w:space="0" w:color="auto"/>
              <w:right w:val="single" w:sz="4" w:space="0" w:color="auto"/>
            </w:tcBorders>
            <w:vAlign w:val="center"/>
            <w:hideMark/>
          </w:tcPr>
          <w:p w14:paraId="719BDFC7" w14:textId="77777777" w:rsidR="00752C0B" w:rsidRDefault="00752C0B" w:rsidP="00361731">
            <w:pPr>
              <w:rPr>
                <w:rFonts w:ascii="Calibri" w:hAnsi="Calibri" w:cs="Calibri"/>
                <w:color w:val="000000"/>
                <w:sz w:val="20"/>
                <w:szCs w:val="20"/>
                <w:lang w:val="en-AU"/>
              </w:rPr>
            </w:pPr>
            <w:r w:rsidRPr="00E60BF4">
              <w:rPr>
                <w:rFonts w:ascii="Calibri" w:hAnsi="Calibri" w:cs="Calibri"/>
                <w:b/>
                <w:bCs/>
                <w:color w:val="000000"/>
                <w:sz w:val="20"/>
                <w:szCs w:val="20"/>
                <w:lang w:val="en-AU"/>
              </w:rPr>
              <w:t>Component 3: Firm-Level and Supply Chain Food Safety Advisory</w:t>
            </w:r>
          </w:p>
          <w:p w14:paraId="03E4D74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trainers trained</w:t>
            </w:r>
          </w:p>
        </w:tc>
        <w:tc>
          <w:tcPr>
            <w:tcW w:w="1418" w:type="dxa"/>
            <w:tcBorders>
              <w:top w:val="nil"/>
              <w:left w:val="nil"/>
              <w:bottom w:val="single" w:sz="4" w:space="0" w:color="auto"/>
              <w:right w:val="single" w:sz="4" w:space="0" w:color="auto"/>
            </w:tcBorders>
            <w:vAlign w:val="center"/>
            <w:hideMark/>
          </w:tcPr>
          <w:p w14:paraId="7D2437C7"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2,027</w:t>
            </w:r>
          </w:p>
        </w:tc>
        <w:tc>
          <w:tcPr>
            <w:tcW w:w="1417" w:type="dxa"/>
            <w:tcBorders>
              <w:top w:val="nil"/>
              <w:left w:val="nil"/>
              <w:bottom w:val="single" w:sz="4" w:space="0" w:color="auto"/>
              <w:right w:val="single" w:sz="4" w:space="0" w:color="auto"/>
            </w:tcBorders>
            <w:vAlign w:val="center"/>
            <w:hideMark/>
          </w:tcPr>
          <w:p w14:paraId="717CBDD5"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500</w:t>
            </w:r>
          </w:p>
        </w:tc>
        <w:tc>
          <w:tcPr>
            <w:tcW w:w="1134" w:type="dxa"/>
            <w:tcBorders>
              <w:top w:val="nil"/>
              <w:left w:val="nil"/>
              <w:bottom w:val="single" w:sz="4" w:space="0" w:color="auto"/>
              <w:right w:val="single" w:sz="8" w:space="0" w:color="auto"/>
            </w:tcBorders>
            <w:hideMark/>
          </w:tcPr>
          <w:p w14:paraId="598B8DFC"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D31858" w14:paraId="39DAD030"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0D17B05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entities receiving in-depth advisory services</w:t>
            </w:r>
          </w:p>
        </w:tc>
        <w:tc>
          <w:tcPr>
            <w:tcW w:w="1418" w:type="dxa"/>
            <w:tcBorders>
              <w:top w:val="nil"/>
              <w:left w:val="nil"/>
              <w:bottom w:val="single" w:sz="4" w:space="0" w:color="auto"/>
              <w:right w:val="single" w:sz="4" w:space="0" w:color="auto"/>
            </w:tcBorders>
            <w:vAlign w:val="center"/>
            <w:hideMark/>
          </w:tcPr>
          <w:p w14:paraId="60D5628E"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61</w:t>
            </w:r>
          </w:p>
        </w:tc>
        <w:tc>
          <w:tcPr>
            <w:tcW w:w="1417" w:type="dxa"/>
            <w:tcBorders>
              <w:top w:val="nil"/>
              <w:left w:val="nil"/>
              <w:bottom w:val="single" w:sz="4" w:space="0" w:color="auto"/>
              <w:right w:val="single" w:sz="4" w:space="0" w:color="auto"/>
            </w:tcBorders>
            <w:vAlign w:val="center"/>
            <w:hideMark/>
          </w:tcPr>
          <w:p w14:paraId="7532D712"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30</w:t>
            </w:r>
          </w:p>
        </w:tc>
        <w:tc>
          <w:tcPr>
            <w:tcW w:w="1134" w:type="dxa"/>
            <w:tcBorders>
              <w:top w:val="nil"/>
              <w:left w:val="nil"/>
              <w:bottom w:val="single" w:sz="4" w:space="0" w:color="auto"/>
              <w:right w:val="single" w:sz="8" w:space="0" w:color="auto"/>
            </w:tcBorders>
            <w:hideMark/>
          </w:tcPr>
          <w:p w14:paraId="3A71C68D"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D31858" w14:paraId="446EB3E1" w14:textId="77777777" w:rsidTr="00361731">
        <w:trPr>
          <w:trHeight w:val="600"/>
        </w:trPr>
        <w:tc>
          <w:tcPr>
            <w:tcW w:w="5812" w:type="dxa"/>
            <w:tcBorders>
              <w:top w:val="nil"/>
              <w:left w:val="single" w:sz="8" w:space="0" w:color="auto"/>
              <w:bottom w:val="single" w:sz="4" w:space="0" w:color="auto"/>
              <w:right w:val="single" w:sz="4" w:space="0" w:color="auto"/>
            </w:tcBorders>
            <w:vAlign w:val="center"/>
            <w:hideMark/>
          </w:tcPr>
          <w:p w14:paraId="1A71876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reports (assessments, surveys, manuals, Phase I/strategic option reports, evaluations, etc.) completed</w:t>
            </w:r>
          </w:p>
        </w:tc>
        <w:tc>
          <w:tcPr>
            <w:tcW w:w="1418" w:type="dxa"/>
            <w:tcBorders>
              <w:top w:val="nil"/>
              <w:left w:val="nil"/>
              <w:bottom w:val="single" w:sz="4" w:space="0" w:color="auto"/>
              <w:right w:val="single" w:sz="4" w:space="0" w:color="auto"/>
            </w:tcBorders>
            <w:vAlign w:val="center"/>
            <w:hideMark/>
          </w:tcPr>
          <w:p w14:paraId="106506BD"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110</w:t>
            </w:r>
          </w:p>
        </w:tc>
        <w:tc>
          <w:tcPr>
            <w:tcW w:w="1417" w:type="dxa"/>
            <w:tcBorders>
              <w:top w:val="nil"/>
              <w:left w:val="nil"/>
              <w:bottom w:val="single" w:sz="4" w:space="0" w:color="auto"/>
              <w:right w:val="single" w:sz="4" w:space="0" w:color="auto"/>
            </w:tcBorders>
            <w:vAlign w:val="center"/>
            <w:hideMark/>
          </w:tcPr>
          <w:p w14:paraId="0EC04599"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AU"/>
              </w:rPr>
              <w:t>100</w:t>
            </w:r>
          </w:p>
        </w:tc>
        <w:tc>
          <w:tcPr>
            <w:tcW w:w="1134" w:type="dxa"/>
            <w:tcBorders>
              <w:top w:val="nil"/>
              <w:left w:val="nil"/>
              <w:bottom w:val="single" w:sz="4" w:space="0" w:color="auto"/>
              <w:right w:val="single" w:sz="8" w:space="0" w:color="auto"/>
            </w:tcBorders>
            <w:hideMark/>
          </w:tcPr>
          <w:p w14:paraId="013AB642" w14:textId="77777777" w:rsidR="00752C0B" w:rsidRPr="00D31858"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bl>
    <w:p w14:paraId="65F79787" w14:textId="77777777" w:rsidR="00752C0B" w:rsidRDefault="00752C0B" w:rsidP="00752C0B">
      <w:pPr>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7B4203" w14:paraId="60C1F4C9" w14:textId="77777777" w:rsidTr="00361731">
        <w:trPr>
          <w:trHeight w:val="300"/>
          <w:tblHeader/>
        </w:trPr>
        <w:tc>
          <w:tcPr>
            <w:tcW w:w="5812"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67D04B6"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 xml:space="preserve">Viet Nam Food Safety and Food Loss </w:t>
            </w:r>
            <w:r>
              <w:rPr>
                <w:rFonts w:ascii="Calibri" w:hAnsi="Calibri" w:cs="Calibri"/>
                <w:b/>
                <w:bCs/>
                <w:color w:val="000000"/>
                <w:sz w:val="20"/>
                <w:szCs w:val="20"/>
                <w:lang w:val="en-AU"/>
              </w:rPr>
              <w:t xml:space="preserve">- </w:t>
            </w:r>
            <w:r w:rsidRPr="007B4203">
              <w:rPr>
                <w:rFonts w:ascii="Calibri" w:hAnsi="Calibri" w:cs="Calibri"/>
                <w:b/>
                <w:bCs/>
                <w:color w:val="000000"/>
                <w:sz w:val="20"/>
                <w:szCs w:val="20"/>
                <w:lang w:val="en-AU"/>
              </w:rPr>
              <w:t>OUTCOME</w:t>
            </w:r>
          </w:p>
        </w:tc>
        <w:tc>
          <w:tcPr>
            <w:tcW w:w="141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52A9ED2"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Cumulative Results till Dec 2025</w:t>
            </w:r>
          </w:p>
        </w:tc>
        <w:tc>
          <w:tcPr>
            <w:tcW w:w="1417"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2F1BBCED"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Overall Target</w:t>
            </w:r>
          </w:p>
        </w:tc>
        <w:tc>
          <w:tcPr>
            <w:tcW w:w="1134"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562B9362" w14:textId="77777777" w:rsidR="00752C0B" w:rsidRPr="007B4203" w:rsidRDefault="00752C0B" w:rsidP="00361731">
            <w:pPr>
              <w:jc w:val="center"/>
              <w:rPr>
                <w:rFonts w:ascii="Calibri" w:hAnsi="Calibri" w:cs="Calibri"/>
                <w:b/>
                <w:bCs/>
                <w:color w:val="000000"/>
                <w:sz w:val="20"/>
                <w:szCs w:val="20"/>
                <w:lang w:val="en-US"/>
              </w:rPr>
            </w:pPr>
            <w:r w:rsidRPr="007B4203">
              <w:rPr>
                <w:rFonts w:ascii="Calibri" w:hAnsi="Calibri" w:cs="Calibri"/>
                <w:b/>
                <w:bCs/>
                <w:color w:val="000000"/>
                <w:sz w:val="20"/>
                <w:szCs w:val="20"/>
                <w:lang w:val="en-AU"/>
              </w:rPr>
              <w:t>Achieved</w:t>
            </w:r>
          </w:p>
        </w:tc>
      </w:tr>
      <w:tr w:rsidR="00752C0B" w:rsidRPr="00D31858" w14:paraId="645F5D1B"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0BD8A93A" w14:textId="77777777" w:rsidR="00752C0B" w:rsidRPr="000A7530" w:rsidRDefault="00752C0B" w:rsidP="00361731">
            <w:pPr>
              <w:rPr>
                <w:rFonts w:ascii="Calibri" w:hAnsi="Calibri" w:cs="Calibri"/>
                <w:b/>
                <w:bCs/>
                <w:color w:val="000000"/>
                <w:sz w:val="20"/>
                <w:szCs w:val="20"/>
                <w:lang w:val="en-AU"/>
              </w:rPr>
            </w:pPr>
            <w:r w:rsidRPr="000A7530">
              <w:rPr>
                <w:rFonts w:ascii="Calibri" w:hAnsi="Calibri" w:cs="Calibri"/>
                <w:b/>
                <w:bCs/>
                <w:color w:val="000000"/>
                <w:sz w:val="20"/>
                <w:szCs w:val="20"/>
                <w:lang w:val="en-AU"/>
              </w:rPr>
              <w:t>Component 1: Sector Capacity Building</w:t>
            </w:r>
          </w:p>
          <w:p w14:paraId="11E0C042"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individuals trained by project-trained people and/or institutions</w:t>
            </w:r>
          </w:p>
        </w:tc>
        <w:tc>
          <w:tcPr>
            <w:tcW w:w="1418" w:type="dxa"/>
            <w:tcBorders>
              <w:top w:val="nil"/>
              <w:left w:val="nil"/>
              <w:bottom w:val="single" w:sz="4" w:space="0" w:color="auto"/>
              <w:right w:val="single" w:sz="4" w:space="0" w:color="auto"/>
            </w:tcBorders>
            <w:vAlign w:val="center"/>
            <w:hideMark/>
          </w:tcPr>
          <w:p w14:paraId="763C6191"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4,651</w:t>
            </w:r>
          </w:p>
        </w:tc>
        <w:tc>
          <w:tcPr>
            <w:tcW w:w="1417" w:type="dxa"/>
            <w:tcBorders>
              <w:top w:val="nil"/>
              <w:left w:val="nil"/>
              <w:bottom w:val="single" w:sz="4" w:space="0" w:color="auto"/>
              <w:right w:val="single" w:sz="4" w:space="0" w:color="auto"/>
            </w:tcBorders>
            <w:vAlign w:val="center"/>
            <w:hideMark/>
          </w:tcPr>
          <w:p w14:paraId="0577DD5B"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4,000</w:t>
            </w:r>
          </w:p>
        </w:tc>
        <w:tc>
          <w:tcPr>
            <w:tcW w:w="1134" w:type="dxa"/>
            <w:tcBorders>
              <w:top w:val="nil"/>
              <w:left w:val="nil"/>
              <w:bottom w:val="single" w:sz="4" w:space="0" w:color="auto"/>
              <w:right w:val="single" w:sz="8" w:space="0" w:color="auto"/>
            </w:tcBorders>
            <w:hideMark/>
          </w:tcPr>
          <w:p w14:paraId="0B8ABC1D"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3FB71B31" w14:textId="77777777" w:rsidTr="00361731">
        <w:trPr>
          <w:trHeight w:val="480"/>
        </w:trPr>
        <w:tc>
          <w:tcPr>
            <w:tcW w:w="5812" w:type="dxa"/>
            <w:tcBorders>
              <w:top w:val="nil"/>
              <w:left w:val="single" w:sz="8" w:space="0" w:color="auto"/>
              <w:bottom w:val="single" w:sz="4" w:space="0" w:color="auto"/>
              <w:right w:val="single" w:sz="4" w:space="0" w:color="auto"/>
            </w:tcBorders>
            <w:vAlign w:val="center"/>
            <w:hideMark/>
          </w:tcPr>
          <w:p w14:paraId="3983B3F8"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women trained by project-trained people and/or institutions</w:t>
            </w:r>
          </w:p>
        </w:tc>
        <w:tc>
          <w:tcPr>
            <w:tcW w:w="1418" w:type="dxa"/>
            <w:tcBorders>
              <w:top w:val="nil"/>
              <w:left w:val="nil"/>
              <w:bottom w:val="single" w:sz="4" w:space="0" w:color="auto"/>
              <w:right w:val="single" w:sz="4" w:space="0" w:color="auto"/>
            </w:tcBorders>
            <w:vAlign w:val="center"/>
            <w:hideMark/>
          </w:tcPr>
          <w:p w14:paraId="0C9BFECC"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2,379</w:t>
            </w:r>
          </w:p>
        </w:tc>
        <w:tc>
          <w:tcPr>
            <w:tcW w:w="1417" w:type="dxa"/>
            <w:tcBorders>
              <w:top w:val="nil"/>
              <w:left w:val="nil"/>
              <w:bottom w:val="single" w:sz="4" w:space="0" w:color="auto"/>
              <w:right w:val="single" w:sz="4" w:space="0" w:color="auto"/>
            </w:tcBorders>
            <w:vAlign w:val="center"/>
            <w:hideMark/>
          </w:tcPr>
          <w:p w14:paraId="578A9972"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1,600</w:t>
            </w:r>
          </w:p>
        </w:tc>
        <w:tc>
          <w:tcPr>
            <w:tcW w:w="1134" w:type="dxa"/>
            <w:tcBorders>
              <w:top w:val="nil"/>
              <w:left w:val="nil"/>
              <w:bottom w:val="single" w:sz="4" w:space="0" w:color="auto"/>
              <w:right w:val="single" w:sz="8" w:space="0" w:color="auto"/>
            </w:tcBorders>
            <w:hideMark/>
          </w:tcPr>
          <w:p w14:paraId="1E76696C"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28E42162"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6E9B0129"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users or participants reporting improved awareness, knowledge or skills</w:t>
            </w:r>
          </w:p>
        </w:tc>
        <w:tc>
          <w:tcPr>
            <w:tcW w:w="1418" w:type="dxa"/>
            <w:tcBorders>
              <w:top w:val="nil"/>
              <w:left w:val="nil"/>
              <w:bottom w:val="single" w:sz="4" w:space="0" w:color="auto"/>
              <w:right w:val="single" w:sz="4" w:space="0" w:color="auto"/>
            </w:tcBorders>
            <w:vAlign w:val="center"/>
            <w:hideMark/>
          </w:tcPr>
          <w:p w14:paraId="4B888458"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144</w:t>
            </w:r>
          </w:p>
        </w:tc>
        <w:tc>
          <w:tcPr>
            <w:tcW w:w="1417" w:type="dxa"/>
            <w:tcBorders>
              <w:top w:val="nil"/>
              <w:left w:val="nil"/>
              <w:bottom w:val="single" w:sz="4" w:space="0" w:color="auto"/>
              <w:right w:val="single" w:sz="4" w:space="0" w:color="auto"/>
            </w:tcBorders>
            <w:vAlign w:val="center"/>
            <w:hideMark/>
          </w:tcPr>
          <w:p w14:paraId="4F4A06F3"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105</w:t>
            </w:r>
          </w:p>
        </w:tc>
        <w:tc>
          <w:tcPr>
            <w:tcW w:w="1134" w:type="dxa"/>
            <w:tcBorders>
              <w:top w:val="nil"/>
              <w:left w:val="nil"/>
              <w:bottom w:val="single" w:sz="4" w:space="0" w:color="auto"/>
              <w:right w:val="single" w:sz="8" w:space="0" w:color="auto"/>
            </w:tcBorders>
            <w:hideMark/>
          </w:tcPr>
          <w:p w14:paraId="2D4E1E1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7A015AA1"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52E170B6" w14:textId="77777777" w:rsidR="00752C0B" w:rsidRDefault="00752C0B" w:rsidP="00361731">
            <w:pPr>
              <w:rPr>
                <w:rFonts w:ascii="Calibri" w:hAnsi="Calibri" w:cs="Calibri"/>
                <w:color w:val="000000"/>
                <w:sz w:val="20"/>
                <w:szCs w:val="20"/>
                <w:lang w:val="en-AU"/>
              </w:rPr>
            </w:pPr>
            <w:r w:rsidRPr="000A7530">
              <w:rPr>
                <w:rFonts w:ascii="Calibri" w:hAnsi="Calibri" w:cs="Calibri"/>
                <w:b/>
                <w:bCs/>
                <w:color w:val="000000"/>
                <w:sz w:val="20"/>
                <w:szCs w:val="20"/>
                <w:lang w:val="en-AU"/>
              </w:rPr>
              <w:t>Component 2: Food Loss Advisory</w:t>
            </w:r>
          </w:p>
          <w:p w14:paraId="2DADD43B"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entities that implemented recommended changes</w:t>
            </w:r>
          </w:p>
        </w:tc>
        <w:tc>
          <w:tcPr>
            <w:tcW w:w="1418" w:type="dxa"/>
            <w:tcBorders>
              <w:top w:val="nil"/>
              <w:left w:val="nil"/>
              <w:bottom w:val="single" w:sz="4" w:space="0" w:color="auto"/>
              <w:right w:val="single" w:sz="4" w:space="0" w:color="auto"/>
            </w:tcBorders>
            <w:vAlign w:val="center"/>
            <w:hideMark/>
          </w:tcPr>
          <w:p w14:paraId="00B3944F"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27</w:t>
            </w:r>
          </w:p>
        </w:tc>
        <w:tc>
          <w:tcPr>
            <w:tcW w:w="1417" w:type="dxa"/>
            <w:tcBorders>
              <w:top w:val="nil"/>
              <w:left w:val="nil"/>
              <w:bottom w:val="single" w:sz="4" w:space="0" w:color="auto"/>
              <w:right w:val="single" w:sz="4" w:space="0" w:color="auto"/>
            </w:tcBorders>
            <w:vAlign w:val="center"/>
            <w:hideMark/>
          </w:tcPr>
          <w:p w14:paraId="044D4902"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w:t>
            </w:r>
          </w:p>
        </w:tc>
        <w:tc>
          <w:tcPr>
            <w:tcW w:w="1134" w:type="dxa"/>
            <w:tcBorders>
              <w:top w:val="nil"/>
              <w:left w:val="nil"/>
              <w:bottom w:val="single" w:sz="4" w:space="0" w:color="auto"/>
              <w:right w:val="single" w:sz="8" w:space="0" w:color="auto"/>
            </w:tcBorders>
            <w:hideMark/>
          </w:tcPr>
          <w:p w14:paraId="44D6A83F"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46521CC4"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20FEBDA3"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farmers reached (direct and indirect)</w:t>
            </w:r>
          </w:p>
        </w:tc>
        <w:tc>
          <w:tcPr>
            <w:tcW w:w="1418" w:type="dxa"/>
            <w:tcBorders>
              <w:top w:val="nil"/>
              <w:left w:val="nil"/>
              <w:bottom w:val="single" w:sz="4" w:space="0" w:color="auto"/>
              <w:right w:val="single" w:sz="4" w:space="0" w:color="auto"/>
            </w:tcBorders>
            <w:vAlign w:val="center"/>
            <w:hideMark/>
          </w:tcPr>
          <w:p w14:paraId="67BDE676"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1060</w:t>
            </w:r>
          </w:p>
        </w:tc>
        <w:tc>
          <w:tcPr>
            <w:tcW w:w="1417" w:type="dxa"/>
            <w:tcBorders>
              <w:top w:val="nil"/>
              <w:left w:val="nil"/>
              <w:bottom w:val="single" w:sz="4" w:space="0" w:color="auto"/>
              <w:right w:val="single" w:sz="4" w:space="0" w:color="auto"/>
            </w:tcBorders>
            <w:vAlign w:val="center"/>
            <w:hideMark/>
          </w:tcPr>
          <w:p w14:paraId="7B3F2B4F"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1,000</w:t>
            </w:r>
          </w:p>
        </w:tc>
        <w:tc>
          <w:tcPr>
            <w:tcW w:w="1134" w:type="dxa"/>
            <w:tcBorders>
              <w:top w:val="nil"/>
              <w:left w:val="nil"/>
              <w:bottom w:val="single" w:sz="4" w:space="0" w:color="auto"/>
              <w:right w:val="single" w:sz="8" w:space="0" w:color="auto"/>
            </w:tcBorders>
            <w:hideMark/>
          </w:tcPr>
          <w:p w14:paraId="1DCFC1FF"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7B4203" w14:paraId="22B03EB0" w14:textId="77777777" w:rsidTr="00361731">
        <w:trPr>
          <w:trHeight w:val="555"/>
        </w:trPr>
        <w:tc>
          <w:tcPr>
            <w:tcW w:w="5812" w:type="dxa"/>
            <w:tcBorders>
              <w:top w:val="nil"/>
              <w:left w:val="single" w:sz="8" w:space="0" w:color="auto"/>
              <w:bottom w:val="single" w:sz="4" w:space="0" w:color="auto"/>
              <w:right w:val="single" w:sz="4" w:space="0" w:color="auto"/>
            </w:tcBorders>
            <w:vAlign w:val="center"/>
            <w:hideMark/>
          </w:tcPr>
          <w:p w14:paraId="57266FD5"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lastRenderedPageBreak/>
              <w:t>Number of farms that adopted improved practices.</w:t>
            </w:r>
          </w:p>
        </w:tc>
        <w:tc>
          <w:tcPr>
            <w:tcW w:w="1418" w:type="dxa"/>
            <w:tcBorders>
              <w:top w:val="nil"/>
              <w:left w:val="nil"/>
              <w:bottom w:val="single" w:sz="4" w:space="0" w:color="auto"/>
              <w:right w:val="single" w:sz="4" w:space="0" w:color="auto"/>
            </w:tcBorders>
            <w:vAlign w:val="center"/>
            <w:hideMark/>
          </w:tcPr>
          <w:p w14:paraId="789D160B"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41</w:t>
            </w:r>
          </w:p>
        </w:tc>
        <w:tc>
          <w:tcPr>
            <w:tcW w:w="1417" w:type="dxa"/>
            <w:tcBorders>
              <w:top w:val="nil"/>
              <w:left w:val="nil"/>
              <w:bottom w:val="single" w:sz="4" w:space="0" w:color="auto"/>
              <w:right w:val="single" w:sz="4" w:space="0" w:color="auto"/>
            </w:tcBorders>
            <w:vAlign w:val="center"/>
            <w:hideMark/>
          </w:tcPr>
          <w:p w14:paraId="3D6391C4"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500</w:t>
            </w:r>
          </w:p>
        </w:tc>
        <w:tc>
          <w:tcPr>
            <w:tcW w:w="1134" w:type="dxa"/>
            <w:tcBorders>
              <w:top w:val="nil"/>
              <w:left w:val="nil"/>
              <w:bottom w:val="single" w:sz="4" w:space="0" w:color="auto"/>
              <w:right w:val="single" w:sz="8" w:space="0" w:color="auto"/>
            </w:tcBorders>
            <w:vAlign w:val="center"/>
            <w:hideMark/>
          </w:tcPr>
          <w:p w14:paraId="2FDBEA17"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8%</w:t>
            </w:r>
          </w:p>
        </w:tc>
      </w:tr>
      <w:tr w:rsidR="00752C0B" w:rsidRPr="007B4203" w14:paraId="414CF7A9" w14:textId="77777777" w:rsidTr="00361731">
        <w:trPr>
          <w:trHeight w:val="525"/>
        </w:trPr>
        <w:tc>
          <w:tcPr>
            <w:tcW w:w="5812" w:type="dxa"/>
            <w:tcBorders>
              <w:top w:val="nil"/>
              <w:left w:val="single" w:sz="8" w:space="0" w:color="auto"/>
              <w:bottom w:val="single" w:sz="4" w:space="0" w:color="auto"/>
              <w:right w:val="single" w:sz="4" w:space="0" w:color="auto"/>
            </w:tcBorders>
            <w:vAlign w:val="center"/>
            <w:hideMark/>
          </w:tcPr>
          <w:p w14:paraId="5E61A09B"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female farmers reached (direct and indirect)</w:t>
            </w:r>
          </w:p>
        </w:tc>
        <w:tc>
          <w:tcPr>
            <w:tcW w:w="1418" w:type="dxa"/>
            <w:tcBorders>
              <w:top w:val="nil"/>
              <w:left w:val="nil"/>
              <w:bottom w:val="single" w:sz="4" w:space="0" w:color="auto"/>
              <w:right w:val="single" w:sz="4" w:space="0" w:color="auto"/>
            </w:tcBorders>
            <w:vAlign w:val="center"/>
            <w:hideMark/>
          </w:tcPr>
          <w:p w14:paraId="625B3CC3"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407</w:t>
            </w:r>
          </w:p>
        </w:tc>
        <w:tc>
          <w:tcPr>
            <w:tcW w:w="1417" w:type="dxa"/>
            <w:tcBorders>
              <w:top w:val="nil"/>
              <w:left w:val="nil"/>
              <w:bottom w:val="single" w:sz="4" w:space="0" w:color="auto"/>
              <w:right w:val="single" w:sz="4" w:space="0" w:color="auto"/>
            </w:tcBorders>
            <w:vAlign w:val="center"/>
            <w:hideMark/>
          </w:tcPr>
          <w:p w14:paraId="6136F89A"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500</w:t>
            </w:r>
          </w:p>
        </w:tc>
        <w:tc>
          <w:tcPr>
            <w:tcW w:w="1134" w:type="dxa"/>
            <w:tcBorders>
              <w:top w:val="nil"/>
              <w:left w:val="nil"/>
              <w:bottom w:val="single" w:sz="4" w:space="0" w:color="auto"/>
              <w:right w:val="single" w:sz="8" w:space="0" w:color="auto"/>
            </w:tcBorders>
            <w:vAlign w:val="center"/>
            <w:hideMark/>
          </w:tcPr>
          <w:p w14:paraId="14EC1E24"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81%</w:t>
            </w:r>
          </w:p>
        </w:tc>
      </w:tr>
    </w:tbl>
    <w:p w14:paraId="40C5EB28" w14:textId="77777777" w:rsidR="00752C0B" w:rsidRDefault="00752C0B" w:rsidP="00752C0B">
      <w:pPr>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D31858" w14:paraId="477C360D" w14:textId="77777777" w:rsidTr="00361731">
        <w:trPr>
          <w:trHeight w:val="510"/>
          <w:tblHeader/>
        </w:trPr>
        <w:tc>
          <w:tcPr>
            <w:tcW w:w="5812"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tcPr>
          <w:p w14:paraId="03DB326E" w14:textId="77777777" w:rsidR="00752C0B" w:rsidRPr="007B4203" w:rsidRDefault="00752C0B" w:rsidP="00361731">
            <w:pPr>
              <w:rPr>
                <w:rFonts w:ascii="Calibri" w:hAnsi="Calibri" w:cs="Calibri"/>
                <w:color w:val="000000"/>
                <w:sz w:val="20"/>
                <w:szCs w:val="20"/>
                <w:lang w:val="en-AU"/>
              </w:rPr>
            </w:pPr>
            <w:r w:rsidRPr="007B4203">
              <w:rPr>
                <w:rFonts w:ascii="Calibri" w:hAnsi="Calibri" w:cs="Calibri"/>
                <w:b/>
                <w:bCs/>
                <w:color w:val="000000"/>
                <w:sz w:val="20"/>
                <w:szCs w:val="20"/>
                <w:lang w:val="en-AU"/>
              </w:rPr>
              <w:t xml:space="preserve">Viet Nam Food Safety and Food Loss </w:t>
            </w:r>
            <w:r>
              <w:rPr>
                <w:rFonts w:ascii="Calibri" w:hAnsi="Calibri" w:cs="Calibri"/>
                <w:b/>
                <w:bCs/>
                <w:color w:val="000000"/>
                <w:sz w:val="20"/>
                <w:szCs w:val="20"/>
                <w:lang w:val="en-AU"/>
              </w:rPr>
              <w:t xml:space="preserve">- </w:t>
            </w:r>
            <w:r w:rsidRPr="007B4203">
              <w:rPr>
                <w:rFonts w:ascii="Calibri" w:hAnsi="Calibri" w:cs="Calibri"/>
                <w:b/>
                <w:bCs/>
                <w:color w:val="000000"/>
                <w:sz w:val="20"/>
                <w:szCs w:val="20"/>
                <w:lang w:val="en-AU"/>
              </w:rPr>
              <w:t>OUTCOME</w:t>
            </w:r>
          </w:p>
        </w:tc>
        <w:tc>
          <w:tcPr>
            <w:tcW w:w="1418" w:type="dxa"/>
            <w:tcBorders>
              <w:top w:val="single" w:sz="4" w:space="0" w:color="auto"/>
              <w:left w:val="nil"/>
              <w:bottom w:val="single" w:sz="4" w:space="0" w:color="auto"/>
              <w:right w:val="single" w:sz="4" w:space="0" w:color="auto"/>
            </w:tcBorders>
            <w:shd w:val="clear" w:color="auto" w:fill="95DCF7" w:themeFill="accent4" w:themeFillTint="66"/>
            <w:vAlign w:val="center"/>
          </w:tcPr>
          <w:p w14:paraId="0B2A51B9" w14:textId="77777777" w:rsidR="00752C0B" w:rsidRPr="007B4203" w:rsidRDefault="00752C0B" w:rsidP="00361731">
            <w:pPr>
              <w:jc w:val="center"/>
              <w:rPr>
                <w:rFonts w:ascii="Calibri" w:hAnsi="Calibri" w:cs="Calibri"/>
                <w:color w:val="000000"/>
                <w:sz w:val="20"/>
                <w:szCs w:val="20"/>
                <w:lang w:val="en-AU"/>
              </w:rPr>
            </w:pPr>
            <w:r w:rsidRPr="007B4203">
              <w:rPr>
                <w:rFonts w:ascii="Calibri" w:hAnsi="Calibri" w:cs="Calibri"/>
                <w:b/>
                <w:bCs/>
                <w:color w:val="000000"/>
                <w:sz w:val="20"/>
                <w:szCs w:val="20"/>
                <w:lang w:val="en-AU"/>
              </w:rPr>
              <w:t>Cumulative Results till Dec 2025</w:t>
            </w:r>
          </w:p>
        </w:tc>
        <w:tc>
          <w:tcPr>
            <w:tcW w:w="1417" w:type="dxa"/>
            <w:tcBorders>
              <w:top w:val="single" w:sz="4" w:space="0" w:color="auto"/>
              <w:left w:val="nil"/>
              <w:bottom w:val="single" w:sz="4" w:space="0" w:color="auto"/>
              <w:right w:val="single" w:sz="4" w:space="0" w:color="auto"/>
            </w:tcBorders>
            <w:shd w:val="clear" w:color="auto" w:fill="95DCF7" w:themeFill="accent4" w:themeFillTint="66"/>
            <w:vAlign w:val="center"/>
          </w:tcPr>
          <w:p w14:paraId="718DDCAD" w14:textId="77777777" w:rsidR="00752C0B" w:rsidRPr="007B4203" w:rsidRDefault="00752C0B" w:rsidP="00361731">
            <w:pPr>
              <w:jc w:val="center"/>
              <w:rPr>
                <w:rFonts w:ascii="Calibri" w:hAnsi="Calibri" w:cs="Calibri"/>
                <w:color w:val="000000"/>
                <w:sz w:val="20"/>
                <w:szCs w:val="20"/>
                <w:lang w:val="en-AU"/>
              </w:rPr>
            </w:pPr>
            <w:r w:rsidRPr="007B4203">
              <w:rPr>
                <w:rFonts w:ascii="Calibri" w:hAnsi="Calibri" w:cs="Calibri"/>
                <w:b/>
                <w:bCs/>
                <w:color w:val="000000"/>
                <w:sz w:val="20"/>
                <w:szCs w:val="20"/>
                <w:lang w:val="en-AU"/>
              </w:rPr>
              <w:t>Overall Target</w:t>
            </w:r>
          </w:p>
        </w:tc>
        <w:tc>
          <w:tcPr>
            <w:tcW w:w="1134" w:type="dxa"/>
            <w:tcBorders>
              <w:top w:val="single" w:sz="4" w:space="0" w:color="auto"/>
              <w:left w:val="nil"/>
              <w:bottom w:val="single" w:sz="4" w:space="0" w:color="auto"/>
              <w:right w:val="single" w:sz="4" w:space="0" w:color="auto"/>
            </w:tcBorders>
            <w:shd w:val="clear" w:color="auto" w:fill="95DCF7" w:themeFill="accent4" w:themeFillTint="66"/>
            <w:vAlign w:val="center"/>
          </w:tcPr>
          <w:p w14:paraId="6A57DB12" w14:textId="77777777" w:rsidR="00752C0B" w:rsidRPr="00D31858" w:rsidRDefault="00752C0B" w:rsidP="00361731">
            <w:pPr>
              <w:jc w:val="center"/>
              <w:rPr>
                <w:rFonts w:ascii="Calibri" w:hAnsi="Calibri" w:cs="Calibri"/>
                <w:color w:val="000000"/>
                <w:sz w:val="20"/>
                <w:szCs w:val="20"/>
                <w:lang w:val="en-US"/>
              </w:rPr>
            </w:pPr>
            <w:r w:rsidRPr="007B4203">
              <w:rPr>
                <w:rFonts w:ascii="Calibri" w:hAnsi="Calibri" w:cs="Calibri"/>
                <w:b/>
                <w:bCs/>
                <w:color w:val="000000"/>
                <w:sz w:val="20"/>
                <w:szCs w:val="20"/>
                <w:lang w:val="en-AU"/>
              </w:rPr>
              <w:t>Achieved</w:t>
            </w:r>
          </w:p>
        </w:tc>
      </w:tr>
      <w:tr w:rsidR="00752C0B" w:rsidRPr="00D31858" w14:paraId="1DF20CCC"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03327BE0"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individuals trained by project-trained people and/or institutions</w:t>
            </w:r>
          </w:p>
        </w:tc>
        <w:tc>
          <w:tcPr>
            <w:tcW w:w="1418" w:type="dxa"/>
            <w:tcBorders>
              <w:top w:val="nil"/>
              <w:left w:val="nil"/>
              <w:bottom w:val="single" w:sz="4" w:space="0" w:color="auto"/>
              <w:right w:val="single" w:sz="4" w:space="0" w:color="auto"/>
            </w:tcBorders>
            <w:vAlign w:val="center"/>
            <w:hideMark/>
          </w:tcPr>
          <w:p w14:paraId="42C6EA1C"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1,573</w:t>
            </w:r>
          </w:p>
        </w:tc>
        <w:tc>
          <w:tcPr>
            <w:tcW w:w="1417" w:type="dxa"/>
            <w:tcBorders>
              <w:top w:val="nil"/>
              <w:left w:val="nil"/>
              <w:bottom w:val="single" w:sz="4" w:space="0" w:color="auto"/>
              <w:right w:val="single" w:sz="4" w:space="0" w:color="auto"/>
            </w:tcBorders>
            <w:vAlign w:val="center"/>
            <w:hideMark/>
          </w:tcPr>
          <w:p w14:paraId="641014AE"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800</w:t>
            </w:r>
          </w:p>
        </w:tc>
        <w:tc>
          <w:tcPr>
            <w:tcW w:w="1134" w:type="dxa"/>
            <w:tcBorders>
              <w:top w:val="nil"/>
              <w:left w:val="nil"/>
              <w:bottom w:val="single" w:sz="4" w:space="0" w:color="auto"/>
              <w:right w:val="single" w:sz="8" w:space="0" w:color="auto"/>
            </w:tcBorders>
            <w:hideMark/>
          </w:tcPr>
          <w:p w14:paraId="57F64641"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D31858" w14:paraId="3269CE3A"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69E1B823"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women trained by project-trained people and/or institutions</w:t>
            </w:r>
          </w:p>
        </w:tc>
        <w:tc>
          <w:tcPr>
            <w:tcW w:w="1418" w:type="dxa"/>
            <w:tcBorders>
              <w:top w:val="nil"/>
              <w:left w:val="nil"/>
              <w:bottom w:val="single" w:sz="4" w:space="0" w:color="auto"/>
              <w:right w:val="single" w:sz="4" w:space="0" w:color="auto"/>
            </w:tcBorders>
            <w:vAlign w:val="center"/>
            <w:hideMark/>
          </w:tcPr>
          <w:p w14:paraId="1362023D"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560</w:t>
            </w:r>
          </w:p>
        </w:tc>
        <w:tc>
          <w:tcPr>
            <w:tcW w:w="1417" w:type="dxa"/>
            <w:tcBorders>
              <w:top w:val="nil"/>
              <w:left w:val="nil"/>
              <w:bottom w:val="single" w:sz="4" w:space="0" w:color="auto"/>
              <w:right w:val="single" w:sz="4" w:space="0" w:color="auto"/>
            </w:tcBorders>
            <w:vAlign w:val="center"/>
            <w:hideMark/>
          </w:tcPr>
          <w:p w14:paraId="31FCAABD"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400</w:t>
            </w:r>
          </w:p>
        </w:tc>
        <w:tc>
          <w:tcPr>
            <w:tcW w:w="1134" w:type="dxa"/>
            <w:tcBorders>
              <w:top w:val="nil"/>
              <w:left w:val="nil"/>
              <w:bottom w:val="single" w:sz="4" w:space="0" w:color="auto"/>
              <w:right w:val="single" w:sz="8" w:space="0" w:color="auto"/>
            </w:tcBorders>
            <w:hideMark/>
          </w:tcPr>
          <w:p w14:paraId="452EE090" w14:textId="77777777" w:rsidR="00752C0B" w:rsidRPr="00D31858" w:rsidRDefault="00752C0B" w:rsidP="00361731">
            <w:pPr>
              <w:jc w:val="center"/>
              <w:rPr>
                <w:rFonts w:ascii="Calibri" w:hAnsi="Calibri" w:cs="Calibri"/>
                <w:color w:val="000000"/>
                <w:sz w:val="20"/>
                <w:szCs w:val="20"/>
                <w:lang w:val="en-US"/>
              </w:rPr>
            </w:pPr>
            <w:r w:rsidRPr="00D31858">
              <w:rPr>
                <w:rFonts w:ascii="Calibri" w:hAnsi="Calibri" w:cs="Calibri"/>
                <w:color w:val="000000"/>
                <w:sz w:val="20"/>
                <w:szCs w:val="20"/>
                <w:lang w:val="en-US"/>
              </w:rPr>
              <w:t>Yes</w:t>
            </w:r>
          </w:p>
        </w:tc>
      </w:tr>
      <w:tr w:rsidR="00752C0B" w:rsidRPr="007B4203" w14:paraId="0A9CB605"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20195FB6"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Average percentage of food loss reduction at farm level</w:t>
            </w:r>
          </w:p>
        </w:tc>
        <w:tc>
          <w:tcPr>
            <w:tcW w:w="1418" w:type="dxa"/>
            <w:tcBorders>
              <w:top w:val="nil"/>
              <w:left w:val="nil"/>
              <w:bottom w:val="single" w:sz="4" w:space="0" w:color="auto"/>
              <w:right w:val="single" w:sz="4" w:space="0" w:color="auto"/>
            </w:tcBorders>
            <w:vAlign w:val="center"/>
            <w:hideMark/>
          </w:tcPr>
          <w:p w14:paraId="08799E64"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c>
          <w:tcPr>
            <w:tcW w:w="1417" w:type="dxa"/>
            <w:tcBorders>
              <w:top w:val="nil"/>
              <w:left w:val="nil"/>
              <w:bottom w:val="single" w:sz="4" w:space="0" w:color="auto"/>
              <w:right w:val="single" w:sz="4" w:space="0" w:color="auto"/>
            </w:tcBorders>
            <w:vAlign w:val="center"/>
            <w:hideMark/>
          </w:tcPr>
          <w:p w14:paraId="3CBE0A91"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w:t>
            </w:r>
          </w:p>
        </w:tc>
        <w:tc>
          <w:tcPr>
            <w:tcW w:w="1134" w:type="dxa"/>
            <w:tcBorders>
              <w:top w:val="nil"/>
              <w:left w:val="nil"/>
              <w:bottom w:val="single" w:sz="4" w:space="0" w:color="auto"/>
              <w:right w:val="single" w:sz="8" w:space="0" w:color="auto"/>
            </w:tcBorders>
            <w:vAlign w:val="center"/>
            <w:hideMark/>
          </w:tcPr>
          <w:p w14:paraId="61A824E8"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r>
      <w:tr w:rsidR="00752C0B" w:rsidRPr="007B4203" w14:paraId="681336D6" w14:textId="77777777" w:rsidTr="00361731">
        <w:trPr>
          <w:trHeight w:val="405"/>
        </w:trPr>
        <w:tc>
          <w:tcPr>
            <w:tcW w:w="5812" w:type="dxa"/>
            <w:tcBorders>
              <w:top w:val="nil"/>
              <w:left w:val="single" w:sz="8" w:space="0" w:color="auto"/>
              <w:bottom w:val="single" w:sz="4" w:space="0" w:color="auto"/>
              <w:right w:val="single" w:sz="4" w:space="0" w:color="auto"/>
            </w:tcBorders>
            <w:vAlign w:val="center"/>
            <w:hideMark/>
          </w:tcPr>
          <w:p w14:paraId="38FF9A36"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Average percentage of food loss reduction at firm level</w:t>
            </w:r>
          </w:p>
        </w:tc>
        <w:tc>
          <w:tcPr>
            <w:tcW w:w="1418" w:type="dxa"/>
            <w:tcBorders>
              <w:top w:val="nil"/>
              <w:left w:val="nil"/>
              <w:bottom w:val="single" w:sz="4" w:space="0" w:color="auto"/>
              <w:right w:val="single" w:sz="4" w:space="0" w:color="auto"/>
            </w:tcBorders>
            <w:vAlign w:val="center"/>
            <w:hideMark/>
          </w:tcPr>
          <w:p w14:paraId="40CBCC87"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c>
          <w:tcPr>
            <w:tcW w:w="1417" w:type="dxa"/>
            <w:tcBorders>
              <w:top w:val="nil"/>
              <w:left w:val="nil"/>
              <w:bottom w:val="single" w:sz="4" w:space="0" w:color="auto"/>
              <w:right w:val="single" w:sz="4" w:space="0" w:color="auto"/>
            </w:tcBorders>
            <w:vAlign w:val="center"/>
            <w:hideMark/>
          </w:tcPr>
          <w:p w14:paraId="657238BF"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w:t>
            </w:r>
          </w:p>
        </w:tc>
        <w:tc>
          <w:tcPr>
            <w:tcW w:w="1134" w:type="dxa"/>
            <w:tcBorders>
              <w:top w:val="nil"/>
              <w:left w:val="nil"/>
              <w:bottom w:val="single" w:sz="4" w:space="0" w:color="auto"/>
              <w:right w:val="single" w:sz="8" w:space="0" w:color="auto"/>
            </w:tcBorders>
            <w:vAlign w:val="center"/>
            <w:hideMark/>
          </w:tcPr>
          <w:p w14:paraId="69F7F231"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r>
      <w:tr w:rsidR="00752C0B" w:rsidRPr="007B4203" w14:paraId="6ECC3311" w14:textId="77777777" w:rsidTr="00361731">
        <w:trPr>
          <w:trHeight w:val="390"/>
        </w:trPr>
        <w:tc>
          <w:tcPr>
            <w:tcW w:w="5812" w:type="dxa"/>
            <w:tcBorders>
              <w:top w:val="nil"/>
              <w:left w:val="single" w:sz="8" w:space="0" w:color="auto"/>
              <w:bottom w:val="single" w:sz="4" w:space="0" w:color="auto"/>
              <w:right w:val="single" w:sz="4" w:space="0" w:color="auto"/>
            </w:tcBorders>
            <w:vAlign w:val="center"/>
            <w:hideMark/>
          </w:tcPr>
          <w:p w14:paraId="442BA54E" w14:textId="77777777" w:rsidR="00752C0B" w:rsidRDefault="00752C0B" w:rsidP="00361731">
            <w:pPr>
              <w:rPr>
                <w:rFonts w:ascii="Calibri" w:hAnsi="Calibri" w:cs="Calibri"/>
                <w:b/>
                <w:bCs/>
                <w:color w:val="000000"/>
                <w:sz w:val="20"/>
                <w:szCs w:val="20"/>
                <w:lang w:val="en-AU"/>
              </w:rPr>
            </w:pPr>
            <w:r w:rsidRPr="00063286">
              <w:rPr>
                <w:rFonts w:ascii="Calibri" w:hAnsi="Calibri" w:cs="Calibri"/>
                <w:b/>
                <w:bCs/>
                <w:color w:val="000000"/>
                <w:sz w:val="20"/>
                <w:szCs w:val="20"/>
                <w:lang w:val="en-AU"/>
              </w:rPr>
              <w:t>Component 3: Firm-Level and Supply Chain Food Safety Advisory</w:t>
            </w:r>
          </w:p>
          <w:p w14:paraId="59717AF3" w14:textId="77777777" w:rsidR="00752C0B" w:rsidRPr="00063286" w:rsidRDefault="00752C0B" w:rsidP="00361731">
            <w:pPr>
              <w:rPr>
                <w:rFonts w:ascii="Calibri" w:hAnsi="Calibri" w:cs="Calibri"/>
                <w:color w:val="000000"/>
                <w:sz w:val="20"/>
                <w:szCs w:val="20"/>
                <w:lang w:val="en-US"/>
              </w:rPr>
            </w:pPr>
            <w:r w:rsidRPr="00063286">
              <w:rPr>
                <w:rFonts w:ascii="Calibri" w:hAnsi="Calibri" w:cs="Calibri"/>
                <w:color w:val="000000"/>
                <w:sz w:val="20"/>
                <w:szCs w:val="20"/>
                <w:lang w:val="en-AU"/>
              </w:rPr>
              <w:t>Number of female farmers reached (direct and indirect)</w:t>
            </w:r>
          </w:p>
        </w:tc>
        <w:tc>
          <w:tcPr>
            <w:tcW w:w="1418" w:type="dxa"/>
            <w:tcBorders>
              <w:top w:val="nil"/>
              <w:left w:val="nil"/>
              <w:bottom w:val="single" w:sz="4" w:space="0" w:color="auto"/>
              <w:right w:val="single" w:sz="4" w:space="0" w:color="auto"/>
            </w:tcBorders>
            <w:vAlign w:val="center"/>
            <w:hideMark/>
          </w:tcPr>
          <w:p w14:paraId="71869F68"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429</w:t>
            </w:r>
          </w:p>
        </w:tc>
        <w:tc>
          <w:tcPr>
            <w:tcW w:w="1417" w:type="dxa"/>
            <w:tcBorders>
              <w:top w:val="nil"/>
              <w:left w:val="nil"/>
              <w:bottom w:val="single" w:sz="4" w:space="0" w:color="auto"/>
              <w:right w:val="single" w:sz="4" w:space="0" w:color="auto"/>
            </w:tcBorders>
            <w:vAlign w:val="center"/>
            <w:hideMark/>
          </w:tcPr>
          <w:p w14:paraId="549E3E88"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500</w:t>
            </w:r>
          </w:p>
        </w:tc>
        <w:tc>
          <w:tcPr>
            <w:tcW w:w="1134" w:type="dxa"/>
            <w:tcBorders>
              <w:top w:val="nil"/>
              <w:left w:val="nil"/>
              <w:bottom w:val="single" w:sz="4" w:space="0" w:color="auto"/>
              <w:right w:val="single" w:sz="8" w:space="0" w:color="auto"/>
            </w:tcBorders>
            <w:vAlign w:val="center"/>
            <w:hideMark/>
          </w:tcPr>
          <w:p w14:paraId="55D1DB05"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86%</w:t>
            </w:r>
          </w:p>
        </w:tc>
      </w:tr>
      <w:tr w:rsidR="00752C0B" w:rsidRPr="00F34A6D" w14:paraId="7B3B9CBB"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2AD014BA"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farms that adopted improved practices.</w:t>
            </w:r>
          </w:p>
        </w:tc>
        <w:tc>
          <w:tcPr>
            <w:tcW w:w="1418" w:type="dxa"/>
            <w:tcBorders>
              <w:top w:val="nil"/>
              <w:left w:val="nil"/>
              <w:bottom w:val="single" w:sz="4" w:space="0" w:color="auto"/>
              <w:right w:val="single" w:sz="4" w:space="0" w:color="auto"/>
            </w:tcBorders>
            <w:vAlign w:val="center"/>
            <w:hideMark/>
          </w:tcPr>
          <w:p w14:paraId="0BB7FFA9"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516</w:t>
            </w:r>
          </w:p>
        </w:tc>
        <w:tc>
          <w:tcPr>
            <w:tcW w:w="1417" w:type="dxa"/>
            <w:tcBorders>
              <w:top w:val="nil"/>
              <w:left w:val="nil"/>
              <w:bottom w:val="single" w:sz="4" w:space="0" w:color="auto"/>
              <w:right w:val="single" w:sz="4" w:space="0" w:color="auto"/>
            </w:tcBorders>
            <w:vAlign w:val="center"/>
            <w:hideMark/>
          </w:tcPr>
          <w:p w14:paraId="2CD7B2F0"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500</w:t>
            </w:r>
          </w:p>
        </w:tc>
        <w:tc>
          <w:tcPr>
            <w:tcW w:w="1134" w:type="dxa"/>
            <w:tcBorders>
              <w:top w:val="nil"/>
              <w:left w:val="nil"/>
              <w:bottom w:val="single" w:sz="4" w:space="0" w:color="auto"/>
              <w:right w:val="single" w:sz="8" w:space="0" w:color="auto"/>
            </w:tcBorders>
            <w:hideMark/>
          </w:tcPr>
          <w:p w14:paraId="69F87208" w14:textId="77777777" w:rsidR="00752C0B" w:rsidRPr="00F34A6D" w:rsidRDefault="00752C0B" w:rsidP="00361731">
            <w:pPr>
              <w:jc w:val="center"/>
              <w:rPr>
                <w:rFonts w:ascii="Calibri" w:hAnsi="Calibri" w:cs="Calibri"/>
                <w:color w:val="000000"/>
                <w:sz w:val="20"/>
                <w:szCs w:val="20"/>
                <w:lang w:val="en-US"/>
              </w:rPr>
            </w:pPr>
            <w:r w:rsidRPr="00F34A6D">
              <w:rPr>
                <w:rFonts w:ascii="Calibri" w:hAnsi="Calibri" w:cs="Calibri"/>
                <w:color w:val="000000"/>
                <w:sz w:val="20"/>
                <w:szCs w:val="20"/>
                <w:lang w:val="en-US"/>
              </w:rPr>
              <w:t>Yes</w:t>
            </w:r>
          </w:p>
        </w:tc>
      </w:tr>
      <w:tr w:rsidR="00752C0B" w:rsidRPr="00F34A6D" w14:paraId="3941F999" w14:textId="77777777" w:rsidTr="00361731">
        <w:trPr>
          <w:trHeight w:val="420"/>
        </w:trPr>
        <w:tc>
          <w:tcPr>
            <w:tcW w:w="5812" w:type="dxa"/>
            <w:tcBorders>
              <w:top w:val="nil"/>
              <w:left w:val="single" w:sz="8" w:space="0" w:color="auto"/>
              <w:bottom w:val="single" w:sz="4" w:space="0" w:color="auto"/>
              <w:right w:val="single" w:sz="4" w:space="0" w:color="auto"/>
            </w:tcBorders>
            <w:vAlign w:val="center"/>
            <w:hideMark/>
          </w:tcPr>
          <w:p w14:paraId="38F8AD7E"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entities that demonstrated reduced food safety risks</w:t>
            </w:r>
          </w:p>
        </w:tc>
        <w:tc>
          <w:tcPr>
            <w:tcW w:w="1418" w:type="dxa"/>
            <w:tcBorders>
              <w:top w:val="nil"/>
              <w:left w:val="nil"/>
              <w:bottom w:val="single" w:sz="4" w:space="0" w:color="auto"/>
              <w:right w:val="single" w:sz="4" w:space="0" w:color="auto"/>
            </w:tcBorders>
            <w:vAlign w:val="center"/>
            <w:hideMark/>
          </w:tcPr>
          <w:p w14:paraId="3724827B"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31</w:t>
            </w:r>
          </w:p>
        </w:tc>
        <w:tc>
          <w:tcPr>
            <w:tcW w:w="1417" w:type="dxa"/>
            <w:tcBorders>
              <w:top w:val="nil"/>
              <w:left w:val="nil"/>
              <w:bottom w:val="single" w:sz="4" w:space="0" w:color="auto"/>
              <w:right w:val="single" w:sz="4" w:space="0" w:color="auto"/>
            </w:tcBorders>
            <w:vAlign w:val="center"/>
            <w:hideMark/>
          </w:tcPr>
          <w:p w14:paraId="0EAE7C02"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20</w:t>
            </w:r>
          </w:p>
        </w:tc>
        <w:tc>
          <w:tcPr>
            <w:tcW w:w="1134" w:type="dxa"/>
            <w:tcBorders>
              <w:top w:val="single" w:sz="4" w:space="0" w:color="auto"/>
              <w:left w:val="nil"/>
              <w:bottom w:val="single" w:sz="4" w:space="0" w:color="auto"/>
              <w:right w:val="single" w:sz="4" w:space="0" w:color="auto"/>
            </w:tcBorders>
            <w:hideMark/>
          </w:tcPr>
          <w:p w14:paraId="56D80B9A" w14:textId="77777777" w:rsidR="00752C0B" w:rsidRPr="00F34A6D" w:rsidRDefault="00752C0B" w:rsidP="00361731">
            <w:pPr>
              <w:jc w:val="center"/>
              <w:rPr>
                <w:rFonts w:ascii="Calibri" w:hAnsi="Calibri" w:cs="Calibri"/>
                <w:color w:val="000000"/>
                <w:sz w:val="20"/>
                <w:szCs w:val="20"/>
                <w:lang w:val="en-US"/>
              </w:rPr>
            </w:pPr>
            <w:r w:rsidRPr="00F34A6D">
              <w:rPr>
                <w:rFonts w:ascii="Calibri" w:hAnsi="Calibri" w:cs="Calibri"/>
                <w:color w:val="000000"/>
                <w:sz w:val="20"/>
                <w:szCs w:val="20"/>
                <w:lang w:val="en-US"/>
              </w:rPr>
              <w:t>Yes</w:t>
            </w:r>
          </w:p>
        </w:tc>
      </w:tr>
      <w:tr w:rsidR="00752C0B" w:rsidRPr="00F34A6D" w14:paraId="1F347817" w14:textId="77777777" w:rsidTr="00361731">
        <w:trPr>
          <w:trHeight w:val="435"/>
        </w:trPr>
        <w:tc>
          <w:tcPr>
            <w:tcW w:w="5812" w:type="dxa"/>
            <w:tcBorders>
              <w:top w:val="nil"/>
              <w:left w:val="single" w:sz="8" w:space="0" w:color="auto"/>
              <w:bottom w:val="single" w:sz="4" w:space="0" w:color="auto"/>
              <w:right w:val="single" w:sz="4" w:space="0" w:color="auto"/>
            </w:tcBorders>
            <w:vAlign w:val="center"/>
            <w:hideMark/>
          </w:tcPr>
          <w:p w14:paraId="33113694"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firms certified</w:t>
            </w:r>
          </w:p>
        </w:tc>
        <w:tc>
          <w:tcPr>
            <w:tcW w:w="1418" w:type="dxa"/>
            <w:tcBorders>
              <w:top w:val="nil"/>
              <w:left w:val="nil"/>
              <w:bottom w:val="single" w:sz="4" w:space="0" w:color="auto"/>
              <w:right w:val="single" w:sz="4" w:space="0" w:color="auto"/>
            </w:tcBorders>
            <w:vAlign w:val="center"/>
            <w:hideMark/>
          </w:tcPr>
          <w:p w14:paraId="366796FF"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18</w:t>
            </w:r>
          </w:p>
        </w:tc>
        <w:tc>
          <w:tcPr>
            <w:tcW w:w="1417" w:type="dxa"/>
            <w:tcBorders>
              <w:top w:val="nil"/>
              <w:left w:val="nil"/>
              <w:bottom w:val="single" w:sz="4" w:space="0" w:color="auto"/>
              <w:right w:val="single" w:sz="4" w:space="0" w:color="auto"/>
            </w:tcBorders>
            <w:vAlign w:val="center"/>
            <w:hideMark/>
          </w:tcPr>
          <w:p w14:paraId="3F187633"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w:t>
            </w:r>
          </w:p>
        </w:tc>
        <w:tc>
          <w:tcPr>
            <w:tcW w:w="1134" w:type="dxa"/>
            <w:tcBorders>
              <w:top w:val="single" w:sz="4" w:space="0" w:color="auto"/>
              <w:left w:val="nil"/>
              <w:bottom w:val="single" w:sz="4" w:space="0" w:color="auto"/>
              <w:right w:val="single" w:sz="4" w:space="0" w:color="auto"/>
            </w:tcBorders>
            <w:vAlign w:val="center"/>
            <w:hideMark/>
          </w:tcPr>
          <w:p w14:paraId="287B59E5" w14:textId="77777777" w:rsidR="00752C0B" w:rsidRPr="00F34A6D"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F34A6D" w14:paraId="6214A867" w14:textId="77777777" w:rsidTr="00361731">
        <w:trPr>
          <w:trHeight w:val="465"/>
        </w:trPr>
        <w:tc>
          <w:tcPr>
            <w:tcW w:w="5812" w:type="dxa"/>
            <w:tcBorders>
              <w:top w:val="nil"/>
              <w:left w:val="single" w:sz="8" w:space="0" w:color="auto"/>
              <w:bottom w:val="single" w:sz="4" w:space="0" w:color="auto"/>
              <w:right w:val="single" w:sz="4" w:space="0" w:color="auto"/>
            </w:tcBorders>
            <w:vAlign w:val="center"/>
            <w:hideMark/>
          </w:tcPr>
          <w:p w14:paraId="3AEFD24A" w14:textId="77777777" w:rsidR="00752C0B" w:rsidRPr="007B4203" w:rsidRDefault="00752C0B" w:rsidP="00361731">
            <w:pPr>
              <w:rPr>
                <w:rFonts w:ascii="Calibri" w:hAnsi="Calibri" w:cs="Calibri"/>
                <w:b/>
                <w:bCs/>
                <w:color w:val="000000"/>
                <w:sz w:val="20"/>
                <w:szCs w:val="20"/>
                <w:lang w:val="en-US"/>
              </w:rPr>
            </w:pPr>
            <w:r w:rsidRPr="007B4203">
              <w:rPr>
                <w:rFonts w:ascii="Calibri" w:hAnsi="Calibri" w:cs="Calibri"/>
                <w:b/>
                <w:bCs/>
                <w:color w:val="000000"/>
                <w:sz w:val="20"/>
                <w:szCs w:val="20"/>
                <w:lang w:val="en-AU"/>
              </w:rPr>
              <w:t>Number of women trained by project-trained people and/or institutions</w:t>
            </w:r>
          </w:p>
        </w:tc>
        <w:tc>
          <w:tcPr>
            <w:tcW w:w="1418" w:type="dxa"/>
            <w:tcBorders>
              <w:top w:val="nil"/>
              <w:left w:val="nil"/>
              <w:bottom w:val="single" w:sz="4" w:space="0" w:color="auto"/>
              <w:right w:val="single" w:sz="4" w:space="0" w:color="auto"/>
            </w:tcBorders>
            <w:vAlign w:val="center"/>
            <w:hideMark/>
          </w:tcPr>
          <w:p w14:paraId="1D6322BF"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591</w:t>
            </w:r>
          </w:p>
        </w:tc>
        <w:tc>
          <w:tcPr>
            <w:tcW w:w="1417" w:type="dxa"/>
            <w:tcBorders>
              <w:top w:val="nil"/>
              <w:left w:val="nil"/>
              <w:bottom w:val="single" w:sz="4" w:space="0" w:color="auto"/>
              <w:right w:val="single" w:sz="4" w:space="0" w:color="auto"/>
            </w:tcBorders>
            <w:vAlign w:val="center"/>
            <w:hideMark/>
          </w:tcPr>
          <w:p w14:paraId="7F38C642"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400</w:t>
            </w:r>
          </w:p>
        </w:tc>
        <w:tc>
          <w:tcPr>
            <w:tcW w:w="1134" w:type="dxa"/>
            <w:tcBorders>
              <w:top w:val="nil"/>
              <w:left w:val="nil"/>
              <w:bottom w:val="single" w:sz="4" w:space="0" w:color="auto"/>
              <w:right w:val="single" w:sz="8" w:space="0" w:color="auto"/>
            </w:tcBorders>
            <w:hideMark/>
          </w:tcPr>
          <w:p w14:paraId="401AE01E" w14:textId="77777777" w:rsidR="00752C0B" w:rsidRPr="00F34A6D"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F34A6D" w14:paraId="4896CE5F" w14:textId="77777777" w:rsidTr="00361731">
        <w:trPr>
          <w:trHeight w:val="510"/>
        </w:trPr>
        <w:tc>
          <w:tcPr>
            <w:tcW w:w="5812" w:type="dxa"/>
            <w:tcBorders>
              <w:top w:val="nil"/>
              <w:left w:val="single" w:sz="8" w:space="0" w:color="auto"/>
              <w:bottom w:val="single" w:sz="4" w:space="0" w:color="auto"/>
              <w:right w:val="single" w:sz="4" w:space="0" w:color="auto"/>
            </w:tcBorders>
            <w:vAlign w:val="center"/>
            <w:hideMark/>
          </w:tcPr>
          <w:p w14:paraId="4D8D5886"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individuals trained by project-trained people and/or institutions</w:t>
            </w:r>
          </w:p>
        </w:tc>
        <w:tc>
          <w:tcPr>
            <w:tcW w:w="1418" w:type="dxa"/>
            <w:tcBorders>
              <w:top w:val="nil"/>
              <w:left w:val="nil"/>
              <w:bottom w:val="single" w:sz="4" w:space="0" w:color="auto"/>
              <w:right w:val="single" w:sz="4" w:space="0" w:color="auto"/>
            </w:tcBorders>
            <w:vAlign w:val="center"/>
            <w:hideMark/>
          </w:tcPr>
          <w:p w14:paraId="4289F61B"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1,619</w:t>
            </w:r>
          </w:p>
        </w:tc>
        <w:tc>
          <w:tcPr>
            <w:tcW w:w="1417" w:type="dxa"/>
            <w:tcBorders>
              <w:top w:val="nil"/>
              <w:left w:val="nil"/>
              <w:bottom w:val="single" w:sz="4" w:space="0" w:color="auto"/>
              <w:right w:val="single" w:sz="4" w:space="0" w:color="auto"/>
            </w:tcBorders>
            <w:vAlign w:val="center"/>
            <w:hideMark/>
          </w:tcPr>
          <w:p w14:paraId="41B33317"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800</w:t>
            </w:r>
          </w:p>
        </w:tc>
        <w:tc>
          <w:tcPr>
            <w:tcW w:w="1134" w:type="dxa"/>
            <w:tcBorders>
              <w:top w:val="nil"/>
              <w:left w:val="nil"/>
              <w:bottom w:val="single" w:sz="4" w:space="0" w:color="auto"/>
              <w:right w:val="single" w:sz="8" w:space="0" w:color="auto"/>
            </w:tcBorders>
            <w:hideMark/>
          </w:tcPr>
          <w:p w14:paraId="12BBC590" w14:textId="77777777" w:rsidR="00752C0B" w:rsidRPr="00F34A6D"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F34A6D" w14:paraId="2BFCC319"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5C780108"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Number of farmers reached (direct and indirect)</w:t>
            </w:r>
          </w:p>
        </w:tc>
        <w:tc>
          <w:tcPr>
            <w:tcW w:w="1418" w:type="dxa"/>
            <w:tcBorders>
              <w:top w:val="nil"/>
              <w:left w:val="nil"/>
              <w:bottom w:val="single" w:sz="4" w:space="0" w:color="auto"/>
              <w:right w:val="single" w:sz="4" w:space="0" w:color="auto"/>
            </w:tcBorders>
            <w:vAlign w:val="center"/>
            <w:hideMark/>
          </w:tcPr>
          <w:p w14:paraId="02CC66AD"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1,136</w:t>
            </w:r>
          </w:p>
        </w:tc>
        <w:tc>
          <w:tcPr>
            <w:tcW w:w="1417" w:type="dxa"/>
            <w:tcBorders>
              <w:top w:val="nil"/>
              <w:left w:val="nil"/>
              <w:bottom w:val="single" w:sz="4" w:space="0" w:color="auto"/>
              <w:right w:val="single" w:sz="4" w:space="0" w:color="auto"/>
            </w:tcBorders>
            <w:vAlign w:val="center"/>
            <w:hideMark/>
          </w:tcPr>
          <w:p w14:paraId="768BBB5C"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1,000</w:t>
            </w:r>
          </w:p>
        </w:tc>
        <w:tc>
          <w:tcPr>
            <w:tcW w:w="1134" w:type="dxa"/>
            <w:tcBorders>
              <w:top w:val="nil"/>
              <w:left w:val="nil"/>
              <w:bottom w:val="single" w:sz="4" w:space="0" w:color="auto"/>
              <w:right w:val="single" w:sz="8" w:space="0" w:color="auto"/>
            </w:tcBorders>
            <w:hideMark/>
          </w:tcPr>
          <w:p w14:paraId="699FA152" w14:textId="77777777" w:rsidR="00752C0B" w:rsidRPr="00F34A6D"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bl>
    <w:p w14:paraId="1AD556AC" w14:textId="77777777" w:rsidR="00752C0B" w:rsidRDefault="00752C0B" w:rsidP="00752C0B">
      <w:pPr>
        <w:rPr>
          <w:rFonts w:ascii="Calibri" w:hAnsi="Calibri" w:cs="Calibri"/>
          <w:color w:val="000000"/>
          <w:sz w:val="18"/>
          <w:szCs w:val="18"/>
          <w:lang w:val="en-AU"/>
        </w:rPr>
      </w:pPr>
    </w:p>
    <w:tbl>
      <w:tblPr>
        <w:tblW w:w="9781" w:type="dxa"/>
        <w:tblInd w:w="-152" w:type="dxa"/>
        <w:tblLook w:val="04A0" w:firstRow="1" w:lastRow="0" w:firstColumn="1" w:lastColumn="0" w:noHBand="0" w:noVBand="1"/>
      </w:tblPr>
      <w:tblGrid>
        <w:gridCol w:w="5812"/>
        <w:gridCol w:w="1418"/>
        <w:gridCol w:w="1417"/>
        <w:gridCol w:w="1134"/>
      </w:tblGrid>
      <w:tr w:rsidR="00752C0B" w:rsidRPr="007B4203" w14:paraId="532C2C21" w14:textId="77777777" w:rsidTr="00361731">
        <w:trPr>
          <w:trHeight w:val="300"/>
          <w:tblHeader/>
        </w:trPr>
        <w:tc>
          <w:tcPr>
            <w:tcW w:w="5812"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D6D4404" w14:textId="77777777" w:rsidR="00752C0B" w:rsidRPr="007B4203" w:rsidRDefault="00752C0B" w:rsidP="00361731">
            <w:pPr>
              <w:rPr>
                <w:rFonts w:ascii="Calibri" w:hAnsi="Calibri" w:cs="Calibri"/>
                <w:b/>
                <w:bCs/>
                <w:color w:val="000000"/>
                <w:sz w:val="20"/>
                <w:szCs w:val="20"/>
                <w:lang w:val="en-US"/>
              </w:rPr>
            </w:pPr>
            <w:r w:rsidRPr="00084177">
              <w:rPr>
                <w:rFonts w:ascii="Calibri" w:hAnsi="Calibri" w:cs="Calibri"/>
                <w:b/>
                <w:bCs/>
                <w:color w:val="000000"/>
                <w:sz w:val="20"/>
                <w:szCs w:val="20"/>
                <w:lang w:val="en-AU"/>
              </w:rPr>
              <w:t>Viet Nam Food Safety and Food Loss</w:t>
            </w:r>
            <w:r w:rsidRPr="007B4203">
              <w:rPr>
                <w:rFonts w:ascii="Calibri" w:hAnsi="Calibri" w:cs="Calibri"/>
                <w:b/>
                <w:bCs/>
                <w:color w:val="000000"/>
                <w:sz w:val="20"/>
                <w:szCs w:val="20"/>
                <w:lang w:val="en-AU"/>
              </w:rPr>
              <w:t xml:space="preserve"> </w:t>
            </w:r>
            <w:r>
              <w:rPr>
                <w:rFonts w:ascii="Calibri" w:hAnsi="Calibri" w:cs="Calibri"/>
                <w:b/>
                <w:bCs/>
                <w:color w:val="000000"/>
                <w:sz w:val="20"/>
                <w:szCs w:val="20"/>
                <w:lang w:val="en-AU"/>
              </w:rPr>
              <w:t>- IMPACT</w:t>
            </w:r>
          </w:p>
        </w:tc>
        <w:tc>
          <w:tcPr>
            <w:tcW w:w="1418"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13D736E1" w14:textId="77777777" w:rsidR="00752C0B" w:rsidRPr="007B4203" w:rsidRDefault="00752C0B" w:rsidP="00361731">
            <w:pPr>
              <w:jc w:val="center"/>
              <w:rPr>
                <w:rFonts w:ascii="Calibri" w:hAnsi="Calibri" w:cs="Calibri"/>
                <w:b/>
                <w:bCs/>
                <w:color w:val="000000"/>
                <w:sz w:val="20"/>
                <w:szCs w:val="20"/>
                <w:lang w:val="en-US"/>
              </w:rPr>
            </w:pPr>
            <w:r w:rsidRPr="00084177">
              <w:rPr>
                <w:rFonts w:ascii="Calibri" w:hAnsi="Calibri" w:cs="Calibri"/>
                <w:b/>
                <w:bCs/>
                <w:color w:val="000000"/>
                <w:sz w:val="20"/>
                <w:szCs w:val="20"/>
                <w:lang w:val="en-AU"/>
              </w:rPr>
              <w:t>Cumulative Results till Dec 2025</w:t>
            </w:r>
          </w:p>
        </w:tc>
        <w:tc>
          <w:tcPr>
            <w:tcW w:w="1417"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42611F18" w14:textId="77777777" w:rsidR="00752C0B" w:rsidRPr="007B4203" w:rsidRDefault="00752C0B" w:rsidP="00361731">
            <w:pPr>
              <w:jc w:val="center"/>
              <w:rPr>
                <w:rFonts w:ascii="Calibri" w:hAnsi="Calibri" w:cs="Calibri"/>
                <w:b/>
                <w:bCs/>
                <w:color w:val="000000"/>
                <w:sz w:val="20"/>
                <w:szCs w:val="20"/>
                <w:lang w:val="en-US"/>
              </w:rPr>
            </w:pPr>
            <w:r w:rsidRPr="00084177">
              <w:rPr>
                <w:rFonts w:ascii="Calibri" w:hAnsi="Calibri" w:cs="Calibri"/>
                <w:b/>
                <w:bCs/>
                <w:color w:val="000000"/>
                <w:sz w:val="20"/>
                <w:szCs w:val="20"/>
                <w:lang w:val="en-AU"/>
              </w:rPr>
              <w:t>Overall Target</w:t>
            </w:r>
          </w:p>
        </w:tc>
        <w:tc>
          <w:tcPr>
            <w:tcW w:w="1134"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22F2AEE4" w14:textId="77777777" w:rsidR="00752C0B" w:rsidRPr="007B4203" w:rsidRDefault="00752C0B" w:rsidP="00361731">
            <w:pPr>
              <w:jc w:val="center"/>
              <w:rPr>
                <w:rFonts w:ascii="Calibri" w:hAnsi="Calibri" w:cs="Calibri"/>
                <w:b/>
                <w:bCs/>
                <w:color w:val="000000"/>
                <w:sz w:val="20"/>
                <w:szCs w:val="20"/>
                <w:lang w:val="en-US"/>
              </w:rPr>
            </w:pPr>
            <w:r w:rsidRPr="00084177">
              <w:rPr>
                <w:rFonts w:ascii="Calibri" w:hAnsi="Calibri" w:cs="Calibri"/>
                <w:b/>
                <w:bCs/>
                <w:color w:val="000000"/>
                <w:sz w:val="20"/>
                <w:szCs w:val="20"/>
                <w:lang w:val="en-AU"/>
              </w:rPr>
              <w:t>Achieved</w:t>
            </w:r>
          </w:p>
        </w:tc>
      </w:tr>
      <w:tr w:rsidR="00752C0B" w:rsidRPr="00221243" w14:paraId="461F2577" w14:textId="77777777" w:rsidTr="00361731">
        <w:trPr>
          <w:trHeight w:val="480"/>
        </w:trPr>
        <w:tc>
          <w:tcPr>
            <w:tcW w:w="5812" w:type="dxa"/>
            <w:tcBorders>
              <w:top w:val="nil"/>
              <w:left w:val="single" w:sz="8" w:space="0" w:color="auto"/>
              <w:bottom w:val="single" w:sz="4" w:space="0" w:color="auto"/>
              <w:right w:val="single" w:sz="4" w:space="0" w:color="auto"/>
            </w:tcBorders>
            <w:vAlign w:val="center"/>
            <w:hideMark/>
          </w:tcPr>
          <w:p w14:paraId="60A5DCE1"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Value of financing facilitated (US$)</w:t>
            </w:r>
          </w:p>
        </w:tc>
        <w:tc>
          <w:tcPr>
            <w:tcW w:w="1418" w:type="dxa"/>
            <w:tcBorders>
              <w:top w:val="nil"/>
              <w:left w:val="nil"/>
              <w:bottom w:val="single" w:sz="4" w:space="0" w:color="auto"/>
              <w:right w:val="single" w:sz="4" w:space="0" w:color="auto"/>
            </w:tcBorders>
            <w:vAlign w:val="center"/>
            <w:hideMark/>
          </w:tcPr>
          <w:p w14:paraId="56179D59"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67,682,784</w:t>
            </w:r>
          </w:p>
        </w:tc>
        <w:tc>
          <w:tcPr>
            <w:tcW w:w="1417" w:type="dxa"/>
            <w:tcBorders>
              <w:top w:val="nil"/>
              <w:left w:val="nil"/>
              <w:bottom w:val="single" w:sz="4" w:space="0" w:color="auto"/>
              <w:right w:val="single" w:sz="4" w:space="0" w:color="auto"/>
            </w:tcBorders>
            <w:vAlign w:val="center"/>
            <w:hideMark/>
          </w:tcPr>
          <w:p w14:paraId="62FC319A"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30,000,000</w:t>
            </w:r>
          </w:p>
        </w:tc>
        <w:tc>
          <w:tcPr>
            <w:tcW w:w="1134" w:type="dxa"/>
            <w:tcBorders>
              <w:top w:val="nil"/>
              <w:left w:val="nil"/>
              <w:bottom w:val="single" w:sz="4" w:space="0" w:color="auto"/>
              <w:right w:val="single" w:sz="8" w:space="0" w:color="auto"/>
            </w:tcBorders>
            <w:hideMark/>
          </w:tcPr>
          <w:p w14:paraId="0007CBB9" w14:textId="77777777" w:rsidR="00752C0B" w:rsidRPr="00221243" w:rsidRDefault="00752C0B" w:rsidP="00361731">
            <w:pPr>
              <w:jc w:val="center"/>
              <w:rPr>
                <w:rFonts w:ascii="Calibri" w:hAnsi="Calibri" w:cs="Calibri"/>
                <w:color w:val="000000"/>
                <w:sz w:val="20"/>
                <w:szCs w:val="20"/>
                <w:lang w:val="en-US"/>
              </w:rPr>
            </w:pPr>
            <w:r w:rsidRPr="00221243">
              <w:rPr>
                <w:rFonts w:ascii="Calibri" w:hAnsi="Calibri" w:cs="Calibri"/>
                <w:color w:val="000000"/>
                <w:sz w:val="20"/>
                <w:szCs w:val="20"/>
                <w:lang w:val="en-US"/>
              </w:rPr>
              <w:t>Yes</w:t>
            </w:r>
          </w:p>
        </w:tc>
      </w:tr>
      <w:tr w:rsidR="00752C0B" w:rsidRPr="007B4203" w14:paraId="2B573DB0"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33ED14F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GHG emissions expected to be reduced (metric tons/year)</w:t>
            </w:r>
          </w:p>
        </w:tc>
        <w:tc>
          <w:tcPr>
            <w:tcW w:w="1418" w:type="dxa"/>
            <w:tcBorders>
              <w:top w:val="nil"/>
              <w:left w:val="nil"/>
              <w:bottom w:val="single" w:sz="4" w:space="0" w:color="auto"/>
              <w:right w:val="single" w:sz="4" w:space="0" w:color="auto"/>
            </w:tcBorders>
            <w:vAlign w:val="center"/>
            <w:hideMark/>
          </w:tcPr>
          <w:p w14:paraId="294AC4FD"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19,336</w:t>
            </w:r>
          </w:p>
        </w:tc>
        <w:tc>
          <w:tcPr>
            <w:tcW w:w="1417" w:type="dxa"/>
            <w:tcBorders>
              <w:top w:val="nil"/>
              <w:left w:val="nil"/>
              <w:bottom w:val="single" w:sz="4" w:space="0" w:color="auto"/>
              <w:right w:val="single" w:sz="4" w:space="0" w:color="auto"/>
            </w:tcBorders>
            <w:vAlign w:val="center"/>
            <w:hideMark/>
          </w:tcPr>
          <w:p w14:paraId="3473F5A7" w14:textId="77777777" w:rsidR="00752C0B" w:rsidRPr="007B4203" w:rsidRDefault="00752C0B" w:rsidP="00361731">
            <w:pPr>
              <w:jc w:val="center"/>
              <w:rPr>
                <w:rFonts w:ascii="Calibri" w:hAnsi="Calibri" w:cs="Calibri"/>
                <w:i/>
                <w:iCs/>
                <w:color w:val="000000"/>
                <w:sz w:val="20"/>
                <w:szCs w:val="20"/>
                <w:lang w:val="en-US"/>
              </w:rPr>
            </w:pPr>
            <w:r w:rsidRPr="007B4203">
              <w:rPr>
                <w:rFonts w:ascii="Calibri" w:hAnsi="Calibri" w:cs="Calibri"/>
                <w:i/>
                <w:iCs/>
                <w:color w:val="000000"/>
                <w:sz w:val="20"/>
                <w:szCs w:val="20"/>
                <w:lang w:val="en-AU"/>
              </w:rPr>
              <w:t>no target</w:t>
            </w:r>
          </w:p>
        </w:tc>
        <w:tc>
          <w:tcPr>
            <w:tcW w:w="1134" w:type="dxa"/>
            <w:tcBorders>
              <w:top w:val="nil"/>
              <w:left w:val="nil"/>
              <w:bottom w:val="single" w:sz="4" w:space="0" w:color="auto"/>
              <w:right w:val="single" w:sz="8" w:space="0" w:color="auto"/>
            </w:tcBorders>
            <w:vAlign w:val="center"/>
            <w:hideMark/>
          </w:tcPr>
          <w:p w14:paraId="5FA3D60B"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N.A.</w:t>
            </w:r>
          </w:p>
        </w:tc>
      </w:tr>
      <w:tr w:rsidR="00752C0B" w:rsidRPr="007B4203" w14:paraId="5B30D64F"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4CE64CAC"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GHG emissions expected to be reduced (%)</w:t>
            </w:r>
          </w:p>
        </w:tc>
        <w:tc>
          <w:tcPr>
            <w:tcW w:w="1418" w:type="dxa"/>
            <w:tcBorders>
              <w:top w:val="nil"/>
              <w:left w:val="nil"/>
              <w:bottom w:val="single" w:sz="4" w:space="0" w:color="auto"/>
              <w:right w:val="single" w:sz="4" w:space="0" w:color="auto"/>
            </w:tcBorders>
            <w:vAlign w:val="center"/>
            <w:hideMark/>
          </w:tcPr>
          <w:p w14:paraId="3A18441E"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c>
          <w:tcPr>
            <w:tcW w:w="1417" w:type="dxa"/>
            <w:tcBorders>
              <w:top w:val="nil"/>
              <w:left w:val="nil"/>
              <w:bottom w:val="single" w:sz="4" w:space="0" w:color="auto"/>
              <w:right w:val="single" w:sz="4" w:space="0" w:color="auto"/>
            </w:tcBorders>
            <w:vAlign w:val="center"/>
            <w:hideMark/>
          </w:tcPr>
          <w:p w14:paraId="4FFA0060"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15</w:t>
            </w:r>
          </w:p>
        </w:tc>
        <w:tc>
          <w:tcPr>
            <w:tcW w:w="1134" w:type="dxa"/>
            <w:tcBorders>
              <w:top w:val="nil"/>
              <w:left w:val="nil"/>
              <w:bottom w:val="single" w:sz="4" w:space="0" w:color="auto"/>
              <w:right w:val="single" w:sz="8" w:space="0" w:color="auto"/>
            </w:tcBorders>
            <w:vAlign w:val="center"/>
            <w:hideMark/>
          </w:tcPr>
          <w:p w14:paraId="44ED35AC"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r>
      <w:tr w:rsidR="00752C0B" w:rsidRPr="006D6783" w14:paraId="3256CB40" w14:textId="77777777" w:rsidTr="00361731">
        <w:trPr>
          <w:trHeight w:val="495"/>
        </w:trPr>
        <w:tc>
          <w:tcPr>
            <w:tcW w:w="5812" w:type="dxa"/>
            <w:tcBorders>
              <w:top w:val="nil"/>
              <w:left w:val="single" w:sz="8" w:space="0" w:color="auto"/>
              <w:bottom w:val="single" w:sz="4" w:space="0" w:color="auto"/>
              <w:right w:val="single" w:sz="4" w:space="0" w:color="auto"/>
            </w:tcBorders>
            <w:vAlign w:val="center"/>
            <w:hideMark/>
          </w:tcPr>
          <w:p w14:paraId="7B9A71D5"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Hectares of sustainably managed land</w:t>
            </w:r>
          </w:p>
        </w:tc>
        <w:tc>
          <w:tcPr>
            <w:tcW w:w="1418" w:type="dxa"/>
            <w:tcBorders>
              <w:top w:val="nil"/>
              <w:left w:val="nil"/>
              <w:bottom w:val="single" w:sz="4" w:space="0" w:color="auto"/>
              <w:right w:val="single" w:sz="4" w:space="0" w:color="auto"/>
            </w:tcBorders>
            <w:vAlign w:val="center"/>
            <w:hideMark/>
          </w:tcPr>
          <w:p w14:paraId="6F0DF01D"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2,753</w:t>
            </w:r>
          </w:p>
        </w:tc>
        <w:tc>
          <w:tcPr>
            <w:tcW w:w="1417" w:type="dxa"/>
            <w:tcBorders>
              <w:top w:val="nil"/>
              <w:left w:val="nil"/>
              <w:bottom w:val="single" w:sz="4" w:space="0" w:color="auto"/>
              <w:right w:val="single" w:sz="4" w:space="0" w:color="auto"/>
            </w:tcBorders>
            <w:vAlign w:val="center"/>
            <w:hideMark/>
          </w:tcPr>
          <w:p w14:paraId="04C16C92"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1,000</w:t>
            </w:r>
          </w:p>
        </w:tc>
        <w:tc>
          <w:tcPr>
            <w:tcW w:w="1134" w:type="dxa"/>
            <w:tcBorders>
              <w:top w:val="nil"/>
              <w:left w:val="nil"/>
              <w:bottom w:val="single" w:sz="4" w:space="0" w:color="auto"/>
              <w:right w:val="single" w:sz="8" w:space="0" w:color="auto"/>
            </w:tcBorders>
            <w:hideMark/>
          </w:tcPr>
          <w:p w14:paraId="0B6EBD09" w14:textId="77777777" w:rsidR="00752C0B" w:rsidRPr="006D6783" w:rsidRDefault="00752C0B" w:rsidP="00361731">
            <w:pPr>
              <w:jc w:val="center"/>
              <w:rPr>
                <w:rFonts w:ascii="Calibri" w:hAnsi="Calibri" w:cs="Calibri"/>
                <w:color w:val="000000"/>
                <w:sz w:val="20"/>
                <w:szCs w:val="20"/>
                <w:lang w:val="en-US"/>
              </w:rPr>
            </w:pPr>
            <w:r w:rsidRPr="006D6783">
              <w:rPr>
                <w:rFonts w:ascii="Calibri" w:hAnsi="Calibri" w:cs="Calibri"/>
                <w:color w:val="000000"/>
                <w:sz w:val="20"/>
                <w:szCs w:val="20"/>
                <w:lang w:val="en-US"/>
              </w:rPr>
              <w:t>Yes</w:t>
            </w:r>
          </w:p>
        </w:tc>
      </w:tr>
      <w:tr w:rsidR="00752C0B" w:rsidRPr="007B4203" w14:paraId="56917CFB"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46C02CF1"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Sales revenue (farmer) (US$)</w:t>
            </w:r>
          </w:p>
        </w:tc>
        <w:tc>
          <w:tcPr>
            <w:tcW w:w="1418" w:type="dxa"/>
            <w:tcBorders>
              <w:top w:val="nil"/>
              <w:left w:val="nil"/>
              <w:bottom w:val="single" w:sz="4" w:space="0" w:color="auto"/>
              <w:right w:val="single" w:sz="4" w:space="0" w:color="auto"/>
            </w:tcBorders>
            <w:vAlign w:val="center"/>
            <w:hideMark/>
          </w:tcPr>
          <w:p w14:paraId="5588F975"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c>
          <w:tcPr>
            <w:tcW w:w="1417" w:type="dxa"/>
            <w:tcBorders>
              <w:top w:val="nil"/>
              <w:left w:val="nil"/>
              <w:bottom w:val="single" w:sz="4" w:space="0" w:color="auto"/>
              <w:right w:val="single" w:sz="4" w:space="0" w:color="auto"/>
            </w:tcBorders>
            <w:vAlign w:val="center"/>
            <w:hideMark/>
          </w:tcPr>
          <w:p w14:paraId="02D6EA87"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600,000</w:t>
            </w:r>
          </w:p>
        </w:tc>
        <w:tc>
          <w:tcPr>
            <w:tcW w:w="1134" w:type="dxa"/>
            <w:tcBorders>
              <w:top w:val="nil"/>
              <w:left w:val="nil"/>
              <w:bottom w:val="single" w:sz="4" w:space="0" w:color="auto"/>
              <w:right w:val="single" w:sz="8" w:space="0" w:color="auto"/>
            </w:tcBorders>
            <w:vAlign w:val="center"/>
            <w:hideMark/>
          </w:tcPr>
          <w:p w14:paraId="09EFFB89"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r>
      <w:tr w:rsidR="00752C0B" w:rsidRPr="007B4203" w14:paraId="56827939" w14:textId="77777777" w:rsidTr="00361731">
        <w:trPr>
          <w:trHeight w:val="300"/>
        </w:trPr>
        <w:tc>
          <w:tcPr>
            <w:tcW w:w="5812" w:type="dxa"/>
            <w:tcBorders>
              <w:top w:val="nil"/>
              <w:left w:val="single" w:sz="8" w:space="0" w:color="auto"/>
              <w:bottom w:val="single" w:sz="4" w:space="0" w:color="auto"/>
              <w:right w:val="single" w:sz="4" w:space="0" w:color="auto"/>
            </w:tcBorders>
            <w:vAlign w:val="center"/>
            <w:hideMark/>
          </w:tcPr>
          <w:p w14:paraId="26747B39"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Sales revenue (US$)</w:t>
            </w:r>
          </w:p>
        </w:tc>
        <w:tc>
          <w:tcPr>
            <w:tcW w:w="1418" w:type="dxa"/>
            <w:tcBorders>
              <w:top w:val="nil"/>
              <w:left w:val="nil"/>
              <w:bottom w:val="single" w:sz="4" w:space="0" w:color="auto"/>
              <w:right w:val="single" w:sz="4" w:space="0" w:color="auto"/>
            </w:tcBorders>
            <w:vAlign w:val="center"/>
            <w:hideMark/>
          </w:tcPr>
          <w:p w14:paraId="5DA8004A"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c>
          <w:tcPr>
            <w:tcW w:w="1417" w:type="dxa"/>
            <w:tcBorders>
              <w:top w:val="nil"/>
              <w:left w:val="nil"/>
              <w:bottom w:val="single" w:sz="4" w:space="0" w:color="auto"/>
              <w:right w:val="single" w:sz="4" w:space="0" w:color="auto"/>
            </w:tcBorders>
            <w:vAlign w:val="center"/>
            <w:hideMark/>
          </w:tcPr>
          <w:p w14:paraId="111FF4C5"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39,400,000</w:t>
            </w:r>
          </w:p>
        </w:tc>
        <w:tc>
          <w:tcPr>
            <w:tcW w:w="1134" w:type="dxa"/>
            <w:tcBorders>
              <w:top w:val="nil"/>
              <w:left w:val="nil"/>
              <w:bottom w:val="single" w:sz="4" w:space="0" w:color="auto"/>
              <w:right w:val="single" w:sz="8" w:space="0" w:color="auto"/>
            </w:tcBorders>
            <w:vAlign w:val="center"/>
            <w:hideMark/>
          </w:tcPr>
          <w:p w14:paraId="11FDF3E6"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0%</w:t>
            </w:r>
          </w:p>
        </w:tc>
      </w:tr>
      <w:tr w:rsidR="00752C0B" w:rsidRPr="007B4203" w14:paraId="6FA67D6D" w14:textId="77777777" w:rsidTr="00361731">
        <w:trPr>
          <w:trHeight w:val="525"/>
        </w:trPr>
        <w:tc>
          <w:tcPr>
            <w:tcW w:w="5812" w:type="dxa"/>
            <w:tcBorders>
              <w:top w:val="nil"/>
              <w:left w:val="single" w:sz="8" w:space="0" w:color="auto"/>
              <w:bottom w:val="single" w:sz="8" w:space="0" w:color="auto"/>
              <w:right w:val="single" w:sz="4" w:space="0" w:color="auto"/>
            </w:tcBorders>
            <w:vAlign w:val="center"/>
            <w:hideMark/>
          </w:tcPr>
          <w:p w14:paraId="66716229" w14:textId="77777777" w:rsidR="00752C0B" w:rsidRPr="007B4203" w:rsidRDefault="00752C0B" w:rsidP="00361731">
            <w:pPr>
              <w:rPr>
                <w:rFonts w:ascii="Calibri" w:hAnsi="Calibri" w:cs="Calibri"/>
                <w:color w:val="000000"/>
                <w:sz w:val="20"/>
                <w:szCs w:val="20"/>
                <w:lang w:val="en-US"/>
              </w:rPr>
            </w:pPr>
            <w:r w:rsidRPr="007B4203">
              <w:rPr>
                <w:rFonts w:ascii="Calibri" w:hAnsi="Calibri" w:cs="Calibri"/>
                <w:color w:val="000000"/>
                <w:sz w:val="20"/>
                <w:szCs w:val="20"/>
                <w:lang w:val="en-AU"/>
              </w:rPr>
              <w:t>Cost (actual) avoided (US$)</w:t>
            </w:r>
          </w:p>
        </w:tc>
        <w:tc>
          <w:tcPr>
            <w:tcW w:w="1418" w:type="dxa"/>
            <w:tcBorders>
              <w:top w:val="nil"/>
              <w:left w:val="nil"/>
              <w:bottom w:val="single" w:sz="8" w:space="0" w:color="auto"/>
              <w:right w:val="single" w:sz="4" w:space="0" w:color="auto"/>
            </w:tcBorders>
            <w:vAlign w:val="center"/>
            <w:hideMark/>
          </w:tcPr>
          <w:p w14:paraId="26CFB2A9"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3,322,415</w:t>
            </w:r>
          </w:p>
        </w:tc>
        <w:tc>
          <w:tcPr>
            <w:tcW w:w="1417" w:type="dxa"/>
            <w:tcBorders>
              <w:top w:val="nil"/>
              <w:left w:val="nil"/>
              <w:bottom w:val="single" w:sz="8" w:space="0" w:color="auto"/>
              <w:right w:val="single" w:sz="4" w:space="0" w:color="auto"/>
            </w:tcBorders>
            <w:vAlign w:val="center"/>
            <w:hideMark/>
          </w:tcPr>
          <w:p w14:paraId="0905C93A" w14:textId="77777777" w:rsidR="00752C0B" w:rsidRPr="007B4203" w:rsidRDefault="00752C0B" w:rsidP="00361731">
            <w:pPr>
              <w:jc w:val="center"/>
              <w:rPr>
                <w:rFonts w:ascii="Calibri" w:hAnsi="Calibri" w:cs="Calibri"/>
                <w:color w:val="000000"/>
                <w:sz w:val="20"/>
                <w:szCs w:val="20"/>
                <w:lang w:val="en-US"/>
              </w:rPr>
            </w:pPr>
            <w:r w:rsidRPr="007B4203">
              <w:rPr>
                <w:rFonts w:ascii="Calibri" w:hAnsi="Calibri" w:cs="Calibri"/>
                <w:color w:val="000000"/>
                <w:sz w:val="20"/>
                <w:szCs w:val="20"/>
                <w:lang w:val="en-AU"/>
              </w:rPr>
              <w:t>1,000,000</w:t>
            </w:r>
          </w:p>
        </w:tc>
        <w:tc>
          <w:tcPr>
            <w:tcW w:w="1134" w:type="dxa"/>
            <w:tcBorders>
              <w:top w:val="nil"/>
              <w:left w:val="nil"/>
              <w:bottom w:val="single" w:sz="8" w:space="0" w:color="auto"/>
              <w:right w:val="single" w:sz="8" w:space="0" w:color="auto"/>
            </w:tcBorders>
            <w:hideMark/>
          </w:tcPr>
          <w:p w14:paraId="3E0562A7" w14:textId="77777777" w:rsidR="00752C0B" w:rsidRPr="007B4203" w:rsidRDefault="00752C0B" w:rsidP="00361731">
            <w:pPr>
              <w:jc w:val="center"/>
              <w:rPr>
                <w:rFonts w:ascii="Calibri" w:hAnsi="Calibri" w:cs="Calibri"/>
                <w:b/>
                <w:bCs/>
                <w:color w:val="000000"/>
                <w:sz w:val="20"/>
                <w:szCs w:val="20"/>
                <w:lang w:val="en-US"/>
              </w:rPr>
            </w:pPr>
            <w:r w:rsidRPr="006D6783">
              <w:rPr>
                <w:rFonts w:ascii="Calibri" w:hAnsi="Calibri" w:cs="Calibri"/>
                <w:color w:val="000000"/>
                <w:sz w:val="20"/>
                <w:szCs w:val="20"/>
                <w:lang w:val="en-US"/>
              </w:rPr>
              <w:t>Yes</w:t>
            </w:r>
          </w:p>
        </w:tc>
      </w:tr>
    </w:tbl>
    <w:p w14:paraId="671E9246" w14:textId="655463C6" w:rsidR="007B4203" w:rsidRDefault="007B4203" w:rsidP="001A0565">
      <w:pPr>
        <w:autoSpaceDE w:val="0"/>
        <w:autoSpaceDN w:val="0"/>
        <w:adjustRightInd w:val="0"/>
        <w:spacing w:after="120"/>
        <w:jc w:val="both"/>
        <w:rPr>
          <w:rFonts w:ascii="Calibri" w:hAnsi="Calibri" w:cs="Calibri"/>
          <w:color w:val="000000"/>
          <w:sz w:val="18"/>
          <w:szCs w:val="18"/>
          <w:lang w:val="en-AU"/>
        </w:rPr>
      </w:pPr>
    </w:p>
    <w:p w14:paraId="6F956B6C" w14:textId="0E73E346" w:rsidR="002E224E" w:rsidRPr="000348BD" w:rsidRDefault="002E224E" w:rsidP="00385865">
      <w:pPr>
        <w:autoSpaceDE w:val="0"/>
        <w:autoSpaceDN w:val="0"/>
        <w:adjustRightInd w:val="0"/>
        <w:jc w:val="both"/>
        <w:rPr>
          <w:rFonts w:ascii="Calibri" w:hAnsi="Calibri" w:cs="Calibri"/>
          <w:b/>
          <w:color w:val="000000"/>
          <w:sz w:val="22"/>
          <w:szCs w:val="22"/>
          <w:u w:val="single"/>
          <w:lang w:val="en-AU"/>
        </w:rPr>
      </w:pPr>
      <w:r w:rsidRPr="000348BD">
        <w:rPr>
          <w:rFonts w:ascii="Calibri" w:hAnsi="Calibri" w:cs="Calibri"/>
          <w:b/>
          <w:color w:val="000000"/>
          <w:sz w:val="22"/>
          <w:szCs w:val="22"/>
          <w:u w:val="single"/>
          <w:lang w:val="en-AU"/>
        </w:rPr>
        <w:t>Pillar 3 - Creating a Green</w:t>
      </w:r>
      <w:r w:rsidR="0013617E" w:rsidRPr="000348BD">
        <w:rPr>
          <w:rFonts w:ascii="Calibri" w:hAnsi="Calibri" w:cs="Calibri"/>
          <w:b/>
          <w:color w:val="000000"/>
          <w:sz w:val="22"/>
          <w:szCs w:val="22"/>
          <w:u w:val="single"/>
          <w:lang w:val="en-AU"/>
        </w:rPr>
        <w:t>,</w:t>
      </w:r>
      <w:r w:rsidRPr="000348BD">
        <w:rPr>
          <w:rFonts w:ascii="Calibri" w:hAnsi="Calibri" w:cs="Calibri"/>
          <w:b/>
          <w:color w:val="000000"/>
          <w:sz w:val="22"/>
          <w:szCs w:val="22"/>
          <w:u w:val="single"/>
          <w:lang w:val="en-AU"/>
        </w:rPr>
        <w:t xml:space="preserve"> </w:t>
      </w:r>
      <w:r w:rsidR="0013617E" w:rsidRPr="000348BD">
        <w:rPr>
          <w:rFonts w:ascii="Calibri" w:hAnsi="Calibri" w:cs="Calibri"/>
          <w:b/>
          <w:color w:val="000000"/>
          <w:sz w:val="22"/>
          <w:szCs w:val="22"/>
          <w:u w:val="single"/>
          <w:lang w:val="en-AU"/>
        </w:rPr>
        <w:t>Sustainable,</w:t>
      </w:r>
      <w:r w:rsidRPr="000348BD">
        <w:rPr>
          <w:rFonts w:ascii="Calibri" w:hAnsi="Calibri" w:cs="Calibri"/>
          <w:b/>
          <w:color w:val="000000"/>
          <w:sz w:val="22"/>
          <w:szCs w:val="22"/>
          <w:u w:val="single"/>
          <w:lang w:val="en-AU"/>
        </w:rPr>
        <w:t xml:space="preserve"> and Inclusive Financial Sector</w:t>
      </w:r>
    </w:p>
    <w:p w14:paraId="09A6DF12" w14:textId="162B62A6" w:rsidR="002E224E" w:rsidRPr="000348BD" w:rsidRDefault="00386AC1"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Under this pillar, IFC seeks to accelerate </w:t>
      </w:r>
      <w:r w:rsidR="00E03004" w:rsidRPr="000348BD">
        <w:rPr>
          <w:rFonts w:ascii="Calibri" w:hAnsi="Calibri" w:cs="Calibri"/>
          <w:b/>
          <w:bCs/>
          <w:sz w:val="22"/>
          <w:szCs w:val="22"/>
          <w:lang w:val="en-AU"/>
        </w:rPr>
        <w:t>Viet Nam's</w:t>
      </w:r>
      <w:r w:rsidRPr="000348BD">
        <w:rPr>
          <w:rFonts w:ascii="Calibri" w:hAnsi="Calibri" w:cs="Calibri"/>
          <w:b/>
          <w:bCs/>
          <w:sz w:val="22"/>
          <w:szCs w:val="22"/>
          <w:lang w:val="en-AU"/>
        </w:rPr>
        <w:t xml:space="preserve"> green transformation </w:t>
      </w:r>
      <w:r w:rsidR="0027115B" w:rsidRPr="000348BD">
        <w:rPr>
          <w:rFonts w:ascii="Calibri" w:hAnsi="Calibri" w:cs="Calibri"/>
          <w:b/>
          <w:bCs/>
          <w:sz w:val="22"/>
          <w:szCs w:val="22"/>
          <w:lang w:val="en-AU"/>
        </w:rPr>
        <w:t>of</w:t>
      </w:r>
      <w:r w:rsidRPr="000348BD">
        <w:rPr>
          <w:rFonts w:ascii="Calibri" w:hAnsi="Calibri" w:cs="Calibri"/>
          <w:b/>
          <w:bCs/>
          <w:sz w:val="22"/>
          <w:szCs w:val="22"/>
          <w:lang w:val="en-AU"/>
        </w:rPr>
        <w:t xml:space="preserve"> </w:t>
      </w:r>
      <w:r w:rsidR="00E03004" w:rsidRPr="000348BD">
        <w:rPr>
          <w:rFonts w:ascii="Calibri" w:hAnsi="Calibri" w:cs="Calibri"/>
          <w:b/>
          <w:bCs/>
          <w:sz w:val="22"/>
          <w:szCs w:val="22"/>
          <w:lang w:val="en-AU"/>
        </w:rPr>
        <w:t>it</w:t>
      </w:r>
      <w:r w:rsidR="0027115B" w:rsidRPr="000348BD">
        <w:rPr>
          <w:rFonts w:ascii="Calibri" w:hAnsi="Calibri" w:cs="Calibri"/>
          <w:b/>
          <w:bCs/>
          <w:sz w:val="22"/>
          <w:szCs w:val="22"/>
          <w:lang w:val="en-AU"/>
        </w:rPr>
        <w:t>s</w:t>
      </w:r>
      <w:r w:rsidRPr="000348BD">
        <w:rPr>
          <w:rFonts w:ascii="Calibri" w:hAnsi="Calibri" w:cs="Calibri"/>
          <w:b/>
          <w:bCs/>
          <w:sz w:val="22"/>
          <w:szCs w:val="22"/>
          <w:lang w:val="en-AU"/>
        </w:rPr>
        <w:t xml:space="preserve"> financial sector.</w:t>
      </w:r>
      <w:r w:rsidRPr="000348BD">
        <w:rPr>
          <w:rFonts w:ascii="Calibri" w:hAnsi="Calibri" w:cs="Calibri"/>
          <w:sz w:val="22"/>
          <w:szCs w:val="22"/>
          <w:lang w:val="en-AU"/>
        </w:rPr>
        <w:t xml:space="preserve"> IFC will work with financial institutions to build and expand their climate finance product offerings and the share </w:t>
      </w:r>
      <w:r w:rsidRPr="000348BD">
        <w:rPr>
          <w:rFonts w:ascii="Calibri" w:hAnsi="Calibri" w:cs="Calibri"/>
          <w:sz w:val="22"/>
          <w:szCs w:val="22"/>
          <w:lang w:val="en-AU"/>
        </w:rPr>
        <w:lastRenderedPageBreak/>
        <w:t>of green finance projects in the</w:t>
      </w:r>
      <w:r w:rsidR="0027115B" w:rsidRPr="000348BD">
        <w:rPr>
          <w:rFonts w:ascii="Calibri" w:hAnsi="Calibri" w:cs="Calibri"/>
          <w:sz w:val="22"/>
          <w:szCs w:val="22"/>
          <w:lang w:val="en-AU"/>
        </w:rPr>
        <w:t>ir</w:t>
      </w:r>
      <w:r w:rsidRPr="000348BD">
        <w:rPr>
          <w:rFonts w:ascii="Calibri" w:hAnsi="Calibri" w:cs="Calibri"/>
          <w:sz w:val="22"/>
          <w:szCs w:val="22"/>
          <w:lang w:val="en-AU"/>
        </w:rPr>
        <w:t xml:space="preserve"> portfolios. IFC support </w:t>
      </w:r>
      <w:r w:rsidR="0027115B" w:rsidRPr="000348BD">
        <w:rPr>
          <w:rFonts w:ascii="Calibri" w:hAnsi="Calibri" w:cs="Calibri"/>
          <w:sz w:val="22"/>
          <w:szCs w:val="22"/>
          <w:lang w:val="en-AU"/>
        </w:rPr>
        <w:t>financial institutions</w:t>
      </w:r>
      <w:r w:rsidRPr="000348BD">
        <w:rPr>
          <w:rFonts w:ascii="Calibri" w:hAnsi="Calibri" w:cs="Calibri"/>
          <w:sz w:val="22"/>
          <w:szCs w:val="22"/>
          <w:lang w:val="en-AU"/>
        </w:rPr>
        <w:t xml:space="preserve"> in </w:t>
      </w:r>
      <w:r w:rsidR="0027115B" w:rsidRPr="000348BD">
        <w:rPr>
          <w:rFonts w:ascii="Calibri" w:hAnsi="Calibri" w:cs="Calibri"/>
          <w:sz w:val="22"/>
          <w:szCs w:val="22"/>
          <w:lang w:val="en-AU"/>
        </w:rPr>
        <w:t>designing</w:t>
      </w:r>
      <w:r w:rsidRPr="000348BD">
        <w:rPr>
          <w:rFonts w:ascii="Calibri" w:hAnsi="Calibri" w:cs="Calibri"/>
          <w:sz w:val="22"/>
          <w:szCs w:val="22"/>
          <w:lang w:val="en-AU"/>
        </w:rPr>
        <w:t xml:space="preserve"> and introduc</w:t>
      </w:r>
      <w:r w:rsidR="0027115B" w:rsidRPr="000348BD">
        <w:rPr>
          <w:rFonts w:ascii="Calibri" w:hAnsi="Calibri" w:cs="Calibri"/>
          <w:sz w:val="22"/>
          <w:szCs w:val="22"/>
          <w:lang w:val="en-AU"/>
        </w:rPr>
        <w:t>ing</w:t>
      </w:r>
      <w:r w:rsidRPr="000348BD">
        <w:rPr>
          <w:rFonts w:ascii="Calibri" w:hAnsi="Calibri" w:cs="Calibri"/>
          <w:sz w:val="22"/>
          <w:szCs w:val="22"/>
          <w:lang w:val="en-AU"/>
        </w:rPr>
        <w:t xml:space="preserve"> climate finance products </w:t>
      </w:r>
      <w:r w:rsidR="0027115B" w:rsidRPr="000348BD">
        <w:rPr>
          <w:rFonts w:ascii="Calibri" w:hAnsi="Calibri" w:cs="Calibri"/>
          <w:sz w:val="22"/>
          <w:szCs w:val="22"/>
          <w:lang w:val="en-AU"/>
        </w:rPr>
        <w:t>for</w:t>
      </w:r>
      <w:r w:rsidRPr="000348BD">
        <w:rPr>
          <w:rFonts w:ascii="Calibri" w:hAnsi="Calibri" w:cs="Calibri"/>
          <w:sz w:val="22"/>
          <w:szCs w:val="22"/>
          <w:lang w:val="en-AU"/>
        </w:rPr>
        <w:t xml:space="preserve"> specific sectors. Activities under this pillar are aimed at building the capacity of selected </w:t>
      </w:r>
      <w:r w:rsidR="00054F9C" w:rsidRPr="000348BD">
        <w:rPr>
          <w:rFonts w:ascii="Calibri" w:hAnsi="Calibri" w:cs="Calibri"/>
          <w:sz w:val="22"/>
          <w:szCs w:val="22"/>
          <w:lang w:val="en-AU"/>
        </w:rPr>
        <w:t xml:space="preserve">financial </w:t>
      </w:r>
      <w:r w:rsidR="0013617E" w:rsidRPr="000348BD">
        <w:rPr>
          <w:rFonts w:ascii="Calibri" w:hAnsi="Calibri" w:cs="Calibri"/>
          <w:sz w:val="22"/>
          <w:szCs w:val="22"/>
          <w:lang w:val="en-AU"/>
        </w:rPr>
        <w:t>institutions</w:t>
      </w:r>
      <w:r w:rsidRPr="000348BD">
        <w:rPr>
          <w:rFonts w:ascii="Calibri" w:hAnsi="Calibri" w:cs="Calibri"/>
          <w:sz w:val="22"/>
          <w:szCs w:val="22"/>
          <w:lang w:val="en-AU"/>
        </w:rPr>
        <w:t xml:space="preserve"> to finance clean, renewable energy and </w:t>
      </w:r>
      <w:r w:rsidR="0027115B" w:rsidRPr="000348BD">
        <w:rPr>
          <w:rFonts w:ascii="Calibri" w:hAnsi="Calibri" w:cs="Calibri"/>
          <w:sz w:val="22"/>
          <w:szCs w:val="22"/>
          <w:lang w:val="en-AU"/>
        </w:rPr>
        <w:t>to improve the</w:t>
      </w:r>
      <w:r w:rsidRPr="000348BD">
        <w:rPr>
          <w:rFonts w:ascii="Calibri" w:hAnsi="Calibri" w:cs="Calibri"/>
          <w:sz w:val="22"/>
          <w:szCs w:val="22"/>
          <w:lang w:val="en-AU"/>
        </w:rPr>
        <w:t xml:space="preserve"> availability/accessibility of finance for corporates undertaking a green transition. Building the capacity of financial institutions will help scale up climate finance markets, support climate change adaptation and resilience, and accelerate the shift to more sustainable</w:t>
      </w:r>
      <w:r w:rsidR="0027115B" w:rsidRPr="000348BD">
        <w:rPr>
          <w:rFonts w:ascii="Calibri" w:hAnsi="Calibri" w:cs="Calibri"/>
          <w:sz w:val="22"/>
          <w:szCs w:val="22"/>
          <w:lang w:val="en-AU"/>
        </w:rPr>
        <w:t>,</w:t>
      </w:r>
      <w:r w:rsidRPr="000348BD">
        <w:rPr>
          <w:rFonts w:ascii="Calibri" w:hAnsi="Calibri" w:cs="Calibri"/>
          <w:sz w:val="22"/>
          <w:szCs w:val="22"/>
          <w:lang w:val="en-AU"/>
        </w:rPr>
        <w:t xml:space="preserve"> lower-carbon economies.</w:t>
      </w:r>
    </w:p>
    <w:p w14:paraId="33E8AFC1" w14:textId="1785CF10" w:rsidR="00054F9C" w:rsidRPr="000348BD" w:rsidRDefault="00054F9C"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Viet</w:t>
      </w:r>
      <w:r w:rsidR="004B491B" w:rsidRPr="000348BD">
        <w:rPr>
          <w:rFonts w:ascii="Calibri" w:hAnsi="Calibri" w:cs="Calibri"/>
          <w:sz w:val="22"/>
          <w:szCs w:val="22"/>
          <w:lang w:val="en-AU"/>
        </w:rPr>
        <w:t xml:space="preserve"> N</w:t>
      </w:r>
      <w:r w:rsidRPr="000348BD">
        <w:rPr>
          <w:rFonts w:ascii="Calibri" w:hAnsi="Calibri" w:cs="Calibri"/>
          <w:sz w:val="22"/>
          <w:szCs w:val="22"/>
          <w:lang w:val="en-AU"/>
        </w:rPr>
        <w:t xml:space="preserve">am has one of the highest growth rates in GHG emissions </w:t>
      </w:r>
      <w:r w:rsidR="0013617E" w:rsidRPr="000348BD">
        <w:rPr>
          <w:rFonts w:ascii="Calibri" w:hAnsi="Calibri" w:cs="Calibri"/>
          <w:sz w:val="22"/>
          <w:szCs w:val="22"/>
          <w:lang w:val="en-AU"/>
        </w:rPr>
        <w:t>worldwide</w:t>
      </w:r>
      <w:r w:rsidRPr="000348BD">
        <w:rPr>
          <w:rFonts w:ascii="Calibri" w:hAnsi="Calibri" w:cs="Calibri"/>
          <w:sz w:val="22"/>
          <w:szCs w:val="22"/>
          <w:lang w:val="en-AU"/>
        </w:rPr>
        <w:t xml:space="preserve"> and the second</w:t>
      </w:r>
      <w:r w:rsidR="0013617E" w:rsidRPr="000348BD">
        <w:rPr>
          <w:rFonts w:ascii="Calibri" w:hAnsi="Calibri" w:cs="Calibri"/>
          <w:sz w:val="22"/>
          <w:szCs w:val="22"/>
          <w:lang w:val="en-AU"/>
        </w:rPr>
        <w:t>-</w:t>
      </w:r>
      <w:r w:rsidRPr="000348BD">
        <w:rPr>
          <w:rFonts w:ascii="Calibri" w:hAnsi="Calibri" w:cs="Calibri"/>
          <w:sz w:val="22"/>
          <w:szCs w:val="22"/>
          <w:lang w:val="en-AU"/>
        </w:rPr>
        <w:t xml:space="preserve">highest carbon intensity in the region. While the country has numerous national strategies that include green finance, these are not yet </w:t>
      </w:r>
      <w:r w:rsidR="0013617E" w:rsidRPr="000348BD">
        <w:rPr>
          <w:rFonts w:ascii="Calibri" w:hAnsi="Calibri" w:cs="Calibri"/>
          <w:sz w:val="22"/>
          <w:szCs w:val="22"/>
          <w:lang w:val="en-AU"/>
        </w:rPr>
        <w:t>fully implemented or well-resourced and require stronger coordination among ministries</w:t>
      </w:r>
      <w:r w:rsidR="006D5FC4">
        <w:rPr>
          <w:rFonts w:ascii="Calibri" w:hAnsi="Calibri" w:cs="Calibri"/>
          <w:sz w:val="22"/>
          <w:szCs w:val="22"/>
          <w:lang w:val="en-AU"/>
        </w:rPr>
        <w:t>,</w:t>
      </w:r>
      <w:r w:rsidR="0013617E" w:rsidRPr="000348BD">
        <w:rPr>
          <w:rFonts w:ascii="Calibri" w:hAnsi="Calibri" w:cs="Calibri"/>
          <w:sz w:val="22"/>
          <w:szCs w:val="22"/>
          <w:lang w:val="en-AU"/>
        </w:rPr>
        <w:t xml:space="preserve"> between central and local governments, and greater private-sector</w:t>
      </w:r>
      <w:r w:rsidRPr="000348BD">
        <w:rPr>
          <w:rFonts w:ascii="Calibri" w:hAnsi="Calibri" w:cs="Calibri"/>
          <w:sz w:val="22"/>
          <w:szCs w:val="22"/>
          <w:lang w:val="en-AU"/>
        </w:rPr>
        <w:t xml:space="preserve"> mobili</w:t>
      </w:r>
      <w:r w:rsidR="0013617E" w:rsidRPr="000348BD">
        <w:rPr>
          <w:rFonts w:ascii="Calibri" w:hAnsi="Calibri" w:cs="Calibri"/>
          <w:sz w:val="22"/>
          <w:szCs w:val="22"/>
          <w:lang w:val="en-AU"/>
        </w:rPr>
        <w:t>s</w:t>
      </w:r>
      <w:r w:rsidRPr="000348BD">
        <w:rPr>
          <w:rFonts w:ascii="Calibri" w:hAnsi="Calibri" w:cs="Calibri"/>
          <w:sz w:val="22"/>
          <w:szCs w:val="22"/>
          <w:lang w:val="en-AU"/>
        </w:rPr>
        <w:t>ation.</w:t>
      </w:r>
    </w:p>
    <w:p w14:paraId="31337076" w14:textId="6B529E6E" w:rsidR="00E03004" w:rsidRPr="000348BD" w:rsidRDefault="00054F9C"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The VPSDP ac</w:t>
      </w:r>
      <w:r w:rsidR="0013617E" w:rsidRPr="000348BD">
        <w:rPr>
          <w:rFonts w:ascii="Calibri" w:hAnsi="Calibri" w:cs="Calibri"/>
          <w:sz w:val="22"/>
          <w:szCs w:val="22"/>
          <w:lang w:val="en-AU"/>
        </w:rPr>
        <w:t>kn</w:t>
      </w:r>
      <w:r w:rsidRPr="000348BD">
        <w:rPr>
          <w:rFonts w:ascii="Calibri" w:hAnsi="Calibri" w:cs="Calibri"/>
          <w:sz w:val="22"/>
          <w:szCs w:val="22"/>
          <w:lang w:val="en-AU"/>
        </w:rPr>
        <w:t xml:space="preserve">owledges that due to the small size of the capital market, green finance in Viet Nam has been heavily reliant on bank credit. There is growing demand for private </w:t>
      </w:r>
      <w:r w:rsidR="0013617E" w:rsidRPr="000348BD">
        <w:rPr>
          <w:rFonts w:ascii="Calibri" w:hAnsi="Calibri" w:cs="Calibri"/>
          <w:sz w:val="22"/>
          <w:szCs w:val="22"/>
          <w:lang w:val="en-AU"/>
        </w:rPr>
        <w:t xml:space="preserve">capital, and </w:t>
      </w:r>
      <w:r w:rsidR="00E20DEB" w:rsidRPr="000348BD">
        <w:rPr>
          <w:rFonts w:ascii="Calibri" w:hAnsi="Calibri" w:cs="Calibri"/>
          <w:sz w:val="22"/>
          <w:szCs w:val="22"/>
          <w:lang w:val="en-AU"/>
        </w:rPr>
        <w:t>IFC</w:t>
      </w:r>
      <w:r w:rsidR="0013617E" w:rsidRPr="000348BD">
        <w:rPr>
          <w:rFonts w:ascii="Calibri" w:hAnsi="Calibri" w:cs="Calibri"/>
          <w:sz w:val="22"/>
          <w:szCs w:val="22"/>
          <w:lang w:val="en-AU"/>
        </w:rPr>
        <w:t xml:space="preserve"> has developed a comprehensive package of support in working with a range of financial institutions. The</w:t>
      </w:r>
      <w:r w:rsidRPr="000348BD">
        <w:rPr>
          <w:rFonts w:ascii="Calibri" w:hAnsi="Calibri" w:cs="Calibri"/>
          <w:sz w:val="22"/>
          <w:szCs w:val="22"/>
          <w:lang w:val="en-AU"/>
        </w:rPr>
        <w:t xml:space="preserve"> most successful in</w:t>
      </w:r>
      <w:r w:rsidR="0013617E" w:rsidRPr="000348BD">
        <w:rPr>
          <w:rFonts w:ascii="Calibri" w:hAnsi="Calibri" w:cs="Calibri"/>
          <w:sz w:val="22"/>
          <w:szCs w:val="22"/>
          <w:lang w:val="en-AU"/>
        </w:rPr>
        <w:t>terven</w:t>
      </w:r>
      <w:r w:rsidRPr="000348BD">
        <w:rPr>
          <w:rFonts w:ascii="Calibri" w:hAnsi="Calibri" w:cs="Calibri"/>
          <w:sz w:val="22"/>
          <w:szCs w:val="22"/>
          <w:lang w:val="en-AU"/>
        </w:rPr>
        <w:t>tion to date has bee</w:t>
      </w:r>
      <w:r w:rsidR="0013617E" w:rsidRPr="000348BD">
        <w:rPr>
          <w:rFonts w:ascii="Calibri" w:hAnsi="Calibri" w:cs="Calibri"/>
          <w:sz w:val="22"/>
          <w:szCs w:val="22"/>
          <w:lang w:val="en-AU"/>
        </w:rPr>
        <w:t>n</w:t>
      </w:r>
      <w:r w:rsidRPr="000348BD">
        <w:rPr>
          <w:rFonts w:ascii="Calibri" w:hAnsi="Calibri" w:cs="Calibri"/>
          <w:sz w:val="22"/>
          <w:szCs w:val="22"/>
          <w:lang w:val="en-AU"/>
        </w:rPr>
        <w:t xml:space="preserve"> the relationship with VPBank. The </w:t>
      </w:r>
      <w:r w:rsidR="003A47E1" w:rsidRPr="000348BD">
        <w:rPr>
          <w:rFonts w:ascii="Calibri" w:hAnsi="Calibri" w:cs="Calibri"/>
          <w:sz w:val="22"/>
          <w:szCs w:val="22"/>
          <w:lang w:val="en-AU"/>
        </w:rPr>
        <w:t>t</w:t>
      </w:r>
      <w:r w:rsidRPr="000348BD">
        <w:rPr>
          <w:rFonts w:ascii="Calibri" w:hAnsi="Calibri" w:cs="Calibri"/>
          <w:sz w:val="22"/>
          <w:szCs w:val="22"/>
          <w:lang w:val="en-AU"/>
        </w:rPr>
        <w:t>ext box below sum</w:t>
      </w:r>
      <w:r w:rsidR="0013617E" w:rsidRPr="000348BD">
        <w:rPr>
          <w:rFonts w:ascii="Calibri" w:hAnsi="Calibri" w:cs="Calibri"/>
          <w:sz w:val="22"/>
          <w:szCs w:val="22"/>
          <w:lang w:val="en-AU"/>
        </w:rPr>
        <w:t>mari</w:t>
      </w:r>
      <w:r w:rsidRPr="000348BD">
        <w:rPr>
          <w:rFonts w:ascii="Calibri" w:hAnsi="Calibri" w:cs="Calibri"/>
          <w:sz w:val="22"/>
          <w:szCs w:val="22"/>
          <w:lang w:val="en-AU"/>
        </w:rPr>
        <w:t>ses the achiev</w:t>
      </w:r>
      <w:r w:rsidR="0013617E" w:rsidRPr="000348BD">
        <w:rPr>
          <w:rFonts w:ascii="Calibri" w:hAnsi="Calibri" w:cs="Calibri"/>
          <w:sz w:val="22"/>
          <w:szCs w:val="22"/>
          <w:lang w:val="en-AU"/>
        </w:rPr>
        <w:t>e</w:t>
      </w:r>
      <w:r w:rsidRPr="000348BD">
        <w:rPr>
          <w:rFonts w:ascii="Calibri" w:hAnsi="Calibri" w:cs="Calibri"/>
          <w:sz w:val="22"/>
          <w:szCs w:val="22"/>
          <w:lang w:val="en-AU"/>
        </w:rPr>
        <w:t>ments to date.</w:t>
      </w:r>
    </w:p>
    <w:p w14:paraId="4699602F" w14:textId="77777777" w:rsidR="00C1263D" w:rsidRDefault="00C1263D" w:rsidP="0013617E">
      <w:pPr>
        <w:autoSpaceDE w:val="0"/>
        <w:autoSpaceDN w:val="0"/>
        <w:adjustRightInd w:val="0"/>
        <w:spacing w:after="120"/>
        <w:jc w:val="center"/>
        <w:rPr>
          <w:rFonts w:ascii="Calibri" w:hAnsi="Calibri" w:cs="Calibri"/>
          <w:b/>
          <w:bCs/>
          <w:i/>
          <w:iCs/>
          <w:sz w:val="18"/>
          <w:szCs w:val="18"/>
          <w:lang w:val="en-AU"/>
        </w:rPr>
      </w:pPr>
    </w:p>
    <w:p w14:paraId="007F65CC" w14:textId="77777777" w:rsidR="00C1263D" w:rsidRDefault="00C1263D" w:rsidP="0013617E">
      <w:pPr>
        <w:autoSpaceDE w:val="0"/>
        <w:autoSpaceDN w:val="0"/>
        <w:adjustRightInd w:val="0"/>
        <w:spacing w:after="120"/>
        <w:jc w:val="center"/>
        <w:rPr>
          <w:rFonts w:ascii="Calibri" w:hAnsi="Calibri" w:cs="Calibri"/>
          <w:b/>
          <w:bCs/>
          <w:i/>
          <w:iCs/>
          <w:sz w:val="18"/>
          <w:szCs w:val="18"/>
          <w:lang w:val="en-AU"/>
        </w:rPr>
      </w:pPr>
    </w:p>
    <w:p w14:paraId="11670D22" w14:textId="6B3C39B9" w:rsidR="0013617E" w:rsidRDefault="0013617E" w:rsidP="0013617E">
      <w:pPr>
        <w:autoSpaceDE w:val="0"/>
        <w:autoSpaceDN w:val="0"/>
        <w:adjustRightInd w:val="0"/>
        <w:spacing w:after="120"/>
        <w:jc w:val="center"/>
        <w:rPr>
          <w:rFonts w:ascii="Calibri" w:hAnsi="Calibri" w:cs="Calibri"/>
          <w:b/>
          <w:bCs/>
          <w:i/>
          <w:iCs/>
          <w:sz w:val="18"/>
          <w:szCs w:val="18"/>
          <w:lang w:val="en-AU"/>
        </w:rPr>
      </w:pPr>
      <w:r w:rsidRPr="000348BD">
        <w:rPr>
          <w:rFonts w:ascii="Calibri" w:hAnsi="Calibri" w:cs="Calibri"/>
          <w:b/>
          <w:bCs/>
          <w:i/>
          <w:iCs/>
          <w:sz w:val="18"/>
          <w:szCs w:val="18"/>
          <w:lang w:val="en-AU"/>
        </w:rPr>
        <w:t>Text Box 1: IFC and VPBank</w:t>
      </w:r>
    </w:p>
    <w:p w14:paraId="473E2E8A" w14:textId="582F6FD5"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The engagement with VPBank comprises three key modules: (i) development of the Sustainable Finance Framework (SFF), (ii) mainstreaming of green business development, and (iii) development of a Paris Alignment Framework.</w:t>
      </w:r>
    </w:p>
    <w:p w14:paraId="378C4E4F" w14:textId="77777777"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IFC supported VPBank conducting sector prioritization through a series of exercises from green portfolio review complemented by insights gathered during foundational training sessions and ideation workshops as well as on-going discussions with the bank core management team</w:t>
      </w:r>
    </w:p>
    <w:p w14:paraId="1CA4EEF0" w14:textId="77777777"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 xml:space="preserve">Thematic training on Paris Alignment assessment was delivered in March 2025 by senior IFC global specialists to VPBank’s senior management and risk team. </w:t>
      </w:r>
    </w:p>
    <w:p w14:paraId="7E6F368A" w14:textId="52AC1E71"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As of June 2025, VPBank’s outstanding green portfolio reached US$1.114 billion representing an increase of US$251 million and representing approximately 4% of VPBank’s total portfolio. Strengthened institutional capacity has also enabled VPBank to mobilize international funding of approximately US$500 million from various investors–, including Australia New Zealand Bank</w:t>
      </w:r>
      <w:r w:rsidRPr="00C9020E">
        <w:rPr>
          <w:rFonts w:ascii="Calibri" w:hAnsi="Calibri" w:cs="Calibri"/>
          <w:sz w:val="20"/>
          <w:szCs w:val="20"/>
          <w:vertAlign w:val="superscript"/>
          <w:lang w:val="en-AU"/>
        </w:rPr>
        <w:footnoteReference w:id="24"/>
      </w:r>
      <w:r w:rsidRPr="00C9020E">
        <w:rPr>
          <w:rFonts w:ascii="Calibri" w:hAnsi="Calibri" w:cs="Calibri"/>
          <w:sz w:val="20"/>
          <w:szCs w:val="20"/>
          <w:lang w:val="en-AU"/>
        </w:rPr>
        <w:t xml:space="preserve">, to expand its green lending portfolio. In addition, a Sustainability Bond </w:t>
      </w:r>
      <w:hyperlink r:id="rId20" w:history="1">
        <w:r w:rsidRPr="00C9020E">
          <w:rPr>
            <w:rStyle w:val="Hyperlink"/>
            <w:rFonts w:ascii="Calibri" w:hAnsi="Calibri" w:cs="Calibri"/>
            <w:b/>
            <w:bCs/>
            <w:color w:val="auto"/>
            <w:sz w:val="20"/>
            <w:szCs w:val="20"/>
            <w:lang w:val="en-AU"/>
          </w:rPr>
          <w:t>transaction</w:t>
        </w:r>
      </w:hyperlink>
      <w:r w:rsidRPr="00C9020E">
        <w:rPr>
          <w:rFonts w:ascii="Calibri" w:hAnsi="Calibri" w:cs="Calibri"/>
          <w:sz w:val="20"/>
          <w:szCs w:val="20"/>
          <w:lang w:val="en-AU"/>
        </w:rPr>
        <w:t xml:space="preserve"> with IFC, valued at US$300 million, was finalized in September 2025.</w:t>
      </w:r>
    </w:p>
    <w:p w14:paraId="1F597C94" w14:textId="5B3418C0"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i/>
          <w:iCs/>
          <w:sz w:val="20"/>
          <w:szCs w:val="20"/>
          <w:lang w:val="en-AU"/>
        </w:rPr>
      </w:pPr>
      <w:r w:rsidRPr="00C9020E">
        <w:rPr>
          <w:rFonts w:ascii="Calibri" w:hAnsi="Calibri" w:cs="Calibri"/>
          <w:i/>
          <w:iCs/>
          <w:sz w:val="20"/>
          <w:szCs w:val="20"/>
          <w:lang w:val="en-AU"/>
        </w:rPr>
        <w:t xml:space="preserve">“Through our collaboration with IFC and pioneering banks like VPBank, we are helping unlock the capital needed to drive sustainable growth, create green jobs, and build climate resilience across the country.” </w:t>
      </w:r>
    </w:p>
    <w:p w14:paraId="470CE9DF" w14:textId="1107F6BA"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--H.E. Gillian Bird, Australian Ambassador to Viet Nam.”</w:t>
      </w:r>
    </w:p>
    <w:p w14:paraId="5574DB04" w14:textId="395019DE" w:rsidR="00C9020E" w:rsidRPr="00C9020E" w:rsidRDefault="00C9020E" w:rsidP="00F41533">
      <w:pPr>
        <w:pBdr>
          <w:top w:val="single" w:sz="4" w:space="0"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hAnsi="Calibri" w:cs="Calibri"/>
          <w:sz w:val="20"/>
          <w:szCs w:val="20"/>
          <w:lang w:val="en-AU"/>
        </w:rPr>
      </w:pPr>
      <w:r w:rsidRPr="00C9020E">
        <w:rPr>
          <w:rFonts w:ascii="Calibri" w:hAnsi="Calibri" w:cs="Calibri"/>
          <w:sz w:val="20"/>
          <w:szCs w:val="20"/>
          <w:lang w:val="en-AU"/>
        </w:rPr>
        <w:t xml:space="preserve">IFC Impact Story: </w:t>
      </w:r>
      <w:hyperlink r:id="rId21" w:anchor=":~:text=A%20pioneer%20in%20Viet%20Nam's,in%20the%20$300%20million%20issuance." w:history="1">
        <w:r w:rsidRPr="00C9020E">
          <w:rPr>
            <w:rStyle w:val="Hyperlink"/>
            <w:rFonts w:ascii="Calibri" w:hAnsi="Calibri" w:cs="Calibri"/>
            <w:b/>
            <w:bCs/>
            <w:color w:val="auto"/>
            <w:sz w:val="20"/>
            <w:szCs w:val="20"/>
            <w:lang w:val="en-AU"/>
          </w:rPr>
          <w:t>Behind the Wheel Towards a Sustainable Future</w:t>
        </w:r>
      </w:hyperlink>
    </w:p>
    <w:p w14:paraId="42F20E9A" w14:textId="77777777" w:rsidR="00C1263D" w:rsidRDefault="00C9020E" w:rsidP="00F41533">
      <w:pPr>
        <w:autoSpaceDE w:val="0"/>
        <w:autoSpaceDN w:val="0"/>
        <w:adjustRightInd w:val="0"/>
        <w:spacing w:after="120"/>
        <w:rPr>
          <w:rFonts w:ascii="Calibri" w:hAnsi="Calibri" w:cs="Calibri"/>
          <w:i/>
          <w:iCs/>
          <w:sz w:val="20"/>
          <w:szCs w:val="20"/>
          <w:lang w:val="en-AU"/>
        </w:rPr>
      </w:pPr>
      <w:r w:rsidRPr="0068321E">
        <w:rPr>
          <w:rFonts w:ascii="Calibri" w:hAnsi="Calibri" w:cs="Calibri"/>
          <w:i/>
          <w:iCs/>
          <w:sz w:val="20"/>
          <w:szCs w:val="20"/>
          <w:lang w:val="en-AU"/>
        </w:rPr>
        <w:t xml:space="preserve">Hanoi's first metro line passes over traffic in the city. </w:t>
      </w:r>
    </w:p>
    <w:p w14:paraId="463A5791" w14:textId="378D4DE5" w:rsidR="00C9020E" w:rsidRPr="000348BD" w:rsidRDefault="00C9020E" w:rsidP="00F41533">
      <w:pPr>
        <w:autoSpaceDE w:val="0"/>
        <w:autoSpaceDN w:val="0"/>
        <w:adjustRightInd w:val="0"/>
        <w:spacing w:after="120"/>
        <w:rPr>
          <w:rFonts w:ascii="Calibri" w:hAnsi="Calibri" w:cs="Calibri"/>
          <w:b/>
          <w:bCs/>
          <w:i/>
          <w:iCs/>
          <w:sz w:val="18"/>
          <w:szCs w:val="18"/>
          <w:lang w:val="en-AU"/>
        </w:rPr>
      </w:pPr>
      <w:r w:rsidRPr="0068321E">
        <w:rPr>
          <w:rFonts w:ascii="Calibri" w:hAnsi="Calibri" w:cs="Calibri"/>
          <w:i/>
          <w:iCs/>
          <w:sz w:val="20"/>
          <w:szCs w:val="20"/>
          <w:lang w:val="en-AU"/>
        </w:rPr>
        <w:t>Photo: Nguyen Viet Hung.</w:t>
      </w:r>
    </w:p>
    <w:p w14:paraId="656D922A" w14:textId="77777777" w:rsidR="00C1263D" w:rsidRDefault="00C1263D" w:rsidP="00FD6FEC">
      <w:pPr>
        <w:autoSpaceDE w:val="0"/>
        <w:autoSpaceDN w:val="0"/>
        <w:adjustRightInd w:val="0"/>
        <w:spacing w:after="120"/>
        <w:jc w:val="both"/>
        <w:rPr>
          <w:rFonts w:ascii="Calibri" w:hAnsi="Calibri" w:cs="Calibri"/>
          <w:b/>
          <w:color w:val="000000" w:themeColor="text1"/>
          <w:sz w:val="22"/>
          <w:szCs w:val="22"/>
          <w:lang w:val="en-AU"/>
        </w:rPr>
      </w:pPr>
    </w:p>
    <w:p w14:paraId="2AF03369" w14:textId="04D473DD" w:rsidR="00054F9C" w:rsidRPr="000348BD" w:rsidRDefault="00054F9C" w:rsidP="00FD6FEC">
      <w:pPr>
        <w:autoSpaceDE w:val="0"/>
        <w:autoSpaceDN w:val="0"/>
        <w:adjustRightInd w:val="0"/>
        <w:spacing w:after="120"/>
        <w:jc w:val="both"/>
        <w:rPr>
          <w:rFonts w:ascii="Calibri" w:hAnsi="Calibri" w:cs="Calibri"/>
          <w:bCs/>
          <w:color w:val="000000"/>
          <w:sz w:val="22"/>
          <w:szCs w:val="22"/>
          <w:lang w:val="en-AU"/>
        </w:rPr>
      </w:pPr>
      <w:r w:rsidRPr="000348BD">
        <w:rPr>
          <w:rFonts w:ascii="Calibri" w:hAnsi="Calibri" w:cs="Calibri"/>
          <w:b/>
          <w:color w:val="000000" w:themeColor="text1"/>
          <w:sz w:val="22"/>
          <w:szCs w:val="22"/>
          <w:lang w:val="en-AU"/>
        </w:rPr>
        <w:t xml:space="preserve">A key result is </w:t>
      </w:r>
      <w:r w:rsidR="0013617E" w:rsidRPr="000348BD">
        <w:rPr>
          <w:rFonts w:ascii="Calibri" w:hAnsi="Calibri" w:cs="Calibri"/>
          <w:b/>
          <w:color w:val="000000" w:themeColor="text1"/>
          <w:sz w:val="22"/>
          <w:szCs w:val="22"/>
          <w:lang w:val="en-AU"/>
        </w:rPr>
        <w:t>that, through VPSDP, the IF</w:t>
      </w:r>
      <w:r w:rsidR="00186D33" w:rsidRPr="000348BD">
        <w:rPr>
          <w:rFonts w:ascii="Calibri" w:hAnsi="Calibri" w:cs="Calibri"/>
          <w:b/>
          <w:color w:val="000000" w:themeColor="text1"/>
          <w:sz w:val="22"/>
          <w:szCs w:val="22"/>
          <w:lang w:val="en-AU"/>
        </w:rPr>
        <w:t>C</w:t>
      </w:r>
      <w:r w:rsidR="0013617E" w:rsidRPr="000348BD">
        <w:rPr>
          <w:rFonts w:ascii="Calibri" w:hAnsi="Calibri" w:cs="Calibri"/>
          <w:b/>
          <w:color w:val="000000" w:themeColor="text1"/>
          <w:sz w:val="22"/>
          <w:szCs w:val="22"/>
          <w:lang w:val="en-AU"/>
        </w:rPr>
        <w:t xml:space="preserve"> has developed a scalable, workable model that can influence and support other commercial banks in increasing their green finance portfolios</w:t>
      </w:r>
      <w:r w:rsidR="0013617E" w:rsidRPr="000348BD">
        <w:rPr>
          <w:rFonts w:ascii="Calibri" w:hAnsi="Calibri" w:cs="Calibri"/>
          <w:color w:val="000000" w:themeColor="text1"/>
          <w:sz w:val="22"/>
          <w:szCs w:val="22"/>
          <w:lang w:val="en-AU"/>
        </w:rPr>
        <w:t>.</w:t>
      </w:r>
      <w:r w:rsidRPr="000348BD">
        <w:rPr>
          <w:rFonts w:ascii="Calibri" w:hAnsi="Calibri" w:cs="Calibri"/>
          <w:color w:val="000000" w:themeColor="text1"/>
          <w:sz w:val="22"/>
          <w:szCs w:val="22"/>
          <w:lang w:val="en-AU"/>
        </w:rPr>
        <w:t xml:space="preserve"> There is evidence of growing demand from Banks </w:t>
      </w:r>
      <w:r w:rsidR="0013617E" w:rsidRPr="000348BD">
        <w:rPr>
          <w:rFonts w:ascii="Calibri" w:hAnsi="Calibri" w:cs="Calibri"/>
          <w:color w:val="000000" w:themeColor="text1"/>
          <w:sz w:val="22"/>
          <w:szCs w:val="22"/>
          <w:lang w:val="en-AU"/>
        </w:rPr>
        <w:t>(i.e., SEA Bank,</w:t>
      </w:r>
      <w:r w:rsidR="00090D05" w:rsidRPr="000348BD">
        <w:rPr>
          <w:rFonts w:ascii="Calibri" w:hAnsi="Calibri" w:cs="Calibri"/>
          <w:color w:val="000000" w:themeColor="text1"/>
          <w:sz w:val="22"/>
          <w:szCs w:val="22"/>
          <w:lang w:val="en-AU"/>
        </w:rPr>
        <w:t xml:space="preserve"> OCB, and Maritime Bank) to continue reviewing internal </w:t>
      </w:r>
      <w:r w:rsidR="00090D05" w:rsidRPr="000348BD">
        <w:rPr>
          <w:rFonts w:ascii="Calibri" w:hAnsi="Calibri" w:cs="Calibri"/>
          <w:color w:val="000000" w:themeColor="text1"/>
          <w:sz w:val="22"/>
          <w:szCs w:val="22"/>
          <w:lang w:val="en-AU"/>
        </w:rPr>
        <w:lastRenderedPageBreak/>
        <w:t xml:space="preserve">operations, ensure compliance, and support understandings to raise additional finance, as well as </w:t>
      </w:r>
      <w:r w:rsidR="0013617E" w:rsidRPr="000348BD">
        <w:rPr>
          <w:rFonts w:ascii="Calibri" w:hAnsi="Calibri" w:cs="Calibri"/>
          <w:color w:val="000000" w:themeColor="text1"/>
          <w:sz w:val="22"/>
          <w:szCs w:val="22"/>
          <w:lang w:val="en-AU"/>
        </w:rPr>
        <w:t>o potentially issue their own structured instruments</w:t>
      </w:r>
      <w:r w:rsidRPr="000348BD">
        <w:rPr>
          <w:rFonts w:ascii="Calibri" w:hAnsi="Calibri" w:cs="Calibri"/>
          <w:color w:val="000000" w:themeColor="text1"/>
          <w:sz w:val="22"/>
          <w:szCs w:val="22"/>
          <w:lang w:val="en-AU"/>
        </w:rPr>
        <w:t xml:space="preserve"> to secure finance. This has </w:t>
      </w:r>
      <w:r w:rsidR="0013617E" w:rsidRPr="000348BD">
        <w:rPr>
          <w:rFonts w:ascii="Calibri" w:hAnsi="Calibri" w:cs="Calibri"/>
          <w:color w:val="000000" w:themeColor="text1"/>
          <w:sz w:val="22"/>
          <w:szCs w:val="22"/>
          <w:lang w:val="en-AU"/>
        </w:rPr>
        <w:t>significant benefits for DFA</w:t>
      </w:r>
      <w:r w:rsidR="00E20DEB" w:rsidRPr="000348BD">
        <w:rPr>
          <w:rFonts w:ascii="Calibri" w:hAnsi="Calibri" w:cs="Calibri"/>
          <w:color w:val="000000" w:themeColor="text1"/>
          <w:sz w:val="22"/>
          <w:szCs w:val="22"/>
          <w:lang w:val="en-AU"/>
        </w:rPr>
        <w:t>T</w:t>
      </w:r>
      <w:r w:rsidR="0013617E" w:rsidRPr="000348BD">
        <w:rPr>
          <w:rFonts w:ascii="Calibri" w:hAnsi="Calibri" w:cs="Calibri"/>
          <w:color w:val="000000" w:themeColor="text1"/>
          <w:sz w:val="22"/>
          <w:szCs w:val="22"/>
          <w:lang w:val="en-AU"/>
        </w:rPr>
        <w:t>, as it enables it to continue earning higher financial returns from small initial investments.</w:t>
      </w:r>
      <w:r w:rsidRPr="000348BD">
        <w:rPr>
          <w:rFonts w:ascii="Calibri" w:hAnsi="Calibri" w:cs="Calibri"/>
          <w:color w:val="000000" w:themeColor="text1"/>
          <w:sz w:val="22"/>
          <w:szCs w:val="22"/>
          <w:lang w:val="en-AU"/>
        </w:rPr>
        <w:t xml:space="preserve"> Having IFC as an investor in some ventures in</w:t>
      </w:r>
      <w:r w:rsidR="0013617E" w:rsidRPr="000348BD">
        <w:rPr>
          <w:rFonts w:ascii="Calibri" w:hAnsi="Calibri" w:cs="Calibri"/>
          <w:color w:val="000000" w:themeColor="text1"/>
          <w:sz w:val="22"/>
          <w:szCs w:val="22"/>
          <w:lang w:val="en-AU"/>
        </w:rPr>
        <w:t>crea</w:t>
      </w:r>
      <w:r w:rsidRPr="000348BD">
        <w:rPr>
          <w:rFonts w:ascii="Calibri" w:hAnsi="Calibri" w:cs="Calibri"/>
          <w:color w:val="000000" w:themeColor="text1"/>
          <w:sz w:val="22"/>
          <w:szCs w:val="22"/>
          <w:lang w:val="en-AU"/>
        </w:rPr>
        <w:t xml:space="preserve">ses the likelihood of sustainability. </w:t>
      </w:r>
      <w:r w:rsidR="0013617E" w:rsidRPr="000348BD">
        <w:rPr>
          <w:rFonts w:ascii="Calibri" w:hAnsi="Calibri" w:cs="Calibri"/>
          <w:color w:val="000000" w:themeColor="text1"/>
          <w:sz w:val="22"/>
          <w:szCs w:val="22"/>
          <w:lang w:val="en-AU"/>
        </w:rPr>
        <w:t xml:space="preserve">Improvements could be made by </w:t>
      </w:r>
      <w:r w:rsidR="00090D05" w:rsidRPr="0074210E">
        <w:rPr>
          <w:rFonts w:ascii="Calibri" w:hAnsi="Calibri" w:cs="Calibri"/>
          <w:color w:val="000000" w:themeColor="text1"/>
          <w:sz w:val="22"/>
          <w:szCs w:val="22"/>
          <w:lang w:val="en-AU"/>
        </w:rPr>
        <w:t>strengthen</w:t>
      </w:r>
      <w:r w:rsidR="0013617E" w:rsidRPr="0074210E">
        <w:rPr>
          <w:rFonts w:ascii="Calibri" w:hAnsi="Calibri" w:cs="Calibri"/>
          <w:color w:val="000000" w:themeColor="text1"/>
          <w:sz w:val="22"/>
          <w:szCs w:val="22"/>
          <w:lang w:val="en-AU"/>
        </w:rPr>
        <w:t xml:space="preserve">ing the narrative of green finance and demonstrating the linkages between </w:t>
      </w:r>
      <w:r w:rsidR="00090D05" w:rsidRPr="0074210E">
        <w:rPr>
          <w:rFonts w:ascii="Calibri" w:hAnsi="Calibri" w:cs="Calibri"/>
          <w:color w:val="000000" w:themeColor="text1"/>
          <w:sz w:val="22"/>
          <w:szCs w:val="22"/>
          <w:lang w:val="en-AU"/>
        </w:rPr>
        <w:t>these</w:t>
      </w:r>
      <w:r w:rsidR="0013617E" w:rsidRPr="0074210E">
        <w:rPr>
          <w:rFonts w:ascii="Calibri" w:hAnsi="Calibri" w:cs="Calibri"/>
          <w:color w:val="000000" w:themeColor="text1"/>
          <w:sz w:val="22"/>
          <w:szCs w:val="22"/>
          <w:lang w:val="en-AU"/>
        </w:rPr>
        <w:t xml:space="preserve"> products and better social outcomes</w:t>
      </w:r>
      <w:r w:rsidRPr="0074210E">
        <w:rPr>
          <w:rFonts w:ascii="Calibri" w:hAnsi="Calibri" w:cs="Calibri"/>
          <w:color w:val="000000" w:themeColor="text1"/>
          <w:sz w:val="22"/>
          <w:szCs w:val="22"/>
          <w:lang w:val="en-AU"/>
        </w:rPr>
        <w:t xml:space="preserve"> and results.</w:t>
      </w:r>
    </w:p>
    <w:p w14:paraId="139CCD15" w14:textId="62BE7FAD" w:rsidR="00054F9C" w:rsidRPr="000348BD" w:rsidRDefault="00054F9C" w:rsidP="00FD6FEC">
      <w:pPr>
        <w:autoSpaceDE w:val="0"/>
        <w:autoSpaceDN w:val="0"/>
        <w:adjustRightInd w:val="0"/>
        <w:spacing w:after="120"/>
        <w:jc w:val="both"/>
        <w:rPr>
          <w:rFonts w:ascii="Calibri" w:hAnsi="Calibri" w:cs="Calibri"/>
          <w:sz w:val="22"/>
          <w:szCs w:val="22"/>
          <w:lang w:val="en-AU"/>
        </w:rPr>
      </w:pPr>
      <w:r w:rsidRPr="000348BD">
        <w:rPr>
          <w:rFonts w:ascii="Calibri" w:hAnsi="Calibri" w:cs="Calibri"/>
          <w:b/>
          <w:color w:val="000000"/>
          <w:sz w:val="22"/>
          <w:szCs w:val="22"/>
          <w:lang w:val="en-AU"/>
        </w:rPr>
        <w:t xml:space="preserve">Additional work through Non-Bank Financial </w:t>
      </w:r>
      <w:r w:rsidR="0013617E" w:rsidRPr="000348BD">
        <w:rPr>
          <w:rFonts w:ascii="Calibri" w:hAnsi="Calibri" w:cs="Calibri"/>
          <w:b/>
          <w:color w:val="000000"/>
          <w:sz w:val="22"/>
          <w:szCs w:val="22"/>
          <w:lang w:val="en-AU"/>
        </w:rPr>
        <w:t>Institutions (NBFI</w:t>
      </w:r>
      <w:r w:rsidR="000E3802">
        <w:rPr>
          <w:rFonts w:ascii="Calibri" w:hAnsi="Calibri" w:cs="Calibri"/>
          <w:b/>
          <w:color w:val="000000"/>
          <w:sz w:val="22"/>
          <w:szCs w:val="22"/>
          <w:lang w:val="en-AU"/>
        </w:rPr>
        <w:t>s</w:t>
      </w:r>
      <w:r w:rsidR="0013617E" w:rsidRPr="000348BD">
        <w:rPr>
          <w:rFonts w:ascii="Calibri" w:hAnsi="Calibri" w:cs="Calibri"/>
          <w:b/>
          <w:color w:val="000000"/>
          <w:sz w:val="22"/>
          <w:szCs w:val="22"/>
          <w:lang w:val="en-AU"/>
        </w:rPr>
        <w:t xml:space="preserve">) is a critical area that can address this issue, as the </w:t>
      </w:r>
      <w:r w:rsidR="00E03004" w:rsidRPr="000348BD">
        <w:rPr>
          <w:rFonts w:ascii="Calibri" w:hAnsi="Calibri" w:cs="Calibri"/>
          <w:b/>
          <w:color w:val="000000"/>
          <w:sz w:val="22"/>
          <w:szCs w:val="22"/>
          <w:lang w:val="en-AU"/>
        </w:rPr>
        <w:t>project's</w:t>
      </w:r>
      <w:r w:rsidR="0013617E" w:rsidRPr="000348BD">
        <w:rPr>
          <w:rFonts w:ascii="Calibri" w:hAnsi="Calibri" w:cs="Calibri"/>
          <w:b/>
          <w:color w:val="000000"/>
          <w:sz w:val="22"/>
          <w:szCs w:val="22"/>
          <w:lang w:val="en-AU"/>
        </w:rPr>
        <w:t xml:space="preserve"> support </w:t>
      </w:r>
      <w:r w:rsidR="00E03004" w:rsidRPr="000348BD">
        <w:rPr>
          <w:rFonts w:ascii="Calibri" w:hAnsi="Calibri" w:cs="Calibri"/>
          <w:b/>
          <w:color w:val="000000"/>
          <w:sz w:val="22"/>
          <w:szCs w:val="22"/>
          <w:lang w:val="en-AU"/>
        </w:rPr>
        <w:t>focuse</w:t>
      </w:r>
      <w:r w:rsidR="0013617E" w:rsidRPr="000348BD">
        <w:rPr>
          <w:rFonts w:ascii="Calibri" w:hAnsi="Calibri" w:cs="Calibri"/>
          <w:b/>
          <w:color w:val="000000"/>
          <w:sz w:val="22"/>
          <w:szCs w:val="22"/>
          <w:lang w:val="en-AU"/>
        </w:rPr>
        <w:t xml:space="preserve">s on </w:t>
      </w:r>
      <w:r w:rsidR="005C5325" w:rsidRPr="000348BD">
        <w:rPr>
          <w:rFonts w:ascii="Calibri" w:hAnsi="Calibri" w:cs="Calibri"/>
          <w:b/>
          <w:color w:val="000000"/>
          <w:sz w:val="22"/>
          <w:szCs w:val="22"/>
          <w:lang w:val="en-AU"/>
        </w:rPr>
        <w:t>S</w:t>
      </w:r>
      <w:r w:rsidR="0013617E" w:rsidRPr="000348BD">
        <w:rPr>
          <w:rFonts w:ascii="Calibri" w:hAnsi="Calibri" w:cs="Calibri"/>
          <w:b/>
          <w:color w:val="000000"/>
          <w:sz w:val="22"/>
          <w:szCs w:val="22"/>
          <w:lang w:val="en-AU"/>
        </w:rPr>
        <w:t xml:space="preserve">mall to </w:t>
      </w:r>
      <w:r w:rsidR="005C5325" w:rsidRPr="000348BD">
        <w:rPr>
          <w:rFonts w:ascii="Calibri" w:hAnsi="Calibri" w:cs="Calibri"/>
          <w:b/>
          <w:color w:val="000000"/>
          <w:sz w:val="22"/>
          <w:szCs w:val="22"/>
          <w:lang w:val="en-AU"/>
        </w:rPr>
        <w:t>M</w:t>
      </w:r>
      <w:r w:rsidR="0013617E" w:rsidRPr="000348BD">
        <w:rPr>
          <w:rFonts w:ascii="Calibri" w:hAnsi="Calibri" w:cs="Calibri"/>
          <w:b/>
          <w:color w:val="000000"/>
          <w:sz w:val="22"/>
          <w:szCs w:val="22"/>
          <w:lang w:val="en-AU"/>
        </w:rPr>
        <w:t xml:space="preserve">edium </w:t>
      </w:r>
      <w:r w:rsidR="005C5325" w:rsidRPr="000348BD">
        <w:rPr>
          <w:rFonts w:ascii="Calibri" w:hAnsi="Calibri" w:cs="Calibri"/>
          <w:b/>
          <w:color w:val="000000"/>
          <w:sz w:val="22"/>
          <w:szCs w:val="22"/>
          <w:lang w:val="en-AU"/>
        </w:rPr>
        <w:t>E</w:t>
      </w:r>
      <w:r w:rsidR="0013617E" w:rsidRPr="000348BD">
        <w:rPr>
          <w:rFonts w:ascii="Calibri" w:hAnsi="Calibri" w:cs="Calibri"/>
          <w:b/>
          <w:color w:val="000000"/>
          <w:sz w:val="22"/>
          <w:szCs w:val="22"/>
          <w:lang w:val="en-AU"/>
        </w:rPr>
        <w:t>nterprises</w:t>
      </w:r>
      <w:r w:rsidRPr="000348BD">
        <w:rPr>
          <w:rFonts w:ascii="Calibri" w:hAnsi="Calibri" w:cs="Calibri"/>
          <w:b/>
          <w:color w:val="000000"/>
          <w:sz w:val="22"/>
          <w:szCs w:val="22"/>
          <w:lang w:val="en-AU"/>
        </w:rPr>
        <w:t xml:space="preserve"> (SMEs).</w:t>
      </w:r>
      <w:r w:rsidRPr="000348BD">
        <w:rPr>
          <w:rFonts w:ascii="Calibri" w:hAnsi="Calibri" w:cs="Calibri"/>
          <w:bCs/>
          <w:color w:val="000000"/>
          <w:sz w:val="22"/>
          <w:szCs w:val="22"/>
          <w:lang w:val="en-AU"/>
        </w:rPr>
        <w:t xml:space="preserve"> This activity has sign</w:t>
      </w:r>
      <w:r w:rsidR="0013617E" w:rsidRPr="000348BD">
        <w:rPr>
          <w:rFonts w:ascii="Calibri" w:hAnsi="Calibri" w:cs="Calibri"/>
          <w:bCs/>
          <w:color w:val="000000"/>
          <w:sz w:val="22"/>
          <w:szCs w:val="22"/>
          <w:lang w:val="en-AU"/>
        </w:rPr>
        <w:t>if</w:t>
      </w:r>
      <w:r w:rsidRPr="000348BD">
        <w:rPr>
          <w:rFonts w:ascii="Calibri" w:hAnsi="Calibri" w:cs="Calibri"/>
          <w:bCs/>
          <w:color w:val="000000"/>
          <w:sz w:val="22"/>
          <w:szCs w:val="22"/>
          <w:lang w:val="en-AU"/>
        </w:rPr>
        <w:t xml:space="preserve">icant potential to </w:t>
      </w:r>
      <w:r w:rsidRPr="000348BD">
        <w:rPr>
          <w:rFonts w:ascii="Calibri" w:hAnsi="Calibri" w:cs="Calibri"/>
          <w:sz w:val="22"/>
          <w:szCs w:val="22"/>
          <w:lang w:val="en-AU"/>
        </w:rPr>
        <w:t>promote economic and financial inclusion of women, minorities, and other marginali</w:t>
      </w:r>
      <w:r w:rsidR="0013617E" w:rsidRPr="000348BD">
        <w:rPr>
          <w:rFonts w:ascii="Calibri" w:hAnsi="Calibri" w:cs="Calibri"/>
          <w:sz w:val="22"/>
          <w:szCs w:val="22"/>
          <w:lang w:val="en-AU"/>
        </w:rPr>
        <w:t>s</w:t>
      </w:r>
      <w:r w:rsidRPr="000348BD">
        <w:rPr>
          <w:rFonts w:ascii="Calibri" w:hAnsi="Calibri" w:cs="Calibri"/>
          <w:sz w:val="22"/>
          <w:szCs w:val="22"/>
          <w:lang w:val="en-AU"/>
        </w:rPr>
        <w:t xml:space="preserve">ed segments. </w:t>
      </w:r>
      <w:r w:rsidR="0013617E" w:rsidRPr="000348BD">
        <w:rPr>
          <w:rFonts w:ascii="Calibri" w:hAnsi="Calibri" w:cs="Calibri"/>
          <w:sz w:val="22"/>
          <w:szCs w:val="22"/>
          <w:lang w:val="en-AU"/>
        </w:rPr>
        <w:t>I</w:t>
      </w:r>
      <w:r w:rsidRPr="000348BD">
        <w:rPr>
          <w:rFonts w:ascii="Calibri" w:hAnsi="Calibri" w:cs="Calibri"/>
          <w:sz w:val="22"/>
          <w:szCs w:val="22"/>
          <w:lang w:val="en-AU"/>
        </w:rPr>
        <w:t>t is important to develop alternative financing channels, such as NBFIs</w:t>
      </w:r>
      <w:r w:rsidR="0013617E" w:rsidRPr="000348BD">
        <w:rPr>
          <w:rFonts w:ascii="Calibri" w:hAnsi="Calibri" w:cs="Calibri"/>
          <w:sz w:val="22"/>
          <w:szCs w:val="22"/>
          <w:lang w:val="en-AU"/>
        </w:rPr>
        <w:t>,</w:t>
      </w:r>
      <w:r w:rsidRPr="000348BD">
        <w:rPr>
          <w:rFonts w:ascii="Calibri" w:hAnsi="Calibri" w:cs="Calibri"/>
          <w:sz w:val="22"/>
          <w:szCs w:val="22"/>
          <w:lang w:val="en-AU"/>
        </w:rPr>
        <w:t xml:space="preserve"> to provide tailored</w:t>
      </w:r>
      <w:r w:rsidR="0013617E" w:rsidRPr="000348BD">
        <w:rPr>
          <w:rFonts w:ascii="Calibri" w:hAnsi="Calibri" w:cs="Calibri"/>
          <w:sz w:val="22"/>
          <w:szCs w:val="22"/>
          <w:lang w:val="en-AU"/>
        </w:rPr>
        <w:t>,</w:t>
      </w:r>
      <w:r w:rsidRPr="000348BD">
        <w:rPr>
          <w:rFonts w:ascii="Calibri" w:hAnsi="Calibri" w:cs="Calibri"/>
          <w:sz w:val="22"/>
          <w:szCs w:val="22"/>
          <w:lang w:val="en-AU"/>
        </w:rPr>
        <w:t xml:space="preserve"> consumer-drive</w:t>
      </w:r>
      <w:r w:rsidR="0013617E" w:rsidRPr="000348BD">
        <w:rPr>
          <w:rFonts w:ascii="Calibri" w:hAnsi="Calibri" w:cs="Calibri"/>
          <w:sz w:val="22"/>
          <w:szCs w:val="22"/>
          <w:lang w:val="en-AU"/>
        </w:rPr>
        <w:t>n</w:t>
      </w:r>
      <w:r w:rsidRPr="000348BD">
        <w:rPr>
          <w:rFonts w:ascii="Calibri" w:hAnsi="Calibri" w:cs="Calibri"/>
          <w:sz w:val="22"/>
          <w:szCs w:val="22"/>
          <w:lang w:val="en-AU"/>
        </w:rPr>
        <w:t xml:space="preserve"> financing products and services. Enhancing the capacity of NBFIs to lend and to improve their product offering</w:t>
      </w:r>
      <w:r w:rsidR="0013617E" w:rsidRPr="000348BD">
        <w:rPr>
          <w:rFonts w:ascii="Calibri" w:hAnsi="Calibri" w:cs="Calibri"/>
          <w:sz w:val="22"/>
          <w:szCs w:val="22"/>
          <w:lang w:val="en-AU"/>
        </w:rPr>
        <w:t>s</w:t>
      </w:r>
      <w:r w:rsidRPr="000348BD">
        <w:rPr>
          <w:rFonts w:ascii="Calibri" w:hAnsi="Calibri" w:cs="Calibri"/>
          <w:sz w:val="22"/>
          <w:szCs w:val="22"/>
          <w:lang w:val="en-AU"/>
        </w:rPr>
        <w:t xml:space="preserve"> and market strategies will have downstream benefits for women</w:t>
      </w:r>
      <w:r w:rsidR="0013617E" w:rsidRPr="000348BD">
        <w:rPr>
          <w:rFonts w:ascii="Calibri" w:hAnsi="Calibri" w:cs="Calibri"/>
          <w:sz w:val="22"/>
          <w:szCs w:val="22"/>
          <w:lang w:val="en-AU"/>
        </w:rPr>
        <w:t>,</w:t>
      </w:r>
      <w:r w:rsidRPr="000348BD">
        <w:rPr>
          <w:rFonts w:ascii="Calibri" w:hAnsi="Calibri" w:cs="Calibri"/>
          <w:sz w:val="22"/>
          <w:szCs w:val="22"/>
          <w:lang w:val="en-AU"/>
        </w:rPr>
        <w:t xml:space="preserve"> </w:t>
      </w:r>
      <w:r w:rsidR="0013617E" w:rsidRPr="000348BD">
        <w:rPr>
          <w:rFonts w:ascii="Calibri" w:hAnsi="Calibri" w:cs="Calibri"/>
          <w:sz w:val="22"/>
          <w:szCs w:val="22"/>
          <w:lang w:val="en-AU"/>
        </w:rPr>
        <w:t>advancing</w:t>
      </w:r>
      <w:r w:rsidRPr="000348BD">
        <w:rPr>
          <w:rFonts w:ascii="Calibri" w:hAnsi="Calibri" w:cs="Calibri"/>
          <w:sz w:val="22"/>
          <w:szCs w:val="22"/>
          <w:lang w:val="en-AU"/>
        </w:rPr>
        <w:t xml:space="preserve"> </w:t>
      </w:r>
      <w:r w:rsidR="0013617E" w:rsidRPr="000348BD">
        <w:rPr>
          <w:rFonts w:ascii="Calibri" w:hAnsi="Calibri" w:cs="Calibri"/>
          <w:sz w:val="22"/>
          <w:szCs w:val="22"/>
          <w:lang w:val="en-AU"/>
        </w:rPr>
        <w:t>financial</w:t>
      </w:r>
      <w:r w:rsidRPr="000348BD">
        <w:rPr>
          <w:rFonts w:ascii="Calibri" w:hAnsi="Calibri" w:cs="Calibri"/>
          <w:sz w:val="22"/>
          <w:szCs w:val="22"/>
          <w:lang w:val="en-AU"/>
        </w:rPr>
        <w:t xml:space="preserve"> </w:t>
      </w:r>
      <w:r w:rsidR="0013617E" w:rsidRPr="000348BD">
        <w:rPr>
          <w:rFonts w:ascii="Calibri" w:hAnsi="Calibri" w:cs="Calibri"/>
          <w:sz w:val="22"/>
          <w:szCs w:val="22"/>
          <w:lang w:val="en-AU"/>
        </w:rPr>
        <w:t>inclusion</w:t>
      </w:r>
      <w:r w:rsidRPr="000348BD">
        <w:rPr>
          <w:rFonts w:ascii="Calibri" w:hAnsi="Calibri" w:cs="Calibri"/>
          <w:sz w:val="22"/>
          <w:szCs w:val="22"/>
          <w:lang w:val="en-AU"/>
        </w:rPr>
        <w:t xml:space="preserve"> and economic inclusion for the underbanked and unbanked segments, including persons with disabilities.</w:t>
      </w:r>
      <w:r w:rsidR="008C502B" w:rsidRPr="000348BD">
        <w:rPr>
          <w:rFonts w:ascii="Calibri" w:eastAsiaTheme="minorHAnsi" w:hAnsi="Calibri" w:cs="Calibri"/>
          <w:sz w:val="22"/>
          <w:szCs w:val="22"/>
          <w:lang w:val="en-AU"/>
          <w14:ligatures w14:val="standardContextual"/>
        </w:rPr>
        <w:t xml:space="preserve"> There are also important synergies with the Digital Financial Services project, as expanding digital platforms and payment solutions can further strengthen NBFIs’ and financial ins</w:t>
      </w:r>
      <w:r w:rsidR="00E03004" w:rsidRPr="000348BD">
        <w:rPr>
          <w:rFonts w:ascii="Calibri" w:eastAsiaTheme="minorHAnsi" w:hAnsi="Calibri" w:cs="Calibri"/>
          <w:sz w:val="22"/>
          <w:szCs w:val="22"/>
          <w:lang w:val="en-AU"/>
          <w14:ligatures w14:val="standardContextual"/>
        </w:rPr>
        <w:t>titutions'</w:t>
      </w:r>
      <w:r w:rsidR="008C502B" w:rsidRPr="000348BD">
        <w:rPr>
          <w:rFonts w:ascii="Calibri" w:eastAsiaTheme="minorHAnsi" w:hAnsi="Calibri" w:cs="Calibri"/>
          <w:sz w:val="22"/>
          <w:szCs w:val="22"/>
          <w:lang w:val="en-AU"/>
          <w14:ligatures w14:val="standardContextual"/>
        </w:rPr>
        <w:t xml:space="preserve"> ability to reach underserved customers and deliver more accessible and inclusive financial services.</w:t>
      </w:r>
    </w:p>
    <w:p w14:paraId="73005FB6" w14:textId="5530D06B" w:rsidR="00054F9C" w:rsidRPr="000348BD" w:rsidRDefault="00054F9C" w:rsidP="00FD6FE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The Joint Capital Markets (J-CAP) project and the</w:t>
      </w:r>
      <w:r w:rsidR="21FDD20B" w:rsidRPr="000348BD">
        <w:rPr>
          <w:rFonts w:ascii="Calibri" w:hAnsi="Calibri" w:cs="Calibri"/>
          <w:b/>
          <w:bCs/>
          <w:sz w:val="22"/>
          <w:szCs w:val="22"/>
          <w:lang w:val="en-AU"/>
        </w:rPr>
        <w:t xml:space="preserve"> Green and</w:t>
      </w:r>
      <w:r w:rsidRPr="000348BD">
        <w:rPr>
          <w:rFonts w:ascii="Calibri" w:hAnsi="Calibri" w:cs="Calibri"/>
          <w:b/>
          <w:bCs/>
          <w:sz w:val="22"/>
          <w:szCs w:val="22"/>
          <w:lang w:val="en-AU"/>
        </w:rPr>
        <w:t xml:space="preserve"> Blue</w:t>
      </w:r>
      <w:r w:rsidR="00467344" w:rsidRPr="000348BD">
        <w:rPr>
          <w:rFonts w:ascii="Calibri" w:hAnsi="Calibri" w:cs="Calibri"/>
          <w:b/>
          <w:bCs/>
          <w:sz w:val="22"/>
          <w:szCs w:val="22"/>
          <w:lang w:val="en-AU"/>
        </w:rPr>
        <w:t xml:space="preserve"> </w:t>
      </w:r>
      <w:r w:rsidRPr="000348BD">
        <w:rPr>
          <w:rFonts w:ascii="Calibri" w:hAnsi="Calibri" w:cs="Calibri"/>
          <w:b/>
          <w:bCs/>
          <w:sz w:val="22"/>
          <w:szCs w:val="22"/>
          <w:lang w:val="en-AU"/>
        </w:rPr>
        <w:t>Finance project are g</w:t>
      </w:r>
      <w:r w:rsidR="0013617E" w:rsidRPr="000348BD">
        <w:rPr>
          <w:rFonts w:ascii="Calibri" w:hAnsi="Calibri" w:cs="Calibri"/>
          <w:b/>
          <w:bCs/>
          <w:sz w:val="22"/>
          <w:szCs w:val="22"/>
          <w:lang w:val="en-AU"/>
        </w:rPr>
        <w:t>o</w:t>
      </w:r>
      <w:r w:rsidRPr="000348BD">
        <w:rPr>
          <w:rFonts w:ascii="Calibri" w:hAnsi="Calibri" w:cs="Calibri"/>
          <w:b/>
          <w:bCs/>
          <w:sz w:val="22"/>
          <w:szCs w:val="22"/>
          <w:lang w:val="en-AU"/>
        </w:rPr>
        <w:t>od examples of relatively small inve</w:t>
      </w:r>
      <w:r w:rsidR="0013617E" w:rsidRPr="000348BD">
        <w:rPr>
          <w:rFonts w:ascii="Calibri" w:hAnsi="Calibri" w:cs="Calibri"/>
          <w:b/>
          <w:bCs/>
          <w:sz w:val="22"/>
          <w:szCs w:val="22"/>
          <w:lang w:val="en-AU"/>
        </w:rPr>
        <w:t>st</w:t>
      </w:r>
      <w:r w:rsidRPr="000348BD">
        <w:rPr>
          <w:rFonts w:ascii="Calibri" w:hAnsi="Calibri" w:cs="Calibri"/>
          <w:b/>
          <w:bCs/>
          <w:sz w:val="22"/>
          <w:szCs w:val="22"/>
          <w:lang w:val="en-AU"/>
        </w:rPr>
        <w:t>ments that have the potential for ongoing growth</w:t>
      </w:r>
      <w:r w:rsidRPr="000348BD">
        <w:rPr>
          <w:rFonts w:ascii="Calibri" w:hAnsi="Calibri" w:cs="Calibri"/>
          <w:sz w:val="22"/>
          <w:szCs w:val="22"/>
          <w:lang w:val="en-AU"/>
        </w:rPr>
        <w:t>. The J-C</w:t>
      </w:r>
      <w:r w:rsidR="0013617E" w:rsidRPr="000348BD">
        <w:rPr>
          <w:rFonts w:ascii="Calibri" w:hAnsi="Calibri" w:cs="Calibri"/>
          <w:sz w:val="22"/>
          <w:szCs w:val="22"/>
          <w:lang w:val="en-AU"/>
        </w:rPr>
        <w:t>A</w:t>
      </w:r>
      <w:r w:rsidRPr="000348BD">
        <w:rPr>
          <w:rFonts w:ascii="Calibri" w:hAnsi="Calibri" w:cs="Calibri"/>
          <w:sz w:val="22"/>
          <w:szCs w:val="22"/>
          <w:lang w:val="en-AU"/>
        </w:rPr>
        <w:t xml:space="preserve">P </w:t>
      </w:r>
      <w:r w:rsidR="0013617E" w:rsidRPr="000348BD">
        <w:rPr>
          <w:rFonts w:ascii="Calibri" w:hAnsi="Calibri" w:cs="Calibri"/>
          <w:sz w:val="22"/>
          <w:szCs w:val="22"/>
          <w:lang w:val="en-AU"/>
        </w:rPr>
        <w:t>project works primarily in the regulatory space</w:t>
      </w:r>
      <w:r w:rsidR="79D6FB8F" w:rsidRPr="000348BD">
        <w:rPr>
          <w:rFonts w:ascii="Calibri" w:hAnsi="Calibri" w:cs="Calibri"/>
          <w:sz w:val="22"/>
          <w:szCs w:val="22"/>
          <w:lang w:val="en-AU"/>
        </w:rPr>
        <w:t xml:space="preserve">, supporting Vietnam’s equity market upgrade from frontier market to an emerging status and unlocking </w:t>
      </w:r>
      <w:r w:rsidR="7035F0E0" w:rsidRPr="000348BD">
        <w:rPr>
          <w:rFonts w:ascii="Calibri" w:hAnsi="Calibri" w:cs="Calibri"/>
          <w:sz w:val="22"/>
          <w:szCs w:val="22"/>
          <w:lang w:val="en-AU"/>
        </w:rPr>
        <w:t>private capitals for economic growth</w:t>
      </w:r>
      <w:r w:rsidR="0013617E" w:rsidRPr="000348BD">
        <w:rPr>
          <w:rFonts w:ascii="Calibri" w:hAnsi="Calibri" w:cs="Calibri"/>
          <w:sz w:val="22"/>
          <w:szCs w:val="22"/>
          <w:lang w:val="en-AU"/>
        </w:rPr>
        <w:t>. Still, it can underpin other Pillar 3 operations by strengthening the environment for green financing and other green transactions, particularly in</w:t>
      </w:r>
      <w:r w:rsidRPr="000348BD">
        <w:rPr>
          <w:rFonts w:ascii="Calibri" w:hAnsi="Calibri" w:cs="Calibri"/>
          <w:sz w:val="22"/>
          <w:szCs w:val="22"/>
          <w:lang w:val="en-AU"/>
        </w:rPr>
        <w:t xml:space="preserve"> </w:t>
      </w:r>
      <w:r w:rsidR="00C23C39" w:rsidRPr="000348BD">
        <w:rPr>
          <w:rFonts w:ascii="Calibri" w:hAnsi="Calibri" w:cs="Calibri"/>
          <w:sz w:val="22"/>
          <w:szCs w:val="22"/>
          <w:lang w:val="en-AU"/>
        </w:rPr>
        <w:t>equities</w:t>
      </w:r>
      <w:r w:rsidRPr="000348BD">
        <w:rPr>
          <w:rFonts w:ascii="Calibri" w:hAnsi="Calibri" w:cs="Calibri"/>
          <w:sz w:val="22"/>
          <w:szCs w:val="22"/>
          <w:lang w:val="en-AU"/>
        </w:rPr>
        <w:t xml:space="preserve">. The Blue </w:t>
      </w:r>
      <w:r w:rsidR="0013617E" w:rsidRPr="000348BD">
        <w:rPr>
          <w:rFonts w:ascii="Calibri" w:hAnsi="Calibri" w:cs="Calibri"/>
          <w:sz w:val="22"/>
          <w:szCs w:val="22"/>
          <w:lang w:val="en-AU"/>
        </w:rPr>
        <w:t>F</w:t>
      </w:r>
      <w:r w:rsidRPr="000348BD">
        <w:rPr>
          <w:rFonts w:ascii="Calibri" w:hAnsi="Calibri" w:cs="Calibri"/>
          <w:sz w:val="22"/>
          <w:szCs w:val="22"/>
          <w:lang w:val="en-AU"/>
        </w:rPr>
        <w:t xml:space="preserve">inance project follows a similar model </w:t>
      </w:r>
      <w:r w:rsidR="0013617E" w:rsidRPr="000348BD">
        <w:rPr>
          <w:rFonts w:ascii="Calibri" w:hAnsi="Calibri" w:cs="Calibri"/>
          <w:sz w:val="22"/>
          <w:szCs w:val="22"/>
          <w:lang w:val="en-AU"/>
        </w:rPr>
        <w:t>implement</w:t>
      </w:r>
      <w:r w:rsidRPr="000348BD">
        <w:rPr>
          <w:rFonts w:ascii="Calibri" w:hAnsi="Calibri" w:cs="Calibri"/>
          <w:sz w:val="22"/>
          <w:szCs w:val="22"/>
          <w:lang w:val="en-AU"/>
        </w:rPr>
        <w:t>ed under the green fi</w:t>
      </w:r>
      <w:r w:rsidR="0013617E" w:rsidRPr="000348BD">
        <w:rPr>
          <w:rFonts w:ascii="Calibri" w:hAnsi="Calibri" w:cs="Calibri"/>
          <w:sz w:val="22"/>
          <w:szCs w:val="22"/>
          <w:lang w:val="en-AU"/>
        </w:rPr>
        <w:t>nanc</w:t>
      </w:r>
      <w:r w:rsidRPr="000348BD">
        <w:rPr>
          <w:rFonts w:ascii="Calibri" w:hAnsi="Calibri" w:cs="Calibri"/>
          <w:sz w:val="22"/>
          <w:szCs w:val="22"/>
          <w:lang w:val="en-AU"/>
        </w:rPr>
        <w:t>e</w:t>
      </w:r>
      <w:r w:rsidR="0013617E" w:rsidRPr="000348BD">
        <w:rPr>
          <w:rFonts w:ascii="Calibri" w:hAnsi="Calibri" w:cs="Calibri"/>
          <w:sz w:val="22"/>
          <w:szCs w:val="22"/>
          <w:lang w:val="en-AU"/>
        </w:rPr>
        <w:t xml:space="preserve"> umbr</w:t>
      </w:r>
      <w:r w:rsidRPr="000348BD">
        <w:rPr>
          <w:rFonts w:ascii="Calibri" w:hAnsi="Calibri" w:cs="Calibri"/>
          <w:sz w:val="22"/>
          <w:szCs w:val="22"/>
          <w:lang w:val="en-AU"/>
        </w:rPr>
        <w:t>e</w:t>
      </w:r>
      <w:r w:rsidR="0013617E" w:rsidRPr="000348BD">
        <w:rPr>
          <w:rFonts w:ascii="Calibri" w:hAnsi="Calibri" w:cs="Calibri"/>
          <w:sz w:val="22"/>
          <w:szCs w:val="22"/>
          <w:lang w:val="en-AU"/>
        </w:rPr>
        <w:t>lla.</w:t>
      </w:r>
      <w:r w:rsidRPr="000348BD">
        <w:rPr>
          <w:rFonts w:ascii="Calibri" w:hAnsi="Calibri" w:cs="Calibri"/>
          <w:sz w:val="22"/>
          <w:szCs w:val="22"/>
          <w:lang w:val="en-AU"/>
        </w:rPr>
        <w:t xml:space="preserve"> At this s</w:t>
      </w:r>
      <w:r w:rsidR="0013617E" w:rsidRPr="000348BD">
        <w:rPr>
          <w:rFonts w:ascii="Calibri" w:hAnsi="Calibri" w:cs="Calibri"/>
          <w:sz w:val="22"/>
          <w:szCs w:val="22"/>
          <w:lang w:val="en-AU"/>
        </w:rPr>
        <w:t>tage,</w:t>
      </w:r>
      <w:r w:rsidRPr="000348BD">
        <w:rPr>
          <w:rFonts w:ascii="Calibri" w:hAnsi="Calibri" w:cs="Calibri"/>
          <w:sz w:val="22"/>
          <w:szCs w:val="22"/>
          <w:lang w:val="en-AU"/>
        </w:rPr>
        <w:t xml:space="preserve"> the project is </w:t>
      </w:r>
      <w:r w:rsidR="0013617E" w:rsidRPr="000348BD">
        <w:rPr>
          <w:rFonts w:ascii="Calibri" w:hAnsi="Calibri" w:cs="Calibri"/>
          <w:sz w:val="22"/>
          <w:szCs w:val="22"/>
          <w:lang w:val="en-AU"/>
        </w:rPr>
        <w:t>to</w:t>
      </w:r>
      <w:r w:rsidRPr="000348BD">
        <w:rPr>
          <w:rFonts w:ascii="Calibri" w:hAnsi="Calibri" w:cs="Calibri"/>
          <w:sz w:val="22"/>
          <w:szCs w:val="22"/>
          <w:lang w:val="en-AU"/>
        </w:rPr>
        <w:t xml:space="preserve"> provi</w:t>
      </w:r>
      <w:r w:rsidR="0013617E" w:rsidRPr="000348BD">
        <w:rPr>
          <w:rFonts w:ascii="Calibri" w:hAnsi="Calibri" w:cs="Calibri"/>
          <w:sz w:val="22"/>
          <w:szCs w:val="22"/>
          <w:lang w:val="en-AU"/>
        </w:rPr>
        <w:t>de</w:t>
      </w:r>
      <w:r w:rsidRPr="000348BD">
        <w:rPr>
          <w:rFonts w:ascii="Calibri" w:hAnsi="Calibri" w:cs="Calibri"/>
          <w:sz w:val="22"/>
          <w:szCs w:val="22"/>
          <w:lang w:val="en-AU"/>
        </w:rPr>
        <w:t xml:space="preserve"> initial sector-wide capacity</w:t>
      </w:r>
      <w:r w:rsidR="0013617E" w:rsidRPr="000348BD">
        <w:rPr>
          <w:rFonts w:ascii="Calibri" w:hAnsi="Calibri" w:cs="Calibri"/>
          <w:sz w:val="22"/>
          <w:szCs w:val="22"/>
          <w:lang w:val="en-AU"/>
        </w:rPr>
        <w:t>-</w:t>
      </w:r>
      <w:r w:rsidRPr="000348BD">
        <w:rPr>
          <w:rFonts w:ascii="Calibri" w:hAnsi="Calibri" w:cs="Calibri"/>
          <w:sz w:val="22"/>
          <w:szCs w:val="22"/>
          <w:lang w:val="en-AU"/>
        </w:rPr>
        <w:t xml:space="preserve">building </w:t>
      </w:r>
      <w:r w:rsidR="0013617E" w:rsidRPr="000348BD">
        <w:rPr>
          <w:rFonts w:ascii="Calibri" w:hAnsi="Calibri" w:cs="Calibri"/>
          <w:sz w:val="22"/>
          <w:szCs w:val="22"/>
          <w:lang w:val="en-AU"/>
        </w:rPr>
        <w:t>sess</w:t>
      </w:r>
      <w:r w:rsidRPr="000348BD">
        <w:rPr>
          <w:rFonts w:ascii="Calibri" w:hAnsi="Calibri" w:cs="Calibri"/>
          <w:sz w:val="22"/>
          <w:szCs w:val="22"/>
          <w:lang w:val="en-AU"/>
        </w:rPr>
        <w:t>ions.</w:t>
      </w:r>
    </w:p>
    <w:p w14:paraId="0B0464C5" w14:textId="5E48D3EF" w:rsidR="00E03004" w:rsidRDefault="00054F9C"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Table 5 below </w:t>
      </w:r>
      <w:r w:rsidR="0013617E" w:rsidRPr="000348BD">
        <w:rPr>
          <w:rFonts w:ascii="Calibri" w:hAnsi="Calibri" w:cs="Calibri"/>
          <w:sz w:val="22"/>
          <w:szCs w:val="22"/>
          <w:lang w:val="en-AU"/>
        </w:rPr>
        <w:t>summarises</w:t>
      </w:r>
      <w:r w:rsidRPr="000348BD">
        <w:rPr>
          <w:rFonts w:ascii="Calibri" w:hAnsi="Calibri" w:cs="Calibri"/>
          <w:sz w:val="22"/>
          <w:szCs w:val="22"/>
          <w:lang w:val="en-AU"/>
        </w:rPr>
        <w:t xml:space="preserve"> the results and achievements across the </w:t>
      </w:r>
      <w:r w:rsidR="0013617E" w:rsidRPr="000348BD">
        <w:rPr>
          <w:rFonts w:ascii="Calibri" w:hAnsi="Calibri" w:cs="Calibri"/>
          <w:sz w:val="22"/>
          <w:szCs w:val="22"/>
          <w:lang w:val="en-AU"/>
        </w:rPr>
        <w:t>Pillar</w:t>
      </w:r>
      <w:r w:rsidRPr="000348BD">
        <w:rPr>
          <w:rFonts w:ascii="Calibri" w:hAnsi="Calibri" w:cs="Calibri"/>
          <w:sz w:val="22"/>
          <w:szCs w:val="22"/>
          <w:lang w:val="en-AU"/>
        </w:rPr>
        <w:t xml:space="preserve"> 3 po</w:t>
      </w:r>
      <w:r w:rsidR="0013617E" w:rsidRPr="000348BD">
        <w:rPr>
          <w:rFonts w:ascii="Calibri" w:hAnsi="Calibri" w:cs="Calibri"/>
          <w:sz w:val="22"/>
          <w:szCs w:val="22"/>
          <w:lang w:val="en-AU"/>
        </w:rPr>
        <w:t>r</w:t>
      </w:r>
      <w:r w:rsidRPr="000348BD">
        <w:rPr>
          <w:rFonts w:ascii="Calibri" w:hAnsi="Calibri" w:cs="Calibri"/>
          <w:sz w:val="22"/>
          <w:szCs w:val="22"/>
          <w:lang w:val="en-AU"/>
        </w:rPr>
        <w:t>tfolio.</w:t>
      </w:r>
    </w:p>
    <w:p w14:paraId="17B53F41" w14:textId="7A82E7D2" w:rsidR="00054F9C" w:rsidRDefault="00054F9C" w:rsidP="00386AC1">
      <w:pPr>
        <w:autoSpaceDE w:val="0"/>
        <w:autoSpaceDN w:val="0"/>
        <w:adjustRightInd w:val="0"/>
        <w:spacing w:after="120"/>
        <w:jc w:val="both"/>
        <w:rPr>
          <w:rFonts w:ascii="Calibri" w:hAnsi="Calibri" w:cs="Calibri"/>
          <w:b/>
          <w:i/>
          <w:iCs/>
          <w:color w:val="000000"/>
          <w:sz w:val="18"/>
          <w:szCs w:val="18"/>
          <w:lang w:val="en-AU"/>
        </w:rPr>
      </w:pPr>
      <w:r w:rsidRPr="000348BD">
        <w:rPr>
          <w:rFonts w:ascii="Calibri" w:hAnsi="Calibri" w:cs="Calibri"/>
          <w:b/>
          <w:i/>
          <w:iCs/>
          <w:color w:val="000000"/>
          <w:sz w:val="18"/>
          <w:szCs w:val="18"/>
          <w:lang w:val="en-AU"/>
        </w:rPr>
        <w:t xml:space="preserve">Table 5: </w:t>
      </w:r>
      <w:r w:rsidR="0013617E" w:rsidRPr="000348BD">
        <w:rPr>
          <w:rFonts w:ascii="Calibri" w:hAnsi="Calibri" w:cs="Calibri"/>
          <w:b/>
          <w:i/>
          <w:iCs/>
          <w:color w:val="000000"/>
          <w:sz w:val="18"/>
          <w:szCs w:val="18"/>
          <w:lang w:val="en-AU"/>
        </w:rPr>
        <w:t>Summary</w:t>
      </w:r>
      <w:r w:rsidRPr="000348BD">
        <w:rPr>
          <w:rFonts w:ascii="Calibri" w:hAnsi="Calibri" w:cs="Calibri"/>
          <w:b/>
          <w:i/>
          <w:iCs/>
          <w:color w:val="000000"/>
          <w:sz w:val="18"/>
          <w:szCs w:val="18"/>
          <w:lang w:val="en-AU"/>
        </w:rPr>
        <w:t xml:space="preserve"> of Results Pillar 3</w:t>
      </w:r>
    </w:p>
    <w:tbl>
      <w:tblPr>
        <w:tblW w:w="9923" w:type="dxa"/>
        <w:tblInd w:w="-152" w:type="dxa"/>
        <w:tblLook w:val="04A0" w:firstRow="1" w:lastRow="0" w:firstColumn="1" w:lastColumn="0" w:noHBand="0" w:noVBand="1"/>
      </w:tblPr>
      <w:tblGrid>
        <w:gridCol w:w="6096"/>
        <w:gridCol w:w="1417"/>
        <w:gridCol w:w="1276"/>
        <w:gridCol w:w="1134"/>
      </w:tblGrid>
      <w:tr w:rsidR="00752C0B" w14:paraId="0483281F" w14:textId="77777777" w:rsidTr="00361731">
        <w:trPr>
          <w:trHeight w:val="765"/>
          <w:tblHeader/>
        </w:trPr>
        <w:tc>
          <w:tcPr>
            <w:tcW w:w="6096"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1A7E58CB" w14:textId="77777777" w:rsidR="00752C0B" w:rsidRDefault="00752C0B" w:rsidP="00361731">
            <w:pPr>
              <w:rPr>
                <w:rFonts w:ascii="Calibri" w:hAnsi="Calibri" w:cs="Calibri"/>
                <w:b/>
                <w:bCs/>
                <w:color w:val="000000"/>
                <w:sz w:val="20"/>
                <w:szCs w:val="20"/>
                <w:lang w:val="en-US"/>
              </w:rPr>
            </w:pPr>
            <w:r>
              <w:rPr>
                <w:rFonts w:ascii="Calibri" w:hAnsi="Calibri" w:cs="Calibri"/>
                <w:b/>
                <w:bCs/>
                <w:color w:val="000000"/>
                <w:sz w:val="20"/>
                <w:szCs w:val="20"/>
                <w:lang w:val="en-AU"/>
              </w:rPr>
              <w:t>Viet Nam Green Finance - OUTPUT</w:t>
            </w:r>
          </w:p>
        </w:tc>
        <w:tc>
          <w:tcPr>
            <w:tcW w:w="1417" w:type="dxa"/>
            <w:tcBorders>
              <w:top w:val="single" w:sz="8" w:space="0" w:color="auto"/>
              <w:left w:val="nil"/>
              <w:bottom w:val="single" w:sz="4" w:space="0" w:color="auto"/>
              <w:right w:val="single" w:sz="4" w:space="0" w:color="auto"/>
            </w:tcBorders>
            <w:shd w:val="clear" w:color="000000" w:fill="CAEDFB"/>
            <w:vAlign w:val="center"/>
            <w:hideMark/>
          </w:tcPr>
          <w:p w14:paraId="7C212934"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Cumulative Results till Dec 2025</w:t>
            </w:r>
          </w:p>
        </w:tc>
        <w:tc>
          <w:tcPr>
            <w:tcW w:w="1276" w:type="dxa"/>
            <w:tcBorders>
              <w:top w:val="single" w:sz="8" w:space="0" w:color="auto"/>
              <w:left w:val="nil"/>
              <w:bottom w:val="single" w:sz="4" w:space="0" w:color="auto"/>
              <w:right w:val="single" w:sz="4" w:space="0" w:color="auto"/>
            </w:tcBorders>
            <w:shd w:val="clear" w:color="000000" w:fill="CAEDFB"/>
            <w:vAlign w:val="center"/>
            <w:hideMark/>
          </w:tcPr>
          <w:p w14:paraId="1F369858"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0C7F238A"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Achieved</w:t>
            </w:r>
          </w:p>
        </w:tc>
      </w:tr>
      <w:tr w:rsidR="00752C0B" w:rsidRPr="00E07F43" w14:paraId="31846710" w14:textId="77777777" w:rsidTr="00361731">
        <w:trPr>
          <w:trHeight w:val="465"/>
        </w:trPr>
        <w:tc>
          <w:tcPr>
            <w:tcW w:w="6096" w:type="dxa"/>
            <w:tcBorders>
              <w:top w:val="nil"/>
              <w:left w:val="single" w:sz="8" w:space="0" w:color="auto"/>
              <w:bottom w:val="single" w:sz="4" w:space="0" w:color="auto"/>
              <w:right w:val="single" w:sz="4" w:space="0" w:color="auto"/>
            </w:tcBorders>
            <w:vAlign w:val="center"/>
            <w:hideMark/>
          </w:tcPr>
          <w:p w14:paraId="36A6EF93"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entities receiving in-depth advisory services</w:t>
            </w:r>
          </w:p>
        </w:tc>
        <w:tc>
          <w:tcPr>
            <w:tcW w:w="1417" w:type="dxa"/>
            <w:tcBorders>
              <w:top w:val="nil"/>
              <w:left w:val="nil"/>
              <w:bottom w:val="single" w:sz="4" w:space="0" w:color="auto"/>
              <w:right w:val="single" w:sz="4" w:space="0" w:color="auto"/>
            </w:tcBorders>
            <w:vAlign w:val="center"/>
            <w:hideMark/>
          </w:tcPr>
          <w:p w14:paraId="3D41AABA"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276" w:type="dxa"/>
            <w:tcBorders>
              <w:top w:val="nil"/>
              <w:left w:val="nil"/>
              <w:bottom w:val="single" w:sz="4" w:space="0" w:color="auto"/>
              <w:right w:val="single" w:sz="4" w:space="0" w:color="auto"/>
            </w:tcBorders>
            <w:vAlign w:val="center"/>
            <w:hideMark/>
          </w:tcPr>
          <w:p w14:paraId="1B3F709F"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6BD04F70"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r w:rsidR="00752C0B" w:rsidRPr="00E07F43" w14:paraId="008A469E"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3F728F87"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reports (assessments, surveys, manuals, Phase I/strategic option reports, research, analytical, evaluations, etc.) completed</w:t>
            </w:r>
          </w:p>
        </w:tc>
        <w:tc>
          <w:tcPr>
            <w:tcW w:w="1417" w:type="dxa"/>
            <w:tcBorders>
              <w:top w:val="nil"/>
              <w:left w:val="nil"/>
              <w:bottom w:val="single" w:sz="4" w:space="0" w:color="auto"/>
              <w:right w:val="single" w:sz="4" w:space="0" w:color="auto"/>
            </w:tcBorders>
            <w:vAlign w:val="center"/>
            <w:hideMark/>
          </w:tcPr>
          <w:p w14:paraId="28F90928"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32</w:t>
            </w:r>
          </w:p>
        </w:tc>
        <w:tc>
          <w:tcPr>
            <w:tcW w:w="1276" w:type="dxa"/>
            <w:tcBorders>
              <w:top w:val="nil"/>
              <w:left w:val="nil"/>
              <w:bottom w:val="single" w:sz="4" w:space="0" w:color="auto"/>
              <w:right w:val="single" w:sz="4" w:space="0" w:color="auto"/>
            </w:tcBorders>
            <w:vAlign w:val="center"/>
            <w:hideMark/>
          </w:tcPr>
          <w:p w14:paraId="74E11892"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134" w:type="dxa"/>
            <w:tcBorders>
              <w:top w:val="nil"/>
              <w:left w:val="nil"/>
              <w:bottom w:val="single" w:sz="4" w:space="0" w:color="auto"/>
              <w:right w:val="single" w:sz="8" w:space="0" w:color="auto"/>
            </w:tcBorders>
            <w:hideMark/>
          </w:tcPr>
          <w:p w14:paraId="7A789F75"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r w:rsidR="00752C0B" w:rsidRPr="00E07F43" w14:paraId="0A8F5294"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53C3B94B"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procedures/firm-level policies/practices/standards recommended for improvement or elimination</w:t>
            </w:r>
          </w:p>
        </w:tc>
        <w:tc>
          <w:tcPr>
            <w:tcW w:w="1417" w:type="dxa"/>
            <w:tcBorders>
              <w:top w:val="nil"/>
              <w:left w:val="nil"/>
              <w:bottom w:val="single" w:sz="4" w:space="0" w:color="auto"/>
              <w:right w:val="single" w:sz="4" w:space="0" w:color="auto"/>
            </w:tcBorders>
            <w:vAlign w:val="center"/>
            <w:hideMark/>
          </w:tcPr>
          <w:p w14:paraId="16A85E4C"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6</w:t>
            </w:r>
          </w:p>
        </w:tc>
        <w:tc>
          <w:tcPr>
            <w:tcW w:w="1276" w:type="dxa"/>
            <w:tcBorders>
              <w:top w:val="nil"/>
              <w:left w:val="nil"/>
              <w:bottom w:val="single" w:sz="4" w:space="0" w:color="auto"/>
              <w:right w:val="single" w:sz="4" w:space="0" w:color="auto"/>
            </w:tcBorders>
            <w:vAlign w:val="center"/>
            <w:hideMark/>
          </w:tcPr>
          <w:p w14:paraId="543645B3"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134" w:type="dxa"/>
            <w:tcBorders>
              <w:top w:val="nil"/>
              <w:left w:val="nil"/>
              <w:bottom w:val="single" w:sz="4" w:space="0" w:color="auto"/>
              <w:right w:val="single" w:sz="8" w:space="0" w:color="auto"/>
            </w:tcBorders>
            <w:hideMark/>
          </w:tcPr>
          <w:p w14:paraId="411CD7CB"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r w:rsidR="00752C0B" w:rsidRPr="00E07F43" w14:paraId="484A883D" w14:textId="77777777" w:rsidTr="00361731">
        <w:trPr>
          <w:trHeight w:val="390"/>
        </w:trPr>
        <w:tc>
          <w:tcPr>
            <w:tcW w:w="6096" w:type="dxa"/>
            <w:tcBorders>
              <w:top w:val="nil"/>
              <w:left w:val="single" w:sz="8" w:space="0" w:color="auto"/>
              <w:bottom w:val="single" w:sz="4" w:space="0" w:color="auto"/>
              <w:right w:val="single" w:sz="4" w:space="0" w:color="auto"/>
            </w:tcBorders>
            <w:vAlign w:val="center"/>
            <w:hideMark/>
          </w:tcPr>
          <w:p w14:paraId="375FA459"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new financial products designed</w:t>
            </w:r>
          </w:p>
        </w:tc>
        <w:tc>
          <w:tcPr>
            <w:tcW w:w="1417" w:type="dxa"/>
            <w:tcBorders>
              <w:top w:val="nil"/>
              <w:left w:val="nil"/>
              <w:bottom w:val="single" w:sz="4" w:space="0" w:color="auto"/>
              <w:right w:val="single" w:sz="4" w:space="0" w:color="auto"/>
            </w:tcBorders>
            <w:vAlign w:val="center"/>
            <w:hideMark/>
          </w:tcPr>
          <w:p w14:paraId="6B30C717"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w:t>
            </w:r>
          </w:p>
        </w:tc>
        <w:tc>
          <w:tcPr>
            <w:tcW w:w="1276" w:type="dxa"/>
            <w:tcBorders>
              <w:top w:val="nil"/>
              <w:left w:val="nil"/>
              <w:bottom w:val="single" w:sz="4" w:space="0" w:color="auto"/>
              <w:right w:val="single" w:sz="4" w:space="0" w:color="auto"/>
            </w:tcBorders>
            <w:vAlign w:val="center"/>
            <w:hideMark/>
          </w:tcPr>
          <w:p w14:paraId="4952B89D"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134" w:type="dxa"/>
            <w:tcBorders>
              <w:top w:val="nil"/>
              <w:left w:val="nil"/>
              <w:bottom w:val="single" w:sz="4" w:space="0" w:color="auto"/>
              <w:right w:val="single" w:sz="8" w:space="0" w:color="auto"/>
            </w:tcBorders>
            <w:vAlign w:val="center"/>
            <w:hideMark/>
          </w:tcPr>
          <w:p w14:paraId="0581313C"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lang w:val="en-AU"/>
              </w:rPr>
              <w:t>75%</w:t>
            </w:r>
          </w:p>
        </w:tc>
      </w:tr>
      <w:tr w:rsidR="00752C0B" w:rsidRPr="00E07F43" w14:paraId="1252BA05" w14:textId="77777777" w:rsidTr="00361731">
        <w:trPr>
          <w:trHeight w:val="480"/>
        </w:trPr>
        <w:tc>
          <w:tcPr>
            <w:tcW w:w="6096" w:type="dxa"/>
            <w:tcBorders>
              <w:top w:val="nil"/>
              <w:left w:val="single" w:sz="8" w:space="0" w:color="auto"/>
              <w:bottom w:val="single" w:sz="4" w:space="0" w:color="auto"/>
              <w:right w:val="single" w:sz="4" w:space="0" w:color="auto"/>
            </w:tcBorders>
            <w:vAlign w:val="center"/>
            <w:hideMark/>
          </w:tcPr>
          <w:p w14:paraId="6E5963E6"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workshops, training events, seminars, conferences, etc.</w:t>
            </w:r>
          </w:p>
        </w:tc>
        <w:tc>
          <w:tcPr>
            <w:tcW w:w="1417" w:type="dxa"/>
            <w:tcBorders>
              <w:top w:val="nil"/>
              <w:left w:val="nil"/>
              <w:bottom w:val="single" w:sz="4" w:space="0" w:color="auto"/>
              <w:right w:val="single" w:sz="4" w:space="0" w:color="auto"/>
            </w:tcBorders>
            <w:vAlign w:val="center"/>
            <w:hideMark/>
          </w:tcPr>
          <w:p w14:paraId="765A634A"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32</w:t>
            </w:r>
          </w:p>
        </w:tc>
        <w:tc>
          <w:tcPr>
            <w:tcW w:w="1276" w:type="dxa"/>
            <w:tcBorders>
              <w:top w:val="nil"/>
              <w:left w:val="nil"/>
              <w:bottom w:val="single" w:sz="4" w:space="0" w:color="auto"/>
              <w:right w:val="single" w:sz="4" w:space="0" w:color="auto"/>
            </w:tcBorders>
            <w:vAlign w:val="center"/>
            <w:hideMark/>
          </w:tcPr>
          <w:p w14:paraId="04A00E17"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w:t>
            </w:r>
          </w:p>
        </w:tc>
        <w:tc>
          <w:tcPr>
            <w:tcW w:w="1134" w:type="dxa"/>
            <w:tcBorders>
              <w:top w:val="nil"/>
              <w:left w:val="nil"/>
              <w:bottom w:val="single" w:sz="4" w:space="0" w:color="auto"/>
              <w:right w:val="single" w:sz="8" w:space="0" w:color="auto"/>
            </w:tcBorders>
            <w:hideMark/>
          </w:tcPr>
          <w:p w14:paraId="0B4933BE"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r w:rsidR="00752C0B" w:rsidRPr="00E07F43" w14:paraId="2B7EDF5E"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0AB71BED"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participants in workshops, training events, seminars, conferences, etc.</w:t>
            </w:r>
          </w:p>
        </w:tc>
        <w:tc>
          <w:tcPr>
            <w:tcW w:w="1417" w:type="dxa"/>
            <w:tcBorders>
              <w:top w:val="nil"/>
              <w:left w:val="nil"/>
              <w:bottom w:val="single" w:sz="4" w:space="0" w:color="auto"/>
              <w:right w:val="single" w:sz="4" w:space="0" w:color="auto"/>
            </w:tcBorders>
            <w:vAlign w:val="center"/>
            <w:hideMark/>
          </w:tcPr>
          <w:p w14:paraId="2DB6F8DD"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1,227</w:t>
            </w:r>
          </w:p>
        </w:tc>
        <w:tc>
          <w:tcPr>
            <w:tcW w:w="1276" w:type="dxa"/>
            <w:tcBorders>
              <w:top w:val="nil"/>
              <w:left w:val="nil"/>
              <w:bottom w:val="single" w:sz="4" w:space="0" w:color="auto"/>
              <w:right w:val="single" w:sz="4" w:space="0" w:color="auto"/>
            </w:tcBorders>
            <w:vAlign w:val="center"/>
            <w:hideMark/>
          </w:tcPr>
          <w:p w14:paraId="5F75FEBD"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100</w:t>
            </w:r>
          </w:p>
        </w:tc>
        <w:tc>
          <w:tcPr>
            <w:tcW w:w="1134" w:type="dxa"/>
            <w:tcBorders>
              <w:top w:val="nil"/>
              <w:left w:val="nil"/>
              <w:bottom w:val="single" w:sz="4" w:space="0" w:color="auto"/>
              <w:right w:val="single" w:sz="8" w:space="0" w:color="auto"/>
            </w:tcBorders>
            <w:hideMark/>
          </w:tcPr>
          <w:p w14:paraId="4CBA8B4D"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r w:rsidR="00752C0B" w:rsidRPr="00E07F43" w14:paraId="4764A9DF"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3D4BDD2F" w14:textId="77777777" w:rsidR="00752C0B" w:rsidRDefault="00752C0B" w:rsidP="00361731">
            <w:pPr>
              <w:rPr>
                <w:rFonts w:ascii="Calibri" w:hAnsi="Calibri" w:cs="Calibri"/>
                <w:b/>
                <w:bCs/>
                <w:color w:val="000000"/>
                <w:sz w:val="20"/>
                <w:szCs w:val="20"/>
              </w:rPr>
            </w:pPr>
            <w:r>
              <w:rPr>
                <w:rFonts w:ascii="Calibri" w:hAnsi="Calibri" w:cs="Calibri"/>
                <w:b/>
                <w:bCs/>
                <w:color w:val="000000"/>
                <w:sz w:val="20"/>
                <w:szCs w:val="20"/>
                <w:lang w:val="en-AU"/>
              </w:rPr>
              <w:t>Number of women participants in workshops, training events, seminars, conferences, etc.</w:t>
            </w:r>
          </w:p>
        </w:tc>
        <w:tc>
          <w:tcPr>
            <w:tcW w:w="1417" w:type="dxa"/>
            <w:tcBorders>
              <w:top w:val="nil"/>
              <w:left w:val="nil"/>
              <w:bottom w:val="single" w:sz="4" w:space="0" w:color="auto"/>
              <w:right w:val="single" w:sz="4" w:space="0" w:color="auto"/>
            </w:tcBorders>
            <w:vAlign w:val="center"/>
            <w:hideMark/>
          </w:tcPr>
          <w:p w14:paraId="22712B38"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493</w:t>
            </w:r>
          </w:p>
        </w:tc>
        <w:tc>
          <w:tcPr>
            <w:tcW w:w="1276" w:type="dxa"/>
            <w:tcBorders>
              <w:top w:val="nil"/>
              <w:left w:val="nil"/>
              <w:bottom w:val="single" w:sz="4" w:space="0" w:color="auto"/>
              <w:right w:val="single" w:sz="4" w:space="0" w:color="auto"/>
            </w:tcBorders>
            <w:vAlign w:val="center"/>
            <w:hideMark/>
          </w:tcPr>
          <w:p w14:paraId="6A93C055"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35</w:t>
            </w:r>
          </w:p>
        </w:tc>
        <w:tc>
          <w:tcPr>
            <w:tcW w:w="1134" w:type="dxa"/>
            <w:tcBorders>
              <w:top w:val="nil"/>
              <w:left w:val="nil"/>
              <w:bottom w:val="single" w:sz="4" w:space="0" w:color="auto"/>
              <w:right w:val="single" w:sz="8" w:space="0" w:color="auto"/>
            </w:tcBorders>
            <w:hideMark/>
          </w:tcPr>
          <w:p w14:paraId="41467789"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rPr>
              <w:t>Yes</w:t>
            </w:r>
          </w:p>
        </w:tc>
      </w:tr>
    </w:tbl>
    <w:p w14:paraId="4E85E601" w14:textId="77777777" w:rsidR="00752C0B" w:rsidRDefault="00752C0B" w:rsidP="00752C0B"/>
    <w:tbl>
      <w:tblPr>
        <w:tblW w:w="9923" w:type="dxa"/>
        <w:tblInd w:w="-152" w:type="dxa"/>
        <w:tblLook w:val="04A0" w:firstRow="1" w:lastRow="0" w:firstColumn="1" w:lastColumn="0" w:noHBand="0" w:noVBand="1"/>
      </w:tblPr>
      <w:tblGrid>
        <w:gridCol w:w="6096"/>
        <w:gridCol w:w="1417"/>
        <w:gridCol w:w="1276"/>
        <w:gridCol w:w="1134"/>
      </w:tblGrid>
      <w:tr w:rsidR="00752C0B" w:rsidRPr="00E07F43" w14:paraId="020FE0A2" w14:textId="77777777" w:rsidTr="00361731">
        <w:trPr>
          <w:trHeight w:val="345"/>
          <w:tblHeader/>
        </w:trPr>
        <w:tc>
          <w:tcPr>
            <w:tcW w:w="609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01D59EB1" w14:textId="77777777" w:rsidR="00752C0B" w:rsidRDefault="00752C0B" w:rsidP="00361731">
            <w:pPr>
              <w:rPr>
                <w:rFonts w:ascii="Calibri" w:hAnsi="Calibri" w:cs="Calibri"/>
                <w:b/>
                <w:bCs/>
                <w:color w:val="000000"/>
                <w:sz w:val="20"/>
                <w:szCs w:val="20"/>
              </w:rPr>
            </w:pPr>
            <w:r>
              <w:rPr>
                <w:rFonts w:ascii="Calibri" w:hAnsi="Calibri" w:cs="Calibri"/>
                <w:b/>
                <w:bCs/>
                <w:color w:val="000000"/>
                <w:sz w:val="20"/>
                <w:szCs w:val="20"/>
                <w:lang w:val="en-AU"/>
              </w:rPr>
              <w:lastRenderedPageBreak/>
              <w:t>Viet Nam Green Finance - OUTCOME</w:t>
            </w:r>
          </w:p>
        </w:tc>
        <w:tc>
          <w:tcPr>
            <w:tcW w:w="1417"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B35961C"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Cumulative Results till Dec 2025</w:t>
            </w:r>
          </w:p>
        </w:tc>
        <w:tc>
          <w:tcPr>
            <w:tcW w:w="127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51CC97A6"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30E2A63B" w14:textId="77777777" w:rsidR="00752C0B" w:rsidRPr="00E07F43" w:rsidRDefault="00752C0B" w:rsidP="00361731">
            <w:pPr>
              <w:jc w:val="center"/>
              <w:rPr>
                <w:rFonts w:ascii="Calibri" w:hAnsi="Calibri" w:cs="Calibri"/>
                <w:color w:val="000000"/>
                <w:sz w:val="20"/>
                <w:szCs w:val="20"/>
              </w:rPr>
            </w:pPr>
            <w:r>
              <w:rPr>
                <w:rFonts w:ascii="Calibri" w:hAnsi="Calibri" w:cs="Calibri"/>
                <w:b/>
                <w:bCs/>
                <w:color w:val="000000"/>
                <w:sz w:val="20"/>
                <w:szCs w:val="20"/>
                <w:lang w:val="en-AU"/>
              </w:rPr>
              <w:t>Achieved</w:t>
            </w:r>
          </w:p>
        </w:tc>
      </w:tr>
      <w:tr w:rsidR="00752C0B" w:rsidRPr="00E07F43" w14:paraId="6046C882" w14:textId="77777777" w:rsidTr="00361731">
        <w:trPr>
          <w:trHeight w:val="300"/>
        </w:trPr>
        <w:tc>
          <w:tcPr>
            <w:tcW w:w="6096" w:type="dxa"/>
            <w:tcBorders>
              <w:top w:val="nil"/>
              <w:left w:val="single" w:sz="8" w:space="0" w:color="auto"/>
              <w:bottom w:val="single" w:sz="4" w:space="0" w:color="auto"/>
              <w:right w:val="single" w:sz="4" w:space="0" w:color="auto"/>
            </w:tcBorders>
            <w:vAlign w:val="center"/>
            <w:hideMark/>
          </w:tcPr>
          <w:p w14:paraId="362946FF"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reports accepted by client</w:t>
            </w:r>
          </w:p>
        </w:tc>
        <w:tc>
          <w:tcPr>
            <w:tcW w:w="1417" w:type="dxa"/>
            <w:tcBorders>
              <w:top w:val="nil"/>
              <w:left w:val="nil"/>
              <w:bottom w:val="single" w:sz="4" w:space="0" w:color="auto"/>
              <w:right w:val="single" w:sz="4" w:space="0" w:color="auto"/>
            </w:tcBorders>
            <w:vAlign w:val="center"/>
            <w:hideMark/>
          </w:tcPr>
          <w:p w14:paraId="68957B8E"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1</w:t>
            </w:r>
          </w:p>
        </w:tc>
        <w:tc>
          <w:tcPr>
            <w:tcW w:w="1276" w:type="dxa"/>
            <w:tcBorders>
              <w:top w:val="nil"/>
              <w:left w:val="nil"/>
              <w:bottom w:val="single" w:sz="4" w:space="0" w:color="auto"/>
              <w:right w:val="single" w:sz="4" w:space="0" w:color="auto"/>
            </w:tcBorders>
            <w:vAlign w:val="center"/>
            <w:hideMark/>
          </w:tcPr>
          <w:p w14:paraId="49B1DC0A"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134" w:type="dxa"/>
            <w:tcBorders>
              <w:top w:val="nil"/>
              <w:left w:val="nil"/>
              <w:bottom w:val="single" w:sz="4" w:space="0" w:color="auto"/>
              <w:right w:val="single" w:sz="8" w:space="0" w:color="auto"/>
            </w:tcBorders>
            <w:vAlign w:val="center"/>
            <w:hideMark/>
          </w:tcPr>
          <w:p w14:paraId="47534339" w14:textId="77777777" w:rsidR="00752C0B" w:rsidRPr="00E07F43" w:rsidRDefault="00752C0B" w:rsidP="00361731">
            <w:pPr>
              <w:jc w:val="center"/>
              <w:rPr>
                <w:rFonts w:ascii="Calibri" w:hAnsi="Calibri" w:cs="Calibri"/>
                <w:color w:val="000000"/>
                <w:sz w:val="20"/>
                <w:szCs w:val="20"/>
              </w:rPr>
            </w:pPr>
            <w:r w:rsidRPr="00E07F43">
              <w:rPr>
                <w:rFonts w:ascii="Calibri" w:hAnsi="Calibri" w:cs="Calibri"/>
                <w:color w:val="000000"/>
                <w:sz w:val="20"/>
                <w:szCs w:val="20"/>
                <w:lang w:val="en-AU"/>
              </w:rPr>
              <w:t>25%</w:t>
            </w:r>
          </w:p>
        </w:tc>
      </w:tr>
      <w:tr w:rsidR="00752C0B" w:rsidRPr="0083124A" w14:paraId="62D59C6D"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16870529"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recommended procedures/firm-level policies/ practices/standards that were improved or eliminated</w:t>
            </w:r>
          </w:p>
        </w:tc>
        <w:tc>
          <w:tcPr>
            <w:tcW w:w="1417" w:type="dxa"/>
            <w:tcBorders>
              <w:top w:val="nil"/>
              <w:left w:val="nil"/>
              <w:bottom w:val="single" w:sz="4" w:space="0" w:color="auto"/>
              <w:right w:val="single" w:sz="4" w:space="0" w:color="auto"/>
            </w:tcBorders>
            <w:vAlign w:val="center"/>
            <w:hideMark/>
          </w:tcPr>
          <w:p w14:paraId="54DDB8E1"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w:t>
            </w:r>
          </w:p>
        </w:tc>
        <w:tc>
          <w:tcPr>
            <w:tcW w:w="1276" w:type="dxa"/>
            <w:tcBorders>
              <w:top w:val="nil"/>
              <w:left w:val="nil"/>
              <w:bottom w:val="single" w:sz="4" w:space="0" w:color="auto"/>
              <w:right w:val="single" w:sz="4" w:space="0" w:color="auto"/>
            </w:tcBorders>
            <w:vAlign w:val="center"/>
            <w:hideMark/>
          </w:tcPr>
          <w:p w14:paraId="590A7869"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w:t>
            </w:r>
          </w:p>
        </w:tc>
        <w:tc>
          <w:tcPr>
            <w:tcW w:w="1134" w:type="dxa"/>
            <w:tcBorders>
              <w:top w:val="nil"/>
              <w:left w:val="nil"/>
              <w:bottom w:val="single" w:sz="4" w:space="0" w:color="auto"/>
              <w:right w:val="single" w:sz="8" w:space="0" w:color="auto"/>
            </w:tcBorders>
            <w:hideMark/>
          </w:tcPr>
          <w:p w14:paraId="01BA4AD6" w14:textId="77777777" w:rsidR="00752C0B" w:rsidRPr="0083124A" w:rsidRDefault="00752C0B" w:rsidP="00361731">
            <w:pPr>
              <w:jc w:val="center"/>
              <w:rPr>
                <w:rFonts w:ascii="Calibri" w:hAnsi="Calibri" w:cs="Calibri"/>
                <w:color w:val="000000"/>
                <w:sz w:val="20"/>
                <w:szCs w:val="20"/>
              </w:rPr>
            </w:pPr>
            <w:r w:rsidRPr="0083124A">
              <w:rPr>
                <w:rFonts w:ascii="Calibri" w:hAnsi="Calibri" w:cs="Calibri"/>
                <w:color w:val="000000"/>
                <w:sz w:val="20"/>
                <w:szCs w:val="20"/>
              </w:rPr>
              <w:t>Yes</w:t>
            </w:r>
          </w:p>
        </w:tc>
      </w:tr>
      <w:tr w:rsidR="00752C0B" w:rsidRPr="0083124A" w14:paraId="5F064F70" w14:textId="77777777" w:rsidTr="00361731">
        <w:trPr>
          <w:trHeight w:val="450"/>
        </w:trPr>
        <w:tc>
          <w:tcPr>
            <w:tcW w:w="6096" w:type="dxa"/>
            <w:tcBorders>
              <w:top w:val="nil"/>
              <w:left w:val="single" w:sz="8" w:space="0" w:color="auto"/>
              <w:bottom w:val="single" w:sz="4" w:space="0" w:color="auto"/>
              <w:right w:val="single" w:sz="4" w:space="0" w:color="auto"/>
            </w:tcBorders>
            <w:vAlign w:val="center"/>
            <w:hideMark/>
          </w:tcPr>
          <w:p w14:paraId="37DEF3A4"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new financial products launched</w:t>
            </w:r>
          </w:p>
        </w:tc>
        <w:tc>
          <w:tcPr>
            <w:tcW w:w="1417" w:type="dxa"/>
            <w:tcBorders>
              <w:top w:val="nil"/>
              <w:left w:val="nil"/>
              <w:bottom w:val="single" w:sz="4" w:space="0" w:color="auto"/>
              <w:right w:val="single" w:sz="4" w:space="0" w:color="auto"/>
            </w:tcBorders>
            <w:vAlign w:val="center"/>
            <w:hideMark/>
          </w:tcPr>
          <w:p w14:paraId="7F35B696"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5</w:t>
            </w:r>
          </w:p>
        </w:tc>
        <w:tc>
          <w:tcPr>
            <w:tcW w:w="1276" w:type="dxa"/>
            <w:tcBorders>
              <w:top w:val="nil"/>
              <w:left w:val="nil"/>
              <w:bottom w:val="single" w:sz="4" w:space="0" w:color="auto"/>
              <w:right w:val="single" w:sz="4" w:space="0" w:color="auto"/>
            </w:tcBorders>
            <w:vAlign w:val="center"/>
            <w:hideMark/>
          </w:tcPr>
          <w:p w14:paraId="4AAA9ACB"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0E0132CB" w14:textId="77777777" w:rsidR="00752C0B" w:rsidRPr="0083124A" w:rsidRDefault="00752C0B" w:rsidP="00361731">
            <w:pPr>
              <w:jc w:val="center"/>
              <w:rPr>
                <w:rFonts w:ascii="Calibri" w:hAnsi="Calibri" w:cs="Calibri"/>
                <w:color w:val="000000"/>
                <w:sz w:val="20"/>
                <w:szCs w:val="20"/>
              </w:rPr>
            </w:pPr>
            <w:r w:rsidRPr="0083124A">
              <w:rPr>
                <w:rFonts w:ascii="Calibri" w:hAnsi="Calibri" w:cs="Calibri"/>
                <w:color w:val="000000"/>
                <w:sz w:val="20"/>
                <w:szCs w:val="20"/>
              </w:rPr>
              <w:t>Yes</w:t>
            </w:r>
          </w:p>
        </w:tc>
      </w:tr>
    </w:tbl>
    <w:p w14:paraId="102276A6" w14:textId="77777777" w:rsidR="00752C0B" w:rsidRDefault="00752C0B" w:rsidP="00752C0B"/>
    <w:tbl>
      <w:tblPr>
        <w:tblW w:w="9923" w:type="dxa"/>
        <w:tblInd w:w="-152" w:type="dxa"/>
        <w:tblLook w:val="04A0" w:firstRow="1" w:lastRow="0" w:firstColumn="1" w:lastColumn="0" w:noHBand="0" w:noVBand="1"/>
      </w:tblPr>
      <w:tblGrid>
        <w:gridCol w:w="6096"/>
        <w:gridCol w:w="1417"/>
        <w:gridCol w:w="1276"/>
        <w:gridCol w:w="1134"/>
      </w:tblGrid>
      <w:tr w:rsidR="00752C0B" w:rsidRPr="00E07F43" w14:paraId="6D45CBB4" w14:textId="77777777" w:rsidTr="00361731">
        <w:trPr>
          <w:trHeight w:val="345"/>
          <w:tblHeader/>
        </w:trPr>
        <w:tc>
          <w:tcPr>
            <w:tcW w:w="609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52E748E" w14:textId="77777777" w:rsidR="00752C0B" w:rsidRDefault="00752C0B" w:rsidP="00361731">
            <w:pPr>
              <w:rPr>
                <w:rFonts w:ascii="Calibri" w:hAnsi="Calibri" w:cs="Calibri"/>
                <w:b/>
                <w:bCs/>
                <w:color w:val="000000"/>
                <w:sz w:val="20"/>
                <w:szCs w:val="20"/>
              </w:rPr>
            </w:pPr>
            <w:r>
              <w:rPr>
                <w:rFonts w:ascii="Calibri" w:hAnsi="Calibri" w:cs="Calibri"/>
                <w:b/>
                <w:bCs/>
                <w:color w:val="000000"/>
                <w:sz w:val="20"/>
                <w:szCs w:val="20"/>
                <w:lang w:val="en-AU"/>
              </w:rPr>
              <w:t>Viet Nam Green Finance - OUTCOME</w:t>
            </w:r>
          </w:p>
        </w:tc>
        <w:tc>
          <w:tcPr>
            <w:tcW w:w="1417"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323A328B"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Cumulative Results till Dec 2025</w:t>
            </w:r>
          </w:p>
        </w:tc>
        <w:tc>
          <w:tcPr>
            <w:tcW w:w="127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DB1D8DB"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2AD94C03" w14:textId="77777777" w:rsidR="00752C0B" w:rsidRPr="00E07F43" w:rsidRDefault="00752C0B" w:rsidP="00361731">
            <w:pPr>
              <w:jc w:val="center"/>
              <w:rPr>
                <w:rFonts w:ascii="Calibri" w:hAnsi="Calibri" w:cs="Calibri"/>
                <w:color w:val="000000"/>
                <w:sz w:val="20"/>
                <w:szCs w:val="20"/>
              </w:rPr>
            </w:pPr>
            <w:r>
              <w:rPr>
                <w:rFonts w:ascii="Calibri" w:hAnsi="Calibri" w:cs="Calibri"/>
                <w:b/>
                <w:bCs/>
                <w:color w:val="000000"/>
                <w:sz w:val="20"/>
                <w:szCs w:val="20"/>
                <w:lang w:val="en-AU"/>
              </w:rPr>
              <w:t>Achieved</w:t>
            </w:r>
          </w:p>
        </w:tc>
      </w:tr>
      <w:tr w:rsidR="00752C0B" w:rsidRPr="0083124A" w14:paraId="521D73D4" w14:textId="77777777" w:rsidTr="00361731">
        <w:trPr>
          <w:trHeight w:val="765"/>
        </w:trPr>
        <w:tc>
          <w:tcPr>
            <w:tcW w:w="6096" w:type="dxa"/>
            <w:tcBorders>
              <w:top w:val="nil"/>
              <w:left w:val="single" w:sz="8" w:space="0" w:color="auto"/>
              <w:bottom w:val="single" w:sz="4" w:space="0" w:color="auto"/>
              <w:right w:val="single" w:sz="4" w:space="0" w:color="auto"/>
            </w:tcBorders>
            <w:vAlign w:val="center"/>
            <w:hideMark/>
          </w:tcPr>
          <w:p w14:paraId="29A4B692"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participants in workshops, training events, seminars, conferences, etc. reporting supported knowledge exchange and communication on green finance targets</w:t>
            </w:r>
          </w:p>
        </w:tc>
        <w:tc>
          <w:tcPr>
            <w:tcW w:w="1417" w:type="dxa"/>
            <w:tcBorders>
              <w:top w:val="nil"/>
              <w:left w:val="nil"/>
              <w:bottom w:val="single" w:sz="4" w:space="0" w:color="auto"/>
              <w:right w:val="single" w:sz="4" w:space="0" w:color="auto"/>
            </w:tcBorders>
            <w:vAlign w:val="center"/>
            <w:hideMark/>
          </w:tcPr>
          <w:p w14:paraId="2EFCD462"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776</w:t>
            </w:r>
          </w:p>
        </w:tc>
        <w:tc>
          <w:tcPr>
            <w:tcW w:w="1276" w:type="dxa"/>
            <w:tcBorders>
              <w:top w:val="nil"/>
              <w:left w:val="nil"/>
              <w:bottom w:val="single" w:sz="4" w:space="0" w:color="auto"/>
              <w:right w:val="single" w:sz="4" w:space="0" w:color="auto"/>
            </w:tcBorders>
            <w:vAlign w:val="center"/>
            <w:hideMark/>
          </w:tcPr>
          <w:p w14:paraId="346C892C"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80</w:t>
            </w:r>
          </w:p>
        </w:tc>
        <w:tc>
          <w:tcPr>
            <w:tcW w:w="1134" w:type="dxa"/>
            <w:tcBorders>
              <w:top w:val="nil"/>
              <w:left w:val="nil"/>
              <w:bottom w:val="single" w:sz="4" w:space="0" w:color="auto"/>
              <w:right w:val="single" w:sz="8" w:space="0" w:color="auto"/>
            </w:tcBorders>
            <w:hideMark/>
          </w:tcPr>
          <w:p w14:paraId="42D72118" w14:textId="77777777" w:rsidR="00752C0B" w:rsidRPr="0083124A" w:rsidRDefault="00752C0B" w:rsidP="00361731">
            <w:pPr>
              <w:jc w:val="center"/>
              <w:rPr>
                <w:rFonts w:ascii="Calibri" w:hAnsi="Calibri" w:cs="Calibri"/>
                <w:color w:val="000000"/>
                <w:sz w:val="20"/>
                <w:szCs w:val="20"/>
              </w:rPr>
            </w:pPr>
            <w:r w:rsidRPr="0083124A">
              <w:rPr>
                <w:rFonts w:ascii="Calibri" w:hAnsi="Calibri" w:cs="Calibri"/>
                <w:color w:val="000000"/>
                <w:sz w:val="20"/>
                <w:szCs w:val="20"/>
              </w:rPr>
              <w:t>Yes</w:t>
            </w:r>
          </w:p>
        </w:tc>
      </w:tr>
      <w:tr w:rsidR="00752C0B" w:rsidRPr="0083124A" w14:paraId="4180260F"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4EF16B40"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Percentage of participants in training/capacity-building activities reporting improved knowledge or practices †</w:t>
            </w:r>
          </w:p>
        </w:tc>
        <w:tc>
          <w:tcPr>
            <w:tcW w:w="1417" w:type="dxa"/>
            <w:tcBorders>
              <w:top w:val="nil"/>
              <w:left w:val="nil"/>
              <w:bottom w:val="single" w:sz="4" w:space="0" w:color="auto"/>
              <w:right w:val="single" w:sz="4" w:space="0" w:color="auto"/>
            </w:tcBorders>
            <w:vAlign w:val="center"/>
            <w:hideMark/>
          </w:tcPr>
          <w:p w14:paraId="1EAC4AEC"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91.3</w:t>
            </w:r>
          </w:p>
        </w:tc>
        <w:tc>
          <w:tcPr>
            <w:tcW w:w="1276" w:type="dxa"/>
            <w:tcBorders>
              <w:top w:val="nil"/>
              <w:left w:val="nil"/>
              <w:bottom w:val="single" w:sz="4" w:space="0" w:color="auto"/>
              <w:right w:val="single" w:sz="4" w:space="0" w:color="auto"/>
            </w:tcBorders>
            <w:vAlign w:val="center"/>
            <w:hideMark/>
          </w:tcPr>
          <w:p w14:paraId="52C2FCF3"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70</w:t>
            </w:r>
          </w:p>
        </w:tc>
        <w:tc>
          <w:tcPr>
            <w:tcW w:w="1134" w:type="dxa"/>
            <w:tcBorders>
              <w:top w:val="nil"/>
              <w:left w:val="nil"/>
              <w:bottom w:val="single" w:sz="4" w:space="0" w:color="auto"/>
              <w:right w:val="single" w:sz="8" w:space="0" w:color="auto"/>
            </w:tcBorders>
            <w:hideMark/>
          </w:tcPr>
          <w:p w14:paraId="1D6EDF7B" w14:textId="77777777" w:rsidR="00752C0B" w:rsidRPr="0083124A" w:rsidRDefault="00752C0B" w:rsidP="00361731">
            <w:pPr>
              <w:jc w:val="center"/>
              <w:rPr>
                <w:rFonts w:ascii="Calibri" w:hAnsi="Calibri" w:cs="Calibri"/>
                <w:color w:val="000000"/>
                <w:sz w:val="20"/>
                <w:szCs w:val="20"/>
              </w:rPr>
            </w:pPr>
            <w:r w:rsidRPr="0083124A">
              <w:rPr>
                <w:rFonts w:ascii="Calibri" w:hAnsi="Calibri" w:cs="Calibri"/>
                <w:color w:val="000000"/>
                <w:sz w:val="20"/>
                <w:szCs w:val="20"/>
              </w:rPr>
              <w:t>Yes</w:t>
            </w:r>
          </w:p>
        </w:tc>
      </w:tr>
      <w:tr w:rsidR="00752C0B" w:rsidRPr="0083124A" w14:paraId="1A3804BB" w14:textId="77777777" w:rsidTr="00361731">
        <w:trPr>
          <w:trHeight w:val="480"/>
        </w:trPr>
        <w:tc>
          <w:tcPr>
            <w:tcW w:w="6096" w:type="dxa"/>
            <w:tcBorders>
              <w:top w:val="nil"/>
              <w:left w:val="single" w:sz="8" w:space="0" w:color="auto"/>
              <w:bottom w:val="single" w:sz="4" w:space="0" w:color="auto"/>
              <w:right w:val="single" w:sz="4" w:space="0" w:color="auto"/>
            </w:tcBorders>
            <w:vAlign w:val="center"/>
            <w:hideMark/>
          </w:tcPr>
          <w:p w14:paraId="6C40E603"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Value of green loans outstanding (US$) †</w:t>
            </w:r>
          </w:p>
        </w:tc>
        <w:tc>
          <w:tcPr>
            <w:tcW w:w="1417" w:type="dxa"/>
            <w:tcBorders>
              <w:top w:val="nil"/>
              <w:left w:val="nil"/>
              <w:bottom w:val="single" w:sz="4" w:space="0" w:color="auto"/>
              <w:right w:val="single" w:sz="4" w:space="0" w:color="auto"/>
            </w:tcBorders>
            <w:vAlign w:val="center"/>
            <w:hideMark/>
          </w:tcPr>
          <w:p w14:paraId="10C4F5C2"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3,147,888,422</w:t>
            </w:r>
          </w:p>
        </w:tc>
        <w:tc>
          <w:tcPr>
            <w:tcW w:w="1276" w:type="dxa"/>
            <w:tcBorders>
              <w:top w:val="nil"/>
              <w:left w:val="nil"/>
              <w:bottom w:val="single" w:sz="4" w:space="0" w:color="auto"/>
              <w:right w:val="single" w:sz="4" w:space="0" w:color="auto"/>
            </w:tcBorders>
            <w:vAlign w:val="center"/>
            <w:hideMark/>
          </w:tcPr>
          <w:p w14:paraId="6F14BFE8"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300,000,000</w:t>
            </w:r>
          </w:p>
        </w:tc>
        <w:tc>
          <w:tcPr>
            <w:tcW w:w="1134" w:type="dxa"/>
            <w:tcBorders>
              <w:top w:val="nil"/>
              <w:left w:val="nil"/>
              <w:bottom w:val="single" w:sz="4" w:space="0" w:color="auto"/>
              <w:right w:val="single" w:sz="8" w:space="0" w:color="auto"/>
            </w:tcBorders>
            <w:hideMark/>
          </w:tcPr>
          <w:p w14:paraId="0A131C79" w14:textId="77777777" w:rsidR="00752C0B" w:rsidRPr="0083124A" w:rsidRDefault="00752C0B" w:rsidP="00361731">
            <w:pPr>
              <w:jc w:val="center"/>
              <w:rPr>
                <w:rFonts w:ascii="Calibri" w:hAnsi="Calibri" w:cs="Calibri"/>
                <w:color w:val="000000"/>
                <w:sz w:val="20"/>
                <w:szCs w:val="20"/>
              </w:rPr>
            </w:pPr>
            <w:r w:rsidRPr="0083124A">
              <w:rPr>
                <w:rFonts w:ascii="Calibri" w:hAnsi="Calibri" w:cs="Calibri"/>
                <w:color w:val="000000"/>
                <w:sz w:val="20"/>
                <w:szCs w:val="20"/>
              </w:rPr>
              <w:t>Yes</w:t>
            </w:r>
          </w:p>
        </w:tc>
      </w:tr>
    </w:tbl>
    <w:p w14:paraId="721A4B4E" w14:textId="77777777" w:rsidR="00752C0B" w:rsidRPr="00F92AAD" w:rsidRDefault="00752C0B" w:rsidP="00752C0B">
      <w:pPr>
        <w:rPr>
          <w:b/>
          <w:bCs/>
        </w:rPr>
      </w:pPr>
    </w:p>
    <w:tbl>
      <w:tblPr>
        <w:tblW w:w="9923" w:type="dxa"/>
        <w:tblInd w:w="-152" w:type="dxa"/>
        <w:tblLook w:val="04A0" w:firstRow="1" w:lastRow="0" w:firstColumn="1" w:lastColumn="0" w:noHBand="0" w:noVBand="1"/>
      </w:tblPr>
      <w:tblGrid>
        <w:gridCol w:w="6096"/>
        <w:gridCol w:w="1417"/>
        <w:gridCol w:w="1276"/>
        <w:gridCol w:w="1134"/>
      </w:tblGrid>
      <w:tr w:rsidR="00752C0B" w:rsidRPr="00E07F43" w14:paraId="08441CFB" w14:textId="77777777" w:rsidTr="00361731">
        <w:trPr>
          <w:trHeight w:val="345"/>
          <w:tblHeader/>
        </w:trPr>
        <w:tc>
          <w:tcPr>
            <w:tcW w:w="609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5C7D336" w14:textId="77777777" w:rsidR="00752C0B" w:rsidRDefault="00752C0B" w:rsidP="00361731">
            <w:pPr>
              <w:rPr>
                <w:rFonts w:ascii="Calibri" w:hAnsi="Calibri" w:cs="Calibri"/>
                <w:b/>
                <w:bCs/>
                <w:color w:val="000000"/>
                <w:sz w:val="20"/>
                <w:szCs w:val="20"/>
              </w:rPr>
            </w:pPr>
            <w:r>
              <w:rPr>
                <w:rFonts w:ascii="Calibri" w:hAnsi="Calibri" w:cs="Calibri"/>
                <w:b/>
                <w:bCs/>
                <w:color w:val="000000"/>
                <w:sz w:val="20"/>
                <w:szCs w:val="20"/>
                <w:lang w:val="en-AU"/>
              </w:rPr>
              <w:t>Viet Nam Green Finance - IMPACT</w:t>
            </w:r>
          </w:p>
        </w:tc>
        <w:tc>
          <w:tcPr>
            <w:tcW w:w="1417"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0DFEC3C5"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Cumulative Results till Dec 2025</w:t>
            </w:r>
          </w:p>
        </w:tc>
        <w:tc>
          <w:tcPr>
            <w:tcW w:w="1276"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01A90781" w14:textId="77777777" w:rsidR="00752C0B" w:rsidRDefault="00752C0B" w:rsidP="00361731">
            <w:pPr>
              <w:jc w:val="center"/>
              <w:rPr>
                <w:rFonts w:ascii="Calibri" w:hAnsi="Calibri" w:cs="Calibri"/>
                <w:b/>
                <w:bCs/>
                <w:color w:val="000000"/>
                <w:sz w:val="20"/>
                <w:szCs w:val="20"/>
              </w:rPr>
            </w:pPr>
            <w:r>
              <w:rPr>
                <w:rFonts w:ascii="Calibri" w:hAnsi="Calibri" w:cs="Calibri"/>
                <w:b/>
                <w:bCs/>
                <w:color w:val="000000"/>
                <w:sz w:val="20"/>
                <w:szCs w:val="20"/>
                <w:lang w:val="en-AU"/>
              </w:rPr>
              <w:t>Overall Target</w:t>
            </w:r>
          </w:p>
        </w:tc>
        <w:tc>
          <w:tcPr>
            <w:tcW w:w="1134"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4C919669" w14:textId="77777777" w:rsidR="00752C0B" w:rsidRPr="00E07F43" w:rsidRDefault="00752C0B" w:rsidP="00361731">
            <w:pPr>
              <w:jc w:val="center"/>
              <w:rPr>
                <w:rFonts w:ascii="Calibri" w:hAnsi="Calibri" w:cs="Calibri"/>
                <w:color w:val="000000"/>
                <w:sz w:val="20"/>
                <w:szCs w:val="20"/>
              </w:rPr>
            </w:pPr>
            <w:r>
              <w:rPr>
                <w:rFonts w:ascii="Calibri" w:hAnsi="Calibri" w:cs="Calibri"/>
                <w:b/>
                <w:bCs/>
                <w:color w:val="000000"/>
                <w:sz w:val="20"/>
                <w:szCs w:val="20"/>
                <w:lang w:val="en-AU"/>
              </w:rPr>
              <w:t>Achieved</w:t>
            </w:r>
          </w:p>
        </w:tc>
      </w:tr>
      <w:tr w:rsidR="00752C0B" w14:paraId="7A679987" w14:textId="77777777" w:rsidTr="00361731">
        <w:trPr>
          <w:trHeight w:val="525"/>
        </w:trPr>
        <w:tc>
          <w:tcPr>
            <w:tcW w:w="6096" w:type="dxa"/>
            <w:tcBorders>
              <w:top w:val="nil"/>
              <w:left w:val="single" w:sz="8" w:space="0" w:color="auto"/>
              <w:bottom w:val="single" w:sz="4" w:space="0" w:color="auto"/>
              <w:right w:val="single" w:sz="4" w:space="0" w:color="auto"/>
            </w:tcBorders>
            <w:vAlign w:val="center"/>
            <w:hideMark/>
          </w:tcPr>
          <w:p w14:paraId="3818782A"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Value of financing facilitated (US$)</w:t>
            </w:r>
          </w:p>
        </w:tc>
        <w:tc>
          <w:tcPr>
            <w:tcW w:w="1417" w:type="dxa"/>
            <w:tcBorders>
              <w:top w:val="nil"/>
              <w:left w:val="nil"/>
              <w:bottom w:val="single" w:sz="4" w:space="0" w:color="auto"/>
              <w:right w:val="single" w:sz="4" w:space="0" w:color="auto"/>
            </w:tcBorders>
            <w:vAlign w:val="center"/>
            <w:hideMark/>
          </w:tcPr>
          <w:p w14:paraId="1DC6B8D4"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1,012,000,000</w:t>
            </w:r>
          </w:p>
        </w:tc>
        <w:tc>
          <w:tcPr>
            <w:tcW w:w="1276" w:type="dxa"/>
            <w:tcBorders>
              <w:top w:val="nil"/>
              <w:left w:val="nil"/>
              <w:bottom w:val="single" w:sz="4" w:space="0" w:color="auto"/>
              <w:right w:val="single" w:sz="4" w:space="0" w:color="auto"/>
            </w:tcBorders>
            <w:vAlign w:val="center"/>
            <w:hideMark/>
          </w:tcPr>
          <w:p w14:paraId="6BAD6120"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200,000,000</w:t>
            </w:r>
          </w:p>
        </w:tc>
        <w:tc>
          <w:tcPr>
            <w:tcW w:w="1134" w:type="dxa"/>
            <w:tcBorders>
              <w:top w:val="nil"/>
              <w:left w:val="nil"/>
              <w:bottom w:val="single" w:sz="4" w:space="0" w:color="auto"/>
              <w:right w:val="single" w:sz="8" w:space="0" w:color="auto"/>
            </w:tcBorders>
            <w:hideMark/>
          </w:tcPr>
          <w:p w14:paraId="7573E6BB"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rPr>
              <w:t>Yes</w:t>
            </w:r>
          </w:p>
        </w:tc>
      </w:tr>
      <w:tr w:rsidR="00752C0B" w14:paraId="27CA3023" w14:textId="77777777" w:rsidTr="00361731">
        <w:trPr>
          <w:trHeight w:val="315"/>
        </w:trPr>
        <w:tc>
          <w:tcPr>
            <w:tcW w:w="6096" w:type="dxa"/>
            <w:tcBorders>
              <w:top w:val="nil"/>
              <w:left w:val="single" w:sz="8" w:space="0" w:color="auto"/>
              <w:bottom w:val="single" w:sz="8" w:space="0" w:color="auto"/>
              <w:right w:val="single" w:sz="4" w:space="0" w:color="auto"/>
            </w:tcBorders>
            <w:vAlign w:val="center"/>
            <w:hideMark/>
          </w:tcPr>
          <w:p w14:paraId="7379CB26" w14:textId="77777777" w:rsidR="00752C0B" w:rsidRDefault="00752C0B" w:rsidP="00361731">
            <w:pPr>
              <w:rPr>
                <w:rFonts w:ascii="Calibri" w:hAnsi="Calibri" w:cs="Calibri"/>
                <w:color w:val="000000"/>
                <w:sz w:val="20"/>
                <w:szCs w:val="20"/>
              </w:rPr>
            </w:pPr>
            <w:r>
              <w:rPr>
                <w:rFonts w:ascii="Calibri" w:hAnsi="Calibri" w:cs="Calibri"/>
                <w:color w:val="000000"/>
                <w:sz w:val="20"/>
                <w:szCs w:val="20"/>
                <w:lang w:val="en-AU"/>
              </w:rPr>
              <w:t>Number of entities improved climate financing</w:t>
            </w:r>
          </w:p>
        </w:tc>
        <w:tc>
          <w:tcPr>
            <w:tcW w:w="1417" w:type="dxa"/>
            <w:tcBorders>
              <w:top w:val="nil"/>
              <w:left w:val="nil"/>
              <w:bottom w:val="single" w:sz="8" w:space="0" w:color="auto"/>
              <w:right w:val="single" w:sz="4" w:space="0" w:color="auto"/>
            </w:tcBorders>
            <w:vAlign w:val="center"/>
            <w:hideMark/>
          </w:tcPr>
          <w:p w14:paraId="22735B6E"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3</w:t>
            </w:r>
          </w:p>
        </w:tc>
        <w:tc>
          <w:tcPr>
            <w:tcW w:w="1276" w:type="dxa"/>
            <w:tcBorders>
              <w:top w:val="nil"/>
              <w:left w:val="nil"/>
              <w:bottom w:val="single" w:sz="8" w:space="0" w:color="auto"/>
              <w:right w:val="single" w:sz="4" w:space="0" w:color="auto"/>
            </w:tcBorders>
            <w:vAlign w:val="center"/>
            <w:hideMark/>
          </w:tcPr>
          <w:p w14:paraId="3E8750B8"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4</w:t>
            </w:r>
          </w:p>
        </w:tc>
        <w:tc>
          <w:tcPr>
            <w:tcW w:w="1134" w:type="dxa"/>
            <w:tcBorders>
              <w:top w:val="nil"/>
              <w:left w:val="nil"/>
              <w:bottom w:val="single" w:sz="8" w:space="0" w:color="auto"/>
              <w:right w:val="single" w:sz="8" w:space="0" w:color="auto"/>
            </w:tcBorders>
            <w:vAlign w:val="center"/>
            <w:hideMark/>
          </w:tcPr>
          <w:p w14:paraId="683080CD" w14:textId="77777777" w:rsidR="00752C0B" w:rsidRDefault="00752C0B" w:rsidP="00361731">
            <w:pPr>
              <w:jc w:val="center"/>
              <w:rPr>
                <w:rFonts w:ascii="Calibri" w:hAnsi="Calibri" w:cs="Calibri"/>
                <w:color w:val="000000"/>
                <w:sz w:val="20"/>
                <w:szCs w:val="20"/>
              </w:rPr>
            </w:pPr>
            <w:r>
              <w:rPr>
                <w:rFonts w:ascii="Calibri" w:hAnsi="Calibri" w:cs="Calibri"/>
                <w:color w:val="000000"/>
                <w:sz w:val="20"/>
                <w:szCs w:val="20"/>
                <w:lang w:val="en-AU"/>
              </w:rPr>
              <w:t>75%</w:t>
            </w:r>
          </w:p>
        </w:tc>
      </w:tr>
    </w:tbl>
    <w:p w14:paraId="357CF051" w14:textId="2EDFD75C" w:rsidR="0027115B" w:rsidRPr="000348BD" w:rsidRDefault="0027115B" w:rsidP="0027115B">
      <w:pPr>
        <w:textAlignment w:val="baseline"/>
        <w:rPr>
          <w:rFonts w:ascii="Calibri" w:eastAsia="Calibri" w:hAnsi="Calibri" w:cs="Calibri"/>
          <w:color w:val="000000"/>
          <w:sz w:val="16"/>
          <w:szCs w:val="16"/>
          <w:lang w:val="en-AU"/>
        </w:rPr>
      </w:pPr>
      <w:r w:rsidRPr="000348BD">
        <w:rPr>
          <w:rFonts w:ascii="Calibri" w:hAnsi="Calibri" w:cs="Calibri"/>
          <w:b/>
          <w:bCs/>
          <w:caps/>
          <w:sz w:val="16"/>
          <w:szCs w:val="16"/>
          <w:lang w:val="en-AU"/>
        </w:rPr>
        <w:t xml:space="preserve"> †</w:t>
      </w:r>
      <w:r w:rsidRPr="000348BD">
        <w:rPr>
          <w:rFonts w:ascii="Calibri" w:hAnsi="Calibri" w:cs="Calibri"/>
          <w:caps/>
          <w:sz w:val="16"/>
          <w:szCs w:val="16"/>
          <w:lang w:val="en-AU"/>
        </w:rPr>
        <w:t xml:space="preserve"> </w:t>
      </w:r>
      <w:r w:rsidRPr="000348BD">
        <w:rPr>
          <w:rFonts w:ascii="Calibri" w:eastAsia="Calibri" w:hAnsi="Calibri" w:cs="Calibri"/>
          <w:color w:val="000000"/>
          <w:sz w:val="16"/>
          <w:szCs w:val="16"/>
          <w:lang w:val="en-AU"/>
        </w:rPr>
        <w:t>non-cumulative indicator</w:t>
      </w:r>
    </w:p>
    <w:p w14:paraId="3133AF8E" w14:textId="75C21466" w:rsidR="00752C0B" w:rsidRDefault="00752C0B" w:rsidP="0018560C">
      <w:pPr>
        <w:textAlignment w:val="baseline"/>
        <w:rPr>
          <w:rFonts w:ascii="Cambria" w:hAnsi="Cambria"/>
          <w:b/>
          <w:bCs/>
          <w:caps/>
          <w:sz w:val="22"/>
          <w:lang w:val="en-AU"/>
        </w:rPr>
      </w:pPr>
    </w:p>
    <w:tbl>
      <w:tblPr>
        <w:tblW w:w="9923" w:type="dxa"/>
        <w:tblInd w:w="-152" w:type="dxa"/>
        <w:tblLook w:val="04A0" w:firstRow="1" w:lastRow="0" w:firstColumn="1" w:lastColumn="0" w:noHBand="0" w:noVBand="1"/>
      </w:tblPr>
      <w:tblGrid>
        <w:gridCol w:w="6096"/>
        <w:gridCol w:w="1417"/>
        <w:gridCol w:w="1276"/>
        <w:gridCol w:w="1134"/>
      </w:tblGrid>
      <w:tr w:rsidR="00752C0B" w:rsidRPr="0018560C" w14:paraId="2603FCCC" w14:textId="77777777" w:rsidTr="00752C0B">
        <w:trPr>
          <w:trHeight w:val="765"/>
          <w:tblHeader/>
        </w:trPr>
        <w:tc>
          <w:tcPr>
            <w:tcW w:w="6096"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26E2B4A7" w14:textId="50E03428" w:rsidR="00752C0B" w:rsidRPr="0018560C" w:rsidRDefault="00752C0B" w:rsidP="00361731">
            <w:pPr>
              <w:rPr>
                <w:rFonts w:ascii="Calibri" w:hAnsi="Calibri" w:cs="Calibri"/>
                <w:b/>
                <w:bCs/>
                <w:color w:val="000000"/>
                <w:sz w:val="20"/>
                <w:szCs w:val="20"/>
                <w:lang w:val="en-US"/>
              </w:rPr>
            </w:pPr>
            <w:r w:rsidRPr="0018560C">
              <w:rPr>
                <w:rFonts w:ascii="Calibri" w:hAnsi="Calibri" w:cs="Calibri"/>
                <w:b/>
                <w:bCs/>
                <w:color w:val="000000"/>
                <w:sz w:val="20"/>
                <w:szCs w:val="20"/>
                <w:lang w:val="en-AU"/>
              </w:rPr>
              <w:t>Viet Nam Blue Finance</w:t>
            </w:r>
            <w:r>
              <w:rPr>
                <w:rFonts w:ascii="Calibri" w:hAnsi="Calibri" w:cs="Calibri"/>
                <w:b/>
                <w:bCs/>
                <w:color w:val="000000"/>
                <w:sz w:val="20"/>
                <w:szCs w:val="20"/>
                <w:lang w:val="en-AU"/>
              </w:rPr>
              <w:t xml:space="preserve"> - OUTPUT</w:t>
            </w:r>
          </w:p>
        </w:tc>
        <w:tc>
          <w:tcPr>
            <w:tcW w:w="1417" w:type="dxa"/>
            <w:tcBorders>
              <w:top w:val="single" w:sz="8" w:space="0" w:color="auto"/>
              <w:left w:val="nil"/>
              <w:bottom w:val="single" w:sz="4" w:space="0" w:color="auto"/>
              <w:right w:val="single" w:sz="4" w:space="0" w:color="auto"/>
            </w:tcBorders>
            <w:shd w:val="clear" w:color="000000" w:fill="CAEDFB"/>
            <w:vAlign w:val="center"/>
            <w:hideMark/>
          </w:tcPr>
          <w:p w14:paraId="62392AE1" w14:textId="77777777" w:rsidR="00752C0B" w:rsidRPr="0018560C" w:rsidRDefault="00752C0B" w:rsidP="00361731">
            <w:pPr>
              <w:jc w:val="center"/>
              <w:rPr>
                <w:rFonts w:ascii="Calibri" w:hAnsi="Calibri" w:cs="Calibri"/>
                <w:b/>
                <w:bCs/>
                <w:color w:val="000000"/>
                <w:sz w:val="20"/>
                <w:szCs w:val="20"/>
                <w:lang w:val="en-US"/>
              </w:rPr>
            </w:pPr>
            <w:r w:rsidRPr="0018560C">
              <w:rPr>
                <w:rFonts w:ascii="Calibri" w:hAnsi="Calibri" w:cs="Calibri"/>
                <w:b/>
                <w:bCs/>
                <w:color w:val="000000"/>
                <w:sz w:val="20"/>
                <w:szCs w:val="20"/>
                <w:lang w:val="en-AU"/>
              </w:rPr>
              <w:t>Cumulative Results till Dec 2025</w:t>
            </w:r>
          </w:p>
        </w:tc>
        <w:tc>
          <w:tcPr>
            <w:tcW w:w="1276" w:type="dxa"/>
            <w:tcBorders>
              <w:top w:val="single" w:sz="8" w:space="0" w:color="auto"/>
              <w:left w:val="nil"/>
              <w:bottom w:val="single" w:sz="4" w:space="0" w:color="auto"/>
              <w:right w:val="single" w:sz="4" w:space="0" w:color="auto"/>
            </w:tcBorders>
            <w:shd w:val="clear" w:color="000000" w:fill="CAEDFB"/>
            <w:vAlign w:val="center"/>
            <w:hideMark/>
          </w:tcPr>
          <w:p w14:paraId="462EED21" w14:textId="77777777" w:rsidR="00752C0B" w:rsidRPr="0018560C" w:rsidRDefault="00752C0B" w:rsidP="00361731">
            <w:pPr>
              <w:jc w:val="center"/>
              <w:rPr>
                <w:rFonts w:ascii="Calibri" w:hAnsi="Calibri" w:cs="Calibri"/>
                <w:b/>
                <w:bCs/>
                <w:color w:val="000000"/>
                <w:sz w:val="20"/>
                <w:szCs w:val="20"/>
                <w:lang w:val="en-US"/>
              </w:rPr>
            </w:pPr>
            <w:r w:rsidRPr="0018560C">
              <w:rPr>
                <w:rFonts w:ascii="Calibri" w:hAnsi="Calibri" w:cs="Calibri"/>
                <w:b/>
                <w:bCs/>
                <w:color w:val="000000"/>
                <w:sz w:val="20"/>
                <w:szCs w:val="20"/>
                <w:lang w:val="en-AU"/>
              </w:rPr>
              <w:t>Overall Target</w:t>
            </w:r>
          </w:p>
        </w:tc>
        <w:tc>
          <w:tcPr>
            <w:tcW w:w="1134" w:type="dxa"/>
            <w:tcBorders>
              <w:top w:val="single" w:sz="8" w:space="0" w:color="auto"/>
              <w:left w:val="nil"/>
              <w:bottom w:val="single" w:sz="4" w:space="0" w:color="auto"/>
              <w:right w:val="single" w:sz="8" w:space="0" w:color="auto"/>
            </w:tcBorders>
            <w:shd w:val="clear" w:color="000000" w:fill="CAEDFB"/>
            <w:vAlign w:val="center"/>
            <w:hideMark/>
          </w:tcPr>
          <w:p w14:paraId="114BDA57" w14:textId="77777777" w:rsidR="00752C0B" w:rsidRPr="0018560C" w:rsidRDefault="00752C0B" w:rsidP="00361731">
            <w:pPr>
              <w:jc w:val="center"/>
              <w:rPr>
                <w:rFonts w:ascii="Calibri" w:hAnsi="Calibri" w:cs="Calibri"/>
                <w:b/>
                <w:bCs/>
                <w:color w:val="000000"/>
                <w:sz w:val="20"/>
                <w:szCs w:val="20"/>
                <w:lang w:val="en-US"/>
              </w:rPr>
            </w:pPr>
            <w:r w:rsidRPr="0018560C">
              <w:rPr>
                <w:rFonts w:ascii="Calibri" w:hAnsi="Calibri" w:cs="Calibri"/>
                <w:b/>
                <w:bCs/>
                <w:color w:val="000000"/>
                <w:sz w:val="20"/>
                <w:szCs w:val="20"/>
                <w:lang w:val="en-AU"/>
              </w:rPr>
              <w:t>Achieved</w:t>
            </w:r>
          </w:p>
        </w:tc>
      </w:tr>
      <w:tr w:rsidR="00752C0B" w:rsidRPr="0018560C" w14:paraId="40A5C9FF" w14:textId="77777777" w:rsidTr="00361731">
        <w:trPr>
          <w:trHeight w:val="420"/>
        </w:trPr>
        <w:tc>
          <w:tcPr>
            <w:tcW w:w="6096" w:type="dxa"/>
            <w:tcBorders>
              <w:top w:val="nil"/>
              <w:left w:val="single" w:sz="8" w:space="0" w:color="auto"/>
              <w:bottom w:val="single" w:sz="4" w:space="0" w:color="auto"/>
              <w:right w:val="single" w:sz="4" w:space="0" w:color="auto"/>
            </w:tcBorders>
            <w:vAlign w:val="center"/>
            <w:hideMark/>
          </w:tcPr>
          <w:p w14:paraId="0205D2A3" w14:textId="77777777" w:rsidR="00752C0B" w:rsidRPr="0018560C" w:rsidRDefault="00752C0B" w:rsidP="00361731">
            <w:pPr>
              <w:rPr>
                <w:rFonts w:ascii="Calibri" w:hAnsi="Calibri" w:cs="Calibri"/>
                <w:color w:val="000000"/>
                <w:sz w:val="20"/>
                <w:szCs w:val="20"/>
                <w:lang w:val="en-US"/>
              </w:rPr>
            </w:pPr>
            <w:r w:rsidRPr="0018560C">
              <w:rPr>
                <w:rFonts w:ascii="Calibri" w:hAnsi="Calibri" w:cs="Calibri"/>
                <w:color w:val="000000"/>
                <w:sz w:val="20"/>
                <w:szCs w:val="20"/>
                <w:lang w:val="en-AU"/>
              </w:rPr>
              <w:t>Number of workshops, training events, seminars, conferences, etc.</w:t>
            </w:r>
          </w:p>
        </w:tc>
        <w:tc>
          <w:tcPr>
            <w:tcW w:w="1417" w:type="dxa"/>
            <w:tcBorders>
              <w:top w:val="nil"/>
              <w:left w:val="nil"/>
              <w:bottom w:val="single" w:sz="4" w:space="0" w:color="auto"/>
              <w:right w:val="single" w:sz="4" w:space="0" w:color="auto"/>
            </w:tcBorders>
            <w:vAlign w:val="center"/>
            <w:hideMark/>
          </w:tcPr>
          <w:p w14:paraId="346E775B"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3</w:t>
            </w:r>
          </w:p>
        </w:tc>
        <w:tc>
          <w:tcPr>
            <w:tcW w:w="1276" w:type="dxa"/>
            <w:tcBorders>
              <w:top w:val="nil"/>
              <w:left w:val="nil"/>
              <w:bottom w:val="single" w:sz="4" w:space="0" w:color="auto"/>
              <w:right w:val="single" w:sz="4" w:space="0" w:color="auto"/>
            </w:tcBorders>
            <w:vAlign w:val="center"/>
            <w:hideMark/>
          </w:tcPr>
          <w:p w14:paraId="0CE5A41F"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2</w:t>
            </w:r>
          </w:p>
        </w:tc>
        <w:tc>
          <w:tcPr>
            <w:tcW w:w="1134" w:type="dxa"/>
            <w:tcBorders>
              <w:top w:val="nil"/>
              <w:left w:val="nil"/>
              <w:bottom w:val="single" w:sz="4" w:space="0" w:color="auto"/>
              <w:right w:val="single" w:sz="8" w:space="0" w:color="auto"/>
            </w:tcBorders>
            <w:hideMark/>
          </w:tcPr>
          <w:p w14:paraId="60D5FD5F" w14:textId="77777777" w:rsidR="00752C0B" w:rsidRDefault="00752C0B" w:rsidP="00361731">
            <w:pPr>
              <w:jc w:val="center"/>
              <w:rPr>
                <w:rFonts w:ascii="Calibri" w:hAnsi="Calibri" w:cs="Calibri"/>
                <w:color w:val="000000"/>
                <w:sz w:val="20"/>
                <w:szCs w:val="20"/>
                <w:lang w:val="en-US"/>
              </w:rPr>
            </w:pPr>
          </w:p>
          <w:p w14:paraId="0C6603A0" w14:textId="77777777" w:rsidR="00752C0B" w:rsidRPr="0018560C"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18560C" w14:paraId="25986668" w14:textId="77777777" w:rsidTr="00361731">
        <w:trPr>
          <w:trHeight w:val="510"/>
        </w:trPr>
        <w:tc>
          <w:tcPr>
            <w:tcW w:w="6096" w:type="dxa"/>
            <w:tcBorders>
              <w:top w:val="nil"/>
              <w:left w:val="single" w:sz="8" w:space="0" w:color="auto"/>
              <w:bottom w:val="single" w:sz="4" w:space="0" w:color="auto"/>
              <w:right w:val="single" w:sz="4" w:space="0" w:color="auto"/>
            </w:tcBorders>
            <w:vAlign w:val="center"/>
            <w:hideMark/>
          </w:tcPr>
          <w:p w14:paraId="3343104F" w14:textId="77777777" w:rsidR="00752C0B" w:rsidRPr="0018560C" w:rsidRDefault="00752C0B" w:rsidP="00361731">
            <w:pPr>
              <w:rPr>
                <w:rFonts w:ascii="Calibri" w:hAnsi="Calibri" w:cs="Calibri"/>
                <w:color w:val="000000"/>
                <w:sz w:val="20"/>
                <w:szCs w:val="20"/>
                <w:lang w:val="en-US"/>
              </w:rPr>
            </w:pPr>
            <w:r w:rsidRPr="0018560C">
              <w:rPr>
                <w:rFonts w:ascii="Calibri" w:hAnsi="Calibri" w:cs="Calibri"/>
                <w:color w:val="000000"/>
                <w:sz w:val="20"/>
                <w:szCs w:val="20"/>
                <w:lang w:val="en-AU"/>
              </w:rPr>
              <w:t>Number of reports (assessments, surveys, manuals, Phase I/strategic option reports, research, analytical, evaluations, etc.) completed</w:t>
            </w:r>
          </w:p>
        </w:tc>
        <w:tc>
          <w:tcPr>
            <w:tcW w:w="1417" w:type="dxa"/>
            <w:tcBorders>
              <w:top w:val="nil"/>
              <w:left w:val="nil"/>
              <w:bottom w:val="single" w:sz="4" w:space="0" w:color="auto"/>
              <w:right w:val="single" w:sz="4" w:space="0" w:color="auto"/>
            </w:tcBorders>
            <w:vAlign w:val="center"/>
            <w:hideMark/>
          </w:tcPr>
          <w:p w14:paraId="2ED563EB" w14:textId="77777777" w:rsidR="00752C0B" w:rsidRPr="0018560C" w:rsidRDefault="00752C0B" w:rsidP="00361731">
            <w:pPr>
              <w:jc w:val="center"/>
              <w:rPr>
                <w:rFonts w:ascii="Aptos Narrow" w:hAnsi="Aptos Narrow"/>
                <w:color w:val="467886"/>
                <w:sz w:val="22"/>
                <w:szCs w:val="22"/>
                <w:u w:val="single"/>
                <w:lang w:val="en-US"/>
              </w:rPr>
            </w:pPr>
            <w:r w:rsidRPr="000348BD">
              <w:rPr>
                <w:rFonts w:ascii="Calibri" w:eastAsia="MS Mincho" w:hAnsi="Calibri" w:cs="Calibri"/>
                <w:color w:val="000000" w:themeColor="text1"/>
                <w:sz w:val="20"/>
                <w:szCs w:val="20"/>
                <w:lang w:val="en-AU"/>
              </w:rPr>
              <w:t>3</w:t>
            </w:r>
            <w:r w:rsidRPr="000348BD">
              <w:rPr>
                <w:rStyle w:val="FootnoteReference"/>
                <w:rFonts w:ascii="Calibri" w:eastAsia="MS Mincho" w:hAnsi="Calibri" w:cs="Calibri"/>
                <w:color w:val="000000" w:themeColor="text1"/>
                <w:sz w:val="20"/>
                <w:szCs w:val="20"/>
                <w:lang w:val="en-AU"/>
              </w:rPr>
              <w:footnoteReference w:id="25"/>
            </w:r>
          </w:p>
        </w:tc>
        <w:tc>
          <w:tcPr>
            <w:tcW w:w="1276" w:type="dxa"/>
            <w:tcBorders>
              <w:top w:val="nil"/>
              <w:left w:val="nil"/>
              <w:bottom w:val="single" w:sz="4" w:space="0" w:color="auto"/>
              <w:right w:val="single" w:sz="4" w:space="0" w:color="auto"/>
            </w:tcBorders>
            <w:vAlign w:val="center"/>
            <w:hideMark/>
          </w:tcPr>
          <w:p w14:paraId="4B66F135"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3</w:t>
            </w:r>
          </w:p>
        </w:tc>
        <w:tc>
          <w:tcPr>
            <w:tcW w:w="1134" w:type="dxa"/>
            <w:tcBorders>
              <w:top w:val="nil"/>
              <w:left w:val="nil"/>
              <w:bottom w:val="single" w:sz="4" w:space="0" w:color="auto"/>
              <w:right w:val="single" w:sz="8" w:space="0" w:color="auto"/>
            </w:tcBorders>
            <w:hideMark/>
          </w:tcPr>
          <w:p w14:paraId="474058FE" w14:textId="77777777" w:rsidR="00752C0B" w:rsidRDefault="00752C0B" w:rsidP="00361731">
            <w:pPr>
              <w:jc w:val="center"/>
              <w:rPr>
                <w:rFonts w:ascii="Calibri" w:hAnsi="Calibri" w:cs="Calibri"/>
                <w:color w:val="000000"/>
                <w:sz w:val="20"/>
                <w:szCs w:val="20"/>
                <w:lang w:val="en-US"/>
              </w:rPr>
            </w:pPr>
          </w:p>
          <w:p w14:paraId="0AA2E0D8" w14:textId="77777777" w:rsidR="00752C0B" w:rsidRPr="0018560C" w:rsidRDefault="00752C0B" w:rsidP="00361731">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r w:rsidR="00752C0B" w:rsidRPr="0018560C" w14:paraId="7622EA86" w14:textId="77777777" w:rsidTr="00361731">
        <w:trPr>
          <w:trHeight w:val="420"/>
        </w:trPr>
        <w:tc>
          <w:tcPr>
            <w:tcW w:w="6096" w:type="dxa"/>
            <w:tcBorders>
              <w:top w:val="nil"/>
              <w:left w:val="single" w:sz="8" w:space="0" w:color="auto"/>
              <w:bottom w:val="single" w:sz="8" w:space="0" w:color="auto"/>
              <w:right w:val="single" w:sz="4" w:space="0" w:color="auto"/>
            </w:tcBorders>
            <w:vAlign w:val="center"/>
            <w:hideMark/>
          </w:tcPr>
          <w:p w14:paraId="629D7680" w14:textId="77777777" w:rsidR="00752C0B" w:rsidRPr="0018560C" w:rsidRDefault="00752C0B" w:rsidP="00361731">
            <w:pPr>
              <w:rPr>
                <w:rFonts w:ascii="Calibri" w:hAnsi="Calibri" w:cs="Calibri"/>
                <w:color w:val="000000"/>
                <w:sz w:val="20"/>
                <w:szCs w:val="20"/>
                <w:lang w:val="en-US"/>
              </w:rPr>
            </w:pPr>
            <w:r w:rsidRPr="0018560C">
              <w:rPr>
                <w:rFonts w:ascii="Calibri" w:hAnsi="Calibri" w:cs="Calibri"/>
                <w:color w:val="000000"/>
                <w:sz w:val="20"/>
                <w:szCs w:val="20"/>
                <w:lang w:val="en-AU"/>
              </w:rPr>
              <w:t>Number of FIs identified for in-depth engagement</w:t>
            </w:r>
          </w:p>
        </w:tc>
        <w:tc>
          <w:tcPr>
            <w:tcW w:w="1417" w:type="dxa"/>
            <w:tcBorders>
              <w:top w:val="nil"/>
              <w:left w:val="nil"/>
              <w:bottom w:val="single" w:sz="8" w:space="0" w:color="auto"/>
              <w:right w:val="single" w:sz="4" w:space="0" w:color="auto"/>
            </w:tcBorders>
            <w:vAlign w:val="center"/>
            <w:hideMark/>
          </w:tcPr>
          <w:p w14:paraId="4DD7FAB8"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0</w:t>
            </w:r>
          </w:p>
        </w:tc>
        <w:tc>
          <w:tcPr>
            <w:tcW w:w="1276" w:type="dxa"/>
            <w:tcBorders>
              <w:top w:val="nil"/>
              <w:left w:val="nil"/>
              <w:bottom w:val="single" w:sz="8" w:space="0" w:color="auto"/>
              <w:right w:val="single" w:sz="4" w:space="0" w:color="auto"/>
            </w:tcBorders>
            <w:vAlign w:val="center"/>
            <w:hideMark/>
          </w:tcPr>
          <w:p w14:paraId="71BA4619"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1</w:t>
            </w:r>
          </w:p>
        </w:tc>
        <w:tc>
          <w:tcPr>
            <w:tcW w:w="1134" w:type="dxa"/>
            <w:tcBorders>
              <w:top w:val="nil"/>
              <w:left w:val="nil"/>
              <w:bottom w:val="single" w:sz="8" w:space="0" w:color="auto"/>
              <w:right w:val="single" w:sz="8" w:space="0" w:color="auto"/>
            </w:tcBorders>
            <w:vAlign w:val="center"/>
            <w:hideMark/>
          </w:tcPr>
          <w:p w14:paraId="12202472" w14:textId="77777777" w:rsidR="00752C0B" w:rsidRPr="0018560C" w:rsidRDefault="00752C0B" w:rsidP="00361731">
            <w:pPr>
              <w:jc w:val="center"/>
              <w:rPr>
                <w:rFonts w:ascii="Calibri" w:hAnsi="Calibri" w:cs="Calibri"/>
                <w:color w:val="000000"/>
                <w:sz w:val="20"/>
                <w:szCs w:val="20"/>
                <w:lang w:val="en-US"/>
              </w:rPr>
            </w:pPr>
            <w:r w:rsidRPr="0018560C">
              <w:rPr>
                <w:rFonts w:ascii="Calibri" w:hAnsi="Calibri" w:cs="Calibri"/>
                <w:color w:val="000000"/>
                <w:sz w:val="20"/>
                <w:szCs w:val="20"/>
                <w:lang w:val="en-AU"/>
              </w:rPr>
              <w:t>0%</w:t>
            </w:r>
          </w:p>
        </w:tc>
      </w:tr>
    </w:tbl>
    <w:p w14:paraId="2A91C69B" w14:textId="46D9EBB1" w:rsidR="0027115B" w:rsidRDefault="0027115B" w:rsidP="0018560C">
      <w:pPr>
        <w:textAlignment w:val="baseline"/>
        <w:rPr>
          <w:rFonts w:ascii="Cambria" w:hAnsi="Cambria"/>
          <w:b/>
          <w:bCs/>
          <w:caps/>
          <w:sz w:val="22"/>
          <w:lang w:val="en-AU"/>
        </w:rPr>
      </w:pPr>
    </w:p>
    <w:p w14:paraId="7FC54DEC" w14:textId="77777777" w:rsidR="002D23A9" w:rsidRDefault="002D23A9" w:rsidP="002D23A9">
      <w:pPr>
        <w:autoSpaceDE w:val="0"/>
        <w:autoSpaceDN w:val="0"/>
        <w:adjustRightInd w:val="0"/>
        <w:spacing w:after="120"/>
        <w:jc w:val="both"/>
        <w:rPr>
          <w:rFonts w:ascii="Calibri" w:eastAsiaTheme="minorHAnsi" w:hAnsi="Calibri" w:cs="Calibri"/>
          <w:b/>
          <w:bCs/>
          <w:i/>
          <w:iCs/>
          <w:sz w:val="18"/>
          <w:szCs w:val="18"/>
          <w:lang w:val="en-AU"/>
          <w14:ligatures w14:val="standardContextual"/>
        </w:rPr>
      </w:pPr>
    </w:p>
    <w:tbl>
      <w:tblPr>
        <w:tblW w:w="9923" w:type="dxa"/>
        <w:tblInd w:w="-152" w:type="dxa"/>
        <w:tblLook w:val="04A0" w:firstRow="1" w:lastRow="0" w:firstColumn="1" w:lastColumn="0" w:noHBand="0" w:noVBand="1"/>
      </w:tblPr>
      <w:tblGrid>
        <w:gridCol w:w="5900"/>
        <w:gridCol w:w="1403"/>
        <w:gridCol w:w="1265"/>
        <w:gridCol w:w="1355"/>
      </w:tblGrid>
      <w:tr w:rsidR="002D23A9" w:rsidRPr="007770A5" w14:paraId="03AA387B" w14:textId="77777777" w:rsidTr="00CA08C0">
        <w:trPr>
          <w:trHeight w:val="765"/>
          <w:tblHeader/>
        </w:trPr>
        <w:tc>
          <w:tcPr>
            <w:tcW w:w="5900" w:type="dxa"/>
            <w:tcBorders>
              <w:top w:val="single" w:sz="8" w:space="0" w:color="auto"/>
              <w:left w:val="single" w:sz="8" w:space="0" w:color="auto"/>
              <w:bottom w:val="single" w:sz="4" w:space="0" w:color="auto"/>
              <w:right w:val="single" w:sz="4" w:space="0" w:color="auto"/>
            </w:tcBorders>
            <w:shd w:val="clear" w:color="000000" w:fill="CAEDFB"/>
            <w:vAlign w:val="center"/>
            <w:hideMark/>
          </w:tcPr>
          <w:p w14:paraId="4F4B5F8E" w14:textId="77777777" w:rsidR="002D23A9" w:rsidRPr="007770A5" w:rsidRDefault="002D23A9" w:rsidP="00CA08C0">
            <w:pPr>
              <w:rPr>
                <w:rFonts w:ascii="Calibri" w:hAnsi="Calibri" w:cs="Calibri"/>
                <w:b/>
                <w:bCs/>
                <w:color w:val="000000"/>
                <w:sz w:val="20"/>
                <w:szCs w:val="20"/>
                <w:lang w:val="en-US"/>
              </w:rPr>
            </w:pPr>
            <w:r w:rsidRPr="007770A5">
              <w:rPr>
                <w:rFonts w:ascii="Calibri" w:hAnsi="Calibri" w:cs="Calibri"/>
                <w:b/>
                <w:bCs/>
                <w:color w:val="000000"/>
                <w:sz w:val="20"/>
                <w:szCs w:val="20"/>
                <w:lang w:val="en-AU"/>
              </w:rPr>
              <w:t>Joint Capital Markets Program</w:t>
            </w:r>
            <w:r>
              <w:rPr>
                <w:rFonts w:ascii="Calibri" w:hAnsi="Calibri" w:cs="Calibri"/>
                <w:b/>
                <w:bCs/>
                <w:color w:val="000000"/>
                <w:sz w:val="20"/>
                <w:szCs w:val="20"/>
                <w:lang w:val="en-AU"/>
              </w:rPr>
              <w:t xml:space="preserve"> - OUTPUT</w:t>
            </w:r>
          </w:p>
        </w:tc>
        <w:tc>
          <w:tcPr>
            <w:tcW w:w="1403" w:type="dxa"/>
            <w:tcBorders>
              <w:top w:val="single" w:sz="8" w:space="0" w:color="auto"/>
              <w:left w:val="nil"/>
              <w:bottom w:val="single" w:sz="4" w:space="0" w:color="auto"/>
              <w:right w:val="single" w:sz="4" w:space="0" w:color="auto"/>
            </w:tcBorders>
            <w:shd w:val="clear" w:color="000000" w:fill="CAEDFB"/>
            <w:vAlign w:val="center"/>
            <w:hideMark/>
          </w:tcPr>
          <w:p w14:paraId="199D9824" w14:textId="77777777" w:rsidR="002D23A9" w:rsidRPr="007770A5" w:rsidRDefault="002D23A9" w:rsidP="00CA08C0">
            <w:pPr>
              <w:jc w:val="center"/>
              <w:rPr>
                <w:rFonts w:ascii="Calibri" w:hAnsi="Calibri" w:cs="Calibri"/>
                <w:b/>
                <w:bCs/>
                <w:color w:val="000000"/>
                <w:sz w:val="20"/>
                <w:szCs w:val="20"/>
                <w:lang w:val="en-US"/>
              </w:rPr>
            </w:pPr>
            <w:r>
              <w:rPr>
                <w:rFonts w:ascii="Calibri" w:hAnsi="Calibri" w:cs="Calibri"/>
                <w:b/>
                <w:bCs/>
                <w:color w:val="000000"/>
                <w:sz w:val="20"/>
                <w:szCs w:val="20"/>
                <w:lang w:val="en-AU"/>
              </w:rPr>
              <w:t xml:space="preserve"> </w:t>
            </w:r>
            <w:r w:rsidRPr="007770A5">
              <w:rPr>
                <w:rFonts w:ascii="Calibri" w:hAnsi="Calibri" w:cs="Calibri"/>
                <w:b/>
                <w:bCs/>
                <w:color w:val="000000"/>
                <w:sz w:val="20"/>
                <w:szCs w:val="20"/>
                <w:lang w:val="en-AU"/>
              </w:rPr>
              <w:t>Cumulative Results till Dec 2025</w:t>
            </w:r>
          </w:p>
        </w:tc>
        <w:tc>
          <w:tcPr>
            <w:tcW w:w="1265" w:type="dxa"/>
            <w:tcBorders>
              <w:top w:val="single" w:sz="8" w:space="0" w:color="auto"/>
              <w:left w:val="nil"/>
              <w:bottom w:val="single" w:sz="4" w:space="0" w:color="auto"/>
              <w:right w:val="single" w:sz="4" w:space="0" w:color="auto"/>
            </w:tcBorders>
            <w:shd w:val="clear" w:color="000000" w:fill="CAEDFB"/>
            <w:vAlign w:val="center"/>
            <w:hideMark/>
          </w:tcPr>
          <w:p w14:paraId="4DE2507A" w14:textId="77777777" w:rsidR="002D23A9" w:rsidRPr="007770A5" w:rsidRDefault="002D23A9" w:rsidP="00CA08C0">
            <w:pPr>
              <w:jc w:val="center"/>
              <w:rPr>
                <w:rFonts w:ascii="Calibri" w:hAnsi="Calibri" w:cs="Calibri"/>
                <w:b/>
                <w:bCs/>
                <w:color w:val="000000"/>
                <w:sz w:val="20"/>
                <w:szCs w:val="20"/>
                <w:lang w:val="en-US"/>
              </w:rPr>
            </w:pPr>
            <w:r w:rsidRPr="007770A5">
              <w:rPr>
                <w:rFonts w:ascii="Calibri" w:hAnsi="Calibri" w:cs="Calibri"/>
                <w:b/>
                <w:bCs/>
                <w:color w:val="000000"/>
                <w:sz w:val="20"/>
                <w:szCs w:val="20"/>
                <w:lang w:val="en-AU"/>
              </w:rPr>
              <w:t>Overall Target</w:t>
            </w:r>
          </w:p>
        </w:tc>
        <w:tc>
          <w:tcPr>
            <w:tcW w:w="1355" w:type="dxa"/>
            <w:tcBorders>
              <w:top w:val="single" w:sz="8" w:space="0" w:color="auto"/>
              <w:left w:val="nil"/>
              <w:bottom w:val="single" w:sz="4" w:space="0" w:color="auto"/>
              <w:right w:val="single" w:sz="8" w:space="0" w:color="auto"/>
            </w:tcBorders>
            <w:shd w:val="clear" w:color="000000" w:fill="CAEDFB"/>
            <w:vAlign w:val="center"/>
            <w:hideMark/>
          </w:tcPr>
          <w:p w14:paraId="7E364962" w14:textId="77777777" w:rsidR="002D23A9" w:rsidRPr="007770A5" w:rsidRDefault="002D23A9" w:rsidP="00CA08C0">
            <w:pPr>
              <w:jc w:val="center"/>
              <w:rPr>
                <w:rFonts w:ascii="Calibri" w:hAnsi="Calibri" w:cs="Calibri"/>
                <w:b/>
                <w:bCs/>
                <w:color w:val="000000"/>
                <w:sz w:val="20"/>
                <w:szCs w:val="20"/>
                <w:lang w:val="en-US"/>
              </w:rPr>
            </w:pPr>
            <w:r w:rsidRPr="007770A5">
              <w:rPr>
                <w:rFonts w:ascii="Calibri" w:hAnsi="Calibri" w:cs="Calibri"/>
                <w:b/>
                <w:bCs/>
                <w:color w:val="000000"/>
                <w:sz w:val="20"/>
                <w:szCs w:val="20"/>
                <w:lang w:val="en-AU"/>
              </w:rPr>
              <w:t>Achieved</w:t>
            </w:r>
          </w:p>
        </w:tc>
      </w:tr>
      <w:tr w:rsidR="002D23A9" w:rsidRPr="006B6176" w14:paraId="785857EE"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34456E2C" w14:textId="77777777" w:rsidR="002D23A9" w:rsidRDefault="002D23A9" w:rsidP="00CA08C0">
            <w:pPr>
              <w:rPr>
                <w:rFonts w:ascii="Calibri" w:hAnsi="Calibri" w:cs="Calibri"/>
                <w:color w:val="000000"/>
                <w:sz w:val="20"/>
                <w:szCs w:val="20"/>
                <w:lang w:val="en-AU"/>
              </w:rPr>
            </w:pPr>
            <w:r w:rsidRPr="006B6176">
              <w:rPr>
                <w:rFonts w:ascii="Calibri" w:hAnsi="Calibri" w:cs="Calibri"/>
                <w:b/>
                <w:bCs/>
                <w:color w:val="000000"/>
                <w:sz w:val="20"/>
                <w:szCs w:val="20"/>
                <w:lang w:val="en-AU"/>
              </w:rPr>
              <w:t>Component 1: EFI-FCI Component</w:t>
            </w:r>
          </w:p>
          <w:p w14:paraId="66A05D42"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entities receiving advisory services</w:t>
            </w:r>
          </w:p>
        </w:tc>
        <w:tc>
          <w:tcPr>
            <w:tcW w:w="1403" w:type="dxa"/>
            <w:tcBorders>
              <w:top w:val="nil"/>
              <w:left w:val="nil"/>
              <w:bottom w:val="single" w:sz="4" w:space="0" w:color="auto"/>
              <w:right w:val="single" w:sz="4" w:space="0" w:color="auto"/>
            </w:tcBorders>
            <w:vAlign w:val="center"/>
            <w:hideMark/>
          </w:tcPr>
          <w:p w14:paraId="31268D8F"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11</w:t>
            </w:r>
          </w:p>
        </w:tc>
        <w:tc>
          <w:tcPr>
            <w:tcW w:w="1265" w:type="dxa"/>
            <w:tcBorders>
              <w:top w:val="nil"/>
              <w:left w:val="nil"/>
              <w:bottom w:val="single" w:sz="4" w:space="0" w:color="auto"/>
              <w:right w:val="single" w:sz="4" w:space="0" w:color="auto"/>
            </w:tcBorders>
            <w:vAlign w:val="center"/>
            <w:hideMark/>
          </w:tcPr>
          <w:p w14:paraId="2F1185F6"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3</w:t>
            </w:r>
          </w:p>
        </w:tc>
        <w:tc>
          <w:tcPr>
            <w:tcW w:w="1355" w:type="dxa"/>
            <w:tcBorders>
              <w:top w:val="nil"/>
              <w:left w:val="nil"/>
              <w:bottom w:val="single" w:sz="4" w:space="0" w:color="auto"/>
              <w:right w:val="single" w:sz="8" w:space="0" w:color="auto"/>
            </w:tcBorders>
            <w:hideMark/>
          </w:tcPr>
          <w:p w14:paraId="4E4CEE2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08EA69C4" w14:textId="77777777" w:rsidTr="00CA08C0">
        <w:trPr>
          <w:trHeight w:val="480"/>
        </w:trPr>
        <w:tc>
          <w:tcPr>
            <w:tcW w:w="5900" w:type="dxa"/>
            <w:tcBorders>
              <w:top w:val="nil"/>
              <w:left w:val="single" w:sz="8" w:space="0" w:color="auto"/>
              <w:bottom w:val="single" w:sz="4" w:space="0" w:color="auto"/>
              <w:right w:val="single" w:sz="4" w:space="0" w:color="auto"/>
            </w:tcBorders>
            <w:vAlign w:val="center"/>
            <w:hideMark/>
          </w:tcPr>
          <w:p w14:paraId="70322D89"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procedures/firm-level policies/practices/ standards recommended for improvement or elimination</w:t>
            </w:r>
          </w:p>
        </w:tc>
        <w:tc>
          <w:tcPr>
            <w:tcW w:w="1403" w:type="dxa"/>
            <w:tcBorders>
              <w:top w:val="nil"/>
              <w:left w:val="nil"/>
              <w:bottom w:val="single" w:sz="4" w:space="0" w:color="auto"/>
              <w:right w:val="single" w:sz="4" w:space="0" w:color="auto"/>
            </w:tcBorders>
            <w:vAlign w:val="center"/>
            <w:hideMark/>
          </w:tcPr>
          <w:p w14:paraId="5009C626"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16</w:t>
            </w:r>
          </w:p>
        </w:tc>
        <w:tc>
          <w:tcPr>
            <w:tcW w:w="1265" w:type="dxa"/>
            <w:tcBorders>
              <w:top w:val="nil"/>
              <w:left w:val="nil"/>
              <w:bottom w:val="single" w:sz="4" w:space="0" w:color="auto"/>
              <w:right w:val="single" w:sz="4" w:space="0" w:color="auto"/>
            </w:tcBorders>
            <w:vAlign w:val="center"/>
            <w:hideMark/>
          </w:tcPr>
          <w:p w14:paraId="2203708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3</w:t>
            </w:r>
          </w:p>
        </w:tc>
        <w:tc>
          <w:tcPr>
            <w:tcW w:w="1355" w:type="dxa"/>
            <w:tcBorders>
              <w:top w:val="nil"/>
              <w:left w:val="nil"/>
              <w:bottom w:val="single" w:sz="4" w:space="0" w:color="auto"/>
              <w:right w:val="single" w:sz="8" w:space="0" w:color="auto"/>
            </w:tcBorders>
            <w:hideMark/>
          </w:tcPr>
          <w:p w14:paraId="78FFD063"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376B81B1"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23E84B2A"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concept notes for WBG investments approved</w:t>
            </w:r>
          </w:p>
        </w:tc>
        <w:tc>
          <w:tcPr>
            <w:tcW w:w="1403" w:type="dxa"/>
            <w:tcBorders>
              <w:top w:val="nil"/>
              <w:left w:val="nil"/>
              <w:bottom w:val="single" w:sz="4" w:space="0" w:color="auto"/>
              <w:right w:val="single" w:sz="4" w:space="0" w:color="auto"/>
            </w:tcBorders>
            <w:vAlign w:val="center"/>
            <w:hideMark/>
          </w:tcPr>
          <w:p w14:paraId="21983E43"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3</w:t>
            </w:r>
          </w:p>
        </w:tc>
        <w:tc>
          <w:tcPr>
            <w:tcW w:w="1265" w:type="dxa"/>
            <w:tcBorders>
              <w:top w:val="nil"/>
              <w:left w:val="nil"/>
              <w:bottom w:val="single" w:sz="4" w:space="0" w:color="auto"/>
              <w:right w:val="single" w:sz="4" w:space="0" w:color="auto"/>
            </w:tcBorders>
            <w:vAlign w:val="center"/>
            <w:hideMark/>
          </w:tcPr>
          <w:p w14:paraId="68994610"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w:t>
            </w:r>
          </w:p>
        </w:tc>
        <w:tc>
          <w:tcPr>
            <w:tcW w:w="1355" w:type="dxa"/>
            <w:tcBorders>
              <w:top w:val="nil"/>
              <w:left w:val="nil"/>
              <w:bottom w:val="single" w:sz="4" w:space="0" w:color="auto"/>
              <w:right w:val="single" w:sz="8" w:space="0" w:color="auto"/>
            </w:tcBorders>
            <w:hideMark/>
          </w:tcPr>
          <w:p w14:paraId="5B21B6B7"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67C6803E"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325B3CC4"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lastRenderedPageBreak/>
              <w:t xml:space="preserve">Share of women participants in seminars &amp; workshops (%) </w:t>
            </w:r>
            <w:r w:rsidRPr="007770A5">
              <w:rPr>
                <w:rFonts w:ascii="Calibri" w:hAnsi="Calibri" w:cs="Calibri"/>
                <w:b/>
                <w:bCs/>
                <w:color w:val="000000"/>
                <w:sz w:val="20"/>
                <w:szCs w:val="20"/>
                <w:lang w:val="en-AU"/>
              </w:rPr>
              <w:t>†</w:t>
            </w:r>
          </w:p>
        </w:tc>
        <w:tc>
          <w:tcPr>
            <w:tcW w:w="1403" w:type="dxa"/>
            <w:tcBorders>
              <w:top w:val="nil"/>
              <w:left w:val="nil"/>
              <w:bottom w:val="single" w:sz="4" w:space="0" w:color="auto"/>
              <w:right w:val="single" w:sz="4" w:space="0" w:color="auto"/>
            </w:tcBorders>
            <w:vAlign w:val="center"/>
            <w:hideMark/>
          </w:tcPr>
          <w:p w14:paraId="7137006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42.1</w:t>
            </w:r>
          </w:p>
        </w:tc>
        <w:tc>
          <w:tcPr>
            <w:tcW w:w="1265" w:type="dxa"/>
            <w:tcBorders>
              <w:top w:val="nil"/>
              <w:left w:val="nil"/>
              <w:bottom w:val="single" w:sz="4" w:space="0" w:color="auto"/>
              <w:right w:val="single" w:sz="4" w:space="0" w:color="auto"/>
            </w:tcBorders>
            <w:vAlign w:val="center"/>
            <w:hideMark/>
          </w:tcPr>
          <w:p w14:paraId="661710AF"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40</w:t>
            </w:r>
          </w:p>
        </w:tc>
        <w:tc>
          <w:tcPr>
            <w:tcW w:w="1355" w:type="dxa"/>
            <w:tcBorders>
              <w:top w:val="nil"/>
              <w:left w:val="nil"/>
              <w:bottom w:val="single" w:sz="4" w:space="0" w:color="auto"/>
              <w:right w:val="single" w:sz="8" w:space="0" w:color="auto"/>
            </w:tcBorders>
            <w:hideMark/>
          </w:tcPr>
          <w:p w14:paraId="1DE7FC4B"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6477E493" w14:textId="77777777" w:rsidTr="00CA08C0">
        <w:trPr>
          <w:trHeight w:val="525"/>
        </w:trPr>
        <w:tc>
          <w:tcPr>
            <w:tcW w:w="5900" w:type="dxa"/>
            <w:tcBorders>
              <w:top w:val="nil"/>
              <w:left w:val="single" w:sz="8" w:space="0" w:color="auto"/>
              <w:bottom w:val="single" w:sz="4" w:space="0" w:color="auto"/>
              <w:right w:val="single" w:sz="4" w:space="0" w:color="auto"/>
            </w:tcBorders>
            <w:vAlign w:val="center"/>
            <w:hideMark/>
          </w:tcPr>
          <w:p w14:paraId="4532B0CD" w14:textId="77777777" w:rsidR="002D23A9" w:rsidRDefault="002D23A9" w:rsidP="00CA08C0">
            <w:pPr>
              <w:rPr>
                <w:rFonts w:ascii="Calibri" w:hAnsi="Calibri" w:cs="Calibri"/>
                <w:color w:val="000000"/>
                <w:sz w:val="20"/>
                <w:szCs w:val="20"/>
                <w:lang w:val="en-AU"/>
              </w:rPr>
            </w:pPr>
            <w:r w:rsidRPr="006B6176">
              <w:rPr>
                <w:rFonts w:ascii="Calibri" w:hAnsi="Calibri" w:cs="Calibri"/>
                <w:b/>
                <w:bCs/>
                <w:color w:val="000000"/>
                <w:sz w:val="20"/>
                <w:szCs w:val="20"/>
                <w:lang w:val="en-AU"/>
              </w:rPr>
              <w:t>Component 2: Creating Markets</w:t>
            </w:r>
            <w:r w:rsidRPr="006B6176">
              <w:rPr>
                <w:rFonts w:ascii="Calibri" w:hAnsi="Calibri" w:cs="Calibri"/>
                <w:color w:val="000000"/>
                <w:sz w:val="20"/>
                <w:szCs w:val="20"/>
                <w:lang w:val="en-AU"/>
              </w:rPr>
              <w:t xml:space="preserve"> </w:t>
            </w:r>
          </w:p>
          <w:p w14:paraId="44B57FFD"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new laws/regulations/amendments/codes/ government policies drafted, or contributed to the drafting</w:t>
            </w:r>
          </w:p>
        </w:tc>
        <w:tc>
          <w:tcPr>
            <w:tcW w:w="1403" w:type="dxa"/>
            <w:tcBorders>
              <w:top w:val="nil"/>
              <w:left w:val="nil"/>
              <w:bottom w:val="single" w:sz="4" w:space="0" w:color="auto"/>
              <w:right w:val="single" w:sz="4" w:space="0" w:color="auto"/>
            </w:tcBorders>
            <w:vAlign w:val="center"/>
            <w:hideMark/>
          </w:tcPr>
          <w:p w14:paraId="01FBECBF"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14</w:t>
            </w:r>
          </w:p>
        </w:tc>
        <w:tc>
          <w:tcPr>
            <w:tcW w:w="1265" w:type="dxa"/>
            <w:tcBorders>
              <w:top w:val="nil"/>
              <w:left w:val="nil"/>
              <w:bottom w:val="single" w:sz="4" w:space="0" w:color="auto"/>
              <w:right w:val="single" w:sz="4" w:space="0" w:color="auto"/>
            </w:tcBorders>
            <w:vAlign w:val="center"/>
            <w:hideMark/>
          </w:tcPr>
          <w:p w14:paraId="38B61B14"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4</w:t>
            </w:r>
          </w:p>
        </w:tc>
        <w:tc>
          <w:tcPr>
            <w:tcW w:w="1355" w:type="dxa"/>
            <w:tcBorders>
              <w:top w:val="nil"/>
              <w:left w:val="nil"/>
              <w:bottom w:val="single" w:sz="4" w:space="0" w:color="auto"/>
              <w:right w:val="single" w:sz="8" w:space="0" w:color="auto"/>
            </w:tcBorders>
            <w:hideMark/>
          </w:tcPr>
          <w:p w14:paraId="3D3990E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2092EF48" w14:textId="77777777" w:rsidTr="00CA08C0">
        <w:trPr>
          <w:trHeight w:val="510"/>
        </w:trPr>
        <w:tc>
          <w:tcPr>
            <w:tcW w:w="5900" w:type="dxa"/>
            <w:tcBorders>
              <w:top w:val="nil"/>
              <w:left w:val="single" w:sz="8" w:space="0" w:color="auto"/>
              <w:bottom w:val="single" w:sz="4" w:space="0" w:color="auto"/>
              <w:right w:val="single" w:sz="4" w:space="0" w:color="auto"/>
            </w:tcBorders>
            <w:vAlign w:val="center"/>
            <w:hideMark/>
          </w:tcPr>
          <w:p w14:paraId="6688B743"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workshops, training events, seminars, conferences, etc.</w:t>
            </w:r>
          </w:p>
        </w:tc>
        <w:tc>
          <w:tcPr>
            <w:tcW w:w="1403" w:type="dxa"/>
            <w:tcBorders>
              <w:top w:val="nil"/>
              <w:left w:val="nil"/>
              <w:bottom w:val="single" w:sz="4" w:space="0" w:color="auto"/>
              <w:right w:val="single" w:sz="4" w:space="0" w:color="auto"/>
            </w:tcBorders>
            <w:vAlign w:val="center"/>
            <w:hideMark/>
          </w:tcPr>
          <w:p w14:paraId="25EB79B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22</w:t>
            </w:r>
          </w:p>
        </w:tc>
        <w:tc>
          <w:tcPr>
            <w:tcW w:w="1265" w:type="dxa"/>
            <w:tcBorders>
              <w:top w:val="nil"/>
              <w:left w:val="nil"/>
              <w:bottom w:val="single" w:sz="4" w:space="0" w:color="auto"/>
              <w:right w:val="single" w:sz="4" w:space="0" w:color="auto"/>
            </w:tcBorders>
            <w:vAlign w:val="center"/>
            <w:hideMark/>
          </w:tcPr>
          <w:p w14:paraId="55A8CB9A"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6</w:t>
            </w:r>
          </w:p>
        </w:tc>
        <w:tc>
          <w:tcPr>
            <w:tcW w:w="1355" w:type="dxa"/>
            <w:tcBorders>
              <w:top w:val="nil"/>
              <w:left w:val="nil"/>
              <w:bottom w:val="single" w:sz="4" w:space="0" w:color="auto"/>
              <w:right w:val="single" w:sz="8" w:space="0" w:color="auto"/>
            </w:tcBorders>
            <w:hideMark/>
          </w:tcPr>
          <w:p w14:paraId="4797AB49"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38D434C9" w14:textId="77777777" w:rsidTr="00CA08C0">
        <w:trPr>
          <w:trHeight w:val="525"/>
        </w:trPr>
        <w:tc>
          <w:tcPr>
            <w:tcW w:w="5900" w:type="dxa"/>
            <w:tcBorders>
              <w:top w:val="nil"/>
              <w:left w:val="single" w:sz="8" w:space="0" w:color="auto"/>
              <w:bottom w:val="single" w:sz="4" w:space="0" w:color="auto"/>
              <w:right w:val="single" w:sz="4" w:space="0" w:color="auto"/>
            </w:tcBorders>
            <w:vAlign w:val="center"/>
            <w:hideMark/>
          </w:tcPr>
          <w:p w14:paraId="3FF255E1"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participants in workshops, training events, seminars, conferences, etc.</w:t>
            </w:r>
          </w:p>
        </w:tc>
        <w:tc>
          <w:tcPr>
            <w:tcW w:w="1403" w:type="dxa"/>
            <w:tcBorders>
              <w:top w:val="nil"/>
              <w:left w:val="nil"/>
              <w:bottom w:val="single" w:sz="4" w:space="0" w:color="auto"/>
              <w:right w:val="single" w:sz="4" w:space="0" w:color="auto"/>
            </w:tcBorders>
            <w:vAlign w:val="center"/>
            <w:hideMark/>
          </w:tcPr>
          <w:p w14:paraId="4ED55F78"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919</w:t>
            </w:r>
          </w:p>
        </w:tc>
        <w:tc>
          <w:tcPr>
            <w:tcW w:w="1265" w:type="dxa"/>
            <w:tcBorders>
              <w:top w:val="nil"/>
              <w:left w:val="nil"/>
              <w:bottom w:val="single" w:sz="4" w:space="0" w:color="auto"/>
              <w:right w:val="single" w:sz="4" w:space="0" w:color="auto"/>
            </w:tcBorders>
            <w:vAlign w:val="center"/>
            <w:hideMark/>
          </w:tcPr>
          <w:p w14:paraId="6ABC6A6A"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200</w:t>
            </w:r>
          </w:p>
        </w:tc>
        <w:tc>
          <w:tcPr>
            <w:tcW w:w="1355" w:type="dxa"/>
            <w:tcBorders>
              <w:top w:val="nil"/>
              <w:left w:val="nil"/>
              <w:bottom w:val="single" w:sz="4" w:space="0" w:color="auto"/>
              <w:right w:val="single" w:sz="8" w:space="0" w:color="auto"/>
            </w:tcBorders>
            <w:hideMark/>
          </w:tcPr>
          <w:p w14:paraId="594B4CF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17E58CCD" w14:textId="77777777" w:rsidTr="00CA08C0">
        <w:trPr>
          <w:trHeight w:val="525"/>
        </w:trPr>
        <w:tc>
          <w:tcPr>
            <w:tcW w:w="5900" w:type="dxa"/>
            <w:tcBorders>
              <w:top w:val="nil"/>
              <w:left w:val="single" w:sz="8" w:space="0" w:color="auto"/>
              <w:bottom w:val="single" w:sz="4" w:space="0" w:color="auto"/>
              <w:right w:val="single" w:sz="4" w:space="0" w:color="auto"/>
            </w:tcBorders>
            <w:vAlign w:val="center"/>
            <w:hideMark/>
          </w:tcPr>
          <w:p w14:paraId="3FF9DE6F"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reports (assessments, surveys, manuals, Phase I/strategic option reports, research, analytical, evaluations, etc.) completed</w:t>
            </w:r>
          </w:p>
        </w:tc>
        <w:tc>
          <w:tcPr>
            <w:tcW w:w="1403" w:type="dxa"/>
            <w:tcBorders>
              <w:top w:val="nil"/>
              <w:left w:val="nil"/>
              <w:bottom w:val="single" w:sz="4" w:space="0" w:color="auto"/>
              <w:right w:val="single" w:sz="4" w:space="0" w:color="auto"/>
            </w:tcBorders>
            <w:vAlign w:val="center"/>
            <w:hideMark/>
          </w:tcPr>
          <w:p w14:paraId="6FD712E0"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11</w:t>
            </w:r>
          </w:p>
        </w:tc>
        <w:tc>
          <w:tcPr>
            <w:tcW w:w="1265" w:type="dxa"/>
            <w:tcBorders>
              <w:top w:val="nil"/>
              <w:left w:val="nil"/>
              <w:bottom w:val="single" w:sz="4" w:space="0" w:color="auto"/>
              <w:right w:val="single" w:sz="4" w:space="0" w:color="auto"/>
            </w:tcBorders>
            <w:vAlign w:val="center"/>
            <w:hideMark/>
          </w:tcPr>
          <w:p w14:paraId="28FC1150"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6</w:t>
            </w:r>
          </w:p>
        </w:tc>
        <w:tc>
          <w:tcPr>
            <w:tcW w:w="1355" w:type="dxa"/>
            <w:tcBorders>
              <w:top w:val="nil"/>
              <w:left w:val="nil"/>
              <w:bottom w:val="single" w:sz="4" w:space="0" w:color="auto"/>
              <w:right w:val="single" w:sz="8" w:space="0" w:color="auto"/>
            </w:tcBorders>
            <w:hideMark/>
          </w:tcPr>
          <w:p w14:paraId="6931004E"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bl>
    <w:p w14:paraId="5C574D7E" w14:textId="77777777" w:rsidR="002D23A9" w:rsidRDefault="002D23A9" w:rsidP="002D23A9">
      <w:pPr>
        <w:rPr>
          <w:rFonts w:ascii="Calibri" w:hAnsi="Calibri" w:cs="Calibri"/>
          <w:bCs/>
          <w:color w:val="000000"/>
          <w:lang w:val="en-AU"/>
        </w:rPr>
      </w:pPr>
    </w:p>
    <w:tbl>
      <w:tblPr>
        <w:tblW w:w="9923" w:type="dxa"/>
        <w:tblInd w:w="-152" w:type="dxa"/>
        <w:tblLook w:val="04A0" w:firstRow="1" w:lastRow="0" w:firstColumn="1" w:lastColumn="0" w:noHBand="0" w:noVBand="1"/>
      </w:tblPr>
      <w:tblGrid>
        <w:gridCol w:w="5900"/>
        <w:gridCol w:w="1403"/>
        <w:gridCol w:w="1265"/>
        <w:gridCol w:w="1355"/>
      </w:tblGrid>
      <w:tr w:rsidR="002D23A9" w:rsidRPr="006B6176" w14:paraId="7AB95C1E" w14:textId="77777777" w:rsidTr="00CA08C0">
        <w:trPr>
          <w:trHeight w:val="402"/>
        </w:trPr>
        <w:tc>
          <w:tcPr>
            <w:tcW w:w="5900"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C44BD62" w14:textId="77777777" w:rsidR="002D23A9" w:rsidRPr="007770A5" w:rsidRDefault="002D23A9" w:rsidP="00CA08C0">
            <w:pPr>
              <w:rPr>
                <w:rFonts w:ascii="Calibri" w:hAnsi="Calibri" w:cs="Calibri"/>
                <w:b/>
                <w:bCs/>
                <w:color w:val="000000"/>
                <w:sz w:val="20"/>
                <w:szCs w:val="20"/>
                <w:lang w:val="en-US"/>
              </w:rPr>
            </w:pPr>
            <w:r w:rsidRPr="007770A5">
              <w:rPr>
                <w:rFonts w:ascii="Calibri" w:hAnsi="Calibri" w:cs="Calibri"/>
                <w:b/>
                <w:bCs/>
                <w:color w:val="000000"/>
                <w:sz w:val="20"/>
                <w:szCs w:val="20"/>
                <w:lang w:val="en-AU"/>
              </w:rPr>
              <w:t xml:space="preserve">Joint Capital Markets Program </w:t>
            </w:r>
            <w:r>
              <w:rPr>
                <w:rFonts w:ascii="Calibri" w:hAnsi="Calibri" w:cs="Calibri"/>
                <w:b/>
                <w:bCs/>
                <w:color w:val="000000"/>
                <w:sz w:val="20"/>
                <w:szCs w:val="20"/>
                <w:lang w:val="en-AU"/>
              </w:rPr>
              <w:t xml:space="preserve">- </w:t>
            </w:r>
            <w:r w:rsidRPr="007770A5">
              <w:rPr>
                <w:rFonts w:ascii="Calibri" w:hAnsi="Calibri" w:cs="Calibri"/>
                <w:b/>
                <w:bCs/>
                <w:color w:val="000000"/>
                <w:sz w:val="20"/>
                <w:szCs w:val="20"/>
                <w:lang w:val="en-AU"/>
              </w:rPr>
              <w:t>OUTCOME</w:t>
            </w:r>
          </w:p>
        </w:tc>
        <w:tc>
          <w:tcPr>
            <w:tcW w:w="1403"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4220D94" w14:textId="77777777" w:rsidR="002D23A9" w:rsidRPr="006B6176" w:rsidRDefault="002D23A9" w:rsidP="00CA08C0">
            <w:pPr>
              <w:jc w:val="center"/>
              <w:rPr>
                <w:rFonts w:ascii="Calibri" w:hAnsi="Calibri" w:cs="Calibri"/>
                <w:color w:val="000000"/>
                <w:sz w:val="20"/>
                <w:szCs w:val="20"/>
                <w:lang w:val="en-US"/>
              </w:rPr>
            </w:pPr>
            <w:r>
              <w:rPr>
                <w:rFonts w:ascii="Calibri" w:hAnsi="Calibri" w:cs="Calibri"/>
                <w:b/>
                <w:bCs/>
                <w:color w:val="000000"/>
                <w:sz w:val="20"/>
                <w:szCs w:val="20"/>
                <w:lang w:val="en-AU"/>
              </w:rPr>
              <w:t xml:space="preserve"> </w:t>
            </w:r>
            <w:r w:rsidRPr="007770A5">
              <w:rPr>
                <w:rFonts w:ascii="Calibri" w:hAnsi="Calibri" w:cs="Calibri"/>
                <w:b/>
                <w:bCs/>
                <w:color w:val="000000"/>
                <w:sz w:val="20"/>
                <w:szCs w:val="20"/>
                <w:lang w:val="en-AU"/>
              </w:rPr>
              <w:t>Cumulative Results till Dec 2025</w:t>
            </w:r>
          </w:p>
        </w:tc>
        <w:tc>
          <w:tcPr>
            <w:tcW w:w="1265"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96FAA59" w14:textId="77777777" w:rsidR="002D23A9" w:rsidRPr="006B6176" w:rsidRDefault="002D23A9" w:rsidP="00CA08C0">
            <w:pPr>
              <w:jc w:val="center"/>
              <w:rPr>
                <w:rFonts w:ascii="Calibri" w:hAnsi="Calibri" w:cs="Calibri"/>
                <w:color w:val="000000"/>
                <w:sz w:val="20"/>
                <w:szCs w:val="20"/>
                <w:lang w:val="en-US"/>
              </w:rPr>
            </w:pPr>
            <w:r w:rsidRPr="007770A5">
              <w:rPr>
                <w:rFonts w:ascii="Calibri" w:hAnsi="Calibri" w:cs="Calibri"/>
                <w:b/>
                <w:bCs/>
                <w:color w:val="000000"/>
                <w:sz w:val="20"/>
                <w:szCs w:val="20"/>
                <w:lang w:val="en-AU"/>
              </w:rPr>
              <w:t>Overall Target</w:t>
            </w:r>
          </w:p>
        </w:tc>
        <w:tc>
          <w:tcPr>
            <w:tcW w:w="1355"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4BE71264" w14:textId="77777777" w:rsidR="002D23A9" w:rsidRPr="006B6176" w:rsidRDefault="002D23A9" w:rsidP="00CA08C0">
            <w:pPr>
              <w:jc w:val="center"/>
              <w:rPr>
                <w:rFonts w:ascii="Calibri" w:hAnsi="Calibri" w:cs="Calibri"/>
                <w:color w:val="000000"/>
                <w:sz w:val="20"/>
                <w:szCs w:val="20"/>
                <w:lang w:val="en-US"/>
              </w:rPr>
            </w:pPr>
            <w:r w:rsidRPr="007770A5">
              <w:rPr>
                <w:rFonts w:ascii="Calibri" w:hAnsi="Calibri" w:cs="Calibri"/>
                <w:b/>
                <w:bCs/>
                <w:color w:val="000000"/>
                <w:sz w:val="20"/>
                <w:szCs w:val="20"/>
                <w:lang w:val="en-AU"/>
              </w:rPr>
              <w:t>Achieved</w:t>
            </w:r>
          </w:p>
        </w:tc>
      </w:tr>
      <w:tr w:rsidR="002D23A9" w:rsidRPr="006B6176" w14:paraId="0A06D41C"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340FEA47" w14:textId="77777777" w:rsidR="002D23A9" w:rsidRDefault="002D23A9" w:rsidP="00CA08C0">
            <w:pPr>
              <w:rPr>
                <w:rFonts w:ascii="Calibri" w:hAnsi="Calibri" w:cs="Calibri"/>
                <w:color w:val="000000"/>
                <w:sz w:val="20"/>
                <w:szCs w:val="20"/>
                <w:lang w:val="en-AU"/>
              </w:rPr>
            </w:pPr>
            <w:r w:rsidRPr="007770A5">
              <w:rPr>
                <w:rFonts w:ascii="Calibri" w:hAnsi="Calibri" w:cs="Calibri"/>
                <w:b/>
                <w:bCs/>
                <w:color w:val="000000"/>
                <w:sz w:val="20"/>
                <w:szCs w:val="20"/>
                <w:lang w:val="en-AU"/>
              </w:rPr>
              <w:t>Component 1: EFI-FCI Component</w:t>
            </w:r>
          </w:p>
          <w:p w14:paraId="619B778A"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WBG investments approved</w:t>
            </w:r>
          </w:p>
        </w:tc>
        <w:tc>
          <w:tcPr>
            <w:tcW w:w="1403" w:type="dxa"/>
            <w:tcBorders>
              <w:top w:val="nil"/>
              <w:left w:val="nil"/>
              <w:bottom w:val="single" w:sz="4" w:space="0" w:color="auto"/>
              <w:right w:val="single" w:sz="4" w:space="0" w:color="auto"/>
            </w:tcBorders>
            <w:vAlign w:val="center"/>
            <w:hideMark/>
          </w:tcPr>
          <w:p w14:paraId="2445C97E"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5</w:t>
            </w:r>
          </w:p>
        </w:tc>
        <w:tc>
          <w:tcPr>
            <w:tcW w:w="1265" w:type="dxa"/>
            <w:tcBorders>
              <w:top w:val="nil"/>
              <w:left w:val="nil"/>
              <w:bottom w:val="single" w:sz="4" w:space="0" w:color="auto"/>
              <w:right w:val="single" w:sz="4" w:space="0" w:color="auto"/>
            </w:tcBorders>
            <w:vAlign w:val="center"/>
            <w:hideMark/>
          </w:tcPr>
          <w:p w14:paraId="244FB0E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w:t>
            </w:r>
          </w:p>
        </w:tc>
        <w:tc>
          <w:tcPr>
            <w:tcW w:w="1355" w:type="dxa"/>
            <w:tcBorders>
              <w:top w:val="nil"/>
              <w:left w:val="nil"/>
              <w:bottom w:val="single" w:sz="4" w:space="0" w:color="auto"/>
              <w:right w:val="single" w:sz="8" w:space="0" w:color="auto"/>
            </w:tcBorders>
            <w:hideMark/>
          </w:tcPr>
          <w:p w14:paraId="204173DE"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518F9382" w14:textId="77777777" w:rsidTr="00CA08C0">
        <w:trPr>
          <w:trHeight w:val="480"/>
        </w:trPr>
        <w:tc>
          <w:tcPr>
            <w:tcW w:w="5900" w:type="dxa"/>
            <w:tcBorders>
              <w:top w:val="nil"/>
              <w:left w:val="single" w:sz="8" w:space="0" w:color="auto"/>
              <w:bottom w:val="single" w:sz="4" w:space="0" w:color="auto"/>
              <w:right w:val="single" w:sz="4" w:space="0" w:color="auto"/>
            </w:tcBorders>
            <w:vAlign w:val="center"/>
            <w:hideMark/>
          </w:tcPr>
          <w:p w14:paraId="4303DC16"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recommended procedures/firm-level policies/ practices/standards that were improved or eliminated</w:t>
            </w:r>
          </w:p>
        </w:tc>
        <w:tc>
          <w:tcPr>
            <w:tcW w:w="1403" w:type="dxa"/>
            <w:tcBorders>
              <w:top w:val="nil"/>
              <w:left w:val="nil"/>
              <w:bottom w:val="single" w:sz="4" w:space="0" w:color="auto"/>
              <w:right w:val="single" w:sz="4" w:space="0" w:color="auto"/>
            </w:tcBorders>
            <w:vAlign w:val="center"/>
            <w:hideMark/>
          </w:tcPr>
          <w:p w14:paraId="061F0E63"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11</w:t>
            </w:r>
          </w:p>
        </w:tc>
        <w:tc>
          <w:tcPr>
            <w:tcW w:w="1265" w:type="dxa"/>
            <w:tcBorders>
              <w:top w:val="nil"/>
              <w:left w:val="nil"/>
              <w:bottom w:val="single" w:sz="4" w:space="0" w:color="auto"/>
              <w:right w:val="single" w:sz="4" w:space="0" w:color="auto"/>
            </w:tcBorders>
            <w:vAlign w:val="center"/>
            <w:hideMark/>
          </w:tcPr>
          <w:p w14:paraId="7077AFFF"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2</w:t>
            </w:r>
          </w:p>
        </w:tc>
        <w:tc>
          <w:tcPr>
            <w:tcW w:w="1355" w:type="dxa"/>
            <w:tcBorders>
              <w:top w:val="nil"/>
              <w:left w:val="nil"/>
              <w:bottom w:val="single" w:sz="4" w:space="0" w:color="auto"/>
              <w:right w:val="single" w:sz="8" w:space="0" w:color="auto"/>
            </w:tcBorders>
            <w:hideMark/>
          </w:tcPr>
          <w:p w14:paraId="3AA7C724"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6462AB96"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0C1ABD7E"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Value of WBG investments approved (in million US$)</w:t>
            </w:r>
          </w:p>
        </w:tc>
        <w:tc>
          <w:tcPr>
            <w:tcW w:w="1403" w:type="dxa"/>
            <w:tcBorders>
              <w:top w:val="nil"/>
              <w:left w:val="nil"/>
              <w:bottom w:val="single" w:sz="4" w:space="0" w:color="auto"/>
              <w:right w:val="single" w:sz="4" w:space="0" w:color="auto"/>
            </w:tcBorders>
            <w:vAlign w:val="center"/>
            <w:hideMark/>
          </w:tcPr>
          <w:p w14:paraId="78E44763"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295</w:t>
            </w:r>
          </w:p>
        </w:tc>
        <w:tc>
          <w:tcPr>
            <w:tcW w:w="1265" w:type="dxa"/>
            <w:tcBorders>
              <w:top w:val="nil"/>
              <w:left w:val="nil"/>
              <w:bottom w:val="single" w:sz="4" w:space="0" w:color="auto"/>
              <w:right w:val="single" w:sz="4" w:space="0" w:color="auto"/>
            </w:tcBorders>
            <w:vAlign w:val="center"/>
            <w:hideMark/>
          </w:tcPr>
          <w:p w14:paraId="68939F24"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50</w:t>
            </w:r>
          </w:p>
        </w:tc>
        <w:tc>
          <w:tcPr>
            <w:tcW w:w="1355" w:type="dxa"/>
            <w:tcBorders>
              <w:top w:val="nil"/>
              <w:left w:val="nil"/>
              <w:bottom w:val="single" w:sz="4" w:space="0" w:color="auto"/>
              <w:right w:val="single" w:sz="8" w:space="0" w:color="auto"/>
            </w:tcBorders>
            <w:hideMark/>
          </w:tcPr>
          <w:p w14:paraId="024D23CA"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3D7825DC" w14:textId="77777777" w:rsidTr="00CA08C0">
        <w:trPr>
          <w:trHeight w:val="540"/>
        </w:trPr>
        <w:tc>
          <w:tcPr>
            <w:tcW w:w="5900" w:type="dxa"/>
            <w:tcBorders>
              <w:top w:val="nil"/>
              <w:left w:val="single" w:sz="8" w:space="0" w:color="auto"/>
              <w:bottom w:val="single" w:sz="4" w:space="0" w:color="auto"/>
              <w:right w:val="single" w:sz="4" w:space="0" w:color="auto"/>
            </w:tcBorders>
            <w:vAlign w:val="center"/>
            <w:hideMark/>
          </w:tcPr>
          <w:p w14:paraId="385D83F8" w14:textId="77777777" w:rsidR="002D23A9" w:rsidRDefault="002D23A9" w:rsidP="00CA08C0">
            <w:pPr>
              <w:rPr>
                <w:rFonts w:ascii="Calibri" w:hAnsi="Calibri" w:cs="Calibri"/>
                <w:color w:val="000000"/>
                <w:sz w:val="20"/>
                <w:szCs w:val="20"/>
                <w:lang w:val="en-AU"/>
              </w:rPr>
            </w:pPr>
            <w:r w:rsidRPr="007770A5">
              <w:rPr>
                <w:rFonts w:ascii="Calibri" w:hAnsi="Calibri" w:cs="Calibri"/>
                <w:b/>
                <w:bCs/>
                <w:color w:val="000000"/>
                <w:sz w:val="20"/>
                <w:szCs w:val="20"/>
                <w:lang w:val="en-AU"/>
              </w:rPr>
              <w:t>Component 2: Creating Markets</w:t>
            </w:r>
          </w:p>
          <w:p w14:paraId="769C8FD7"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recommended laws/regulations/amendments/ codes enacted or government policies adopted</w:t>
            </w:r>
          </w:p>
        </w:tc>
        <w:tc>
          <w:tcPr>
            <w:tcW w:w="1403" w:type="dxa"/>
            <w:tcBorders>
              <w:top w:val="nil"/>
              <w:left w:val="nil"/>
              <w:bottom w:val="single" w:sz="4" w:space="0" w:color="auto"/>
              <w:right w:val="single" w:sz="4" w:space="0" w:color="auto"/>
            </w:tcBorders>
            <w:vAlign w:val="center"/>
            <w:hideMark/>
          </w:tcPr>
          <w:p w14:paraId="6F4727A2"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12</w:t>
            </w:r>
          </w:p>
        </w:tc>
        <w:tc>
          <w:tcPr>
            <w:tcW w:w="1265" w:type="dxa"/>
            <w:tcBorders>
              <w:top w:val="nil"/>
              <w:left w:val="nil"/>
              <w:bottom w:val="single" w:sz="4" w:space="0" w:color="auto"/>
              <w:right w:val="single" w:sz="4" w:space="0" w:color="auto"/>
            </w:tcBorders>
            <w:vAlign w:val="center"/>
            <w:hideMark/>
          </w:tcPr>
          <w:p w14:paraId="17C86DDC"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4</w:t>
            </w:r>
          </w:p>
        </w:tc>
        <w:tc>
          <w:tcPr>
            <w:tcW w:w="1355" w:type="dxa"/>
            <w:tcBorders>
              <w:top w:val="nil"/>
              <w:left w:val="nil"/>
              <w:bottom w:val="single" w:sz="4" w:space="0" w:color="auto"/>
              <w:right w:val="single" w:sz="8" w:space="0" w:color="auto"/>
            </w:tcBorders>
            <w:hideMark/>
          </w:tcPr>
          <w:p w14:paraId="7F2B5C12"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14:paraId="0A7C75C2" w14:textId="77777777" w:rsidTr="00CA08C0">
        <w:trPr>
          <w:trHeight w:val="540"/>
        </w:trPr>
        <w:tc>
          <w:tcPr>
            <w:tcW w:w="5900" w:type="dxa"/>
            <w:tcBorders>
              <w:top w:val="nil"/>
              <w:left w:val="single" w:sz="8" w:space="0" w:color="auto"/>
              <w:bottom w:val="single" w:sz="4" w:space="0" w:color="auto"/>
              <w:right w:val="single" w:sz="4" w:space="0" w:color="auto"/>
            </w:tcBorders>
            <w:vAlign w:val="center"/>
          </w:tcPr>
          <w:p w14:paraId="4551448F" w14:textId="77777777" w:rsidR="002D23A9" w:rsidRPr="007770A5" w:rsidRDefault="002D23A9" w:rsidP="00CA08C0">
            <w:pPr>
              <w:rPr>
                <w:rFonts w:ascii="Calibri" w:hAnsi="Calibri" w:cs="Calibri"/>
                <w:b/>
                <w:bCs/>
                <w:color w:val="000000"/>
                <w:sz w:val="20"/>
                <w:szCs w:val="20"/>
                <w:lang w:val="en-AU"/>
              </w:rPr>
            </w:pPr>
            <w:r w:rsidRPr="007770A5">
              <w:rPr>
                <w:rFonts w:ascii="Calibri" w:hAnsi="Calibri" w:cs="Calibri"/>
                <w:color w:val="000000"/>
                <w:sz w:val="20"/>
                <w:szCs w:val="20"/>
                <w:lang w:val="en-AU"/>
              </w:rPr>
              <w:t>Number of entities that implemented recommended changes</w:t>
            </w:r>
          </w:p>
        </w:tc>
        <w:tc>
          <w:tcPr>
            <w:tcW w:w="1403" w:type="dxa"/>
            <w:tcBorders>
              <w:top w:val="nil"/>
              <w:left w:val="nil"/>
              <w:bottom w:val="single" w:sz="4" w:space="0" w:color="auto"/>
              <w:right w:val="single" w:sz="4" w:space="0" w:color="auto"/>
            </w:tcBorders>
            <w:vAlign w:val="center"/>
          </w:tcPr>
          <w:p w14:paraId="59C00168" w14:textId="77777777" w:rsidR="002D23A9" w:rsidRPr="006B6176" w:rsidRDefault="002D23A9" w:rsidP="00CA08C0">
            <w:pPr>
              <w:jc w:val="center"/>
              <w:rPr>
                <w:rFonts w:ascii="Calibri" w:hAnsi="Calibri" w:cs="Calibri"/>
                <w:color w:val="000000"/>
                <w:sz w:val="20"/>
                <w:szCs w:val="20"/>
                <w:lang w:val="en-AU"/>
              </w:rPr>
            </w:pPr>
            <w:r>
              <w:rPr>
                <w:rFonts w:ascii="Calibri" w:hAnsi="Calibri" w:cs="Calibri"/>
                <w:color w:val="000000"/>
                <w:sz w:val="20"/>
                <w:szCs w:val="20"/>
                <w:lang w:val="en-AU"/>
              </w:rPr>
              <w:t>26</w:t>
            </w:r>
          </w:p>
        </w:tc>
        <w:tc>
          <w:tcPr>
            <w:tcW w:w="1265" w:type="dxa"/>
            <w:tcBorders>
              <w:top w:val="nil"/>
              <w:left w:val="nil"/>
              <w:bottom w:val="single" w:sz="4" w:space="0" w:color="auto"/>
              <w:right w:val="single" w:sz="4" w:space="0" w:color="auto"/>
            </w:tcBorders>
            <w:vAlign w:val="center"/>
          </w:tcPr>
          <w:p w14:paraId="3602DC5B" w14:textId="77777777" w:rsidR="002D23A9" w:rsidRPr="006B6176" w:rsidRDefault="002D23A9" w:rsidP="00CA08C0">
            <w:pPr>
              <w:jc w:val="center"/>
              <w:rPr>
                <w:rFonts w:ascii="Calibri" w:hAnsi="Calibri" w:cs="Calibri"/>
                <w:color w:val="000000"/>
                <w:sz w:val="20"/>
                <w:szCs w:val="20"/>
                <w:lang w:val="en-AU"/>
              </w:rPr>
            </w:pPr>
            <w:r>
              <w:rPr>
                <w:rFonts w:ascii="Calibri" w:hAnsi="Calibri" w:cs="Calibri"/>
                <w:color w:val="000000"/>
                <w:sz w:val="20"/>
                <w:szCs w:val="20"/>
                <w:lang w:val="en-AU"/>
              </w:rPr>
              <w:t>2</w:t>
            </w:r>
          </w:p>
        </w:tc>
        <w:tc>
          <w:tcPr>
            <w:tcW w:w="1355" w:type="dxa"/>
            <w:tcBorders>
              <w:top w:val="nil"/>
              <w:left w:val="nil"/>
              <w:bottom w:val="single" w:sz="4" w:space="0" w:color="auto"/>
              <w:right w:val="single" w:sz="8" w:space="0" w:color="auto"/>
            </w:tcBorders>
          </w:tcPr>
          <w:p w14:paraId="26CC6647" w14:textId="77777777" w:rsidR="002D23A9" w:rsidRDefault="002D23A9" w:rsidP="00CA08C0">
            <w:pPr>
              <w:jc w:val="center"/>
              <w:rPr>
                <w:rFonts w:ascii="Calibri" w:hAnsi="Calibri" w:cs="Calibri"/>
                <w:color w:val="000000"/>
                <w:sz w:val="20"/>
                <w:szCs w:val="20"/>
                <w:lang w:val="en-US"/>
              </w:rPr>
            </w:pPr>
            <w:r>
              <w:rPr>
                <w:rFonts w:ascii="Calibri" w:hAnsi="Calibri" w:cs="Calibri"/>
                <w:color w:val="000000"/>
                <w:sz w:val="20"/>
                <w:szCs w:val="20"/>
                <w:lang w:val="en-US"/>
              </w:rPr>
              <w:t>Yes</w:t>
            </w:r>
          </w:p>
        </w:tc>
      </w:tr>
    </w:tbl>
    <w:p w14:paraId="63BE3D49" w14:textId="77777777" w:rsidR="002D23A9" w:rsidRDefault="002D23A9" w:rsidP="002D23A9">
      <w:pPr>
        <w:rPr>
          <w:rFonts w:ascii="Calibri" w:hAnsi="Calibri" w:cs="Calibri"/>
          <w:bCs/>
          <w:color w:val="000000"/>
          <w:lang w:val="en-AU"/>
        </w:rPr>
      </w:pPr>
    </w:p>
    <w:tbl>
      <w:tblPr>
        <w:tblW w:w="9923" w:type="dxa"/>
        <w:tblInd w:w="-152" w:type="dxa"/>
        <w:tblLook w:val="04A0" w:firstRow="1" w:lastRow="0" w:firstColumn="1" w:lastColumn="0" w:noHBand="0" w:noVBand="1"/>
      </w:tblPr>
      <w:tblGrid>
        <w:gridCol w:w="5900"/>
        <w:gridCol w:w="1403"/>
        <w:gridCol w:w="1265"/>
        <w:gridCol w:w="1355"/>
      </w:tblGrid>
      <w:tr w:rsidR="002D23A9" w:rsidRPr="006B6176" w14:paraId="22EF1DF7" w14:textId="77777777" w:rsidTr="00CA08C0">
        <w:trPr>
          <w:trHeight w:val="402"/>
        </w:trPr>
        <w:tc>
          <w:tcPr>
            <w:tcW w:w="5900"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14420100" w14:textId="77777777" w:rsidR="002D23A9" w:rsidRPr="007770A5" w:rsidRDefault="002D23A9" w:rsidP="00CA08C0">
            <w:pPr>
              <w:rPr>
                <w:rFonts w:ascii="Calibri" w:hAnsi="Calibri" w:cs="Calibri"/>
                <w:b/>
                <w:bCs/>
                <w:color w:val="000000"/>
                <w:sz w:val="20"/>
                <w:szCs w:val="20"/>
                <w:lang w:val="en-US"/>
              </w:rPr>
            </w:pPr>
            <w:r w:rsidRPr="007770A5">
              <w:rPr>
                <w:rFonts w:ascii="Calibri" w:hAnsi="Calibri" w:cs="Calibri"/>
                <w:b/>
                <w:bCs/>
                <w:color w:val="000000"/>
                <w:sz w:val="20"/>
                <w:szCs w:val="20"/>
                <w:lang w:val="en-AU"/>
              </w:rPr>
              <w:t xml:space="preserve">Joint Capital Markets Program </w:t>
            </w:r>
            <w:r>
              <w:rPr>
                <w:rFonts w:ascii="Calibri" w:hAnsi="Calibri" w:cs="Calibri"/>
                <w:b/>
                <w:bCs/>
                <w:color w:val="000000"/>
                <w:sz w:val="20"/>
                <w:szCs w:val="20"/>
                <w:lang w:val="en-AU"/>
              </w:rPr>
              <w:t xml:space="preserve">- </w:t>
            </w:r>
            <w:r w:rsidRPr="007770A5">
              <w:rPr>
                <w:rFonts w:ascii="Calibri" w:hAnsi="Calibri" w:cs="Calibri"/>
                <w:b/>
                <w:bCs/>
                <w:color w:val="000000"/>
                <w:sz w:val="20"/>
                <w:szCs w:val="20"/>
                <w:lang w:val="en-AU"/>
              </w:rPr>
              <w:t>IMPACT</w:t>
            </w:r>
          </w:p>
        </w:tc>
        <w:tc>
          <w:tcPr>
            <w:tcW w:w="1403"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432D0A8E" w14:textId="77777777" w:rsidR="002D23A9" w:rsidRPr="006B6176" w:rsidRDefault="002D23A9" w:rsidP="00CA08C0">
            <w:pPr>
              <w:jc w:val="center"/>
              <w:rPr>
                <w:rFonts w:ascii="Calibri" w:hAnsi="Calibri" w:cs="Calibri"/>
                <w:color w:val="000000"/>
                <w:sz w:val="20"/>
                <w:szCs w:val="20"/>
                <w:lang w:val="en-US"/>
              </w:rPr>
            </w:pPr>
            <w:r>
              <w:rPr>
                <w:rFonts w:ascii="Calibri" w:hAnsi="Calibri" w:cs="Calibri"/>
                <w:b/>
                <w:bCs/>
                <w:color w:val="000000"/>
                <w:sz w:val="20"/>
                <w:szCs w:val="20"/>
                <w:lang w:val="en-AU"/>
              </w:rPr>
              <w:t xml:space="preserve"> </w:t>
            </w:r>
            <w:r w:rsidRPr="007770A5">
              <w:rPr>
                <w:rFonts w:ascii="Calibri" w:hAnsi="Calibri" w:cs="Calibri"/>
                <w:b/>
                <w:bCs/>
                <w:color w:val="000000"/>
                <w:sz w:val="20"/>
                <w:szCs w:val="20"/>
                <w:lang w:val="en-AU"/>
              </w:rPr>
              <w:t>Cumulative Results till Dec 2025</w:t>
            </w:r>
          </w:p>
        </w:tc>
        <w:tc>
          <w:tcPr>
            <w:tcW w:w="1265"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31FAD436" w14:textId="77777777" w:rsidR="002D23A9" w:rsidRPr="006B6176" w:rsidRDefault="002D23A9" w:rsidP="00CA08C0">
            <w:pPr>
              <w:jc w:val="center"/>
              <w:rPr>
                <w:rFonts w:ascii="Calibri" w:hAnsi="Calibri" w:cs="Calibri"/>
                <w:color w:val="000000"/>
                <w:sz w:val="20"/>
                <w:szCs w:val="20"/>
                <w:lang w:val="en-US"/>
              </w:rPr>
            </w:pPr>
            <w:r w:rsidRPr="007770A5">
              <w:rPr>
                <w:rFonts w:ascii="Calibri" w:hAnsi="Calibri" w:cs="Calibri"/>
                <w:b/>
                <w:bCs/>
                <w:color w:val="000000"/>
                <w:sz w:val="20"/>
                <w:szCs w:val="20"/>
                <w:lang w:val="en-AU"/>
              </w:rPr>
              <w:t>Overall Target</w:t>
            </w:r>
          </w:p>
        </w:tc>
        <w:tc>
          <w:tcPr>
            <w:tcW w:w="1355" w:type="dxa"/>
            <w:tcBorders>
              <w:top w:val="single" w:sz="4" w:space="0" w:color="auto"/>
              <w:left w:val="single" w:sz="4" w:space="0" w:color="auto"/>
              <w:bottom w:val="single" w:sz="4" w:space="0" w:color="auto"/>
              <w:right w:val="single" w:sz="4" w:space="0" w:color="auto"/>
            </w:tcBorders>
            <w:shd w:val="clear" w:color="000000" w:fill="CAEDFB"/>
            <w:vAlign w:val="center"/>
            <w:hideMark/>
          </w:tcPr>
          <w:p w14:paraId="7EABE14C" w14:textId="77777777" w:rsidR="002D23A9" w:rsidRPr="006B6176" w:rsidRDefault="002D23A9" w:rsidP="00CA08C0">
            <w:pPr>
              <w:jc w:val="center"/>
              <w:rPr>
                <w:rFonts w:ascii="Calibri" w:hAnsi="Calibri" w:cs="Calibri"/>
                <w:color w:val="000000"/>
                <w:sz w:val="20"/>
                <w:szCs w:val="20"/>
                <w:lang w:val="en-US"/>
              </w:rPr>
            </w:pPr>
            <w:r w:rsidRPr="007770A5">
              <w:rPr>
                <w:rFonts w:ascii="Calibri" w:hAnsi="Calibri" w:cs="Calibri"/>
                <w:b/>
                <w:bCs/>
                <w:color w:val="000000"/>
                <w:sz w:val="20"/>
                <w:szCs w:val="20"/>
                <w:lang w:val="en-AU"/>
              </w:rPr>
              <w:t>Achieved</w:t>
            </w:r>
          </w:p>
        </w:tc>
      </w:tr>
      <w:tr w:rsidR="002D23A9" w:rsidRPr="006B6176" w14:paraId="35ABDE5D"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4A5D6239"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Total size of listed corporate bond market (US$, million)</w:t>
            </w:r>
          </w:p>
        </w:tc>
        <w:tc>
          <w:tcPr>
            <w:tcW w:w="1403" w:type="dxa"/>
            <w:tcBorders>
              <w:top w:val="nil"/>
              <w:left w:val="nil"/>
              <w:bottom w:val="single" w:sz="4" w:space="0" w:color="auto"/>
              <w:right w:val="single" w:sz="4" w:space="0" w:color="auto"/>
            </w:tcBorders>
            <w:vAlign w:val="center"/>
            <w:hideMark/>
          </w:tcPr>
          <w:p w14:paraId="7B8E083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7,327</w:t>
            </w:r>
          </w:p>
        </w:tc>
        <w:tc>
          <w:tcPr>
            <w:tcW w:w="1265" w:type="dxa"/>
            <w:tcBorders>
              <w:top w:val="nil"/>
              <w:left w:val="nil"/>
              <w:bottom w:val="single" w:sz="4" w:space="0" w:color="auto"/>
              <w:right w:val="single" w:sz="4" w:space="0" w:color="auto"/>
            </w:tcBorders>
            <w:vAlign w:val="center"/>
            <w:hideMark/>
          </w:tcPr>
          <w:p w14:paraId="12DDE1DA"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2,916</w:t>
            </w:r>
          </w:p>
        </w:tc>
        <w:tc>
          <w:tcPr>
            <w:tcW w:w="1355" w:type="dxa"/>
            <w:tcBorders>
              <w:top w:val="nil"/>
              <w:left w:val="nil"/>
              <w:bottom w:val="single" w:sz="4" w:space="0" w:color="auto"/>
              <w:right w:val="single" w:sz="8" w:space="0" w:color="auto"/>
            </w:tcBorders>
            <w:hideMark/>
          </w:tcPr>
          <w:p w14:paraId="652E20C4"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25AE86B3" w14:textId="77777777" w:rsidTr="00CA08C0">
        <w:trPr>
          <w:trHeight w:val="402"/>
        </w:trPr>
        <w:tc>
          <w:tcPr>
            <w:tcW w:w="5900" w:type="dxa"/>
            <w:tcBorders>
              <w:top w:val="nil"/>
              <w:left w:val="single" w:sz="8" w:space="0" w:color="auto"/>
              <w:bottom w:val="single" w:sz="4" w:space="0" w:color="auto"/>
              <w:right w:val="single" w:sz="4" w:space="0" w:color="auto"/>
            </w:tcBorders>
            <w:vAlign w:val="center"/>
            <w:hideMark/>
          </w:tcPr>
          <w:p w14:paraId="1D7E637D"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Value of private investment facilitated into key sectors (US$)</w:t>
            </w:r>
          </w:p>
        </w:tc>
        <w:tc>
          <w:tcPr>
            <w:tcW w:w="1403" w:type="dxa"/>
            <w:tcBorders>
              <w:top w:val="nil"/>
              <w:left w:val="nil"/>
              <w:bottom w:val="single" w:sz="4" w:space="0" w:color="auto"/>
              <w:right w:val="single" w:sz="4" w:space="0" w:color="auto"/>
            </w:tcBorders>
            <w:vAlign w:val="center"/>
            <w:hideMark/>
          </w:tcPr>
          <w:p w14:paraId="14BB73C0"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195,000,000</w:t>
            </w:r>
          </w:p>
        </w:tc>
        <w:tc>
          <w:tcPr>
            <w:tcW w:w="1265" w:type="dxa"/>
            <w:tcBorders>
              <w:top w:val="nil"/>
              <w:left w:val="nil"/>
              <w:bottom w:val="single" w:sz="4" w:space="0" w:color="auto"/>
              <w:right w:val="single" w:sz="4" w:space="0" w:color="auto"/>
            </w:tcBorders>
            <w:vAlign w:val="center"/>
            <w:hideMark/>
          </w:tcPr>
          <w:p w14:paraId="76544F3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75,000,000</w:t>
            </w:r>
          </w:p>
        </w:tc>
        <w:tc>
          <w:tcPr>
            <w:tcW w:w="1355" w:type="dxa"/>
            <w:tcBorders>
              <w:top w:val="nil"/>
              <w:left w:val="nil"/>
              <w:bottom w:val="single" w:sz="4" w:space="0" w:color="auto"/>
              <w:right w:val="single" w:sz="8" w:space="0" w:color="auto"/>
            </w:tcBorders>
            <w:hideMark/>
          </w:tcPr>
          <w:p w14:paraId="1B6FA8E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r w:rsidR="002D23A9" w:rsidRPr="006B6176" w14:paraId="2AB6F699" w14:textId="77777777" w:rsidTr="00CA08C0">
        <w:trPr>
          <w:trHeight w:val="402"/>
        </w:trPr>
        <w:tc>
          <w:tcPr>
            <w:tcW w:w="5900" w:type="dxa"/>
            <w:tcBorders>
              <w:top w:val="nil"/>
              <w:left w:val="single" w:sz="8" w:space="0" w:color="auto"/>
              <w:bottom w:val="single" w:sz="8" w:space="0" w:color="auto"/>
              <w:right w:val="single" w:sz="4" w:space="0" w:color="auto"/>
            </w:tcBorders>
            <w:vAlign w:val="center"/>
            <w:hideMark/>
          </w:tcPr>
          <w:p w14:paraId="33723507" w14:textId="77777777" w:rsidR="002D23A9" w:rsidRPr="007770A5" w:rsidRDefault="002D23A9" w:rsidP="00CA08C0">
            <w:pPr>
              <w:rPr>
                <w:rFonts w:ascii="Calibri" w:hAnsi="Calibri" w:cs="Calibri"/>
                <w:color w:val="000000"/>
                <w:sz w:val="20"/>
                <w:szCs w:val="20"/>
                <w:lang w:val="en-US"/>
              </w:rPr>
            </w:pPr>
            <w:r w:rsidRPr="007770A5">
              <w:rPr>
                <w:rFonts w:ascii="Calibri" w:hAnsi="Calibri" w:cs="Calibri"/>
                <w:color w:val="000000"/>
                <w:sz w:val="20"/>
                <w:szCs w:val="20"/>
                <w:lang w:val="en-AU"/>
              </w:rPr>
              <w:t>Number of LCY debt financing vehicles</w:t>
            </w:r>
          </w:p>
        </w:tc>
        <w:tc>
          <w:tcPr>
            <w:tcW w:w="1403" w:type="dxa"/>
            <w:tcBorders>
              <w:top w:val="nil"/>
              <w:left w:val="nil"/>
              <w:bottom w:val="single" w:sz="8" w:space="0" w:color="auto"/>
              <w:right w:val="single" w:sz="4" w:space="0" w:color="auto"/>
            </w:tcBorders>
            <w:vAlign w:val="center"/>
            <w:hideMark/>
          </w:tcPr>
          <w:p w14:paraId="3F6929A1"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w:t>
            </w:r>
          </w:p>
        </w:tc>
        <w:tc>
          <w:tcPr>
            <w:tcW w:w="1265" w:type="dxa"/>
            <w:tcBorders>
              <w:top w:val="nil"/>
              <w:left w:val="nil"/>
              <w:bottom w:val="single" w:sz="8" w:space="0" w:color="auto"/>
              <w:right w:val="single" w:sz="4" w:space="0" w:color="auto"/>
            </w:tcBorders>
            <w:vAlign w:val="center"/>
            <w:hideMark/>
          </w:tcPr>
          <w:p w14:paraId="406EE865"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AU"/>
              </w:rPr>
              <w:t>1</w:t>
            </w:r>
          </w:p>
        </w:tc>
        <w:tc>
          <w:tcPr>
            <w:tcW w:w="1355" w:type="dxa"/>
            <w:tcBorders>
              <w:top w:val="nil"/>
              <w:left w:val="nil"/>
              <w:bottom w:val="single" w:sz="8" w:space="0" w:color="auto"/>
              <w:right w:val="single" w:sz="8" w:space="0" w:color="auto"/>
            </w:tcBorders>
            <w:hideMark/>
          </w:tcPr>
          <w:p w14:paraId="79D63B89" w14:textId="77777777" w:rsidR="002D23A9" w:rsidRPr="006B6176" w:rsidRDefault="002D23A9" w:rsidP="00CA08C0">
            <w:pPr>
              <w:jc w:val="center"/>
              <w:rPr>
                <w:rFonts w:ascii="Calibri" w:hAnsi="Calibri" w:cs="Calibri"/>
                <w:color w:val="000000"/>
                <w:sz w:val="20"/>
                <w:szCs w:val="20"/>
                <w:lang w:val="en-US"/>
              </w:rPr>
            </w:pPr>
            <w:r w:rsidRPr="006B6176">
              <w:rPr>
                <w:rFonts w:ascii="Calibri" w:hAnsi="Calibri" w:cs="Calibri"/>
                <w:color w:val="000000"/>
                <w:sz w:val="20"/>
                <w:szCs w:val="20"/>
                <w:lang w:val="en-US"/>
              </w:rPr>
              <w:t>Yes</w:t>
            </w:r>
          </w:p>
        </w:tc>
      </w:tr>
    </w:tbl>
    <w:p w14:paraId="481F20ED" w14:textId="77777777" w:rsidR="002D23A9" w:rsidRDefault="002D23A9" w:rsidP="002D23A9">
      <w:pPr>
        <w:autoSpaceDE w:val="0"/>
        <w:autoSpaceDN w:val="0"/>
        <w:adjustRightInd w:val="0"/>
        <w:spacing w:after="120"/>
        <w:jc w:val="both"/>
        <w:rPr>
          <w:rFonts w:ascii="Calibri" w:eastAsiaTheme="minorHAnsi" w:hAnsi="Calibri" w:cs="Calibri"/>
          <w:b/>
          <w:bCs/>
          <w:i/>
          <w:iCs/>
          <w:sz w:val="18"/>
          <w:szCs w:val="18"/>
          <w:lang w:val="en-AU"/>
          <w14:ligatures w14:val="standardContextual"/>
        </w:rPr>
      </w:pPr>
    </w:p>
    <w:p w14:paraId="7497038F" w14:textId="741817DF" w:rsidR="007770A5" w:rsidRPr="007770A5" w:rsidRDefault="007770A5" w:rsidP="0018560C">
      <w:pPr>
        <w:textAlignment w:val="baseline"/>
        <w:rPr>
          <w:rFonts w:ascii="Calibri" w:hAnsi="Calibri" w:cs="Calibri"/>
          <w:bCs/>
          <w:color w:val="000000"/>
          <w:lang w:val="en-AU"/>
        </w:rPr>
      </w:pPr>
    </w:p>
    <w:p w14:paraId="5525FC2E" w14:textId="6790C67E" w:rsidR="002E224E" w:rsidRPr="000348BD" w:rsidRDefault="00E9525D" w:rsidP="00385865">
      <w:pPr>
        <w:autoSpaceDE w:val="0"/>
        <w:autoSpaceDN w:val="0"/>
        <w:adjustRightInd w:val="0"/>
        <w:jc w:val="both"/>
        <w:rPr>
          <w:rFonts w:ascii="Calibri" w:hAnsi="Calibri" w:cs="Calibri"/>
          <w:b/>
          <w:color w:val="000000"/>
          <w:sz w:val="22"/>
          <w:szCs w:val="22"/>
          <w:u w:val="single"/>
          <w:lang w:val="en-AU"/>
        </w:rPr>
      </w:pPr>
      <w:r w:rsidRPr="000348BD">
        <w:rPr>
          <w:rFonts w:ascii="Calibri" w:hAnsi="Calibri" w:cs="Calibri"/>
          <w:b/>
          <w:color w:val="000000"/>
          <w:sz w:val="22"/>
          <w:szCs w:val="22"/>
          <w:u w:val="single"/>
          <w:lang w:val="en-AU"/>
        </w:rPr>
        <w:t>Pillar</w:t>
      </w:r>
      <w:r w:rsidR="002E224E" w:rsidRPr="000348BD">
        <w:rPr>
          <w:rFonts w:ascii="Calibri" w:hAnsi="Calibri" w:cs="Calibri"/>
          <w:b/>
          <w:color w:val="000000"/>
          <w:sz w:val="22"/>
          <w:szCs w:val="22"/>
          <w:u w:val="single"/>
          <w:lang w:val="en-AU"/>
        </w:rPr>
        <w:t xml:space="preserve"> 4 – Enhancing Gender Equality, Inclusive Development and ESG standards</w:t>
      </w:r>
    </w:p>
    <w:p w14:paraId="199818E2" w14:textId="6219F989" w:rsidR="00385865" w:rsidRPr="000348BD" w:rsidRDefault="00386AC1"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Activities under the VPSDP are aimed at accelerating progress on gender equality and women’s empowerment</w:t>
      </w:r>
      <w:r w:rsidRPr="000348BD">
        <w:rPr>
          <w:rFonts w:ascii="Calibri" w:hAnsi="Calibri" w:cs="Calibri"/>
          <w:sz w:val="22"/>
          <w:szCs w:val="22"/>
          <w:lang w:val="en-AU"/>
        </w:rPr>
        <w:t xml:space="preserve"> as a key aspect of the economic recovery, whilst enhancing the sustainability of private investment in Vietnam by increasing adherence to international ESG standards and risk management.</w:t>
      </w:r>
    </w:p>
    <w:p w14:paraId="1D54A75C" w14:textId="7C80FBE5" w:rsidR="00467344" w:rsidRDefault="00467344" w:rsidP="00386AC1">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Empowering </w:t>
      </w:r>
      <w:r w:rsidR="0013617E" w:rsidRPr="000348BD">
        <w:rPr>
          <w:rFonts w:ascii="Calibri" w:hAnsi="Calibri" w:cs="Calibri"/>
          <w:b/>
          <w:bCs/>
          <w:sz w:val="22"/>
          <w:szCs w:val="22"/>
          <w:lang w:val="en-AU"/>
        </w:rPr>
        <w:t>Enterprises to Reach Gender Equality (E</w:t>
      </w:r>
      <w:r w:rsidR="00E20DEB" w:rsidRPr="000348BD">
        <w:rPr>
          <w:rFonts w:ascii="Calibri" w:hAnsi="Calibri" w:cs="Calibri"/>
          <w:b/>
          <w:bCs/>
          <w:sz w:val="22"/>
          <w:szCs w:val="22"/>
          <w:lang w:val="en-AU"/>
        </w:rPr>
        <w:t>M</w:t>
      </w:r>
      <w:r w:rsidR="00191C15">
        <w:rPr>
          <w:rFonts w:ascii="Calibri" w:hAnsi="Calibri" w:cs="Calibri"/>
          <w:b/>
          <w:bCs/>
          <w:sz w:val="22"/>
          <w:szCs w:val="22"/>
          <w:lang w:val="en-AU"/>
        </w:rPr>
        <w:t>E</w:t>
      </w:r>
      <w:r w:rsidR="0013617E" w:rsidRPr="000348BD">
        <w:rPr>
          <w:rFonts w:ascii="Calibri" w:hAnsi="Calibri" w:cs="Calibri"/>
          <w:b/>
          <w:bCs/>
          <w:sz w:val="22"/>
          <w:szCs w:val="22"/>
          <w:lang w:val="en-AU"/>
        </w:rPr>
        <w:t xml:space="preserve">RGE) is the largest </w:t>
      </w:r>
      <w:r w:rsidR="00E32C8B">
        <w:rPr>
          <w:rFonts w:ascii="Calibri" w:hAnsi="Calibri" w:cs="Calibri"/>
          <w:b/>
          <w:bCs/>
          <w:sz w:val="22"/>
          <w:szCs w:val="22"/>
          <w:lang w:val="en-AU"/>
        </w:rPr>
        <w:t>project</w:t>
      </w:r>
      <w:r w:rsidR="00E32C8B" w:rsidRPr="000348BD">
        <w:rPr>
          <w:rFonts w:ascii="Calibri" w:hAnsi="Calibri" w:cs="Calibri"/>
          <w:b/>
          <w:bCs/>
          <w:sz w:val="22"/>
          <w:szCs w:val="22"/>
          <w:lang w:val="en-AU"/>
        </w:rPr>
        <w:t xml:space="preserve"> </w:t>
      </w:r>
      <w:r w:rsidR="0013617E" w:rsidRPr="000348BD">
        <w:rPr>
          <w:rFonts w:ascii="Calibri" w:hAnsi="Calibri" w:cs="Calibri"/>
          <w:b/>
          <w:bCs/>
          <w:sz w:val="22"/>
          <w:szCs w:val="22"/>
          <w:lang w:val="en-AU"/>
        </w:rPr>
        <w:t>under Pillar 4 and one of the largest investments under the VPSDP.</w:t>
      </w:r>
      <w:r w:rsidRPr="000348BD">
        <w:rPr>
          <w:rFonts w:ascii="Calibri" w:hAnsi="Calibri" w:cs="Calibri"/>
          <w:sz w:val="22"/>
          <w:szCs w:val="22"/>
          <w:lang w:val="en-AU"/>
        </w:rPr>
        <w:t xml:space="preserve"> A key benefit </w:t>
      </w:r>
      <w:r w:rsidR="0013617E" w:rsidRPr="000348BD">
        <w:rPr>
          <w:rFonts w:ascii="Calibri" w:hAnsi="Calibri" w:cs="Calibri"/>
          <w:sz w:val="22"/>
          <w:szCs w:val="22"/>
          <w:lang w:val="en-AU"/>
        </w:rPr>
        <w:t>of the project is that it supports female participation and engagement across sectors (banking and manufacturing) and operates at both the sector and firm/enterprise</w:t>
      </w:r>
      <w:r w:rsidRPr="000348BD">
        <w:rPr>
          <w:rFonts w:ascii="Calibri" w:hAnsi="Calibri" w:cs="Calibri"/>
          <w:sz w:val="22"/>
          <w:szCs w:val="22"/>
          <w:lang w:val="en-AU"/>
        </w:rPr>
        <w:t xml:space="preserve"> level</w:t>
      </w:r>
      <w:r w:rsidR="0013617E" w:rsidRPr="000348BD">
        <w:rPr>
          <w:rFonts w:ascii="Calibri" w:hAnsi="Calibri" w:cs="Calibri"/>
          <w:sz w:val="22"/>
          <w:szCs w:val="22"/>
          <w:lang w:val="en-AU"/>
        </w:rPr>
        <w:t>s</w:t>
      </w:r>
      <w:r w:rsidRPr="000348BD">
        <w:rPr>
          <w:rFonts w:ascii="Calibri" w:hAnsi="Calibri" w:cs="Calibri"/>
          <w:sz w:val="22"/>
          <w:szCs w:val="22"/>
          <w:lang w:val="en-AU"/>
        </w:rPr>
        <w:t xml:space="preserve">. The intention is to employ multi-faceted strategies and engagements that support and underpin capacity as well as identify current and future intervention gaps. The most </w:t>
      </w:r>
      <w:r w:rsidRPr="000348BD">
        <w:rPr>
          <w:rFonts w:ascii="Calibri" w:hAnsi="Calibri" w:cs="Calibri"/>
          <w:sz w:val="22"/>
          <w:szCs w:val="22"/>
          <w:lang w:val="en-AU"/>
        </w:rPr>
        <w:lastRenderedPageBreak/>
        <w:t xml:space="preserve">important feature is </w:t>
      </w:r>
      <w:r w:rsidR="0013617E" w:rsidRPr="000348BD">
        <w:rPr>
          <w:rFonts w:ascii="Calibri" w:hAnsi="Calibri" w:cs="Calibri"/>
          <w:sz w:val="22"/>
          <w:szCs w:val="22"/>
          <w:lang w:val="en-AU"/>
        </w:rPr>
        <w:t>that</w:t>
      </w:r>
      <w:r w:rsidR="00E32C8B">
        <w:rPr>
          <w:rFonts w:ascii="Calibri" w:hAnsi="Calibri" w:cs="Calibri"/>
          <w:sz w:val="22"/>
          <w:szCs w:val="22"/>
          <w:lang w:val="en-AU"/>
        </w:rPr>
        <w:t xml:space="preserve"> </w:t>
      </w:r>
      <w:r w:rsidR="0013617E" w:rsidRPr="000348BD">
        <w:rPr>
          <w:rFonts w:ascii="Calibri" w:hAnsi="Calibri" w:cs="Calibri"/>
          <w:sz w:val="22"/>
          <w:szCs w:val="22"/>
          <w:lang w:val="en-AU"/>
        </w:rPr>
        <w:t>firms and enterprises recognise the importance of supporting and promoting women’s</w:t>
      </w:r>
      <w:r w:rsidRPr="000348BD">
        <w:rPr>
          <w:rFonts w:ascii="Calibri" w:hAnsi="Calibri" w:cs="Calibri"/>
          <w:sz w:val="22"/>
          <w:szCs w:val="22"/>
          <w:lang w:val="en-AU"/>
        </w:rPr>
        <w:t xml:space="preserve"> needs and priorities. This is </w:t>
      </w:r>
      <w:r w:rsidR="0013617E" w:rsidRPr="000348BD">
        <w:rPr>
          <w:rFonts w:ascii="Calibri" w:hAnsi="Calibri" w:cs="Calibri"/>
          <w:sz w:val="22"/>
          <w:szCs w:val="22"/>
          <w:lang w:val="en-AU"/>
        </w:rPr>
        <w:t>realised through strategies to provide safer workplaces and promote strategies that minimise violence</w:t>
      </w:r>
      <w:r w:rsidRPr="000348BD">
        <w:rPr>
          <w:rFonts w:ascii="Calibri" w:hAnsi="Calibri" w:cs="Calibri"/>
          <w:sz w:val="22"/>
          <w:szCs w:val="22"/>
          <w:lang w:val="en-AU"/>
        </w:rPr>
        <w:t xml:space="preserve"> and harassment.</w:t>
      </w:r>
    </w:p>
    <w:p w14:paraId="390A2A39" w14:textId="78B36285" w:rsidR="0068321E" w:rsidRDefault="0068321E" w:rsidP="0068321E">
      <w:pPr>
        <w:autoSpaceDE w:val="0"/>
        <w:autoSpaceDN w:val="0"/>
        <w:adjustRightInd w:val="0"/>
        <w:spacing w:after="120"/>
        <w:jc w:val="both"/>
        <w:rPr>
          <w:rFonts w:ascii="Calibri" w:eastAsiaTheme="minorHAnsi" w:hAnsi="Calibri" w:cs="Calibri"/>
          <w:b/>
          <w:bCs/>
          <w:i/>
          <w:iCs/>
          <w:sz w:val="18"/>
          <w:szCs w:val="18"/>
          <w:lang w:val="en-AU"/>
          <w14:ligatures w14:val="standardContextual"/>
        </w:rPr>
      </w:pPr>
      <w:r w:rsidRPr="002E5ED7">
        <w:rPr>
          <w:rFonts w:ascii="Calibri" w:eastAsiaTheme="minorHAnsi" w:hAnsi="Calibri" w:cs="Calibri"/>
          <w:b/>
          <w:bCs/>
          <w:i/>
          <w:iCs/>
          <w:sz w:val="18"/>
          <w:szCs w:val="18"/>
          <w:lang w:val="en-AU"/>
          <w14:ligatures w14:val="standardContextual"/>
        </w:rPr>
        <w:t>Text Box 2: Addressing the Gender Gaps with Research</w:t>
      </w:r>
    </w:p>
    <w:p w14:paraId="319AC901" w14:textId="77777777"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lang w:val="en-AU"/>
          <w14:ligatures w14:val="standardContextual"/>
        </w:rPr>
      </w:pPr>
      <w:r w:rsidRPr="0068321E">
        <w:rPr>
          <w:rFonts w:ascii="Calibri" w:eastAsiaTheme="minorHAnsi" w:hAnsi="Calibri" w:cs="Calibri"/>
          <w:sz w:val="22"/>
          <w:szCs w:val="22"/>
          <w:lang w:val="en-AU"/>
          <w14:ligatures w14:val="standardContextual"/>
        </w:rPr>
        <w:t>Research developed under the VPSDP shows that removing barriers to inclusion can close skills gaps, build a future-ready talent pipeline, and boost business performance.</w:t>
      </w:r>
    </w:p>
    <w:p w14:paraId="1A1E0847" w14:textId="5CFF0085"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14:ligatures w14:val="standardContextual"/>
        </w:rPr>
      </w:pPr>
      <w:r w:rsidRPr="0068321E">
        <w:rPr>
          <w:rFonts w:ascii="Calibri" w:eastAsiaTheme="minorHAnsi" w:hAnsi="Calibri" w:cs="Calibri"/>
          <w:sz w:val="22"/>
          <w:szCs w:val="22"/>
          <w:lang w:val="en-AU"/>
          <w14:ligatures w14:val="standardContextual"/>
        </w:rPr>
        <w:t xml:space="preserve">With the support of DFAT, IFC published a </w:t>
      </w:r>
      <w:r w:rsidRPr="0068321E">
        <w:rPr>
          <w:rFonts w:ascii="Calibri" w:eastAsiaTheme="minorHAnsi" w:hAnsi="Calibri" w:cs="Calibri"/>
          <w:sz w:val="22"/>
          <w:szCs w:val="22"/>
          <w14:ligatures w14:val="standardContextual"/>
        </w:rPr>
        <w:t>first-of-its-kind gender-climate diagnostic</w:t>
      </w:r>
      <w:r w:rsidRPr="0068321E">
        <w:rPr>
          <w:rFonts w:ascii="Calibri" w:eastAsiaTheme="minorHAnsi" w:hAnsi="Calibri" w:cs="Calibri"/>
          <w:sz w:val="22"/>
          <w:szCs w:val="22"/>
          <w:lang w:val="en-AU"/>
          <w14:ligatures w14:val="standardContextual"/>
        </w:rPr>
        <w:t xml:space="preserve"> “</w:t>
      </w:r>
      <w:hyperlink r:id="rId22" w:history="1">
        <w:r w:rsidRPr="0068321E">
          <w:rPr>
            <w:rStyle w:val="Hyperlink"/>
            <w:rFonts w:ascii="Calibri" w:eastAsiaTheme="minorHAnsi" w:hAnsi="Calibri" w:cs="Calibri"/>
            <w:b/>
            <w:bCs/>
            <w:color w:val="153D63" w:themeColor="text2" w:themeTint="E6"/>
            <w:sz w:val="22"/>
            <w:szCs w:val="22"/>
            <w:lang w:val="en-AU"/>
            <w14:ligatures w14:val="standardContextual"/>
          </w:rPr>
          <w:t xml:space="preserve">The Green Edge: </w:t>
        </w:r>
        <w:r w:rsidRPr="0068321E">
          <w:rPr>
            <w:rStyle w:val="Hyperlink"/>
            <w:rFonts w:ascii="Calibri" w:eastAsiaTheme="minorHAnsi" w:hAnsi="Calibri" w:cs="Calibri"/>
            <w:b/>
            <w:bCs/>
            <w:color w:val="153D63" w:themeColor="text2" w:themeTint="E6"/>
            <w:sz w:val="22"/>
            <w:szCs w:val="22"/>
            <w14:ligatures w14:val="standardContextual"/>
          </w:rPr>
          <w:t>Women’s Employment and Leadership for Sustainable Business in Viet Nam</w:t>
        </w:r>
      </w:hyperlink>
      <w:r w:rsidRPr="0068321E">
        <w:rPr>
          <w:rFonts w:ascii="Calibri" w:eastAsiaTheme="minorHAnsi" w:hAnsi="Calibri" w:cs="Calibri"/>
          <w:sz w:val="22"/>
          <w:szCs w:val="22"/>
          <w14:ligatures w14:val="standardContextual"/>
        </w:rPr>
        <w:t>” in June 2025. The report found that companies need to take deliberate, inclusive action to embrace an untapped talent pool: women. The report identifies sector-specific actions to help businesses address skills gaps, strengthen teams, and drive sustainable growth in the sectors driving Viet Nam’s climate ambitions.</w:t>
      </w:r>
    </w:p>
    <w:p w14:paraId="0D304843" w14:textId="69278489"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i/>
          <w:iCs/>
          <w:sz w:val="22"/>
          <w:szCs w:val="22"/>
          <w14:ligatures w14:val="standardContextual"/>
        </w:rPr>
      </w:pPr>
      <w:r w:rsidRPr="0068321E">
        <w:rPr>
          <w:rFonts w:ascii="Calibri" w:eastAsiaTheme="minorHAnsi" w:hAnsi="Calibri" w:cs="Calibri"/>
          <w:i/>
          <w:iCs/>
          <w:sz w:val="22"/>
          <w:szCs w:val="22"/>
          <w14:ligatures w14:val="standardContextual"/>
        </w:rPr>
        <w:t xml:space="preserve">“When women work, economies win. Unlocking jobs for women fuels shared prosperity, strengthens resilience, and drives inclusive growth—especially for sectors that are relevant to Viet Nam’s green transition. By investing in women’s participation in climate-critical sectors, we can accelerate progress toward net-zero while ensuring that the benefits of growth are shared by all.” </w:t>
      </w:r>
    </w:p>
    <w:p w14:paraId="1050FC39" w14:textId="2D3BF90F"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14:ligatures w14:val="standardContextual"/>
        </w:rPr>
      </w:pPr>
      <w:r w:rsidRPr="0068321E">
        <w:rPr>
          <w:rFonts w:ascii="Calibri" w:eastAsiaTheme="minorHAnsi" w:hAnsi="Calibri" w:cs="Calibri"/>
          <w:sz w:val="22"/>
          <w:szCs w:val="22"/>
          <w14:ligatures w14:val="standardContextual"/>
        </w:rPr>
        <w:t>-- H.E. Gillian Bird, Australia’s Ambassador to Viet Nam</w:t>
      </w:r>
    </w:p>
    <w:p w14:paraId="0DE8CDEF" w14:textId="1BB3B10A"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14:ligatures w14:val="standardContextual"/>
        </w:rPr>
      </w:pPr>
    </w:p>
    <w:p w14:paraId="3730F848" w14:textId="3DC3C9CE"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lang w:val="en-AU"/>
          <w14:ligatures w14:val="standardContextual"/>
        </w:rPr>
      </w:pPr>
      <w:r w:rsidRPr="0068321E">
        <w:rPr>
          <w:rFonts w:ascii="Calibri" w:eastAsiaTheme="minorHAnsi" w:hAnsi="Calibri" w:cs="Calibri"/>
          <w:sz w:val="22"/>
          <w:szCs w:val="22"/>
          <w:lang w:val="en-AU"/>
          <w14:ligatures w14:val="standardContextual"/>
        </w:rPr>
        <w:t xml:space="preserve">Furthermore, a two-year case study on creating respectful workplaces spanned 15 factories in Viet Nam and reached over 10,000 workers. The initiative resulted in factories reporting significant reductions in workplace bullying and harassment, improved employee wellbeing, and stronger retention. </w:t>
      </w:r>
    </w:p>
    <w:p w14:paraId="6CB1AD4F" w14:textId="756EF693" w:rsidR="00070392" w:rsidRPr="0068321E" w:rsidRDefault="00070392" w:rsidP="00925B45">
      <w:pPr>
        <w:pBdr>
          <w:top w:val="single" w:sz="4" w:space="1" w:color="auto"/>
          <w:left w:val="single" w:sz="4" w:space="4" w:color="auto"/>
          <w:bottom w:val="single" w:sz="4" w:space="1" w:color="auto"/>
          <w:right w:val="single" w:sz="4" w:space="4" w:color="auto"/>
        </w:pBdr>
        <w:shd w:val="clear" w:color="auto" w:fill="95DCF7" w:themeFill="accent4" w:themeFillTint="66"/>
        <w:autoSpaceDE w:val="0"/>
        <w:autoSpaceDN w:val="0"/>
        <w:adjustRightInd w:val="0"/>
        <w:spacing w:after="120"/>
        <w:jc w:val="both"/>
        <w:rPr>
          <w:rFonts w:ascii="Calibri" w:eastAsiaTheme="minorHAnsi" w:hAnsi="Calibri" w:cs="Calibri"/>
          <w:sz w:val="22"/>
          <w:szCs w:val="22"/>
          <w:lang w:val="en-AU"/>
          <w14:ligatures w14:val="standardContextual"/>
        </w:rPr>
      </w:pPr>
      <w:r w:rsidRPr="0068321E">
        <w:rPr>
          <w:rFonts w:ascii="Calibri" w:eastAsiaTheme="minorHAnsi" w:hAnsi="Calibri" w:cs="Calibri"/>
          <w:sz w:val="22"/>
          <w:szCs w:val="22"/>
          <w:lang w:val="en-AU"/>
          <w14:ligatures w14:val="standardContextual"/>
        </w:rPr>
        <w:t>The case study, “</w:t>
      </w:r>
      <w:hyperlink r:id="rId23" w:history="1">
        <w:r w:rsidRPr="0068321E">
          <w:rPr>
            <w:rStyle w:val="Hyperlink"/>
            <w:rFonts w:ascii="Calibri" w:eastAsiaTheme="minorHAnsi" w:hAnsi="Calibri" w:cs="Calibri"/>
            <w:b/>
            <w:bCs/>
            <w:color w:val="153D63" w:themeColor="text2" w:themeTint="E6"/>
            <w:sz w:val="22"/>
            <w:szCs w:val="22"/>
            <w:lang w:val="en-AU"/>
            <w14:ligatures w14:val="standardContextual"/>
          </w:rPr>
          <w:t>The Threads That Bind: Weaving Respect into Workplace Culture and Impact in Viet Nam’s Garment Sector</w:t>
        </w:r>
      </w:hyperlink>
      <w:r w:rsidRPr="0068321E">
        <w:rPr>
          <w:rFonts w:ascii="Calibri" w:eastAsiaTheme="minorHAnsi" w:hAnsi="Calibri" w:cs="Calibri"/>
          <w:sz w:val="22"/>
          <w:szCs w:val="22"/>
          <w:lang w:val="en-AU"/>
          <w14:ligatures w14:val="standardContextual"/>
        </w:rPr>
        <w:t>” highlighted how respectful workplace policies — supported by practical grievance mechanisms and survivor-centered approaches — can enhance productivity, reduce absenteeism, and align with international standards. For businesses in global supply chains, these improvements offer a pathway to more ethical and sustainable performance.</w:t>
      </w:r>
    </w:p>
    <w:p w14:paraId="09CA513A" w14:textId="77777777" w:rsidR="00070392" w:rsidRPr="002E5ED7" w:rsidRDefault="00070392" w:rsidP="0068321E">
      <w:pPr>
        <w:autoSpaceDE w:val="0"/>
        <w:autoSpaceDN w:val="0"/>
        <w:adjustRightInd w:val="0"/>
        <w:spacing w:after="120"/>
        <w:jc w:val="both"/>
        <w:rPr>
          <w:rFonts w:ascii="Calibri" w:eastAsiaTheme="minorHAnsi" w:hAnsi="Calibri" w:cs="Calibri"/>
          <w:sz w:val="18"/>
          <w:szCs w:val="18"/>
          <w:lang w:val="en-AU"/>
          <w14:ligatures w14:val="standardContextual"/>
        </w:rPr>
      </w:pPr>
    </w:p>
    <w:p w14:paraId="541F1F81" w14:textId="77777777" w:rsidR="0068321E" w:rsidRPr="000348BD" w:rsidRDefault="0068321E" w:rsidP="0068321E">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Complementing the approach is data collection work to address additional market solutions and gender gaps</w:t>
      </w:r>
      <w:r w:rsidRPr="000348BD">
        <w:rPr>
          <w:rFonts w:ascii="Calibri" w:hAnsi="Calibri" w:cs="Calibri"/>
          <w:sz w:val="22"/>
          <w:szCs w:val="22"/>
          <w:lang w:val="en-AU"/>
        </w:rPr>
        <w:t>. This is most evident through the assessment of childcare. A similar study is also being conducted on disability to address the lack of relevant and current data and statistics.</w:t>
      </w:r>
    </w:p>
    <w:p w14:paraId="49086A0F" w14:textId="20E648D8" w:rsidR="00DC1F89" w:rsidRDefault="0068321E" w:rsidP="0068321E">
      <w:pPr>
        <w:autoSpaceDE w:val="0"/>
        <w:autoSpaceDN w:val="0"/>
        <w:adjustRightInd w:val="0"/>
        <w:spacing w:after="120"/>
        <w:jc w:val="both"/>
        <w:rPr>
          <w:rFonts w:ascii="Calibri" w:eastAsiaTheme="minorHAnsi" w:hAnsi="Calibri" w:cs="Calibri"/>
          <w:sz w:val="22"/>
          <w:szCs w:val="22"/>
          <w:lang w:val="en-AU"/>
          <w14:ligatures w14:val="standardContextual"/>
        </w:rPr>
      </w:pPr>
      <w:r w:rsidRPr="000348BD">
        <w:rPr>
          <w:rFonts w:ascii="Calibri" w:eastAsiaTheme="minorHAnsi" w:hAnsi="Calibri" w:cs="Calibri"/>
          <w:sz w:val="22"/>
          <w:szCs w:val="22"/>
          <w:lang w:val="en-AU"/>
          <w14:ligatures w14:val="standardContextual"/>
        </w:rPr>
        <w:t xml:space="preserve">Earlier activities under the gender-smart climate diagnostics initiative adopted highly visible and innovative approaches, such as establishing the Climate Leaders Network to increase the visibility of Vietnamese women in climate-related careers and organising a career fair to promote opportunities for women in climate jobs. IFC had been working with other implementing partners to ensure the continued governance of the Climate Leaders Network (CLN) after the IFC project </w:t>
      </w:r>
      <w:r>
        <w:rPr>
          <w:rFonts w:ascii="Calibri" w:eastAsiaTheme="minorHAnsi" w:hAnsi="Calibri" w:cs="Calibri"/>
          <w:sz w:val="22"/>
          <w:szCs w:val="22"/>
          <w:lang w:val="en-AU"/>
          <w14:ligatures w14:val="standardContextual"/>
        </w:rPr>
        <w:t>closure</w:t>
      </w:r>
      <w:r w:rsidRPr="000348BD">
        <w:rPr>
          <w:rFonts w:ascii="Calibri" w:eastAsiaTheme="minorHAnsi" w:hAnsi="Calibri" w:cs="Calibri"/>
          <w:sz w:val="22"/>
          <w:szCs w:val="22"/>
          <w:lang w:val="en-AU"/>
          <w14:ligatures w14:val="standardContextual"/>
        </w:rPr>
        <w:t xml:space="preserve">. However, ensuring the network's long-term sustainability has proven challenging due to evolving partner priorities and broader shifts in the development landscape. </w:t>
      </w:r>
    </w:p>
    <w:p w14:paraId="3D85519F" w14:textId="77777777" w:rsidR="00DC1F89" w:rsidRDefault="00DC1F89">
      <w:pPr>
        <w:spacing w:after="160" w:line="259" w:lineRule="auto"/>
        <w:rPr>
          <w:rFonts w:ascii="Calibri" w:eastAsiaTheme="minorHAnsi" w:hAnsi="Calibri" w:cs="Calibri"/>
          <w:sz w:val="22"/>
          <w:szCs w:val="22"/>
          <w:lang w:val="en-AU"/>
          <w14:ligatures w14:val="standardContextual"/>
        </w:rPr>
      </w:pPr>
      <w:r>
        <w:rPr>
          <w:rFonts w:ascii="Calibri" w:eastAsiaTheme="minorHAnsi" w:hAnsi="Calibri" w:cs="Calibri"/>
          <w:sz w:val="22"/>
          <w:szCs w:val="22"/>
          <w:lang w:val="en-AU"/>
          <w14:ligatures w14:val="standardContextual"/>
        </w:rPr>
        <w:br w:type="page"/>
      </w:r>
    </w:p>
    <w:p w14:paraId="74767BD8" w14:textId="77777777" w:rsidR="00FC0C76" w:rsidRDefault="00467344" w:rsidP="00386AC1">
      <w:pPr>
        <w:autoSpaceDE w:val="0"/>
        <w:autoSpaceDN w:val="0"/>
        <w:adjustRightInd w:val="0"/>
        <w:spacing w:after="120"/>
        <w:jc w:val="both"/>
        <w:rPr>
          <w:rFonts w:ascii="Calibri" w:hAnsi="Calibri" w:cs="Calibri"/>
          <w:b/>
          <w:bCs/>
          <w:i/>
          <w:iCs/>
          <w:sz w:val="18"/>
          <w:szCs w:val="18"/>
          <w:lang w:val="en-AU"/>
        </w:rPr>
      </w:pPr>
      <w:r w:rsidRPr="000348BD">
        <w:rPr>
          <w:rFonts w:ascii="Calibri" w:hAnsi="Calibri" w:cs="Calibri"/>
          <w:b/>
          <w:bCs/>
          <w:i/>
          <w:iCs/>
          <w:sz w:val="18"/>
          <w:szCs w:val="18"/>
          <w:lang w:val="en-AU"/>
        </w:rPr>
        <w:lastRenderedPageBreak/>
        <w:t xml:space="preserve">Table 6: </w:t>
      </w:r>
      <w:r w:rsidR="00E20DEB" w:rsidRPr="000348BD">
        <w:rPr>
          <w:rFonts w:ascii="Calibri" w:hAnsi="Calibri" w:cs="Calibri"/>
          <w:b/>
          <w:bCs/>
          <w:i/>
          <w:iCs/>
          <w:sz w:val="18"/>
          <w:szCs w:val="18"/>
          <w:lang w:val="en-AU"/>
        </w:rPr>
        <w:t>Summary</w:t>
      </w:r>
      <w:r w:rsidRPr="000348BD">
        <w:rPr>
          <w:rFonts w:ascii="Calibri" w:hAnsi="Calibri" w:cs="Calibri"/>
          <w:b/>
          <w:bCs/>
          <w:i/>
          <w:iCs/>
          <w:sz w:val="18"/>
          <w:szCs w:val="18"/>
          <w:lang w:val="en-AU"/>
        </w:rPr>
        <w:t xml:space="preserve"> of Results Pillar 4</w:t>
      </w:r>
    </w:p>
    <w:tbl>
      <w:tblPr>
        <w:tblStyle w:val="TableGrid"/>
        <w:tblW w:w="9640" w:type="dxa"/>
        <w:tblInd w:w="-147" w:type="dxa"/>
        <w:tblLook w:val="04A0" w:firstRow="1" w:lastRow="0" w:firstColumn="1" w:lastColumn="0" w:noHBand="0" w:noVBand="1"/>
      </w:tblPr>
      <w:tblGrid>
        <w:gridCol w:w="5648"/>
        <w:gridCol w:w="1161"/>
        <w:gridCol w:w="1556"/>
        <w:gridCol w:w="1275"/>
      </w:tblGrid>
      <w:tr w:rsidR="00FC0C76" w14:paraId="3E5C509A" w14:textId="77777777" w:rsidTr="00DC1F89">
        <w:trPr>
          <w:tblHeader/>
        </w:trPr>
        <w:tc>
          <w:tcPr>
            <w:tcW w:w="5648" w:type="dxa"/>
            <w:shd w:val="clear" w:color="auto" w:fill="95DCF7" w:themeFill="accent4" w:themeFillTint="66"/>
          </w:tcPr>
          <w:p w14:paraId="060B3DAB" w14:textId="77777777" w:rsidR="0027420B" w:rsidRDefault="0027420B" w:rsidP="00386AC1">
            <w:pPr>
              <w:autoSpaceDE w:val="0"/>
              <w:autoSpaceDN w:val="0"/>
              <w:adjustRightInd w:val="0"/>
              <w:spacing w:after="120"/>
              <w:jc w:val="both"/>
              <w:rPr>
                <w:rFonts w:ascii="Calibri" w:hAnsi="Calibri" w:cs="Calibri"/>
                <w:b/>
                <w:bCs/>
                <w:color w:val="000000"/>
                <w:sz w:val="20"/>
                <w:szCs w:val="20"/>
                <w:lang w:val="en-AU"/>
              </w:rPr>
            </w:pPr>
          </w:p>
          <w:p w14:paraId="0D70B33D" w14:textId="14D337AA" w:rsidR="00FC0C76" w:rsidRDefault="00FC0C76" w:rsidP="00386AC1">
            <w:pPr>
              <w:autoSpaceDE w:val="0"/>
              <w:autoSpaceDN w:val="0"/>
              <w:adjustRightInd w:val="0"/>
              <w:spacing w:after="120"/>
              <w:jc w:val="both"/>
              <w:rPr>
                <w:sz w:val="18"/>
                <w:szCs w:val="18"/>
                <w:lang w:val="en-AU"/>
              </w:rPr>
            </w:pPr>
            <w:r>
              <w:rPr>
                <w:rFonts w:ascii="Calibri" w:hAnsi="Calibri" w:cs="Calibri"/>
                <w:b/>
                <w:bCs/>
                <w:color w:val="000000"/>
                <w:sz w:val="20"/>
                <w:szCs w:val="20"/>
                <w:lang w:val="en-AU"/>
              </w:rPr>
              <w:t>V</w:t>
            </w:r>
            <w:r w:rsidRPr="004060F0">
              <w:rPr>
                <w:rFonts w:ascii="Calibri" w:hAnsi="Calibri" w:cs="Calibri"/>
                <w:b/>
                <w:bCs/>
                <w:color w:val="000000"/>
                <w:sz w:val="20"/>
                <w:szCs w:val="20"/>
                <w:lang w:val="en-AU"/>
              </w:rPr>
              <w:t>iet Nam EMERGE</w:t>
            </w:r>
            <w:r w:rsidR="001A6AAB">
              <w:rPr>
                <w:rFonts w:ascii="Calibri" w:hAnsi="Calibri" w:cs="Calibri"/>
                <w:b/>
                <w:bCs/>
                <w:color w:val="000000"/>
                <w:sz w:val="20"/>
                <w:szCs w:val="20"/>
                <w:lang w:val="en-AU"/>
              </w:rPr>
              <w:t xml:space="preserve"> - </w:t>
            </w:r>
            <w:r w:rsidR="002E7FAF">
              <w:rPr>
                <w:rFonts w:ascii="Calibri" w:hAnsi="Calibri" w:cs="Calibri"/>
                <w:b/>
                <w:bCs/>
                <w:color w:val="000000"/>
                <w:sz w:val="20"/>
                <w:szCs w:val="20"/>
                <w:lang w:val="en-AU"/>
              </w:rPr>
              <w:t>OUTPUT</w:t>
            </w:r>
          </w:p>
        </w:tc>
        <w:tc>
          <w:tcPr>
            <w:tcW w:w="1161" w:type="dxa"/>
            <w:shd w:val="clear" w:color="auto" w:fill="95DCF7" w:themeFill="accent4" w:themeFillTint="66"/>
          </w:tcPr>
          <w:p w14:paraId="3798E5E8" w14:textId="480DACDC" w:rsidR="00FC0C76" w:rsidRDefault="001A6AAB" w:rsidP="0049235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Cumulative Results till Dec 2025</w:t>
            </w:r>
          </w:p>
        </w:tc>
        <w:tc>
          <w:tcPr>
            <w:tcW w:w="1556" w:type="dxa"/>
            <w:shd w:val="clear" w:color="auto" w:fill="95DCF7" w:themeFill="accent4" w:themeFillTint="66"/>
          </w:tcPr>
          <w:p w14:paraId="7FB8B857" w14:textId="7F9EB865" w:rsidR="00FC0C76" w:rsidRDefault="001A6AAB" w:rsidP="0049235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Overall Target</w:t>
            </w:r>
          </w:p>
        </w:tc>
        <w:tc>
          <w:tcPr>
            <w:tcW w:w="1275" w:type="dxa"/>
            <w:shd w:val="clear" w:color="auto" w:fill="95DCF7" w:themeFill="accent4" w:themeFillTint="66"/>
          </w:tcPr>
          <w:p w14:paraId="6C84D13F" w14:textId="7CB2E69A" w:rsidR="00FC0C76" w:rsidRDefault="001A6AAB" w:rsidP="0049235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Achieved</w:t>
            </w:r>
          </w:p>
        </w:tc>
      </w:tr>
      <w:tr w:rsidR="002E7FAF" w14:paraId="33E09471" w14:textId="77777777" w:rsidTr="007C249C">
        <w:tc>
          <w:tcPr>
            <w:tcW w:w="5648" w:type="dxa"/>
          </w:tcPr>
          <w:p w14:paraId="776CA222" w14:textId="77777777" w:rsidR="002E7FAF" w:rsidRDefault="002E7FAF" w:rsidP="001C7112">
            <w:pPr>
              <w:autoSpaceDE w:val="0"/>
              <w:autoSpaceDN w:val="0"/>
              <w:adjustRightInd w:val="0"/>
              <w:spacing w:after="120"/>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1: Market-level interventions to promote gender diverse workforce and leadership in the manufacturing sector</w:t>
            </w:r>
          </w:p>
          <w:p w14:paraId="768D0161" w14:textId="1FD4DB26" w:rsidR="002E7FAF" w:rsidRDefault="002E7FAF"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women participants in workshops, training events, seminars, conferences, etc.</w:t>
            </w:r>
          </w:p>
        </w:tc>
        <w:tc>
          <w:tcPr>
            <w:tcW w:w="1161" w:type="dxa"/>
            <w:vAlign w:val="center"/>
          </w:tcPr>
          <w:p w14:paraId="1A7AD37D" w14:textId="1A0079B8" w:rsidR="002E7FAF" w:rsidRP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954</w:t>
            </w:r>
          </w:p>
        </w:tc>
        <w:tc>
          <w:tcPr>
            <w:tcW w:w="1556" w:type="dxa"/>
            <w:vAlign w:val="center"/>
          </w:tcPr>
          <w:p w14:paraId="75100F97" w14:textId="7EAD00A1"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300</w:t>
            </w:r>
          </w:p>
        </w:tc>
        <w:tc>
          <w:tcPr>
            <w:tcW w:w="1275" w:type="dxa"/>
          </w:tcPr>
          <w:p w14:paraId="04330201" w14:textId="283643B0"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2E7FAF" w14:paraId="3AEE54AC" w14:textId="77777777" w:rsidTr="00D93676">
        <w:tc>
          <w:tcPr>
            <w:tcW w:w="5648" w:type="dxa"/>
            <w:vAlign w:val="center"/>
          </w:tcPr>
          <w:p w14:paraId="5B8FD28B" w14:textId="14BB43A1" w:rsidR="002E7FAF" w:rsidRDefault="002E7FAF"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participants in workshops, training events, seminars, conferences, etc.</w:t>
            </w:r>
          </w:p>
        </w:tc>
        <w:tc>
          <w:tcPr>
            <w:tcW w:w="1161" w:type="dxa"/>
            <w:vAlign w:val="center"/>
          </w:tcPr>
          <w:p w14:paraId="378CF81C" w14:textId="6F1E29EA"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1,217</w:t>
            </w:r>
          </w:p>
        </w:tc>
        <w:tc>
          <w:tcPr>
            <w:tcW w:w="1556" w:type="dxa"/>
            <w:vAlign w:val="center"/>
          </w:tcPr>
          <w:p w14:paraId="36172D4E" w14:textId="733AD936"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500</w:t>
            </w:r>
          </w:p>
        </w:tc>
        <w:tc>
          <w:tcPr>
            <w:tcW w:w="1275" w:type="dxa"/>
          </w:tcPr>
          <w:p w14:paraId="3231C8BA" w14:textId="62BDA7A9"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2E7FAF" w14:paraId="3E15F6DA" w14:textId="77777777" w:rsidTr="00D93676">
        <w:tc>
          <w:tcPr>
            <w:tcW w:w="5648" w:type="dxa"/>
            <w:vAlign w:val="center"/>
          </w:tcPr>
          <w:p w14:paraId="3E85FD98" w14:textId="20D5DC0F" w:rsidR="002E7FAF" w:rsidRDefault="002E7FAF"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workshops, training events, seminars, conferences, etc.</w:t>
            </w:r>
          </w:p>
        </w:tc>
        <w:tc>
          <w:tcPr>
            <w:tcW w:w="1161" w:type="dxa"/>
            <w:vAlign w:val="center"/>
          </w:tcPr>
          <w:p w14:paraId="355E78AD" w14:textId="4767E0DF"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34</w:t>
            </w:r>
          </w:p>
        </w:tc>
        <w:tc>
          <w:tcPr>
            <w:tcW w:w="1556" w:type="dxa"/>
            <w:vAlign w:val="center"/>
          </w:tcPr>
          <w:p w14:paraId="04485121" w14:textId="772AB867"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21</w:t>
            </w:r>
          </w:p>
        </w:tc>
        <w:tc>
          <w:tcPr>
            <w:tcW w:w="1275" w:type="dxa"/>
          </w:tcPr>
          <w:p w14:paraId="655D0F04" w14:textId="1074E394"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2E7FAF" w14:paraId="18BF4E30" w14:textId="77777777" w:rsidTr="00D93676">
        <w:tc>
          <w:tcPr>
            <w:tcW w:w="5648" w:type="dxa"/>
            <w:vAlign w:val="center"/>
          </w:tcPr>
          <w:p w14:paraId="40887F53" w14:textId="6F4B68A6" w:rsidR="002E7FAF" w:rsidRDefault="002E7FAF"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reports (assessments, surveys, manuals, Phase I/strategic option reports, research, analytical, evaluations, etc.) completed</w:t>
            </w:r>
          </w:p>
        </w:tc>
        <w:tc>
          <w:tcPr>
            <w:tcW w:w="1161" w:type="dxa"/>
            <w:vAlign w:val="center"/>
          </w:tcPr>
          <w:p w14:paraId="4F896D97" w14:textId="3AFA97E0"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w:t>
            </w:r>
          </w:p>
        </w:tc>
        <w:tc>
          <w:tcPr>
            <w:tcW w:w="1556" w:type="dxa"/>
            <w:vAlign w:val="center"/>
          </w:tcPr>
          <w:p w14:paraId="663E1CE9" w14:textId="3AA131AF"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w:t>
            </w:r>
          </w:p>
        </w:tc>
        <w:tc>
          <w:tcPr>
            <w:tcW w:w="1275" w:type="dxa"/>
            <w:vAlign w:val="center"/>
          </w:tcPr>
          <w:p w14:paraId="77E7F56D" w14:textId="54FBE116" w:rsidR="002E7FAF" w:rsidRDefault="002E7FAF" w:rsidP="002E7FAF">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33%</w:t>
            </w:r>
          </w:p>
        </w:tc>
      </w:tr>
      <w:tr w:rsidR="002E7FAF" w14:paraId="4DA77433" w14:textId="77777777" w:rsidTr="00670949">
        <w:tc>
          <w:tcPr>
            <w:tcW w:w="5648" w:type="dxa"/>
            <w:vAlign w:val="center"/>
          </w:tcPr>
          <w:p w14:paraId="5B63953C" w14:textId="77777777" w:rsidR="002E7FAF" w:rsidRDefault="002E7FAF" w:rsidP="001C7112">
            <w:pPr>
              <w:autoSpaceDE w:val="0"/>
              <w:autoSpaceDN w:val="0"/>
              <w:adjustRightInd w:val="0"/>
              <w:spacing w:after="120"/>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2: Market-level Interventions to Promote Respectful Workplaces</w:t>
            </w:r>
          </w:p>
          <w:p w14:paraId="460AD11E" w14:textId="235FDDAC" w:rsidR="002E7FAF" w:rsidRDefault="002E7FAF"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entities receiving advisory services</w:t>
            </w:r>
          </w:p>
        </w:tc>
        <w:tc>
          <w:tcPr>
            <w:tcW w:w="1161" w:type="dxa"/>
          </w:tcPr>
          <w:p w14:paraId="2805413E" w14:textId="360F97C8" w:rsidR="002E7FAF" w:rsidRDefault="002E7FAF" w:rsidP="002E7FAF">
            <w:pPr>
              <w:autoSpaceDE w:val="0"/>
              <w:autoSpaceDN w:val="0"/>
              <w:adjustRightInd w:val="0"/>
              <w:spacing w:after="120"/>
              <w:jc w:val="center"/>
              <w:rPr>
                <w:sz w:val="18"/>
                <w:szCs w:val="18"/>
                <w:lang w:val="en-AU"/>
              </w:rPr>
            </w:pPr>
            <w:r>
              <w:rPr>
                <w:sz w:val="18"/>
                <w:szCs w:val="18"/>
                <w:lang w:val="en-AU"/>
              </w:rPr>
              <w:t>15</w:t>
            </w:r>
          </w:p>
        </w:tc>
        <w:tc>
          <w:tcPr>
            <w:tcW w:w="1556" w:type="dxa"/>
          </w:tcPr>
          <w:p w14:paraId="6CA4BD17" w14:textId="26887B5E" w:rsidR="002E7FAF" w:rsidRDefault="002E7FAF" w:rsidP="002E7FAF">
            <w:pPr>
              <w:autoSpaceDE w:val="0"/>
              <w:autoSpaceDN w:val="0"/>
              <w:adjustRightInd w:val="0"/>
              <w:spacing w:after="120"/>
              <w:jc w:val="center"/>
              <w:rPr>
                <w:sz w:val="18"/>
                <w:szCs w:val="18"/>
                <w:lang w:val="en-AU"/>
              </w:rPr>
            </w:pPr>
            <w:r>
              <w:rPr>
                <w:sz w:val="18"/>
                <w:szCs w:val="18"/>
                <w:lang w:val="en-AU"/>
              </w:rPr>
              <w:t>15</w:t>
            </w:r>
          </w:p>
        </w:tc>
        <w:tc>
          <w:tcPr>
            <w:tcW w:w="1275" w:type="dxa"/>
          </w:tcPr>
          <w:p w14:paraId="06F705D5" w14:textId="7FFDF4F0" w:rsidR="002E7FAF" w:rsidRPr="002E7FAF" w:rsidRDefault="002E7FAF" w:rsidP="002E7FAF">
            <w:pPr>
              <w:autoSpaceDE w:val="0"/>
              <w:autoSpaceDN w:val="0"/>
              <w:adjustRightInd w:val="0"/>
              <w:spacing w:after="120"/>
              <w:jc w:val="center"/>
              <w:rPr>
                <w:rFonts w:ascii="Calibri" w:hAnsi="Calibri" w:cs="Calibri"/>
                <w:sz w:val="18"/>
                <w:szCs w:val="18"/>
                <w:lang w:val="en-AU"/>
              </w:rPr>
            </w:pPr>
            <w:r w:rsidRPr="002E7FAF">
              <w:rPr>
                <w:rFonts w:ascii="Calibri" w:hAnsi="Calibri" w:cs="Calibri"/>
                <w:sz w:val="20"/>
                <w:szCs w:val="20"/>
                <w:lang w:val="en-AU"/>
              </w:rPr>
              <w:t>Yes</w:t>
            </w:r>
          </w:p>
        </w:tc>
      </w:tr>
      <w:tr w:rsidR="00473C48" w14:paraId="272ACE4D" w14:textId="77777777" w:rsidTr="008C2DA4">
        <w:tc>
          <w:tcPr>
            <w:tcW w:w="5648" w:type="dxa"/>
            <w:vAlign w:val="center"/>
          </w:tcPr>
          <w:p w14:paraId="49AB6FBE" w14:textId="23F7D887" w:rsidR="00473C48" w:rsidRDefault="00473C48"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participants in workshops, training events, seminars, conferences, etc.</w:t>
            </w:r>
          </w:p>
        </w:tc>
        <w:tc>
          <w:tcPr>
            <w:tcW w:w="1161" w:type="dxa"/>
            <w:vAlign w:val="center"/>
          </w:tcPr>
          <w:p w14:paraId="50EAAACF" w14:textId="763A8875"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194</w:t>
            </w:r>
          </w:p>
        </w:tc>
        <w:tc>
          <w:tcPr>
            <w:tcW w:w="1556" w:type="dxa"/>
            <w:vAlign w:val="center"/>
          </w:tcPr>
          <w:p w14:paraId="55A7986C" w14:textId="3E91F367"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100</w:t>
            </w:r>
          </w:p>
        </w:tc>
        <w:tc>
          <w:tcPr>
            <w:tcW w:w="1275" w:type="dxa"/>
          </w:tcPr>
          <w:p w14:paraId="198F3D2E" w14:textId="5714EFEC"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473C48" w14:paraId="0257CB13" w14:textId="77777777" w:rsidTr="008C2DA4">
        <w:tc>
          <w:tcPr>
            <w:tcW w:w="5648" w:type="dxa"/>
            <w:vAlign w:val="center"/>
          </w:tcPr>
          <w:p w14:paraId="3039297B" w14:textId="59450853" w:rsidR="00473C48" w:rsidRDefault="00473C48"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workshops, training events, seminars, conferences, etc.</w:t>
            </w:r>
          </w:p>
        </w:tc>
        <w:tc>
          <w:tcPr>
            <w:tcW w:w="1161" w:type="dxa"/>
            <w:vAlign w:val="center"/>
          </w:tcPr>
          <w:p w14:paraId="1BF90E6E" w14:textId="485D4D57"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12</w:t>
            </w:r>
          </w:p>
        </w:tc>
        <w:tc>
          <w:tcPr>
            <w:tcW w:w="1556" w:type="dxa"/>
            <w:vAlign w:val="center"/>
          </w:tcPr>
          <w:p w14:paraId="3CAB5506" w14:textId="3E6CDFBE"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8</w:t>
            </w:r>
          </w:p>
        </w:tc>
        <w:tc>
          <w:tcPr>
            <w:tcW w:w="1275" w:type="dxa"/>
          </w:tcPr>
          <w:p w14:paraId="13E99076" w14:textId="5F35FF92" w:rsidR="00473C48" w:rsidRDefault="00473C48" w:rsidP="00473C48">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80381C" w14:paraId="1197EC09" w14:textId="77777777" w:rsidTr="001F7913">
        <w:tc>
          <w:tcPr>
            <w:tcW w:w="5648" w:type="dxa"/>
            <w:vAlign w:val="center"/>
          </w:tcPr>
          <w:p w14:paraId="59DD7D13" w14:textId="77777777" w:rsidR="0080381C" w:rsidRDefault="0080381C" w:rsidP="001C7112">
            <w:pPr>
              <w:autoSpaceDE w:val="0"/>
              <w:autoSpaceDN w:val="0"/>
              <w:adjustRightInd w:val="0"/>
              <w:spacing w:after="120"/>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3: Customized Gender Advisory with Individual Clients to Close Gender Gaps</w:t>
            </w:r>
          </w:p>
          <w:p w14:paraId="7D1640F6" w14:textId="4EC553C3" w:rsidR="0080381C" w:rsidRDefault="0080381C"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entities that implemented recommended changes</w:t>
            </w:r>
          </w:p>
        </w:tc>
        <w:tc>
          <w:tcPr>
            <w:tcW w:w="1161" w:type="dxa"/>
            <w:vAlign w:val="center"/>
          </w:tcPr>
          <w:p w14:paraId="59C70BE3" w14:textId="2802E530"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4</w:t>
            </w:r>
          </w:p>
        </w:tc>
        <w:tc>
          <w:tcPr>
            <w:tcW w:w="1556" w:type="dxa"/>
            <w:vAlign w:val="center"/>
          </w:tcPr>
          <w:p w14:paraId="441FF13C" w14:textId="5AF82CD9"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2</w:t>
            </w:r>
          </w:p>
        </w:tc>
        <w:tc>
          <w:tcPr>
            <w:tcW w:w="1275" w:type="dxa"/>
          </w:tcPr>
          <w:p w14:paraId="1876689C" w14:textId="6C36A0C1"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80381C" w14:paraId="4A86E7C8" w14:textId="77777777" w:rsidTr="003B446B">
        <w:tc>
          <w:tcPr>
            <w:tcW w:w="5648" w:type="dxa"/>
            <w:vAlign w:val="center"/>
          </w:tcPr>
          <w:p w14:paraId="5B696571" w14:textId="7A8619E9" w:rsidR="0080381C" w:rsidRDefault="0080381C" w:rsidP="001C7112">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recommended procedures/firm-level policies/practices/standards that were improved or eliminated</w:t>
            </w:r>
          </w:p>
        </w:tc>
        <w:tc>
          <w:tcPr>
            <w:tcW w:w="1161" w:type="dxa"/>
            <w:vAlign w:val="center"/>
          </w:tcPr>
          <w:p w14:paraId="756589C6" w14:textId="059CF25D"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5</w:t>
            </w:r>
          </w:p>
        </w:tc>
        <w:tc>
          <w:tcPr>
            <w:tcW w:w="1556" w:type="dxa"/>
            <w:vAlign w:val="center"/>
          </w:tcPr>
          <w:p w14:paraId="53635615" w14:textId="710A90DB"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4</w:t>
            </w:r>
          </w:p>
        </w:tc>
        <w:tc>
          <w:tcPr>
            <w:tcW w:w="1275" w:type="dxa"/>
          </w:tcPr>
          <w:p w14:paraId="24EA45DD" w14:textId="4298C862" w:rsidR="0080381C" w:rsidRDefault="0080381C" w:rsidP="0080381C">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bl>
    <w:p w14:paraId="71A2DF46" w14:textId="77777777" w:rsidR="00672DE1" w:rsidRDefault="00672DE1" w:rsidP="00386AC1">
      <w:pPr>
        <w:autoSpaceDE w:val="0"/>
        <w:autoSpaceDN w:val="0"/>
        <w:adjustRightInd w:val="0"/>
        <w:spacing w:after="120"/>
        <w:jc w:val="both"/>
        <w:rPr>
          <w:rFonts w:ascii="Calibri" w:hAnsi="Calibri" w:cs="Calibri"/>
          <w:color w:val="000000"/>
          <w:sz w:val="18"/>
          <w:szCs w:val="18"/>
          <w:lang w:val="en-AU"/>
        </w:rPr>
      </w:pPr>
    </w:p>
    <w:tbl>
      <w:tblPr>
        <w:tblStyle w:val="TableGrid"/>
        <w:tblW w:w="9640" w:type="dxa"/>
        <w:tblInd w:w="-147" w:type="dxa"/>
        <w:tblLook w:val="04A0" w:firstRow="1" w:lastRow="0" w:firstColumn="1" w:lastColumn="0" w:noHBand="0" w:noVBand="1"/>
      </w:tblPr>
      <w:tblGrid>
        <w:gridCol w:w="5648"/>
        <w:gridCol w:w="1161"/>
        <w:gridCol w:w="1556"/>
        <w:gridCol w:w="1275"/>
      </w:tblGrid>
      <w:tr w:rsidR="00DC1F89" w14:paraId="6E8A5A67" w14:textId="77777777" w:rsidTr="00DC1F89">
        <w:trPr>
          <w:tblHeader/>
        </w:trPr>
        <w:tc>
          <w:tcPr>
            <w:tcW w:w="5648" w:type="dxa"/>
            <w:tcBorders>
              <w:top w:val="single" w:sz="8" w:space="0" w:color="auto"/>
              <w:left w:val="single" w:sz="8" w:space="0" w:color="auto"/>
              <w:bottom w:val="single" w:sz="4" w:space="0" w:color="auto"/>
              <w:right w:val="single" w:sz="4" w:space="0" w:color="auto"/>
            </w:tcBorders>
            <w:shd w:val="clear" w:color="000000" w:fill="CAEDFB"/>
            <w:vAlign w:val="center"/>
          </w:tcPr>
          <w:p w14:paraId="4DADE751"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b/>
                <w:bCs/>
                <w:color w:val="000000"/>
                <w:sz w:val="20"/>
                <w:szCs w:val="20"/>
                <w:lang w:val="en-AU"/>
              </w:rPr>
              <w:t>Viet Nam EMERGE</w:t>
            </w:r>
            <w:r>
              <w:rPr>
                <w:rFonts w:ascii="Calibri" w:hAnsi="Calibri" w:cs="Calibri"/>
                <w:b/>
                <w:bCs/>
                <w:color w:val="000000"/>
                <w:sz w:val="20"/>
                <w:szCs w:val="20"/>
                <w:lang w:val="en-AU"/>
              </w:rPr>
              <w:t xml:space="preserve"> - OUTCOME</w:t>
            </w:r>
          </w:p>
        </w:tc>
        <w:tc>
          <w:tcPr>
            <w:tcW w:w="1161" w:type="dxa"/>
            <w:tcBorders>
              <w:top w:val="single" w:sz="8" w:space="0" w:color="auto"/>
              <w:left w:val="nil"/>
              <w:bottom w:val="single" w:sz="4" w:space="0" w:color="auto"/>
              <w:right w:val="single" w:sz="4" w:space="0" w:color="auto"/>
            </w:tcBorders>
            <w:shd w:val="clear" w:color="000000" w:fill="CAEDFB"/>
            <w:vAlign w:val="bottom"/>
          </w:tcPr>
          <w:p w14:paraId="238FEA4A"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Cumulative Results till Dec 2025</w:t>
            </w:r>
          </w:p>
        </w:tc>
        <w:tc>
          <w:tcPr>
            <w:tcW w:w="1556" w:type="dxa"/>
            <w:tcBorders>
              <w:top w:val="single" w:sz="8" w:space="0" w:color="auto"/>
              <w:left w:val="nil"/>
              <w:bottom w:val="single" w:sz="4" w:space="0" w:color="auto"/>
              <w:right w:val="single" w:sz="4" w:space="0" w:color="auto"/>
            </w:tcBorders>
            <w:shd w:val="clear" w:color="000000" w:fill="CAEDFB"/>
            <w:vAlign w:val="bottom"/>
          </w:tcPr>
          <w:p w14:paraId="631BE6E2"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Overall Target</w:t>
            </w:r>
          </w:p>
        </w:tc>
        <w:tc>
          <w:tcPr>
            <w:tcW w:w="1275" w:type="dxa"/>
            <w:tcBorders>
              <w:top w:val="single" w:sz="8" w:space="0" w:color="auto"/>
              <w:left w:val="nil"/>
              <w:bottom w:val="single" w:sz="4" w:space="0" w:color="auto"/>
              <w:right w:val="single" w:sz="8" w:space="0" w:color="auto"/>
            </w:tcBorders>
            <w:shd w:val="clear" w:color="000000" w:fill="CAEDFB"/>
            <w:vAlign w:val="bottom"/>
          </w:tcPr>
          <w:p w14:paraId="40754950"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Achieved</w:t>
            </w:r>
          </w:p>
        </w:tc>
      </w:tr>
      <w:tr w:rsidR="00DC1F89" w14:paraId="24A75D74" w14:textId="77777777" w:rsidTr="00361731">
        <w:tc>
          <w:tcPr>
            <w:tcW w:w="5648" w:type="dxa"/>
            <w:vAlign w:val="center"/>
          </w:tcPr>
          <w:p w14:paraId="4CBB012D" w14:textId="77777777" w:rsidR="00DC1F89" w:rsidRDefault="00DC1F89" w:rsidP="00361731">
            <w:pPr>
              <w:autoSpaceDE w:val="0"/>
              <w:autoSpaceDN w:val="0"/>
              <w:adjustRightInd w:val="0"/>
              <w:spacing w:after="120"/>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1: Market-level interventions to promote gender diverse workforce and leadership in the manufacturing sector</w:t>
            </w:r>
          </w:p>
          <w:p w14:paraId="3D28FA95"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users or participants reporting improved awareness, knowledge or skills</w:t>
            </w:r>
          </w:p>
        </w:tc>
        <w:tc>
          <w:tcPr>
            <w:tcW w:w="1161" w:type="dxa"/>
            <w:tcBorders>
              <w:top w:val="nil"/>
              <w:left w:val="nil"/>
              <w:bottom w:val="single" w:sz="4" w:space="0" w:color="auto"/>
              <w:right w:val="single" w:sz="4" w:space="0" w:color="auto"/>
            </w:tcBorders>
            <w:vAlign w:val="center"/>
          </w:tcPr>
          <w:p w14:paraId="6821FACC"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317</w:t>
            </w:r>
          </w:p>
        </w:tc>
        <w:tc>
          <w:tcPr>
            <w:tcW w:w="1556" w:type="dxa"/>
            <w:tcBorders>
              <w:top w:val="nil"/>
              <w:left w:val="nil"/>
              <w:bottom w:val="single" w:sz="4" w:space="0" w:color="auto"/>
              <w:right w:val="single" w:sz="4" w:space="0" w:color="auto"/>
            </w:tcBorders>
            <w:vAlign w:val="center"/>
          </w:tcPr>
          <w:p w14:paraId="7A9F47B0" w14:textId="77777777" w:rsidR="00DC1F89" w:rsidRPr="00A2590B" w:rsidRDefault="00DC1F89" w:rsidP="00361731">
            <w:pPr>
              <w:autoSpaceDE w:val="0"/>
              <w:autoSpaceDN w:val="0"/>
              <w:adjustRightInd w:val="0"/>
              <w:spacing w:after="120"/>
              <w:jc w:val="center"/>
              <w:rPr>
                <w:rFonts w:ascii="Calibri" w:hAnsi="Calibri" w:cs="Calibri"/>
                <w:color w:val="000000"/>
                <w:sz w:val="20"/>
                <w:szCs w:val="20"/>
                <w:lang w:val="en-AU"/>
              </w:rPr>
            </w:pPr>
            <w:r w:rsidRPr="002E7FAF">
              <w:rPr>
                <w:rFonts w:ascii="Calibri" w:hAnsi="Calibri" w:cs="Calibri"/>
                <w:color w:val="000000"/>
                <w:sz w:val="20"/>
                <w:szCs w:val="20"/>
                <w:lang w:val="en-AU"/>
              </w:rPr>
              <w:t>200</w:t>
            </w:r>
          </w:p>
        </w:tc>
        <w:tc>
          <w:tcPr>
            <w:tcW w:w="1275" w:type="dxa"/>
            <w:tcBorders>
              <w:top w:val="nil"/>
              <w:left w:val="nil"/>
              <w:bottom w:val="single" w:sz="4" w:space="0" w:color="auto"/>
              <w:right w:val="single" w:sz="8" w:space="0" w:color="auto"/>
            </w:tcBorders>
          </w:tcPr>
          <w:p w14:paraId="4B8E1423"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DC1F89" w14:paraId="0F940F59" w14:textId="77777777" w:rsidTr="00361731">
        <w:tc>
          <w:tcPr>
            <w:tcW w:w="5648" w:type="dxa"/>
            <w:vAlign w:val="center"/>
          </w:tcPr>
          <w:p w14:paraId="43B903B5"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women reported improved leadership skills</w:t>
            </w:r>
          </w:p>
        </w:tc>
        <w:tc>
          <w:tcPr>
            <w:tcW w:w="1161" w:type="dxa"/>
            <w:vAlign w:val="center"/>
          </w:tcPr>
          <w:p w14:paraId="2BD0050E"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101</w:t>
            </w:r>
          </w:p>
        </w:tc>
        <w:tc>
          <w:tcPr>
            <w:tcW w:w="1556" w:type="dxa"/>
            <w:vAlign w:val="center"/>
          </w:tcPr>
          <w:p w14:paraId="665EBCCE"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200</w:t>
            </w:r>
          </w:p>
        </w:tc>
        <w:tc>
          <w:tcPr>
            <w:tcW w:w="1275" w:type="dxa"/>
            <w:vAlign w:val="center"/>
          </w:tcPr>
          <w:p w14:paraId="5B7E190E"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50%</w:t>
            </w:r>
          </w:p>
        </w:tc>
      </w:tr>
      <w:tr w:rsidR="00DC1F89" w14:paraId="0ADFADAF" w14:textId="77777777" w:rsidTr="00361731">
        <w:tc>
          <w:tcPr>
            <w:tcW w:w="5648" w:type="dxa"/>
          </w:tcPr>
          <w:p w14:paraId="3E1D73F7" w14:textId="77777777" w:rsidR="00DC1F89" w:rsidRDefault="00DC1F89" w:rsidP="00361731">
            <w:pPr>
              <w:autoSpaceDE w:val="0"/>
              <w:autoSpaceDN w:val="0"/>
              <w:adjustRightInd w:val="0"/>
              <w:spacing w:after="120"/>
              <w:jc w:val="both"/>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2: Market-level Interventions to Promote Respectful Workplaces</w:t>
            </w:r>
          </w:p>
          <w:p w14:paraId="0AF6B223"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entities that implemented recommended changes</w:t>
            </w:r>
          </w:p>
        </w:tc>
        <w:tc>
          <w:tcPr>
            <w:tcW w:w="1161" w:type="dxa"/>
            <w:vAlign w:val="center"/>
          </w:tcPr>
          <w:p w14:paraId="351C8F4E"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15</w:t>
            </w:r>
          </w:p>
        </w:tc>
        <w:tc>
          <w:tcPr>
            <w:tcW w:w="1556" w:type="dxa"/>
            <w:vAlign w:val="center"/>
          </w:tcPr>
          <w:p w14:paraId="23B26BB8"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10</w:t>
            </w:r>
          </w:p>
        </w:tc>
        <w:tc>
          <w:tcPr>
            <w:tcW w:w="1275" w:type="dxa"/>
          </w:tcPr>
          <w:p w14:paraId="0EDB3728"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US"/>
              </w:rPr>
              <w:t>Yes</w:t>
            </w:r>
          </w:p>
        </w:tc>
      </w:tr>
      <w:tr w:rsidR="00DC1F89" w14:paraId="5670FD84" w14:textId="77777777" w:rsidTr="00361731">
        <w:tc>
          <w:tcPr>
            <w:tcW w:w="5648" w:type="dxa"/>
            <w:vAlign w:val="center"/>
          </w:tcPr>
          <w:p w14:paraId="4216D63C"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users or participants reporting improved awareness, knowledge or skills</w:t>
            </w:r>
          </w:p>
        </w:tc>
        <w:tc>
          <w:tcPr>
            <w:tcW w:w="1161" w:type="dxa"/>
            <w:vAlign w:val="center"/>
          </w:tcPr>
          <w:p w14:paraId="01259677"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58</w:t>
            </w:r>
          </w:p>
        </w:tc>
        <w:tc>
          <w:tcPr>
            <w:tcW w:w="1556" w:type="dxa"/>
            <w:vAlign w:val="center"/>
          </w:tcPr>
          <w:p w14:paraId="1A09FE77"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80</w:t>
            </w:r>
          </w:p>
        </w:tc>
        <w:tc>
          <w:tcPr>
            <w:tcW w:w="1275" w:type="dxa"/>
            <w:vAlign w:val="center"/>
          </w:tcPr>
          <w:p w14:paraId="0C73EDA8"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73%</w:t>
            </w:r>
          </w:p>
        </w:tc>
      </w:tr>
    </w:tbl>
    <w:p w14:paraId="114636B8" w14:textId="77777777" w:rsidR="00DC1F89" w:rsidRDefault="00DC1F89" w:rsidP="00386AC1">
      <w:pPr>
        <w:autoSpaceDE w:val="0"/>
        <w:autoSpaceDN w:val="0"/>
        <w:adjustRightInd w:val="0"/>
        <w:spacing w:after="120"/>
        <w:jc w:val="both"/>
        <w:rPr>
          <w:rFonts w:ascii="Calibri" w:hAnsi="Calibri" w:cs="Calibri"/>
          <w:color w:val="000000"/>
          <w:sz w:val="18"/>
          <w:szCs w:val="18"/>
          <w:lang w:val="en-AU"/>
        </w:rPr>
      </w:pPr>
    </w:p>
    <w:tbl>
      <w:tblPr>
        <w:tblStyle w:val="TableGrid"/>
        <w:tblW w:w="9640" w:type="dxa"/>
        <w:tblInd w:w="-147" w:type="dxa"/>
        <w:tblLook w:val="04A0" w:firstRow="1" w:lastRow="0" w:firstColumn="1" w:lastColumn="0" w:noHBand="0" w:noVBand="1"/>
      </w:tblPr>
      <w:tblGrid>
        <w:gridCol w:w="5648"/>
        <w:gridCol w:w="1161"/>
        <w:gridCol w:w="1556"/>
        <w:gridCol w:w="1275"/>
      </w:tblGrid>
      <w:tr w:rsidR="00DC1F89" w:rsidRPr="002E7FAF" w14:paraId="2E4C1F99" w14:textId="77777777" w:rsidTr="00DC1F89">
        <w:trPr>
          <w:tblHeader/>
        </w:trPr>
        <w:tc>
          <w:tcPr>
            <w:tcW w:w="5648" w:type="dxa"/>
            <w:shd w:val="clear" w:color="auto" w:fill="95DCF7" w:themeFill="accent4" w:themeFillTint="66"/>
            <w:vAlign w:val="center"/>
          </w:tcPr>
          <w:p w14:paraId="7573AD7C" w14:textId="77777777" w:rsidR="00DC1F89" w:rsidRPr="004060F0" w:rsidRDefault="00DC1F89" w:rsidP="00361731">
            <w:pPr>
              <w:autoSpaceDE w:val="0"/>
              <w:autoSpaceDN w:val="0"/>
              <w:adjustRightInd w:val="0"/>
              <w:spacing w:after="120"/>
              <w:jc w:val="both"/>
              <w:rPr>
                <w:rFonts w:ascii="Calibri" w:hAnsi="Calibri" w:cs="Calibri"/>
                <w:color w:val="000000"/>
                <w:sz w:val="20"/>
                <w:szCs w:val="20"/>
                <w:lang w:val="en-AU"/>
              </w:rPr>
            </w:pPr>
            <w:r w:rsidRPr="004060F0">
              <w:rPr>
                <w:rFonts w:ascii="Calibri" w:hAnsi="Calibri" w:cs="Calibri"/>
                <w:b/>
                <w:bCs/>
                <w:color w:val="000000"/>
                <w:sz w:val="20"/>
                <w:szCs w:val="20"/>
                <w:lang w:val="en-AU"/>
              </w:rPr>
              <w:lastRenderedPageBreak/>
              <w:t>Viet Nam EMERGE</w:t>
            </w:r>
            <w:r>
              <w:rPr>
                <w:rFonts w:ascii="Calibri" w:hAnsi="Calibri" w:cs="Calibri"/>
                <w:b/>
                <w:bCs/>
                <w:color w:val="000000"/>
                <w:sz w:val="20"/>
                <w:szCs w:val="20"/>
                <w:lang w:val="en-AU"/>
              </w:rPr>
              <w:t xml:space="preserve"> - OUTCOME</w:t>
            </w:r>
          </w:p>
        </w:tc>
        <w:tc>
          <w:tcPr>
            <w:tcW w:w="1161" w:type="dxa"/>
            <w:shd w:val="clear" w:color="auto" w:fill="95DCF7" w:themeFill="accent4" w:themeFillTint="66"/>
            <w:vAlign w:val="bottom"/>
          </w:tcPr>
          <w:p w14:paraId="71D35D9D" w14:textId="77777777" w:rsidR="00DC1F89" w:rsidRPr="002E7FAF" w:rsidRDefault="00DC1F89" w:rsidP="00361731">
            <w:pPr>
              <w:autoSpaceDE w:val="0"/>
              <w:autoSpaceDN w:val="0"/>
              <w:adjustRightInd w:val="0"/>
              <w:spacing w:after="120"/>
              <w:jc w:val="center"/>
              <w:rPr>
                <w:rFonts w:ascii="Calibri" w:hAnsi="Calibri" w:cs="Calibri"/>
                <w:color w:val="000000"/>
                <w:sz w:val="20"/>
                <w:szCs w:val="20"/>
                <w:lang w:val="en-AU"/>
              </w:rPr>
            </w:pPr>
            <w:r w:rsidRPr="004060F0">
              <w:rPr>
                <w:rFonts w:ascii="Calibri" w:hAnsi="Calibri" w:cs="Calibri"/>
                <w:b/>
                <w:bCs/>
                <w:color w:val="000000"/>
                <w:sz w:val="20"/>
                <w:szCs w:val="20"/>
                <w:lang w:val="en-AU"/>
              </w:rPr>
              <w:t>Cumulative Results till Dec 2025</w:t>
            </w:r>
          </w:p>
        </w:tc>
        <w:tc>
          <w:tcPr>
            <w:tcW w:w="1556" w:type="dxa"/>
            <w:shd w:val="clear" w:color="auto" w:fill="95DCF7" w:themeFill="accent4" w:themeFillTint="66"/>
            <w:vAlign w:val="bottom"/>
          </w:tcPr>
          <w:p w14:paraId="54BB3BB5" w14:textId="77777777" w:rsidR="00DC1F89" w:rsidRPr="002E7FAF" w:rsidRDefault="00DC1F89" w:rsidP="00361731">
            <w:pPr>
              <w:autoSpaceDE w:val="0"/>
              <w:autoSpaceDN w:val="0"/>
              <w:adjustRightInd w:val="0"/>
              <w:spacing w:after="120"/>
              <w:jc w:val="center"/>
              <w:rPr>
                <w:rFonts w:ascii="Calibri" w:hAnsi="Calibri" w:cs="Calibri"/>
                <w:color w:val="000000"/>
                <w:sz w:val="20"/>
                <w:szCs w:val="20"/>
                <w:lang w:val="en-AU"/>
              </w:rPr>
            </w:pPr>
            <w:r w:rsidRPr="004060F0">
              <w:rPr>
                <w:rFonts w:ascii="Calibri" w:hAnsi="Calibri" w:cs="Calibri"/>
                <w:b/>
                <w:bCs/>
                <w:color w:val="000000"/>
                <w:sz w:val="20"/>
                <w:szCs w:val="20"/>
                <w:lang w:val="en-AU"/>
              </w:rPr>
              <w:t>Overall Target</w:t>
            </w:r>
          </w:p>
        </w:tc>
        <w:tc>
          <w:tcPr>
            <w:tcW w:w="1275" w:type="dxa"/>
            <w:shd w:val="clear" w:color="auto" w:fill="95DCF7" w:themeFill="accent4" w:themeFillTint="66"/>
            <w:vAlign w:val="bottom"/>
          </w:tcPr>
          <w:p w14:paraId="2DEE6958" w14:textId="77777777" w:rsidR="00DC1F89" w:rsidRPr="002E7FAF" w:rsidRDefault="00DC1F89" w:rsidP="00361731">
            <w:pPr>
              <w:autoSpaceDE w:val="0"/>
              <w:autoSpaceDN w:val="0"/>
              <w:adjustRightInd w:val="0"/>
              <w:spacing w:after="120"/>
              <w:jc w:val="center"/>
              <w:rPr>
                <w:rFonts w:ascii="Calibri" w:hAnsi="Calibri" w:cs="Calibri"/>
                <w:color w:val="000000"/>
                <w:sz w:val="20"/>
                <w:szCs w:val="20"/>
                <w:lang w:val="en-AU"/>
              </w:rPr>
            </w:pPr>
            <w:r w:rsidRPr="004060F0">
              <w:rPr>
                <w:rFonts w:ascii="Calibri" w:hAnsi="Calibri" w:cs="Calibri"/>
                <w:b/>
                <w:bCs/>
                <w:color w:val="000000"/>
                <w:sz w:val="20"/>
                <w:szCs w:val="20"/>
                <w:lang w:val="en-AU"/>
              </w:rPr>
              <w:t>Achieved</w:t>
            </w:r>
          </w:p>
        </w:tc>
      </w:tr>
      <w:tr w:rsidR="00DC1F89" w:rsidRPr="0057565E" w14:paraId="50F3351C" w14:textId="77777777" w:rsidTr="00361731">
        <w:tc>
          <w:tcPr>
            <w:tcW w:w="5648" w:type="dxa"/>
          </w:tcPr>
          <w:p w14:paraId="39650720" w14:textId="77777777" w:rsidR="00DC1F89" w:rsidRDefault="00DC1F89" w:rsidP="00361731">
            <w:pPr>
              <w:autoSpaceDE w:val="0"/>
              <w:autoSpaceDN w:val="0"/>
              <w:adjustRightInd w:val="0"/>
              <w:spacing w:after="120"/>
              <w:rPr>
                <w:rFonts w:ascii="Calibri" w:hAnsi="Calibri" w:cs="Calibri"/>
                <w:b/>
                <w:bCs/>
                <w:color w:val="000000"/>
                <w:sz w:val="20"/>
                <w:szCs w:val="20"/>
                <w:lang w:val="en-AU"/>
              </w:rPr>
            </w:pPr>
            <w:r w:rsidRPr="004060F0">
              <w:rPr>
                <w:rFonts w:ascii="Calibri" w:hAnsi="Calibri" w:cs="Calibri"/>
                <w:b/>
                <w:bCs/>
                <w:color w:val="000000"/>
                <w:sz w:val="20"/>
                <w:szCs w:val="20"/>
                <w:lang w:val="en-AU"/>
              </w:rPr>
              <w:t>Component 3: Customized Gender Advisory with Individual Clients to Close Gender Gaps</w:t>
            </w:r>
          </w:p>
          <w:p w14:paraId="73CF2898" w14:textId="77777777" w:rsidR="00DC1F89" w:rsidRDefault="00DC1F89" w:rsidP="00361731">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entities that implemented recommended changes</w:t>
            </w:r>
          </w:p>
        </w:tc>
        <w:tc>
          <w:tcPr>
            <w:tcW w:w="1161" w:type="dxa"/>
            <w:vAlign w:val="center"/>
          </w:tcPr>
          <w:p w14:paraId="7B3106DC"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3</w:t>
            </w:r>
          </w:p>
        </w:tc>
        <w:tc>
          <w:tcPr>
            <w:tcW w:w="1556" w:type="dxa"/>
            <w:vAlign w:val="center"/>
          </w:tcPr>
          <w:p w14:paraId="31ABB4F1"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2</w:t>
            </w:r>
          </w:p>
        </w:tc>
        <w:tc>
          <w:tcPr>
            <w:tcW w:w="1275" w:type="dxa"/>
            <w:vAlign w:val="bottom"/>
          </w:tcPr>
          <w:p w14:paraId="23495FF6" w14:textId="77777777" w:rsidR="00DC1F89" w:rsidRPr="0057565E" w:rsidRDefault="00DC1F89" w:rsidP="00361731">
            <w:pPr>
              <w:autoSpaceDE w:val="0"/>
              <w:autoSpaceDN w:val="0"/>
              <w:adjustRightInd w:val="0"/>
              <w:spacing w:after="120"/>
              <w:jc w:val="center"/>
              <w:rPr>
                <w:rFonts w:ascii="Calibri" w:hAnsi="Calibri" w:cs="Calibri"/>
                <w:i/>
                <w:iCs/>
                <w:sz w:val="18"/>
                <w:szCs w:val="18"/>
                <w:lang w:val="en-AU"/>
              </w:rPr>
            </w:pPr>
            <w:r w:rsidRPr="0057565E">
              <w:rPr>
                <w:rFonts w:ascii="Calibri" w:hAnsi="Calibri" w:cs="Calibri"/>
                <w:i/>
                <w:iCs/>
                <w:sz w:val="20"/>
                <w:szCs w:val="20"/>
                <w:lang w:val="en-AU"/>
              </w:rPr>
              <w:t>150%</w:t>
            </w:r>
          </w:p>
        </w:tc>
      </w:tr>
      <w:tr w:rsidR="00DC1F89" w14:paraId="3723FE6F" w14:textId="77777777" w:rsidTr="00361731">
        <w:tc>
          <w:tcPr>
            <w:tcW w:w="5648" w:type="dxa"/>
          </w:tcPr>
          <w:p w14:paraId="1D495DB9" w14:textId="77777777" w:rsidR="00DC1F89" w:rsidRDefault="00DC1F89" w:rsidP="00361731">
            <w:pPr>
              <w:autoSpaceDE w:val="0"/>
              <w:autoSpaceDN w:val="0"/>
              <w:adjustRightInd w:val="0"/>
              <w:spacing w:after="120"/>
              <w:rPr>
                <w:sz w:val="18"/>
                <w:szCs w:val="18"/>
                <w:lang w:val="en-AU"/>
              </w:rPr>
            </w:pPr>
            <w:r w:rsidRPr="004060F0">
              <w:rPr>
                <w:rFonts w:ascii="Calibri" w:hAnsi="Calibri" w:cs="Calibri"/>
                <w:color w:val="000000"/>
                <w:sz w:val="20"/>
                <w:szCs w:val="20"/>
                <w:lang w:val="en-AU"/>
              </w:rPr>
              <w:t>Number of recommended procedures/firm-level policies/practices/standards that were improved or eliminated</w:t>
            </w:r>
          </w:p>
        </w:tc>
        <w:tc>
          <w:tcPr>
            <w:tcW w:w="1161" w:type="dxa"/>
            <w:vAlign w:val="center"/>
          </w:tcPr>
          <w:p w14:paraId="229D40ED"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1</w:t>
            </w:r>
          </w:p>
        </w:tc>
        <w:tc>
          <w:tcPr>
            <w:tcW w:w="1556" w:type="dxa"/>
            <w:vAlign w:val="center"/>
          </w:tcPr>
          <w:p w14:paraId="05D078DA"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2</w:t>
            </w:r>
          </w:p>
        </w:tc>
        <w:tc>
          <w:tcPr>
            <w:tcW w:w="1275" w:type="dxa"/>
            <w:vAlign w:val="center"/>
          </w:tcPr>
          <w:p w14:paraId="29B8F1E1" w14:textId="77777777" w:rsidR="00DC1F89" w:rsidRDefault="00DC1F89" w:rsidP="00361731">
            <w:pPr>
              <w:autoSpaceDE w:val="0"/>
              <w:autoSpaceDN w:val="0"/>
              <w:adjustRightInd w:val="0"/>
              <w:spacing w:after="120"/>
              <w:jc w:val="center"/>
              <w:rPr>
                <w:sz w:val="18"/>
                <w:szCs w:val="18"/>
                <w:lang w:val="en-AU"/>
              </w:rPr>
            </w:pPr>
            <w:r w:rsidRPr="002E7FAF">
              <w:rPr>
                <w:rFonts w:ascii="Calibri" w:hAnsi="Calibri" w:cs="Calibri"/>
                <w:color w:val="000000"/>
                <w:sz w:val="20"/>
                <w:szCs w:val="20"/>
                <w:lang w:val="en-AU"/>
              </w:rPr>
              <w:t>50%</w:t>
            </w:r>
          </w:p>
        </w:tc>
      </w:tr>
    </w:tbl>
    <w:p w14:paraId="7949BED6" w14:textId="77777777" w:rsidR="00DC1F89" w:rsidRDefault="00DC1F89" w:rsidP="00386AC1">
      <w:pPr>
        <w:autoSpaceDE w:val="0"/>
        <w:autoSpaceDN w:val="0"/>
        <w:adjustRightInd w:val="0"/>
        <w:spacing w:after="120"/>
        <w:jc w:val="both"/>
        <w:rPr>
          <w:rFonts w:ascii="Calibri" w:hAnsi="Calibri" w:cs="Calibri"/>
          <w:color w:val="000000"/>
          <w:sz w:val="18"/>
          <w:szCs w:val="18"/>
          <w:lang w:val="en-AU"/>
        </w:rPr>
      </w:pPr>
    </w:p>
    <w:tbl>
      <w:tblPr>
        <w:tblStyle w:val="TableGrid"/>
        <w:tblW w:w="9640" w:type="dxa"/>
        <w:tblInd w:w="-147" w:type="dxa"/>
        <w:tblLook w:val="04A0" w:firstRow="1" w:lastRow="0" w:firstColumn="1" w:lastColumn="0" w:noHBand="0" w:noVBand="1"/>
      </w:tblPr>
      <w:tblGrid>
        <w:gridCol w:w="5648"/>
        <w:gridCol w:w="1161"/>
        <w:gridCol w:w="1556"/>
        <w:gridCol w:w="1275"/>
      </w:tblGrid>
      <w:tr w:rsidR="00DC1F89" w14:paraId="40CD1CC4" w14:textId="77777777" w:rsidTr="00DC1F89">
        <w:trPr>
          <w:tblHeader/>
        </w:trPr>
        <w:tc>
          <w:tcPr>
            <w:tcW w:w="5648" w:type="dxa"/>
            <w:shd w:val="clear" w:color="auto" w:fill="95DCF7" w:themeFill="accent4" w:themeFillTint="66"/>
            <w:vAlign w:val="center"/>
          </w:tcPr>
          <w:p w14:paraId="7296A1B6"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b/>
                <w:bCs/>
                <w:color w:val="000000"/>
                <w:sz w:val="20"/>
                <w:szCs w:val="20"/>
                <w:lang w:val="en-AU"/>
              </w:rPr>
              <w:t>Viet Nam EMERGE</w:t>
            </w:r>
            <w:r>
              <w:rPr>
                <w:rFonts w:ascii="Calibri" w:hAnsi="Calibri" w:cs="Calibri"/>
                <w:b/>
                <w:bCs/>
                <w:color w:val="000000"/>
                <w:sz w:val="20"/>
                <w:szCs w:val="20"/>
                <w:lang w:val="en-AU"/>
              </w:rPr>
              <w:t xml:space="preserve"> - IMPACT</w:t>
            </w:r>
          </w:p>
        </w:tc>
        <w:tc>
          <w:tcPr>
            <w:tcW w:w="1161" w:type="dxa"/>
            <w:shd w:val="clear" w:color="auto" w:fill="95DCF7" w:themeFill="accent4" w:themeFillTint="66"/>
            <w:vAlign w:val="bottom"/>
          </w:tcPr>
          <w:p w14:paraId="17C6BFE0"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Cumulative Results till Dec 2025</w:t>
            </w:r>
          </w:p>
        </w:tc>
        <w:tc>
          <w:tcPr>
            <w:tcW w:w="1556" w:type="dxa"/>
            <w:shd w:val="clear" w:color="auto" w:fill="95DCF7" w:themeFill="accent4" w:themeFillTint="66"/>
            <w:vAlign w:val="bottom"/>
          </w:tcPr>
          <w:p w14:paraId="3EBBB87C"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Overall Target</w:t>
            </w:r>
          </w:p>
        </w:tc>
        <w:tc>
          <w:tcPr>
            <w:tcW w:w="1275" w:type="dxa"/>
            <w:shd w:val="clear" w:color="auto" w:fill="95DCF7" w:themeFill="accent4" w:themeFillTint="66"/>
            <w:vAlign w:val="bottom"/>
          </w:tcPr>
          <w:p w14:paraId="42A14B28" w14:textId="77777777" w:rsidR="00DC1F89" w:rsidRDefault="00DC1F89" w:rsidP="00361731">
            <w:pPr>
              <w:autoSpaceDE w:val="0"/>
              <w:autoSpaceDN w:val="0"/>
              <w:adjustRightInd w:val="0"/>
              <w:spacing w:after="120"/>
              <w:jc w:val="center"/>
              <w:rPr>
                <w:sz w:val="18"/>
                <w:szCs w:val="18"/>
                <w:lang w:val="en-AU"/>
              </w:rPr>
            </w:pPr>
            <w:r w:rsidRPr="004060F0">
              <w:rPr>
                <w:rFonts w:ascii="Calibri" w:hAnsi="Calibri" w:cs="Calibri"/>
                <w:b/>
                <w:bCs/>
                <w:color w:val="000000"/>
                <w:sz w:val="20"/>
                <w:szCs w:val="20"/>
                <w:lang w:val="en-AU"/>
              </w:rPr>
              <w:t>Achieved</w:t>
            </w:r>
          </w:p>
        </w:tc>
      </w:tr>
      <w:tr w:rsidR="00DC1F89" w:rsidRPr="004C07E7" w14:paraId="56B92D4B" w14:textId="77777777" w:rsidTr="00361731">
        <w:tc>
          <w:tcPr>
            <w:tcW w:w="5648" w:type="dxa"/>
          </w:tcPr>
          <w:p w14:paraId="17D55FE0"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entities reporting improved performance (e.g., improvements in productivity, accountability, operations, loan terms, valuations)</w:t>
            </w:r>
          </w:p>
        </w:tc>
        <w:tc>
          <w:tcPr>
            <w:tcW w:w="1161" w:type="dxa"/>
          </w:tcPr>
          <w:p w14:paraId="6FCBD197"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10</w:t>
            </w:r>
          </w:p>
        </w:tc>
        <w:tc>
          <w:tcPr>
            <w:tcW w:w="1556" w:type="dxa"/>
          </w:tcPr>
          <w:p w14:paraId="7934770D"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2</w:t>
            </w:r>
          </w:p>
        </w:tc>
        <w:tc>
          <w:tcPr>
            <w:tcW w:w="1275" w:type="dxa"/>
          </w:tcPr>
          <w:p w14:paraId="6CC82ED2"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500%</w:t>
            </w:r>
          </w:p>
        </w:tc>
      </w:tr>
      <w:tr w:rsidR="00DC1F89" w:rsidRPr="004C07E7" w14:paraId="3CD13085" w14:textId="77777777" w:rsidTr="00361731">
        <w:tc>
          <w:tcPr>
            <w:tcW w:w="5648" w:type="dxa"/>
          </w:tcPr>
          <w:p w14:paraId="190B6B98" w14:textId="77777777" w:rsidR="00DC1F89" w:rsidRDefault="00DC1F89" w:rsidP="00361731">
            <w:pPr>
              <w:autoSpaceDE w:val="0"/>
              <w:autoSpaceDN w:val="0"/>
              <w:adjustRightInd w:val="0"/>
              <w:spacing w:after="120"/>
              <w:jc w:val="both"/>
              <w:rPr>
                <w:sz w:val="18"/>
                <w:szCs w:val="18"/>
                <w:lang w:val="en-AU"/>
              </w:rPr>
            </w:pPr>
            <w:r w:rsidRPr="004060F0">
              <w:rPr>
                <w:rFonts w:ascii="Calibri" w:hAnsi="Calibri" w:cs="Calibri"/>
                <w:color w:val="000000"/>
                <w:sz w:val="20"/>
                <w:szCs w:val="20"/>
                <w:lang w:val="en-AU"/>
              </w:rPr>
              <w:t>Number of people who directly benefit from an entity's improved labour policies</w:t>
            </w:r>
          </w:p>
        </w:tc>
        <w:tc>
          <w:tcPr>
            <w:tcW w:w="1161" w:type="dxa"/>
          </w:tcPr>
          <w:p w14:paraId="662B556C"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22,110</w:t>
            </w:r>
          </w:p>
        </w:tc>
        <w:tc>
          <w:tcPr>
            <w:tcW w:w="1556" w:type="dxa"/>
          </w:tcPr>
          <w:p w14:paraId="2778FAB6"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16,000</w:t>
            </w:r>
          </w:p>
        </w:tc>
        <w:tc>
          <w:tcPr>
            <w:tcW w:w="1275" w:type="dxa"/>
          </w:tcPr>
          <w:p w14:paraId="6736CFDD" w14:textId="77777777" w:rsidR="00DC1F89" w:rsidRPr="004C07E7" w:rsidRDefault="00DC1F89" w:rsidP="00361731">
            <w:pPr>
              <w:autoSpaceDE w:val="0"/>
              <w:autoSpaceDN w:val="0"/>
              <w:adjustRightInd w:val="0"/>
              <w:spacing w:after="120"/>
              <w:jc w:val="center"/>
              <w:rPr>
                <w:rFonts w:ascii="Calibri" w:hAnsi="Calibri" w:cs="Calibri"/>
                <w:sz w:val="20"/>
                <w:szCs w:val="20"/>
                <w:lang w:val="en-AU"/>
              </w:rPr>
            </w:pPr>
            <w:r w:rsidRPr="004C07E7">
              <w:rPr>
                <w:rFonts w:ascii="Calibri" w:hAnsi="Calibri" w:cs="Calibri"/>
                <w:sz w:val="20"/>
                <w:szCs w:val="20"/>
                <w:lang w:val="en-AU"/>
              </w:rPr>
              <w:t>138%</w:t>
            </w:r>
          </w:p>
        </w:tc>
      </w:tr>
    </w:tbl>
    <w:p w14:paraId="2B9AF430" w14:textId="77777777" w:rsidR="00DC1F89" w:rsidRPr="00672DE1" w:rsidRDefault="00DC1F89" w:rsidP="00386AC1">
      <w:pPr>
        <w:autoSpaceDE w:val="0"/>
        <w:autoSpaceDN w:val="0"/>
        <w:adjustRightInd w:val="0"/>
        <w:spacing w:after="120"/>
        <w:jc w:val="both"/>
        <w:rPr>
          <w:rFonts w:ascii="Calibri" w:hAnsi="Calibri" w:cs="Calibri"/>
          <w:color w:val="000000"/>
          <w:sz w:val="18"/>
          <w:szCs w:val="18"/>
          <w:lang w:val="en-AU"/>
        </w:rPr>
      </w:pPr>
    </w:p>
    <w:p w14:paraId="43769A29" w14:textId="3034CDFC" w:rsidR="002E44E6" w:rsidRPr="000348BD" w:rsidRDefault="002E44E6" w:rsidP="00385865">
      <w:pPr>
        <w:autoSpaceDE w:val="0"/>
        <w:autoSpaceDN w:val="0"/>
        <w:adjustRightInd w:val="0"/>
        <w:spacing w:after="120"/>
        <w:jc w:val="both"/>
        <w:rPr>
          <w:rFonts w:ascii="Calibri" w:hAnsi="Calibri" w:cs="Calibri"/>
          <w:b/>
          <w:bCs/>
          <w:i/>
          <w:iCs/>
          <w:color w:val="000000"/>
          <w:sz w:val="22"/>
          <w:szCs w:val="22"/>
          <w:u w:val="single"/>
          <w:lang w:val="en-AU"/>
        </w:rPr>
      </w:pPr>
      <w:r w:rsidRPr="00C97A19">
        <w:rPr>
          <w:rFonts w:ascii="Calibri" w:hAnsi="Calibri" w:cs="Calibri"/>
          <w:b/>
          <w:bCs/>
          <w:i/>
          <w:iCs/>
          <w:color w:val="000000" w:themeColor="text1"/>
          <w:sz w:val="22"/>
          <w:szCs w:val="22"/>
          <w:u w:val="single"/>
          <w:lang w:val="en-AU"/>
        </w:rPr>
        <w:t xml:space="preserve">KEQ 4: </w:t>
      </w:r>
      <w:r w:rsidRPr="000348BD">
        <w:rPr>
          <w:rFonts w:ascii="Calibri" w:hAnsi="Calibri" w:cs="Calibri"/>
          <w:b/>
          <w:bCs/>
          <w:i/>
          <w:iCs/>
          <w:sz w:val="22"/>
          <w:szCs w:val="22"/>
          <w:u w:val="single"/>
          <w:lang w:val="en-AU"/>
        </w:rPr>
        <w:t xml:space="preserve">How </w:t>
      </w:r>
      <w:r w:rsidRPr="000348BD">
        <w:rPr>
          <w:rFonts w:ascii="Calibri" w:hAnsi="Calibri" w:cs="Calibri"/>
          <w:b/>
          <w:bCs/>
          <w:i/>
          <w:iCs/>
          <w:color w:val="000000"/>
          <w:sz w:val="22"/>
          <w:szCs w:val="22"/>
          <w:u w:val="single"/>
          <w:lang w:val="en-AU"/>
        </w:rPr>
        <w:t xml:space="preserve">effectively has the Partnership </w:t>
      </w:r>
      <w:r w:rsidR="0013617E" w:rsidRPr="000348BD">
        <w:rPr>
          <w:rFonts w:ascii="Calibri" w:hAnsi="Calibri" w:cs="Calibri"/>
          <w:b/>
          <w:bCs/>
          <w:i/>
          <w:iCs/>
          <w:color w:val="000000"/>
          <w:sz w:val="22"/>
          <w:szCs w:val="22"/>
          <w:u w:val="single"/>
          <w:lang w:val="en-AU"/>
        </w:rPr>
        <w:t>responded to and adapted to the evolving needs of private-sector</w:t>
      </w:r>
      <w:r w:rsidRPr="000348BD">
        <w:rPr>
          <w:rFonts w:ascii="Calibri" w:hAnsi="Calibri" w:cs="Calibri"/>
          <w:b/>
          <w:bCs/>
          <w:i/>
          <w:iCs/>
          <w:color w:val="000000"/>
          <w:sz w:val="22"/>
          <w:szCs w:val="22"/>
          <w:u w:val="single"/>
          <w:lang w:val="en-AU"/>
        </w:rPr>
        <w:t xml:space="preserve"> stakeholders</w:t>
      </w:r>
      <w:r w:rsidRPr="000348BD">
        <w:rPr>
          <w:rFonts w:ascii="Calibri" w:hAnsi="Calibri" w:cs="Calibri"/>
          <w:b/>
          <w:bCs/>
          <w:i/>
          <w:iCs/>
          <w:sz w:val="22"/>
          <w:szCs w:val="22"/>
          <w:u w:val="single"/>
          <w:lang w:val="en-AU"/>
        </w:rPr>
        <w:t xml:space="preserve"> and the enabling environment for private investment in Viet Nam? </w:t>
      </w:r>
    </w:p>
    <w:p w14:paraId="30DCCD08" w14:textId="1CF2DA52" w:rsidR="00146D37" w:rsidRPr="00C97A19" w:rsidRDefault="00146D37" w:rsidP="00146D37">
      <w:pPr>
        <w:spacing w:after="120"/>
        <w:jc w:val="both"/>
        <w:rPr>
          <w:rFonts w:ascii="Calibri" w:hAnsi="Calibri" w:cs="Calibri"/>
          <w:sz w:val="22"/>
          <w:szCs w:val="22"/>
          <w:lang w:val="en-AU"/>
        </w:rPr>
      </w:pPr>
      <w:r w:rsidRPr="00C97A19">
        <w:rPr>
          <w:rFonts w:ascii="Calibri" w:hAnsi="Calibri" w:cs="Calibri"/>
          <w:b/>
          <w:bCs/>
          <w:sz w:val="22"/>
          <w:szCs w:val="22"/>
          <w:lang w:val="en-AU"/>
        </w:rPr>
        <w:t>As indicated in earlier sections, the program has demonstrated an evident ability to respond and adapt to the evolving needs of the private sector.</w:t>
      </w:r>
      <w:r w:rsidRPr="00C97A19">
        <w:rPr>
          <w:rFonts w:ascii="Calibri" w:hAnsi="Calibri" w:cs="Calibri"/>
          <w:sz w:val="22"/>
          <w:szCs w:val="22"/>
          <w:lang w:val="en-AU"/>
        </w:rPr>
        <w:t xml:space="preserve"> The program has proven adaptable and responsive. This is evidenced by the type and scope of projects identified, funded and implemented. </w:t>
      </w:r>
      <w:r w:rsidR="00E5697D" w:rsidRPr="00C97A19">
        <w:rPr>
          <w:rFonts w:ascii="Calibri" w:hAnsi="Calibri" w:cs="Calibri"/>
          <w:sz w:val="22"/>
          <w:szCs w:val="22"/>
          <w:lang w:val="en-AU"/>
        </w:rPr>
        <w:t>This</w:t>
      </w:r>
      <w:r w:rsidRPr="00C97A19">
        <w:rPr>
          <w:rFonts w:ascii="Calibri" w:hAnsi="Calibri" w:cs="Calibri"/>
          <w:sz w:val="22"/>
          <w:szCs w:val="22"/>
          <w:lang w:val="en-AU"/>
        </w:rPr>
        <w:t xml:space="preserve"> is also evidenced by PSC minutes and actions t</w:t>
      </w:r>
      <w:r w:rsidR="00E5697D" w:rsidRPr="00C97A19">
        <w:rPr>
          <w:rFonts w:ascii="Calibri" w:hAnsi="Calibri" w:cs="Calibri"/>
          <w:sz w:val="22"/>
          <w:szCs w:val="22"/>
          <w:lang w:val="en-AU"/>
        </w:rPr>
        <w:t>hat</w:t>
      </w:r>
      <w:r w:rsidRPr="00C97A19">
        <w:rPr>
          <w:rFonts w:ascii="Calibri" w:hAnsi="Calibri" w:cs="Calibri"/>
          <w:sz w:val="22"/>
          <w:szCs w:val="22"/>
          <w:lang w:val="en-AU"/>
        </w:rPr>
        <w:t xml:space="preserve"> support relevant projects. Finally, the selection </w:t>
      </w:r>
      <w:r w:rsidR="00733B5E">
        <w:rPr>
          <w:rFonts w:ascii="Calibri" w:hAnsi="Calibri" w:cs="Calibri"/>
          <w:sz w:val="22"/>
          <w:szCs w:val="22"/>
          <w:lang w:val="en-AU"/>
        </w:rPr>
        <w:t xml:space="preserve">of </w:t>
      </w:r>
      <w:r w:rsidRPr="00C97A19">
        <w:rPr>
          <w:rFonts w:ascii="Calibri" w:hAnsi="Calibri" w:cs="Calibri"/>
          <w:sz w:val="22"/>
          <w:szCs w:val="22"/>
          <w:lang w:val="en-AU"/>
        </w:rPr>
        <w:t xml:space="preserve">projects that </w:t>
      </w:r>
      <w:r w:rsidR="00385865" w:rsidRPr="00C97A19">
        <w:rPr>
          <w:rFonts w:ascii="Calibri" w:hAnsi="Calibri" w:cs="Calibri"/>
          <w:sz w:val="22"/>
          <w:szCs w:val="22"/>
          <w:lang w:val="en-AU"/>
        </w:rPr>
        <w:t xml:space="preserve">are </w:t>
      </w:r>
      <w:r w:rsidRPr="00C97A19">
        <w:rPr>
          <w:rFonts w:ascii="Calibri" w:hAnsi="Calibri" w:cs="Calibri"/>
          <w:sz w:val="22"/>
          <w:szCs w:val="22"/>
          <w:lang w:val="en-AU"/>
        </w:rPr>
        <w:t>firmly focused on private</w:t>
      </w:r>
      <w:r w:rsidR="00385865" w:rsidRPr="00C97A19">
        <w:rPr>
          <w:rFonts w:ascii="Calibri" w:hAnsi="Calibri" w:cs="Calibri"/>
          <w:sz w:val="22"/>
          <w:szCs w:val="22"/>
          <w:lang w:val="en-AU"/>
        </w:rPr>
        <w:t>-</w:t>
      </w:r>
      <w:r w:rsidRPr="00C97A19">
        <w:rPr>
          <w:rFonts w:ascii="Calibri" w:hAnsi="Calibri" w:cs="Calibri"/>
          <w:sz w:val="22"/>
          <w:szCs w:val="22"/>
          <w:lang w:val="en-AU"/>
        </w:rPr>
        <w:t xml:space="preserve">sector </w:t>
      </w:r>
      <w:r w:rsidR="00385865" w:rsidRPr="00C97A19">
        <w:rPr>
          <w:rFonts w:ascii="Calibri" w:hAnsi="Calibri" w:cs="Calibri"/>
          <w:sz w:val="22"/>
          <w:szCs w:val="22"/>
          <w:lang w:val="en-AU"/>
        </w:rPr>
        <w:t>outcome</w:t>
      </w:r>
      <w:r w:rsidRPr="00C97A19">
        <w:rPr>
          <w:rFonts w:ascii="Calibri" w:hAnsi="Calibri" w:cs="Calibri"/>
          <w:sz w:val="22"/>
          <w:szCs w:val="22"/>
          <w:lang w:val="en-AU"/>
        </w:rPr>
        <w:t>s, particularly as the Go</w:t>
      </w:r>
      <w:r w:rsidR="00385865" w:rsidRPr="00C97A19">
        <w:rPr>
          <w:rFonts w:ascii="Calibri" w:hAnsi="Calibri" w:cs="Calibri"/>
          <w:sz w:val="22"/>
          <w:szCs w:val="22"/>
          <w:lang w:val="en-AU"/>
        </w:rPr>
        <w:t>V</w:t>
      </w:r>
      <w:r w:rsidRPr="00C97A19">
        <w:rPr>
          <w:rFonts w:ascii="Calibri" w:hAnsi="Calibri" w:cs="Calibri"/>
          <w:sz w:val="22"/>
          <w:szCs w:val="22"/>
          <w:lang w:val="en-AU"/>
        </w:rPr>
        <w:t xml:space="preserve"> has emerged from COVID-19, demonstrate the </w:t>
      </w:r>
      <w:r w:rsidR="00E5697D" w:rsidRPr="00C97A19">
        <w:rPr>
          <w:rFonts w:ascii="Calibri" w:hAnsi="Calibri" w:cs="Calibri"/>
          <w:sz w:val="22"/>
          <w:szCs w:val="22"/>
          <w:lang w:val="en-AU"/>
        </w:rPr>
        <w:t>program's ability</w:t>
      </w:r>
      <w:r w:rsidRPr="00C97A19">
        <w:rPr>
          <w:rFonts w:ascii="Calibri" w:hAnsi="Calibri" w:cs="Calibri"/>
          <w:sz w:val="22"/>
          <w:szCs w:val="22"/>
          <w:lang w:val="en-AU"/>
        </w:rPr>
        <w:t xml:space="preserve"> to adapt and respond to immediate priorities </w:t>
      </w:r>
      <w:r w:rsidR="00E5697D" w:rsidRPr="00C97A19">
        <w:rPr>
          <w:rFonts w:ascii="Calibri" w:hAnsi="Calibri" w:cs="Calibri"/>
          <w:sz w:val="22"/>
          <w:szCs w:val="22"/>
          <w:lang w:val="en-AU"/>
        </w:rPr>
        <w:t>and</w:t>
      </w:r>
      <w:r w:rsidRPr="00C97A19">
        <w:rPr>
          <w:rFonts w:ascii="Calibri" w:hAnsi="Calibri" w:cs="Calibri"/>
          <w:sz w:val="22"/>
          <w:szCs w:val="22"/>
          <w:lang w:val="en-AU"/>
        </w:rPr>
        <w:t xml:space="preserve"> needs.</w:t>
      </w:r>
      <w:r w:rsidR="00385865" w:rsidRPr="00C97A19">
        <w:rPr>
          <w:rFonts w:ascii="Calibri" w:hAnsi="Calibri" w:cs="Calibri"/>
          <w:sz w:val="22"/>
          <w:szCs w:val="22"/>
          <w:lang w:val="en-AU"/>
        </w:rPr>
        <w:t xml:space="preserve"> This is supported by the ongoing evolution of the type, nature</w:t>
      </w:r>
      <w:r w:rsidR="00733B5E">
        <w:rPr>
          <w:rFonts w:ascii="Calibri" w:hAnsi="Calibri" w:cs="Calibri"/>
          <w:sz w:val="22"/>
          <w:szCs w:val="22"/>
          <w:lang w:val="en-AU"/>
        </w:rPr>
        <w:t>,</w:t>
      </w:r>
      <w:r w:rsidR="00385865" w:rsidRPr="00C97A19">
        <w:rPr>
          <w:rFonts w:ascii="Calibri" w:hAnsi="Calibri" w:cs="Calibri"/>
          <w:sz w:val="22"/>
          <w:szCs w:val="22"/>
          <w:lang w:val="en-AU"/>
        </w:rPr>
        <w:t xml:space="preserve"> and scope of projects being funded and implemented.</w:t>
      </w:r>
    </w:p>
    <w:p w14:paraId="19F96F2F" w14:textId="40CF4913" w:rsidR="008362E5" w:rsidRPr="00C97A19" w:rsidRDefault="008362E5" w:rsidP="00146D37">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The only suggested improvement is to ensure future </w:t>
      </w:r>
      <w:r w:rsidR="00F75945" w:rsidRPr="00C97A19">
        <w:rPr>
          <w:rFonts w:ascii="Calibri" w:hAnsi="Calibri" w:cs="Calibri"/>
          <w:b/>
          <w:bCs/>
          <w:sz w:val="22"/>
          <w:szCs w:val="22"/>
          <w:lang w:val="en-AU"/>
        </w:rPr>
        <w:t xml:space="preserve">activity/investment </w:t>
      </w:r>
      <w:r w:rsidRPr="00C97A19">
        <w:rPr>
          <w:rFonts w:ascii="Calibri" w:hAnsi="Calibri" w:cs="Calibri"/>
          <w:b/>
          <w:bCs/>
          <w:sz w:val="22"/>
          <w:szCs w:val="22"/>
          <w:lang w:val="en-AU"/>
        </w:rPr>
        <w:t xml:space="preserve">designs are </w:t>
      </w:r>
      <w:r w:rsidR="00385865" w:rsidRPr="00C97A19">
        <w:rPr>
          <w:rFonts w:ascii="Calibri" w:hAnsi="Calibri" w:cs="Calibri"/>
          <w:b/>
          <w:bCs/>
          <w:sz w:val="22"/>
          <w:szCs w:val="22"/>
          <w:lang w:val="en-AU"/>
        </w:rPr>
        <w:t xml:space="preserve">well </w:t>
      </w:r>
      <w:r w:rsidRPr="00C97A19">
        <w:rPr>
          <w:rFonts w:ascii="Calibri" w:hAnsi="Calibri" w:cs="Calibri"/>
          <w:b/>
          <w:bCs/>
          <w:sz w:val="22"/>
          <w:szCs w:val="22"/>
          <w:lang w:val="en-AU"/>
        </w:rPr>
        <w:t>th</w:t>
      </w:r>
      <w:r w:rsidR="00540E64" w:rsidRPr="00C97A19">
        <w:rPr>
          <w:rFonts w:ascii="Calibri" w:hAnsi="Calibri" w:cs="Calibri"/>
          <w:b/>
          <w:bCs/>
          <w:sz w:val="22"/>
          <w:szCs w:val="22"/>
          <w:lang w:val="en-AU"/>
        </w:rPr>
        <w:t>ought</w:t>
      </w:r>
      <w:r w:rsidRPr="00C97A19">
        <w:rPr>
          <w:rFonts w:ascii="Calibri" w:hAnsi="Calibri" w:cs="Calibri"/>
          <w:b/>
          <w:bCs/>
          <w:sz w:val="22"/>
          <w:szCs w:val="22"/>
          <w:lang w:val="en-AU"/>
        </w:rPr>
        <w:t xml:space="preserve"> </w:t>
      </w:r>
      <w:r w:rsidR="00385865" w:rsidRPr="00C97A19">
        <w:rPr>
          <w:rFonts w:ascii="Calibri" w:hAnsi="Calibri" w:cs="Calibri"/>
          <w:b/>
          <w:bCs/>
          <w:sz w:val="22"/>
          <w:szCs w:val="22"/>
          <w:lang w:val="en-AU"/>
        </w:rPr>
        <w:t>out</w:t>
      </w:r>
      <w:r w:rsidRPr="00C97A19">
        <w:rPr>
          <w:rFonts w:ascii="Calibri" w:hAnsi="Calibri" w:cs="Calibri"/>
          <w:b/>
          <w:bCs/>
          <w:sz w:val="22"/>
          <w:szCs w:val="22"/>
          <w:lang w:val="en-AU"/>
        </w:rPr>
        <w:t xml:space="preserve"> and planned</w:t>
      </w:r>
      <w:r w:rsidRPr="00C97A19">
        <w:rPr>
          <w:rFonts w:ascii="Calibri" w:hAnsi="Calibri" w:cs="Calibri"/>
          <w:sz w:val="22"/>
          <w:szCs w:val="22"/>
          <w:lang w:val="en-AU"/>
        </w:rPr>
        <w:t xml:space="preserve">. In other words, activities and projects should be designed and implemented so that there is a clearly defined “end </w:t>
      </w:r>
      <w:r w:rsidR="00540E64" w:rsidRPr="00C97A19">
        <w:rPr>
          <w:rFonts w:ascii="Calibri" w:hAnsi="Calibri" w:cs="Calibri"/>
          <w:sz w:val="22"/>
          <w:szCs w:val="22"/>
          <w:lang w:val="en-AU"/>
        </w:rPr>
        <w:t>state</w:t>
      </w:r>
      <w:r w:rsidRPr="00C97A19">
        <w:rPr>
          <w:rFonts w:ascii="Calibri" w:hAnsi="Calibri" w:cs="Calibri"/>
          <w:sz w:val="22"/>
          <w:szCs w:val="22"/>
          <w:lang w:val="en-AU"/>
        </w:rPr>
        <w:t xml:space="preserve">” at which </w:t>
      </w:r>
      <w:r w:rsidR="00385865" w:rsidRPr="00C97A19">
        <w:rPr>
          <w:rFonts w:ascii="Calibri" w:hAnsi="Calibri" w:cs="Calibri"/>
          <w:sz w:val="22"/>
          <w:szCs w:val="22"/>
          <w:lang w:val="en-AU"/>
        </w:rPr>
        <w:t>both DFAT and IFC have a clear understanding (and supporting evidence) that the project has reached the</w:t>
      </w:r>
      <w:r w:rsidRPr="00C97A19">
        <w:rPr>
          <w:rFonts w:ascii="Calibri" w:hAnsi="Calibri" w:cs="Calibri"/>
          <w:sz w:val="22"/>
          <w:szCs w:val="22"/>
          <w:lang w:val="en-AU"/>
        </w:rPr>
        <w:t xml:space="preserve"> desired outcome</w:t>
      </w:r>
      <w:r w:rsidR="0010305B" w:rsidRPr="00C97A19">
        <w:rPr>
          <w:rFonts w:ascii="Calibri" w:hAnsi="Calibri" w:cs="Calibri"/>
          <w:sz w:val="22"/>
          <w:szCs w:val="22"/>
          <w:lang w:val="en-AU"/>
        </w:rPr>
        <w:t xml:space="preserve"> and achieved a defined level of success</w:t>
      </w:r>
      <w:r w:rsidRPr="00C97A19">
        <w:rPr>
          <w:rFonts w:ascii="Calibri" w:hAnsi="Calibri" w:cs="Calibri"/>
          <w:sz w:val="22"/>
          <w:szCs w:val="22"/>
          <w:lang w:val="en-AU"/>
        </w:rPr>
        <w:t>.</w:t>
      </w:r>
      <w:r w:rsidR="00385865" w:rsidRPr="00C97A19">
        <w:rPr>
          <w:rFonts w:ascii="Calibri" w:hAnsi="Calibri" w:cs="Calibri"/>
          <w:sz w:val="22"/>
          <w:szCs w:val="22"/>
          <w:lang w:val="en-AU"/>
        </w:rPr>
        <w:t xml:space="preserve"> This could be presented and discussed as part of the proposed consul</w:t>
      </w:r>
      <w:r w:rsidR="00467344" w:rsidRPr="00C97A19">
        <w:rPr>
          <w:rFonts w:ascii="Calibri" w:hAnsi="Calibri" w:cs="Calibri"/>
          <w:sz w:val="22"/>
          <w:szCs w:val="22"/>
          <w:lang w:val="en-AU"/>
        </w:rPr>
        <w:t>ta</w:t>
      </w:r>
      <w:r w:rsidR="00385865" w:rsidRPr="00C97A19">
        <w:rPr>
          <w:rFonts w:ascii="Calibri" w:hAnsi="Calibri" w:cs="Calibri"/>
          <w:sz w:val="22"/>
          <w:szCs w:val="22"/>
          <w:lang w:val="en-AU"/>
        </w:rPr>
        <w:t>tions</w:t>
      </w:r>
      <w:r w:rsidR="00467344" w:rsidRPr="00C97A19">
        <w:rPr>
          <w:rFonts w:ascii="Calibri" w:hAnsi="Calibri" w:cs="Calibri"/>
          <w:sz w:val="22"/>
          <w:szCs w:val="22"/>
          <w:lang w:val="en-AU"/>
        </w:rPr>
        <w:t>, management</w:t>
      </w:r>
      <w:r w:rsidR="00385865" w:rsidRPr="00C97A19">
        <w:rPr>
          <w:rFonts w:ascii="Calibri" w:hAnsi="Calibri" w:cs="Calibri"/>
          <w:sz w:val="22"/>
          <w:szCs w:val="22"/>
          <w:lang w:val="en-AU"/>
        </w:rPr>
        <w:t xml:space="preserve"> gatherings</w:t>
      </w:r>
      <w:r w:rsidR="00467344" w:rsidRPr="00C97A19">
        <w:rPr>
          <w:rFonts w:ascii="Calibri" w:hAnsi="Calibri" w:cs="Calibri"/>
          <w:sz w:val="22"/>
          <w:szCs w:val="22"/>
          <w:lang w:val="en-AU"/>
        </w:rPr>
        <w:t>, and meetings (refer to future guidance section below)</w:t>
      </w:r>
      <w:r w:rsidR="00385865" w:rsidRPr="00C97A19">
        <w:rPr>
          <w:rFonts w:ascii="Calibri" w:hAnsi="Calibri" w:cs="Calibri"/>
          <w:sz w:val="22"/>
          <w:szCs w:val="22"/>
          <w:lang w:val="en-AU"/>
        </w:rPr>
        <w:t xml:space="preserve">. </w:t>
      </w:r>
      <w:r w:rsidR="00263CC4" w:rsidRPr="00C97A19">
        <w:rPr>
          <w:rFonts w:ascii="Calibri" w:hAnsi="Calibri" w:cs="Calibri"/>
          <w:sz w:val="22"/>
          <w:szCs w:val="22"/>
          <w:lang w:val="en-AU"/>
        </w:rPr>
        <w:t xml:space="preserve">It is noted that </w:t>
      </w:r>
      <w:r w:rsidR="002348E5" w:rsidRPr="00C97A19">
        <w:rPr>
          <w:rFonts w:ascii="Calibri" w:hAnsi="Calibri" w:cs="Calibri"/>
          <w:sz w:val="22"/>
          <w:szCs w:val="22"/>
          <w:lang w:val="en-AU"/>
        </w:rPr>
        <w:t>I</w:t>
      </w:r>
      <w:r w:rsidR="00263CC4" w:rsidRPr="00C97A19">
        <w:rPr>
          <w:rFonts w:ascii="Calibri" w:hAnsi="Calibri" w:cs="Calibri"/>
          <w:sz w:val="22"/>
          <w:szCs w:val="22"/>
          <w:lang w:val="en-AU"/>
        </w:rPr>
        <w:t xml:space="preserve">FC specifies </w:t>
      </w:r>
      <w:r w:rsidR="002348E5" w:rsidRPr="00C97A19">
        <w:rPr>
          <w:rFonts w:ascii="Calibri" w:hAnsi="Calibri" w:cs="Calibri"/>
          <w:sz w:val="22"/>
          <w:szCs w:val="22"/>
          <w:lang w:val="en-AU"/>
        </w:rPr>
        <w:t>intended</w:t>
      </w:r>
      <w:r w:rsidR="00263CC4" w:rsidRPr="00C97A19">
        <w:rPr>
          <w:rFonts w:ascii="Calibri" w:hAnsi="Calibri" w:cs="Calibri"/>
          <w:sz w:val="22"/>
          <w:szCs w:val="22"/>
          <w:lang w:val="en-AU"/>
        </w:rPr>
        <w:t xml:space="preserve"> outcomes for each project</w:t>
      </w:r>
      <w:r w:rsidR="00385865" w:rsidRPr="00C97A19">
        <w:rPr>
          <w:rFonts w:ascii="Calibri" w:hAnsi="Calibri" w:cs="Calibri"/>
          <w:sz w:val="22"/>
          <w:szCs w:val="22"/>
          <w:lang w:val="en-AU"/>
        </w:rPr>
        <w:t>;</w:t>
      </w:r>
      <w:r w:rsidR="00263CC4" w:rsidRPr="00C97A19">
        <w:rPr>
          <w:rFonts w:ascii="Calibri" w:hAnsi="Calibri" w:cs="Calibri"/>
          <w:sz w:val="22"/>
          <w:szCs w:val="22"/>
          <w:lang w:val="en-AU"/>
        </w:rPr>
        <w:t xml:space="preserve"> however, it is more of a </w:t>
      </w:r>
      <w:r w:rsidR="00385865" w:rsidRPr="00C97A19">
        <w:rPr>
          <w:rFonts w:ascii="Calibri" w:hAnsi="Calibri" w:cs="Calibri"/>
          <w:sz w:val="22"/>
          <w:szCs w:val="22"/>
          <w:lang w:val="en-AU"/>
        </w:rPr>
        <w:t>discussion of the end state and the evidence required to demonstrate it.</w:t>
      </w:r>
    </w:p>
    <w:p w14:paraId="728BA231" w14:textId="7D646D7B" w:rsidR="002E44E6" w:rsidRPr="00C97A19" w:rsidRDefault="002E44E6" w:rsidP="00146D37">
      <w:pPr>
        <w:spacing w:after="120"/>
        <w:jc w:val="both"/>
        <w:rPr>
          <w:rFonts w:ascii="Calibri" w:hAnsi="Calibri" w:cs="Calibri"/>
          <w:b/>
          <w:bCs/>
          <w:i/>
          <w:iCs/>
          <w:sz w:val="22"/>
          <w:szCs w:val="22"/>
          <w:u w:val="single"/>
          <w:lang w:val="en-AU"/>
        </w:rPr>
      </w:pPr>
      <w:r w:rsidRPr="00C97A19">
        <w:rPr>
          <w:rFonts w:ascii="Calibri" w:hAnsi="Calibri" w:cs="Calibri"/>
          <w:b/>
          <w:bCs/>
          <w:i/>
          <w:iCs/>
          <w:sz w:val="22"/>
          <w:szCs w:val="22"/>
          <w:u w:val="single"/>
          <w:lang w:val="en-AU"/>
        </w:rPr>
        <w:t xml:space="preserve">KEQ 5: </w:t>
      </w:r>
      <w:r w:rsidRPr="000348BD">
        <w:rPr>
          <w:rFonts w:ascii="Calibri" w:hAnsi="Calibri" w:cs="Calibri"/>
          <w:b/>
          <w:bCs/>
          <w:i/>
          <w:iCs/>
          <w:sz w:val="22"/>
          <w:szCs w:val="22"/>
          <w:u w:val="single"/>
          <w:lang w:val="en-AU"/>
        </w:rPr>
        <w:t xml:space="preserve">To what extent </w:t>
      </w:r>
      <w:r w:rsidR="0046364E" w:rsidRPr="000348BD">
        <w:rPr>
          <w:rFonts w:ascii="Calibri" w:hAnsi="Calibri" w:cs="Calibri"/>
          <w:b/>
          <w:bCs/>
          <w:i/>
          <w:iCs/>
          <w:sz w:val="22"/>
          <w:szCs w:val="22"/>
          <w:u w:val="single"/>
          <w:lang w:val="en-AU"/>
        </w:rPr>
        <w:t xml:space="preserve">have </w:t>
      </w:r>
      <w:r w:rsidRPr="000348BD">
        <w:rPr>
          <w:rFonts w:ascii="Calibri" w:hAnsi="Calibri" w:cs="Calibri"/>
          <w:b/>
          <w:bCs/>
          <w:i/>
          <w:iCs/>
          <w:sz w:val="22"/>
          <w:szCs w:val="22"/>
          <w:u w:val="single"/>
          <w:lang w:val="en-AU"/>
        </w:rPr>
        <w:t>gender equality and social inclusion issues been addressed in VPSDP?</w:t>
      </w:r>
    </w:p>
    <w:p w14:paraId="032CC5CB" w14:textId="7F37F23B" w:rsidR="00DA633F" w:rsidRPr="000348BD" w:rsidRDefault="00DA633F">
      <w:pPr>
        <w:spacing w:after="120"/>
        <w:jc w:val="both"/>
        <w:rPr>
          <w:rFonts w:ascii="Calibri" w:hAnsi="Calibri" w:cs="Calibri"/>
          <w:color w:val="000000"/>
          <w:sz w:val="22"/>
          <w:szCs w:val="22"/>
          <w:lang w:val="en-AU"/>
        </w:rPr>
      </w:pPr>
      <w:r w:rsidRPr="000348BD">
        <w:rPr>
          <w:rFonts w:ascii="Calibri" w:hAnsi="Calibri" w:cs="Calibri"/>
          <w:b/>
          <w:bCs/>
          <w:color w:val="000000"/>
          <w:sz w:val="22"/>
          <w:szCs w:val="22"/>
          <w:lang w:val="en-AU"/>
        </w:rPr>
        <w:t xml:space="preserve">IFC’s gender and inclusion team supports the private sector </w:t>
      </w:r>
      <w:r w:rsidR="0046364E" w:rsidRPr="000348BD">
        <w:rPr>
          <w:rFonts w:ascii="Calibri" w:hAnsi="Calibri" w:cs="Calibri"/>
          <w:b/>
          <w:bCs/>
          <w:color w:val="000000"/>
          <w:sz w:val="22"/>
          <w:szCs w:val="22"/>
          <w:lang w:val="en-AU"/>
        </w:rPr>
        <w:t>in</w:t>
      </w:r>
      <w:r w:rsidRPr="000348BD">
        <w:rPr>
          <w:rFonts w:ascii="Calibri" w:hAnsi="Calibri" w:cs="Calibri"/>
          <w:b/>
          <w:bCs/>
          <w:color w:val="000000"/>
          <w:sz w:val="22"/>
          <w:szCs w:val="22"/>
          <w:lang w:val="en-AU"/>
        </w:rPr>
        <w:t xml:space="preserve"> driv</w:t>
      </w:r>
      <w:r w:rsidR="0046364E" w:rsidRPr="000348BD">
        <w:rPr>
          <w:rFonts w:ascii="Calibri" w:hAnsi="Calibri" w:cs="Calibri"/>
          <w:b/>
          <w:bCs/>
          <w:color w:val="000000"/>
          <w:sz w:val="22"/>
          <w:szCs w:val="22"/>
          <w:lang w:val="en-AU"/>
        </w:rPr>
        <w:t>ing</w:t>
      </w:r>
      <w:r w:rsidRPr="000348BD">
        <w:rPr>
          <w:rFonts w:ascii="Calibri" w:hAnsi="Calibri" w:cs="Calibri"/>
          <w:b/>
          <w:bCs/>
          <w:color w:val="000000"/>
          <w:sz w:val="22"/>
          <w:szCs w:val="22"/>
          <w:lang w:val="en-AU"/>
        </w:rPr>
        <w:t xml:space="preserve"> a more inclusive allocation of capital, creat</w:t>
      </w:r>
      <w:r w:rsidR="0046364E" w:rsidRPr="000348BD">
        <w:rPr>
          <w:rFonts w:ascii="Calibri" w:hAnsi="Calibri" w:cs="Calibri"/>
          <w:b/>
          <w:bCs/>
          <w:color w:val="000000"/>
          <w:sz w:val="22"/>
          <w:szCs w:val="22"/>
          <w:lang w:val="en-AU"/>
        </w:rPr>
        <w:t>ing</w:t>
      </w:r>
      <w:r w:rsidRPr="000348BD">
        <w:rPr>
          <w:rFonts w:ascii="Calibri" w:hAnsi="Calibri" w:cs="Calibri"/>
          <w:b/>
          <w:bCs/>
          <w:color w:val="000000"/>
          <w:sz w:val="22"/>
          <w:szCs w:val="22"/>
          <w:lang w:val="en-AU"/>
        </w:rPr>
        <w:t xml:space="preserve"> more inclusive employment and leadership, and support</w:t>
      </w:r>
      <w:r w:rsidR="0046364E" w:rsidRPr="000348BD">
        <w:rPr>
          <w:rFonts w:ascii="Calibri" w:hAnsi="Calibri" w:cs="Calibri"/>
          <w:b/>
          <w:bCs/>
          <w:color w:val="000000"/>
          <w:sz w:val="22"/>
          <w:szCs w:val="22"/>
          <w:lang w:val="en-AU"/>
        </w:rPr>
        <w:t>ing</w:t>
      </w:r>
      <w:r w:rsidRPr="000348BD">
        <w:rPr>
          <w:rFonts w:ascii="Calibri" w:hAnsi="Calibri" w:cs="Calibri"/>
          <w:b/>
          <w:bCs/>
          <w:color w:val="000000"/>
          <w:sz w:val="22"/>
          <w:szCs w:val="22"/>
          <w:lang w:val="en-AU"/>
        </w:rPr>
        <w:t xml:space="preserve"> inclusive supply chains.</w:t>
      </w:r>
      <w:r w:rsidRPr="000348BD">
        <w:rPr>
          <w:rFonts w:ascii="Calibri" w:hAnsi="Calibri" w:cs="Calibri"/>
          <w:color w:val="000000"/>
          <w:sz w:val="22"/>
          <w:szCs w:val="22"/>
          <w:lang w:val="en-AU"/>
        </w:rPr>
        <w:t xml:space="preserve"> IFC’s gender and inclusion lens is systemically integrated into operations through the following mechanisms. Advisory and investment opportunities are assessed across sectors </w:t>
      </w:r>
      <w:r w:rsidR="0013617E" w:rsidRPr="000348BD">
        <w:rPr>
          <w:rFonts w:ascii="Calibri" w:hAnsi="Calibri" w:cs="Calibri"/>
          <w:color w:val="000000"/>
          <w:sz w:val="22"/>
          <w:szCs w:val="22"/>
          <w:lang w:val="en-AU"/>
        </w:rPr>
        <w:t>to identify</w:t>
      </w:r>
      <w:r w:rsidRPr="000348BD">
        <w:rPr>
          <w:rFonts w:ascii="Calibri" w:hAnsi="Calibri" w:cs="Calibri"/>
          <w:color w:val="000000"/>
          <w:sz w:val="22"/>
          <w:szCs w:val="22"/>
          <w:lang w:val="en-AU"/>
        </w:rPr>
        <w:t xml:space="preserve"> potential inclusive interventions </w:t>
      </w:r>
      <w:r w:rsidR="0013617E" w:rsidRPr="000348BD">
        <w:rPr>
          <w:rFonts w:ascii="Calibri" w:hAnsi="Calibri" w:cs="Calibri"/>
          <w:color w:val="000000"/>
          <w:sz w:val="22"/>
          <w:szCs w:val="22"/>
          <w:lang w:val="en-AU"/>
        </w:rPr>
        <w:t>to</w:t>
      </w:r>
      <w:r w:rsidRPr="000348BD">
        <w:rPr>
          <w:rFonts w:ascii="Calibri" w:hAnsi="Calibri" w:cs="Calibri"/>
          <w:color w:val="000000"/>
          <w:sz w:val="22"/>
          <w:szCs w:val="22"/>
          <w:lang w:val="en-AU"/>
        </w:rPr>
        <w:t xml:space="preserve"> </w:t>
      </w:r>
      <w:r w:rsidR="0013617E" w:rsidRPr="000348BD">
        <w:rPr>
          <w:rFonts w:ascii="Calibri" w:hAnsi="Calibri" w:cs="Calibri"/>
          <w:color w:val="000000"/>
          <w:sz w:val="22"/>
          <w:szCs w:val="22"/>
          <w:lang w:val="en-AU"/>
        </w:rPr>
        <w:t>increase</w:t>
      </w:r>
      <w:r w:rsidRPr="000348BD">
        <w:rPr>
          <w:rFonts w:ascii="Calibri" w:hAnsi="Calibri" w:cs="Calibri"/>
          <w:color w:val="000000"/>
          <w:sz w:val="22"/>
          <w:szCs w:val="22"/>
          <w:lang w:val="en-AU"/>
        </w:rPr>
        <w:t xml:space="preserve"> development impact. Additionally, standalone gender and inclusion advisory projects provide targeted interventions, such as peer</w:t>
      </w:r>
      <w:r w:rsidR="0013617E" w:rsidRPr="000348BD">
        <w:rPr>
          <w:rFonts w:ascii="Calibri" w:hAnsi="Calibri" w:cs="Calibri"/>
          <w:color w:val="000000"/>
          <w:sz w:val="22"/>
          <w:szCs w:val="22"/>
          <w:lang w:val="en-AU"/>
        </w:rPr>
        <w:t>-</w:t>
      </w:r>
      <w:r w:rsidRPr="000348BD">
        <w:rPr>
          <w:rFonts w:ascii="Calibri" w:hAnsi="Calibri" w:cs="Calibri"/>
          <w:color w:val="000000"/>
          <w:sz w:val="22"/>
          <w:szCs w:val="22"/>
          <w:lang w:val="en-AU"/>
        </w:rPr>
        <w:t>learning platforms</w:t>
      </w:r>
      <w:r w:rsidR="0013617E"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to address </w:t>
      </w:r>
      <w:r w:rsidR="00385865" w:rsidRPr="000348BD">
        <w:rPr>
          <w:rFonts w:ascii="Calibri" w:hAnsi="Calibri" w:cs="Calibri"/>
          <w:color w:val="000000"/>
          <w:sz w:val="22"/>
          <w:szCs w:val="22"/>
          <w:lang w:val="en-AU"/>
        </w:rPr>
        <w:t>GoV</w:t>
      </w:r>
      <w:r w:rsidRPr="000348BD">
        <w:rPr>
          <w:rFonts w:ascii="Calibri" w:hAnsi="Calibri" w:cs="Calibri"/>
          <w:color w:val="000000"/>
          <w:sz w:val="22"/>
          <w:szCs w:val="22"/>
          <w:lang w:val="en-AU"/>
        </w:rPr>
        <w:t xml:space="preserve"> </w:t>
      </w:r>
      <w:r w:rsidRPr="000348BD">
        <w:rPr>
          <w:rFonts w:ascii="Calibri" w:hAnsi="Calibri" w:cs="Calibri"/>
          <w:color w:val="000000"/>
          <w:sz w:val="22"/>
          <w:szCs w:val="22"/>
          <w:lang w:val="en-AU"/>
        </w:rPr>
        <w:lastRenderedPageBreak/>
        <w:t>inclusion gaps. These projects also address a lack of localised data or tools to build the business case for gender equality and disability inclusion in the private sector.</w:t>
      </w:r>
    </w:p>
    <w:p w14:paraId="1C83ADA0" w14:textId="72C6C7B8" w:rsidR="00217980" w:rsidRPr="00C97A19" w:rsidRDefault="00217980" w:rsidP="00467344">
      <w:pPr>
        <w:pStyle w:val="Default"/>
        <w:spacing w:after="120"/>
        <w:jc w:val="both"/>
        <w:rPr>
          <w:sz w:val="22"/>
          <w:szCs w:val="22"/>
          <w:lang w:val="en-AU"/>
        </w:rPr>
      </w:pPr>
      <w:r w:rsidRPr="00C97A19">
        <w:rPr>
          <w:b/>
          <w:bCs/>
          <w:sz w:val="22"/>
          <w:szCs w:val="22"/>
          <w:lang w:val="en-AU"/>
        </w:rPr>
        <w:t xml:space="preserve">More importantly, the </w:t>
      </w:r>
      <w:r w:rsidR="00773238">
        <w:rPr>
          <w:b/>
          <w:bCs/>
          <w:sz w:val="22"/>
          <w:szCs w:val="22"/>
          <w:lang w:val="en-AU"/>
        </w:rPr>
        <w:t>Partnership</w:t>
      </w:r>
      <w:r w:rsidR="00773238" w:rsidRPr="00C97A19">
        <w:rPr>
          <w:b/>
          <w:bCs/>
          <w:sz w:val="22"/>
          <w:szCs w:val="22"/>
          <w:lang w:val="en-AU"/>
        </w:rPr>
        <w:t xml:space="preserve"> </w:t>
      </w:r>
      <w:r w:rsidRPr="00C97A19">
        <w:rPr>
          <w:b/>
          <w:bCs/>
          <w:sz w:val="22"/>
          <w:szCs w:val="22"/>
          <w:lang w:val="en-AU"/>
        </w:rPr>
        <w:t>seeks to provide avenues and opportunities for women to return to the workforce and address the barriers they face.</w:t>
      </w:r>
      <w:r w:rsidRPr="00C97A19">
        <w:rPr>
          <w:sz w:val="22"/>
          <w:szCs w:val="22"/>
          <w:lang w:val="en-AU"/>
        </w:rPr>
        <w:t xml:space="preserve"> The </w:t>
      </w:r>
      <w:r w:rsidR="00385865" w:rsidRPr="00C97A19">
        <w:rPr>
          <w:sz w:val="22"/>
          <w:szCs w:val="22"/>
          <w:lang w:val="en-AU"/>
        </w:rPr>
        <w:t xml:space="preserve">EMERGE </w:t>
      </w:r>
      <w:r w:rsidRPr="00C97A19">
        <w:rPr>
          <w:sz w:val="22"/>
          <w:szCs w:val="22"/>
          <w:lang w:val="en-AU"/>
        </w:rPr>
        <w:t>project is a good example that address</w:t>
      </w:r>
      <w:r w:rsidR="00467344" w:rsidRPr="00C97A19">
        <w:rPr>
          <w:sz w:val="22"/>
          <w:szCs w:val="22"/>
          <w:lang w:val="en-AU"/>
        </w:rPr>
        <w:t>es</w:t>
      </w:r>
      <w:r w:rsidRPr="00C97A19">
        <w:rPr>
          <w:sz w:val="22"/>
          <w:szCs w:val="22"/>
          <w:lang w:val="en-AU"/>
        </w:rPr>
        <w:t xml:space="preserve"> workplace barriers to gender equality, such as GBV and childcare</w:t>
      </w:r>
      <w:r w:rsidR="0013617E" w:rsidRPr="00C97A19">
        <w:rPr>
          <w:sz w:val="22"/>
          <w:szCs w:val="22"/>
          <w:lang w:val="en-AU"/>
        </w:rPr>
        <w:t>.</w:t>
      </w:r>
      <w:r w:rsidRPr="00C97A19">
        <w:rPr>
          <w:sz w:val="22"/>
          <w:szCs w:val="22"/>
          <w:lang w:val="en-AU"/>
        </w:rPr>
        <w:t xml:space="preserve"> </w:t>
      </w:r>
    </w:p>
    <w:p w14:paraId="2BB37227" w14:textId="64F3032D" w:rsidR="008C502B" w:rsidRPr="000348BD" w:rsidRDefault="00DA633F" w:rsidP="00152F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eastAsiaTheme="minorHAnsi" w:hAnsi="Calibri" w:cs="Calibri"/>
          <w:sz w:val="22"/>
          <w:szCs w:val="22"/>
          <w:lang w:val="en-AU"/>
          <w14:ligatures w14:val="standardContextual"/>
        </w:rPr>
      </w:pPr>
      <w:r w:rsidRPr="000348BD">
        <w:rPr>
          <w:rFonts w:ascii="Calibri" w:hAnsi="Calibri" w:cs="Calibri"/>
          <w:b/>
          <w:bCs/>
          <w:color w:val="000000"/>
          <w:sz w:val="22"/>
          <w:szCs w:val="22"/>
          <w:lang w:val="en-AU"/>
        </w:rPr>
        <w:t xml:space="preserve">The program has also </w:t>
      </w:r>
      <w:r w:rsidR="00385865" w:rsidRPr="000348BD">
        <w:rPr>
          <w:rFonts w:ascii="Calibri" w:hAnsi="Calibri" w:cs="Calibri"/>
          <w:b/>
          <w:bCs/>
          <w:color w:val="000000"/>
          <w:sz w:val="22"/>
          <w:szCs w:val="22"/>
          <w:lang w:val="en-AU"/>
        </w:rPr>
        <w:t>sought to</w:t>
      </w:r>
      <w:r w:rsidRPr="000348BD">
        <w:rPr>
          <w:rFonts w:ascii="Calibri" w:hAnsi="Calibri" w:cs="Calibri"/>
          <w:b/>
          <w:bCs/>
          <w:color w:val="000000"/>
          <w:sz w:val="22"/>
          <w:szCs w:val="22"/>
          <w:lang w:val="en-AU"/>
        </w:rPr>
        <w:t xml:space="preserve"> ad</w:t>
      </w:r>
      <w:r w:rsidR="0046364E" w:rsidRPr="000348BD">
        <w:rPr>
          <w:rFonts w:ascii="Calibri" w:hAnsi="Calibri" w:cs="Calibri"/>
          <w:b/>
          <w:bCs/>
          <w:color w:val="000000"/>
          <w:sz w:val="22"/>
          <w:szCs w:val="22"/>
          <w:lang w:val="en-AU"/>
        </w:rPr>
        <w:t>opt</w:t>
      </w:r>
      <w:r w:rsidRPr="000348BD">
        <w:rPr>
          <w:rFonts w:ascii="Calibri" w:hAnsi="Calibri" w:cs="Calibri"/>
          <w:b/>
          <w:bCs/>
          <w:color w:val="000000"/>
          <w:sz w:val="22"/>
          <w:szCs w:val="22"/>
          <w:lang w:val="en-AU"/>
        </w:rPr>
        <w:t xml:space="preserve"> </w:t>
      </w:r>
      <w:r w:rsidR="0046364E" w:rsidRPr="000348BD">
        <w:rPr>
          <w:rFonts w:ascii="Calibri" w:hAnsi="Calibri" w:cs="Calibri"/>
          <w:b/>
          <w:bCs/>
          <w:color w:val="000000"/>
          <w:sz w:val="22"/>
          <w:szCs w:val="22"/>
          <w:lang w:val="en-AU"/>
        </w:rPr>
        <w:t>disability-</w:t>
      </w:r>
      <w:r w:rsidRPr="000348BD">
        <w:rPr>
          <w:rFonts w:ascii="Calibri" w:hAnsi="Calibri" w:cs="Calibri"/>
          <w:b/>
          <w:bCs/>
          <w:color w:val="000000"/>
          <w:sz w:val="22"/>
          <w:szCs w:val="22"/>
          <w:lang w:val="en-AU"/>
        </w:rPr>
        <w:t>inclusive approaches.</w:t>
      </w:r>
      <w:r w:rsidRPr="000348BD">
        <w:rPr>
          <w:rFonts w:ascii="Calibri" w:hAnsi="Calibri" w:cs="Calibri"/>
          <w:color w:val="000000"/>
          <w:sz w:val="22"/>
          <w:szCs w:val="22"/>
          <w:lang w:val="en-AU"/>
        </w:rPr>
        <w:t xml:space="preserve"> </w:t>
      </w:r>
      <w:r w:rsidR="00385865" w:rsidRPr="000348BD">
        <w:rPr>
          <w:rFonts w:ascii="Calibri" w:hAnsi="Calibri" w:cs="Calibri"/>
          <w:color w:val="000000"/>
          <w:sz w:val="22"/>
          <w:szCs w:val="22"/>
          <w:lang w:val="en-AU"/>
        </w:rPr>
        <w:t>The most appropriate example is the disability diagnostic, which should provide a solid foundation for future engagement.</w:t>
      </w:r>
      <w:r w:rsidR="008B19A4" w:rsidRPr="000348BD">
        <w:rPr>
          <w:rFonts w:ascii="Calibri" w:hAnsi="Calibri" w:cs="Calibri"/>
          <w:color w:val="000000"/>
          <w:sz w:val="22"/>
          <w:szCs w:val="22"/>
          <w:lang w:val="en-AU"/>
        </w:rPr>
        <w:t xml:space="preserve"> In addition, IFC is piloting practical initiatives to advance disability inclusion, including the </w:t>
      </w:r>
      <w:r w:rsidR="008B19A4" w:rsidRPr="000348BD">
        <w:rPr>
          <w:rFonts w:ascii="Calibri" w:hAnsi="Calibri" w:cs="Calibri"/>
          <w:i/>
          <w:iCs/>
          <w:color w:val="000000"/>
          <w:sz w:val="22"/>
          <w:szCs w:val="22"/>
          <w:lang w:val="en-AU"/>
        </w:rPr>
        <w:t>Equal Access &amp; Climate Resilience</w:t>
      </w:r>
      <w:r w:rsidR="008B19A4" w:rsidRPr="000348BD">
        <w:rPr>
          <w:rFonts w:ascii="Calibri" w:hAnsi="Calibri" w:cs="Calibri"/>
          <w:color w:val="000000"/>
          <w:sz w:val="22"/>
          <w:szCs w:val="22"/>
          <w:lang w:val="en-AU"/>
        </w:rPr>
        <w:t xml:space="preserve"> workshop held under the Green Building and BRI projects, which promoted inclusive design principles and explored ways to enhance accessibility and climate resilience in the built environment. IFC also integrated gender and disability considerations into project activities through a gap assessment conducted for a client under the Food Safety and Food Loss Project, with tailored recommendations currently being developed based on the findings.</w:t>
      </w:r>
      <w:r w:rsidR="00385865" w:rsidRPr="000348BD">
        <w:rPr>
          <w:rFonts w:ascii="Calibri" w:hAnsi="Calibri" w:cs="Calibri"/>
          <w:color w:val="000000"/>
          <w:sz w:val="22"/>
          <w:szCs w:val="22"/>
          <w:lang w:val="en-AU"/>
        </w:rPr>
        <w:t xml:space="preserve"> While gender and disability requirements </w:t>
      </w:r>
      <w:r w:rsidR="006930C1" w:rsidRPr="000348BD">
        <w:rPr>
          <w:rFonts w:ascii="Calibri" w:hAnsi="Calibri" w:cs="Calibri"/>
          <w:color w:val="000000"/>
          <w:sz w:val="22"/>
          <w:szCs w:val="22"/>
          <w:lang w:val="en-AU"/>
        </w:rPr>
        <w:t>are comprehensive and robust</w:t>
      </w:r>
      <w:r w:rsidR="00385865" w:rsidRPr="000348BD">
        <w:rPr>
          <w:rFonts w:ascii="Calibri" w:hAnsi="Calibri" w:cs="Calibri"/>
          <w:color w:val="000000"/>
          <w:sz w:val="22"/>
          <w:szCs w:val="22"/>
          <w:lang w:val="en-AU"/>
        </w:rPr>
        <w:t>, within DFAT</w:t>
      </w:r>
      <w:r w:rsidR="0046364E" w:rsidRPr="000348BD">
        <w:rPr>
          <w:rFonts w:ascii="Calibri" w:hAnsi="Calibri" w:cs="Calibri"/>
          <w:color w:val="000000"/>
          <w:sz w:val="22"/>
          <w:szCs w:val="22"/>
          <w:lang w:val="en-AU"/>
        </w:rPr>
        <w:t>,</w:t>
      </w:r>
      <w:r w:rsidR="00385865" w:rsidRPr="000348BD">
        <w:rPr>
          <w:rFonts w:ascii="Calibri" w:hAnsi="Calibri" w:cs="Calibri"/>
          <w:color w:val="000000"/>
          <w:sz w:val="22"/>
          <w:szCs w:val="22"/>
          <w:lang w:val="en-AU"/>
        </w:rPr>
        <w:t xml:space="preserve"> it </w:t>
      </w:r>
      <w:r w:rsidR="0046364E" w:rsidRPr="000348BD">
        <w:rPr>
          <w:rFonts w:ascii="Calibri" w:hAnsi="Calibri" w:cs="Calibri"/>
          <w:color w:val="000000"/>
          <w:sz w:val="22"/>
          <w:szCs w:val="22"/>
          <w:lang w:val="en-AU"/>
        </w:rPr>
        <w:t>i</w:t>
      </w:r>
      <w:r w:rsidR="00385865" w:rsidRPr="000348BD">
        <w:rPr>
          <w:rFonts w:ascii="Calibri" w:hAnsi="Calibri" w:cs="Calibri"/>
          <w:color w:val="000000"/>
          <w:sz w:val="22"/>
          <w:szCs w:val="22"/>
          <w:lang w:val="en-AU"/>
        </w:rPr>
        <w:t xml:space="preserve">s </w:t>
      </w:r>
      <w:r w:rsidR="0046364E" w:rsidRPr="000348BD">
        <w:rPr>
          <w:rFonts w:ascii="Calibri" w:hAnsi="Calibri" w:cs="Calibri"/>
          <w:color w:val="000000"/>
          <w:sz w:val="22"/>
          <w:szCs w:val="22"/>
          <w:lang w:val="en-AU"/>
        </w:rPr>
        <w:t>important</w:t>
      </w:r>
      <w:r w:rsidR="00385865" w:rsidRPr="000348BD">
        <w:rPr>
          <w:rFonts w:ascii="Calibri" w:hAnsi="Calibri" w:cs="Calibri"/>
          <w:color w:val="000000"/>
          <w:sz w:val="22"/>
          <w:szCs w:val="22"/>
          <w:lang w:val="en-AU"/>
        </w:rPr>
        <w:t xml:space="preserve"> </w:t>
      </w:r>
      <w:r w:rsidR="0046364E" w:rsidRPr="000348BD">
        <w:rPr>
          <w:rFonts w:ascii="Calibri" w:hAnsi="Calibri" w:cs="Calibri"/>
          <w:color w:val="000000"/>
          <w:sz w:val="22"/>
          <w:szCs w:val="22"/>
          <w:lang w:val="en-AU"/>
        </w:rPr>
        <w:t>to</w:t>
      </w:r>
      <w:r w:rsidR="00385865" w:rsidRPr="000348BD">
        <w:rPr>
          <w:rFonts w:ascii="Calibri" w:hAnsi="Calibri" w:cs="Calibri"/>
          <w:color w:val="000000"/>
          <w:sz w:val="22"/>
          <w:szCs w:val="22"/>
          <w:lang w:val="en-AU"/>
        </w:rPr>
        <w:t xml:space="preserve"> acknowledge that implementing partners also </w:t>
      </w:r>
      <w:r w:rsidR="0046364E" w:rsidRPr="000348BD">
        <w:rPr>
          <w:rFonts w:ascii="Calibri" w:hAnsi="Calibri" w:cs="Calibri"/>
          <w:color w:val="000000"/>
          <w:sz w:val="22"/>
          <w:szCs w:val="22"/>
          <w:lang w:val="en-AU"/>
        </w:rPr>
        <w:t>need</w:t>
      </w:r>
      <w:r w:rsidR="00385865" w:rsidRPr="000348BD">
        <w:rPr>
          <w:rFonts w:ascii="Calibri" w:hAnsi="Calibri" w:cs="Calibri"/>
          <w:color w:val="000000"/>
          <w:sz w:val="22"/>
          <w:szCs w:val="22"/>
          <w:lang w:val="en-AU"/>
        </w:rPr>
        <w:t xml:space="preserve"> time to adjust systems and processes. In addition, the broader context within Viet Nam has also been relatively slow to adapt and change.</w:t>
      </w:r>
      <w:r w:rsidR="006930C1" w:rsidRPr="000348BD">
        <w:rPr>
          <w:rFonts w:ascii="Calibri" w:hAnsi="Calibri" w:cs="Calibri"/>
          <w:color w:val="000000"/>
          <w:sz w:val="22"/>
          <w:szCs w:val="22"/>
          <w:lang w:val="en-AU"/>
        </w:rPr>
        <w:t xml:space="preserve"> A </w:t>
      </w:r>
      <w:r w:rsidR="0046364E" w:rsidRPr="000348BD">
        <w:rPr>
          <w:rFonts w:ascii="Calibri" w:hAnsi="Calibri" w:cs="Calibri"/>
          <w:color w:val="000000"/>
          <w:sz w:val="22"/>
          <w:szCs w:val="22"/>
          <w:lang w:val="en-AU"/>
        </w:rPr>
        <w:t>simple yet targeted approach to continue building and raising awareness is appropriate for both the context and the level</w:t>
      </w:r>
      <w:r w:rsidR="006930C1" w:rsidRPr="000348BD">
        <w:rPr>
          <w:rFonts w:ascii="Calibri" w:hAnsi="Calibri" w:cs="Calibri"/>
          <w:color w:val="000000"/>
          <w:sz w:val="22"/>
          <w:szCs w:val="22"/>
          <w:lang w:val="en-AU"/>
        </w:rPr>
        <w:t xml:space="preserve"> of expertise available. </w:t>
      </w:r>
      <w:r w:rsidR="008C502B" w:rsidRPr="000348BD">
        <w:rPr>
          <w:rFonts w:ascii="Calibri" w:eastAsiaTheme="minorHAnsi" w:hAnsi="Calibri" w:cs="Calibri"/>
          <w:sz w:val="22"/>
          <w:szCs w:val="22"/>
          <w:lang w:val="en-AU"/>
          <w14:ligatures w14:val="standardContextual"/>
        </w:rPr>
        <w:t>The disability diagnostic, together with the additional examples cited</w:t>
      </w:r>
      <w:r w:rsidR="00E03004" w:rsidRPr="000348BD">
        <w:rPr>
          <w:rFonts w:ascii="Calibri" w:eastAsiaTheme="minorHAnsi" w:hAnsi="Calibri" w:cs="Calibri"/>
          <w:sz w:val="22"/>
          <w:szCs w:val="22"/>
          <w:lang w:val="en-AU"/>
          <w14:ligatures w14:val="standardContextual"/>
        </w:rPr>
        <w:t>,</w:t>
      </w:r>
      <w:r w:rsidR="008C502B" w:rsidRPr="000348BD">
        <w:rPr>
          <w:rFonts w:ascii="Calibri" w:eastAsiaTheme="minorHAnsi" w:hAnsi="Calibri" w:cs="Calibri"/>
          <w:sz w:val="22"/>
          <w:szCs w:val="22"/>
          <w:lang w:val="en-AU"/>
          <w14:ligatures w14:val="standardContextual"/>
        </w:rPr>
        <w:t xml:space="preserve"> demonstrate</w:t>
      </w:r>
      <w:r w:rsidR="00E03004" w:rsidRPr="000348BD">
        <w:rPr>
          <w:rFonts w:ascii="Calibri" w:eastAsiaTheme="minorHAnsi" w:hAnsi="Calibri" w:cs="Calibri"/>
          <w:sz w:val="22"/>
          <w:szCs w:val="22"/>
          <w:lang w:val="en-AU"/>
          <w14:ligatures w14:val="standardContextual"/>
        </w:rPr>
        <w:t>s</w:t>
      </w:r>
      <w:r w:rsidR="008C502B" w:rsidRPr="000348BD">
        <w:rPr>
          <w:rFonts w:ascii="Calibri" w:eastAsiaTheme="minorHAnsi" w:hAnsi="Calibri" w:cs="Calibri"/>
          <w:sz w:val="22"/>
          <w:szCs w:val="22"/>
          <w:lang w:val="en-AU"/>
          <w14:ligatures w14:val="standardContextual"/>
        </w:rPr>
        <w:t xml:space="preserve"> promising early steps in IFC’s efforts to integrate disability inclusion into its activities. With the guidance of DFAT’s Disability Advisor, these initiatives provide useful insights into how IFC can continue incorporating disability considerations into project design and implementation. </w:t>
      </w:r>
    </w:p>
    <w:p w14:paraId="2B710C97" w14:textId="7092C4D8" w:rsidR="00DA633F" w:rsidRPr="000348BD" w:rsidRDefault="008C502B" w:rsidP="008C502B">
      <w:pPr>
        <w:spacing w:after="120"/>
        <w:jc w:val="both"/>
        <w:rPr>
          <w:rFonts w:ascii="Calibri" w:hAnsi="Calibri" w:cs="Calibri"/>
          <w:color w:val="000000"/>
          <w:sz w:val="22"/>
          <w:szCs w:val="22"/>
          <w:lang w:val="en-AU"/>
        </w:rPr>
      </w:pPr>
      <w:r w:rsidRPr="000348BD">
        <w:rPr>
          <w:rFonts w:ascii="Calibri" w:eastAsiaTheme="minorHAnsi" w:hAnsi="Calibri" w:cs="Calibri"/>
          <w:sz w:val="22"/>
          <w:szCs w:val="22"/>
          <w:lang w:val="en-AU"/>
          <w14:ligatures w14:val="standardContextual"/>
        </w:rPr>
        <w:t xml:space="preserve">IFC and DFAT </w:t>
      </w:r>
      <w:r w:rsidR="00E03004" w:rsidRPr="000348BD">
        <w:rPr>
          <w:rFonts w:ascii="Calibri" w:eastAsiaTheme="minorHAnsi" w:hAnsi="Calibri" w:cs="Calibri"/>
          <w:sz w:val="22"/>
          <w:szCs w:val="22"/>
          <w:lang w:val="en-AU"/>
          <w14:ligatures w14:val="standardContextual"/>
        </w:rPr>
        <w:t>should</w:t>
      </w:r>
      <w:r w:rsidRPr="000348BD">
        <w:rPr>
          <w:rFonts w:ascii="Calibri" w:eastAsiaTheme="minorHAnsi" w:hAnsi="Calibri" w:cs="Calibri"/>
          <w:sz w:val="22"/>
          <w:szCs w:val="22"/>
          <w:lang w:val="en-AU"/>
          <w14:ligatures w14:val="standardContextual"/>
        </w:rPr>
        <w:t xml:space="preserve"> build on these engagements, lessons learned</w:t>
      </w:r>
      <w:r w:rsidR="00E03004" w:rsidRPr="000348BD">
        <w:rPr>
          <w:rFonts w:ascii="Calibri" w:eastAsiaTheme="minorHAnsi" w:hAnsi="Calibri" w:cs="Calibri"/>
          <w:sz w:val="22"/>
          <w:szCs w:val="22"/>
          <w:lang w:val="en-AU"/>
          <w14:ligatures w14:val="standardContextual"/>
        </w:rPr>
        <w:t>,</w:t>
      </w:r>
      <w:r w:rsidRPr="000348BD">
        <w:rPr>
          <w:rFonts w:ascii="Calibri" w:eastAsiaTheme="minorHAnsi" w:hAnsi="Calibri" w:cs="Calibri"/>
          <w:sz w:val="22"/>
          <w:szCs w:val="22"/>
          <w:lang w:val="en-AU"/>
          <w14:ligatures w14:val="standardContextual"/>
        </w:rPr>
        <w:t xml:space="preserve"> and findings from the disability scoping study and explore how disability inclusion c</w:t>
      </w:r>
      <w:r w:rsidR="00E03004" w:rsidRPr="000348BD">
        <w:rPr>
          <w:rFonts w:ascii="Calibri" w:eastAsiaTheme="minorHAnsi" w:hAnsi="Calibri" w:cs="Calibri"/>
          <w:sz w:val="22"/>
          <w:szCs w:val="22"/>
          <w:lang w:val="en-AU"/>
          <w14:ligatures w14:val="standardContextual"/>
        </w:rPr>
        <w:t>an</w:t>
      </w:r>
      <w:r w:rsidRPr="000348BD">
        <w:rPr>
          <w:rFonts w:ascii="Calibri" w:eastAsiaTheme="minorHAnsi" w:hAnsi="Calibri" w:cs="Calibri"/>
          <w:sz w:val="22"/>
          <w:szCs w:val="22"/>
          <w:lang w:val="en-AU"/>
          <w14:ligatures w14:val="standardContextual"/>
        </w:rPr>
        <w:t xml:space="preserve"> be more strategically integrated into a potential next phase of the </w:t>
      </w:r>
      <w:r w:rsidR="00773238">
        <w:rPr>
          <w:rFonts w:ascii="Calibri" w:eastAsiaTheme="minorHAnsi" w:hAnsi="Calibri" w:cs="Calibri"/>
          <w:sz w:val="22"/>
          <w:szCs w:val="22"/>
          <w:lang w:val="en-AU"/>
          <w14:ligatures w14:val="standardContextual"/>
        </w:rPr>
        <w:t>P</w:t>
      </w:r>
      <w:r w:rsidRPr="000348BD">
        <w:rPr>
          <w:rFonts w:ascii="Calibri" w:eastAsiaTheme="minorHAnsi" w:hAnsi="Calibri" w:cs="Calibri"/>
          <w:sz w:val="22"/>
          <w:szCs w:val="22"/>
          <w:lang w:val="en-AU"/>
          <w14:ligatures w14:val="standardContextual"/>
        </w:rPr>
        <w:t>artnership</w:t>
      </w:r>
      <w:r w:rsidR="00E03004" w:rsidRPr="000348BD">
        <w:rPr>
          <w:rFonts w:ascii="Calibri" w:hAnsi="Calibri" w:cs="Calibri"/>
          <w:color w:val="000000"/>
          <w:sz w:val="22"/>
          <w:szCs w:val="22"/>
          <w:lang w:val="en-AU"/>
        </w:rPr>
        <w:t xml:space="preserve">. </w:t>
      </w:r>
      <w:r w:rsidR="00467344" w:rsidRPr="000348BD">
        <w:rPr>
          <w:rFonts w:ascii="Calibri" w:hAnsi="Calibri" w:cs="Calibri"/>
          <w:color w:val="000000"/>
          <w:sz w:val="22"/>
          <w:szCs w:val="22"/>
          <w:lang w:val="en-AU"/>
        </w:rPr>
        <w:t>This may be another opportunity to partner and leverage knowledge and resources across a range of different investments under DFAT’s portfolio.</w:t>
      </w:r>
    </w:p>
    <w:p w14:paraId="42BEE115" w14:textId="5DF24D03" w:rsidR="00140B4F" w:rsidRPr="00C97A19" w:rsidRDefault="00140B4F" w:rsidP="00186D33">
      <w:pPr>
        <w:pStyle w:val="BodyText"/>
        <w:rPr>
          <w:b/>
          <w:bCs/>
          <w:i/>
          <w:u w:val="single"/>
          <w:lang w:val="en-AU"/>
        </w:rPr>
      </w:pPr>
      <w:bookmarkStart w:id="44" w:name="_Toc201131778"/>
      <w:r w:rsidRPr="00C97A19">
        <w:rPr>
          <w:b/>
          <w:bCs/>
          <w:u w:val="single"/>
          <w:lang w:val="en-AU"/>
        </w:rPr>
        <w:t>Challenges and Barriers</w:t>
      </w:r>
      <w:bookmarkEnd w:id="44"/>
    </w:p>
    <w:p w14:paraId="1FE3E037" w14:textId="754E9CF3" w:rsidR="00467344" w:rsidRPr="00C97A19" w:rsidRDefault="00467344" w:rsidP="00467344">
      <w:pPr>
        <w:spacing w:after="120"/>
        <w:jc w:val="both"/>
        <w:rPr>
          <w:rFonts w:ascii="Calibri" w:hAnsi="Calibri" w:cs="Calibri"/>
          <w:sz w:val="22"/>
          <w:szCs w:val="22"/>
          <w:lang w:val="en-AU"/>
        </w:rPr>
      </w:pPr>
      <w:r w:rsidRPr="00C97A19">
        <w:rPr>
          <w:rFonts w:ascii="Calibri" w:hAnsi="Calibri" w:cs="Calibri"/>
          <w:sz w:val="22"/>
          <w:szCs w:val="22"/>
          <w:lang w:val="en-AU"/>
        </w:rPr>
        <w:t>The program continues to operate in a dynamic and fluid context. Challenges have been minimised given the solid partnership arrangement and the support targeting based on previous experience and technical expertise. However, it is crucial to note that consultations and interviews identified several potential barriers and changes that may impede, and to a certain degree undermine, the gains made to date. These include:</w:t>
      </w:r>
    </w:p>
    <w:p w14:paraId="431335E8" w14:textId="43955C84" w:rsidR="00467344" w:rsidRPr="00C97A19" w:rsidRDefault="00467344" w:rsidP="00467344">
      <w:pPr>
        <w:pStyle w:val="ListParagraph"/>
        <w:numPr>
          <w:ilvl w:val="0"/>
          <w:numId w:val="5"/>
        </w:numPr>
        <w:spacing w:after="120"/>
        <w:jc w:val="both"/>
        <w:rPr>
          <w:rFonts w:ascii="Calibri" w:hAnsi="Calibri" w:cs="Calibri"/>
          <w:sz w:val="22"/>
          <w:szCs w:val="22"/>
          <w:lang w:val="en-AU"/>
        </w:rPr>
      </w:pPr>
      <w:r w:rsidRPr="00C97A19">
        <w:rPr>
          <w:rFonts w:ascii="Calibri" w:hAnsi="Calibri" w:cs="Calibri"/>
          <w:sz w:val="22"/>
          <w:szCs w:val="22"/>
          <w:lang w:val="en-AU"/>
        </w:rPr>
        <w:t xml:space="preserve">The GoV continues to maintain momentum in institutional and regulatory reforms to achieve the proposed economic growth. Economic uncertainty, including inflation, economic growth, and the potential impact of US tariffs, is a </w:t>
      </w:r>
      <w:r w:rsidR="0013617E" w:rsidRPr="00C97A19">
        <w:rPr>
          <w:rFonts w:ascii="Calibri" w:hAnsi="Calibri" w:cs="Calibri"/>
          <w:sz w:val="22"/>
          <w:szCs w:val="22"/>
          <w:lang w:val="en-AU"/>
        </w:rPr>
        <w:t>key</w:t>
      </w:r>
      <w:r w:rsidRPr="00C97A19">
        <w:rPr>
          <w:rFonts w:ascii="Calibri" w:hAnsi="Calibri" w:cs="Calibri"/>
          <w:sz w:val="22"/>
          <w:szCs w:val="22"/>
          <w:lang w:val="en-AU"/>
        </w:rPr>
        <w:t xml:space="preserve"> i</w:t>
      </w:r>
      <w:r w:rsidR="00E03004" w:rsidRPr="00C97A19">
        <w:rPr>
          <w:rFonts w:ascii="Calibri" w:hAnsi="Calibri" w:cs="Calibri"/>
          <w:sz w:val="22"/>
          <w:szCs w:val="22"/>
          <w:lang w:val="en-AU"/>
        </w:rPr>
        <w:t>mpedimen</w:t>
      </w:r>
      <w:r w:rsidRPr="00C97A19">
        <w:rPr>
          <w:rFonts w:ascii="Calibri" w:hAnsi="Calibri" w:cs="Calibri"/>
          <w:sz w:val="22"/>
          <w:szCs w:val="22"/>
          <w:lang w:val="en-AU"/>
        </w:rPr>
        <w:t xml:space="preserve">t </w:t>
      </w:r>
      <w:r w:rsidR="00E03004" w:rsidRPr="00C97A19">
        <w:rPr>
          <w:rFonts w:ascii="Calibri" w:hAnsi="Calibri" w:cs="Calibri"/>
          <w:sz w:val="22"/>
          <w:szCs w:val="22"/>
          <w:lang w:val="en-AU"/>
        </w:rPr>
        <w:t xml:space="preserve">to </w:t>
      </w:r>
      <w:r w:rsidRPr="00C97A19">
        <w:rPr>
          <w:rFonts w:ascii="Calibri" w:hAnsi="Calibri" w:cs="Calibri"/>
          <w:sz w:val="22"/>
          <w:szCs w:val="22"/>
          <w:lang w:val="en-AU"/>
        </w:rPr>
        <w:t xml:space="preserve">necessary reforms and </w:t>
      </w:r>
      <w:r w:rsidR="00E03004" w:rsidRPr="00C97A19">
        <w:rPr>
          <w:rFonts w:ascii="Calibri" w:hAnsi="Calibri" w:cs="Calibri"/>
          <w:sz w:val="22"/>
          <w:szCs w:val="22"/>
          <w:lang w:val="en-AU"/>
        </w:rPr>
        <w:t xml:space="preserve">to </w:t>
      </w:r>
      <w:r w:rsidRPr="00C97A19">
        <w:rPr>
          <w:rFonts w:ascii="Calibri" w:hAnsi="Calibri" w:cs="Calibri"/>
          <w:sz w:val="22"/>
          <w:szCs w:val="22"/>
          <w:lang w:val="en-AU"/>
        </w:rPr>
        <w:t>economic growth opportunities in key sectors important to Viet</w:t>
      </w:r>
      <w:r w:rsidR="00773238">
        <w:rPr>
          <w:rFonts w:ascii="Calibri" w:hAnsi="Calibri" w:cs="Calibri"/>
          <w:sz w:val="22"/>
          <w:szCs w:val="22"/>
          <w:lang w:val="en-AU"/>
        </w:rPr>
        <w:t xml:space="preserve"> N</w:t>
      </w:r>
      <w:r w:rsidRPr="00C97A19">
        <w:rPr>
          <w:rFonts w:ascii="Calibri" w:hAnsi="Calibri" w:cs="Calibri"/>
          <w:sz w:val="22"/>
          <w:szCs w:val="22"/>
          <w:lang w:val="en-AU"/>
        </w:rPr>
        <w:t>am</w:t>
      </w:r>
      <w:r w:rsidR="0013617E" w:rsidRPr="00C97A19">
        <w:rPr>
          <w:rFonts w:ascii="Calibri" w:hAnsi="Calibri" w:cs="Calibri"/>
          <w:sz w:val="22"/>
          <w:szCs w:val="22"/>
          <w:lang w:val="en-AU"/>
        </w:rPr>
        <w:t xml:space="preserve"> </w:t>
      </w:r>
      <w:r w:rsidRPr="00C97A19">
        <w:rPr>
          <w:rFonts w:ascii="Calibri" w:hAnsi="Calibri" w:cs="Calibri"/>
          <w:sz w:val="22"/>
          <w:szCs w:val="22"/>
          <w:lang w:val="en-AU"/>
        </w:rPr>
        <w:t>(e.g.</w:t>
      </w:r>
      <w:r w:rsidR="0013617E" w:rsidRPr="00C97A19">
        <w:rPr>
          <w:rFonts w:ascii="Calibri" w:hAnsi="Calibri" w:cs="Calibri"/>
          <w:sz w:val="22"/>
          <w:szCs w:val="22"/>
          <w:lang w:val="en-AU"/>
        </w:rPr>
        <w:t>,</w:t>
      </w:r>
      <w:r w:rsidRPr="00C97A19">
        <w:rPr>
          <w:rFonts w:ascii="Calibri" w:hAnsi="Calibri" w:cs="Calibri"/>
          <w:sz w:val="22"/>
          <w:szCs w:val="22"/>
          <w:lang w:val="en-AU"/>
        </w:rPr>
        <w:t xml:space="preserve"> manufacturing).</w:t>
      </w:r>
    </w:p>
    <w:p w14:paraId="1DCEAB44" w14:textId="10908F70" w:rsidR="00467344" w:rsidRPr="00C97A19" w:rsidRDefault="00467344" w:rsidP="00467344">
      <w:pPr>
        <w:pStyle w:val="ListParagraph"/>
        <w:numPr>
          <w:ilvl w:val="0"/>
          <w:numId w:val="5"/>
        </w:numPr>
        <w:spacing w:after="120"/>
        <w:jc w:val="both"/>
        <w:rPr>
          <w:rFonts w:ascii="Calibri" w:hAnsi="Calibri" w:cs="Calibri"/>
          <w:sz w:val="22"/>
          <w:szCs w:val="22"/>
          <w:lang w:val="en-AU"/>
        </w:rPr>
      </w:pPr>
      <w:r w:rsidRPr="00C97A19">
        <w:rPr>
          <w:rFonts w:ascii="Calibri" w:hAnsi="Calibri" w:cs="Calibri"/>
          <w:sz w:val="22"/>
          <w:szCs w:val="22"/>
          <w:lang w:val="en-AU"/>
        </w:rPr>
        <w:t>The current inve</w:t>
      </w:r>
      <w:r w:rsidR="0013617E" w:rsidRPr="00C97A19">
        <w:rPr>
          <w:rFonts w:ascii="Calibri" w:hAnsi="Calibri" w:cs="Calibri"/>
          <w:sz w:val="22"/>
          <w:szCs w:val="22"/>
          <w:lang w:val="en-AU"/>
        </w:rPr>
        <w:t>st</w:t>
      </w:r>
      <w:r w:rsidRPr="00C97A19">
        <w:rPr>
          <w:rFonts w:ascii="Calibri" w:hAnsi="Calibri" w:cs="Calibri"/>
          <w:sz w:val="22"/>
          <w:szCs w:val="22"/>
          <w:lang w:val="en-AU"/>
        </w:rPr>
        <w:t xml:space="preserve">ment </w:t>
      </w:r>
      <w:r w:rsidR="0013617E" w:rsidRPr="00C97A19">
        <w:rPr>
          <w:rFonts w:ascii="Calibri" w:hAnsi="Calibri" w:cs="Calibri"/>
          <w:sz w:val="22"/>
          <w:szCs w:val="22"/>
          <w:lang w:val="en-AU"/>
        </w:rPr>
        <w:t>must</w:t>
      </w:r>
      <w:r w:rsidRPr="00C97A19">
        <w:rPr>
          <w:rFonts w:ascii="Calibri" w:hAnsi="Calibri" w:cs="Calibri"/>
          <w:sz w:val="22"/>
          <w:szCs w:val="22"/>
          <w:lang w:val="en-AU"/>
        </w:rPr>
        <w:t xml:space="preserve"> support the energy</w:t>
      </w:r>
      <w:r w:rsidR="0013617E" w:rsidRPr="00C97A19">
        <w:rPr>
          <w:rFonts w:ascii="Calibri" w:hAnsi="Calibri" w:cs="Calibri"/>
          <w:sz w:val="22"/>
          <w:szCs w:val="22"/>
          <w:lang w:val="en-AU"/>
        </w:rPr>
        <w:t xml:space="preserve"> transiti</w:t>
      </w:r>
      <w:r w:rsidRPr="00C97A19">
        <w:rPr>
          <w:rFonts w:ascii="Calibri" w:hAnsi="Calibri" w:cs="Calibri"/>
          <w:sz w:val="22"/>
          <w:szCs w:val="22"/>
          <w:lang w:val="en-AU"/>
        </w:rPr>
        <w:t xml:space="preserve">on to meet </w:t>
      </w:r>
      <w:r w:rsidR="0013617E" w:rsidRPr="00C97A19">
        <w:rPr>
          <w:rFonts w:ascii="Calibri" w:hAnsi="Calibri" w:cs="Calibri"/>
          <w:sz w:val="22"/>
          <w:szCs w:val="22"/>
          <w:lang w:val="en-AU"/>
        </w:rPr>
        <w:t xml:space="preserve">the </w:t>
      </w:r>
      <w:r w:rsidRPr="00C97A19">
        <w:rPr>
          <w:rFonts w:ascii="Calibri" w:hAnsi="Calibri" w:cs="Calibri"/>
          <w:sz w:val="22"/>
          <w:szCs w:val="22"/>
          <w:lang w:val="en-AU"/>
        </w:rPr>
        <w:t>ambitious 2050 targets. The current private sector requires sign</w:t>
      </w:r>
      <w:r w:rsidR="0013617E" w:rsidRPr="00C97A19">
        <w:rPr>
          <w:rFonts w:ascii="Calibri" w:hAnsi="Calibri" w:cs="Calibri"/>
          <w:sz w:val="22"/>
          <w:szCs w:val="22"/>
          <w:lang w:val="en-AU"/>
        </w:rPr>
        <w:t>ific</w:t>
      </w:r>
      <w:r w:rsidRPr="00C97A19">
        <w:rPr>
          <w:rFonts w:ascii="Calibri" w:hAnsi="Calibri" w:cs="Calibri"/>
          <w:sz w:val="22"/>
          <w:szCs w:val="22"/>
          <w:lang w:val="en-AU"/>
        </w:rPr>
        <w:t>ant inve</w:t>
      </w:r>
      <w:r w:rsidR="0013617E" w:rsidRPr="00C97A19">
        <w:rPr>
          <w:rFonts w:ascii="Calibri" w:hAnsi="Calibri" w:cs="Calibri"/>
          <w:sz w:val="22"/>
          <w:szCs w:val="22"/>
          <w:lang w:val="en-AU"/>
        </w:rPr>
        <w:t>st</w:t>
      </w:r>
      <w:r w:rsidRPr="00C97A19">
        <w:rPr>
          <w:rFonts w:ascii="Calibri" w:hAnsi="Calibri" w:cs="Calibri"/>
          <w:sz w:val="22"/>
          <w:szCs w:val="22"/>
          <w:lang w:val="en-AU"/>
        </w:rPr>
        <w:t>ment.</w:t>
      </w:r>
    </w:p>
    <w:p w14:paraId="18265714" w14:textId="23BE7CCB" w:rsidR="00467344" w:rsidRPr="00C97A19" w:rsidRDefault="00467344" w:rsidP="00467344">
      <w:pPr>
        <w:pStyle w:val="ListParagraph"/>
        <w:numPr>
          <w:ilvl w:val="0"/>
          <w:numId w:val="5"/>
        </w:numPr>
        <w:spacing w:after="120"/>
        <w:jc w:val="both"/>
        <w:rPr>
          <w:rFonts w:ascii="Calibri" w:hAnsi="Calibri" w:cs="Calibri"/>
          <w:sz w:val="22"/>
          <w:szCs w:val="22"/>
          <w:lang w:val="en-AU"/>
        </w:rPr>
      </w:pPr>
      <w:r w:rsidRPr="00C97A19">
        <w:rPr>
          <w:rFonts w:ascii="Calibri" w:hAnsi="Calibri" w:cs="Calibri"/>
          <w:sz w:val="22"/>
          <w:szCs w:val="22"/>
          <w:lang w:val="en-AU"/>
        </w:rPr>
        <w:t>The</w:t>
      </w:r>
      <w:r w:rsidR="0013617E" w:rsidRPr="00C97A19">
        <w:rPr>
          <w:rFonts w:ascii="Calibri" w:hAnsi="Calibri" w:cs="Calibri"/>
          <w:sz w:val="22"/>
          <w:szCs w:val="22"/>
          <w:lang w:val="en-AU"/>
        </w:rPr>
        <w:t>re is an</w:t>
      </w:r>
      <w:r w:rsidRPr="00C97A19">
        <w:rPr>
          <w:rFonts w:ascii="Calibri" w:hAnsi="Calibri" w:cs="Calibri"/>
          <w:sz w:val="22"/>
          <w:szCs w:val="22"/>
          <w:lang w:val="en-AU"/>
        </w:rPr>
        <w:t xml:space="preserve"> ongoing need for </w:t>
      </w:r>
      <w:r w:rsidR="0013617E" w:rsidRPr="00C97A19">
        <w:rPr>
          <w:rFonts w:ascii="Calibri" w:hAnsi="Calibri" w:cs="Calibri"/>
          <w:sz w:val="22"/>
          <w:szCs w:val="22"/>
          <w:lang w:val="en-AU"/>
        </w:rPr>
        <w:t>more</w:t>
      </w:r>
      <w:r w:rsidRPr="00C97A19">
        <w:rPr>
          <w:rFonts w:ascii="Calibri" w:hAnsi="Calibri" w:cs="Calibri"/>
          <w:sz w:val="22"/>
          <w:szCs w:val="22"/>
          <w:lang w:val="en-AU"/>
        </w:rPr>
        <w:t xml:space="preserve"> </w:t>
      </w:r>
      <w:r w:rsidR="0013617E" w:rsidRPr="00C97A19">
        <w:rPr>
          <w:rFonts w:ascii="Calibri" w:hAnsi="Calibri" w:cs="Calibri"/>
          <w:sz w:val="22"/>
          <w:szCs w:val="22"/>
          <w:lang w:val="en-AU"/>
        </w:rPr>
        <w:t>skilled,</w:t>
      </w:r>
      <w:r w:rsidRPr="00C97A19">
        <w:rPr>
          <w:rFonts w:ascii="Calibri" w:hAnsi="Calibri" w:cs="Calibri"/>
          <w:sz w:val="22"/>
          <w:szCs w:val="22"/>
          <w:lang w:val="en-AU"/>
        </w:rPr>
        <w:t xml:space="preserve"> technically </w:t>
      </w:r>
      <w:r w:rsidR="0013617E" w:rsidRPr="00C97A19">
        <w:rPr>
          <w:rFonts w:ascii="Calibri" w:hAnsi="Calibri" w:cs="Calibri"/>
          <w:sz w:val="22"/>
          <w:szCs w:val="22"/>
          <w:lang w:val="en-AU"/>
        </w:rPr>
        <w:t>oriented</w:t>
      </w:r>
      <w:r w:rsidRPr="00C97A19">
        <w:rPr>
          <w:rFonts w:ascii="Calibri" w:hAnsi="Calibri" w:cs="Calibri"/>
          <w:sz w:val="22"/>
          <w:szCs w:val="22"/>
          <w:lang w:val="en-AU"/>
        </w:rPr>
        <w:t xml:space="preserve"> professional</w:t>
      </w:r>
      <w:r w:rsidR="0013617E" w:rsidRPr="00C97A19">
        <w:rPr>
          <w:rFonts w:ascii="Calibri" w:hAnsi="Calibri" w:cs="Calibri"/>
          <w:sz w:val="22"/>
          <w:szCs w:val="22"/>
          <w:lang w:val="en-AU"/>
        </w:rPr>
        <w:t>s</w:t>
      </w:r>
      <w:r w:rsidRPr="00C97A19">
        <w:rPr>
          <w:rFonts w:ascii="Calibri" w:hAnsi="Calibri" w:cs="Calibri"/>
          <w:sz w:val="22"/>
          <w:szCs w:val="22"/>
          <w:lang w:val="en-AU"/>
        </w:rPr>
        <w:t xml:space="preserve"> to fill critical ga</w:t>
      </w:r>
      <w:r w:rsidR="0013617E" w:rsidRPr="00C97A19">
        <w:rPr>
          <w:rFonts w:ascii="Calibri" w:hAnsi="Calibri" w:cs="Calibri"/>
          <w:sz w:val="22"/>
          <w:szCs w:val="22"/>
          <w:lang w:val="en-AU"/>
        </w:rPr>
        <w:t>p</w:t>
      </w:r>
      <w:r w:rsidRPr="00C97A19">
        <w:rPr>
          <w:rFonts w:ascii="Calibri" w:hAnsi="Calibri" w:cs="Calibri"/>
          <w:sz w:val="22"/>
          <w:szCs w:val="22"/>
          <w:lang w:val="en-AU"/>
        </w:rPr>
        <w:t xml:space="preserve">s in </w:t>
      </w:r>
      <w:r w:rsidR="0013617E" w:rsidRPr="00C97A19">
        <w:rPr>
          <w:rFonts w:ascii="Calibri" w:hAnsi="Calibri" w:cs="Calibri"/>
          <w:sz w:val="22"/>
          <w:szCs w:val="22"/>
          <w:lang w:val="en-AU"/>
        </w:rPr>
        <w:t xml:space="preserve">the </w:t>
      </w:r>
      <w:r w:rsidRPr="00C97A19">
        <w:rPr>
          <w:rFonts w:ascii="Calibri" w:hAnsi="Calibri" w:cs="Calibri"/>
          <w:sz w:val="22"/>
          <w:szCs w:val="22"/>
          <w:lang w:val="en-AU"/>
        </w:rPr>
        <w:t>formal employment</w:t>
      </w:r>
      <w:r w:rsidR="0013617E" w:rsidRPr="00C97A19">
        <w:rPr>
          <w:rFonts w:ascii="Calibri" w:hAnsi="Calibri" w:cs="Calibri"/>
          <w:sz w:val="22"/>
          <w:szCs w:val="22"/>
          <w:lang w:val="en-AU"/>
        </w:rPr>
        <w:t xml:space="preserve"> sector</w:t>
      </w:r>
      <w:r w:rsidRPr="00C97A19">
        <w:rPr>
          <w:rFonts w:ascii="Calibri" w:hAnsi="Calibri" w:cs="Calibri"/>
          <w:sz w:val="22"/>
          <w:szCs w:val="22"/>
          <w:lang w:val="en-AU"/>
        </w:rPr>
        <w:t xml:space="preserve">. Ongoing </w:t>
      </w:r>
      <w:r w:rsidR="008C502B" w:rsidRPr="00C97A19">
        <w:rPr>
          <w:rFonts w:ascii="Calibri" w:hAnsi="Calibri" w:cs="Calibri"/>
          <w:sz w:val="22"/>
          <w:szCs w:val="22"/>
          <w:lang w:val="en-AU"/>
        </w:rPr>
        <w:t xml:space="preserve">support </w:t>
      </w:r>
      <w:r w:rsidR="0013617E" w:rsidRPr="00C97A19">
        <w:rPr>
          <w:rFonts w:ascii="Calibri" w:hAnsi="Calibri" w:cs="Calibri"/>
          <w:sz w:val="22"/>
          <w:szCs w:val="22"/>
          <w:lang w:val="en-AU"/>
        </w:rPr>
        <w:t>is required as more technically advanced jobs have replaced traditional labour-intensive industries, particularly in agriculture and manufacturing.</w:t>
      </w:r>
    </w:p>
    <w:p w14:paraId="6FA5BE54" w14:textId="5DC6370F" w:rsidR="00467344" w:rsidRPr="00C97A19" w:rsidRDefault="00467344" w:rsidP="00467344">
      <w:pPr>
        <w:spacing w:after="120"/>
        <w:jc w:val="both"/>
        <w:rPr>
          <w:rFonts w:ascii="Calibri" w:hAnsi="Calibri" w:cs="Calibri"/>
          <w:sz w:val="22"/>
          <w:szCs w:val="22"/>
          <w:lang w:val="en-AU"/>
        </w:rPr>
      </w:pPr>
      <w:r w:rsidRPr="00C97A19">
        <w:rPr>
          <w:rFonts w:ascii="Calibri" w:hAnsi="Calibri" w:cs="Calibri"/>
          <w:sz w:val="22"/>
          <w:szCs w:val="22"/>
          <w:lang w:val="en-AU"/>
        </w:rPr>
        <w:t>Many of the barriers and challenges are external to Viet Nam</w:t>
      </w:r>
      <w:r w:rsidR="00E86FD8" w:rsidRPr="00C97A19">
        <w:rPr>
          <w:rFonts w:ascii="Calibri" w:hAnsi="Calibri" w:cs="Calibri"/>
          <w:sz w:val="22"/>
          <w:szCs w:val="22"/>
          <w:lang w:val="en-AU"/>
        </w:rPr>
        <w:t>;</w:t>
      </w:r>
      <w:r w:rsidRPr="00C97A19">
        <w:rPr>
          <w:rFonts w:ascii="Calibri" w:hAnsi="Calibri" w:cs="Calibri"/>
          <w:sz w:val="22"/>
          <w:szCs w:val="22"/>
          <w:lang w:val="en-AU"/>
        </w:rPr>
        <w:t xml:space="preserve"> </w:t>
      </w:r>
      <w:r w:rsidR="00E86FD8" w:rsidRPr="00C97A19">
        <w:rPr>
          <w:rFonts w:ascii="Calibri" w:hAnsi="Calibri" w:cs="Calibri"/>
          <w:sz w:val="22"/>
          <w:szCs w:val="22"/>
          <w:lang w:val="en-AU"/>
        </w:rPr>
        <w:t>h</w:t>
      </w:r>
      <w:r w:rsidRPr="00C97A19">
        <w:rPr>
          <w:rFonts w:ascii="Calibri" w:hAnsi="Calibri" w:cs="Calibri"/>
          <w:sz w:val="22"/>
          <w:szCs w:val="22"/>
          <w:lang w:val="en-AU"/>
        </w:rPr>
        <w:t xml:space="preserve">owever, incremental changes and reforms must continue, particularly in areas where the Program (and DFAT and IFC) can play a role in supporting and guiding the GoV to maintain its current course of reforms and remain responsive to the government's </w:t>
      </w:r>
      <w:r w:rsidRPr="00C97A19">
        <w:rPr>
          <w:rFonts w:ascii="Calibri" w:hAnsi="Calibri" w:cs="Calibri"/>
          <w:sz w:val="22"/>
          <w:szCs w:val="22"/>
          <w:lang w:val="en-AU"/>
        </w:rPr>
        <w:lastRenderedPageBreak/>
        <w:t>needs while also maintaining high visibility and engagement, where financial and reputational risks are minimised.</w:t>
      </w:r>
    </w:p>
    <w:p w14:paraId="43377F49" w14:textId="65BC3438" w:rsidR="00B835E4" w:rsidRPr="00C97A19" w:rsidRDefault="00DF0A19" w:rsidP="00B7435F">
      <w:pPr>
        <w:spacing w:after="120"/>
        <w:jc w:val="both"/>
        <w:rPr>
          <w:rFonts w:ascii="Calibri" w:hAnsi="Calibri" w:cs="Calibri"/>
          <w:sz w:val="22"/>
          <w:szCs w:val="22"/>
          <w:lang w:val="en-AU"/>
        </w:rPr>
      </w:pPr>
      <w:r w:rsidRPr="00C97A19">
        <w:rPr>
          <w:rFonts w:ascii="Calibri" w:hAnsi="Calibri" w:cs="Calibri"/>
          <w:sz w:val="22"/>
          <w:szCs w:val="22"/>
          <w:lang w:val="en-AU"/>
        </w:rPr>
        <w:t>C</w:t>
      </w:r>
      <w:r w:rsidR="008661C2" w:rsidRPr="00C97A19">
        <w:rPr>
          <w:rFonts w:ascii="Calibri" w:hAnsi="Calibri" w:cs="Calibri"/>
          <w:sz w:val="22"/>
          <w:szCs w:val="22"/>
          <w:lang w:val="en-AU"/>
        </w:rPr>
        <w:t>onsidering the findings and evidence above, the evaluation assigns a “satisfactory” rating to effectiveness</w:t>
      </w:r>
      <w:r w:rsidR="00B7435F">
        <w:rPr>
          <w:rFonts w:ascii="Calibri" w:hAnsi="Calibri" w:cs="Calibri"/>
          <w:sz w:val="22"/>
          <w:szCs w:val="22"/>
          <w:lang w:val="en-AU"/>
        </w:rPr>
        <w:t>.</w:t>
      </w:r>
    </w:p>
    <w:p w14:paraId="433BBE50" w14:textId="77B09630" w:rsidR="002E44E6" w:rsidRPr="002E39E8" w:rsidRDefault="002E44E6" w:rsidP="002E44E6">
      <w:pPr>
        <w:pStyle w:val="Heading2"/>
        <w:rPr>
          <w:lang w:val="en-AU"/>
        </w:rPr>
      </w:pPr>
      <w:bookmarkStart w:id="45" w:name="_Toc233724260"/>
      <w:r w:rsidRPr="002E39E8">
        <w:rPr>
          <w:lang w:val="en-AU"/>
        </w:rPr>
        <w:t>Efficiency</w:t>
      </w:r>
      <w:bookmarkEnd w:id="45"/>
    </w:p>
    <w:p w14:paraId="4DA57673" w14:textId="53E526D7" w:rsidR="002E44E6" w:rsidRPr="00C97A19" w:rsidRDefault="00535F4D" w:rsidP="00FA180C">
      <w:pPr>
        <w:spacing w:after="120"/>
        <w:jc w:val="both"/>
        <w:rPr>
          <w:rFonts w:ascii="Calibri" w:hAnsi="Calibri" w:cs="Calibri"/>
          <w:sz w:val="22"/>
          <w:szCs w:val="22"/>
          <w:lang w:val="en-AU"/>
        </w:rPr>
      </w:pPr>
      <w:r w:rsidRPr="00C97A19">
        <w:rPr>
          <w:rFonts w:ascii="Calibri" w:hAnsi="Calibri" w:cs="Calibri"/>
          <w:bCs/>
          <w:sz w:val="22"/>
          <w:szCs w:val="22"/>
          <w:lang w:val="en-AU"/>
        </w:rPr>
        <w:t xml:space="preserve">Efficiency </w:t>
      </w:r>
      <w:r w:rsidR="009C7CB8" w:rsidRPr="00C97A19">
        <w:rPr>
          <w:rFonts w:ascii="Calibri" w:hAnsi="Calibri" w:cs="Calibri"/>
          <w:bCs/>
          <w:sz w:val="22"/>
          <w:szCs w:val="22"/>
          <w:lang w:val="en-AU"/>
        </w:rPr>
        <w:t>concerns how well resources are used and whether their use is likely to result in timely</w:t>
      </w:r>
      <w:r w:rsidR="0013617E" w:rsidRPr="00C97A19">
        <w:rPr>
          <w:rFonts w:ascii="Calibri" w:hAnsi="Calibri" w:cs="Calibri"/>
          <w:bCs/>
          <w:sz w:val="22"/>
          <w:szCs w:val="22"/>
          <w:lang w:val="en-AU"/>
        </w:rPr>
        <w:t>,</w:t>
      </w:r>
      <w:r w:rsidR="009C7CB8" w:rsidRPr="00C97A19">
        <w:rPr>
          <w:rFonts w:ascii="Calibri" w:hAnsi="Calibri" w:cs="Calibri"/>
          <w:bCs/>
          <w:sz w:val="22"/>
          <w:szCs w:val="22"/>
          <w:lang w:val="en-AU"/>
        </w:rPr>
        <w:t xml:space="preserve"> cost-effective</w:t>
      </w:r>
      <w:r w:rsidRPr="00C97A19">
        <w:rPr>
          <w:rFonts w:ascii="Calibri" w:hAnsi="Calibri" w:cs="Calibri"/>
          <w:bCs/>
          <w:sz w:val="22"/>
          <w:szCs w:val="22"/>
          <w:lang w:val="en-AU"/>
        </w:rPr>
        <w:t xml:space="preserve"> achievement of results</w:t>
      </w:r>
      <w:r w:rsidRPr="00C97A19">
        <w:rPr>
          <w:rFonts w:ascii="Calibri" w:hAnsi="Calibri" w:cs="Calibri"/>
          <w:bCs/>
          <w:i/>
          <w:sz w:val="22"/>
          <w:szCs w:val="22"/>
          <w:vertAlign w:val="superscript"/>
          <w:lang w:val="en-AU"/>
        </w:rPr>
        <w:footnoteReference w:id="26"/>
      </w:r>
      <w:r w:rsidRPr="00C97A19">
        <w:rPr>
          <w:rFonts w:ascii="Calibri" w:hAnsi="Calibri" w:cs="Calibri"/>
          <w:bCs/>
          <w:sz w:val="22"/>
          <w:szCs w:val="22"/>
          <w:lang w:val="en-AU"/>
        </w:rPr>
        <w:t>.</w:t>
      </w:r>
    </w:p>
    <w:p w14:paraId="180665BE" w14:textId="18C5A3C8" w:rsidR="002E44E6" w:rsidRPr="00C97A19" w:rsidRDefault="002E44E6" w:rsidP="00FA180C">
      <w:pPr>
        <w:spacing w:after="120"/>
        <w:jc w:val="both"/>
        <w:rPr>
          <w:rFonts w:ascii="Calibri" w:hAnsi="Calibri" w:cs="Calibri"/>
          <w:b/>
          <w:bCs/>
          <w:i/>
          <w:iCs/>
          <w:sz w:val="22"/>
          <w:szCs w:val="22"/>
          <w:u w:val="single"/>
          <w:lang w:val="en-AU"/>
        </w:rPr>
      </w:pPr>
      <w:r w:rsidRPr="00C97A19">
        <w:rPr>
          <w:rFonts w:ascii="Calibri" w:hAnsi="Calibri" w:cs="Calibri"/>
          <w:b/>
          <w:bCs/>
          <w:i/>
          <w:iCs/>
          <w:sz w:val="22"/>
          <w:szCs w:val="22"/>
          <w:u w:val="single"/>
          <w:lang w:val="en-AU"/>
        </w:rPr>
        <w:t>KEQ 6: To what extent has VPSDP maintained appropriate use of financial, human</w:t>
      </w:r>
      <w:r w:rsidR="00773238">
        <w:rPr>
          <w:rFonts w:ascii="Calibri" w:hAnsi="Calibri" w:cs="Calibri"/>
          <w:b/>
          <w:bCs/>
          <w:i/>
          <w:iCs/>
          <w:sz w:val="22"/>
          <w:szCs w:val="22"/>
          <w:u w:val="single"/>
          <w:lang w:val="en-AU"/>
        </w:rPr>
        <w:t>,</w:t>
      </w:r>
      <w:r w:rsidRPr="00C97A19">
        <w:rPr>
          <w:rFonts w:ascii="Calibri" w:hAnsi="Calibri" w:cs="Calibri"/>
          <w:b/>
          <w:bCs/>
          <w:i/>
          <w:iCs/>
          <w:sz w:val="22"/>
          <w:szCs w:val="22"/>
          <w:u w:val="single"/>
          <w:lang w:val="en-AU"/>
        </w:rPr>
        <w:t xml:space="preserve"> and technical resources in both implementation and management</w:t>
      </w:r>
      <w:r w:rsidR="00B96845" w:rsidRPr="00C97A19">
        <w:rPr>
          <w:rFonts w:ascii="Calibri" w:hAnsi="Calibri" w:cs="Calibri"/>
          <w:b/>
          <w:bCs/>
          <w:i/>
          <w:iCs/>
          <w:sz w:val="22"/>
          <w:szCs w:val="22"/>
          <w:u w:val="single"/>
          <w:lang w:val="en-AU"/>
        </w:rPr>
        <w:t>?</w:t>
      </w:r>
    </w:p>
    <w:p w14:paraId="0C1C7223" w14:textId="6AB16CDC" w:rsidR="00B96845" w:rsidRPr="00C97A19" w:rsidRDefault="00B96845" w:rsidP="00B96845">
      <w:pPr>
        <w:spacing w:after="120"/>
        <w:jc w:val="both"/>
        <w:rPr>
          <w:rFonts w:ascii="Calibri" w:hAnsi="Calibri" w:cs="Calibri"/>
          <w:sz w:val="22"/>
          <w:szCs w:val="22"/>
          <w:lang w:val="en-AU"/>
        </w:rPr>
      </w:pPr>
      <w:r w:rsidRPr="00C97A19">
        <w:rPr>
          <w:rFonts w:ascii="Calibri" w:hAnsi="Calibri" w:cs="Calibri"/>
          <w:b/>
          <w:bCs/>
          <w:sz w:val="22"/>
          <w:szCs w:val="22"/>
          <w:lang w:val="en-AU"/>
        </w:rPr>
        <w:t xml:space="preserve">The program is efficient, underpinned by solid systems and processes. </w:t>
      </w:r>
      <w:r w:rsidRPr="00C97A19">
        <w:rPr>
          <w:rFonts w:ascii="Calibri" w:hAnsi="Calibri" w:cs="Calibri"/>
          <w:sz w:val="22"/>
          <w:szCs w:val="22"/>
          <w:lang w:val="en-AU"/>
        </w:rPr>
        <w:t xml:space="preserve">This is critical given the considerable size and scope of most projects funded through the portfolio. Importantly, projects are delivered through existing systems, </w:t>
      </w:r>
      <w:r w:rsidR="009C7CB8" w:rsidRPr="00C97A19">
        <w:rPr>
          <w:rFonts w:ascii="Calibri" w:hAnsi="Calibri" w:cs="Calibri"/>
          <w:sz w:val="22"/>
          <w:szCs w:val="22"/>
          <w:lang w:val="en-AU"/>
        </w:rPr>
        <w:t xml:space="preserve">predominantly </w:t>
      </w:r>
      <w:r w:rsidRPr="00C97A19">
        <w:rPr>
          <w:rFonts w:ascii="Calibri" w:hAnsi="Calibri" w:cs="Calibri"/>
          <w:sz w:val="22"/>
          <w:szCs w:val="22"/>
          <w:lang w:val="en-AU"/>
        </w:rPr>
        <w:t xml:space="preserve">using </w:t>
      </w:r>
      <w:r w:rsidR="009C7CB8" w:rsidRPr="00C97A19">
        <w:rPr>
          <w:rFonts w:ascii="Calibri" w:hAnsi="Calibri" w:cs="Calibri"/>
          <w:sz w:val="22"/>
          <w:szCs w:val="22"/>
          <w:lang w:val="en-AU"/>
        </w:rPr>
        <w:t>local</w:t>
      </w:r>
      <w:r w:rsidRPr="00C97A19">
        <w:rPr>
          <w:rFonts w:ascii="Calibri" w:hAnsi="Calibri" w:cs="Calibri"/>
          <w:sz w:val="22"/>
          <w:szCs w:val="22"/>
          <w:lang w:val="en-AU"/>
        </w:rPr>
        <w:t>ly engaged and regional staff and consultants. This is a key advantage of partnering with IFC</w:t>
      </w:r>
      <w:r w:rsidR="00AE4843" w:rsidRPr="00C97A19">
        <w:rPr>
          <w:rFonts w:ascii="Calibri" w:hAnsi="Calibri" w:cs="Calibri"/>
          <w:sz w:val="22"/>
          <w:szCs w:val="22"/>
          <w:lang w:val="en-AU"/>
        </w:rPr>
        <w:t>,</w:t>
      </w:r>
      <w:r w:rsidRPr="00C97A19">
        <w:rPr>
          <w:rFonts w:ascii="Calibri" w:hAnsi="Calibri" w:cs="Calibri"/>
          <w:sz w:val="22"/>
          <w:szCs w:val="22"/>
          <w:lang w:val="en-AU"/>
        </w:rPr>
        <w:t xml:space="preserve"> as a full suite of options is available to support project conceptualisation, implementation</w:t>
      </w:r>
      <w:r w:rsidR="00AE4843" w:rsidRPr="00C97A19">
        <w:rPr>
          <w:rFonts w:ascii="Calibri" w:hAnsi="Calibri" w:cs="Calibri"/>
          <w:sz w:val="22"/>
          <w:szCs w:val="22"/>
          <w:lang w:val="en-AU"/>
        </w:rPr>
        <w:t>,</w:t>
      </w:r>
      <w:r w:rsidRPr="00C97A19">
        <w:rPr>
          <w:rFonts w:ascii="Calibri" w:hAnsi="Calibri" w:cs="Calibri"/>
          <w:sz w:val="22"/>
          <w:szCs w:val="22"/>
          <w:lang w:val="en-AU"/>
        </w:rPr>
        <w:t xml:space="preserve"> and </w:t>
      </w:r>
      <w:r w:rsidR="00AE4843" w:rsidRPr="00C97A19">
        <w:rPr>
          <w:rFonts w:ascii="Calibri" w:hAnsi="Calibri" w:cs="Calibri"/>
          <w:sz w:val="22"/>
          <w:szCs w:val="22"/>
          <w:lang w:val="en-AU"/>
        </w:rPr>
        <w:t>closeout</w:t>
      </w:r>
      <w:r w:rsidRPr="00C97A19">
        <w:rPr>
          <w:rFonts w:ascii="Calibri" w:hAnsi="Calibri" w:cs="Calibri"/>
          <w:sz w:val="22"/>
          <w:szCs w:val="22"/>
          <w:lang w:val="en-AU"/>
        </w:rPr>
        <w:t>.</w:t>
      </w:r>
      <w:r w:rsidR="004076F7" w:rsidRPr="00C97A19">
        <w:rPr>
          <w:rFonts w:ascii="Calibri" w:hAnsi="Calibri" w:cs="Calibri"/>
          <w:sz w:val="22"/>
          <w:szCs w:val="22"/>
          <w:lang w:val="en-AU"/>
        </w:rPr>
        <w:t xml:space="preserve"> IFC has capacity at both the upstream and downstream levels of the portfolio. One potential area for improvement is for DFAT to access technical advice and support to challenge and engage on technical aspects of the proposed briefings. This would also support overall efficiency and progress.</w:t>
      </w:r>
    </w:p>
    <w:p w14:paraId="3CA19A9C" w14:textId="0C016ECA" w:rsidR="009C7CB8" w:rsidRPr="00C97A19" w:rsidRDefault="00253B43" w:rsidP="004076F7">
      <w:pPr>
        <w:spacing w:after="120"/>
        <w:jc w:val="both"/>
        <w:rPr>
          <w:rFonts w:ascii="Calibri" w:hAnsi="Calibri" w:cs="Calibri"/>
          <w:sz w:val="22"/>
          <w:szCs w:val="22"/>
          <w:lang w:val="en-AU"/>
        </w:rPr>
      </w:pPr>
      <w:r w:rsidRPr="00C97A19">
        <w:rPr>
          <w:rFonts w:ascii="Calibri" w:hAnsi="Calibri" w:cs="Calibri"/>
          <w:sz w:val="22"/>
          <w:szCs w:val="22"/>
          <w:lang w:val="en-AU"/>
        </w:rPr>
        <w:t xml:space="preserve">Tables </w:t>
      </w:r>
      <w:r w:rsidR="00467344" w:rsidRPr="00C97A19">
        <w:rPr>
          <w:rFonts w:ascii="Calibri" w:hAnsi="Calibri" w:cs="Calibri"/>
          <w:sz w:val="22"/>
          <w:szCs w:val="22"/>
          <w:lang w:val="en-AU"/>
        </w:rPr>
        <w:t>7</w:t>
      </w:r>
      <w:r w:rsidRPr="00C97A19">
        <w:rPr>
          <w:rFonts w:ascii="Calibri" w:hAnsi="Calibri" w:cs="Calibri"/>
          <w:sz w:val="22"/>
          <w:szCs w:val="22"/>
          <w:lang w:val="en-AU"/>
        </w:rPr>
        <w:t xml:space="preserve"> and </w:t>
      </w:r>
      <w:r w:rsidR="00467344" w:rsidRPr="00C97A19">
        <w:rPr>
          <w:rFonts w:ascii="Calibri" w:hAnsi="Calibri" w:cs="Calibri"/>
          <w:sz w:val="22"/>
          <w:szCs w:val="22"/>
          <w:lang w:val="en-AU"/>
        </w:rPr>
        <w:t>8</w:t>
      </w:r>
      <w:r w:rsidRPr="00C97A19">
        <w:rPr>
          <w:rFonts w:ascii="Calibri" w:hAnsi="Calibri" w:cs="Calibri"/>
          <w:sz w:val="22"/>
          <w:szCs w:val="22"/>
          <w:lang w:val="en-AU"/>
        </w:rPr>
        <w:t xml:space="preserve"> below summarise overall expenditure and </w:t>
      </w:r>
      <w:r w:rsidR="004076F7" w:rsidRPr="00C97A19">
        <w:rPr>
          <w:rFonts w:ascii="Calibri" w:hAnsi="Calibri" w:cs="Calibri"/>
          <w:sz w:val="22"/>
          <w:szCs w:val="22"/>
          <w:lang w:val="en-AU"/>
        </w:rPr>
        <w:t>project-level</w:t>
      </w:r>
      <w:r w:rsidRPr="00C97A19">
        <w:rPr>
          <w:rFonts w:ascii="Calibri" w:hAnsi="Calibri" w:cs="Calibri"/>
          <w:sz w:val="22"/>
          <w:szCs w:val="22"/>
          <w:lang w:val="en-AU"/>
        </w:rPr>
        <w:t xml:space="preserve"> </w:t>
      </w:r>
      <w:r w:rsidR="004076F7" w:rsidRPr="00C97A19">
        <w:rPr>
          <w:rFonts w:ascii="Calibri" w:hAnsi="Calibri" w:cs="Calibri"/>
          <w:sz w:val="22"/>
          <w:szCs w:val="22"/>
          <w:lang w:val="en-AU"/>
        </w:rPr>
        <w:t>expenditure</w:t>
      </w:r>
      <w:r w:rsidRPr="00C97A19">
        <w:rPr>
          <w:rFonts w:ascii="Calibri" w:hAnsi="Calibri" w:cs="Calibri"/>
          <w:sz w:val="22"/>
          <w:szCs w:val="22"/>
          <w:lang w:val="en-AU"/>
        </w:rPr>
        <w:t xml:space="preserve">. </w:t>
      </w:r>
      <w:r w:rsidR="004076F7" w:rsidRPr="00C97A19">
        <w:rPr>
          <w:rFonts w:ascii="Calibri" w:hAnsi="Calibri" w:cs="Calibri"/>
          <w:sz w:val="22"/>
          <w:szCs w:val="22"/>
          <w:lang w:val="en-AU"/>
        </w:rPr>
        <w:t>T</w:t>
      </w:r>
      <w:r w:rsidRPr="00C97A19">
        <w:rPr>
          <w:rFonts w:ascii="Calibri" w:hAnsi="Calibri" w:cs="Calibri"/>
          <w:sz w:val="22"/>
          <w:szCs w:val="22"/>
          <w:lang w:val="en-AU"/>
        </w:rPr>
        <w:t xml:space="preserve">he program technically has </w:t>
      </w:r>
      <w:r w:rsidR="004076F7" w:rsidRPr="00C97A19">
        <w:rPr>
          <w:rFonts w:ascii="Calibri" w:hAnsi="Calibri" w:cs="Calibri"/>
          <w:sz w:val="22"/>
          <w:szCs w:val="22"/>
          <w:lang w:val="en-AU"/>
        </w:rPr>
        <w:t>15</w:t>
      </w:r>
      <w:r w:rsidRPr="00C97A19">
        <w:rPr>
          <w:rFonts w:ascii="Calibri" w:hAnsi="Calibri" w:cs="Calibri"/>
          <w:sz w:val="22"/>
          <w:szCs w:val="22"/>
          <w:lang w:val="en-AU"/>
        </w:rPr>
        <w:t xml:space="preserve"> months remaining </w:t>
      </w:r>
      <w:r w:rsidR="004076F7" w:rsidRPr="00C97A19">
        <w:rPr>
          <w:rFonts w:ascii="Calibri" w:hAnsi="Calibri" w:cs="Calibri"/>
          <w:sz w:val="22"/>
          <w:szCs w:val="22"/>
          <w:lang w:val="en-AU"/>
        </w:rPr>
        <w:t xml:space="preserve">and </w:t>
      </w:r>
      <w:r w:rsidRPr="00C97A19">
        <w:rPr>
          <w:rFonts w:ascii="Calibri" w:hAnsi="Calibri" w:cs="Calibri"/>
          <w:sz w:val="22"/>
          <w:szCs w:val="22"/>
          <w:lang w:val="en-AU"/>
        </w:rPr>
        <w:t>a</w:t>
      </w:r>
      <w:r w:rsidR="009C7CB8" w:rsidRPr="00C97A19">
        <w:rPr>
          <w:rFonts w:ascii="Calibri" w:hAnsi="Calibri" w:cs="Calibri"/>
          <w:sz w:val="22"/>
          <w:szCs w:val="22"/>
          <w:lang w:val="en-AU"/>
        </w:rPr>
        <w:t xml:space="preserve">n overall </w:t>
      </w:r>
      <w:r w:rsidRPr="00C97A19">
        <w:rPr>
          <w:rFonts w:ascii="Calibri" w:hAnsi="Calibri" w:cs="Calibri"/>
          <w:sz w:val="22"/>
          <w:szCs w:val="22"/>
          <w:lang w:val="en-AU"/>
        </w:rPr>
        <w:t>burn rate</w:t>
      </w:r>
      <w:r w:rsidR="0013617E" w:rsidRPr="00C97A19">
        <w:rPr>
          <w:rFonts w:ascii="Calibri" w:hAnsi="Calibri" w:cs="Calibri"/>
          <w:sz w:val="22"/>
          <w:szCs w:val="22"/>
          <w:lang w:val="en-AU"/>
        </w:rPr>
        <w:t xml:space="preserve"> of 65%</w:t>
      </w:r>
      <w:r w:rsidR="004076F7" w:rsidRPr="00C97A19">
        <w:rPr>
          <w:rFonts w:ascii="Calibri" w:hAnsi="Calibri" w:cs="Calibri"/>
          <w:sz w:val="22"/>
          <w:szCs w:val="22"/>
          <w:lang w:val="en-AU"/>
        </w:rPr>
        <w:t xml:space="preserve">. </w:t>
      </w:r>
      <w:r w:rsidR="009C7CB8" w:rsidRPr="00C97A19">
        <w:rPr>
          <w:rFonts w:ascii="Calibri" w:hAnsi="Calibri" w:cs="Calibri"/>
          <w:sz w:val="22"/>
          <w:szCs w:val="22"/>
          <w:lang w:val="en-AU"/>
        </w:rPr>
        <w:t xml:space="preserve">The lowest project by expenditure was the </w:t>
      </w:r>
      <w:r w:rsidR="009C7CB8" w:rsidRPr="00C97A19">
        <w:rPr>
          <w:rFonts w:ascii="Calibri" w:hAnsi="Calibri" w:cs="Calibri"/>
          <w:i/>
          <w:iCs/>
          <w:sz w:val="22"/>
          <w:szCs w:val="22"/>
          <w:lang w:val="en-AU"/>
        </w:rPr>
        <w:t xml:space="preserve">Vietnam Food Safety and Food Loss </w:t>
      </w:r>
      <w:r w:rsidR="009C7CB8" w:rsidRPr="00C97A19">
        <w:rPr>
          <w:rFonts w:ascii="Calibri" w:hAnsi="Calibri" w:cs="Calibri"/>
          <w:sz w:val="22"/>
          <w:szCs w:val="22"/>
          <w:lang w:val="en-AU"/>
        </w:rPr>
        <w:t>project (24%). Given the relatively large budget for this project, it has contributed to a lower overall budget rate than would be expected at this stage of implementation. The low burn rate was due to the project also receiving a financial contribution from the Republic of Korea, which was exhausted before DFAT funds were utilised. Consultations with the project team expect funds to be fully expended by June 2027 as implementation ramps up over the coming six</w:t>
      </w:r>
      <w:r w:rsidR="0013617E" w:rsidRPr="00C97A19">
        <w:rPr>
          <w:rFonts w:ascii="Calibri" w:hAnsi="Calibri" w:cs="Calibri"/>
          <w:sz w:val="22"/>
          <w:szCs w:val="22"/>
          <w:lang w:val="en-AU"/>
        </w:rPr>
        <w:t xml:space="preserve"> </w:t>
      </w:r>
      <w:r w:rsidR="009C7CB8" w:rsidRPr="00C97A19">
        <w:rPr>
          <w:rFonts w:ascii="Calibri" w:hAnsi="Calibri" w:cs="Calibri"/>
          <w:sz w:val="22"/>
          <w:szCs w:val="22"/>
          <w:lang w:val="en-AU"/>
        </w:rPr>
        <w:t>months.</w:t>
      </w:r>
    </w:p>
    <w:p w14:paraId="023AC59C" w14:textId="4B74520F" w:rsidR="00253B43" w:rsidRPr="00C97A19" w:rsidRDefault="004076F7" w:rsidP="004076F7">
      <w:pPr>
        <w:spacing w:after="120"/>
        <w:jc w:val="both"/>
        <w:rPr>
          <w:rFonts w:ascii="Calibri" w:hAnsi="Calibri" w:cs="Calibri"/>
          <w:sz w:val="22"/>
          <w:szCs w:val="22"/>
          <w:lang w:val="en-AU"/>
        </w:rPr>
      </w:pPr>
      <w:r w:rsidRPr="000348BD">
        <w:rPr>
          <w:rFonts w:ascii="Calibri" w:hAnsi="Calibri" w:cs="Calibri"/>
          <w:color w:val="000000"/>
          <w:sz w:val="22"/>
          <w:szCs w:val="22"/>
          <w:lang w:val="en-AU"/>
        </w:rPr>
        <w:t xml:space="preserve">Program expenditure declined in the last reporting period because some projects had reached completion and others were only recently approved. A few projects have received additional financing from DFAT. </w:t>
      </w:r>
      <w:r w:rsidRPr="00C97A19">
        <w:rPr>
          <w:rFonts w:ascii="Calibri" w:hAnsi="Calibri" w:cs="Calibri"/>
          <w:sz w:val="22"/>
          <w:szCs w:val="22"/>
          <w:lang w:val="en-AU"/>
        </w:rPr>
        <w:t xml:space="preserve">Consultations with IFC indicate that expenditures </w:t>
      </w:r>
      <w:r w:rsidRPr="000348BD">
        <w:rPr>
          <w:rFonts w:ascii="Calibri" w:hAnsi="Calibri" w:cs="Calibri"/>
          <w:color w:val="000000"/>
          <w:sz w:val="22"/>
          <w:szCs w:val="22"/>
          <w:lang w:val="en-AU"/>
        </w:rPr>
        <w:t>will increase over the remaining months of implementation to approximately US</w:t>
      </w:r>
      <w:r w:rsidR="000E3802">
        <w:rPr>
          <w:rFonts w:ascii="Calibri" w:hAnsi="Calibri" w:cs="Calibri"/>
          <w:color w:val="000000"/>
          <w:sz w:val="22"/>
          <w:szCs w:val="22"/>
          <w:lang w:val="en-AU"/>
        </w:rPr>
        <w:t>$</w:t>
      </w:r>
      <w:r w:rsidR="00AE4843" w:rsidRPr="000348BD">
        <w:rPr>
          <w:rFonts w:ascii="Calibri" w:hAnsi="Calibri" w:cs="Calibri"/>
          <w:color w:val="000000"/>
          <w:sz w:val="22"/>
          <w:szCs w:val="22"/>
          <w:lang w:val="en-AU"/>
        </w:rPr>
        <w:t xml:space="preserve">1.2 </w:t>
      </w:r>
      <w:r w:rsidRPr="000348BD">
        <w:rPr>
          <w:rFonts w:ascii="Calibri" w:hAnsi="Calibri" w:cs="Calibri"/>
          <w:color w:val="000000"/>
          <w:sz w:val="22"/>
          <w:szCs w:val="22"/>
          <w:lang w:val="en-AU"/>
        </w:rPr>
        <w:t>m</w:t>
      </w:r>
      <w:r w:rsidR="00AE4843" w:rsidRPr="000348BD">
        <w:rPr>
          <w:rFonts w:ascii="Calibri" w:hAnsi="Calibri" w:cs="Calibri"/>
          <w:color w:val="000000"/>
          <w:sz w:val="22"/>
          <w:szCs w:val="22"/>
          <w:lang w:val="en-AU"/>
        </w:rPr>
        <w:t>illion</w:t>
      </w:r>
      <w:r w:rsidRPr="000348BD">
        <w:rPr>
          <w:rFonts w:ascii="Calibri" w:hAnsi="Calibri" w:cs="Calibri"/>
          <w:color w:val="000000"/>
          <w:sz w:val="22"/>
          <w:szCs w:val="22"/>
          <w:lang w:val="en-AU"/>
        </w:rPr>
        <w:t xml:space="preserve"> per six-month reporting period. The MTR is confident that the full amount will be utilised </w:t>
      </w:r>
      <w:r w:rsidR="0013617E" w:rsidRPr="000348BD">
        <w:rPr>
          <w:rFonts w:ascii="Calibri" w:hAnsi="Calibri" w:cs="Calibri"/>
          <w:color w:val="000000"/>
          <w:sz w:val="22"/>
          <w:szCs w:val="22"/>
          <w:lang w:val="en-AU"/>
        </w:rPr>
        <w:t>before</w:t>
      </w:r>
      <w:r w:rsidRPr="000348BD">
        <w:rPr>
          <w:rFonts w:ascii="Calibri" w:hAnsi="Calibri" w:cs="Calibri"/>
          <w:color w:val="000000"/>
          <w:sz w:val="22"/>
          <w:szCs w:val="22"/>
          <w:lang w:val="en-AU"/>
        </w:rPr>
        <w:t xml:space="preserve"> June 2027.</w:t>
      </w:r>
      <w:r w:rsidR="00253B43" w:rsidRPr="00C97A19">
        <w:rPr>
          <w:rFonts w:ascii="Calibri" w:hAnsi="Calibri" w:cs="Calibri"/>
          <w:sz w:val="22"/>
          <w:szCs w:val="22"/>
          <w:lang w:val="en-AU"/>
        </w:rPr>
        <w:t xml:space="preserve"> </w:t>
      </w:r>
    </w:p>
    <w:p w14:paraId="07772E60" w14:textId="67C53464" w:rsidR="00253B43" w:rsidRPr="00C97A19" w:rsidRDefault="00253B43" w:rsidP="00186D33">
      <w:pPr>
        <w:pStyle w:val="Caption"/>
        <w:spacing w:after="0"/>
        <w:rPr>
          <w:rFonts w:ascii="Calibri" w:hAnsi="Calibri" w:cs="Calibri"/>
          <w:i/>
          <w:iCs/>
          <w:lang w:val="en-AU"/>
        </w:rPr>
      </w:pPr>
      <w:r w:rsidRPr="00C97A19">
        <w:rPr>
          <w:rFonts w:ascii="Calibri" w:hAnsi="Calibri" w:cs="Calibri"/>
          <w:i/>
          <w:iCs/>
          <w:lang w:val="en-AU"/>
        </w:rPr>
        <w:t xml:space="preserve">Table </w:t>
      </w:r>
      <w:r w:rsidR="00467344" w:rsidRPr="00C97A19">
        <w:rPr>
          <w:rFonts w:ascii="Calibri" w:hAnsi="Calibri" w:cs="Calibri"/>
          <w:i/>
          <w:iCs/>
          <w:lang w:val="en-AU"/>
        </w:rPr>
        <w:t>7</w:t>
      </w:r>
      <w:r w:rsidRPr="00C97A19">
        <w:rPr>
          <w:rFonts w:ascii="Calibri" w:hAnsi="Calibri" w:cs="Calibri"/>
          <w:i/>
          <w:iCs/>
          <w:lang w:val="en-AU"/>
        </w:rPr>
        <w:t>: Summary of Overall Expenditure</w:t>
      </w:r>
    </w:p>
    <w:tbl>
      <w:tblPr>
        <w:tblW w:w="9209" w:type="dxa"/>
        <w:tblLook w:val="04A0" w:firstRow="1" w:lastRow="0" w:firstColumn="1" w:lastColumn="0" w:noHBand="0" w:noVBand="1"/>
      </w:tblPr>
      <w:tblGrid>
        <w:gridCol w:w="3051"/>
        <w:gridCol w:w="1780"/>
        <w:gridCol w:w="1763"/>
        <w:gridCol w:w="2615"/>
      </w:tblGrid>
      <w:tr w:rsidR="009B4F0F" w:rsidRPr="00C97A19" w14:paraId="25411B68" w14:textId="77777777" w:rsidTr="00DC1F89">
        <w:trPr>
          <w:trHeight w:val="345"/>
          <w:tblHeader/>
        </w:trPr>
        <w:tc>
          <w:tcPr>
            <w:tcW w:w="305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5743AAC" w14:textId="44F81229" w:rsidR="009B4F0F" w:rsidRPr="000348BD" w:rsidRDefault="009B4F0F" w:rsidP="008240E0">
            <w:pPr>
              <w:rPr>
                <w:rFonts w:ascii="Calibri" w:hAnsi="Calibri" w:cs="Calibri"/>
                <w:b/>
                <w:bCs/>
                <w:sz w:val="18"/>
                <w:szCs w:val="18"/>
                <w:lang w:val="en-AU"/>
              </w:rPr>
            </w:pPr>
            <w:r w:rsidRPr="000348BD">
              <w:rPr>
                <w:rFonts w:ascii="Calibri" w:hAnsi="Calibri" w:cs="Calibri"/>
                <w:b/>
                <w:bCs/>
                <w:sz w:val="18"/>
                <w:szCs w:val="18"/>
                <w:lang w:val="en-AU"/>
              </w:rPr>
              <w:t xml:space="preserve">Headlines </w:t>
            </w:r>
          </w:p>
        </w:tc>
        <w:tc>
          <w:tcPr>
            <w:tcW w:w="1780" w:type="dxa"/>
            <w:tcBorders>
              <w:top w:val="single" w:sz="4" w:space="0" w:color="auto"/>
              <w:left w:val="nil"/>
              <w:bottom w:val="single" w:sz="4" w:space="0" w:color="auto"/>
              <w:right w:val="single" w:sz="4" w:space="0" w:color="auto"/>
            </w:tcBorders>
            <w:shd w:val="clear" w:color="000000" w:fill="DCE6F1"/>
            <w:vAlign w:val="center"/>
            <w:hideMark/>
          </w:tcPr>
          <w:p w14:paraId="66FBBCBD" w14:textId="7746A960" w:rsidR="009B4F0F" w:rsidRPr="000348BD" w:rsidRDefault="009B4F0F" w:rsidP="009B4F0F">
            <w:pPr>
              <w:jc w:val="center"/>
              <w:rPr>
                <w:rFonts w:ascii="Calibri" w:hAnsi="Calibri" w:cs="Calibri"/>
                <w:b/>
                <w:bCs/>
                <w:sz w:val="18"/>
                <w:szCs w:val="18"/>
                <w:lang w:val="en-AU"/>
              </w:rPr>
            </w:pPr>
            <w:r w:rsidRPr="000348BD">
              <w:rPr>
                <w:rFonts w:ascii="Calibri" w:hAnsi="Calibri" w:cs="Calibri"/>
                <w:b/>
                <w:bCs/>
                <w:sz w:val="18"/>
                <w:szCs w:val="18"/>
                <w:lang w:val="en-AU"/>
              </w:rPr>
              <w:t xml:space="preserve">Program </w:t>
            </w:r>
            <w:r w:rsidRPr="000348BD">
              <w:rPr>
                <w:rFonts w:ascii="Calibri" w:hAnsi="Calibri" w:cs="Calibri"/>
                <w:b/>
                <w:bCs/>
                <w:sz w:val="18"/>
                <w:szCs w:val="18"/>
                <w:lang w:val="en-AU"/>
              </w:rPr>
              <w:br/>
              <w:t>Budget</w:t>
            </w:r>
            <w:r w:rsidR="00BC4783">
              <w:rPr>
                <w:rFonts w:ascii="Calibri" w:hAnsi="Calibri" w:cs="Calibri"/>
                <w:b/>
                <w:bCs/>
                <w:sz w:val="18"/>
                <w:szCs w:val="18"/>
                <w:lang w:val="en-AU"/>
              </w:rPr>
              <w:t xml:space="preserve"> (USD)</w:t>
            </w:r>
          </w:p>
        </w:tc>
        <w:tc>
          <w:tcPr>
            <w:tcW w:w="1763" w:type="dxa"/>
            <w:tcBorders>
              <w:top w:val="single" w:sz="4" w:space="0" w:color="auto"/>
              <w:left w:val="nil"/>
              <w:bottom w:val="single" w:sz="4" w:space="0" w:color="auto"/>
              <w:right w:val="single" w:sz="4" w:space="0" w:color="auto"/>
            </w:tcBorders>
            <w:shd w:val="clear" w:color="000000" w:fill="DCE6F1"/>
            <w:vAlign w:val="center"/>
            <w:hideMark/>
          </w:tcPr>
          <w:p w14:paraId="628479D9" w14:textId="4285C0F3" w:rsidR="009B4F0F" w:rsidRPr="000348BD" w:rsidRDefault="009B4F0F" w:rsidP="009B4F0F">
            <w:pPr>
              <w:jc w:val="center"/>
              <w:rPr>
                <w:rFonts w:ascii="Calibri" w:hAnsi="Calibri" w:cs="Calibri"/>
                <w:b/>
                <w:bCs/>
                <w:sz w:val="18"/>
                <w:szCs w:val="18"/>
                <w:lang w:val="en-AU"/>
              </w:rPr>
            </w:pPr>
            <w:r w:rsidRPr="000348BD">
              <w:rPr>
                <w:rFonts w:ascii="Calibri" w:hAnsi="Calibri" w:cs="Calibri"/>
                <w:b/>
                <w:bCs/>
                <w:sz w:val="18"/>
                <w:szCs w:val="18"/>
                <w:lang w:val="en-AU"/>
              </w:rPr>
              <w:t>Inception to Date Spend</w:t>
            </w:r>
            <w:r w:rsidR="008000A7">
              <w:rPr>
                <w:rFonts w:ascii="Calibri" w:hAnsi="Calibri" w:cs="Calibri"/>
                <w:b/>
                <w:bCs/>
                <w:sz w:val="18"/>
                <w:szCs w:val="18"/>
                <w:lang w:val="en-AU"/>
              </w:rPr>
              <w:t xml:space="preserve"> (USD)</w:t>
            </w:r>
          </w:p>
        </w:tc>
        <w:tc>
          <w:tcPr>
            <w:tcW w:w="2615" w:type="dxa"/>
            <w:tcBorders>
              <w:top w:val="single" w:sz="4" w:space="0" w:color="auto"/>
              <w:left w:val="nil"/>
              <w:bottom w:val="single" w:sz="4" w:space="0" w:color="auto"/>
              <w:right w:val="single" w:sz="4" w:space="0" w:color="auto"/>
            </w:tcBorders>
            <w:shd w:val="clear" w:color="000000" w:fill="DCE6F1"/>
            <w:vAlign w:val="center"/>
            <w:hideMark/>
          </w:tcPr>
          <w:p w14:paraId="0F4355D9" w14:textId="17DFE3D5" w:rsidR="009B4F0F" w:rsidRPr="000348BD" w:rsidRDefault="009B4F0F" w:rsidP="009B4F0F">
            <w:pPr>
              <w:jc w:val="center"/>
              <w:rPr>
                <w:rFonts w:ascii="Calibri" w:hAnsi="Calibri" w:cs="Calibri"/>
                <w:b/>
                <w:bCs/>
                <w:sz w:val="18"/>
                <w:szCs w:val="18"/>
                <w:lang w:val="en-AU"/>
              </w:rPr>
            </w:pPr>
            <w:r w:rsidRPr="000348BD">
              <w:rPr>
                <w:rFonts w:ascii="Calibri" w:hAnsi="Calibri" w:cs="Calibri"/>
                <w:b/>
                <w:bCs/>
                <w:sz w:val="18"/>
                <w:szCs w:val="18"/>
                <w:lang w:val="en-AU"/>
              </w:rPr>
              <w:t>Remaining budget</w:t>
            </w:r>
            <w:r w:rsidR="008000A7">
              <w:rPr>
                <w:rFonts w:ascii="Calibri" w:hAnsi="Calibri" w:cs="Calibri"/>
                <w:b/>
                <w:bCs/>
                <w:sz w:val="18"/>
                <w:szCs w:val="18"/>
                <w:lang w:val="en-AU"/>
              </w:rPr>
              <w:t xml:space="preserve"> (USD)</w:t>
            </w:r>
          </w:p>
        </w:tc>
      </w:tr>
      <w:tr w:rsidR="009B4F0F" w:rsidRPr="00C97A19" w14:paraId="38E27C6A"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440EB549"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 xml:space="preserve">Pillar 1: Enabling Environment </w:t>
            </w:r>
          </w:p>
        </w:tc>
        <w:tc>
          <w:tcPr>
            <w:tcW w:w="1780" w:type="dxa"/>
            <w:tcBorders>
              <w:top w:val="nil"/>
              <w:left w:val="nil"/>
              <w:bottom w:val="single" w:sz="4" w:space="0" w:color="auto"/>
              <w:right w:val="single" w:sz="4" w:space="0" w:color="auto"/>
            </w:tcBorders>
            <w:shd w:val="clear" w:color="000000" w:fill="FFFFFF"/>
            <w:noWrap/>
            <w:vAlign w:val="center"/>
            <w:hideMark/>
          </w:tcPr>
          <w:p w14:paraId="034D8BBD" w14:textId="7492E724"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$700.000</w:t>
            </w:r>
          </w:p>
        </w:tc>
        <w:tc>
          <w:tcPr>
            <w:tcW w:w="1763" w:type="dxa"/>
            <w:tcBorders>
              <w:top w:val="nil"/>
              <w:left w:val="nil"/>
              <w:bottom w:val="single" w:sz="4" w:space="0" w:color="auto"/>
              <w:right w:val="single" w:sz="4" w:space="0" w:color="auto"/>
            </w:tcBorders>
            <w:shd w:val="clear" w:color="000000" w:fill="FFFFFF"/>
            <w:noWrap/>
            <w:vAlign w:val="center"/>
            <w:hideMark/>
          </w:tcPr>
          <w:p w14:paraId="50F67972" w14:textId="42BA47BD"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$632.457</w:t>
            </w:r>
          </w:p>
        </w:tc>
        <w:tc>
          <w:tcPr>
            <w:tcW w:w="2615" w:type="dxa"/>
            <w:tcBorders>
              <w:top w:val="nil"/>
              <w:left w:val="nil"/>
              <w:bottom w:val="single" w:sz="4" w:space="0" w:color="auto"/>
              <w:right w:val="single" w:sz="4" w:space="0" w:color="auto"/>
            </w:tcBorders>
            <w:shd w:val="clear" w:color="000000" w:fill="FFFFFF"/>
            <w:noWrap/>
            <w:vAlign w:val="center"/>
            <w:hideMark/>
          </w:tcPr>
          <w:p w14:paraId="1A9DF591" w14:textId="7F5EFAA5"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$67.543</w:t>
            </w:r>
          </w:p>
        </w:tc>
      </w:tr>
      <w:tr w:rsidR="009B4F0F" w:rsidRPr="00C97A19" w14:paraId="52D3C28D"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63CBC5F3"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Pillar 2: Key Growth Sectors</w:t>
            </w:r>
          </w:p>
        </w:tc>
        <w:tc>
          <w:tcPr>
            <w:tcW w:w="1780" w:type="dxa"/>
            <w:tcBorders>
              <w:top w:val="nil"/>
              <w:left w:val="nil"/>
              <w:bottom w:val="single" w:sz="4" w:space="0" w:color="auto"/>
              <w:right w:val="single" w:sz="4" w:space="0" w:color="auto"/>
            </w:tcBorders>
            <w:shd w:val="clear" w:color="000000" w:fill="FFFFFF"/>
            <w:noWrap/>
            <w:vAlign w:val="center"/>
            <w:hideMark/>
          </w:tcPr>
          <w:p w14:paraId="1B75D425" w14:textId="79C275BD"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2.600.000</w:t>
            </w:r>
          </w:p>
        </w:tc>
        <w:tc>
          <w:tcPr>
            <w:tcW w:w="1763" w:type="dxa"/>
            <w:tcBorders>
              <w:top w:val="nil"/>
              <w:left w:val="nil"/>
              <w:bottom w:val="single" w:sz="4" w:space="0" w:color="auto"/>
              <w:right w:val="single" w:sz="4" w:space="0" w:color="auto"/>
            </w:tcBorders>
            <w:shd w:val="clear" w:color="000000" w:fill="FFFFFF"/>
            <w:noWrap/>
            <w:vAlign w:val="center"/>
            <w:hideMark/>
          </w:tcPr>
          <w:p w14:paraId="12585341" w14:textId="342BBFC8"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$1.218.274</w:t>
            </w:r>
          </w:p>
        </w:tc>
        <w:tc>
          <w:tcPr>
            <w:tcW w:w="2615" w:type="dxa"/>
            <w:tcBorders>
              <w:top w:val="nil"/>
              <w:left w:val="nil"/>
              <w:bottom w:val="single" w:sz="4" w:space="0" w:color="auto"/>
              <w:right w:val="single" w:sz="4" w:space="0" w:color="auto"/>
            </w:tcBorders>
            <w:shd w:val="clear" w:color="000000" w:fill="FFFFFF"/>
            <w:noWrap/>
            <w:vAlign w:val="center"/>
            <w:hideMark/>
          </w:tcPr>
          <w:p w14:paraId="617EA6D9" w14:textId="0D6939B2"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$1.381.726</w:t>
            </w:r>
          </w:p>
        </w:tc>
      </w:tr>
      <w:tr w:rsidR="009B4F0F" w:rsidRPr="00C97A19" w14:paraId="1BAD70FF"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20DB6E65"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Pillar 3: Financial sector</w:t>
            </w:r>
          </w:p>
        </w:tc>
        <w:tc>
          <w:tcPr>
            <w:tcW w:w="1780" w:type="dxa"/>
            <w:tcBorders>
              <w:top w:val="nil"/>
              <w:left w:val="nil"/>
              <w:bottom w:val="single" w:sz="4" w:space="0" w:color="auto"/>
              <w:right w:val="single" w:sz="4" w:space="0" w:color="auto"/>
            </w:tcBorders>
            <w:shd w:val="clear" w:color="000000" w:fill="FFFFFF"/>
            <w:noWrap/>
            <w:vAlign w:val="center"/>
            <w:hideMark/>
          </w:tcPr>
          <w:p w14:paraId="1D26E3FF" w14:textId="18D71392"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$2.820.000</w:t>
            </w:r>
          </w:p>
        </w:tc>
        <w:tc>
          <w:tcPr>
            <w:tcW w:w="1763" w:type="dxa"/>
            <w:tcBorders>
              <w:top w:val="nil"/>
              <w:left w:val="nil"/>
              <w:bottom w:val="single" w:sz="4" w:space="0" w:color="auto"/>
              <w:right w:val="single" w:sz="4" w:space="0" w:color="auto"/>
            </w:tcBorders>
            <w:shd w:val="clear" w:color="000000" w:fill="FFFFFF"/>
            <w:noWrap/>
            <w:vAlign w:val="center"/>
            <w:hideMark/>
          </w:tcPr>
          <w:p w14:paraId="7805762A" w14:textId="0E167A78"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$2.604.446</w:t>
            </w:r>
          </w:p>
        </w:tc>
        <w:tc>
          <w:tcPr>
            <w:tcW w:w="2615" w:type="dxa"/>
            <w:tcBorders>
              <w:top w:val="nil"/>
              <w:left w:val="nil"/>
              <w:bottom w:val="single" w:sz="4" w:space="0" w:color="auto"/>
              <w:right w:val="single" w:sz="4" w:space="0" w:color="auto"/>
            </w:tcBorders>
            <w:shd w:val="clear" w:color="000000" w:fill="FFFFFF"/>
            <w:noWrap/>
            <w:vAlign w:val="center"/>
            <w:hideMark/>
          </w:tcPr>
          <w:p w14:paraId="049322DF" w14:textId="0F650A70"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$215.554</w:t>
            </w:r>
          </w:p>
        </w:tc>
      </w:tr>
      <w:tr w:rsidR="009B4F0F" w:rsidRPr="00C97A19" w14:paraId="3B742A15"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67D4B203"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Pillar 4: Gender</w:t>
            </w:r>
          </w:p>
        </w:tc>
        <w:tc>
          <w:tcPr>
            <w:tcW w:w="1780" w:type="dxa"/>
            <w:tcBorders>
              <w:top w:val="nil"/>
              <w:left w:val="nil"/>
              <w:bottom w:val="single" w:sz="4" w:space="0" w:color="auto"/>
              <w:right w:val="single" w:sz="4" w:space="0" w:color="auto"/>
            </w:tcBorders>
            <w:shd w:val="clear" w:color="000000" w:fill="FFFFFF"/>
            <w:noWrap/>
            <w:vAlign w:val="center"/>
            <w:hideMark/>
          </w:tcPr>
          <w:p w14:paraId="65BE12F3" w14:textId="324E310C"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$2.266.770</w:t>
            </w:r>
          </w:p>
        </w:tc>
        <w:tc>
          <w:tcPr>
            <w:tcW w:w="1763" w:type="dxa"/>
            <w:tcBorders>
              <w:top w:val="nil"/>
              <w:left w:val="nil"/>
              <w:bottom w:val="single" w:sz="4" w:space="0" w:color="auto"/>
              <w:right w:val="single" w:sz="4" w:space="0" w:color="auto"/>
            </w:tcBorders>
            <w:shd w:val="clear" w:color="000000" w:fill="FFFFFF"/>
            <w:noWrap/>
            <w:vAlign w:val="center"/>
            <w:hideMark/>
          </w:tcPr>
          <w:p w14:paraId="47E9E9C4" w14:textId="7CBC6256"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$1.460.692</w:t>
            </w:r>
          </w:p>
        </w:tc>
        <w:tc>
          <w:tcPr>
            <w:tcW w:w="2615" w:type="dxa"/>
            <w:tcBorders>
              <w:top w:val="nil"/>
              <w:left w:val="nil"/>
              <w:bottom w:val="single" w:sz="4" w:space="0" w:color="auto"/>
              <w:right w:val="single" w:sz="4" w:space="0" w:color="auto"/>
            </w:tcBorders>
            <w:shd w:val="clear" w:color="000000" w:fill="FFFFFF"/>
            <w:noWrap/>
            <w:vAlign w:val="center"/>
            <w:hideMark/>
          </w:tcPr>
          <w:p w14:paraId="73B9D6D9" w14:textId="62157A4C"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$806.078</w:t>
            </w:r>
          </w:p>
        </w:tc>
      </w:tr>
      <w:tr w:rsidR="009B4F0F" w:rsidRPr="00C97A19" w14:paraId="7551987D"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727F4D01"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Program Management Costs</w:t>
            </w:r>
          </w:p>
        </w:tc>
        <w:tc>
          <w:tcPr>
            <w:tcW w:w="1780" w:type="dxa"/>
            <w:tcBorders>
              <w:top w:val="nil"/>
              <w:left w:val="nil"/>
              <w:bottom w:val="single" w:sz="4" w:space="0" w:color="auto"/>
              <w:right w:val="single" w:sz="4" w:space="0" w:color="auto"/>
            </w:tcBorders>
            <w:shd w:val="clear" w:color="000000" w:fill="FFFFFF"/>
            <w:noWrap/>
            <w:vAlign w:val="center"/>
            <w:hideMark/>
          </w:tcPr>
          <w:p w14:paraId="18BA165A" w14:textId="6D019597"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$611.729</w:t>
            </w:r>
          </w:p>
        </w:tc>
        <w:tc>
          <w:tcPr>
            <w:tcW w:w="1763" w:type="dxa"/>
            <w:tcBorders>
              <w:top w:val="nil"/>
              <w:left w:val="nil"/>
              <w:bottom w:val="single" w:sz="4" w:space="0" w:color="auto"/>
              <w:right w:val="single" w:sz="4" w:space="0" w:color="auto"/>
            </w:tcBorders>
            <w:shd w:val="clear" w:color="000000" w:fill="FFFFFF"/>
            <w:noWrap/>
            <w:vAlign w:val="center"/>
            <w:hideMark/>
          </w:tcPr>
          <w:p w14:paraId="35F83F41" w14:textId="70D4B5D8"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$56.481</w:t>
            </w:r>
          </w:p>
        </w:tc>
        <w:tc>
          <w:tcPr>
            <w:tcW w:w="2615" w:type="dxa"/>
            <w:tcBorders>
              <w:top w:val="nil"/>
              <w:left w:val="nil"/>
              <w:bottom w:val="single" w:sz="4" w:space="0" w:color="auto"/>
              <w:right w:val="single" w:sz="4" w:space="0" w:color="auto"/>
            </w:tcBorders>
            <w:shd w:val="clear" w:color="000000" w:fill="FFFFFF"/>
            <w:noWrap/>
            <w:vAlign w:val="center"/>
            <w:hideMark/>
          </w:tcPr>
          <w:p w14:paraId="0F9F822C" w14:textId="2B510034"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$555.248</w:t>
            </w:r>
          </w:p>
        </w:tc>
      </w:tr>
      <w:tr w:rsidR="009B4F0F" w:rsidRPr="00C97A19" w14:paraId="59818D7B"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5653F0B0"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Unallocated</w:t>
            </w:r>
          </w:p>
        </w:tc>
        <w:tc>
          <w:tcPr>
            <w:tcW w:w="1780" w:type="dxa"/>
            <w:tcBorders>
              <w:top w:val="nil"/>
              <w:left w:val="nil"/>
              <w:bottom w:val="single" w:sz="4" w:space="0" w:color="auto"/>
              <w:right w:val="single" w:sz="4" w:space="0" w:color="auto"/>
            </w:tcBorders>
            <w:shd w:val="clear" w:color="000000" w:fill="FFFFFF"/>
            <w:noWrap/>
            <w:vAlign w:val="center"/>
            <w:hideMark/>
          </w:tcPr>
          <w:p w14:paraId="6D4584C0" w14:textId="5D81918C" w:rsidR="009B4F0F" w:rsidRPr="000348BD" w:rsidRDefault="009B4F0F" w:rsidP="009B4F0F">
            <w:pPr>
              <w:jc w:val="center"/>
              <w:rPr>
                <w:rFonts w:ascii="Calibri" w:hAnsi="Calibri" w:cs="Calibri"/>
                <w:sz w:val="18"/>
                <w:szCs w:val="18"/>
                <w:lang w:val="en-AU"/>
              </w:rPr>
            </w:pPr>
            <w:r w:rsidRPr="000348BD">
              <w:rPr>
                <w:rFonts w:ascii="Calibri" w:hAnsi="Calibri" w:cs="Calibri"/>
                <w:sz w:val="18"/>
                <w:szCs w:val="18"/>
                <w:lang w:val="en-AU"/>
              </w:rPr>
              <w:t>$659.819</w:t>
            </w:r>
          </w:p>
        </w:tc>
        <w:tc>
          <w:tcPr>
            <w:tcW w:w="1763" w:type="dxa"/>
            <w:tcBorders>
              <w:top w:val="nil"/>
              <w:left w:val="nil"/>
              <w:bottom w:val="single" w:sz="4" w:space="0" w:color="auto"/>
              <w:right w:val="single" w:sz="4" w:space="0" w:color="auto"/>
            </w:tcBorders>
            <w:shd w:val="clear" w:color="000000" w:fill="FFFFFF"/>
            <w:noWrap/>
            <w:vAlign w:val="center"/>
            <w:hideMark/>
          </w:tcPr>
          <w:p w14:paraId="1F029A69" w14:textId="2BE9A107" w:rsidR="009B4F0F" w:rsidRPr="000348BD" w:rsidRDefault="00BC4783" w:rsidP="009B4F0F">
            <w:pPr>
              <w:jc w:val="center"/>
              <w:rPr>
                <w:rFonts w:ascii="Calibri" w:hAnsi="Calibri" w:cs="Calibri"/>
                <w:sz w:val="18"/>
                <w:szCs w:val="18"/>
                <w:lang w:val="en-AU"/>
              </w:rPr>
            </w:pPr>
            <w:r>
              <w:rPr>
                <w:rFonts w:ascii="Calibri" w:hAnsi="Calibri" w:cs="Calibri"/>
                <w:sz w:val="18"/>
                <w:szCs w:val="18"/>
                <w:lang w:val="en-AU"/>
              </w:rPr>
              <w:t>n/a</w:t>
            </w:r>
          </w:p>
        </w:tc>
        <w:tc>
          <w:tcPr>
            <w:tcW w:w="2615" w:type="dxa"/>
            <w:tcBorders>
              <w:top w:val="nil"/>
              <w:left w:val="nil"/>
              <w:bottom w:val="single" w:sz="4" w:space="0" w:color="auto"/>
              <w:right w:val="single" w:sz="4" w:space="0" w:color="auto"/>
            </w:tcBorders>
            <w:shd w:val="clear" w:color="000000" w:fill="FFFFFF"/>
            <w:noWrap/>
            <w:vAlign w:val="center"/>
            <w:hideMark/>
          </w:tcPr>
          <w:p w14:paraId="41EA6DC2" w14:textId="1902E20D" w:rsidR="009B4F0F" w:rsidRPr="000348BD" w:rsidRDefault="00BC4783" w:rsidP="009B4F0F">
            <w:pPr>
              <w:jc w:val="center"/>
              <w:rPr>
                <w:rFonts w:ascii="Calibri" w:hAnsi="Calibri" w:cs="Calibri"/>
                <w:sz w:val="18"/>
                <w:szCs w:val="18"/>
                <w:lang w:val="en-AU"/>
              </w:rPr>
            </w:pPr>
            <w:r>
              <w:rPr>
                <w:rFonts w:ascii="Calibri" w:hAnsi="Calibri" w:cs="Calibri"/>
                <w:sz w:val="18"/>
                <w:szCs w:val="18"/>
                <w:lang w:val="en-AU"/>
              </w:rPr>
              <w:t>n/a</w:t>
            </w:r>
          </w:p>
        </w:tc>
      </w:tr>
      <w:tr w:rsidR="009B4F0F" w:rsidRPr="00C97A19" w14:paraId="59C459CB" w14:textId="77777777" w:rsidTr="009B4F0F">
        <w:trPr>
          <w:trHeight w:val="300"/>
        </w:trPr>
        <w:tc>
          <w:tcPr>
            <w:tcW w:w="3051" w:type="dxa"/>
            <w:tcBorders>
              <w:top w:val="nil"/>
              <w:left w:val="single" w:sz="4" w:space="0" w:color="auto"/>
              <w:bottom w:val="single" w:sz="4" w:space="0" w:color="auto"/>
              <w:right w:val="single" w:sz="4" w:space="0" w:color="auto"/>
            </w:tcBorders>
            <w:noWrap/>
            <w:vAlign w:val="center"/>
            <w:hideMark/>
          </w:tcPr>
          <w:p w14:paraId="5A1D9800" w14:textId="77777777" w:rsidR="009B4F0F" w:rsidRPr="000348BD" w:rsidRDefault="009B4F0F" w:rsidP="008240E0">
            <w:pPr>
              <w:rPr>
                <w:rFonts w:ascii="Calibri" w:hAnsi="Calibri" w:cs="Calibri"/>
                <w:color w:val="000000"/>
                <w:sz w:val="18"/>
                <w:szCs w:val="18"/>
                <w:lang w:val="en-AU"/>
              </w:rPr>
            </w:pPr>
            <w:r w:rsidRPr="000348BD">
              <w:rPr>
                <w:rFonts w:ascii="Calibri" w:hAnsi="Calibri" w:cs="Calibri"/>
                <w:color w:val="000000"/>
                <w:sz w:val="18"/>
                <w:szCs w:val="18"/>
                <w:lang w:val="en-AU"/>
              </w:rPr>
              <w:t>Admin fee 5%</w:t>
            </w:r>
          </w:p>
        </w:tc>
        <w:tc>
          <w:tcPr>
            <w:tcW w:w="1780" w:type="dxa"/>
            <w:tcBorders>
              <w:top w:val="nil"/>
              <w:left w:val="nil"/>
              <w:bottom w:val="single" w:sz="4" w:space="0" w:color="auto"/>
              <w:right w:val="single" w:sz="4" w:space="0" w:color="auto"/>
            </w:tcBorders>
            <w:shd w:val="clear" w:color="000000" w:fill="FFFFFF"/>
            <w:noWrap/>
            <w:vAlign w:val="center"/>
            <w:hideMark/>
          </w:tcPr>
          <w:p w14:paraId="3C5D1C8E" w14:textId="63C768B5" w:rsidR="009B4F0F" w:rsidRPr="000348BD" w:rsidRDefault="009B4F0F" w:rsidP="00467344">
            <w:pPr>
              <w:jc w:val="center"/>
              <w:rPr>
                <w:rFonts w:ascii="Calibri" w:hAnsi="Calibri" w:cs="Calibri"/>
                <w:sz w:val="18"/>
                <w:szCs w:val="18"/>
                <w:lang w:val="en-AU"/>
              </w:rPr>
            </w:pPr>
            <w:r w:rsidRPr="000348BD">
              <w:rPr>
                <w:rFonts w:ascii="Calibri" w:hAnsi="Calibri" w:cs="Calibri"/>
                <w:sz w:val="18"/>
                <w:szCs w:val="18"/>
                <w:lang w:val="en-AU"/>
              </w:rPr>
              <w:t>$508.333</w:t>
            </w:r>
          </w:p>
        </w:tc>
        <w:tc>
          <w:tcPr>
            <w:tcW w:w="1763" w:type="dxa"/>
            <w:tcBorders>
              <w:top w:val="nil"/>
              <w:left w:val="nil"/>
              <w:bottom w:val="single" w:sz="4" w:space="0" w:color="auto"/>
              <w:right w:val="single" w:sz="4" w:space="0" w:color="auto"/>
            </w:tcBorders>
            <w:shd w:val="clear" w:color="000000" w:fill="FFFFFF"/>
            <w:noWrap/>
            <w:vAlign w:val="center"/>
            <w:hideMark/>
          </w:tcPr>
          <w:p w14:paraId="5B1D4448" w14:textId="73B993B4" w:rsidR="009B4F0F" w:rsidRPr="000348BD" w:rsidRDefault="00BC4783" w:rsidP="008240E0">
            <w:pPr>
              <w:jc w:val="center"/>
              <w:rPr>
                <w:rFonts w:ascii="Calibri" w:hAnsi="Calibri" w:cs="Calibri"/>
                <w:sz w:val="18"/>
                <w:szCs w:val="18"/>
                <w:lang w:val="en-AU"/>
              </w:rPr>
            </w:pPr>
            <w:r>
              <w:rPr>
                <w:rFonts w:ascii="Calibri" w:hAnsi="Calibri" w:cs="Calibri"/>
                <w:sz w:val="18"/>
                <w:szCs w:val="18"/>
                <w:lang w:val="en-AU"/>
              </w:rPr>
              <w:t>n/a</w:t>
            </w:r>
            <w:r w:rsidR="009B4F0F" w:rsidRPr="000348BD">
              <w:rPr>
                <w:rFonts w:ascii="Calibri" w:hAnsi="Calibri" w:cs="Calibri"/>
                <w:sz w:val="18"/>
                <w:szCs w:val="18"/>
                <w:lang w:val="en-AU"/>
              </w:rPr>
              <w:t> </w:t>
            </w:r>
          </w:p>
        </w:tc>
        <w:tc>
          <w:tcPr>
            <w:tcW w:w="2615" w:type="dxa"/>
            <w:tcBorders>
              <w:top w:val="nil"/>
              <w:left w:val="nil"/>
              <w:bottom w:val="single" w:sz="4" w:space="0" w:color="auto"/>
              <w:right w:val="single" w:sz="4" w:space="0" w:color="auto"/>
            </w:tcBorders>
            <w:shd w:val="clear" w:color="000000" w:fill="FFFFFF"/>
            <w:noWrap/>
            <w:vAlign w:val="center"/>
            <w:hideMark/>
          </w:tcPr>
          <w:p w14:paraId="0CD1700D" w14:textId="20514F0E" w:rsidR="009B4F0F" w:rsidRPr="000348BD" w:rsidRDefault="009B4F0F" w:rsidP="008240E0">
            <w:pPr>
              <w:jc w:val="center"/>
              <w:rPr>
                <w:rFonts w:ascii="Calibri" w:hAnsi="Calibri" w:cs="Calibri"/>
                <w:sz w:val="18"/>
                <w:szCs w:val="18"/>
                <w:lang w:val="en-AU"/>
              </w:rPr>
            </w:pPr>
            <w:r w:rsidRPr="000348BD">
              <w:rPr>
                <w:rFonts w:ascii="Calibri" w:hAnsi="Calibri" w:cs="Calibri"/>
                <w:sz w:val="18"/>
                <w:szCs w:val="18"/>
                <w:lang w:val="en-AU"/>
              </w:rPr>
              <w:t> </w:t>
            </w:r>
            <w:r w:rsidR="00BC4783">
              <w:rPr>
                <w:rFonts w:ascii="Calibri" w:hAnsi="Calibri" w:cs="Calibri"/>
                <w:sz w:val="18"/>
                <w:szCs w:val="18"/>
                <w:lang w:val="en-AU"/>
              </w:rPr>
              <w:t>n/a</w:t>
            </w:r>
          </w:p>
        </w:tc>
      </w:tr>
      <w:tr w:rsidR="009B4F0F" w:rsidRPr="00C97A19" w14:paraId="4443C1BB" w14:textId="77777777" w:rsidTr="009B4F0F">
        <w:trPr>
          <w:trHeight w:val="280"/>
        </w:trPr>
        <w:tc>
          <w:tcPr>
            <w:tcW w:w="3051"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5CB5ADFD" w14:textId="32835CFB" w:rsidR="009B4F0F" w:rsidRPr="000348BD" w:rsidRDefault="009B4F0F" w:rsidP="008240E0">
            <w:pPr>
              <w:rPr>
                <w:rFonts w:ascii="Calibri" w:hAnsi="Calibri" w:cs="Calibri"/>
                <w:b/>
                <w:bCs/>
                <w:sz w:val="18"/>
                <w:szCs w:val="18"/>
                <w:lang w:val="en-AU"/>
              </w:rPr>
            </w:pPr>
            <w:r w:rsidRPr="000348BD">
              <w:rPr>
                <w:rFonts w:ascii="Calibri" w:hAnsi="Calibri" w:cs="Calibri"/>
                <w:b/>
                <w:bCs/>
                <w:sz w:val="18"/>
                <w:szCs w:val="18"/>
                <w:lang w:val="en-AU"/>
              </w:rPr>
              <w:t> TOTAL</w:t>
            </w:r>
          </w:p>
        </w:tc>
        <w:tc>
          <w:tcPr>
            <w:tcW w:w="1780"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40E0BCAB" w14:textId="408F8D1C" w:rsidR="009B4F0F" w:rsidRPr="000348BD" w:rsidRDefault="009B4F0F" w:rsidP="008240E0">
            <w:pPr>
              <w:jc w:val="center"/>
              <w:rPr>
                <w:rFonts w:ascii="Calibri" w:hAnsi="Calibri" w:cs="Calibri"/>
                <w:b/>
                <w:bCs/>
                <w:sz w:val="18"/>
                <w:szCs w:val="18"/>
                <w:lang w:val="en-AU"/>
              </w:rPr>
            </w:pPr>
            <w:r w:rsidRPr="000348BD">
              <w:rPr>
                <w:rFonts w:ascii="Calibri" w:hAnsi="Calibri" w:cs="Calibri"/>
                <w:b/>
                <w:bCs/>
                <w:sz w:val="18"/>
                <w:szCs w:val="18"/>
                <w:lang w:val="en-AU"/>
              </w:rPr>
              <w:t xml:space="preserve">$10.166.650 </w:t>
            </w:r>
          </w:p>
        </w:tc>
        <w:tc>
          <w:tcPr>
            <w:tcW w:w="1763"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08B2CC55" w14:textId="77777777" w:rsidR="009B4F0F" w:rsidRPr="000348BD" w:rsidRDefault="009B4F0F" w:rsidP="008240E0">
            <w:pPr>
              <w:jc w:val="center"/>
              <w:rPr>
                <w:rFonts w:ascii="Calibri" w:hAnsi="Calibri" w:cs="Calibri"/>
                <w:b/>
                <w:bCs/>
                <w:sz w:val="18"/>
                <w:szCs w:val="18"/>
                <w:lang w:val="en-AU"/>
              </w:rPr>
            </w:pPr>
            <w:r w:rsidRPr="000348BD">
              <w:rPr>
                <w:rFonts w:ascii="Calibri" w:hAnsi="Calibri" w:cs="Calibri"/>
                <w:b/>
                <w:bCs/>
                <w:sz w:val="18"/>
                <w:szCs w:val="18"/>
                <w:lang w:val="en-AU"/>
              </w:rPr>
              <w:t> </w:t>
            </w:r>
          </w:p>
        </w:tc>
        <w:tc>
          <w:tcPr>
            <w:tcW w:w="2615"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4E55950C" w14:textId="10B50769" w:rsidR="009B4F0F" w:rsidRPr="000348BD" w:rsidRDefault="009B4F0F" w:rsidP="008240E0">
            <w:pPr>
              <w:jc w:val="center"/>
              <w:rPr>
                <w:rFonts w:ascii="Calibri" w:hAnsi="Calibri" w:cs="Calibri"/>
                <w:b/>
                <w:bCs/>
                <w:sz w:val="18"/>
                <w:szCs w:val="18"/>
                <w:lang w:val="en-AU"/>
              </w:rPr>
            </w:pPr>
            <w:r w:rsidRPr="000348BD">
              <w:rPr>
                <w:rFonts w:ascii="Calibri" w:hAnsi="Calibri" w:cs="Calibri"/>
                <w:b/>
                <w:bCs/>
                <w:sz w:val="18"/>
                <w:szCs w:val="18"/>
                <w:lang w:val="en-AU"/>
              </w:rPr>
              <w:t xml:space="preserve">$3.026.149 </w:t>
            </w:r>
          </w:p>
        </w:tc>
      </w:tr>
    </w:tbl>
    <w:p w14:paraId="5EFA0EA1" w14:textId="015CC102" w:rsidR="008902B6" w:rsidRDefault="00253B43" w:rsidP="00F41533">
      <w:pPr>
        <w:pStyle w:val="Caption"/>
        <w:spacing w:after="0"/>
        <w:rPr>
          <w:rFonts w:asciiTheme="minorHAnsi" w:eastAsiaTheme="minorHAnsi" w:hAnsiTheme="minorHAnsi" w:cstheme="minorBidi"/>
          <w:kern w:val="2"/>
          <w:sz w:val="22"/>
          <w:szCs w:val="22"/>
          <w:lang w:val="en-AU"/>
          <w14:ligatures w14:val="standardContextual"/>
        </w:rPr>
      </w:pPr>
      <w:r w:rsidRPr="00C97A19">
        <w:rPr>
          <w:rFonts w:ascii="Calibri" w:hAnsi="Calibri" w:cs="Calibri"/>
          <w:i/>
          <w:iCs/>
          <w:lang w:val="en-AU"/>
        </w:rPr>
        <w:lastRenderedPageBreak/>
        <w:t xml:space="preserve">Table </w:t>
      </w:r>
      <w:r w:rsidR="00467344" w:rsidRPr="00C97A19">
        <w:rPr>
          <w:rFonts w:ascii="Calibri" w:hAnsi="Calibri" w:cs="Calibri"/>
          <w:i/>
          <w:iCs/>
          <w:lang w:val="en-AU"/>
        </w:rPr>
        <w:t>8</w:t>
      </w:r>
      <w:r w:rsidRPr="00C97A19">
        <w:rPr>
          <w:rFonts w:ascii="Calibri" w:hAnsi="Calibri" w:cs="Calibri"/>
          <w:i/>
          <w:iCs/>
          <w:lang w:val="en-AU"/>
        </w:rPr>
        <w:t>: Summary of Expenses by Projects</w:t>
      </w:r>
      <w:r w:rsidR="008902B6">
        <w:rPr>
          <w:lang w:val="en-AU"/>
        </w:rPr>
        <w:fldChar w:fldCharType="begin"/>
      </w:r>
      <w:r w:rsidR="008902B6">
        <w:rPr>
          <w:lang w:val="en-AU"/>
        </w:rPr>
        <w:instrText xml:space="preserve"> LINK Excel.Sheet.12 "Book1" "Sheet1!R1C8:R24C13" \a \f 4 \h  \* MERGEFORMAT </w:instrText>
      </w:r>
      <w:r w:rsidR="008902B6">
        <w:rPr>
          <w:lang w:val="en-AU"/>
        </w:rPr>
        <w:fldChar w:fldCharType="separate"/>
      </w:r>
    </w:p>
    <w:p w14:paraId="6FCC6B5E" w14:textId="77777777" w:rsidR="00DC1F89" w:rsidRDefault="008902B6" w:rsidP="00B37E73">
      <w:pPr>
        <w:rPr>
          <w:lang w:val="en-AU"/>
        </w:rPr>
      </w:pPr>
      <w:r>
        <w:rPr>
          <w:lang w:val="en-AU"/>
        </w:rPr>
        <w:fldChar w:fldCharType="end"/>
      </w:r>
    </w:p>
    <w:tbl>
      <w:tblPr>
        <w:tblW w:w="10612" w:type="dxa"/>
        <w:tblLook w:val="04A0" w:firstRow="1" w:lastRow="0" w:firstColumn="1" w:lastColumn="0" w:noHBand="0" w:noVBand="1"/>
      </w:tblPr>
      <w:tblGrid>
        <w:gridCol w:w="2404"/>
        <w:gridCol w:w="3229"/>
        <w:gridCol w:w="1124"/>
        <w:gridCol w:w="1285"/>
        <w:gridCol w:w="1445"/>
        <w:gridCol w:w="1125"/>
      </w:tblGrid>
      <w:tr w:rsidR="00DC1F89" w:rsidRPr="008902B6" w14:paraId="149ADE48" w14:textId="77777777" w:rsidTr="00DC1F89">
        <w:trPr>
          <w:trHeight w:val="675"/>
          <w:tblHeader/>
        </w:trPr>
        <w:tc>
          <w:tcPr>
            <w:tcW w:w="2116" w:type="dxa"/>
            <w:tcBorders>
              <w:top w:val="single" w:sz="8" w:space="0" w:color="auto"/>
              <w:left w:val="single" w:sz="8" w:space="0" w:color="auto"/>
              <w:bottom w:val="single" w:sz="4" w:space="0" w:color="auto"/>
              <w:right w:val="single" w:sz="4" w:space="0" w:color="auto"/>
            </w:tcBorders>
            <w:shd w:val="clear" w:color="000000" w:fill="CAEDFB"/>
            <w:noWrap/>
            <w:vAlign w:val="center"/>
            <w:hideMark/>
          </w:tcPr>
          <w:p w14:paraId="103FFB46" w14:textId="77777777" w:rsidR="00DC1F89" w:rsidRPr="008902B6" w:rsidRDefault="00DC1F89" w:rsidP="00361731">
            <w:pPr>
              <w:jc w:val="center"/>
              <w:rPr>
                <w:rFonts w:ascii="Calibri" w:hAnsi="Calibri" w:cs="Calibri"/>
                <w:b/>
                <w:bCs/>
                <w:color w:val="000000"/>
                <w:sz w:val="18"/>
                <w:szCs w:val="18"/>
                <w:lang w:val="en-US"/>
              </w:rPr>
            </w:pPr>
            <w:r w:rsidRPr="008902B6">
              <w:rPr>
                <w:rFonts w:ascii="Calibri" w:hAnsi="Calibri" w:cs="Calibri"/>
                <w:b/>
                <w:bCs/>
                <w:color w:val="000000"/>
                <w:sz w:val="18"/>
                <w:szCs w:val="18"/>
                <w:lang w:val="en-AU"/>
              </w:rPr>
              <w:t>Component</w:t>
            </w:r>
            <w:r>
              <w:rPr>
                <w:rFonts w:ascii="Calibri" w:hAnsi="Calibri" w:cs="Calibri"/>
                <w:b/>
                <w:bCs/>
                <w:color w:val="000000"/>
                <w:sz w:val="18"/>
                <w:szCs w:val="18"/>
                <w:lang w:val="en-AU"/>
              </w:rPr>
              <w:t xml:space="preserve"> No.</w:t>
            </w:r>
          </w:p>
        </w:tc>
        <w:tc>
          <w:tcPr>
            <w:tcW w:w="2842" w:type="dxa"/>
            <w:tcBorders>
              <w:top w:val="single" w:sz="8" w:space="0" w:color="auto"/>
              <w:left w:val="nil"/>
              <w:bottom w:val="single" w:sz="4" w:space="0" w:color="auto"/>
              <w:right w:val="single" w:sz="4" w:space="0" w:color="auto"/>
            </w:tcBorders>
            <w:shd w:val="clear" w:color="000000" w:fill="CAEDFB"/>
            <w:noWrap/>
            <w:vAlign w:val="center"/>
            <w:hideMark/>
          </w:tcPr>
          <w:p w14:paraId="0197654E"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 </w:t>
            </w:r>
            <w:r>
              <w:rPr>
                <w:rFonts w:ascii="Calibri" w:hAnsi="Calibri" w:cs="Calibri"/>
                <w:b/>
                <w:bCs/>
                <w:color w:val="000000"/>
                <w:sz w:val="18"/>
                <w:szCs w:val="18"/>
                <w:lang w:val="en-AU"/>
              </w:rPr>
              <w:t>Names</w:t>
            </w:r>
          </w:p>
        </w:tc>
        <w:tc>
          <w:tcPr>
            <w:tcW w:w="989" w:type="dxa"/>
            <w:tcBorders>
              <w:top w:val="single" w:sz="8" w:space="0" w:color="auto"/>
              <w:left w:val="nil"/>
              <w:bottom w:val="single" w:sz="4" w:space="0" w:color="auto"/>
              <w:right w:val="single" w:sz="4" w:space="0" w:color="auto"/>
            </w:tcBorders>
            <w:shd w:val="clear" w:color="000000" w:fill="CAEDFB"/>
            <w:noWrap/>
            <w:vAlign w:val="center"/>
            <w:hideMark/>
          </w:tcPr>
          <w:p w14:paraId="28160FA5" w14:textId="77777777" w:rsidR="00DC1F89" w:rsidRPr="008902B6" w:rsidRDefault="00DC1F89" w:rsidP="00361731">
            <w:pPr>
              <w:jc w:val="center"/>
              <w:rPr>
                <w:rFonts w:ascii="Calibri" w:hAnsi="Calibri" w:cs="Calibri"/>
                <w:b/>
                <w:bCs/>
                <w:color w:val="000000"/>
                <w:sz w:val="18"/>
                <w:szCs w:val="18"/>
                <w:lang w:val="en-US"/>
              </w:rPr>
            </w:pPr>
            <w:r w:rsidRPr="008902B6">
              <w:rPr>
                <w:rFonts w:ascii="Calibri" w:hAnsi="Calibri" w:cs="Calibri"/>
                <w:b/>
                <w:bCs/>
                <w:color w:val="000000"/>
                <w:sz w:val="18"/>
                <w:szCs w:val="18"/>
                <w:lang w:val="en-AU"/>
              </w:rPr>
              <w:t>Pillar</w:t>
            </w:r>
          </w:p>
        </w:tc>
        <w:tc>
          <w:tcPr>
            <w:tcW w:w="1131" w:type="dxa"/>
            <w:tcBorders>
              <w:top w:val="single" w:sz="8" w:space="0" w:color="auto"/>
              <w:left w:val="nil"/>
              <w:bottom w:val="single" w:sz="4" w:space="0" w:color="auto"/>
              <w:right w:val="single" w:sz="4" w:space="0" w:color="auto"/>
            </w:tcBorders>
            <w:shd w:val="clear" w:color="000000" w:fill="CAEDFB"/>
            <w:noWrap/>
            <w:vAlign w:val="center"/>
            <w:hideMark/>
          </w:tcPr>
          <w:p w14:paraId="7162EA28" w14:textId="77777777" w:rsidR="00DC1F89" w:rsidRPr="008902B6" w:rsidRDefault="00DC1F89" w:rsidP="00361731">
            <w:pPr>
              <w:jc w:val="center"/>
              <w:rPr>
                <w:rFonts w:ascii="Calibri" w:hAnsi="Calibri" w:cs="Calibri"/>
                <w:b/>
                <w:bCs/>
                <w:color w:val="000000"/>
                <w:sz w:val="18"/>
                <w:szCs w:val="18"/>
                <w:lang w:val="en-US"/>
              </w:rPr>
            </w:pPr>
            <w:r w:rsidRPr="008902B6">
              <w:rPr>
                <w:rFonts w:ascii="Calibri" w:hAnsi="Calibri" w:cs="Calibri"/>
                <w:b/>
                <w:bCs/>
                <w:color w:val="000000"/>
                <w:sz w:val="18"/>
                <w:szCs w:val="18"/>
                <w:lang w:val="en-AU"/>
              </w:rPr>
              <w:t>Allocation</w:t>
            </w:r>
          </w:p>
        </w:tc>
        <w:tc>
          <w:tcPr>
            <w:tcW w:w="1272" w:type="dxa"/>
            <w:tcBorders>
              <w:top w:val="single" w:sz="8" w:space="0" w:color="auto"/>
              <w:left w:val="nil"/>
              <w:bottom w:val="single" w:sz="4" w:space="0" w:color="auto"/>
              <w:right w:val="single" w:sz="4" w:space="0" w:color="auto"/>
            </w:tcBorders>
            <w:shd w:val="clear" w:color="000000" w:fill="CAEDFB"/>
            <w:vAlign w:val="center"/>
            <w:hideMark/>
          </w:tcPr>
          <w:p w14:paraId="7ABDF53B" w14:textId="77777777" w:rsidR="00DC1F89" w:rsidRPr="008902B6" w:rsidRDefault="00DC1F89" w:rsidP="00361731">
            <w:pPr>
              <w:jc w:val="center"/>
              <w:rPr>
                <w:rFonts w:ascii="Calibri" w:hAnsi="Calibri" w:cs="Calibri"/>
                <w:b/>
                <w:bCs/>
                <w:color w:val="000000"/>
                <w:sz w:val="18"/>
                <w:szCs w:val="18"/>
                <w:lang w:val="en-US"/>
              </w:rPr>
            </w:pPr>
            <w:r w:rsidRPr="008902B6">
              <w:rPr>
                <w:rFonts w:ascii="Calibri" w:hAnsi="Calibri" w:cs="Calibri"/>
                <w:b/>
                <w:bCs/>
                <w:color w:val="000000"/>
                <w:sz w:val="18"/>
                <w:szCs w:val="18"/>
                <w:lang w:val="en-AU"/>
              </w:rPr>
              <w:t>Spent as of Dec 2025</w:t>
            </w:r>
          </w:p>
        </w:tc>
        <w:tc>
          <w:tcPr>
            <w:tcW w:w="990" w:type="dxa"/>
            <w:tcBorders>
              <w:top w:val="single" w:sz="8" w:space="0" w:color="auto"/>
              <w:left w:val="nil"/>
              <w:bottom w:val="single" w:sz="4" w:space="0" w:color="auto"/>
              <w:right w:val="single" w:sz="8" w:space="0" w:color="auto"/>
            </w:tcBorders>
            <w:shd w:val="clear" w:color="000000" w:fill="CAEDFB"/>
            <w:noWrap/>
            <w:vAlign w:val="center"/>
            <w:hideMark/>
          </w:tcPr>
          <w:p w14:paraId="6475C1DB" w14:textId="77777777" w:rsidR="00DC1F89" w:rsidRPr="008902B6" w:rsidRDefault="00DC1F89" w:rsidP="00361731">
            <w:pPr>
              <w:jc w:val="center"/>
              <w:rPr>
                <w:rFonts w:ascii="Calibri" w:hAnsi="Calibri" w:cs="Calibri"/>
                <w:b/>
                <w:bCs/>
                <w:color w:val="000000"/>
                <w:sz w:val="18"/>
                <w:szCs w:val="18"/>
                <w:lang w:val="en-US"/>
              </w:rPr>
            </w:pPr>
            <w:r w:rsidRPr="008902B6">
              <w:rPr>
                <w:rFonts w:ascii="Calibri" w:hAnsi="Calibri" w:cs="Calibri"/>
                <w:b/>
                <w:bCs/>
                <w:color w:val="000000"/>
                <w:sz w:val="18"/>
                <w:szCs w:val="18"/>
                <w:lang w:val="en-AU"/>
              </w:rPr>
              <w:t>Utilisation</w:t>
            </w:r>
          </w:p>
        </w:tc>
      </w:tr>
      <w:tr w:rsidR="00DC1F89" w:rsidRPr="008902B6" w14:paraId="755B5551" w14:textId="77777777" w:rsidTr="00361731">
        <w:trPr>
          <w:trHeight w:val="435"/>
        </w:trPr>
        <w:tc>
          <w:tcPr>
            <w:tcW w:w="2116" w:type="dxa"/>
            <w:tcBorders>
              <w:top w:val="single" w:sz="4" w:space="0" w:color="auto"/>
              <w:left w:val="single" w:sz="8" w:space="0" w:color="auto"/>
              <w:bottom w:val="single" w:sz="4" w:space="0" w:color="auto"/>
              <w:right w:val="single" w:sz="4" w:space="0" w:color="auto"/>
            </w:tcBorders>
            <w:shd w:val="clear" w:color="000000" w:fill="CAEDFB"/>
            <w:noWrap/>
            <w:vAlign w:val="center"/>
          </w:tcPr>
          <w:p w14:paraId="144E1CF7"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Pillar 1</w:t>
            </w:r>
          </w:p>
        </w:tc>
        <w:tc>
          <w:tcPr>
            <w:tcW w:w="2842" w:type="dxa"/>
            <w:tcBorders>
              <w:top w:val="single" w:sz="4" w:space="0" w:color="auto"/>
              <w:left w:val="single" w:sz="4" w:space="0" w:color="auto"/>
              <w:bottom w:val="single" w:sz="4" w:space="0" w:color="auto"/>
              <w:right w:val="single" w:sz="4" w:space="0" w:color="auto"/>
            </w:tcBorders>
            <w:shd w:val="clear" w:color="000000" w:fill="CAEDFB"/>
            <w:vAlign w:val="center"/>
          </w:tcPr>
          <w:p w14:paraId="13B9FB09"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Enabling Environment</w:t>
            </w:r>
          </w:p>
        </w:tc>
        <w:tc>
          <w:tcPr>
            <w:tcW w:w="989"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60E050CC" w14:textId="77777777" w:rsidR="00DC1F89" w:rsidRPr="008902B6" w:rsidRDefault="00DC1F89" w:rsidP="00361731">
            <w:pPr>
              <w:rPr>
                <w:rFonts w:ascii="Calibri" w:hAnsi="Calibri" w:cs="Calibri"/>
                <w:b/>
                <w:bCs/>
                <w:color w:val="000000"/>
                <w:sz w:val="18"/>
                <w:szCs w:val="18"/>
                <w:lang w:val="en-US"/>
              </w:rPr>
            </w:pPr>
            <w:r>
              <w:rPr>
                <w:rFonts w:ascii="Calibri" w:hAnsi="Calibri" w:cs="Calibri"/>
                <w:b/>
                <w:bCs/>
                <w:color w:val="000000"/>
                <w:sz w:val="18"/>
                <w:szCs w:val="18"/>
                <w:lang w:val="en-US"/>
              </w:rPr>
              <w:t>P1</w:t>
            </w:r>
            <w:r w:rsidRPr="008902B6">
              <w:rPr>
                <w:rFonts w:ascii="Calibri" w:hAnsi="Calibri" w:cs="Calibri"/>
                <w:b/>
                <w:bCs/>
                <w:color w:val="000000"/>
                <w:sz w:val="18"/>
                <w:szCs w:val="18"/>
                <w:lang w:val="en-US"/>
              </w:rPr>
              <w:t> </w:t>
            </w:r>
          </w:p>
        </w:tc>
        <w:tc>
          <w:tcPr>
            <w:tcW w:w="1131"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18889BB9"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700</w:t>
            </w:r>
          </w:p>
        </w:tc>
        <w:tc>
          <w:tcPr>
            <w:tcW w:w="1272" w:type="dxa"/>
            <w:tcBorders>
              <w:top w:val="nil"/>
              <w:left w:val="nil"/>
              <w:bottom w:val="single" w:sz="4" w:space="0" w:color="auto"/>
              <w:right w:val="single" w:sz="4" w:space="0" w:color="auto"/>
            </w:tcBorders>
            <w:shd w:val="clear" w:color="000000" w:fill="CAEDFB"/>
            <w:noWrap/>
            <w:vAlign w:val="center"/>
            <w:hideMark/>
          </w:tcPr>
          <w:p w14:paraId="4BCAB41D"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632.457</w:t>
            </w:r>
          </w:p>
        </w:tc>
        <w:tc>
          <w:tcPr>
            <w:tcW w:w="990" w:type="dxa"/>
            <w:tcBorders>
              <w:top w:val="nil"/>
              <w:left w:val="nil"/>
              <w:bottom w:val="single" w:sz="4" w:space="0" w:color="auto"/>
              <w:right w:val="single" w:sz="8" w:space="0" w:color="auto"/>
            </w:tcBorders>
            <w:shd w:val="clear" w:color="000000" w:fill="CAEDFB"/>
            <w:noWrap/>
            <w:vAlign w:val="center"/>
            <w:hideMark/>
          </w:tcPr>
          <w:p w14:paraId="3A6CA74F"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90%</w:t>
            </w:r>
          </w:p>
        </w:tc>
      </w:tr>
      <w:tr w:rsidR="00DC1F89" w:rsidRPr="008902B6" w14:paraId="7CFF7803"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4BE4F98A"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606973</w:t>
            </w:r>
          </w:p>
        </w:tc>
        <w:tc>
          <w:tcPr>
            <w:tcW w:w="2842" w:type="dxa"/>
            <w:tcBorders>
              <w:top w:val="nil"/>
              <w:left w:val="nil"/>
              <w:bottom w:val="single" w:sz="4" w:space="0" w:color="auto"/>
              <w:right w:val="single" w:sz="4" w:space="0" w:color="auto"/>
            </w:tcBorders>
            <w:noWrap/>
            <w:vAlign w:val="center"/>
            <w:hideMark/>
          </w:tcPr>
          <w:p w14:paraId="2A45F960"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 xml:space="preserve">Vietnam Investment Policy Reform </w:t>
            </w:r>
          </w:p>
        </w:tc>
        <w:tc>
          <w:tcPr>
            <w:tcW w:w="989" w:type="dxa"/>
            <w:tcBorders>
              <w:top w:val="nil"/>
              <w:left w:val="nil"/>
              <w:bottom w:val="single" w:sz="4" w:space="0" w:color="auto"/>
              <w:right w:val="single" w:sz="4" w:space="0" w:color="auto"/>
            </w:tcBorders>
            <w:noWrap/>
            <w:vAlign w:val="center"/>
            <w:hideMark/>
          </w:tcPr>
          <w:p w14:paraId="597CB456"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P1</w:t>
            </w:r>
          </w:p>
        </w:tc>
        <w:tc>
          <w:tcPr>
            <w:tcW w:w="1131" w:type="dxa"/>
            <w:tcBorders>
              <w:top w:val="nil"/>
              <w:left w:val="nil"/>
              <w:bottom w:val="single" w:sz="4" w:space="0" w:color="auto"/>
              <w:right w:val="single" w:sz="4" w:space="0" w:color="auto"/>
            </w:tcBorders>
            <w:noWrap/>
            <w:vAlign w:val="center"/>
            <w:hideMark/>
          </w:tcPr>
          <w:p w14:paraId="201F26A1"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700</w:t>
            </w:r>
          </w:p>
        </w:tc>
        <w:tc>
          <w:tcPr>
            <w:tcW w:w="1272" w:type="dxa"/>
            <w:tcBorders>
              <w:top w:val="nil"/>
              <w:left w:val="nil"/>
              <w:bottom w:val="single" w:sz="4" w:space="0" w:color="auto"/>
              <w:right w:val="single" w:sz="4" w:space="0" w:color="auto"/>
            </w:tcBorders>
            <w:noWrap/>
            <w:vAlign w:val="center"/>
            <w:hideMark/>
          </w:tcPr>
          <w:p w14:paraId="6619AABB"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632.457</w:t>
            </w:r>
          </w:p>
        </w:tc>
        <w:tc>
          <w:tcPr>
            <w:tcW w:w="990" w:type="dxa"/>
            <w:tcBorders>
              <w:top w:val="nil"/>
              <w:left w:val="nil"/>
              <w:bottom w:val="single" w:sz="4" w:space="0" w:color="auto"/>
              <w:right w:val="single" w:sz="8" w:space="0" w:color="auto"/>
            </w:tcBorders>
            <w:noWrap/>
            <w:vAlign w:val="center"/>
            <w:hideMark/>
          </w:tcPr>
          <w:p w14:paraId="01B7A346"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90%</w:t>
            </w:r>
          </w:p>
        </w:tc>
      </w:tr>
      <w:tr w:rsidR="00DC1F89" w:rsidRPr="008902B6" w14:paraId="6B64796B" w14:textId="77777777" w:rsidTr="00361731">
        <w:trPr>
          <w:trHeight w:val="439"/>
        </w:trPr>
        <w:tc>
          <w:tcPr>
            <w:tcW w:w="2116"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6FAC0526"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Pillar 2</w:t>
            </w:r>
          </w:p>
        </w:tc>
        <w:tc>
          <w:tcPr>
            <w:tcW w:w="2842"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354E6F87"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sidRPr="008902B6">
              <w:rPr>
                <w:rFonts w:ascii="Calibri" w:hAnsi="Calibri" w:cs="Calibri"/>
                <w:b/>
                <w:bCs/>
                <w:color w:val="000000"/>
                <w:sz w:val="18"/>
                <w:szCs w:val="18"/>
                <w:lang w:val="en-AU"/>
              </w:rPr>
              <w:t>Key Growth Sectors</w:t>
            </w:r>
          </w:p>
        </w:tc>
        <w:tc>
          <w:tcPr>
            <w:tcW w:w="989"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1D19571A"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Pr>
                <w:rFonts w:ascii="Calibri" w:hAnsi="Calibri" w:cs="Calibri"/>
                <w:b/>
                <w:bCs/>
                <w:color w:val="000000"/>
                <w:sz w:val="18"/>
                <w:szCs w:val="18"/>
                <w:lang w:val="en-US"/>
              </w:rPr>
              <w:t>P2</w:t>
            </w:r>
          </w:p>
        </w:tc>
        <w:tc>
          <w:tcPr>
            <w:tcW w:w="1131" w:type="dxa"/>
            <w:tcBorders>
              <w:top w:val="nil"/>
              <w:left w:val="single" w:sz="4" w:space="0" w:color="auto"/>
              <w:bottom w:val="single" w:sz="4" w:space="0" w:color="auto"/>
              <w:right w:val="single" w:sz="4" w:space="0" w:color="auto"/>
            </w:tcBorders>
            <w:shd w:val="clear" w:color="000000" w:fill="CAEDFB"/>
            <w:noWrap/>
            <w:vAlign w:val="center"/>
            <w:hideMark/>
          </w:tcPr>
          <w:p w14:paraId="702F37BD"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2.600.000</w:t>
            </w:r>
          </w:p>
        </w:tc>
        <w:tc>
          <w:tcPr>
            <w:tcW w:w="1272" w:type="dxa"/>
            <w:tcBorders>
              <w:top w:val="nil"/>
              <w:left w:val="nil"/>
              <w:bottom w:val="single" w:sz="4" w:space="0" w:color="auto"/>
              <w:right w:val="single" w:sz="4" w:space="0" w:color="auto"/>
            </w:tcBorders>
            <w:shd w:val="clear" w:color="000000" w:fill="CAEDFB"/>
            <w:noWrap/>
            <w:vAlign w:val="center"/>
            <w:hideMark/>
          </w:tcPr>
          <w:p w14:paraId="5E7A4FCF"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1.218.274</w:t>
            </w:r>
          </w:p>
        </w:tc>
        <w:tc>
          <w:tcPr>
            <w:tcW w:w="990" w:type="dxa"/>
            <w:tcBorders>
              <w:top w:val="nil"/>
              <w:left w:val="nil"/>
              <w:bottom w:val="single" w:sz="4" w:space="0" w:color="auto"/>
              <w:right w:val="single" w:sz="8" w:space="0" w:color="auto"/>
            </w:tcBorders>
            <w:shd w:val="clear" w:color="000000" w:fill="CAEDFB"/>
            <w:noWrap/>
            <w:vAlign w:val="center"/>
            <w:hideMark/>
          </w:tcPr>
          <w:p w14:paraId="1554A5AC"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47%</w:t>
            </w:r>
          </w:p>
        </w:tc>
      </w:tr>
      <w:tr w:rsidR="00DC1F89" w:rsidRPr="008902B6" w14:paraId="66667EA6"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0892F815"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608006</w:t>
            </w:r>
          </w:p>
        </w:tc>
        <w:tc>
          <w:tcPr>
            <w:tcW w:w="2842" w:type="dxa"/>
            <w:tcBorders>
              <w:top w:val="nil"/>
              <w:left w:val="nil"/>
              <w:bottom w:val="single" w:sz="4" w:space="0" w:color="auto"/>
              <w:right w:val="single" w:sz="4" w:space="0" w:color="auto"/>
            </w:tcBorders>
            <w:noWrap/>
            <w:vAlign w:val="center"/>
            <w:hideMark/>
          </w:tcPr>
          <w:p w14:paraId="0943FB00"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Building Resilience Index</w:t>
            </w:r>
          </w:p>
        </w:tc>
        <w:tc>
          <w:tcPr>
            <w:tcW w:w="989" w:type="dxa"/>
            <w:tcBorders>
              <w:top w:val="nil"/>
              <w:left w:val="nil"/>
              <w:bottom w:val="single" w:sz="4" w:space="0" w:color="auto"/>
              <w:right w:val="single" w:sz="4" w:space="0" w:color="auto"/>
            </w:tcBorders>
            <w:noWrap/>
            <w:vAlign w:val="center"/>
            <w:hideMark/>
          </w:tcPr>
          <w:p w14:paraId="1000D96A"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P2</w:t>
            </w:r>
          </w:p>
        </w:tc>
        <w:tc>
          <w:tcPr>
            <w:tcW w:w="1131" w:type="dxa"/>
            <w:tcBorders>
              <w:top w:val="nil"/>
              <w:left w:val="nil"/>
              <w:bottom w:val="single" w:sz="4" w:space="0" w:color="auto"/>
              <w:right w:val="single" w:sz="4" w:space="0" w:color="auto"/>
            </w:tcBorders>
            <w:noWrap/>
            <w:vAlign w:val="center"/>
            <w:hideMark/>
          </w:tcPr>
          <w:p w14:paraId="0BA163A5"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900</w:t>
            </w:r>
          </w:p>
        </w:tc>
        <w:tc>
          <w:tcPr>
            <w:tcW w:w="1272" w:type="dxa"/>
            <w:tcBorders>
              <w:top w:val="nil"/>
              <w:left w:val="nil"/>
              <w:bottom w:val="single" w:sz="4" w:space="0" w:color="auto"/>
              <w:right w:val="single" w:sz="4" w:space="0" w:color="auto"/>
            </w:tcBorders>
            <w:noWrap/>
            <w:vAlign w:val="center"/>
            <w:hideMark/>
          </w:tcPr>
          <w:p w14:paraId="497863E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575.353</w:t>
            </w:r>
          </w:p>
        </w:tc>
        <w:tc>
          <w:tcPr>
            <w:tcW w:w="990" w:type="dxa"/>
            <w:tcBorders>
              <w:top w:val="nil"/>
              <w:left w:val="nil"/>
              <w:bottom w:val="single" w:sz="4" w:space="0" w:color="auto"/>
              <w:right w:val="single" w:sz="8" w:space="0" w:color="auto"/>
            </w:tcBorders>
            <w:noWrap/>
            <w:vAlign w:val="center"/>
            <w:hideMark/>
          </w:tcPr>
          <w:p w14:paraId="2A9D0F73"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64%</w:t>
            </w:r>
          </w:p>
        </w:tc>
      </w:tr>
      <w:tr w:rsidR="00DC1F89" w:rsidRPr="008902B6" w14:paraId="025D4D99"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05159846"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607194</w:t>
            </w:r>
          </w:p>
        </w:tc>
        <w:tc>
          <w:tcPr>
            <w:tcW w:w="2842" w:type="dxa"/>
            <w:tcBorders>
              <w:top w:val="nil"/>
              <w:left w:val="nil"/>
              <w:bottom w:val="single" w:sz="4" w:space="0" w:color="auto"/>
              <w:right w:val="single" w:sz="4" w:space="0" w:color="auto"/>
            </w:tcBorders>
            <w:noWrap/>
            <w:vAlign w:val="center"/>
            <w:hideMark/>
          </w:tcPr>
          <w:p w14:paraId="287F7379"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Green Building</w:t>
            </w:r>
          </w:p>
        </w:tc>
        <w:tc>
          <w:tcPr>
            <w:tcW w:w="989" w:type="dxa"/>
            <w:tcBorders>
              <w:top w:val="nil"/>
              <w:left w:val="nil"/>
              <w:bottom w:val="single" w:sz="4" w:space="0" w:color="auto"/>
              <w:right w:val="single" w:sz="4" w:space="0" w:color="auto"/>
            </w:tcBorders>
            <w:noWrap/>
            <w:vAlign w:val="center"/>
            <w:hideMark/>
          </w:tcPr>
          <w:p w14:paraId="3C7DABB8"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P2</w:t>
            </w:r>
          </w:p>
        </w:tc>
        <w:tc>
          <w:tcPr>
            <w:tcW w:w="1131" w:type="dxa"/>
            <w:tcBorders>
              <w:top w:val="nil"/>
              <w:left w:val="nil"/>
              <w:bottom w:val="single" w:sz="4" w:space="0" w:color="auto"/>
              <w:right w:val="single" w:sz="4" w:space="0" w:color="auto"/>
            </w:tcBorders>
            <w:noWrap/>
            <w:vAlign w:val="center"/>
            <w:hideMark/>
          </w:tcPr>
          <w:p w14:paraId="3C31859D"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650</w:t>
            </w:r>
          </w:p>
        </w:tc>
        <w:tc>
          <w:tcPr>
            <w:tcW w:w="1272" w:type="dxa"/>
            <w:tcBorders>
              <w:top w:val="nil"/>
              <w:left w:val="nil"/>
              <w:bottom w:val="single" w:sz="4" w:space="0" w:color="auto"/>
              <w:right w:val="single" w:sz="4" w:space="0" w:color="auto"/>
            </w:tcBorders>
            <w:noWrap/>
            <w:vAlign w:val="center"/>
            <w:hideMark/>
          </w:tcPr>
          <w:p w14:paraId="52DFB4B8"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392</w:t>
            </w:r>
          </w:p>
        </w:tc>
        <w:tc>
          <w:tcPr>
            <w:tcW w:w="990" w:type="dxa"/>
            <w:tcBorders>
              <w:top w:val="nil"/>
              <w:left w:val="nil"/>
              <w:bottom w:val="single" w:sz="4" w:space="0" w:color="auto"/>
              <w:right w:val="single" w:sz="8" w:space="0" w:color="auto"/>
            </w:tcBorders>
            <w:noWrap/>
            <w:vAlign w:val="center"/>
            <w:hideMark/>
          </w:tcPr>
          <w:p w14:paraId="6B24EB21"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60%</w:t>
            </w:r>
          </w:p>
        </w:tc>
      </w:tr>
      <w:tr w:rsidR="00DC1F89" w:rsidRPr="008902B6" w14:paraId="242C8F8E"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50769CC1"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606644</w:t>
            </w:r>
          </w:p>
        </w:tc>
        <w:tc>
          <w:tcPr>
            <w:tcW w:w="2842" w:type="dxa"/>
            <w:tcBorders>
              <w:top w:val="nil"/>
              <w:left w:val="nil"/>
              <w:bottom w:val="single" w:sz="4" w:space="0" w:color="auto"/>
              <w:right w:val="single" w:sz="4" w:space="0" w:color="auto"/>
            </w:tcBorders>
            <w:noWrap/>
            <w:vAlign w:val="center"/>
            <w:hideMark/>
          </w:tcPr>
          <w:p w14:paraId="71687E77"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Food Safety and Food Loss</w:t>
            </w:r>
          </w:p>
        </w:tc>
        <w:tc>
          <w:tcPr>
            <w:tcW w:w="989" w:type="dxa"/>
            <w:tcBorders>
              <w:top w:val="nil"/>
              <w:left w:val="nil"/>
              <w:bottom w:val="single" w:sz="4" w:space="0" w:color="auto"/>
              <w:right w:val="single" w:sz="4" w:space="0" w:color="auto"/>
            </w:tcBorders>
            <w:noWrap/>
            <w:vAlign w:val="center"/>
            <w:hideMark/>
          </w:tcPr>
          <w:p w14:paraId="50C890B8"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P2</w:t>
            </w:r>
          </w:p>
        </w:tc>
        <w:tc>
          <w:tcPr>
            <w:tcW w:w="1131" w:type="dxa"/>
            <w:tcBorders>
              <w:top w:val="nil"/>
              <w:left w:val="nil"/>
              <w:bottom w:val="single" w:sz="4" w:space="0" w:color="auto"/>
              <w:right w:val="single" w:sz="4" w:space="0" w:color="auto"/>
            </w:tcBorders>
            <w:noWrap/>
            <w:vAlign w:val="center"/>
            <w:hideMark/>
          </w:tcPr>
          <w:p w14:paraId="3964B57E"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1.050.000</w:t>
            </w:r>
          </w:p>
        </w:tc>
        <w:tc>
          <w:tcPr>
            <w:tcW w:w="1272" w:type="dxa"/>
            <w:tcBorders>
              <w:top w:val="nil"/>
              <w:left w:val="nil"/>
              <w:bottom w:val="single" w:sz="4" w:space="0" w:color="auto"/>
              <w:right w:val="single" w:sz="4" w:space="0" w:color="auto"/>
            </w:tcBorders>
            <w:noWrap/>
            <w:vAlign w:val="center"/>
            <w:hideMark/>
          </w:tcPr>
          <w:p w14:paraId="679363A9"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250.92</w:t>
            </w:r>
          </w:p>
        </w:tc>
        <w:tc>
          <w:tcPr>
            <w:tcW w:w="990" w:type="dxa"/>
            <w:tcBorders>
              <w:top w:val="nil"/>
              <w:left w:val="nil"/>
              <w:bottom w:val="single" w:sz="4" w:space="0" w:color="auto"/>
              <w:right w:val="single" w:sz="8" w:space="0" w:color="auto"/>
            </w:tcBorders>
            <w:noWrap/>
            <w:vAlign w:val="center"/>
            <w:hideMark/>
          </w:tcPr>
          <w:p w14:paraId="1C632FC6"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24%</w:t>
            </w:r>
          </w:p>
        </w:tc>
      </w:tr>
      <w:tr w:rsidR="00DC1F89" w:rsidRPr="008902B6" w14:paraId="206CD15A" w14:textId="77777777" w:rsidTr="00361731">
        <w:trPr>
          <w:trHeight w:val="439"/>
        </w:trPr>
        <w:tc>
          <w:tcPr>
            <w:tcW w:w="2116"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5C8BFF25"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Pillar 3</w:t>
            </w:r>
          </w:p>
        </w:tc>
        <w:tc>
          <w:tcPr>
            <w:tcW w:w="2842" w:type="dxa"/>
            <w:tcBorders>
              <w:top w:val="single" w:sz="4" w:space="0" w:color="auto"/>
              <w:left w:val="single" w:sz="4" w:space="0" w:color="auto"/>
              <w:bottom w:val="single" w:sz="4" w:space="0" w:color="auto"/>
              <w:right w:val="single" w:sz="4" w:space="0" w:color="auto"/>
            </w:tcBorders>
            <w:shd w:val="clear" w:color="000000" w:fill="CAEDFB"/>
            <w:vAlign w:val="center"/>
          </w:tcPr>
          <w:p w14:paraId="01C81001"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Pr>
                <w:rFonts w:ascii="Calibri" w:hAnsi="Calibri" w:cs="Calibri"/>
                <w:b/>
                <w:bCs/>
                <w:color w:val="000000"/>
                <w:sz w:val="18"/>
                <w:szCs w:val="18"/>
                <w:lang w:val="en-US"/>
              </w:rPr>
              <w:t>F</w:t>
            </w:r>
            <w:r w:rsidRPr="008902B6">
              <w:rPr>
                <w:rFonts w:ascii="Calibri" w:hAnsi="Calibri" w:cs="Calibri"/>
                <w:b/>
                <w:bCs/>
                <w:color w:val="000000"/>
                <w:sz w:val="18"/>
                <w:szCs w:val="18"/>
                <w:lang w:val="en-AU"/>
              </w:rPr>
              <w:t>inancial Institutions</w:t>
            </w:r>
          </w:p>
        </w:tc>
        <w:tc>
          <w:tcPr>
            <w:tcW w:w="989" w:type="dxa"/>
            <w:tcBorders>
              <w:top w:val="single" w:sz="4" w:space="0" w:color="auto"/>
              <w:left w:val="single" w:sz="4" w:space="0" w:color="auto"/>
              <w:bottom w:val="single" w:sz="4" w:space="0" w:color="auto"/>
              <w:right w:val="single" w:sz="4" w:space="0" w:color="auto"/>
            </w:tcBorders>
            <w:shd w:val="clear" w:color="000000" w:fill="CAEDFB"/>
            <w:vAlign w:val="center"/>
          </w:tcPr>
          <w:p w14:paraId="731A9681" w14:textId="77777777" w:rsidR="00DC1F89" w:rsidRPr="008902B6" w:rsidRDefault="00DC1F89" w:rsidP="00361731">
            <w:pPr>
              <w:rPr>
                <w:rFonts w:ascii="Calibri" w:hAnsi="Calibri" w:cs="Calibri"/>
                <w:b/>
                <w:bCs/>
                <w:color w:val="000000"/>
                <w:sz w:val="18"/>
                <w:szCs w:val="18"/>
                <w:lang w:val="en-US"/>
              </w:rPr>
            </w:pPr>
            <w:r>
              <w:rPr>
                <w:rFonts w:ascii="Calibri" w:hAnsi="Calibri" w:cs="Calibri"/>
                <w:b/>
                <w:bCs/>
                <w:color w:val="000000"/>
                <w:sz w:val="18"/>
                <w:szCs w:val="18"/>
                <w:lang w:val="en-US"/>
              </w:rPr>
              <w:t>P3</w:t>
            </w:r>
          </w:p>
        </w:tc>
        <w:tc>
          <w:tcPr>
            <w:tcW w:w="1131" w:type="dxa"/>
            <w:tcBorders>
              <w:top w:val="nil"/>
              <w:left w:val="single" w:sz="4" w:space="0" w:color="auto"/>
              <w:bottom w:val="single" w:sz="4" w:space="0" w:color="auto"/>
              <w:right w:val="single" w:sz="4" w:space="0" w:color="auto"/>
            </w:tcBorders>
            <w:shd w:val="clear" w:color="000000" w:fill="CAEDFB"/>
            <w:noWrap/>
            <w:vAlign w:val="center"/>
            <w:hideMark/>
          </w:tcPr>
          <w:p w14:paraId="5E0CD025"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3.100.000</w:t>
            </w:r>
          </w:p>
        </w:tc>
        <w:tc>
          <w:tcPr>
            <w:tcW w:w="1272" w:type="dxa"/>
            <w:tcBorders>
              <w:top w:val="nil"/>
              <w:left w:val="nil"/>
              <w:bottom w:val="single" w:sz="4" w:space="0" w:color="auto"/>
              <w:right w:val="single" w:sz="4" w:space="0" w:color="auto"/>
            </w:tcBorders>
            <w:shd w:val="clear" w:color="000000" w:fill="CAEDFB"/>
            <w:noWrap/>
            <w:vAlign w:val="center"/>
            <w:hideMark/>
          </w:tcPr>
          <w:p w14:paraId="2C9A00F9"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2.600.559</w:t>
            </w:r>
          </w:p>
        </w:tc>
        <w:tc>
          <w:tcPr>
            <w:tcW w:w="990" w:type="dxa"/>
            <w:tcBorders>
              <w:top w:val="nil"/>
              <w:left w:val="nil"/>
              <w:bottom w:val="single" w:sz="4" w:space="0" w:color="auto"/>
              <w:right w:val="single" w:sz="8" w:space="0" w:color="auto"/>
            </w:tcBorders>
            <w:shd w:val="clear" w:color="000000" w:fill="CAEDFB"/>
            <w:noWrap/>
            <w:vAlign w:val="center"/>
            <w:hideMark/>
          </w:tcPr>
          <w:p w14:paraId="2B2408A8"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84%</w:t>
            </w:r>
          </w:p>
        </w:tc>
      </w:tr>
      <w:tr w:rsidR="00DC1F89" w:rsidRPr="008902B6" w14:paraId="40F67312"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09A825A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607201</w:t>
            </w:r>
          </w:p>
        </w:tc>
        <w:tc>
          <w:tcPr>
            <w:tcW w:w="2842" w:type="dxa"/>
            <w:tcBorders>
              <w:top w:val="nil"/>
              <w:left w:val="nil"/>
              <w:bottom w:val="single" w:sz="4" w:space="0" w:color="auto"/>
              <w:right w:val="single" w:sz="4" w:space="0" w:color="auto"/>
            </w:tcBorders>
            <w:noWrap/>
            <w:vAlign w:val="center"/>
            <w:hideMark/>
          </w:tcPr>
          <w:p w14:paraId="12B8C40C"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Embedded Finance</w:t>
            </w:r>
          </w:p>
        </w:tc>
        <w:tc>
          <w:tcPr>
            <w:tcW w:w="989" w:type="dxa"/>
            <w:tcBorders>
              <w:top w:val="nil"/>
              <w:left w:val="nil"/>
              <w:bottom w:val="single" w:sz="4" w:space="0" w:color="auto"/>
              <w:right w:val="single" w:sz="4" w:space="0" w:color="auto"/>
            </w:tcBorders>
            <w:noWrap/>
            <w:vAlign w:val="center"/>
            <w:hideMark/>
          </w:tcPr>
          <w:p w14:paraId="5545AE11"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6D33945F"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350</w:t>
            </w:r>
          </w:p>
        </w:tc>
        <w:tc>
          <w:tcPr>
            <w:tcW w:w="1272" w:type="dxa"/>
            <w:tcBorders>
              <w:top w:val="nil"/>
              <w:left w:val="nil"/>
              <w:bottom w:val="single" w:sz="4" w:space="0" w:color="auto"/>
              <w:right w:val="single" w:sz="4" w:space="0" w:color="auto"/>
            </w:tcBorders>
            <w:noWrap/>
            <w:vAlign w:val="center"/>
            <w:hideMark/>
          </w:tcPr>
          <w:p w14:paraId="6ECFE450"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350</w:t>
            </w:r>
          </w:p>
        </w:tc>
        <w:tc>
          <w:tcPr>
            <w:tcW w:w="990" w:type="dxa"/>
            <w:tcBorders>
              <w:top w:val="nil"/>
              <w:left w:val="nil"/>
              <w:bottom w:val="single" w:sz="4" w:space="0" w:color="auto"/>
              <w:right w:val="single" w:sz="8" w:space="0" w:color="auto"/>
            </w:tcBorders>
            <w:noWrap/>
            <w:vAlign w:val="center"/>
            <w:hideMark/>
          </w:tcPr>
          <w:p w14:paraId="3876CF2B"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100%</w:t>
            </w:r>
          </w:p>
        </w:tc>
      </w:tr>
      <w:tr w:rsidR="00DC1F89" w:rsidRPr="008902B6" w14:paraId="1382735E"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49A95A32"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607212</w:t>
            </w:r>
          </w:p>
        </w:tc>
        <w:tc>
          <w:tcPr>
            <w:tcW w:w="2842" w:type="dxa"/>
            <w:tcBorders>
              <w:top w:val="nil"/>
              <w:left w:val="nil"/>
              <w:bottom w:val="single" w:sz="4" w:space="0" w:color="auto"/>
              <w:right w:val="single" w:sz="4" w:space="0" w:color="auto"/>
            </w:tcBorders>
            <w:noWrap/>
            <w:vAlign w:val="center"/>
            <w:hideMark/>
          </w:tcPr>
          <w:p w14:paraId="00F61625"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Green Finance Umbrella</w:t>
            </w:r>
          </w:p>
        </w:tc>
        <w:tc>
          <w:tcPr>
            <w:tcW w:w="989" w:type="dxa"/>
            <w:tcBorders>
              <w:top w:val="nil"/>
              <w:left w:val="nil"/>
              <w:bottom w:val="single" w:sz="4" w:space="0" w:color="auto"/>
              <w:right w:val="single" w:sz="4" w:space="0" w:color="auto"/>
            </w:tcBorders>
            <w:noWrap/>
            <w:vAlign w:val="center"/>
            <w:hideMark/>
          </w:tcPr>
          <w:p w14:paraId="7BBC4515"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00B326F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480</w:t>
            </w:r>
          </w:p>
        </w:tc>
        <w:tc>
          <w:tcPr>
            <w:tcW w:w="1272" w:type="dxa"/>
            <w:tcBorders>
              <w:top w:val="nil"/>
              <w:left w:val="nil"/>
              <w:bottom w:val="single" w:sz="4" w:space="0" w:color="auto"/>
              <w:right w:val="single" w:sz="4" w:space="0" w:color="auto"/>
            </w:tcBorders>
            <w:noWrap/>
            <w:vAlign w:val="center"/>
            <w:hideMark/>
          </w:tcPr>
          <w:p w14:paraId="73EA021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480</w:t>
            </w:r>
          </w:p>
        </w:tc>
        <w:tc>
          <w:tcPr>
            <w:tcW w:w="990" w:type="dxa"/>
            <w:tcBorders>
              <w:top w:val="nil"/>
              <w:left w:val="nil"/>
              <w:bottom w:val="single" w:sz="4" w:space="0" w:color="auto"/>
              <w:right w:val="single" w:sz="8" w:space="0" w:color="auto"/>
            </w:tcBorders>
            <w:noWrap/>
            <w:vAlign w:val="center"/>
            <w:hideMark/>
          </w:tcPr>
          <w:p w14:paraId="735EB63F"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100%</w:t>
            </w:r>
          </w:p>
        </w:tc>
      </w:tr>
      <w:tr w:rsidR="00DC1F89" w:rsidRPr="008902B6" w14:paraId="76BAD5E5"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0E90A6F5"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608319</w:t>
            </w:r>
          </w:p>
        </w:tc>
        <w:tc>
          <w:tcPr>
            <w:tcW w:w="2842" w:type="dxa"/>
            <w:tcBorders>
              <w:top w:val="nil"/>
              <w:left w:val="nil"/>
              <w:bottom w:val="single" w:sz="4" w:space="0" w:color="auto"/>
              <w:right w:val="single" w:sz="4" w:space="0" w:color="auto"/>
            </w:tcBorders>
            <w:noWrap/>
            <w:vAlign w:val="center"/>
            <w:hideMark/>
          </w:tcPr>
          <w:p w14:paraId="5E61B542"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Green Finance IP</w:t>
            </w:r>
          </w:p>
        </w:tc>
        <w:tc>
          <w:tcPr>
            <w:tcW w:w="989" w:type="dxa"/>
            <w:tcBorders>
              <w:top w:val="nil"/>
              <w:left w:val="nil"/>
              <w:bottom w:val="single" w:sz="4" w:space="0" w:color="auto"/>
              <w:right w:val="single" w:sz="4" w:space="0" w:color="auto"/>
            </w:tcBorders>
            <w:noWrap/>
            <w:vAlign w:val="center"/>
            <w:hideMark/>
          </w:tcPr>
          <w:p w14:paraId="65737DEA"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1AB26B27"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780</w:t>
            </w:r>
          </w:p>
        </w:tc>
        <w:tc>
          <w:tcPr>
            <w:tcW w:w="1272" w:type="dxa"/>
            <w:tcBorders>
              <w:top w:val="nil"/>
              <w:left w:val="nil"/>
              <w:bottom w:val="single" w:sz="4" w:space="0" w:color="auto"/>
              <w:right w:val="single" w:sz="4" w:space="0" w:color="auto"/>
            </w:tcBorders>
            <w:noWrap/>
            <w:vAlign w:val="center"/>
            <w:hideMark/>
          </w:tcPr>
          <w:p w14:paraId="49C57549"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780</w:t>
            </w:r>
          </w:p>
        </w:tc>
        <w:tc>
          <w:tcPr>
            <w:tcW w:w="990" w:type="dxa"/>
            <w:tcBorders>
              <w:top w:val="nil"/>
              <w:left w:val="nil"/>
              <w:bottom w:val="single" w:sz="4" w:space="0" w:color="auto"/>
              <w:right w:val="single" w:sz="8" w:space="0" w:color="auto"/>
            </w:tcBorders>
            <w:noWrap/>
            <w:vAlign w:val="center"/>
            <w:hideMark/>
          </w:tcPr>
          <w:p w14:paraId="37313B40"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100%</w:t>
            </w:r>
          </w:p>
        </w:tc>
      </w:tr>
      <w:tr w:rsidR="00DC1F89" w:rsidRPr="008902B6" w14:paraId="340527EF"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78ACB59D"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607969</w:t>
            </w:r>
          </w:p>
        </w:tc>
        <w:tc>
          <w:tcPr>
            <w:tcW w:w="2842" w:type="dxa"/>
            <w:tcBorders>
              <w:top w:val="nil"/>
              <w:left w:val="nil"/>
              <w:bottom w:val="single" w:sz="4" w:space="0" w:color="auto"/>
              <w:right w:val="single" w:sz="4" w:space="0" w:color="auto"/>
            </w:tcBorders>
            <w:noWrap/>
            <w:vAlign w:val="center"/>
            <w:hideMark/>
          </w:tcPr>
          <w:p w14:paraId="14C038F4"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NBFI Upstream</w:t>
            </w:r>
          </w:p>
        </w:tc>
        <w:tc>
          <w:tcPr>
            <w:tcW w:w="989" w:type="dxa"/>
            <w:tcBorders>
              <w:top w:val="nil"/>
              <w:left w:val="nil"/>
              <w:bottom w:val="single" w:sz="4" w:space="0" w:color="auto"/>
              <w:right w:val="single" w:sz="4" w:space="0" w:color="auto"/>
            </w:tcBorders>
            <w:noWrap/>
            <w:vAlign w:val="center"/>
            <w:hideMark/>
          </w:tcPr>
          <w:p w14:paraId="2D55B84A"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4C8BCBF1"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230</w:t>
            </w:r>
          </w:p>
        </w:tc>
        <w:tc>
          <w:tcPr>
            <w:tcW w:w="1272" w:type="dxa"/>
            <w:tcBorders>
              <w:top w:val="nil"/>
              <w:left w:val="nil"/>
              <w:bottom w:val="single" w:sz="4" w:space="0" w:color="auto"/>
              <w:right w:val="single" w:sz="4" w:space="0" w:color="auto"/>
            </w:tcBorders>
            <w:noWrap/>
            <w:vAlign w:val="center"/>
            <w:hideMark/>
          </w:tcPr>
          <w:p w14:paraId="2A1BCD52"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194.824</w:t>
            </w:r>
          </w:p>
        </w:tc>
        <w:tc>
          <w:tcPr>
            <w:tcW w:w="990" w:type="dxa"/>
            <w:tcBorders>
              <w:top w:val="nil"/>
              <w:left w:val="nil"/>
              <w:bottom w:val="single" w:sz="4" w:space="0" w:color="auto"/>
              <w:right w:val="single" w:sz="8" w:space="0" w:color="auto"/>
            </w:tcBorders>
            <w:noWrap/>
            <w:vAlign w:val="center"/>
            <w:hideMark/>
          </w:tcPr>
          <w:p w14:paraId="07A0846E"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85%</w:t>
            </w:r>
          </w:p>
        </w:tc>
      </w:tr>
      <w:tr w:rsidR="00DC1F89" w:rsidRPr="008902B6" w14:paraId="73F82CFA"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44D9C99A"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603771</w:t>
            </w:r>
          </w:p>
        </w:tc>
        <w:tc>
          <w:tcPr>
            <w:tcW w:w="2842" w:type="dxa"/>
            <w:tcBorders>
              <w:top w:val="nil"/>
              <w:left w:val="nil"/>
              <w:bottom w:val="single" w:sz="4" w:space="0" w:color="auto"/>
              <w:right w:val="single" w:sz="4" w:space="0" w:color="auto"/>
            </w:tcBorders>
            <w:noWrap/>
            <w:vAlign w:val="center"/>
            <w:hideMark/>
          </w:tcPr>
          <w:p w14:paraId="7217E140"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Joint Capital Markets Program (JCAP)</w:t>
            </w:r>
          </w:p>
        </w:tc>
        <w:tc>
          <w:tcPr>
            <w:tcW w:w="989" w:type="dxa"/>
            <w:tcBorders>
              <w:top w:val="nil"/>
              <w:left w:val="nil"/>
              <w:bottom w:val="single" w:sz="4" w:space="0" w:color="auto"/>
              <w:right w:val="single" w:sz="4" w:space="0" w:color="auto"/>
            </w:tcBorders>
            <w:noWrap/>
            <w:vAlign w:val="center"/>
            <w:hideMark/>
          </w:tcPr>
          <w:p w14:paraId="192938F5"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5D7AC746"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360</w:t>
            </w:r>
          </w:p>
        </w:tc>
        <w:tc>
          <w:tcPr>
            <w:tcW w:w="1272" w:type="dxa"/>
            <w:tcBorders>
              <w:top w:val="nil"/>
              <w:left w:val="nil"/>
              <w:bottom w:val="single" w:sz="4" w:space="0" w:color="auto"/>
              <w:right w:val="single" w:sz="4" w:space="0" w:color="auto"/>
            </w:tcBorders>
            <w:noWrap/>
            <w:vAlign w:val="center"/>
            <w:hideMark/>
          </w:tcPr>
          <w:p w14:paraId="4A3BB21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249.76</w:t>
            </w:r>
          </w:p>
        </w:tc>
        <w:tc>
          <w:tcPr>
            <w:tcW w:w="990" w:type="dxa"/>
            <w:tcBorders>
              <w:top w:val="nil"/>
              <w:left w:val="nil"/>
              <w:bottom w:val="single" w:sz="4" w:space="0" w:color="auto"/>
              <w:right w:val="single" w:sz="8" w:space="0" w:color="auto"/>
            </w:tcBorders>
            <w:noWrap/>
            <w:vAlign w:val="center"/>
            <w:hideMark/>
          </w:tcPr>
          <w:p w14:paraId="6F2B8773"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69%</w:t>
            </w:r>
          </w:p>
        </w:tc>
      </w:tr>
      <w:tr w:rsidR="00DC1F89" w:rsidRPr="008902B6" w14:paraId="35DC5396"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12E269BC"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609013</w:t>
            </w:r>
          </w:p>
        </w:tc>
        <w:tc>
          <w:tcPr>
            <w:tcW w:w="2842" w:type="dxa"/>
            <w:tcBorders>
              <w:top w:val="nil"/>
              <w:left w:val="nil"/>
              <w:bottom w:val="single" w:sz="4" w:space="0" w:color="auto"/>
              <w:right w:val="single" w:sz="4" w:space="0" w:color="auto"/>
            </w:tcBorders>
            <w:noWrap/>
            <w:vAlign w:val="center"/>
            <w:hideMark/>
          </w:tcPr>
          <w:p w14:paraId="12FF0EF7"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Blue Finance Viet Nam</w:t>
            </w:r>
          </w:p>
        </w:tc>
        <w:tc>
          <w:tcPr>
            <w:tcW w:w="989" w:type="dxa"/>
            <w:tcBorders>
              <w:top w:val="nil"/>
              <w:left w:val="nil"/>
              <w:bottom w:val="single" w:sz="4" w:space="0" w:color="auto"/>
              <w:right w:val="single" w:sz="4" w:space="0" w:color="auto"/>
            </w:tcBorders>
            <w:noWrap/>
            <w:vAlign w:val="center"/>
            <w:hideMark/>
          </w:tcPr>
          <w:p w14:paraId="5DEDE003"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09B7BB78"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245</w:t>
            </w:r>
          </w:p>
        </w:tc>
        <w:tc>
          <w:tcPr>
            <w:tcW w:w="1272" w:type="dxa"/>
            <w:tcBorders>
              <w:top w:val="nil"/>
              <w:left w:val="nil"/>
              <w:bottom w:val="single" w:sz="4" w:space="0" w:color="auto"/>
              <w:right w:val="single" w:sz="4" w:space="0" w:color="auto"/>
            </w:tcBorders>
            <w:noWrap/>
            <w:vAlign w:val="center"/>
            <w:hideMark/>
          </w:tcPr>
          <w:p w14:paraId="689F9F0B"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184.445</w:t>
            </w:r>
          </w:p>
        </w:tc>
        <w:tc>
          <w:tcPr>
            <w:tcW w:w="990" w:type="dxa"/>
            <w:tcBorders>
              <w:top w:val="nil"/>
              <w:left w:val="nil"/>
              <w:bottom w:val="single" w:sz="4" w:space="0" w:color="auto"/>
              <w:right w:val="single" w:sz="8" w:space="0" w:color="auto"/>
            </w:tcBorders>
            <w:noWrap/>
            <w:vAlign w:val="center"/>
            <w:hideMark/>
          </w:tcPr>
          <w:p w14:paraId="4EA54887"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75%</w:t>
            </w:r>
          </w:p>
        </w:tc>
      </w:tr>
      <w:tr w:rsidR="00DC1F89" w:rsidRPr="008902B6" w14:paraId="365895A5"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607F7496"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608235</w:t>
            </w:r>
          </w:p>
        </w:tc>
        <w:tc>
          <w:tcPr>
            <w:tcW w:w="2842" w:type="dxa"/>
            <w:tcBorders>
              <w:top w:val="nil"/>
              <w:left w:val="nil"/>
              <w:bottom w:val="single" w:sz="4" w:space="0" w:color="auto"/>
              <w:right w:val="single" w:sz="4" w:space="0" w:color="auto"/>
            </w:tcBorders>
            <w:noWrap/>
            <w:vAlign w:val="center"/>
            <w:hideMark/>
          </w:tcPr>
          <w:p w14:paraId="14A88931"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DFS</w:t>
            </w:r>
          </w:p>
        </w:tc>
        <w:tc>
          <w:tcPr>
            <w:tcW w:w="989" w:type="dxa"/>
            <w:tcBorders>
              <w:top w:val="nil"/>
              <w:left w:val="nil"/>
              <w:bottom w:val="single" w:sz="4" w:space="0" w:color="auto"/>
              <w:right w:val="single" w:sz="4" w:space="0" w:color="auto"/>
            </w:tcBorders>
            <w:noWrap/>
            <w:vAlign w:val="center"/>
            <w:hideMark/>
          </w:tcPr>
          <w:p w14:paraId="20A3E974"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4B3FDA03"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275</w:t>
            </w:r>
          </w:p>
        </w:tc>
        <w:tc>
          <w:tcPr>
            <w:tcW w:w="1272" w:type="dxa"/>
            <w:tcBorders>
              <w:top w:val="nil"/>
              <w:left w:val="nil"/>
              <w:bottom w:val="single" w:sz="4" w:space="0" w:color="auto"/>
              <w:right w:val="single" w:sz="4" w:space="0" w:color="auto"/>
            </w:tcBorders>
            <w:noWrap/>
            <w:vAlign w:val="center"/>
            <w:hideMark/>
          </w:tcPr>
          <w:p w14:paraId="6B9B7AE1"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275</w:t>
            </w:r>
          </w:p>
        </w:tc>
        <w:tc>
          <w:tcPr>
            <w:tcW w:w="990" w:type="dxa"/>
            <w:tcBorders>
              <w:top w:val="nil"/>
              <w:left w:val="nil"/>
              <w:bottom w:val="single" w:sz="4" w:space="0" w:color="auto"/>
              <w:right w:val="single" w:sz="8" w:space="0" w:color="auto"/>
            </w:tcBorders>
            <w:noWrap/>
            <w:vAlign w:val="center"/>
            <w:hideMark/>
          </w:tcPr>
          <w:p w14:paraId="46C6091E"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100%</w:t>
            </w:r>
          </w:p>
        </w:tc>
      </w:tr>
      <w:tr w:rsidR="00DC1F89" w:rsidRPr="008902B6" w14:paraId="27665496"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7F71BB4C"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609940</w:t>
            </w:r>
          </w:p>
        </w:tc>
        <w:tc>
          <w:tcPr>
            <w:tcW w:w="2842" w:type="dxa"/>
            <w:tcBorders>
              <w:top w:val="nil"/>
              <w:left w:val="nil"/>
              <w:bottom w:val="single" w:sz="4" w:space="0" w:color="auto"/>
              <w:right w:val="single" w:sz="4" w:space="0" w:color="auto"/>
            </w:tcBorders>
            <w:noWrap/>
            <w:vAlign w:val="center"/>
            <w:hideMark/>
          </w:tcPr>
          <w:p w14:paraId="492B4314"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Mekong DFS2</w:t>
            </w:r>
          </w:p>
        </w:tc>
        <w:tc>
          <w:tcPr>
            <w:tcW w:w="989" w:type="dxa"/>
            <w:tcBorders>
              <w:top w:val="nil"/>
              <w:left w:val="nil"/>
              <w:bottom w:val="single" w:sz="4" w:space="0" w:color="auto"/>
              <w:right w:val="single" w:sz="4" w:space="0" w:color="auto"/>
            </w:tcBorders>
            <w:noWrap/>
            <w:vAlign w:val="center"/>
            <w:hideMark/>
          </w:tcPr>
          <w:p w14:paraId="1BB92278"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P3</w:t>
            </w:r>
          </w:p>
        </w:tc>
        <w:tc>
          <w:tcPr>
            <w:tcW w:w="1131" w:type="dxa"/>
            <w:tcBorders>
              <w:top w:val="nil"/>
              <w:left w:val="nil"/>
              <w:bottom w:val="single" w:sz="4" w:space="0" w:color="auto"/>
              <w:right w:val="single" w:sz="4" w:space="0" w:color="auto"/>
            </w:tcBorders>
            <w:noWrap/>
            <w:vAlign w:val="center"/>
            <w:hideMark/>
          </w:tcPr>
          <w:p w14:paraId="286C2505"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380</w:t>
            </w:r>
          </w:p>
        </w:tc>
        <w:tc>
          <w:tcPr>
            <w:tcW w:w="1272" w:type="dxa"/>
            <w:tcBorders>
              <w:top w:val="nil"/>
              <w:left w:val="nil"/>
              <w:bottom w:val="single" w:sz="4" w:space="0" w:color="auto"/>
              <w:right w:val="single" w:sz="4" w:space="0" w:color="auto"/>
            </w:tcBorders>
            <w:noWrap/>
            <w:vAlign w:val="center"/>
            <w:hideMark/>
          </w:tcPr>
          <w:p w14:paraId="57D4F8F9"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86.529</w:t>
            </w:r>
          </w:p>
        </w:tc>
        <w:tc>
          <w:tcPr>
            <w:tcW w:w="990" w:type="dxa"/>
            <w:tcBorders>
              <w:top w:val="nil"/>
              <w:left w:val="nil"/>
              <w:bottom w:val="single" w:sz="4" w:space="0" w:color="auto"/>
              <w:right w:val="single" w:sz="8" w:space="0" w:color="auto"/>
            </w:tcBorders>
            <w:noWrap/>
            <w:vAlign w:val="center"/>
            <w:hideMark/>
          </w:tcPr>
          <w:p w14:paraId="20603F3A"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23%</w:t>
            </w:r>
          </w:p>
        </w:tc>
      </w:tr>
      <w:tr w:rsidR="00DC1F89" w:rsidRPr="008902B6" w14:paraId="5C0FC882" w14:textId="77777777" w:rsidTr="00361731">
        <w:trPr>
          <w:trHeight w:val="439"/>
        </w:trPr>
        <w:tc>
          <w:tcPr>
            <w:tcW w:w="2116"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1BC7C108"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Pillar 4</w:t>
            </w:r>
          </w:p>
        </w:tc>
        <w:tc>
          <w:tcPr>
            <w:tcW w:w="2842"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59450EC5"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sidRPr="00F976AD">
              <w:rPr>
                <w:rFonts w:ascii="Calibri" w:hAnsi="Calibri" w:cs="Calibri"/>
                <w:b/>
                <w:bCs/>
                <w:color w:val="000000"/>
                <w:sz w:val="18"/>
                <w:szCs w:val="18"/>
                <w:lang w:val="en-AU"/>
              </w:rPr>
              <w:t>Gender</w:t>
            </w:r>
          </w:p>
        </w:tc>
        <w:tc>
          <w:tcPr>
            <w:tcW w:w="989"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4954849E"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p>
        </w:tc>
        <w:tc>
          <w:tcPr>
            <w:tcW w:w="1131" w:type="dxa"/>
            <w:tcBorders>
              <w:top w:val="nil"/>
              <w:left w:val="single" w:sz="4" w:space="0" w:color="auto"/>
              <w:bottom w:val="single" w:sz="4" w:space="0" w:color="auto"/>
              <w:right w:val="single" w:sz="4" w:space="0" w:color="auto"/>
            </w:tcBorders>
            <w:shd w:val="clear" w:color="000000" w:fill="CAEDFB"/>
            <w:noWrap/>
            <w:vAlign w:val="center"/>
            <w:hideMark/>
          </w:tcPr>
          <w:p w14:paraId="4A706E33"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1.855.062</w:t>
            </w:r>
          </w:p>
        </w:tc>
        <w:tc>
          <w:tcPr>
            <w:tcW w:w="1272" w:type="dxa"/>
            <w:tcBorders>
              <w:top w:val="nil"/>
              <w:left w:val="nil"/>
              <w:bottom w:val="single" w:sz="4" w:space="0" w:color="auto"/>
              <w:right w:val="single" w:sz="4" w:space="0" w:color="auto"/>
            </w:tcBorders>
            <w:shd w:val="clear" w:color="000000" w:fill="CAEDFB"/>
            <w:noWrap/>
            <w:vAlign w:val="center"/>
            <w:hideMark/>
          </w:tcPr>
          <w:p w14:paraId="56407B55"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1.460.692</w:t>
            </w:r>
          </w:p>
        </w:tc>
        <w:tc>
          <w:tcPr>
            <w:tcW w:w="990" w:type="dxa"/>
            <w:tcBorders>
              <w:top w:val="nil"/>
              <w:left w:val="nil"/>
              <w:bottom w:val="single" w:sz="4" w:space="0" w:color="auto"/>
              <w:right w:val="single" w:sz="8" w:space="0" w:color="auto"/>
            </w:tcBorders>
            <w:shd w:val="clear" w:color="000000" w:fill="CAEDFB"/>
            <w:noWrap/>
            <w:vAlign w:val="center"/>
            <w:hideMark/>
          </w:tcPr>
          <w:p w14:paraId="02C85FCC"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65%</w:t>
            </w:r>
          </w:p>
        </w:tc>
      </w:tr>
      <w:tr w:rsidR="00DC1F89" w:rsidRPr="008902B6" w14:paraId="254D1B79" w14:textId="77777777" w:rsidTr="00361731">
        <w:trPr>
          <w:trHeight w:val="439"/>
        </w:trPr>
        <w:tc>
          <w:tcPr>
            <w:tcW w:w="2116" w:type="dxa"/>
            <w:tcBorders>
              <w:top w:val="nil"/>
              <w:left w:val="single" w:sz="8" w:space="0" w:color="auto"/>
              <w:bottom w:val="single" w:sz="4" w:space="0" w:color="auto"/>
              <w:right w:val="single" w:sz="4" w:space="0" w:color="auto"/>
            </w:tcBorders>
            <w:vAlign w:val="center"/>
            <w:hideMark/>
          </w:tcPr>
          <w:p w14:paraId="648C144B"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606929/</w:t>
            </w:r>
            <w:r w:rsidRPr="008902B6">
              <w:rPr>
                <w:rFonts w:ascii="Calibri" w:hAnsi="Calibri" w:cs="Calibri"/>
                <w:color w:val="000000"/>
                <w:sz w:val="18"/>
                <w:szCs w:val="18"/>
                <w:lang w:val="en-US"/>
              </w:rPr>
              <w:t>607825/608253</w:t>
            </w:r>
          </w:p>
        </w:tc>
        <w:tc>
          <w:tcPr>
            <w:tcW w:w="2842" w:type="dxa"/>
            <w:tcBorders>
              <w:top w:val="single" w:sz="4" w:space="0" w:color="auto"/>
              <w:left w:val="nil"/>
              <w:bottom w:val="single" w:sz="4" w:space="0" w:color="auto"/>
              <w:right w:val="single" w:sz="4" w:space="0" w:color="auto"/>
            </w:tcBorders>
            <w:noWrap/>
            <w:hideMark/>
          </w:tcPr>
          <w:p w14:paraId="6CF375C2" w14:textId="77777777" w:rsidR="00DC1F89" w:rsidRPr="008902B6" w:rsidRDefault="00DC1F89" w:rsidP="00361731">
            <w:pPr>
              <w:rPr>
                <w:rFonts w:ascii="Aptos Narrow" w:hAnsi="Aptos Narrow"/>
                <w:color w:val="000000"/>
                <w:sz w:val="22"/>
                <w:szCs w:val="22"/>
                <w:lang w:val="en-US"/>
              </w:rPr>
            </w:pPr>
            <w:r w:rsidRPr="00673FAC">
              <w:rPr>
                <w:rFonts w:ascii="Calibri" w:hAnsi="Calibri" w:cs="Calibri"/>
                <w:color w:val="000000"/>
                <w:sz w:val="18"/>
                <w:szCs w:val="18"/>
                <w:lang w:val="en-AU"/>
              </w:rPr>
              <w:t>Vietnam EMERGE</w:t>
            </w:r>
          </w:p>
        </w:tc>
        <w:tc>
          <w:tcPr>
            <w:tcW w:w="989" w:type="dxa"/>
            <w:tcBorders>
              <w:top w:val="single" w:sz="4" w:space="0" w:color="auto"/>
              <w:left w:val="nil"/>
              <w:bottom w:val="single" w:sz="4" w:space="0" w:color="auto"/>
              <w:right w:val="single" w:sz="4" w:space="0" w:color="auto"/>
            </w:tcBorders>
            <w:noWrap/>
            <w:vAlign w:val="bottom"/>
            <w:hideMark/>
          </w:tcPr>
          <w:p w14:paraId="52F97EA0" w14:textId="77777777" w:rsidR="00DC1F89" w:rsidRPr="00911671" w:rsidRDefault="00DC1F89" w:rsidP="00361731">
            <w:pPr>
              <w:rPr>
                <w:rFonts w:ascii="Calibri" w:hAnsi="Calibri" w:cs="Calibri"/>
                <w:color w:val="000000"/>
                <w:sz w:val="18"/>
                <w:szCs w:val="18"/>
                <w:lang w:val="en-US"/>
              </w:rPr>
            </w:pPr>
            <w:r w:rsidRPr="00911671">
              <w:rPr>
                <w:rFonts w:ascii="Calibri" w:hAnsi="Calibri" w:cs="Calibri"/>
                <w:color w:val="000000"/>
                <w:sz w:val="18"/>
                <w:szCs w:val="18"/>
                <w:lang w:val="en-US"/>
              </w:rPr>
              <w:t> P4</w:t>
            </w:r>
          </w:p>
        </w:tc>
        <w:tc>
          <w:tcPr>
            <w:tcW w:w="1131" w:type="dxa"/>
            <w:tcBorders>
              <w:top w:val="single" w:sz="4" w:space="0" w:color="auto"/>
              <w:left w:val="nil"/>
              <w:bottom w:val="single" w:sz="4" w:space="0" w:color="auto"/>
              <w:right w:val="single" w:sz="4" w:space="0" w:color="auto"/>
            </w:tcBorders>
            <w:noWrap/>
            <w:vAlign w:val="center"/>
          </w:tcPr>
          <w:p w14:paraId="487B905F" w14:textId="77777777" w:rsidR="00DC1F89" w:rsidRPr="008902B6" w:rsidRDefault="00DC1F89" w:rsidP="00361731">
            <w:pPr>
              <w:rPr>
                <w:rFonts w:ascii="Aptos Narrow" w:hAnsi="Aptos Narrow"/>
                <w:color w:val="000000"/>
                <w:sz w:val="22"/>
                <w:szCs w:val="22"/>
                <w:lang w:val="en-US"/>
              </w:rPr>
            </w:pPr>
            <w:r w:rsidRPr="008902B6">
              <w:rPr>
                <w:rFonts w:ascii="Calibri" w:hAnsi="Calibri" w:cs="Calibri"/>
                <w:color w:val="000000"/>
                <w:sz w:val="18"/>
                <w:szCs w:val="18"/>
                <w:lang w:val="en-AU"/>
              </w:rPr>
              <w:t>1.033.621</w:t>
            </w:r>
          </w:p>
        </w:tc>
        <w:tc>
          <w:tcPr>
            <w:tcW w:w="1272" w:type="dxa"/>
            <w:tcBorders>
              <w:top w:val="single" w:sz="4" w:space="0" w:color="auto"/>
              <w:left w:val="nil"/>
              <w:bottom w:val="single" w:sz="4" w:space="0" w:color="auto"/>
              <w:right w:val="single" w:sz="4" w:space="0" w:color="auto"/>
            </w:tcBorders>
            <w:noWrap/>
            <w:vAlign w:val="center"/>
          </w:tcPr>
          <w:p w14:paraId="475E7AF5" w14:textId="77777777" w:rsidR="00DC1F89" w:rsidRPr="008902B6" w:rsidRDefault="00DC1F89" w:rsidP="00361731">
            <w:pPr>
              <w:rPr>
                <w:rFonts w:ascii="Aptos Narrow" w:hAnsi="Aptos Narrow"/>
                <w:color w:val="000000"/>
                <w:sz w:val="22"/>
                <w:szCs w:val="22"/>
                <w:lang w:val="en-US"/>
              </w:rPr>
            </w:pPr>
            <w:r w:rsidRPr="008902B6">
              <w:rPr>
                <w:rFonts w:ascii="Calibri" w:hAnsi="Calibri" w:cs="Calibri"/>
                <w:color w:val="000000"/>
                <w:sz w:val="18"/>
                <w:szCs w:val="18"/>
                <w:lang w:val="en-AU"/>
              </w:rPr>
              <w:t>961.117</w:t>
            </w:r>
          </w:p>
        </w:tc>
        <w:tc>
          <w:tcPr>
            <w:tcW w:w="990" w:type="dxa"/>
            <w:tcBorders>
              <w:top w:val="single" w:sz="4" w:space="0" w:color="auto"/>
              <w:left w:val="nil"/>
              <w:bottom w:val="single" w:sz="4" w:space="0" w:color="auto"/>
              <w:right w:val="single" w:sz="4" w:space="0" w:color="auto"/>
            </w:tcBorders>
            <w:noWrap/>
            <w:vAlign w:val="center"/>
            <w:hideMark/>
          </w:tcPr>
          <w:p w14:paraId="0E9FD8CE" w14:textId="77777777" w:rsidR="00DC1F89" w:rsidRPr="008902B6" w:rsidRDefault="00DC1F89" w:rsidP="00361731">
            <w:pPr>
              <w:rPr>
                <w:rFonts w:ascii="Aptos Narrow" w:hAnsi="Aptos Narrow"/>
                <w:color w:val="000000"/>
                <w:sz w:val="22"/>
                <w:szCs w:val="22"/>
                <w:lang w:val="en-US"/>
              </w:rPr>
            </w:pPr>
            <w:r w:rsidRPr="008902B6">
              <w:rPr>
                <w:rFonts w:ascii="Calibri" w:hAnsi="Calibri" w:cs="Calibri"/>
                <w:b/>
                <w:bCs/>
                <w:color w:val="000000"/>
                <w:sz w:val="18"/>
                <w:szCs w:val="18"/>
                <w:lang w:val="en-AU"/>
              </w:rPr>
              <w:t>93%</w:t>
            </w:r>
          </w:p>
        </w:tc>
      </w:tr>
      <w:tr w:rsidR="00DC1F89" w:rsidRPr="008902B6" w14:paraId="4C79453B"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1A23B31F"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608172</w:t>
            </w:r>
          </w:p>
        </w:tc>
        <w:tc>
          <w:tcPr>
            <w:tcW w:w="2842" w:type="dxa"/>
            <w:tcBorders>
              <w:top w:val="nil"/>
              <w:left w:val="nil"/>
              <w:bottom w:val="single" w:sz="4" w:space="0" w:color="auto"/>
              <w:right w:val="single" w:sz="4" w:space="0" w:color="auto"/>
            </w:tcBorders>
            <w:noWrap/>
            <w:vAlign w:val="center"/>
            <w:hideMark/>
          </w:tcPr>
          <w:p w14:paraId="669B6EA5"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Vietnam GSCD</w:t>
            </w:r>
          </w:p>
        </w:tc>
        <w:tc>
          <w:tcPr>
            <w:tcW w:w="989" w:type="dxa"/>
            <w:tcBorders>
              <w:top w:val="nil"/>
              <w:left w:val="nil"/>
              <w:bottom w:val="single" w:sz="4" w:space="0" w:color="auto"/>
              <w:right w:val="single" w:sz="4" w:space="0" w:color="auto"/>
            </w:tcBorders>
            <w:noWrap/>
            <w:vAlign w:val="center"/>
            <w:hideMark/>
          </w:tcPr>
          <w:p w14:paraId="73F0AD98" w14:textId="77777777" w:rsidR="00DC1F89" w:rsidRPr="00911671" w:rsidRDefault="00DC1F89" w:rsidP="00361731">
            <w:pPr>
              <w:rPr>
                <w:rFonts w:ascii="Calibri" w:hAnsi="Calibri" w:cs="Calibri"/>
                <w:color w:val="000000"/>
                <w:sz w:val="18"/>
                <w:szCs w:val="18"/>
                <w:lang w:val="en-US"/>
              </w:rPr>
            </w:pPr>
            <w:r w:rsidRPr="00911671">
              <w:rPr>
                <w:rFonts w:ascii="Calibri" w:hAnsi="Calibri" w:cs="Calibri"/>
                <w:color w:val="000000"/>
                <w:sz w:val="18"/>
                <w:szCs w:val="18"/>
                <w:lang w:val="en-AU"/>
              </w:rPr>
              <w:t>P4</w:t>
            </w:r>
          </w:p>
        </w:tc>
        <w:tc>
          <w:tcPr>
            <w:tcW w:w="1131" w:type="dxa"/>
            <w:tcBorders>
              <w:top w:val="nil"/>
              <w:left w:val="nil"/>
              <w:bottom w:val="single" w:sz="4" w:space="0" w:color="auto"/>
              <w:right w:val="single" w:sz="4" w:space="0" w:color="auto"/>
            </w:tcBorders>
            <w:noWrap/>
            <w:vAlign w:val="center"/>
            <w:hideMark/>
          </w:tcPr>
          <w:p w14:paraId="73409182"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371.951</w:t>
            </w:r>
          </w:p>
        </w:tc>
        <w:tc>
          <w:tcPr>
            <w:tcW w:w="1272" w:type="dxa"/>
            <w:tcBorders>
              <w:top w:val="nil"/>
              <w:left w:val="nil"/>
              <w:bottom w:val="single" w:sz="4" w:space="0" w:color="auto"/>
              <w:right w:val="single" w:sz="4" w:space="0" w:color="auto"/>
            </w:tcBorders>
            <w:noWrap/>
            <w:vAlign w:val="center"/>
            <w:hideMark/>
          </w:tcPr>
          <w:p w14:paraId="0F1B1AA5"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371.951</w:t>
            </w:r>
          </w:p>
        </w:tc>
        <w:tc>
          <w:tcPr>
            <w:tcW w:w="990" w:type="dxa"/>
            <w:tcBorders>
              <w:top w:val="nil"/>
              <w:left w:val="nil"/>
              <w:bottom w:val="single" w:sz="4" w:space="0" w:color="auto"/>
              <w:right w:val="single" w:sz="8" w:space="0" w:color="auto"/>
            </w:tcBorders>
            <w:noWrap/>
            <w:vAlign w:val="center"/>
            <w:hideMark/>
          </w:tcPr>
          <w:p w14:paraId="1DD9ED82"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100%</w:t>
            </w:r>
          </w:p>
        </w:tc>
      </w:tr>
      <w:tr w:rsidR="00DC1F89" w:rsidRPr="008902B6" w14:paraId="0DFE50B6" w14:textId="77777777" w:rsidTr="00361731">
        <w:trPr>
          <w:trHeight w:val="439"/>
        </w:trPr>
        <w:tc>
          <w:tcPr>
            <w:tcW w:w="2116" w:type="dxa"/>
            <w:tcBorders>
              <w:top w:val="nil"/>
              <w:left w:val="single" w:sz="8" w:space="0" w:color="auto"/>
              <w:bottom w:val="single" w:sz="4" w:space="0" w:color="auto"/>
              <w:right w:val="single" w:sz="4" w:space="0" w:color="auto"/>
            </w:tcBorders>
            <w:noWrap/>
            <w:vAlign w:val="center"/>
            <w:hideMark/>
          </w:tcPr>
          <w:p w14:paraId="6361BA54"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609099</w:t>
            </w:r>
          </w:p>
        </w:tc>
        <w:tc>
          <w:tcPr>
            <w:tcW w:w="2842" w:type="dxa"/>
            <w:tcBorders>
              <w:top w:val="nil"/>
              <w:left w:val="nil"/>
              <w:bottom w:val="single" w:sz="4" w:space="0" w:color="auto"/>
              <w:right w:val="single" w:sz="4" w:space="0" w:color="auto"/>
            </w:tcBorders>
            <w:noWrap/>
            <w:vAlign w:val="center"/>
            <w:hideMark/>
          </w:tcPr>
          <w:p w14:paraId="373616D0" w14:textId="77777777" w:rsidR="00DC1F89" w:rsidRPr="008902B6" w:rsidRDefault="00DC1F89" w:rsidP="00361731">
            <w:pPr>
              <w:rPr>
                <w:rFonts w:ascii="Calibri" w:hAnsi="Calibri" w:cs="Calibri"/>
                <w:color w:val="000000"/>
                <w:sz w:val="18"/>
                <w:szCs w:val="18"/>
                <w:lang w:val="en-US"/>
              </w:rPr>
            </w:pPr>
            <w:r w:rsidRPr="008902B6">
              <w:rPr>
                <w:rFonts w:ascii="Calibri" w:hAnsi="Calibri" w:cs="Calibri"/>
                <w:color w:val="000000"/>
                <w:sz w:val="18"/>
                <w:szCs w:val="18"/>
                <w:lang w:val="en-AU"/>
              </w:rPr>
              <w:t>VN Disability</w:t>
            </w:r>
          </w:p>
        </w:tc>
        <w:tc>
          <w:tcPr>
            <w:tcW w:w="989" w:type="dxa"/>
            <w:tcBorders>
              <w:top w:val="nil"/>
              <w:left w:val="nil"/>
              <w:bottom w:val="single" w:sz="4" w:space="0" w:color="auto"/>
              <w:right w:val="single" w:sz="4" w:space="0" w:color="auto"/>
            </w:tcBorders>
            <w:noWrap/>
            <w:vAlign w:val="center"/>
            <w:hideMark/>
          </w:tcPr>
          <w:p w14:paraId="3115EB6D" w14:textId="77777777" w:rsidR="00DC1F89" w:rsidRPr="00911671" w:rsidRDefault="00DC1F89" w:rsidP="00361731">
            <w:pPr>
              <w:rPr>
                <w:rFonts w:ascii="Calibri" w:hAnsi="Calibri" w:cs="Calibri"/>
                <w:color w:val="000000"/>
                <w:sz w:val="18"/>
                <w:szCs w:val="18"/>
                <w:lang w:val="en-US"/>
              </w:rPr>
            </w:pPr>
            <w:r w:rsidRPr="00911671">
              <w:rPr>
                <w:rFonts w:ascii="Calibri" w:hAnsi="Calibri" w:cs="Calibri"/>
                <w:color w:val="000000"/>
                <w:sz w:val="18"/>
                <w:szCs w:val="18"/>
                <w:lang w:val="en-AU"/>
              </w:rPr>
              <w:t>P4</w:t>
            </w:r>
          </w:p>
        </w:tc>
        <w:tc>
          <w:tcPr>
            <w:tcW w:w="1131" w:type="dxa"/>
            <w:tcBorders>
              <w:top w:val="nil"/>
              <w:left w:val="nil"/>
              <w:bottom w:val="single" w:sz="4" w:space="0" w:color="auto"/>
              <w:right w:val="single" w:sz="4" w:space="0" w:color="auto"/>
            </w:tcBorders>
            <w:noWrap/>
            <w:vAlign w:val="center"/>
            <w:hideMark/>
          </w:tcPr>
          <w:p w14:paraId="30F5817A"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449.49</w:t>
            </w:r>
          </w:p>
        </w:tc>
        <w:tc>
          <w:tcPr>
            <w:tcW w:w="1272" w:type="dxa"/>
            <w:tcBorders>
              <w:top w:val="nil"/>
              <w:left w:val="nil"/>
              <w:bottom w:val="single" w:sz="4" w:space="0" w:color="auto"/>
              <w:right w:val="single" w:sz="4" w:space="0" w:color="auto"/>
            </w:tcBorders>
            <w:noWrap/>
            <w:vAlign w:val="center"/>
            <w:hideMark/>
          </w:tcPr>
          <w:p w14:paraId="5574E6BB" w14:textId="77777777" w:rsidR="00DC1F89" w:rsidRPr="008902B6" w:rsidRDefault="00DC1F89" w:rsidP="00361731">
            <w:pPr>
              <w:jc w:val="right"/>
              <w:rPr>
                <w:rFonts w:ascii="Calibri" w:hAnsi="Calibri" w:cs="Calibri"/>
                <w:color w:val="000000"/>
                <w:sz w:val="18"/>
                <w:szCs w:val="18"/>
                <w:lang w:val="en-US"/>
              </w:rPr>
            </w:pPr>
            <w:r w:rsidRPr="008902B6">
              <w:rPr>
                <w:rFonts w:ascii="Calibri" w:hAnsi="Calibri" w:cs="Calibri"/>
                <w:color w:val="000000"/>
                <w:sz w:val="18"/>
                <w:szCs w:val="18"/>
                <w:lang w:val="en-AU"/>
              </w:rPr>
              <w:t>127.623</w:t>
            </w:r>
          </w:p>
        </w:tc>
        <w:tc>
          <w:tcPr>
            <w:tcW w:w="990" w:type="dxa"/>
            <w:tcBorders>
              <w:top w:val="nil"/>
              <w:left w:val="nil"/>
              <w:bottom w:val="single" w:sz="4" w:space="0" w:color="auto"/>
              <w:right w:val="single" w:sz="8" w:space="0" w:color="auto"/>
            </w:tcBorders>
            <w:noWrap/>
            <w:vAlign w:val="center"/>
            <w:hideMark/>
          </w:tcPr>
          <w:p w14:paraId="00C483BB"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28%</w:t>
            </w:r>
          </w:p>
        </w:tc>
      </w:tr>
      <w:tr w:rsidR="00DC1F89" w:rsidRPr="008902B6" w14:paraId="1F9E41E8" w14:textId="77777777" w:rsidTr="00361731">
        <w:trPr>
          <w:trHeight w:val="439"/>
        </w:trPr>
        <w:tc>
          <w:tcPr>
            <w:tcW w:w="2116"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706B1D4C" w14:textId="77777777" w:rsidR="00DC1F89" w:rsidRPr="008902B6" w:rsidRDefault="00DC1F89" w:rsidP="00361731">
            <w:pPr>
              <w:rPr>
                <w:rFonts w:ascii="Calibri" w:hAnsi="Calibri" w:cs="Calibri"/>
                <w:b/>
                <w:bCs/>
                <w:color w:val="000000"/>
                <w:sz w:val="18"/>
                <w:szCs w:val="18"/>
                <w:lang w:val="en-US"/>
              </w:rPr>
            </w:pPr>
            <w:r>
              <w:rPr>
                <w:rFonts w:ascii="Calibri" w:hAnsi="Calibri" w:cs="Calibri"/>
                <w:b/>
                <w:bCs/>
                <w:color w:val="000000"/>
                <w:sz w:val="18"/>
                <w:szCs w:val="18"/>
                <w:lang w:val="en-US"/>
              </w:rPr>
              <w:t>N/A</w:t>
            </w:r>
          </w:p>
        </w:tc>
        <w:tc>
          <w:tcPr>
            <w:tcW w:w="2842" w:type="dxa"/>
            <w:tcBorders>
              <w:top w:val="single" w:sz="4" w:space="0" w:color="auto"/>
              <w:left w:val="single" w:sz="4" w:space="0" w:color="auto"/>
              <w:bottom w:val="single" w:sz="4" w:space="0" w:color="auto"/>
              <w:right w:val="single" w:sz="4" w:space="0" w:color="auto"/>
            </w:tcBorders>
            <w:shd w:val="clear" w:color="000000" w:fill="CAEDFB"/>
            <w:vAlign w:val="center"/>
          </w:tcPr>
          <w:p w14:paraId="584FE761"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AU"/>
              </w:rPr>
              <w:t>Program Management Costs</w:t>
            </w:r>
          </w:p>
        </w:tc>
        <w:tc>
          <w:tcPr>
            <w:tcW w:w="989"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0C6C52BA"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Pr>
                <w:rFonts w:ascii="Calibri" w:hAnsi="Calibri" w:cs="Calibri"/>
                <w:b/>
                <w:bCs/>
                <w:color w:val="000000"/>
                <w:sz w:val="18"/>
                <w:szCs w:val="18"/>
                <w:lang w:val="en-US"/>
              </w:rPr>
              <w:t>n/a</w:t>
            </w:r>
          </w:p>
        </w:tc>
        <w:tc>
          <w:tcPr>
            <w:tcW w:w="1131" w:type="dxa"/>
            <w:tcBorders>
              <w:top w:val="nil"/>
              <w:left w:val="single" w:sz="4" w:space="0" w:color="auto"/>
              <w:bottom w:val="single" w:sz="4" w:space="0" w:color="auto"/>
              <w:right w:val="single" w:sz="4" w:space="0" w:color="auto"/>
            </w:tcBorders>
            <w:shd w:val="clear" w:color="000000" w:fill="CAEDFB"/>
            <w:noWrap/>
            <w:vAlign w:val="center"/>
            <w:hideMark/>
          </w:tcPr>
          <w:p w14:paraId="32AE5EEC"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419.597</w:t>
            </w:r>
          </w:p>
        </w:tc>
        <w:tc>
          <w:tcPr>
            <w:tcW w:w="1272" w:type="dxa"/>
            <w:tcBorders>
              <w:top w:val="nil"/>
              <w:left w:val="nil"/>
              <w:bottom w:val="single" w:sz="4" w:space="0" w:color="auto"/>
              <w:right w:val="single" w:sz="4" w:space="0" w:color="auto"/>
            </w:tcBorders>
            <w:shd w:val="clear" w:color="000000" w:fill="CAEDFB"/>
            <w:noWrap/>
            <w:vAlign w:val="center"/>
            <w:hideMark/>
          </w:tcPr>
          <w:p w14:paraId="667C43CC"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60.368</w:t>
            </w:r>
          </w:p>
        </w:tc>
        <w:tc>
          <w:tcPr>
            <w:tcW w:w="990" w:type="dxa"/>
            <w:tcBorders>
              <w:top w:val="nil"/>
              <w:left w:val="nil"/>
              <w:bottom w:val="single" w:sz="4" w:space="0" w:color="auto"/>
              <w:right w:val="single" w:sz="8" w:space="0" w:color="auto"/>
            </w:tcBorders>
            <w:shd w:val="clear" w:color="000000" w:fill="CAEDFB"/>
            <w:noWrap/>
            <w:vAlign w:val="center"/>
            <w:hideMark/>
          </w:tcPr>
          <w:p w14:paraId="4841CE90"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14%</w:t>
            </w:r>
          </w:p>
        </w:tc>
      </w:tr>
      <w:tr w:rsidR="00DC1F89" w:rsidRPr="008902B6" w14:paraId="4F9D89E9" w14:textId="77777777" w:rsidTr="00361731">
        <w:trPr>
          <w:trHeight w:val="439"/>
        </w:trPr>
        <w:tc>
          <w:tcPr>
            <w:tcW w:w="2116" w:type="dxa"/>
            <w:tcBorders>
              <w:top w:val="nil"/>
              <w:left w:val="single" w:sz="8" w:space="0" w:color="auto"/>
              <w:bottom w:val="single" w:sz="8" w:space="0" w:color="auto"/>
              <w:right w:val="single" w:sz="4" w:space="0" w:color="auto"/>
            </w:tcBorders>
            <w:shd w:val="clear" w:color="000000" w:fill="CAEDFB"/>
            <w:noWrap/>
            <w:vAlign w:val="center"/>
            <w:hideMark/>
          </w:tcPr>
          <w:p w14:paraId="155321B9" w14:textId="77777777" w:rsidR="00DC1F89" w:rsidRPr="008902B6" w:rsidRDefault="00DC1F89" w:rsidP="00361731">
            <w:pPr>
              <w:rPr>
                <w:rFonts w:ascii="Calibri" w:hAnsi="Calibri" w:cs="Calibri"/>
                <w:b/>
                <w:bCs/>
                <w:color w:val="000000"/>
                <w:sz w:val="18"/>
                <w:szCs w:val="18"/>
                <w:lang w:val="en-US"/>
              </w:rPr>
            </w:pPr>
            <w:r>
              <w:rPr>
                <w:rFonts w:ascii="Calibri" w:hAnsi="Calibri" w:cs="Calibri"/>
                <w:b/>
                <w:bCs/>
                <w:color w:val="000000"/>
                <w:sz w:val="18"/>
                <w:szCs w:val="18"/>
                <w:lang w:val="en-US"/>
              </w:rPr>
              <w:t>N/A</w:t>
            </w:r>
          </w:p>
        </w:tc>
        <w:tc>
          <w:tcPr>
            <w:tcW w:w="2842"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314171C7"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sidRPr="008902B6">
              <w:rPr>
                <w:rFonts w:ascii="Calibri" w:hAnsi="Calibri" w:cs="Calibri"/>
                <w:b/>
                <w:bCs/>
                <w:color w:val="000000"/>
                <w:sz w:val="18"/>
                <w:szCs w:val="18"/>
                <w:lang w:val="en-AU"/>
              </w:rPr>
              <w:t>Total</w:t>
            </w:r>
          </w:p>
        </w:tc>
        <w:tc>
          <w:tcPr>
            <w:tcW w:w="989"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14:paraId="36B6A248" w14:textId="77777777" w:rsidR="00DC1F89" w:rsidRPr="008902B6" w:rsidRDefault="00DC1F89" w:rsidP="00361731">
            <w:pPr>
              <w:rPr>
                <w:rFonts w:ascii="Calibri" w:hAnsi="Calibri" w:cs="Calibri"/>
                <w:b/>
                <w:bCs/>
                <w:color w:val="000000"/>
                <w:sz w:val="18"/>
                <w:szCs w:val="18"/>
                <w:lang w:val="en-US"/>
              </w:rPr>
            </w:pPr>
            <w:r w:rsidRPr="008902B6">
              <w:rPr>
                <w:rFonts w:ascii="Calibri" w:hAnsi="Calibri" w:cs="Calibri"/>
                <w:b/>
                <w:bCs/>
                <w:color w:val="000000"/>
                <w:sz w:val="18"/>
                <w:szCs w:val="18"/>
                <w:lang w:val="en-US"/>
              </w:rPr>
              <w:t> </w:t>
            </w:r>
            <w:r>
              <w:rPr>
                <w:rFonts w:ascii="Calibri" w:hAnsi="Calibri" w:cs="Calibri"/>
                <w:b/>
                <w:bCs/>
                <w:color w:val="000000"/>
                <w:sz w:val="18"/>
                <w:szCs w:val="18"/>
                <w:lang w:val="en-US"/>
              </w:rPr>
              <w:t>n/a</w:t>
            </w:r>
          </w:p>
        </w:tc>
        <w:tc>
          <w:tcPr>
            <w:tcW w:w="1131" w:type="dxa"/>
            <w:tcBorders>
              <w:top w:val="nil"/>
              <w:left w:val="single" w:sz="4" w:space="0" w:color="auto"/>
              <w:bottom w:val="single" w:sz="8" w:space="0" w:color="auto"/>
              <w:right w:val="single" w:sz="4" w:space="0" w:color="auto"/>
            </w:tcBorders>
            <w:shd w:val="clear" w:color="000000" w:fill="CAEDFB"/>
            <w:noWrap/>
            <w:vAlign w:val="center"/>
            <w:hideMark/>
          </w:tcPr>
          <w:p w14:paraId="177C6678"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8.674.659</w:t>
            </w:r>
          </w:p>
        </w:tc>
        <w:tc>
          <w:tcPr>
            <w:tcW w:w="1272" w:type="dxa"/>
            <w:tcBorders>
              <w:top w:val="nil"/>
              <w:left w:val="nil"/>
              <w:bottom w:val="single" w:sz="8" w:space="0" w:color="auto"/>
              <w:right w:val="single" w:sz="4" w:space="0" w:color="auto"/>
            </w:tcBorders>
            <w:shd w:val="clear" w:color="000000" w:fill="CAEDFB"/>
            <w:noWrap/>
            <w:vAlign w:val="center"/>
            <w:hideMark/>
          </w:tcPr>
          <w:p w14:paraId="1A73D9EB"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5.972.350</w:t>
            </w:r>
          </w:p>
        </w:tc>
        <w:tc>
          <w:tcPr>
            <w:tcW w:w="990" w:type="dxa"/>
            <w:tcBorders>
              <w:top w:val="nil"/>
              <w:left w:val="nil"/>
              <w:bottom w:val="single" w:sz="8" w:space="0" w:color="auto"/>
              <w:right w:val="single" w:sz="8" w:space="0" w:color="auto"/>
            </w:tcBorders>
            <w:shd w:val="clear" w:color="000000" w:fill="CAEDFB"/>
            <w:noWrap/>
            <w:vAlign w:val="center"/>
            <w:hideMark/>
          </w:tcPr>
          <w:p w14:paraId="697BDB6B" w14:textId="77777777" w:rsidR="00DC1F89" w:rsidRPr="008902B6" w:rsidRDefault="00DC1F89" w:rsidP="00361731">
            <w:pPr>
              <w:jc w:val="right"/>
              <w:rPr>
                <w:rFonts w:ascii="Calibri" w:hAnsi="Calibri" w:cs="Calibri"/>
                <w:b/>
                <w:bCs/>
                <w:color w:val="000000"/>
                <w:sz w:val="18"/>
                <w:szCs w:val="18"/>
                <w:lang w:val="en-US"/>
              </w:rPr>
            </w:pPr>
            <w:r w:rsidRPr="008902B6">
              <w:rPr>
                <w:rFonts w:ascii="Calibri" w:hAnsi="Calibri" w:cs="Calibri"/>
                <w:b/>
                <w:bCs/>
                <w:color w:val="000000"/>
                <w:sz w:val="18"/>
                <w:szCs w:val="18"/>
                <w:lang w:val="en-AU"/>
              </w:rPr>
              <w:t>65%</w:t>
            </w:r>
          </w:p>
        </w:tc>
      </w:tr>
    </w:tbl>
    <w:p w14:paraId="47C8F778" w14:textId="4F4D9EA8" w:rsidR="00B37E73" w:rsidRDefault="00B37E73" w:rsidP="00B37E73">
      <w:pPr>
        <w:rPr>
          <w:lang w:val="en-AU"/>
        </w:rPr>
      </w:pPr>
    </w:p>
    <w:p w14:paraId="0F67DC53" w14:textId="060F98D0" w:rsidR="002B23E2" w:rsidRPr="00C97A19" w:rsidRDefault="002B23E2" w:rsidP="002B23E2">
      <w:pPr>
        <w:spacing w:after="120"/>
        <w:jc w:val="both"/>
        <w:rPr>
          <w:rFonts w:ascii="Calibri" w:hAnsi="Calibri" w:cs="Calibri"/>
          <w:sz w:val="22"/>
          <w:szCs w:val="22"/>
          <w:lang w:val="en-AU"/>
        </w:rPr>
      </w:pPr>
      <w:r w:rsidRPr="00C97A19">
        <w:rPr>
          <w:rFonts w:ascii="Calibri" w:hAnsi="Calibri" w:cs="Calibri"/>
          <w:b/>
          <w:bCs/>
          <w:sz w:val="22"/>
          <w:szCs w:val="22"/>
          <w:lang w:val="en-AU"/>
        </w:rPr>
        <w:t>VPSDP has demonstrated sound Value for Money (VfM) across the entire portfolio</w:t>
      </w:r>
      <w:r w:rsidRPr="00C97A19">
        <w:rPr>
          <w:rFonts w:ascii="Calibri" w:hAnsi="Calibri" w:cs="Calibri"/>
          <w:sz w:val="22"/>
          <w:szCs w:val="22"/>
          <w:lang w:val="en-AU"/>
        </w:rPr>
        <w:t>. A key feature of the IFC partnership is the ability to draw on a locally based, technically competent group of professionals who have established relationships with key clients. Locally based professionals are also supported by regional technical experts, which minimises the need for expensive fly-in</w:t>
      </w:r>
      <w:r w:rsidR="00E03004" w:rsidRPr="00C97A19">
        <w:rPr>
          <w:rFonts w:ascii="Calibri" w:hAnsi="Calibri" w:cs="Calibri"/>
          <w:sz w:val="22"/>
          <w:szCs w:val="22"/>
          <w:lang w:val="en-AU"/>
        </w:rPr>
        <w:t>/</w:t>
      </w:r>
      <w:r w:rsidRPr="00C97A19">
        <w:rPr>
          <w:rFonts w:ascii="Calibri" w:hAnsi="Calibri" w:cs="Calibri"/>
          <w:sz w:val="22"/>
          <w:szCs w:val="22"/>
          <w:lang w:val="en-AU"/>
        </w:rPr>
        <w:t>fly-out arrangements. IFC has capacity at both the upstream and downstream levels of the portfolio. Project budgets are also reasonable given the complexity and overall scope of work. In effect, the program demonst</w:t>
      </w:r>
      <w:r w:rsidR="00467344" w:rsidRPr="00C97A19">
        <w:rPr>
          <w:rFonts w:ascii="Calibri" w:hAnsi="Calibri" w:cs="Calibri"/>
          <w:sz w:val="22"/>
          <w:szCs w:val="22"/>
          <w:lang w:val="en-AU"/>
        </w:rPr>
        <w:t>r</w:t>
      </w:r>
      <w:r w:rsidRPr="00C97A19">
        <w:rPr>
          <w:rFonts w:ascii="Calibri" w:hAnsi="Calibri" w:cs="Calibri"/>
          <w:sz w:val="22"/>
          <w:szCs w:val="22"/>
          <w:lang w:val="en-AU"/>
        </w:rPr>
        <w:t xml:space="preserve">ates VfM </w:t>
      </w:r>
      <w:r w:rsidR="00F03ACC" w:rsidRPr="00C97A19">
        <w:rPr>
          <w:rFonts w:ascii="Calibri" w:hAnsi="Calibri" w:cs="Calibri"/>
          <w:sz w:val="22"/>
          <w:szCs w:val="22"/>
          <w:lang w:val="en-AU"/>
        </w:rPr>
        <w:t>by</w:t>
      </w:r>
      <w:r w:rsidRPr="00C97A19">
        <w:rPr>
          <w:rFonts w:ascii="Calibri" w:hAnsi="Calibri" w:cs="Calibri"/>
          <w:sz w:val="22"/>
          <w:szCs w:val="22"/>
          <w:lang w:val="en-AU"/>
        </w:rPr>
        <w:t xml:space="preserve"> </w:t>
      </w:r>
      <w:r w:rsidR="00F03ACC" w:rsidRPr="00C97A19">
        <w:rPr>
          <w:rFonts w:ascii="Calibri" w:hAnsi="Calibri" w:cs="Calibri"/>
          <w:sz w:val="22"/>
          <w:szCs w:val="22"/>
          <w:lang w:val="en-AU"/>
        </w:rPr>
        <w:t>utilising</w:t>
      </w:r>
      <w:r w:rsidRPr="00C97A19">
        <w:rPr>
          <w:rFonts w:ascii="Calibri" w:hAnsi="Calibri" w:cs="Calibri"/>
          <w:sz w:val="22"/>
          <w:szCs w:val="22"/>
          <w:lang w:val="en-AU"/>
        </w:rPr>
        <w:t xml:space="preserve"> localised approaches and person</w:t>
      </w:r>
      <w:r w:rsidR="00186D33" w:rsidRPr="00C97A19">
        <w:rPr>
          <w:rFonts w:ascii="Calibri" w:hAnsi="Calibri" w:cs="Calibri"/>
          <w:sz w:val="22"/>
          <w:szCs w:val="22"/>
          <w:lang w:val="en-AU"/>
        </w:rPr>
        <w:t>nel,</w:t>
      </w:r>
      <w:r w:rsidRPr="00C97A19">
        <w:rPr>
          <w:rFonts w:ascii="Calibri" w:hAnsi="Calibri" w:cs="Calibri"/>
          <w:sz w:val="22"/>
          <w:szCs w:val="22"/>
          <w:lang w:val="en-AU"/>
        </w:rPr>
        <w:t xml:space="preserve"> </w:t>
      </w:r>
      <w:r w:rsidR="00186D33" w:rsidRPr="00C97A19">
        <w:rPr>
          <w:rFonts w:ascii="Calibri" w:hAnsi="Calibri" w:cs="Calibri"/>
          <w:sz w:val="22"/>
          <w:szCs w:val="22"/>
          <w:lang w:val="en-AU"/>
        </w:rPr>
        <w:t>thereby</w:t>
      </w:r>
      <w:r w:rsidRPr="00C97A19">
        <w:rPr>
          <w:rFonts w:ascii="Calibri" w:hAnsi="Calibri" w:cs="Calibri"/>
          <w:sz w:val="22"/>
          <w:szCs w:val="22"/>
          <w:lang w:val="en-AU"/>
        </w:rPr>
        <w:t xml:space="preserve"> minimis</w:t>
      </w:r>
      <w:r w:rsidR="00186D33" w:rsidRPr="00C97A19">
        <w:rPr>
          <w:rFonts w:ascii="Calibri" w:hAnsi="Calibri" w:cs="Calibri"/>
          <w:sz w:val="22"/>
          <w:szCs w:val="22"/>
          <w:lang w:val="en-AU"/>
        </w:rPr>
        <w:t>ing</w:t>
      </w:r>
      <w:r w:rsidRPr="00C97A19">
        <w:rPr>
          <w:rFonts w:ascii="Calibri" w:hAnsi="Calibri" w:cs="Calibri"/>
          <w:sz w:val="22"/>
          <w:szCs w:val="22"/>
          <w:lang w:val="en-AU"/>
        </w:rPr>
        <w:t xml:space="preserve"> cost</w:t>
      </w:r>
      <w:r w:rsidR="00186D33" w:rsidRPr="00C97A19">
        <w:rPr>
          <w:rFonts w:ascii="Calibri" w:hAnsi="Calibri" w:cs="Calibri"/>
          <w:sz w:val="22"/>
          <w:szCs w:val="22"/>
          <w:lang w:val="en-AU"/>
        </w:rPr>
        <w:t>s</w:t>
      </w:r>
      <w:r w:rsidRPr="00C97A19">
        <w:rPr>
          <w:rFonts w:ascii="Calibri" w:hAnsi="Calibri" w:cs="Calibri"/>
          <w:sz w:val="22"/>
          <w:szCs w:val="22"/>
          <w:lang w:val="en-AU"/>
        </w:rPr>
        <w:t xml:space="preserve"> and admin</w:t>
      </w:r>
      <w:r w:rsidR="00467344" w:rsidRPr="00C97A19">
        <w:rPr>
          <w:rFonts w:ascii="Calibri" w:hAnsi="Calibri" w:cs="Calibri"/>
          <w:sz w:val="22"/>
          <w:szCs w:val="22"/>
          <w:lang w:val="en-AU"/>
        </w:rPr>
        <w:t>istra</w:t>
      </w:r>
      <w:r w:rsidRPr="00C97A19">
        <w:rPr>
          <w:rFonts w:ascii="Calibri" w:hAnsi="Calibri" w:cs="Calibri"/>
          <w:sz w:val="22"/>
          <w:szCs w:val="22"/>
          <w:lang w:val="en-AU"/>
        </w:rPr>
        <w:t>tive overheads.</w:t>
      </w:r>
    </w:p>
    <w:p w14:paraId="62D1419C" w14:textId="12C70C13" w:rsidR="00B835E4" w:rsidRPr="0093161D" w:rsidRDefault="00253B43" w:rsidP="0093161D">
      <w:pPr>
        <w:jc w:val="both"/>
        <w:rPr>
          <w:rFonts w:ascii="Calibri" w:hAnsi="Calibri" w:cs="Calibri"/>
          <w:sz w:val="22"/>
          <w:szCs w:val="22"/>
          <w:lang w:val="en-AU"/>
        </w:rPr>
      </w:pPr>
      <w:r w:rsidRPr="00C97A19">
        <w:rPr>
          <w:rFonts w:ascii="Calibri" w:hAnsi="Calibri" w:cs="Calibri"/>
          <w:sz w:val="22"/>
          <w:szCs w:val="22"/>
          <w:lang w:val="en-AU"/>
        </w:rPr>
        <w:lastRenderedPageBreak/>
        <w:t>In considering the findings and evidence above, the evaluation assigns a “</w:t>
      </w:r>
      <w:r w:rsidR="008C502B" w:rsidRPr="00C97A19">
        <w:rPr>
          <w:rFonts w:ascii="Calibri" w:hAnsi="Calibri" w:cs="Calibri"/>
          <w:sz w:val="22"/>
          <w:szCs w:val="22"/>
          <w:lang w:val="en-AU"/>
        </w:rPr>
        <w:t xml:space="preserve">highly </w:t>
      </w:r>
      <w:r w:rsidRPr="00C97A19">
        <w:rPr>
          <w:rFonts w:ascii="Calibri" w:hAnsi="Calibri" w:cs="Calibri"/>
          <w:sz w:val="22"/>
          <w:szCs w:val="22"/>
          <w:lang w:val="en-AU"/>
        </w:rPr>
        <w:t>satisfactory” rating to efficiency.</w:t>
      </w:r>
      <w:bookmarkStart w:id="46" w:name="_Toc201131779"/>
    </w:p>
    <w:p w14:paraId="170A21E5" w14:textId="24EE3E1A" w:rsidR="00F76090" w:rsidRPr="002E39E8" w:rsidRDefault="00F76090" w:rsidP="4EF1951E">
      <w:pPr>
        <w:pStyle w:val="Heading2"/>
        <w:rPr>
          <w:lang w:val="en-AU"/>
        </w:rPr>
      </w:pPr>
      <w:bookmarkStart w:id="47" w:name="_Toc233724261"/>
      <w:r w:rsidRPr="002E39E8">
        <w:rPr>
          <w:lang w:val="en-AU"/>
        </w:rPr>
        <w:t>Sustainability</w:t>
      </w:r>
      <w:bookmarkEnd w:id="46"/>
      <w:bookmarkEnd w:id="47"/>
    </w:p>
    <w:p w14:paraId="0B8EFDFB" w14:textId="04DC8569" w:rsidR="00C61A13" w:rsidRPr="00C97A19" w:rsidRDefault="0067380D" w:rsidP="0067380D">
      <w:pPr>
        <w:pStyle w:val="BodyText2"/>
        <w:spacing w:line="240" w:lineRule="auto"/>
        <w:jc w:val="both"/>
        <w:rPr>
          <w:rFonts w:ascii="Calibri" w:hAnsi="Calibri" w:cs="Calibri"/>
          <w:sz w:val="22"/>
          <w:szCs w:val="22"/>
          <w:lang w:val="en-AU"/>
        </w:rPr>
      </w:pPr>
      <w:r w:rsidRPr="00C97A19">
        <w:rPr>
          <w:rFonts w:ascii="Calibri" w:hAnsi="Calibri" w:cs="Calibri"/>
          <w:color w:val="000000" w:themeColor="text1"/>
          <w:sz w:val="22"/>
          <w:szCs w:val="22"/>
          <w:shd w:val="clear" w:color="auto" w:fill="FFFFFF"/>
          <w:lang w:val="en-AU"/>
        </w:rPr>
        <w:t>A</w:t>
      </w:r>
      <w:r w:rsidR="00C61A13" w:rsidRPr="00C97A19">
        <w:rPr>
          <w:rFonts w:ascii="Calibri" w:hAnsi="Calibri" w:cs="Calibri"/>
          <w:color w:val="000000" w:themeColor="text1"/>
          <w:sz w:val="22"/>
          <w:szCs w:val="22"/>
          <w:shd w:val="clear" w:color="auto" w:fill="FFFFFF"/>
          <w:lang w:val="en-AU"/>
        </w:rPr>
        <w:t>ccording to the OECD-DAC</w:t>
      </w:r>
      <w:r w:rsidR="00313F80" w:rsidRPr="00C97A19">
        <w:rPr>
          <w:rFonts w:ascii="Calibri" w:hAnsi="Calibri" w:cs="Calibri"/>
          <w:color w:val="000000" w:themeColor="text1"/>
          <w:sz w:val="22"/>
          <w:szCs w:val="22"/>
          <w:shd w:val="clear" w:color="auto" w:fill="FFFFFF"/>
          <w:lang w:val="en-AU"/>
        </w:rPr>
        <w:t>,</w:t>
      </w:r>
      <w:r w:rsidR="00C61A13" w:rsidRPr="00C97A19">
        <w:rPr>
          <w:rFonts w:ascii="Calibri" w:hAnsi="Calibri" w:cs="Calibri"/>
          <w:color w:val="000000" w:themeColor="text1"/>
          <w:sz w:val="22"/>
          <w:szCs w:val="22"/>
          <w:shd w:val="clear" w:color="auto" w:fill="FFFFFF"/>
          <w:lang w:val="en-AU"/>
        </w:rPr>
        <w:t xml:space="preserve"> </w:t>
      </w:r>
      <w:r w:rsidRPr="00C97A19">
        <w:rPr>
          <w:rFonts w:ascii="Calibri" w:hAnsi="Calibri" w:cs="Calibri"/>
          <w:color w:val="000000" w:themeColor="text1"/>
          <w:sz w:val="22"/>
          <w:szCs w:val="22"/>
          <w:shd w:val="clear" w:color="auto" w:fill="FFFFFF"/>
          <w:lang w:val="en-AU"/>
        </w:rPr>
        <w:t>sustainability is defined</w:t>
      </w:r>
      <w:r w:rsidR="00C61A13" w:rsidRPr="00C97A19">
        <w:rPr>
          <w:rFonts w:ascii="Calibri" w:hAnsi="Calibri" w:cs="Calibri"/>
          <w:color w:val="000000" w:themeColor="text1"/>
          <w:sz w:val="22"/>
          <w:szCs w:val="22"/>
          <w:shd w:val="clear" w:color="auto" w:fill="FFFFFF"/>
          <w:lang w:val="en-AU"/>
        </w:rPr>
        <w:t xml:space="preserve"> as </w:t>
      </w:r>
      <w:r w:rsidR="00C61A13" w:rsidRPr="00C97A19">
        <w:rPr>
          <w:rFonts w:ascii="Calibri" w:hAnsi="Calibri" w:cs="Calibri"/>
          <w:color w:val="000000" w:themeColor="text1"/>
          <w:sz w:val="22"/>
          <w:szCs w:val="22"/>
          <w:lang w:val="en-AU"/>
        </w:rPr>
        <w:t>the extent to which the net benefits of the intervention continue or are likely to continue</w:t>
      </w:r>
      <w:r w:rsidR="00313F80" w:rsidRPr="00C97A19">
        <w:rPr>
          <w:rFonts w:ascii="Calibri" w:hAnsi="Calibri" w:cs="Calibri"/>
          <w:color w:val="000000" w:themeColor="text1"/>
          <w:sz w:val="22"/>
          <w:szCs w:val="22"/>
          <w:lang w:val="en-AU"/>
        </w:rPr>
        <w:t>. Given th</w:t>
      </w:r>
      <w:r w:rsidRPr="00C97A19">
        <w:rPr>
          <w:rFonts w:ascii="Calibri" w:hAnsi="Calibri" w:cs="Calibri"/>
          <w:color w:val="000000" w:themeColor="text1"/>
          <w:sz w:val="22"/>
          <w:szCs w:val="22"/>
          <w:lang w:val="en-AU"/>
        </w:rPr>
        <w:t xml:space="preserve">at the </w:t>
      </w:r>
      <w:r w:rsidR="004076F7" w:rsidRPr="00C97A19">
        <w:rPr>
          <w:rFonts w:ascii="Calibri" w:hAnsi="Calibri" w:cs="Calibri"/>
          <w:color w:val="000000" w:themeColor="text1"/>
          <w:sz w:val="22"/>
          <w:szCs w:val="22"/>
          <w:lang w:val="en-AU"/>
        </w:rPr>
        <w:t>V</w:t>
      </w:r>
      <w:r w:rsidRPr="00C97A19">
        <w:rPr>
          <w:rFonts w:ascii="Calibri" w:hAnsi="Calibri" w:cs="Calibri"/>
          <w:color w:val="000000" w:themeColor="text1"/>
          <w:sz w:val="22"/>
          <w:szCs w:val="22"/>
          <w:lang w:val="en-AU"/>
        </w:rPr>
        <w:t>PSDP will continue</w:t>
      </w:r>
      <w:r w:rsidR="00313F80" w:rsidRPr="00C97A19">
        <w:rPr>
          <w:rFonts w:ascii="Calibri" w:hAnsi="Calibri" w:cs="Calibri"/>
          <w:color w:val="000000" w:themeColor="text1"/>
          <w:sz w:val="22"/>
          <w:szCs w:val="22"/>
          <w:lang w:val="en-AU"/>
        </w:rPr>
        <w:t xml:space="preserve"> until </w:t>
      </w:r>
      <w:r w:rsidR="004076F7" w:rsidRPr="00C97A19">
        <w:rPr>
          <w:rFonts w:ascii="Calibri" w:hAnsi="Calibri" w:cs="Calibri"/>
          <w:color w:val="000000" w:themeColor="text1"/>
          <w:sz w:val="22"/>
          <w:szCs w:val="22"/>
          <w:lang w:val="en-AU"/>
        </w:rPr>
        <w:t>June 2027</w:t>
      </w:r>
      <w:r w:rsidR="00313F80" w:rsidRPr="00C97A19">
        <w:rPr>
          <w:rFonts w:ascii="Calibri" w:hAnsi="Calibri" w:cs="Calibri"/>
          <w:color w:val="000000" w:themeColor="text1"/>
          <w:sz w:val="22"/>
          <w:szCs w:val="22"/>
          <w:lang w:val="en-AU"/>
        </w:rPr>
        <w:t>, the following analysis is based upon evidence from secondary data sources, interviews</w:t>
      </w:r>
      <w:r w:rsidRPr="00C97A19">
        <w:rPr>
          <w:rFonts w:ascii="Calibri" w:hAnsi="Calibri" w:cs="Calibri"/>
          <w:color w:val="000000" w:themeColor="text1"/>
          <w:sz w:val="22"/>
          <w:szCs w:val="22"/>
          <w:lang w:val="en-AU"/>
        </w:rPr>
        <w:t>,</w:t>
      </w:r>
      <w:r w:rsidR="00313F80" w:rsidRPr="00C97A19">
        <w:rPr>
          <w:rFonts w:ascii="Calibri" w:hAnsi="Calibri" w:cs="Calibri"/>
          <w:color w:val="000000" w:themeColor="text1"/>
          <w:sz w:val="22"/>
          <w:szCs w:val="22"/>
          <w:lang w:val="en-AU"/>
        </w:rPr>
        <w:t xml:space="preserve"> and professional judgements</w:t>
      </w:r>
      <w:r w:rsidR="00313F80" w:rsidRPr="00C97A19">
        <w:rPr>
          <w:rFonts w:ascii="Calibri" w:hAnsi="Calibri" w:cs="Calibri"/>
          <w:sz w:val="22"/>
          <w:szCs w:val="22"/>
          <w:lang w:val="en-AU"/>
        </w:rPr>
        <w:t>.</w:t>
      </w:r>
    </w:p>
    <w:p w14:paraId="14EF8AF4" w14:textId="77777777" w:rsidR="004076F7" w:rsidRPr="002E39E8" w:rsidRDefault="00F76090" w:rsidP="00C973D1">
      <w:pPr>
        <w:pStyle w:val="NoSpacing"/>
        <w:autoSpaceDE w:val="0"/>
        <w:autoSpaceDN w:val="0"/>
        <w:adjustRightInd w:val="0"/>
        <w:spacing w:after="120"/>
        <w:jc w:val="both"/>
        <w:rPr>
          <w:rFonts w:ascii="Calibri" w:hAnsi="Calibri" w:cs="Calibri"/>
          <w:b/>
          <w:bCs/>
          <w:i/>
          <w:iCs/>
          <w:color w:val="000000"/>
          <w:u w:val="single"/>
        </w:rPr>
      </w:pPr>
      <w:r w:rsidRPr="000E3802">
        <w:rPr>
          <w:rFonts w:ascii="Calibri" w:hAnsi="Calibri" w:cs="Calibri"/>
          <w:b/>
          <w:bCs/>
          <w:i/>
          <w:iCs/>
          <w:color w:val="000000" w:themeColor="text1"/>
          <w:u w:val="single"/>
        </w:rPr>
        <w:t xml:space="preserve">KEQ </w:t>
      </w:r>
      <w:r w:rsidR="002E44E6" w:rsidRPr="000E3802">
        <w:rPr>
          <w:rFonts w:ascii="Calibri" w:hAnsi="Calibri" w:cs="Calibri"/>
          <w:b/>
          <w:bCs/>
          <w:i/>
          <w:iCs/>
          <w:color w:val="000000" w:themeColor="text1"/>
          <w:u w:val="single"/>
        </w:rPr>
        <w:t>7</w:t>
      </w:r>
      <w:r w:rsidRPr="000E3802">
        <w:rPr>
          <w:rFonts w:ascii="Calibri" w:hAnsi="Calibri" w:cs="Calibri"/>
          <w:b/>
          <w:bCs/>
          <w:i/>
          <w:iCs/>
          <w:color w:val="000000" w:themeColor="text1"/>
          <w:u w:val="single"/>
        </w:rPr>
        <w:t xml:space="preserve">: </w:t>
      </w:r>
      <w:r w:rsidR="004076F7" w:rsidRPr="002E39E8">
        <w:rPr>
          <w:rFonts w:ascii="Calibri" w:hAnsi="Calibri" w:cs="Calibri"/>
          <w:b/>
          <w:bCs/>
          <w:i/>
          <w:iCs/>
          <w:color w:val="000000"/>
          <w:u w:val="single"/>
        </w:rPr>
        <w:t xml:space="preserve">What are the overall highlights and lessons learned for the VPSDP in terms of design of private sector development and investment programming in Viet Nam? </w:t>
      </w:r>
    </w:p>
    <w:p w14:paraId="38F85E9E" w14:textId="54261E16" w:rsidR="00313F80" w:rsidRPr="00C97A19" w:rsidRDefault="00313F80" w:rsidP="0067380D">
      <w:pPr>
        <w:pStyle w:val="BodyText"/>
        <w:jc w:val="both"/>
        <w:rPr>
          <w:rFonts w:cs="Calibri"/>
          <w:szCs w:val="22"/>
          <w:lang w:val="en-AU"/>
        </w:rPr>
      </w:pPr>
      <w:r w:rsidRPr="00C97A19">
        <w:rPr>
          <w:rFonts w:cs="Calibri"/>
          <w:b/>
          <w:bCs/>
          <w:szCs w:val="22"/>
          <w:lang w:val="en-AU"/>
        </w:rPr>
        <w:t xml:space="preserve">Overall, projects and investments funded under the </w:t>
      </w:r>
      <w:r w:rsidR="00FE7EFD">
        <w:rPr>
          <w:rFonts w:cs="Calibri"/>
          <w:b/>
          <w:bCs/>
          <w:szCs w:val="22"/>
          <w:lang w:val="en-AU"/>
        </w:rPr>
        <w:t>Partnership</w:t>
      </w:r>
      <w:r w:rsidR="00FE7EFD" w:rsidRPr="00C97A19">
        <w:rPr>
          <w:rFonts w:cs="Calibri"/>
          <w:b/>
          <w:bCs/>
          <w:szCs w:val="22"/>
          <w:lang w:val="en-AU"/>
        </w:rPr>
        <w:t xml:space="preserve"> </w:t>
      </w:r>
      <w:r w:rsidR="00C973D1" w:rsidRPr="00C97A19">
        <w:rPr>
          <w:rFonts w:cs="Calibri"/>
          <w:b/>
          <w:bCs/>
          <w:szCs w:val="22"/>
          <w:lang w:val="en-AU"/>
        </w:rPr>
        <w:t>are highly likely to be sustainable, given that they were primarily designed and implemented in a staged, considered manner and align with</w:t>
      </w:r>
      <w:r w:rsidRPr="00C97A19">
        <w:rPr>
          <w:rFonts w:cs="Calibri"/>
          <w:b/>
          <w:bCs/>
          <w:szCs w:val="22"/>
          <w:lang w:val="en-AU"/>
        </w:rPr>
        <w:t xml:space="preserve"> </w:t>
      </w:r>
      <w:r w:rsidR="00C973D1" w:rsidRPr="00C97A19">
        <w:rPr>
          <w:rFonts w:cs="Calibri"/>
          <w:b/>
          <w:bCs/>
          <w:szCs w:val="22"/>
          <w:lang w:val="en-AU"/>
        </w:rPr>
        <w:t>the previous and current</w:t>
      </w:r>
      <w:r w:rsidRPr="00C97A19">
        <w:rPr>
          <w:rFonts w:cs="Calibri"/>
          <w:b/>
          <w:bCs/>
          <w:szCs w:val="22"/>
          <w:lang w:val="en-AU"/>
        </w:rPr>
        <w:t xml:space="preserve"> Go</w:t>
      </w:r>
      <w:r w:rsidR="00C973D1" w:rsidRPr="00C97A19">
        <w:rPr>
          <w:rFonts w:cs="Calibri"/>
          <w:b/>
          <w:bCs/>
          <w:szCs w:val="22"/>
          <w:lang w:val="en-AU"/>
        </w:rPr>
        <w:t xml:space="preserve">V's </w:t>
      </w:r>
      <w:r w:rsidRPr="00C97A19">
        <w:rPr>
          <w:rFonts w:cs="Calibri"/>
          <w:b/>
          <w:bCs/>
          <w:szCs w:val="22"/>
          <w:lang w:val="en-AU"/>
        </w:rPr>
        <w:t>pri</w:t>
      </w:r>
      <w:r w:rsidR="0067380D" w:rsidRPr="00C97A19">
        <w:rPr>
          <w:rFonts w:cs="Calibri"/>
          <w:b/>
          <w:bCs/>
          <w:szCs w:val="22"/>
          <w:lang w:val="en-AU"/>
        </w:rPr>
        <w:t>o</w:t>
      </w:r>
      <w:r w:rsidRPr="00C97A19">
        <w:rPr>
          <w:rFonts w:cs="Calibri"/>
          <w:b/>
          <w:bCs/>
          <w:szCs w:val="22"/>
          <w:lang w:val="en-AU"/>
        </w:rPr>
        <w:t>rities and needs.</w:t>
      </w:r>
      <w:r w:rsidRPr="00C97A19">
        <w:rPr>
          <w:rFonts w:cs="Calibri"/>
          <w:szCs w:val="22"/>
          <w:lang w:val="en-AU"/>
        </w:rPr>
        <w:t xml:space="preserve"> </w:t>
      </w:r>
      <w:r w:rsidR="00731194" w:rsidRPr="00C97A19">
        <w:rPr>
          <w:rFonts w:cs="Calibri"/>
          <w:szCs w:val="22"/>
          <w:lang w:val="en-AU"/>
        </w:rPr>
        <w:t xml:space="preserve">There are clear examples of </w:t>
      </w:r>
      <w:r w:rsidR="00731194" w:rsidRPr="000348BD">
        <w:rPr>
          <w:rFonts w:cs="Calibri"/>
          <w:color w:val="000000"/>
          <w:szCs w:val="22"/>
          <w:lang w:val="en-AU"/>
        </w:rPr>
        <w:t>work under the program that ha</w:t>
      </w:r>
      <w:r w:rsidR="003C7243" w:rsidRPr="000348BD">
        <w:rPr>
          <w:rFonts w:cs="Calibri"/>
          <w:color w:val="000000"/>
          <w:szCs w:val="22"/>
          <w:lang w:val="en-AU"/>
        </w:rPr>
        <w:t>ve</w:t>
      </w:r>
      <w:r w:rsidR="00731194" w:rsidRPr="000348BD">
        <w:rPr>
          <w:rFonts w:cs="Calibri"/>
          <w:color w:val="000000"/>
          <w:szCs w:val="22"/>
          <w:lang w:val="en-AU"/>
        </w:rPr>
        <w:t xml:space="preserve"> “converted” into IFC investments and private financing. This is solid evidence of the value of IFC’s efforts </w:t>
      </w:r>
      <w:r w:rsidR="003C7243" w:rsidRPr="000348BD">
        <w:rPr>
          <w:rFonts w:cs="Calibri"/>
          <w:color w:val="000000"/>
          <w:szCs w:val="22"/>
          <w:lang w:val="en-AU"/>
        </w:rPr>
        <w:t xml:space="preserve">being </w:t>
      </w:r>
      <w:r w:rsidR="00731194" w:rsidRPr="000348BD">
        <w:rPr>
          <w:rFonts w:cs="Calibri"/>
          <w:color w:val="000000"/>
          <w:szCs w:val="22"/>
          <w:lang w:val="en-AU"/>
        </w:rPr>
        <w:t>sustain</w:t>
      </w:r>
      <w:r w:rsidR="003C7243" w:rsidRPr="000348BD">
        <w:rPr>
          <w:rFonts w:cs="Calibri"/>
          <w:color w:val="000000"/>
          <w:szCs w:val="22"/>
          <w:lang w:val="en-AU"/>
        </w:rPr>
        <w:t>ed</w:t>
      </w:r>
      <w:r w:rsidR="00731194" w:rsidRPr="000348BD">
        <w:rPr>
          <w:rFonts w:cs="Calibri"/>
          <w:color w:val="000000"/>
          <w:szCs w:val="22"/>
          <w:lang w:val="en-AU"/>
        </w:rPr>
        <w:t xml:space="preserve"> beyond the lives of the individual upstream and advisory projects.</w:t>
      </w:r>
      <w:r w:rsidR="00731194" w:rsidRPr="00C97A19">
        <w:rPr>
          <w:rFonts w:cs="Calibri"/>
          <w:szCs w:val="22"/>
          <w:lang w:val="en-AU"/>
        </w:rPr>
        <w:t xml:space="preserve"> </w:t>
      </w:r>
      <w:r w:rsidRPr="00C97A19">
        <w:rPr>
          <w:rFonts w:cs="Calibri"/>
          <w:szCs w:val="22"/>
          <w:lang w:val="en-AU"/>
        </w:rPr>
        <w:t xml:space="preserve">The only outstanding </w:t>
      </w:r>
      <w:r w:rsidR="002B23E2" w:rsidRPr="00C97A19">
        <w:rPr>
          <w:rFonts w:cs="Calibri"/>
          <w:szCs w:val="22"/>
          <w:lang w:val="en-AU"/>
        </w:rPr>
        <w:t>sustainability</w:t>
      </w:r>
      <w:r w:rsidRPr="00C97A19">
        <w:rPr>
          <w:rFonts w:cs="Calibri"/>
          <w:szCs w:val="22"/>
          <w:lang w:val="en-AU"/>
        </w:rPr>
        <w:t xml:space="preserve"> </w:t>
      </w:r>
      <w:r w:rsidR="002B23E2" w:rsidRPr="00C97A19">
        <w:rPr>
          <w:rFonts w:cs="Calibri"/>
          <w:szCs w:val="22"/>
          <w:lang w:val="en-AU"/>
        </w:rPr>
        <w:t>question</w:t>
      </w:r>
      <w:r w:rsidRPr="00C97A19">
        <w:rPr>
          <w:rFonts w:cs="Calibri"/>
          <w:szCs w:val="22"/>
          <w:lang w:val="en-AU"/>
        </w:rPr>
        <w:t xml:space="preserve"> </w:t>
      </w:r>
      <w:r w:rsidR="00E024D3" w:rsidRPr="00C97A19">
        <w:rPr>
          <w:rFonts w:cs="Calibri"/>
          <w:szCs w:val="22"/>
          <w:lang w:val="en-AU"/>
        </w:rPr>
        <w:t>concern</w:t>
      </w:r>
      <w:r w:rsidR="003C7243" w:rsidRPr="00C97A19">
        <w:rPr>
          <w:rFonts w:cs="Calibri"/>
          <w:szCs w:val="22"/>
          <w:lang w:val="en-AU"/>
        </w:rPr>
        <w:t>s</w:t>
      </w:r>
      <w:r w:rsidRPr="00C97A19">
        <w:rPr>
          <w:rFonts w:cs="Calibri"/>
          <w:szCs w:val="22"/>
          <w:lang w:val="en-AU"/>
        </w:rPr>
        <w:t xml:space="preserve"> </w:t>
      </w:r>
      <w:r w:rsidR="00C973D1" w:rsidRPr="00C97A19">
        <w:rPr>
          <w:rFonts w:cs="Calibri"/>
          <w:szCs w:val="22"/>
          <w:lang w:val="en-AU"/>
        </w:rPr>
        <w:t>project work under Pillar 1.</w:t>
      </w:r>
      <w:r w:rsidR="00E024D3" w:rsidRPr="00C97A19">
        <w:rPr>
          <w:rFonts w:cs="Calibri"/>
          <w:szCs w:val="22"/>
          <w:lang w:val="en-AU"/>
        </w:rPr>
        <w:t xml:space="preserve"> </w:t>
      </w:r>
      <w:r w:rsidR="00C973D1" w:rsidRPr="00C97A19">
        <w:rPr>
          <w:rFonts w:cs="Calibri"/>
          <w:szCs w:val="22"/>
          <w:lang w:val="en-AU"/>
        </w:rPr>
        <w:t>While the work here is targeted, it requires sign</w:t>
      </w:r>
      <w:r w:rsidR="00E024D3" w:rsidRPr="00C97A19">
        <w:rPr>
          <w:rFonts w:cs="Calibri"/>
          <w:szCs w:val="22"/>
          <w:lang w:val="en-AU"/>
        </w:rPr>
        <w:t>ific</w:t>
      </w:r>
      <w:r w:rsidR="00C973D1" w:rsidRPr="00C97A19">
        <w:rPr>
          <w:rFonts w:cs="Calibri"/>
          <w:szCs w:val="22"/>
          <w:lang w:val="en-AU"/>
        </w:rPr>
        <w:t xml:space="preserve">ant </w:t>
      </w:r>
      <w:r w:rsidR="00E024D3" w:rsidRPr="00C97A19">
        <w:rPr>
          <w:rFonts w:cs="Calibri"/>
          <w:szCs w:val="22"/>
          <w:lang w:val="en-AU"/>
        </w:rPr>
        <w:t>time and investment and is subject to factors and context outside the program's control or influence.</w:t>
      </w:r>
      <w:r w:rsidR="00C973D1" w:rsidRPr="00C97A19">
        <w:rPr>
          <w:rFonts w:cs="Calibri"/>
          <w:szCs w:val="22"/>
          <w:lang w:val="en-AU"/>
        </w:rPr>
        <w:t xml:space="preserve"> </w:t>
      </w:r>
      <w:r w:rsidRPr="00C97A19">
        <w:rPr>
          <w:rFonts w:cs="Calibri"/>
          <w:szCs w:val="22"/>
          <w:lang w:val="en-AU"/>
        </w:rPr>
        <w:t>However, several key lessons have been learned and derived here that should provide a sound foundation for fu</w:t>
      </w:r>
      <w:r w:rsidR="00C973D1" w:rsidRPr="00C97A19">
        <w:rPr>
          <w:rFonts w:cs="Calibri"/>
          <w:szCs w:val="22"/>
          <w:lang w:val="en-AU"/>
        </w:rPr>
        <w:t>ture</w:t>
      </w:r>
      <w:r w:rsidR="0057250F" w:rsidRPr="00C97A19">
        <w:rPr>
          <w:rFonts w:cs="Calibri"/>
          <w:szCs w:val="22"/>
          <w:lang w:val="en-AU"/>
        </w:rPr>
        <w:t xml:space="preserve"> decision-ma</w:t>
      </w:r>
      <w:r w:rsidRPr="00C97A19">
        <w:rPr>
          <w:rFonts w:cs="Calibri"/>
          <w:szCs w:val="22"/>
          <w:lang w:val="en-AU"/>
        </w:rPr>
        <w:t xml:space="preserve">king. </w:t>
      </w:r>
    </w:p>
    <w:p w14:paraId="527CA2D1" w14:textId="4CF5EE7A" w:rsidR="00C973D1" w:rsidRPr="00C97A19" w:rsidRDefault="00C973D1" w:rsidP="0067380D">
      <w:pPr>
        <w:pStyle w:val="BodyText"/>
        <w:jc w:val="both"/>
        <w:rPr>
          <w:rFonts w:cs="Calibri"/>
          <w:szCs w:val="22"/>
          <w:lang w:val="en-AU"/>
        </w:rPr>
      </w:pPr>
      <w:r w:rsidRPr="00C97A19">
        <w:rPr>
          <w:rFonts w:cs="Calibri"/>
          <w:b/>
          <w:bCs/>
          <w:szCs w:val="22"/>
          <w:lang w:val="en-AU"/>
        </w:rPr>
        <w:t>Projects funded under VP</w:t>
      </w:r>
      <w:r w:rsidR="00FE7EFD">
        <w:rPr>
          <w:rFonts w:cs="Calibri"/>
          <w:b/>
          <w:bCs/>
          <w:szCs w:val="22"/>
          <w:lang w:val="en-AU"/>
        </w:rPr>
        <w:t>S</w:t>
      </w:r>
      <w:r w:rsidRPr="00C97A19">
        <w:rPr>
          <w:rFonts w:cs="Calibri"/>
          <w:b/>
          <w:bCs/>
          <w:szCs w:val="22"/>
          <w:lang w:val="en-AU"/>
        </w:rPr>
        <w:t xml:space="preserve">DP, in some instances, have been designed as “pilot in nature”, which allows for opportunities to test and trial. </w:t>
      </w:r>
      <w:r w:rsidRPr="00C97A19">
        <w:rPr>
          <w:rFonts w:cs="Calibri"/>
          <w:szCs w:val="22"/>
          <w:lang w:val="en-AU"/>
        </w:rPr>
        <w:t xml:space="preserve">This helps prioritise the right projects to address emerging needs and priorities. Many of the pilots, for example, the Blue </w:t>
      </w:r>
      <w:r w:rsidR="002B23E2" w:rsidRPr="00C97A19">
        <w:rPr>
          <w:rFonts w:cs="Calibri"/>
          <w:szCs w:val="22"/>
          <w:lang w:val="en-AU"/>
        </w:rPr>
        <w:t>Finance p</w:t>
      </w:r>
      <w:r w:rsidRPr="00C97A19">
        <w:rPr>
          <w:rFonts w:cs="Calibri"/>
          <w:szCs w:val="22"/>
          <w:lang w:val="en-AU"/>
        </w:rPr>
        <w:t>roject, have significant upside if the conditions remain conducive for ongoing financing. The important point is that financial commitments remain low and realistic, meaning projects can be dropped or redesigned to reflect changing circumstances.</w:t>
      </w:r>
      <w:r w:rsidR="007E101F" w:rsidRPr="00C97A19">
        <w:rPr>
          <w:rFonts w:cs="Calibri"/>
          <w:szCs w:val="22"/>
          <w:lang w:val="en-AU"/>
        </w:rPr>
        <w:t xml:space="preserve"> It is important to maintain communication and dialogue with DFAT to advise on progress and reinforce the benefits </w:t>
      </w:r>
      <w:r w:rsidR="00F03ACC" w:rsidRPr="00C97A19">
        <w:rPr>
          <w:rFonts w:cs="Calibri"/>
          <w:szCs w:val="22"/>
          <w:lang w:val="en-AU"/>
        </w:rPr>
        <w:t>for</w:t>
      </w:r>
      <w:r w:rsidR="007E101F" w:rsidRPr="00C97A19">
        <w:rPr>
          <w:rFonts w:cs="Calibri"/>
          <w:szCs w:val="22"/>
          <w:lang w:val="en-AU"/>
        </w:rPr>
        <w:t xml:space="preserve"> both clients and DFAT’s broader development agenda.</w:t>
      </w:r>
    </w:p>
    <w:p w14:paraId="2184CF93" w14:textId="23C7C67E" w:rsidR="0065517E" w:rsidRPr="00C97A19" w:rsidRDefault="0065517E" w:rsidP="0067380D">
      <w:pPr>
        <w:pStyle w:val="BodyText"/>
        <w:jc w:val="both"/>
        <w:rPr>
          <w:rFonts w:cs="Calibri"/>
          <w:szCs w:val="22"/>
          <w:lang w:val="en-AU"/>
        </w:rPr>
      </w:pPr>
      <w:r w:rsidRPr="00C97A19">
        <w:rPr>
          <w:rFonts w:cs="Calibri"/>
          <w:b/>
          <w:bCs/>
          <w:szCs w:val="22"/>
          <w:lang w:val="en-AU"/>
        </w:rPr>
        <w:t>A</w:t>
      </w:r>
      <w:r w:rsidR="003221AD" w:rsidRPr="00C97A19">
        <w:rPr>
          <w:rFonts w:cs="Calibri"/>
          <w:b/>
          <w:bCs/>
          <w:szCs w:val="22"/>
          <w:lang w:val="en-AU"/>
        </w:rPr>
        <w:t>s previously indicated, a</w:t>
      </w:r>
      <w:r w:rsidRPr="00C97A19">
        <w:rPr>
          <w:rFonts w:cs="Calibri"/>
          <w:b/>
          <w:bCs/>
          <w:szCs w:val="22"/>
          <w:lang w:val="en-AU"/>
        </w:rPr>
        <w:t xml:space="preserve"> key feature of the program </w:t>
      </w:r>
      <w:r w:rsidR="00C973D1" w:rsidRPr="00C97A19">
        <w:rPr>
          <w:rFonts w:cs="Calibri"/>
          <w:b/>
          <w:bCs/>
          <w:szCs w:val="22"/>
          <w:lang w:val="en-AU"/>
        </w:rPr>
        <w:t>has been the</w:t>
      </w:r>
      <w:r w:rsidRPr="00C97A19">
        <w:rPr>
          <w:rFonts w:cs="Calibri"/>
          <w:b/>
          <w:bCs/>
          <w:szCs w:val="22"/>
          <w:lang w:val="en-AU"/>
        </w:rPr>
        <w:t xml:space="preserve"> staged approach to implement</w:t>
      </w:r>
      <w:r w:rsidR="00E024D3" w:rsidRPr="00C97A19">
        <w:rPr>
          <w:rFonts w:cs="Calibri"/>
          <w:b/>
          <w:bCs/>
          <w:szCs w:val="22"/>
          <w:lang w:val="en-AU"/>
        </w:rPr>
        <w:t>ing</w:t>
      </w:r>
      <w:r w:rsidRPr="00C97A19">
        <w:rPr>
          <w:rFonts w:cs="Calibri"/>
          <w:b/>
          <w:bCs/>
          <w:szCs w:val="22"/>
          <w:lang w:val="en-AU"/>
        </w:rPr>
        <w:t xml:space="preserve"> and manag</w:t>
      </w:r>
      <w:r w:rsidR="00E024D3" w:rsidRPr="00C97A19">
        <w:rPr>
          <w:rFonts w:cs="Calibri"/>
          <w:b/>
          <w:bCs/>
          <w:szCs w:val="22"/>
          <w:lang w:val="en-AU"/>
        </w:rPr>
        <w:t>ing</w:t>
      </w:r>
      <w:r w:rsidR="00C973D1" w:rsidRPr="00C97A19">
        <w:rPr>
          <w:rFonts w:cs="Calibri"/>
          <w:b/>
          <w:bCs/>
          <w:szCs w:val="22"/>
          <w:lang w:val="en-AU"/>
        </w:rPr>
        <w:t xml:space="preserve"> core projects. </w:t>
      </w:r>
      <w:r w:rsidR="00C973D1" w:rsidRPr="00C97A19">
        <w:rPr>
          <w:rFonts w:cs="Calibri"/>
          <w:szCs w:val="22"/>
          <w:lang w:val="en-AU"/>
        </w:rPr>
        <w:t>Projects such as these</w:t>
      </w:r>
      <w:r w:rsidR="00C973D1" w:rsidRPr="00C97A19">
        <w:rPr>
          <w:rFonts w:cs="Calibri"/>
          <w:b/>
          <w:bCs/>
          <w:szCs w:val="22"/>
          <w:lang w:val="en-AU"/>
        </w:rPr>
        <w:t xml:space="preserve"> </w:t>
      </w:r>
      <w:r w:rsidRPr="00C97A19">
        <w:rPr>
          <w:rFonts w:cs="Calibri"/>
          <w:szCs w:val="22"/>
          <w:lang w:val="en-AU"/>
        </w:rPr>
        <w:t>have been designed and prioritised through close consultation</w:t>
      </w:r>
      <w:r w:rsidR="00C973D1" w:rsidRPr="00C97A19">
        <w:rPr>
          <w:rFonts w:cs="Calibri"/>
          <w:szCs w:val="22"/>
          <w:lang w:val="en-AU"/>
        </w:rPr>
        <w:t xml:space="preserve"> internally within IFC and discussed </w:t>
      </w:r>
      <w:r w:rsidRPr="00C97A19">
        <w:rPr>
          <w:rFonts w:cs="Calibri"/>
          <w:szCs w:val="22"/>
          <w:lang w:val="en-AU"/>
        </w:rPr>
        <w:t>with DFAT.</w:t>
      </w:r>
      <w:r w:rsidR="00C973D1" w:rsidRPr="00C97A19">
        <w:rPr>
          <w:rFonts w:cs="Calibri"/>
          <w:szCs w:val="22"/>
          <w:lang w:val="en-AU"/>
        </w:rPr>
        <w:t xml:space="preserve"> As indicated in previous sections, consultations and engagement with DFAT.</w:t>
      </w:r>
      <w:r w:rsidRPr="00C97A19">
        <w:rPr>
          <w:rFonts w:cs="Calibri"/>
          <w:szCs w:val="22"/>
          <w:lang w:val="en-AU"/>
        </w:rPr>
        <w:t xml:space="preserve"> </w:t>
      </w:r>
      <w:r w:rsidR="007B32B6" w:rsidRPr="00C97A19">
        <w:rPr>
          <w:rFonts w:cs="Calibri"/>
          <w:szCs w:val="22"/>
          <w:lang w:val="en-AU"/>
        </w:rPr>
        <w:t xml:space="preserve">This finding is not a </w:t>
      </w:r>
      <w:r w:rsidR="00E024D3" w:rsidRPr="00C97A19">
        <w:rPr>
          <w:rFonts w:cs="Calibri"/>
          <w:szCs w:val="22"/>
          <w:lang w:val="en-AU"/>
        </w:rPr>
        <w:t>criticism; it provides an opportunity to establish clear selection criteria and consultation processes to identify</w:t>
      </w:r>
      <w:r w:rsidR="007B32B6" w:rsidRPr="00C97A19">
        <w:rPr>
          <w:rFonts w:cs="Calibri"/>
          <w:szCs w:val="22"/>
          <w:lang w:val="en-AU"/>
        </w:rPr>
        <w:t xml:space="preserve"> priority projects. </w:t>
      </w:r>
      <w:r w:rsidR="003221AD" w:rsidRPr="00C97A19">
        <w:rPr>
          <w:rFonts w:cs="Calibri"/>
          <w:szCs w:val="22"/>
          <w:lang w:val="en-AU"/>
        </w:rPr>
        <w:t>The program'</w:t>
      </w:r>
      <w:r w:rsidR="007B32B6" w:rsidRPr="00C97A19">
        <w:rPr>
          <w:rFonts w:cs="Calibri"/>
          <w:szCs w:val="22"/>
          <w:lang w:val="en-AU"/>
        </w:rPr>
        <w:t>s ability to evolve and prioritise projects that build on successive iterations</w:t>
      </w:r>
      <w:r w:rsidR="003221AD" w:rsidRPr="00C97A19">
        <w:rPr>
          <w:rFonts w:cs="Calibri"/>
          <w:szCs w:val="22"/>
          <w:lang w:val="en-AU"/>
        </w:rPr>
        <w:t xml:space="preserve"> is crucial</w:t>
      </w:r>
      <w:r w:rsidR="007B32B6" w:rsidRPr="00C97A19">
        <w:rPr>
          <w:rFonts w:cs="Calibri"/>
          <w:szCs w:val="22"/>
          <w:lang w:val="en-AU"/>
        </w:rPr>
        <w:t xml:space="preserve">. This is evident through </w:t>
      </w:r>
      <w:r w:rsidR="00C973D1" w:rsidRPr="00C97A19">
        <w:rPr>
          <w:rFonts w:cs="Calibri"/>
          <w:szCs w:val="22"/>
          <w:lang w:val="en-AU"/>
        </w:rPr>
        <w:t>the Green Finance and Green Buildings work under Pillar</w:t>
      </w:r>
      <w:r w:rsidR="00F03ACC" w:rsidRPr="00C97A19">
        <w:rPr>
          <w:rFonts w:cs="Calibri"/>
          <w:szCs w:val="22"/>
          <w:lang w:val="en-AU"/>
        </w:rPr>
        <w:t>s</w:t>
      </w:r>
      <w:r w:rsidR="00C973D1" w:rsidRPr="00C97A19">
        <w:rPr>
          <w:rFonts w:cs="Calibri"/>
          <w:szCs w:val="22"/>
          <w:lang w:val="en-AU"/>
        </w:rPr>
        <w:t xml:space="preserve"> </w:t>
      </w:r>
      <w:r w:rsidR="002B23E2" w:rsidRPr="00C97A19">
        <w:rPr>
          <w:rFonts w:cs="Calibri"/>
          <w:szCs w:val="22"/>
          <w:lang w:val="en-AU"/>
        </w:rPr>
        <w:t>2 and 3</w:t>
      </w:r>
      <w:r w:rsidR="00C973D1" w:rsidRPr="00C97A19">
        <w:rPr>
          <w:rFonts w:cs="Calibri"/>
          <w:szCs w:val="22"/>
          <w:lang w:val="en-AU"/>
        </w:rPr>
        <w:t>.</w:t>
      </w:r>
    </w:p>
    <w:p w14:paraId="79201651" w14:textId="1A3E5BD6" w:rsidR="007E77CE" w:rsidRPr="00C97A19" w:rsidRDefault="00F03ACC" w:rsidP="00DF0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sz w:val="22"/>
          <w:szCs w:val="22"/>
          <w:lang w:val="en-AU"/>
        </w:rPr>
      </w:pPr>
      <w:r w:rsidRPr="00C97A19">
        <w:rPr>
          <w:rFonts w:ascii="Calibri" w:hAnsi="Calibri" w:cs="Calibri"/>
          <w:b/>
          <w:bCs/>
          <w:sz w:val="22"/>
          <w:szCs w:val="22"/>
          <w:lang w:val="en-AU"/>
        </w:rPr>
        <w:t>F</w:t>
      </w:r>
      <w:r w:rsidR="007B32B6" w:rsidRPr="00C97A19">
        <w:rPr>
          <w:rFonts w:ascii="Calibri" w:hAnsi="Calibri" w:cs="Calibri"/>
          <w:b/>
          <w:bCs/>
          <w:sz w:val="22"/>
          <w:szCs w:val="22"/>
          <w:lang w:val="en-AU"/>
        </w:rPr>
        <w:t xml:space="preserve">uture iterations of the program </w:t>
      </w:r>
      <w:r w:rsidRPr="00C97A19">
        <w:rPr>
          <w:rFonts w:ascii="Calibri" w:hAnsi="Calibri" w:cs="Calibri"/>
          <w:b/>
          <w:bCs/>
          <w:sz w:val="22"/>
          <w:szCs w:val="22"/>
          <w:lang w:val="en-AU"/>
        </w:rPr>
        <w:t>should</w:t>
      </w:r>
      <w:r w:rsidR="007B32B6" w:rsidRPr="00C97A19">
        <w:rPr>
          <w:rFonts w:ascii="Calibri" w:hAnsi="Calibri" w:cs="Calibri"/>
          <w:b/>
          <w:bCs/>
          <w:sz w:val="22"/>
          <w:szCs w:val="22"/>
          <w:lang w:val="en-AU"/>
        </w:rPr>
        <w:t xml:space="preserve"> prioritise and design longer-term projects from the outset </w:t>
      </w:r>
      <w:r w:rsidR="003221AD" w:rsidRPr="00C97A19">
        <w:rPr>
          <w:rFonts w:ascii="Calibri" w:hAnsi="Calibri" w:cs="Calibri"/>
          <w:b/>
          <w:bCs/>
          <w:sz w:val="22"/>
          <w:szCs w:val="22"/>
          <w:lang w:val="en-AU"/>
        </w:rPr>
        <w:t>with</w:t>
      </w:r>
      <w:r w:rsidR="007B32B6" w:rsidRPr="00C97A19">
        <w:rPr>
          <w:rFonts w:ascii="Calibri" w:hAnsi="Calibri" w:cs="Calibri"/>
          <w:b/>
          <w:bCs/>
          <w:sz w:val="22"/>
          <w:szCs w:val="22"/>
          <w:lang w:val="en-AU"/>
        </w:rPr>
        <w:t xml:space="preserve"> clear stages </w:t>
      </w:r>
      <w:r w:rsidR="003221AD" w:rsidRPr="00C97A19">
        <w:rPr>
          <w:rFonts w:ascii="Calibri" w:hAnsi="Calibri" w:cs="Calibri"/>
          <w:b/>
          <w:bCs/>
          <w:sz w:val="22"/>
          <w:szCs w:val="22"/>
          <w:lang w:val="en-AU"/>
        </w:rPr>
        <w:t>that</w:t>
      </w:r>
      <w:r w:rsidR="007B32B6" w:rsidRPr="00C97A19">
        <w:rPr>
          <w:rFonts w:ascii="Calibri" w:hAnsi="Calibri" w:cs="Calibri"/>
          <w:b/>
          <w:bCs/>
          <w:sz w:val="22"/>
          <w:szCs w:val="22"/>
          <w:lang w:val="en-AU"/>
        </w:rPr>
        <w:t xml:space="preserve"> can be programmed, monitored</w:t>
      </w:r>
      <w:r w:rsidR="003221AD" w:rsidRPr="00C97A19">
        <w:rPr>
          <w:rFonts w:ascii="Calibri" w:hAnsi="Calibri" w:cs="Calibri"/>
          <w:b/>
          <w:bCs/>
          <w:sz w:val="22"/>
          <w:szCs w:val="22"/>
          <w:lang w:val="en-AU"/>
        </w:rPr>
        <w:t>,</w:t>
      </w:r>
      <w:r w:rsidR="007B32B6" w:rsidRPr="00C97A19">
        <w:rPr>
          <w:rFonts w:ascii="Calibri" w:hAnsi="Calibri" w:cs="Calibri"/>
          <w:b/>
          <w:bCs/>
          <w:sz w:val="22"/>
          <w:szCs w:val="22"/>
          <w:lang w:val="en-AU"/>
        </w:rPr>
        <w:t xml:space="preserve"> and assessed over time.</w:t>
      </w:r>
      <w:r w:rsidR="007B32B6" w:rsidRPr="00C97A19">
        <w:rPr>
          <w:rFonts w:ascii="Calibri" w:hAnsi="Calibri" w:cs="Calibri"/>
          <w:sz w:val="22"/>
          <w:szCs w:val="22"/>
          <w:lang w:val="en-AU"/>
        </w:rPr>
        <w:t xml:space="preserve"> This removes potential challenges and risks of short-term projects and investments and provides a higher degree of continuity for IFC and DFAT </w:t>
      </w:r>
      <w:r w:rsidRPr="00C97A19">
        <w:rPr>
          <w:rFonts w:ascii="Calibri" w:hAnsi="Calibri" w:cs="Calibri"/>
          <w:sz w:val="22"/>
          <w:szCs w:val="22"/>
          <w:lang w:val="en-AU"/>
        </w:rPr>
        <w:t>in</w:t>
      </w:r>
      <w:r w:rsidR="007B32B6" w:rsidRPr="00C97A19">
        <w:rPr>
          <w:rFonts w:ascii="Calibri" w:hAnsi="Calibri" w:cs="Calibri"/>
          <w:sz w:val="22"/>
          <w:szCs w:val="22"/>
          <w:lang w:val="en-AU"/>
        </w:rPr>
        <w:t xml:space="preserve"> </w:t>
      </w:r>
      <w:r w:rsidRPr="00C97A19">
        <w:rPr>
          <w:rFonts w:ascii="Calibri" w:hAnsi="Calibri" w:cs="Calibri"/>
          <w:sz w:val="22"/>
          <w:szCs w:val="22"/>
          <w:lang w:val="en-AU"/>
        </w:rPr>
        <w:t>the future</w:t>
      </w:r>
      <w:r w:rsidR="007B32B6" w:rsidRPr="00C97A19">
        <w:rPr>
          <w:rFonts w:ascii="Calibri" w:hAnsi="Calibri" w:cs="Calibri"/>
          <w:sz w:val="22"/>
          <w:szCs w:val="22"/>
          <w:lang w:val="en-AU"/>
        </w:rPr>
        <w:t xml:space="preserve">. </w:t>
      </w:r>
      <w:r w:rsidR="007E77CE" w:rsidRPr="00C97A19">
        <w:rPr>
          <w:rFonts w:ascii="Calibri" w:eastAsiaTheme="minorHAnsi" w:hAnsi="Calibri" w:cs="Calibri"/>
          <w:color w:val="000000"/>
          <w:sz w:val="22"/>
          <w:szCs w:val="22"/>
          <w:lang w:val="en-AU"/>
          <w14:ligatures w14:val="standardContextual"/>
        </w:rPr>
        <w:t xml:space="preserve">Most projects supported under </w:t>
      </w:r>
      <w:r w:rsidR="002B23E2" w:rsidRPr="00C97A19">
        <w:rPr>
          <w:rFonts w:ascii="Calibri" w:eastAsiaTheme="minorHAnsi" w:hAnsi="Calibri" w:cs="Calibri"/>
          <w:color w:val="000000"/>
          <w:sz w:val="22"/>
          <w:szCs w:val="22"/>
          <w:lang w:val="en-AU"/>
          <w14:ligatures w14:val="standardContextual"/>
        </w:rPr>
        <w:t>VPSDP</w:t>
      </w:r>
      <w:r w:rsidR="007E77CE" w:rsidRPr="00C97A19">
        <w:rPr>
          <w:rFonts w:ascii="Calibri" w:eastAsiaTheme="minorHAnsi" w:hAnsi="Calibri" w:cs="Calibri"/>
          <w:color w:val="000000"/>
          <w:sz w:val="22"/>
          <w:szCs w:val="22"/>
          <w:lang w:val="en-AU"/>
          <w14:ligatures w14:val="standardContextual"/>
        </w:rPr>
        <w:t xml:space="preserve"> have been long</w:t>
      </w:r>
      <w:r w:rsidR="00DF0A19" w:rsidRPr="00C97A19">
        <w:rPr>
          <w:rFonts w:ascii="Calibri" w:eastAsiaTheme="minorHAnsi" w:hAnsi="Calibri" w:cs="Calibri"/>
          <w:color w:val="000000"/>
          <w:sz w:val="22"/>
          <w:szCs w:val="22"/>
          <w:lang w:val="en-AU"/>
          <w14:ligatures w14:val="standardContextual"/>
        </w:rPr>
        <w:t>-</w:t>
      </w:r>
      <w:r w:rsidR="007E77CE" w:rsidRPr="00C97A19">
        <w:rPr>
          <w:rFonts w:ascii="Calibri" w:eastAsiaTheme="minorHAnsi" w:hAnsi="Calibri" w:cs="Calibri"/>
          <w:color w:val="000000"/>
          <w:sz w:val="22"/>
          <w:szCs w:val="22"/>
          <w:lang w:val="en-AU"/>
          <w14:ligatures w14:val="standardContextual"/>
        </w:rPr>
        <w:t>term in nature</w:t>
      </w:r>
      <w:r w:rsidR="002B23E2" w:rsidRPr="00C97A19">
        <w:rPr>
          <w:rFonts w:ascii="Calibri" w:eastAsiaTheme="minorHAnsi" w:hAnsi="Calibri" w:cs="Calibri"/>
          <w:color w:val="000000"/>
          <w:sz w:val="22"/>
          <w:szCs w:val="22"/>
          <w:lang w:val="en-AU"/>
          <w14:ligatures w14:val="standardContextual"/>
        </w:rPr>
        <w:t xml:space="preserve"> (building on initial pilot approaches)</w:t>
      </w:r>
      <w:r w:rsidR="007E77CE" w:rsidRPr="00C97A19">
        <w:rPr>
          <w:rFonts w:ascii="Calibri" w:eastAsiaTheme="minorHAnsi" w:hAnsi="Calibri" w:cs="Calibri"/>
          <w:color w:val="000000"/>
          <w:sz w:val="22"/>
          <w:szCs w:val="22"/>
          <w:lang w:val="en-AU"/>
          <w14:ligatures w14:val="standardContextual"/>
        </w:rPr>
        <w:t>, with implementation periods of two years or more (e.g.</w:t>
      </w:r>
      <w:r w:rsidRPr="00C97A19">
        <w:rPr>
          <w:rFonts w:ascii="Calibri" w:eastAsiaTheme="minorHAnsi" w:hAnsi="Calibri" w:cs="Calibri"/>
          <w:color w:val="000000"/>
          <w:sz w:val="22"/>
          <w:szCs w:val="22"/>
          <w:lang w:val="en-AU"/>
          <w14:ligatures w14:val="standardContextual"/>
        </w:rPr>
        <w:t>,</w:t>
      </w:r>
      <w:r w:rsidR="007E77CE" w:rsidRPr="00C97A19">
        <w:rPr>
          <w:rFonts w:ascii="Calibri" w:eastAsiaTheme="minorHAnsi" w:hAnsi="Calibri" w:cs="Calibri"/>
          <w:color w:val="000000"/>
          <w:sz w:val="22"/>
          <w:szCs w:val="22"/>
          <w:lang w:val="en-AU"/>
          <w14:ligatures w14:val="standardContextual"/>
        </w:rPr>
        <w:t xml:space="preserve"> </w:t>
      </w:r>
      <w:r w:rsidR="002B23E2" w:rsidRPr="00C97A19">
        <w:rPr>
          <w:rFonts w:ascii="Calibri" w:eastAsiaTheme="minorHAnsi" w:hAnsi="Calibri" w:cs="Calibri"/>
          <w:color w:val="000000"/>
          <w:sz w:val="22"/>
          <w:szCs w:val="22"/>
          <w:lang w:val="en-AU"/>
          <w14:ligatures w14:val="standardContextual"/>
        </w:rPr>
        <w:t>Green Finance, EMERGE</w:t>
      </w:r>
      <w:r w:rsidRPr="00C97A19">
        <w:rPr>
          <w:rFonts w:ascii="Calibri" w:eastAsiaTheme="minorHAnsi" w:hAnsi="Calibri" w:cs="Calibri"/>
          <w:color w:val="000000"/>
          <w:sz w:val="22"/>
          <w:szCs w:val="22"/>
          <w:lang w:val="en-AU"/>
          <w14:ligatures w14:val="standardContextual"/>
        </w:rPr>
        <w:t>,</w:t>
      </w:r>
      <w:r w:rsidR="002B23E2" w:rsidRPr="00C97A19">
        <w:rPr>
          <w:rFonts w:ascii="Calibri" w:eastAsiaTheme="minorHAnsi" w:hAnsi="Calibri" w:cs="Calibri"/>
          <w:color w:val="000000"/>
          <w:sz w:val="22"/>
          <w:szCs w:val="22"/>
          <w:lang w:val="en-AU"/>
          <w14:ligatures w14:val="standardContextual"/>
        </w:rPr>
        <w:t xml:space="preserve"> and Green Buildings</w:t>
      </w:r>
      <w:r w:rsidR="007E77CE" w:rsidRPr="00C97A19">
        <w:rPr>
          <w:rFonts w:ascii="Calibri" w:eastAsiaTheme="minorHAnsi" w:hAnsi="Calibri" w:cs="Calibri"/>
          <w:color w:val="000000"/>
          <w:sz w:val="22"/>
          <w:szCs w:val="22"/>
          <w:lang w:val="en-AU"/>
          <w14:ligatures w14:val="standardContextual"/>
        </w:rPr>
        <w:t xml:space="preserve">). IFC conducts a pre-implementation period, </w:t>
      </w:r>
      <w:r w:rsidR="002B23E2" w:rsidRPr="00C97A19">
        <w:rPr>
          <w:rFonts w:ascii="Calibri" w:eastAsiaTheme="minorHAnsi" w:hAnsi="Calibri" w:cs="Calibri"/>
          <w:color w:val="000000"/>
          <w:sz w:val="22"/>
          <w:szCs w:val="22"/>
          <w:lang w:val="en-AU"/>
        </w:rPr>
        <w:t>during which the project is scoped with the client to define clear development indicators, which are then embedded in legal agreements (Letters of Engagement or Agreement)</w:t>
      </w:r>
      <w:r w:rsidR="007E77CE" w:rsidRPr="00C97A19">
        <w:rPr>
          <w:rFonts w:ascii="Calibri" w:eastAsiaTheme="minorHAnsi" w:hAnsi="Calibri" w:cs="Calibri"/>
          <w:color w:val="000000"/>
          <w:sz w:val="22"/>
          <w:szCs w:val="22"/>
          <w:lang w:val="en-AU"/>
          <w14:ligatures w14:val="standardContextual"/>
        </w:rPr>
        <w:t xml:space="preserve"> with the client</w:t>
      </w:r>
      <w:r w:rsidR="00C723E0" w:rsidRPr="00C97A19">
        <w:rPr>
          <w:rFonts w:ascii="Calibri" w:eastAsiaTheme="minorHAnsi" w:hAnsi="Calibri" w:cs="Calibri"/>
          <w:color w:val="000000"/>
          <w:sz w:val="22"/>
          <w:szCs w:val="22"/>
          <w:lang w:val="en-AU"/>
          <w14:ligatures w14:val="standardContextual"/>
        </w:rPr>
        <w:t xml:space="preserve">. </w:t>
      </w:r>
      <w:r w:rsidR="007E77CE" w:rsidRPr="00C97A19">
        <w:rPr>
          <w:rFonts w:ascii="Calibri" w:eastAsiaTheme="minorHAnsi" w:hAnsi="Calibri" w:cs="Calibri"/>
          <w:color w:val="000000"/>
          <w:sz w:val="22"/>
          <w:szCs w:val="22"/>
          <w:lang w:val="en-AU"/>
          <w14:ligatures w14:val="standardContextual"/>
        </w:rPr>
        <w:t>Additionally, working with private</w:t>
      </w:r>
      <w:r w:rsidR="00E024D3" w:rsidRPr="00C97A19">
        <w:rPr>
          <w:rFonts w:ascii="Calibri" w:eastAsiaTheme="minorHAnsi" w:hAnsi="Calibri" w:cs="Calibri"/>
          <w:color w:val="000000"/>
          <w:sz w:val="22"/>
          <w:szCs w:val="22"/>
          <w:lang w:val="en-AU"/>
          <w14:ligatures w14:val="standardContextual"/>
        </w:rPr>
        <w:t>-</w:t>
      </w:r>
      <w:r w:rsidR="007E77CE" w:rsidRPr="00C97A19">
        <w:rPr>
          <w:rFonts w:ascii="Calibri" w:eastAsiaTheme="minorHAnsi" w:hAnsi="Calibri" w:cs="Calibri"/>
          <w:color w:val="000000"/>
          <w:sz w:val="22"/>
          <w:szCs w:val="22"/>
          <w:lang w:val="en-AU"/>
          <w14:ligatures w14:val="standardContextual"/>
        </w:rPr>
        <w:t xml:space="preserve">sector clients and government means there will always need to be a certain level of flexibility to </w:t>
      </w:r>
      <w:r w:rsidR="00E03004" w:rsidRPr="00C97A19">
        <w:rPr>
          <w:rFonts w:ascii="Calibri" w:eastAsiaTheme="minorHAnsi" w:hAnsi="Calibri" w:cs="Calibri"/>
          <w:color w:val="000000"/>
          <w:sz w:val="22"/>
          <w:szCs w:val="22"/>
          <w:lang w:val="en-AU"/>
          <w14:ligatures w14:val="standardContextual"/>
        </w:rPr>
        <w:t>respond</w:t>
      </w:r>
      <w:r w:rsidR="007E77CE" w:rsidRPr="00C97A19">
        <w:rPr>
          <w:rFonts w:ascii="Calibri" w:eastAsiaTheme="minorHAnsi" w:hAnsi="Calibri" w:cs="Calibri"/>
          <w:color w:val="000000"/>
          <w:sz w:val="22"/>
          <w:szCs w:val="22"/>
          <w:lang w:val="en-AU"/>
          <w14:ligatures w14:val="standardContextual"/>
        </w:rPr>
        <w:t xml:space="preserve"> </w:t>
      </w:r>
      <w:r w:rsidR="00E03004" w:rsidRPr="00C97A19">
        <w:rPr>
          <w:rFonts w:ascii="Calibri" w:eastAsiaTheme="minorHAnsi" w:hAnsi="Calibri" w:cs="Calibri"/>
          <w:color w:val="000000"/>
          <w:sz w:val="22"/>
          <w:szCs w:val="22"/>
          <w:lang w:val="en-AU"/>
          <w14:ligatures w14:val="standardContextual"/>
        </w:rPr>
        <w:t>to demand</w:t>
      </w:r>
      <w:r w:rsidR="007E77CE" w:rsidRPr="00C97A19">
        <w:rPr>
          <w:rFonts w:ascii="Calibri" w:eastAsiaTheme="minorHAnsi" w:hAnsi="Calibri" w:cs="Calibri"/>
          <w:color w:val="000000"/>
          <w:sz w:val="22"/>
          <w:szCs w:val="22"/>
          <w:lang w:val="en-AU"/>
          <w14:ligatures w14:val="standardContextual"/>
        </w:rPr>
        <w:t>. Otherwise</w:t>
      </w:r>
      <w:r w:rsidR="002B23E2" w:rsidRPr="00C97A19">
        <w:rPr>
          <w:rFonts w:ascii="Calibri" w:eastAsiaTheme="minorHAnsi" w:hAnsi="Calibri" w:cs="Calibri"/>
          <w:color w:val="000000"/>
          <w:sz w:val="22"/>
          <w:szCs w:val="22"/>
          <w:lang w:val="en-AU"/>
          <w14:ligatures w14:val="standardContextual"/>
        </w:rPr>
        <w:t>,</w:t>
      </w:r>
      <w:r w:rsidR="007E77CE" w:rsidRPr="00C97A19">
        <w:rPr>
          <w:rFonts w:ascii="Calibri" w:eastAsiaTheme="minorHAnsi" w:hAnsi="Calibri" w:cs="Calibri"/>
          <w:color w:val="000000"/>
          <w:sz w:val="22"/>
          <w:szCs w:val="22"/>
          <w:lang w:val="en-AU"/>
          <w14:ligatures w14:val="standardContextual"/>
        </w:rPr>
        <w:t xml:space="preserve"> </w:t>
      </w:r>
      <w:r w:rsidR="00090D05" w:rsidRPr="00C97A19">
        <w:rPr>
          <w:rFonts w:ascii="Calibri" w:eastAsiaTheme="minorHAnsi" w:hAnsi="Calibri" w:cs="Calibri"/>
          <w:color w:val="000000"/>
          <w:sz w:val="22"/>
          <w:szCs w:val="22"/>
          <w:lang w:val="en-AU"/>
          <w14:ligatures w14:val="standardContextual"/>
        </w:rPr>
        <w:t>opportunities</w:t>
      </w:r>
      <w:r w:rsidR="007E77CE" w:rsidRPr="00C97A19">
        <w:rPr>
          <w:rFonts w:ascii="Calibri" w:eastAsiaTheme="minorHAnsi" w:hAnsi="Calibri" w:cs="Calibri"/>
          <w:color w:val="000000"/>
          <w:sz w:val="22"/>
          <w:szCs w:val="22"/>
          <w:lang w:val="en-AU"/>
          <w14:ligatures w14:val="standardContextual"/>
        </w:rPr>
        <w:t xml:space="preserve"> will be missed</w:t>
      </w:r>
      <w:r w:rsidR="00C723E0" w:rsidRPr="00C97A19">
        <w:rPr>
          <w:rFonts w:ascii="Calibri" w:eastAsiaTheme="minorHAnsi" w:hAnsi="Calibri" w:cs="Calibri"/>
          <w:color w:val="000000"/>
          <w:sz w:val="22"/>
          <w:szCs w:val="22"/>
          <w:lang w:val="en-AU"/>
          <w14:ligatures w14:val="standardContextual"/>
        </w:rPr>
        <w:t>.</w:t>
      </w:r>
      <w:r w:rsidR="007E77CE" w:rsidRPr="00C97A19">
        <w:rPr>
          <w:rFonts w:ascii="Calibri" w:eastAsiaTheme="minorHAnsi" w:hAnsi="Calibri" w:cs="Calibri"/>
          <w:color w:val="000000"/>
          <w:sz w:val="22"/>
          <w:szCs w:val="22"/>
          <w:lang w:val="en-AU"/>
          <w14:ligatures w14:val="standardContextual"/>
        </w:rPr>
        <w:t xml:space="preserve"> </w:t>
      </w:r>
      <w:r w:rsidR="007B32B6" w:rsidRPr="00C97A19">
        <w:rPr>
          <w:rFonts w:ascii="Calibri" w:hAnsi="Calibri" w:cs="Calibri"/>
          <w:sz w:val="22"/>
          <w:szCs w:val="22"/>
          <w:lang w:val="en-AU"/>
        </w:rPr>
        <w:t xml:space="preserve">It also </w:t>
      </w:r>
      <w:r w:rsidR="002B23E2" w:rsidRPr="00C97A19">
        <w:rPr>
          <w:rFonts w:ascii="Calibri" w:hAnsi="Calibri" w:cs="Calibri"/>
          <w:sz w:val="22"/>
          <w:szCs w:val="22"/>
          <w:lang w:val="en-AU"/>
        </w:rPr>
        <w:t>supports</w:t>
      </w:r>
      <w:r w:rsidR="007B32B6" w:rsidRPr="00C97A19">
        <w:rPr>
          <w:rFonts w:ascii="Calibri" w:hAnsi="Calibri" w:cs="Calibri"/>
          <w:sz w:val="22"/>
          <w:szCs w:val="22"/>
          <w:lang w:val="en-AU"/>
        </w:rPr>
        <w:t xml:space="preserve"> better monitoring and evaluation arrangements</w:t>
      </w:r>
      <w:r w:rsidR="003221AD" w:rsidRPr="00C97A19">
        <w:rPr>
          <w:rFonts w:ascii="Calibri" w:hAnsi="Calibri" w:cs="Calibri"/>
          <w:sz w:val="22"/>
          <w:szCs w:val="22"/>
          <w:lang w:val="en-AU"/>
        </w:rPr>
        <w:t>,</w:t>
      </w:r>
      <w:r w:rsidR="007B32B6" w:rsidRPr="00C97A19">
        <w:rPr>
          <w:rFonts w:ascii="Calibri" w:hAnsi="Calibri" w:cs="Calibri"/>
          <w:sz w:val="22"/>
          <w:szCs w:val="22"/>
          <w:lang w:val="en-AU"/>
        </w:rPr>
        <w:t xml:space="preserve"> </w:t>
      </w:r>
      <w:r w:rsidR="002B23E2" w:rsidRPr="00C97A19">
        <w:rPr>
          <w:rFonts w:ascii="Calibri" w:hAnsi="Calibri" w:cs="Calibri"/>
          <w:sz w:val="22"/>
          <w:szCs w:val="22"/>
          <w:lang w:val="en-AU"/>
        </w:rPr>
        <w:t>enabling</w:t>
      </w:r>
      <w:r w:rsidR="007B32B6" w:rsidRPr="00C97A19">
        <w:rPr>
          <w:rFonts w:ascii="Calibri" w:hAnsi="Calibri" w:cs="Calibri"/>
          <w:sz w:val="22"/>
          <w:szCs w:val="22"/>
          <w:lang w:val="en-AU"/>
        </w:rPr>
        <w:t xml:space="preserve"> changes </w:t>
      </w:r>
      <w:r w:rsidR="002B23E2" w:rsidRPr="00C97A19">
        <w:rPr>
          <w:rFonts w:ascii="Calibri" w:hAnsi="Calibri" w:cs="Calibri"/>
          <w:sz w:val="22"/>
          <w:szCs w:val="22"/>
          <w:lang w:val="en-AU"/>
        </w:rPr>
        <w:t>to</w:t>
      </w:r>
      <w:r w:rsidR="007B32B6" w:rsidRPr="00C97A19">
        <w:rPr>
          <w:rFonts w:ascii="Calibri" w:hAnsi="Calibri" w:cs="Calibri"/>
          <w:sz w:val="22"/>
          <w:szCs w:val="22"/>
          <w:lang w:val="en-AU"/>
        </w:rPr>
        <w:t xml:space="preserve"> be assessed over time rather than simpl</w:t>
      </w:r>
      <w:r w:rsidR="00E024D3" w:rsidRPr="00C97A19">
        <w:rPr>
          <w:rFonts w:ascii="Calibri" w:hAnsi="Calibri" w:cs="Calibri"/>
          <w:sz w:val="22"/>
          <w:szCs w:val="22"/>
          <w:lang w:val="en-AU"/>
        </w:rPr>
        <w:t>y</w:t>
      </w:r>
      <w:r w:rsidR="007B32B6" w:rsidRPr="00C97A19">
        <w:rPr>
          <w:rFonts w:ascii="Calibri" w:hAnsi="Calibri" w:cs="Calibri"/>
          <w:sz w:val="22"/>
          <w:szCs w:val="22"/>
          <w:lang w:val="en-AU"/>
        </w:rPr>
        <w:t xml:space="preserve"> counting key results and deliverables.</w:t>
      </w:r>
      <w:r w:rsidR="008423DA" w:rsidRPr="00C97A19">
        <w:rPr>
          <w:rFonts w:ascii="Calibri" w:hAnsi="Calibri" w:cs="Calibri"/>
          <w:sz w:val="22"/>
          <w:szCs w:val="22"/>
          <w:lang w:val="en-AU"/>
        </w:rPr>
        <w:t xml:space="preserve"> </w:t>
      </w:r>
    </w:p>
    <w:p w14:paraId="1F442C9C" w14:textId="4D435BF0" w:rsidR="007B32B6" w:rsidRPr="00C97A19" w:rsidRDefault="007B32B6" w:rsidP="0067380D">
      <w:pPr>
        <w:pStyle w:val="BodyText"/>
        <w:jc w:val="both"/>
        <w:rPr>
          <w:rFonts w:cs="Calibri"/>
          <w:szCs w:val="22"/>
          <w:lang w:val="en-AU"/>
        </w:rPr>
      </w:pPr>
      <w:r w:rsidRPr="00C97A19">
        <w:rPr>
          <w:rFonts w:cs="Calibri"/>
          <w:b/>
          <w:bCs/>
          <w:szCs w:val="22"/>
          <w:lang w:val="en-AU"/>
        </w:rPr>
        <w:lastRenderedPageBreak/>
        <w:t>Future inve</w:t>
      </w:r>
      <w:r w:rsidR="00B05D6A" w:rsidRPr="00C97A19">
        <w:rPr>
          <w:rFonts w:cs="Calibri"/>
          <w:b/>
          <w:bCs/>
          <w:szCs w:val="22"/>
          <w:lang w:val="en-AU"/>
        </w:rPr>
        <w:t>st</w:t>
      </w:r>
      <w:r w:rsidRPr="00C97A19">
        <w:rPr>
          <w:rFonts w:cs="Calibri"/>
          <w:b/>
          <w:bCs/>
          <w:szCs w:val="22"/>
          <w:lang w:val="en-AU"/>
        </w:rPr>
        <w:t xml:space="preserve">ments and support </w:t>
      </w:r>
      <w:r w:rsidR="00E024D3" w:rsidRPr="00C97A19">
        <w:rPr>
          <w:rFonts w:cs="Calibri"/>
          <w:b/>
          <w:bCs/>
          <w:szCs w:val="22"/>
          <w:lang w:val="en-AU"/>
        </w:rPr>
        <w:t>for “enabling environment” activities</w:t>
      </w:r>
      <w:r w:rsidRPr="00C97A19">
        <w:rPr>
          <w:rFonts w:cs="Calibri"/>
          <w:b/>
          <w:bCs/>
          <w:szCs w:val="22"/>
          <w:lang w:val="en-AU"/>
        </w:rPr>
        <w:t xml:space="preserve"> should be carefully considered and discussed. </w:t>
      </w:r>
      <w:r w:rsidR="00E024D3" w:rsidRPr="00C97A19">
        <w:rPr>
          <w:rFonts w:cs="Calibri"/>
          <w:szCs w:val="22"/>
          <w:lang w:val="en-AU"/>
        </w:rPr>
        <w:t xml:space="preserve">Any work related to the enabling environment should </w:t>
      </w:r>
      <w:r w:rsidR="00090D05" w:rsidRPr="00C97A19">
        <w:rPr>
          <w:rFonts w:cs="Calibri"/>
          <w:szCs w:val="22"/>
          <w:lang w:val="en-AU"/>
        </w:rPr>
        <w:t>support</w:t>
      </w:r>
      <w:r w:rsidR="00E024D3" w:rsidRPr="00C97A19">
        <w:rPr>
          <w:rFonts w:cs="Calibri"/>
          <w:szCs w:val="22"/>
          <w:lang w:val="en-AU"/>
        </w:rPr>
        <w:t xml:space="preserve"> work covered across Pillars 2 and 3. Proposed work should be clearly defined and have a defined time period for implementation and support.</w:t>
      </w:r>
    </w:p>
    <w:p w14:paraId="20F5B32B" w14:textId="386AA873" w:rsidR="007E5500" w:rsidRPr="00C97A19" w:rsidRDefault="00B05D6A" w:rsidP="0067380D">
      <w:pPr>
        <w:pStyle w:val="BodyText"/>
        <w:jc w:val="both"/>
        <w:rPr>
          <w:rFonts w:cs="Calibri"/>
          <w:szCs w:val="22"/>
          <w:lang w:val="en-AU"/>
        </w:rPr>
      </w:pPr>
      <w:r w:rsidRPr="00C97A19">
        <w:rPr>
          <w:rFonts w:cs="Calibri"/>
          <w:b/>
          <w:bCs/>
          <w:szCs w:val="22"/>
          <w:lang w:val="en-AU"/>
        </w:rPr>
        <w:t xml:space="preserve">The </w:t>
      </w:r>
      <w:r w:rsidR="002B23E2" w:rsidRPr="00C97A19">
        <w:rPr>
          <w:rFonts w:cs="Calibri"/>
          <w:b/>
          <w:bCs/>
          <w:szCs w:val="22"/>
          <w:lang w:val="en-AU"/>
        </w:rPr>
        <w:t>program's</w:t>
      </w:r>
      <w:r w:rsidRPr="00C97A19">
        <w:rPr>
          <w:rFonts w:cs="Calibri"/>
          <w:b/>
          <w:bCs/>
          <w:szCs w:val="22"/>
          <w:lang w:val="en-AU"/>
        </w:rPr>
        <w:t xml:space="preserve"> highlight is the ability to target key support areas with a relatively modest budget.</w:t>
      </w:r>
      <w:r w:rsidRPr="00C97A19">
        <w:rPr>
          <w:rFonts w:cs="Calibri"/>
          <w:szCs w:val="22"/>
          <w:lang w:val="en-AU"/>
        </w:rPr>
        <w:t xml:space="preserve"> The “trialling” of some approaches warrants further </w:t>
      </w:r>
      <w:r w:rsidR="003221AD" w:rsidRPr="00C97A19">
        <w:rPr>
          <w:rFonts w:cs="Calibri"/>
          <w:szCs w:val="22"/>
          <w:lang w:val="en-AU"/>
        </w:rPr>
        <w:t>investigation</w:t>
      </w:r>
      <w:r w:rsidRPr="00C97A19">
        <w:rPr>
          <w:rFonts w:cs="Calibri"/>
          <w:szCs w:val="22"/>
          <w:lang w:val="en-AU"/>
        </w:rPr>
        <w:t xml:space="preserve"> and the ability to scale up and </w:t>
      </w:r>
      <w:r w:rsidR="003221AD" w:rsidRPr="00C97A19">
        <w:rPr>
          <w:rFonts w:cs="Calibri"/>
          <w:szCs w:val="22"/>
          <w:lang w:val="en-AU"/>
        </w:rPr>
        <w:t>leverage</w:t>
      </w:r>
      <w:r w:rsidRPr="00C97A19">
        <w:rPr>
          <w:rFonts w:cs="Calibri"/>
          <w:szCs w:val="22"/>
          <w:lang w:val="en-AU"/>
        </w:rPr>
        <w:t xml:space="preserve"> options. This is most evident in areas su</w:t>
      </w:r>
      <w:r w:rsidR="002B23E2" w:rsidRPr="00C97A19">
        <w:rPr>
          <w:rFonts w:cs="Calibri"/>
          <w:szCs w:val="22"/>
          <w:lang w:val="en-AU"/>
        </w:rPr>
        <w:t>ch as</w:t>
      </w:r>
      <w:r w:rsidRPr="00C97A19">
        <w:rPr>
          <w:rFonts w:cs="Calibri"/>
          <w:szCs w:val="22"/>
          <w:lang w:val="en-AU"/>
        </w:rPr>
        <w:t xml:space="preserve"> </w:t>
      </w:r>
      <w:r w:rsidR="00E024D3" w:rsidRPr="00C97A19">
        <w:rPr>
          <w:rFonts w:cs="Calibri"/>
          <w:szCs w:val="22"/>
          <w:lang w:val="en-AU"/>
        </w:rPr>
        <w:t>food processing and safety, green finance</w:t>
      </w:r>
      <w:r w:rsidR="002B23E2" w:rsidRPr="00C97A19">
        <w:rPr>
          <w:rFonts w:cs="Calibri"/>
          <w:szCs w:val="22"/>
          <w:lang w:val="en-AU"/>
        </w:rPr>
        <w:t>,</w:t>
      </w:r>
      <w:r w:rsidR="00E024D3" w:rsidRPr="00C97A19">
        <w:rPr>
          <w:rFonts w:cs="Calibri"/>
          <w:szCs w:val="22"/>
          <w:lang w:val="en-AU"/>
        </w:rPr>
        <w:t xml:space="preserve"> and </w:t>
      </w:r>
      <w:r w:rsidR="002B23E2" w:rsidRPr="00C97A19">
        <w:rPr>
          <w:rFonts w:cs="Calibri"/>
          <w:szCs w:val="22"/>
          <w:lang w:val="en-AU"/>
        </w:rPr>
        <w:t>EMERGE</w:t>
      </w:r>
      <w:r w:rsidRPr="00C97A19">
        <w:rPr>
          <w:rFonts w:cs="Calibri"/>
          <w:szCs w:val="22"/>
          <w:lang w:val="en-AU"/>
        </w:rPr>
        <w:t xml:space="preserve">. Interviews indicate </w:t>
      </w:r>
      <w:r w:rsidR="00F03ACC" w:rsidRPr="00C97A19">
        <w:rPr>
          <w:rFonts w:cs="Calibri"/>
          <w:szCs w:val="22"/>
          <w:lang w:val="en-AU"/>
        </w:rPr>
        <w:t xml:space="preserve">that </w:t>
      </w:r>
      <w:r w:rsidRPr="00C97A19">
        <w:rPr>
          <w:rFonts w:cs="Calibri"/>
          <w:szCs w:val="22"/>
          <w:lang w:val="en-AU"/>
        </w:rPr>
        <w:t>continu</w:t>
      </w:r>
      <w:r w:rsidR="00B754B7" w:rsidRPr="00C97A19">
        <w:rPr>
          <w:rFonts w:cs="Calibri"/>
          <w:szCs w:val="22"/>
          <w:lang w:val="en-AU"/>
        </w:rPr>
        <w:t>ed</w:t>
      </w:r>
      <w:r w:rsidRPr="00C97A19">
        <w:rPr>
          <w:rFonts w:cs="Calibri"/>
          <w:szCs w:val="22"/>
          <w:lang w:val="en-AU"/>
        </w:rPr>
        <w:t xml:space="preserve"> prioritisation of these work areas</w:t>
      </w:r>
      <w:r w:rsidR="00B754B7" w:rsidRPr="00C97A19">
        <w:rPr>
          <w:rFonts w:cs="Calibri"/>
          <w:szCs w:val="22"/>
          <w:lang w:val="en-AU"/>
        </w:rPr>
        <w:t>,</w:t>
      </w:r>
      <w:r w:rsidRPr="00C97A19">
        <w:rPr>
          <w:rFonts w:cs="Calibri"/>
          <w:szCs w:val="22"/>
          <w:lang w:val="en-AU"/>
        </w:rPr>
        <w:t xml:space="preserve"> </w:t>
      </w:r>
      <w:r w:rsidR="00E024D3" w:rsidRPr="00C97A19">
        <w:rPr>
          <w:rFonts w:cs="Calibri"/>
          <w:szCs w:val="22"/>
          <w:lang w:val="en-AU"/>
        </w:rPr>
        <w:t>coupled with a shift to high-value</w:t>
      </w:r>
      <w:r w:rsidR="00F03ACC" w:rsidRPr="00C97A19">
        <w:rPr>
          <w:rFonts w:cs="Calibri"/>
          <w:szCs w:val="22"/>
          <w:lang w:val="en-AU"/>
        </w:rPr>
        <w:t>-</w:t>
      </w:r>
      <w:r w:rsidR="00E024D3" w:rsidRPr="00C97A19">
        <w:rPr>
          <w:rFonts w:cs="Calibri"/>
          <w:szCs w:val="22"/>
          <w:lang w:val="en-AU"/>
        </w:rPr>
        <w:t>add projects in agribusiness</w:t>
      </w:r>
      <w:r w:rsidR="002B23E2" w:rsidRPr="00C97A19">
        <w:rPr>
          <w:rFonts w:cs="Calibri"/>
          <w:szCs w:val="22"/>
          <w:lang w:val="en-AU"/>
        </w:rPr>
        <w:t>,</w:t>
      </w:r>
      <w:r w:rsidR="00E024D3" w:rsidRPr="00C97A19">
        <w:rPr>
          <w:rFonts w:cs="Calibri"/>
          <w:szCs w:val="22"/>
          <w:lang w:val="en-AU"/>
        </w:rPr>
        <w:t xml:space="preserve"> will</w:t>
      </w:r>
      <w:r w:rsidRPr="00C97A19">
        <w:rPr>
          <w:rFonts w:cs="Calibri"/>
          <w:szCs w:val="22"/>
          <w:lang w:val="en-AU"/>
        </w:rPr>
        <w:t xml:space="preserve"> provide opportunities for DFAT to leverage its existing partnership arr</w:t>
      </w:r>
      <w:r w:rsidR="00B754B7" w:rsidRPr="00C97A19">
        <w:rPr>
          <w:rFonts w:cs="Calibri"/>
          <w:szCs w:val="22"/>
          <w:lang w:val="en-AU"/>
        </w:rPr>
        <w:t>angeme</w:t>
      </w:r>
      <w:r w:rsidRPr="00C97A19">
        <w:rPr>
          <w:rFonts w:cs="Calibri"/>
          <w:szCs w:val="22"/>
          <w:lang w:val="en-AU"/>
        </w:rPr>
        <w:t>nts and expertise to provide ongoing support.</w:t>
      </w:r>
    </w:p>
    <w:p w14:paraId="02199401" w14:textId="10FD70C7" w:rsidR="008661C2" w:rsidRPr="00C97A19" w:rsidRDefault="008661C2" w:rsidP="00A26E3C">
      <w:pPr>
        <w:spacing w:after="120"/>
        <w:jc w:val="both"/>
        <w:rPr>
          <w:rFonts w:ascii="Calibri" w:hAnsi="Calibri" w:cs="Calibri"/>
          <w:sz w:val="22"/>
          <w:szCs w:val="22"/>
          <w:lang w:val="en-AU"/>
        </w:rPr>
      </w:pPr>
      <w:r w:rsidRPr="00C97A19">
        <w:rPr>
          <w:rFonts w:ascii="Calibri" w:hAnsi="Calibri" w:cs="Calibri"/>
          <w:sz w:val="22"/>
          <w:szCs w:val="22"/>
          <w:lang w:val="en-AU"/>
        </w:rPr>
        <w:t>In considering the findings and evidence above, the evaluation assigns a “satisfactory” rating to sustainability.</w:t>
      </w:r>
    </w:p>
    <w:p w14:paraId="237EC508" w14:textId="1522D6FC" w:rsidR="002E44E6" w:rsidRPr="002E39E8" w:rsidRDefault="002E44E6" w:rsidP="002E44E6">
      <w:pPr>
        <w:pStyle w:val="Heading2"/>
        <w:rPr>
          <w:lang w:val="en-AU"/>
        </w:rPr>
      </w:pPr>
      <w:bookmarkStart w:id="48" w:name="_Toc233724262"/>
      <w:r w:rsidRPr="002E39E8">
        <w:rPr>
          <w:lang w:val="en-AU"/>
        </w:rPr>
        <w:t>Future Guidance</w:t>
      </w:r>
      <w:bookmarkEnd w:id="48"/>
    </w:p>
    <w:p w14:paraId="0782C231" w14:textId="768E986C" w:rsidR="004076F7" w:rsidRPr="00C97A19" w:rsidRDefault="004076F7" w:rsidP="007E101F">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 xml:space="preserve">Although not formally included in the ToR, the MTR proposed </w:t>
      </w:r>
      <w:r w:rsidR="00C973D1" w:rsidRPr="00C97A19">
        <w:rPr>
          <w:rFonts w:ascii="Calibri" w:hAnsi="Calibri" w:cs="Calibri"/>
          <w:sz w:val="22"/>
          <w:szCs w:val="22"/>
          <w:lang w:val="en-AU"/>
        </w:rPr>
        <w:t>providing</w:t>
      </w:r>
      <w:r w:rsidRPr="00C97A19">
        <w:rPr>
          <w:rFonts w:ascii="Calibri" w:hAnsi="Calibri" w:cs="Calibri"/>
          <w:sz w:val="22"/>
          <w:szCs w:val="22"/>
          <w:lang w:val="en-AU"/>
        </w:rPr>
        <w:t xml:space="preserve"> guidance on what VPSDP should prioritise </w:t>
      </w:r>
      <w:r w:rsidR="00C973D1" w:rsidRPr="00C97A19">
        <w:rPr>
          <w:rFonts w:ascii="Calibri" w:hAnsi="Calibri" w:cs="Calibri"/>
          <w:sz w:val="22"/>
          <w:szCs w:val="22"/>
          <w:lang w:val="en-AU"/>
        </w:rPr>
        <w:t>for</w:t>
      </w:r>
      <w:r w:rsidRPr="00C97A19">
        <w:rPr>
          <w:rFonts w:ascii="Calibri" w:hAnsi="Calibri" w:cs="Calibri"/>
          <w:sz w:val="22"/>
          <w:szCs w:val="22"/>
          <w:lang w:val="en-AU"/>
        </w:rPr>
        <w:t xml:space="preserve"> the remaining 15</w:t>
      </w:r>
      <w:r w:rsidR="00C973D1" w:rsidRPr="00C97A19">
        <w:rPr>
          <w:rFonts w:ascii="Calibri" w:hAnsi="Calibri" w:cs="Calibri"/>
          <w:sz w:val="22"/>
          <w:szCs w:val="22"/>
          <w:lang w:val="en-AU"/>
        </w:rPr>
        <w:t xml:space="preserve"> </w:t>
      </w:r>
      <w:r w:rsidRPr="00C97A19">
        <w:rPr>
          <w:rFonts w:ascii="Calibri" w:hAnsi="Calibri" w:cs="Calibri"/>
          <w:sz w:val="22"/>
          <w:szCs w:val="22"/>
          <w:lang w:val="en-AU"/>
        </w:rPr>
        <w:t xml:space="preserve">months of implementation. Additional guidance is also provided for </w:t>
      </w:r>
      <w:r w:rsidR="00C973D1" w:rsidRPr="00C97A19">
        <w:rPr>
          <w:rFonts w:ascii="Calibri" w:hAnsi="Calibri" w:cs="Calibri"/>
          <w:sz w:val="22"/>
          <w:szCs w:val="22"/>
          <w:lang w:val="en-AU"/>
        </w:rPr>
        <w:t>DFAT's</w:t>
      </w:r>
      <w:r w:rsidRPr="00C97A19">
        <w:rPr>
          <w:rFonts w:ascii="Calibri" w:hAnsi="Calibri" w:cs="Calibri"/>
          <w:sz w:val="22"/>
          <w:szCs w:val="22"/>
          <w:lang w:val="en-AU"/>
        </w:rPr>
        <w:t xml:space="preserve"> </w:t>
      </w:r>
      <w:r w:rsidR="00C973D1" w:rsidRPr="00C97A19">
        <w:rPr>
          <w:rFonts w:ascii="Calibri" w:hAnsi="Calibri" w:cs="Calibri"/>
          <w:sz w:val="22"/>
          <w:szCs w:val="22"/>
          <w:lang w:val="en-AU"/>
        </w:rPr>
        <w:t>consideration i</w:t>
      </w:r>
      <w:r w:rsidRPr="00C97A19">
        <w:rPr>
          <w:rFonts w:ascii="Calibri" w:hAnsi="Calibri" w:cs="Calibri"/>
          <w:sz w:val="22"/>
          <w:szCs w:val="22"/>
          <w:lang w:val="en-AU"/>
        </w:rPr>
        <w:t xml:space="preserve">n decisions </w:t>
      </w:r>
      <w:r w:rsidR="00C973D1" w:rsidRPr="00C97A19">
        <w:rPr>
          <w:rFonts w:ascii="Calibri" w:hAnsi="Calibri" w:cs="Calibri"/>
          <w:sz w:val="22"/>
          <w:szCs w:val="22"/>
          <w:lang w:val="en-AU"/>
        </w:rPr>
        <w:t>on</w:t>
      </w:r>
      <w:r w:rsidRPr="00C97A19">
        <w:rPr>
          <w:rFonts w:ascii="Calibri" w:hAnsi="Calibri" w:cs="Calibri"/>
          <w:sz w:val="22"/>
          <w:szCs w:val="22"/>
          <w:lang w:val="en-AU"/>
        </w:rPr>
        <w:t xml:space="preserve"> future engagement beyond the current implementation period. Please note that this advi</w:t>
      </w:r>
      <w:r w:rsidR="00C973D1" w:rsidRPr="00C97A19">
        <w:rPr>
          <w:rFonts w:ascii="Calibri" w:hAnsi="Calibri" w:cs="Calibri"/>
          <w:sz w:val="22"/>
          <w:szCs w:val="22"/>
          <w:lang w:val="en-AU"/>
        </w:rPr>
        <w:t>c</w:t>
      </w:r>
      <w:r w:rsidRPr="00C97A19">
        <w:rPr>
          <w:rFonts w:ascii="Calibri" w:hAnsi="Calibri" w:cs="Calibri"/>
          <w:sz w:val="22"/>
          <w:szCs w:val="22"/>
          <w:lang w:val="en-AU"/>
        </w:rPr>
        <w:t xml:space="preserve">e is </w:t>
      </w:r>
      <w:r w:rsidR="00C973D1" w:rsidRPr="00C97A19">
        <w:rPr>
          <w:rFonts w:ascii="Calibri" w:hAnsi="Calibri" w:cs="Calibri"/>
          <w:sz w:val="22"/>
          <w:szCs w:val="22"/>
          <w:lang w:val="en-AU"/>
        </w:rPr>
        <w:t>general</w:t>
      </w:r>
      <w:r w:rsidRPr="00C97A19">
        <w:rPr>
          <w:rFonts w:ascii="Calibri" w:hAnsi="Calibri" w:cs="Calibri"/>
          <w:sz w:val="22"/>
          <w:szCs w:val="22"/>
          <w:lang w:val="en-AU"/>
        </w:rPr>
        <w:t xml:space="preserve"> </w:t>
      </w:r>
      <w:r w:rsidR="00C973D1" w:rsidRPr="00C97A19">
        <w:rPr>
          <w:rFonts w:ascii="Calibri" w:hAnsi="Calibri" w:cs="Calibri"/>
          <w:sz w:val="22"/>
          <w:szCs w:val="22"/>
          <w:lang w:val="en-AU"/>
        </w:rPr>
        <w:t>in nature</w:t>
      </w:r>
      <w:r w:rsidRPr="00C97A19">
        <w:rPr>
          <w:rFonts w:ascii="Calibri" w:hAnsi="Calibri" w:cs="Calibri"/>
          <w:sz w:val="22"/>
          <w:szCs w:val="22"/>
          <w:lang w:val="en-AU"/>
        </w:rPr>
        <w:t xml:space="preserve"> and base</w:t>
      </w:r>
      <w:r w:rsidR="00C973D1" w:rsidRPr="00C97A19">
        <w:rPr>
          <w:rFonts w:ascii="Calibri" w:hAnsi="Calibri" w:cs="Calibri"/>
          <w:sz w:val="22"/>
          <w:szCs w:val="22"/>
          <w:lang w:val="en-AU"/>
        </w:rPr>
        <w:t>d</w:t>
      </w:r>
      <w:r w:rsidRPr="00C97A19">
        <w:rPr>
          <w:rFonts w:ascii="Calibri" w:hAnsi="Calibri" w:cs="Calibri"/>
          <w:sz w:val="22"/>
          <w:szCs w:val="22"/>
          <w:lang w:val="en-AU"/>
        </w:rPr>
        <w:t xml:space="preserve"> on the evidence and findings presented in the report. It does not commit </w:t>
      </w:r>
      <w:r w:rsidR="00C973D1" w:rsidRPr="00C97A19">
        <w:rPr>
          <w:rFonts w:ascii="Calibri" w:hAnsi="Calibri" w:cs="Calibri"/>
          <w:sz w:val="22"/>
          <w:szCs w:val="22"/>
          <w:lang w:val="en-AU"/>
        </w:rPr>
        <w:t>DFAT</w:t>
      </w:r>
      <w:r w:rsidRPr="00C97A19">
        <w:rPr>
          <w:rFonts w:ascii="Calibri" w:hAnsi="Calibri" w:cs="Calibri"/>
          <w:sz w:val="22"/>
          <w:szCs w:val="22"/>
          <w:lang w:val="en-AU"/>
        </w:rPr>
        <w:t xml:space="preserve"> to any further extensions or future partnership arr</w:t>
      </w:r>
      <w:r w:rsidR="00C973D1" w:rsidRPr="00C97A19">
        <w:rPr>
          <w:rFonts w:ascii="Calibri" w:hAnsi="Calibri" w:cs="Calibri"/>
          <w:sz w:val="22"/>
          <w:szCs w:val="22"/>
          <w:lang w:val="en-AU"/>
        </w:rPr>
        <w:t>an</w:t>
      </w:r>
      <w:r w:rsidRPr="00C97A19">
        <w:rPr>
          <w:rFonts w:ascii="Calibri" w:hAnsi="Calibri" w:cs="Calibri"/>
          <w:sz w:val="22"/>
          <w:szCs w:val="22"/>
          <w:lang w:val="en-AU"/>
        </w:rPr>
        <w:t xml:space="preserve">gements with IFC. </w:t>
      </w:r>
    </w:p>
    <w:p w14:paraId="69D977D0" w14:textId="48689B12" w:rsidR="004076F7" w:rsidRPr="000348BD" w:rsidRDefault="004076F7" w:rsidP="004076F7">
      <w:pPr>
        <w:pStyle w:val="BodyText2"/>
        <w:spacing w:line="240" w:lineRule="auto"/>
        <w:rPr>
          <w:rFonts w:ascii="Calibri" w:hAnsi="Calibri" w:cs="Calibri"/>
          <w:b/>
          <w:bCs/>
          <w:i/>
          <w:iCs/>
          <w:color w:val="000000"/>
          <w:sz w:val="22"/>
          <w:szCs w:val="22"/>
          <w:u w:val="single"/>
          <w:lang w:val="en-AU"/>
        </w:rPr>
      </w:pPr>
      <w:r w:rsidRPr="000348BD">
        <w:rPr>
          <w:rFonts w:ascii="Calibri" w:hAnsi="Calibri" w:cs="Calibri"/>
          <w:b/>
          <w:bCs/>
          <w:i/>
          <w:iCs/>
          <w:color w:val="000000"/>
          <w:sz w:val="22"/>
          <w:szCs w:val="22"/>
          <w:u w:val="single"/>
          <w:lang w:val="en-AU"/>
        </w:rPr>
        <w:t xml:space="preserve">KEQ </w:t>
      </w:r>
      <w:r w:rsidR="007E101F" w:rsidRPr="000348BD">
        <w:rPr>
          <w:rFonts w:ascii="Calibri" w:hAnsi="Calibri" w:cs="Calibri"/>
          <w:b/>
          <w:bCs/>
          <w:i/>
          <w:iCs/>
          <w:color w:val="000000"/>
          <w:sz w:val="22"/>
          <w:szCs w:val="22"/>
          <w:u w:val="single"/>
          <w:lang w:val="en-AU"/>
        </w:rPr>
        <w:t>8:</w:t>
      </w:r>
      <w:r w:rsidRPr="000348BD">
        <w:rPr>
          <w:rFonts w:ascii="Calibri" w:hAnsi="Calibri" w:cs="Calibri"/>
          <w:b/>
          <w:bCs/>
          <w:i/>
          <w:iCs/>
          <w:color w:val="000000"/>
          <w:sz w:val="22"/>
          <w:szCs w:val="22"/>
          <w:u w:val="single"/>
          <w:lang w:val="en-AU"/>
        </w:rPr>
        <w:t xml:space="preserve"> Based on the evidence identified and analysed, what are the potential areas for further improvement going forward?</w:t>
      </w:r>
    </w:p>
    <w:p w14:paraId="6B147AC7" w14:textId="29265796" w:rsidR="00E024D3" w:rsidRPr="000348BD" w:rsidRDefault="007E101F" w:rsidP="00467344">
      <w:pPr>
        <w:pStyle w:val="BodyText2"/>
        <w:spacing w:line="240" w:lineRule="auto"/>
        <w:jc w:val="both"/>
        <w:rPr>
          <w:rFonts w:ascii="Calibri" w:hAnsi="Calibri" w:cs="Calibri"/>
          <w:color w:val="000000"/>
          <w:sz w:val="22"/>
          <w:szCs w:val="22"/>
          <w:lang w:val="en-AU"/>
        </w:rPr>
      </w:pPr>
      <w:r w:rsidRPr="000348BD">
        <w:rPr>
          <w:rFonts w:ascii="Calibri" w:hAnsi="Calibri" w:cs="Calibri"/>
          <w:b/>
          <w:bCs/>
          <w:color w:val="000000"/>
          <w:sz w:val="22"/>
          <w:szCs w:val="22"/>
          <w:lang w:val="en-AU"/>
        </w:rPr>
        <w:t>The current portfolio of projects has been prioritised and approved for implementation.</w:t>
      </w:r>
      <w:r w:rsidRPr="000348BD">
        <w:rPr>
          <w:rFonts w:ascii="Calibri" w:hAnsi="Calibri" w:cs="Calibri"/>
          <w:color w:val="000000"/>
          <w:sz w:val="22"/>
          <w:szCs w:val="22"/>
          <w:lang w:val="en-AU"/>
        </w:rPr>
        <w:t xml:space="preserve"> </w:t>
      </w:r>
      <w:r w:rsidR="008C502B" w:rsidRPr="000348BD">
        <w:rPr>
          <w:rFonts w:ascii="Calibri" w:eastAsiaTheme="minorHAnsi" w:hAnsi="Calibri" w:cs="Calibri"/>
          <w:sz w:val="22"/>
          <w:szCs w:val="22"/>
          <w:lang w:val="en-AU"/>
          <w14:ligatures w14:val="standardContextual"/>
        </w:rPr>
        <w:t>With a possible two additional projects expected to come on stream between now and June 2027, the overall budget envelope will be fully allocated. The focus for the remaining implementation period will therefore be on maintaining implementation momentum and ensuring clear reporting, assessment, and completion of planned expenditures.</w:t>
      </w:r>
    </w:p>
    <w:p w14:paraId="5A425024" w14:textId="09417489" w:rsidR="00911A6C" w:rsidRPr="000348BD" w:rsidRDefault="007E101F" w:rsidP="00467344">
      <w:pPr>
        <w:pStyle w:val="BodyText2"/>
        <w:spacing w:line="240" w:lineRule="auto"/>
        <w:jc w:val="both"/>
        <w:rPr>
          <w:rFonts w:ascii="Calibri" w:hAnsi="Calibri" w:cs="Calibri"/>
          <w:color w:val="000000"/>
          <w:sz w:val="22"/>
          <w:szCs w:val="22"/>
          <w:lang w:val="en-AU"/>
        </w:rPr>
      </w:pPr>
      <w:r w:rsidRPr="000348BD">
        <w:rPr>
          <w:rFonts w:ascii="Calibri" w:hAnsi="Calibri" w:cs="Calibri"/>
          <w:b/>
          <w:bCs/>
          <w:color w:val="000000"/>
          <w:sz w:val="22"/>
          <w:szCs w:val="22"/>
          <w:lang w:val="en-AU"/>
        </w:rPr>
        <w:t xml:space="preserve">To strengthen implementation and management, </w:t>
      </w:r>
      <w:r w:rsidR="00F03ACC" w:rsidRPr="000348BD">
        <w:rPr>
          <w:rFonts w:ascii="Calibri" w:hAnsi="Calibri" w:cs="Calibri"/>
          <w:b/>
          <w:bCs/>
          <w:color w:val="000000"/>
          <w:sz w:val="22"/>
          <w:szCs w:val="22"/>
          <w:lang w:val="en-AU"/>
        </w:rPr>
        <w:t>IFC</w:t>
      </w:r>
      <w:r w:rsidRPr="000348BD">
        <w:rPr>
          <w:rFonts w:ascii="Calibri" w:hAnsi="Calibri" w:cs="Calibri"/>
          <w:b/>
          <w:bCs/>
          <w:color w:val="000000"/>
          <w:sz w:val="22"/>
          <w:szCs w:val="22"/>
          <w:lang w:val="en-AU"/>
        </w:rPr>
        <w:t xml:space="preserve"> is suggested t</w:t>
      </w:r>
      <w:r w:rsidR="00F03ACC" w:rsidRPr="000348BD">
        <w:rPr>
          <w:rFonts w:ascii="Calibri" w:hAnsi="Calibri" w:cs="Calibri"/>
          <w:b/>
          <w:bCs/>
          <w:color w:val="000000"/>
          <w:sz w:val="22"/>
          <w:szCs w:val="22"/>
          <w:lang w:val="en-AU"/>
        </w:rPr>
        <w:t>o</w:t>
      </w:r>
      <w:r w:rsidRPr="000348BD">
        <w:rPr>
          <w:rFonts w:ascii="Calibri" w:hAnsi="Calibri" w:cs="Calibri"/>
          <w:b/>
          <w:bCs/>
          <w:color w:val="000000"/>
          <w:sz w:val="22"/>
          <w:szCs w:val="22"/>
          <w:lang w:val="en-AU"/>
        </w:rPr>
        <w:t xml:space="preserve"> initiate a series of briefings on key elements of the VPSDP portfolio </w:t>
      </w:r>
      <w:r w:rsidR="00F03ACC" w:rsidRPr="000348BD">
        <w:rPr>
          <w:rFonts w:ascii="Calibri" w:hAnsi="Calibri" w:cs="Calibri"/>
          <w:b/>
          <w:bCs/>
          <w:color w:val="000000"/>
          <w:sz w:val="22"/>
          <w:szCs w:val="22"/>
          <w:lang w:val="en-AU"/>
        </w:rPr>
        <w:t>for</w:t>
      </w:r>
      <w:r w:rsidRPr="000348BD">
        <w:rPr>
          <w:rFonts w:ascii="Calibri" w:hAnsi="Calibri" w:cs="Calibri"/>
          <w:b/>
          <w:bCs/>
          <w:color w:val="000000"/>
          <w:sz w:val="22"/>
          <w:szCs w:val="22"/>
          <w:lang w:val="en-AU"/>
        </w:rPr>
        <w:t xml:space="preserve"> DFAT.</w:t>
      </w:r>
      <w:r w:rsidRPr="000348BD">
        <w:rPr>
          <w:rFonts w:ascii="Calibri" w:hAnsi="Calibri" w:cs="Calibri"/>
          <w:color w:val="000000"/>
          <w:sz w:val="22"/>
          <w:szCs w:val="22"/>
          <w:lang w:val="en-AU"/>
        </w:rPr>
        <w:t xml:space="preserve"> </w:t>
      </w:r>
      <w:r w:rsidR="00E20DEB" w:rsidRPr="000348BD">
        <w:rPr>
          <w:rFonts w:ascii="Calibri" w:hAnsi="Calibri" w:cs="Calibri"/>
          <w:color w:val="000000"/>
          <w:sz w:val="22"/>
          <w:szCs w:val="22"/>
          <w:lang w:val="en-AU"/>
        </w:rPr>
        <w:t>Feedback</w:t>
      </w:r>
      <w:r w:rsidRPr="000348BD">
        <w:rPr>
          <w:rFonts w:ascii="Calibri" w:hAnsi="Calibri" w:cs="Calibri"/>
          <w:color w:val="000000"/>
          <w:sz w:val="22"/>
          <w:szCs w:val="22"/>
          <w:lang w:val="en-AU"/>
        </w:rPr>
        <w:t xml:space="preserve"> </w:t>
      </w:r>
      <w:r w:rsidR="00F03ACC" w:rsidRPr="000348BD">
        <w:rPr>
          <w:rFonts w:ascii="Calibri" w:hAnsi="Calibri" w:cs="Calibri"/>
          <w:color w:val="000000"/>
          <w:sz w:val="22"/>
          <w:szCs w:val="22"/>
          <w:lang w:val="en-AU"/>
        </w:rPr>
        <w:t xml:space="preserve">and consultations indicate some misunderstanding of </w:t>
      </w:r>
      <w:r w:rsidR="00E03004" w:rsidRPr="000348BD">
        <w:rPr>
          <w:rFonts w:ascii="Calibri" w:hAnsi="Calibri" w:cs="Calibri"/>
          <w:color w:val="000000"/>
          <w:sz w:val="22"/>
          <w:szCs w:val="22"/>
          <w:lang w:val="en-AU"/>
        </w:rPr>
        <w:t>certain</w:t>
      </w:r>
      <w:r w:rsidR="00F03ACC" w:rsidRPr="000348BD">
        <w:rPr>
          <w:rFonts w:ascii="Calibri" w:hAnsi="Calibri" w:cs="Calibri"/>
          <w:color w:val="000000"/>
          <w:sz w:val="22"/>
          <w:szCs w:val="22"/>
          <w:lang w:val="en-AU"/>
        </w:rPr>
        <w:t xml:space="preserve"> projects, particularly those that are quite technical and complex, and of</w:t>
      </w:r>
      <w:r w:rsidRPr="000348BD">
        <w:rPr>
          <w:rFonts w:ascii="Calibri" w:hAnsi="Calibri" w:cs="Calibri"/>
          <w:color w:val="000000"/>
          <w:sz w:val="22"/>
          <w:szCs w:val="22"/>
          <w:lang w:val="en-AU"/>
        </w:rPr>
        <w:t xml:space="preserve"> how they directly link to DFAT’s development portfolio. One example is the Green </w:t>
      </w:r>
      <w:r w:rsidR="00F03ACC" w:rsidRPr="000348BD">
        <w:rPr>
          <w:rFonts w:ascii="Calibri" w:hAnsi="Calibri" w:cs="Calibri"/>
          <w:color w:val="000000"/>
          <w:sz w:val="22"/>
          <w:szCs w:val="22"/>
          <w:lang w:val="en-AU"/>
        </w:rPr>
        <w:t>F</w:t>
      </w:r>
      <w:r w:rsidRPr="000348BD">
        <w:rPr>
          <w:rFonts w:ascii="Calibri" w:hAnsi="Calibri" w:cs="Calibri"/>
          <w:color w:val="000000"/>
          <w:sz w:val="22"/>
          <w:szCs w:val="22"/>
          <w:lang w:val="en-AU"/>
        </w:rPr>
        <w:t xml:space="preserve">inance and Blue </w:t>
      </w:r>
      <w:r w:rsidR="00F03ACC" w:rsidRPr="000348BD">
        <w:rPr>
          <w:rFonts w:ascii="Calibri" w:hAnsi="Calibri" w:cs="Calibri"/>
          <w:color w:val="000000"/>
          <w:sz w:val="22"/>
          <w:szCs w:val="22"/>
          <w:lang w:val="en-AU"/>
        </w:rPr>
        <w:t>F</w:t>
      </w:r>
      <w:r w:rsidRPr="000348BD">
        <w:rPr>
          <w:rFonts w:ascii="Calibri" w:hAnsi="Calibri" w:cs="Calibri"/>
          <w:color w:val="000000"/>
          <w:sz w:val="22"/>
          <w:szCs w:val="22"/>
          <w:lang w:val="en-AU"/>
        </w:rPr>
        <w:t xml:space="preserve">inance portfolio. There is scope for the </w:t>
      </w:r>
      <w:r w:rsidR="00E20DEB" w:rsidRPr="000348BD">
        <w:rPr>
          <w:rFonts w:ascii="Calibri" w:hAnsi="Calibri" w:cs="Calibri"/>
          <w:color w:val="000000"/>
          <w:sz w:val="22"/>
          <w:szCs w:val="22"/>
          <w:lang w:val="en-AU"/>
        </w:rPr>
        <w:t>IFC</w:t>
      </w:r>
      <w:r w:rsidRPr="000348BD">
        <w:rPr>
          <w:rFonts w:ascii="Calibri" w:hAnsi="Calibri" w:cs="Calibri"/>
          <w:color w:val="000000"/>
          <w:sz w:val="22"/>
          <w:szCs w:val="22"/>
          <w:lang w:val="en-AU"/>
        </w:rPr>
        <w:t xml:space="preserve"> to provide short briefings and </w:t>
      </w:r>
      <w:r w:rsidR="00E20DEB" w:rsidRPr="000348BD">
        <w:rPr>
          <w:rFonts w:ascii="Calibri" w:hAnsi="Calibri" w:cs="Calibri"/>
          <w:color w:val="000000"/>
          <w:sz w:val="22"/>
          <w:szCs w:val="22"/>
          <w:lang w:val="en-AU"/>
        </w:rPr>
        <w:t>presentations</w:t>
      </w:r>
      <w:r w:rsidRPr="000348BD">
        <w:rPr>
          <w:rFonts w:ascii="Calibri" w:hAnsi="Calibri" w:cs="Calibri"/>
          <w:color w:val="000000"/>
          <w:sz w:val="22"/>
          <w:szCs w:val="22"/>
          <w:lang w:val="en-AU"/>
        </w:rPr>
        <w:t xml:space="preserve"> on </w:t>
      </w:r>
      <w:r w:rsidR="00F03ACC" w:rsidRPr="000348BD">
        <w:rPr>
          <w:rFonts w:ascii="Calibri" w:hAnsi="Calibri" w:cs="Calibri"/>
          <w:color w:val="000000"/>
          <w:sz w:val="22"/>
          <w:szCs w:val="22"/>
          <w:lang w:val="en-AU"/>
        </w:rPr>
        <w:t xml:space="preserve">the </w:t>
      </w:r>
      <w:r w:rsidRPr="000348BD">
        <w:rPr>
          <w:rFonts w:ascii="Calibri" w:hAnsi="Calibri" w:cs="Calibri"/>
          <w:color w:val="000000"/>
          <w:sz w:val="22"/>
          <w:szCs w:val="22"/>
          <w:lang w:val="en-AU"/>
        </w:rPr>
        <w:t xml:space="preserve">technical </w:t>
      </w:r>
      <w:r w:rsidR="00E20DEB" w:rsidRPr="000348BD">
        <w:rPr>
          <w:rFonts w:ascii="Calibri" w:hAnsi="Calibri" w:cs="Calibri"/>
          <w:color w:val="000000"/>
          <w:sz w:val="22"/>
          <w:szCs w:val="22"/>
          <w:lang w:val="en-AU"/>
        </w:rPr>
        <w:t>aspects</w:t>
      </w:r>
      <w:r w:rsidRPr="000348BD">
        <w:rPr>
          <w:rFonts w:ascii="Calibri" w:hAnsi="Calibri" w:cs="Calibri"/>
          <w:color w:val="000000"/>
          <w:sz w:val="22"/>
          <w:szCs w:val="22"/>
          <w:lang w:val="en-AU"/>
        </w:rPr>
        <w:t xml:space="preserve"> of Green and Blue </w:t>
      </w:r>
      <w:r w:rsidR="00BA61B5">
        <w:rPr>
          <w:rFonts w:ascii="Calibri" w:hAnsi="Calibri" w:cs="Calibri"/>
          <w:color w:val="000000"/>
          <w:sz w:val="22"/>
          <w:szCs w:val="22"/>
          <w:lang w:val="en-AU"/>
        </w:rPr>
        <w:t>F</w:t>
      </w:r>
      <w:r w:rsidRPr="000348BD">
        <w:rPr>
          <w:rFonts w:ascii="Calibri" w:hAnsi="Calibri" w:cs="Calibri"/>
          <w:color w:val="000000"/>
          <w:sz w:val="22"/>
          <w:szCs w:val="22"/>
          <w:lang w:val="en-AU"/>
        </w:rPr>
        <w:t>inance</w:t>
      </w:r>
      <w:r w:rsidR="00F03ACC"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and </w:t>
      </w:r>
      <w:r w:rsidR="00F03ACC" w:rsidRPr="000348BD">
        <w:rPr>
          <w:rFonts w:ascii="Calibri" w:hAnsi="Calibri" w:cs="Calibri"/>
          <w:color w:val="000000"/>
          <w:sz w:val="22"/>
          <w:szCs w:val="22"/>
          <w:lang w:val="en-AU"/>
        </w:rPr>
        <w:t>to offer</w:t>
      </w:r>
      <w:r w:rsidRPr="000348BD">
        <w:rPr>
          <w:rFonts w:ascii="Calibri" w:hAnsi="Calibri" w:cs="Calibri"/>
          <w:color w:val="000000"/>
          <w:sz w:val="22"/>
          <w:szCs w:val="22"/>
          <w:lang w:val="en-AU"/>
        </w:rPr>
        <w:t xml:space="preserve"> opportunities to </w:t>
      </w:r>
      <w:r w:rsidR="00E20DEB" w:rsidRPr="000348BD">
        <w:rPr>
          <w:rFonts w:ascii="Calibri" w:hAnsi="Calibri" w:cs="Calibri"/>
          <w:color w:val="000000"/>
          <w:sz w:val="22"/>
          <w:szCs w:val="22"/>
          <w:lang w:val="en-AU"/>
        </w:rPr>
        <w:t>reflect</w:t>
      </w:r>
      <w:r w:rsidRPr="000348BD">
        <w:rPr>
          <w:rFonts w:ascii="Calibri" w:hAnsi="Calibri" w:cs="Calibri"/>
          <w:color w:val="000000"/>
          <w:sz w:val="22"/>
          <w:szCs w:val="22"/>
          <w:lang w:val="en-AU"/>
        </w:rPr>
        <w:t xml:space="preserve"> and discuss how </w:t>
      </w:r>
      <w:r w:rsidR="00E20DEB" w:rsidRPr="000348BD">
        <w:rPr>
          <w:rFonts w:ascii="Calibri" w:hAnsi="Calibri" w:cs="Calibri"/>
          <w:color w:val="000000"/>
          <w:sz w:val="22"/>
          <w:szCs w:val="22"/>
          <w:lang w:val="en-AU"/>
        </w:rPr>
        <w:t>these</w:t>
      </w:r>
      <w:r w:rsidRPr="000348BD">
        <w:rPr>
          <w:rFonts w:ascii="Calibri" w:hAnsi="Calibri" w:cs="Calibri"/>
          <w:color w:val="000000"/>
          <w:sz w:val="22"/>
          <w:szCs w:val="22"/>
          <w:lang w:val="en-AU"/>
        </w:rPr>
        <w:t xml:space="preserve"> </w:t>
      </w:r>
      <w:r w:rsidR="00E20DEB" w:rsidRPr="000348BD">
        <w:rPr>
          <w:rFonts w:ascii="Calibri" w:hAnsi="Calibri" w:cs="Calibri"/>
          <w:color w:val="000000"/>
          <w:sz w:val="22"/>
          <w:szCs w:val="22"/>
          <w:lang w:val="en-AU"/>
        </w:rPr>
        <w:t>projects</w:t>
      </w:r>
      <w:r w:rsidRPr="000348BD">
        <w:rPr>
          <w:rFonts w:ascii="Calibri" w:hAnsi="Calibri" w:cs="Calibri"/>
          <w:color w:val="000000"/>
          <w:sz w:val="22"/>
          <w:szCs w:val="22"/>
          <w:lang w:val="en-AU"/>
        </w:rPr>
        <w:t xml:space="preserve"> contribute to broader social outcomes. Other examples could focus on Food Safety and Green Buildings work</w:t>
      </w:r>
      <w:r w:rsidR="00F03ACC"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and how these </w:t>
      </w:r>
      <w:r w:rsidR="00E20DEB" w:rsidRPr="000348BD">
        <w:rPr>
          <w:rFonts w:ascii="Calibri" w:hAnsi="Calibri" w:cs="Calibri"/>
          <w:color w:val="000000"/>
          <w:sz w:val="22"/>
          <w:szCs w:val="22"/>
          <w:lang w:val="en-AU"/>
        </w:rPr>
        <w:t>projects</w:t>
      </w:r>
      <w:r w:rsidRPr="000348BD">
        <w:rPr>
          <w:rFonts w:ascii="Calibri" w:hAnsi="Calibri" w:cs="Calibri"/>
          <w:color w:val="000000"/>
          <w:sz w:val="22"/>
          <w:szCs w:val="22"/>
          <w:lang w:val="en-AU"/>
        </w:rPr>
        <w:t xml:space="preserve"> contribute to improved social outcomes. The final element is to </w:t>
      </w:r>
      <w:r w:rsidR="00E20DEB" w:rsidRPr="000348BD">
        <w:rPr>
          <w:rFonts w:ascii="Calibri" w:hAnsi="Calibri" w:cs="Calibri"/>
          <w:color w:val="000000"/>
          <w:sz w:val="22"/>
          <w:szCs w:val="22"/>
          <w:lang w:val="en-AU"/>
        </w:rPr>
        <w:t>discuss</w:t>
      </w:r>
      <w:r w:rsidRPr="000348BD">
        <w:rPr>
          <w:rFonts w:ascii="Calibri" w:hAnsi="Calibri" w:cs="Calibri"/>
          <w:color w:val="000000"/>
          <w:sz w:val="22"/>
          <w:szCs w:val="22"/>
          <w:lang w:val="en-AU"/>
        </w:rPr>
        <w:t xml:space="preserve"> how gender and </w:t>
      </w:r>
      <w:r w:rsidR="00E20DEB" w:rsidRPr="000348BD">
        <w:rPr>
          <w:rFonts w:ascii="Calibri" w:hAnsi="Calibri" w:cs="Calibri"/>
          <w:color w:val="000000"/>
          <w:sz w:val="22"/>
          <w:szCs w:val="22"/>
          <w:lang w:val="en-AU"/>
        </w:rPr>
        <w:t>disability</w:t>
      </w:r>
      <w:r w:rsidRPr="000348BD">
        <w:rPr>
          <w:rFonts w:ascii="Calibri" w:hAnsi="Calibri" w:cs="Calibri"/>
          <w:color w:val="000000"/>
          <w:sz w:val="22"/>
          <w:szCs w:val="22"/>
          <w:lang w:val="en-AU"/>
        </w:rPr>
        <w:t xml:space="preserve"> are also being considered and</w:t>
      </w:r>
      <w:r w:rsidR="00911A6C" w:rsidRPr="000348BD">
        <w:rPr>
          <w:rFonts w:ascii="Calibri" w:hAnsi="Calibri" w:cs="Calibri"/>
          <w:color w:val="000000"/>
          <w:sz w:val="22"/>
          <w:szCs w:val="22"/>
          <w:lang w:val="en-AU"/>
        </w:rPr>
        <w:t xml:space="preserve">, </w:t>
      </w:r>
      <w:r w:rsidR="00E03004" w:rsidRPr="000348BD">
        <w:rPr>
          <w:rFonts w:ascii="Calibri" w:hAnsi="Calibri" w:cs="Calibri"/>
          <w:color w:val="000000"/>
          <w:sz w:val="22"/>
          <w:szCs w:val="22"/>
          <w:lang w:val="en-AU"/>
        </w:rPr>
        <w:t>where</w:t>
      </w:r>
      <w:r w:rsidR="00911A6C" w:rsidRPr="000348BD">
        <w:rPr>
          <w:rFonts w:ascii="Calibri" w:hAnsi="Calibri" w:cs="Calibri"/>
          <w:color w:val="000000"/>
          <w:sz w:val="22"/>
          <w:szCs w:val="22"/>
          <w:lang w:val="en-AU"/>
        </w:rPr>
        <w:t xml:space="preserve"> appropriate, </w:t>
      </w:r>
      <w:r w:rsidR="00E03004" w:rsidRPr="000348BD">
        <w:rPr>
          <w:rFonts w:ascii="Calibri" w:hAnsi="Calibri" w:cs="Calibri"/>
          <w:color w:val="000000"/>
          <w:sz w:val="22"/>
          <w:szCs w:val="22"/>
          <w:lang w:val="en-AU"/>
        </w:rPr>
        <w:t>reflected in</w:t>
      </w:r>
      <w:r w:rsidR="00911A6C" w:rsidRPr="000348BD">
        <w:rPr>
          <w:rFonts w:ascii="Calibri" w:hAnsi="Calibri" w:cs="Calibri"/>
          <w:color w:val="000000"/>
          <w:sz w:val="22"/>
          <w:szCs w:val="22"/>
          <w:lang w:val="en-AU"/>
        </w:rPr>
        <w:t xml:space="preserve"> these work streams</w:t>
      </w:r>
      <w:r w:rsidR="00F03ACC"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w:t>
      </w:r>
    </w:p>
    <w:p w14:paraId="05C92F45" w14:textId="3583C443" w:rsidR="00E024D3" w:rsidRPr="000348BD" w:rsidRDefault="00911A6C" w:rsidP="00467344">
      <w:pPr>
        <w:pStyle w:val="BodyText2"/>
        <w:spacing w:line="240" w:lineRule="auto"/>
        <w:jc w:val="both"/>
        <w:rPr>
          <w:rFonts w:ascii="Calibri" w:hAnsi="Calibri" w:cs="Calibri"/>
          <w:color w:val="000000"/>
          <w:sz w:val="22"/>
          <w:szCs w:val="22"/>
          <w:lang w:val="en-AU"/>
        </w:rPr>
      </w:pPr>
      <w:r w:rsidRPr="000348BD">
        <w:rPr>
          <w:rFonts w:ascii="Calibri" w:hAnsi="Calibri" w:cs="Calibri"/>
          <w:b/>
          <w:bCs/>
          <w:color w:val="000000"/>
          <w:sz w:val="22"/>
          <w:szCs w:val="22"/>
          <w:lang w:val="en-AU"/>
        </w:rPr>
        <w:t>It is proposed tha</w:t>
      </w:r>
      <w:r w:rsidR="00467344" w:rsidRPr="000348BD">
        <w:rPr>
          <w:rFonts w:ascii="Calibri" w:hAnsi="Calibri" w:cs="Calibri"/>
          <w:b/>
          <w:bCs/>
          <w:color w:val="000000"/>
          <w:sz w:val="22"/>
          <w:szCs w:val="22"/>
          <w:lang w:val="en-AU"/>
        </w:rPr>
        <w:t>t</w:t>
      </w:r>
      <w:r w:rsidRPr="000348BD">
        <w:rPr>
          <w:rFonts w:ascii="Calibri" w:hAnsi="Calibri" w:cs="Calibri"/>
          <w:b/>
          <w:bCs/>
          <w:color w:val="000000"/>
          <w:sz w:val="22"/>
          <w:szCs w:val="22"/>
          <w:lang w:val="en-AU"/>
        </w:rPr>
        <w:t xml:space="preserve"> the IFC and </w:t>
      </w:r>
      <w:r w:rsidR="000B5917" w:rsidRPr="000348BD">
        <w:rPr>
          <w:rFonts w:ascii="Calibri" w:hAnsi="Calibri" w:cs="Calibri"/>
          <w:b/>
          <w:bCs/>
          <w:color w:val="000000"/>
          <w:sz w:val="22"/>
          <w:szCs w:val="22"/>
          <w:lang w:val="en-AU"/>
        </w:rPr>
        <w:t>DFAT</w:t>
      </w:r>
      <w:r w:rsidRPr="000348BD">
        <w:rPr>
          <w:rFonts w:ascii="Calibri" w:hAnsi="Calibri" w:cs="Calibri"/>
          <w:b/>
          <w:bCs/>
          <w:color w:val="000000"/>
          <w:sz w:val="22"/>
          <w:szCs w:val="22"/>
          <w:lang w:val="en-AU"/>
        </w:rPr>
        <w:t xml:space="preserve"> initiate a monthly discussion or briefing on a pre-arranged and agreed topic</w:t>
      </w:r>
      <w:r w:rsidR="00467344" w:rsidRPr="000348BD">
        <w:rPr>
          <w:rFonts w:ascii="Calibri" w:hAnsi="Calibri" w:cs="Calibri"/>
          <w:b/>
          <w:bCs/>
          <w:color w:val="000000"/>
          <w:sz w:val="22"/>
          <w:szCs w:val="22"/>
          <w:lang w:val="en-AU"/>
        </w:rPr>
        <w:t>(s)</w:t>
      </w:r>
      <w:r w:rsidRPr="000348BD">
        <w:rPr>
          <w:rFonts w:ascii="Calibri" w:hAnsi="Calibri" w:cs="Calibri"/>
          <w:b/>
          <w:bCs/>
          <w:color w:val="000000"/>
          <w:sz w:val="22"/>
          <w:szCs w:val="22"/>
          <w:lang w:val="en-AU"/>
        </w:rPr>
        <w:t>.</w:t>
      </w:r>
      <w:r w:rsidRPr="000348BD">
        <w:rPr>
          <w:rFonts w:ascii="Calibri" w:hAnsi="Calibri" w:cs="Calibri"/>
          <w:color w:val="000000"/>
          <w:sz w:val="22"/>
          <w:szCs w:val="22"/>
          <w:lang w:val="en-AU"/>
        </w:rPr>
        <w:t xml:space="preserve"> It is important that DFAT indicate </w:t>
      </w:r>
      <w:r w:rsidR="00F03ACC" w:rsidRPr="000348BD">
        <w:rPr>
          <w:rFonts w:ascii="Calibri" w:hAnsi="Calibri" w:cs="Calibri"/>
          <w:color w:val="000000"/>
          <w:sz w:val="22"/>
          <w:szCs w:val="22"/>
          <w:lang w:val="en-AU"/>
        </w:rPr>
        <w:t>its</w:t>
      </w:r>
      <w:r w:rsidRPr="000348BD">
        <w:rPr>
          <w:rFonts w:ascii="Calibri" w:hAnsi="Calibri" w:cs="Calibri"/>
          <w:color w:val="000000"/>
          <w:sz w:val="22"/>
          <w:szCs w:val="22"/>
          <w:lang w:val="en-AU"/>
        </w:rPr>
        <w:t xml:space="preserve"> </w:t>
      </w:r>
      <w:r w:rsidR="00F03ACC" w:rsidRPr="000348BD">
        <w:rPr>
          <w:rFonts w:ascii="Calibri" w:hAnsi="Calibri" w:cs="Calibri"/>
          <w:color w:val="000000"/>
          <w:sz w:val="22"/>
          <w:szCs w:val="22"/>
          <w:lang w:val="en-AU"/>
        </w:rPr>
        <w:t>priorities</w:t>
      </w:r>
      <w:r w:rsidRPr="000348BD">
        <w:rPr>
          <w:rFonts w:ascii="Calibri" w:hAnsi="Calibri" w:cs="Calibri"/>
          <w:color w:val="000000"/>
          <w:sz w:val="22"/>
          <w:szCs w:val="22"/>
          <w:lang w:val="en-AU"/>
        </w:rPr>
        <w:t xml:space="preserve"> and information </w:t>
      </w:r>
      <w:r w:rsidR="00E20DEB" w:rsidRPr="000348BD">
        <w:rPr>
          <w:rFonts w:ascii="Calibri" w:hAnsi="Calibri" w:cs="Calibri"/>
          <w:color w:val="000000"/>
          <w:sz w:val="22"/>
          <w:szCs w:val="22"/>
          <w:lang w:val="en-AU"/>
        </w:rPr>
        <w:t>needs</w:t>
      </w:r>
      <w:r w:rsidRPr="000348BD">
        <w:rPr>
          <w:rFonts w:ascii="Calibri" w:hAnsi="Calibri" w:cs="Calibri"/>
          <w:color w:val="000000"/>
          <w:sz w:val="22"/>
          <w:szCs w:val="22"/>
          <w:lang w:val="en-AU"/>
        </w:rPr>
        <w:t xml:space="preserve"> to help IFC develop tailored, structured</w:t>
      </w:r>
      <w:r w:rsidR="00F03ACC"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and specific</w:t>
      </w:r>
      <w:r w:rsidR="00F03ACC" w:rsidRPr="000348BD">
        <w:rPr>
          <w:rFonts w:ascii="Calibri" w:hAnsi="Calibri" w:cs="Calibri"/>
          <w:color w:val="000000"/>
          <w:sz w:val="22"/>
          <w:szCs w:val="22"/>
          <w:lang w:val="en-AU"/>
        </w:rPr>
        <w:t xml:space="preserve"> presentations and briefings</w:t>
      </w:r>
      <w:r w:rsidRPr="000348BD">
        <w:rPr>
          <w:rFonts w:ascii="Calibri" w:hAnsi="Calibri" w:cs="Calibri"/>
          <w:color w:val="000000"/>
          <w:sz w:val="22"/>
          <w:szCs w:val="22"/>
          <w:lang w:val="en-AU"/>
        </w:rPr>
        <w:t>. For example, the review found a series of presentations on green finance that could be tailored and adapted to inform DFAT and provi</w:t>
      </w:r>
      <w:r w:rsidR="00467344" w:rsidRPr="000348BD">
        <w:rPr>
          <w:rFonts w:ascii="Calibri" w:hAnsi="Calibri" w:cs="Calibri"/>
          <w:color w:val="000000"/>
          <w:sz w:val="22"/>
          <w:szCs w:val="22"/>
          <w:lang w:val="en-AU"/>
        </w:rPr>
        <w:t>d</w:t>
      </w:r>
      <w:r w:rsidRPr="000348BD">
        <w:rPr>
          <w:rFonts w:ascii="Calibri" w:hAnsi="Calibri" w:cs="Calibri"/>
          <w:color w:val="000000"/>
          <w:sz w:val="22"/>
          <w:szCs w:val="22"/>
          <w:lang w:val="en-AU"/>
        </w:rPr>
        <w:t>e a basis for de</w:t>
      </w:r>
      <w:r w:rsidR="00467344" w:rsidRPr="000348BD">
        <w:rPr>
          <w:rFonts w:ascii="Calibri" w:hAnsi="Calibri" w:cs="Calibri"/>
          <w:color w:val="000000"/>
          <w:sz w:val="22"/>
          <w:szCs w:val="22"/>
          <w:lang w:val="en-AU"/>
        </w:rPr>
        <w:t>e</w:t>
      </w:r>
      <w:r w:rsidRPr="000348BD">
        <w:rPr>
          <w:rFonts w:ascii="Calibri" w:hAnsi="Calibri" w:cs="Calibri"/>
          <w:color w:val="000000"/>
          <w:sz w:val="22"/>
          <w:szCs w:val="22"/>
          <w:lang w:val="en-AU"/>
        </w:rPr>
        <w:t>per understanding</w:t>
      </w:r>
      <w:r w:rsidR="00467344" w:rsidRPr="000348BD">
        <w:rPr>
          <w:rFonts w:ascii="Calibri" w:hAnsi="Calibri" w:cs="Calibri"/>
          <w:color w:val="000000"/>
          <w:sz w:val="22"/>
          <w:szCs w:val="22"/>
          <w:lang w:val="en-AU"/>
        </w:rPr>
        <w:t>,</w:t>
      </w:r>
      <w:r w:rsidRPr="000348BD">
        <w:rPr>
          <w:rFonts w:ascii="Calibri" w:hAnsi="Calibri" w:cs="Calibri"/>
          <w:color w:val="000000"/>
          <w:sz w:val="22"/>
          <w:szCs w:val="22"/>
          <w:lang w:val="en-AU"/>
        </w:rPr>
        <w:t xml:space="preserve"> future planning and prioritisation. Figures </w:t>
      </w:r>
      <w:r w:rsidR="00467344" w:rsidRPr="000348BD">
        <w:rPr>
          <w:rFonts w:ascii="Calibri" w:hAnsi="Calibri" w:cs="Calibri"/>
          <w:color w:val="000000"/>
          <w:sz w:val="22"/>
          <w:szCs w:val="22"/>
          <w:lang w:val="en-AU"/>
        </w:rPr>
        <w:t>1</w:t>
      </w:r>
      <w:r w:rsidRPr="000348BD">
        <w:rPr>
          <w:rFonts w:ascii="Calibri" w:hAnsi="Calibri" w:cs="Calibri"/>
          <w:color w:val="000000"/>
          <w:sz w:val="22"/>
          <w:szCs w:val="22"/>
          <w:lang w:val="en-AU"/>
        </w:rPr>
        <w:t xml:space="preserve"> and </w:t>
      </w:r>
      <w:r w:rsidR="00467344" w:rsidRPr="000348BD">
        <w:rPr>
          <w:rFonts w:ascii="Calibri" w:hAnsi="Calibri" w:cs="Calibri"/>
          <w:color w:val="000000"/>
          <w:sz w:val="22"/>
          <w:szCs w:val="22"/>
          <w:lang w:val="en-AU"/>
        </w:rPr>
        <w:t>2</w:t>
      </w:r>
      <w:r w:rsidRPr="000348BD">
        <w:rPr>
          <w:rFonts w:ascii="Calibri" w:hAnsi="Calibri" w:cs="Calibri"/>
          <w:color w:val="000000"/>
          <w:sz w:val="22"/>
          <w:szCs w:val="22"/>
          <w:lang w:val="en-AU"/>
        </w:rPr>
        <w:t xml:space="preserve"> are screen</w:t>
      </w:r>
      <w:r w:rsidR="00467344" w:rsidRPr="000348BD">
        <w:rPr>
          <w:rFonts w:ascii="Calibri" w:hAnsi="Calibri" w:cs="Calibri"/>
          <w:color w:val="000000"/>
          <w:sz w:val="22"/>
          <w:szCs w:val="22"/>
          <w:lang w:val="en-AU"/>
        </w:rPr>
        <w:t>s</w:t>
      </w:r>
      <w:r w:rsidRPr="000348BD">
        <w:rPr>
          <w:rFonts w:ascii="Calibri" w:hAnsi="Calibri" w:cs="Calibri"/>
          <w:color w:val="000000"/>
          <w:sz w:val="22"/>
          <w:szCs w:val="22"/>
          <w:lang w:val="en-AU"/>
        </w:rPr>
        <w:t>hots from the presentation.</w:t>
      </w:r>
    </w:p>
    <w:p w14:paraId="148CFEFA" w14:textId="77777777" w:rsidR="00B835E4" w:rsidRPr="000348BD" w:rsidRDefault="00B835E4" w:rsidP="00467344">
      <w:pPr>
        <w:pStyle w:val="BodyText2"/>
        <w:spacing w:line="240" w:lineRule="auto"/>
        <w:jc w:val="center"/>
        <w:rPr>
          <w:rFonts w:ascii="Calibri" w:hAnsi="Calibri" w:cs="Calibri"/>
          <w:b/>
          <w:bCs/>
          <w:i/>
          <w:iCs/>
          <w:color w:val="000000"/>
          <w:sz w:val="18"/>
          <w:szCs w:val="18"/>
          <w:lang w:val="en-AU"/>
        </w:rPr>
      </w:pPr>
    </w:p>
    <w:p w14:paraId="32CD88C0" w14:textId="2F09584B" w:rsidR="00911A6C" w:rsidRPr="000348BD" w:rsidRDefault="00911A6C" w:rsidP="00467344">
      <w:pPr>
        <w:pStyle w:val="BodyText2"/>
        <w:spacing w:line="240" w:lineRule="auto"/>
        <w:jc w:val="center"/>
        <w:rPr>
          <w:rFonts w:ascii="Calibri" w:hAnsi="Calibri" w:cs="Calibri"/>
          <w:b/>
          <w:bCs/>
          <w:i/>
          <w:iCs/>
          <w:color w:val="000000"/>
          <w:sz w:val="18"/>
          <w:szCs w:val="18"/>
          <w:lang w:val="en-AU"/>
        </w:rPr>
      </w:pPr>
      <w:r w:rsidRPr="000348BD">
        <w:rPr>
          <w:rFonts w:ascii="Calibri" w:hAnsi="Calibri" w:cs="Calibri"/>
          <w:b/>
          <w:bCs/>
          <w:i/>
          <w:iCs/>
          <w:color w:val="000000"/>
          <w:sz w:val="18"/>
          <w:szCs w:val="18"/>
          <w:lang w:val="en-AU"/>
        </w:rPr>
        <w:t>Figure</w:t>
      </w:r>
      <w:r w:rsidR="00467344" w:rsidRPr="000348BD">
        <w:rPr>
          <w:rFonts w:ascii="Calibri" w:hAnsi="Calibri" w:cs="Calibri"/>
          <w:b/>
          <w:bCs/>
          <w:i/>
          <w:iCs/>
          <w:color w:val="000000"/>
          <w:sz w:val="18"/>
          <w:szCs w:val="18"/>
          <w:lang w:val="en-AU"/>
        </w:rPr>
        <w:t xml:space="preserve"> 1</w:t>
      </w:r>
      <w:r w:rsidRPr="000348BD">
        <w:rPr>
          <w:rFonts w:ascii="Calibri" w:hAnsi="Calibri" w:cs="Calibri"/>
          <w:b/>
          <w:bCs/>
          <w:i/>
          <w:iCs/>
          <w:color w:val="000000"/>
          <w:sz w:val="18"/>
          <w:szCs w:val="18"/>
          <w:lang w:val="en-AU"/>
        </w:rPr>
        <w:t xml:space="preserve">: </w:t>
      </w:r>
      <w:r w:rsidR="00467344" w:rsidRPr="000348BD">
        <w:rPr>
          <w:rFonts w:ascii="Calibri" w:hAnsi="Calibri" w:cs="Calibri"/>
          <w:b/>
          <w:bCs/>
          <w:i/>
          <w:iCs/>
          <w:color w:val="000000"/>
          <w:sz w:val="18"/>
          <w:szCs w:val="18"/>
          <w:lang w:val="en-AU"/>
        </w:rPr>
        <w:t>G</w:t>
      </w:r>
      <w:r w:rsidRPr="000348BD">
        <w:rPr>
          <w:rFonts w:ascii="Calibri" w:hAnsi="Calibri" w:cs="Calibri"/>
          <w:b/>
          <w:bCs/>
          <w:i/>
          <w:iCs/>
          <w:color w:val="000000"/>
          <w:sz w:val="18"/>
          <w:szCs w:val="18"/>
          <w:lang w:val="en-AU"/>
        </w:rPr>
        <w:t>reen Credit and Bonds in Viet Nam</w:t>
      </w:r>
    </w:p>
    <w:p w14:paraId="0177313E" w14:textId="2B8933BF" w:rsidR="00E024D3" w:rsidRPr="000348BD" w:rsidRDefault="00911A6C" w:rsidP="00467344">
      <w:pPr>
        <w:pStyle w:val="BodyText2"/>
        <w:spacing w:line="240" w:lineRule="auto"/>
        <w:jc w:val="center"/>
        <w:rPr>
          <w:rFonts w:ascii="Calibri" w:hAnsi="Calibri" w:cs="Calibri"/>
          <w:b/>
          <w:bCs/>
          <w:i/>
          <w:iCs/>
          <w:color w:val="000000"/>
          <w:sz w:val="22"/>
          <w:szCs w:val="22"/>
          <w:lang w:val="en-AU"/>
        </w:rPr>
      </w:pPr>
      <w:r w:rsidRPr="000348BD">
        <w:rPr>
          <w:rFonts w:ascii="Calibri" w:hAnsi="Calibri" w:cs="Calibri"/>
          <w:b/>
          <w:bCs/>
          <w:i/>
          <w:iCs/>
          <w:noProof/>
          <w:color w:val="000000"/>
          <w:sz w:val="22"/>
          <w:szCs w:val="22"/>
          <w:lang w:val="en-AU"/>
        </w:rPr>
        <w:lastRenderedPageBreak/>
        <w:drawing>
          <wp:inline distT="0" distB="0" distL="0" distR="0" wp14:anchorId="4992E28E" wp14:editId="4BB13BB3">
            <wp:extent cx="5042263" cy="2836273"/>
            <wp:effectExtent l="0" t="0" r="6350" b="2540"/>
            <wp:docPr id="1905909491" name="Picture 1" descr="Figure 1 is a screenshot taken from an IFC green-finance presentation. Please see details in the Annex 6&#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09491" name="Picture 1" descr="Figure 1 is a screenshot taken from an IFC green-finance presentation. Please see details in the Annex 6&#10;">
                      <a:extLst>
                        <a:ext uri="{C183D7F6-B498-43B3-948B-1728B52AA6E4}">
                          <adec:decorative xmlns:adec="http://schemas.microsoft.com/office/drawing/2017/decorative" val="0"/>
                        </a:ext>
                      </a:extLst>
                    </pic:cNvPr>
                    <pic:cNvPicPr/>
                  </pic:nvPicPr>
                  <pic:blipFill>
                    <a:blip r:embed="rId24"/>
                    <a:stretch>
                      <a:fillRect/>
                    </a:stretch>
                  </pic:blipFill>
                  <pic:spPr>
                    <a:xfrm>
                      <a:off x="0" y="0"/>
                      <a:ext cx="5053786" cy="2842755"/>
                    </a:xfrm>
                    <a:prstGeom prst="rect">
                      <a:avLst/>
                    </a:prstGeom>
                  </pic:spPr>
                </pic:pic>
              </a:graphicData>
            </a:graphic>
          </wp:inline>
        </w:drawing>
      </w:r>
    </w:p>
    <w:p w14:paraId="01617683" w14:textId="77777777" w:rsidR="00B835E4" w:rsidRPr="000348BD" w:rsidRDefault="00B835E4" w:rsidP="00152F0F">
      <w:pPr>
        <w:pStyle w:val="BodyText2"/>
        <w:spacing w:line="240" w:lineRule="auto"/>
        <w:rPr>
          <w:rFonts w:ascii="Calibri" w:hAnsi="Calibri" w:cs="Calibri"/>
          <w:b/>
          <w:bCs/>
          <w:i/>
          <w:iCs/>
          <w:color w:val="000000"/>
          <w:sz w:val="18"/>
          <w:szCs w:val="18"/>
          <w:lang w:val="en-AU"/>
        </w:rPr>
      </w:pPr>
    </w:p>
    <w:p w14:paraId="10AF7FC1" w14:textId="77777777" w:rsidR="0097104F" w:rsidRDefault="0097104F" w:rsidP="00467344">
      <w:pPr>
        <w:pStyle w:val="BodyText2"/>
        <w:spacing w:line="240" w:lineRule="auto"/>
        <w:jc w:val="center"/>
        <w:rPr>
          <w:rFonts w:ascii="Calibri" w:hAnsi="Calibri" w:cs="Calibri"/>
          <w:b/>
          <w:bCs/>
          <w:i/>
          <w:iCs/>
          <w:color w:val="000000"/>
          <w:sz w:val="18"/>
          <w:szCs w:val="18"/>
          <w:lang w:val="en-AU"/>
        </w:rPr>
      </w:pPr>
    </w:p>
    <w:p w14:paraId="163860B0" w14:textId="77777777" w:rsidR="0097104F" w:rsidRDefault="0097104F" w:rsidP="00467344">
      <w:pPr>
        <w:pStyle w:val="BodyText2"/>
        <w:spacing w:line="240" w:lineRule="auto"/>
        <w:jc w:val="center"/>
        <w:rPr>
          <w:rFonts w:ascii="Calibri" w:hAnsi="Calibri" w:cs="Calibri"/>
          <w:b/>
          <w:bCs/>
          <w:i/>
          <w:iCs/>
          <w:color w:val="000000"/>
          <w:sz w:val="18"/>
          <w:szCs w:val="18"/>
          <w:lang w:val="en-AU"/>
        </w:rPr>
      </w:pPr>
    </w:p>
    <w:p w14:paraId="2C08BCC1" w14:textId="77777777" w:rsidR="000A0270" w:rsidRDefault="000A0270" w:rsidP="00467344">
      <w:pPr>
        <w:pStyle w:val="BodyText2"/>
        <w:spacing w:line="240" w:lineRule="auto"/>
        <w:jc w:val="center"/>
        <w:rPr>
          <w:rFonts w:ascii="Calibri" w:hAnsi="Calibri" w:cs="Calibri"/>
          <w:b/>
          <w:bCs/>
          <w:i/>
          <w:iCs/>
          <w:color w:val="000000"/>
          <w:sz w:val="18"/>
          <w:szCs w:val="18"/>
          <w:lang w:val="en-AU"/>
        </w:rPr>
      </w:pPr>
    </w:p>
    <w:p w14:paraId="324C6E0B" w14:textId="37C4DBFE" w:rsidR="00911A6C" w:rsidRPr="000348BD" w:rsidRDefault="0097104F" w:rsidP="00467344">
      <w:pPr>
        <w:pStyle w:val="BodyText2"/>
        <w:spacing w:line="240" w:lineRule="auto"/>
        <w:jc w:val="center"/>
        <w:rPr>
          <w:rFonts w:ascii="Calibri" w:hAnsi="Calibri" w:cs="Calibri"/>
          <w:b/>
          <w:bCs/>
          <w:i/>
          <w:iCs/>
          <w:color w:val="000000"/>
          <w:sz w:val="18"/>
          <w:szCs w:val="18"/>
          <w:lang w:val="en-AU"/>
        </w:rPr>
      </w:pPr>
      <w:r>
        <w:rPr>
          <w:rFonts w:ascii="Calibri" w:hAnsi="Calibri" w:cs="Calibri"/>
          <w:b/>
          <w:bCs/>
          <w:i/>
          <w:iCs/>
          <w:color w:val="000000"/>
          <w:sz w:val="18"/>
          <w:szCs w:val="18"/>
          <w:lang w:val="en-AU"/>
        </w:rPr>
        <w:t>F</w:t>
      </w:r>
      <w:r w:rsidR="00911A6C" w:rsidRPr="000348BD">
        <w:rPr>
          <w:rFonts w:ascii="Calibri" w:hAnsi="Calibri" w:cs="Calibri"/>
          <w:b/>
          <w:bCs/>
          <w:i/>
          <w:iCs/>
          <w:color w:val="000000"/>
          <w:sz w:val="18"/>
          <w:szCs w:val="18"/>
          <w:lang w:val="en-AU"/>
        </w:rPr>
        <w:t>igure</w:t>
      </w:r>
      <w:r w:rsidR="00467344" w:rsidRPr="000348BD">
        <w:rPr>
          <w:rFonts w:ascii="Calibri" w:hAnsi="Calibri" w:cs="Calibri"/>
          <w:b/>
          <w:bCs/>
          <w:i/>
          <w:iCs/>
          <w:color w:val="000000"/>
          <w:sz w:val="18"/>
          <w:szCs w:val="18"/>
          <w:lang w:val="en-AU"/>
        </w:rPr>
        <w:t xml:space="preserve"> 2</w:t>
      </w:r>
      <w:r w:rsidR="00911A6C" w:rsidRPr="000348BD">
        <w:rPr>
          <w:rFonts w:ascii="Calibri" w:hAnsi="Calibri" w:cs="Calibri"/>
          <w:b/>
          <w:bCs/>
          <w:i/>
          <w:iCs/>
          <w:color w:val="000000"/>
          <w:sz w:val="18"/>
          <w:szCs w:val="18"/>
          <w:lang w:val="en-AU"/>
        </w:rPr>
        <w:t>: Financing Needs for Climate Action in Viet Nam</w:t>
      </w:r>
    </w:p>
    <w:p w14:paraId="09016F70" w14:textId="7F3BE106" w:rsidR="00911A6C" w:rsidRPr="000348BD" w:rsidRDefault="00911A6C" w:rsidP="00467344">
      <w:pPr>
        <w:pStyle w:val="BodyText2"/>
        <w:spacing w:line="240" w:lineRule="auto"/>
        <w:jc w:val="center"/>
        <w:rPr>
          <w:rFonts w:ascii="Calibri" w:hAnsi="Calibri" w:cs="Calibri"/>
          <w:b/>
          <w:bCs/>
          <w:i/>
          <w:iCs/>
          <w:color w:val="000000"/>
          <w:sz w:val="22"/>
          <w:szCs w:val="22"/>
          <w:lang w:val="en-AU"/>
        </w:rPr>
      </w:pPr>
      <w:r w:rsidRPr="000348BD">
        <w:rPr>
          <w:rFonts w:ascii="Calibri" w:hAnsi="Calibri" w:cs="Calibri"/>
          <w:b/>
          <w:bCs/>
          <w:i/>
          <w:iCs/>
          <w:noProof/>
          <w:color w:val="000000"/>
          <w:sz w:val="22"/>
          <w:szCs w:val="22"/>
          <w:lang w:val="en-AU"/>
        </w:rPr>
        <w:drawing>
          <wp:inline distT="0" distB="0" distL="0" distR="0" wp14:anchorId="37348E07" wp14:editId="30FF0FD0">
            <wp:extent cx="5132251" cy="2886891"/>
            <wp:effectExtent l="0" t="0" r="0" b="8890"/>
            <wp:docPr id="879112700" name="Picture 1" descr="Figure 2 is a screenshot taken from an IFC green-finance presentation. Please see details in the Annex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12700" name="Picture 1" descr="Figure 2 is a screenshot taken from an IFC green-finance presentation. Please see details in the Annex 6&#10;"/>
                    <pic:cNvPicPr/>
                  </pic:nvPicPr>
                  <pic:blipFill>
                    <a:blip r:embed="rId25"/>
                    <a:stretch>
                      <a:fillRect/>
                    </a:stretch>
                  </pic:blipFill>
                  <pic:spPr>
                    <a:xfrm>
                      <a:off x="0" y="0"/>
                      <a:ext cx="5151532" cy="2897737"/>
                    </a:xfrm>
                    <a:prstGeom prst="rect">
                      <a:avLst/>
                    </a:prstGeom>
                  </pic:spPr>
                </pic:pic>
              </a:graphicData>
            </a:graphic>
          </wp:inline>
        </w:drawing>
      </w:r>
    </w:p>
    <w:p w14:paraId="72893A3F" w14:textId="77777777" w:rsidR="000A0270" w:rsidRDefault="000A0270" w:rsidP="004076F7">
      <w:pPr>
        <w:pStyle w:val="BodyText2"/>
        <w:spacing w:line="240" w:lineRule="auto"/>
        <w:rPr>
          <w:rFonts w:ascii="Calibri" w:hAnsi="Calibri" w:cs="Calibri"/>
          <w:b/>
          <w:bCs/>
          <w:i/>
          <w:iCs/>
          <w:color w:val="000000"/>
          <w:sz w:val="22"/>
          <w:szCs w:val="22"/>
          <w:u w:val="single"/>
          <w:lang w:val="en-AU"/>
        </w:rPr>
      </w:pPr>
    </w:p>
    <w:p w14:paraId="2C5C7EA1" w14:textId="663DF913" w:rsidR="00E024D3" w:rsidRPr="000348BD" w:rsidRDefault="00E024D3" w:rsidP="004076F7">
      <w:pPr>
        <w:pStyle w:val="BodyText2"/>
        <w:spacing w:line="240" w:lineRule="auto"/>
        <w:rPr>
          <w:rFonts w:ascii="Calibri" w:hAnsi="Calibri" w:cs="Calibri"/>
          <w:b/>
          <w:bCs/>
          <w:i/>
          <w:iCs/>
          <w:color w:val="000000"/>
          <w:sz w:val="22"/>
          <w:szCs w:val="22"/>
          <w:u w:val="single"/>
          <w:lang w:val="en-AU"/>
        </w:rPr>
      </w:pPr>
      <w:r w:rsidRPr="000348BD">
        <w:rPr>
          <w:rFonts w:ascii="Calibri" w:hAnsi="Calibri" w:cs="Calibri"/>
          <w:b/>
          <w:bCs/>
          <w:i/>
          <w:iCs/>
          <w:color w:val="000000"/>
          <w:sz w:val="22"/>
          <w:szCs w:val="22"/>
          <w:u w:val="single"/>
          <w:lang w:val="en-AU"/>
        </w:rPr>
        <w:t>Longer-term engagement</w:t>
      </w:r>
    </w:p>
    <w:p w14:paraId="14328F08" w14:textId="715644AB" w:rsidR="00E024D3" w:rsidRPr="00C97A19" w:rsidRDefault="00E024D3" w:rsidP="00E024D3">
      <w:pPr>
        <w:pStyle w:val="BodyText"/>
        <w:jc w:val="both"/>
        <w:rPr>
          <w:rFonts w:cs="Calibri"/>
          <w:szCs w:val="22"/>
          <w:lang w:val="en-AU"/>
        </w:rPr>
      </w:pPr>
      <w:r w:rsidRPr="00C97A19">
        <w:rPr>
          <w:rFonts w:cs="Calibri"/>
          <w:b/>
          <w:bCs/>
          <w:szCs w:val="22"/>
          <w:lang w:val="en-AU"/>
        </w:rPr>
        <w:t>Further iterations of the program should continue to support and implement similar projects across the pillars.</w:t>
      </w:r>
      <w:r w:rsidRPr="00C97A19">
        <w:rPr>
          <w:rFonts w:cs="Calibri"/>
          <w:szCs w:val="22"/>
          <w:lang w:val="en-AU"/>
        </w:rPr>
        <w:t xml:space="preserve"> This approach provides a greater guarantee of potential sustainability. A key risk is that future programming could result in the funding and support of a series of ad hoc activities and projects that, while potentially beneficial, become difficult to aggregate and assess. Maintaining a focused program that </w:t>
      </w:r>
      <w:r w:rsidRPr="00C97A19">
        <w:rPr>
          <w:rFonts w:cs="Calibri"/>
          <w:szCs w:val="22"/>
          <w:lang w:val="en-AU"/>
        </w:rPr>
        <w:lastRenderedPageBreak/>
        <w:t>builds on pr</w:t>
      </w:r>
      <w:r w:rsidR="00F03ACC" w:rsidRPr="00C97A19">
        <w:rPr>
          <w:rFonts w:cs="Calibri"/>
          <w:szCs w:val="22"/>
          <w:lang w:val="en-AU"/>
        </w:rPr>
        <w:t>ior</w:t>
      </w:r>
      <w:r w:rsidRPr="00C97A19">
        <w:rPr>
          <w:rFonts w:cs="Calibri"/>
          <w:szCs w:val="22"/>
          <w:lang w:val="en-AU"/>
        </w:rPr>
        <w:t xml:space="preserve"> learnings and successes and </w:t>
      </w:r>
      <w:r w:rsidR="00F03ACC" w:rsidRPr="00C97A19">
        <w:rPr>
          <w:rFonts w:cs="Calibri"/>
          <w:szCs w:val="22"/>
          <w:lang w:val="en-AU"/>
        </w:rPr>
        <w:t>uphold</w:t>
      </w:r>
      <w:r w:rsidRPr="00C97A19">
        <w:rPr>
          <w:rFonts w:cs="Calibri"/>
          <w:szCs w:val="22"/>
          <w:lang w:val="en-AU"/>
        </w:rPr>
        <w:t>s commitments that benefit both the Go</w:t>
      </w:r>
      <w:r w:rsidR="00F03ACC" w:rsidRPr="00C97A19">
        <w:rPr>
          <w:rFonts w:cs="Calibri"/>
          <w:szCs w:val="22"/>
          <w:lang w:val="en-AU"/>
        </w:rPr>
        <w:t>V</w:t>
      </w:r>
      <w:r w:rsidRPr="00C97A19">
        <w:rPr>
          <w:rFonts w:cs="Calibri"/>
          <w:szCs w:val="22"/>
          <w:lang w:val="en-AU"/>
        </w:rPr>
        <w:t xml:space="preserve"> and GoA is ess</w:t>
      </w:r>
      <w:r w:rsidR="000B5917" w:rsidRPr="00C97A19">
        <w:rPr>
          <w:rFonts w:cs="Calibri"/>
          <w:szCs w:val="22"/>
          <w:lang w:val="en-AU"/>
        </w:rPr>
        <w:t xml:space="preserve">ential </w:t>
      </w:r>
      <w:r w:rsidR="00F03ACC" w:rsidRPr="00C97A19">
        <w:rPr>
          <w:rFonts w:cs="Calibri"/>
          <w:szCs w:val="22"/>
          <w:lang w:val="en-AU"/>
        </w:rPr>
        <w:t>to</w:t>
      </w:r>
      <w:r w:rsidR="00467344" w:rsidRPr="00C97A19">
        <w:rPr>
          <w:rFonts w:cs="Calibri"/>
          <w:szCs w:val="22"/>
          <w:lang w:val="en-AU"/>
        </w:rPr>
        <w:t xml:space="preserve"> </w:t>
      </w:r>
      <w:r w:rsidR="000B5917" w:rsidRPr="00C97A19">
        <w:rPr>
          <w:rFonts w:cs="Calibri"/>
          <w:szCs w:val="22"/>
          <w:lang w:val="en-AU"/>
        </w:rPr>
        <w:t xml:space="preserve">the </w:t>
      </w:r>
      <w:r w:rsidR="00467344" w:rsidRPr="00C97A19">
        <w:rPr>
          <w:rFonts w:cs="Calibri"/>
          <w:szCs w:val="22"/>
          <w:lang w:val="en-AU"/>
        </w:rPr>
        <w:t>future project structure. VPDSP should maintain three pil</w:t>
      </w:r>
      <w:r w:rsidR="000B5917" w:rsidRPr="00C97A19">
        <w:rPr>
          <w:rFonts w:cs="Calibri"/>
          <w:szCs w:val="22"/>
          <w:lang w:val="en-AU"/>
        </w:rPr>
        <w:t>la</w:t>
      </w:r>
      <w:r w:rsidR="00467344" w:rsidRPr="00C97A19">
        <w:rPr>
          <w:rFonts w:cs="Calibri"/>
          <w:szCs w:val="22"/>
          <w:lang w:val="en-AU"/>
        </w:rPr>
        <w:t>rs (Accel</w:t>
      </w:r>
      <w:r w:rsidR="000B5917" w:rsidRPr="00C97A19">
        <w:rPr>
          <w:rFonts w:cs="Calibri"/>
          <w:szCs w:val="22"/>
          <w:lang w:val="en-AU"/>
        </w:rPr>
        <w:t>e</w:t>
      </w:r>
      <w:r w:rsidR="00467344" w:rsidRPr="00C97A19">
        <w:rPr>
          <w:rFonts w:cs="Calibri"/>
          <w:szCs w:val="22"/>
          <w:lang w:val="en-AU"/>
        </w:rPr>
        <w:t>rating Inclu</w:t>
      </w:r>
      <w:r w:rsidR="000B5917" w:rsidRPr="00C97A19">
        <w:rPr>
          <w:rFonts w:cs="Calibri"/>
          <w:szCs w:val="22"/>
          <w:lang w:val="en-AU"/>
        </w:rPr>
        <w:t>s</w:t>
      </w:r>
      <w:r w:rsidR="00467344" w:rsidRPr="00C97A19">
        <w:rPr>
          <w:rFonts w:cs="Calibri"/>
          <w:szCs w:val="22"/>
          <w:lang w:val="en-AU"/>
        </w:rPr>
        <w:t xml:space="preserve">ive and </w:t>
      </w:r>
      <w:r w:rsidR="000B5917" w:rsidRPr="00C97A19">
        <w:rPr>
          <w:rFonts w:cs="Calibri"/>
          <w:szCs w:val="22"/>
          <w:lang w:val="en-AU"/>
        </w:rPr>
        <w:t>Cl</w:t>
      </w:r>
      <w:r w:rsidR="00467344" w:rsidRPr="00C97A19">
        <w:rPr>
          <w:rFonts w:cs="Calibri"/>
          <w:szCs w:val="22"/>
          <w:lang w:val="en-AU"/>
        </w:rPr>
        <w:t xml:space="preserve">imate Smart </w:t>
      </w:r>
      <w:r w:rsidR="000B5917" w:rsidRPr="00C97A19">
        <w:rPr>
          <w:rFonts w:cs="Calibri"/>
          <w:szCs w:val="22"/>
          <w:lang w:val="en-AU"/>
        </w:rPr>
        <w:t>I</w:t>
      </w:r>
      <w:r w:rsidR="00467344" w:rsidRPr="00C97A19">
        <w:rPr>
          <w:rFonts w:cs="Calibri"/>
          <w:szCs w:val="22"/>
          <w:lang w:val="en-AU"/>
        </w:rPr>
        <w:t xml:space="preserve">nvestment, Green </w:t>
      </w:r>
      <w:r w:rsidR="000B5917" w:rsidRPr="00C97A19">
        <w:rPr>
          <w:rFonts w:cs="Calibri"/>
          <w:szCs w:val="22"/>
          <w:lang w:val="en-AU"/>
        </w:rPr>
        <w:t>Finance,</w:t>
      </w:r>
      <w:r w:rsidR="00467344" w:rsidRPr="00C97A19">
        <w:rPr>
          <w:rFonts w:cs="Calibri"/>
          <w:szCs w:val="22"/>
          <w:lang w:val="en-AU"/>
        </w:rPr>
        <w:t xml:space="preserve"> and GEDSI). These three </w:t>
      </w:r>
      <w:r w:rsidR="00532D70" w:rsidRPr="00C97A19">
        <w:rPr>
          <w:rFonts w:cs="Calibri"/>
          <w:szCs w:val="22"/>
          <w:lang w:val="en-AU"/>
        </w:rPr>
        <w:t>pillars continue to build on gains and operate in sectors where IFC and DFAT can maintain influence and extract benefit.</w:t>
      </w:r>
      <w:r w:rsidR="00467344" w:rsidRPr="00C97A19">
        <w:rPr>
          <w:rFonts w:cs="Calibri"/>
          <w:szCs w:val="22"/>
          <w:lang w:val="en-AU"/>
        </w:rPr>
        <w:t xml:space="preserve"> The current Enabling </w:t>
      </w:r>
      <w:r w:rsidR="00E20DEB" w:rsidRPr="00C97A19">
        <w:rPr>
          <w:rFonts w:cs="Calibri"/>
          <w:szCs w:val="22"/>
          <w:lang w:val="en-AU"/>
        </w:rPr>
        <w:t xml:space="preserve">Environment </w:t>
      </w:r>
      <w:r w:rsidR="00467344" w:rsidRPr="00C97A19">
        <w:rPr>
          <w:rFonts w:cs="Calibri"/>
          <w:szCs w:val="22"/>
          <w:lang w:val="en-AU"/>
        </w:rPr>
        <w:t>work (under Pi</w:t>
      </w:r>
      <w:r w:rsidR="00E20DEB" w:rsidRPr="00C97A19">
        <w:rPr>
          <w:rFonts w:cs="Calibri"/>
          <w:szCs w:val="22"/>
          <w:lang w:val="en-AU"/>
        </w:rPr>
        <w:t>l</w:t>
      </w:r>
      <w:r w:rsidR="000E3802">
        <w:rPr>
          <w:rFonts w:cs="Calibri"/>
          <w:szCs w:val="22"/>
          <w:lang w:val="en-AU"/>
        </w:rPr>
        <w:t>l</w:t>
      </w:r>
      <w:r w:rsidR="00E20DEB" w:rsidRPr="00C97A19">
        <w:rPr>
          <w:rFonts w:cs="Calibri"/>
          <w:szCs w:val="22"/>
          <w:lang w:val="en-AU"/>
        </w:rPr>
        <w:t>ar</w:t>
      </w:r>
      <w:r w:rsidR="00467344" w:rsidRPr="00C97A19">
        <w:rPr>
          <w:rFonts w:cs="Calibri"/>
          <w:szCs w:val="22"/>
          <w:lang w:val="en-AU"/>
        </w:rPr>
        <w:t xml:space="preserve"> 1) should be in</w:t>
      </w:r>
      <w:r w:rsidR="00532D70" w:rsidRPr="00C97A19">
        <w:rPr>
          <w:rFonts w:cs="Calibri"/>
          <w:szCs w:val="22"/>
          <w:lang w:val="en-AU"/>
        </w:rPr>
        <w:t>corpor</w:t>
      </w:r>
      <w:r w:rsidR="00467344" w:rsidRPr="00C97A19">
        <w:rPr>
          <w:rFonts w:cs="Calibri"/>
          <w:szCs w:val="22"/>
          <w:lang w:val="en-AU"/>
        </w:rPr>
        <w:t xml:space="preserve">ated into the future program and focus on the “enabling environment of sectors” </w:t>
      </w:r>
      <w:r w:rsidR="00532D70" w:rsidRPr="00C97A19">
        <w:rPr>
          <w:rFonts w:cs="Calibri"/>
          <w:szCs w:val="22"/>
          <w:lang w:val="en-AU"/>
        </w:rPr>
        <w:t>in which</w:t>
      </w:r>
      <w:r w:rsidR="00467344" w:rsidRPr="00C97A19">
        <w:rPr>
          <w:rFonts w:cs="Calibri"/>
          <w:szCs w:val="22"/>
          <w:lang w:val="en-AU"/>
        </w:rPr>
        <w:t xml:space="preserve"> the program </w:t>
      </w:r>
      <w:r w:rsidR="00532D70" w:rsidRPr="00C97A19">
        <w:rPr>
          <w:rFonts w:cs="Calibri"/>
          <w:szCs w:val="22"/>
          <w:lang w:val="en-AU"/>
        </w:rPr>
        <w:t>operates</w:t>
      </w:r>
      <w:r w:rsidR="00467344" w:rsidRPr="00C97A19">
        <w:rPr>
          <w:rFonts w:cs="Calibri"/>
          <w:szCs w:val="22"/>
          <w:lang w:val="en-AU"/>
        </w:rPr>
        <w:t>.</w:t>
      </w:r>
    </w:p>
    <w:p w14:paraId="603891ED" w14:textId="7CBC5D02" w:rsidR="00467344" w:rsidRPr="00C97A19" w:rsidRDefault="00467344" w:rsidP="00E024D3">
      <w:pPr>
        <w:pStyle w:val="BodyText"/>
        <w:jc w:val="both"/>
        <w:rPr>
          <w:rFonts w:cs="Calibri"/>
          <w:szCs w:val="22"/>
          <w:lang w:val="en-AU"/>
        </w:rPr>
      </w:pPr>
      <w:r w:rsidRPr="00C97A19">
        <w:rPr>
          <w:rFonts w:cs="Calibri"/>
          <w:b/>
          <w:bCs/>
          <w:szCs w:val="22"/>
          <w:lang w:val="en-AU"/>
        </w:rPr>
        <w:t xml:space="preserve">While the three-pillar approach is proposed, it is important to streamline the </w:t>
      </w:r>
      <w:r w:rsidR="00532D70" w:rsidRPr="00C97A19">
        <w:rPr>
          <w:rFonts w:cs="Calibri"/>
          <w:b/>
          <w:bCs/>
          <w:szCs w:val="22"/>
          <w:lang w:val="en-AU"/>
        </w:rPr>
        <w:t>work</w:t>
      </w:r>
      <w:r w:rsidRPr="00C97A19">
        <w:rPr>
          <w:rFonts w:cs="Calibri"/>
          <w:b/>
          <w:bCs/>
          <w:szCs w:val="22"/>
          <w:lang w:val="en-AU"/>
        </w:rPr>
        <w:t xml:space="preserve"> </w:t>
      </w:r>
      <w:r w:rsidR="00532D70" w:rsidRPr="00C97A19">
        <w:rPr>
          <w:rFonts w:cs="Calibri"/>
          <w:b/>
          <w:bCs/>
          <w:szCs w:val="22"/>
          <w:lang w:val="en-AU"/>
        </w:rPr>
        <w:t>sectors</w:t>
      </w:r>
      <w:r w:rsidRPr="00C97A19">
        <w:rPr>
          <w:rFonts w:cs="Calibri"/>
          <w:szCs w:val="22"/>
          <w:lang w:val="en-AU"/>
        </w:rPr>
        <w:t xml:space="preserve">. Based on the evidence and findings of this mid-term review, it is suggested that the main focus of any future investment centre on work in the agri-business sector. This would mean that proposed activities under the three priority work areas should be geared toward supporting investments. By focusing efforts on the </w:t>
      </w:r>
      <w:r w:rsidR="00F03ACC" w:rsidRPr="00C97A19">
        <w:rPr>
          <w:rFonts w:cs="Calibri"/>
          <w:szCs w:val="22"/>
          <w:lang w:val="en-AU"/>
        </w:rPr>
        <w:t>agribusiness sector, IFC and DFAT can allocate resources to a core geographic area and to priorities that benefit</w:t>
      </w:r>
      <w:r w:rsidR="00532D70" w:rsidRPr="00C97A19">
        <w:rPr>
          <w:rFonts w:cs="Calibri"/>
          <w:szCs w:val="22"/>
          <w:lang w:val="en-AU"/>
        </w:rPr>
        <w:t xml:space="preserve"> both stakeholders.</w:t>
      </w:r>
      <w:r w:rsidRPr="00C97A19">
        <w:rPr>
          <w:rFonts w:cs="Calibri"/>
          <w:szCs w:val="22"/>
          <w:lang w:val="en-AU"/>
        </w:rPr>
        <w:t xml:space="preserve"> </w:t>
      </w:r>
      <w:r w:rsidR="00532D70" w:rsidRPr="00C97A19">
        <w:rPr>
          <w:rFonts w:cs="Calibri"/>
          <w:szCs w:val="22"/>
          <w:lang w:val="en-AU"/>
        </w:rPr>
        <w:t xml:space="preserve">Importantly, it also helps transition the work </w:t>
      </w:r>
      <w:r w:rsidR="00F03ACC" w:rsidRPr="00C97A19">
        <w:rPr>
          <w:rFonts w:cs="Calibri"/>
          <w:szCs w:val="22"/>
          <w:lang w:val="en-AU"/>
        </w:rPr>
        <w:t>from</w:t>
      </w:r>
      <w:r w:rsidR="00532D70" w:rsidRPr="00C97A19">
        <w:rPr>
          <w:rFonts w:cs="Calibri"/>
          <w:szCs w:val="22"/>
          <w:lang w:val="en-AU"/>
        </w:rPr>
        <w:t xml:space="preserve"> immediate financing </w:t>
      </w:r>
      <w:r w:rsidR="00F03ACC" w:rsidRPr="00C97A19">
        <w:rPr>
          <w:rFonts w:cs="Calibri"/>
          <w:szCs w:val="22"/>
          <w:lang w:val="en-AU"/>
        </w:rPr>
        <w:t>to</w:t>
      </w:r>
      <w:r w:rsidR="00532D70" w:rsidRPr="00C97A19">
        <w:rPr>
          <w:rFonts w:cs="Calibri"/>
          <w:szCs w:val="22"/>
          <w:lang w:val="en-AU"/>
        </w:rPr>
        <w:t xml:space="preserve"> long-term direct economic benefits </w:t>
      </w:r>
      <w:r w:rsidR="00F03ACC" w:rsidRPr="00C97A19">
        <w:rPr>
          <w:rFonts w:cs="Calibri"/>
          <w:szCs w:val="22"/>
          <w:lang w:val="en-AU"/>
        </w:rPr>
        <w:t>for</w:t>
      </w:r>
      <w:r w:rsidR="00532D70" w:rsidRPr="00C97A19">
        <w:rPr>
          <w:rFonts w:cs="Calibri"/>
          <w:szCs w:val="22"/>
          <w:lang w:val="en-AU"/>
        </w:rPr>
        <w:t xml:space="preserve"> businesses</w:t>
      </w:r>
      <w:r w:rsidRPr="00C97A19">
        <w:rPr>
          <w:rFonts w:cs="Calibri"/>
          <w:szCs w:val="22"/>
          <w:lang w:val="en-AU"/>
        </w:rPr>
        <w:t xml:space="preserve"> and individuals working in the sectors. This will help DFA</w:t>
      </w:r>
      <w:r w:rsidR="00532D70" w:rsidRPr="00C97A19">
        <w:rPr>
          <w:rFonts w:cs="Calibri"/>
          <w:szCs w:val="22"/>
          <w:lang w:val="en-AU"/>
        </w:rPr>
        <w:t>T</w:t>
      </w:r>
      <w:r w:rsidRPr="00C97A19">
        <w:rPr>
          <w:rFonts w:cs="Calibri"/>
          <w:szCs w:val="22"/>
          <w:lang w:val="en-AU"/>
        </w:rPr>
        <w:t xml:space="preserve"> </w:t>
      </w:r>
      <w:r w:rsidR="00532D70" w:rsidRPr="00C97A19">
        <w:rPr>
          <w:rFonts w:cs="Calibri"/>
          <w:szCs w:val="22"/>
          <w:lang w:val="en-AU"/>
        </w:rPr>
        <w:t>provide greater visibility of its work, while continuing to focus on private-sector initiatives and investment.</w:t>
      </w:r>
    </w:p>
    <w:p w14:paraId="2FF9E253" w14:textId="7E1F3718" w:rsidR="00851C7B" w:rsidRPr="00C97A19" w:rsidRDefault="00851C7B" w:rsidP="4EF1951E">
      <w:pPr>
        <w:pStyle w:val="Heading1"/>
        <w:rPr>
          <w:rFonts w:cs="Calibri"/>
          <w:b w:val="0"/>
          <w:bCs/>
          <w:lang w:val="en-AU"/>
        </w:rPr>
      </w:pPr>
      <w:bookmarkStart w:id="49" w:name="_Toc201131780"/>
      <w:bookmarkStart w:id="50" w:name="_Toc233724263"/>
      <w:r w:rsidRPr="00C97A19">
        <w:rPr>
          <w:rFonts w:cs="Calibri"/>
          <w:b w:val="0"/>
          <w:bCs/>
          <w:lang w:val="en-AU"/>
        </w:rPr>
        <w:t>Key Conclusions and Recommendations</w:t>
      </w:r>
      <w:bookmarkEnd w:id="49"/>
      <w:bookmarkEnd w:id="50"/>
    </w:p>
    <w:p w14:paraId="0097257D" w14:textId="395CD27E" w:rsidR="00851C7B" w:rsidRPr="00C97A19" w:rsidRDefault="0057250F" w:rsidP="0057250F">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 xml:space="preserve">Overall, the program has </w:t>
      </w:r>
      <w:r w:rsidR="00DE58CB" w:rsidRPr="00C97A19">
        <w:rPr>
          <w:rFonts w:ascii="Calibri" w:hAnsi="Calibri" w:cs="Calibri"/>
          <w:sz w:val="22"/>
          <w:szCs w:val="22"/>
          <w:lang w:val="en-AU"/>
        </w:rPr>
        <w:t xml:space="preserve">significantly </w:t>
      </w:r>
      <w:r w:rsidR="00804913" w:rsidRPr="00C97A19">
        <w:rPr>
          <w:rFonts w:ascii="Calibri" w:hAnsi="Calibri" w:cs="Calibri"/>
          <w:sz w:val="22"/>
          <w:szCs w:val="22"/>
          <w:lang w:val="en-AU"/>
        </w:rPr>
        <w:t>supported</w:t>
      </w:r>
      <w:r w:rsidRPr="00C97A19">
        <w:rPr>
          <w:rFonts w:ascii="Calibri" w:hAnsi="Calibri" w:cs="Calibri"/>
          <w:sz w:val="22"/>
          <w:szCs w:val="22"/>
          <w:lang w:val="en-AU"/>
        </w:rPr>
        <w:t xml:space="preserve"> DFAT and the </w:t>
      </w:r>
      <w:r w:rsidR="00D62F56" w:rsidRPr="00C97A19">
        <w:rPr>
          <w:rFonts w:ascii="Calibri" w:hAnsi="Calibri" w:cs="Calibri"/>
          <w:sz w:val="22"/>
          <w:szCs w:val="22"/>
          <w:lang w:val="en-AU"/>
        </w:rPr>
        <w:t>Go</w:t>
      </w:r>
      <w:r w:rsidR="00467344" w:rsidRPr="00C97A19">
        <w:rPr>
          <w:rFonts w:ascii="Calibri" w:hAnsi="Calibri" w:cs="Calibri"/>
          <w:sz w:val="22"/>
          <w:szCs w:val="22"/>
          <w:lang w:val="en-AU"/>
        </w:rPr>
        <w:t>V</w:t>
      </w:r>
      <w:r w:rsidRPr="00C97A19">
        <w:rPr>
          <w:rFonts w:ascii="Calibri" w:hAnsi="Calibri" w:cs="Calibri"/>
          <w:sz w:val="22"/>
          <w:szCs w:val="22"/>
          <w:lang w:val="en-AU"/>
        </w:rPr>
        <w:t xml:space="preserve"> in promoting private sector development and investment promotion in </w:t>
      </w:r>
      <w:r w:rsidR="00467344" w:rsidRPr="00C97A19">
        <w:rPr>
          <w:rFonts w:ascii="Calibri" w:hAnsi="Calibri" w:cs="Calibri"/>
          <w:sz w:val="22"/>
          <w:szCs w:val="22"/>
          <w:lang w:val="en-AU"/>
        </w:rPr>
        <w:t>Viet Nam</w:t>
      </w:r>
      <w:r w:rsidRPr="00C97A19">
        <w:rPr>
          <w:rFonts w:ascii="Calibri" w:hAnsi="Calibri" w:cs="Calibri"/>
          <w:sz w:val="22"/>
          <w:szCs w:val="22"/>
          <w:lang w:val="en-AU"/>
        </w:rPr>
        <w:t>.</w:t>
      </w:r>
      <w:r w:rsidR="00B05D6A" w:rsidRPr="00C97A19">
        <w:rPr>
          <w:rFonts w:ascii="Calibri" w:hAnsi="Calibri" w:cs="Calibri"/>
          <w:sz w:val="22"/>
          <w:szCs w:val="22"/>
          <w:lang w:val="en-AU"/>
        </w:rPr>
        <w:t xml:space="preserve"> The program has demonstrated solid progress in progressing work across its </w:t>
      </w:r>
      <w:r w:rsidR="00467344" w:rsidRPr="00C97A19">
        <w:rPr>
          <w:rFonts w:ascii="Calibri" w:hAnsi="Calibri" w:cs="Calibri"/>
          <w:sz w:val="22"/>
          <w:szCs w:val="22"/>
          <w:lang w:val="en-AU"/>
        </w:rPr>
        <w:t>four</w:t>
      </w:r>
      <w:r w:rsidR="00B05D6A" w:rsidRPr="00C97A19">
        <w:rPr>
          <w:rFonts w:ascii="Calibri" w:hAnsi="Calibri" w:cs="Calibri"/>
          <w:sz w:val="22"/>
          <w:szCs w:val="22"/>
          <w:lang w:val="en-AU"/>
        </w:rPr>
        <w:t xml:space="preserve"> </w:t>
      </w:r>
      <w:r w:rsidR="00804913" w:rsidRPr="00C97A19">
        <w:rPr>
          <w:rFonts w:ascii="Calibri" w:hAnsi="Calibri" w:cs="Calibri"/>
          <w:sz w:val="22"/>
          <w:szCs w:val="22"/>
          <w:lang w:val="en-AU"/>
        </w:rPr>
        <w:t>support pillars</w:t>
      </w:r>
      <w:r w:rsidR="00B05D6A" w:rsidRPr="00C97A19">
        <w:rPr>
          <w:rFonts w:ascii="Calibri" w:hAnsi="Calibri" w:cs="Calibri"/>
          <w:sz w:val="22"/>
          <w:szCs w:val="22"/>
          <w:lang w:val="en-AU"/>
        </w:rPr>
        <w:t>.</w:t>
      </w:r>
    </w:p>
    <w:p w14:paraId="0FFA54C0" w14:textId="6D0DEB0C" w:rsidR="00B05D6A" w:rsidRPr="00C97A19" w:rsidRDefault="00B05D6A" w:rsidP="0057250F">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 xml:space="preserve">The program benefits from targeted support </w:t>
      </w:r>
      <w:r w:rsidR="003221AD" w:rsidRPr="00C97A19">
        <w:rPr>
          <w:rFonts w:ascii="Calibri" w:hAnsi="Calibri" w:cs="Calibri"/>
          <w:sz w:val="22"/>
          <w:szCs w:val="22"/>
          <w:lang w:val="en-AU"/>
        </w:rPr>
        <w:t>focusing</w:t>
      </w:r>
      <w:r w:rsidRPr="00C97A19">
        <w:rPr>
          <w:rFonts w:ascii="Calibri" w:hAnsi="Calibri" w:cs="Calibri"/>
          <w:sz w:val="22"/>
          <w:szCs w:val="22"/>
          <w:lang w:val="en-AU"/>
        </w:rPr>
        <w:t xml:space="preserve"> on key areas </w:t>
      </w:r>
      <w:r w:rsidR="00233581" w:rsidRPr="00C97A19">
        <w:rPr>
          <w:rFonts w:ascii="Calibri" w:hAnsi="Calibri" w:cs="Calibri"/>
          <w:sz w:val="22"/>
          <w:szCs w:val="22"/>
          <w:lang w:val="en-AU"/>
        </w:rPr>
        <w:t>where</w:t>
      </w:r>
      <w:r w:rsidRPr="00C97A19">
        <w:rPr>
          <w:rFonts w:ascii="Calibri" w:hAnsi="Calibri" w:cs="Calibri"/>
          <w:sz w:val="22"/>
          <w:szCs w:val="22"/>
          <w:lang w:val="en-AU"/>
        </w:rPr>
        <w:t xml:space="preserve"> IFC and DFAT have expertise and knowledge. This is the foundation of a solid partnership. </w:t>
      </w:r>
      <w:r w:rsidR="00804913" w:rsidRPr="00C97A19">
        <w:rPr>
          <w:rFonts w:ascii="Calibri" w:hAnsi="Calibri" w:cs="Calibri"/>
          <w:sz w:val="22"/>
          <w:szCs w:val="22"/>
          <w:lang w:val="en-AU"/>
        </w:rPr>
        <w:t>Focusing</w:t>
      </w:r>
      <w:r w:rsidRPr="00C97A19">
        <w:rPr>
          <w:rFonts w:ascii="Calibri" w:hAnsi="Calibri" w:cs="Calibri"/>
          <w:sz w:val="22"/>
          <w:szCs w:val="22"/>
          <w:lang w:val="en-AU"/>
        </w:rPr>
        <w:t xml:space="preserve"> on what has worked and what needs to be done in thos</w:t>
      </w:r>
      <w:r w:rsidR="00B754B7" w:rsidRPr="00C97A19">
        <w:rPr>
          <w:rFonts w:ascii="Calibri" w:hAnsi="Calibri" w:cs="Calibri"/>
          <w:sz w:val="22"/>
          <w:szCs w:val="22"/>
          <w:lang w:val="en-AU"/>
        </w:rPr>
        <w:t>e</w:t>
      </w:r>
      <w:r w:rsidRPr="00C97A19">
        <w:rPr>
          <w:rFonts w:ascii="Calibri" w:hAnsi="Calibri" w:cs="Calibri"/>
          <w:sz w:val="22"/>
          <w:szCs w:val="22"/>
          <w:lang w:val="en-AU"/>
        </w:rPr>
        <w:t xml:space="preserve"> areas provides sign</w:t>
      </w:r>
      <w:r w:rsidR="00B754B7" w:rsidRPr="00C97A19">
        <w:rPr>
          <w:rFonts w:ascii="Calibri" w:hAnsi="Calibri" w:cs="Calibri"/>
          <w:sz w:val="22"/>
          <w:szCs w:val="22"/>
          <w:lang w:val="en-AU"/>
        </w:rPr>
        <w:t>ificant opportunities</w:t>
      </w:r>
      <w:r w:rsidRPr="00C97A19">
        <w:rPr>
          <w:rFonts w:ascii="Calibri" w:hAnsi="Calibri" w:cs="Calibri"/>
          <w:sz w:val="22"/>
          <w:szCs w:val="22"/>
          <w:lang w:val="en-AU"/>
        </w:rPr>
        <w:t xml:space="preserve"> for fu</w:t>
      </w:r>
      <w:r w:rsidR="00B754B7" w:rsidRPr="00C97A19">
        <w:rPr>
          <w:rFonts w:ascii="Calibri" w:hAnsi="Calibri" w:cs="Calibri"/>
          <w:sz w:val="22"/>
          <w:szCs w:val="22"/>
          <w:lang w:val="en-AU"/>
        </w:rPr>
        <w:t>rther leverage</w:t>
      </w:r>
      <w:r w:rsidRPr="00C97A19">
        <w:rPr>
          <w:rFonts w:ascii="Calibri" w:hAnsi="Calibri" w:cs="Calibri"/>
          <w:sz w:val="22"/>
          <w:szCs w:val="22"/>
          <w:lang w:val="en-AU"/>
        </w:rPr>
        <w:t xml:space="preserve"> </w:t>
      </w:r>
      <w:r w:rsidR="00B754B7" w:rsidRPr="00C97A19">
        <w:rPr>
          <w:rFonts w:ascii="Calibri" w:hAnsi="Calibri" w:cs="Calibri"/>
          <w:sz w:val="22"/>
          <w:szCs w:val="22"/>
          <w:lang w:val="en-AU"/>
        </w:rPr>
        <w:t>an</w:t>
      </w:r>
      <w:r w:rsidRPr="00C97A19">
        <w:rPr>
          <w:rFonts w:ascii="Calibri" w:hAnsi="Calibri" w:cs="Calibri"/>
          <w:sz w:val="22"/>
          <w:szCs w:val="22"/>
          <w:lang w:val="en-AU"/>
        </w:rPr>
        <w:t>d neg</w:t>
      </w:r>
      <w:r w:rsidR="00B754B7" w:rsidRPr="00C97A19">
        <w:rPr>
          <w:rFonts w:ascii="Calibri" w:hAnsi="Calibri" w:cs="Calibri"/>
          <w:sz w:val="22"/>
          <w:szCs w:val="22"/>
          <w:lang w:val="en-AU"/>
        </w:rPr>
        <w:t>otiation</w:t>
      </w:r>
      <w:r w:rsidRPr="00C97A19">
        <w:rPr>
          <w:rFonts w:ascii="Calibri" w:hAnsi="Calibri" w:cs="Calibri"/>
          <w:sz w:val="22"/>
          <w:szCs w:val="22"/>
          <w:lang w:val="en-AU"/>
        </w:rPr>
        <w:t>s. The program should primarily be viewed as an initial pilot</w:t>
      </w:r>
      <w:r w:rsidR="00804913" w:rsidRPr="00C97A19">
        <w:rPr>
          <w:rFonts w:ascii="Calibri" w:hAnsi="Calibri" w:cs="Calibri"/>
          <w:sz w:val="22"/>
          <w:szCs w:val="22"/>
          <w:lang w:val="en-AU"/>
        </w:rPr>
        <w:t>,</w:t>
      </w:r>
      <w:r w:rsidRPr="00C97A19">
        <w:rPr>
          <w:rFonts w:ascii="Calibri" w:hAnsi="Calibri" w:cs="Calibri"/>
          <w:sz w:val="22"/>
          <w:szCs w:val="22"/>
          <w:lang w:val="en-AU"/>
        </w:rPr>
        <w:t xml:space="preserve"> and the is</w:t>
      </w:r>
      <w:r w:rsidR="00804913" w:rsidRPr="00C97A19">
        <w:rPr>
          <w:rFonts w:ascii="Calibri" w:hAnsi="Calibri" w:cs="Calibri"/>
          <w:sz w:val="22"/>
          <w:szCs w:val="22"/>
          <w:lang w:val="en-AU"/>
        </w:rPr>
        <w:t>su</w:t>
      </w:r>
      <w:r w:rsidRPr="00C97A19">
        <w:rPr>
          <w:rFonts w:ascii="Calibri" w:hAnsi="Calibri" w:cs="Calibri"/>
          <w:sz w:val="22"/>
          <w:szCs w:val="22"/>
          <w:lang w:val="en-AU"/>
        </w:rPr>
        <w:t>e of re</w:t>
      </w:r>
      <w:r w:rsidR="00804913" w:rsidRPr="00C97A19">
        <w:rPr>
          <w:rFonts w:ascii="Calibri" w:hAnsi="Calibri" w:cs="Calibri"/>
          <w:sz w:val="22"/>
          <w:szCs w:val="22"/>
          <w:lang w:val="en-AU"/>
        </w:rPr>
        <w:t>cept</w:t>
      </w:r>
      <w:r w:rsidRPr="00C97A19">
        <w:rPr>
          <w:rFonts w:ascii="Calibri" w:hAnsi="Calibri" w:cs="Calibri"/>
          <w:sz w:val="22"/>
          <w:szCs w:val="22"/>
          <w:lang w:val="en-AU"/>
        </w:rPr>
        <w:t>ive expertise and experience</w:t>
      </w:r>
      <w:r w:rsidR="00F03ACC" w:rsidRPr="00C97A19">
        <w:rPr>
          <w:rFonts w:ascii="Calibri" w:hAnsi="Calibri" w:cs="Calibri"/>
          <w:sz w:val="22"/>
          <w:szCs w:val="22"/>
          <w:lang w:val="en-AU"/>
        </w:rPr>
        <w:t xml:space="preserve"> should be addressed</w:t>
      </w:r>
      <w:r w:rsidRPr="00C97A19">
        <w:rPr>
          <w:rFonts w:ascii="Calibri" w:hAnsi="Calibri" w:cs="Calibri"/>
          <w:sz w:val="22"/>
          <w:szCs w:val="22"/>
          <w:lang w:val="en-AU"/>
        </w:rPr>
        <w:t>.</w:t>
      </w:r>
    </w:p>
    <w:p w14:paraId="2291A070" w14:textId="576FCCF5" w:rsidR="00B05D6A" w:rsidRPr="00C97A19" w:rsidRDefault="00804913" w:rsidP="0057250F">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L</w:t>
      </w:r>
      <w:r w:rsidR="00B05D6A" w:rsidRPr="00C97A19">
        <w:rPr>
          <w:rFonts w:ascii="Calibri" w:hAnsi="Calibri" w:cs="Calibri"/>
          <w:sz w:val="22"/>
          <w:szCs w:val="22"/>
          <w:lang w:val="en-AU"/>
        </w:rPr>
        <w:t xml:space="preserve">ooking </w:t>
      </w:r>
      <w:r w:rsidR="00532D70" w:rsidRPr="00C97A19">
        <w:rPr>
          <w:rFonts w:ascii="Calibri" w:hAnsi="Calibri" w:cs="Calibri"/>
          <w:sz w:val="22"/>
          <w:szCs w:val="22"/>
          <w:lang w:val="en-AU"/>
        </w:rPr>
        <w:t xml:space="preserve">ahead, DFAT has scope to </w:t>
      </w:r>
      <w:r w:rsidR="00186D33" w:rsidRPr="00C97A19">
        <w:rPr>
          <w:rFonts w:ascii="Calibri" w:hAnsi="Calibri" w:cs="Calibri"/>
          <w:sz w:val="22"/>
          <w:szCs w:val="22"/>
          <w:lang w:val="en-AU"/>
        </w:rPr>
        <w:t xml:space="preserve">strengthen and deepen </w:t>
      </w:r>
      <w:r w:rsidR="00532D70" w:rsidRPr="00C97A19">
        <w:rPr>
          <w:rFonts w:ascii="Calibri" w:hAnsi="Calibri" w:cs="Calibri"/>
          <w:sz w:val="22"/>
          <w:szCs w:val="22"/>
          <w:lang w:val="en-AU"/>
        </w:rPr>
        <w:t>partnership arrangements</w:t>
      </w:r>
      <w:r w:rsidR="00186D33" w:rsidRPr="00C97A19">
        <w:rPr>
          <w:rFonts w:ascii="Calibri" w:hAnsi="Calibri" w:cs="Calibri"/>
          <w:sz w:val="22"/>
          <w:szCs w:val="22"/>
          <w:lang w:val="en-AU"/>
        </w:rPr>
        <w:t>.</w:t>
      </w:r>
      <w:r w:rsidR="00532D70" w:rsidRPr="00C97A19">
        <w:rPr>
          <w:rFonts w:ascii="Calibri" w:hAnsi="Calibri" w:cs="Calibri"/>
          <w:sz w:val="22"/>
          <w:szCs w:val="22"/>
          <w:lang w:val="en-AU"/>
        </w:rPr>
        <w:t xml:space="preserve"> </w:t>
      </w:r>
      <w:r w:rsidR="00B05D6A" w:rsidRPr="00C97A19">
        <w:rPr>
          <w:rFonts w:ascii="Calibri" w:hAnsi="Calibri" w:cs="Calibri"/>
          <w:sz w:val="22"/>
          <w:szCs w:val="22"/>
          <w:lang w:val="en-AU"/>
        </w:rPr>
        <w:t>IFC is a trusted and effective partner</w:t>
      </w:r>
      <w:r w:rsidRPr="00C97A19">
        <w:rPr>
          <w:rFonts w:ascii="Calibri" w:hAnsi="Calibri" w:cs="Calibri"/>
          <w:sz w:val="22"/>
          <w:szCs w:val="22"/>
          <w:lang w:val="en-AU"/>
        </w:rPr>
        <w:t>,</w:t>
      </w:r>
      <w:r w:rsidR="00B05D6A" w:rsidRPr="00C97A19">
        <w:rPr>
          <w:rFonts w:ascii="Calibri" w:hAnsi="Calibri" w:cs="Calibri"/>
          <w:sz w:val="22"/>
          <w:szCs w:val="22"/>
          <w:lang w:val="en-AU"/>
        </w:rPr>
        <w:t xml:space="preserve"> and current arrangements could be maintained</w:t>
      </w:r>
      <w:r w:rsidR="00467344" w:rsidRPr="00C97A19">
        <w:rPr>
          <w:rFonts w:ascii="Calibri" w:hAnsi="Calibri" w:cs="Calibri"/>
          <w:sz w:val="22"/>
          <w:szCs w:val="22"/>
          <w:lang w:val="en-AU"/>
        </w:rPr>
        <w:t xml:space="preserve">. </w:t>
      </w:r>
      <w:r w:rsidR="00E141DC" w:rsidRPr="00C97A19">
        <w:rPr>
          <w:rFonts w:ascii="Calibri" w:eastAsiaTheme="minorHAnsi" w:hAnsi="Calibri" w:cs="Calibri"/>
          <w:color w:val="000000"/>
          <w:sz w:val="22"/>
          <w:szCs w:val="22"/>
          <w:lang w:val="en-AU"/>
          <w14:ligatures w14:val="standardContextual"/>
        </w:rPr>
        <w:t xml:space="preserve">Consultations with key stakeholders revealed </w:t>
      </w:r>
      <w:r w:rsidR="00467344" w:rsidRPr="00C97A19">
        <w:rPr>
          <w:rFonts w:ascii="Calibri" w:eastAsiaTheme="minorHAnsi" w:hAnsi="Calibri" w:cs="Calibri"/>
          <w:color w:val="000000"/>
          <w:sz w:val="22"/>
          <w:szCs w:val="22"/>
          <w:lang w:val="en-AU"/>
          <w14:ligatures w14:val="standardContextual"/>
        </w:rPr>
        <w:t>opp</w:t>
      </w:r>
      <w:r w:rsidR="00532D70" w:rsidRPr="00C97A19">
        <w:rPr>
          <w:rFonts w:ascii="Calibri" w:eastAsiaTheme="minorHAnsi" w:hAnsi="Calibri" w:cs="Calibri"/>
          <w:color w:val="000000"/>
          <w:sz w:val="22"/>
          <w:szCs w:val="22"/>
          <w:lang w:val="en-AU"/>
          <w14:ligatures w14:val="standardContextual"/>
        </w:rPr>
        <w:t>or</w:t>
      </w:r>
      <w:r w:rsidR="00467344" w:rsidRPr="00C97A19">
        <w:rPr>
          <w:rFonts w:ascii="Calibri" w:eastAsiaTheme="minorHAnsi" w:hAnsi="Calibri" w:cs="Calibri"/>
          <w:color w:val="000000"/>
          <w:sz w:val="22"/>
          <w:szCs w:val="22"/>
          <w:lang w:val="en-AU"/>
          <w14:ligatures w14:val="standardContextual"/>
        </w:rPr>
        <w:t>tunities to engage with</w:t>
      </w:r>
      <w:r w:rsidR="00E141DC" w:rsidRPr="00C97A19">
        <w:rPr>
          <w:rFonts w:ascii="Calibri" w:eastAsiaTheme="minorHAnsi" w:hAnsi="Calibri" w:cs="Calibri"/>
          <w:color w:val="000000"/>
          <w:sz w:val="22"/>
          <w:szCs w:val="22"/>
          <w:lang w:val="en-AU"/>
          <w14:ligatures w14:val="standardContextual"/>
        </w:rPr>
        <w:t xml:space="preserve"> other DFAT-supported programs in</w:t>
      </w:r>
      <w:r w:rsidR="00467344" w:rsidRPr="00C97A19">
        <w:rPr>
          <w:rFonts w:ascii="Calibri" w:eastAsiaTheme="minorHAnsi" w:hAnsi="Calibri" w:cs="Calibri"/>
          <w:color w:val="000000"/>
          <w:sz w:val="22"/>
          <w:szCs w:val="22"/>
          <w:lang w:val="en-AU"/>
          <w14:ligatures w14:val="standardContextual"/>
        </w:rPr>
        <w:t xml:space="preserve"> Viet Nam</w:t>
      </w:r>
      <w:r w:rsidR="00EA6102">
        <w:rPr>
          <w:rFonts w:ascii="Calibri" w:eastAsiaTheme="minorHAnsi" w:hAnsi="Calibri" w:cs="Calibri"/>
          <w:color w:val="000000"/>
          <w:sz w:val="22"/>
          <w:szCs w:val="22"/>
          <w:lang w:val="en-AU"/>
          <w14:ligatures w14:val="standardContextual"/>
        </w:rPr>
        <w:t xml:space="preserve"> </w:t>
      </w:r>
      <w:r w:rsidR="00E141DC" w:rsidRPr="00C97A19">
        <w:rPr>
          <w:rFonts w:ascii="Calibri" w:eastAsiaTheme="minorHAnsi" w:hAnsi="Calibri" w:cs="Calibri"/>
          <w:color w:val="000000"/>
          <w:sz w:val="22"/>
          <w:szCs w:val="22"/>
          <w:lang w:val="en-AU"/>
          <w14:ligatures w14:val="standardContextual"/>
        </w:rPr>
        <w:t xml:space="preserve">(e.g. </w:t>
      </w:r>
      <w:r w:rsidR="00467344" w:rsidRPr="00C97A19">
        <w:rPr>
          <w:rFonts w:ascii="Calibri" w:eastAsiaTheme="minorHAnsi" w:hAnsi="Calibri" w:cs="Calibri"/>
          <w:color w:val="000000"/>
          <w:sz w:val="22"/>
          <w:szCs w:val="22"/>
          <w:lang w:val="en-AU"/>
          <w14:ligatures w14:val="standardContextual"/>
        </w:rPr>
        <w:t>Aus4Innovation and Investing in Women</w:t>
      </w:r>
      <w:r w:rsidR="00E141DC" w:rsidRPr="00C97A19">
        <w:rPr>
          <w:rFonts w:ascii="Calibri" w:eastAsiaTheme="minorHAnsi" w:hAnsi="Calibri" w:cs="Calibri"/>
          <w:color w:val="000000"/>
          <w:sz w:val="22"/>
          <w:szCs w:val="22"/>
          <w:lang w:val="en-AU"/>
          <w14:ligatures w14:val="standardContextual"/>
        </w:rPr>
        <w:t xml:space="preserve">). </w:t>
      </w:r>
    </w:p>
    <w:p w14:paraId="4ADECE80" w14:textId="6ECB67C6" w:rsidR="00B05D6A" w:rsidRPr="00C97A19" w:rsidRDefault="00B05D6A" w:rsidP="0057250F">
      <w:pPr>
        <w:pStyle w:val="BodyText2"/>
        <w:spacing w:line="240" w:lineRule="auto"/>
        <w:jc w:val="both"/>
        <w:rPr>
          <w:rFonts w:ascii="Calibri" w:hAnsi="Calibri" w:cs="Calibri"/>
          <w:sz w:val="22"/>
          <w:szCs w:val="22"/>
          <w:lang w:val="en-AU"/>
        </w:rPr>
      </w:pPr>
      <w:bookmarkStart w:id="51" w:name="OLE_LINK6"/>
      <w:r w:rsidRPr="00C97A19">
        <w:rPr>
          <w:rFonts w:ascii="Calibri" w:hAnsi="Calibri" w:cs="Calibri"/>
          <w:sz w:val="22"/>
          <w:szCs w:val="22"/>
          <w:lang w:val="en-AU"/>
        </w:rPr>
        <w:t>Th</w:t>
      </w:r>
      <w:r w:rsidR="00804913" w:rsidRPr="00C97A19">
        <w:rPr>
          <w:rFonts w:ascii="Calibri" w:hAnsi="Calibri" w:cs="Calibri"/>
          <w:sz w:val="22"/>
          <w:szCs w:val="22"/>
          <w:lang w:val="en-AU"/>
        </w:rPr>
        <w:t>e</w:t>
      </w:r>
      <w:r w:rsidRPr="00C97A19">
        <w:rPr>
          <w:rFonts w:ascii="Calibri" w:hAnsi="Calibri" w:cs="Calibri"/>
          <w:sz w:val="22"/>
          <w:szCs w:val="22"/>
          <w:lang w:val="en-AU"/>
        </w:rPr>
        <w:t xml:space="preserve"> </w:t>
      </w:r>
      <w:r w:rsidR="00804913" w:rsidRPr="00C97A19">
        <w:rPr>
          <w:rFonts w:ascii="Calibri" w:hAnsi="Calibri" w:cs="Calibri"/>
          <w:sz w:val="22"/>
          <w:szCs w:val="22"/>
          <w:lang w:val="en-AU"/>
        </w:rPr>
        <w:t xml:space="preserve">program </w:t>
      </w:r>
      <w:r w:rsidRPr="00C97A19">
        <w:rPr>
          <w:rFonts w:ascii="Calibri" w:hAnsi="Calibri" w:cs="Calibri"/>
          <w:sz w:val="22"/>
          <w:szCs w:val="22"/>
          <w:lang w:val="en-AU"/>
        </w:rPr>
        <w:t xml:space="preserve">has benefited </w:t>
      </w:r>
      <w:r w:rsidR="00186D33" w:rsidRPr="00C97A19">
        <w:rPr>
          <w:rFonts w:ascii="Calibri" w:hAnsi="Calibri" w:cs="Calibri"/>
          <w:sz w:val="22"/>
          <w:szCs w:val="22"/>
          <w:lang w:val="en-AU"/>
        </w:rPr>
        <w:t>from</w:t>
      </w:r>
      <w:r w:rsidRPr="00C97A19">
        <w:rPr>
          <w:rFonts w:ascii="Calibri" w:hAnsi="Calibri" w:cs="Calibri"/>
          <w:sz w:val="22"/>
          <w:szCs w:val="22"/>
          <w:lang w:val="en-AU"/>
        </w:rPr>
        <w:t xml:space="preserve"> focusing on</w:t>
      </w:r>
      <w:r w:rsidR="00804913" w:rsidRPr="00C97A19">
        <w:rPr>
          <w:rFonts w:ascii="Calibri" w:hAnsi="Calibri" w:cs="Calibri"/>
          <w:sz w:val="22"/>
          <w:szCs w:val="22"/>
          <w:lang w:val="en-AU"/>
        </w:rPr>
        <w:t xml:space="preserve"> </w:t>
      </w:r>
      <w:r w:rsidRPr="00C97A19">
        <w:rPr>
          <w:rFonts w:ascii="Calibri" w:hAnsi="Calibri" w:cs="Calibri"/>
          <w:sz w:val="22"/>
          <w:szCs w:val="22"/>
          <w:lang w:val="en-AU"/>
        </w:rPr>
        <w:t>a small</w:t>
      </w:r>
      <w:r w:rsidR="00186D33" w:rsidRPr="00C97A19">
        <w:rPr>
          <w:rFonts w:ascii="Calibri" w:hAnsi="Calibri" w:cs="Calibri"/>
          <w:sz w:val="22"/>
          <w:szCs w:val="22"/>
          <w:lang w:val="en-AU"/>
        </w:rPr>
        <w:t>,</w:t>
      </w:r>
      <w:r w:rsidRPr="00C97A19">
        <w:rPr>
          <w:rFonts w:ascii="Calibri" w:hAnsi="Calibri" w:cs="Calibri"/>
          <w:sz w:val="22"/>
          <w:szCs w:val="22"/>
          <w:lang w:val="en-AU"/>
        </w:rPr>
        <w:t xml:space="preserve"> targeted number of projects. The staged approach to implementation has been critical</w:t>
      </w:r>
      <w:r w:rsidR="003221AD" w:rsidRPr="00C97A19">
        <w:rPr>
          <w:rFonts w:ascii="Calibri" w:hAnsi="Calibri" w:cs="Calibri"/>
          <w:sz w:val="22"/>
          <w:szCs w:val="22"/>
          <w:lang w:val="en-AU"/>
        </w:rPr>
        <w:t>,</w:t>
      </w:r>
      <w:r w:rsidRPr="00C97A19">
        <w:rPr>
          <w:rFonts w:ascii="Calibri" w:hAnsi="Calibri" w:cs="Calibri"/>
          <w:sz w:val="22"/>
          <w:szCs w:val="22"/>
          <w:lang w:val="en-AU"/>
        </w:rPr>
        <w:t xml:space="preserve"> and the bu</w:t>
      </w:r>
      <w:r w:rsidR="00804913" w:rsidRPr="00C97A19">
        <w:rPr>
          <w:rFonts w:ascii="Calibri" w:hAnsi="Calibri" w:cs="Calibri"/>
          <w:sz w:val="22"/>
          <w:szCs w:val="22"/>
          <w:lang w:val="en-AU"/>
        </w:rPr>
        <w:t>i</w:t>
      </w:r>
      <w:r w:rsidRPr="00C97A19">
        <w:rPr>
          <w:rFonts w:ascii="Calibri" w:hAnsi="Calibri" w:cs="Calibri"/>
          <w:sz w:val="22"/>
          <w:szCs w:val="22"/>
          <w:lang w:val="en-AU"/>
        </w:rPr>
        <w:t xml:space="preserve">lding of </w:t>
      </w:r>
      <w:r w:rsidR="003221AD" w:rsidRPr="00C97A19">
        <w:rPr>
          <w:rFonts w:ascii="Calibri" w:hAnsi="Calibri" w:cs="Calibri"/>
          <w:sz w:val="22"/>
          <w:szCs w:val="22"/>
          <w:lang w:val="en-AU"/>
        </w:rPr>
        <w:t>investments</w:t>
      </w:r>
      <w:r w:rsidRPr="00C97A19">
        <w:rPr>
          <w:rFonts w:ascii="Calibri" w:hAnsi="Calibri" w:cs="Calibri"/>
          <w:sz w:val="22"/>
          <w:szCs w:val="22"/>
          <w:lang w:val="en-AU"/>
        </w:rPr>
        <w:t xml:space="preserve"> in priority areas enables a more d</w:t>
      </w:r>
      <w:r w:rsidR="00804913" w:rsidRPr="00C97A19">
        <w:rPr>
          <w:rFonts w:ascii="Calibri" w:hAnsi="Calibri" w:cs="Calibri"/>
          <w:sz w:val="22"/>
          <w:szCs w:val="22"/>
          <w:lang w:val="en-AU"/>
        </w:rPr>
        <w:t>et</w:t>
      </w:r>
      <w:r w:rsidRPr="00C97A19">
        <w:rPr>
          <w:rFonts w:ascii="Calibri" w:hAnsi="Calibri" w:cs="Calibri"/>
          <w:sz w:val="22"/>
          <w:szCs w:val="22"/>
          <w:lang w:val="en-AU"/>
        </w:rPr>
        <w:t>ailed “performance s</w:t>
      </w:r>
      <w:r w:rsidR="00804913" w:rsidRPr="00C97A19">
        <w:rPr>
          <w:rFonts w:ascii="Calibri" w:hAnsi="Calibri" w:cs="Calibri"/>
          <w:sz w:val="22"/>
          <w:szCs w:val="22"/>
          <w:lang w:val="en-AU"/>
        </w:rPr>
        <w:t>to</w:t>
      </w:r>
      <w:r w:rsidRPr="00C97A19">
        <w:rPr>
          <w:rFonts w:ascii="Calibri" w:hAnsi="Calibri" w:cs="Calibri"/>
          <w:sz w:val="22"/>
          <w:szCs w:val="22"/>
          <w:lang w:val="en-AU"/>
        </w:rPr>
        <w:t>ry” to be developed</w:t>
      </w:r>
      <w:r w:rsidR="008423DA" w:rsidRPr="00C97A19">
        <w:rPr>
          <w:rFonts w:ascii="Calibri" w:hAnsi="Calibri" w:cs="Calibri"/>
          <w:sz w:val="22"/>
          <w:szCs w:val="22"/>
          <w:lang w:val="en-AU"/>
        </w:rPr>
        <w:t xml:space="preserve">. The suite of activities supported through the Program continues to </w:t>
      </w:r>
      <w:r w:rsidR="00467344" w:rsidRPr="00C97A19">
        <w:rPr>
          <w:rFonts w:ascii="Calibri" w:hAnsi="Calibri" w:cs="Calibri"/>
          <w:sz w:val="22"/>
          <w:szCs w:val="22"/>
          <w:lang w:val="en-AU"/>
        </w:rPr>
        <w:t>be</w:t>
      </w:r>
      <w:r w:rsidR="008423DA" w:rsidRPr="00C97A19">
        <w:rPr>
          <w:rFonts w:ascii="Calibri" w:hAnsi="Calibri" w:cs="Calibri"/>
          <w:sz w:val="22"/>
          <w:szCs w:val="22"/>
          <w:lang w:val="en-AU"/>
        </w:rPr>
        <w:t xml:space="preserve"> relevan</w:t>
      </w:r>
      <w:r w:rsidR="00467344" w:rsidRPr="00C97A19">
        <w:rPr>
          <w:rFonts w:ascii="Calibri" w:hAnsi="Calibri" w:cs="Calibri"/>
          <w:sz w:val="22"/>
          <w:szCs w:val="22"/>
          <w:lang w:val="en-AU"/>
        </w:rPr>
        <w:t>t</w:t>
      </w:r>
      <w:r w:rsidR="008423DA" w:rsidRPr="00C97A19">
        <w:rPr>
          <w:rFonts w:ascii="Calibri" w:hAnsi="Calibri" w:cs="Calibri"/>
          <w:sz w:val="22"/>
          <w:szCs w:val="22"/>
          <w:lang w:val="en-AU"/>
        </w:rPr>
        <w:t xml:space="preserve"> and </w:t>
      </w:r>
      <w:r w:rsidR="002348E5" w:rsidRPr="00C97A19">
        <w:rPr>
          <w:rFonts w:ascii="Calibri" w:hAnsi="Calibri" w:cs="Calibri"/>
          <w:sz w:val="22"/>
          <w:szCs w:val="22"/>
          <w:lang w:val="en-AU"/>
        </w:rPr>
        <w:t>underpins</w:t>
      </w:r>
      <w:r w:rsidR="008423DA" w:rsidRPr="00C97A19">
        <w:rPr>
          <w:rFonts w:ascii="Calibri" w:hAnsi="Calibri" w:cs="Calibri"/>
          <w:sz w:val="22"/>
          <w:szCs w:val="22"/>
          <w:lang w:val="en-AU"/>
        </w:rPr>
        <w:t xml:space="preserve"> a positive</w:t>
      </w:r>
      <w:r w:rsidR="00467344" w:rsidRPr="00C97A19">
        <w:rPr>
          <w:rFonts w:ascii="Calibri" w:hAnsi="Calibri" w:cs="Calibri"/>
          <w:sz w:val="22"/>
          <w:szCs w:val="22"/>
          <w:lang w:val="en-AU"/>
        </w:rPr>
        <w:t>,</w:t>
      </w:r>
      <w:r w:rsidR="008423DA" w:rsidRPr="00C97A19">
        <w:rPr>
          <w:rFonts w:ascii="Calibri" w:hAnsi="Calibri" w:cs="Calibri"/>
          <w:sz w:val="22"/>
          <w:szCs w:val="22"/>
          <w:lang w:val="en-AU"/>
        </w:rPr>
        <w:t xml:space="preserve"> proactive relationship with the </w:t>
      </w:r>
      <w:r w:rsidR="00EA6102">
        <w:rPr>
          <w:rFonts w:ascii="Calibri" w:hAnsi="Calibri" w:cs="Calibri"/>
          <w:sz w:val="22"/>
          <w:szCs w:val="22"/>
          <w:lang w:val="en-AU"/>
        </w:rPr>
        <w:t>GoV</w:t>
      </w:r>
      <w:r w:rsidR="00EA6102" w:rsidRPr="00C97A19">
        <w:rPr>
          <w:rFonts w:ascii="Calibri" w:hAnsi="Calibri" w:cs="Calibri"/>
          <w:sz w:val="22"/>
          <w:szCs w:val="22"/>
          <w:lang w:val="en-AU"/>
        </w:rPr>
        <w:t xml:space="preserve"> </w:t>
      </w:r>
      <w:r w:rsidR="008423DA" w:rsidRPr="00C97A19">
        <w:rPr>
          <w:rFonts w:ascii="Calibri" w:hAnsi="Calibri" w:cs="Calibri"/>
          <w:sz w:val="22"/>
          <w:szCs w:val="22"/>
          <w:lang w:val="en-AU"/>
        </w:rPr>
        <w:t>and key counterparts.</w:t>
      </w:r>
    </w:p>
    <w:p w14:paraId="62EB3314" w14:textId="52000A9D" w:rsidR="00467344" w:rsidRPr="00C97A19" w:rsidRDefault="00467344" w:rsidP="0057250F">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 xml:space="preserve">The program </w:t>
      </w:r>
      <w:r w:rsidR="00186D33" w:rsidRPr="00C97A19">
        <w:rPr>
          <w:rFonts w:ascii="Calibri" w:hAnsi="Calibri" w:cs="Calibri"/>
          <w:sz w:val="22"/>
          <w:szCs w:val="22"/>
          <w:lang w:val="en-AU"/>
        </w:rPr>
        <w:t>can</w:t>
      </w:r>
      <w:r w:rsidRPr="00C97A19">
        <w:rPr>
          <w:rFonts w:ascii="Calibri" w:hAnsi="Calibri" w:cs="Calibri"/>
          <w:sz w:val="22"/>
          <w:szCs w:val="22"/>
          <w:lang w:val="en-AU"/>
        </w:rPr>
        <w:t xml:space="preserve"> accelerate its implementation to complete the current proposed expenditure. It can also look to strengthen its evaluation efforts to inform the deeper story of work and overall progress. Looking </w:t>
      </w:r>
      <w:r w:rsidR="00186D33" w:rsidRPr="00C97A19">
        <w:rPr>
          <w:rFonts w:ascii="Calibri" w:hAnsi="Calibri" w:cs="Calibri"/>
          <w:sz w:val="22"/>
          <w:szCs w:val="22"/>
          <w:lang w:val="en-AU"/>
        </w:rPr>
        <w:t>ahea</w:t>
      </w:r>
      <w:r w:rsidRPr="00C97A19">
        <w:rPr>
          <w:rFonts w:ascii="Calibri" w:hAnsi="Calibri" w:cs="Calibri"/>
          <w:sz w:val="22"/>
          <w:szCs w:val="22"/>
          <w:lang w:val="en-AU"/>
        </w:rPr>
        <w:t xml:space="preserve">d, </w:t>
      </w:r>
      <w:r w:rsidR="00E03004" w:rsidRPr="00C97A19">
        <w:rPr>
          <w:rFonts w:ascii="Calibri" w:hAnsi="Calibri" w:cs="Calibri"/>
          <w:sz w:val="22"/>
          <w:szCs w:val="22"/>
          <w:lang w:val="en-AU"/>
        </w:rPr>
        <w:t>we</w:t>
      </w:r>
      <w:r w:rsidR="00186D33" w:rsidRPr="00C97A19">
        <w:rPr>
          <w:rFonts w:ascii="Calibri" w:hAnsi="Calibri" w:cs="Calibri"/>
          <w:sz w:val="22"/>
          <w:szCs w:val="22"/>
          <w:lang w:val="en-AU"/>
        </w:rPr>
        <w:t xml:space="preserve"> </w:t>
      </w:r>
      <w:r w:rsidR="00E03004" w:rsidRPr="00C97A19">
        <w:rPr>
          <w:rFonts w:ascii="Calibri" w:hAnsi="Calibri" w:cs="Calibri"/>
          <w:sz w:val="22"/>
          <w:szCs w:val="22"/>
          <w:lang w:val="en-AU"/>
        </w:rPr>
        <w:t>should</w:t>
      </w:r>
      <w:r w:rsidR="00186D33" w:rsidRPr="00C97A19">
        <w:rPr>
          <w:rFonts w:ascii="Calibri" w:hAnsi="Calibri" w:cs="Calibri"/>
          <w:sz w:val="22"/>
          <w:szCs w:val="22"/>
          <w:lang w:val="en-AU"/>
        </w:rPr>
        <w:t xml:space="preserve"> structure the program to build on investments and support emerging priorities, </w:t>
      </w:r>
      <w:r w:rsidR="00E03004" w:rsidRPr="00C97A19">
        <w:rPr>
          <w:rFonts w:ascii="Calibri" w:hAnsi="Calibri" w:cs="Calibri"/>
          <w:sz w:val="22"/>
          <w:szCs w:val="22"/>
          <w:lang w:val="en-AU"/>
        </w:rPr>
        <w:t>including</w:t>
      </w:r>
      <w:r w:rsidR="00186D33" w:rsidRPr="00C97A19">
        <w:rPr>
          <w:rFonts w:ascii="Calibri" w:hAnsi="Calibri" w:cs="Calibri"/>
          <w:sz w:val="22"/>
          <w:szCs w:val="22"/>
          <w:lang w:val="en-AU"/>
        </w:rPr>
        <w:t xml:space="preserve"> the agr</w:t>
      </w:r>
      <w:r w:rsidR="00EA6102">
        <w:rPr>
          <w:rFonts w:ascii="Calibri" w:hAnsi="Calibri" w:cs="Calibri"/>
          <w:sz w:val="22"/>
          <w:szCs w:val="22"/>
          <w:lang w:val="en-AU"/>
        </w:rPr>
        <w:t>i</w:t>
      </w:r>
      <w:r w:rsidR="00186D33" w:rsidRPr="00C97A19">
        <w:rPr>
          <w:rFonts w:ascii="Calibri" w:hAnsi="Calibri" w:cs="Calibri"/>
          <w:sz w:val="22"/>
          <w:szCs w:val="22"/>
          <w:lang w:val="en-AU"/>
        </w:rPr>
        <w:t>-business</w:t>
      </w:r>
      <w:r w:rsidRPr="00C97A19">
        <w:rPr>
          <w:rFonts w:ascii="Calibri" w:hAnsi="Calibri" w:cs="Calibri"/>
          <w:sz w:val="22"/>
          <w:szCs w:val="22"/>
          <w:lang w:val="en-AU"/>
        </w:rPr>
        <w:t xml:space="preserve"> sector.</w:t>
      </w:r>
    </w:p>
    <w:bookmarkEnd w:id="51"/>
    <w:p w14:paraId="7D695BDA" w14:textId="77777777" w:rsidR="00AB7568" w:rsidRPr="00C97A19" w:rsidRDefault="00AB7568" w:rsidP="00AB7568">
      <w:pPr>
        <w:pStyle w:val="BodyText2"/>
        <w:spacing w:line="240" w:lineRule="auto"/>
        <w:jc w:val="both"/>
        <w:rPr>
          <w:rFonts w:ascii="Calibri" w:hAnsi="Calibri" w:cs="Calibri"/>
          <w:sz w:val="22"/>
          <w:szCs w:val="22"/>
          <w:lang w:val="en-AU"/>
        </w:rPr>
      </w:pPr>
      <w:r w:rsidRPr="00C97A19">
        <w:rPr>
          <w:rFonts w:ascii="Calibri" w:hAnsi="Calibri" w:cs="Calibri"/>
          <w:sz w:val="22"/>
          <w:szCs w:val="22"/>
          <w:lang w:val="en-AU"/>
        </w:rPr>
        <w:t>Key recommendations for the program and partnership to consider include:</w:t>
      </w:r>
    </w:p>
    <w:p w14:paraId="66B9BA33" w14:textId="77777777" w:rsidR="00E03004" w:rsidRPr="000348BD" w:rsidRDefault="00E03004" w:rsidP="00E03004">
      <w:pPr>
        <w:pStyle w:val="BodyText2"/>
        <w:spacing w:line="240" w:lineRule="auto"/>
        <w:jc w:val="both"/>
        <w:rPr>
          <w:rFonts w:ascii="Calibri" w:hAnsi="Calibri" w:cs="Calibri"/>
          <w:b/>
          <w:bCs/>
          <w:color w:val="000000"/>
          <w:sz w:val="22"/>
          <w:szCs w:val="22"/>
          <w:lang w:val="en-AU"/>
        </w:rPr>
      </w:pPr>
      <w:r w:rsidRPr="000348BD">
        <w:rPr>
          <w:rFonts w:ascii="Calibri" w:hAnsi="Calibri" w:cs="Calibri"/>
          <w:b/>
          <w:bCs/>
          <w:color w:val="000000"/>
          <w:sz w:val="22"/>
          <w:szCs w:val="22"/>
          <w:lang w:val="en-AU"/>
        </w:rPr>
        <w:t xml:space="preserve">Recommendation 1: </w:t>
      </w:r>
      <w:r w:rsidRPr="000348BD">
        <w:rPr>
          <w:rFonts w:ascii="Calibri" w:hAnsi="Calibri" w:cs="Calibri"/>
          <w:color w:val="000000"/>
          <w:sz w:val="22"/>
          <w:szCs w:val="22"/>
          <w:lang w:val="en-AU"/>
        </w:rPr>
        <w:t>The IFC should continue to seek solutions to expedite activities with a “low burn” rate and accelerate implementation while maintaining quality and standards. There is scope in the lead-up to the completion report to develop a coherent narrative of overall support and engagement.</w:t>
      </w:r>
    </w:p>
    <w:p w14:paraId="7E2919BB" w14:textId="77777777" w:rsidR="00E03004" w:rsidRPr="00C97A19" w:rsidRDefault="00E03004" w:rsidP="00E03004">
      <w:pPr>
        <w:pStyle w:val="BodyText2"/>
        <w:spacing w:line="240" w:lineRule="auto"/>
        <w:jc w:val="both"/>
        <w:rPr>
          <w:rFonts w:ascii="Calibri" w:hAnsi="Calibri" w:cs="Calibri"/>
          <w:sz w:val="22"/>
          <w:szCs w:val="22"/>
          <w:lang w:val="en-AU"/>
        </w:rPr>
      </w:pPr>
      <w:r w:rsidRPr="000348BD">
        <w:rPr>
          <w:rFonts w:ascii="Calibri" w:hAnsi="Calibri" w:cs="Calibri"/>
          <w:b/>
          <w:bCs/>
          <w:color w:val="000000"/>
          <w:sz w:val="22"/>
          <w:szCs w:val="22"/>
          <w:lang w:val="en-AU"/>
        </w:rPr>
        <w:t xml:space="preserve">Recommendation 2: </w:t>
      </w:r>
      <w:r w:rsidRPr="000348BD">
        <w:rPr>
          <w:rFonts w:ascii="Calibri" w:hAnsi="Calibri" w:cs="Calibri"/>
          <w:color w:val="000000"/>
          <w:sz w:val="22"/>
          <w:szCs w:val="22"/>
          <w:lang w:val="en-AU"/>
        </w:rPr>
        <w:t xml:space="preserve">IFC should explore options to expand further opportunities to build on gender and disability work and investments to date. Work in the sector should be incremental and staged, and recognise the need for care consultation and engagement with both public- and private-sector institutions </w:t>
      </w:r>
      <w:r w:rsidRPr="000348BD">
        <w:rPr>
          <w:rFonts w:ascii="Calibri" w:hAnsi="Calibri" w:cs="Calibri"/>
          <w:color w:val="000000"/>
          <w:sz w:val="22"/>
          <w:szCs w:val="22"/>
          <w:lang w:val="en-AU"/>
        </w:rPr>
        <w:lastRenderedPageBreak/>
        <w:t>and enterprises. GEDSI approaches should be fit for purpose and prioritise awareness raising and understanding, leading to more long-term institutional support and associated reforms.</w:t>
      </w:r>
    </w:p>
    <w:p w14:paraId="043AC94D" w14:textId="78343FBC" w:rsidR="00E03004" w:rsidRPr="00C97A19" w:rsidRDefault="00E03004" w:rsidP="00E03004">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3:</w:t>
      </w:r>
      <w:r w:rsidRPr="00C97A19">
        <w:rPr>
          <w:rFonts w:ascii="Calibri" w:hAnsi="Calibri" w:cs="Calibri"/>
          <w:sz w:val="22"/>
          <w:szCs w:val="22"/>
          <w:lang w:val="en-AU"/>
        </w:rPr>
        <w:t xml:space="preserve"> The current partnership arrangement has demonstrated an effective support mechanism. Existing governance mechanisms remain relevant and fit-for-purpose and should be maintained and supported. There is scope to build on the partnership model and promote more information engagement on areas of mutual interest. This could be facilitated through an initial series of presentations and operational deep dives, which could transition into more formal, program-wide, monthly meetings on additional topics of interest to deepen understanding and shared experiences. There is also scope to deepen engagements across programs, for example, with the Investing in Women program.</w:t>
      </w:r>
    </w:p>
    <w:p w14:paraId="19AB8117" w14:textId="4DF4BAC0" w:rsidR="00E03004" w:rsidRPr="00C97A19" w:rsidRDefault="00E03004" w:rsidP="00E03004">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4:</w:t>
      </w:r>
      <w:r w:rsidRPr="00C97A19">
        <w:rPr>
          <w:rFonts w:ascii="Calibri" w:hAnsi="Calibri" w:cs="Calibri"/>
          <w:sz w:val="22"/>
          <w:szCs w:val="22"/>
          <w:lang w:val="en-AU"/>
        </w:rPr>
        <w:t xml:space="preserve"> IFC should continue to explore a structured and specific approach to MEL. While the current program has implemented an approach to MEL that is “fit-for-purpose”, there is scope to continue building on and leveraging this, particularly with the future use of an MEL resource to prepare more outcome-focused knowledge products, such as case studies and performance stories. This should be prioritised for implementation over the remaining months but considered more fully if a new program is considered.</w:t>
      </w:r>
    </w:p>
    <w:p w14:paraId="638406A7" w14:textId="77777777" w:rsidR="00E03004" w:rsidRPr="00C97A19" w:rsidRDefault="00E03004" w:rsidP="00E03004">
      <w:pPr>
        <w:pStyle w:val="BodyText2"/>
        <w:spacing w:line="240" w:lineRule="auto"/>
        <w:jc w:val="both"/>
        <w:rPr>
          <w:rFonts w:ascii="Calibri" w:hAnsi="Calibri" w:cs="Calibri"/>
          <w:sz w:val="22"/>
          <w:szCs w:val="22"/>
          <w:lang w:val="en-AU"/>
        </w:rPr>
      </w:pPr>
      <w:r w:rsidRPr="00C97A19">
        <w:rPr>
          <w:rFonts w:ascii="Calibri" w:hAnsi="Calibri" w:cs="Calibri"/>
          <w:b/>
          <w:bCs/>
          <w:sz w:val="22"/>
          <w:szCs w:val="22"/>
          <w:lang w:val="en-AU"/>
        </w:rPr>
        <w:t>Recommendation 5:</w:t>
      </w:r>
      <w:r w:rsidRPr="00C97A19">
        <w:rPr>
          <w:rFonts w:ascii="Calibri" w:hAnsi="Calibri" w:cs="Calibri"/>
          <w:sz w:val="22"/>
          <w:szCs w:val="22"/>
          <w:lang w:val="en-AU"/>
        </w:rPr>
        <w:t xml:space="preserve"> There is sufficient evidence of progress towards outcomes and key results from the current VPSDP to justify and support ongoing investment in private-sector initiatives. Future investments should continue to support, build, and leverage existing IFC private-sector investments initiated under the current program, and remain aligned with the priorities and focus areas for the GoV and GoA.</w:t>
      </w:r>
    </w:p>
    <w:p w14:paraId="086FAFAD" w14:textId="77777777" w:rsidR="00467344" w:rsidRPr="00C97A19" w:rsidRDefault="00467344" w:rsidP="00AB7568">
      <w:pPr>
        <w:pStyle w:val="BodyText2"/>
        <w:spacing w:line="240" w:lineRule="auto"/>
        <w:jc w:val="both"/>
        <w:rPr>
          <w:rFonts w:ascii="Calibri" w:hAnsi="Calibri" w:cs="Calibri"/>
          <w:sz w:val="22"/>
          <w:szCs w:val="22"/>
          <w:lang w:val="en-AU"/>
        </w:rPr>
      </w:pPr>
    </w:p>
    <w:p w14:paraId="3E42D431" w14:textId="24D33EC8" w:rsidR="00C32086" w:rsidRPr="00C97A19" w:rsidRDefault="00C32086">
      <w:pPr>
        <w:spacing w:after="160" w:line="259" w:lineRule="auto"/>
        <w:rPr>
          <w:rFonts w:ascii="Calibri" w:eastAsiaTheme="minorHAnsi" w:hAnsi="Calibri" w:cs="Calibri"/>
          <w:kern w:val="2"/>
          <w:sz w:val="20"/>
          <w:szCs w:val="20"/>
          <w:lang w:val="en-AU"/>
          <w14:ligatures w14:val="standardContextual"/>
        </w:rPr>
      </w:pPr>
      <w:r w:rsidRPr="00C97A19">
        <w:rPr>
          <w:rFonts w:ascii="Calibri" w:hAnsi="Calibri" w:cs="Calibri"/>
          <w:lang w:val="en-AU"/>
        </w:rPr>
        <w:br w:type="page"/>
      </w:r>
    </w:p>
    <w:p w14:paraId="43847ACB" w14:textId="5605EEE0" w:rsidR="00851C7B" w:rsidRPr="00566B1A" w:rsidRDefault="00851C7B" w:rsidP="4EF1951E">
      <w:pPr>
        <w:pStyle w:val="Heading1"/>
        <w:rPr>
          <w:rFonts w:cs="Calibri"/>
          <w:lang w:val="en-AU"/>
        </w:rPr>
      </w:pPr>
      <w:bookmarkStart w:id="52" w:name="_Toc201131781"/>
      <w:bookmarkStart w:id="53" w:name="_Toc233724264"/>
      <w:r w:rsidRPr="00566B1A">
        <w:rPr>
          <w:rFonts w:cs="Calibri"/>
          <w:lang w:val="en-AU"/>
        </w:rPr>
        <w:lastRenderedPageBreak/>
        <w:t xml:space="preserve">Annex 1: </w:t>
      </w:r>
      <w:bookmarkEnd w:id="52"/>
      <w:r w:rsidR="00225A2D" w:rsidRPr="00566B1A">
        <w:rPr>
          <w:rFonts w:cs="Calibri"/>
          <w:lang w:val="en-AU"/>
        </w:rPr>
        <w:t>Terms of Reference</w:t>
      </w:r>
      <w:bookmarkEnd w:id="53"/>
    </w:p>
    <w:p w14:paraId="1C1F2932" w14:textId="77777777" w:rsidR="006C077C" w:rsidRPr="000348BD" w:rsidRDefault="006C077C" w:rsidP="006C077C">
      <w:pPr>
        <w:spacing w:after="120"/>
        <w:ind w:firstLine="720"/>
        <w:jc w:val="center"/>
        <w:rPr>
          <w:rFonts w:ascii="Calibri" w:hAnsi="Calibri" w:cs="Calibri"/>
          <w:b/>
          <w:sz w:val="22"/>
          <w:szCs w:val="22"/>
          <w:lang w:val="en-AU"/>
        </w:rPr>
      </w:pPr>
      <w:r w:rsidRPr="000348BD">
        <w:rPr>
          <w:rFonts w:ascii="Calibri" w:hAnsi="Calibri" w:cs="Calibri"/>
          <w:b/>
          <w:bCs/>
          <w:sz w:val="22"/>
          <w:szCs w:val="22"/>
          <w:lang w:val="en-AU"/>
        </w:rPr>
        <w:t>INTERNATIONAL FINANCE CORPORATION (IFC)</w:t>
      </w:r>
    </w:p>
    <w:p w14:paraId="727C24A6" w14:textId="77777777" w:rsidR="006C077C" w:rsidRPr="000348BD" w:rsidRDefault="006C077C" w:rsidP="006C077C">
      <w:pPr>
        <w:spacing w:after="120"/>
        <w:jc w:val="center"/>
        <w:rPr>
          <w:rFonts w:ascii="Calibri" w:hAnsi="Calibri" w:cs="Calibri"/>
          <w:b/>
          <w:sz w:val="22"/>
          <w:szCs w:val="22"/>
          <w:lang w:val="en-AU"/>
        </w:rPr>
      </w:pPr>
      <w:r w:rsidRPr="000348BD">
        <w:rPr>
          <w:rFonts w:ascii="Calibri" w:hAnsi="Calibri" w:cs="Calibri"/>
          <w:b/>
          <w:sz w:val="22"/>
          <w:szCs w:val="22"/>
          <w:lang w:val="en-AU"/>
        </w:rPr>
        <w:t>TERMS OF REFERENCE</w:t>
      </w:r>
    </w:p>
    <w:p w14:paraId="1F96EB11" w14:textId="77777777" w:rsidR="006C077C" w:rsidRPr="000348BD" w:rsidRDefault="006C077C" w:rsidP="006C077C">
      <w:pPr>
        <w:spacing w:after="120"/>
        <w:jc w:val="center"/>
        <w:rPr>
          <w:rFonts w:ascii="Calibri" w:hAnsi="Calibri" w:cs="Calibri"/>
          <w:b/>
          <w:caps/>
          <w:color w:val="0070C0"/>
          <w:sz w:val="22"/>
          <w:szCs w:val="22"/>
          <w:lang w:val="en-AU"/>
        </w:rPr>
      </w:pPr>
      <w:r w:rsidRPr="000348BD">
        <w:rPr>
          <w:rFonts w:ascii="Calibri" w:hAnsi="Calibri" w:cs="Calibri"/>
          <w:b/>
          <w:caps/>
          <w:color w:val="0070C0"/>
          <w:sz w:val="22"/>
          <w:szCs w:val="22"/>
          <w:lang w:val="en-AU"/>
        </w:rPr>
        <w:t>Mid-Term Review OF</w:t>
      </w:r>
    </w:p>
    <w:p w14:paraId="7BC4C144" w14:textId="77777777" w:rsidR="006C077C" w:rsidRPr="000348BD" w:rsidRDefault="006C077C" w:rsidP="006C077C">
      <w:pPr>
        <w:spacing w:after="120"/>
        <w:jc w:val="center"/>
        <w:rPr>
          <w:rFonts w:ascii="Calibri" w:hAnsi="Calibri" w:cs="Calibri"/>
          <w:b/>
          <w:caps/>
          <w:color w:val="0070C0"/>
          <w:sz w:val="22"/>
          <w:szCs w:val="22"/>
          <w:lang w:val="en-AU"/>
        </w:rPr>
      </w:pPr>
      <w:r w:rsidRPr="000348BD">
        <w:rPr>
          <w:rFonts w:ascii="Calibri" w:hAnsi="Calibri" w:cs="Calibri"/>
          <w:b/>
          <w:caps/>
          <w:color w:val="0070C0"/>
          <w:sz w:val="22"/>
          <w:szCs w:val="22"/>
          <w:lang w:val="en-AU"/>
        </w:rPr>
        <w:t xml:space="preserve">IFC Viet Nam Private Sector </w:t>
      </w:r>
      <w:r w:rsidRPr="000348BD">
        <w:rPr>
          <w:rFonts w:ascii="Calibri" w:hAnsi="Calibri" w:cs="Calibri"/>
          <w:b/>
          <w:bCs/>
          <w:caps/>
          <w:color w:val="0070C0"/>
          <w:sz w:val="22"/>
          <w:szCs w:val="22"/>
          <w:lang w:val="en-AU"/>
        </w:rPr>
        <w:t>Development Partnership</w:t>
      </w:r>
    </w:p>
    <w:p w14:paraId="46374297" w14:textId="77777777" w:rsidR="006C077C" w:rsidRPr="000348BD" w:rsidRDefault="006C077C" w:rsidP="006C077C">
      <w:pPr>
        <w:spacing w:after="120"/>
        <w:jc w:val="center"/>
        <w:rPr>
          <w:rFonts w:ascii="Calibri" w:hAnsi="Calibri" w:cs="Calibri"/>
          <w:b/>
          <w:sz w:val="22"/>
          <w:szCs w:val="22"/>
          <w:lang w:val="en-AU"/>
        </w:rPr>
      </w:pPr>
    </w:p>
    <w:p w14:paraId="68548A8A" w14:textId="3D22067B" w:rsidR="006C077C" w:rsidRPr="000348BD" w:rsidRDefault="006C077C">
      <w:pPr>
        <w:pStyle w:val="ListParagraph"/>
        <w:numPr>
          <w:ilvl w:val="0"/>
          <w:numId w:val="17"/>
        </w:numPr>
        <w:spacing w:after="120"/>
        <w:jc w:val="both"/>
        <w:rPr>
          <w:rFonts w:ascii="Calibri" w:hAnsi="Calibri" w:cs="Calibri"/>
          <w:b/>
          <w:bCs/>
          <w:color w:val="002060"/>
          <w:sz w:val="22"/>
          <w:szCs w:val="22"/>
          <w:lang w:val="en-AU"/>
        </w:rPr>
      </w:pPr>
      <w:r w:rsidRPr="000348BD">
        <w:rPr>
          <w:rFonts w:ascii="Calibri" w:hAnsi="Calibri" w:cs="Calibri"/>
          <w:b/>
          <w:bCs/>
          <w:color w:val="002060"/>
          <w:sz w:val="22"/>
          <w:szCs w:val="22"/>
          <w:lang w:val="en-AU"/>
        </w:rPr>
        <w:t>Introduction</w:t>
      </w:r>
    </w:p>
    <w:p w14:paraId="3BF43863" w14:textId="3758A877" w:rsidR="006C077C" w:rsidRPr="000348BD" w:rsidRDefault="006C077C">
      <w:pPr>
        <w:pStyle w:val="ListParagraph"/>
        <w:numPr>
          <w:ilvl w:val="0"/>
          <w:numId w:val="22"/>
        </w:numPr>
        <w:spacing w:after="120"/>
        <w:ind w:left="360"/>
        <w:jc w:val="both"/>
        <w:rPr>
          <w:rFonts w:ascii="Calibri" w:hAnsi="Calibri" w:cs="Calibri"/>
          <w:sz w:val="22"/>
          <w:szCs w:val="22"/>
          <w:lang w:val="en-AU"/>
        </w:rPr>
      </w:pPr>
      <w:r w:rsidRPr="000348BD">
        <w:rPr>
          <w:rFonts w:ascii="Calibri" w:hAnsi="Calibri" w:cs="Calibri"/>
          <w:sz w:val="22"/>
          <w:szCs w:val="22"/>
          <w:lang w:val="en-AU"/>
        </w:rPr>
        <w:t>IFC is the largest global development institution that is focused exclusively on the private sector. As part of the World Bank Group, IFC works to improve the lives of people in developing countries by investing in private sector growth. To achieve this goal, IFC finances private sector investments, mobilizes capital in international financial markets, facilitates trade, helps clients improve social and environmental sustainability, and provides advisory services to businesses and governments. IFC is strongly focused on measuring development results to understand the impact of its projects on clients and countries.</w:t>
      </w:r>
    </w:p>
    <w:p w14:paraId="36D0CC94" w14:textId="19620E15" w:rsidR="006C077C" w:rsidRPr="000348BD"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0348BD">
        <w:rPr>
          <w:rFonts w:ascii="Calibri" w:hAnsi="Calibri" w:cs="Calibri"/>
          <w:sz w:val="22"/>
          <w:szCs w:val="22"/>
          <w:lang w:val="en-AU"/>
        </w:rPr>
        <w:t xml:space="preserve">Viet Nam Private Sector Development partnership (VPSDP), a collaboration between the Government of Australia (represented by the Department of Foreign Affairs and Trade – or DFAT) and IFC, commenced in April 2022 and runs until end-June 2027, with total funding of AUD 15 million from DFAT. </w:t>
      </w:r>
    </w:p>
    <w:p w14:paraId="0F6AF7DD" w14:textId="21861F93" w:rsidR="006C077C" w:rsidRPr="000348BD"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C97A19">
        <w:rPr>
          <w:rFonts w:ascii="Calibri" w:hAnsi="Calibri" w:cs="Calibri"/>
          <w:sz w:val="22"/>
          <w:szCs w:val="22"/>
          <w:lang w:val="en-AU"/>
        </w:rPr>
        <w:t xml:space="preserve">The VPSDP Program is a means by which DFAT provides support for IFC activities in Viet Nam. Developed from the shared but distinct policy interests of both parties. The </w:t>
      </w:r>
      <w:r w:rsidRPr="000348BD">
        <w:rPr>
          <w:rFonts w:ascii="Calibri" w:hAnsi="Calibri" w:cs="Calibri"/>
          <w:sz w:val="22"/>
          <w:szCs w:val="22"/>
          <w:lang w:val="en-AU"/>
        </w:rPr>
        <w:t xml:space="preserve">overall goal of this multi-year advisory program is to enhance the competitiveness and diversification of the private sector and foster inclusive and sustainable COVID-recovery and economic growth. </w:t>
      </w:r>
    </w:p>
    <w:p w14:paraId="22BC0E12" w14:textId="16BBF0DC" w:rsidR="006C077C" w:rsidRPr="000348BD" w:rsidRDefault="006C077C" w:rsidP="006C077C">
      <w:pPr>
        <w:autoSpaceDE w:val="0"/>
        <w:autoSpaceDN w:val="0"/>
        <w:adjustRightInd w:val="0"/>
        <w:spacing w:after="120"/>
        <w:ind w:firstLine="360"/>
        <w:jc w:val="both"/>
        <w:rPr>
          <w:rFonts w:ascii="Calibri" w:hAnsi="Calibri" w:cs="Calibri"/>
          <w:sz w:val="22"/>
          <w:szCs w:val="22"/>
          <w:lang w:val="en-AU"/>
        </w:rPr>
      </w:pPr>
      <w:r w:rsidRPr="000348BD">
        <w:rPr>
          <w:rFonts w:ascii="Calibri" w:hAnsi="Calibri" w:cs="Calibri"/>
          <w:sz w:val="22"/>
          <w:szCs w:val="22"/>
          <w:lang w:val="en-AU"/>
        </w:rPr>
        <w:t>This is to be achieved through four mutually reinforcing pillars:</w:t>
      </w:r>
    </w:p>
    <w:p w14:paraId="49A935E3" w14:textId="4313F639"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Pillar 1 - Enabling Environment for the private sector: </w:t>
      </w:r>
      <w:r w:rsidRPr="000348BD">
        <w:rPr>
          <w:rFonts w:ascii="Calibri" w:hAnsi="Calibri" w:cs="Calibri"/>
          <w:sz w:val="22"/>
          <w:szCs w:val="22"/>
          <w:lang w:val="en-AU"/>
        </w:rPr>
        <w:t>Interventions geared towards improving the business enabling environment – legal and regulatory – through “bottom up” reform efforts that create a more attractive framework for inclusive private investment in the wake of COVID-19 across key sectors.</w:t>
      </w:r>
    </w:p>
    <w:p w14:paraId="7B852DE9" w14:textId="77777777" w:rsidR="006C077C" w:rsidRPr="000348BD" w:rsidRDefault="006C077C" w:rsidP="006C077C">
      <w:pPr>
        <w:autoSpaceDE w:val="0"/>
        <w:autoSpaceDN w:val="0"/>
        <w:adjustRightInd w:val="0"/>
        <w:spacing w:after="120"/>
        <w:ind w:firstLine="360"/>
        <w:jc w:val="both"/>
        <w:rPr>
          <w:rFonts w:ascii="Calibri" w:hAnsi="Calibri" w:cs="Calibri"/>
          <w:sz w:val="22"/>
          <w:szCs w:val="22"/>
          <w:lang w:val="en-AU"/>
        </w:rPr>
      </w:pPr>
      <w:r w:rsidRPr="000348BD">
        <w:rPr>
          <w:rFonts w:ascii="Calibri" w:hAnsi="Calibri" w:cs="Calibri"/>
          <w:sz w:val="22"/>
          <w:szCs w:val="22"/>
          <w:lang w:val="en-AU"/>
        </w:rPr>
        <w:t xml:space="preserve">Intended outcomes: </w:t>
      </w:r>
    </w:p>
    <w:p w14:paraId="3F3F4BCA"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Improved legal and regulatory environment through the implementation of reforms that respond to private sector needs.</w:t>
      </w:r>
    </w:p>
    <w:p w14:paraId="38A9BF89" w14:textId="047855CD"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Improved predictability, accountability and transparency of Government-to-Business (G2B) services that respond to private sector needs.</w:t>
      </w:r>
    </w:p>
    <w:p w14:paraId="38CC7F2D" w14:textId="178050C6"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Pillar 2 - Accelerating inclusive and climate-smart private investment in key growth sectors:</w:t>
      </w:r>
      <w:r w:rsidRPr="000348BD">
        <w:rPr>
          <w:rFonts w:ascii="Calibri" w:hAnsi="Calibri" w:cs="Calibri"/>
          <w:sz w:val="22"/>
          <w:szCs w:val="22"/>
          <w:lang w:val="en-AU"/>
        </w:rPr>
        <w:t xml:space="preserve"> Creating concrete opportunities for facilitating private sector investment, including direct investment by IFC, in key sectors including tourism, infrastructure, agriculture, and the financial sector, whilst advancing climate change mitigation and adaptation and to support a gender-equal recovery from COVID-19.</w:t>
      </w:r>
    </w:p>
    <w:p w14:paraId="1837AC5B" w14:textId="77777777" w:rsidR="006C077C" w:rsidRPr="000348BD" w:rsidRDefault="006C077C" w:rsidP="006C077C">
      <w:pPr>
        <w:autoSpaceDE w:val="0"/>
        <w:autoSpaceDN w:val="0"/>
        <w:adjustRightInd w:val="0"/>
        <w:spacing w:after="120"/>
        <w:ind w:firstLine="360"/>
        <w:jc w:val="both"/>
        <w:rPr>
          <w:rFonts w:ascii="Calibri" w:hAnsi="Calibri" w:cs="Calibri"/>
          <w:sz w:val="22"/>
          <w:szCs w:val="22"/>
          <w:lang w:val="en-AU"/>
        </w:rPr>
      </w:pPr>
      <w:r w:rsidRPr="000348BD">
        <w:rPr>
          <w:rFonts w:ascii="Calibri" w:hAnsi="Calibri" w:cs="Calibri"/>
          <w:sz w:val="22"/>
          <w:szCs w:val="22"/>
          <w:lang w:val="en-AU"/>
        </w:rPr>
        <w:t xml:space="preserve">Intended outcomes: </w:t>
      </w:r>
    </w:p>
    <w:p w14:paraId="4D230F36" w14:textId="7671C5A9"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Pipeline of potentially bankable and climate smart private investments across key growth sectors including tourism, infrastructure, Agro business and finance.</w:t>
      </w:r>
    </w:p>
    <w:p w14:paraId="2FBDDDD3" w14:textId="05B8ECB1"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Pillar 3 - Creating a green, sustainable, and inclusive financial sector: </w:t>
      </w:r>
      <w:r w:rsidRPr="000348BD">
        <w:rPr>
          <w:rFonts w:ascii="Calibri" w:hAnsi="Calibri" w:cs="Calibri"/>
          <w:sz w:val="22"/>
          <w:szCs w:val="22"/>
          <w:lang w:val="en-AU"/>
        </w:rPr>
        <w:t xml:space="preserve">Enhancing financial inclusion and accelerate the green transformation in the financial sector. Interventions support financial institutions in </w:t>
      </w:r>
      <w:r w:rsidRPr="000348BD">
        <w:rPr>
          <w:rFonts w:ascii="Calibri" w:hAnsi="Calibri" w:cs="Calibri"/>
          <w:sz w:val="22"/>
          <w:szCs w:val="22"/>
          <w:lang w:val="en-AU"/>
        </w:rPr>
        <w:lastRenderedPageBreak/>
        <w:t>building and expanding their financial product offerings by developing and launching inclusive and green finance products.</w:t>
      </w:r>
    </w:p>
    <w:p w14:paraId="21F3C0F8" w14:textId="77777777" w:rsidR="006C077C" w:rsidRPr="000348BD" w:rsidRDefault="006C077C" w:rsidP="006C077C">
      <w:pPr>
        <w:autoSpaceDE w:val="0"/>
        <w:autoSpaceDN w:val="0"/>
        <w:adjustRightInd w:val="0"/>
        <w:spacing w:after="120"/>
        <w:ind w:firstLine="360"/>
        <w:jc w:val="both"/>
        <w:rPr>
          <w:rFonts w:ascii="Calibri" w:hAnsi="Calibri" w:cs="Calibri"/>
          <w:sz w:val="22"/>
          <w:szCs w:val="22"/>
          <w:lang w:val="en-AU"/>
        </w:rPr>
      </w:pPr>
      <w:r w:rsidRPr="000348BD">
        <w:rPr>
          <w:rFonts w:ascii="Calibri" w:hAnsi="Calibri" w:cs="Calibri"/>
          <w:sz w:val="22"/>
          <w:szCs w:val="22"/>
          <w:lang w:val="en-AU"/>
        </w:rPr>
        <w:t xml:space="preserve">Intended outcomes: </w:t>
      </w:r>
    </w:p>
    <w:p w14:paraId="1F3EB15A"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Strengthened capacity of financial institutions to integrate ESG principles and climate risk considerations into lending practices.</w:t>
      </w:r>
    </w:p>
    <w:p w14:paraId="43269992"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New green finance products and services developed, facilitating climate-smart investments.</w:t>
      </w:r>
    </w:p>
    <w:p w14:paraId="3ADE41A4"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Growth of sustainable investment initiatives, including green bonds and sustainability-linked loans.</w:t>
      </w:r>
    </w:p>
    <w:p w14:paraId="7B8914FB"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Enhanced digital financial infrastructure to improve financial accessibility and inclusion.</w:t>
      </w:r>
    </w:p>
    <w:p w14:paraId="1ABC0C8C" w14:textId="7DD3A1BA"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Increased access to finance for underserved populations, including MSMEs and women entrepreneurs, through tailored financial solutions.</w:t>
      </w:r>
    </w:p>
    <w:p w14:paraId="3E23E5F9" w14:textId="3AF04FBC"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b/>
          <w:bCs/>
          <w:sz w:val="22"/>
          <w:szCs w:val="22"/>
          <w:lang w:val="en-AU"/>
        </w:rPr>
        <w:t xml:space="preserve">Pillar 4 - Enhancing Standards &amp; Gender Inclusion: </w:t>
      </w:r>
      <w:r w:rsidRPr="000348BD">
        <w:rPr>
          <w:rFonts w:ascii="Calibri" w:hAnsi="Calibri" w:cs="Calibri"/>
          <w:sz w:val="22"/>
          <w:szCs w:val="22"/>
          <w:lang w:val="en-AU"/>
        </w:rPr>
        <w:t>Adoption of best practices in Environmental and Social Governance (ESG) and accelerating women’s economic empowerment by addressing key barriers to women’s participation including childcare and GBV.</w:t>
      </w:r>
    </w:p>
    <w:p w14:paraId="023A5814" w14:textId="77777777" w:rsidR="006C077C" w:rsidRPr="000348BD" w:rsidRDefault="006C077C" w:rsidP="006C077C">
      <w:pPr>
        <w:autoSpaceDE w:val="0"/>
        <w:autoSpaceDN w:val="0"/>
        <w:adjustRightInd w:val="0"/>
        <w:spacing w:after="120"/>
        <w:ind w:firstLine="360"/>
        <w:jc w:val="both"/>
        <w:rPr>
          <w:rFonts w:ascii="Calibri" w:hAnsi="Calibri" w:cs="Calibri"/>
          <w:sz w:val="22"/>
          <w:szCs w:val="22"/>
          <w:lang w:val="en-AU"/>
        </w:rPr>
      </w:pPr>
      <w:r w:rsidRPr="000348BD">
        <w:rPr>
          <w:rFonts w:ascii="Calibri" w:hAnsi="Calibri" w:cs="Calibri"/>
          <w:sz w:val="22"/>
          <w:szCs w:val="22"/>
          <w:lang w:val="en-AU"/>
        </w:rPr>
        <w:t xml:space="preserve">Intended outcomes: </w:t>
      </w:r>
    </w:p>
    <w:p w14:paraId="1351A9D8"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More women employed in key sectors such as banking and manufacturing.</w:t>
      </w:r>
    </w:p>
    <w:p w14:paraId="3EED8E40" w14:textId="77777777"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Expanded career opportunities and leadership pipelines for women in Viet Nam’s private sector.</w:t>
      </w:r>
    </w:p>
    <w:p w14:paraId="02A2B72E" w14:textId="4133E386" w:rsidR="006C077C" w:rsidRPr="000348BD" w:rsidRDefault="006C077C">
      <w:pPr>
        <w:pStyle w:val="ListParagraph"/>
        <w:numPr>
          <w:ilvl w:val="0"/>
          <w:numId w:val="21"/>
        </w:numPr>
        <w:autoSpaceDE w:val="0"/>
        <w:autoSpaceDN w:val="0"/>
        <w:adjustRightInd w:val="0"/>
        <w:spacing w:after="120"/>
        <w:ind w:left="720"/>
        <w:jc w:val="both"/>
        <w:rPr>
          <w:rFonts w:ascii="Calibri" w:hAnsi="Calibri" w:cs="Calibri"/>
          <w:sz w:val="22"/>
          <w:szCs w:val="22"/>
          <w:lang w:val="en-AU"/>
        </w:rPr>
      </w:pPr>
      <w:r w:rsidRPr="000348BD">
        <w:rPr>
          <w:rFonts w:ascii="Calibri" w:hAnsi="Calibri" w:cs="Calibri"/>
          <w:sz w:val="22"/>
          <w:szCs w:val="22"/>
          <w:lang w:val="en-AU"/>
        </w:rPr>
        <w:t>Private sector firms implementing policies that foster respectful, diverse, and resilient workplaces, benefiting both employees and businesses.</w:t>
      </w:r>
    </w:p>
    <w:p w14:paraId="14379A48" w14:textId="03E5BE2A" w:rsidR="006C077C" w:rsidRPr="00C97A19"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C97A19">
        <w:rPr>
          <w:rFonts w:ascii="Calibri" w:hAnsi="Calibri" w:cs="Calibri"/>
          <w:sz w:val="22"/>
          <w:szCs w:val="22"/>
          <w:lang w:val="en-AU"/>
        </w:rPr>
        <w:t xml:space="preserve">The VPSDP implementation is undertaken through a range of IFC projects which aim to make a significant contribution towards the four Program pillars. The projects are identified and designed through in-country analysis and consultation with DFAT and other relevant stakeholders – public and private –, and each have their own internal logic and intended results. They derive from the strategy which guides the work of the World Bank Group in Viet Nam. The projects are at various stages of pre, post and current implementation. </w:t>
      </w:r>
    </w:p>
    <w:p w14:paraId="41AC6A7D" w14:textId="00A795B3" w:rsidR="006C077C" w:rsidRPr="00C97A19"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C97A19">
        <w:rPr>
          <w:rFonts w:ascii="Calibri" w:hAnsi="Calibri" w:cs="Calibri"/>
          <w:sz w:val="22"/>
          <w:szCs w:val="22"/>
          <w:lang w:val="en-AU"/>
        </w:rPr>
        <w:t>VPSDP has not therefore been designed as an overall project or program with a simple linear connection to specific results. It is a description of the work IFC undertakes (groups of projects), which both parties expect to make a significant contribution towards progress across the three pillars.</w:t>
      </w:r>
    </w:p>
    <w:p w14:paraId="54E65AE8" w14:textId="130C83EF" w:rsidR="006C077C" w:rsidRPr="000348BD"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C97A19">
        <w:rPr>
          <w:rFonts w:ascii="Calibri" w:hAnsi="Calibri" w:cs="Calibri"/>
          <w:sz w:val="22"/>
          <w:szCs w:val="22"/>
          <w:lang w:val="en-AU"/>
        </w:rPr>
        <w:t xml:space="preserve">Developed during the first 12 months of the Partnership, the interventions </w:t>
      </w:r>
      <w:r w:rsidRPr="000348BD">
        <w:rPr>
          <w:rFonts w:ascii="Calibri" w:hAnsi="Calibri" w:cs="Calibri"/>
          <w:sz w:val="22"/>
          <w:szCs w:val="22"/>
          <w:lang w:val="en-AU"/>
        </w:rPr>
        <w:t xml:space="preserve">are guided by a comprehensive Monitoring and Evaluation (M&amp;E) Framework (refer Annex A). The M&amp;E framework describes the Partnership theory of change, as well as the Partnership modality and methodology.  </w:t>
      </w:r>
    </w:p>
    <w:p w14:paraId="6E17904D" w14:textId="498EA774" w:rsidR="006C077C" w:rsidRPr="000348BD" w:rsidRDefault="006C077C">
      <w:pPr>
        <w:pStyle w:val="ListParagraph"/>
        <w:numPr>
          <w:ilvl w:val="0"/>
          <w:numId w:val="22"/>
        </w:numPr>
        <w:autoSpaceDE w:val="0"/>
        <w:autoSpaceDN w:val="0"/>
        <w:adjustRightInd w:val="0"/>
        <w:spacing w:after="120"/>
        <w:ind w:left="360"/>
        <w:jc w:val="both"/>
        <w:rPr>
          <w:rFonts w:ascii="Calibri" w:hAnsi="Calibri" w:cs="Calibri"/>
          <w:sz w:val="22"/>
          <w:szCs w:val="22"/>
          <w:lang w:val="en-AU"/>
        </w:rPr>
      </w:pPr>
      <w:r w:rsidRPr="000348BD">
        <w:rPr>
          <w:rFonts w:ascii="Calibri" w:hAnsi="Calibri" w:cs="Calibri"/>
          <w:sz w:val="22"/>
          <w:szCs w:val="22"/>
          <w:lang w:val="en-AU"/>
        </w:rPr>
        <w:t>Since the partnership has reached to the midpoint of its implementation, an independent Mid-Term Review (MTR) will be commissioned to assess accomplishments against the program objectives, using the OECD-DAC criteria and provide recommendations for improvement. The Partnership is seeking to hire a consultant team/consulting firm to undertake the MTR.</w:t>
      </w:r>
    </w:p>
    <w:p w14:paraId="1907BB15" w14:textId="77777777" w:rsidR="006C077C" w:rsidRPr="000348BD" w:rsidRDefault="006C077C">
      <w:pPr>
        <w:pStyle w:val="ListParagraph"/>
        <w:numPr>
          <w:ilvl w:val="0"/>
          <w:numId w:val="17"/>
        </w:numPr>
        <w:spacing w:after="120"/>
        <w:jc w:val="both"/>
        <w:rPr>
          <w:rFonts w:ascii="Calibri" w:hAnsi="Calibri" w:cs="Calibri"/>
          <w:b/>
          <w:bCs/>
          <w:color w:val="002060"/>
          <w:sz w:val="22"/>
          <w:szCs w:val="22"/>
          <w:lang w:val="en-AU"/>
        </w:rPr>
      </w:pPr>
      <w:r w:rsidRPr="000348BD">
        <w:rPr>
          <w:rFonts w:ascii="Calibri" w:hAnsi="Calibri" w:cs="Calibri"/>
          <w:b/>
          <w:bCs/>
          <w:color w:val="002060"/>
          <w:sz w:val="22"/>
          <w:szCs w:val="22"/>
          <w:lang w:val="en-AU"/>
        </w:rPr>
        <w:t>Objective</w:t>
      </w:r>
    </w:p>
    <w:p w14:paraId="58A0D7B0" w14:textId="77777777"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The objective of the evaluation are:</w:t>
      </w:r>
    </w:p>
    <w:p w14:paraId="2D7F6A95"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to independently assess the VPSDP’s effectiveness and efficiency in achieving intended objective considering progress from April 2022 to June 2025 (timing of most recent progress report)  and where possible until December 2025</w:t>
      </w:r>
    </w:p>
    <w:p w14:paraId="0DE8664E" w14:textId="46EFB8DA" w:rsidR="006C077C" w:rsidRPr="000348BD" w:rsidRDefault="006C077C">
      <w:pPr>
        <w:pStyle w:val="ListParagraph"/>
        <w:numPr>
          <w:ilvl w:val="0"/>
          <w:numId w:val="23"/>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Based on the assessment of findings and analysis of the context, provide recommendations for improvement, strengthen the alignment with Australia’s policies and objectives.</w:t>
      </w:r>
    </w:p>
    <w:p w14:paraId="2D99668B" w14:textId="759360A1"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lastRenderedPageBreak/>
        <w:t xml:space="preserve">The primary users of the MTR are DFAT Viet Nam (including Executive DFAT staff working on regional private sector development policy and programs) and IFC. Its secondary users will be donor development partners and practitioners. </w:t>
      </w:r>
    </w:p>
    <w:p w14:paraId="1A1D6CA1" w14:textId="31EEEDBC"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The evaluation will provide an evidence base to inform DFAT and IFC future directions for private sector development programs in Viet Nam, as well as potential lessons for other Mekong countries. </w:t>
      </w:r>
    </w:p>
    <w:p w14:paraId="75DD1B5A" w14:textId="77777777" w:rsidR="006C077C" w:rsidRPr="000348BD" w:rsidRDefault="006C077C">
      <w:pPr>
        <w:pStyle w:val="ListParagraph"/>
        <w:numPr>
          <w:ilvl w:val="0"/>
          <w:numId w:val="17"/>
        </w:numPr>
        <w:spacing w:after="120"/>
        <w:jc w:val="both"/>
        <w:rPr>
          <w:rFonts w:ascii="Calibri" w:hAnsi="Calibri" w:cs="Calibri"/>
          <w:b/>
          <w:bCs/>
          <w:color w:val="002060"/>
          <w:sz w:val="22"/>
          <w:szCs w:val="22"/>
          <w:lang w:val="en-AU"/>
        </w:rPr>
      </w:pPr>
      <w:r w:rsidRPr="000348BD">
        <w:rPr>
          <w:rFonts w:ascii="Calibri" w:hAnsi="Calibri" w:cs="Calibri"/>
          <w:b/>
          <w:bCs/>
          <w:color w:val="002060"/>
          <w:sz w:val="22"/>
          <w:szCs w:val="22"/>
          <w:lang w:val="en-AU"/>
        </w:rPr>
        <w:t xml:space="preserve">Scope of Work  </w:t>
      </w:r>
    </w:p>
    <w:p w14:paraId="4B475030" w14:textId="362318B1" w:rsidR="006C077C" w:rsidRPr="000348BD" w:rsidRDefault="006C077C" w:rsidP="006C077C">
      <w:p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During the assignment, the consultant team will undertake the following assessment:</w:t>
      </w:r>
    </w:p>
    <w:p w14:paraId="5D1A9870" w14:textId="7B771E81" w:rsidR="006C077C" w:rsidRPr="000348BD" w:rsidRDefault="006C077C" w:rsidP="006C077C">
      <w:p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 xml:space="preserve">This evaluation will be undertaken by applying evaluation criteria of the Organization for Economic Cooperation and Development’s Development Assistance Committee (OECD-DAC), specifically Relevance, Coherence, Effectiveness, and Efficiency. </w:t>
      </w:r>
    </w:p>
    <w:p w14:paraId="6056DA73"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 xml:space="preserve">Assess on how VPSDP is relevance to country specific objectives of IFC, Australia in Viet Nam context, the relevance of program logic; </w:t>
      </w:r>
    </w:p>
    <w:p w14:paraId="7F075ED7"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 the effectiveness of VPSDP activities in supporting achievement of the partnership objective through it achieving high level strategic objectives.</w:t>
      </w:r>
    </w:p>
    <w:p w14:paraId="58CE61FA"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 xml:space="preserve">Review and assess the effectiveness of the program logic and the M&amp;E framework in monitoring and evaluate the partnership. </w:t>
      </w:r>
    </w:p>
    <w:p w14:paraId="0091A80A"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what extend the partnership activities help to strengthen the coherence with other initiatives (of IFC and Australia).</w:t>
      </w:r>
    </w:p>
    <w:p w14:paraId="6EE8308B" w14:textId="77777777"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assess how the partnership is making use of available resources to achieve its objectives</w:t>
      </w:r>
    </w:p>
    <w:p w14:paraId="46EA5ABD" w14:textId="0936EB33" w:rsidR="006C077C" w:rsidRPr="000348BD" w:rsidRDefault="006C077C">
      <w:pPr>
        <w:pStyle w:val="ListParagraph"/>
        <w:numPr>
          <w:ilvl w:val="0"/>
          <w:numId w:val="23"/>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Assess to what extent gender equality and social inclusion (GEDSI) issues are addressed as stand-alone topics or as integral components of the partnership.</w:t>
      </w:r>
    </w:p>
    <w:p w14:paraId="61C66FA8" w14:textId="1AE9CC0F" w:rsidR="006C077C" w:rsidRPr="000348BD" w:rsidRDefault="006C077C" w:rsidP="006C077C">
      <w:pPr>
        <w:autoSpaceDE w:val="0"/>
        <w:autoSpaceDN w:val="0"/>
        <w:adjustRightInd w:val="0"/>
        <w:spacing w:after="120"/>
        <w:jc w:val="both"/>
        <w:rPr>
          <w:rFonts w:ascii="Calibri" w:hAnsi="Calibri" w:cs="Calibri"/>
          <w:sz w:val="22"/>
          <w:szCs w:val="22"/>
          <w:lang w:val="en-AU"/>
        </w:rPr>
      </w:pPr>
      <w:r w:rsidRPr="000348BD">
        <w:rPr>
          <w:rFonts w:ascii="Calibri" w:hAnsi="Calibri" w:cs="Calibri"/>
          <w:color w:val="000000"/>
          <w:sz w:val="22"/>
          <w:szCs w:val="22"/>
          <w:lang w:val="en-AU"/>
        </w:rPr>
        <w:t xml:space="preserve">The final report – approx. 30 pages plus annexes – should assign a rating on each OECD-DAC evaluation dimension based on a four-point scale (highly satisfactory, satisfactory, partly unsatisfactory, unsatisfactory). The rating for performance-related dimensions (Relevance, Coherence, Effectiveness, Efficiency, GEDSI) will be assigned to the VPSPD program. </w:t>
      </w:r>
      <w:r w:rsidRPr="000348BD">
        <w:rPr>
          <w:rFonts w:ascii="Calibri" w:hAnsi="Calibri" w:cs="Calibri"/>
          <w:sz w:val="22"/>
          <w:szCs w:val="22"/>
          <w:lang w:val="en-AU"/>
        </w:rPr>
        <w:t xml:space="preserve">While there are ‘evaluative questions’ in the M&amp;E framework, they have been used as a monitoring mechanism and framed IFC’s six monthly narrative progress reports of the VPSDP. </w:t>
      </w:r>
    </w:p>
    <w:p w14:paraId="34F2B70B" w14:textId="2629FFF9" w:rsidR="006C077C" w:rsidRPr="000348BD" w:rsidRDefault="006C077C">
      <w:pPr>
        <w:pStyle w:val="ListParagraph"/>
        <w:numPr>
          <w:ilvl w:val="0"/>
          <w:numId w:val="17"/>
        </w:numPr>
        <w:spacing w:after="120"/>
        <w:jc w:val="both"/>
        <w:rPr>
          <w:rFonts w:ascii="Calibri" w:hAnsi="Calibri" w:cs="Calibri"/>
          <w:b/>
          <w:bCs/>
          <w:color w:val="002060"/>
          <w:sz w:val="22"/>
          <w:szCs w:val="22"/>
          <w:lang w:val="en-AU"/>
        </w:rPr>
      </w:pPr>
      <w:r w:rsidRPr="000348BD">
        <w:rPr>
          <w:rFonts w:ascii="Calibri" w:hAnsi="Calibri" w:cs="Calibri"/>
          <w:b/>
          <w:bCs/>
          <w:color w:val="002060"/>
          <w:sz w:val="22"/>
          <w:szCs w:val="22"/>
          <w:lang w:val="en-AU"/>
        </w:rPr>
        <w:t>Key Evaluation Questions:</w:t>
      </w:r>
    </w:p>
    <w:p w14:paraId="6228BEB9" w14:textId="344DCBA6" w:rsidR="006C077C" w:rsidRPr="000348BD" w:rsidRDefault="006C077C" w:rsidP="006C077C">
      <w:p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Referencing the M&amp;E Framework, this evaluation needs to answer the following questions:</w:t>
      </w:r>
    </w:p>
    <w:p w14:paraId="5029B4C5" w14:textId="77777777" w:rsidR="006C077C" w:rsidRPr="000348BD" w:rsidRDefault="006C077C" w:rsidP="006C077C">
      <w:pPr>
        <w:autoSpaceDE w:val="0"/>
        <w:autoSpaceDN w:val="0"/>
        <w:adjustRightInd w:val="0"/>
        <w:spacing w:after="120"/>
        <w:jc w:val="both"/>
        <w:rPr>
          <w:rFonts w:ascii="Calibri" w:hAnsi="Calibri" w:cs="Calibri"/>
          <w:b/>
          <w:bCs/>
          <w:color w:val="000000"/>
          <w:sz w:val="22"/>
          <w:szCs w:val="22"/>
          <w:lang w:val="en-AU"/>
        </w:rPr>
      </w:pPr>
      <w:r w:rsidRPr="000348BD">
        <w:rPr>
          <w:rFonts w:ascii="Calibri" w:hAnsi="Calibri" w:cs="Calibri"/>
          <w:b/>
          <w:bCs/>
          <w:color w:val="000000"/>
          <w:sz w:val="22"/>
          <w:szCs w:val="22"/>
          <w:lang w:val="en-AU"/>
        </w:rPr>
        <w:t>Relevance and efficiency</w:t>
      </w:r>
    </w:p>
    <w:p w14:paraId="6B08C32E" w14:textId="77777777" w:rsidR="006C077C" w:rsidRPr="000348BD" w:rsidRDefault="006C077C">
      <w:pPr>
        <w:pStyle w:val="ListParagraph"/>
        <w:numPr>
          <w:ilvl w:val="0"/>
          <w:numId w:val="2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what extent was the VPSDP projects/activities relevant to Australia, IFC strategic objectives in Viet Nam.</w:t>
      </w:r>
    </w:p>
    <w:p w14:paraId="4A349ED7" w14:textId="77777777" w:rsidR="006C077C" w:rsidRPr="000348BD" w:rsidRDefault="006C077C">
      <w:pPr>
        <w:pStyle w:val="ListParagraph"/>
        <w:numPr>
          <w:ilvl w:val="0"/>
          <w:numId w:val="2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what extent VPSDP resources able to respond/address the critical gaps of the private sector and client government agencies in Viet Nam?</w:t>
      </w:r>
    </w:p>
    <w:p w14:paraId="5FBE83EE" w14:textId="77777777" w:rsidR="006C077C" w:rsidRPr="000348BD" w:rsidRDefault="006C077C">
      <w:pPr>
        <w:pStyle w:val="ListParagraph"/>
        <w:numPr>
          <w:ilvl w:val="1"/>
          <w:numId w:val="20"/>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Refer to the needs of clients which include government, firm and market level stakeholders.</w:t>
      </w:r>
    </w:p>
    <w:p w14:paraId="447E9263" w14:textId="0521FCE1" w:rsidR="006C077C" w:rsidRPr="000348BD" w:rsidRDefault="006C077C">
      <w:pPr>
        <w:pStyle w:val="ListParagraph"/>
        <w:numPr>
          <w:ilvl w:val="1"/>
          <w:numId w:val="20"/>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Refer to the ability of Partnership design and partners (risk management and governance arrangements and resources etc.) to facilitate this evolution. </w:t>
      </w:r>
    </w:p>
    <w:p w14:paraId="46C2C3C5" w14:textId="77777777" w:rsidR="006C077C" w:rsidRPr="000348BD" w:rsidRDefault="006C077C" w:rsidP="006C077C">
      <w:pPr>
        <w:autoSpaceDE w:val="0"/>
        <w:autoSpaceDN w:val="0"/>
        <w:adjustRightInd w:val="0"/>
        <w:spacing w:after="120"/>
        <w:jc w:val="both"/>
        <w:rPr>
          <w:rFonts w:ascii="Calibri" w:hAnsi="Calibri" w:cs="Calibri"/>
          <w:b/>
          <w:bCs/>
          <w:color w:val="000000"/>
          <w:sz w:val="22"/>
          <w:szCs w:val="22"/>
          <w:lang w:val="en-AU"/>
        </w:rPr>
      </w:pPr>
      <w:r w:rsidRPr="000348BD">
        <w:rPr>
          <w:rFonts w:ascii="Calibri" w:hAnsi="Calibri" w:cs="Calibri"/>
          <w:b/>
          <w:bCs/>
          <w:color w:val="000000"/>
          <w:sz w:val="22"/>
          <w:szCs w:val="22"/>
          <w:lang w:val="en-AU"/>
        </w:rPr>
        <w:t>Effectiveness and impact</w:t>
      </w:r>
    </w:p>
    <w:p w14:paraId="38DD344F" w14:textId="77777777" w:rsidR="006C077C" w:rsidRPr="000348BD" w:rsidRDefault="006C077C">
      <w:pPr>
        <w:pStyle w:val="ListParagraph"/>
        <w:numPr>
          <w:ilvl w:val="0"/>
          <w:numId w:val="20"/>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what extent has the VPDSP delivered its anticipated impacts, with particular reference to the evaluative questions in the M&amp;E framework?</w:t>
      </w:r>
    </w:p>
    <w:p w14:paraId="192C8914" w14:textId="77777777" w:rsidR="006C077C" w:rsidRPr="000348BD" w:rsidRDefault="006C077C">
      <w:pPr>
        <w:pStyle w:val="ListParagraph"/>
        <w:numPr>
          <w:ilvl w:val="1"/>
          <w:numId w:val="20"/>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lastRenderedPageBreak/>
        <w:t xml:space="preserve">How </w:t>
      </w:r>
      <w:r w:rsidRPr="000348BD">
        <w:rPr>
          <w:rFonts w:ascii="Calibri" w:hAnsi="Calibri" w:cs="Calibri"/>
          <w:color w:val="000000"/>
          <w:sz w:val="22"/>
          <w:szCs w:val="22"/>
          <w:lang w:val="en-AU"/>
        </w:rPr>
        <w:t>effectively has the Partnership been able to respond and adapt to the evolving needs of private sector stakeholders</w:t>
      </w:r>
      <w:r w:rsidRPr="000348BD">
        <w:rPr>
          <w:rFonts w:ascii="Calibri" w:hAnsi="Calibri" w:cs="Calibri"/>
          <w:sz w:val="22"/>
          <w:szCs w:val="22"/>
          <w:lang w:val="en-AU"/>
        </w:rPr>
        <w:t xml:space="preserve"> and the enabling environment for private investment in Viet Nam? </w:t>
      </w:r>
    </w:p>
    <w:p w14:paraId="5C937797" w14:textId="77777777" w:rsidR="006C077C" w:rsidRPr="000348BD" w:rsidRDefault="006C077C">
      <w:pPr>
        <w:pStyle w:val="ListParagraph"/>
        <w:numPr>
          <w:ilvl w:val="1"/>
          <w:numId w:val="20"/>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 xml:space="preserve">Refer to the range of project types/interventions (firm level technical advice, government technical advice etc.) and describe overall progress to date, and any identified barriers including those related to delivery in complex/challenging environments. </w:t>
      </w:r>
    </w:p>
    <w:p w14:paraId="153A0346" w14:textId="086A3E79" w:rsidR="006C077C" w:rsidRPr="000348BD" w:rsidRDefault="006C077C">
      <w:pPr>
        <w:pStyle w:val="ListParagraph"/>
        <w:numPr>
          <w:ilvl w:val="1"/>
          <w:numId w:val="20"/>
        </w:numPr>
        <w:autoSpaceDE w:val="0"/>
        <w:autoSpaceDN w:val="0"/>
        <w:adjustRightInd w:val="0"/>
        <w:spacing w:after="120"/>
        <w:jc w:val="both"/>
        <w:rPr>
          <w:rFonts w:ascii="Calibri" w:hAnsi="Calibri" w:cs="Calibri"/>
          <w:sz w:val="22"/>
          <w:szCs w:val="22"/>
          <w:lang w:val="en-AU"/>
        </w:rPr>
      </w:pPr>
      <w:r w:rsidRPr="000348BD">
        <w:rPr>
          <w:rFonts w:ascii="Calibri" w:hAnsi="Calibri" w:cs="Calibri"/>
          <w:sz w:val="22"/>
          <w:szCs w:val="22"/>
          <w:lang w:val="en-AU"/>
        </w:rPr>
        <w:t>to what extent gender equality and social inclusion issues have been addressed in VPSDP</w:t>
      </w:r>
    </w:p>
    <w:p w14:paraId="6D9C61E7" w14:textId="77777777" w:rsidR="006C077C" w:rsidRPr="000348BD" w:rsidRDefault="006C077C" w:rsidP="006C077C">
      <w:pPr>
        <w:autoSpaceDE w:val="0"/>
        <w:autoSpaceDN w:val="0"/>
        <w:adjustRightInd w:val="0"/>
        <w:spacing w:after="120"/>
        <w:jc w:val="both"/>
        <w:rPr>
          <w:rFonts w:ascii="Calibri" w:hAnsi="Calibri" w:cs="Calibri"/>
          <w:b/>
          <w:bCs/>
          <w:color w:val="000000"/>
          <w:sz w:val="22"/>
          <w:szCs w:val="22"/>
          <w:lang w:val="en-AU"/>
        </w:rPr>
      </w:pPr>
      <w:r w:rsidRPr="000348BD">
        <w:rPr>
          <w:rFonts w:ascii="Calibri" w:hAnsi="Calibri" w:cs="Calibri"/>
          <w:b/>
          <w:bCs/>
          <w:color w:val="000000"/>
          <w:sz w:val="22"/>
          <w:szCs w:val="22"/>
          <w:lang w:val="en-AU"/>
        </w:rPr>
        <w:t xml:space="preserve">Coherence </w:t>
      </w:r>
    </w:p>
    <w:p w14:paraId="2364D414" w14:textId="77777777" w:rsidR="006C077C" w:rsidRPr="000348BD" w:rsidRDefault="006C077C">
      <w:pPr>
        <w:pStyle w:val="ListParagraph"/>
        <w:numPr>
          <w:ilvl w:val="0"/>
          <w:numId w:val="19"/>
        </w:numPr>
        <w:autoSpaceDE w:val="0"/>
        <w:autoSpaceDN w:val="0"/>
        <w:adjustRightInd w:val="0"/>
        <w:spacing w:after="120"/>
        <w:jc w:val="both"/>
        <w:rPr>
          <w:rFonts w:ascii="Calibri" w:hAnsi="Calibri" w:cs="Calibri"/>
          <w:color w:val="000000"/>
          <w:sz w:val="22"/>
          <w:szCs w:val="22"/>
          <w:lang w:val="en-AU"/>
        </w:rPr>
      </w:pPr>
      <w:r w:rsidRPr="000348BD">
        <w:rPr>
          <w:rFonts w:ascii="Calibri" w:hAnsi="Calibri" w:cs="Calibri"/>
          <w:color w:val="000000"/>
          <w:sz w:val="22"/>
          <w:szCs w:val="22"/>
          <w:lang w:val="en-AU"/>
        </w:rPr>
        <w:t>To what extent did the VPSDP and its interventions complement (and collaborate with) other private sector development work being undertaken in Viet Nam?</w:t>
      </w:r>
    </w:p>
    <w:p w14:paraId="2F13795D" w14:textId="37A69DB6" w:rsidR="006C077C" w:rsidRPr="000348BD" w:rsidRDefault="006C077C">
      <w:pPr>
        <w:pStyle w:val="NoSpacing"/>
        <w:numPr>
          <w:ilvl w:val="1"/>
          <w:numId w:val="19"/>
        </w:numPr>
        <w:autoSpaceDE w:val="0"/>
        <w:autoSpaceDN w:val="0"/>
        <w:adjustRightInd w:val="0"/>
        <w:spacing w:after="120"/>
        <w:jc w:val="both"/>
        <w:rPr>
          <w:rFonts w:ascii="Calibri" w:hAnsi="Calibri" w:cs="Calibri"/>
          <w:b/>
          <w:bCs/>
          <w:color w:val="000000"/>
        </w:rPr>
      </w:pPr>
      <w:r w:rsidRPr="000348BD">
        <w:rPr>
          <w:rFonts w:ascii="Calibri" w:hAnsi="Calibri" w:cs="Calibri"/>
          <w:color w:val="000000" w:themeColor="text1"/>
        </w:rPr>
        <w:t xml:space="preserve">Include reference to the value of the Partnership for DFAT’s policy objectives included in the M&amp;E Framework, </w:t>
      </w:r>
    </w:p>
    <w:p w14:paraId="1923B20A" w14:textId="77777777" w:rsidR="006C077C" w:rsidRPr="000348BD" w:rsidRDefault="006C077C" w:rsidP="006C077C">
      <w:pPr>
        <w:autoSpaceDE w:val="0"/>
        <w:autoSpaceDN w:val="0"/>
        <w:adjustRightInd w:val="0"/>
        <w:spacing w:after="120"/>
        <w:jc w:val="both"/>
        <w:rPr>
          <w:rFonts w:ascii="Calibri" w:hAnsi="Calibri" w:cs="Calibri"/>
          <w:b/>
          <w:bCs/>
          <w:color w:val="000000"/>
          <w:sz w:val="22"/>
          <w:szCs w:val="22"/>
          <w:lang w:val="en-AU"/>
        </w:rPr>
      </w:pPr>
      <w:r w:rsidRPr="000348BD">
        <w:rPr>
          <w:rFonts w:ascii="Calibri" w:hAnsi="Calibri" w:cs="Calibri"/>
          <w:b/>
          <w:bCs/>
          <w:color w:val="000000"/>
          <w:sz w:val="22"/>
          <w:szCs w:val="22"/>
          <w:lang w:val="en-AU"/>
        </w:rPr>
        <w:t>Sustainability</w:t>
      </w:r>
    </w:p>
    <w:p w14:paraId="0971E787" w14:textId="77777777" w:rsidR="006C077C" w:rsidRPr="00C97A19" w:rsidRDefault="006C077C">
      <w:pPr>
        <w:pStyle w:val="NoSpacing"/>
        <w:numPr>
          <w:ilvl w:val="0"/>
          <w:numId w:val="19"/>
        </w:numPr>
        <w:autoSpaceDE w:val="0"/>
        <w:autoSpaceDN w:val="0"/>
        <w:adjustRightInd w:val="0"/>
        <w:spacing w:after="120"/>
        <w:jc w:val="both"/>
        <w:rPr>
          <w:rFonts w:ascii="Calibri" w:hAnsi="Calibri" w:cs="Calibri"/>
          <w:color w:val="000000"/>
        </w:rPr>
      </w:pPr>
      <w:r w:rsidRPr="00C97A19">
        <w:rPr>
          <w:rFonts w:ascii="Calibri" w:hAnsi="Calibri" w:cs="Calibri"/>
          <w:color w:val="000000"/>
        </w:rPr>
        <w:t xml:space="preserve">What are the overall highlights and lessons learned for the VPSDP in terms of design of private sector development and investment programming in Viet Nam? </w:t>
      </w:r>
    </w:p>
    <w:p w14:paraId="71CBDADD" w14:textId="77777777" w:rsidR="006C077C" w:rsidRPr="000348BD" w:rsidRDefault="006C077C">
      <w:pPr>
        <w:pStyle w:val="NoSpacing"/>
        <w:numPr>
          <w:ilvl w:val="1"/>
          <w:numId w:val="19"/>
        </w:numPr>
        <w:autoSpaceDE w:val="0"/>
        <w:autoSpaceDN w:val="0"/>
        <w:adjustRightInd w:val="0"/>
        <w:spacing w:after="120"/>
        <w:jc w:val="both"/>
        <w:rPr>
          <w:rFonts w:ascii="Calibri" w:hAnsi="Calibri" w:cs="Calibri"/>
          <w:color w:val="000000"/>
        </w:rPr>
      </w:pPr>
      <w:r w:rsidRPr="000348BD">
        <w:rPr>
          <w:rFonts w:ascii="Calibri" w:hAnsi="Calibri" w:cs="Calibri"/>
          <w:color w:val="000000" w:themeColor="text1"/>
        </w:rPr>
        <w:t>Include reference to impacts related to gender, disability and climate change</w:t>
      </w:r>
    </w:p>
    <w:p w14:paraId="52A7F955" w14:textId="5382F74F" w:rsidR="006C077C" w:rsidRPr="00C97A19" w:rsidRDefault="006C077C">
      <w:pPr>
        <w:pStyle w:val="NoSpacing"/>
        <w:numPr>
          <w:ilvl w:val="1"/>
          <w:numId w:val="19"/>
        </w:numPr>
        <w:autoSpaceDE w:val="0"/>
        <w:autoSpaceDN w:val="0"/>
        <w:adjustRightInd w:val="0"/>
        <w:spacing w:after="120"/>
        <w:jc w:val="both"/>
        <w:rPr>
          <w:rFonts w:ascii="Calibri" w:hAnsi="Calibri" w:cs="Calibri"/>
          <w:color w:val="000000"/>
        </w:rPr>
      </w:pPr>
      <w:r w:rsidRPr="00C97A19">
        <w:rPr>
          <w:rFonts w:ascii="Calibri" w:hAnsi="Calibri" w:cs="Calibri"/>
          <w:color w:val="000000"/>
        </w:rPr>
        <w:t>To what extend the impacts are likely to be sustained?</w:t>
      </w:r>
    </w:p>
    <w:p w14:paraId="1F68B574" w14:textId="62567ABF" w:rsidR="006C077C" w:rsidRPr="000348BD" w:rsidRDefault="006C077C" w:rsidP="2E146EC2">
      <w:pPr>
        <w:pStyle w:val="NoSpacing"/>
        <w:spacing w:after="120"/>
        <w:jc w:val="both"/>
        <w:rPr>
          <w:rFonts w:ascii="Calibri" w:hAnsi="Calibri" w:cs="Calibri"/>
          <w:b/>
          <w:bCs/>
          <w:i/>
          <w:iCs/>
          <w:color w:val="000000"/>
        </w:rPr>
      </w:pPr>
      <w:r w:rsidRPr="000348BD">
        <w:rPr>
          <w:rFonts w:ascii="Calibri" w:hAnsi="Calibri" w:cs="Calibri"/>
        </w:rPr>
        <w:t>The questions will be finalized in consultation the selected Team Leader and documented in the Evaluation Plan.</w:t>
      </w:r>
    </w:p>
    <w:p w14:paraId="0F05D904" w14:textId="77777777" w:rsidR="006C077C" w:rsidRPr="000348BD" w:rsidRDefault="006C077C">
      <w:pPr>
        <w:pStyle w:val="ListParagraph"/>
        <w:numPr>
          <w:ilvl w:val="0"/>
          <w:numId w:val="17"/>
        </w:numPr>
        <w:spacing w:after="120"/>
        <w:jc w:val="both"/>
        <w:rPr>
          <w:rFonts w:ascii="Calibri" w:hAnsi="Calibri" w:cs="Calibri"/>
          <w:b/>
          <w:bCs/>
          <w:color w:val="002060"/>
          <w:sz w:val="22"/>
          <w:szCs w:val="22"/>
          <w:lang w:val="en-AU"/>
        </w:rPr>
      </w:pPr>
      <w:r w:rsidRPr="000348BD">
        <w:rPr>
          <w:rFonts w:ascii="Calibri" w:hAnsi="Calibri" w:cs="Calibri"/>
          <w:b/>
          <w:bCs/>
          <w:color w:val="002060"/>
          <w:sz w:val="22"/>
          <w:szCs w:val="22"/>
          <w:lang w:val="en-AU"/>
        </w:rPr>
        <w:t>Deliverables</w:t>
      </w:r>
    </w:p>
    <w:p w14:paraId="6E6338EE" w14:textId="77777777" w:rsidR="006C077C" w:rsidRPr="000348BD" w:rsidRDefault="006C077C" w:rsidP="006C077C">
      <w:pPr>
        <w:spacing w:after="120"/>
        <w:jc w:val="both"/>
        <w:rPr>
          <w:rFonts w:ascii="Calibri" w:hAnsi="Calibri" w:cs="Calibri"/>
          <w:sz w:val="22"/>
          <w:szCs w:val="22"/>
          <w:lang w:val="en-AU"/>
        </w:rPr>
      </w:pPr>
      <w:r w:rsidRPr="000348BD">
        <w:rPr>
          <w:rFonts w:ascii="Calibri" w:hAnsi="Calibri" w:cs="Calibri"/>
          <w:sz w:val="22"/>
          <w:szCs w:val="22"/>
          <w:lang w:val="en-AU"/>
        </w:rPr>
        <w:t xml:space="preserve">The evaluation will be conducted from January to March 2026. The consultant/consulting firm should expect to travel to Viet Nam to conduct stakeholder discussions and provide debriefs, as required. </w:t>
      </w:r>
    </w:p>
    <w:p w14:paraId="6F8BF16D" w14:textId="77777777" w:rsidR="006C077C" w:rsidRPr="000348BD" w:rsidRDefault="006C077C">
      <w:pPr>
        <w:pStyle w:val="ListParagraph"/>
        <w:numPr>
          <w:ilvl w:val="0"/>
          <w:numId w:val="18"/>
        </w:numPr>
        <w:spacing w:after="120"/>
        <w:jc w:val="both"/>
        <w:rPr>
          <w:rFonts w:ascii="Calibri" w:hAnsi="Calibri" w:cs="Calibri"/>
          <w:sz w:val="22"/>
          <w:szCs w:val="22"/>
          <w:lang w:val="en-AU"/>
        </w:rPr>
      </w:pPr>
      <w:r w:rsidRPr="000348BD">
        <w:rPr>
          <w:rFonts w:ascii="Calibri" w:hAnsi="Calibri" w:cs="Calibri"/>
          <w:sz w:val="22"/>
          <w:szCs w:val="22"/>
          <w:lang w:val="en-AU"/>
        </w:rPr>
        <w:t xml:space="preserve">With reference to DFAT’s Design and Monitoring, Evaluation and Learning Standard 9 (Independent Evaluation Plans), </w:t>
      </w:r>
      <w:r w:rsidRPr="000348BD">
        <w:rPr>
          <w:rFonts w:ascii="Calibri" w:hAnsi="Calibri" w:cs="Calibri"/>
          <w:b/>
          <w:bCs/>
          <w:sz w:val="22"/>
          <w:szCs w:val="22"/>
          <w:lang w:val="en-AU"/>
        </w:rPr>
        <w:t>an Evaluation Plan</w:t>
      </w:r>
      <w:r w:rsidRPr="000348BD">
        <w:rPr>
          <w:rFonts w:ascii="Calibri" w:hAnsi="Calibri" w:cs="Calibri"/>
          <w:sz w:val="22"/>
          <w:szCs w:val="22"/>
          <w:lang w:val="en-AU"/>
        </w:rPr>
        <w:t xml:space="preserve">, including the final evaluation questions, proposed evaluation methodology, data collection methods and tools, and list of interviews, should be developed within two weeks of the signing of the contract. </w:t>
      </w:r>
    </w:p>
    <w:p w14:paraId="66B9E33F" w14:textId="77777777" w:rsidR="006C077C" w:rsidRPr="000348BD" w:rsidRDefault="006C077C">
      <w:pPr>
        <w:pStyle w:val="ListParagraph"/>
        <w:numPr>
          <w:ilvl w:val="0"/>
          <w:numId w:val="18"/>
        </w:numPr>
        <w:spacing w:after="120"/>
        <w:jc w:val="both"/>
        <w:rPr>
          <w:rFonts w:ascii="Calibri" w:hAnsi="Calibri" w:cs="Calibri"/>
          <w:sz w:val="22"/>
          <w:szCs w:val="22"/>
          <w:lang w:val="en-AU"/>
        </w:rPr>
      </w:pPr>
      <w:r w:rsidRPr="000348BD">
        <w:rPr>
          <w:rFonts w:ascii="Calibri" w:hAnsi="Calibri" w:cs="Calibri"/>
          <w:b/>
          <w:bCs/>
          <w:sz w:val="22"/>
          <w:szCs w:val="22"/>
          <w:lang w:val="en-AU"/>
        </w:rPr>
        <w:t>The mission</w:t>
      </w:r>
      <w:r w:rsidRPr="000348BD">
        <w:rPr>
          <w:rFonts w:ascii="Calibri" w:hAnsi="Calibri" w:cs="Calibri"/>
          <w:sz w:val="22"/>
          <w:szCs w:val="22"/>
          <w:lang w:val="en-AU"/>
        </w:rPr>
        <w:t xml:space="preserve"> will be undertaken during February 2026. Field work will be mostly in Viet Nam. </w:t>
      </w:r>
    </w:p>
    <w:p w14:paraId="044FE373" w14:textId="77777777" w:rsidR="006C077C" w:rsidRPr="000348BD" w:rsidRDefault="006C077C">
      <w:pPr>
        <w:pStyle w:val="ListParagraph"/>
        <w:numPr>
          <w:ilvl w:val="1"/>
          <w:numId w:val="18"/>
        </w:numPr>
        <w:spacing w:after="120"/>
        <w:jc w:val="both"/>
        <w:rPr>
          <w:rFonts w:ascii="Calibri" w:hAnsi="Calibri" w:cs="Calibri"/>
          <w:sz w:val="22"/>
          <w:szCs w:val="22"/>
          <w:lang w:val="en-AU"/>
        </w:rPr>
      </w:pPr>
      <w:r w:rsidRPr="000348BD">
        <w:rPr>
          <w:rFonts w:ascii="Calibri" w:hAnsi="Calibri" w:cs="Calibri"/>
          <w:sz w:val="22"/>
          <w:szCs w:val="22"/>
          <w:lang w:val="en-AU"/>
        </w:rPr>
        <w:t xml:space="preserve">The evaluation team will need to complete a </w:t>
      </w:r>
      <w:r w:rsidRPr="000348BD">
        <w:rPr>
          <w:rFonts w:ascii="Calibri" w:hAnsi="Calibri" w:cs="Calibri"/>
          <w:b/>
          <w:sz w:val="22"/>
          <w:szCs w:val="22"/>
          <w:lang w:val="en-AU"/>
        </w:rPr>
        <w:t>schedule for the field missions</w:t>
      </w:r>
      <w:r w:rsidRPr="000348BD">
        <w:rPr>
          <w:rFonts w:ascii="Calibri" w:hAnsi="Calibri" w:cs="Calibri"/>
          <w:sz w:val="22"/>
          <w:szCs w:val="22"/>
          <w:lang w:val="en-AU"/>
        </w:rPr>
        <w:t xml:space="preserve"> at least 15 workdays prior to their commencement so that IFC can make necessary arrangements. The schedules must include for all external (non IFC staff) interviews, a summary including purpose, key questions/areas, data requested, expected duration, interviewees. This will be essential for IFC (and DFAT as relevant) to arrange external meetings with donors, clients, partners, customers, etc. </w:t>
      </w:r>
    </w:p>
    <w:p w14:paraId="07D5540D" w14:textId="77777777" w:rsidR="006C077C" w:rsidRPr="000348BD" w:rsidRDefault="006C077C">
      <w:pPr>
        <w:pStyle w:val="ListParagraph"/>
        <w:numPr>
          <w:ilvl w:val="1"/>
          <w:numId w:val="18"/>
        </w:numPr>
        <w:spacing w:after="120"/>
        <w:jc w:val="both"/>
        <w:rPr>
          <w:rFonts w:ascii="Calibri" w:hAnsi="Calibri" w:cs="Calibri"/>
          <w:sz w:val="22"/>
          <w:szCs w:val="22"/>
          <w:lang w:val="en-AU"/>
        </w:rPr>
      </w:pPr>
      <w:r w:rsidRPr="000348BD">
        <w:rPr>
          <w:rFonts w:ascii="Calibri" w:hAnsi="Calibri" w:cs="Calibri"/>
          <w:sz w:val="22"/>
          <w:szCs w:val="22"/>
          <w:lang w:val="en-AU"/>
        </w:rPr>
        <w:t>At the conclusion of the mission, there will be a debrief session with DFAT and IFC to discuss emerging findings and test assumptions.</w:t>
      </w:r>
    </w:p>
    <w:p w14:paraId="1E061CB7" w14:textId="77777777" w:rsidR="006C077C" w:rsidRPr="000348BD" w:rsidRDefault="006C077C">
      <w:pPr>
        <w:pStyle w:val="ListParagraph"/>
        <w:numPr>
          <w:ilvl w:val="0"/>
          <w:numId w:val="18"/>
        </w:numPr>
        <w:spacing w:after="120"/>
        <w:jc w:val="both"/>
        <w:rPr>
          <w:rFonts w:ascii="Calibri" w:hAnsi="Calibri" w:cs="Calibri"/>
          <w:sz w:val="22"/>
          <w:szCs w:val="22"/>
          <w:lang w:val="en-AU"/>
        </w:rPr>
      </w:pPr>
      <w:r w:rsidRPr="000348BD">
        <w:rPr>
          <w:rFonts w:ascii="Calibri" w:hAnsi="Calibri" w:cs="Calibri"/>
          <w:sz w:val="22"/>
          <w:szCs w:val="22"/>
          <w:lang w:val="en-AU"/>
        </w:rPr>
        <w:t xml:space="preserve">A </w:t>
      </w:r>
      <w:r w:rsidRPr="000348BD">
        <w:rPr>
          <w:rFonts w:ascii="Calibri" w:hAnsi="Calibri" w:cs="Calibri"/>
          <w:b/>
          <w:bCs/>
          <w:sz w:val="22"/>
          <w:szCs w:val="22"/>
          <w:lang w:val="en-AU"/>
        </w:rPr>
        <w:t>draft Evaluation Report and Executive Summary</w:t>
      </w:r>
      <w:r w:rsidRPr="000348BD">
        <w:rPr>
          <w:rFonts w:ascii="Calibri" w:hAnsi="Calibri" w:cs="Calibri"/>
          <w:sz w:val="22"/>
          <w:szCs w:val="22"/>
          <w:lang w:val="en-AU"/>
        </w:rPr>
        <w:t xml:space="preserve"> should be shared with IFC by early March. The Evaluation Report will include an executive summary (two pager for partners), evaluation objectives, theory of change, methodology, findings/recommendations for each of the evaluation questions, and lessons learnt. Annexes should include the TOR, an evaluation matrix, and a list of interviews and sources of evidence.</w:t>
      </w:r>
    </w:p>
    <w:p w14:paraId="6B884F7A" w14:textId="77777777" w:rsidR="006C077C" w:rsidRPr="000348BD" w:rsidRDefault="006C077C">
      <w:pPr>
        <w:pStyle w:val="ListParagraph"/>
        <w:numPr>
          <w:ilvl w:val="0"/>
          <w:numId w:val="18"/>
        </w:numPr>
        <w:spacing w:after="120"/>
        <w:jc w:val="both"/>
        <w:rPr>
          <w:rFonts w:ascii="Calibri" w:hAnsi="Calibri" w:cs="Calibri"/>
          <w:sz w:val="22"/>
          <w:szCs w:val="22"/>
          <w:lang w:val="en-AU"/>
        </w:rPr>
      </w:pPr>
      <w:r w:rsidRPr="000348BD">
        <w:rPr>
          <w:rFonts w:ascii="Calibri" w:hAnsi="Calibri" w:cs="Calibri"/>
          <w:sz w:val="22"/>
          <w:szCs w:val="22"/>
          <w:lang w:val="en-AU"/>
        </w:rPr>
        <w:t xml:space="preserve">A </w:t>
      </w:r>
      <w:r w:rsidRPr="000348BD">
        <w:rPr>
          <w:rFonts w:ascii="Calibri" w:hAnsi="Calibri" w:cs="Calibri"/>
          <w:b/>
          <w:sz w:val="22"/>
          <w:szCs w:val="22"/>
          <w:lang w:val="en-AU"/>
        </w:rPr>
        <w:t>presentation of the final findings/recommendations</w:t>
      </w:r>
      <w:r w:rsidRPr="000348BD">
        <w:rPr>
          <w:rFonts w:ascii="Calibri" w:hAnsi="Calibri" w:cs="Calibri"/>
          <w:sz w:val="22"/>
          <w:szCs w:val="22"/>
          <w:lang w:val="en-AU"/>
        </w:rPr>
        <w:t xml:space="preserve"> of the Review to be made to IFC and DFAT no later than February 2026 for comments. </w:t>
      </w:r>
    </w:p>
    <w:p w14:paraId="17A4822D" w14:textId="434BC369" w:rsidR="006C077C" w:rsidRPr="000348BD" w:rsidRDefault="006C077C">
      <w:pPr>
        <w:pStyle w:val="ListParagraph"/>
        <w:numPr>
          <w:ilvl w:val="0"/>
          <w:numId w:val="18"/>
        </w:numPr>
        <w:spacing w:after="120"/>
        <w:jc w:val="both"/>
        <w:rPr>
          <w:rFonts w:ascii="Calibri" w:hAnsi="Calibri" w:cs="Calibri"/>
          <w:color w:val="FF0000"/>
          <w:sz w:val="22"/>
          <w:szCs w:val="22"/>
          <w:lang w:val="en-AU"/>
        </w:rPr>
      </w:pPr>
      <w:r w:rsidRPr="000348BD">
        <w:rPr>
          <w:rFonts w:ascii="Calibri" w:hAnsi="Calibri" w:cs="Calibri"/>
          <w:sz w:val="22"/>
          <w:szCs w:val="22"/>
          <w:lang w:val="en-AU"/>
        </w:rPr>
        <w:lastRenderedPageBreak/>
        <w:t xml:space="preserve">The </w:t>
      </w:r>
      <w:r w:rsidRPr="000348BD">
        <w:rPr>
          <w:rFonts w:ascii="Calibri" w:hAnsi="Calibri" w:cs="Calibri"/>
          <w:b/>
          <w:bCs/>
          <w:sz w:val="22"/>
          <w:szCs w:val="22"/>
          <w:lang w:val="en-AU"/>
        </w:rPr>
        <w:t xml:space="preserve">final Report </w:t>
      </w:r>
      <w:r w:rsidRPr="000348BD">
        <w:rPr>
          <w:rFonts w:ascii="Calibri" w:hAnsi="Calibri" w:cs="Calibri"/>
          <w:sz w:val="22"/>
          <w:szCs w:val="22"/>
          <w:lang w:val="en-AU"/>
        </w:rPr>
        <w:t xml:space="preserve">and the final Executive Summary (two pager for partners) should be submitted 10 days upon receipt of comments from IFC and DFAT on the draft report. </w:t>
      </w:r>
      <w:r w:rsidRPr="000348BD">
        <w:rPr>
          <w:rFonts w:ascii="Calibri" w:hAnsi="Calibri" w:cs="Calibri"/>
          <w:color w:val="000000" w:themeColor="text1"/>
          <w:sz w:val="22"/>
          <w:szCs w:val="22"/>
          <w:lang w:val="en-AU"/>
        </w:rPr>
        <w:t>The final report will be published on the DFAT website and is required to meet accessibility requirements (</w:t>
      </w:r>
      <w:hyperlink r:id="rId26" w:history="1">
        <w:r w:rsidRPr="000348BD">
          <w:rPr>
            <w:rFonts w:ascii="Calibri" w:hAnsi="Calibri" w:cs="Calibri"/>
            <w:color w:val="000000" w:themeColor="text1"/>
            <w:sz w:val="22"/>
            <w:szCs w:val="22"/>
            <w:lang w:val="en-AU"/>
          </w:rPr>
          <w:t>Web Content Accessibility Guidelines (WCAG) 2.0</w:t>
        </w:r>
      </w:hyperlink>
      <w:r w:rsidRPr="000348BD">
        <w:rPr>
          <w:rFonts w:ascii="Calibri" w:hAnsi="Calibri" w:cs="Calibri"/>
          <w:color w:val="000000" w:themeColor="text1"/>
          <w:sz w:val="22"/>
          <w:szCs w:val="22"/>
          <w:lang w:val="en-AU"/>
        </w:rPr>
        <w:t>). The review team is required to work closely with DFAT t</w:t>
      </w:r>
      <w:r w:rsidRPr="000348BD">
        <w:rPr>
          <w:rFonts w:ascii="Calibri" w:hAnsi="Calibri" w:cs="Calibri"/>
          <w:sz w:val="22"/>
          <w:szCs w:val="22"/>
          <w:lang w:val="en-AU"/>
        </w:rPr>
        <w:t>o frame any sensitivities and meeting DFAT’s requirements for documents to meet website accessibility guidelines.</w:t>
      </w:r>
    </w:p>
    <w:p w14:paraId="5817D8F3" w14:textId="4C946890" w:rsidR="006C077C" w:rsidRPr="000348BD" w:rsidRDefault="006C077C" w:rsidP="006C077C">
      <w:pPr>
        <w:spacing w:after="120"/>
        <w:jc w:val="both"/>
        <w:rPr>
          <w:rFonts w:ascii="Calibri" w:hAnsi="Calibri" w:cs="Calibri"/>
          <w:color w:val="000000" w:themeColor="text1"/>
          <w:sz w:val="22"/>
          <w:szCs w:val="22"/>
          <w:lang w:val="en-AU"/>
        </w:rPr>
      </w:pPr>
      <w:r w:rsidRPr="000348BD">
        <w:rPr>
          <w:rFonts w:ascii="Calibri" w:hAnsi="Calibri" w:cs="Calibri"/>
          <w:color w:val="000000" w:themeColor="text1"/>
          <w:sz w:val="22"/>
          <w:szCs w:val="22"/>
          <w:lang w:val="en-AU"/>
        </w:rPr>
        <w:t xml:space="preserve">All deliverables must meet the </w:t>
      </w:r>
      <w:r w:rsidRPr="000348BD">
        <w:rPr>
          <w:rFonts w:ascii="Calibri" w:hAnsi="Calibri" w:cs="Calibri"/>
          <w:b/>
          <w:bCs/>
          <w:color w:val="000000" w:themeColor="text1"/>
          <w:sz w:val="22"/>
          <w:szCs w:val="22"/>
          <w:lang w:val="en-AU"/>
        </w:rPr>
        <w:t>OECD‐DAC</w:t>
      </w:r>
      <w:r w:rsidRPr="000348BD">
        <w:rPr>
          <w:rFonts w:ascii="Calibri" w:hAnsi="Calibri" w:cs="Calibri"/>
          <w:color w:val="000000" w:themeColor="text1"/>
          <w:sz w:val="22"/>
          <w:szCs w:val="22"/>
          <w:lang w:val="en-AU"/>
        </w:rPr>
        <w:t xml:space="preserve"> Quality Standards for Development Evaluation, and DFAT DMEL Standards.  </w:t>
      </w:r>
    </w:p>
    <w:p w14:paraId="07C58108" w14:textId="77777777" w:rsidR="00225A2D" w:rsidRPr="000348BD" w:rsidRDefault="00225A2D">
      <w:pPr>
        <w:spacing w:after="160" w:line="259" w:lineRule="auto"/>
        <w:rPr>
          <w:rFonts w:ascii="Calibri" w:hAnsi="Calibri" w:cs="Calibri"/>
          <w:b/>
          <w:bCs/>
          <w:sz w:val="22"/>
          <w:szCs w:val="22"/>
          <w:u w:val="single"/>
          <w:lang w:val="en-AU"/>
        </w:rPr>
      </w:pPr>
      <w:bookmarkStart w:id="54" w:name="_Toc192742839"/>
    </w:p>
    <w:bookmarkEnd w:id="54"/>
    <w:p w14:paraId="6645C79A" w14:textId="25FCB2FD" w:rsidR="00577D45" w:rsidRPr="000348BD" w:rsidRDefault="00577D45" w:rsidP="00225A2D">
      <w:pPr>
        <w:spacing w:after="160" w:line="259" w:lineRule="auto"/>
        <w:rPr>
          <w:rFonts w:ascii="Calibri" w:hAnsi="Calibri" w:cs="Calibri"/>
          <w:b/>
          <w:bCs/>
          <w:sz w:val="22"/>
          <w:szCs w:val="22"/>
          <w:u w:val="single"/>
          <w:lang w:val="en-AU"/>
        </w:rPr>
        <w:sectPr w:rsidR="00577D45" w:rsidRPr="000348BD" w:rsidSect="00116737">
          <w:footerReference w:type="even" r:id="rId27"/>
          <w:footerReference w:type="default" r:id="rId28"/>
          <w:footerReference w:type="first" r:id="rId29"/>
          <w:pgSz w:w="12240" w:h="15840"/>
          <w:pgMar w:top="1440" w:right="1440" w:bottom="1440" w:left="1440" w:header="708" w:footer="708" w:gutter="0"/>
          <w:cols w:space="708"/>
          <w:docGrid w:linePitch="360"/>
        </w:sectPr>
      </w:pPr>
    </w:p>
    <w:p w14:paraId="3CD208C9" w14:textId="34D8037A" w:rsidR="00B61582" w:rsidRPr="00566B1A" w:rsidRDefault="00B61582" w:rsidP="00225A2D">
      <w:pPr>
        <w:pStyle w:val="Heading1"/>
        <w:rPr>
          <w:rFonts w:cs="Calibri"/>
          <w:lang w:val="en-AU"/>
        </w:rPr>
      </w:pPr>
      <w:bookmarkStart w:id="55" w:name="_Toc233724265"/>
      <w:r w:rsidRPr="00566B1A">
        <w:rPr>
          <w:rFonts w:cs="Calibri"/>
          <w:lang w:val="en-AU"/>
        </w:rPr>
        <w:lastRenderedPageBreak/>
        <w:t>Annex 2: VPSDP Theory of Change</w:t>
      </w:r>
      <w:bookmarkEnd w:id="55"/>
    </w:p>
    <w:p w14:paraId="625CA629" w14:textId="3ACFA85D" w:rsidR="00B61582" w:rsidRPr="00C97A19" w:rsidRDefault="009430B3" w:rsidP="001D7478">
      <w:pPr>
        <w:pStyle w:val="BodyText"/>
        <w:ind w:left="720"/>
        <w:rPr>
          <w:lang w:val="en-AU"/>
        </w:rPr>
      </w:pPr>
      <w:r>
        <w:rPr>
          <w:noProof/>
          <w:lang w:val="en-AU"/>
        </w:rPr>
        <w:t xml:space="preserve"> </w:t>
      </w:r>
      <w:r w:rsidR="00B61582" w:rsidRPr="000348BD">
        <w:rPr>
          <w:noProof/>
          <w:lang w:val="en-AU"/>
        </w:rPr>
        <w:drawing>
          <wp:inline distT="0" distB="0" distL="0" distR="0" wp14:anchorId="314207F5" wp14:editId="44CEF5D7">
            <wp:extent cx="5795658" cy="3268980"/>
            <wp:effectExtent l="0" t="0" r="0" b="7620"/>
            <wp:docPr id="1" name="Picture 1" descr="Annex 2 - VPSDP Theory of Change. Please see details in the Annex 6 be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nex 2 - VPSDP Theory of Change. Please see details in the Annex 6 below.&#10;&#10;"/>
                    <pic:cNvPicPr/>
                  </pic:nvPicPr>
                  <pic:blipFill>
                    <a:blip r:embed="rId30"/>
                    <a:stretch>
                      <a:fillRect/>
                    </a:stretch>
                  </pic:blipFill>
                  <pic:spPr>
                    <a:xfrm>
                      <a:off x="0" y="0"/>
                      <a:ext cx="5802256" cy="3272702"/>
                    </a:xfrm>
                    <a:prstGeom prst="rect">
                      <a:avLst/>
                    </a:prstGeom>
                  </pic:spPr>
                </pic:pic>
              </a:graphicData>
            </a:graphic>
          </wp:inline>
        </w:drawing>
      </w:r>
    </w:p>
    <w:p w14:paraId="514530E8" w14:textId="77777777" w:rsidR="007519BD" w:rsidRDefault="007519BD">
      <w:pPr>
        <w:spacing w:after="160" w:line="259" w:lineRule="auto"/>
        <w:rPr>
          <w:rFonts w:cs="Calibri"/>
          <w:b/>
          <w:bCs/>
          <w:lang w:val="en-AU"/>
        </w:rPr>
      </w:pPr>
    </w:p>
    <w:p w14:paraId="07633391" w14:textId="2DF022F9" w:rsidR="007519BD" w:rsidRDefault="007519BD" w:rsidP="007519BD">
      <w:p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Theory</w:t>
      </w:r>
      <w:r>
        <w:rPr>
          <w:rFonts w:ascii="Calibri" w:hAnsi="Calibri" w:cs="Calibri"/>
          <w:color w:val="000000" w:themeColor="text1"/>
          <w:sz w:val="22"/>
          <w:szCs w:val="22"/>
          <w:lang w:val="en-AU"/>
        </w:rPr>
        <w:t xml:space="preserve"> of Change: Viet</w:t>
      </w:r>
      <w:r w:rsidR="00BB3852">
        <w:rPr>
          <w:rFonts w:ascii="Calibri" w:hAnsi="Calibri" w:cs="Calibri"/>
          <w:color w:val="000000" w:themeColor="text1"/>
          <w:sz w:val="22"/>
          <w:szCs w:val="22"/>
          <w:lang w:val="en-AU"/>
        </w:rPr>
        <w:t>n</w:t>
      </w:r>
      <w:r>
        <w:rPr>
          <w:rFonts w:ascii="Calibri" w:hAnsi="Calibri" w:cs="Calibri"/>
          <w:color w:val="000000" w:themeColor="text1"/>
          <w:sz w:val="22"/>
          <w:szCs w:val="22"/>
          <w:lang w:val="en-AU"/>
        </w:rPr>
        <w:t>am Private Sector Development Partnership (VPSDP) – 2023-2027</w:t>
      </w:r>
    </w:p>
    <w:p w14:paraId="5CF880A9" w14:textId="27D5F84B" w:rsidR="007519BD" w:rsidRDefault="007519BD" w:rsidP="007519BD">
      <w:pPr>
        <w:spacing w:after="120"/>
        <w:jc w:val="both"/>
        <w:rPr>
          <w:rFonts w:ascii="Calibri" w:hAnsi="Calibri" w:cs="Calibri"/>
          <w:b/>
          <w:bCs/>
          <w:color w:val="000000" w:themeColor="text1"/>
          <w:sz w:val="22"/>
          <w:szCs w:val="22"/>
          <w:lang w:val="en-AU"/>
        </w:rPr>
      </w:pPr>
      <w:r>
        <w:rPr>
          <w:rFonts w:ascii="Calibri" w:hAnsi="Calibri" w:cs="Calibri"/>
          <w:color w:val="000000" w:themeColor="text1"/>
          <w:sz w:val="22"/>
          <w:szCs w:val="22"/>
          <w:lang w:val="en-AU"/>
        </w:rPr>
        <w:t xml:space="preserve">Goal: </w:t>
      </w:r>
      <w:r w:rsidRPr="007519BD">
        <w:rPr>
          <w:rFonts w:ascii="Calibri" w:hAnsi="Calibri" w:cs="Calibri"/>
          <w:color w:val="000000" w:themeColor="text1"/>
          <w:sz w:val="22"/>
          <w:szCs w:val="22"/>
          <w:lang w:val="en-AU"/>
        </w:rPr>
        <w:t xml:space="preserve">Enhance the competitiveness and accelerate the growth of the private sector to foster an inclusive </w:t>
      </w:r>
      <w:r>
        <w:rPr>
          <w:rFonts w:ascii="Calibri" w:hAnsi="Calibri" w:cs="Calibri"/>
          <w:color w:val="000000" w:themeColor="text1"/>
          <w:sz w:val="22"/>
          <w:szCs w:val="22"/>
          <w:lang w:val="en-AU"/>
        </w:rPr>
        <w:t xml:space="preserve">and </w:t>
      </w:r>
      <w:r w:rsidRPr="007519BD">
        <w:rPr>
          <w:rFonts w:ascii="Calibri" w:hAnsi="Calibri" w:cs="Calibri"/>
          <w:color w:val="000000" w:themeColor="text1"/>
          <w:sz w:val="22"/>
          <w:szCs w:val="22"/>
          <w:lang w:val="en-AU"/>
        </w:rPr>
        <w:t>sustainable recovery and</w:t>
      </w:r>
      <w:r>
        <w:rPr>
          <w:rFonts w:ascii="Calibri" w:hAnsi="Calibri" w:cs="Calibri"/>
          <w:color w:val="000000" w:themeColor="text1"/>
          <w:sz w:val="22"/>
          <w:szCs w:val="22"/>
          <w:lang w:val="en-AU"/>
        </w:rPr>
        <w:t xml:space="preserve"> </w:t>
      </w:r>
      <w:r w:rsidRPr="007519BD">
        <w:rPr>
          <w:rFonts w:ascii="Calibri" w:hAnsi="Calibri" w:cs="Calibri"/>
          <w:color w:val="000000" w:themeColor="text1"/>
          <w:sz w:val="22"/>
          <w:szCs w:val="22"/>
          <w:lang w:val="en-AU"/>
        </w:rPr>
        <w:t xml:space="preserve">accelerate the transition towards a greener economy to deliver on Vietnam’s climate change adaptation </w:t>
      </w:r>
      <w:r>
        <w:rPr>
          <w:rFonts w:ascii="Calibri" w:hAnsi="Calibri" w:cs="Calibri"/>
          <w:color w:val="000000" w:themeColor="text1"/>
          <w:sz w:val="22"/>
          <w:szCs w:val="22"/>
          <w:lang w:val="en-AU"/>
        </w:rPr>
        <w:t>and</w:t>
      </w:r>
      <w:r w:rsidRPr="007519BD">
        <w:rPr>
          <w:rFonts w:ascii="Calibri" w:hAnsi="Calibri" w:cs="Calibri"/>
          <w:color w:val="000000" w:themeColor="text1"/>
          <w:sz w:val="22"/>
          <w:szCs w:val="22"/>
          <w:lang w:val="en-AU"/>
        </w:rPr>
        <w:t xml:space="preserve"> mitigation targets.​</w:t>
      </w:r>
      <w:r w:rsidRPr="007519BD" w:rsidDel="007519BD">
        <w:rPr>
          <w:rFonts w:ascii="Calibri" w:hAnsi="Calibri" w:cs="Calibri"/>
          <w:b/>
          <w:bCs/>
          <w:color w:val="000000" w:themeColor="text1"/>
          <w:sz w:val="22"/>
          <w:szCs w:val="22"/>
          <w:lang w:val="en-AU"/>
        </w:rPr>
        <w:t xml:space="preserve"> </w:t>
      </w:r>
    </w:p>
    <w:p w14:paraId="10BA2A1B" w14:textId="77777777" w:rsidR="007519BD" w:rsidRDefault="007519BD" w:rsidP="007519BD">
      <w:pPr>
        <w:spacing w:after="120"/>
        <w:jc w:val="both"/>
        <w:rPr>
          <w:rFonts w:cs="Calibri"/>
          <w:b/>
          <w:bCs/>
          <w:lang w:val="en-AU"/>
        </w:rPr>
      </w:pPr>
    </w:p>
    <w:p w14:paraId="1431F5F2" w14:textId="77777777" w:rsidR="00BB3852" w:rsidRDefault="007519BD" w:rsidP="007519BD">
      <w:p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Impacts</w:t>
      </w:r>
    </w:p>
    <w:p w14:paraId="465C9106" w14:textId="67CB8AD6" w:rsidR="00BB3852" w:rsidRDefault="00BB3852">
      <w:pPr>
        <w:pStyle w:val="ListParagraph"/>
        <w:numPr>
          <w:ilvl w:val="0"/>
          <w:numId w:val="25"/>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Increase Vietnam’s Competitiveness </w:t>
      </w:r>
    </w:p>
    <w:p w14:paraId="0B66C17E" w14:textId="7494EAAE" w:rsidR="00BB3852" w:rsidRDefault="00BB3852">
      <w:pPr>
        <w:pStyle w:val="ListParagraph"/>
        <w:numPr>
          <w:ilvl w:val="0"/>
          <w:numId w:val="26"/>
        </w:numPr>
        <w:spacing w:after="120"/>
        <w:jc w:val="both"/>
        <w:rPr>
          <w:rFonts w:ascii="Calibri" w:hAnsi="Calibri" w:cs="Calibri"/>
          <w:color w:val="000000" w:themeColor="text1"/>
          <w:sz w:val="22"/>
          <w:szCs w:val="22"/>
          <w:lang w:val="en-AU"/>
        </w:rPr>
      </w:pPr>
      <w:r w:rsidRPr="00BB3852">
        <w:rPr>
          <w:rFonts w:ascii="Calibri" w:hAnsi="Calibri" w:cs="Calibri"/>
          <w:color w:val="000000" w:themeColor="text1"/>
          <w:sz w:val="22"/>
          <w:szCs w:val="22"/>
          <w:lang w:val="en-AU"/>
        </w:rPr>
        <w:t>Private sector savings are realized through a reduction</w:t>
      </w:r>
      <w:r>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in the time and cost of doing business</w:t>
      </w:r>
    </w:p>
    <w:p w14:paraId="5924906E" w14:textId="75F7C9B6" w:rsidR="00BB3852" w:rsidRDefault="00BB3852">
      <w:pPr>
        <w:pStyle w:val="ListParagraph"/>
        <w:numPr>
          <w:ilvl w:val="0"/>
          <w:numId w:val="26"/>
        </w:numPr>
        <w:spacing w:after="120"/>
        <w:jc w:val="both"/>
        <w:rPr>
          <w:rFonts w:ascii="Calibri" w:hAnsi="Calibri" w:cs="Calibri"/>
          <w:color w:val="000000" w:themeColor="text1"/>
          <w:sz w:val="22"/>
          <w:szCs w:val="22"/>
          <w:lang w:val="en-AU"/>
        </w:rPr>
      </w:pPr>
      <w:r w:rsidRPr="00BB3852">
        <w:rPr>
          <w:rFonts w:ascii="Calibri" w:hAnsi="Calibri" w:cs="Calibri"/>
          <w:color w:val="000000" w:themeColor="text1"/>
          <w:sz w:val="22"/>
          <w:szCs w:val="22"/>
          <w:lang w:val="en-AU"/>
        </w:rPr>
        <w:t>Accelerate Vietnam’s decarbonization efforts, including</w:t>
      </w:r>
      <w:r>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resource efficiency and circular economy</w:t>
      </w:r>
    </w:p>
    <w:p w14:paraId="470A6449" w14:textId="218FA2B7" w:rsidR="00BB3852" w:rsidRDefault="00BB3852">
      <w:pPr>
        <w:pStyle w:val="ListParagraph"/>
        <w:numPr>
          <w:ilvl w:val="0"/>
          <w:numId w:val="25"/>
        </w:numPr>
        <w:spacing w:after="120"/>
        <w:jc w:val="both"/>
        <w:rPr>
          <w:rFonts w:ascii="Calibri" w:hAnsi="Calibri" w:cs="Calibri"/>
          <w:color w:val="000000" w:themeColor="text1"/>
          <w:sz w:val="22"/>
          <w:szCs w:val="22"/>
          <w:lang w:val="en-AU"/>
        </w:rPr>
      </w:pPr>
      <w:r w:rsidRPr="00BB3852">
        <w:rPr>
          <w:rFonts w:ascii="Calibri" w:hAnsi="Calibri" w:cs="Calibri"/>
          <w:color w:val="000000" w:themeColor="text1"/>
          <w:sz w:val="22"/>
          <w:szCs w:val="22"/>
          <w:lang w:val="en-AU"/>
        </w:rPr>
        <w:t>Increase in sustainable, climate-smart private</w:t>
      </w:r>
      <w:r>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investment and financing in Vietnam</w:t>
      </w:r>
    </w:p>
    <w:p w14:paraId="57D69478" w14:textId="77777777" w:rsidR="00BB3852" w:rsidRPr="002E39E8" w:rsidRDefault="00BB3852">
      <w:pPr>
        <w:pStyle w:val="ListParagraph"/>
        <w:numPr>
          <w:ilvl w:val="0"/>
          <w:numId w:val="27"/>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Private investment mobilized​</w:t>
      </w:r>
    </w:p>
    <w:p w14:paraId="5F387A71" w14:textId="77777777" w:rsidR="00BB3852" w:rsidRPr="002E39E8" w:rsidRDefault="00BB3852">
      <w:pPr>
        <w:pStyle w:val="ListParagraph"/>
        <w:numPr>
          <w:ilvl w:val="0"/>
          <w:numId w:val="27"/>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GHGs reduced​</w:t>
      </w:r>
    </w:p>
    <w:p w14:paraId="1C395994" w14:textId="2727751A" w:rsidR="00BB3852" w:rsidRDefault="00BB3852">
      <w:pPr>
        <w:pStyle w:val="ListParagraph"/>
        <w:numPr>
          <w:ilvl w:val="0"/>
          <w:numId w:val="27"/>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Efficiency improvements (resource efficiency, food loss, circularity)</w:t>
      </w:r>
    </w:p>
    <w:p w14:paraId="767A1DAA" w14:textId="686FF3D1" w:rsidR="00BB3852" w:rsidRDefault="00BB3852">
      <w:pPr>
        <w:pStyle w:val="ListParagraph"/>
        <w:numPr>
          <w:ilvl w:val="0"/>
          <w:numId w:val="25"/>
        </w:numPr>
        <w:spacing w:after="120"/>
        <w:jc w:val="both"/>
        <w:rPr>
          <w:rFonts w:ascii="Calibri" w:hAnsi="Calibri" w:cs="Calibri"/>
          <w:color w:val="000000" w:themeColor="text1"/>
          <w:sz w:val="22"/>
          <w:szCs w:val="22"/>
          <w:lang w:val="en-AU"/>
        </w:rPr>
      </w:pPr>
      <w:r w:rsidRPr="00BB3852">
        <w:rPr>
          <w:rFonts w:ascii="Calibri" w:hAnsi="Calibri" w:cs="Calibri"/>
          <w:color w:val="000000" w:themeColor="text1"/>
          <w:sz w:val="22"/>
          <w:szCs w:val="22"/>
          <w:lang w:val="en-AU"/>
        </w:rPr>
        <w:t>Enhanced gender inclusion &amp; sustainability standards</w:t>
      </w:r>
    </w:p>
    <w:p w14:paraId="08C5571A" w14:textId="4F16B992" w:rsidR="00BB3852" w:rsidRPr="002E39E8" w:rsidRDefault="00BB3852">
      <w:pPr>
        <w:pStyle w:val="ListParagraph"/>
        <w:numPr>
          <w:ilvl w:val="0"/>
          <w:numId w:val="28"/>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Improvement in economic opportunities among women (e.g., through access to finance, employment opportunities, etc.)​</w:t>
      </w:r>
    </w:p>
    <w:p w14:paraId="08B50AE3" w14:textId="705F1141" w:rsidR="00BB3852" w:rsidRPr="002E39E8" w:rsidRDefault="00BB3852">
      <w:pPr>
        <w:pStyle w:val="ListParagraph"/>
        <w:numPr>
          <w:ilvl w:val="0"/>
          <w:numId w:val="28"/>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Increase in investments adopting international industry E&amp;S standards and climate-smart practices</w:t>
      </w:r>
    </w:p>
    <w:p w14:paraId="3B791477" w14:textId="77777777" w:rsidR="00BB3852" w:rsidRDefault="00BB3852" w:rsidP="00BB3852">
      <w:p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Outcomes </w:t>
      </w:r>
    </w:p>
    <w:p w14:paraId="295428C8" w14:textId="5519AB25" w:rsidR="00BB3852" w:rsidRPr="002E39E8" w:rsidRDefault="00BB3852">
      <w:pPr>
        <w:pStyle w:val="ListParagraph"/>
        <w:numPr>
          <w:ilvl w:val="0"/>
          <w:numId w:val="3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Enabling Environment Improvement </w:t>
      </w:r>
    </w:p>
    <w:p w14:paraId="56B2E5E2" w14:textId="35D4A76B" w:rsidR="00BB3852" w:rsidRPr="002E39E8" w:rsidRDefault="006159C3">
      <w:pPr>
        <w:pStyle w:val="ListParagraph"/>
        <w:numPr>
          <w:ilvl w:val="0"/>
          <w:numId w:val="2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Improved legal and regulatory environment through the implementation of reforms that respond to private sector needs</w:t>
      </w:r>
    </w:p>
    <w:p w14:paraId="041F51C6" w14:textId="0C75F610" w:rsidR="00BB3852" w:rsidRPr="002E39E8" w:rsidRDefault="006159C3">
      <w:pPr>
        <w:pStyle w:val="ListParagraph"/>
        <w:numPr>
          <w:ilvl w:val="0"/>
          <w:numId w:val="3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Investment Pipeline Creation </w:t>
      </w:r>
    </w:p>
    <w:p w14:paraId="306AB0A8" w14:textId="1DF391E1" w:rsidR="006159C3" w:rsidRPr="002E39E8" w:rsidRDefault="006159C3">
      <w:pPr>
        <w:pStyle w:val="ListParagraph"/>
        <w:numPr>
          <w:ilvl w:val="0"/>
          <w:numId w:val="2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Pipeline of potentially bankable and climate-smart private investments across key growth sectors including infrastructure, agribusiness, finance, and tourism</w:t>
      </w:r>
    </w:p>
    <w:p w14:paraId="3C13BF1D" w14:textId="44B5046B" w:rsidR="006159C3" w:rsidRPr="002E39E8" w:rsidRDefault="006159C3">
      <w:pPr>
        <w:pStyle w:val="ListParagraph"/>
        <w:numPr>
          <w:ilvl w:val="0"/>
          <w:numId w:val="3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Sustainable and Inclusive Products and Services </w:t>
      </w:r>
    </w:p>
    <w:p w14:paraId="31F1DEDD" w14:textId="20926A47" w:rsidR="006159C3" w:rsidRPr="002E39E8" w:rsidRDefault="006159C3">
      <w:pPr>
        <w:pStyle w:val="ListParagraph"/>
        <w:numPr>
          <w:ilvl w:val="0"/>
          <w:numId w:val="2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New financial products &amp; services developed, including those that aim to increase access to finance for women-owned business​</w:t>
      </w:r>
    </w:p>
    <w:p w14:paraId="32292830" w14:textId="4F37FD01" w:rsidR="006159C3" w:rsidRPr="002E39E8" w:rsidRDefault="006159C3">
      <w:pPr>
        <w:pStyle w:val="ListParagraph"/>
        <w:numPr>
          <w:ilvl w:val="0"/>
          <w:numId w:val="2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Sustainability-linked finance products​</w:t>
      </w:r>
    </w:p>
    <w:p w14:paraId="3DBFE7A3" w14:textId="63BEFDCD" w:rsidR="006159C3" w:rsidRPr="002E39E8" w:rsidRDefault="006159C3">
      <w:pPr>
        <w:pStyle w:val="ListParagraph"/>
        <w:numPr>
          <w:ilvl w:val="0"/>
          <w:numId w:val="2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lastRenderedPageBreak/>
        <w:t>Adoption of climate-smart solutions by companies</w:t>
      </w:r>
    </w:p>
    <w:p w14:paraId="582A40E1" w14:textId="55E106D4" w:rsidR="006159C3" w:rsidRPr="002E39E8" w:rsidRDefault="006159C3">
      <w:pPr>
        <w:pStyle w:val="ListParagraph"/>
        <w:numPr>
          <w:ilvl w:val="0"/>
          <w:numId w:val="3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Gender Inclusive and Sustainable Practices and Solutions </w:t>
      </w:r>
    </w:p>
    <w:p w14:paraId="5A7497B1" w14:textId="74F6476F" w:rsidR="006159C3" w:rsidRPr="002E39E8" w:rsidRDefault="006159C3">
      <w:pPr>
        <w:pStyle w:val="ListParagraph"/>
        <w:numPr>
          <w:ilvl w:val="0"/>
          <w:numId w:val="31"/>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Increased uptake of gender inclusive practices (incl. employer provided childcare) by firms​</w:t>
      </w:r>
    </w:p>
    <w:p w14:paraId="6B6C2498" w14:textId="28518553" w:rsidR="006159C3" w:rsidRPr="002E39E8" w:rsidRDefault="006159C3">
      <w:pPr>
        <w:pStyle w:val="ListParagraph"/>
        <w:numPr>
          <w:ilvl w:val="0"/>
          <w:numId w:val="31"/>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Use of best practice industry E&amp;S standards by companies</w:t>
      </w:r>
    </w:p>
    <w:p w14:paraId="25C04B95" w14:textId="77777777" w:rsidR="00DA26A6" w:rsidRDefault="00DA26A6" w:rsidP="006159C3">
      <w:pPr>
        <w:spacing w:after="120"/>
        <w:jc w:val="both"/>
        <w:rPr>
          <w:rFonts w:ascii="Calibri" w:hAnsi="Calibri" w:cs="Calibri"/>
          <w:color w:val="000000" w:themeColor="text1"/>
          <w:sz w:val="22"/>
          <w:szCs w:val="22"/>
          <w:lang w:val="en-AU"/>
        </w:rPr>
      </w:pPr>
    </w:p>
    <w:p w14:paraId="62377B39" w14:textId="67904BFE" w:rsidR="006159C3" w:rsidRDefault="006159C3" w:rsidP="006159C3">
      <w:p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Intermediate Outcomes </w:t>
      </w:r>
    </w:p>
    <w:p w14:paraId="5BC01324" w14:textId="4DBCB879" w:rsidR="006159C3" w:rsidRDefault="00DA26A6">
      <w:pPr>
        <w:pStyle w:val="ListParagraph"/>
        <w:numPr>
          <w:ilvl w:val="0"/>
          <w:numId w:val="32"/>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Strengthened Capacity for Enabling Environment</w:t>
      </w:r>
    </w:p>
    <w:p w14:paraId="032B2535" w14:textId="77777777" w:rsidR="00DA26A6" w:rsidRPr="002E39E8" w:rsidRDefault="00DA26A6">
      <w:pPr>
        <w:pStyle w:val="ListParagraph"/>
        <w:numPr>
          <w:ilvl w:val="0"/>
          <w:numId w:val="3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Improved awareness on conducive business regulations and investment policy framework​</w:t>
      </w:r>
    </w:p>
    <w:p w14:paraId="0AA92192" w14:textId="409A869E" w:rsidR="00DA26A6" w:rsidRPr="002E39E8" w:rsidRDefault="00DA26A6">
      <w:pPr>
        <w:pStyle w:val="ListParagraph"/>
        <w:numPr>
          <w:ilvl w:val="0"/>
          <w:numId w:val="3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Strengthened govt’s capacity to implement the right policies to promote green business opportunities </w:t>
      </w:r>
    </w:p>
    <w:p w14:paraId="30556DB8" w14:textId="466EB5E4" w:rsidR="00DA26A6" w:rsidRPr="00BB7FFD" w:rsidRDefault="00DA26A6">
      <w:pPr>
        <w:pStyle w:val="ListParagraph"/>
        <w:numPr>
          <w:ilvl w:val="0"/>
          <w:numId w:val="32"/>
        </w:numPr>
        <w:spacing w:after="120"/>
        <w:jc w:val="both"/>
        <w:rPr>
          <w:rFonts w:ascii="Calibri" w:hAnsi="Calibri" w:cs="Calibri"/>
          <w:color w:val="000000" w:themeColor="text1"/>
          <w:sz w:val="22"/>
          <w:szCs w:val="22"/>
          <w:lang w:val="en-AU"/>
        </w:rPr>
      </w:pPr>
      <w:r w:rsidRPr="00BB7FFD">
        <w:rPr>
          <w:rFonts w:ascii="Calibri" w:hAnsi="Calibri" w:cs="Calibri"/>
          <w:color w:val="000000" w:themeColor="text1"/>
          <w:sz w:val="22"/>
          <w:szCs w:val="22"/>
          <w:lang w:val="en-AU"/>
        </w:rPr>
        <w:t>Improved Readiness for Private Investments</w:t>
      </w:r>
    </w:p>
    <w:p w14:paraId="30CD37F4" w14:textId="6D5C053A" w:rsidR="00DA26A6" w:rsidRPr="002E39E8" w:rsidRDefault="00DA26A6">
      <w:pPr>
        <w:pStyle w:val="ListParagraph"/>
        <w:numPr>
          <w:ilvl w:val="0"/>
          <w:numId w:val="34"/>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Improved understanding of market bottlenecks and opportunities ​</w:t>
      </w:r>
    </w:p>
    <w:p w14:paraId="5F1C718D" w14:textId="6648ABF9" w:rsidR="00DA26A6" w:rsidRPr="002E39E8" w:rsidRDefault="00DA26A6">
      <w:pPr>
        <w:pStyle w:val="ListParagraph"/>
        <w:numPr>
          <w:ilvl w:val="0"/>
          <w:numId w:val="34"/>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Strengthened government and firms’ capacities in developing potential investments</w:t>
      </w:r>
    </w:p>
    <w:p w14:paraId="74CD2834" w14:textId="3308128A" w:rsidR="00DA26A6" w:rsidRDefault="00DA26A6">
      <w:pPr>
        <w:pStyle w:val="ListParagraph"/>
        <w:numPr>
          <w:ilvl w:val="0"/>
          <w:numId w:val="32"/>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Improved Capacity in the Financial Sector </w:t>
      </w:r>
    </w:p>
    <w:p w14:paraId="2F4CD5CC" w14:textId="5835B153" w:rsidR="00DA26A6" w:rsidRPr="002E39E8" w:rsidRDefault="00DA26A6">
      <w:pPr>
        <w:pStyle w:val="ListParagraph"/>
        <w:numPr>
          <w:ilvl w:val="0"/>
          <w:numId w:val="35"/>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Enhanced understanding by government and firms on the use of green finance products ​</w:t>
      </w:r>
    </w:p>
    <w:p w14:paraId="2714A364" w14:textId="7B17AEFD" w:rsidR="00DA26A6" w:rsidRPr="002E39E8" w:rsidRDefault="00DA26A6">
      <w:pPr>
        <w:pStyle w:val="ListParagraph"/>
        <w:numPr>
          <w:ilvl w:val="0"/>
          <w:numId w:val="35"/>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Increased financial institutions’ capacity to develop green finance products</w:t>
      </w:r>
    </w:p>
    <w:p w14:paraId="5D49F4E0" w14:textId="46B13B31" w:rsidR="00DA26A6" w:rsidRDefault="00DA26A6">
      <w:pPr>
        <w:pStyle w:val="ListParagraph"/>
        <w:numPr>
          <w:ilvl w:val="0"/>
          <w:numId w:val="32"/>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Raised Awareness of Standards and Inclusion</w:t>
      </w:r>
    </w:p>
    <w:p w14:paraId="5E06C450" w14:textId="5A4B4ED9" w:rsidR="00DA26A6" w:rsidRPr="002E39E8" w:rsidRDefault="00DA26A6">
      <w:pPr>
        <w:pStyle w:val="ListParagraph"/>
        <w:numPr>
          <w:ilvl w:val="0"/>
          <w:numId w:val="36"/>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Improved awareness on best industry practices on inclusion and E&amp;S standards ​</w:t>
      </w:r>
    </w:p>
    <w:p w14:paraId="1ABA5785" w14:textId="44FC9932" w:rsidR="00DA26A6" w:rsidRPr="002E39E8" w:rsidRDefault="00DA26A6">
      <w:pPr>
        <w:pStyle w:val="ListParagraph"/>
        <w:numPr>
          <w:ilvl w:val="0"/>
          <w:numId w:val="36"/>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Increased firms’ appetite to implement the best practices</w:t>
      </w:r>
    </w:p>
    <w:p w14:paraId="22ADD83F" w14:textId="77777777" w:rsidR="00DA26A6" w:rsidRDefault="00DA26A6" w:rsidP="006159C3">
      <w:pPr>
        <w:spacing w:after="120"/>
        <w:jc w:val="both"/>
        <w:rPr>
          <w:rFonts w:ascii="Calibri" w:hAnsi="Calibri" w:cs="Calibri"/>
          <w:color w:val="000000" w:themeColor="text1"/>
          <w:sz w:val="22"/>
          <w:szCs w:val="22"/>
          <w:lang w:val="en-AU"/>
        </w:rPr>
      </w:pPr>
    </w:p>
    <w:p w14:paraId="15E2718A" w14:textId="430E9D1A" w:rsidR="006159C3" w:rsidRDefault="006159C3" w:rsidP="006159C3">
      <w:p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Outputs/Activities</w:t>
      </w:r>
    </w:p>
    <w:p w14:paraId="4E620812" w14:textId="2A316A40" w:rsidR="00DA26A6" w:rsidRDefault="00DA26A6">
      <w:pPr>
        <w:pStyle w:val="ListParagraph"/>
        <w:numPr>
          <w:ilvl w:val="0"/>
          <w:numId w:val="37"/>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Enabling Environment for the Private Sector </w:t>
      </w:r>
    </w:p>
    <w:p w14:paraId="0244B7DE" w14:textId="55FE0EC8" w:rsidR="00420A57" w:rsidRPr="002E39E8" w:rsidRDefault="00420A57">
      <w:pPr>
        <w:pStyle w:val="ListParagraph"/>
        <w:numPr>
          <w:ilvl w:val="0"/>
          <w:numId w:val="38"/>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Economy-wide advice to improve business regulations and investment policy framework (e.g., drafting and reviewing relevant regulations​</w:t>
      </w:r>
    </w:p>
    <w:p w14:paraId="53764DDB" w14:textId="2375ACB9" w:rsidR="00420A57" w:rsidRPr="002E39E8" w:rsidRDefault="00420A57">
      <w:pPr>
        <w:pStyle w:val="ListParagraph"/>
        <w:numPr>
          <w:ilvl w:val="0"/>
          <w:numId w:val="38"/>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Sector-specific enabling environment advice to government to promote green business opportunities (e.g., industrial decarbonization, eco-industrial parks, green manufacturing)</w:t>
      </w:r>
    </w:p>
    <w:p w14:paraId="2F2DCB72" w14:textId="2960E147" w:rsidR="00DA26A6" w:rsidRDefault="00DA26A6">
      <w:pPr>
        <w:pStyle w:val="ListParagraph"/>
        <w:numPr>
          <w:ilvl w:val="0"/>
          <w:numId w:val="37"/>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Accelerating Sustainable and Climate-Smart Private Investment in Key Growth Sectors</w:t>
      </w:r>
    </w:p>
    <w:p w14:paraId="20294E37" w14:textId="7B922191" w:rsidR="00420A57" w:rsidRPr="002E39E8" w:rsidRDefault="00420A57">
      <w:pPr>
        <w:pStyle w:val="ListParagraph"/>
        <w:numPr>
          <w:ilvl w:val="0"/>
          <w:numId w:val="3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Scoping, feasibility, diagnostic and market studies ​</w:t>
      </w:r>
    </w:p>
    <w:p w14:paraId="3E3288BD" w14:textId="20C77D94" w:rsidR="00420A57" w:rsidRPr="002E39E8" w:rsidRDefault="00420A57">
      <w:pPr>
        <w:pStyle w:val="ListParagraph"/>
        <w:numPr>
          <w:ilvl w:val="0"/>
          <w:numId w:val="3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firms (companies, farms and FIs) - both upstream and downstream​</w:t>
      </w:r>
    </w:p>
    <w:p w14:paraId="485156B8" w14:textId="0A140C8F" w:rsidR="00420A57" w:rsidRPr="002E39E8" w:rsidRDefault="00420A57">
      <w:pPr>
        <w:pStyle w:val="ListParagraph"/>
        <w:numPr>
          <w:ilvl w:val="0"/>
          <w:numId w:val="39"/>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government (e.g., PPP advice)</w:t>
      </w:r>
    </w:p>
    <w:p w14:paraId="18E82D9E" w14:textId="7408046C" w:rsidR="00DA26A6" w:rsidRDefault="00DA26A6">
      <w:pPr>
        <w:pStyle w:val="ListParagraph"/>
        <w:numPr>
          <w:ilvl w:val="0"/>
          <w:numId w:val="37"/>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Greening the Financial Sector</w:t>
      </w:r>
    </w:p>
    <w:p w14:paraId="2BADC7BF" w14:textId="2F932C10" w:rsidR="00420A57" w:rsidRPr="002E39E8" w:rsidRDefault="00420A57">
      <w:pPr>
        <w:pStyle w:val="ListParagraph"/>
        <w:numPr>
          <w:ilvl w:val="0"/>
          <w:numId w:val="4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firms and to government stakeholders to increase understanding and use of green finance products ​</w:t>
      </w:r>
    </w:p>
    <w:p w14:paraId="14420507" w14:textId="04E068B0" w:rsidR="00420A57" w:rsidRPr="002E39E8" w:rsidRDefault="00420A57">
      <w:pPr>
        <w:pStyle w:val="ListParagraph"/>
        <w:numPr>
          <w:ilvl w:val="0"/>
          <w:numId w:val="40"/>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financial institutions to support the development of a green finance market</w:t>
      </w:r>
    </w:p>
    <w:p w14:paraId="343A4523" w14:textId="431183D9" w:rsidR="00DA26A6" w:rsidRDefault="00DA26A6">
      <w:pPr>
        <w:pStyle w:val="ListParagraph"/>
        <w:numPr>
          <w:ilvl w:val="0"/>
          <w:numId w:val="37"/>
        </w:num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Standards and Inclusion</w:t>
      </w:r>
    </w:p>
    <w:p w14:paraId="2A4C69D0" w14:textId="0C03F053" w:rsidR="00420A57" w:rsidRPr="002E39E8" w:rsidRDefault="00420A57">
      <w:pPr>
        <w:pStyle w:val="ListParagraph"/>
        <w:numPr>
          <w:ilvl w:val="0"/>
          <w:numId w:val="41"/>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firms, and associated studies, to improve women’s economic opportunities​</w:t>
      </w:r>
    </w:p>
    <w:p w14:paraId="52E4E9C5" w14:textId="1F466C6F" w:rsidR="00420A57" w:rsidRPr="002E39E8" w:rsidRDefault="00420A57">
      <w:pPr>
        <w:pStyle w:val="ListParagraph"/>
        <w:numPr>
          <w:ilvl w:val="0"/>
          <w:numId w:val="41"/>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Integration of gender across VPSDP supported projects​</w:t>
      </w:r>
    </w:p>
    <w:p w14:paraId="2C1022C3" w14:textId="4F507797" w:rsidR="00420A57" w:rsidRPr="002E39E8" w:rsidRDefault="00420A57">
      <w:pPr>
        <w:pStyle w:val="ListParagraph"/>
        <w:numPr>
          <w:ilvl w:val="0"/>
          <w:numId w:val="41"/>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Advisory services to firms and to government to increase understanding and use of best practice industry E&amp;S standards and climate-smart practices</w:t>
      </w:r>
    </w:p>
    <w:p w14:paraId="6EB764D8" w14:textId="77777777" w:rsidR="006159C3" w:rsidRDefault="006159C3" w:rsidP="006159C3">
      <w:pPr>
        <w:spacing w:after="120"/>
        <w:jc w:val="both"/>
        <w:rPr>
          <w:rFonts w:ascii="Calibri" w:hAnsi="Calibri" w:cs="Calibri"/>
          <w:color w:val="000000" w:themeColor="text1"/>
          <w:sz w:val="22"/>
          <w:szCs w:val="22"/>
          <w:lang w:val="en-AU"/>
        </w:rPr>
      </w:pPr>
    </w:p>
    <w:p w14:paraId="6B49D1EF" w14:textId="5E9F7C33" w:rsidR="006159C3" w:rsidRDefault="006159C3" w:rsidP="006159C3">
      <w:p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Market Constraints </w:t>
      </w:r>
    </w:p>
    <w:p w14:paraId="00483E9B" w14:textId="51CF5FB5" w:rsidR="00DA26A6"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Competitiveness of the Private Sector</w:t>
      </w:r>
      <w:r w:rsidR="00420A57" w:rsidRPr="002E39E8">
        <w:rPr>
          <w:rFonts w:ascii="Calibri" w:hAnsi="Calibri" w:cs="Calibri"/>
          <w:color w:val="000000" w:themeColor="text1"/>
          <w:sz w:val="22"/>
          <w:szCs w:val="22"/>
          <w:lang w:val="en-AU"/>
        </w:rPr>
        <w:t>: Vietnam has significant room for improvement in enhancing the enabling environment and greening relevant sectors.</w:t>
      </w:r>
      <w:r w:rsidRPr="002E39E8">
        <w:rPr>
          <w:rFonts w:ascii="Calibri" w:hAnsi="Calibri" w:cs="Calibri"/>
          <w:color w:val="000000" w:themeColor="text1"/>
          <w:sz w:val="22"/>
          <w:szCs w:val="22"/>
          <w:lang w:val="en-AU"/>
        </w:rPr>
        <w:t xml:space="preserve"> </w:t>
      </w:r>
    </w:p>
    <w:p w14:paraId="08514A14" w14:textId="3EA300FA" w:rsidR="00DA26A6"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Accelerating Sustainable Infrastructure Investment</w:t>
      </w:r>
      <w:r w:rsidR="00420A57" w:rsidRPr="002E39E8">
        <w:rPr>
          <w:rFonts w:ascii="Calibri" w:hAnsi="Calibri" w:cs="Calibri"/>
          <w:color w:val="000000" w:themeColor="text1"/>
          <w:sz w:val="22"/>
          <w:szCs w:val="22"/>
          <w:lang w:val="en-AU"/>
        </w:rPr>
        <w:t>: In areas including transportation, water and waste management, health, and/or renewables</w:t>
      </w:r>
    </w:p>
    <w:p w14:paraId="1B3B900B" w14:textId="7AC72C60" w:rsidR="00DA26A6"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Inadequate Access to Finance</w:t>
      </w:r>
      <w:r w:rsidR="00420A57" w:rsidRPr="002E39E8">
        <w:rPr>
          <w:rFonts w:ascii="Calibri" w:hAnsi="Calibri" w:cs="Calibri"/>
          <w:color w:val="000000" w:themeColor="text1"/>
          <w:sz w:val="22"/>
          <w:szCs w:val="22"/>
          <w:lang w:val="en-AU"/>
        </w:rPr>
        <w:t>: Low levels of physical and technological infrastructure. Infrastructure includes transportation/ connectivity, health, housing, energy, and financial services</w:t>
      </w:r>
    </w:p>
    <w:p w14:paraId="60ABCFCC" w14:textId="7DD70859" w:rsidR="00DA26A6"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Climate Risk Assessment and Pricing</w:t>
      </w:r>
      <w:r w:rsidR="00420A57" w:rsidRPr="002E39E8">
        <w:rPr>
          <w:rFonts w:ascii="Calibri" w:hAnsi="Calibri" w:cs="Calibri"/>
          <w:color w:val="000000" w:themeColor="text1"/>
          <w:sz w:val="22"/>
          <w:szCs w:val="22"/>
          <w:lang w:val="en-AU"/>
        </w:rPr>
        <w:t>: Lack of awareness and internal capacity for FIs to evaluate climate finance potential and opportunity</w:t>
      </w:r>
    </w:p>
    <w:p w14:paraId="4E810521" w14:textId="70F949E6" w:rsidR="00420A57"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lastRenderedPageBreak/>
        <w:t>ESG Standards</w:t>
      </w:r>
      <w:r w:rsidR="00420A57" w:rsidRPr="002E39E8">
        <w:rPr>
          <w:rFonts w:ascii="Calibri" w:hAnsi="Calibri" w:cs="Calibri"/>
          <w:color w:val="000000" w:themeColor="text1"/>
          <w:sz w:val="22"/>
          <w:szCs w:val="22"/>
          <w:lang w:val="en-AU"/>
        </w:rPr>
        <w:t xml:space="preserve">: Vietnam is ranked the lowest among 6 countries on the ASEAN CG Scorecard, poor ESG practices and consequent negative outcomes remain a barrier to investment </w:t>
      </w:r>
    </w:p>
    <w:p w14:paraId="1ADA0855" w14:textId="37A81C7D" w:rsidR="00DA26A6" w:rsidRPr="002E39E8" w:rsidRDefault="00DA26A6">
      <w:pPr>
        <w:pStyle w:val="ListParagraph"/>
        <w:numPr>
          <w:ilvl w:val="0"/>
          <w:numId w:val="42"/>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 xml:space="preserve">Limiting </w:t>
      </w:r>
      <w:r w:rsidR="00420A57" w:rsidRPr="002E39E8">
        <w:rPr>
          <w:rFonts w:ascii="Calibri" w:hAnsi="Calibri" w:cs="Calibri"/>
          <w:color w:val="000000" w:themeColor="text1"/>
          <w:sz w:val="22"/>
          <w:szCs w:val="22"/>
          <w:lang w:val="en-AU"/>
        </w:rPr>
        <w:t xml:space="preserve">Factors for Increased Gender Equality: High rates of GBV and lack of childcare support affecting women’s participation/advancement in the private sector </w:t>
      </w:r>
    </w:p>
    <w:p w14:paraId="6D739D80" w14:textId="77777777" w:rsidR="006159C3" w:rsidRDefault="006159C3" w:rsidP="006159C3">
      <w:pPr>
        <w:spacing w:after="120"/>
        <w:jc w:val="both"/>
        <w:rPr>
          <w:rFonts w:ascii="Calibri" w:hAnsi="Calibri" w:cs="Calibri"/>
          <w:color w:val="000000" w:themeColor="text1"/>
          <w:sz w:val="22"/>
          <w:szCs w:val="22"/>
          <w:lang w:val="en-AU"/>
        </w:rPr>
      </w:pPr>
    </w:p>
    <w:p w14:paraId="54F2BB63" w14:textId="0F0DEC0B" w:rsidR="006159C3" w:rsidRDefault="006159C3" w:rsidP="006159C3">
      <w:pPr>
        <w:spacing w:after="120"/>
        <w:jc w:val="both"/>
        <w:rPr>
          <w:rFonts w:ascii="Calibri" w:hAnsi="Calibri" w:cs="Calibri"/>
          <w:color w:val="000000" w:themeColor="text1"/>
          <w:sz w:val="22"/>
          <w:szCs w:val="22"/>
          <w:lang w:val="en-AU"/>
        </w:rPr>
      </w:pPr>
      <w:r>
        <w:rPr>
          <w:rFonts w:ascii="Calibri" w:hAnsi="Calibri" w:cs="Calibri"/>
          <w:color w:val="000000" w:themeColor="text1"/>
          <w:sz w:val="22"/>
          <w:szCs w:val="22"/>
          <w:lang w:val="en-AU"/>
        </w:rPr>
        <w:t xml:space="preserve">Key Assumptions </w:t>
      </w:r>
    </w:p>
    <w:p w14:paraId="612045D4" w14:textId="59221EB3" w:rsidR="00420A57" w:rsidRPr="002E39E8" w:rsidRDefault="00420A57">
      <w:pPr>
        <w:pStyle w:val="ListParagraph"/>
        <w:numPr>
          <w:ilvl w:val="0"/>
          <w:numId w:val="4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GoV remains interested in</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and committed to economic</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reform and private sector</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development​</w:t>
      </w:r>
    </w:p>
    <w:p w14:paraId="77C5BB13" w14:textId="3707EF85" w:rsidR="00420A57" w:rsidRPr="002E39E8" w:rsidRDefault="00420A57">
      <w:pPr>
        <w:pStyle w:val="ListParagraph"/>
        <w:numPr>
          <w:ilvl w:val="0"/>
          <w:numId w:val="4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Constraints to private</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sector development not</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addressed through the VPSDP</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are adequately addressed by</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GoV and other DPs. (e.g.,</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education and skills)​</w:t>
      </w:r>
    </w:p>
    <w:p w14:paraId="372FE2EA" w14:textId="404D1CC3" w:rsidR="00420A57" w:rsidRPr="002E39E8" w:rsidRDefault="00420A57">
      <w:pPr>
        <w:pStyle w:val="ListParagraph"/>
        <w:numPr>
          <w:ilvl w:val="0"/>
          <w:numId w:val="4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The general economic</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environment is conducive to</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recovery &amp; growth (e.g., no</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health crisis, manageable</w:t>
      </w:r>
      <w:r w:rsidR="008A270E" w:rsidRPr="002E39E8">
        <w:rPr>
          <w:rFonts w:ascii="Calibri" w:hAnsi="Calibri" w:cs="Calibri"/>
          <w:color w:val="000000" w:themeColor="text1"/>
          <w:sz w:val="22"/>
          <w:szCs w:val="22"/>
          <w:lang w:val="en-AU"/>
        </w:rPr>
        <w:t xml:space="preserve"> </w:t>
      </w:r>
      <w:r w:rsidRPr="002E39E8">
        <w:rPr>
          <w:rFonts w:ascii="Calibri" w:hAnsi="Calibri" w:cs="Calibri"/>
          <w:color w:val="000000" w:themeColor="text1"/>
          <w:sz w:val="22"/>
          <w:szCs w:val="22"/>
          <w:lang w:val="en-AU"/>
        </w:rPr>
        <w:t>adverse climatic events)​</w:t>
      </w:r>
    </w:p>
    <w:p w14:paraId="248C7C89" w14:textId="4EABECAE" w:rsidR="00B61582" w:rsidRDefault="00420A57">
      <w:pPr>
        <w:pStyle w:val="ListParagraph"/>
        <w:numPr>
          <w:ilvl w:val="0"/>
          <w:numId w:val="43"/>
        </w:numPr>
        <w:spacing w:after="120"/>
        <w:jc w:val="both"/>
        <w:rPr>
          <w:rFonts w:ascii="Calibri" w:hAnsi="Calibri" w:cs="Calibri"/>
          <w:color w:val="000000" w:themeColor="text1"/>
          <w:sz w:val="22"/>
          <w:szCs w:val="22"/>
          <w:lang w:val="en-AU"/>
        </w:rPr>
      </w:pPr>
      <w:r w:rsidRPr="002E39E8">
        <w:rPr>
          <w:rFonts w:ascii="Calibri" w:hAnsi="Calibri" w:cs="Calibri"/>
          <w:color w:val="000000" w:themeColor="text1"/>
          <w:sz w:val="22"/>
          <w:szCs w:val="22"/>
          <w:lang w:val="en-AU"/>
        </w:rPr>
        <w:t>Timelines for project implementation are realistic and adaptive</w:t>
      </w:r>
    </w:p>
    <w:p w14:paraId="05EF6585" w14:textId="77777777" w:rsidR="00BB7FFD" w:rsidRPr="00BB7FFD" w:rsidRDefault="00BB7FFD" w:rsidP="00BB7FFD">
      <w:pPr>
        <w:pStyle w:val="ListParagraph"/>
        <w:spacing w:after="120"/>
        <w:jc w:val="both"/>
        <w:rPr>
          <w:rFonts w:ascii="Calibri" w:hAnsi="Calibri" w:cs="Calibri"/>
          <w:color w:val="000000" w:themeColor="text1"/>
          <w:sz w:val="22"/>
          <w:szCs w:val="22"/>
          <w:lang w:val="en-AU"/>
        </w:rPr>
      </w:pPr>
    </w:p>
    <w:p w14:paraId="3FADFA21" w14:textId="491A0621" w:rsidR="00225A2D" w:rsidRPr="00C30DF1" w:rsidRDefault="00225A2D" w:rsidP="00225A2D">
      <w:pPr>
        <w:pStyle w:val="Heading1"/>
        <w:rPr>
          <w:rFonts w:cs="Calibri"/>
          <w:lang w:val="en-AU"/>
        </w:rPr>
      </w:pPr>
      <w:bookmarkStart w:id="56" w:name="_Toc233724266"/>
      <w:r w:rsidRPr="00C30DF1">
        <w:rPr>
          <w:rFonts w:cs="Calibri"/>
          <w:lang w:val="en-AU"/>
        </w:rPr>
        <w:t xml:space="preserve">Annex </w:t>
      </w:r>
      <w:r w:rsidR="00B61582" w:rsidRPr="00C30DF1">
        <w:rPr>
          <w:rFonts w:cs="Calibri"/>
          <w:lang w:val="en-AU"/>
        </w:rPr>
        <w:t>3</w:t>
      </w:r>
      <w:r w:rsidRPr="00C30DF1">
        <w:rPr>
          <w:rFonts w:cs="Calibri"/>
          <w:lang w:val="en-AU"/>
        </w:rPr>
        <w:t>: List of People Interviewed</w:t>
      </w:r>
      <w:bookmarkEnd w:id="56"/>
    </w:p>
    <w:p w14:paraId="260E54E1" w14:textId="12B9A421" w:rsidR="00712BC2" w:rsidRPr="00C97A19" w:rsidRDefault="00712BC2" w:rsidP="00712BC2">
      <w:pPr>
        <w:rPr>
          <w:rFonts w:ascii="Calibri" w:hAnsi="Calibri" w:cs="Calibri"/>
          <w:sz w:val="22"/>
          <w:szCs w:val="22"/>
          <w:lang w:val="en-AU"/>
        </w:rPr>
      </w:pPr>
      <w:r w:rsidRPr="00C97A19">
        <w:rPr>
          <w:rFonts w:ascii="Calibri" w:hAnsi="Calibri" w:cs="Calibri"/>
          <w:sz w:val="22"/>
          <w:szCs w:val="22"/>
          <w:lang w:val="en-AU"/>
        </w:rPr>
        <w:t xml:space="preserve">As indicated </w:t>
      </w:r>
      <w:r w:rsidR="002E39E8">
        <w:rPr>
          <w:rFonts w:ascii="Calibri" w:hAnsi="Calibri" w:cs="Calibri"/>
          <w:sz w:val="22"/>
          <w:szCs w:val="22"/>
          <w:lang w:val="en-AU"/>
        </w:rPr>
        <w:t>below</w:t>
      </w:r>
      <w:r w:rsidRPr="00C97A19">
        <w:rPr>
          <w:rFonts w:ascii="Calibri" w:hAnsi="Calibri" w:cs="Calibri"/>
          <w:sz w:val="22"/>
          <w:szCs w:val="22"/>
          <w:lang w:val="en-AU"/>
        </w:rPr>
        <w:t>, a full list of stakeholders has been presented. Additional stakeholders will be considered as required. Interviews will occur both remotely and as part of the field mission to Vietnam in February 2026.</w:t>
      </w:r>
    </w:p>
    <w:p w14:paraId="0EDB1129" w14:textId="1C94BFD1" w:rsidR="00712BC2" w:rsidRPr="00C97A19" w:rsidRDefault="00712BC2" w:rsidP="00712BC2">
      <w:pPr>
        <w:rPr>
          <w:rFonts w:ascii="Calibri" w:hAnsi="Calibri" w:cs="Calibri"/>
          <w:sz w:val="22"/>
          <w:szCs w:val="22"/>
          <w:lang w:val="en-AU"/>
        </w:rPr>
      </w:pPr>
    </w:p>
    <w:p w14:paraId="052E0812" w14:textId="77777777" w:rsidR="00712BC2" w:rsidRPr="00C97A19" w:rsidRDefault="00712BC2" w:rsidP="00712BC2">
      <w:pPr>
        <w:rPr>
          <w:rFonts w:ascii="Calibri" w:hAnsi="Calibri" w:cs="Calibri"/>
          <w:b/>
          <w:bCs/>
          <w:sz w:val="22"/>
          <w:szCs w:val="22"/>
          <w:u w:val="single"/>
          <w:lang w:val="en-AU"/>
        </w:rPr>
      </w:pPr>
      <w:r w:rsidRPr="00C97A19">
        <w:rPr>
          <w:rFonts w:ascii="Calibri" w:hAnsi="Calibri" w:cs="Calibri"/>
          <w:b/>
          <w:bCs/>
          <w:sz w:val="22"/>
          <w:szCs w:val="22"/>
          <w:u w:val="single"/>
          <w:lang w:val="en-AU"/>
        </w:rPr>
        <w:t>DFAT Staff</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994"/>
      </w:tblGrid>
      <w:tr w:rsidR="002E39E8" w:rsidRPr="00C97A19" w14:paraId="110E338B" w14:textId="77777777" w:rsidTr="00DC1F89">
        <w:trPr>
          <w:trHeight w:val="300"/>
          <w:tblHeader/>
        </w:trPr>
        <w:tc>
          <w:tcPr>
            <w:tcW w:w="2380" w:type="dxa"/>
            <w:shd w:val="clear" w:color="auto" w:fill="CAEDFB" w:themeFill="accent4" w:themeFillTint="33"/>
            <w:noWrap/>
            <w:vAlign w:val="bottom"/>
            <w:hideMark/>
          </w:tcPr>
          <w:p w14:paraId="51F85A87" w14:textId="77777777" w:rsidR="002E39E8" w:rsidRPr="00C97A19" w:rsidRDefault="002E39E8" w:rsidP="008240E0">
            <w:pPr>
              <w:rPr>
                <w:rFonts w:ascii="Calibri" w:hAnsi="Calibri" w:cs="Calibri"/>
                <w:b/>
                <w:bCs/>
                <w:color w:val="000000"/>
                <w:sz w:val="20"/>
                <w:szCs w:val="20"/>
                <w:lang w:val="en-AU"/>
              </w:rPr>
            </w:pPr>
            <w:r w:rsidRPr="00C97A19">
              <w:rPr>
                <w:rFonts w:ascii="Calibri" w:hAnsi="Calibri" w:cs="Calibri"/>
                <w:b/>
                <w:bCs/>
                <w:color w:val="000000"/>
                <w:sz w:val="20"/>
                <w:szCs w:val="20"/>
                <w:lang w:val="en-AU"/>
              </w:rPr>
              <w:t>Name</w:t>
            </w:r>
          </w:p>
        </w:tc>
        <w:tc>
          <w:tcPr>
            <w:tcW w:w="3994" w:type="dxa"/>
            <w:shd w:val="clear" w:color="auto" w:fill="CAEDFB" w:themeFill="accent4" w:themeFillTint="33"/>
            <w:noWrap/>
            <w:vAlign w:val="bottom"/>
            <w:hideMark/>
          </w:tcPr>
          <w:p w14:paraId="3FB5CB87" w14:textId="77777777" w:rsidR="002E39E8" w:rsidRPr="00C97A19" w:rsidRDefault="002E39E8" w:rsidP="008240E0">
            <w:pPr>
              <w:rPr>
                <w:rFonts w:ascii="Calibri" w:hAnsi="Calibri" w:cs="Calibri"/>
                <w:b/>
                <w:bCs/>
                <w:color w:val="000000"/>
                <w:sz w:val="20"/>
                <w:szCs w:val="20"/>
                <w:lang w:val="en-AU"/>
              </w:rPr>
            </w:pPr>
            <w:r w:rsidRPr="00C97A19">
              <w:rPr>
                <w:rFonts w:ascii="Calibri" w:hAnsi="Calibri" w:cs="Calibri"/>
                <w:b/>
                <w:bCs/>
                <w:color w:val="000000"/>
                <w:sz w:val="20"/>
                <w:szCs w:val="20"/>
                <w:lang w:val="en-AU"/>
              </w:rPr>
              <w:t>Designation</w:t>
            </w:r>
          </w:p>
        </w:tc>
      </w:tr>
      <w:tr w:rsidR="002E39E8" w:rsidRPr="00C97A19" w14:paraId="509B9DE4" w14:textId="77777777" w:rsidTr="002E39E8">
        <w:trPr>
          <w:trHeight w:val="320"/>
        </w:trPr>
        <w:tc>
          <w:tcPr>
            <w:tcW w:w="2380" w:type="dxa"/>
            <w:noWrap/>
            <w:vAlign w:val="bottom"/>
          </w:tcPr>
          <w:p w14:paraId="68DC1A95"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Cathy McWilliam</w:t>
            </w:r>
          </w:p>
        </w:tc>
        <w:tc>
          <w:tcPr>
            <w:tcW w:w="3994" w:type="dxa"/>
            <w:vAlign w:val="bottom"/>
          </w:tcPr>
          <w:p w14:paraId="5EF4C415"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VPSDP Pillar Lead</w:t>
            </w:r>
          </w:p>
        </w:tc>
      </w:tr>
      <w:tr w:rsidR="002E39E8" w:rsidRPr="00C97A19" w14:paraId="2FE6421E" w14:textId="77777777" w:rsidTr="002E39E8">
        <w:trPr>
          <w:trHeight w:val="320"/>
        </w:trPr>
        <w:tc>
          <w:tcPr>
            <w:tcW w:w="2380" w:type="dxa"/>
            <w:noWrap/>
            <w:vAlign w:val="bottom"/>
          </w:tcPr>
          <w:p w14:paraId="7D051D40"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Madeleine Plocki</w:t>
            </w:r>
          </w:p>
        </w:tc>
        <w:tc>
          <w:tcPr>
            <w:tcW w:w="3994" w:type="dxa"/>
            <w:vAlign w:val="bottom"/>
          </w:tcPr>
          <w:p w14:paraId="48400FE5"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VPSDP Pillar Lead</w:t>
            </w:r>
          </w:p>
        </w:tc>
      </w:tr>
      <w:tr w:rsidR="002E39E8" w:rsidRPr="00C97A19" w14:paraId="5FCE9170" w14:textId="77777777" w:rsidTr="002E39E8">
        <w:trPr>
          <w:trHeight w:val="320"/>
        </w:trPr>
        <w:tc>
          <w:tcPr>
            <w:tcW w:w="2380" w:type="dxa"/>
            <w:noWrap/>
            <w:vAlign w:val="bottom"/>
          </w:tcPr>
          <w:p w14:paraId="2F83410E"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Than Thien Huong</w:t>
            </w:r>
          </w:p>
        </w:tc>
        <w:tc>
          <w:tcPr>
            <w:tcW w:w="3994" w:type="dxa"/>
            <w:vAlign w:val="bottom"/>
          </w:tcPr>
          <w:p w14:paraId="59638CDA"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VPSDP – Gender Specialist</w:t>
            </w:r>
          </w:p>
        </w:tc>
      </w:tr>
      <w:tr w:rsidR="002E39E8" w:rsidRPr="00C97A19" w14:paraId="374AE00F" w14:textId="77777777" w:rsidTr="002E39E8">
        <w:trPr>
          <w:trHeight w:val="320"/>
        </w:trPr>
        <w:tc>
          <w:tcPr>
            <w:tcW w:w="2380" w:type="dxa"/>
            <w:noWrap/>
            <w:vAlign w:val="bottom"/>
          </w:tcPr>
          <w:p w14:paraId="12AE5AEB"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Arabella Bennett</w:t>
            </w:r>
          </w:p>
        </w:tc>
        <w:tc>
          <w:tcPr>
            <w:tcW w:w="3994" w:type="dxa"/>
            <w:vAlign w:val="bottom"/>
          </w:tcPr>
          <w:p w14:paraId="45E2AC0F"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VPSDP Pillar Lead</w:t>
            </w:r>
          </w:p>
        </w:tc>
      </w:tr>
      <w:tr w:rsidR="002E39E8" w:rsidRPr="00C97A19" w14:paraId="209608DE" w14:textId="77777777" w:rsidTr="002E39E8">
        <w:trPr>
          <w:trHeight w:val="320"/>
        </w:trPr>
        <w:tc>
          <w:tcPr>
            <w:tcW w:w="2380" w:type="dxa"/>
            <w:noWrap/>
            <w:vAlign w:val="bottom"/>
          </w:tcPr>
          <w:p w14:paraId="4E826D00"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Doan Thi Thuy</w:t>
            </w:r>
          </w:p>
        </w:tc>
        <w:tc>
          <w:tcPr>
            <w:tcW w:w="3994" w:type="dxa"/>
            <w:vAlign w:val="bottom"/>
          </w:tcPr>
          <w:p w14:paraId="7C9C72C3"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VPSDP – Senior Economic Analyst</w:t>
            </w:r>
          </w:p>
        </w:tc>
      </w:tr>
      <w:tr w:rsidR="002E39E8" w:rsidRPr="00C97A19" w14:paraId="7DA80674" w14:textId="77777777" w:rsidTr="002E39E8">
        <w:trPr>
          <w:trHeight w:val="320"/>
        </w:trPr>
        <w:tc>
          <w:tcPr>
            <w:tcW w:w="2380" w:type="dxa"/>
            <w:noWrap/>
            <w:vAlign w:val="bottom"/>
          </w:tcPr>
          <w:p w14:paraId="36DF0178"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Nguyen Tu Uyen</w:t>
            </w:r>
          </w:p>
        </w:tc>
        <w:tc>
          <w:tcPr>
            <w:tcW w:w="3994" w:type="dxa"/>
            <w:vAlign w:val="bottom"/>
          </w:tcPr>
          <w:p w14:paraId="244823C0"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Senior Program Manager</w:t>
            </w:r>
          </w:p>
        </w:tc>
      </w:tr>
      <w:tr w:rsidR="002E39E8" w:rsidRPr="00C97A19" w14:paraId="3D34C0E8" w14:textId="77777777" w:rsidTr="002E39E8">
        <w:trPr>
          <w:trHeight w:val="320"/>
        </w:trPr>
        <w:tc>
          <w:tcPr>
            <w:tcW w:w="2380" w:type="dxa"/>
            <w:noWrap/>
            <w:vAlign w:val="bottom"/>
          </w:tcPr>
          <w:p w14:paraId="320C881A"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Pham Dieu Linh</w:t>
            </w:r>
          </w:p>
        </w:tc>
        <w:tc>
          <w:tcPr>
            <w:tcW w:w="3994" w:type="dxa"/>
            <w:vAlign w:val="bottom"/>
          </w:tcPr>
          <w:p w14:paraId="25CE1FF1"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Senior Program Manager – Disability Focal Point</w:t>
            </w:r>
          </w:p>
        </w:tc>
      </w:tr>
      <w:tr w:rsidR="002E39E8" w:rsidRPr="00C97A19" w14:paraId="5727EF70" w14:textId="77777777" w:rsidTr="002E39E8">
        <w:trPr>
          <w:trHeight w:val="320"/>
        </w:trPr>
        <w:tc>
          <w:tcPr>
            <w:tcW w:w="2380" w:type="dxa"/>
            <w:noWrap/>
            <w:vAlign w:val="bottom"/>
          </w:tcPr>
          <w:p w14:paraId="2BD9543B"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Nguyen Quang Anh</w:t>
            </w:r>
          </w:p>
        </w:tc>
        <w:tc>
          <w:tcPr>
            <w:tcW w:w="3994" w:type="dxa"/>
            <w:vAlign w:val="bottom"/>
          </w:tcPr>
          <w:p w14:paraId="4B812E01" w14:textId="77777777" w:rsidR="002E39E8" w:rsidRPr="00C97A19" w:rsidRDefault="002E39E8" w:rsidP="008240E0">
            <w:pPr>
              <w:rPr>
                <w:rFonts w:ascii="Calibri" w:hAnsi="Calibri" w:cs="Calibri"/>
                <w:color w:val="000000"/>
                <w:sz w:val="20"/>
                <w:szCs w:val="20"/>
                <w:lang w:val="en-AU"/>
              </w:rPr>
            </w:pPr>
            <w:r w:rsidRPr="00C97A19">
              <w:rPr>
                <w:rFonts w:ascii="Calibri" w:hAnsi="Calibri" w:cs="Calibri"/>
                <w:color w:val="000000"/>
                <w:sz w:val="20"/>
                <w:szCs w:val="20"/>
                <w:lang w:val="en-AU"/>
              </w:rPr>
              <w:t>Senior Trade and Development Program Manager</w:t>
            </w:r>
          </w:p>
        </w:tc>
      </w:tr>
    </w:tbl>
    <w:p w14:paraId="774E1A77" w14:textId="77777777" w:rsidR="00DC1F89" w:rsidRDefault="00DC1F89">
      <w:pPr>
        <w:spacing w:after="160" w:line="259" w:lineRule="auto"/>
        <w:rPr>
          <w:rFonts w:ascii="Calibri" w:hAnsi="Calibri" w:cs="Calibri"/>
          <w:b/>
          <w:bCs/>
          <w:sz w:val="22"/>
          <w:szCs w:val="22"/>
          <w:u w:val="single"/>
          <w:lang w:val="en-AU"/>
        </w:rPr>
      </w:pPr>
      <w:r>
        <w:rPr>
          <w:rFonts w:ascii="Calibri" w:hAnsi="Calibri" w:cs="Calibri"/>
          <w:b/>
          <w:bCs/>
          <w:sz w:val="22"/>
          <w:szCs w:val="22"/>
          <w:u w:val="single"/>
          <w:lang w:val="en-AU"/>
        </w:rPr>
        <w:br w:type="page"/>
      </w:r>
    </w:p>
    <w:p w14:paraId="1A0E5C0E" w14:textId="4F61D5A6" w:rsidR="00712BC2" w:rsidRPr="00C97A19" w:rsidRDefault="00712BC2" w:rsidP="00712BC2">
      <w:pPr>
        <w:rPr>
          <w:rFonts w:ascii="Calibri" w:hAnsi="Calibri" w:cs="Calibri"/>
          <w:b/>
          <w:bCs/>
          <w:sz w:val="22"/>
          <w:szCs w:val="22"/>
          <w:u w:val="single"/>
          <w:lang w:val="en-AU"/>
        </w:rPr>
      </w:pPr>
      <w:r w:rsidRPr="00C97A19">
        <w:rPr>
          <w:rFonts w:ascii="Calibri" w:hAnsi="Calibri" w:cs="Calibri"/>
          <w:b/>
          <w:bCs/>
          <w:sz w:val="22"/>
          <w:szCs w:val="22"/>
          <w:u w:val="single"/>
          <w:lang w:val="en-AU"/>
        </w:rPr>
        <w:lastRenderedPageBreak/>
        <w:t>IFC Program Staff</w:t>
      </w:r>
    </w:p>
    <w:tbl>
      <w:tblP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246"/>
        <w:gridCol w:w="1168"/>
        <w:gridCol w:w="2410"/>
      </w:tblGrid>
      <w:tr w:rsidR="002E39E8" w:rsidRPr="00C97A19" w14:paraId="4B4EDCF4" w14:textId="77777777" w:rsidTr="00DC1F89">
        <w:trPr>
          <w:trHeight w:val="320"/>
          <w:tblHeader/>
        </w:trPr>
        <w:tc>
          <w:tcPr>
            <w:tcW w:w="1860" w:type="dxa"/>
            <w:shd w:val="clear" w:color="auto" w:fill="CAEDFB" w:themeFill="accent4" w:themeFillTint="33"/>
            <w:noWrap/>
            <w:vAlign w:val="bottom"/>
          </w:tcPr>
          <w:p w14:paraId="33EE54E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b/>
                <w:bCs/>
                <w:color w:val="000000"/>
                <w:sz w:val="20"/>
                <w:szCs w:val="20"/>
                <w:lang w:val="en-AU"/>
              </w:rPr>
              <w:t>Project</w:t>
            </w:r>
          </w:p>
        </w:tc>
        <w:tc>
          <w:tcPr>
            <w:tcW w:w="2246" w:type="dxa"/>
            <w:shd w:val="clear" w:color="auto" w:fill="CAEDFB" w:themeFill="accent4" w:themeFillTint="33"/>
            <w:noWrap/>
            <w:vAlign w:val="bottom"/>
          </w:tcPr>
          <w:p w14:paraId="593B4D1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b/>
                <w:bCs/>
                <w:color w:val="000000"/>
                <w:sz w:val="20"/>
                <w:szCs w:val="20"/>
                <w:lang w:val="en-AU"/>
              </w:rPr>
              <w:t>Name</w:t>
            </w:r>
          </w:p>
        </w:tc>
        <w:tc>
          <w:tcPr>
            <w:tcW w:w="1168" w:type="dxa"/>
            <w:shd w:val="clear" w:color="auto" w:fill="CAEDFB" w:themeFill="accent4" w:themeFillTint="33"/>
            <w:vAlign w:val="bottom"/>
          </w:tcPr>
          <w:p w14:paraId="5309A09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b/>
                <w:bCs/>
                <w:color w:val="000000"/>
                <w:sz w:val="20"/>
                <w:szCs w:val="20"/>
                <w:lang w:val="en-AU"/>
              </w:rPr>
              <w:t>Entity</w:t>
            </w:r>
          </w:p>
        </w:tc>
        <w:tc>
          <w:tcPr>
            <w:tcW w:w="2410" w:type="dxa"/>
            <w:shd w:val="clear" w:color="auto" w:fill="CAEDFB" w:themeFill="accent4" w:themeFillTint="33"/>
            <w:noWrap/>
            <w:vAlign w:val="bottom"/>
          </w:tcPr>
          <w:p w14:paraId="02106DB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b/>
                <w:bCs/>
                <w:color w:val="000000"/>
                <w:sz w:val="20"/>
                <w:szCs w:val="20"/>
                <w:lang w:val="en-AU"/>
              </w:rPr>
              <w:t>Designation</w:t>
            </w:r>
          </w:p>
        </w:tc>
      </w:tr>
      <w:tr w:rsidR="002E39E8" w:rsidRPr="00C97A19" w14:paraId="11BD8860" w14:textId="77777777" w:rsidTr="002E39E8">
        <w:trPr>
          <w:trHeight w:val="320"/>
        </w:trPr>
        <w:tc>
          <w:tcPr>
            <w:tcW w:w="1860" w:type="dxa"/>
            <w:noWrap/>
            <w:vAlign w:val="bottom"/>
            <w:hideMark/>
          </w:tcPr>
          <w:p w14:paraId="2B7F48B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2246" w:type="dxa"/>
            <w:noWrap/>
            <w:vAlign w:val="bottom"/>
            <w:hideMark/>
          </w:tcPr>
          <w:p w14:paraId="4D14AD27"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Gayathri Vijayaraghavan</w:t>
            </w:r>
          </w:p>
        </w:tc>
        <w:tc>
          <w:tcPr>
            <w:tcW w:w="1168" w:type="dxa"/>
            <w:vAlign w:val="bottom"/>
            <w:hideMark/>
          </w:tcPr>
          <w:p w14:paraId="2D439ED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24DEC87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Operations Officer</w:t>
            </w:r>
          </w:p>
        </w:tc>
      </w:tr>
      <w:tr w:rsidR="002E39E8" w:rsidRPr="00C97A19" w14:paraId="2DBF0EA3" w14:textId="77777777" w:rsidTr="002E39E8">
        <w:trPr>
          <w:trHeight w:val="320"/>
        </w:trPr>
        <w:tc>
          <w:tcPr>
            <w:tcW w:w="1860" w:type="dxa"/>
            <w:noWrap/>
            <w:vAlign w:val="bottom"/>
            <w:hideMark/>
          </w:tcPr>
          <w:p w14:paraId="2F258A1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2246" w:type="dxa"/>
            <w:noWrap/>
            <w:vAlign w:val="bottom"/>
            <w:hideMark/>
          </w:tcPr>
          <w:p w14:paraId="4E30601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Huong Mai Huynh</w:t>
            </w:r>
          </w:p>
        </w:tc>
        <w:tc>
          <w:tcPr>
            <w:tcW w:w="1168" w:type="dxa"/>
            <w:vAlign w:val="bottom"/>
            <w:hideMark/>
          </w:tcPr>
          <w:p w14:paraId="30E2246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2CAAC11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Operations Officer</w:t>
            </w:r>
          </w:p>
        </w:tc>
      </w:tr>
      <w:tr w:rsidR="002E39E8" w:rsidRPr="00C97A19" w14:paraId="6ADA230A" w14:textId="77777777" w:rsidTr="002E39E8">
        <w:trPr>
          <w:trHeight w:val="320"/>
        </w:trPr>
        <w:tc>
          <w:tcPr>
            <w:tcW w:w="1860" w:type="dxa"/>
            <w:noWrap/>
            <w:vAlign w:val="bottom"/>
            <w:hideMark/>
          </w:tcPr>
          <w:p w14:paraId="15A1574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Umbrella/NBFI/Blue Finance</w:t>
            </w:r>
          </w:p>
        </w:tc>
        <w:tc>
          <w:tcPr>
            <w:tcW w:w="2246" w:type="dxa"/>
            <w:noWrap/>
            <w:vAlign w:val="bottom"/>
            <w:hideMark/>
          </w:tcPr>
          <w:p w14:paraId="699E5DB7"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Vanessa Vizcarra</w:t>
            </w:r>
          </w:p>
        </w:tc>
        <w:tc>
          <w:tcPr>
            <w:tcW w:w="1168" w:type="dxa"/>
            <w:vAlign w:val="bottom"/>
            <w:hideMark/>
          </w:tcPr>
          <w:p w14:paraId="7B7E194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2FE121C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Senior Operations Officer</w:t>
            </w:r>
          </w:p>
        </w:tc>
      </w:tr>
      <w:tr w:rsidR="002E39E8" w:rsidRPr="00C97A19" w14:paraId="2EAF1F1C" w14:textId="77777777" w:rsidTr="002E39E8">
        <w:trPr>
          <w:trHeight w:val="320"/>
        </w:trPr>
        <w:tc>
          <w:tcPr>
            <w:tcW w:w="1860" w:type="dxa"/>
            <w:noWrap/>
            <w:vAlign w:val="bottom"/>
            <w:hideMark/>
          </w:tcPr>
          <w:p w14:paraId="4D7F1C9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2246" w:type="dxa"/>
            <w:noWrap/>
            <w:vAlign w:val="bottom"/>
            <w:hideMark/>
          </w:tcPr>
          <w:p w14:paraId="20796EC1"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Lan Van Nguyen </w:t>
            </w:r>
          </w:p>
        </w:tc>
        <w:tc>
          <w:tcPr>
            <w:tcW w:w="1168" w:type="dxa"/>
            <w:vAlign w:val="bottom"/>
            <w:hideMark/>
          </w:tcPr>
          <w:p w14:paraId="6D9AB30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5D660A8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Senior Operations Officer</w:t>
            </w:r>
          </w:p>
        </w:tc>
      </w:tr>
      <w:tr w:rsidR="002E39E8" w:rsidRPr="00C97A19" w14:paraId="10A49B2B" w14:textId="77777777" w:rsidTr="002E39E8">
        <w:trPr>
          <w:trHeight w:val="320"/>
        </w:trPr>
        <w:tc>
          <w:tcPr>
            <w:tcW w:w="1860" w:type="dxa"/>
            <w:noWrap/>
            <w:vAlign w:val="bottom"/>
            <w:hideMark/>
          </w:tcPr>
          <w:p w14:paraId="0F4939E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Building Resilience Index (BRI)</w:t>
            </w:r>
          </w:p>
        </w:tc>
        <w:tc>
          <w:tcPr>
            <w:tcW w:w="2246" w:type="dxa"/>
            <w:noWrap/>
            <w:vAlign w:val="bottom"/>
            <w:hideMark/>
          </w:tcPr>
          <w:p w14:paraId="073E5C3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Diep Ngoc Do </w:t>
            </w:r>
          </w:p>
        </w:tc>
        <w:tc>
          <w:tcPr>
            <w:tcW w:w="1168" w:type="dxa"/>
            <w:vAlign w:val="bottom"/>
            <w:hideMark/>
          </w:tcPr>
          <w:p w14:paraId="7E65280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76AAC71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Operations Officer</w:t>
            </w:r>
          </w:p>
        </w:tc>
      </w:tr>
      <w:tr w:rsidR="002E39E8" w:rsidRPr="00C97A19" w14:paraId="67043463" w14:textId="77777777" w:rsidTr="002E39E8">
        <w:trPr>
          <w:trHeight w:val="320"/>
        </w:trPr>
        <w:tc>
          <w:tcPr>
            <w:tcW w:w="1860" w:type="dxa"/>
            <w:noWrap/>
            <w:vAlign w:val="bottom"/>
            <w:hideMark/>
          </w:tcPr>
          <w:p w14:paraId="15E183FC" w14:textId="5A4ECE54" w:rsidR="002E39E8" w:rsidRPr="000348BD" w:rsidRDefault="00E931F4" w:rsidP="008240E0">
            <w:pPr>
              <w:rPr>
                <w:rFonts w:ascii="Calibri" w:hAnsi="Calibri" w:cs="Calibri"/>
                <w:color w:val="000000"/>
                <w:sz w:val="20"/>
                <w:szCs w:val="20"/>
                <w:lang w:val="en-AU"/>
              </w:rPr>
            </w:pPr>
            <w:r>
              <w:rPr>
                <w:rFonts w:ascii="Calibri" w:hAnsi="Calibri" w:cs="Calibri"/>
                <w:color w:val="000000"/>
                <w:sz w:val="20"/>
                <w:szCs w:val="20"/>
                <w:lang w:val="en-AU"/>
              </w:rPr>
              <w:t>Country Management Unit</w:t>
            </w:r>
          </w:p>
        </w:tc>
        <w:tc>
          <w:tcPr>
            <w:tcW w:w="2246" w:type="dxa"/>
            <w:noWrap/>
            <w:vAlign w:val="bottom"/>
            <w:hideMark/>
          </w:tcPr>
          <w:p w14:paraId="07911957"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Shehryar Ali Shah</w:t>
            </w:r>
          </w:p>
        </w:tc>
        <w:tc>
          <w:tcPr>
            <w:tcW w:w="1168" w:type="dxa"/>
            <w:vAlign w:val="bottom"/>
            <w:hideMark/>
          </w:tcPr>
          <w:p w14:paraId="6485DA5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17EC805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Senior Country Officer</w:t>
            </w:r>
          </w:p>
        </w:tc>
      </w:tr>
      <w:tr w:rsidR="002E39E8" w:rsidRPr="00C97A19" w14:paraId="5F62DD40" w14:textId="77777777" w:rsidTr="002E39E8">
        <w:trPr>
          <w:trHeight w:val="320"/>
        </w:trPr>
        <w:tc>
          <w:tcPr>
            <w:tcW w:w="1860" w:type="dxa"/>
            <w:noWrap/>
            <w:vAlign w:val="bottom"/>
            <w:hideMark/>
          </w:tcPr>
          <w:p w14:paraId="275AAF4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Food Safety Good Loss</w:t>
            </w:r>
          </w:p>
        </w:tc>
        <w:tc>
          <w:tcPr>
            <w:tcW w:w="2246" w:type="dxa"/>
            <w:noWrap/>
            <w:vAlign w:val="bottom"/>
            <w:hideMark/>
          </w:tcPr>
          <w:p w14:paraId="5D04080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Uy Duc Pham </w:t>
            </w:r>
          </w:p>
        </w:tc>
        <w:tc>
          <w:tcPr>
            <w:tcW w:w="1168" w:type="dxa"/>
            <w:vAlign w:val="bottom"/>
            <w:hideMark/>
          </w:tcPr>
          <w:p w14:paraId="7EB57D7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64139C5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Operations Officer</w:t>
            </w:r>
          </w:p>
        </w:tc>
      </w:tr>
      <w:tr w:rsidR="002E39E8" w:rsidRPr="00C97A19" w14:paraId="053C9A90" w14:textId="77777777" w:rsidTr="002E39E8">
        <w:trPr>
          <w:trHeight w:val="320"/>
        </w:trPr>
        <w:tc>
          <w:tcPr>
            <w:tcW w:w="1860" w:type="dxa"/>
            <w:noWrap/>
            <w:vAlign w:val="bottom"/>
            <w:hideMark/>
          </w:tcPr>
          <w:p w14:paraId="6ECEB9F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EMERGE + Gender-Smart Climate Diagnostic</w:t>
            </w:r>
          </w:p>
        </w:tc>
        <w:tc>
          <w:tcPr>
            <w:tcW w:w="2246" w:type="dxa"/>
            <w:noWrap/>
            <w:vAlign w:val="bottom"/>
            <w:hideMark/>
          </w:tcPr>
          <w:p w14:paraId="0BC0164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Hang Vu</w:t>
            </w:r>
          </w:p>
        </w:tc>
        <w:tc>
          <w:tcPr>
            <w:tcW w:w="1168" w:type="dxa"/>
            <w:vAlign w:val="bottom"/>
            <w:hideMark/>
          </w:tcPr>
          <w:p w14:paraId="6323D02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2D17CDB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Operations Officer</w:t>
            </w:r>
          </w:p>
        </w:tc>
      </w:tr>
      <w:tr w:rsidR="002E39E8" w:rsidRPr="00C97A19" w14:paraId="26F6E48B" w14:textId="77777777" w:rsidTr="002E39E8">
        <w:trPr>
          <w:trHeight w:val="320"/>
        </w:trPr>
        <w:tc>
          <w:tcPr>
            <w:tcW w:w="1860" w:type="dxa"/>
            <w:noWrap/>
            <w:vAlign w:val="bottom"/>
            <w:hideMark/>
          </w:tcPr>
          <w:p w14:paraId="0102440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EMERGE + Gender-Smart Climate Diagnostic</w:t>
            </w:r>
          </w:p>
        </w:tc>
        <w:tc>
          <w:tcPr>
            <w:tcW w:w="2246" w:type="dxa"/>
            <w:noWrap/>
            <w:vAlign w:val="bottom"/>
            <w:hideMark/>
          </w:tcPr>
          <w:p w14:paraId="4EF99A5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Sarah Twigg</w:t>
            </w:r>
          </w:p>
        </w:tc>
        <w:tc>
          <w:tcPr>
            <w:tcW w:w="1168" w:type="dxa"/>
            <w:vAlign w:val="bottom"/>
            <w:hideMark/>
          </w:tcPr>
          <w:p w14:paraId="58A2B97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7470D06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Senior Operations Officer</w:t>
            </w:r>
          </w:p>
        </w:tc>
      </w:tr>
      <w:tr w:rsidR="002E39E8" w:rsidRPr="00C97A19" w14:paraId="49C81408" w14:textId="77777777" w:rsidTr="002E39E8">
        <w:trPr>
          <w:trHeight w:val="320"/>
        </w:trPr>
        <w:tc>
          <w:tcPr>
            <w:tcW w:w="1860" w:type="dxa"/>
            <w:noWrap/>
            <w:vAlign w:val="bottom"/>
            <w:hideMark/>
          </w:tcPr>
          <w:p w14:paraId="68AA711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Building Resilience Index (BRI)</w:t>
            </w:r>
          </w:p>
        </w:tc>
        <w:tc>
          <w:tcPr>
            <w:tcW w:w="2246" w:type="dxa"/>
            <w:noWrap/>
            <w:vAlign w:val="bottom"/>
            <w:hideMark/>
          </w:tcPr>
          <w:p w14:paraId="6DC1CCA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Phong Hong Vu</w:t>
            </w:r>
          </w:p>
        </w:tc>
        <w:tc>
          <w:tcPr>
            <w:tcW w:w="1168" w:type="dxa"/>
            <w:vAlign w:val="bottom"/>
            <w:hideMark/>
          </w:tcPr>
          <w:p w14:paraId="3ED53D8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3F3AB1E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ETC</w:t>
            </w:r>
          </w:p>
        </w:tc>
      </w:tr>
      <w:tr w:rsidR="002E39E8" w:rsidRPr="00C97A19" w14:paraId="2CBF029C" w14:textId="77777777" w:rsidTr="002E39E8">
        <w:trPr>
          <w:trHeight w:val="320"/>
        </w:trPr>
        <w:tc>
          <w:tcPr>
            <w:tcW w:w="1860" w:type="dxa"/>
            <w:noWrap/>
            <w:vAlign w:val="bottom"/>
            <w:hideMark/>
          </w:tcPr>
          <w:p w14:paraId="1BB54F5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Building Resilience Index (BRI)</w:t>
            </w:r>
          </w:p>
        </w:tc>
        <w:tc>
          <w:tcPr>
            <w:tcW w:w="2246" w:type="dxa"/>
            <w:noWrap/>
            <w:vAlign w:val="bottom"/>
            <w:hideMark/>
          </w:tcPr>
          <w:p w14:paraId="15B0E385"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Mai Thi Nguyen </w:t>
            </w:r>
          </w:p>
        </w:tc>
        <w:tc>
          <w:tcPr>
            <w:tcW w:w="1168" w:type="dxa"/>
            <w:vAlign w:val="bottom"/>
            <w:hideMark/>
          </w:tcPr>
          <w:p w14:paraId="3E1519E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144817A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STC</w:t>
            </w:r>
          </w:p>
        </w:tc>
      </w:tr>
      <w:tr w:rsidR="002E39E8" w:rsidRPr="00C97A19" w14:paraId="7AFDF2ED" w14:textId="77777777" w:rsidTr="002E39E8">
        <w:trPr>
          <w:trHeight w:val="320"/>
        </w:trPr>
        <w:tc>
          <w:tcPr>
            <w:tcW w:w="1860" w:type="dxa"/>
            <w:noWrap/>
            <w:vAlign w:val="bottom"/>
            <w:hideMark/>
          </w:tcPr>
          <w:p w14:paraId="36D3D7F7"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M&amp;E</w:t>
            </w:r>
          </w:p>
        </w:tc>
        <w:tc>
          <w:tcPr>
            <w:tcW w:w="2246" w:type="dxa"/>
            <w:noWrap/>
            <w:vAlign w:val="bottom"/>
            <w:hideMark/>
          </w:tcPr>
          <w:p w14:paraId="7810E88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Giang Thi Binh Pham</w:t>
            </w:r>
          </w:p>
        </w:tc>
        <w:tc>
          <w:tcPr>
            <w:tcW w:w="1168" w:type="dxa"/>
            <w:vAlign w:val="bottom"/>
            <w:hideMark/>
          </w:tcPr>
          <w:p w14:paraId="3BB5A66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673F1B0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Results Measurement Specialist</w:t>
            </w:r>
          </w:p>
        </w:tc>
      </w:tr>
      <w:tr w:rsidR="002E39E8" w:rsidRPr="00C97A19" w14:paraId="6A9BBDAE" w14:textId="77777777" w:rsidTr="002E39E8">
        <w:trPr>
          <w:trHeight w:val="320"/>
        </w:trPr>
        <w:tc>
          <w:tcPr>
            <w:tcW w:w="1860" w:type="dxa"/>
            <w:noWrap/>
            <w:vAlign w:val="bottom"/>
            <w:hideMark/>
          </w:tcPr>
          <w:p w14:paraId="7B5D5E3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M&amp;E</w:t>
            </w:r>
          </w:p>
        </w:tc>
        <w:tc>
          <w:tcPr>
            <w:tcW w:w="2246" w:type="dxa"/>
            <w:noWrap/>
            <w:vAlign w:val="bottom"/>
            <w:hideMark/>
          </w:tcPr>
          <w:p w14:paraId="47F34D7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Van Anh Thi Truong</w:t>
            </w:r>
          </w:p>
        </w:tc>
        <w:tc>
          <w:tcPr>
            <w:tcW w:w="1168" w:type="dxa"/>
            <w:vAlign w:val="bottom"/>
            <w:hideMark/>
          </w:tcPr>
          <w:p w14:paraId="5BEF11E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IFC</w:t>
            </w:r>
          </w:p>
        </w:tc>
        <w:tc>
          <w:tcPr>
            <w:tcW w:w="2410" w:type="dxa"/>
            <w:noWrap/>
            <w:vAlign w:val="bottom"/>
            <w:hideMark/>
          </w:tcPr>
          <w:p w14:paraId="744DE01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Results Measurement Specialist</w:t>
            </w:r>
          </w:p>
        </w:tc>
      </w:tr>
      <w:tr w:rsidR="002E39E8" w:rsidRPr="00C97A19" w14:paraId="235BB991" w14:textId="77777777" w:rsidTr="002E39E8">
        <w:trPr>
          <w:trHeight w:val="320"/>
        </w:trPr>
        <w:tc>
          <w:tcPr>
            <w:tcW w:w="1860" w:type="dxa"/>
            <w:noWrap/>
            <w:vAlign w:val="bottom"/>
            <w:hideMark/>
          </w:tcPr>
          <w:p w14:paraId="73C8B3D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2246" w:type="dxa"/>
            <w:noWrap/>
            <w:vAlign w:val="bottom"/>
            <w:hideMark/>
          </w:tcPr>
          <w:p w14:paraId="75A94EE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Mr. Kien Trung Tran</w:t>
            </w:r>
          </w:p>
        </w:tc>
        <w:tc>
          <w:tcPr>
            <w:tcW w:w="1168" w:type="dxa"/>
            <w:vAlign w:val="bottom"/>
            <w:hideMark/>
          </w:tcPr>
          <w:p w14:paraId="7B45969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World Bank</w:t>
            </w:r>
          </w:p>
        </w:tc>
        <w:tc>
          <w:tcPr>
            <w:tcW w:w="2410" w:type="dxa"/>
            <w:noWrap/>
            <w:vAlign w:val="bottom"/>
            <w:hideMark/>
          </w:tcPr>
          <w:p w14:paraId="29A7BF1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Senior Procurement Specialist</w:t>
            </w:r>
          </w:p>
        </w:tc>
      </w:tr>
      <w:tr w:rsidR="002E39E8" w:rsidRPr="00C97A19" w14:paraId="5C292939" w14:textId="77777777" w:rsidTr="002E39E8">
        <w:trPr>
          <w:trHeight w:val="320"/>
        </w:trPr>
        <w:tc>
          <w:tcPr>
            <w:tcW w:w="1860" w:type="dxa"/>
            <w:noWrap/>
            <w:vAlign w:val="bottom"/>
            <w:hideMark/>
          </w:tcPr>
          <w:p w14:paraId="10EAB71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EMERGE + Gender-Smart Climate Diagnostic</w:t>
            </w:r>
          </w:p>
        </w:tc>
        <w:tc>
          <w:tcPr>
            <w:tcW w:w="2246" w:type="dxa"/>
            <w:noWrap/>
            <w:vAlign w:val="bottom"/>
            <w:hideMark/>
          </w:tcPr>
          <w:p w14:paraId="177E7E71"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Mr. Giang Tam Nguyen &amp; Helle Bucchave </w:t>
            </w:r>
          </w:p>
        </w:tc>
        <w:tc>
          <w:tcPr>
            <w:tcW w:w="1168" w:type="dxa"/>
            <w:vAlign w:val="bottom"/>
            <w:hideMark/>
          </w:tcPr>
          <w:p w14:paraId="6AC5786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World Bank</w:t>
            </w:r>
          </w:p>
        </w:tc>
        <w:tc>
          <w:tcPr>
            <w:tcW w:w="2410" w:type="dxa"/>
            <w:noWrap/>
            <w:vAlign w:val="bottom"/>
            <w:hideMark/>
          </w:tcPr>
          <w:p w14:paraId="5B07FAB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Senior Social Development Specialists</w:t>
            </w:r>
          </w:p>
        </w:tc>
      </w:tr>
      <w:tr w:rsidR="00E931F4" w:rsidRPr="00C97A19" w14:paraId="798C552D" w14:textId="77777777" w:rsidTr="002E39E8">
        <w:trPr>
          <w:trHeight w:val="320"/>
        </w:trPr>
        <w:tc>
          <w:tcPr>
            <w:tcW w:w="1860" w:type="dxa"/>
            <w:noWrap/>
            <w:vAlign w:val="bottom"/>
          </w:tcPr>
          <w:p w14:paraId="7FBC7267" w14:textId="5ACB8138" w:rsidR="00E931F4" w:rsidRPr="000348BD" w:rsidRDefault="00143B85" w:rsidP="008240E0">
            <w:pPr>
              <w:rPr>
                <w:rFonts w:ascii="Calibri" w:hAnsi="Calibri" w:cs="Calibri"/>
                <w:color w:val="000000"/>
                <w:sz w:val="20"/>
                <w:szCs w:val="20"/>
                <w:lang w:val="en-AU"/>
              </w:rPr>
            </w:pPr>
            <w:r>
              <w:rPr>
                <w:rFonts w:ascii="Calibri" w:hAnsi="Calibri" w:cs="Calibri"/>
                <w:color w:val="000000"/>
                <w:sz w:val="20"/>
                <w:szCs w:val="20"/>
                <w:lang w:val="en-AU"/>
              </w:rPr>
              <w:t>Communications</w:t>
            </w:r>
          </w:p>
        </w:tc>
        <w:tc>
          <w:tcPr>
            <w:tcW w:w="2246" w:type="dxa"/>
            <w:noWrap/>
            <w:vAlign w:val="bottom"/>
          </w:tcPr>
          <w:p w14:paraId="7B7DD44C" w14:textId="771675A7" w:rsidR="00E931F4" w:rsidRPr="000348BD" w:rsidRDefault="00143B85" w:rsidP="008240E0">
            <w:pPr>
              <w:rPr>
                <w:rFonts w:ascii="Calibri" w:hAnsi="Calibri" w:cs="Calibri"/>
                <w:color w:val="000000"/>
                <w:sz w:val="20"/>
                <w:szCs w:val="20"/>
                <w:lang w:val="en-AU"/>
              </w:rPr>
            </w:pPr>
            <w:r>
              <w:rPr>
                <w:rFonts w:ascii="Calibri" w:hAnsi="Calibri" w:cs="Calibri"/>
                <w:color w:val="000000"/>
                <w:sz w:val="20"/>
                <w:szCs w:val="20"/>
                <w:lang w:val="en-AU"/>
              </w:rPr>
              <w:t>Van-Anh Chu</w:t>
            </w:r>
          </w:p>
        </w:tc>
        <w:tc>
          <w:tcPr>
            <w:tcW w:w="1168" w:type="dxa"/>
            <w:vAlign w:val="bottom"/>
          </w:tcPr>
          <w:p w14:paraId="2546639E" w14:textId="7A5C27F9" w:rsidR="00E931F4" w:rsidRPr="000348BD" w:rsidRDefault="00143B85" w:rsidP="008240E0">
            <w:pPr>
              <w:rPr>
                <w:rFonts w:ascii="Calibri" w:hAnsi="Calibri" w:cs="Calibri"/>
                <w:color w:val="000000"/>
                <w:sz w:val="20"/>
                <w:szCs w:val="20"/>
                <w:lang w:val="en-AU"/>
              </w:rPr>
            </w:pPr>
            <w:r>
              <w:rPr>
                <w:rFonts w:ascii="Calibri" w:hAnsi="Calibri" w:cs="Calibri"/>
                <w:color w:val="000000"/>
                <w:sz w:val="20"/>
                <w:szCs w:val="20"/>
                <w:lang w:val="en-AU"/>
              </w:rPr>
              <w:t>IFC</w:t>
            </w:r>
          </w:p>
        </w:tc>
        <w:tc>
          <w:tcPr>
            <w:tcW w:w="2410" w:type="dxa"/>
            <w:noWrap/>
            <w:vAlign w:val="bottom"/>
          </w:tcPr>
          <w:p w14:paraId="18686F8E" w14:textId="0504EAB2" w:rsidR="00E931F4" w:rsidRPr="000348BD" w:rsidRDefault="00143B85" w:rsidP="008240E0">
            <w:pPr>
              <w:rPr>
                <w:rFonts w:ascii="Calibri" w:hAnsi="Calibri" w:cs="Calibri"/>
                <w:color w:val="000000"/>
                <w:sz w:val="20"/>
                <w:szCs w:val="20"/>
                <w:lang w:val="en-AU"/>
              </w:rPr>
            </w:pPr>
            <w:r>
              <w:rPr>
                <w:rFonts w:ascii="Calibri" w:hAnsi="Calibri" w:cs="Calibri"/>
                <w:color w:val="000000"/>
                <w:sz w:val="20"/>
                <w:szCs w:val="20"/>
                <w:lang w:val="en-AU"/>
              </w:rPr>
              <w:t>Communications Officer</w:t>
            </w:r>
          </w:p>
        </w:tc>
      </w:tr>
    </w:tbl>
    <w:p w14:paraId="321F5024" w14:textId="77777777" w:rsidR="00712BC2" w:rsidRPr="00C97A19" w:rsidRDefault="00712BC2" w:rsidP="00712BC2">
      <w:pPr>
        <w:rPr>
          <w:rFonts w:ascii="Calibri" w:hAnsi="Calibri" w:cs="Calibri"/>
          <w:sz w:val="22"/>
          <w:szCs w:val="22"/>
          <w:lang w:val="en-AU"/>
        </w:rPr>
      </w:pPr>
    </w:p>
    <w:p w14:paraId="76524626" w14:textId="77777777" w:rsidR="00712BC2" w:rsidRPr="00C97A19" w:rsidRDefault="00712BC2" w:rsidP="00712BC2">
      <w:pPr>
        <w:rPr>
          <w:rFonts w:ascii="Calibri" w:hAnsi="Calibri" w:cs="Calibri"/>
          <w:b/>
          <w:bCs/>
          <w:sz w:val="22"/>
          <w:szCs w:val="22"/>
          <w:u w:val="single"/>
          <w:lang w:val="en-AU"/>
        </w:rPr>
      </w:pPr>
      <w:r w:rsidRPr="00C97A19">
        <w:rPr>
          <w:rFonts w:ascii="Calibri" w:hAnsi="Calibri" w:cs="Calibri"/>
          <w:b/>
          <w:bCs/>
          <w:sz w:val="22"/>
          <w:szCs w:val="22"/>
          <w:u w:val="single"/>
          <w:lang w:val="en-AU"/>
        </w:rPr>
        <w:t>Clients</w:t>
      </w:r>
    </w:p>
    <w:tbl>
      <w:tblPr>
        <w:tblW w:w="7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79"/>
        <w:gridCol w:w="1262"/>
        <w:gridCol w:w="2981"/>
      </w:tblGrid>
      <w:tr w:rsidR="002E39E8" w:rsidRPr="00C97A19" w14:paraId="2437BDFF" w14:textId="77777777" w:rsidTr="00797535">
        <w:trPr>
          <w:trHeight w:val="320"/>
          <w:tblHeader/>
        </w:trPr>
        <w:tc>
          <w:tcPr>
            <w:tcW w:w="1560" w:type="dxa"/>
            <w:shd w:val="clear" w:color="auto" w:fill="CAEDFB" w:themeFill="accent4" w:themeFillTint="33"/>
            <w:noWrap/>
            <w:vAlign w:val="bottom"/>
          </w:tcPr>
          <w:p w14:paraId="4D5A0E2C" w14:textId="77777777" w:rsidR="002E39E8" w:rsidRPr="000348BD" w:rsidRDefault="002E39E8" w:rsidP="008240E0">
            <w:pPr>
              <w:rPr>
                <w:rFonts w:ascii="Calibri" w:hAnsi="Calibri" w:cs="Calibri"/>
                <w:b/>
                <w:bCs/>
                <w:color w:val="000000"/>
                <w:sz w:val="20"/>
                <w:szCs w:val="20"/>
                <w:lang w:val="en-AU"/>
              </w:rPr>
            </w:pPr>
            <w:r w:rsidRPr="000348BD">
              <w:rPr>
                <w:rFonts w:ascii="Calibri" w:hAnsi="Calibri" w:cs="Calibri"/>
                <w:b/>
                <w:bCs/>
                <w:color w:val="000000"/>
                <w:sz w:val="20"/>
                <w:szCs w:val="20"/>
                <w:lang w:val="en-AU"/>
              </w:rPr>
              <w:t>Project</w:t>
            </w:r>
          </w:p>
        </w:tc>
        <w:tc>
          <w:tcPr>
            <w:tcW w:w="1979" w:type="dxa"/>
            <w:shd w:val="clear" w:color="auto" w:fill="CAEDFB" w:themeFill="accent4" w:themeFillTint="33"/>
            <w:noWrap/>
            <w:vAlign w:val="bottom"/>
          </w:tcPr>
          <w:p w14:paraId="12DE9D42" w14:textId="77777777" w:rsidR="002E39E8" w:rsidRPr="000348BD" w:rsidRDefault="002E39E8" w:rsidP="008240E0">
            <w:pPr>
              <w:rPr>
                <w:rFonts w:ascii="Calibri" w:hAnsi="Calibri" w:cs="Calibri"/>
                <w:b/>
                <w:bCs/>
                <w:color w:val="000000"/>
                <w:sz w:val="20"/>
                <w:szCs w:val="20"/>
                <w:lang w:val="en-AU"/>
              </w:rPr>
            </w:pPr>
            <w:r w:rsidRPr="000348BD">
              <w:rPr>
                <w:rFonts w:ascii="Calibri" w:hAnsi="Calibri" w:cs="Calibri"/>
                <w:b/>
                <w:bCs/>
                <w:color w:val="000000"/>
                <w:sz w:val="20"/>
                <w:szCs w:val="20"/>
                <w:lang w:val="en-AU"/>
              </w:rPr>
              <w:t>Name</w:t>
            </w:r>
          </w:p>
        </w:tc>
        <w:tc>
          <w:tcPr>
            <w:tcW w:w="1262" w:type="dxa"/>
            <w:shd w:val="clear" w:color="auto" w:fill="CAEDFB" w:themeFill="accent4" w:themeFillTint="33"/>
            <w:vAlign w:val="bottom"/>
          </w:tcPr>
          <w:p w14:paraId="01439657" w14:textId="77777777" w:rsidR="002E39E8" w:rsidRPr="000348BD" w:rsidRDefault="002E39E8" w:rsidP="008240E0">
            <w:pPr>
              <w:rPr>
                <w:rFonts w:ascii="Calibri" w:hAnsi="Calibri" w:cs="Calibri"/>
                <w:b/>
                <w:bCs/>
                <w:color w:val="000000"/>
                <w:sz w:val="20"/>
                <w:szCs w:val="20"/>
                <w:lang w:val="en-AU"/>
              </w:rPr>
            </w:pPr>
            <w:r w:rsidRPr="000348BD">
              <w:rPr>
                <w:rFonts w:ascii="Calibri" w:hAnsi="Calibri" w:cs="Calibri"/>
                <w:b/>
                <w:bCs/>
                <w:color w:val="000000"/>
                <w:sz w:val="20"/>
                <w:szCs w:val="20"/>
                <w:lang w:val="en-AU"/>
              </w:rPr>
              <w:t>Entity</w:t>
            </w:r>
          </w:p>
        </w:tc>
        <w:tc>
          <w:tcPr>
            <w:tcW w:w="2981" w:type="dxa"/>
            <w:shd w:val="clear" w:color="auto" w:fill="CAEDFB" w:themeFill="accent4" w:themeFillTint="33"/>
            <w:noWrap/>
            <w:vAlign w:val="bottom"/>
          </w:tcPr>
          <w:p w14:paraId="14CD54B7" w14:textId="77777777" w:rsidR="002E39E8" w:rsidRPr="000348BD" w:rsidRDefault="002E39E8" w:rsidP="008240E0">
            <w:pPr>
              <w:rPr>
                <w:rFonts w:ascii="Calibri" w:hAnsi="Calibri" w:cs="Calibri"/>
                <w:b/>
                <w:bCs/>
                <w:color w:val="000000"/>
                <w:sz w:val="20"/>
                <w:szCs w:val="20"/>
                <w:lang w:val="en-AU"/>
              </w:rPr>
            </w:pPr>
            <w:r w:rsidRPr="000348BD">
              <w:rPr>
                <w:rFonts w:ascii="Calibri" w:hAnsi="Calibri" w:cs="Calibri"/>
                <w:b/>
                <w:bCs/>
                <w:color w:val="000000"/>
                <w:sz w:val="20"/>
                <w:szCs w:val="20"/>
                <w:lang w:val="en-AU"/>
              </w:rPr>
              <w:t>Designation</w:t>
            </w:r>
          </w:p>
        </w:tc>
      </w:tr>
      <w:tr w:rsidR="002E39E8" w:rsidRPr="00C97A19" w14:paraId="676E60C7" w14:textId="77777777" w:rsidTr="002E39E8">
        <w:trPr>
          <w:trHeight w:val="320"/>
        </w:trPr>
        <w:tc>
          <w:tcPr>
            <w:tcW w:w="1560" w:type="dxa"/>
            <w:noWrap/>
            <w:vAlign w:val="bottom"/>
            <w:hideMark/>
          </w:tcPr>
          <w:p w14:paraId="0980A2B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1979" w:type="dxa"/>
            <w:noWrap/>
            <w:vAlign w:val="bottom"/>
            <w:hideMark/>
          </w:tcPr>
          <w:p w14:paraId="26EFE63F" w14:textId="4A743672"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Tran Vu Hien </w:t>
            </w:r>
            <w:r w:rsidRPr="000348BD">
              <w:rPr>
                <w:rFonts w:ascii="Calibri" w:hAnsi="Calibri" w:cs="Calibri"/>
                <w:i/>
                <w:iCs/>
                <w:color w:val="000000"/>
                <w:sz w:val="20"/>
                <w:szCs w:val="20"/>
                <w:lang w:val="en-AU"/>
              </w:rPr>
              <w:t>(Mr. Hien)</w:t>
            </w:r>
          </w:p>
        </w:tc>
        <w:tc>
          <w:tcPr>
            <w:tcW w:w="1262" w:type="dxa"/>
            <w:vAlign w:val="bottom"/>
            <w:hideMark/>
          </w:tcPr>
          <w:p w14:paraId="5C60B5D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Asia Commercial Bank (ACB)</w:t>
            </w:r>
          </w:p>
        </w:tc>
        <w:tc>
          <w:tcPr>
            <w:tcW w:w="2981" w:type="dxa"/>
            <w:noWrap/>
            <w:vAlign w:val="bottom"/>
            <w:hideMark/>
          </w:tcPr>
          <w:p w14:paraId="2D9C7CD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Head of Finance</w:t>
            </w:r>
          </w:p>
        </w:tc>
      </w:tr>
      <w:tr w:rsidR="002E39E8" w:rsidRPr="00C97A19" w14:paraId="00F01EA9" w14:textId="77777777" w:rsidTr="002E39E8">
        <w:trPr>
          <w:trHeight w:val="960"/>
        </w:trPr>
        <w:tc>
          <w:tcPr>
            <w:tcW w:w="1560" w:type="dxa"/>
            <w:noWrap/>
            <w:vAlign w:val="bottom"/>
            <w:hideMark/>
          </w:tcPr>
          <w:p w14:paraId="1083AB3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1979" w:type="dxa"/>
            <w:noWrap/>
            <w:vAlign w:val="bottom"/>
            <w:hideMark/>
          </w:tcPr>
          <w:p w14:paraId="264CB05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Linh Hoang Phuong </w:t>
            </w:r>
            <w:r w:rsidRPr="000348BD">
              <w:rPr>
                <w:rFonts w:ascii="Calibri" w:hAnsi="Calibri" w:cs="Calibri"/>
                <w:i/>
                <w:iCs/>
                <w:color w:val="000000"/>
                <w:sz w:val="20"/>
                <w:szCs w:val="20"/>
                <w:lang w:val="en-AU"/>
              </w:rPr>
              <w:t>(Ms. Linh)</w:t>
            </w:r>
          </w:p>
        </w:tc>
        <w:tc>
          <w:tcPr>
            <w:tcW w:w="1262" w:type="dxa"/>
            <w:vAlign w:val="bottom"/>
            <w:hideMark/>
          </w:tcPr>
          <w:p w14:paraId="67165631"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Viet Nam Maritime Commercial Joint Stock Bank (MSB)</w:t>
            </w:r>
          </w:p>
        </w:tc>
        <w:tc>
          <w:tcPr>
            <w:tcW w:w="2981" w:type="dxa"/>
            <w:noWrap/>
            <w:vAlign w:val="bottom"/>
            <w:hideMark/>
          </w:tcPr>
          <w:p w14:paraId="0D18869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ESG and Investor Relationships Lead</w:t>
            </w:r>
          </w:p>
        </w:tc>
      </w:tr>
      <w:tr w:rsidR="002E39E8" w:rsidRPr="00C97A19" w14:paraId="655A5900" w14:textId="77777777" w:rsidTr="002E39E8">
        <w:trPr>
          <w:trHeight w:val="320"/>
        </w:trPr>
        <w:tc>
          <w:tcPr>
            <w:tcW w:w="1560" w:type="dxa"/>
            <w:noWrap/>
            <w:vAlign w:val="bottom"/>
            <w:hideMark/>
          </w:tcPr>
          <w:p w14:paraId="16D4D7A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NBFI</w:t>
            </w:r>
          </w:p>
        </w:tc>
        <w:tc>
          <w:tcPr>
            <w:tcW w:w="1979" w:type="dxa"/>
            <w:noWrap/>
            <w:vAlign w:val="bottom"/>
            <w:hideMark/>
          </w:tcPr>
          <w:p w14:paraId="7E627D4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Huynh Minh Hien </w:t>
            </w:r>
            <w:r w:rsidRPr="000348BD">
              <w:rPr>
                <w:rFonts w:ascii="Calibri" w:hAnsi="Calibri" w:cs="Calibri"/>
                <w:i/>
                <w:iCs/>
                <w:color w:val="000000"/>
                <w:sz w:val="20"/>
                <w:szCs w:val="20"/>
                <w:lang w:val="en-AU"/>
              </w:rPr>
              <w:t>(Mr. Hien)</w:t>
            </w:r>
          </w:p>
        </w:tc>
        <w:tc>
          <w:tcPr>
            <w:tcW w:w="1262" w:type="dxa"/>
            <w:vAlign w:val="bottom"/>
            <w:hideMark/>
          </w:tcPr>
          <w:p w14:paraId="236D276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HD Saison</w:t>
            </w:r>
          </w:p>
        </w:tc>
        <w:tc>
          <w:tcPr>
            <w:tcW w:w="2981" w:type="dxa"/>
            <w:noWrap/>
            <w:vAlign w:val="bottom"/>
            <w:hideMark/>
          </w:tcPr>
          <w:p w14:paraId="2E43427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Manager</w:t>
            </w:r>
          </w:p>
        </w:tc>
      </w:tr>
      <w:tr w:rsidR="002E39E8" w:rsidRPr="00C97A19" w14:paraId="7B9F95AA" w14:textId="77777777" w:rsidTr="002E39E8">
        <w:trPr>
          <w:trHeight w:val="422"/>
        </w:trPr>
        <w:tc>
          <w:tcPr>
            <w:tcW w:w="1560" w:type="dxa"/>
            <w:noWrap/>
            <w:vAlign w:val="bottom"/>
            <w:hideMark/>
          </w:tcPr>
          <w:p w14:paraId="5615398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Blue Finance</w:t>
            </w:r>
          </w:p>
        </w:tc>
        <w:tc>
          <w:tcPr>
            <w:tcW w:w="1979" w:type="dxa"/>
            <w:noWrap/>
            <w:vAlign w:val="bottom"/>
            <w:hideMark/>
          </w:tcPr>
          <w:p w14:paraId="074DCD4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Anh Nguyen Tuan </w:t>
            </w:r>
            <w:r w:rsidRPr="000348BD">
              <w:rPr>
                <w:rFonts w:ascii="Calibri" w:hAnsi="Calibri" w:cs="Calibri"/>
                <w:i/>
                <w:iCs/>
                <w:color w:val="000000"/>
                <w:sz w:val="20"/>
                <w:szCs w:val="20"/>
                <w:lang w:val="en-AU"/>
              </w:rPr>
              <w:t>(Mr. Tuan Anh)</w:t>
            </w:r>
          </w:p>
        </w:tc>
        <w:tc>
          <w:tcPr>
            <w:tcW w:w="1262" w:type="dxa"/>
            <w:vAlign w:val="bottom"/>
            <w:hideMark/>
          </w:tcPr>
          <w:p w14:paraId="4EC9350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SeABank</w:t>
            </w:r>
          </w:p>
        </w:tc>
        <w:tc>
          <w:tcPr>
            <w:tcW w:w="2981" w:type="dxa"/>
            <w:noWrap/>
            <w:vAlign w:val="bottom"/>
            <w:hideMark/>
          </w:tcPr>
          <w:p w14:paraId="0FB05AF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Deputy CEO</w:t>
            </w:r>
          </w:p>
        </w:tc>
      </w:tr>
      <w:tr w:rsidR="002E39E8" w:rsidRPr="00C97A19" w14:paraId="4B5949CB" w14:textId="77777777" w:rsidTr="002E39E8">
        <w:trPr>
          <w:trHeight w:val="640"/>
        </w:trPr>
        <w:tc>
          <w:tcPr>
            <w:tcW w:w="1560" w:type="dxa"/>
            <w:noWrap/>
            <w:vAlign w:val="bottom"/>
            <w:hideMark/>
          </w:tcPr>
          <w:p w14:paraId="343DA154"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1979" w:type="dxa"/>
            <w:noWrap/>
            <w:vAlign w:val="bottom"/>
            <w:hideMark/>
          </w:tcPr>
          <w:p w14:paraId="3B62F60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Hoang Tran Minh </w:t>
            </w:r>
            <w:r w:rsidRPr="000348BD">
              <w:rPr>
                <w:rFonts w:ascii="Calibri" w:hAnsi="Calibri" w:cs="Calibri"/>
                <w:i/>
                <w:iCs/>
                <w:color w:val="000000"/>
                <w:sz w:val="20"/>
                <w:szCs w:val="20"/>
                <w:lang w:val="en-AU"/>
              </w:rPr>
              <w:t>(Hoang)</w:t>
            </w:r>
          </w:p>
        </w:tc>
        <w:tc>
          <w:tcPr>
            <w:tcW w:w="1262" w:type="dxa"/>
            <w:vAlign w:val="bottom"/>
            <w:hideMark/>
          </w:tcPr>
          <w:p w14:paraId="5E85FEB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VP Bank</w:t>
            </w:r>
          </w:p>
        </w:tc>
        <w:tc>
          <w:tcPr>
            <w:tcW w:w="2981" w:type="dxa"/>
            <w:vAlign w:val="bottom"/>
            <w:hideMark/>
          </w:tcPr>
          <w:p w14:paraId="2D204DE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E&amp;S Champion, Treasury and Financial Markets Division</w:t>
            </w:r>
          </w:p>
        </w:tc>
      </w:tr>
      <w:tr w:rsidR="002E39E8" w:rsidRPr="00C97A19" w14:paraId="5DD05ADF" w14:textId="77777777" w:rsidTr="002E39E8">
        <w:trPr>
          <w:trHeight w:val="640"/>
        </w:trPr>
        <w:tc>
          <w:tcPr>
            <w:tcW w:w="1560" w:type="dxa"/>
            <w:noWrap/>
            <w:vAlign w:val="bottom"/>
            <w:hideMark/>
          </w:tcPr>
          <w:p w14:paraId="3B70D76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Green Finance Umbrella</w:t>
            </w:r>
          </w:p>
        </w:tc>
        <w:tc>
          <w:tcPr>
            <w:tcW w:w="1979" w:type="dxa"/>
            <w:noWrap/>
            <w:vAlign w:val="bottom"/>
            <w:hideMark/>
          </w:tcPr>
          <w:p w14:paraId="7304380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Giang, Vu Thu </w:t>
            </w:r>
            <w:r w:rsidRPr="000348BD">
              <w:rPr>
                <w:rFonts w:ascii="Calibri" w:hAnsi="Calibri" w:cs="Calibri"/>
                <w:i/>
                <w:iCs/>
                <w:color w:val="000000"/>
                <w:sz w:val="20"/>
                <w:szCs w:val="20"/>
                <w:lang w:val="en-AU"/>
              </w:rPr>
              <w:t>(Giang)</w:t>
            </w:r>
          </w:p>
        </w:tc>
        <w:tc>
          <w:tcPr>
            <w:tcW w:w="1262" w:type="dxa"/>
            <w:vAlign w:val="bottom"/>
            <w:hideMark/>
          </w:tcPr>
          <w:p w14:paraId="03E715F4"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Orient Commercial </w:t>
            </w:r>
            <w:r w:rsidRPr="000348BD">
              <w:rPr>
                <w:rFonts w:ascii="Calibri" w:hAnsi="Calibri" w:cs="Calibri"/>
                <w:color w:val="000000"/>
                <w:sz w:val="20"/>
                <w:szCs w:val="20"/>
                <w:lang w:val="en-AU"/>
              </w:rPr>
              <w:lastRenderedPageBreak/>
              <w:t>Joint Stock Bank (OCB)</w:t>
            </w:r>
          </w:p>
        </w:tc>
        <w:tc>
          <w:tcPr>
            <w:tcW w:w="2981" w:type="dxa"/>
            <w:noWrap/>
            <w:vAlign w:val="bottom"/>
            <w:hideMark/>
          </w:tcPr>
          <w:p w14:paraId="241BE94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lastRenderedPageBreak/>
              <w:t>ESG Manager, Sustainability Division</w:t>
            </w:r>
          </w:p>
        </w:tc>
      </w:tr>
      <w:tr w:rsidR="002E39E8" w:rsidRPr="00C97A19" w14:paraId="54AB26CC" w14:textId="77777777" w:rsidTr="002E39E8">
        <w:trPr>
          <w:trHeight w:val="960"/>
        </w:trPr>
        <w:tc>
          <w:tcPr>
            <w:tcW w:w="1560" w:type="dxa"/>
            <w:noWrap/>
            <w:vAlign w:val="bottom"/>
            <w:hideMark/>
          </w:tcPr>
          <w:p w14:paraId="1D3B0B4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Viet Nam BRI</w:t>
            </w:r>
          </w:p>
        </w:tc>
        <w:tc>
          <w:tcPr>
            <w:tcW w:w="1979" w:type="dxa"/>
            <w:noWrap/>
            <w:vAlign w:val="bottom"/>
            <w:hideMark/>
          </w:tcPr>
          <w:p w14:paraId="7D2D978F"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Minh Ha (anh Minh)</w:t>
            </w:r>
          </w:p>
        </w:tc>
        <w:tc>
          <w:tcPr>
            <w:tcW w:w="1262" w:type="dxa"/>
            <w:vAlign w:val="bottom"/>
            <w:hideMark/>
          </w:tcPr>
          <w:p w14:paraId="591C3C30"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Kingspan Group</w:t>
            </w:r>
          </w:p>
        </w:tc>
        <w:tc>
          <w:tcPr>
            <w:tcW w:w="2981" w:type="dxa"/>
            <w:vAlign w:val="bottom"/>
            <w:hideMark/>
          </w:tcPr>
          <w:p w14:paraId="1173EE4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Manager (TBC)</w:t>
            </w:r>
          </w:p>
          <w:p w14:paraId="27892DB4" w14:textId="77777777" w:rsidR="002E39E8" w:rsidRPr="000348BD" w:rsidRDefault="002E39E8" w:rsidP="008240E0">
            <w:pPr>
              <w:rPr>
                <w:rFonts w:ascii="Calibri" w:hAnsi="Calibri" w:cs="Calibri"/>
                <w:color w:val="000000"/>
                <w:sz w:val="20"/>
                <w:szCs w:val="20"/>
                <w:lang w:val="en-AU"/>
              </w:rPr>
            </w:pPr>
          </w:p>
        </w:tc>
      </w:tr>
      <w:tr w:rsidR="002E39E8" w:rsidRPr="00C97A19" w14:paraId="2B114A7F" w14:textId="77777777" w:rsidTr="002E39E8">
        <w:trPr>
          <w:trHeight w:val="640"/>
        </w:trPr>
        <w:tc>
          <w:tcPr>
            <w:tcW w:w="1560" w:type="dxa"/>
            <w:noWrap/>
            <w:vAlign w:val="bottom"/>
            <w:hideMark/>
          </w:tcPr>
          <w:p w14:paraId="44FC3E7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Food Safety and Food Loss</w:t>
            </w:r>
          </w:p>
        </w:tc>
        <w:tc>
          <w:tcPr>
            <w:tcW w:w="1979" w:type="dxa"/>
            <w:noWrap/>
            <w:vAlign w:val="bottom"/>
            <w:hideMark/>
          </w:tcPr>
          <w:p w14:paraId="1BF5D92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Võ Hoàng Nga </w:t>
            </w:r>
            <w:r w:rsidRPr="000348BD">
              <w:rPr>
                <w:rFonts w:ascii="Calibri" w:hAnsi="Calibri" w:cs="Calibri"/>
                <w:i/>
                <w:iCs/>
                <w:color w:val="000000"/>
                <w:sz w:val="20"/>
                <w:szCs w:val="20"/>
                <w:lang w:val="en-AU"/>
              </w:rPr>
              <w:t>(Chi Nga)</w:t>
            </w:r>
          </w:p>
        </w:tc>
        <w:tc>
          <w:tcPr>
            <w:tcW w:w="1262" w:type="dxa"/>
            <w:vAlign w:val="bottom"/>
            <w:hideMark/>
          </w:tcPr>
          <w:p w14:paraId="4198E9F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TTC AgriS</w:t>
            </w:r>
          </w:p>
        </w:tc>
        <w:tc>
          <w:tcPr>
            <w:tcW w:w="2981" w:type="dxa"/>
            <w:noWrap/>
            <w:vAlign w:val="bottom"/>
            <w:hideMark/>
          </w:tcPr>
          <w:p w14:paraId="4019710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E&amp;S Director</w:t>
            </w:r>
          </w:p>
        </w:tc>
      </w:tr>
      <w:tr w:rsidR="002E39E8" w:rsidRPr="00C97A19" w14:paraId="4F8990AB" w14:textId="77777777" w:rsidTr="002E39E8">
        <w:trPr>
          <w:trHeight w:val="660"/>
        </w:trPr>
        <w:tc>
          <w:tcPr>
            <w:tcW w:w="1560" w:type="dxa"/>
            <w:noWrap/>
            <w:vAlign w:val="bottom"/>
            <w:hideMark/>
          </w:tcPr>
          <w:p w14:paraId="5163ABC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Vietnam Green Building </w:t>
            </w:r>
          </w:p>
        </w:tc>
        <w:tc>
          <w:tcPr>
            <w:tcW w:w="1979" w:type="dxa"/>
            <w:noWrap/>
            <w:vAlign w:val="bottom"/>
            <w:hideMark/>
          </w:tcPr>
          <w:p w14:paraId="77C1A94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Nhung T. Le, Dung C. Tran </w:t>
            </w:r>
          </w:p>
        </w:tc>
        <w:tc>
          <w:tcPr>
            <w:tcW w:w="1262" w:type="dxa"/>
            <w:vAlign w:val="bottom"/>
            <w:hideMark/>
          </w:tcPr>
          <w:p w14:paraId="5B87637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Capital House Group</w:t>
            </w:r>
          </w:p>
        </w:tc>
        <w:tc>
          <w:tcPr>
            <w:tcW w:w="2981" w:type="dxa"/>
            <w:noWrap/>
            <w:vAlign w:val="bottom"/>
            <w:hideMark/>
          </w:tcPr>
          <w:p w14:paraId="45F1279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Manager of MarCom Dept</w:t>
            </w:r>
          </w:p>
        </w:tc>
      </w:tr>
      <w:tr w:rsidR="002E39E8" w:rsidRPr="00C97A19" w14:paraId="25C40B49" w14:textId="77777777" w:rsidTr="002E39E8">
        <w:trPr>
          <w:trHeight w:val="395"/>
        </w:trPr>
        <w:tc>
          <w:tcPr>
            <w:tcW w:w="1560" w:type="dxa"/>
            <w:noWrap/>
            <w:vAlign w:val="bottom"/>
            <w:hideMark/>
          </w:tcPr>
          <w:p w14:paraId="6B7FD9C5"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Vietnam Green Building </w:t>
            </w:r>
          </w:p>
        </w:tc>
        <w:tc>
          <w:tcPr>
            <w:tcW w:w="1979" w:type="dxa"/>
            <w:noWrap/>
            <w:vAlign w:val="bottom"/>
            <w:hideMark/>
          </w:tcPr>
          <w:p w14:paraId="22D238C1"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 xml:space="preserve">Linh T. Nguyen </w:t>
            </w:r>
          </w:p>
        </w:tc>
        <w:tc>
          <w:tcPr>
            <w:tcW w:w="1262" w:type="dxa"/>
            <w:vAlign w:val="bottom"/>
            <w:hideMark/>
          </w:tcPr>
          <w:p w14:paraId="75D8040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Flamingo Group</w:t>
            </w:r>
          </w:p>
        </w:tc>
        <w:tc>
          <w:tcPr>
            <w:tcW w:w="2981" w:type="dxa"/>
            <w:noWrap/>
            <w:vAlign w:val="bottom"/>
            <w:hideMark/>
          </w:tcPr>
          <w:p w14:paraId="7C821747"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Manager of MarCom Dept</w:t>
            </w:r>
          </w:p>
        </w:tc>
      </w:tr>
      <w:tr w:rsidR="002E39E8" w:rsidRPr="00C97A19" w14:paraId="6B527B62" w14:textId="77777777" w:rsidTr="002E39E8">
        <w:trPr>
          <w:trHeight w:val="320"/>
        </w:trPr>
        <w:tc>
          <w:tcPr>
            <w:tcW w:w="1560" w:type="dxa"/>
            <w:noWrap/>
            <w:vAlign w:val="bottom"/>
            <w:hideMark/>
          </w:tcPr>
          <w:p w14:paraId="6CF1B92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1979" w:type="dxa"/>
            <w:noWrap/>
            <w:vAlign w:val="bottom"/>
            <w:hideMark/>
          </w:tcPr>
          <w:p w14:paraId="1059BC08"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Ms. Vu Thi Chau Quynh</w:t>
            </w:r>
          </w:p>
        </w:tc>
        <w:tc>
          <w:tcPr>
            <w:tcW w:w="1262" w:type="dxa"/>
            <w:vAlign w:val="bottom"/>
            <w:hideMark/>
          </w:tcPr>
          <w:p w14:paraId="5D8F39B9"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Ministry of Finance</w:t>
            </w:r>
          </w:p>
        </w:tc>
        <w:tc>
          <w:tcPr>
            <w:tcW w:w="2981" w:type="dxa"/>
            <w:noWrap/>
            <w:vAlign w:val="bottom"/>
            <w:hideMark/>
          </w:tcPr>
          <w:p w14:paraId="3B87FF1B"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Department of Legislation</w:t>
            </w:r>
          </w:p>
        </w:tc>
      </w:tr>
      <w:tr w:rsidR="002E39E8" w:rsidRPr="00C97A19" w14:paraId="696F3C7C" w14:textId="77777777" w:rsidTr="002E39E8">
        <w:trPr>
          <w:trHeight w:val="320"/>
        </w:trPr>
        <w:tc>
          <w:tcPr>
            <w:tcW w:w="1560" w:type="dxa"/>
            <w:noWrap/>
            <w:vAlign w:val="bottom"/>
            <w:hideMark/>
          </w:tcPr>
          <w:p w14:paraId="565450DE"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1979" w:type="dxa"/>
            <w:noWrap/>
            <w:vAlign w:val="bottom"/>
            <w:hideMark/>
          </w:tcPr>
          <w:p w14:paraId="7BAF2EA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Ms. Bui Thi Thuy Dung</w:t>
            </w:r>
          </w:p>
        </w:tc>
        <w:tc>
          <w:tcPr>
            <w:tcW w:w="1262" w:type="dxa"/>
            <w:vAlign w:val="bottom"/>
            <w:hideMark/>
          </w:tcPr>
          <w:p w14:paraId="0A9D02D4"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Ministry of Finance</w:t>
            </w:r>
          </w:p>
        </w:tc>
        <w:tc>
          <w:tcPr>
            <w:tcW w:w="2981" w:type="dxa"/>
            <w:noWrap/>
            <w:vAlign w:val="bottom"/>
            <w:hideMark/>
          </w:tcPr>
          <w:p w14:paraId="508A6C72"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Foreign Investment Agency</w:t>
            </w:r>
          </w:p>
        </w:tc>
      </w:tr>
      <w:tr w:rsidR="002E39E8" w:rsidRPr="00C97A19" w14:paraId="27890553" w14:textId="77777777" w:rsidTr="002E39E8">
        <w:trPr>
          <w:trHeight w:val="320"/>
        </w:trPr>
        <w:tc>
          <w:tcPr>
            <w:tcW w:w="1560" w:type="dxa"/>
            <w:noWrap/>
            <w:vAlign w:val="bottom"/>
            <w:hideMark/>
          </w:tcPr>
          <w:p w14:paraId="6B70508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1979" w:type="dxa"/>
            <w:noWrap/>
            <w:vAlign w:val="bottom"/>
            <w:hideMark/>
          </w:tcPr>
          <w:p w14:paraId="4ECEA2C3"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Mr. Tran Phuong</w:t>
            </w:r>
          </w:p>
        </w:tc>
        <w:tc>
          <w:tcPr>
            <w:tcW w:w="1262" w:type="dxa"/>
            <w:vAlign w:val="bottom"/>
            <w:hideMark/>
          </w:tcPr>
          <w:p w14:paraId="6846EA94"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Ministry of Construction</w:t>
            </w:r>
          </w:p>
        </w:tc>
        <w:tc>
          <w:tcPr>
            <w:tcW w:w="2981" w:type="dxa"/>
            <w:noWrap/>
            <w:vAlign w:val="bottom"/>
            <w:hideMark/>
          </w:tcPr>
          <w:p w14:paraId="7E5F428D"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Institute for Building Science and Technology (IBST)</w:t>
            </w:r>
          </w:p>
        </w:tc>
      </w:tr>
      <w:tr w:rsidR="002E39E8" w:rsidRPr="00C97A19" w14:paraId="3536D854" w14:textId="77777777" w:rsidTr="002E39E8">
        <w:trPr>
          <w:trHeight w:val="320"/>
        </w:trPr>
        <w:tc>
          <w:tcPr>
            <w:tcW w:w="1560" w:type="dxa"/>
            <w:noWrap/>
            <w:vAlign w:val="bottom"/>
            <w:hideMark/>
          </w:tcPr>
          <w:p w14:paraId="4E9DFC6C"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Investment Policy Reform</w:t>
            </w:r>
          </w:p>
        </w:tc>
        <w:tc>
          <w:tcPr>
            <w:tcW w:w="1979" w:type="dxa"/>
            <w:noWrap/>
            <w:vAlign w:val="bottom"/>
            <w:hideMark/>
          </w:tcPr>
          <w:p w14:paraId="1DE988B6"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Ms. Hoang Thi Dieu Linh</w:t>
            </w:r>
          </w:p>
        </w:tc>
        <w:tc>
          <w:tcPr>
            <w:tcW w:w="1262" w:type="dxa"/>
            <w:vAlign w:val="bottom"/>
            <w:hideMark/>
          </w:tcPr>
          <w:p w14:paraId="232E80EA"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UNDP</w:t>
            </w:r>
          </w:p>
        </w:tc>
        <w:tc>
          <w:tcPr>
            <w:tcW w:w="2981" w:type="dxa"/>
            <w:noWrap/>
            <w:vAlign w:val="bottom"/>
            <w:hideMark/>
          </w:tcPr>
          <w:p w14:paraId="0AAD4B85" w14:textId="77777777" w:rsidR="002E39E8" w:rsidRPr="000348BD" w:rsidRDefault="002E39E8" w:rsidP="008240E0">
            <w:pPr>
              <w:rPr>
                <w:rFonts w:ascii="Calibri" w:hAnsi="Calibri" w:cs="Calibri"/>
                <w:color w:val="000000"/>
                <w:sz w:val="20"/>
                <w:szCs w:val="20"/>
                <w:lang w:val="en-AU"/>
              </w:rPr>
            </w:pPr>
            <w:r w:rsidRPr="000348BD">
              <w:rPr>
                <w:rFonts w:ascii="Calibri" w:hAnsi="Calibri" w:cs="Calibri"/>
                <w:color w:val="000000"/>
                <w:sz w:val="20"/>
                <w:szCs w:val="20"/>
                <w:lang w:val="en-AU"/>
              </w:rPr>
              <w:t>UNDP</w:t>
            </w:r>
          </w:p>
        </w:tc>
      </w:tr>
    </w:tbl>
    <w:p w14:paraId="0722C6C6" w14:textId="015AFCAB" w:rsidR="00225A2D" w:rsidRPr="00C97A19" w:rsidRDefault="00225A2D" w:rsidP="00225A2D">
      <w:pPr>
        <w:spacing w:after="160" w:line="259" w:lineRule="auto"/>
        <w:rPr>
          <w:rFonts w:ascii="Calibri" w:eastAsiaTheme="minorHAnsi" w:hAnsi="Calibri" w:cs="Calibri"/>
          <w:kern w:val="2"/>
          <w:sz w:val="20"/>
          <w:szCs w:val="20"/>
          <w:lang w:val="en-AU"/>
          <w14:ligatures w14:val="standardContextual"/>
        </w:rPr>
      </w:pPr>
      <w:r w:rsidRPr="00C97A19">
        <w:rPr>
          <w:rFonts w:ascii="Calibri" w:hAnsi="Calibri" w:cs="Calibri"/>
          <w:lang w:val="en-AU"/>
        </w:rPr>
        <w:br w:type="page"/>
      </w:r>
    </w:p>
    <w:p w14:paraId="5C305054" w14:textId="35E676BA" w:rsidR="00225A2D" w:rsidRDefault="00225A2D" w:rsidP="00225A2D">
      <w:pPr>
        <w:pStyle w:val="Heading1"/>
        <w:rPr>
          <w:rFonts w:cs="Calibri"/>
          <w:lang w:val="en-AU"/>
        </w:rPr>
      </w:pPr>
      <w:bookmarkStart w:id="57" w:name="_Toc233724267"/>
      <w:r w:rsidRPr="00566B1A">
        <w:rPr>
          <w:rFonts w:cs="Calibri"/>
          <w:lang w:val="en-AU"/>
        </w:rPr>
        <w:lastRenderedPageBreak/>
        <w:t xml:space="preserve">Annex </w:t>
      </w:r>
      <w:r w:rsidR="00C30DF1">
        <w:rPr>
          <w:rFonts w:cs="Calibri"/>
          <w:lang w:val="en-AU"/>
        </w:rPr>
        <w:t>4</w:t>
      </w:r>
      <w:r w:rsidRPr="00566B1A">
        <w:rPr>
          <w:rFonts w:cs="Calibri"/>
          <w:lang w:val="en-AU"/>
        </w:rPr>
        <w:t>: List of Documents Reviewed</w:t>
      </w:r>
      <w:bookmarkEnd w:id="57"/>
    </w:p>
    <w:tbl>
      <w:tblPr>
        <w:tblStyle w:val="TableGrid"/>
        <w:tblW w:w="10201" w:type="dxa"/>
        <w:tblLook w:val="04A0" w:firstRow="1" w:lastRow="0" w:firstColumn="1" w:lastColumn="0" w:noHBand="0" w:noVBand="1"/>
      </w:tblPr>
      <w:tblGrid>
        <w:gridCol w:w="521"/>
        <w:gridCol w:w="9680"/>
      </w:tblGrid>
      <w:tr w:rsidR="00797535" w:rsidRPr="00C97A19" w14:paraId="0F948E46" w14:textId="77777777" w:rsidTr="00DC1F89">
        <w:trPr>
          <w:tblHeader/>
        </w:trPr>
        <w:tc>
          <w:tcPr>
            <w:tcW w:w="521" w:type="dxa"/>
            <w:shd w:val="clear" w:color="auto" w:fill="95DCF7" w:themeFill="accent4" w:themeFillTint="66"/>
          </w:tcPr>
          <w:p w14:paraId="1367F9B0" w14:textId="3D5DEDA7" w:rsidR="00797535" w:rsidRPr="00797535" w:rsidRDefault="00797535" w:rsidP="008240E0">
            <w:pPr>
              <w:rPr>
                <w:rFonts w:ascii="Calibri" w:hAnsi="Calibri" w:cs="Calibri"/>
                <w:b/>
                <w:bCs/>
                <w:sz w:val="20"/>
                <w:szCs w:val="20"/>
                <w:lang w:val="en-AU"/>
              </w:rPr>
            </w:pPr>
            <w:r w:rsidRPr="00797535">
              <w:rPr>
                <w:rFonts w:ascii="Calibri" w:hAnsi="Calibri" w:cs="Calibri"/>
                <w:b/>
                <w:bCs/>
                <w:sz w:val="20"/>
                <w:szCs w:val="20"/>
                <w:lang w:val="en-AU"/>
              </w:rPr>
              <w:t>No</w:t>
            </w:r>
          </w:p>
        </w:tc>
        <w:tc>
          <w:tcPr>
            <w:tcW w:w="9680" w:type="dxa"/>
            <w:shd w:val="clear" w:color="auto" w:fill="95DCF7" w:themeFill="accent4" w:themeFillTint="66"/>
          </w:tcPr>
          <w:p w14:paraId="16E2A304" w14:textId="42666745" w:rsidR="00797535" w:rsidRPr="00797535" w:rsidRDefault="00797535" w:rsidP="008240E0">
            <w:pPr>
              <w:rPr>
                <w:rFonts w:ascii="Calibri" w:hAnsi="Calibri" w:cs="Calibri"/>
                <w:b/>
                <w:bCs/>
                <w:sz w:val="20"/>
                <w:szCs w:val="20"/>
                <w:lang w:val="en-AU"/>
              </w:rPr>
            </w:pPr>
            <w:r w:rsidRPr="00797535">
              <w:rPr>
                <w:rFonts w:ascii="Calibri" w:hAnsi="Calibri" w:cs="Calibri"/>
                <w:b/>
                <w:bCs/>
                <w:sz w:val="20"/>
                <w:szCs w:val="20"/>
                <w:lang w:val="en-AU"/>
              </w:rPr>
              <w:t>Document Names</w:t>
            </w:r>
          </w:p>
        </w:tc>
      </w:tr>
      <w:tr w:rsidR="00712BC2" w:rsidRPr="00C97A19" w14:paraId="0DD09438" w14:textId="77777777" w:rsidTr="008240E0">
        <w:tc>
          <w:tcPr>
            <w:tcW w:w="521" w:type="dxa"/>
          </w:tcPr>
          <w:p w14:paraId="172A648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w:t>
            </w:r>
          </w:p>
        </w:tc>
        <w:tc>
          <w:tcPr>
            <w:tcW w:w="9680" w:type="dxa"/>
          </w:tcPr>
          <w:p w14:paraId="505FFF4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TF071889_Annex_17_DFAT_Vietnam_Execution_Version.docx (signed)</w:t>
            </w:r>
          </w:p>
        </w:tc>
      </w:tr>
      <w:tr w:rsidR="00712BC2" w:rsidRPr="00C97A19" w14:paraId="55A452C7" w14:textId="77777777" w:rsidTr="008240E0">
        <w:tc>
          <w:tcPr>
            <w:tcW w:w="521" w:type="dxa"/>
          </w:tcPr>
          <w:p w14:paraId="15D2EAE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w:t>
            </w:r>
          </w:p>
        </w:tc>
        <w:tc>
          <w:tcPr>
            <w:tcW w:w="9680" w:type="dxa"/>
          </w:tcPr>
          <w:p w14:paraId="57899EF7"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MEF Guidelines - Final</w:t>
            </w:r>
          </w:p>
        </w:tc>
      </w:tr>
      <w:tr w:rsidR="00712BC2" w:rsidRPr="00C97A19" w14:paraId="7E06369C" w14:textId="77777777" w:rsidTr="008240E0">
        <w:tc>
          <w:tcPr>
            <w:tcW w:w="521" w:type="dxa"/>
          </w:tcPr>
          <w:p w14:paraId="1C088F7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w:t>
            </w:r>
          </w:p>
        </w:tc>
        <w:tc>
          <w:tcPr>
            <w:tcW w:w="9680" w:type="dxa"/>
          </w:tcPr>
          <w:p w14:paraId="0F745C5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BRI Final Oct 22</w:t>
            </w:r>
          </w:p>
        </w:tc>
      </w:tr>
      <w:tr w:rsidR="00712BC2" w:rsidRPr="00C97A19" w14:paraId="0C12A0DD" w14:textId="77777777" w:rsidTr="008240E0">
        <w:tc>
          <w:tcPr>
            <w:tcW w:w="521" w:type="dxa"/>
          </w:tcPr>
          <w:p w14:paraId="4F69FEC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w:t>
            </w:r>
          </w:p>
        </w:tc>
        <w:tc>
          <w:tcPr>
            <w:tcW w:w="9680" w:type="dxa"/>
          </w:tcPr>
          <w:p w14:paraId="3060C92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DfGE Final Oct 23</w:t>
            </w:r>
          </w:p>
        </w:tc>
      </w:tr>
      <w:tr w:rsidR="00712BC2" w:rsidRPr="00C97A19" w14:paraId="0D83277A" w14:textId="77777777" w:rsidTr="008240E0">
        <w:tc>
          <w:tcPr>
            <w:tcW w:w="521" w:type="dxa"/>
          </w:tcPr>
          <w:p w14:paraId="41B1E5C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5</w:t>
            </w:r>
          </w:p>
        </w:tc>
        <w:tc>
          <w:tcPr>
            <w:tcW w:w="9680" w:type="dxa"/>
          </w:tcPr>
          <w:p w14:paraId="60C8AC34"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Embedded Finance Final Oct 22</w:t>
            </w:r>
          </w:p>
        </w:tc>
      </w:tr>
      <w:tr w:rsidR="00712BC2" w:rsidRPr="00C97A19" w14:paraId="72442993" w14:textId="77777777" w:rsidTr="008240E0">
        <w:tc>
          <w:tcPr>
            <w:tcW w:w="521" w:type="dxa"/>
          </w:tcPr>
          <w:p w14:paraId="7B8E2BF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6</w:t>
            </w:r>
          </w:p>
        </w:tc>
        <w:tc>
          <w:tcPr>
            <w:tcW w:w="9680" w:type="dxa"/>
          </w:tcPr>
          <w:p w14:paraId="183988D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EMERGE Final Oct 22</w:t>
            </w:r>
          </w:p>
        </w:tc>
      </w:tr>
      <w:tr w:rsidR="00712BC2" w:rsidRPr="00C97A19" w14:paraId="55F8089C" w14:textId="77777777" w:rsidTr="008240E0">
        <w:tc>
          <w:tcPr>
            <w:tcW w:w="521" w:type="dxa"/>
          </w:tcPr>
          <w:p w14:paraId="3BFBDB7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7</w:t>
            </w:r>
          </w:p>
        </w:tc>
        <w:tc>
          <w:tcPr>
            <w:tcW w:w="9680" w:type="dxa"/>
          </w:tcPr>
          <w:p w14:paraId="481E8599"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Green Finance Final</w:t>
            </w:r>
          </w:p>
        </w:tc>
      </w:tr>
      <w:tr w:rsidR="00712BC2" w:rsidRPr="00C97A19" w14:paraId="5037FAED" w14:textId="77777777" w:rsidTr="008240E0">
        <w:tc>
          <w:tcPr>
            <w:tcW w:w="521" w:type="dxa"/>
          </w:tcPr>
          <w:p w14:paraId="276F343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8</w:t>
            </w:r>
          </w:p>
        </w:tc>
        <w:tc>
          <w:tcPr>
            <w:tcW w:w="9680" w:type="dxa"/>
          </w:tcPr>
          <w:p w14:paraId="70322EB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Investment Policy Final Oct 22</w:t>
            </w:r>
          </w:p>
        </w:tc>
      </w:tr>
      <w:tr w:rsidR="00712BC2" w:rsidRPr="00C97A19" w14:paraId="612D3417" w14:textId="77777777" w:rsidTr="008240E0">
        <w:tc>
          <w:tcPr>
            <w:tcW w:w="521" w:type="dxa"/>
          </w:tcPr>
          <w:p w14:paraId="0EA23017"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9</w:t>
            </w:r>
          </w:p>
        </w:tc>
        <w:tc>
          <w:tcPr>
            <w:tcW w:w="9680" w:type="dxa"/>
          </w:tcPr>
          <w:p w14:paraId="7F1B9B99"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DFS_v0.2-KM</w:t>
            </w:r>
          </w:p>
        </w:tc>
      </w:tr>
      <w:tr w:rsidR="00712BC2" w:rsidRPr="00C97A19" w14:paraId="08E985E6" w14:textId="77777777" w:rsidTr="008240E0">
        <w:tc>
          <w:tcPr>
            <w:tcW w:w="521" w:type="dxa"/>
          </w:tcPr>
          <w:p w14:paraId="1E344BC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10</w:t>
            </w:r>
          </w:p>
        </w:tc>
        <w:tc>
          <w:tcPr>
            <w:tcW w:w="9680" w:type="dxa"/>
          </w:tcPr>
          <w:p w14:paraId="574B903E"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OCB_v0.2_KM</w:t>
            </w:r>
          </w:p>
        </w:tc>
      </w:tr>
      <w:tr w:rsidR="00712BC2" w:rsidRPr="00C97A19" w14:paraId="2E0D78DE" w14:textId="77777777" w:rsidTr="008240E0">
        <w:tc>
          <w:tcPr>
            <w:tcW w:w="521" w:type="dxa"/>
          </w:tcPr>
          <w:p w14:paraId="01C2873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11</w:t>
            </w:r>
          </w:p>
        </w:tc>
        <w:tc>
          <w:tcPr>
            <w:tcW w:w="9680" w:type="dxa"/>
          </w:tcPr>
          <w:p w14:paraId="1EC95D5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Vietnam Gender-Smart Climate Diagnostic</w:t>
            </w:r>
          </w:p>
        </w:tc>
      </w:tr>
      <w:tr w:rsidR="00712BC2" w:rsidRPr="00C97A19" w14:paraId="08E495E8" w14:textId="77777777" w:rsidTr="008240E0">
        <w:tc>
          <w:tcPr>
            <w:tcW w:w="521" w:type="dxa"/>
          </w:tcPr>
          <w:p w14:paraId="55E2ACF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12</w:t>
            </w:r>
          </w:p>
        </w:tc>
        <w:tc>
          <w:tcPr>
            <w:tcW w:w="9680" w:type="dxa"/>
          </w:tcPr>
          <w:p w14:paraId="74129B8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Summary Note_Vietnam Food Safety Food Loss (VN FSFL)</w:t>
            </w:r>
          </w:p>
        </w:tc>
      </w:tr>
      <w:tr w:rsidR="00712BC2" w:rsidRPr="00C97A19" w14:paraId="397D819C" w14:textId="77777777" w:rsidTr="008240E0">
        <w:tc>
          <w:tcPr>
            <w:tcW w:w="521" w:type="dxa"/>
          </w:tcPr>
          <w:p w14:paraId="4457AA4A"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13</w:t>
            </w:r>
          </w:p>
        </w:tc>
        <w:tc>
          <w:tcPr>
            <w:tcW w:w="9680" w:type="dxa"/>
          </w:tcPr>
          <w:p w14:paraId="722CBDE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Summary Note_Vietnam NBFI</w:t>
            </w:r>
          </w:p>
        </w:tc>
      </w:tr>
      <w:tr w:rsidR="00712BC2" w:rsidRPr="00C97A19" w14:paraId="283E6A9B" w14:textId="77777777" w:rsidTr="008240E0">
        <w:tc>
          <w:tcPr>
            <w:tcW w:w="521" w:type="dxa"/>
          </w:tcPr>
          <w:p w14:paraId="1EE216EA"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14</w:t>
            </w:r>
          </w:p>
        </w:tc>
        <w:tc>
          <w:tcPr>
            <w:tcW w:w="9680" w:type="dxa"/>
          </w:tcPr>
          <w:p w14:paraId="6295CF4B"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VN Digital Financial Services Project - Discussion Note</w:t>
            </w:r>
          </w:p>
        </w:tc>
      </w:tr>
      <w:tr w:rsidR="00712BC2" w:rsidRPr="00C97A19" w14:paraId="78C7D61A" w14:textId="77777777" w:rsidTr="008240E0">
        <w:tc>
          <w:tcPr>
            <w:tcW w:w="521" w:type="dxa"/>
          </w:tcPr>
          <w:p w14:paraId="7D8C878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15</w:t>
            </w:r>
          </w:p>
        </w:tc>
        <w:tc>
          <w:tcPr>
            <w:tcW w:w="9680" w:type="dxa"/>
          </w:tcPr>
          <w:p w14:paraId="13387AB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VN NBFI Project - Discussion Note</w:t>
            </w:r>
          </w:p>
        </w:tc>
      </w:tr>
      <w:tr w:rsidR="00712BC2" w:rsidRPr="00C97A19" w14:paraId="680237A1" w14:textId="77777777" w:rsidTr="008240E0">
        <w:tc>
          <w:tcPr>
            <w:tcW w:w="521" w:type="dxa"/>
          </w:tcPr>
          <w:p w14:paraId="256DA2A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16</w:t>
            </w:r>
          </w:p>
        </w:tc>
        <w:tc>
          <w:tcPr>
            <w:tcW w:w="9680" w:type="dxa"/>
          </w:tcPr>
          <w:p w14:paraId="7A068AA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VN NBFI Project Summary Note - 21072023_KM</w:t>
            </w:r>
          </w:p>
        </w:tc>
      </w:tr>
      <w:tr w:rsidR="00712BC2" w:rsidRPr="00C97A19" w14:paraId="3BACF7E7" w14:textId="77777777" w:rsidTr="008240E0">
        <w:tc>
          <w:tcPr>
            <w:tcW w:w="521" w:type="dxa"/>
          </w:tcPr>
          <w:p w14:paraId="381D0B3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17</w:t>
            </w:r>
          </w:p>
        </w:tc>
        <w:tc>
          <w:tcPr>
            <w:tcW w:w="9680" w:type="dxa"/>
          </w:tcPr>
          <w:p w14:paraId="4D43C36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Digital Financial Services Project_v2</w:t>
            </w:r>
          </w:p>
        </w:tc>
      </w:tr>
      <w:tr w:rsidR="00712BC2" w:rsidRPr="00C97A19" w14:paraId="3C111487" w14:textId="77777777" w:rsidTr="008240E0">
        <w:tc>
          <w:tcPr>
            <w:tcW w:w="521" w:type="dxa"/>
          </w:tcPr>
          <w:p w14:paraId="75AF217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18</w:t>
            </w:r>
          </w:p>
        </w:tc>
        <w:tc>
          <w:tcPr>
            <w:tcW w:w="9680" w:type="dxa"/>
          </w:tcPr>
          <w:p w14:paraId="5AA30C0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Embedded Finance - TopUp</w:t>
            </w:r>
          </w:p>
        </w:tc>
      </w:tr>
      <w:tr w:rsidR="00712BC2" w:rsidRPr="00C97A19" w14:paraId="6AB65B7E" w14:textId="77777777" w:rsidTr="008240E0">
        <w:tc>
          <w:tcPr>
            <w:tcW w:w="521" w:type="dxa"/>
          </w:tcPr>
          <w:p w14:paraId="764D4A6B"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19</w:t>
            </w:r>
          </w:p>
        </w:tc>
        <w:tc>
          <w:tcPr>
            <w:tcW w:w="9680" w:type="dxa"/>
          </w:tcPr>
          <w:p w14:paraId="0E2CE0B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Green Finance SHIFT</w:t>
            </w:r>
          </w:p>
        </w:tc>
      </w:tr>
      <w:tr w:rsidR="00712BC2" w:rsidRPr="00C97A19" w14:paraId="6A0D1590" w14:textId="77777777" w:rsidTr="008240E0">
        <w:tc>
          <w:tcPr>
            <w:tcW w:w="521" w:type="dxa"/>
          </w:tcPr>
          <w:p w14:paraId="70E0F0C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w:t>
            </w:r>
          </w:p>
        </w:tc>
        <w:tc>
          <w:tcPr>
            <w:tcW w:w="9680" w:type="dxa"/>
          </w:tcPr>
          <w:p w14:paraId="0080D8E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Viet Nam Food Safety Food Loss</w:t>
            </w:r>
          </w:p>
        </w:tc>
      </w:tr>
      <w:tr w:rsidR="00712BC2" w:rsidRPr="00C97A19" w14:paraId="7E4FF825" w14:textId="77777777" w:rsidTr="008240E0">
        <w:tc>
          <w:tcPr>
            <w:tcW w:w="521" w:type="dxa"/>
          </w:tcPr>
          <w:p w14:paraId="13012FC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21</w:t>
            </w:r>
          </w:p>
        </w:tc>
        <w:tc>
          <w:tcPr>
            <w:tcW w:w="9680" w:type="dxa"/>
          </w:tcPr>
          <w:p w14:paraId="2F91900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Viet Nam Gender-Smart Climate Diagnostic</w:t>
            </w:r>
          </w:p>
        </w:tc>
      </w:tr>
      <w:tr w:rsidR="00712BC2" w:rsidRPr="00C97A19" w14:paraId="6BDE07DE" w14:textId="77777777" w:rsidTr="008240E0">
        <w:tc>
          <w:tcPr>
            <w:tcW w:w="521" w:type="dxa"/>
          </w:tcPr>
          <w:p w14:paraId="5CEF90D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22</w:t>
            </w:r>
          </w:p>
        </w:tc>
        <w:tc>
          <w:tcPr>
            <w:tcW w:w="9680" w:type="dxa"/>
          </w:tcPr>
          <w:p w14:paraId="6D94431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DFAT-IFC VPSDP Project Summary Note - Viet Nam NBFI</w:t>
            </w:r>
          </w:p>
        </w:tc>
      </w:tr>
      <w:tr w:rsidR="00712BC2" w:rsidRPr="00C97A19" w14:paraId="0648E71E" w14:textId="77777777" w:rsidTr="008240E0">
        <w:tc>
          <w:tcPr>
            <w:tcW w:w="521" w:type="dxa"/>
          </w:tcPr>
          <w:p w14:paraId="3FE0B2EE"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23</w:t>
            </w:r>
          </w:p>
        </w:tc>
        <w:tc>
          <w:tcPr>
            <w:tcW w:w="9680" w:type="dxa"/>
          </w:tcPr>
          <w:p w14:paraId="2A3D21D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 Project Summary Note_Blue Finance</w:t>
            </w:r>
          </w:p>
        </w:tc>
      </w:tr>
      <w:tr w:rsidR="00712BC2" w:rsidRPr="00C97A19" w14:paraId="15BC6F50" w14:textId="77777777" w:rsidTr="008240E0">
        <w:tc>
          <w:tcPr>
            <w:tcW w:w="521" w:type="dxa"/>
          </w:tcPr>
          <w:p w14:paraId="35D7167B"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24</w:t>
            </w:r>
          </w:p>
        </w:tc>
        <w:tc>
          <w:tcPr>
            <w:tcW w:w="9680" w:type="dxa"/>
          </w:tcPr>
          <w:p w14:paraId="1786497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 Project Summary Note_BRI</w:t>
            </w:r>
          </w:p>
        </w:tc>
      </w:tr>
      <w:tr w:rsidR="00712BC2" w:rsidRPr="00C97A19" w14:paraId="01949B91" w14:textId="77777777" w:rsidTr="008240E0">
        <w:tc>
          <w:tcPr>
            <w:tcW w:w="521" w:type="dxa"/>
          </w:tcPr>
          <w:p w14:paraId="7906FBD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25</w:t>
            </w:r>
          </w:p>
        </w:tc>
        <w:tc>
          <w:tcPr>
            <w:tcW w:w="9680" w:type="dxa"/>
          </w:tcPr>
          <w:p w14:paraId="1BF7842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 Project Summary Note_Green Buildings</w:t>
            </w:r>
          </w:p>
        </w:tc>
      </w:tr>
      <w:tr w:rsidR="00712BC2" w:rsidRPr="00C97A19" w14:paraId="63670410" w14:textId="77777777" w:rsidTr="008240E0">
        <w:tc>
          <w:tcPr>
            <w:tcW w:w="521" w:type="dxa"/>
          </w:tcPr>
          <w:p w14:paraId="3D20B84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26</w:t>
            </w:r>
          </w:p>
        </w:tc>
        <w:tc>
          <w:tcPr>
            <w:tcW w:w="9680" w:type="dxa"/>
          </w:tcPr>
          <w:p w14:paraId="2B4A7B4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 Project Summary Note_Investmnet Policy</w:t>
            </w:r>
          </w:p>
        </w:tc>
      </w:tr>
      <w:tr w:rsidR="00712BC2" w:rsidRPr="00C97A19" w14:paraId="0DBAA838" w14:textId="77777777" w:rsidTr="008240E0">
        <w:tc>
          <w:tcPr>
            <w:tcW w:w="521" w:type="dxa"/>
          </w:tcPr>
          <w:p w14:paraId="0213D46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27</w:t>
            </w:r>
          </w:p>
        </w:tc>
        <w:tc>
          <w:tcPr>
            <w:tcW w:w="9680" w:type="dxa"/>
          </w:tcPr>
          <w:p w14:paraId="4DC806D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 Project Summary Note_JCAP_revised</w:t>
            </w:r>
          </w:p>
        </w:tc>
      </w:tr>
      <w:tr w:rsidR="00712BC2" w:rsidRPr="00C97A19" w14:paraId="73492A61" w14:textId="77777777" w:rsidTr="008240E0">
        <w:tc>
          <w:tcPr>
            <w:tcW w:w="521" w:type="dxa"/>
          </w:tcPr>
          <w:p w14:paraId="5A6A754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29</w:t>
            </w:r>
          </w:p>
        </w:tc>
        <w:tc>
          <w:tcPr>
            <w:tcW w:w="9680" w:type="dxa"/>
          </w:tcPr>
          <w:p w14:paraId="4122E8C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VPSDP_Discussion Note_Blue Finance</w:t>
            </w:r>
          </w:p>
        </w:tc>
      </w:tr>
      <w:tr w:rsidR="00712BC2" w:rsidRPr="00C97A19" w14:paraId="392D6311" w14:textId="77777777" w:rsidTr="008240E0">
        <w:tc>
          <w:tcPr>
            <w:tcW w:w="521" w:type="dxa"/>
          </w:tcPr>
          <w:p w14:paraId="58EBB064"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30</w:t>
            </w:r>
          </w:p>
        </w:tc>
        <w:tc>
          <w:tcPr>
            <w:tcW w:w="9680" w:type="dxa"/>
          </w:tcPr>
          <w:p w14:paraId="64DACE6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FY25_DFAT-IFC VPSDP_Discussion Note_Embedded Agrifinance</w:t>
            </w:r>
          </w:p>
        </w:tc>
      </w:tr>
      <w:tr w:rsidR="00712BC2" w:rsidRPr="00C97A19" w14:paraId="38A7EF65" w14:textId="77777777" w:rsidTr="008240E0">
        <w:tc>
          <w:tcPr>
            <w:tcW w:w="521" w:type="dxa"/>
          </w:tcPr>
          <w:p w14:paraId="1D3E639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31</w:t>
            </w:r>
          </w:p>
        </w:tc>
        <w:tc>
          <w:tcPr>
            <w:tcW w:w="9680" w:type="dxa"/>
          </w:tcPr>
          <w:p w14:paraId="7D8028BE"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2025 08 25 - DFAT-IFC VPSDP Project Summary Note - Mekong DFS2 - vF_KM</w:t>
            </w:r>
          </w:p>
        </w:tc>
      </w:tr>
      <w:tr w:rsidR="00712BC2" w:rsidRPr="00C97A19" w14:paraId="4A8C6B5D" w14:textId="77777777" w:rsidTr="008240E0">
        <w:tc>
          <w:tcPr>
            <w:tcW w:w="521" w:type="dxa"/>
          </w:tcPr>
          <w:p w14:paraId="1D97BE99"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32</w:t>
            </w:r>
          </w:p>
        </w:tc>
        <w:tc>
          <w:tcPr>
            <w:tcW w:w="9680" w:type="dxa"/>
          </w:tcPr>
          <w:p w14:paraId="6177C34E" w14:textId="76D380D2"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Annex 1 - VPSDP VISIBILITY REPORT_Dec</w:t>
            </w:r>
            <w:r w:rsidR="009A4335">
              <w:rPr>
                <w:rFonts w:ascii="Calibri" w:hAnsi="Calibri" w:cs="Calibri"/>
                <w:sz w:val="20"/>
                <w:szCs w:val="20"/>
                <w:lang w:val="en-AU"/>
              </w:rPr>
              <w:t>ember</w:t>
            </w:r>
            <w:r w:rsidRPr="00C97A19">
              <w:rPr>
                <w:rFonts w:ascii="Calibri" w:hAnsi="Calibri" w:cs="Calibri"/>
                <w:sz w:val="20"/>
                <w:szCs w:val="20"/>
                <w:lang w:val="en-AU"/>
              </w:rPr>
              <w:t xml:space="preserve"> 2022_June 2023</w:t>
            </w:r>
          </w:p>
        </w:tc>
      </w:tr>
      <w:tr w:rsidR="00712BC2" w:rsidRPr="00C97A19" w14:paraId="6B77E50E" w14:textId="77777777" w:rsidTr="008240E0">
        <w:tc>
          <w:tcPr>
            <w:tcW w:w="521" w:type="dxa"/>
          </w:tcPr>
          <w:p w14:paraId="07FFBB6F"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33</w:t>
            </w:r>
          </w:p>
        </w:tc>
        <w:tc>
          <w:tcPr>
            <w:tcW w:w="9680" w:type="dxa"/>
          </w:tcPr>
          <w:p w14:paraId="78C6535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Annex 1 - VPSDP VISIBILITY REPORT_January-October 2024</w:t>
            </w:r>
          </w:p>
        </w:tc>
      </w:tr>
      <w:tr w:rsidR="00712BC2" w:rsidRPr="00C97A19" w14:paraId="3DE70A98" w14:textId="77777777" w:rsidTr="008240E0">
        <w:tc>
          <w:tcPr>
            <w:tcW w:w="521" w:type="dxa"/>
          </w:tcPr>
          <w:p w14:paraId="719B299E"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34</w:t>
            </w:r>
          </w:p>
        </w:tc>
        <w:tc>
          <w:tcPr>
            <w:tcW w:w="9680" w:type="dxa"/>
          </w:tcPr>
          <w:p w14:paraId="68988303"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January -June 2023 IPP_for managerial review</w:t>
            </w:r>
          </w:p>
        </w:tc>
      </w:tr>
      <w:tr w:rsidR="00712BC2" w:rsidRPr="00C97A19" w14:paraId="18BD47E1" w14:textId="77777777" w:rsidTr="008240E0">
        <w:tc>
          <w:tcPr>
            <w:tcW w:w="521" w:type="dxa"/>
          </w:tcPr>
          <w:p w14:paraId="638E3066"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35</w:t>
            </w:r>
          </w:p>
        </w:tc>
        <w:tc>
          <w:tcPr>
            <w:tcW w:w="9680" w:type="dxa"/>
          </w:tcPr>
          <w:p w14:paraId="60E3A85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Report_Jan-Jun 2023</w:t>
            </w:r>
          </w:p>
        </w:tc>
      </w:tr>
      <w:tr w:rsidR="00712BC2" w:rsidRPr="00C97A19" w14:paraId="7909FA2F" w14:textId="77777777" w:rsidTr="008240E0">
        <w:tc>
          <w:tcPr>
            <w:tcW w:w="521" w:type="dxa"/>
          </w:tcPr>
          <w:p w14:paraId="307B406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36</w:t>
            </w:r>
          </w:p>
        </w:tc>
        <w:tc>
          <w:tcPr>
            <w:tcW w:w="9680" w:type="dxa"/>
          </w:tcPr>
          <w:p w14:paraId="03629C1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Report_Jan-Jun 2024</w:t>
            </w:r>
          </w:p>
        </w:tc>
      </w:tr>
      <w:tr w:rsidR="00712BC2" w:rsidRPr="00C97A19" w14:paraId="01F31534" w14:textId="77777777" w:rsidTr="008240E0">
        <w:tc>
          <w:tcPr>
            <w:tcW w:w="521" w:type="dxa"/>
          </w:tcPr>
          <w:p w14:paraId="0ECFDE4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37</w:t>
            </w:r>
          </w:p>
        </w:tc>
        <w:tc>
          <w:tcPr>
            <w:tcW w:w="9680" w:type="dxa"/>
          </w:tcPr>
          <w:p w14:paraId="578E1CC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Report_Jan-Jun 2025</w:t>
            </w:r>
          </w:p>
        </w:tc>
      </w:tr>
      <w:tr w:rsidR="00712BC2" w:rsidRPr="00C97A19" w14:paraId="54BF7085" w14:textId="77777777" w:rsidTr="008240E0">
        <w:tc>
          <w:tcPr>
            <w:tcW w:w="521" w:type="dxa"/>
          </w:tcPr>
          <w:p w14:paraId="6581189F"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38</w:t>
            </w:r>
          </w:p>
        </w:tc>
        <w:tc>
          <w:tcPr>
            <w:tcW w:w="9680" w:type="dxa"/>
          </w:tcPr>
          <w:p w14:paraId="249A7677"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Report_Jul-Dec 2023</w:t>
            </w:r>
          </w:p>
        </w:tc>
      </w:tr>
      <w:tr w:rsidR="00712BC2" w:rsidRPr="00C97A19" w14:paraId="5963AFB2" w14:textId="77777777" w:rsidTr="008240E0">
        <w:tc>
          <w:tcPr>
            <w:tcW w:w="521" w:type="dxa"/>
          </w:tcPr>
          <w:p w14:paraId="4F4C8E7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39</w:t>
            </w:r>
          </w:p>
        </w:tc>
        <w:tc>
          <w:tcPr>
            <w:tcW w:w="9680" w:type="dxa"/>
          </w:tcPr>
          <w:p w14:paraId="470301AA"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Report_Jul-Dec 2024</w:t>
            </w:r>
          </w:p>
        </w:tc>
      </w:tr>
      <w:tr w:rsidR="00712BC2" w:rsidRPr="00C97A19" w14:paraId="099E7429" w14:textId="77777777" w:rsidTr="008240E0">
        <w:tc>
          <w:tcPr>
            <w:tcW w:w="521" w:type="dxa"/>
          </w:tcPr>
          <w:p w14:paraId="605830CE"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40</w:t>
            </w:r>
          </w:p>
        </w:tc>
        <w:tc>
          <w:tcPr>
            <w:tcW w:w="9680" w:type="dxa"/>
          </w:tcPr>
          <w:p w14:paraId="3255335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Progress Report_July-Dec 2022</w:t>
            </w:r>
          </w:p>
        </w:tc>
      </w:tr>
      <w:tr w:rsidR="00712BC2" w:rsidRPr="00C97A19" w14:paraId="4C8F9555" w14:textId="77777777" w:rsidTr="008240E0">
        <w:tc>
          <w:tcPr>
            <w:tcW w:w="521" w:type="dxa"/>
          </w:tcPr>
          <w:p w14:paraId="1EDAF22F"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41</w:t>
            </w:r>
          </w:p>
        </w:tc>
        <w:tc>
          <w:tcPr>
            <w:tcW w:w="9680" w:type="dxa"/>
          </w:tcPr>
          <w:p w14:paraId="5089ABC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VISIBILITY REPORT_July 2024- March 2025 (final)</w:t>
            </w:r>
          </w:p>
        </w:tc>
      </w:tr>
      <w:tr w:rsidR="00712BC2" w:rsidRPr="00C97A19" w14:paraId="70ABD1AD" w14:textId="77777777" w:rsidTr="008240E0">
        <w:tc>
          <w:tcPr>
            <w:tcW w:w="521" w:type="dxa"/>
          </w:tcPr>
          <w:p w14:paraId="3B60C5E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42</w:t>
            </w:r>
          </w:p>
        </w:tc>
        <w:tc>
          <w:tcPr>
            <w:tcW w:w="9680" w:type="dxa"/>
          </w:tcPr>
          <w:p w14:paraId="0A942714"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VISIBILITY REPORT_July-December 2023</w:t>
            </w:r>
          </w:p>
        </w:tc>
      </w:tr>
      <w:tr w:rsidR="00712BC2" w:rsidRPr="00C97A19" w14:paraId="67636F89" w14:textId="77777777" w:rsidTr="008240E0">
        <w:tc>
          <w:tcPr>
            <w:tcW w:w="521" w:type="dxa"/>
          </w:tcPr>
          <w:p w14:paraId="0A97C88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43</w:t>
            </w:r>
          </w:p>
        </w:tc>
        <w:tc>
          <w:tcPr>
            <w:tcW w:w="9680" w:type="dxa"/>
          </w:tcPr>
          <w:p w14:paraId="7BF454BA"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2022_Vietnam PSDP_1 SC Meeting Minutes</w:t>
            </w:r>
          </w:p>
        </w:tc>
      </w:tr>
      <w:tr w:rsidR="00712BC2" w:rsidRPr="00C97A19" w14:paraId="0B100E4E" w14:textId="77777777" w:rsidTr="008240E0">
        <w:tc>
          <w:tcPr>
            <w:tcW w:w="521" w:type="dxa"/>
          </w:tcPr>
          <w:p w14:paraId="6CBAC04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44</w:t>
            </w:r>
          </w:p>
        </w:tc>
        <w:tc>
          <w:tcPr>
            <w:tcW w:w="9680" w:type="dxa"/>
          </w:tcPr>
          <w:p w14:paraId="5370022B"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2024_4th VPSDP SC Meeting Minutes Oct_</w:t>
            </w:r>
          </w:p>
        </w:tc>
      </w:tr>
      <w:tr w:rsidR="00712BC2" w:rsidRPr="00C97A19" w14:paraId="1F307ED6" w14:textId="77777777" w:rsidTr="008240E0">
        <w:tc>
          <w:tcPr>
            <w:tcW w:w="521" w:type="dxa"/>
          </w:tcPr>
          <w:p w14:paraId="02018248"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45</w:t>
            </w:r>
          </w:p>
        </w:tc>
        <w:tc>
          <w:tcPr>
            <w:tcW w:w="9680" w:type="dxa"/>
          </w:tcPr>
          <w:p w14:paraId="0EEFC3A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2024_Vietnam PSDP_SC Meeting Minutes_Final</w:t>
            </w:r>
          </w:p>
        </w:tc>
      </w:tr>
      <w:tr w:rsidR="00712BC2" w:rsidRPr="00C97A19" w14:paraId="1D22FF6E" w14:textId="77777777" w:rsidTr="008240E0">
        <w:tc>
          <w:tcPr>
            <w:tcW w:w="521" w:type="dxa"/>
          </w:tcPr>
          <w:p w14:paraId="227E9A9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46</w:t>
            </w:r>
          </w:p>
        </w:tc>
        <w:tc>
          <w:tcPr>
            <w:tcW w:w="9680" w:type="dxa"/>
          </w:tcPr>
          <w:p w14:paraId="6DFCFA8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2025_5th VPSDP SC Meeting Minutes</w:t>
            </w:r>
          </w:p>
        </w:tc>
      </w:tr>
      <w:tr w:rsidR="00712BC2" w:rsidRPr="00C97A19" w14:paraId="0CB38BAC" w14:textId="77777777" w:rsidTr="008240E0">
        <w:tc>
          <w:tcPr>
            <w:tcW w:w="521" w:type="dxa"/>
          </w:tcPr>
          <w:p w14:paraId="62ADED42"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47</w:t>
            </w:r>
          </w:p>
        </w:tc>
        <w:tc>
          <w:tcPr>
            <w:tcW w:w="9680" w:type="dxa"/>
          </w:tcPr>
          <w:p w14:paraId="4573F61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Viet Nam PSDP - 2 SC Meeting Minutes - Final</w:t>
            </w:r>
          </w:p>
        </w:tc>
      </w:tr>
      <w:tr w:rsidR="00712BC2" w:rsidRPr="00C97A19" w14:paraId="15F39733" w14:textId="77777777" w:rsidTr="008240E0">
        <w:tc>
          <w:tcPr>
            <w:tcW w:w="521" w:type="dxa"/>
          </w:tcPr>
          <w:p w14:paraId="5F02006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48</w:t>
            </w:r>
          </w:p>
        </w:tc>
        <w:tc>
          <w:tcPr>
            <w:tcW w:w="9680" w:type="dxa"/>
          </w:tcPr>
          <w:p w14:paraId="6AD55A3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 Vietnam Development Partnership Plan (DPP)</w:t>
            </w:r>
          </w:p>
        </w:tc>
      </w:tr>
      <w:tr w:rsidR="00712BC2" w:rsidRPr="00C97A19" w14:paraId="71C3F87B" w14:textId="77777777" w:rsidTr="008240E0">
        <w:tc>
          <w:tcPr>
            <w:tcW w:w="521" w:type="dxa"/>
          </w:tcPr>
          <w:p w14:paraId="3CFC4C7B"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49</w:t>
            </w:r>
          </w:p>
        </w:tc>
        <w:tc>
          <w:tcPr>
            <w:tcW w:w="9680" w:type="dxa"/>
          </w:tcPr>
          <w:p w14:paraId="360ED311"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 Australia-Vietnam Enhanced Economic Engagement Strategy</w:t>
            </w:r>
          </w:p>
        </w:tc>
      </w:tr>
      <w:tr w:rsidR="00712BC2" w:rsidRPr="00C97A19" w14:paraId="1BCAC51F" w14:textId="77777777" w:rsidTr="008240E0">
        <w:tc>
          <w:tcPr>
            <w:tcW w:w="521" w:type="dxa"/>
          </w:tcPr>
          <w:p w14:paraId="06208790"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50</w:t>
            </w:r>
          </w:p>
        </w:tc>
        <w:tc>
          <w:tcPr>
            <w:tcW w:w="9680" w:type="dxa"/>
          </w:tcPr>
          <w:p w14:paraId="28FD62F9"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DFAT: Australia’s Southeast Asia Economic Strategy to 2040</w:t>
            </w:r>
          </w:p>
        </w:tc>
      </w:tr>
      <w:tr w:rsidR="00712BC2" w:rsidRPr="00C97A19" w14:paraId="4969E351" w14:textId="77777777" w:rsidTr="008240E0">
        <w:tc>
          <w:tcPr>
            <w:tcW w:w="521" w:type="dxa"/>
          </w:tcPr>
          <w:p w14:paraId="4CF907DC"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50</w:t>
            </w:r>
          </w:p>
        </w:tc>
        <w:tc>
          <w:tcPr>
            <w:tcW w:w="9680" w:type="dxa"/>
          </w:tcPr>
          <w:p w14:paraId="08AF5559"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Operations Manual</w:t>
            </w:r>
          </w:p>
        </w:tc>
      </w:tr>
      <w:tr w:rsidR="00712BC2" w:rsidRPr="00C97A19" w14:paraId="777E3570" w14:textId="77777777" w:rsidTr="008240E0">
        <w:tc>
          <w:tcPr>
            <w:tcW w:w="521" w:type="dxa"/>
          </w:tcPr>
          <w:p w14:paraId="7E4265CD"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51</w:t>
            </w:r>
          </w:p>
        </w:tc>
        <w:tc>
          <w:tcPr>
            <w:tcW w:w="9680" w:type="dxa"/>
          </w:tcPr>
          <w:p w14:paraId="54485F55" w14:textId="77777777" w:rsidR="00712BC2" w:rsidRPr="00C97A19" w:rsidRDefault="00712BC2" w:rsidP="008240E0">
            <w:pPr>
              <w:rPr>
                <w:rFonts w:ascii="Calibri" w:hAnsi="Calibri" w:cs="Calibri"/>
                <w:sz w:val="20"/>
                <w:szCs w:val="20"/>
                <w:lang w:val="en-AU"/>
              </w:rPr>
            </w:pPr>
            <w:r w:rsidRPr="00C97A19">
              <w:rPr>
                <w:rFonts w:ascii="Calibri" w:hAnsi="Calibri" w:cs="Calibri"/>
                <w:sz w:val="20"/>
                <w:szCs w:val="20"/>
                <w:lang w:val="en-AU"/>
              </w:rPr>
              <w:t>VPSDP Partnering Commitment 2023</w:t>
            </w:r>
          </w:p>
        </w:tc>
      </w:tr>
    </w:tbl>
    <w:p w14:paraId="1EC9277D" w14:textId="77777777" w:rsidR="00EE1F33" w:rsidRDefault="00EE1F33" w:rsidP="00DC1F89">
      <w:pPr>
        <w:rPr>
          <w:rFonts w:cs="Calibri"/>
          <w:lang w:val="en-AU"/>
        </w:rPr>
        <w:sectPr w:rsidR="00EE1F33" w:rsidSect="00EE1F33">
          <w:pgSz w:w="11906" w:h="16838" w:code="9"/>
          <w:pgMar w:top="720" w:right="720" w:bottom="720" w:left="720" w:header="708" w:footer="708" w:gutter="0"/>
          <w:cols w:space="708"/>
          <w:docGrid w:linePitch="360"/>
        </w:sectPr>
      </w:pPr>
      <w:bookmarkStart w:id="58" w:name="_Toc201131785"/>
      <w:bookmarkStart w:id="59" w:name="_Toc233724268"/>
    </w:p>
    <w:p w14:paraId="14F668E8" w14:textId="5C009E63" w:rsidR="00EA24FF" w:rsidRDefault="00C61A13" w:rsidP="00DC1F89">
      <w:pPr>
        <w:rPr>
          <w:lang w:val="en-AU"/>
        </w:rPr>
      </w:pPr>
      <w:r w:rsidRPr="00566B1A">
        <w:rPr>
          <w:rFonts w:cs="Calibri"/>
          <w:lang w:val="en-AU"/>
        </w:rPr>
        <w:lastRenderedPageBreak/>
        <w:t xml:space="preserve">Annex </w:t>
      </w:r>
      <w:r w:rsidR="00633438">
        <w:rPr>
          <w:rFonts w:cs="Calibri"/>
          <w:lang w:val="en-AU"/>
        </w:rPr>
        <w:t>5</w:t>
      </w:r>
      <w:r w:rsidRPr="00566B1A">
        <w:rPr>
          <w:rFonts w:cs="Calibri"/>
          <w:lang w:val="en-AU"/>
        </w:rPr>
        <w:t xml:space="preserve">: </w:t>
      </w:r>
      <w:r w:rsidR="006C077C" w:rsidRPr="00566B1A">
        <w:rPr>
          <w:rFonts w:cs="Calibri"/>
          <w:lang w:val="en-AU"/>
        </w:rPr>
        <w:t>V</w:t>
      </w:r>
      <w:r w:rsidRPr="00566B1A">
        <w:rPr>
          <w:rFonts w:cs="Calibri"/>
          <w:lang w:val="en-AU"/>
        </w:rPr>
        <w:t>PSDP Results Framework</w:t>
      </w:r>
      <w:bookmarkEnd w:id="58"/>
      <w:bookmarkEnd w:id="59"/>
    </w:p>
    <w:p w14:paraId="39EA09E1" w14:textId="77777777" w:rsidR="00DC1F89" w:rsidRDefault="00DC1F89" w:rsidP="00EA24FF">
      <w:pPr>
        <w:pStyle w:val="BodyText"/>
        <w:rPr>
          <w:lang w:val="en-AU"/>
        </w:rPr>
      </w:pPr>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1134"/>
        <w:gridCol w:w="1134"/>
        <w:gridCol w:w="1134"/>
        <w:gridCol w:w="1134"/>
        <w:gridCol w:w="1134"/>
        <w:gridCol w:w="1134"/>
        <w:gridCol w:w="1275"/>
        <w:gridCol w:w="1134"/>
        <w:gridCol w:w="1134"/>
        <w:gridCol w:w="993"/>
      </w:tblGrid>
      <w:tr w:rsidR="00DC1F89" w:rsidRPr="008F6E7C" w14:paraId="6F69D47E" w14:textId="77777777" w:rsidTr="00361731">
        <w:trPr>
          <w:trHeight w:val="300"/>
        </w:trPr>
        <w:tc>
          <w:tcPr>
            <w:tcW w:w="3818" w:type="dxa"/>
            <w:shd w:val="clear" w:color="000000" w:fill="CAEDFB"/>
            <w:vAlign w:val="center"/>
          </w:tcPr>
          <w:p w14:paraId="44A1ADA7" w14:textId="7D1CF51E" w:rsidR="00DC1F89" w:rsidRPr="000B77D6" w:rsidRDefault="00DC1F89" w:rsidP="00EE1F33">
            <w:pPr>
              <w:rPr>
                <w:rFonts w:ascii="Calibri" w:hAnsi="Calibri" w:cs="Calibri"/>
                <w:b/>
                <w:bCs/>
                <w:color w:val="000000"/>
                <w:sz w:val="18"/>
                <w:szCs w:val="18"/>
                <w:lang w:val="en-AU"/>
              </w:rPr>
            </w:pPr>
            <w:r>
              <w:rPr>
                <w:rFonts w:ascii="Calibri" w:hAnsi="Calibri" w:cs="Calibri"/>
                <w:b/>
                <w:bCs/>
                <w:color w:val="000000"/>
                <w:sz w:val="18"/>
                <w:szCs w:val="18"/>
                <w:lang w:val="en-AU"/>
              </w:rPr>
              <w:t>End of Investment Outcome Indicators (EOIO)</w:t>
            </w:r>
          </w:p>
        </w:tc>
        <w:tc>
          <w:tcPr>
            <w:tcW w:w="1134" w:type="dxa"/>
            <w:shd w:val="clear" w:color="000000" w:fill="CAEDFB"/>
            <w:vAlign w:val="center"/>
          </w:tcPr>
          <w:p w14:paraId="098FB35E" w14:textId="77777777" w:rsidR="00DC1F89" w:rsidRPr="00F0340B" w:rsidRDefault="00DC1F89" w:rsidP="00361731">
            <w:pPr>
              <w:jc w:val="center"/>
              <w:rPr>
                <w:rFonts w:ascii="Calibri" w:hAnsi="Calibri" w:cs="Calibri"/>
                <w:b/>
                <w:bCs/>
                <w:color w:val="000000"/>
                <w:sz w:val="18"/>
                <w:szCs w:val="18"/>
                <w:lang w:val="en-AU"/>
              </w:rPr>
            </w:pPr>
            <w:r w:rsidRPr="00F0340B">
              <w:rPr>
                <w:rFonts w:ascii="Calibri" w:hAnsi="Calibri" w:cs="Calibri"/>
                <w:b/>
                <w:bCs/>
                <w:color w:val="000000"/>
                <w:sz w:val="18"/>
                <w:szCs w:val="18"/>
                <w:lang w:val="en-AU"/>
              </w:rPr>
              <w:t>Unit of measure</w:t>
            </w:r>
          </w:p>
        </w:tc>
        <w:tc>
          <w:tcPr>
            <w:tcW w:w="1134" w:type="dxa"/>
            <w:shd w:val="clear" w:color="000000" w:fill="CAEDFB"/>
            <w:vAlign w:val="center"/>
          </w:tcPr>
          <w:p w14:paraId="68E0CC80" w14:textId="77777777" w:rsidR="00DC1F89" w:rsidRPr="00F0340B" w:rsidRDefault="00DC1F89" w:rsidP="00361731">
            <w:pPr>
              <w:jc w:val="center"/>
              <w:rPr>
                <w:rFonts w:ascii="Calibri" w:hAnsi="Calibri" w:cs="Calibri"/>
                <w:b/>
                <w:bCs/>
                <w:color w:val="000000"/>
                <w:sz w:val="18"/>
                <w:szCs w:val="18"/>
                <w:lang w:val="en-AU"/>
              </w:rPr>
            </w:pPr>
            <w:r w:rsidRPr="00F0340B">
              <w:rPr>
                <w:rFonts w:ascii="Calibri" w:hAnsi="Calibri" w:cs="Calibri"/>
                <w:b/>
                <w:bCs/>
                <w:color w:val="000000"/>
                <w:sz w:val="18"/>
                <w:szCs w:val="18"/>
                <w:lang w:val="en-AU"/>
              </w:rPr>
              <w:t>Baseline</w:t>
            </w:r>
          </w:p>
        </w:tc>
        <w:tc>
          <w:tcPr>
            <w:tcW w:w="1134" w:type="dxa"/>
            <w:shd w:val="clear" w:color="000000" w:fill="CAEDFB"/>
            <w:vAlign w:val="center"/>
          </w:tcPr>
          <w:p w14:paraId="131242EA" w14:textId="77777777" w:rsidR="00DC1F89" w:rsidRPr="00F0340B" w:rsidRDefault="00DC1F89" w:rsidP="00361731">
            <w:pPr>
              <w:rPr>
                <w:rFonts w:ascii="Calibri" w:hAnsi="Calibri" w:cs="Calibri"/>
                <w:b/>
                <w:bCs/>
                <w:color w:val="000000"/>
                <w:sz w:val="18"/>
                <w:szCs w:val="18"/>
                <w:lang w:val="en-AU"/>
              </w:rPr>
            </w:pPr>
            <w:r w:rsidRPr="00F0340B">
              <w:rPr>
                <w:rFonts w:ascii="Calibri" w:hAnsi="Calibri" w:cs="Calibri"/>
                <w:b/>
                <w:bCs/>
                <w:color w:val="000000"/>
                <w:sz w:val="18"/>
                <w:szCs w:val="18"/>
                <w:lang w:val="en-AU"/>
              </w:rPr>
              <w:t>End Target</w:t>
            </w:r>
          </w:p>
        </w:tc>
        <w:tc>
          <w:tcPr>
            <w:tcW w:w="1134" w:type="dxa"/>
            <w:shd w:val="clear" w:color="000000" w:fill="CAEDFB"/>
            <w:vAlign w:val="center"/>
          </w:tcPr>
          <w:p w14:paraId="3E9DBA83" w14:textId="77777777" w:rsidR="00DC1F89" w:rsidRPr="00F67EB4" w:rsidRDefault="00DC1F89" w:rsidP="00361731">
            <w:pPr>
              <w:jc w:val="center"/>
              <w:rPr>
                <w:rFonts w:ascii="Calibri" w:hAnsi="Calibri" w:cs="Calibri"/>
                <w:b/>
                <w:bCs/>
                <w:color w:val="000000"/>
                <w:sz w:val="18"/>
                <w:szCs w:val="18"/>
                <w:lang w:val="en-AU"/>
              </w:rPr>
            </w:pPr>
            <w:r w:rsidRPr="00F67EB4">
              <w:rPr>
                <w:rFonts w:ascii="Calibri" w:hAnsi="Calibri" w:cs="Calibri"/>
                <w:b/>
                <w:bCs/>
                <w:color w:val="000000"/>
                <w:sz w:val="18"/>
                <w:szCs w:val="18"/>
                <w:lang w:val="en-AU"/>
              </w:rPr>
              <w:t>Progress by</w:t>
            </w:r>
          </w:p>
          <w:p w14:paraId="44091393" w14:textId="77777777" w:rsidR="00DC1F89" w:rsidRPr="000B77D6" w:rsidRDefault="00DC1F89" w:rsidP="00361731">
            <w:pPr>
              <w:jc w:val="center"/>
              <w:rPr>
                <w:rFonts w:ascii="Calibri" w:hAnsi="Calibri" w:cs="Calibri"/>
                <w:color w:val="000000"/>
                <w:sz w:val="18"/>
                <w:szCs w:val="18"/>
                <w:lang w:val="en-AU"/>
              </w:rPr>
            </w:pPr>
            <w:r w:rsidRPr="00F67EB4">
              <w:rPr>
                <w:rFonts w:ascii="Calibri" w:hAnsi="Calibri" w:cs="Calibri"/>
                <w:b/>
                <w:bCs/>
                <w:color w:val="000000"/>
                <w:sz w:val="18"/>
                <w:szCs w:val="18"/>
                <w:lang w:val="en-AU"/>
              </w:rPr>
              <w:t>FY23</w:t>
            </w:r>
          </w:p>
        </w:tc>
        <w:tc>
          <w:tcPr>
            <w:tcW w:w="1134" w:type="dxa"/>
            <w:shd w:val="clear" w:color="000000" w:fill="CAEDFB"/>
          </w:tcPr>
          <w:p w14:paraId="2B40BC08" w14:textId="77777777" w:rsidR="00DC1F89" w:rsidRDefault="00DC1F89" w:rsidP="00361731">
            <w:pPr>
              <w:rPr>
                <w:rFonts w:ascii="Calibri" w:hAnsi="Calibri" w:cs="Calibri"/>
                <w:b/>
                <w:bCs/>
                <w:color w:val="000000"/>
                <w:sz w:val="18"/>
                <w:szCs w:val="18"/>
                <w:lang w:val="en-AU"/>
              </w:rPr>
            </w:pPr>
          </w:p>
          <w:p w14:paraId="6D7A3946" w14:textId="77777777" w:rsidR="00DC1F89" w:rsidRDefault="00DC1F89" w:rsidP="00361731">
            <w:pPr>
              <w:rPr>
                <w:rFonts w:ascii="Calibri" w:hAnsi="Calibri" w:cs="Calibri"/>
                <w:b/>
                <w:bCs/>
                <w:color w:val="000000"/>
                <w:sz w:val="18"/>
                <w:szCs w:val="18"/>
                <w:lang w:val="en-AU"/>
              </w:rPr>
            </w:pPr>
            <w:r w:rsidRPr="00962C7D">
              <w:rPr>
                <w:rFonts w:ascii="Calibri" w:hAnsi="Calibri" w:cs="Calibri"/>
                <w:b/>
                <w:bCs/>
                <w:color w:val="000000"/>
                <w:sz w:val="18"/>
                <w:szCs w:val="18"/>
                <w:lang w:val="en-AU"/>
              </w:rPr>
              <w:t>Progress by</w:t>
            </w:r>
          </w:p>
          <w:p w14:paraId="04F41F61" w14:textId="77777777" w:rsidR="00DC1F89" w:rsidRPr="000B77D6" w:rsidRDefault="00DC1F89"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FY24</w:t>
            </w:r>
          </w:p>
        </w:tc>
        <w:tc>
          <w:tcPr>
            <w:tcW w:w="1134" w:type="dxa"/>
            <w:shd w:val="clear" w:color="000000" w:fill="CAEDFB"/>
          </w:tcPr>
          <w:p w14:paraId="246483E9" w14:textId="77777777" w:rsidR="00DC1F89" w:rsidRDefault="00DC1F89" w:rsidP="00361731">
            <w:pPr>
              <w:jc w:val="center"/>
              <w:rPr>
                <w:rFonts w:ascii="Calibri" w:hAnsi="Calibri" w:cs="Calibri"/>
                <w:b/>
                <w:bCs/>
                <w:color w:val="000000"/>
                <w:sz w:val="18"/>
                <w:szCs w:val="18"/>
                <w:lang w:val="en-AU"/>
              </w:rPr>
            </w:pPr>
          </w:p>
          <w:p w14:paraId="3F2559E9" w14:textId="77777777" w:rsidR="00DC1F89" w:rsidRDefault="00DC1F89" w:rsidP="00361731">
            <w:pPr>
              <w:jc w:val="center"/>
              <w:rPr>
                <w:rFonts w:ascii="Calibri" w:hAnsi="Calibri" w:cs="Calibri"/>
                <w:b/>
                <w:bCs/>
                <w:color w:val="000000"/>
                <w:sz w:val="18"/>
                <w:szCs w:val="18"/>
                <w:lang w:val="en-AU"/>
              </w:rPr>
            </w:pPr>
            <w:r w:rsidRPr="00962C7D">
              <w:rPr>
                <w:rFonts w:ascii="Calibri" w:hAnsi="Calibri" w:cs="Calibri"/>
                <w:b/>
                <w:bCs/>
                <w:color w:val="000000"/>
                <w:sz w:val="18"/>
                <w:szCs w:val="18"/>
                <w:lang w:val="en-AU"/>
              </w:rPr>
              <w:t>Progress by</w:t>
            </w:r>
          </w:p>
          <w:p w14:paraId="16F71870" w14:textId="77777777" w:rsidR="00DC1F89" w:rsidRPr="000B77D6" w:rsidRDefault="00DC1F89"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FY25</w:t>
            </w:r>
          </w:p>
        </w:tc>
        <w:tc>
          <w:tcPr>
            <w:tcW w:w="1275" w:type="dxa"/>
            <w:shd w:val="clear" w:color="000000" w:fill="CAEDFB"/>
          </w:tcPr>
          <w:p w14:paraId="20713D88" w14:textId="77777777" w:rsidR="00DC1F89" w:rsidRDefault="00DC1F89" w:rsidP="00361731">
            <w:pPr>
              <w:jc w:val="center"/>
              <w:rPr>
                <w:rFonts w:ascii="Calibri" w:hAnsi="Calibri" w:cs="Calibri"/>
                <w:b/>
                <w:bCs/>
                <w:color w:val="000000"/>
                <w:sz w:val="18"/>
                <w:szCs w:val="18"/>
                <w:lang w:val="en-AU"/>
              </w:rPr>
            </w:pPr>
          </w:p>
          <w:p w14:paraId="335250C4" w14:textId="77777777" w:rsidR="00DC1F89" w:rsidRDefault="00DC1F89" w:rsidP="00361731">
            <w:pPr>
              <w:jc w:val="center"/>
              <w:rPr>
                <w:rFonts w:ascii="Calibri" w:hAnsi="Calibri" w:cs="Calibri"/>
                <w:b/>
                <w:bCs/>
                <w:color w:val="000000"/>
                <w:sz w:val="18"/>
                <w:szCs w:val="18"/>
                <w:lang w:val="en-AU"/>
              </w:rPr>
            </w:pPr>
            <w:r w:rsidRPr="00962C7D">
              <w:rPr>
                <w:rFonts w:ascii="Calibri" w:hAnsi="Calibri" w:cs="Calibri"/>
                <w:b/>
                <w:bCs/>
                <w:color w:val="000000"/>
                <w:sz w:val="18"/>
                <w:szCs w:val="18"/>
                <w:lang w:val="en-AU"/>
              </w:rPr>
              <w:t>Progress by</w:t>
            </w:r>
          </w:p>
          <w:p w14:paraId="77F1382E" w14:textId="77777777" w:rsidR="00DC1F89" w:rsidRPr="000B77D6" w:rsidRDefault="00DC1F89"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FY26</w:t>
            </w:r>
          </w:p>
        </w:tc>
        <w:tc>
          <w:tcPr>
            <w:tcW w:w="1134" w:type="dxa"/>
            <w:shd w:val="clear" w:color="000000" w:fill="CAEDFB"/>
          </w:tcPr>
          <w:p w14:paraId="7C0539C3" w14:textId="77777777" w:rsidR="00DC1F89" w:rsidRDefault="00DC1F89" w:rsidP="00361731">
            <w:pPr>
              <w:jc w:val="center"/>
              <w:rPr>
                <w:rFonts w:ascii="Calibri" w:hAnsi="Calibri" w:cs="Calibri"/>
                <w:b/>
                <w:bCs/>
                <w:color w:val="000000"/>
                <w:sz w:val="18"/>
                <w:szCs w:val="18"/>
                <w:lang w:val="en-AU"/>
              </w:rPr>
            </w:pPr>
          </w:p>
          <w:p w14:paraId="6F85F42F" w14:textId="77777777" w:rsidR="00DC1F89" w:rsidRDefault="00DC1F89" w:rsidP="00361731">
            <w:pPr>
              <w:jc w:val="center"/>
              <w:rPr>
                <w:rFonts w:ascii="Calibri" w:hAnsi="Calibri" w:cs="Calibri"/>
                <w:b/>
                <w:bCs/>
                <w:color w:val="000000"/>
                <w:sz w:val="18"/>
                <w:szCs w:val="18"/>
                <w:lang w:val="en-AU"/>
              </w:rPr>
            </w:pPr>
            <w:r w:rsidRPr="00962C7D">
              <w:rPr>
                <w:rFonts w:ascii="Calibri" w:hAnsi="Calibri" w:cs="Calibri"/>
                <w:b/>
                <w:bCs/>
                <w:color w:val="000000"/>
                <w:sz w:val="18"/>
                <w:szCs w:val="18"/>
                <w:lang w:val="en-AU"/>
              </w:rPr>
              <w:t>Progress by</w:t>
            </w:r>
          </w:p>
          <w:p w14:paraId="00F5A324" w14:textId="77777777" w:rsidR="00DC1F89" w:rsidRPr="000B77D6" w:rsidRDefault="00DC1F89" w:rsidP="00361731">
            <w:pPr>
              <w:jc w:val="center"/>
              <w:rPr>
                <w:rFonts w:ascii="Calibri" w:hAnsi="Calibri" w:cs="Calibri"/>
                <w:color w:val="000000"/>
                <w:sz w:val="18"/>
                <w:szCs w:val="18"/>
                <w:lang w:val="en-AU"/>
              </w:rPr>
            </w:pPr>
            <w:r>
              <w:rPr>
                <w:rFonts w:ascii="Calibri" w:hAnsi="Calibri" w:cs="Calibri"/>
                <w:b/>
                <w:bCs/>
                <w:color w:val="000000"/>
                <w:sz w:val="18"/>
                <w:szCs w:val="18"/>
                <w:lang w:val="en-AU"/>
              </w:rPr>
              <w:t>FY27</w:t>
            </w:r>
          </w:p>
        </w:tc>
        <w:tc>
          <w:tcPr>
            <w:tcW w:w="1134" w:type="dxa"/>
            <w:shd w:val="clear" w:color="000000" w:fill="CAEDFB"/>
            <w:vAlign w:val="center"/>
          </w:tcPr>
          <w:p w14:paraId="6A805D7D" w14:textId="77777777" w:rsidR="00DC1F89" w:rsidRPr="00F67EB4" w:rsidRDefault="00DC1F89" w:rsidP="00361731">
            <w:pPr>
              <w:jc w:val="center"/>
              <w:rPr>
                <w:rFonts w:ascii="Calibri" w:hAnsi="Calibri" w:cs="Calibri"/>
                <w:b/>
                <w:bCs/>
                <w:color w:val="000000"/>
                <w:sz w:val="18"/>
                <w:szCs w:val="18"/>
                <w:lang w:val="en-AU"/>
              </w:rPr>
            </w:pPr>
            <w:r w:rsidRPr="00F67EB4">
              <w:rPr>
                <w:rFonts w:ascii="Calibri" w:hAnsi="Calibri" w:cs="Calibri"/>
                <w:b/>
                <w:bCs/>
                <w:color w:val="000000"/>
                <w:sz w:val="18"/>
                <w:szCs w:val="18"/>
                <w:lang w:val="en-AU"/>
              </w:rPr>
              <w:t>Total achieved</w:t>
            </w:r>
          </w:p>
        </w:tc>
        <w:tc>
          <w:tcPr>
            <w:tcW w:w="993" w:type="dxa"/>
            <w:shd w:val="clear" w:color="000000" w:fill="CAEDFB"/>
            <w:vAlign w:val="center"/>
          </w:tcPr>
          <w:p w14:paraId="598F7434" w14:textId="77777777" w:rsidR="00DC1F89" w:rsidRPr="008F6E7C" w:rsidRDefault="00DC1F89" w:rsidP="00361731">
            <w:pPr>
              <w:jc w:val="center"/>
              <w:rPr>
                <w:rFonts w:ascii="Calibri" w:hAnsi="Calibri" w:cs="Calibri"/>
                <w:b/>
                <w:bCs/>
                <w:color w:val="000000"/>
                <w:sz w:val="18"/>
                <w:szCs w:val="18"/>
                <w:lang w:val="en-AU"/>
              </w:rPr>
            </w:pPr>
            <w:r w:rsidRPr="008F6E7C">
              <w:rPr>
                <w:rFonts w:ascii="Calibri" w:hAnsi="Calibri" w:cs="Calibri"/>
                <w:b/>
                <w:bCs/>
                <w:color w:val="000000"/>
                <w:sz w:val="18"/>
                <w:szCs w:val="18"/>
                <w:lang w:val="en-AU"/>
              </w:rPr>
              <w:t>In %</w:t>
            </w:r>
          </w:p>
        </w:tc>
      </w:tr>
      <w:tr w:rsidR="00DC1F89" w:rsidRPr="00027C78" w14:paraId="5CD7DDCC" w14:textId="77777777" w:rsidTr="00361731">
        <w:trPr>
          <w:trHeight w:val="720"/>
        </w:trPr>
        <w:tc>
          <w:tcPr>
            <w:tcW w:w="3818" w:type="dxa"/>
            <w:vAlign w:val="center"/>
            <w:hideMark/>
          </w:tcPr>
          <w:p w14:paraId="64014EF5" w14:textId="5AF4892A" w:rsidR="00DC1F89" w:rsidRPr="000B77D6" w:rsidRDefault="00DC1F89" w:rsidP="00EE1F33">
            <w:pPr>
              <w:rPr>
                <w:rFonts w:ascii="Calibri" w:hAnsi="Calibri" w:cs="Calibri"/>
                <w:color w:val="000000"/>
                <w:sz w:val="18"/>
                <w:szCs w:val="18"/>
                <w:lang w:val="en-US"/>
              </w:rPr>
            </w:pPr>
            <w:r w:rsidRPr="000B77D6">
              <w:rPr>
                <w:rFonts w:ascii="Calibri" w:hAnsi="Calibri" w:cs="Calibri"/>
                <w:b/>
                <w:bCs/>
                <w:color w:val="000000"/>
                <w:sz w:val="18"/>
                <w:szCs w:val="18"/>
                <w:lang w:val="en-AU"/>
              </w:rPr>
              <w:t>EOIO 1: Enabling Environment Improvement</w:t>
            </w:r>
            <w:r>
              <w:rPr>
                <w:rFonts w:ascii="Calibri" w:hAnsi="Calibri" w:cs="Calibri"/>
                <w:b/>
                <w:bCs/>
                <w:color w:val="000000"/>
                <w:sz w:val="18"/>
                <w:szCs w:val="18"/>
                <w:lang w:val="en-AU"/>
              </w:rPr>
              <w:t xml:space="preserve"> </w:t>
            </w:r>
            <w:r w:rsidRPr="000B77D6">
              <w:rPr>
                <w:rFonts w:ascii="Calibri" w:hAnsi="Calibri" w:cs="Calibri"/>
                <w:color w:val="000000"/>
                <w:sz w:val="18"/>
                <w:szCs w:val="18"/>
                <w:lang w:val="en-AU"/>
              </w:rPr>
              <w:t>Policies and procedures (laws, regulations, codes, amendments, government policies) adopted, improved, or eliminated.</w:t>
            </w:r>
          </w:p>
        </w:tc>
        <w:tc>
          <w:tcPr>
            <w:tcW w:w="1134" w:type="dxa"/>
            <w:vAlign w:val="center"/>
            <w:hideMark/>
          </w:tcPr>
          <w:p w14:paraId="213EEB57"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05D73663"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2C4E15E9"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4AAB49FC"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134" w:type="dxa"/>
            <w:vAlign w:val="center"/>
            <w:hideMark/>
          </w:tcPr>
          <w:p w14:paraId="2842272F"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0CE5F95D"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275" w:type="dxa"/>
            <w:vAlign w:val="center"/>
            <w:hideMark/>
          </w:tcPr>
          <w:p w14:paraId="6D9C1C9B"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w:t>
            </w:r>
          </w:p>
        </w:tc>
        <w:tc>
          <w:tcPr>
            <w:tcW w:w="1134" w:type="dxa"/>
            <w:vAlign w:val="center"/>
            <w:hideMark/>
          </w:tcPr>
          <w:p w14:paraId="19024C83" w14:textId="77777777"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shd w:val="clear" w:color="000000" w:fill="D9F2D0"/>
            <w:vAlign w:val="center"/>
            <w:hideMark/>
          </w:tcPr>
          <w:p w14:paraId="083E0E24" w14:textId="77777777" w:rsidR="00DC1F89" w:rsidRPr="000B77D6" w:rsidRDefault="00DC1F89" w:rsidP="00361731">
            <w:pPr>
              <w:jc w:val="center"/>
              <w:rPr>
                <w:rFonts w:ascii="Aptos Narrow" w:hAnsi="Aptos Narrow"/>
                <w:color w:val="467886"/>
                <w:sz w:val="22"/>
                <w:szCs w:val="22"/>
                <w:u w:val="single"/>
                <w:lang w:val="en-US"/>
              </w:rPr>
            </w:pPr>
            <w:r>
              <w:rPr>
                <w:rFonts w:ascii="Calibri" w:hAnsi="Calibri" w:cs="Calibri"/>
                <w:sz w:val="18"/>
                <w:szCs w:val="18"/>
                <w:lang w:val="en-AU"/>
              </w:rPr>
              <w:t>8</w:t>
            </w:r>
            <w:r>
              <w:rPr>
                <w:rStyle w:val="FootnoteReference"/>
                <w:rFonts w:ascii="Calibri" w:hAnsi="Calibri" w:cs="Calibri"/>
                <w:sz w:val="18"/>
                <w:szCs w:val="18"/>
                <w:lang w:val="en-AU"/>
              </w:rPr>
              <w:footnoteReference w:id="27"/>
            </w:r>
          </w:p>
        </w:tc>
        <w:tc>
          <w:tcPr>
            <w:tcW w:w="993" w:type="dxa"/>
            <w:vAlign w:val="center"/>
            <w:hideMark/>
          </w:tcPr>
          <w:p w14:paraId="4FB138AB" w14:textId="77777777" w:rsidR="00DC1F89" w:rsidRPr="00027C78" w:rsidRDefault="00DC1F89" w:rsidP="00361731">
            <w:pPr>
              <w:jc w:val="center"/>
              <w:rPr>
                <w:rFonts w:ascii="Calibri" w:hAnsi="Calibri" w:cs="Calibri"/>
                <w:color w:val="000000"/>
                <w:sz w:val="18"/>
                <w:szCs w:val="18"/>
                <w:lang w:val="en-US"/>
              </w:rPr>
            </w:pPr>
            <w:r w:rsidRPr="00027C78">
              <w:rPr>
                <w:rFonts w:ascii="Calibri" w:hAnsi="Calibri" w:cs="Calibri"/>
                <w:color w:val="000000"/>
                <w:sz w:val="18"/>
                <w:szCs w:val="18"/>
                <w:lang w:val="en-AU"/>
              </w:rPr>
              <w:t>267%</w:t>
            </w:r>
          </w:p>
        </w:tc>
      </w:tr>
      <w:tr w:rsidR="00DC1F89" w:rsidRPr="00027C78" w14:paraId="65B1CB81" w14:textId="77777777" w:rsidTr="00361731">
        <w:trPr>
          <w:trHeight w:val="300"/>
        </w:trPr>
        <w:tc>
          <w:tcPr>
            <w:tcW w:w="3818" w:type="dxa"/>
            <w:vAlign w:val="center"/>
            <w:hideMark/>
          </w:tcPr>
          <w:p w14:paraId="61480571" w14:textId="7D87F4CA" w:rsidR="00DC1F89" w:rsidRPr="000B77D6" w:rsidRDefault="00DC1F89" w:rsidP="00EE1F33">
            <w:pPr>
              <w:rPr>
                <w:rFonts w:ascii="Calibri" w:hAnsi="Calibri" w:cs="Calibri"/>
                <w:color w:val="000000"/>
                <w:sz w:val="18"/>
                <w:szCs w:val="18"/>
                <w:lang w:val="en-US"/>
              </w:rPr>
            </w:pPr>
            <w:r w:rsidRPr="000B77D6">
              <w:rPr>
                <w:rFonts w:ascii="Calibri" w:hAnsi="Calibri" w:cs="Calibri"/>
                <w:b/>
                <w:bCs/>
                <w:color w:val="000000"/>
                <w:sz w:val="18"/>
                <w:szCs w:val="18"/>
                <w:lang w:val="en-AU"/>
              </w:rPr>
              <w:t>EOIO 2: Investment Pipeline Creation</w:t>
            </w:r>
            <w:r w:rsidRPr="000B77D6">
              <w:rPr>
                <w:rFonts w:ascii="Calibri" w:hAnsi="Calibri" w:cs="Calibri"/>
                <w:color w:val="000000"/>
                <w:sz w:val="18"/>
                <w:szCs w:val="18"/>
                <w:lang w:val="en-AU"/>
              </w:rPr>
              <w:t xml:space="preserve"> Private investment mobilized (including by IFC)</w:t>
            </w:r>
          </w:p>
        </w:tc>
        <w:tc>
          <w:tcPr>
            <w:tcW w:w="1134" w:type="dxa"/>
            <w:vAlign w:val="center"/>
            <w:hideMark/>
          </w:tcPr>
          <w:p w14:paraId="29AB48F7"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USD (mn)</w:t>
            </w:r>
          </w:p>
        </w:tc>
        <w:tc>
          <w:tcPr>
            <w:tcW w:w="1134" w:type="dxa"/>
            <w:vAlign w:val="center"/>
            <w:hideMark/>
          </w:tcPr>
          <w:p w14:paraId="461C0A70"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0DE41CE9"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320</w:t>
            </w:r>
          </w:p>
        </w:tc>
        <w:tc>
          <w:tcPr>
            <w:tcW w:w="1134" w:type="dxa"/>
            <w:vAlign w:val="center"/>
            <w:hideMark/>
          </w:tcPr>
          <w:p w14:paraId="43EDBE09"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25B0A763"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250</w:t>
            </w:r>
          </w:p>
        </w:tc>
        <w:tc>
          <w:tcPr>
            <w:tcW w:w="1134" w:type="dxa"/>
            <w:vAlign w:val="center"/>
            <w:hideMark/>
          </w:tcPr>
          <w:p w14:paraId="283030AE" w14:textId="77777777" w:rsidR="00DC1F89" w:rsidRPr="000B77D6" w:rsidRDefault="00DC1F89" w:rsidP="00361731">
            <w:pPr>
              <w:jc w:val="center"/>
              <w:rPr>
                <w:rFonts w:ascii="Aptos Narrow" w:hAnsi="Aptos Narrow"/>
                <w:color w:val="467886"/>
                <w:sz w:val="22"/>
                <w:szCs w:val="22"/>
                <w:u w:val="single"/>
                <w:lang w:val="en-US"/>
              </w:rPr>
            </w:pPr>
            <w:r>
              <w:rPr>
                <w:rFonts w:ascii="Calibri" w:hAnsi="Calibri" w:cs="Calibri"/>
                <w:sz w:val="18"/>
                <w:szCs w:val="18"/>
                <w:lang w:val="en-AU"/>
              </w:rPr>
              <w:t>633</w:t>
            </w:r>
            <w:r>
              <w:rPr>
                <w:rStyle w:val="FootnoteReference"/>
                <w:rFonts w:ascii="Calibri" w:hAnsi="Calibri" w:cs="Calibri"/>
                <w:sz w:val="18"/>
                <w:szCs w:val="18"/>
                <w:lang w:val="en-AU"/>
              </w:rPr>
              <w:footnoteReference w:id="28"/>
            </w:r>
          </w:p>
        </w:tc>
        <w:tc>
          <w:tcPr>
            <w:tcW w:w="1275" w:type="dxa"/>
            <w:vAlign w:val="center"/>
            <w:hideMark/>
          </w:tcPr>
          <w:p w14:paraId="2CD8193D" w14:textId="77777777" w:rsidR="00DC1F89" w:rsidRPr="000B77D6" w:rsidRDefault="00DC1F89" w:rsidP="00361731">
            <w:pPr>
              <w:jc w:val="center"/>
              <w:rPr>
                <w:rFonts w:ascii="Aptos Narrow" w:hAnsi="Aptos Narrow"/>
                <w:color w:val="467886"/>
                <w:sz w:val="22"/>
                <w:szCs w:val="22"/>
                <w:u w:val="single"/>
                <w:lang w:val="en-US"/>
              </w:rPr>
            </w:pPr>
            <w:r>
              <w:rPr>
                <w:rFonts w:ascii="Calibri" w:hAnsi="Calibri" w:cs="Calibri"/>
                <w:sz w:val="18"/>
                <w:szCs w:val="18"/>
                <w:lang w:val="en-AU"/>
              </w:rPr>
              <w:t>506</w:t>
            </w:r>
            <w:r>
              <w:rPr>
                <w:rStyle w:val="FootnoteReference"/>
                <w:rFonts w:ascii="Calibri" w:hAnsi="Calibri" w:cs="Calibri"/>
                <w:sz w:val="18"/>
                <w:szCs w:val="18"/>
                <w:lang w:val="en-AU"/>
              </w:rPr>
              <w:footnoteReference w:id="29"/>
            </w:r>
          </w:p>
        </w:tc>
        <w:tc>
          <w:tcPr>
            <w:tcW w:w="1134" w:type="dxa"/>
            <w:vAlign w:val="center"/>
            <w:hideMark/>
          </w:tcPr>
          <w:p w14:paraId="1972001E" w14:textId="77777777"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shd w:val="clear" w:color="000000" w:fill="D9F2D0"/>
            <w:vAlign w:val="center"/>
            <w:hideMark/>
          </w:tcPr>
          <w:p w14:paraId="269DECA1"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1,389</w:t>
            </w:r>
          </w:p>
        </w:tc>
        <w:tc>
          <w:tcPr>
            <w:tcW w:w="993" w:type="dxa"/>
            <w:vAlign w:val="center"/>
            <w:hideMark/>
          </w:tcPr>
          <w:p w14:paraId="6F2125BE" w14:textId="77777777" w:rsidR="00DC1F89" w:rsidRPr="00027C78" w:rsidRDefault="00DC1F89" w:rsidP="00361731">
            <w:pPr>
              <w:jc w:val="center"/>
              <w:rPr>
                <w:rFonts w:ascii="Calibri" w:hAnsi="Calibri" w:cs="Calibri"/>
                <w:color w:val="000000"/>
                <w:sz w:val="18"/>
                <w:szCs w:val="18"/>
                <w:lang w:val="en-US"/>
              </w:rPr>
            </w:pPr>
            <w:r w:rsidRPr="00027C78">
              <w:rPr>
                <w:rFonts w:ascii="Calibri" w:hAnsi="Calibri" w:cs="Calibri"/>
                <w:color w:val="000000"/>
                <w:sz w:val="18"/>
                <w:szCs w:val="18"/>
                <w:lang w:val="en-US"/>
              </w:rPr>
              <w:t>434%</w:t>
            </w:r>
          </w:p>
        </w:tc>
      </w:tr>
      <w:tr w:rsidR="00DC1F89" w:rsidRPr="00027C78" w14:paraId="1810FFEC" w14:textId="77777777" w:rsidTr="00361731">
        <w:trPr>
          <w:trHeight w:val="480"/>
        </w:trPr>
        <w:tc>
          <w:tcPr>
            <w:tcW w:w="3818" w:type="dxa"/>
            <w:vAlign w:val="center"/>
            <w:hideMark/>
          </w:tcPr>
          <w:p w14:paraId="70D8F9D7"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 of private investment mobilized via this partnership that is climate-related</w:t>
            </w:r>
          </w:p>
        </w:tc>
        <w:tc>
          <w:tcPr>
            <w:tcW w:w="1134" w:type="dxa"/>
            <w:vAlign w:val="center"/>
            <w:hideMark/>
          </w:tcPr>
          <w:p w14:paraId="4EF58F1C"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w:t>
            </w:r>
          </w:p>
        </w:tc>
        <w:tc>
          <w:tcPr>
            <w:tcW w:w="1134" w:type="dxa"/>
            <w:vAlign w:val="center"/>
            <w:hideMark/>
          </w:tcPr>
          <w:p w14:paraId="3D80157D"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75C540F6"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50%</w:t>
            </w:r>
          </w:p>
        </w:tc>
        <w:tc>
          <w:tcPr>
            <w:tcW w:w="1134" w:type="dxa"/>
            <w:vAlign w:val="center"/>
            <w:hideMark/>
          </w:tcPr>
          <w:p w14:paraId="2B5A146E"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39CE8B90"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100%</w:t>
            </w:r>
          </w:p>
        </w:tc>
        <w:tc>
          <w:tcPr>
            <w:tcW w:w="1134" w:type="dxa"/>
            <w:vAlign w:val="center"/>
            <w:hideMark/>
          </w:tcPr>
          <w:p w14:paraId="43CCF7B7"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100%</w:t>
            </w:r>
          </w:p>
        </w:tc>
        <w:tc>
          <w:tcPr>
            <w:tcW w:w="1275" w:type="dxa"/>
            <w:vAlign w:val="center"/>
            <w:hideMark/>
          </w:tcPr>
          <w:p w14:paraId="2948109B"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90%</w:t>
            </w:r>
          </w:p>
        </w:tc>
        <w:tc>
          <w:tcPr>
            <w:tcW w:w="1134" w:type="dxa"/>
            <w:vAlign w:val="center"/>
            <w:hideMark/>
          </w:tcPr>
          <w:p w14:paraId="4CB1DE14"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n/a</w:t>
            </w:r>
          </w:p>
        </w:tc>
        <w:tc>
          <w:tcPr>
            <w:tcW w:w="1134" w:type="dxa"/>
            <w:shd w:val="clear" w:color="000000" w:fill="D9F2D0"/>
            <w:vAlign w:val="center"/>
            <w:hideMark/>
          </w:tcPr>
          <w:p w14:paraId="5EA181F3"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96%</w:t>
            </w:r>
          </w:p>
        </w:tc>
        <w:tc>
          <w:tcPr>
            <w:tcW w:w="993" w:type="dxa"/>
            <w:vAlign w:val="center"/>
            <w:hideMark/>
          </w:tcPr>
          <w:p w14:paraId="75033B90" w14:textId="77777777" w:rsidR="00DC1F89" w:rsidRPr="00027C78" w:rsidRDefault="00DC1F89" w:rsidP="00361731">
            <w:pPr>
              <w:jc w:val="center"/>
              <w:rPr>
                <w:rFonts w:ascii="Calibri" w:hAnsi="Calibri" w:cs="Calibri"/>
                <w:color w:val="000000"/>
                <w:sz w:val="18"/>
                <w:szCs w:val="18"/>
                <w:lang w:val="en-US"/>
              </w:rPr>
            </w:pPr>
            <w:r w:rsidRPr="00027C78">
              <w:rPr>
                <w:rFonts w:ascii="Calibri" w:hAnsi="Calibri" w:cs="Calibri"/>
                <w:color w:val="000000"/>
                <w:sz w:val="18"/>
                <w:szCs w:val="18"/>
                <w:lang w:val="en-AU"/>
              </w:rPr>
              <w:t>192%</w:t>
            </w:r>
          </w:p>
        </w:tc>
      </w:tr>
      <w:tr w:rsidR="00DC1F89" w:rsidRPr="00027C78" w14:paraId="199F31F0" w14:textId="77777777" w:rsidTr="00361731">
        <w:trPr>
          <w:trHeight w:val="480"/>
        </w:trPr>
        <w:tc>
          <w:tcPr>
            <w:tcW w:w="3818" w:type="dxa"/>
            <w:vAlign w:val="center"/>
            <w:hideMark/>
          </w:tcPr>
          <w:p w14:paraId="5113C8A2" w14:textId="723F0777" w:rsidR="00DC1F89" w:rsidRDefault="00DC1F89" w:rsidP="00361731">
            <w:pPr>
              <w:rPr>
                <w:rFonts w:ascii="Calibri" w:hAnsi="Calibri" w:cs="Calibri"/>
                <w:color w:val="000000"/>
                <w:sz w:val="18"/>
                <w:szCs w:val="18"/>
                <w:lang w:val="en-AU"/>
              </w:rPr>
            </w:pPr>
            <w:r w:rsidRPr="000F7732">
              <w:rPr>
                <w:rFonts w:ascii="Calibri" w:hAnsi="Calibri" w:cs="Calibri"/>
                <w:b/>
                <w:bCs/>
                <w:color w:val="000000"/>
                <w:sz w:val="18"/>
                <w:szCs w:val="18"/>
                <w:lang w:val="en-AU"/>
              </w:rPr>
              <w:t>EOIO 3: Climate-Smart Products and Services</w:t>
            </w:r>
          </w:p>
          <w:p w14:paraId="7F04CD55"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New green products developed (real sector &amp; FI)</w:t>
            </w:r>
          </w:p>
        </w:tc>
        <w:tc>
          <w:tcPr>
            <w:tcW w:w="1134" w:type="dxa"/>
            <w:vAlign w:val="center"/>
            <w:hideMark/>
          </w:tcPr>
          <w:p w14:paraId="7EDD7210"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61926706"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06E8B534"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w:t>
            </w:r>
          </w:p>
        </w:tc>
        <w:tc>
          <w:tcPr>
            <w:tcW w:w="1134" w:type="dxa"/>
            <w:vAlign w:val="center"/>
            <w:hideMark/>
          </w:tcPr>
          <w:p w14:paraId="4372157B"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74C599E4"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30B8C698"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w:t>
            </w:r>
          </w:p>
        </w:tc>
        <w:tc>
          <w:tcPr>
            <w:tcW w:w="1275" w:type="dxa"/>
            <w:vAlign w:val="center"/>
            <w:hideMark/>
          </w:tcPr>
          <w:p w14:paraId="21C9D66E"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029DE005" w14:textId="77777777"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shd w:val="clear" w:color="000000" w:fill="D9F2D0"/>
            <w:vAlign w:val="center"/>
            <w:hideMark/>
          </w:tcPr>
          <w:p w14:paraId="2C58BF4A"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w:t>
            </w:r>
          </w:p>
        </w:tc>
        <w:tc>
          <w:tcPr>
            <w:tcW w:w="993" w:type="dxa"/>
            <w:vAlign w:val="center"/>
            <w:hideMark/>
          </w:tcPr>
          <w:p w14:paraId="56F53FD8" w14:textId="77777777" w:rsidR="00DC1F89" w:rsidRPr="00027C78"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100%</w:t>
            </w:r>
          </w:p>
        </w:tc>
      </w:tr>
      <w:tr w:rsidR="00DC1F89" w:rsidRPr="00027C78" w14:paraId="45DDECCE" w14:textId="77777777" w:rsidTr="00361731">
        <w:trPr>
          <w:trHeight w:val="480"/>
        </w:trPr>
        <w:tc>
          <w:tcPr>
            <w:tcW w:w="3818" w:type="dxa"/>
            <w:vAlign w:val="center"/>
            <w:hideMark/>
          </w:tcPr>
          <w:p w14:paraId="0B4B9051"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 of farms/entities that adopted improved practices.</w:t>
            </w:r>
          </w:p>
        </w:tc>
        <w:tc>
          <w:tcPr>
            <w:tcW w:w="1134" w:type="dxa"/>
            <w:vAlign w:val="center"/>
            <w:hideMark/>
          </w:tcPr>
          <w:p w14:paraId="6CEC3BE1"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3DC21961"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5A5474C7"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1,000</w:t>
            </w:r>
          </w:p>
        </w:tc>
        <w:tc>
          <w:tcPr>
            <w:tcW w:w="1134" w:type="dxa"/>
            <w:vAlign w:val="center"/>
            <w:hideMark/>
          </w:tcPr>
          <w:p w14:paraId="7510EEA0"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259F6564"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6F016B24"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557</w:t>
            </w:r>
          </w:p>
        </w:tc>
        <w:tc>
          <w:tcPr>
            <w:tcW w:w="1275" w:type="dxa"/>
            <w:vAlign w:val="center"/>
            <w:hideMark/>
          </w:tcPr>
          <w:p w14:paraId="24783EAA"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3408B987" w14:textId="77777777"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vAlign w:val="center"/>
            <w:hideMark/>
          </w:tcPr>
          <w:p w14:paraId="4DC24B9B"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557</w:t>
            </w:r>
          </w:p>
        </w:tc>
        <w:tc>
          <w:tcPr>
            <w:tcW w:w="993" w:type="dxa"/>
            <w:vAlign w:val="center"/>
            <w:hideMark/>
          </w:tcPr>
          <w:p w14:paraId="31DB51CD" w14:textId="77777777" w:rsidR="00DC1F89" w:rsidRPr="00027C78" w:rsidRDefault="00DC1F89" w:rsidP="00361731">
            <w:pPr>
              <w:jc w:val="center"/>
              <w:rPr>
                <w:rFonts w:ascii="Calibri" w:hAnsi="Calibri" w:cs="Calibri"/>
                <w:i/>
                <w:iCs/>
                <w:color w:val="000000"/>
                <w:sz w:val="18"/>
                <w:szCs w:val="18"/>
                <w:lang w:val="en-US"/>
              </w:rPr>
            </w:pPr>
            <w:r w:rsidRPr="00027C78">
              <w:rPr>
                <w:rFonts w:ascii="Calibri" w:hAnsi="Calibri" w:cs="Calibri"/>
                <w:i/>
                <w:iCs/>
                <w:color w:val="000000"/>
                <w:sz w:val="18"/>
                <w:szCs w:val="18"/>
                <w:lang w:val="en-AU"/>
              </w:rPr>
              <w:t>56%</w:t>
            </w:r>
          </w:p>
        </w:tc>
      </w:tr>
      <w:tr w:rsidR="00DC1F89" w:rsidRPr="00027C78" w14:paraId="60C52E8B" w14:textId="77777777" w:rsidTr="00361731">
        <w:trPr>
          <w:trHeight w:val="480"/>
        </w:trPr>
        <w:tc>
          <w:tcPr>
            <w:tcW w:w="3818" w:type="dxa"/>
            <w:vAlign w:val="center"/>
            <w:hideMark/>
          </w:tcPr>
          <w:p w14:paraId="2348563B" w14:textId="1CFB67A5" w:rsidR="00DC1F89" w:rsidRPr="000B77D6" w:rsidRDefault="00DC1F89" w:rsidP="00EE1F33">
            <w:pPr>
              <w:rPr>
                <w:rFonts w:ascii="Calibri" w:hAnsi="Calibri" w:cs="Calibri"/>
                <w:color w:val="000000"/>
                <w:sz w:val="18"/>
                <w:szCs w:val="18"/>
                <w:lang w:val="en-US"/>
              </w:rPr>
            </w:pPr>
            <w:r>
              <w:rPr>
                <w:rFonts w:ascii="Calibri" w:hAnsi="Calibri" w:cs="Calibri"/>
                <w:b/>
                <w:bCs/>
                <w:color w:val="000000"/>
                <w:sz w:val="18"/>
                <w:szCs w:val="18"/>
                <w:lang w:val="en-AU"/>
              </w:rPr>
              <w:t>E</w:t>
            </w:r>
            <w:r w:rsidRPr="000B77D6">
              <w:rPr>
                <w:rFonts w:ascii="Calibri" w:hAnsi="Calibri" w:cs="Calibri"/>
                <w:b/>
                <w:bCs/>
                <w:color w:val="000000"/>
                <w:sz w:val="18"/>
                <w:szCs w:val="18"/>
                <w:lang w:val="en-AU"/>
              </w:rPr>
              <w:t>OIO 4: Gender-Equal, Inclusive, and Sustainable Practices and Solutions</w:t>
            </w:r>
            <w:r w:rsidR="00EE1F33">
              <w:rPr>
                <w:rFonts w:ascii="Calibri" w:hAnsi="Calibri" w:cs="Calibri"/>
                <w:b/>
                <w:bCs/>
                <w:color w:val="000000"/>
                <w:sz w:val="18"/>
                <w:szCs w:val="18"/>
                <w:lang w:val="en-AU"/>
              </w:rPr>
              <w:t xml:space="preserve"> </w:t>
            </w:r>
            <w:r w:rsidRPr="000B77D6">
              <w:rPr>
                <w:rFonts w:ascii="Calibri" w:hAnsi="Calibri" w:cs="Calibri"/>
                <w:color w:val="000000"/>
                <w:sz w:val="18"/>
                <w:szCs w:val="18"/>
                <w:lang w:val="en-AU"/>
              </w:rPr>
              <w:t>Number of women with improved economic opportunities</w:t>
            </w:r>
          </w:p>
        </w:tc>
        <w:tc>
          <w:tcPr>
            <w:tcW w:w="1134" w:type="dxa"/>
            <w:vAlign w:val="center"/>
            <w:hideMark/>
          </w:tcPr>
          <w:p w14:paraId="6DA257F5"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3011A5B3"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3CA2B59F"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16,000</w:t>
            </w:r>
          </w:p>
        </w:tc>
        <w:tc>
          <w:tcPr>
            <w:tcW w:w="1134" w:type="dxa"/>
            <w:vAlign w:val="center"/>
            <w:hideMark/>
          </w:tcPr>
          <w:p w14:paraId="2F214025"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77ACBD82"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48724BD9"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3,465</w:t>
            </w:r>
          </w:p>
        </w:tc>
        <w:tc>
          <w:tcPr>
            <w:tcW w:w="1275" w:type="dxa"/>
            <w:vAlign w:val="center"/>
            <w:hideMark/>
          </w:tcPr>
          <w:p w14:paraId="716C21BA"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18,645</w:t>
            </w:r>
          </w:p>
        </w:tc>
        <w:tc>
          <w:tcPr>
            <w:tcW w:w="1134" w:type="dxa"/>
            <w:vAlign w:val="center"/>
            <w:hideMark/>
          </w:tcPr>
          <w:p w14:paraId="0AB6D13C" w14:textId="73C3DA10"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p>
        </w:tc>
        <w:tc>
          <w:tcPr>
            <w:tcW w:w="1134" w:type="dxa"/>
            <w:shd w:val="clear" w:color="000000" w:fill="D9F2D0"/>
            <w:vAlign w:val="center"/>
            <w:hideMark/>
          </w:tcPr>
          <w:p w14:paraId="7CF5BF80"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22,110</w:t>
            </w:r>
          </w:p>
        </w:tc>
        <w:tc>
          <w:tcPr>
            <w:tcW w:w="993" w:type="dxa"/>
            <w:vAlign w:val="center"/>
            <w:hideMark/>
          </w:tcPr>
          <w:p w14:paraId="48EA54D4" w14:textId="77777777" w:rsidR="00DC1F89" w:rsidRPr="00027C78"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US"/>
              </w:rPr>
              <w:t>138%</w:t>
            </w:r>
          </w:p>
        </w:tc>
      </w:tr>
      <w:tr w:rsidR="00DC1F89" w:rsidRPr="00027C78" w14:paraId="40DC18C5" w14:textId="77777777" w:rsidTr="00361731">
        <w:trPr>
          <w:trHeight w:val="480"/>
        </w:trPr>
        <w:tc>
          <w:tcPr>
            <w:tcW w:w="3818" w:type="dxa"/>
            <w:vAlign w:val="center"/>
            <w:hideMark/>
          </w:tcPr>
          <w:p w14:paraId="0797690F"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 of entities that implemented recommended changes</w:t>
            </w:r>
          </w:p>
        </w:tc>
        <w:tc>
          <w:tcPr>
            <w:tcW w:w="1134" w:type="dxa"/>
            <w:vAlign w:val="center"/>
            <w:hideMark/>
          </w:tcPr>
          <w:p w14:paraId="56A620C4" w14:textId="77777777" w:rsidR="00DC1F89" w:rsidRPr="000B77D6" w:rsidRDefault="00DC1F89"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3E43E182"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4D2F1E0E"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12</w:t>
            </w:r>
          </w:p>
        </w:tc>
        <w:tc>
          <w:tcPr>
            <w:tcW w:w="1134" w:type="dxa"/>
            <w:vAlign w:val="center"/>
            <w:hideMark/>
          </w:tcPr>
          <w:p w14:paraId="23A0D328"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6BD177BA"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16</w:t>
            </w:r>
          </w:p>
        </w:tc>
        <w:tc>
          <w:tcPr>
            <w:tcW w:w="1134" w:type="dxa"/>
            <w:vAlign w:val="center"/>
            <w:hideMark/>
          </w:tcPr>
          <w:p w14:paraId="5DEAFE60"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1B2D809E"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3BABFBC6" w14:textId="3B918FB3" w:rsidR="00DC1F89" w:rsidRPr="000B77D6"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p>
        </w:tc>
        <w:tc>
          <w:tcPr>
            <w:tcW w:w="1134" w:type="dxa"/>
            <w:shd w:val="clear" w:color="000000" w:fill="D9F2D0"/>
            <w:vAlign w:val="center"/>
            <w:hideMark/>
          </w:tcPr>
          <w:p w14:paraId="4FE6B49E" w14:textId="77777777" w:rsidR="00DC1F89" w:rsidRPr="000B77D6" w:rsidRDefault="00DC1F89"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18</w:t>
            </w:r>
          </w:p>
        </w:tc>
        <w:tc>
          <w:tcPr>
            <w:tcW w:w="993" w:type="dxa"/>
            <w:vAlign w:val="center"/>
            <w:hideMark/>
          </w:tcPr>
          <w:p w14:paraId="60ABFB7F" w14:textId="77777777" w:rsidR="00DC1F89" w:rsidRPr="00027C78" w:rsidRDefault="00DC1F89" w:rsidP="00361731">
            <w:pPr>
              <w:jc w:val="center"/>
              <w:rPr>
                <w:rFonts w:ascii="Calibri" w:hAnsi="Calibri" w:cs="Calibri"/>
                <w:color w:val="000000"/>
                <w:sz w:val="18"/>
                <w:szCs w:val="18"/>
                <w:lang w:val="en-US"/>
              </w:rPr>
            </w:pPr>
            <w:r>
              <w:rPr>
                <w:rFonts w:ascii="Calibri" w:hAnsi="Calibri" w:cs="Calibri"/>
                <w:color w:val="000000"/>
                <w:sz w:val="18"/>
                <w:szCs w:val="18"/>
                <w:lang w:val="en-US"/>
              </w:rPr>
              <w:t>150%</w:t>
            </w:r>
          </w:p>
        </w:tc>
      </w:tr>
    </w:tbl>
    <w:p w14:paraId="2C1BA6E5" w14:textId="7D5FB71C" w:rsidR="00EE1F33" w:rsidRDefault="00EE1F33" w:rsidP="00347C76">
      <w:pPr>
        <w:pStyle w:val="BodyText"/>
        <w:rPr>
          <w:rFonts w:ascii="Montserrat" w:hAnsi="Montserrat" w:cs="Montserrat"/>
          <w:b/>
          <w:bCs/>
          <w:color w:val="005568"/>
          <w:sz w:val="20"/>
          <w:szCs w:val="20"/>
          <w:lang w:val="en-AU"/>
        </w:rPr>
      </w:pPr>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988"/>
        <w:gridCol w:w="1134"/>
        <w:gridCol w:w="1134"/>
        <w:gridCol w:w="1134"/>
        <w:gridCol w:w="1134"/>
        <w:gridCol w:w="1134"/>
        <w:gridCol w:w="1275"/>
        <w:gridCol w:w="1134"/>
        <w:gridCol w:w="1134"/>
        <w:gridCol w:w="993"/>
      </w:tblGrid>
      <w:tr w:rsidR="00EE1F33" w14:paraId="140F4298" w14:textId="77777777" w:rsidTr="00361731">
        <w:trPr>
          <w:trHeight w:val="480"/>
          <w:tblHeader/>
        </w:trPr>
        <w:tc>
          <w:tcPr>
            <w:tcW w:w="3964" w:type="dxa"/>
            <w:shd w:val="clear" w:color="auto" w:fill="95DCF7" w:themeFill="accent4" w:themeFillTint="66"/>
            <w:vAlign w:val="center"/>
          </w:tcPr>
          <w:p w14:paraId="3BDE72F6" w14:textId="77777777" w:rsidR="00EE1F33" w:rsidRPr="000B77D6" w:rsidRDefault="00EE1F33" w:rsidP="00361731">
            <w:pPr>
              <w:rPr>
                <w:rFonts w:ascii="Calibri" w:hAnsi="Calibri" w:cs="Calibri"/>
                <w:color w:val="000000"/>
                <w:sz w:val="18"/>
                <w:szCs w:val="18"/>
                <w:lang w:val="en-AU"/>
              </w:rPr>
            </w:pPr>
            <w:r w:rsidRPr="000B77D6">
              <w:rPr>
                <w:rFonts w:ascii="Calibri" w:hAnsi="Calibri" w:cs="Calibri"/>
                <w:b/>
                <w:bCs/>
                <w:color w:val="000000"/>
                <w:sz w:val="18"/>
                <w:szCs w:val="18"/>
                <w:lang w:val="en-AU"/>
              </w:rPr>
              <w:t>Intermediate Outcome Indicators</w:t>
            </w:r>
          </w:p>
        </w:tc>
        <w:tc>
          <w:tcPr>
            <w:tcW w:w="988" w:type="dxa"/>
            <w:shd w:val="clear" w:color="auto" w:fill="95DCF7" w:themeFill="accent4" w:themeFillTint="66"/>
            <w:vAlign w:val="center"/>
          </w:tcPr>
          <w:p w14:paraId="5FED240D" w14:textId="77777777" w:rsidR="00EE1F33" w:rsidRPr="000B77D6" w:rsidRDefault="00EE1F33" w:rsidP="00361731">
            <w:pPr>
              <w:rPr>
                <w:rFonts w:ascii="Calibri" w:hAnsi="Calibri" w:cs="Calibri"/>
                <w:color w:val="000000"/>
                <w:sz w:val="18"/>
                <w:szCs w:val="18"/>
                <w:lang w:val="en-AU"/>
              </w:rPr>
            </w:pPr>
            <w:r w:rsidRPr="000B77D6">
              <w:rPr>
                <w:rFonts w:ascii="Calibri" w:hAnsi="Calibri" w:cs="Calibri"/>
                <w:b/>
                <w:bCs/>
                <w:color w:val="000000"/>
                <w:sz w:val="18"/>
                <w:szCs w:val="18"/>
                <w:lang w:val="en-AU"/>
              </w:rPr>
              <w:t>Unit of measure</w:t>
            </w:r>
          </w:p>
        </w:tc>
        <w:tc>
          <w:tcPr>
            <w:tcW w:w="1134" w:type="dxa"/>
            <w:shd w:val="clear" w:color="auto" w:fill="95DCF7" w:themeFill="accent4" w:themeFillTint="66"/>
            <w:vAlign w:val="center"/>
          </w:tcPr>
          <w:p w14:paraId="278CFB03"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Baseline</w:t>
            </w:r>
          </w:p>
        </w:tc>
        <w:tc>
          <w:tcPr>
            <w:tcW w:w="1134" w:type="dxa"/>
            <w:shd w:val="clear" w:color="auto" w:fill="95DCF7" w:themeFill="accent4" w:themeFillTint="66"/>
            <w:vAlign w:val="center"/>
          </w:tcPr>
          <w:p w14:paraId="66867855"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End Target</w:t>
            </w:r>
          </w:p>
        </w:tc>
        <w:tc>
          <w:tcPr>
            <w:tcW w:w="1134" w:type="dxa"/>
            <w:shd w:val="clear" w:color="auto" w:fill="95DCF7" w:themeFill="accent4" w:themeFillTint="66"/>
            <w:vAlign w:val="center"/>
          </w:tcPr>
          <w:p w14:paraId="4FC33157"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FY23</w:t>
            </w:r>
          </w:p>
        </w:tc>
        <w:tc>
          <w:tcPr>
            <w:tcW w:w="1134" w:type="dxa"/>
            <w:shd w:val="clear" w:color="auto" w:fill="95DCF7" w:themeFill="accent4" w:themeFillTint="66"/>
            <w:vAlign w:val="center"/>
          </w:tcPr>
          <w:p w14:paraId="0E48B5FE"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FY24</w:t>
            </w:r>
          </w:p>
        </w:tc>
        <w:tc>
          <w:tcPr>
            <w:tcW w:w="1134" w:type="dxa"/>
            <w:shd w:val="clear" w:color="auto" w:fill="95DCF7" w:themeFill="accent4" w:themeFillTint="66"/>
            <w:vAlign w:val="center"/>
          </w:tcPr>
          <w:p w14:paraId="167A8D85"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FY25</w:t>
            </w:r>
          </w:p>
        </w:tc>
        <w:tc>
          <w:tcPr>
            <w:tcW w:w="1275" w:type="dxa"/>
            <w:shd w:val="clear" w:color="auto" w:fill="95DCF7" w:themeFill="accent4" w:themeFillTint="66"/>
            <w:vAlign w:val="center"/>
          </w:tcPr>
          <w:p w14:paraId="7693DC4A"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FY26</w:t>
            </w:r>
          </w:p>
        </w:tc>
        <w:tc>
          <w:tcPr>
            <w:tcW w:w="1134" w:type="dxa"/>
            <w:shd w:val="clear" w:color="auto" w:fill="95DCF7" w:themeFill="accent4" w:themeFillTint="66"/>
            <w:vAlign w:val="center"/>
          </w:tcPr>
          <w:p w14:paraId="2176ECD5" w14:textId="77777777" w:rsidR="00EE1F33"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FY27</w:t>
            </w:r>
          </w:p>
        </w:tc>
        <w:tc>
          <w:tcPr>
            <w:tcW w:w="1134" w:type="dxa"/>
            <w:shd w:val="clear" w:color="auto" w:fill="95DCF7" w:themeFill="accent4" w:themeFillTint="66"/>
            <w:vAlign w:val="center"/>
          </w:tcPr>
          <w:p w14:paraId="6A687B39"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b/>
                <w:bCs/>
                <w:color w:val="000000"/>
                <w:sz w:val="18"/>
                <w:szCs w:val="18"/>
                <w:lang w:val="en-AU"/>
              </w:rPr>
              <w:t>Total achieved</w:t>
            </w:r>
          </w:p>
        </w:tc>
        <w:tc>
          <w:tcPr>
            <w:tcW w:w="993" w:type="dxa"/>
            <w:shd w:val="clear" w:color="auto" w:fill="95DCF7" w:themeFill="accent4" w:themeFillTint="66"/>
            <w:vAlign w:val="center"/>
          </w:tcPr>
          <w:p w14:paraId="454C1D5D" w14:textId="77777777" w:rsidR="00EE1F33" w:rsidRDefault="00EE1F33" w:rsidP="00361731">
            <w:pPr>
              <w:jc w:val="center"/>
              <w:rPr>
                <w:rFonts w:ascii="Calibri" w:hAnsi="Calibri" w:cs="Calibri"/>
                <w:color w:val="000000"/>
                <w:sz w:val="18"/>
                <w:szCs w:val="18"/>
                <w:lang w:val="en-US"/>
              </w:rPr>
            </w:pPr>
            <w:r w:rsidRPr="00027C78">
              <w:rPr>
                <w:rFonts w:ascii="Calibri" w:hAnsi="Calibri" w:cs="Calibri"/>
                <w:b/>
                <w:bCs/>
                <w:i/>
                <w:iCs/>
                <w:color w:val="000000"/>
                <w:sz w:val="18"/>
                <w:szCs w:val="18"/>
                <w:lang w:val="en-AU"/>
              </w:rPr>
              <w:t>In %</w:t>
            </w:r>
          </w:p>
        </w:tc>
      </w:tr>
      <w:tr w:rsidR="00EE1F33" w14:paraId="36BF2069" w14:textId="77777777" w:rsidTr="00361731">
        <w:trPr>
          <w:trHeight w:val="480"/>
        </w:trPr>
        <w:tc>
          <w:tcPr>
            <w:tcW w:w="3964" w:type="dxa"/>
            <w:vAlign w:val="center"/>
          </w:tcPr>
          <w:p w14:paraId="287A7179" w14:textId="77777777" w:rsidR="00EE1F33" w:rsidRDefault="00EE1F33" w:rsidP="00361731">
            <w:pPr>
              <w:rPr>
                <w:rFonts w:ascii="Calibri" w:hAnsi="Calibri" w:cs="Calibri"/>
                <w:b/>
                <w:bCs/>
                <w:sz w:val="18"/>
                <w:szCs w:val="18"/>
                <w:lang w:val="en-AU"/>
              </w:rPr>
            </w:pPr>
            <w:r w:rsidRPr="000B77D6">
              <w:rPr>
                <w:rFonts w:ascii="Calibri" w:hAnsi="Calibri" w:cs="Calibri"/>
                <w:b/>
                <w:bCs/>
                <w:color w:val="000000"/>
                <w:sz w:val="18"/>
                <w:szCs w:val="18"/>
                <w:lang w:val="en-AU"/>
              </w:rPr>
              <w:t xml:space="preserve">Intermediate Outcome 1 </w:t>
            </w:r>
            <w:r w:rsidRPr="000B77D6">
              <w:rPr>
                <w:rFonts w:ascii="Calibri" w:hAnsi="Calibri" w:cs="Calibri"/>
                <w:b/>
                <w:bCs/>
                <w:color w:val="000000"/>
                <w:sz w:val="18"/>
                <w:szCs w:val="18"/>
                <w:lang w:val="en-AU"/>
              </w:rPr>
              <w:br/>
              <w:t xml:space="preserve">(Capacity Building – </w:t>
            </w:r>
            <w:r w:rsidRPr="000348BD">
              <w:rPr>
                <w:rFonts w:ascii="Calibri" w:hAnsi="Calibri" w:cs="Calibri"/>
                <w:b/>
                <w:bCs/>
                <w:sz w:val="18"/>
                <w:szCs w:val="18"/>
                <w:lang w:val="en-AU"/>
              </w:rPr>
              <w:t>economy wide</w:t>
            </w:r>
            <w:r w:rsidRPr="000348BD">
              <w:rPr>
                <w:rStyle w:val="FootnoteReference"/>
                <w:rFonts w:ascii="Calibri" w:eastAsiaTheme="majorEastAsia" w:hAnsi="Calibri" w:cs="Calibri"/>
                <w:b/>
                <w:bCs/>
                <w:sz w:val="18"/>
                <w:szCs w:val="18"/>
                <w:lang w:val="en-AU"/>
              </w:rPr>
              <w:footnoteReference w:id="30"/>
            </w:r>
            <w:r w:rsidRPr="000348BD">
              <w:rPr>
                <w:rFonts w:ascii="Calibri" w:hAnsi="Calibri" w:cs="Calibri"/>
                <w:b/>
                <w:bCs/>
                <w:sz w:val="18"/>
                <w:szCs w:val="18"/>
                <w:lang w:val="en-AU"/>
              </w:rPr>
              <w:t>)</w:t>
            </w:r>
          </w:p>
          <w:p w14:paraId="7C6007E5" w14:textId="77777777" w:rsidR="00EE1F33" w:rsidRPr="000B77D6" w:rsidRDefault="00EE1F33" w:rsidP="00361731">
            <w:pPr>
              <w:rPr>
                <w:rFonts w:ascii="Calibri" w:hAnsi="Calibri" w:cs="Calibri"/>
                <w:color w:val="000000"/>
                <w:sz w:val="18"/>
                <w:szCs w:val="18"/>
                <w:lang w:val="en-AU"/>
              </w:rPr>
            </w:pPr>
            <w:r w:rsidRPr="000B77D6">
              <w:rPr>
                <w:rFonts w:ascii="Calibri" w:hAnsi="Calibri" w:cs="Calibri"/>
                <w:color w:val="000000"/>
                <w:sz w:val="18"/>
                <w:szCs w:val="18"/>
                <w:lang w:val="en-AU"/>
              </w:rPr>
              <w:t>Entities receiving advisory services</w:t>
            </w:r>
          </w:p>
        </w:tc>
        <w:tc>
          <w:tcPr>
            <w:tcW w:w="988" w:type="dxa"/>
            <w:vAlign w:val="center"/>
          </w:tcPr>
          <w:p w14:paraId="0B1BCD56" w14:textId="77777777" w:rsidR="00EE1F33" w:rsidRPr="000B77D6" w:rsidRDefault="00EE1F33" w:rsidP="00361731">
            <w:pPr>
              <w:rPr>
                <w:rFonts w:ascii="Calibri" w:hAnsi="Calibri" w:cs="Calibri"/>
                <w:color w:val="000000"/>
                <w:sz w:val="18"/>
                <w:szCs w:val="18"/>
                <w:lang w:val="en-AU"/>
              </w:rPr>
            </w:pPr>
            <w:r w:rsidRPr="000B77D6">
              <w:rPr>
                <w:rFonts w:ascii="Calibri" w:hAnsi="Calibri" w:cs="Calibri"/>
                <w:color w:val="000000"/>
                <w:sz w:val="18"/>
                <w:szCs w:val="18"/>
                <w:lang w:val="en-AU"/>
              </w:rPr>
              <w:t>Number</w:t>
            </w:r>
          </w:p>
        </w:tc>
        <w:tc>
          <w:tcPr>
            <w:tcW w:w="1134" w:type="dxa"/>
            <w:vAlign w:val="center"/>
          </w:tcPr>
          <w:p w14:paraId="44A11A82"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0</w:t>
            </w:r>
          </w:p>
        </w:tc>
        <w:tc>
          <w:tcPr>
            <w:tcW w:w="1134" w:type="dxa"/>
            <w:shd w:val="clear" w:color="000000" w:fill="FAE2D5"/>
            <w:vAlign w:val="center"/>
          </w:tcPr>
          <w:p w14:paraId="7382C4E4"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3</w:t>
            </w:r>
          </w:p>
        </w:tc>
        <w:tc>
          <w:tcPr>
            <w:tcW w:w="1134" w:type="dxa"/>
            <w:vAlign w:val="center"/>
          </w:tcPr>
          <w:p w14:paraId="7AC84C98"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2</w:t>
            </w:r>
          </w:p>
        </w:tc>
        <w:tc>
          <w:tcPr>
            <w:tcW w:w="1134" w:type="dxa"/>
            <w:vAlign w:val="center"/>
          </w:tcPr>
          <w:p w14:paraId="712F6777"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0</w:t>
            </w:r>
          </w:p>
        </w:tc>
        <w:tc>
          <w:tcPr>
            <w:tcW w:w="1134" w:type="dxa"/>
            <w:vAlign w:val="center"/>
          </w:tcPr>
          <w:p w14:paraId="42A130FF"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1</w:t>
            </w:r>
          </w:p>
        </w:tc>
        <w:tc>
          <w:tcPr>
            <w:tcW w:w="1275" w:type="dxa"/>
            <w:vAlign w:val="center"/>
          </w:tcPr>
          <w:p w14:paraId="3CE18EB6"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0</w:t>
            </w:r>
          </w:p>
        </w:tc>
        <w:tc>
          <w:tcPr>
            <w:tcW w:w="1134" w:type="dxa"/>
            <w:vAlign w:val="center"/>
          </w:tcPr>
          <w:p w14:paraId="342CC16C" w14:textId="77777777" w:rsidR="00EE1F33" w:rsidRDefault="00EE1F33" w:rsidP="00361731">
            <w:pPr>
              <w:jc w:val="center"/>
              <w:rPr>
                <w:rFonts w:ascii="Calibri" w:hAnsi="Calibri" w:cs="Calibri"/>
                <w:color w:val="000000"/>
                <w:sz w:val="18"/>
                <w:szCs w:val="18"/>
                <w:lang w:val="en-AU"/>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shd w:val="clear" w:color="000000" w:fill="D9F2D0"/>
            <w:vAlign w:val="center"/>
          </w:tcPr>
          <w:p w14:paraId="340515E4" w14:textId="77777777" w:rsidR="00EE1F33" w:rsidRPr="000B77D6" w:rsidRDefault="00EE1F33" w:rsidP="00361731">
            <w:pPr>
              <w:jc w:val="center"/>
              <w:rPr>
                <w:rFonts w:ascii="Calibri" w:hAnsi="Calibri" w:cs="Calibri"/>
                <w:color w:val="000000"/>
                <w:sz w:val="18"/>
                <w:szCs w:val="18"/>
                <w:lang w:val="en-AU"/>
              </w:rPr>
            </w:pPr>
            <w:r w:rsidRPr="000B77D6">
              <w:rPr>
                <w:rFonts w:ascii="Calibri" w:hAnsi="Calibri" w:cs="Calibri"/>
                <w:color w:val="000000"/>
                <w:sz w:val="18"/>
                <w:szCs w:val="18"/>
                <w:lang w:val="en-AU"/>
              </w:rPr>
              <w:t>3</w:t>
            </w:r>
          </w:p>
        </w:tc>
        <w:tc>
          <w:tcPr>
            <w:tcW w:w="993" w:type="dxa"/>
            <w:vAlign w:val="center"/>
          </w:tcPr>
          <w:p w14:paraId="42259482" w14:textId="77777777" w:rsidR="00EE1F33"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100%</w:t>
            </w:r>
          </w:p>
        </w:tc>
      </w:tr>
      <w:tr w:rsidR="00EE1F33" w:rsidRPr="0065106E" w14:paraId="22C992DD" w14:textId="77777777" w:rsidTr="00361731">
        <w:trPr>
          <w:trHeight w:val="480"/>
        </w:trPr>
        <w:tc>
          <w:tcPr>
            <w:tcW w:w="3964" w:type="dxa"/>
            <w:vAlign w:val="center"/>
            <w:hideMark/>
          </w:tcPr>
          <w:p w14:paraId="5D4B262C"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Reports (assessments, surveys, manuals, Phase I/strategic option reports) completed</w:t>
            </w:r>
          </w:p>
        </w:tc>
        <w:tc>
          <w:tcPr>
            <w:tcW w:w="988" w:type="dxa"/>
            <w:vAlign w:val="center"/>
            <w:hideMark/>
          </w:tcPr>
          <w:p w14:paraId="27045182"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6BB7B4CD"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01A00EB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w:t>
            </w:r>
          </w:p>
        </w:tc>
        <w:tc>
          <w:tcPr>
            <w:tcW w:w="1134" w:type="dxa"/>
            <w:vAlign w:val="center"/>
            <w:hideMark/>
          </w:tcPr>
          <w:p w14:paraId="746242A5"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78A3B9E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3C2022B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37DFD4A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20EE5AF9"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n/a</w:t>
            </w:r>
            <w:r w:rsidRPr="000B77D6">
              <w:rPr>
                <w:rFonts w:ascii="Calibri" w:hAnsi="Calibri" w:cs="Calibri"/>
                <w:color w:val="000000"/>
                <w:sz w:val="18"/>
                <w:szCs w:val="18"/>
                <w:lang w:val="en-AU"/>
              </w:rPr>
              <w:t> </w:t>
            </w:r>
          </w:p>
        </w:tc>
        <w:tc>
          <w:tcPr>
            <w:tcW w:w="1134" w:type="dxa"/>
            <w:shd w:val="clear" w:color="000000" w:fill="D9F2D0"/>
            <w:vAlign w:val="center"/>
            <w:hideMark/>
          </w:tcPr>
          <w:p w14:paraId="7324B46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w:t>
            </w:r>
          </w:p>
        </w:tc>
        <w:tc>
          <w:tcPr>
            <w:tcW w:w="993" w:type="dxa"/>
            <w:vAlign w:val="center"/>
          </w:tcPr>
          <w:p w14:paraId="622AE615" w14:textId="77777777" w:rsidR="00EE1F33" w:rsidRPr="0065106E"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175%</w:t>
            </w:r>
          </w:p>
        </w:tc>
      </w:tr>
      <w:tr w:rsidR="00EE1F33" w:rsidRPr="000B77D6" w14:paraId="7480112D" w14:textId="77777777" w:rsidTr="00361731">
        <w:trPr>
          <w:trHeight w:val="480"/>
        </w:trPr>
        <w:tc>
          <w:tcPr>
            <w:tcW w:w="3964" w:type="dxa"/>
            <w:vAlign w:val="center"/>
            <w:hideMark/>
          </w:tcPr>
          <w:p w14:paraId="2A13FCF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Workshops, training events, seminars, conferences</w:t>
            </w:r>
          </w:p>
        </w:tc>
        <w:tc>
          <w:tcPr>
            <w:tcW w:w="988" w:type="dxa"/>
            <w:vAlign w:val="center"/>
            <w:hideMark/>
          </w:tcPr>
          <w:p w14:paraId="5BDC0038"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22014D8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2708A83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8</w:t>
            </w:r>
          </w:p>
        </w:tc>
        <w:tc>
          <w:tcPr>
            <w:tcW w:w="1134" w:type="dxa"/>
            <w:vAlign w:val="center"/>
            <w:hideMark/>
          </w:tcPr>
          <w:p w14:paraId="122ADE5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11A1641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134" w:type="dxa"/>
            <w:vAlign w:val="center"/>
            <w:hideMark/>
          </w:tcPr>
          <w:p w14:paraId="778972B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6F029E5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52812A9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n/a</w:t>
            </w:r>
          </w:p>
        </w:tc>
        <w:tc>
          <w:tcPr>
            <w:tcW w:w="1134" w:type="dxa"/>
            <w:vAlign w:val="center"/>
            <w:hideMark/>
          </w:tcPr>
          <w:p w14:paraId="404B217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w:t>
            </w:r>
          </w:p>
        </w:tc>
        <w:tc>
          <w:tcPr>
            <w:tcW w:w="993" w:type="dxa"/>
            <w:vAlign w:val="center"/>
            <w:hideMark/>
          </w:tcPr>
          <w:p w14:paraId="1D4ED64D" w14:textId="77777777" w:rsidR="00EE1F33" w:rsidRPr="000B77D6" w:rsidRDefault="00EE1F33" w:rsidP="00361731">
            <w:pPr>
              <w:jc w:val="center"/>
              <w:rPr>
                <w:rFonts w:ascii="Calibri" w:hAnsi="Calibri" w:cs="Calibri"/>
                <w:i/>
                <w:iCs/>
                <w:color w:val="000000"/>
                <w:sz w:val="18"/>
                <w:szCs w:val="18"/>
                <w:lang w:val="en-US"/>
              </w:rPr>
            </w:pPr>
            <w:r w:rsidRPr="000B77D6">
              <w:rPr>
                <w:rFonts w:ascii="Calibri" w:hAnsi="Calibri" w:cs="Calibri"/>
                <w:i/>
                <w:iCs/>
                <w:color w:val="000000"/>
                <w:sz w:val="18"/>
                <w:szCs w:val="18"/>
                <w:lang w:val="en-AU"/>
              </w:rPr>
              <w:t>87%</w:t>
            </w:r>
          </w:p>
        </w:tc>
      </w:tr>
      <w:tr w:rsidR="00EE1F33" w:rsidRPr="00BB0097" w14:paraId="7022FBB1" w14:textId="77777777" w:rsidTr="00361731">
        <w:trPr>
          <w:trHeight w:val="480"/>
        </w:trPr>
        <w:tc>
          <w:tcPr>
            <w:tcW w:w="3964" w:type="dxa"/>
            <w:vAlign w:val="center"/>
            <w:hideMark/>
          </w:tcPr>
          <w:p w14:paraId="701FD6F1"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in workshops, training events, seminars, conferences, etc.</w:t>
            </w:r>
          </w:p>
        </w:tc>
        <w:tc>
          <w:tcPr>
            <w:tcW w:w="988" w:type="dxa"/>
            <w:vAlign w:val="center"/>
            <w:hideMark/>
          </w:tcPr>
          <w:p w14:paraId="1085D576"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795AD7B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2D12B57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400</w:t>
            </w:r>
          </w:p>
        </w:tc>
        <w:tc>
          <w:tcPr>
            <w:tcW w:w="1134" w:type="dxa"/>
            <w:vAlign w:val="center"/>
            <w:hideMark/>
          </w:tcPr>
          <w:p w14:paraId="41C8676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4032C33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305</w:t>
            </w:r>
          </w:p>
        </w:tc>
        <w:tc>
          <w:tcPr>
            <w:tcW w:w="1134" w:type="dxa"/>
            <w:vAlign w:val="center"/>
            <w:hideMark/>
          </w:tcPr>
          <w:p w14:paraId="7677D9B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6EE7246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132</w:t>
            </w:r>
          </w:p>
        </w:tc>
        <w:tc>
          <w:tcPr>
            <w:tcW w:w="1134" w:type="dxa"/>
            <w:vAlign w:val="center"/>
            <w:hideMark/>
          </w:tcPr>
          <w:p w14:paraId="346D749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n/a</w:t>
            </w:r>
          </w:p>
        </w:tc>
        <w:tc>
          <w:tcPr>
            <w:tcW w:w="1134" w:type="dxa"/>
            <w:shd w:val="clear" w:color="000000" w:fill="D9F2D0"/>
            <w:vAlign w:val="center"/>
            <w:hideMark/>
          </w:tcPr>
          <w:p w14:paraId="661E9C9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437</w:t>
            </w:r>
          </w:p>
        </w:tc>
        <w:tc>
          <w:tcPr>
            <w:tcW w:w="993" w:type="dxa"/>
            <w:vAlign w:val="center"/>
            <w:hideMark/>
          </w:tcPr>
          <w:p w14:paraId="3F6A67F5" w14:textId="77777777" w:rsidR="00EE1F33" w:rsidRPr="00BB0097" w:rsidRDefault="00EE1F33" w:rsidP="00361731">
            <w:pPr>
              <w:jc w:val="center"/>
              <w:rPr>
                <w:rFonts w:ascii="Calibri" w:hAnsi="Calibri" w:cs="Calibri"/>
                <w:color w:val="000000"/>
                <w:sz w:val="18"/>
                <w:szCs w:val="18"/>
                <w:lang w:val="en-US"/>
              </w:rPr>
            </w:pPr>
            <w:r w:rsidRPr="00BB0097">
              <w:rPr>
                <w:rFonts w:ascii="Calibri" w:hAnsi="Calibri" w:cs="Calibri"/>
                <w:color w:val="000000"/>
                <w:sz w:val="18"/>
                <w:szCs w:val="18"/>
                <w:lang w:val="en-US"/>
              </w:rPr>
              <w:t>109%</w:t>
            </w:r>
          </w:p>
        </w:tc>
      </w:tr>
      <w:tr w:rsidR="00EE1F33" w:rsidRPr="000B77D6" w14:paraId="7424E8FE" w14:textId="77777777" w:rsidTr="00361731">
        <w:trPr>
          <w:trHeight w:val="375"/>
        </w:trPr>
        <w:tc>
          <w:tcPr>
            <w:tcW w:w="3964" w:type="dxa"/>
            <w:vAlign w:val="center"/>
            <w:hideMark/>
          </w:tcPr>
          <w:p w14:paraId="091E9F67"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lastRenderedPageBreak/>
              <w:t>Participants which are women</w:t>
            </w:r>
          </w:p>
        </w:tc>
        <w:tc>
          <w:tcPr>
            <w:tcW w:w="988" w:type="dxa"/>
            <w:vAlign w:val="center"/>
            <w:hideMark/>
          </w:tcPr>
          <w:p w14:paraId="76D5EDAF"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080C466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59F62374"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160</w:t>
            </w:r>
          </w:p>
        </w:tc>
        <w:tc>
          <w:tcPr>
            <w:tcW w:w="1134" w:type="dxa"/>
            <w:vAlign w:val="center"/>
            <w:hideMark/>
          </w:tcPr>
          <w:p w14:paraId="52BAF5E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697873C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85</w:t>
            </w:r>
          </w:p>
        </w:tc>
        <w:tc>
          <w:tcPr>
            <w:tcW w:w="1134" w:type="dxa"/>
            <w:vAlign w:val="center"/>
            <w:hideMark/>
          </w:tcPr>
          <w:p w14:paraId="4CFFC4A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0B294A6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62</w:t>
            </w:r>
          </w:p>
        </w:tc>
        <w:tc>
          <w:tcPr>
            <w:tcW w:w="1134" w:type="dxa"/>
            <w:vAlign w:val="center"/>
            <w:hideMark/>
          </w:tcPr>
          <w:p w14:paraId="4A187A0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n/a</w:t>
            </w:r>
          </w:p>
        </w:tc>
        <w:tc>
          <w:tcPr>
            <w:tcW w:w="1134" w:type="dxa"/>
            <w:vAlign w:val="center"/>
            <w:hideMark/>
          </w:tcPr>
          <w:p w14:paraId="280D6CB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147</w:t>
            </w:r>
          </w:p>
        </w:tc>
        <w:tc>
          <w:tcPr>
            <w:tcW w:w="993" w:type="dxa"/>
            <w:vAlign w:val="center"/>
            <w:hideMark/>
          </w:tcPr>
          <w:p w14:paraId="2610F8C8" w14:textId="77777777" w:rsidR="00EE1F33" w:rsidRPr="000B77D6" w:rsidRDefault="00EE1F33" w:rsidP="00361731">
            <w:pPr>
              <w:jc w:val="center"/>
              <w:rPr>
                <w:rFonts w:ascii="Calibri" w:hAnsi="Calibri" w:cs="Calibri"/>
                <w:i/>
                <w:iCs/>
                <w:color w:val="000000"/>
                <w:sz w:val="18"/>
                <w:szCs w:val="18"/>
                <w:lang w:val="en-US"/>
              </w:rPr>
            </w:pPr>
            <w:r w:rsidRPr="000B77D6">
              <w:rPr>
                <w:rFonts w:ascii="Calibri" w:hAnsi="Calibri" w:cs="Calibri"/>
                <w:i/>
                <w:iCs/>
                <w:color w:val="000000"/>
                <w:sz w:val="18"/>
                <w:szCs w:val="18"/>
                <w:lang w:val="en-AU"/>
              </w:rPr>
              <w:t>92%</w:t>
            </w:r>
          </w:p>
        </w:tc>
      </w:tr>
      <w:tr w:rsidR="00EE1F33" w:rsidRPr="00B56612" w14:paraId="144147ED" w14:textId="77777777" w:rsidTr="00361731">
        <w:trPr>
          <w:trHeight w:val="375"/>
        </w:trPr>
        <w:tc>
          <w:tcPr>
            <w:tcW w:w="3964" w:type="dxa"/>
            <w:vAlign w:val="center"/>
            <w:hideMark/>
          </w:tcPr>
          <w:p w14:paraId="470B5E65" w14:textId="77777777" w:rsidR="00EE1F33" w:rsidRDefault="00EE1F33" w:rsidP="00361731">
            <w:pPr>
              <w:rPr>
                <w:rFonts w:ascii="Calibri" w:hAnsi="Calibri" w:cs="Calibri"/>
                <w:color w:val="000000"/>
                <w:sz w:val="18"/>
                <w:szCs w:val="18"/>
                <w:lang w:val="en-AU"/>
              </w:rPr>
            </w:pPr>
            <w:r w:rsidRPr="007C4A01">
              <w:rPr>
                <w:rFonts w:ascii="Calibri" w:hAnsi="Calibri" w:cs="Calibri"/>
                <w:b/>
                <w:bCs/>
                <w:color w:val="000000"/>
                <w:sz w:val="18"/>
                <w:szCs w:val="18"/>
                <w:lang w:val="en-AU"/>
              </w:rPr>
              <w:t xml:space="preserve">Intermediate Outcome 2  </w:t>
            </w:r>
            <w:r w:rsidRPr="007C4A01">
              <w:rPr>
                <w:rFonts w:ascii="Calibri" w:hAnsi="Calibri" w:cs="Calibri"/>
                <w:b/>
                <w:bCs/>
                <w:color w:val="000000"/>
                <w:sz w:val="18"/>
                <w:szCs w:val="18"/>
                <w:lang w:val="en-AU"/>
              </w:rPr>
              <w:br/>
              <w:t>((Capacity Building – sector specific</w:t>
            </w:r>
            <w:r w:rsidRPr="007C4A01">
              <w:rPr>
                <w:rFonts w:ascii="Calibri" w:hAnsi="Calibri" w:cs="Calibri"/>
                <w:b/>
                <w:bCs/>
                <w:color w:val="000000"/>
                <w:sz w:val="18"/>
                <w:szCs w:val="18"/>
                <w:vertAlign w:val="superscript"/>
                <w:lang w:val="en-AU"/>
              </w:rPr>
              <w:footnoteReference w:id="31"/>
            </w:r>
            <w:r w:rsidRPr="007C4A01">
              <w:rPr>
                <w:rFonts w:ascii="Calibri" w:hAnsi="Calibri" w:cs="Calibri"/>
                <w:b/>
                <w:bCs/>
                <w:color w:val="000000"/>
                <w:sz w:val="18"/>
                <w:szCs w:val="18"/>
                <w:lang w:val="en-AU"/>
              </w:rPr>
              <w:t>)</w:t>
            </w:r>
          </w:p>
          <w:p w14:paraId="1A3127EE"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Entities receiving advisory services</w:t>
            </w:r>
          </w:p>
        </w:tc>
        <w:tc>
          <w:tcPr>
            <w:tcW w:w="988" w:type="dxa"/>
            <w:vAlign w:val="center"/>
            <w:hideMark/>
          </w:tcPr>
          <w:p w14:paraId="6AD583C4"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1C2CD9C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7FABB6ED"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25</w:t>
            </w:r>
          </w:p>
        </w:tc>
        <w:tc>
          <w:tcPr>
            <w:tcW w:w="1134" w:type="dxa"/>
            <w:vAlign w:val="center"/>
            <w:hideMark/>
          </w:tcPr>
          <w:p w14:paraId="7995AA2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134" w:type="dxa"/>
            <w:vAlign w:val="center"/>
            <w:hideMark/>
          </w:tcPr>
          <w:p w14:paraId="7DAE081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w:t>
            </w:r>
          </w:p>
        </w:tc>
        <w:tc>
          <w:tcPr>
            <w:tcW w:w="1134" w:type="dxa"/>
            <w:vAlign w:val="center"/>
            <w:hideMark/>
          </w:tcPr>
          <w:p w14:paraId="187842E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17</w:t>
            </w:r>
          </w:p>
        </w:tc>
        <w:tc>
          <w:tcPr>
            <w:tcW w:w="1275" w:type="dxa"/>
            <w:vAlign w:val="center"/>
            <w:hideMark/>
          </w:tcPr>
          <w:p w14:paraId="58AC545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23</w:t>
            </w:r>
          </w:p>
        </w:tc>
        <w:tc>
          <w:tcPr>
            <w:tcW w:w="1134" w:type="dxa"/>
            <w:vAlign w:val="center"/>
            <w:hideMark/>
          </w:tcPr>
          <w:p w14:paraId="662C6A1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n/a</w:t>
            </w:r>
          </w:p>
        </w:tc>
        <w:tc>
          <w:tcPr>
            <w:tcW w:w="1134" w:type="dxa"/>
            <w:shd w:val="clear" w:color="000000" w:fill="D9F2D0"/>
            <w:vAlign w:val="center"/>
            <w:hideMark/>
          </w:tcPr>
          <w:p w14:paraId="50EDED8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51</w:t>
            </w:r>
          </w:p>
        </w:tc>
        <w:tc>
          <w:tcPr>
            <w:tcW w:w="993" w:type="dxa"/>
            <w:vAlign w:val="center"/>
          </w:tcPr>
          <w:p w14:paraId="52BF698E"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204%</w:t>
            </w:r>
          </w:p>
        </w:tc>
      </w:tr>
      <w:tr w:rsidR="00EE1F33" w:rsidRPr="00B56612" w14:paraId="6022F6CF" w14:textId="77777777" w:rsidTr="00361731">
        <w:trPr>
          <w:trHeight w:val="540"/>
        </w:trPr>
        <w:tc>
          <w:tcPr>
            <w:tcW w:w="3964" w:type="dxa"/>
            <w:vAlign w:val="center"/>
            <w:hideMark/>
          </w:tcPr>
          <w:p w14:paraId="277112AF"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Reports (assessments, surveys, manuals, Phase I/strategic option reports) completed</w:t>
            </w:r>
          </w:p>
        </w:tc>
        <w:tc>
          <w:tcPr>
            <w:tcW w:w="988" w:type="dxa"/>
            <w:vAlign w:val="center"/>
            <w:hideMark/>
          </w:tcPr>
          <w:p w14:paraId="37E6974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244607C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2DA57C1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20</w:t>
            </w:r>
          </w:p>
        </w:tc>
        <w:tc>
          <w:tcPr>
            <w:tcW w:w="1134" w:type="dxa"/>
            <w:vAlign w:val="center"/>
            <w:hideMark/>
          </w:tcPr>
          <w:p w14:paraId="40956E0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3FAB7BF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33</w:t>
            </w:r>
          </w:p>
        </w:tc>
        <w:tc>
          <w:tcPr>
            <w:tcW w:w="1134" w:type="dxa"/>
            <w:vAlign w:val="center"/>
            <w:hideMark/>
          </w:tcPr>
          <w:p w14:paraId="30C019D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46</w:t>
            </w:r>
          </w:p>
        </w:tc>
        <w:tc>
          <w:tcPr>
            <w:tcW w:w="1275" w:type="dxa"/>
            <w:vAlign w:val="center"/>
            <w:hideMark/>
          </w:tcPr>
          <w:p w14:paraId="54AAFAE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37</w:t>
            </w:r>
          </w:p>
        </w:tc>
        <w:tc>
          <w:tcPr>
            <w:tcW w:w="1134" w:type="dxa"/>
            <w:vAlign w:val="center"/>
            <w:hideMark/>
          </w:tcPr>
          <w:p w14:paraId="3E696968"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n/a</w:t>
            </w:r>
          </w:p>
        </w:tc>
        <w:tc>
          <w:tcPr>
            <w:tcW w:w="1134" w:type="dxa"/>
            <w:shd w:val="clear" w:color="000000" w:fill="D9F2D0"/>
            <w:vAlign w:val="center"/>
            <w:hideMark/>
          </w:tcPr>
          <w:p w14:paraId="6CFD98A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116</w:t>
            </w:r>
          </w:p>
        </w:tc>
        <w:tc>
          <w:tcPr>
            <w:tcW w:w="993" w:type="dxa"/>
            <w:vAlign w:val="center"/>
          </w:tcPr>
          <w:p w14:paraId="57D6A273"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580%</w:t>
            </w:r>
          </w:p>
        </w:tc>
      </w:tr>
      <w:tr w:rsidR="00EE1F33" w:rsidRPr="00B56612" w14:paraId="5092ED73" w14:textId="77777777" w:rsidTr="00361731">
        <w:trPr>
          <w:trHeight w:val="480"/>
        </w:trPr>
        <w:tc>
          <w:tcPr>
            <w:tcW w:w="3964" w:type="dxa"/>
            <w:vAlign w:val="center"/>
            <w:hideMark/>
          </w:tcPr>
          <w:p w14:paraId="386345A8"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Workshops, training events, seminars, conferences</w:t>
            </w:r>
          </w:p>
        </w:tc>
        <w:tc>
          <w:tcPr>
            <w:tcW w:w="988" w:type="dxa"/>
            <w:vAlign w:val="center"/>
            <w:hideMark/>
          </w:tcPr>
          <w:p w14:paraId="53740B6E"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25E76D2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3A53441D"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25</w:t>
            </w:r>
          </w:p>
        </w:tc>
        <w:tc>
          <w:tcPr>
            <w:tcW w:w="1134" w:type="dxa"/>
            <w:vAlign w:val="center"/>
            <w:hideMark/>
          </w:tcPr>
          <w:p w14:paraId="2768E94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7ECADD8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w:t>
            </w:r>
          </w:p>
        </w:tc>
        <w:tc>
          <w:tcPr>
            <w:tcW w:w="1134" w:type="dxa"/>
            <w:vAlign w:val="center"/>
            <w:hideMark/>
          </w:tcPr>
          <w:p w14:paraId="47A06FF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22</w:t>
            </w:r>
          </w:p>
        </w:tc>
        <w:tc>
          <w:tcPr>
            <w:tcW w:w="1275" w:type="dxa"/>
            <w:vAlign w:val="center"/>
            <w:hideMark/>
          </w:tcPr>
          <w:p w14:paraId="70F4F36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13</w:t>
            </w:r>
          </w:p>
        </w:tc>
        <w:tc>
          <w:tcPr>
            <w:tcW w:w="1134" w:type="dxa"/>
            <w:hideMark/>
          </w:tcPr>
          <w:p w14:paraId="0029D278" w14:textId="77777777" w:rsidR="00EE1F33" w:rsidRPr="000B77D6" w:rsidRDefault="00EE1F33" w:rsidP="00361731">
            <w:pPr>
              <w:jc w:val="center"/>
              <w:rPr>
                <w:rFonts w:ascii="Calibri" w:hAnsi="Calibri" w:cs="Calibri"/>
                <w:color w:val="000000"/>
                <w:sz w:val="18"/>
                <w:szCs w:val="18"/>
                <w:lang w:val="en-US"/>
              </w:rPr>
            </w:pPr>
            <w:r w:rsidRPr="00D30825">
              <w:rPr>
                <w:rFonts w:ascii="Calibri" w:hAnsi="Calibri" w:cs="Calibri"/>
                <w:color w:val="000000"/>
                <w:sz w:val="18"/>
                <w:szCs w:val="18"/>
                <w:lang w:val="en-US"/>
              </w:rPr>
              <w:t>n/a</w:t>
            </w:r>
          </w:p>
        </w:tc>
        <w:tc>
          <w:tcPr>
            <w:tcW w:w="1134" w:type="dxa"/>
            <w:shd w:val="clear" w:color="000000" w:fill="D9F2D0"/>
            <w:vAlign w:val="center"/>
            <w:hideMark/>
          </w:tcPr>
          <w:p w14:paraId="5F7BED6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48</w:t>
            </w:r>
          </w:p>
        </w:tc>
        <w:tc>
          <w:tcPr>
            <w:tcW w:w="993" w:type="dxa"/>
            <w:vAlign w:val="center"/>
          </w:tcPr>
          <w:p w14:paraId="304E8D63"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192%</w:t>
            </w:r>
          </w:p>
        </w:tc>
      </w:tr>
      <w:tr w:rsidR="00EE1F33" w:rsidRPr="00B56612" w14:paraId="46B229EE" w14:textId="77777777" w:rsidTr="00361731">
        <w:trPr>
          <w:trHeight w:val="480"/>
        </w:trPr>
        <w:tc>
          <w:tcPr>
            <w:tcW w:w="3964" w:type="dxa"/>
            <w:vAlign w:val="center"/>
            <w:hideMark/>
          </w:tcPr>
          <w:p w14:paraId="2FAC307E"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in workshops, training events, seminars, conferences, etc.</w:t>
            </w:r>
          </w:p>
        </w:tc>
        <w:tc>
          <w:tcPr>
            <w:tcW w:w="988" w:type="dxa"/>
            <w:vAlign w:val="center"/>
            <w:hideMark/>
          </w:tcPr>
          <w:p w14:paraId="7BCD11D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0532243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6FA369E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1,500</w:t>
            </w:r>
          </w:p>
        </w:tc>
        <w:tc>
          <w:tcPr>
            <w:tcW w:w="1134" w:type="dxa"/>
            <w:vAlign w:val="center"/>
            <w:hideMark/>
          </w:tcPr>
          <w:p w14:paraId="6B22B7A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101</w:t>
            </w:r>
          </w:p>
        </w:tc>
        <w:tc>
          <w:tcPr>
            <w:tcW w:w="1134" w:type="dxa"/>
            <w:vAlign w:val="center"/>
            <w:hideMark/>
          </w:tcPr>
          <w:p w14:paraId="2DEC81D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1,904</w:t>
            </w:r>
          </w:p>
        </w:tc>
        <w:tc>
          <w:tcPr>
            <w:tcW w:w="1134" w:type="dxa"/>
            <w:vAlign w:val="center"/>
            <w:hideMark/>
          </w:tcPr>
          <w:p w14:paraId="653F19C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2,046</w:t>
            </w:r>
          </w:p>
        </w:tc>
        <w:tc>
          <w:tcPr>
            <w:tcW w:w="1275" w:type="dxa"/>
            <w:vAlign w:val="center"/>
            <w:hideMark/>
          </w:tcPr>
          <w:p w14:paraId="40CC07D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331</w:t>
            </w:r>
          </w:p>
        </w:tc>
        <w:tc>
          <w:tcPr>
            <w:tcW w:w="1134" w:type="dxa"/>
            <w:hideMark/>
          </w:tcPr>
          <w:p w14:paraId="6E5566D8" w14:textId="77777777" w:rsidR="00EE1F33" w:rsidRPr="000B77D6" w:rsidRDefault="00EE1F33" w:rsidP="00361731">
            <w:pPr>
              <w:jc w:val="center"/>
              <w:rPr>
                <w:rFonts w:ascii="Calibri" w:hAnsi="Calibri" w:cs="Calibri"/>
                <w:color w:val="000000"/>
                <w:sz w:val="18"/>
                <w:szCs w:val="18"/>
                <w:lang w:val="en-US"/>
              </w:rPr>
            </w:pPr>
            <w:r w:rsidRPr="00D30825">
              <w:rPr>
                <w:rFonts w:ascii="Calibri" w:hAnsi="Calibri" w:cs="Calibri"/>
                <w:color w:val="000000"/>
                <w:sz w:val="18"/>
                <w:szCs w:val="18"/>
                <w:lang w:val="en-US"/>
              </w:rPr>
              <w:t>n/a</w:t>
            </w:r>
          </w:p>
        </w:tc>
        <w:tc>
          <w:tcPr>
            <w:tcW w:w="1134" w:type="dxa"/>
            <w:shd w:val="clear" w:color="000000" w:fill="D9F2D0"/>
            <w:vAlign w:val="center"/>
            <w:hideMark/>
          </w:tcPr>
          <w:p w14:paraId="5D575EF5"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4,382</w:t>
            </w:r>
          </w:p>
        </w:tc>
        <w:tc>
          <w:tcPr>
            <w:tcW w:w="993" w:type="dxa"/>
            <w:vAlign w:val="center"/>
          </w:tcPr>
          <w:p w14:paraId="7BE2CBD2"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292%</w:t>
            </w:r>
          </w:p>
        </w:tc>
      </w:tr>
      <w:tr w:rsidR="00EE1F33" w:rsidRPr="00B56612" w14:paraId="1915F886" w14:textId="77777777" w:rsidTr="00361731">
        <w:trPr>
          <w:trHeight w:val="300"/>
        </w:trPr>
        <w:tc>
          <w:tcPr>
            <w:tcW w:w="3964" w:type="dxa"/>
            <w:vAlign w:val="center"/>
            <w:hideMark/>
          </w:tcPr>
          <w:p w14:paraId="3BFF6601"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which are women</w:t>
            </w:r>
          </w:p>
        </w:tc>
        <w:tc>
          <w:tcPr>
            <w:tcW w:w="988" w:type="dxa"/>
            <w:vAlign w:val="center"/>
            <w:hideMark/>
          </w:tcPr>
          <w:p w14:paraId="4FF90656"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1F74E025"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61C7A92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600</w:t>
            </w:r>
          </w:p>
        </w:tc>
        <w:tc>
          <w:tcPr>
            <w:tcW w:w="1134" w:type="dxa"/>
            <w:vAlign w:val="center"/>
            <w:hideMark/>
          </w:tcPr>
          <w:p w14:paraId="43B23D5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41</w:t>
            </w:r>
          </w:p>
        </w:tc>
        <w:tc>
          <w:tcPr>
            <w:tcW w:w="1134" w:type="dxa"/>
            <w:vAlign w:val="center"/>
            <w:hideMark/>
          </w:tcPr>
          <w:p w14:paraId="27E77D6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628</w:t>
            </w:r>
          </w:p>
        </w:tc>
        <w:tc>
          <w:tcPr>
            <w:tcW w:w="1134" w:type="dxa"/>
            <w:vAlign w:val="center"/>
            <w:hideMark/>
          </w:tcPr>
          <w:p w14:paraId="76C2D9F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871</w:t>
            </w:r>
          </w:p>
        </w:tc>
        <w:tc>
          <w:tcPr>
            <w:tcW w:w="1275" w:type="dxa"/>
            <w:vAlign w:val="center"/>
            <w:hideMark/>
          </w:tcPr>
          <w:p w14:paraId="2C30DB1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138</w:t>
            </w:r>
          </w:p>
        </w:tc>
        <w:tc>
          <w:tcPr>
            <w:tcW w:w="1134" w:type="dxa"/>
            <w:hideMark/>
          </w:tcPr>
          <w:p w14:paraId="695276BE" w14:textId="77777777" w:rsidR="00EE1F33" w:rsidRPr="000B77D6" w:rsidRDefault="00EE1F33" w:rsidP="00361731">
            <w:pPr>
              <w:jc w:val="center"/>
              <w:rPr>
                <w:rFonts w:ascii="Calibri" w:hAnsi="Calibri" w:cs="Calibri"/>
                <w:color w:val="000000"/>
                <w:sz w:val="18"/>
                <w:szCs w:val="18"/>
                <w:lang w:val="en-US"/>
              </w:rPr>
            </w:pPr>
            <w:r w:rsidRPr="00D30825">
              <w:rPr>
                <w:rFonts w:ascii="Calibri" w:hAnsi="Calibri" w:cs="Calibri"/>
                <w:color w:val="000000"/>
                <w:sz w:val="18"/>
                <w:szCs w:val="18"/>
                <w:lang w:val="en-US"/>
              </w:rPr>
              <w:t>n/a</w:t>
            </w:r>
          </w:p>
        </w:tc>
        <w:tc>
          <w:tcPr>
            <w:tcW w:w="1134" w:type="dxa"/>
            <w:shd w:val="clear" w:color="000000" w:fill="D9F2D0"/>
            <w:vAlign w:val="center"/>
            <w:hideMark/>
          </w:tcPr>
          <w:p w14:paraId="1BA2525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1,678</w:t>
            </w:r>
          </w:p>
        </w:tc>
        <w:tc>
          <w:tcPr>
            <w:tcW w:w="993" w:type="dxa"/>
            <w:vAlign w:val="center"/>
          </w:tcPr>
          <w:p w14:paraId="3D3E4626"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280%</w:t>
            </w:r>
          </w:p>
        </w:tc>
      </w:tr>
      <w:tr w:rsidR="00EE1F33" w:rsidRPr="00B56612" w14:paraId="3D0D4B9B" w14:textId="77777777" w:rsidTr="00361731">
        <w:trPr>
          <w:trHeight w:val="480"/>
        </w:trPr>
        <w:tc>
          <w:tcPr>
            <w:tcW w:w="3964" w:type="dxa"/>
            <w:vAlign w:val="center"/>
            <w:hideMark/>
          </w:tcPr>
          <w:p w14:paraId="7AEBE28D"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reporting improved awareness, knowledge, or skills</w:t>
            </w:r>
          </w:p>
        </w:tc>
        <w:tc>
          <w:tcPr>
            <w:tcW w:w="988" w:type="dxa"/>
            <w:vAlign w:val="center"/>
            <w:hideMark/>
          </w:tcPr>
          <w:p w14:paraId="465F2C11"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4C2A50E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0E6FA29D"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500</w:t>
            </w:r>
          </w:p>
        </w:tc>
        <w:tc>
          <w:tcPr>
            <w:tcW w:w="1134" w:type="dxa"/>
            <w:vAlign w:val="center"/>
            <w:hideMark/>
          </w:tcPr>
          <w:p w14:paraId="6BBE26F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44</w:t>
            </w:r>
          </w:p>
        </w:tc>
        <w:tc>
          <w:tcPr>
            <w:tcW w:w="1134" w:type="dxa"/>
            <w:vAlign w:val="center"/>
            <w:hideMark/>
          </w:tcPr>
          <w:p w14:paraId="78E8D77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566</w:t>
            </w:r>
          </w:p>
        </w:tc>
        <w:tc>
          <w:tcPr>
            <w:tcW w:w="1134" w:type="dxa"/>
            <w:vAlign w:val="center"/>
            <w:hideMark/>
          </w:tcPr>
          <w:p w14:paraId="179E1FD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1,320</w:t>
            </w:r>
          </w:p>
        </w:tc>
        <w:tc>
          <w:tcPr>
            <w:tcW w:w="1275" w:type="dxa"/>
            <w:vAlign w:val="center"/>
            <w:hideMark/>
          </w:tcPr>
          <w:p w14:paraId="28380C1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298</w:t>
            </w:r>
          </w:p>
        </w:tc>
        <w:tc>
          <w:tcPr>
            <w:tcW w:w="1134" w:type="dxa"/>
            <w:hideMark/>
          </w:tcPr>
          <w:p w14:paraId="0935974B" w14:textId="77777777" w:rsidR="00EE1F33" w:rsidRPr="000B77D6" w:rsidRDefault="00EE1F33" w:rsidP="00361731">
            <w:pPr>
              <w:jc w:val="center"/>
              <w:rPr>
                <w:rFonts w:ascii="Calibri" w:hAnsi="Calibri" w:cs="Calibri"/>
                <w:color w:val="000000"/>
                <w:sz w:val="18"/>
                <w:szCs w:val="18"/>
                <w:lang w:val="en-US"/>
              </w:rPr>
            </w:pPr>
            <w:r w:rsidRPr="00D30825">
              <w:rPr>
                <w:rFonts w:ascii="Calibri" w:hAnsi="Calibri" w:cs="Calibri"/>
                <w:color w:val="000000"/>
                <w:sz w:val="18"/>
                <w:szCs w:val="18"/>
                <w:lang w:val="en-US"/>
              </w:rPr>
              <w:t>n/a</w:t>
            </w:r>
          </w:p>
        </w:tc>
        <w:tc>
          <w:tcPr>
            <w:tcW w:w="1134" w:type="dxa"/>
            <w:shd w:val="clear" w:color="000000" w:fill="D9F2D0"/>
            <w:vAlign w:val="center"/>
            <w:hideMark/>
          </w:tcPr>
          <w:p w14:paraId="67F9DB2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2,228</w:t>
            </w:r>
          </w:p>
        </w:tc>
        <w:tc>
          <w:tcPr>
            <w:tcW w:w="993" w:type="dxa"/>
            <w:vAlign w:val="center"/>
          </w:tcPr>
          <w:p w14:paraId="77596F3C" w14:textId="77777777" w:rsidR="00EE1F33" w:rsidRPr="00B56612"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446%</w:t>
            </w:r>
          </w:p>
        </w:tc>
      </w:tr>
      <w:tr w:rsidR="00EE1F33" w:rsidRPr="00A92843" w14:paraId="402A5080" w14:textId="77777777" w:rsidTr="00361731">
        <w:trPr>
          <w:trHeight w:val="300"/>
        </w:trPr>
        <w:tc>
          <w:tcPr>
            <w:tcW w:w="3964" w:type="dxa"/>
            <w:vAlign w:val="center"/>
            <w:hideMark/>
          </w:tcPr>
          <w:p w14:paraId="421A480F" w14:textId="77777777" w:rsidR="00EE1F33" w:rsidRDefault="00EE1F33" w:rsidP="00361731">
            <w:pPr>
              <w:rPr>
                <w:rFonts w:ascii="Calibri" w:hAnsi="Calibri" w:cs="Calibri"/>
                <w:color w:val="000000"/>
                <w:sz w:val="18"/>
                <w:szCs w:val="18"/>
                <w:lang w:val="en-AU"/>
              </w:rPr>
            </w:pPr>
            <w:r w:rsidRPr="000B77D6">
              <w:rPr>
                <w:rFonts w:ascii="Calibri" w:hAnsi="Calibri" w:cs="Calibri"/>
                <w:b/>
                <w:bCs/>
                <w:color w:val="000000"/>
                <w:sz w:val="18"/>
                <w:szCs w:val="18"/>
                <w:lang w:val="en-AU"/>
              </w:rPr>
              <w:t xml:space="preserve">Intermediate Outcome 3 </w:t>
            </w:r>
            <w:r w:rsidRPr="000B77D6">
              <w:rPr>
                <w:rFonts w:ascii="Calibri" w:hAnsi="Calibri" w:cs="Calibri"/>
                <w:b/>
                <w:bCs/>
                <w:color w:val="000000"/>
                <w:sz w:val="18"/>
                <w:szCs w:val="18"/>
                <w:lang w:val="en-AU"/>
              </w:rPr>
              <w:br/>
              <w:t xml:space="preserve">(Capacity Building Gender &amp; Inclusion, </w:t>
            </w:r>
            <w:r>
              <w:rPr>
                <w:rFonts w:ascii="Calibri" w:hAnsi="Calibri" w:cs="Calibri"/>
                <w:b/>
                <w:bCs/>
                <w:color w:val="000000"/>
                <w:sz w:val="18"/>
                <w:szCs w:val="18"/>
                <w:lang w:val="en-AU"/>
              </w:rPr>
              <w:t>a</w:t>
            </w:r>
            <w:r w:rsidRPr="000348BD">
              <w:rPr>
                <w:rFonts w:ascii="Calibri" w:hAnsi="Calibri" w:cs="Calibri"/>
                <w:b/>
                <w:bCs/>
                <w:sz w:val="18"/>
                <w:szCs w:val="18"/>
                <w:lang w:val="en-AU"/>
              </w:rPr>
              <w:t>nd ESG</w:t>
            </w:r>
            <w:r w:rsidRPr="000348BD">
              <w:rPr>
                <w:rStyle w:val="FootnoteReference"/>
                <w:rFonts w:ascii="Calibri" w:eastAsiaTheme="majorEastAsia" w:hAnsi="Calibri" w:cs="Calibri"/>
                <w:b/>
                <w:bCs/>
                <w:sz w:val="18"/>
                <w:szCs w:val="18"/>
                <w:lang w:val="en-AU"/>
              </w:rPr>
              <w:footnoteReference w:id="32"/>
            </w:r>
            <w:r w:rsidRPr="000B77D6">
              <w:rPr>
                <w:rFonts w:ascii="Calibri" w:hAnsi="Calibri" w:cs="Calibri"/>
                <w:b/>
                <w:bCs/>
                <w:color w:val="000000"/>
                <w:sz w:val="18"/>
                <w:szCs w:val="18"/>
                <w:lang w:val="en-AU"/>
              </w:rPr>
              <w:t>)</w:t>
            </w:r>
          </w:p>
          <w:p w14:paraId="054B3D9F"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Entities receiving advisory services</w:t>
            </w:r>
          </w:p>
        </w:tc>
        <w:tc>
          <w:tcPr>
            <w:tcW w:w="988" w:type="dxa"/>
            <w:vAlign w:val="center"/>
            <w:hideMark/>
          </w:tcPr>
          <w:p w14:paraId="3287ABE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19DA2D5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6209F81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17</w:t>
            </w:r>
          </w:p>
        </w:tc>
        <w:tc>
          <w:tcPr>
            <w:tcW w:w="1134" w:type="dxa"/>
            <w:vAlign w:val="center"/>
            <w:hideMark/>
          </w:tcPr>
          <w:p w14:paraId="3380290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56B2F01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19</w:t>
            </w:r>
          </w:p>
        </w:tc>
        <w:tc>
          <w:tcPr>
            <w:tcW w:w="1134" w:type="dxa"/>
            <w:vAlign w:val="center"/>
            <w:hideMark/>
          </w:tcPr>
          <w:p w14:paraId="29B1C0E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2342453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406747DF"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shd w:val="clear" w:color="000000" w:fill="D9F2D0"/>
            <w:vAlign w:val="center"/>
            <w:hideMark/>
          </w:tcPr>
          <w:p w14:paraId="553D028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19</w:t>
            </w:r>
          </w:p>
        </w:tc>
        <w:tc>
          <w:tcPr>
            <w:tcW w:w="993" w:type="dxa"/>
            <w:vAlign w:val="center"/>
            <w:hideMark/>
          </w:tcPr>
          <w:p w14:paraId="209646E4" w14:textId="77777777" w:rsidR="00EE1F33" w:rsidRPr="00A92843"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112%</w:t>
            </w:r>
          </w:p>
        </w:tc>
      </w:tr>
      <w:tr w:rsidR="00EE1F33" w:rsidRPr="000B77D6" w14:paraId="52FCF192" w14:textId="77777777" w:rsidTr="00361731">
        <w:trPr>
          <w:trHeight w:val="480"/>
        </w:trPr>
        <w:tc>
          <w:tcPr>
            <w:tcW w:w="3964" w:type="dxa"/>
            <w:vAlign w:val="center"/>
            <w:hideMark/>
          </w:tcPr>
          <w:p w14:paraId="325F16C4"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Reports (assessments, surveys, manuals, Phase I/strategic option reports) completed</w:t>
            </w:r>
          </w:p>
        </w:tc>
        <w:tc>
          <w:tcPr>
            <w:tcW w:w="988" w:type="dxa"/>
            <w:vAlign w:val="center"/>
            <w:hideMark/>
          </w:tcPr>
          <w:p w14:paraId="04F935FF"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6799347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7B7F190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w:t>
            </w:r>
          </w:p>
        </w:tc>
        <w:tc>
          <w:tcPr>
            <w:tcW w:w="1134" w:type="dxa"/>
            <w:vAlign w:val="center"/>
            <w:hideMark/>
          </w:tcPr>
          <w:p w14:paraId="55F083F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0703E4A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3B68153D"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275" w:type="dxa"/>
            <w:vAlign w:val="center"/>
            <w:hideMark/>
          </w:tcPr>
          <w:p w14:paraId="2303A9F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134" w:type="dxa"/>
            <w:hideMark/>
          </w:tcPr>
          <w:p w14:paraId="5E9B41CA"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vAlign w:val="center"/>
            <w:hideMark/>
          </w:tcPr>
          <w:p w14:paraId="0537C7E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993" w:type="dxa"/>
            <w:vAlign w:val="center"/>
            <w:hideMark/>
          </w:tcPr>
          <w:p w14:paraId="47FD1434" w14:textId="77777777" w:rsidR="00EE1F33" w:rsidRPr="000B77D6" w:rsidRDefault="00EE1F33" w:rsidP="00361731">
            <w:pPr>
              <w:jc w:val="center"/>
              <w:rPr>
                <w:rFonts w:ascii="Calibri" w:hAnsi="Calibri" w:cs="Calibri"/>
                <w:i/>
                <w:iCs/>
                <w:color w:val="000000"/>
                <w:sz w:val="18"/>
                <w:szCs w:val="18"/>
                <w:lang w:val="en-US"/>
              </w:rPr>
            </w:pPr>
            <w:r w:rsidRPr="000B77D6">
              <w:rPr>
                <w:rFonts w:ascii="Calibri" w:hAnsi="Calibri" w:cs="Calibri"/>
                <w:i/>
                <w:iCs/>
                <w:color w:val="000000"/>
                <w:sz w:val="18"/>
                <w:szCs w:val="18"/>
                <w:lang w:val="en-AU"/>
              </w:rPr>
              <w:t>66%</w:t>
            </w:r>
          </w:p>
        </w:tc>
      </w:tr>
      <w:tr w:rsidR="00EE1F33" w:rsidRPr="00A92843" w14:paraId="6B1F2FFF" w14:textId="77777777" w:rsidTr="00361731">
        <w:trPr>
          <w:trHeight w:val="480"/>
        </w:trPr>
        <w:tc>
          <w:tcPr>
            <w:tcW w:w="3964" w:type="dxa"/>
            <w:vAlign w:val="center"/>
            <w:hideMark/>
          </w:tcPr>
          <w:p w14:paraId="4CCC5058"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Workshops, training events, seminars, conferences</w:t>
            </w:r>
          </w:p>
        </w:tc>
        <w:tc>
          <w:tcPr>
            <w:tcW w:w="988" w:type="dxa"/>
            <w:vAlign w:val="center"/>
            <w:hideMark/>
          </w:tcPr>
          <w:p w14:paraId="553325CC"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263DD72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2D74D1E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29</w:t>
            </w:r>
          </w:p>
        </w:tc>
        <w:tc>
          <w:tcPr>
            <w:tcW w:w="1134" w:type="dxa"/>
            <w:vAlign w:val="center"/>
            <w:hideMark/>
          </w:tcPr>
          <w:p w14:paraId="75A59515"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6C5544B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35</w:t>
            </w:r>
          </w:p>
        </w:tc>
        <w:tc>
          <w:tcPr>
            <w:tcW w:w="1134" w:type="dxa"/>
            <w:vAlign w:val="center"/>
            <w:hideMark/>
          </w:tcPr>
          <w:p w14:paraId="1E3AAEC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11</w:t>
            </w:r>
          </w:p>
        </w:tc>
        <w:tc>
          <w:tcPr>
            <w:tcW w:w="1275" w:type="dxa"/>
            <w:vAlign w:val="center"/>
            <w:hideMark/>
          </w:tcPr>
          <w:p w14:paraId="4C4EB61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02AD89D9"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shd w:val="clear" w:color="000000" w:fill="D9F2D0"/>
            <w:vAlign w:val="center"/>
            <w:hideMark/>
          </w:tcPr>
          <w:p w14:paraId="568E015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46</w:t>
            </w:r>
          </w:p>
        </w:tc>
        <w:tc>
          <w:tcPr>
            <w:tcW w:w="993" w:type="dxa"/>
            <w:vAlign w:val="center"/>
          </w:tcPr>
          <w:p w14:paraId="20D6CA64" w14:textId="77777777" w:rsidR="00EE1F33" w:rsidRPr="00A92843"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159%</w:t>
            </w:r>
          </w:p>
        </w:tc>
      </w:tr>
      <w:tr w:rsidR="00EE1F33" w:rsidRPr="00EC75FD" w14:paraId="6C14C975" w14:textId="77777777" w:rsidTr="00361731">
        <w:trPr>
          <w:trHeight w:val="480"/>
        </w:trPr>
        <w:tc>
          <w:tcPr>
            <w:tcW w:w="3964" w:type="dxa"/>
            <w:vAlign w:val="center"/>
            <w:hideMark/>
          </w:tcPr>
          <w:p w14:paraId="26814964"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in workshops, training events, seminars, conferences, etc.</w:t>
            </w:r>
          </w:p>
        </w:tc>
        <w:tc>
          <w:tcPr>
            <w:tcW w:w="988" w:type="dxa"/>
            <w:vAlign w:val="center"/>
            <w:hideMark/>
          </w:tcPr>
          <w:p w14:paraId="48E94FA1"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39A0A63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63152D7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600</w:t>
            </w:r>
          </w:p>
        </w:tc>
        <w:tc>
          <w:tcPr>
            <w:tcW w:w="1134" w:type="dxa"/>
            <w:vAlign w:val="center"/>
            <w:hideMark/>
          </w:tcPr>
          <w:p w14:paraId="3E7E5C3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10A47AF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1,186</w:t>
            </w:r>
          </w:p>
        </w:tc>
        <w:tc>
          <w:tcPr>
            <w:tcW w:w="1134" w:type="dxa"/>
            <w:vAlign w:val="center"/>
            <w:hideMark/>
          </w:tcPr>
          <w:p w14:paraId="110EB03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225</w:t>
            </w:r>
          </w:p>
        </w:tc>
        <w:tc>
          <w:tcPr>
            <w:tcW w:w="1275" w:type="dxa"/>
            <w:vAlign w:val="center"/>
            <w:hideMark/>
          </w:tcPr>
          <w:p w14:paraId="7B8B47A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2948E6C7"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shd w:val="clear" w:color="000000" w:fill="D9F2D0"/>
            <w:vAlign w:val="center"/>
            <w:hideMark/>
          </w:tcPr>
          <w:p w14:paraId="6CCA25C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1,411</w:t>
            </w:r>
          </w:p>
        </w:tc>
        <w:tc>
          <w:tcPr>
            <w:tcW w:w="993" w:type="dxa"/>
            <w:vAlign w:val="center"/>
          </w:tcPr>
          <w:p w14:paraId="22171F34" w14:textId="77777777" w:rsidR="00EE1F33" w:rsidRPr="00EC75FD"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235%</w:t>
            </w:r>
          </w:p>
        </w:tc>
      </w:tr>
      <w:tr w:rsidR="00EE1F33" w:rsidRPr="00EC75FD" w14:paraId="55A0A19A" w14:textId="77777777" w:rsidTr="00361731">
        <w:trPr>
          <w:trHeight w:val="480"/>
        </w:trPr>
        <w:tc>
          <w:tcPr>
            <w:tcW w:w="3964" w:type="dxa"/>
            <w:vAlign w:val="center"/>
            <w:hideMark/>
          </w:tcPr>
          <w:p w14:paraId="748176DA"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which are women</w:t>
            </w:r>
          </w:p>
        </w:tc>
        <w:tc>
          <w:tcPr>
            <w:tcW w:w="988" w:type="dxa"/>
            <w:vAlign w:val="center"/>
            <w:hideMark/>
          </w:tcPr>
          <w:p w14:paraId="25B97206"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5658082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0A3D8DF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300</w:t>
            </w:r>
          </w:p>
        </w:tc>
        <w:tc>
          <w:tcPr>
            <w:tcW w:w="1134" w:type="dxa"/>
            <w:vAlign w:val="center"/>
            <w:hideMark/>
          </w:tcPr>
          <w:p w14:paraId="767B453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721B5A0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757</w:t>
            </w:r>
          </w:p>
        </w:tc>
        <w:tc>
          <w:tcPr>
            <w:tcW w:w="1134" w:type="dxa"/>
            <w:vAlign w:val="center"/>
            <w:hideMark/>
          </w:tcPr>
          <w:p w14:paraId="1E5A5CF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197</w:t>
            </w:r>
          </w:p>
        </w:tc>
        <w:tc>
          <w:tcPr>
            <w:tcW w:w="1275" w:type="dxa"/>
            <w:vAlign w:val="center"/>
            <w:hideMark/>
          </w:tcPr>
          <w:p w14:paraId="0BAE660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3C8BCCCA"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shd w:val="clear" w:color="000000" w:fill="D9F2D0"/>
            <w:vAlign w:val="center"/>
            <w:hideMark/>
          </w:tcPr>
          <w:p w14:paraId="5A3C437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954</w:t>
            </w:r>
          </w:p>
        </w:tc>
        <w:tc>
          <w:tcPr>
            <w:tcW w:w="993" w:type="dxa"/>
            <w:vAlign w:val="center"/>
          </w:tcPr>
          <w:p w14:paraId="54F4FD27" w14:textId="77777777" w:rsidR="00EE1F33" w:rsidRPr="00EC75FD"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318%</w:t>
            </w:r>
          </w:p>
        </w:tc>
      </w:tr>
      <w:tr w:rsidR="00EE1F33" w:rsidRPr="00EC75FD" w14:paraId="7C6F9F4C" w14:textId="77777777" w:rsidTr="00361731">
        <w:trPr>
          <w:trHeight w:val="555"/>
        </w:trPr>
        <w:tc>
          <w:tcPr>
            <w:tcW w:w="3964" w:type="dxa"/>
            <w:vAlign w:val="center"/>
            <w:hideMark/>
          </w:tcPr>
          <w:p w14:paraId="0E64620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Participants reporting improved awareness, knowledge, or skills</w:t>
            </w:r>
          </w:p>
        </w:tc>
        <w:tc>
          <w:tcPr>
            <w:tcW w:w="988" w:type="dxa"/>
            <w:vAlign w:val="center"/>
            <w:hideMark/>
          </w:tcPr>
          <w:p w14:paraId="3C1121D3"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784B647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7F5AB1C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250</w:t>
            </w:r>
          </w:p>
        </w:tc>
        <w:tc>
          <w:tcPr>
            <w:tcW w:w="1134" w:type="dxa"/>
            <w:vAlign w:val="center"/>
            <w:hideMark/>
          </w:tcPr>
          <w:p w14:paraId="5563EDB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75A2B8F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375</w:t>
            </w:r>
          </w:p>
        </w:tc>
        <w:tc>
          <w:tcPr>
            <w:tcW w:w="1134" w:type="dxa"/>
            <w:vAlign w:val="center"/>
            <w:hideMark/>
          </w:tcPr>
          <w:p w14:paraId="7E9F3D9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275" w:type="dxa"/>
            <w:vAlign w:val="center"/>
            <w:hideMark/>
          </w:tcPr>
          <w:p w14:paraId="3E09A92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13AA65E1" w14:textId="77777777" w:rsidR="00EE1F33" w:rsidRPr="000B77D6" w:rsidRDefault="00EE1F33" w:rsidP="00361731">
            <w:pPr>
              <w:jc w:val="center"/>
              <w:rPr>
                <w:rFonts w:ascii="Calibri" w:hAnsi="Calibri" w:cs="Calibri"/>
                <w:color w:val="000000"/>
                <w:sz w:val="18"/>
                <w:szCs w:val="18"/>
                <w:lang w:val="en-US"/>
              </w:rPr>
            </w:pPr>
            <w:r w:rsidRPr="00CF7E88">
              <w:rPr>
                <w:rFonts w:ascii="Calibri" w:hAnsi="Calibri" w:cs="Calibri"/>
                <w:color w:val="000000"/>
                <w:sz w:val="18"/>
                <w:szCs w:val="18"/>
                <w:lang w:val="en-US"/>
              </w:rPr>
              <w:t>n/a</w:t>
            </w:r>
          </w:p>
        </w:tc>
        <w:tc>
          <w:tcPr>
            <w:tcW w:w="1134" w:type="dxa"/>
            <w:shd w:val="clear" w:color="000000" w:fill="D9F2D0"/>
            <w:vAlign w:val="center"/>
            <w:hideMark/>
          </w:tcPr>
          <w:p w14:paraId="0B132B2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375</w:t>
            </w:r>
          </w:p>
        </w:tc>
        <w:tc>
          <w:tcPr>
            <w:tcW w:w="993" w:type="dxa"/>
            <w:vAlign w:val="center"/>
          </w:tcPr>
          <w:p w14:paraId="796A41EA" w14:textId="77777777" w:rsidR="00EE1F33" w:rsidRPr="00EC75FD"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150%</w:t>
            </w:r>
          </w:p>
        </w:tc>
      </w:tr>
    </w:tbl>
    <w:p w14:paraId="613F1906" w14:textId="77777777" w:rsidR="00EE1F33" w:rsidRDefault="00EE1F33" w:rsidP="00EE1F33">
      <w:pPr>
        <w:rPr>
          <w:rFonts w:ascii="Calibri" w:hAnsi="Calibri" w:cs="Calibri"/>
          <w:bCs/>
          <w:color w:val="000000"/>
          <w:lang w:val="en-AU"/>
        </w:rPr>
      </w:pPr>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988"/>
        <w:gridCol w:w="1134"/>
        <w:gridCol w:w="1134"/>
        <w:gridCol w:w="1134"/>
        <w:gridCol w:w="1134"/>
        <w:gridCol w:w="1134"/>
        <w:gridCol w:w="1275"/>
        <w:gridCol w:w="1134"/>
        <w:gridCol w:w="1134"/>
        <w:gridCol w:w="993"/>
      </w:tblGrid>
      <w:tr w:rsidR="00EE1F33" w:rsidRPr="000B77D6" w14:paraId="360F66DB" w14:textId="77777777" w:rsidTr="00361731">
        <w:trPr>
          <w:trHeight w:val="480"/>
          <w:tblHeader/>
        </w:trPr>
        <w:tc>
          <w:tcPr>
            <w:tcW w:w="3964" w:type="dxa"/>
            <w:shd w:val="clear" w:color="auto" w:fill="95DCF7" w:themeFill="accent4" w:themeFillTint="66"/>
            <w:vAlign w:val="center"/>
            <w:hideMark/>
          </w:tcPr>
          <w:p w14:paraId="4CAFE31B" w14:textId="77777777" w:rsidR="00EE1F33" w:rsidRPr="000B77D6" w:rsidRDefault="00EE1F33" w:rsidP="00361731">
            <w:pPr>
              <w:rPr>
                <w:rFonts w:ascii="Calibri" w:hAnsi="Calibri" w:cs="Calibri"/>
                <w:b/>
                <w:bCs/>
                <w:color w:val="000000"/>
                <w:sz w:val="18"/>
                <w:szCs w:val="18"/>
                <w:lang w:val="en-US"/>
              </w:rPr>
            </w:pPr>
            <w:r w:rsidRPr="000B77D6">
              <w:rPr>
                <w:rFonts w:ascii="Calibri" w:hAnsi="Calibri" w:cs="Calibri"/>
                <w:b/>
                <w:bCs/>
                <w:color w:val="000000"/>
                <w:sz w:val="18"/>
                <w:szCs w:val="18"/>
                <w:lang w:val="en-AU"/>
              </w:rPr>
              <w:t>Other performance Indicators (OPI): Partnership Level Progress</w:t>
            </w:r>
          </w:p>
        </w:tc>
        <w:tc>
          <w:tcPr>
            <w:tcW w:w="988" w:type="dxa"/>
            <w:shd w:val="clear" w:color="auto" w:fill="95DCF7" w:themeFill="accent4" w:themeFillTint="66"/>
            <w:vAlign w:val="center"/>
            <w:hideMark/>
          </w:tcPr>
          <w:p w14:paraId="12A85A2E"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b/>
                <w:bCs/>
                <w:color w:val="000000"/>
                <w:sz w:val="18"/>
                <w:szCs w:val="18"/>
                <w:lang w:val="en-AU"/>
              </w:rPr>
              <w:t>Unit of measure</w:t>
            </w:r>
          </w:p>
        </w:tc>
        <w:tc>
          <w:tcPr>
            <w:tcW w:w="1134" w:type="dxa"/>
            <w:shd w:val="clear" w:color="auto" w:fill="95DCF7" w:themeFill="accent4" w:themeFillTint="66"/>
            <w:vAlign w:val="center"/>
            <w:hideMark/>
          </w:tcPr>
          <w:p w14:paraId="5F98423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Baseline</w:t>
            </w:r>
          </w:p>
        </w:tc>
        <w:tc>
          <w:tcPr>
            <w:tcW w:w="1134" w:type="dxa"/>
            <w:shd w:val="clear" w:color="auto" w:fill="95DCF7" w:themeFill="accent4" w:themeFillTint="66"/>
            <w:vAlign w:val="center"/>
            <w:hideMark/>
          </w:tcPr>
          <w:p w14:paraId="6F3232D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End Target</w:t>
            </w:r>
          </w:p>
        </w:tc>
        <w:tc>
          <w:tcPr>
            <w:tcW w:w="1134" w:type="dxa"/>
            <w:shd w:val="clear" w:color="auto" w:fill="95DCF7" w:themeFill="accent4" w:themeFillTint="66"/>
            <w:vAlign w:val="center"/>
            <w:hideMark/>
          </w:tcPr>
          <w:p w14:paraId="73D46426"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FY23</w:t>
            </w:r>
          </w:p>
        </w:tc>
        <w:tc>
          <w:tcPr>
            <w:tcW w:w="1134" w:type="dxa"/>
            <w:shd w:val="clear" w:color="auto" w:fill="95DCF7" w:themeFill="accent4" w:themeFillTint="66"/>
            <w:vAlign w:val="center"/>
            <w:hideMark/>
          </w:tcPr>
          <w:p w14:paraId="3612F91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FY24</w:t>
            </w:r>
          </w:p>
        </w:tc>
        <w:tc>
          <w:tcPr>
            <w:tcW w:w="1134" w:type="dxa"/>
            <w:shd w:val="clear" w:color="auto" w:fill="95DCF7" w:themeFill="accent4" w:themeFillTint="66"/>
            <w:vAlign w:val="center"/>
            <w:hideMark/>
          </w:tcPr>
          <w:p w14:paraId="10EBE2B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FY25</w:t>
            </w:r>
          </w:p>
        </w:tc>
        <w:tc>
          <w:tcPr>
            <w:tcW w:w="1275" w:type="dxa"/>
            <w:shd w:val="clear" w:color="auto" w:fill="95DCF7" w:themeFill="accent4" w:themeFillTint="66"/>
            <w:vAlign w:val="center"/>
            <w:hideMark/>
          </w:tcPr>
          <w:p w14:paraId="4465791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FY26</w:t>
            </w:r>
          </w:p>
        </w:tc>
        <w:tc>
          <w:tcPr>
            <w:tcW w:w="1134" w:type="dxa"/>
            <w:shd w:val="clear" w:color="auto" w:fill="95DCF7" w:themeFill="accent4" w:themeFillTint="66"/>
            <w:vAlign w:val="center"/>
            <w:hideMark/>
          </w:tcPr>
          <w:p w14:paraId="03E470A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FY27</w:t>
            </w:r>
          </w:p>
        </w:tc>
        <w:tc>
          <w:tcPr>
            <w:tcW w:w="1134" w:type="dxa"/>
            <w:shd w:val="clear" w:color="auto" w:fill="95DCF7" w:themeFill="accent4" w:themeFillTint="66"/>
            <w:vAlign w:val="center"/>
            <w:hideMark/>
          </w:tcPr>
          <w:p w14:paraId="6DC2A11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b/>
                <w:bCs/>
                <w:color w:val="000000"/>
                <w:sz w:val="18"/>
                <w:szCs w:val="18"/>
                <w:lang w:val="en-AU"/>
              </w:rPr>
              <w:t>Total achieved</w:t>
            </w:r>
          </w:p>
        </w:tc>
        <w:tc>
          <w:tcPr>
            <w:tcW w:w="993" w:type="dxa"/>
            <w:shd w:val="clear" w:color="auto" w:fill="95DCF7" w:themeFill="accent4" w:themeFillTint="66"/>
            <w:vAlign w:val="center"/>
            <w:hideMark/>
          </w:tcPr>
          <w:p w14:paraId="5EA9E051" w14:textId="77777777" w:rsidR="00EE1F33" w:rsidRPr="000B77D6" w:rsidRDefault="00EE1F33" w:rsidP="00361731">
            <w:pPr>
              <w:jc w:val="center"/>
              <w:rPr>
                <w:rFonts w:ascii="Calibri" w:hAnsi="Calibri" w:cs="Calibri"/>
                <w:color w:val="000000"/>
                <w:sz w:val="18"/>
                <w:szCs w:val="18"/>
                <w:lang w:val="en-US"/>
              </w:rPr>
            </w:pPr>
            <w:r w:rsidRPr="00027C78">
              <w:rPr>
                <w:rFonts w:ascii="Calibri" w:hAnsi="Calibri" w:cs="Calibri"/>
                <w:b/>
                <w:bCs/>
                <w:i/>
                <w:iCs/>
                <w:color w:val="000000"/>
                <w:sz w:val="18"/>
                <w:szCs w:val="18"/>
                <w:lang w:val="en-AU"/>
              </w:rPr>
              <w:t>In %</w:t>
            </w:r>
          </w:p>
        </w:tc>
      </w:tr>
      <w:tr w:rsidR="00EE1F33" w:rsidRPr="000B77D6" w14:paraId="48F61A6E" w14:textId="77777777" w:rsidTr="00361731">
        <w:trPr>
          <w:trHeight w:val="720"/>
        </w:trPr>
        <w:tc>
          <w:tcPr>
            <w:tcW w:w="3964" w:type="dxa"/>
            <w:vAlign w:val="center"/>
            <w:hideMark/>
          </w:tcPr>
          <w:p w14:paraId="07E9BAD3" w14:textId="77777777" w:rsidR="00EE1F33" w:rsidRPr="000B77D6" w:rsidRDefault="00EE1F33" w:rsidP="00361731">
            <w:pPr>
              <w:rPr>
                <w:rFonts w:ascii="Calibri" w:hAnsi="Calibri" w:cs="Calibri"/>
                <w:color w:val="000000"/>
                <w:sz w:val="18"/>
                <w:szCs w:val="18"/>
                <w:lang w:val="en-US"/>
              </w:rPr>
            </w:pPr>
            <w:r w:rsidRPr="00AF59A3">
              <w:rPr>
                <w:rFonts w:ascii="Calibri" w:hAnsi="Calibri" w:cs="Calibri"/>
                <w:b/>
                <w:bCs/>
                <w:color w:val="000000"/>
                <w:sz w:val="18"/>
                <w:szCs w:val="18"/>
                <w:lang w:val="en-AU"/>
              </w:rPr>
              <w:t>Indicator 1:</w:t>
            </w:r>
            <w:r>
              <w:rPr>
                <w:rFonts w:ascii="Calibri" w:hAnsi="Calibri" w:cs="Calibri"/>
                <w:color w:val="000000"/>
                <w:sz w:val="18"/>
                <w:szCs w:val="18"/>
                <w:lang w:val="en-AU"/>
              </w:rPr>
              <w:t xml:space="preserve"> </w:t>
            </w:r>
            <w:r w:rsidRPr="000B77D6">
              <w:rPr>
                <w:rFonts w:ascii="Calibri" w:hAnsi="Calibri" w:cs="Calibri"/>
                <w:color w:val="000000"/>
                <w:sz w:val="18"/>
                <w:szCs w:val="18"/>
                <w:lang w:val="en-AU"/>
              </w:rPr>
              <w:t>Press releases, publications and other communication products including online which enhance Australia’s visibility</w:t>
            </w:r>
          </w:p>
        </w:tc>
        <w:tc>
          <w:tcPr>
            <w:tcW w:w="988" w:type="dxa"/>
            <w:vAlign w:val="center"/>
            <w:hideMark/>
          </w:tcPr>
          <w:p w14:paraId="2CB0ED45"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 xml:space="preserve">Number </w:t>
            </w:r>
          </w:p>
        </w:tc>
        <w:tc>
          <w:tcPr>
            <w:tcW w:w="1134" w:type="dxa"/>
            <w:vAlign w:val="center"/>
            <w:hideMark/>
          </w:tcPr>
          <w:p w14:paraId="1A8B47E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6C517E71"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250</w:t>
            </w:r>
          </w:p>
        </w:tc>
        <w:tc>
          <w:tcPr>
            <w:tcW w:w="1134" w:type="dxa"/>
            <w:vAlign w:val="center"/>
            <w:hideMark/>
          </w:tcPr>
          <w:p w14:paraId="0D6CB0FC"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74</w:t>
            </w:r>
          </w:p>
        </w:tc>
        <w:tc>
          <w:tcPr>
            <w:tcW w:w="1134" w:type="dxa"/>
            <w:vAlign w:val="center"/>
            <w:hideMark/>
          </w:tcPr>
          <w:p w14:paraId="1DCE77CF"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85</w:t>
            </w:r>
          </w:p>
        </w:tc>
        <w:tc>
          <w:tcPr>
            <w:tcW w:w="1134" w:type="dxa"/>
            <w:vAlign w:val="center"/>
            <w:hideMark/>
          </w:tcPr>
          <w:p w14:paraId="14D705E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86</w:t>
            </w:r>
          </w:p>
        </w:tc>
        <w:tc>
          <w:tcPr>
            <w:tcW w:w="1275" w:type="dxa"/>
            <w:vAlign w:val="center"/>
            <w:hideMark/>
          </w:tcPr>
          <w:p w14:paraId="1809861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50</w:t>
            </w:r>
          </w:p>
        </w:tc>
        <w:tc>
          <w:tcPr>
            <w:tcW w:w="1134" w:type="dxa"/>
            <w:hideMark/>
          </w:tcPr>
          <w:p w14:paraId="406A1C23" w14:textId="77777777" w:rsidR="00EE1F33" w:rsidRPr="000B77D6" w:rsidRDefault="00EE1F33" w:rsidP="00361731">
            <w:pPr>
              <w:jc w:val="center"/>
              <w:rPr>
                <w:rFonts w:ascii="Calibri" w:hAnsi="Calibri" w:cs="Calibri"/>
                <w:color w:val="000000"/>
                <w:sz w:val="18"/>
                <w:szCs w:val="18"/>
                <w:lang w:val="en-US"/>
              </w:rPr>
            </w:pPr>
            <w:r w:rsidRPr="00106899">
              <w:rPr>
                <w:rFonts w:ascii="Calibri" w:hAnsi="Calibri" w:cs="Calibri"/>
                <w:color w:val="000000"/>
                <w:sz w:val="18"/>
                <w:szCs w:val="18"/>
                <w:lang w:val="en-US"/>
              </w:rPr>
              <w:t>n/a</w:t>
            </w:r>
          </w:p>
        </w:tc>
        <w:tc>
          <w:tcPr>
            <w:tcW w:w="1134" w:type="dxa"/>
            <w:shd w:val="clear" w:color="000000" w:fill="D9F2D0"/>
            <w:vAlign w:val="center"/>
            <w:hideMark/>
          </w:tcPr>
          <w:p w14:paraId="41C6474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295</w:t>
            </w:r>
          </w:p>
        </w:tc>
        <w:tc>
          <w:tcPr>
            <w:tcW w:w="993" w:type="dxa"/>
            <w:vAlign w:val="center"/>
            <w:hideMark/>
          </w:tcPr>
          <w:p w14:paraId="6EA84899" w14:textId="77777777" w:rsidR="00EE1F33" w:rsidRPr="000B77D6" w:rsidRDefault="00EE1F33" w:rsidP="00361731">
            <w:pPr>
              <w:jc w:val="center"/>
              <w:rPr>
                <w:rFonts w:ascii="Wingdings" w:hAnsi="Wingdings"/>
                <w:color w:val="000000"/>
                <w:sz w:val="18"/>
                <w:szCs w:val="18"/>
                <w:lang w:val="en-US"/>
              </w:rPr>
            </w:pPr>
            <w:r>
              <w:rPr>
                <w:rFonts w:ascii="Calibri" w:hAnsi="Calibri" w:cs="Calibri"/>
                <w:color w:val="000000"/>
                <w:sz w:val="18"/>
                <w:szCs w:val="18"/>
                <w:lang w:val="en-AU"/>
              </w:rPr>
              <w:t>118%</w:t>
            </w:r>
            <w:r w:rsidRPr="000B77D6">
              <w:rPr>
                <w:rFonts w:ascii="Calibri" w:hAnsi="Calibri" w:cs="Calibri"/>
                <w:color w:val="000000"/>
                <w:sz w:val="18"/>
                <w:szCs w:val="18"/>
                <w:lang w:val="en-AU"/>
              </w:rPr>
              <w:t> </w:t>
            </w:r>
          </w:p>
        </w:tc>
      </w:tr>
      <w:tr w:rsidR="00EE1F33" w:rsidRPr="003E1E3C" w14:paraId="6CD9DD3A" w14:textId="77777777" w:rsidTr="00361731">
        <w:trPr>
          <w:trHeight w:val="480"/>
        </w:trPr>
        <w:tc>
          <w:tcPr>
            <w:tcW w:w="3964" w:type="dxa"/>
            <w:vAlign w:val="center"/>
            <w:hideMark/>
          </w:tcPr>
          <w:p w14:paraId="2460C9C0" w14:textId="77777777" w:rsidR="00EE1F33" w:rsidRPr="000B77D6" w:rsidRDefault="00EE1F33" w:rsidP="00361731">
            <w:pPr>
              <w:rPr>
                <w:rFonts w:ascii="Calibri" w:hAnsi="Calibri" w:cs="Calibri"/>
                <w:color w:val="000000"/>
                <w:sz w:val="18"/>
                <w:szCs w:val="18"/>
                <w:lang w:val="en-US"/>
              </w:rPr>
            </w:pPr>
            <w:r w:rsidRPr="00AF59A3">
              <w:rPr>
                <w:rFonts w:ascii="Calibri" w:hAnsi="Calibri" w:cs="Calibri"/>
                <w:b/>
                <w:bCs/>
                <w:color w:val="000000"/>
                <w:sz w:val="18"/>
                <w:szCs w:val="18"/>
                <w:lang w:val="en-AU"/>
              </w:rPr>
              <w:t>Indicator 2:</w:t>
            </w:r>
            <w:r>
              <w:rPr>
                <w:rFonts w:ascii="Calibri" w:hAnsi="Calibri" w:cs="Calibri"/>
                <w:color w:val="000000"/>
                <w:sz w:val="18"/>
                <w:szCs w:val="18"/>
                <w:lang w:val="en-AU"/>
              </w:rPr>
              <w:t xml:space="preserve"> </w:t>
            </w:r>
            <w:r w:rsidRPr="000B77D6">
              <w:rPr>
                <w:rFonts w:ascii="Calibri" w:hAnsi="Calibri" w:cs="Calibri"/>
                <w:color w:val="000000"/>
                <w:sz w:val="18"/>
                <w:szCs w:val="18"/>
                <w:lang w:val="en-AU"/>
              </w:rPr>
              <w:t>Numbers of collaboration with Australian institutions or agencies</w:t>
            </w:r>
          </w:p>
        </w:tc>
        <w:tc>
          <w:tcPr>
            <w:tcW w:w="988" w:type="dxa"/>
            <w:vAlign w:val="center"/>
            <w:hideMark/>
          </w:tcPr>
          <w:p w14:paraId="302891C9"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color w:val="000000"/>
                <w:sz w:val="18"/>
                <w:szCs w:val="18"/>
                <w:lang w:val="en-AU"/>
              </w:rPr>
              <w:t>Number</w:t>
            </w:r>
          </w:p>
        </w:tc>
        <w:tc>
          <w:tcPr>
            <w:tcW w:w="1134" w:type="dxa"/>
            <w:vAlign w:val="center"/>
            <w:hideMark/>
          </w:tcPr>
          <w:p w14:paraId="1F6D86FE"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shd w:val="clear" w:color="000000" w:fill="FAE2D5"/>
            <w:vAlign w:val="center"/>
            <w:hideMark/>
          </w:tcPr>
          <w:p w14:paraId="47E06FE0"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1134" w:type="dxa"/>
            <w:vAlign w:val="center"/>
            <w:hideMark/>
          </w:tcPr>
          <w:p w14:paraId="0830C7A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vAlign w:val="center"/>
            <w:hideMark/>
          </w:tcPr>
          <w:p w14:paraId="5268455B"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134" w:type="dxa"/>
            <w:vAlign w:val="center"/>
            <w:hideMark/>
          </w:tcPr>
          <w:p w14:paraId="05399F49"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1</w:t>
            </w:r>
          </w:p>
        </w:tc>
        <w:tc>
          <w:tcPr>
            <w:tcW w:w="1275" w:type="dxa"/>
            <w:vAlign w:val="center"/>
            <w:hideMark/>
          </w:tcPr>
          <w:p w14:paraId="0EA0643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0</w:t>
            </w:r>
          </w:p>
        </w:tc>
        <w:tc>
          <w:tcPr>
            <w:tcW w:w="1134" w:type="dxa"/>
            <w:hideMark/>
          </w:tcPr>
          <w:p w14:paraId="3A31BB18" w14:textId="77777777" w:rsidR="00EE1F33" w:rsidRPr="000B77D6" w:rsidRDefault="00EE1F33" w:rsidP="00361731">
            <w:pPr>
              <w:jc w:val="center"/>
              <w:rPr>
                <w:rFonts w:ascii="Calibri" w:hAnsi="Calibri" w:cs="Calibri"/>
                <w:color w:val="000000"/>
                <w:sz w:val="18"/>
                <w:szCs w:val="18"/>
                <w:lang w:val="en-US"/>
              </w:rPr>
            </w:pPr>
            <w:r w:rsidRPr="00106899">
              <w:rPr>
                <w:rFonts w:ascii="Calibri" w:hAnsi="Calibri" w:cs="Calibri"/>
                <w:color w:val="000000"/>
                <w:sz w:val="18"/>
                <w:szCs w:val="18"/>
                <w:lang w:val="en-US"/>
              </w:rPr>
              <w:t>n/a</w:t>
            </w:r>
          </w:p>
        </w:tc>
        <w:tc>
          <w:tcPr>
            <w:tcW w:w="1134" w:type="dxa"/>
            <w:shd w:val="clear" w:color="000000" w:fill="D9F2D0"/>
            <w:vAlign w:val="center"/>
            <w:hideMark/>
          </w:tcPr>
          <w:p w14:paraId="20E36023"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2</w:t>
            </w:r>
          </w:p>
        </w:tc>
        <w:tc>
          <w:tcPr>
            <w:tcW w:w="993" w:type="dxa"/>
            <w:vAlign w:val="center"/>
            <w:hideMark/>
          </w:tcPr>
          <w:p w14:paraId="4DEBDF14" w14:textId="77777777" w:rsidR="00EE1F33" w:rsidRPr="003E1E3C"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100%</w:t>
            </w:r>
          </w:p>
        </w:tc>
      </w:tr>
      <w:tr w:rsidR="00EE1F33" w:rsidRPr="000B77D6" w14:paraId="36B1E501" w14:textId="77777777" w:rsidTr="00361731">
        <w:trPr>
          <w:trHeight w:val="720"/>
        </w:trPr>
        <w:tc>
          <w:tcPr>
            <w:tcW w:w="3964" w:type="dxa"/>
            <w:vAlign w:val="center"/>
            <w:hideMark/>
          </w:tcPr>
          <w:p w14:paraId="7D08E78A" w14:textId="77777777" w:rsidR="00EE1F33" w:rsidRPr="000B77D6" w:rsidRDefault="00EE1F33" w:rsidP="00361731">
            <w:pPr>
              <w:rPr>
                <w:rFonts w:ascii="Calibri" w:hAnsi="Calibri" w:cs="Calibri"/>
                <w:color w:val="000000"/>
                <w:sz w:val="18"/>
                <w:szCs w:val="18"/>
                <w:lang w:val="en-US"/>
              </w:rPr>
            </w:pPr>
            <w:r w:rsidRPr="00AF59A3">
              <w:rPr>
                <w:rFonts w:ascii="Calibri" w:hAnsi="Calibri" w:cs="Calibri"/>
                <w:b/>
                <w:bCs/>
                <w:color w:val="000000"/>
                <w:sz w:val="18"/>
                <w:szCs w:val="18"/>
                <w:lang w:val="en-AU"/>
              </w:rPr>
              <w:lastRenderedPageBreak/>
              <w:t>Indicator 3:</w:t>
            </w:r>
            <w:r>
              <w:rPr>
                <w:rFonts w:ascii="Calibri" w:hAnsi="Calibri" w:cs="Calibri"/>
                <w:color w:val="000000"/>
                <w:sz w:val="18"/>
                <w:szCs w:val="18"/>
                <w:lang w:val="en-AU"/>
              </w:rPr>
              <w:t xml:space="preserve"> </w:t>
            </w:r>
            <w:r w:rsidRPr="000B77D6">
              <w:rPr>
                <w:rFonts w:ascii="Calibri" w:hAnsi="Calibri" w:cs="Calibri"/>
                <w:color w:val="000000"/>
                <w:sz w:val="18"/>
                <w:szCs w:val="18"/>
                <w:lang w:val="en-AU"/>
              </w:rPr>
              <w:t>Mid-Term Review of VPSDP rates program on track in terms of progress towards achieving objective</w:t>
            </w:r>
          </w:p>
        </w:tc>
        <w:tc>
          <w:tcPr>
            <w:tcW w:w="988" w:type="dxa"/>
            <w:vAlign w:val="center"/>
            <w:hideMark/>
          </w:tcPr>
          <w:p w14:paraId="59A78182"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Yes/No</w:t>
            </w:r>
          </w:p>
        </w:tc>
        <w:tc>
          <w:tcPr>
            <w:tcW w:w="1134" w:type="dxa"/>
            <w:vAlign w:val="center"/>
            <w:hideMark/>
          </w:tcPr>
          <w:p w14:paraId="0A20331E"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1134" w:type="dxa"/>
            <w:shd w:val="clear" w:color="000000" w:fill="FAE2D5"/>
            <w:vAlign w:val="center"/>
            <w:hideMark/>
          </w:tcPr>
          <w:p w14:paraId="1055C60A"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Yes</w:t>
            </w:r>
          </w:p>
        </w:tc>
        <w:tc>
          <w:tcPr>
            <w:tcW w:w="1134" w:type="dxa"/>
            <w:vAlign w:val="center"/>
            <w:hideMark/>
          </w:tcPr>
          <w:p w14:paraId="459B33B1"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p>
        </w:tc>
        <w:tc>
          <w:tcPr>
            <w:tcW w:w="1134" w:type="dxa"/>
            <w:vAlign w:val="center"/>
            <w:hideMark/>
          </w:tcPr>
          <w:p w14:paraId="6E1AE0C5"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 </w:t>
            </w:r>
            <w:r>
              <w:rPr>
                <w:rFonts w:ascii="Calibri" w:hAnsi="Calibri" w:cs="Calibri"/>
                <w:color w:val="000000"/>
                <w:sz w:val="18"/>
                <w:szCs w:val="18"/>
                <w:lang w:val="en-AU"/>
              </w:rPr>
              <w:t>No</w:t>
            </w:r>
          </w:p>
        </w:tc>
        <w:tc>
          <w:tcPr>
            <w:tcW w:w="1134" w:type="dxa"/>
            <w:vAlign w:val="center"/>
            <w:hideMark/>
          </w:tcPr>
          <w:p w14:paraId="182DCCBF" w14:textId="77777777" w:rsidR="00EE1F33" w:rsidRPr="00FD597D" w:rsidRDefault="00EE1F33" w:rsidP="00361731">
            <w:pPr>
              <w:jc w:val="center"/>
              <w:rPr>
                <w:rFonts w:ascii="Calibri" w:hAnsi="Calibri" w:cs="Calibri"/>
                <w:color w:val="000000"/>
                <w:sz w:val="18"/>
                <w:szCs w:val="18"/>
                <w:lang w:val="en-US"/>
              </w:rPr>
            </w:pPr>
            <w:r w:rsidRPr="00FD597D">
              <w:rPr>
                <w:rFonts w:ascii="Calibri" w:hAnsi="Calibri" w:cs="Calibri"/>
                <w:color w:val="000000"/>
                <w:sz w:val="18"/>
                <w:szCs w:val="18"/>
                <w:lang w:val="en-AU"/>
              </w:rPr>
              <w:t> No</w:t>
            </w:r>
          </w:p>
        </w:tc>
        <w:tc>
          <w:tcPr>
            <w:tcW w:w="1275" w:type="dxa"/>
            <w:vAlign w:val="center"/>
            <w:hideMark/>
          </w:tcPr>
          <w:p w14:paraId="30147382" w14:textId="77777777" w:rsidR="00EE1F33" w:rsidRPr="000B77D6" w:rsidRDefault="00EE1F33" w:rsidP="00361731">
            <w:pPr>
              <w:jc w:val="center"/>
              <w:rPr>
                <w:rFonts w:ascii="Calibri" w:hAnsi="Calibri" w:cs="Calibri"/>
                <w:i/>
                <w:iCs/>
                <w:color w:val="000000"/>
                <w:sz w:val="18"/>
                <w:szCs w:val="18"/>
                <w:lang w:val="en-US"/>
              </w:rPr>
            </w:pPr>
            <w:r w:rsidRPr="000B77D6">
              <w:rPr>
                <w:rFonts w:ascii="Calibri" w:hAnsi="Calibri" w:cs="Calibri"/>
                <w:i/>
                <w:iCs/>
                <w:color w:val="000000"/>
                <w:sz w:val="18"/>
                <w:szCs w:val="18"/>
                <w:lang w:val="en-AU"/>
              </w:rPr>
              <w:t>to be completed in CY2</w:t>
            </w:r>
            <w:r>
              <w:rPr>
                <w:rFonts w:ascii="Calibri" w:hAnsi="Calibri" w:cs="Calibri"/>
                <w:i/>
                <w:iCs/>
                <w:color w:val="000000"/>
                <w:sz w:val="18"/>
                <w:szCs w:val="18"/>
                <w:lang w:val="en-AU"/>
              </w:rPr>
              <w:t>6</w:t>
            </w:r>
          </w:p>
        </w:tc>
        <w:tc>
          <w:tcPr>
            <w:tcW w:w="1134" w:type="dxa"/>
            <w:hideMark/>
          </w:tcPr>
          <w:p w14:paraId="1BA01DF1" w14:textId="77777777" w:rsidR="00EE1F33" w:rsidRPr="000B77D6" w:rsidRDefault="00EE1F33" w:rsidP="00361731">
            <w:pPr>
              <w:jc w:val="center"/>
              <w:rPr>
                <w:rFonts w:ascii="Calibri" w:hAnsi="Calibri" w:cs="Calibri"/>
                <w:color w:val="000000"/>
                <w:sz w:val="18"/>
                <w:szCs w:val="18"/>
                <w:lang w:val="en-US"/>
              </w:rPr>
            </w:pPr>
            <w:r w:rsidRPr="00106899">
              <w:rPr>
                <w:rFonts w:ascii="Calibri" w:hAnsi="Calibri" w:cs="Calibri"/>
                <w:color w:val="000000"/>
                <w:sz w:val="18"/>
                <w:szCs w:val="18"/>
                <w:lang w:val="en-US"/>
              </w:rPr>
              <w:t>n/a</w:t>
            </w:r>
          </w:p>
        </w:tc>
        <w:tc>
          <w:tcPr>
            <w:tcW w:w="1134" w:type="dxa"/>
            <w:hideMark/>
          </w:tcPr>
          <w:p w14:paraId="68A9669D" w14:textId="77777777" w:rsidR="00EE1F33" w:rsidRPr="000B77D6" w:rsidRDefault="00EE1F33" w:rsidP="00361731">
            <w:pPr>
              <w:jc w:val="center"/>
              <w:rPr>
                <w:rFonts w:ascii="Calibri" w:hAnsi="Calibri" w:cs="Calibri"/>
                <w:color w:val="000000"/>
                <w:sz w:val="18"/>
                <w:szCs w:val="18"/>
                <w:lang w:val="en-US"/>
              </w:rPr>
            </w:pPr>
            <w:r w:rsidRPr="005125CA">
              <w:rPr>
                <w:rFonts w:ascii="Calibri" w:hAnsi="Calibri" w:cs="Calibri"/>
                <w:color w:val="000000"/>
                <w:sz w:val="18"/>
                <w:szCs w:val="18"/>
                <w:lang w:val="en-US"/>
              </w:rPr>
              <w:t>n/a</w:t>
            </w:r>
          </w:p>
        </w:tc>
        <w:tc>
          <w:tcPr>
            <w:tcW w:w="993" w:type="dxa"/>
            <w:hideMark/>
          </w:tcPr>
          <w:p w14:paraId="45D27A7D" w14:textId="77777777" w:rsidR="00EE1F33" w:rsidRPr="000B77D6" w:rsidRDefault="00EE1F33" w:rsidP="00361731">
            <w:pPr>
              <w:jc w:val="center"/>
              <w:rPr>
                <w:rFonts w:ascii="Calibri" w:hAnsi="Calibri" w:cs="Calibri"/>
                <w:color w:val="000000"/>
                <w:sz w:val="18"/>
                <w:szCs w:val="18"/>
                <w:lang w:val="en-US"/>
              </w:rPr>
            </w:pPr>
            <w:r w:rsidRPr="005125CA">
              <w:rPr>
                <w:rFonts w:ascii="Calibri" w:hAnsi="Calibri" w:cs="Calibri"/>
                <w:color w:val="000000"/>
                <w:sz w:val="18"/>
                <w:szCs w:val="18"/>
                <w:lang w:val="en-US"/>
              </w:rPr>
              <w:t>n/a</w:t>
            </w:r>
          </w:p>
        </w:tc>
      </w:tr>
      <w:tr w:rsidR="00EE1F33" w:rsidRPr="000B77D6" w14:paraId="4446F469" w14:textId="77777777" w:rsidTr="00361731">
        <w:trPr>
          <w:trHeight w:val="720"/>
        </w:trPr>
        <w:tc>
          <w:tcPr>
            <w:tcW w:w="3964" w:type="dxa"/>
            <w:vAlign w:val="center"/>
            <w:hideMark/>
          </w:tcPr>
          <w:p w14:paraId="61AB17CD" w14:textId="77777777" w:rsidR="00EE1F33" w:rsidRPr="000B77D6" w:rsidRDefault="00EE1F33" w:rsidP="00361731">
            <w:pPr>
              <w:rPr>
                <w:rFonts w:ascii="Calibri" w:hAnsi="Calibri" w:cs="Calibri"/>
                <w:color w:val="000000"/>
                <w:sz w:val="18"/>
                <w:szCs w:val="18"/>
                <w:lang w:val="en-US"/>
              </w:rPr>
            </w:pPr>
            <w:r w:rsidRPr="000B77D6">
              <w:rPr>
                <w:rFonts w:ascii="Calibri" w:hAnsi="Calibri" w:cs="Calibri"/>
                <w:b/>
                <w:bCs/>
                <w:color w:val="000000"/>
                <w:sz w:val="18"/>
                <w:szCs w:val="18"/>
                <w:lang w:val="en-AU"/>
              </w:rPr>
              <w:t>Indicator 4</w:t>
            </w:r>
            <w:r>
              <w:rPr>
                <w:rFonts w:ascii="Calibri" w:hAnsi="Calibri" w:cs="Calibri"/>
                <w:b/>
                <w:bCs/>
                <w:color w:val="000000"/>
                <w:sz w:val="18"/>
                <w:szCs w:val="18"/>
                <w:lang w:val="en-AU"/>
              </w:rPr>
              <w:t xml:space="preserve">: </w:t>
            </w:r>
            <w:r w:rsidRPr="000B77D6">
              <w:rPr>
                <w:rFonts w:ascii="Calibri" w:hAnsi="Calibri" w:cs="Calibri"/>
                <w:color w:val="000000"/>
                <w:sz w:val="18"/>
                <w:szCs w:val="18"/>
                <w:lang w:val="en-AU"/>
              </w:rPr>
              <w:t>End-of-Program Evaluation of VPSDP</w:t>
            </w:r>
          </w:p>
        </w:tc>
        <w:tc>
          <w:tcPr>
            <w:tcW w:w="988" w:type="dxa"/>
            <w:vAlign w:val="center"/>
            <w:hideMark/>
          </w:tcPr>
          <w:p w14:paraId="7BBCF567"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Yes/No</w:t>
            </w:r>
          </w:p>
        </w:tc>
        <w:tc>
          <w:tcPr>
            <w:tcW w:w="1134" w:type="dxa"/>
            <w:vAlign w:val="center"/>
            <w:hideMark/>
          </w:tcPr>
          <w:p w14:paraId="1B1F59C5"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r w:rsidRPr="000B77D6">
              <w:rPr>
                <w:rFonts w:ascii="Calibri" w:hAnsi="Calibri" w:cs="Calibri"/>
                <w:color w:val="000000"/>
                <w:sz w:val="18"/>
                <w:szCs w:val="18"/>
                <w:lang w:val="en-AU"/>
              </w:rPr>
              <w:t> </w:t>
            </w:r>
          </w:p>
        </w:tc>
        <w:tc>
          <w:tcPr>
            <w:tcW w:w="1134" w:type="dxa"/>
            <w:shd w:val="clear" w:color="000000" w:fill="FAE2D5"/>
            <w:vAlign w:val="center"/>
            <w:hideMark/>
          </w:tcPr>
          <w:p w14:paraId="1CC39D08" w14:textId="77777777" w:rsidR="00EE1F33" w:rsidRPr="000B77D6" w:rsidRDefault="00EE1F33" w:rsidP="00361731">
            <w:pPr>
              <w:jc w:val="center"/>
              <w:rPr>
                <w:rFonts w:ascii="Calibri" w:hAnsi="Calibri" w:cs="Calibri"/>
                <w:color w:val="000000"/>
                <w:sz w:val="18"/>
                <w:szCs w:val="18"/>
                <w:lang w:val="en-US"/>
              </w:rPr>
            </w:pPr>
            <w:r w:rsidRPr="000B77D6">
              <w:rPr>
                <w:rFonts w:ascii="Calibri" w:hAnsi="Calibri" w:cs="Calibri"/>
                <w:color w:val="000000"/>
                <w:sz w:val="18"/>
                <w:szCs w:val="18"/>
                <w:lang w:val="en-AU"/>
              </w:rPr>
              <w:t>Yes</w:t>
            </w:r>
          </w:p>
        </w:tc>
        <w:tc>
          <w:tcPr>
            <w:tcW w:w="1134" w:type="dxa"/>
            <w:vAlign w:val="center"/>
            <w:hideMark/>
          </w:tcPr>
          <w:p w14:paraId="176BF3CE"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p>
        </w:tc>
        <w:tc>
          <w:tcPr>
            <w:tcW w:w="1134" w:type="dxa"/>
            <w:vAlign w:val="center"/>
            <w:hideMark/>
          </w:tcPr>
          <w:p w14:paraId="2374ECA5"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p>
        </w:tc>
        <w:tc>
          <w:tcPr>
            <w:tcW w:w="1134" w:type="dxa"/>
            <w:vAlign w:val="center"/>
            <w:hideMark/>
          </w:tcPr>
          <w:p w14:paraId="57A7425E"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p>
        </w:tc>
        <w:tc>
          <w:tcPr>
            <w:tcW w:w="1275" w:type="dxa"/>
            <w:vAlign w:val="center"/>
            <w:hideMark/>
          </w:tcPr>
          <w:p w14:paraId="46A9F47A" w14:textId="77777777" w:rsidR="00EE1F33" w:rsidRPr="000B77D6" w:rsidRDefault="00EE1F33" w:rsidP="00361731">
            <w:pPr>
              <w:jc w:val="center"/>
              <w:rPr>
                <w:rFonts w:ascii="Calibri" w:hAnsi="Calibri" w:cs="Calibri"/>
                <w:color w:val="000000"/>
                <w:sz w:val="18"/>
                <w:szCs w:val="18"/>
                <w:lang w:val="en-US"/>
              </w:rPr>
            </w:pPr>
            <w:r>
              <w:rPr>
                <w:rFonts w:ascii="Calibri" w:hAnsi="Calibri" w:cs="Calibri"/>
                <w:color w:val="000000"/>
                <w:sz w:val="18"/>
                <w:szCs w:val="18"/>
                <w:lang w:val="en-AU"/>
              </w:rPr>
              <w:t>No</w:t>
            </w:r>
          </w:p>
        </w:tc>
        <w:tc>
          <w:tcPr>
            <w:tcW w:w="1134" w:type="dxa"/>
            <w:vAlign w:val="center"/>
            <w:hideMark/>
          </w:tcPr>
          <w:p w14:paraId="0114CE7B" w14:textId="77777777" w:rsidR="00EE1F33" w:rsidRPr="000B77D6" w:rsidRDefault="00EE1F33" w:rsidP="00361731">
            <w:pPr>
              <w:jc w:val="center"/>
              <w:rPr>
                <w:rFonts w:ascii="Calibri" w:hAnsi="Calibri" w:cs="Calibri"/>
                <w:i/>
                <w:iCs/>
                <w:color w:val="000000"/>
                <w:sz w:val="18"/>
                <w:szCs w:val="18"/>
                <w:lang w:val="en-US"/>
              </w:rPr>
            </w:pPr>
            <w:r w:rsidRPr="000B77D6">
              <w:rPr>
                <w:rFonts w:ascii="Calibri" w:hAnsi="Calibri" w:cs="Calibri"/>
                <w:i/>
                <w:iCs/>
                <w:color w:val="000000"/>
                <w:sz w:val="18"/>
                <w:szCs w:val="18"/>
                <w:lang w:val="en-AU"/>
              </w:rPr>
              <w:t>To be completed in CY27</w:t>
            </w:r>
          </w:p>
        </w:tc>
        <w:tc>
          <w:tcPr>
            <w:tcW w:w="1134" w:type="dxa"/>
            <w:hideMark/>
          </w:tcPr>
          <w:p w14:paraId="1641F637" w14:textId="77777777" w:rsidR="00EE1F33" w:rsidRPr="000B77D6" w:rsidRDefault="00EE1F33" w:rsidP="00361731">
            <w:pPr>
              <w:jc w:val="center"/>
              <w:rPr>
                <w:rFonts w:ascii="Calibri" w:hAnsi="Calibri" w:cs="Calibri"/>
                <w:color w:val="000000"/>
                <w:sz w:val="18"/>
                <w:szCs w:val="18"/>
                <w:lang w:val="en-US"/>
              </w:rPr>
            </w:pPr>
            <w:r w:rsidRPr="005125CA">
              <w:rPr>
                <w:rFonts w:ascii="Calibri" w:hAnsi="Calibri" w:cs="Calibri"/>
                <w:color w:val="000000"/>
                <w:sz w:val="18"/>
                <w:szCs w:val="18"/>
                <w:lang w:val="en-US"/>
              </w:rPr>
              <w:t>n/a</w:t>
            </w:r>
          </w:p>
        </w:tc>
        <w:tc>
          <w:tcPr>
            <w:tcW w:w="993" w:type="dxa"/>
            <w:hideMark/>
          </w:tcPr>
          <w:p w14:paraId="7B8F51ED" w14:textId="77777777" w:rsidR="00EE1F33" w:rsidRPr="000B77D6" w:rsidRDefault="00EE1F33" w:rsidP="00361731">
            <w:pPr>
              <w:jc w:val="center"/>
              <w:rPr>
                <w:rFonts w:ascii="Calibri" w:hAnsi="Calibri" w:cs="Calibri"/>
                <w:color w:val="000000"/>
                <w:sz w:val="18"/>
                <w:szCs w:val="18"/>
                <w:lang w:val="en-US"/>
              </w:rPr>
            </w:pPr>
            <w:r w:rsidRPr="005125CA">
              <w:rPr>
                <w:rFonts w:ascii="Calibri" w:hAnsi="Calibri" w:cs="Calibri"/>
                <w:color w:val="000000"/>
                <w:sz w:val="18"/>
                <w:szCs w:val="18"/>
                <w:lang w:val="en-US"/>
              </w:rPr>
              <w:t>n/a</w:t>
            </w:r>
          </w:p>
        </w:tc>
      </w:tr>
    </w:tbl>
    <w:p w14:paraId="4EF08D0B" w14:textId="77777777" w:rsidR="00EE1F33" w:rsidRDefault="00EE1F33" w:rsidP="00552BF9">
      <w:pPr>
        <w:rPr>
          <w:rFonts w:ascii="Montserrat" w:hAnsi="Montserrat" w:cs="Montserrat"/>
          <w:b/>
          <w:bCs/>
          <w:color w:val="005568"/>
          <w:sz w:val="20"/>
          <w:szCs w:val="20"/>
          <w:lang w:val="en-AU"/>
        </w:rPr>
        <w:sectPr w:rsidR="00EE1F33" w:rsidSect="00552BF9">
          <w:pgSz w:w="16838" w:h="11906" w:orient="landscape" w:code="9"/>
          <w:pgMar w:top="720" w:right="720" w:bottom="720" w:left="720" w:header="708" w:footer="708" w:gutter="0"/>
          <w:cols w:space="708"/>
          <w:docGrid w:linePitch="360"/>
        </w:sectPr>
      </w:pPr>
    </w:p>
    <w:p w14:paraId="7E5DF474" w14:textId="2B7C7740" w:rsidR="00633438" w:rsidRPr="002E145E" w:rsidRDefault="00633438" w:rsidP="002E145E">
      <w:pPr>
        <w:pStyle w:val="Heading1"/>
        <w:rPr>
          <w:rFonts w:cs="Calibri"/>
          <w:lang w:val="en-AU"/>
        </w:rPr>
      </w:pPr>
      <w:bookmarkStart w:id="60" w:name="_Toc233724269"/>
      <w:r w:rsidRPr="00566B1A">
        <w:rPr>
          <w:rFonts w:cs="Calibri"/>
          <w:lang w:val="en-AU"/>
        </w:rPr>
        <w:lastRenderedPageBreak/>
        <w:t xml:space="preserve">Annex </w:t>
      </w:r>
      <w:r>
        <w:rPr>
          <w:rFonts w:cs="Calibri"/>
          <w:lang w:val="en-AU"/>
        </w:rPr>
        <w:t>6</w:t>
      </w:r>
      <w:r w:rsidRPr="00566B1A">
        <w:rPr>
          <w:rFonts w:cs="Calibri"/>
          <w:lang w:val="en-AU"/>
        </w:rPr>
        <w:t xml:space="preserve">: </w:t>
      </w:r>
      <w:r>
        <w:rPr>
          <w:rFonts w:cs="Calibri"/>
          <w:lang w:val="en-AU"/>
        </w:rPr>
        <w:t>Accessible Versions of Images</w:t>
      </w:r>
      <w:bookmarkEnd w:id="60"/>
      <w:r>
        <w:rPr>
          <w:rFonts w:cs="Calibri"/>
          <w:lang w:val="en-AU"/>
        </w:rPr>
        <w:t xml:space="preserve"> </w:t>
      </w:r>
    </w:p>
    <w:p w14:paraId="191738ED" w14:textId="11D70B97"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i/>
          <w:iCs/>
          <w:color w:val="595959"/>
          <w:sz w:val="22"/>
          <w:szCs w:val="22"/>
        </w:rPr>
        <w:t>This annex provides text-based (accessible) versions of the images, diagrams and charts that appear in this report. It is included so that information presented visually is also available to readers who use screen readers or other assistive technology. Each entry below reproduces</w:t>
      </w:r>
      <w:r w:rsidR="00F60036">
        <w:rPr>
          <w:rStyle w:val="normaltextrun"/>
          <w:rFonts w:ascii="Calibri" w:hAnsi="Calibri" w:cs="Calibri"/>
          <w:i/>
          <w:iCs/>
          <w:color w:val="595959"/>
          <w:sz w:val="22"/>
          <w:szCs w:val="22"/>
        </w:rPr>
        <w:t xml:space="preserve"> </w:t>
      </w:r>
      <w:r w:rsidRPr="002E145E">
        <w:rPr>
          <w:rStyle w:val="normaltextrun"/>
          <w:rFonts w:ascii="Calibri" w:hAnsi="Calibri" w:cs="Calibri"/>
          <w:i/>
          <w:iCs/>
          <w:color w:val="595959"/>
          <w:sz w:val="22"/>
          <w:szCs w:val="22"/>
        </w:rPr>
        <w:t>the information conveyed by the corresponding image</w:t>
      </w:r>
      <w:r w:rsidR="00F60036">
        <w:rPr>
          <w:rStyle w:val="normaltextrun"/>
          <w:rFonts w:ascii="Calibri" w:hAnsi="Calibri" w:cs="Calibri"/>
          <w:i/>
          <w:iCs/>
          <w:color w:val="595959"/>
          <w:sz w:val="22"/>
          <w:szCs w:val="22"/>
        </w:rPr>
        <w:t xml:space="preserve"> through words</w:t>
      </w:r>
      <w:r w:rsidRPr="002E145E">
        <w:rPr>
          <w:rStyle w:val="normaltextrun"/>
          <w:rFonts w:ascii="Calibri" w:hAnsi="Calibri" w:cs="Calibri"/>
          <w:i/>
          <w:iCs/>
          <w:color w:val="595959"/>
          <w:sz w:val="22"/>
          <w:szCs w:val="22"/>
        </w:rPr>
        <w:t xml:space="preserve">. </w:t>
      </w:r>
      <w:r w:rsidR="00F60036">
        <w:rPr>
          <w:rStyle w:val="normaltextrun"/>
          <w:rFonts w:ascii="Calibri" w:hAnsi="Calibri" w:cs="Calibri"/>
          <w:i/>
          <w:iCs/>
          <w:color w:val="595959"/>
          <w:sz w:val="22"/>
          <w:szCs w:val="22"/>
        </w:rPr>
        <w:t>D</w:t>
      </w:r>
      <w:r w:rsidRPr="002E145E">
        <w:rPr>
          <w:rStyle w:val="normaltextrun"/>
          <w:rFonts w:ascii="Calibri" w:hAnsi="Calibri" w:cs="Calibri"/>
          <w:i/>
          <w:iCs/>
          <w:color w:val="595959"/>
          <w:sz w:val="22"/>
          <w:szCs w:val="22"/>
        </w:rPr>
        <w:t>ecorative and functional images are listed at the end.</w:t>
      </w:r>
    </w:p>
    <w:p w14:paraId="154E6C3C" w14:textId="77777777" w:rsidR="002E145E" w:rsidRDefault="002E145E" w:rsidP="002E145E">
      <w:pPr>
        <w:pStyle w:val="paragraph"/>
        <w:spacing w:before="0" w:beforeAutospacing="0" w:after="0" w:afterAutospacing="0"/>
        <w:textAlignment w:val="baseline"/>
        <w:rPr>
          <w:rStyle w:val="normaltextrun"/>
          <w:rFonts w:ascii="Calibri" w:hAnsi="Calibri" w:cs="Calibri"/>
          <w:b/>
          <w:bCs/>
          <w:color w:val="2E75B6"/>
          <w:sz w:val="22"/>
          <w:szCs w:val="22"/>
        </w:rPr>
      </w:pPr>
    </w:p>
    <w:p w14:paraId="2AEF9558" w14:textId="7C9AFC08"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Program overview infographic — Viet Nam Private Sector Development Program (VPSDP)</w:t>
      </w:r>
    </w:p>
    <w:p w14:paraId="44412D9E" w14:textId="6078F1C9"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i/>
          <w:iCs/>
          <w:color w:val="595959"/>
          <w:sz w:val="22"/>
          <w:szCs w:val="22"/>
        </w:rPr>
        <w:t>Location</w:t>
      </w:r>
      <w:r w:rsidR="00BA4C2A">
        <w:rPr>
          <w:rStyle w:val="normaltextrun"/>
          <w:rFonts w:ascii="Calibri" w:hAnsi="Calibri" w:cs="Calibri"/>
          <w:i/>
          <w:iCs/>
          <w:color w:val="595959"/>
          <w:sz w:val="22"/>
          <w:szCs w:val="22"/>
        </w:rPr>
        <w:t>:</w:t>
      </w:r>
      <w:r w:rsidR="007C0585">
        <w:rPr>
          <w:rStyle w:val="normaltextrun"/>
          <w:rFonts w:ascii="Calibri" w:hAnsi="Calibri" w:cs="Calibri"/>
          <w:i/>
          <w:iCs/>
          <w:color w:val="595959"/>
          <w:sz w:val="22"/>
          <w:szCs w:val="22"/>
        </w:rPr>
        <w:t xml:space="preserve"> Image 1 (page 9)</w:t>
      </w:r>
      <w:r w:rsidRPr="002E145E">
        <w:rPr>
          <w:rStyle w:val="normaltextrun"/>
          <w:rFonts w:ascii="Calibri" w:hAnsi="Calibri" w:cs="Calibri"/>
          <w:i/>
          <w:iCs/>
          <w:color w:val="595959"/>
          <w:sz w:val="22"/>
          <w:szCs w:val="22"/>
        </w:rPr>
        <w:t>. A summary graphic setting out the program goal and the four program pillars.</w:t>
      </w:r>
    </w:p>
    <w:p w14:paraId="137FE406" w14:textId="310125C9"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b/>
          <w:bCs/>
          <w:sz w:val="22"/>
          <w:szCs w:val="22"/>
        </w:rPr>
        <w:t>Program goal: </w:t>
      </w:r>
      <w:r w:rsidRPr="002E145E">
        <w:rPr>
          <w:rStyle w:val="normaltextrun"/>
          <w:rFonts w:ascii="Calibri" w:hAnsi="Calibri" w:cs="Calibri"/>
          <w:sz w:val="22"/>
          <w:szCs w:val="22"/>
        </w:rPr>
        <w:t>To enhance the competitiveness and diversification of the private sector and to foster inclusive and sustainable COVID-19 recovery and economic growth.</w:t>
      </w:r>
    </w:p>
    <w:p w14:paraId="2C5B7F44" w14:textId="4E0F035F"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sz w:val="22"/>
          <w:szCs w:val="22"/>
        </w:rPr>
        <w:t>The program is delivered through four mutually reinforcing pillars:</w:t>
      </w:r>
    </w:p>
    <w:p w14:paraId="4D2E1950" w14:textId="1413546F" w:rsidR="002E145E" w:rsidRPr="002E145E" w:rsidRDefault="002E145E" w:rsidP="002E145E">
      <w:pPr>
        <w:pStyle w:val="paragraph"/>
        <w:numPr>
          <w:ilvl w:val="0"/>
          <w:numId w:val="45"/>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Pillar 01 — Enabling Environment for the Private Sector:</w:t>
      </w:r>
      <w:r w:rsidRPr="002E145E">
        <w:rPr>
          <w:rStyle w:val="normaltextrun"/>
          <w:rFonts w:ascii="Calibri" w:hAnsi="Calibri" w:cs="Calibri"/>
          <w:sz w:val="22"/>
          <w:szCs w:val="22"/>
        </w:rPr>
        <w:t> Improving the business enabling environment – legal and regulatory – through “bottom-up” reform efforts that create a more attractive framework for inclusive private investment in the wake of COVID-19 across key sectors.</w:t>
      </w:r>
    </w:p>
    <w:p w14:paraId="7C8DE215" w14:textId="449AD395" w:rsidR="002E145E" w:rsidRPr="002E145E" w:rsidRDefault="002E145E" w:rsidP="002E145E">
      <w:pPr>
        <w:pStyle w:val="paragraph"/>
        <w:numPr>
          <w:ilvl w:val="0"/>
          <w:numId w:val="46"/>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Pillar 02 — Accelerating Inclusive &amp; Climate-Smart Investment:</w:t>
      </w:r>
      <w:r w:rsidRPr="002E145E">
        <w:rPr>
          <w:rStyle w:val="normaltextrun"/>
          <w:rFonts w:ascii="Calibri" w:hAnsi="Calibri" w:cs="Calibri"/>
          <w:sz w:val="22"/>
          <w:szCs w:val="22"/>
        </w:rPr>
        <w:t> Creating concrete opportunities to facilitate private sector investment, including direct investment by IFC, in tourism, infrastructure, agriculture and finance – while advancing climate mitigation and adaptation and a gender-equal recovery.</w:t>
      </w:r>
    </w:p>
    <w:p w14:paraId="6A273F87" w14:textId="02B3C9E2" w:rsidR="002E145E" w:rsidRPr="002E145E" w:rsidRDefault="002E145E" w:rsidP="002E145E">
      <w:pPr>
        <w:pStyle w:val="paragraph"/>
        <w:numPr>
          <w:ilvl w:val="0"/>
          <w:numId w:val="47"/>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Pillar 03 — A Green, Sustainable &amp; Inclusive Financial Sector:</w:t>
      </w:r>
      <w:r w:rsidRPr="002E145E">
        <w:rPr>
          <w:rStyle w:val="normaltextrun"/>
          <w:rFonts w:ascii="Calibri" w:hAnsi="Calibri" w:cs="Calibri"/>
          <w:sz w:val="22"/>
          <w:szCs w:val="22"/>
        </w:rPr>
        <w:t> Enhancing financial inclusion and accelerating the green transformation of the financial sector by helping institutions build, expand and launch inclusive and green finance products.</w:t>
      </w:r>
    </w:p>
    <w:p w14:paraId="7EBD20A4" w14:textId="40E9F70A" w:rsidR="002E145E" w:rsidRPr="002E145E" w:rsidRDefault="002E145E" w:rsidP="002E145E">
      <w:pPr>
        <w:pStyle w:val="paragraph"/>
        <w:numPr>
          <w:ilvl w:val="0"/>
          <w:numId w:val="48"/>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Pillar 04 — Enhancing Standards &amp; Gender Inclusion:</w:t>
      </w:r>
      <w:r w:rsidRPr="002E145E">
        <w:rPr>
          <w:rStyle w:val="normaltextrun"/>
          <w:rFonts w:ascii="Calibri" w:hAnsi="Calibri" w:cs="Calibri"/>
          <w:sz w:val="22"/>
          <w:szCs w:val="22"/>
        </w:rPr>
        <w:t> Adopting best practices in Environmental, Social &amp; Governance (ESG) and accelerating women’s economic empowerment by addressing key barriers, including childcare and Gender-Based Violence (GBV).</w:t>
      </w:r>
    </w:p>
    <w:p w14:paraId="389A246C" w14:textId="6AB7142B"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b/>
          <w:bCs/>
          <w:sz w:val="22"/>
          <w:szCs w:val="22"/>
        </w:rPr>
        <w:t>Footer details: </w:t>
      </w:r>
      <w:r w:rsidRPr="002E145E">
        <w:rPr>
          <w:rStyle w:val="normaltextrun"/>
          <w:rFonts w:ascii="Calibri" w:hAnsi="Calibri" w:cs="Calibri"/>
          <w:sz w:val="22"/>
          <w:szCs w:val="22"/>
        </w:rPr>
        <w:t>Funded by DFAT (AUD 15 million); implemented by IFC; April 2022 – June 2027; four mutually reinforcing pillars.</w:t>
      </w:r>
    </w:p>
    <w:p w14:paraId="33DE4D51" w14:textId="77777777" w:rsidR="002E145E" w:rsidRDefault="002E145E" w:rsidP="002E145E">
      <w:pPr>
        <w:pStyle w:val="paragraph"/>
        <w:spacing w:before="0" w:beforeAutospacing="0" w:after="0" w:afterAutospacing="0"/>
        <w:textAlignment w:val="baseline"/>
        <w:rPr>
          <w:rStyle w:val="normaltextrun"/>
          <w:rFonts w:ascii="Calibri" w:hAnsi="Calibri" w:cs="Calibri"/>
          <w:b/>
          <w:bCs/>
          <w:color w:val="2E75B6"/>
          <w:sz w:val="22"/>
          <w:szCs w:val="22"/>
        </w:rPr>
      </w:pPr>
    </w:p>
    <w:p w14:paraId="0C740BFE" w14:textId="7248E926"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Case study cover — “The Threads That Bind” (IFC case study, September 2025)</w:t>
      </w:r>
    </w:p>
    <w:p w14:paraId="5AFCD10F" w14:textId="7AE33763" w:rsidR="002E145E" w:rsidRPr="002E145E" w:rsidRDefault="002E145E" w:rsidP="002E145E">
      <w:pPr>
        <w:pStyle w:val="paragraph"/>
        <w:numPr>
          <w:ilvl w:val="0"/>
          <w:numId w:val="49"/>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Document type:</w:t>
      </w:r>
      <w:r w:rsidRPr="002E145E">
        <w:rPr>
          <w:rStyle w:val="normaltextrun"/>
          <w:rFonts w:ascii="Calibri" w:hAnsi="Calibri" w:cs="Calibri"/>
          <w:sz w:val="22"/>
          <w:szCs w:val="22"/>
        </w:rPr>
        <w:t> IFC Case Study; dated September 2025. Carries the IFC (International Finance Corporation, World Bank Group) and Australian Aid logos.</w:t>
      </w:r>
    </w:p>
    <w:p w14:paraId="2FED18B9" w14:textId="79D0C866" w:rsidR="002E145E" w:rsidRPr="002E145E" w:rsidRDefault="002E145E" w:rsidP="002E145E">
      <w:pPr>
        <w:pStyle w:val="paragraph"/>
        <w:numPr>
          <w:ilvl w:val="0"/>
          <w:numId w:val="50"/>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Title:</w:t>
      </w:r>
      <w:r w:rsidRPr="002E145E">
        <w:rPr>
          <w:rStyle w:val="normaltextrun"/>
          <w:rFonts w:ascii="Calibri" w:hAnsi="Calibri" w:cs="Calibri"/>
          <w:sz w:val="22"/>
          <w:szCs w:val="22"/>
        </w:rPr>
        <w:t> “The Threads That Bind: Weaving Respect into Workplace Culture and Impact in Viet Nam’s Garment Sector.”</w:t>
      </w:r>
    </w:p>
    <w:p w14:paraId="35DA36BE" w14:textId="59A4DF93" w:rsidR="002E145E" w:rsidRPr="002E145E" w:rsidRDefault="002E145E" w:rsidP="002E145E">
      <w:pPr>
        <w:pStyle w:val="paragraph"/>
        <w:numPr>
          <w:ilvl w:val="0"/>
          <w:numId w:val="51"/>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Introductory text:</w:t>
      </w:r>
      <w:r w:rsidRPr="002E145E">
        <w:rPr>
          <w:rStyle w:val="normaltextrun"/>
          <w:rFonts w:ascii="Calibri" w:hAnsi="Calibri" w:cs="Calibri"/>
          <w:sz w:val="22"/>
          <w:szCs w:val="22"/>
        </w:rPr>
        <w:t> “For Xuan Hoang — and thousands of garment factories across Viet Nam producing for global buyers — attracting and retaining workers is vital to sustaining productivity. Increasingly, factories are discovering that the hidden thread to a stronger workforce lies in creating respectful workplaces.”</w:t>
      </w:r>
    </w:p>
    <w:p w14:paraId="0F72E015" w14:textId="2521E13F" w:rsidR="002E145E" w:rsidRPr="002E145E" w:rsidRDefault="002E145E" w:rsidP="002E145E">
      <w:pPr>
        <w:pStyle w:val="paragraph"/>
        <w:numPr>
          <w:ilvl w:val="0"/>
          <w:numId w:val="52"/>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Pull-quote:</w:t>
      </w:r>
      <w:r w:rsidRPr="002E145E">
        <w:rPr>
          <w:rStyle w:val="normaltextrun"/>
          <w:rFonts w:ascii="Calibri" w:hAnsi="Calibri" w:cs="Calibri"/>
          <w:sz w:val="22"/>
          <w:szCs w:val="22"/>
        </w:rPr>
        <w:t> “… It’s essential that we work in harmony, safeguard our employees, and provide mutual support to maintain steady production.” — Ms. Huynh Thi Hien, HR Manager, Xuan Hoang Garment Factory.</w:t>
      </w:r>
    </w:p>
    <w:p w14:paraId="5B2D2BE2" w14:textId="34A65F96" w:rsidR="002E145E" w:rsidRPr="002E145E" w:rsidRDefault="002E145E" w:rsidP="002E145E">
      <w:pPr>
        <w:pStyle w:val="paragraph"/>
        <w:spacing w:before="0" w:beforeAutospacing="0" w:after="0" w:afterAutospacing="0"/>
        <w:textAlignment w:val="baseline"/>
        <w:rPr>
          <w:rFonts w:ascii="Calibri" w:hAnsi="Calibri" w:cs="Calibri"/>
          <w:sz w:val="22"/>
          <w:szCs w:val="22"/>
        </w:rPr>
      </w:pPr>
    </w:p>
    <w:p w14:paraId="6EF96A7F" w14:textId="77922C59"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Publication cover — “The Green Edge” (Viet Nam diagnostic, June 2025)</w:t>
      </w:r>
    </w:p>
    <w:p w14:paraId="71776B77" w14:textId="3F8E256F" w:rsidR="002E145E" w:rsidRPr="002E145E" w:rsidRDefault="002E145E">
      <w:pPr>
        <w:pStyle w:val="paragraph"/>
        <w:numPr>
          <w:ilvl w:val="0"/>
          <w:numId w:val="53"/>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Document type:</w:t>
      </w:r>
      <w:r w:rsidRPr="002E145E">
        <w:rPr>
          <w:rStyle w:val="normaltextrun"/>
          <w:rFonts w:ascii="Calibri" w:hAnsi="Calibri" w:cs="Calibri"/>
          <w:sz w:val="22"/>
          <w:szCs w:val="22"/>
        </w:rPr>
        <w:t> IFC report — “A Viet Nam Diagnostic”; dated June 2025; marked “Report.” Carries the Australian Aid and IFC (International Finance Corporation, World Bank Group) logos.</w:t>
      </w:r>
    </w:p>
    <w:p w14:paraId="0D62B2A3" w14:textId="4B3EE243" w:rsidR="002E145E" w:rsidRPr="002E145E" w:rsidRDefault="002E145E">
      <w:pPr>
        <w:pStyle w:val="paragraph"/>
        <w:numPr>
          <w:ilvl w:val="0"/>
          <w:numId w:val="54"/>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Title:</w:t>
      </w:r>
      <w:r w:rsidRPr="002E145E">
        <w:rPr>
          <w:rStyle w:val="normaltextrun"/>
          <w:rFonts w:ascii="Calibri" w:hAnsi="Calibri" w:cs="Calibri"/>
          <w:sz w:val="22"/>
          <w:szCs w:val="22"/>
        </w:rPr>
        <w:t> “The Green Edge: Women’s Employment and Leadership for Sustainable Business in Viet Nam.”</w:t>
      </w:r>
    </w:p>
    <w:p w14:paraId="1E6BDB2D" w14:textId="467AF8B6" w:rsidR="002E145E" w:rsidRPr="002E145E" w:rsidRDefault="002E145E">
      <w:pPr>
        <w:pStyle w:val="paragraph"/>
        <w:numPr>
          <w:ilvl w:val="0"/>
          <w:numId w:val="55"/>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Cover photograph:</w:t>
      </w:r>
      <w:r w:rsidRPr="002E145E">
        <w:rPr>
          <w:rStyle w:val="normaltextrun"/>
          <w:rFonts w:ascii="Calibri" w:hAnsi="Calibri" w:cs="Calibri"/>
          <w:sz w:val="22"/>
          <w:szCs w:val="22"/>
        </w:rPr>
        <w:t> A farmer wearing a conical hat tending a green rice field.</w:t>
      </w:r>
    </w:p>
    <w:p w14:paraId="2AC41D86" w14:textId="76A425D2" w:rsidR="002E145E" w:rsidRPr="002E145E" w:rsidRDefault="002E145E" w:rsidP="002E145E">
      <w:pPr>
        <w:pStyle w:val="paragraph"/>
        <w:spacing w:before="0" w:beforeAutospacing="0" w:after="0" w:afterAutospacing="0"/>
        <w:textAlignment w:val="baseline"/>
        <w:rPr>
          <w:rFonts w:ascii="Calibri" w:hAnsi="Calibri" w:cs="Calibri"/>
          <w:sz w:val="22"/>
          <w:szCs w:val="22"/>
        </w:rPr>
      </w:pPr>
    </w:p>
    <w:p w14:paraId="40AD5ECB" w14:textId="070E5397"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Figure 1: Green Credit and Bonds in Viet Nam</w:t>
      </w:r>
    </w:p>
    <w:p w14:paraId="561A65AA" w14:textId="6B0DAF63"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sz w:val="22"/>
          <w:szCs w:val="22"/>
        </w:rPr>
        <w:t>Location: Future Guidance section (page 36).</w:t>
      </w:r>
    </w:p>
    <w:p w14:paraId="48F19859" w14:textId="77777777" w:rsidR="002E145E" w:rsidRDefault="002E145E">
      <w:pPr>
        <w:pStyle w:val="paragraph"/>
        <w:numPr>
          <w:ilvl w:val="0"/>
          <w:numId w:val="56"/>
        </w:numPr>
        <w:spacing w:before="0" w:beforeAutospacing="0" w:after="0" w:afterAutospacing="0"/>
        <w:ind w:left="915" w:firstLine="0"/>
        <w:textAlignment w:val="baseline"/>
        <w:rPr>
          <w:rStyle w:val="normaltextrun"/>
          <w:rFonts w:ascii="Calibri" w:hAnsi="Calibri" w:cs="Calibri"/>
          <w:sz w:val="22"/>
          <w:szCs w:val="22"/>
        </w:rPr>
      </w:pPr>
      <w:r w:rsidRPr="002E145E">
        <w:rPr>
          <w:rStyle w:val="normaltextrun"/>
          <w:rFonts w:ascii="Calibri" w:hAnsi="Calibri" w:cs="Calibri"/>
          <w:b/>
          <w:bCs/>
          <w:sz w:val="22"/>
          <w:szCs w:val="22"/>
        </w:rPr>
        <w:t>Source:</w:t>
      </w:r>
      <w:r w:rsidRPr="002E145E">
        <w:rPr>
          <w:rStyle w:val="normaltextrun"/>
          <w:rFonts w:ascii="Calibri" w:hAnsi="Calibri" w:cs="Calibri"/>
          <w:sz w:val="22"/>
          <w:szCs w:val="22"/>
        </w:rPr>
        <w:t> As stated in the report body, Figures 1 and 2 are screenshots taken from an IFC green-finance presentation.</w:t>
      </w:r>
    </w:p>
    <w:p w14:paraId="32061F9A" w14:textId="18824F2F" w:rsidR="002E145E" w:rsidRDefault="002E145E">
      <w:pPr>
        <w:pStyle w:val="paragraph"/>
        <w:numPr>
          <w:ilvl w:val="0"/>
          <w:numId w:val="56"/>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S</w:t>
      </w:r>
      <w:r w:rsidRPr="002E145E">
        <w:rPr>
          <w:rFonts w:ascii="Calibri" w:hAnsi="Calibri" w:cs="Calibri"/>
          <w:b/>
          <w:bCs/>
          <w:sz w:val="22"/>
          <w:szCs w:val="22"/>
        </w:rPr>
        <w:t>ummary</w:t>
      </w:r>
      <w:r w:rsidRPr="002E145E">
        <w:rPr>
          <w:rFonts w:ascii="Calibri" w:hAnsi="Calibri" w:cs="Calibri"/>
          <w:sz w:val="22"/>
          <w:szCs w:val="22"/>
        </w:rPr>
        <w:t>: Viet Nam's green credit is scaling up rapidly, driven by banks and policy support, despite challenges like the lack of standardi</w:t>
      </w:r>
      <w:r>
        <w:rPr>
          <w:rFonts w:ascii="Calibri" w:hAnsi="Calibri" w:cs="Calibri"/>
          <w:sz w:val="22"/>
          <w:szCs w:val="22"/>
        </w:rPr>
        <w:t>z</w:t>
      </w:r>
      <w:r w:rsidRPr="002E145E">
        <w:rPr>
          <w:rFonts w:ascii="Calibri" w:hAnsi="Calibri" w:cs="Calibri"/>
          <w:sz w:val="22"/>
          <w:szCs w:val="22"/>
        </w:rPr>
        <w:t>ed guidelines.</w:t>
      </w:r>
    </w:p>
    <w:p w14:paraId="25D5CF34" w14:textId="57243CD0" w:rsidR="002E145E" w:rsidRDefault="002E145E">
      <w:pPr>
        <w:pStyle w:val="paragraph"/>
        <w:numPr>
          <w:ilvl w:val="0"/>
          <w:numId w:val="56"/>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lastRenderedPageBreak/>
        <w:t>Market overview</w:t>
      </w:r>
      <w:r w:rsidRPr="002E145E">
        <w:rPr>
          <w:rFonts w:ascii="Calibri" w:hAnsi="Calibri" w:cs="Calibri"/>
          <w:sz w:val="22"/>
          <w:szCs w:val="22"/>
        </w:rPr>
        <w:t>: green credit outstanding</w:t>
      </w:r>
      <w:r>
        <w:rPr>
          <w:rFonts w:ascii="Calibri" w:hAnsi="Calibri" w:cs="Calibri"/>
          <w:sz w:val="22"/>
          <w:szCs w:val="22"/>
        </w:rPr>
        <w:t xml:space="preserve"> balance</w:t>
      </w:r>
      <w:r w:rsidRPr="002E145E">
        <w:rPr>
          <w:rFonts w:ascii="Calibri" w:hAnsi="Calibri" w:cs="Calibri"/>
          <w:sz w:val="22"/>
          <w:szCs w:val="22"/>
        </w:rPr>
        <w:t xml:space="preserve"> expected to reach VND 750–850 trillion by end-2025 (~5% of total credit); annual average growth &gt;21%; commercial banks hold ~88% of green credit (key issuers BIDV VND 3,000 bn, Vietcombank VND 2,000 bn, IDI Seafood VND 1,000 bn, AquaOne Group VND 875.1 bn); cumulative green bond issuance &gt;USD 1.5 bn over 2020–2025.</w:t>
      </w:r>
    </w:p>
    <w:p w14:paraId="24D041C3" w14:textId="77777777" w:rsidR="002E145E" w:rsidRDefault="002E145E">
      <w:pPr>
        <w:pStyle w:val="paragraph"/>
        <w:numPr>
          <w:ilvl w:val="0"/>
          <w:numId w:val="56"/>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Challenges</w:t>
      </w:r>
      <w:r w:rsidRPr="002E145E">
        <w:rPr>
          <w:rFonts w:ascii="Calibri" w:hAnsi="Calibri" w:cs="Calibri"/>
          <w:sz w:val="22"/>
          <w:szCs w:val="22"/>
        </w:rPr>
        <w:t>: regulatory gaps/ambiguities; maturity mismatch (short-term capital vs. long-term project needs).</w:t>
      </w:r>
    </w:p>
    <w:p w14:paraId="1497A516" w14:textId="77777777" w:rsidR="002E145E" w:rsidRDefault="002E145E">
      <w:pPr>
        <w:pStyle w:val="paragraph"/>
        <w:numPr>
          <w:ilvl w:val="0"/>
          <w:numId w:val="56"/>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sz w:val="22"/>
          <w:szCs w:val="22"/>
        </w:rPr>
        <w:t xml:space="preserve">The </w:t>
      </w:r>
      <w:r w:rsidRPr="002E145E">
        <w:rPr>
          <w:rFonts w:ascii="Calibri" w:hAnsi="Calibri" w:cs="Calibri"/>
          <w:b/>
          <w:bCs/>
          <w:sz w:val="22"/>
          <w:szCs w:val="22"/>
        </w:rPr>
        <w:t>two charts</w:t>
      </w:r>
      <w:r w:rsidRPr="002E145E">
        <w:rPr>
          <w:rFonts w:ascii="Calibri" w:hAnsi="Calibri" w:cs="Calibri"/>
          <w:sz w:val="22"/>
          <w:szCs w:val="22"/>
        </w:rPr>
        <w:t xml:space="preserve"> described in words: green credit outstanding rising 2017→2024 to ~VND 679,000 bn (≈ USD 25.8 bn); green bond issuance rising 2022→2024 to VND 6,875 bn (≈ USD 261 mn).</w:t>
      </w:r>
    </w:p>
    <w:p w14:paraId="21A137CB" w14:textId="048F9D71" w:rsidR="002E145E" w:rsidRPr="002E145E" w:rsidRDefault="002E145E">
      <w:pPr>
        <w:pStyle w:val="paragraph"/>
        <w:numPr>
          <w:ilvl w:val="0"/>
          <w:numId w:val="56"/>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Source</w:t>
      </w:r>
      <w:r w:rsidRPr="002E145E">
        <w:rPr>
          <w:rFonts w:ascii="Calibri" w:hAnsi="Calibri" w:cs="Calibri"/>
          <w:sz w:val="22"/>
          <w:szCs w:val="22"/>
        </w:rPr>
        <w:t>: State Bank of Viet Nam; FiinRatings (2025); S&amp;I Ratings; PwC (2025).</w:t>
      </w:r>
    </w:p>
    <w:p w14:paraId="7FF866F1" w14:textId="77777777" w:rsidR="002E145E" w:rsidRPr="002E145E" w:rsidRDefault="002E145E" w:rsidP="002E145E">
      <w:pPr>
        <w:pStyle w:val="paragraph"/>
        <w:spacing w:before="0" w:beforeAutospacing="0" w:after="0" w:afterAutospacing="0"/>
        <w:ind w:left="915"/>
        <w:textAlignment w:val="baseline"/>
        <w:rPr>
          <w:rFonts w:ascii="Calibri" w:hAnsi="Calibri" w:cs="Calibri"/>
          <w:sz w:val="22"/>
          <w:szCs w:val="22"/>
        </w:rPr>
      </w:pPr>
    </w:p>
    <w:p w14:paraId="1D30164A" w14:textId="2331BCCB" w:rsidR="002E145E" w:rsidRPr="002E145E" w:rsidRDefault="002E145E" w:rsidP="002E145E">
      <w:pPr>
        <w:pStyle w:val="paragraph"/>
        <w:spacing w:before="0" w:beforeAutospacing="0" w:after="0" w:afterAutospacing="0"/>
        <w:textAlignment w:val="baseline"/>
        <w:rPr>
          <w:rFonts w:ascii="Calibri" w:hAnsi="Calibri" w:cs="Calibri"/>
          <w:sz w:val="22"/>
          <w:szCs w:val="22"/>
        </w:rPr>
      </w:pPr>
    </w:p>
    <w:p w14:paraId="58D3C583" w14:textId="674897C9"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Figure 2: Financing Needs for Climate Action in Viet Nam</w:t>
      </w:r>
    </w:p>
    <w:p w14:paraId="4F4D0802" w14:textId="7796B0E8"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sz w:val="22"/>
          <w:szCs w:val="22"/>
        </w:rPr>
        <w:t>Location: Future Guidance section (page 37).</w:t>
      </w:r>
    </w:p>
    <w:p w14:paraId="10F41AF0" w14:textId="77777777" w:rsidR="002E145E" w:rsidRDefault="002E145E">
      <w:pPr>
        <w:pStyle w:val="paragraph"/>
        <w:numPr>
          <w:ilvl w:val="0"/>
          <w:numId w:val="57"/>
        </w:numPr>
        <w:spacing w:before="0" w:beforeAutospacing="0" w:after="0" w:afterAutospacing="0"/>
        <w:ind w:left="915" w:firstLine="0"/>
        <w:textAlignment w:val="baseline"/>
        <w:rPr>
          <w:rStyle w:val="normaltextrun"/>
          <w:rFonts w:ascii="Calibri" w:hAnsi="Calibri" w:cs="Calibri"/>
          <w:sz w:val="22"/>
          <w:szCs w:val="22"/>
        </w:rPr>
      </w:pPr>
      <w:r w:rsidRPr="002E145E">
        <w:rPr>
          <w:rStyle w:val="normaltextrun"/>
          <w:rFonts w:ascii="Calibri" w:hAnsi="Calibri" w:cs="Calibri"/>
          <w:b/>
          <w:bCs/>
          <w:sz w:val="22"/>
          <w:szCs w:val="22"/>
        </w:rPr>
        <w:t>Source:</w:t>
      </w:r>
      <w:r w:rsidRPr="002E145E">
        <w:rPr>
          <w:rStyle w:val="normaltextrun"/>
          <w:rFonts w:ascii="Calibri" w:hAnsi="Calibri" w:cs="Calibri"/>
          <w:sz w:val="22"/>
          <w:szCs w:val="22"/>
        </w:rPr>
        <w:t> As stated in the report body, Figures 1 and 2 are screenshots taken from an IFC green-finance presentation.</w:t>
      </w:r>
    </w:p>
    <w:p w14:paraId="1921B842" w14:textId="77777777" w:rsidR="002E145E" w:rsidRDefault="002E145E">
      <w:pPr>
        <w:pStyle w:val="paragraph"/>
        <w:numPr>
          <w:ilvl w:val="0"/>
          <w:numId w:val="57"/>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 xml:space="preserve">Headline: </w:t>
      </w:r>
      <w:r>
        <w:rPr>
          <w:rFonts w:ascii="Calibri" w:hAnsi="Calibri" w:cs="Calibri"/>
          <w:sz w:val="22"/>
          <w:szCs w:val="22"/>
        </w:rPr>
        <w:t xml:space="preserve">World Bank estimates indicate that </w:t>
      </w:r>
      <w:r w:rsidRPr="002E145E">
        <w:rPr>
          <w:rFonts w:ascii="Calibri" w:hAnsi="Calibri" w:cs="Calibri"/>
          <w:sz w:val="22"/>
          <w:szCs w:val="22"/>
        </w:rPr>
        <w:t xml:space="preserve">Viet Nam </w:t>
      </w:r>
      <w:r>
        <w:rPr>
          <w:rFonts w:ascii="Calibri" w:hAnsi="Calibri" w:cs="Calibri"/>
          <w:sz w:val="22"/>
          <w:szCs w:val="22"/>
        </w:rPr>
        <w:t xml:space="preserve">will require roughly </w:t>
      </w:r>
      <w:r w:rsidRPr="002E145E">
        <w:rPr>
          <w:rFonts w:ascii="Calibri" w:hAnsi="Calibri" w:cs="Calibri"/>
          <w:sz w:val="22"/>
          <w:szCs w:val="22"/>
        </w:rPr>
        <w:t>~USD 368 billion in cumulative climate funding by 2040 (≈6% of national GDP) for mitigation and adaptation.</w:t>
      </w:r>
    </w:p>
    <w:p w14:paraId="0926362F" w14:textId="77777777" w:rsidR="002E145E" w:rsidRDefault="002E145E">
      <w:pPr>
        <w:pStyle w:val="paragraph"/>
        <w:numPr>
          <w:ilvl w:val="0"/>
          <w:numId w:val="57"/>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By source of finance</w:t>
      </w:r>
      <w:r w:rsidRPr="002E145E">
        <w:rPr>
          <w:rFonts w:ascii="Calibri" w:hAnsi="Calibri" w:cs="Calibri"/>
          <w:sz w:val="22"/>
          <w:szCs w:val="22"/>
        </w:rPr>
        <w:t>: Public USD 130 bn (carbon tax / domestic borrowing); Private USD 184 bn (green credit by banks, green equities and bonds, de-risking tools); External USD 54 bn (external support).</w:t>
      </w:r>
    </w:p>
    <w:p w14:paraId="72D325E8" w14:textId="77777777" w:rsidR="002E145E" w:rsidRDefault="002E145E">
      <w:pPr>
        <w:pStyle w:val="paragraph"/>
        <w:numPr>
          <w:ilvl w:val="0"/>
          <w:numId w:val="57"/>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By type:</w:t>
      </w:r>
      <w:r w:rsidRPr="002E145E">
        <w:rPr>
          <w:rFonts w:ascii="Calibri" w:hAnsi="Calibri" w:cs="Calibri"/>
          <w:sz w:val="22"/>
          <w:szCs w:val="22"/>
        </w:rPr>
        <w:t xml:space="preserve"> Adaptation/resilience USD 254 bn; Mitigation/decarbonisation USD 114 bn</w:t>
      </w:r>
      <w:r>
        <w:rPr>
          <w:rFonts w:ascii="Calibri" w:hAnsi="Calibri" w:cs="Calibri"/>
          <w:sz w:val="22"/>
          <w:szCs w:val="22"/>
        </w:rPr>
        <w:t xml:space="preserve">; </w:t>
      </w:r>
      <w:r w:rsidRPr="002E145E">
        <w:rPr>
          <w:rFonts w:ascii="Calibri" w:hAnsi="Calibri" w:cs="Calibri"/>
          <w:sz w:val="22"/>
          <w:szCs w:val="22"/>
        </w:rPr>
        <w:t>with the note that public resources are only ~2% of GDP/year, so private capital mobilisation is key.</w:t>
      </w:r>
    </w:p>
    <w:p w14:paraId="42890263" w14:textId="29623AE1" w:rsidR="002E145E" w:rsidRPr="002E145E" w:rsidRDefault="002E145E">
      <w:pPr>
        <w:pStyle w:val="paragraph"/>
        <w:numPr>
          <w:ilvl w:val="0"/>
          <w:numId w:val="57"/>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Sectoral breakdown</w:t>
      </w:r>
      <w:r w:rsidRPr="002E145E">
        <w:rPr>
          <w:rFonts w:ascii="Calibri" w:hAnsi="Calibri" w:cs="Calibri"/>
          <w:sz w:val="22"/>
          <w:szCs w:val="22"/>
        </w:rPr>
        <w:t>: Energy &amp; transport ~USD 12 bn by 2030 (Power Development Plan VIII); Agriculture, urban &amp; water infrastructure USD 233 bn (2025–2050); Social &amp; community resilience USD 35 bn by 2040.</w:t>
      </w:r>
    </w:p>
    <w:p w14:paraId="3D88F887" w14:textId="62391289" w:rsidR="002E145E" w:rsidRPr="002E145E" w:rsidRDefault="002E145E">
      <w:pPr>
        <w:pStyle w:val="paragraph"/>
        <w:numPr>
          <w:ilvl w:val="0"/>
          <w:numId w:val="57"/>
        </w:numPr>
        <w:spacing w:before="0" w:beforeAutospacing="0" w:after="0" w:afterAutospacing="0"/>
        <w:ind w:left="915" w:firstLine="0"/>
        <w:textAlignment w:val="baseline"/>
        <w:rPr>
          <w:rFonts w:ascii="Calibri" w:hAnsi="Calibri" w:cs="Calibri"/>
          <w:sz w:val="22"/>
          <w:szCs w:val="22"/>
        </w:rPr>
      </w:pPr>
      <w:r w:rsidRPr="002E145E">
        <w:rPr>
          <w:rFonts w:ascii="Calibri" w:hAnsi="Calibri" w:cs="Calibri"/>
          <w:b/>
          <w:bCs/>
          <w:sz w:val="22"/>
          <w:szCs w:val="22"/>
        </w:rPr>
        <w:t>Source</w:t>
      </w:r>
      <w:r w:rsidRPr="002E145E">
        <w:rPr>
          <w:rFonts w:ascii="Calibri" w:hAnsi="Calibri" w:cs="Calibri"/>
          <w:sz w:val="22"/>
          <w:szCs w:val="22"/>
        </w:rPr>
        <w:t>: World Bank CCDR, 2025; World Bank Group, 2025.</w:t>
      </w:r>
    </w:p>
    <w:p w14:paraId="7D581DB0" w14:textId="124BE2FA" w:rsidR="002E145E" w:rsidRPr="002E145E" w:rsidRDefault="002E145E" w:rsidP="002E145E">
      <w:pPr>
        <w:pStyle w:val="paragraph"/>
        <w:spacing w:before="0" w:beforeAutospacing="0" w:after="0" w:afterAutospacing="0"/>
        <w:ind w:left="915"/>
        <w:textAlignment w:val="baseline"/>
        <w:rPr>
          <w:rFonts w:ascii="Calibri" w:hAnsi="Calibri" w:cs="Calibri"/>
          <w:sz w:val="22"/>
          <w:szCs w:val="22"/>
        </w:rPr>
      </w:pPr>
    </w:p>
    <w:p w14:paraId="3877EDC9" w14:textId="1D2D6A08" w:rsidR="002E145E" w:rsidRPr="002E145E" w:rsidRDefault="002E145E" w:rsidP="002E145E">
      <w:pPr>
        <w:pStyle w:val="paragraph"/>
        <w:spacing w:before="0" w:beforeAutospacing="0" w:after="0" w:afterAutospacing="0"/>
        <w:textAlignment w:val="baseline"/>
        <w:rPr>
          <w:rFonts w:ascii="Calibri" w:hAnsi="Calibri" w:cs="Calibri"/>
          <w:sz w:val="22"/>
          <w:szCs w:val="22"/>
        </w:rPr>
      </w:pPr>
    </w:p>
    <w:p w14:paraId="6BEA13CE" w14:textId="78C4C8A5"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Theory of Change diagram — VPSDP, 2023 to 2027</w:t>
      </w:r>
    </w:p>
    <w:p w14:paraId="0E06B33C" w14:textId="128DB2C7"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i/>
          <w:iCs/>
          <w:color w:val="595959"/>
          <w:sz w:val="22"/>
          <w:szCs w:val="22"/>
        </w:rPr>
        <w:t xml:space="preserve">Location: Annex 2 (VPSDP Theory of Change). The diagram is a matrix: the rows are a results chain — Outcome, Intermediate Outcome, Outputs/Activities and Market Constraints — and the columns </w:t>
      </w:r>
      <w:r w:rsidR="00FA7270">
        <w:rPr>
          <w:rStyle w:val="normaltextrun"/>
          <w:rFonts w:ascii="Calibri" w:hAnsi="Calibri" w:cs="Calibri"/>
          <w:i/>
          <w:iCs/>
          <w:color w:val="595959"/>
          <w:sz w:val="22"/>
          <w:szCs w:val="22"/>
        </w:rPr>
        <w:t xml:space="preserve">are </w:t>
      </w:r>
      <w:r w:rsidRPr="002E145E">
        <w:rPr>
          <w:rStyle w:val="normaltextrun"/>
          <w:rFonts w:ascii="Calibri" w:hAnsi="Calibri" w:cs="Calibri"/>
          <w:i/>
          <w:iCs/>
          <w:color w:val="595959"/>
          <w:sz w:val="22"/>
          <w:szCs w:val="22"/>
        </w:rPr>
        <w:t>the four program pillars. A separate column lists the program’s key assumptions. The text of each cell is reproduced below, organi</w:t>
      </w:r>
      <w:r w:rsidR="00FA7270">
        <w:rPr>
          <w:rStyle w:val="normaltextrun"/>
          <w:rFonts w:ascii="Calibri" w:hAnsi="Calibri" w:cs="Calibri"/>
          <w:i/>
          <w:iCs/>
          <w:color w:val="595959"/>
          <w:sz w:val="22"/>
          <w:szCs w:val="22"/>
        </w:rPr>
        <w:t>z</w:t>
      </w:r>
      <w:r w:rsidRPr="002E145E">
        <w:rPr>
          <w:rStyle w:val="normaltextrun"/>
          <w:rFonts w:ascii="Calibri" w:hAnsi="Calibri" w:cs="Calibri"/>
          <w:i/>
          <w:iCs/>
          <w:color w:val="595959"/>
          <w:sz w:val="22"/>
          <w:szCs w:val="22"/>
        </w:rPr>
        <w:t>ed by pillar.</w:t>
      </w:r>
    </w:p>
    <w:p w14:paraId="3216BFC4" w14:textId="7B881389" w:rsidR="002E145E" w:rsidRDefault="002E145E" w:rsidP="002E145E">
      <w:pPr>
        <w:pStyle w:val="paragraph"/>
        <w:spacing w:before="0" w:beforeAutospacing="0" w:after="0" w:afterAutospacing="0"/>
        <w:textAlignment w:val="baseline"/>
        <w:rPr>
          <w:rStyle w:val="eop"/>
          <w:rFonts w:ascii="Calibri" w:hAnsi="Calibri" w:cs="Calibri"/>
          <w:sz w:val="22"/>
          <w:szCs w:val="22"/>
          <w:bdr w:val="none" w:sz="0" w:space="0" w:color="auto" w:frame="1"/>
          <w:shd w:val="clear" w:color="auto" w:fill="C6C6C6"/>
        </w:rPr>
      </w:pPr>
      <w:r w:rsidRPr="002E145E">
        <w:rPr>
          <w:rStyle w:val="normaltextrun"/>
          <w:rFonts w:ascii="Calibri" w:hAnsi="Calibri" w:cs="Calibri"/>
          <w:b/>
          <w:bCs/>
          <w:sz w:val="22"/>
          <w:szCs w:val="22"/>
        </w:rPr>
        <w:t>Goal: </w:t>
      </w:r>
      <w:r w:rsidRPr="002E145E">
        <w:rPr>
          <w:rStyle w:val="normaltextrun"/>
          <w:rFonts w:ascii="Calibri" w:hAnsi="Calibri" w:cs="Calibri"/>
          <w:sz w:val="22"/>
          <w:szCs w:val="22"/>
        </w:rPr>
        <w:t>Enhance the competitiveness and accelerate the growth of the private sector to foster an inclusive and sustainable recovery, and accelerate the transition towards a greener economy to deliver on Vietnam’s climate change adaptation and mitigation targets.</w:t>
      </w:r>
    </w:p>
    <w:p w14:paraId="0FD828C3" w14:textId="77777777" w:rsidR="00FA7270" w:rsidRPr="002E145E" w:rsidRDefault="00FA7270" w:rsidP="002E145E">
      <w:pPr>
        <w:pStyle w:val="paragraph"/>
        <w:spacing w:before="0" w:beforeAutospacing="0" w:after="0" w:afterAutospacing="0"/>
        <w:textAlignment w:val="baseline"/>
        <w:rPr>
          <w:rFonts w:ascii="Calibri" w:hAnsi="Calibri" w:cs="Calibri"/>
          <w:sz w:val="22"/>
          <w:szCs w:val="22"/>
        </w:rPr>
      </w:pPr>
    </w:p>
    <w:p w14:paraId="2DC79A2C" w14:textId="72A0713E" w:rsidR="002E145E" w:rsidRPr="002E145E" w:rsidRDefault="002E145E" w:rsidP="002E145E">
      <w:pPr>
        <w:pStyle w:val="paragraph"/>
        <w:spacing w:before="0" w:beforeAutospacing="0" w:after="0" w:afterAutospacing="0"/>
        <w:textAlignment w:val="baseline"/>
        <w:rPr>
          <w:rFonts w:ascii="Calibri" w:hAnsi="Calibri" w:cs="Calibri"/>
          <w:b/>
          <w:bCs/>
          <w:color w:val="1F3864"/>
          <w:sz w:val="22"/>
          <w:szCs w:val="22"/>
        </w:rPr>
      </w:pPr>
      <w:r w:rsidRPr="002E145E">
        <w:rPr>
          <w:rStyle w:val="normaltextrun"/>
          <w:rFonts w:ascii="Calibri" w:hAnsi="Calibri" w:cs="Calibri"/>
          <w:b/>
          <w:bCs/>
          <w:color w:val="1F3864"/>
          <w:sz w:val="22"/>
          <w:szCs w:val="22"/>
        </w:rPr>
        <w:t>Pillar 1 — Enabling environment for the private sector</w:t>
      </w:r>
    </w:p>
    <w:p w14:paraId="5D7246E6" w14:textId="10253E67" w:rsidR="002E145E" w:rsidRPr="002E145E" w:rsidRDefault="002E145E">
      <w:pPr>
        <w:pStyle w:val="paragraph"/>
        <w:numPr>
          <w:ilvl w:val="0"/>
          <w:numId w:val="58"/>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Outcome (1.1 Enabling environment improvement):</w:t>
      </w:r>
      <w:r w:rsidRPr="002E145E">
        <w:rPr>
          <w:rStyle w:val="normaltextrun"/>
          <w:rFonts w:ascii="Calibri" w:hAnsi="Calibri" w:cs="Calibri"/>
          <w:sz w:val="22"/>
          <w:szCs w:val="22"/>
        </w:rPr>
        <w:t> Improved legal and regulatory environment through the implementation of reforms that respond to private sector needs.</w:t>
      </w:r>
    </w:p>
    <w:p w14:paraId="0416D93F" w14:textId="11BBD0BE" w:rsidR="002E145E" w:rsidRPr="002E145E" w:rsidRDefault="002E145E">
      <w:pPr>
        <w:pStyle w:val="paragraph"/>
        <w:numPr>
          <w:ilvl w:val="0"/>
          <w:numId w:val="59"/>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Intermediate Outcome (1.2 Strengthened capacity for enabling environment):</w:t>
      </w:r>
      <w:r w:rsidRPr="002E145E">
        <w:rPr>
          <w:rStyle w:val="normaltextrun"/>
          <w:rFonts w:ascii="Calibri" w:hAnsi="Calibri" w:cs="Calibri"/>
          <w:sz w:val="22"/>
          <w:szCs w:val="22"/>
        </w:rPr>
        <w:t> Improved awareness on conducive business regulations and investment policy framework; strengthened government’s capacity to implement the right policies to promote green business opportunities.</w:t>
      </w:r>
    </w:p>
    <w:p w14:paraId="7B990ABE" w14:textId="7FD7B807" w:rsidR="002E145E" w:rsidRPr="002E145E" w:rsidRDefault="002E145E">
      <w:pPr>
        <w:pStyle w:val="paragraph"/>
        <w:numPr>
          <w:ilvl w:val="0"/>
          <w:numId w:val="60"/>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Outputs / Activities (1.3 Enabling environment for the private sector):</w:t>
      </w:r>
      <w:r w:rsidRPr="002E145E">
        <w:rPr>
          <w:rStyle w:val="normaltextrun"/>
          <w:rFonts w:ascii="Calibri" w:hAnsi="Calibri" w:cs="Calibri"/>
          <w:sz w:val="22"/>
          <w:szCs w:val="22"/>
        </w:rPr>
        <w:t> Economy-wide advice to improve business regulations and investment policy framework (e.g., drafting and reviewing relevant regulations); sector-specific enabling-environment advice to government to promote green business opportunities (e.g., industrial decarbonisation, eco-industrial parks, green manufacturing).</w:t>
      </w:r>
    </w:p>
    <w:p w14:paraId="393E1874" w14:textId="5C4CB908" w:rsidR="002E145E" w:rsidRPr="002E145E" w:rsidRDefault="002E145E">
      <w:pPr>
        <w:pStyle w:val="paragraph"/>
        <w:numPr>
          <w:ilvl w:val="0"/>
          <w:numId w:val="61"/>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Market constraint (Competitiveness of the Private Sector):</w:t>
      </w:r>
      <w:r w:rsidRPr="002E145E">
        <w:rPr>
          <w:rStyle w:val="normaltextrun"/>
          <w:rFonts w:ascii="Calibri" w:hAnsi="Calibri" w:cs="Calibri"/>
          <w:sz w:val="22"/>
          <w:szCs w:val="22"/>
        </w:rPr>
        <w:t> Viet Nam has significant room for improvement in enhancing the enabling environment and greening relevant sectors.</w:t>
      </w:r>
    </w:p>
    <w:p w14:paraId="1E3CF6AE" w14:textId="6D43C796" w:rsidR="002E145E" w:rsidRPr="002E145E" w:rsidRDefault="002E145E" w:rsidP="002E145E">
      <w:pPr>
        <w:pStyle w:val="paragraph"/>
        <w:spacing w:before="0" w:beforeAutospacing="0" w:after="0" w:afterAutospacing="0"/>
        <w:textAlignment w:val="baseline"/>
        <w:rPr>
          <w:rFonts w:ascii="Calibri" w:hAnsi="Calibri" w:cs="Calibri"/>
          <w:b/>
          <w:bCs/>
          <w:color w:val="1F3864"/>
          <w:sz w:val="22"/>
          <w:szCs w:val="22"/>
        </w:rPr>
      </w:pPr>
      <w:r w:rsidRPr="002E145E">
        <w:rPr>
          <w:rStyle w:val="normaltextrun"/>
          <w:rFonts w:ascii="Calibri" w:hAnsi="Calibri" w:cs="Calibri"/>
          <w:b/>
          <w:bCs/>
          <w:color w:val="1F3864"/>
          <w:sz w:val="22"/>
          <w:szCs w:val="22"/>
        </w:rPr>
        <w:t>Pillar 2 — Accelerating inclusive and climate-smart private sector investment in key growth sectors</w:t>
      </w:r>
    </w:p>
    <w:p w14:paraId="23D03134" w14:textId="06634558" w:rsidR="002E145E" w:rsidRPr="002E145E" w:rsidRDefault="002E145E">
      <w:pPr>
        <w:pStyle w:val="paragraph"/>
        <w:numPr>
          <w:ilvl w:val="0"/>
          <w:numId w:val="62"/>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Outcome (2.1 Investment Pipeline Creation):</w:t>
      </w:r>
      <w:r w:rsidRPr="002E145E">
        <w:rPr>
          <w:rStyle w:val="normaltextrun"/>
          <w:rFonts w:ascii="Calibri" w:hAnsi="Calibri" w:cs="Calibri"/>
          <w:sz w:val="22"/>
          <w:szCs w:val="22"/>
        </w:rPr>
        <w:t> Pipeline of potentially bankable sustainable private investments across key growth sectors including infrastructure, agribusiness, finance, and tourism.</w:t>
      </w:r>
    </w:p>
    <w:p w14:paraId="04FC5004" w14:textId="4436C610" w:rsidR="002E145E" w:rsidRPr="002E145E" w:rsidRDefault="002E145E">
      <w:pPr>
        <w:pStyle w:val="paragraph"/>
        <w:numPr>
          <w:ilvl w:val="0"/>
          <w:numId w:val="63"/>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Intermediate Outcome (2.2 Improved readiness for sustainable private investments):</w:t>
      </w:r>
      <w:r w:rsidRPr="002E145E">
        <w:rPr>
          <w:rStyle w:val="normaltextrun"/>
          <w:rFonts w:ascii="Calibri" w:hAnsi="Calibri" w:cs="Calibri"/>
          <w:sz w:val="22"/>
          <w:szCs w:val="22"/>
        </w:rPr>
        <w:t> Improved understanding of market bottlenecks and opportunities; strengthened government’s and firms’ capacities in developing potential investments and adopting sustainable practices.</w:t>
      </w:r>
    </w:p>
    <w:p w14:paraId="5E965ECD" w14:textId="296807DA" w:rsidR="002E145E" w:rsidRPr="002E145E" w:rsidRDefault="002E145E">
      <w:pPr>
        <w:pStyle w:val="paragraph"/>
        <w:numPr>
          <w:ilvl w:val="0"/>
          <w:numId w:val="64"/>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lastRenderedPageBreak/>
        <w:t>Outputs / Activities (2.3 Accelerating Sustainable &amp; Climate-Smart Private Investment in Key Growth Sectors):</w:t>
      </w:r>
      <w:r w:rsidRPr="002E145E">
        <w:rPr>
          <w:rStyle w:val="normaltextrun"/>
          <w:rFonts w:ascii="Calibri" w:hAnsi="Calibri" w:cs="Calibri"/>
          <w:sz w:val="22"/>
          <w:szCs w:val="22"/>
        </w:rPr>
        <w:t> Scoping, feasibility, diagnostic and market studies; advisory services to firms (companies, farms and financial institutions) – both upstream and downstream; advisory services to government (e.g., PPP advice).</w:t>
      </w:r>
    </w:p>
    <w:p w14:paraId="49BFC4E6" w14:textId="17020998" w:rsidR="002E145E" w:rsidRPr="002E145E" w:rsidRDefault="002E145E">
      <w:pPr>
        <w:pStyle w:val="paragraph"/>
        <w:numPr>
          <w:ilvl w:val="0"/>
          <w:numId w:val="65"/>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Market constraints:</w:t>
      </w:r>
      <w:r w:rsidRPr="002E145E">
        <w:rPr>
          <w:rStyle w:val="normaltextrun"/>
          <w:rFonts w:ascii="Calibri" w:hAnsi="Calibri" w:cs="Calibri"/>
          <w:sz w:val="22"/>
          <w:szCs w:val="22"/>
        </w:rPr>
        <w:t> Accelerating sustainable infrastructure investment in areas including transportation, water and waste management, health, and/or renewables. Inadequate access to finance: low levels of physical and technological infrastructure (transportation/connectivity, health, housing, energy, and financial services).</w:t>
      </w:r>
    </w:p>
    <w:p w14:paraId="5CF19102" w14:textId="0ACEEF76" w:rsidR="002E145E" w:rsidRPr="002E145E" w:rsidRDefault="002E145E" w:rsidP="002E145E">
      <w:pPr>
        <w:pStyle w:val="paragraph"/>
        <w:spacing w:before="0" w:beforeAutospacing="0" w:after="0" w:afterAutospacing="0"/>
        <w:textAlignment w:val="baseline"/>
        <w:rPr>
          <w:rFonts w:ascii="Calibri" w:hAnsi="Calibri" w:cs="Calibri"/>
          <w:b/>
          <w:bCs/>
          <w:color w:val="1F3864"/>
          <w:sz w:val="22"/>
          <w:szCs w:val="22"/>
        </w:rPr>
      </w:pPr>
      <w:r w:rsidRPr="002E145E">
        <w:rPr>
          <w:rStyle w:val="normaltextrun"/>
          <w:rFonts w:ascii="Calibri" w:hAnsi="Calibri" w:cs="Calibri"/>
          <w:b/>
          <w:bCs/>
          <w:color w:val="1F3864"/>
          <w:sz w:val="22"/>
          <w:szCs w:val="22"/>
        </w:rPr>
        <w:t>Pillar 3 — Creating a green, sustainable, and inclusive financial sector</w:t>
      </w:r>
    </w:p>
    <w:p w14:paraId="3A54D152" w14:textId="04593659" w:rsidR="002E145E" w:rsidRPr="002E145E" w:rsidRDefault="002E145E">
      <w:pPr>
        <w:pStyle w:val="paragraph"/>
        <w:numPr>
          <w:ilvl w:val="0"/>
          <w:numId w:val="66"/>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Outcome (3.1 Sustainable and Inclusive Products &amp; Services):</w:t>
      </w:r>
      <w:r w:rsidRPr="002E145E">
        <w:rPr>
          <w:rStyle w:val="normaltextrun"/>
          <w:rFonts w:ascii="Calibri" w:hAnsi="Calibri" w:cs="Calibri"/>
          <w:sz w:val="22"/>
          <w:szCs w:val="22"/>
        </w:rPr>
        <w:t> New financial products and services developed, including those that aim to increase access to finance for women-owned business; sustainability-linked finance products; adoption of climate-smart solutions by financial institutions (FIs).</w:t>
      </w:r>
    </w:p>
    <w:p w14:paraId="62EEF73A" w14:textId="610EAB4F" w:rsidR="002E145E" w:rsidRPr="002E145E" w:rsidRDefault="002E145E">
      <w:pPr>
        <w:pStyle w:val="paragraph"/>
        <w:numPr>
          <w:ilvl w:val="0"/>
          <w:numId w:val="67"/>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Intermediate Outcome (3.2 Improved capacity for green finance):</w:t>
      </w:r>
      <w:r w:rsidRPr="002E145E">
        <w:rPr>
          <w:rStyle w:val="normaltextrun"/>
          <w:rFonts w:ascii="Calibri" w:hAnsi="Calibri" w:cs="Calibri"/>
          <w:sz w:val="22"/>
          <w:szCs w:val="22"/>
        </w:rPr>
        <w:t> Enhanced understanding by government and firms on the use of green finance products; increased financial institutions’ capacity to develop green finance products.</w:t>
      </w:r>
    </w:p>
    <w:p w14:paraId="048F4E01" w14:textId="3FC53BB6" w:rsidR="002E145E" w:rsidRPr="002E145E" w:rsidRDefault="002E145E">
      <w:pPr>
        <w:pStyle w:val="paragraph"/>
        <w:numPr>
          <w:ilvl w:val="0"/>
          <w:numId w:val="68"/>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Outputs / Activities (3.3 Greening the Financial Sector):</w:t>
      </w:r>
      <w:r w:rsidRPr="002E145E">
        <w:rPr>
          <w:rStyle w:val="normaltextrun"/>
          <w:rFonts w:ascii="Calibri" w:hAnsi="Calibri" w:cs="Calibri"/>
          <w:sz w:val="22"/>
          <w:szCs w:val="22"/>
        </w:rPr>
        <w:t> Advisory services to firms and to government stakeholders to increase understanding and use of green finance products; advisory services to financial institutions to support the development of a green finance market.</w:t>
      </w:r>
    </w:p>
    <w:p w14:paraId="08B03F5A" w14:textId="6D86A256" w:rsidR="002E145E" w:rsidRPr="002E145E" w:rsidRDefault="002E145E">
      <w:pPr>
        <w:pStyle w:val="paragraph"/>
        <w:numPr>
          <w:ilvl w:val="0"/>
          <w:numId w:val="69"/>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Market constraint (Climate Risk Assessment and Pricing):</w:t>
      </w:r>
      <w:r w:rsidRPr="002E145E">
        <w:rPr>
          <w:rStyle w:val="normaltextrun"/>
          <w:rFonts w:ascii="Calibri" w:hAnsi="Calibri" w:cs="Calibri"/>
          <w:sz w:val="22"/>
          <w:szCs w:val="22"/>
        </w:rPr>
        <w:t> Lack of awareness and internal capacity for FIs to evaluate climate finance potential and opportunity.</w:t>
      </w:r>
    </w:p>
    <w:p w14:paraId="6C7B2201" w14:textId="4E754174" w:rsidR="002E145E" w:rsidRPr="002E145E" w:rsidRDefault="002E145E" w:rsidP="002E145E">
      <w:pPr>
        <w:pStyle w:val="paragraph"/>
        <w:spacing w:before="0" w:beforeAutospacing="0" w:after="0" w:afterAutospacing="0"/>
        <w:textAlignment w:val="baseline"/>
        <w:rPr>
          <w:rFonts w:ascii="Calibri" w:hAnsi="Calibri" w:cs="Calibri"/>
          <w:b/>
          <w:bCs/>
          <w:color w:val="1F3864"/>
          <w:sz w:val="22"/>
          <w:szCs w:val="22"/>
        </w:rPr>
      </w:pPr>
      <w:r w:rsidRPr="002E145E">
        <w:rPr>
          <w:rStyle w:val="normaltextrun"/>
          <w:rFonts w:ascii="Calibri" w:hAnsi="Calibri" w:cs="Calibri"/>
          <w:b/>
          <w:bCs/>
          <w:color w:val="1F3864"/>
          <w:sz w:val="22"/>
          <w:szCs w:val="22"/>
        </w:rPr>
        <w:t>Pillar 4 — Enhancing standards and gender inclusion</w:t>
      </w:r>
    </w:p>
    <w:p w14:paraId="4AD4770D" w14:textId="77777777" w:rsidR="002E145E" w:rsidRPr="002E145E" w:rsidRDefault="002E145E">
      <w:pPr>
        <w:pStyle w:val="paragraph"/>
        <w:numPr>
          <w:ilvl w:val="0"/>
          <w:numId w:val="70"/>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Outcome (4.1 Gender, Inclusive, and Sustainable Practices and Solutions):</w:t>
      </w:r>
      <w:r w:rsidRPr="002E145E">
        <w:rPr>
          <w:rStyle w:val="normaltextrun"/>
          <w:rFonts w:ascii="Calibri" w:hAnsi="Calibri" w:cs="Calibri"/>
          <w:sz w:val="22"/>
          <w:szCs w:val="22"/>
        </w:rPr>
        <w:t> Increased uptake of gender-inclusive practices (including employer-provided childcare) by firms; use of best-practice industry environmental and social (E&amp;S) standards by companies.</w:t>
      </w:r>
      <w:r w:rsidRPr="002E145E">
        <w:rPr>
          <w:rStyle w:val="eop"/>
          <w:rFonts w:ascii="Calibri" w:hAnsi="Calibri" w:cs="Calibri"/>
          <w:sz w:val="22"/>
          <w:szCs w:val="22"/>
        </w:rPr>
        <w:t> </w:t>
      </w:r>
    </w:p>
    <w:p w14:paraId="53E7FCC5" w14:textId="1ACC3491" w:rsidR="002E145E" w:rsidRPr="002E145E" w:rsidRDefault="002E145E">
      <w:pPr>
        <w:pStyle w:val="paragraph"/>
        <w:numPr>
          <w:ilvl w:val="0"/>
          <w:numId w:val="71"/>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Intermediate Outcome (4.2 Raised awareness of standards and inclusion):</w:t>
      </w:r>
      <w:r w:rsidRPr="002E145E">
        <w:rPr>
          <w:rStyle w:val="normaltextrun"/>
          <w:rFonts w:ascii="Calibri" w:hAnsi="Calibri" w:cs="Calibri"/>
          <w:sz w:val="22"/>
          <w:szCs w:val="22"/>
        </w:rPr>
        <w:t> Improved awareness on industry practices on inclusion and E&amp;S standards; increased firms’ appetite to implement the best practices.</w:t>
      </w:r>
    </w:p>
    <w:p w14:paraId="05D9039C" w14:textId="035CD10B" w:rsidR="002E145E" w:rsidRPr="002E145E" w:rsidRDefault="002E145E">
      <w:pPr>
        <w:pStyle w:val="paragraph"/>
        <w:numPr>
          <w:ilvl w:val="0"/>
          <w:numId w:val="72"/>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Outputs / Activities (4.3 Standards and Inclusion):</w:t>
      </w:r>
      <w:r w:rsidRPr="002E145E">
        <w:rPr>
          <w:rStyle w:val="normaltextrun"/>
          <w:rFonts w:ascii="Calibri" w:hAnsi="Calibri" w:cs="Calibri"/>
          <w:sz w:val="22"/>
          <w:szCs w:val="22"/>
        </w:rPr>
        <w:t> Advisory services to firms, and associated studies, to improve women’s economic opportunities; integration of gender across VPSDP-supported projects; advisory services to firms and to government to increase understanding and use of best-practice industry E&amp;S standards and sustainability practices.</w:t>
      </w:r>
    </w:p>
    <w:p w14:paraId="716C3CAE" w14:textId="2DC95B03" w:rsidR="002E145E" w:rsidRPr="002E145E" w:rsidRDefault="002E145E">
      <w:pPr>
        <w:pStyle w:val="paragraph"/>
        <w:numPr>
          <w:ilvl w:val="0"/>
          <w:numId w:val="73"/>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Market constraints:</w:t>
      </w:r>
      <w:r w:rsidRPr="002E145E">
        <w:rPr>
          <w:rStyle w:val="normaltextrun"/>
          <w:rFonts w:ascii="Calibri" w:hAnsi="Calibri" w:cs="Calibri"/>
          <w:sz w:val="22"/>
          <w:szCs w:val="22"/>
        </w:rPr>
        <w:t> ESG standards — Viet Nam is ranked the lowest among six countries on the ASEAN CG Scorecard; poor ESG practices and consequent negative outcomes remain a barrier to investment. Limiting factors for increased gender equality — high rates of GBV and lack of childcare support affecting women’s participation and advancement in the private sector.</w:t>
      </w:r>
    </w:p>
    <w:p w14:paraId="6060C436" w14:textId="1543DB81" w:rsidR="002E145E" w:rsidRPr="002E145E" w:rsidRDefault="002E145E" w:rsidP="002E145E">
      <w:pPr>
        <w:pStyle w:val="paragraph"/>
        <w:spacing w:before="0" w:beforeAutospacing="0" w:after="0" w:afterAutospacing="0"/>
        <w:textAlignment w:val="baseline"/>
        <w:rPr>
          <w:rFonts w:ascii="Calibri" w:hAnsi="Calibri" w:cs="Calibri"/>
          <w:b/>
          <w:bCs/>
          <w:color w:val="1F3864"/>
          <w:sz w:val="22"/>
          <w:szCs w:val="22"/>
        </w:rPr>
      </w:pPr>
      <w:r w:rsidRPr="002E145E">
        <w:rPr>
          <w:rStyle w:val="normaltextrun"/>
          <w:rFonts w:ascii="Calibri" w:hAnsi="Calibri" w:cs="Calibri"/>
          <w:b/>
          <w:bCs/>
          <w:color w:val="1F3864"/>
          <w:sz w:val="22"/>
          <w:szCs w:val="22"/>
        </w:rPr>
        <w:t>Key assumptions</w:t>
      </w:r>
    </w:p>
    <w:p w14:paraId="7B54461F" w14:textId="2709608A" w:rsidR="002E145E" w:rsidRPr="002E145E" w:rsidRDefault="002E145E">
      <w:pPr>
        <w:pStyle w:val="paragraph"/>
        <w:numPr>
          <w:ilvl w:val="0"/>
          <w:numId w:val="74"/>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sz w:val="22"/>
          <w:szCs w:val="22"/>
        </w:rPr>
        <w:t>The Government of Viet Nam (GoV) remains interested in and committed to economic reform and private sector development.</w:t>
      </w:r>
    </w:p>
    <w:p w14:paraId="6B1312CA" w14:textId="64EB754B" w:rsidR="002E145E" w:rsidRPr="002E145E" w:rsidRDefault="002E145E">
      <w:pPr>
        <w:pStyle w:val="paragraph"/>
        <w:numPr>
          <w:ilvl w:val="0"/>
          <w:numId w:val="75"/>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sz w:val="22"/>
          <w:szCs w:val="22"/>
        </w:rPr>
        <w:t>Constraints to private sector development not addressed through the VPSDP are adequately addressed by the GoV and other development partners (e.g., education and skills).</w:t>
      </w:r>
    </w:p>
    <w:p w14:paraId="55C4AF37" w14:textId="20B54381" w:rsidR="002E145E" w:rsidRPr="002E145E" w:rsidRDefault="002E145E">
      <w:pPr>
        <w:pStyle w:val="paragraph"/>
        <w:numPr>
          <w:ilvl w:val="0"/>
          <w:numId w:val="76"/>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sz w:val="22"/>
          <w:szCs w:val="22"/>
        </w:rPr>
        <w:t>The general economic environment is conducive to recovery and growth (e.g., no health crisis, manageable adverse climatic events).</w:t>
      </w:r>
    </w:p>
    <w:p w14:paraId="7582B71B" w14:textId="37FF9863" w:rsidR="002E145E" w:rsidRPr="002E145E" w:rsidRDefault="002E145E">
      <w:pPr>
        <w:pStyle w:val="paragraph"/>
        <w:numPr>
          <w:ilvl w:val="0"/>
          <w:numId w:val="77"/>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sz w:val="22"/>
          <w:szCs w:val="22"/>
        </w:rPr>
        <w:t>Timelines for project implementation are realistic and adaptive.</w:t>
      </w:r>
    </w:p>
    <w:p w14:paraId="32B776C1" w14:textId="204EDBB6" w:rsidR="002E145E" w:rsidRPr="002E145E" w:rsidRDefault="002E145E" w:rsidP="002E145E">
      <w:pPr>
        <w:pStyle w:val="paragraph"/>
        <w:spacing w:before="0" w:beforeAutospacing="0" w:after="0" w:afterAutospacing="0"/>
        <w:textAlignment w:val="baseline"/>
        <w:rPr>
          <w:rFonts w:ascii="Calibri" w:hAnsi="Calibri" w:cs="Calibri"/>
          <w:sz w:val="22"/>
          <w:szCs w:val="22"/>
        </w:rPr>
      </w:pPr>
    </w:p>
    <w:p w14:paraId="43538BFA" w14:textId="6385D525" w:rsidR="002E145E" w:rsidRPr="002E145E" w:rsidRDefault="002E145E" w:rsidP="002E145E">
      <w:pPr>
        <w:pStyle w:val="paragraph"/>
        <w:spacing w:before="0" w:beforeAutospacing="0" w:after="0" w:afterAutospacing="0"/>
        <w:textAlignment w:val="baseline"/>
        <w:rPr>
          <w:rFonts w:ascii="Calibri" w:hAnsi="Calibri" w:cs="Calibri"/>
          <w:b/>
          <w:bCs/>
          <w:color w:val="2E75B6"/>
          <w:sz w:val="22"/>
          <w:szCs w:val="22"/>
        </w:rPr>
      </w:pPr>
      <w:r w:rsidRPr="002E145E">
        <w:rPr>
          <w:rStyle w:val="normaltextrun"/>
          <w:rFonts w:ascii="Calibri" w:hAnsi="Calibri" w:cs="Calibri"/>
          <w:b/>
          <w:bCs/>
          <w:color w:val="2E75B6"/>
          <w:sz w:val="22"/>
          <w:szCs w:val="22"/>
        </w:rPr>
        <w:t>Decorative and functional images</w:t>
      </w:r>
    </w:p>
    <w:p w14:paraId="772DC2B2" w14:textId="0C4FA4D8" w:rsidR="002E145E" w:rsidRPr="002E145E" w:rsidRDefault="002E145E" w:rsidP="002E145E">
      <w:pPr>
        <w:pStyle w:val="paragraph"/>
        <w:spacing w:before="0" w:beforeAutospacing="0" w:after="0" w:afterAutospacing="0"/>
        <w:textAlignment w:val="baseline"/>
        <w:rPr>
          <w:rFonts w:ascii="Calibri" w:hAnsi="Calibri" w:cs="Calibri"/>
          <w:sz w:val="22"/>
          <w:szCs w:val="22"/>
        </w:rPr>
      </w:pPr>
      <w:r w:rsidRPr="002E145E">
        <w:rPr>
          <w:rStyle w:val="normaltextrun"/>
          <w:rFonts w:ascii="Calibri" w:hAnsi="Calibri" w:cs="Calibri"/>
          <w:i/>
          <w:iCs/>
          <w:color w:val="595959"/>
          <w:sz w:val="22"/>
          <w:szCs w:val="22"/>
        </w:rPr>
        <w:t>The following images carry no substantive information of their own. They are listed for completeness, with the alternative text recommended for the report file.</w:t>
      </w:r>
    </w:p>
    <w:p w14:paraId="31930E71" w14:textId="6673B022" w:rsidR="002E145E" w:rsidRPr="002E145E" w:rsidRDefault="002E145E">
      <w:pPr>
        <w:pStyle w:val="paragraph"/>
        <w:numPr>
          <w:ilvl w:val="0"/>
          <w:numId w:val="78"/>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“Achieved” status icon:</w:t>
      </w:r>
      <w:r w:rsidRPr="002E145E">
        <w:rPr>
          <w:rStyle w:val="normaltextrun"/>
          <w:rFonts w:ascii="Calibri" w:hAnsi="Calibri" w:cs="Calibri"/>
          <w:sz w:val="22"/>
          <w:szCs w:val="22"/>
        </w:rPr>
        <w:t> A green check-mark (tick) appears throughout the results tables (Tables 4–6) in the “Achieved” column to show that a target or indicator has been met. Recommended alternative text: “Achieved”.</w:t>
      </w:r>
    </w:p>
    <w:p w14:paraId="719DCE8E" w14:textId="471BC303" w:rsidR="002E145E" w:rsidRPr="002E145E" w:rsidRDefault="002E145E">
      <w:pPr>
        <w:pStyle w:val="paragraph"/>
        <w:numPr>
          <w:ilvl w:val="0"/>
          <w:numId w:val="79"/>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t>Cover and section background pattern:</w:t>
      </w:r>
      <w:r w:rsidRPr="002E145E">
        <w:rPr>
          <w:rStyle w:val="normaltextrun"/>
          <w:rFonts w:ascii="Calibri" w:hAnsi="Calibri" w:cs="Calibri"/>
          <w:sz w:val="22"/>
          <w:szCs w:val="22"/>
        </w:rPr>
        <w:t> A decorative geometric lattice of interlocking triangles and hexagons in pink, tan and purple. It conveys no information. Recommended: mark as decorative (no alternative text)</w:t>
      </w:r>
    </w:p>
    <w:p w14:paraId="4E09FEB1" w14:textId="0F1524FB" w:rsidR="002E145E" w:rsidRPr="002E145E" w:rsidRDefault="002E145E">
      <w:pPr>
        <w:pStyle w:val="paragraph"/>
        <w:numPr>
          <w:ilvl w:val="0"/>
          <w:numId w:val="80"/>
        </w:numPr>
        <w:spacing w:before="0" w:beforeAutospacing="0" w:after="0" w:afterAutospacing="0"/>
        <w:ind w:left="915" w:firstLine="0"/>
        <w:textAlignment w:val="baseline"/>
        <w:rPr>
          <w:rFonts w:ascii="Calibri" w:hAnsi="Calibri" w:cs="Calibri"/>
          <w:sz w:val="22"/>
          <w:szCs w:val="22"/>
        </w:rPr>
      </w:pPr>
      <w:r w:rsidRPr="002E145E">
        <w:rPr>
          <w:rStyle w:val="normaltextrun"/>
          <w:rFonts w:ascii="Calibri" w:hAnsi="Calibri" w:cs="Calibri"/>
          <w:b/>
          <w:bCs/>
          <w:sz w:val="22"/>
          <w:szCs w:val="22"/>
        </w:rPr>
        <w:lastRenderedPageBreak/>
        <w:t>Hanoi cityscape photograph:</w:t>
      </w:r>
      <w:r w:rsidRPr="002E145E">
        <w:rPr>
          <w:rStyle w:val="normaltextrun"/>
          <w:rFonts w:ascii="Calibri" w:hAnsi="Calibri" w:cs="Calibri"/>
          <w:sz w:val="22"/>
          <w:szCs w:val="22"/>
        </w:rPr>
        <w:t> A photograph of an elevated urban metro line with city traffic and buildings in Hanoi, Viet Nam. Decorative. Recommended alternative text: “Elevated metro line and traffic in Hanoi, Viet Nam.”</w:t>
      </w:r>
    </w:p>
    <w:p w14:paraId="38DFC1BD" w14:textId="366C2BAF" w:rsidR="00633438" w:rsidRPr="00FA7270" w:rsidRDefault="002E145E" w:rsidP="00B00ABB">
      <w:pPr>
        <w:pStyle w:val="paragraph"/>
        <w:spacing w:before="0" w:beforeAutospacing="0" w:after="0" w:afterAutospacing="0"/>
        <w:ind w:left="915"/>
        <w:textAlignment w:val="baseline"/>
        <w:rPr>
          <w:rFonts w:ascii="Calibri" w:hAnsi="Calibri" w:cs="Calibri"/>
          <w:sz w:val="22"/>
          <w:szCs w:val="22"/>
        </w:rPr>
        <w:sectPr w:rsidR="00633438" w:rsidRPr="00FA7270" w:rsidSect="00EE1F33">
          <w:pgSz w:w="11906" w:h="16838" w:code="9"/>
          <w:pgMar w:top="720" w:right="720" w:bottom="720" w:left="720" w:header="708" w:footer="708" w:gutter="0"/>
          <w:cols w:space="708"/>
          <w:docGrid w:linePitch="360"/>
        </w:sectPr>
      </w:pPr>
      <w:r w:rsidRPr="002E145E">
        <w:rPr>
          <w:rStyle w:val="normaltextrun"/>
          <w:rFonts w:ascii="Calibri" w:hAnsi="Calibri" w:cs="Calibri"/>
          <w:sz w:val="22"/>
          <w:szCs w:val="22"/>
        </w:rPr>
        <w:t xml:space="preserve"> </w:t>
      </w:r>
    </w:p>
    <w:p w14:paraId="483C96DD" w14:textId="389559DB" w:rsidR="001C24DD" w:rsidRPr="00C97A19" w:rsidRDefault="003D2197" w:rsidP="00251454">
      <w:pPr>
        <w:pStyle w:val="BodyText"/>
        <w:rPr>
          <w:rFonts w:cs="Calibri"/>
          <w:lang w:val="en-AU"/>
        </w:rPr>
      </w:pPr>
      <w:r w:rsidRPr="00C97A19">
        <w:rPr>
          <w:rFonts w:cs="Calibri"/>
          <w:noProof/>
          <w:sz w:val="18"/>
          <w:szCs w:val="18"/>
          <w:lang w:val="en-AU"/>
        </w:rPr>
        <w:lastRenderedPageBreak/>
        <w:drawing>
          <wp:anchor distT="0" distB="0" distL="114300" distR="114300" simplePos="0" relativeHeight="251658244" behindDoc="1" locked="0" layoutInCell="1" allowOverlap="1" wp14:anchorId="54A4FF46" wp14:editId="0D6878EF">
            <wp:simplePos x="0" y="0"/>
            <wp:positionH relativeFrom="column">
              <wp:posOffset>-1423035</wp:posOffset>
            </wp:positionH>
            <wp:positionV relativeFrom="paragraph">
              <wp:posOffset>7100605</wp:posOffset>
            </wp:positionV>
            <wp:extent cx="8578800" cy="8578800"/>
            <wp:effectExtent l="0" t="0" r="0" b="0"/>
            <wp:wrapNone/>
            <wp:docPr id="1195197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9736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800" cy="8578800"/>
                    </a:xfrm>
                    <a:prstGeom prst="rect">
                      <a:avLst/>
                    </a:prstGeom>
                  </pic:spPr>
                </pic:pic>
              </a:graphicData>
            </a:graphic>
            <wp14:sizeRelH relativeFrom="margin">
              <wp14:pctWidth>0</wp14:pctWidth>
            </wp14:sizeRelH>
            <wp14:sizeRelV relativeFrom="margin">
              <wp14:pctHeight>0</wp14:pctHeight>
            </wp14:sizeRelV>
          </wp:anchor>
        </w:drawing>
      </w:r>
      <w:r w:rsidRPr="00C97A19">
        <w:rPr>
          <w:rFonts w:cs="Calibri"/>
          <w:noProof/>
          <w:sz w:val="18"/>
          <w:szCs w:val="18"/>
          <w:lang w:val="en-AU"/>
        </w:rPr>
        <w:drawing>
          <wp:anchor distT="0" distB="0" distL="114300" distR="114300" simplePos="0" relativeHeight="251658243" behindDoc="1" locked="0" layoutInCell="1" allowOverlap="1" wp14:anchorId="2476ED2C" wp14:editId="7BF4109C">
            <wp:simplePos x="0" y="0"/>
            <wp:positionH relativeFrom="column">
              <wp:align>center</wp:align>
            </wp:positionH>
            <wp:positionV relativeFrom="paragraph">
              <wp:posOffset>-962527</wp:posOffset>
            </wp:positionV>
            <wp:extent cx="8578800" cy="8578800"/>
            <wp:effectExtent l="0" t="0" r="0" b="0"/>
            <wp:wrapNone/>
            <wp:docPr id="613315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5288"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800" cy="8578800"/>
                    </a:xfrm>
                    <a:prstGeom prst="rect">
                      <a:avLst/>
                    </a:prstGeom>
                  </pic:spPr>
                </pic:pic>
              </a:graphicData>
            </a:graphic>
            <wp14:sizeRelH relativeFrom="margin">
              <wp14:pctWidth>0</wp14:pctWidth>
            </wp14:sizeRelH>
            <wp14:sizeRelV relativeFrom="margin">
              <wp14:pctHeight>0</wp14:pctHeight>
            </wp14:sizeRelV>
          </wp:anchor>
        </w:drawing>
      </w:r>
    </w:p>
    <w:sectPr w:rsidR="001C24DD" w:rsidRPr="00C97A19" w:rsidSect="001167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18E3F" w14:textId="77777777" w:rsidR="00987C77" w:rsidRDefault="00987C77" w:rsidP="006B0828">
      <w:r>
        <w:separator/>
      </w:r>
    </w:p>
  </w:endnote>
  <w:endnote w:type="continuationSeparator" w:id="0">
    <w:p w14:paraId="51BC0B17" w14:textId="77777777" w:rsidR="00987C77" w:rsidRDefault="00987C77" w:rsidP="006B0828">
      <w:r>
        <w:continuationSeparator/>
      </w:r>
    </w:p>
  </w:endnote>
  <w:endnote w:type="continuationNotice" w:id="1">
    <w:p w14:paraId="12C35B0D" w14:textId="77777777" w:rsidR="00987C77" w:rsidRDefault="00987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569C" w14:textId="339B644F" w:rsidR="0024165A" w:rsidRDefault="007A49DE" w:rsidP="00AB7568">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67460" behindDoc="0" locked="0" layoutInCell="1" allowOverlap="1" wp14:anchorId="6B63FFE4" wp14:editId="2D324559">
              <wp:simplePos x="635" y="635"/>
              <wp:positionH relativeFrom="page">
                <wp:align>center</wp:align>
              </wp:positionH>
              <wp:positionV relativeFrom="page">
                <wp:align>bottom</wp:align>
              </wp:positionV>
              <wp:extent cx="622300" cy="376555"/>
              <wp:effectExtent l="0" t="0" r="6350" b="0"/>
              <wp:wrapNone/>
              <wp:docPr id="160881379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9E5A01" w14:textId="7BEFB5CC"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3FFE4" id="_x0000_t202" coordsize="21600,21600" o:spt="202" path="m,l,21600r21600,l21600,xe">
              <v:stroke joinstyle="miter"/>
              <v:path gradientshapeok="t" o:connecttype="rect"/>
            </v:shapetype>
            <v:shape id="Text Box 75" o:spid="_x0000_s1027" type="#_x0000_t202" alt="OFFICIAL" style="position:absolute;margin-left:0;margin-top:0;width:49pt;height:29.65pt;z-index:251667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vh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" filled="f" stroked="f">
              <v:textbox style="mso-fit-shape-to-text:t" inset="0,0,0,15pt">
                <w:txbxContent>
                  <w:p w14:paraId="5E9E5A01" w14:textId="7BEFB5CC"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p>
  <w:sdt>
    <w:sdtPr>
      <w:rPr>
        <w:rStyle w:val="PageNumber"/>
      </w:rPr>
      <w:id w:val="-1603102788"/>
      <w:docPartObj>
        <w:docPartGallery w:val="Page Numbers (Bottom of Page)"/>
        <w:docPartUnique/>
      </w:docPartObj>
    </w:sdtPr>
    <w:sdtEndPr>
      <w:rPr>
        <w:rStyle w:val="PageNumber"/>
      </w:rPr>
    </w:sdtEndPr>
    <w:sdtContent>
      <w:p w14:paraId="080C2B03" w14:textId="77777777" w:rsidR="0024165A" w:rsidRDefault="0024165A" w:rsidP="00AB7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8A82EC" w14:textId="469251E1" w:rsidR="00B5129F" w:rsidRDefault="00B5129F" w:rsidP="0024165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EE3D0" w14:textId="691A9DEF" w:rsidR="00AB7568" w:rsidRDefault="007A49DE" w:rsidP="00033C5D">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68484" behindDoc="0" locked="0" layoutInCell="1" allowOverlap="1" wp14:anchorId="3D29C040" wp14:editId="74EAC298">
              <wp:simplePos x="635" y="635"/>
              <wp:positionH relativeFrom="page">
                <wp:align>center</wp:align>
              </wp:positionH>
              <wp:positionV relativeFrom="page">
                <wp:align>bottom</wp:align>
              </wp:positionV>
              <wp:extent cx="622300" cy="376555"/>
              <wp:effectExtent l="0" t="0" r="6350" b="0"/>
              <wp:wrapNone/>
              <wp:docPr id="145403398"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38D2FFC" w14:textId="6A76B87A"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9C040" id="_x0000_t202" coordsize="21600,21600" o:spt="202" path="m,l,21600r21600,l21600,xe">
              <v:stroke joinstyle="miter"/>
              <v:path gradientshapeok="t" o:connecttype="rect"/>
            </v:shapetype>
            <v:shape id="Text Box 76" o:spid="_x0000_s1028" type="#_x0000_t202" alt="OFFICIAL" style="position:absolute;margin-left:0;margin-top:0;width:49pt;height:29.65pt;z-index:25166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538D2FFC" w14:textId="6A76B87A"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sdt>
      <w:sdtPr>
        <w:rPr>
          <w:rStyle w:val="PageNumber"/>
        </w:rPr>
        <w:id w:val="1542940549"/>
        <w:docPartObj>
          <w:docPartGallery w:val="Page Numbers (Bottom of Page)"/>
          <w:docPartUnique/>
        </w:docPartObj>
      </w:sdtPr>
      <w:sdtEndPr>
        <w:rPr>
          <w:rStyle w:val="PageNumber"/>
        </w:rPr>
      </w:sdtEndPr>
      <w:sdtContent>
        <w:r w:rsidR="00AB7568">
          <w:rPr>
            <w:rStyle w:val="PageNumber"/>
          </w:rPr>
          <w:fldChar w:fldCharType="begin"/>
        </w:r>
        <w:r w:rsidR="00AB7568">
          <w:rPr>
            <w:rStyle w:val="PageNumber"/>
          </w:rPr>
          <w:instrText xml:space="preserve"> PAGE </w:instrText>
        </w:r>
        <w:r w:rsidR="00AB7568">
          <w:rPr>
            <w:rStyle w:val="PageNumber"/>
          </w:rPr>
          <w:fldChar w:fldCharType="separate"/>
        </w:r>
        <w:r w:rsidR="00AB7568">
          <w:rPr>
            <w:rStyle w:val="PageNumber"/>
            <w:noProof/>
          </w:rPr>
          <w:t>ii</w:t>
        </w:r>
        <w:r w:rsidR="00AB7568">
          <w:rPr>
            <w:rStyle w:val="PageNumber"/>
          </w:rPr>
          <w:fldChar w:fldCharType="end"/>
        </w:r>
      </w:sdtContent>
    </w:sdt>
  </w:p>
  <w:p w14:paraId="3F066A88" w14:textId="1A4DD571" w:rsidR="007D53CE" w:rsidRDefault="007D53CE" w:rsidP="0024165A">
    <w:pPr>
      <w:pStyle w:val="Footer"/>
      <w:ind w:right="360" w:firstLine="360"/>
      <w:jc w:val="center"/>
    </w:pPr>
  </w:p>
  <w:p w14:paraId="4A901091" w14:textId="56741996" w:rsidR="008A10FA" w:rsidRPr="008A10FA" w:rsidRDefault="008A10FA" w:rsidP="009F1B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155F" w14:textId="7DD3EB1C" w:rsidR="00B5129F" w:rsidRDefault="007A49DE">
    <w:pPr>
      <w:pStyle w:val="Footer"/>
    </w:pPr>
    <w:r>
      <w:rPr>
        <w:noProof/>
        <w14:ligatures w14:val="standardContextual"/>
      </w:rPr>
      <mc:AlternateContent>
        <mc:Choice Requires="wps">
          <w:drawing>
            <wp:anchor distT="0" distB="0" distL="0" distR="0" simplePos="0" relativeHeight="251666436" behindDoc="0" locked="0" layoutInCell="1" allowOverlap="1" wp14:anchorId="45EF9293" wp14:editId="0FA2FDF5">
              <wp:simplePos x="635" y="635"/>
              <wp:positionH relativeFrom="page">
                <wp:align>center</wp:align>
              </wp:positionH>
              <wp:positionV relativeFrom="page">
                <wp:align>bottom</wp:align>
              </wp:positionV>
              <wp:extent cx="622300" cy="376555"/>
              <wp:effectExtent l="0" t="0" r="6350" b="0"/>
              <wp:wrapNone/>
              <wp:docPr id="1898459966"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84B0F5E" w14:textId="52997F9C"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F9293" id="_x0000_t202" coordsize="21600,21600" o:spt="202" path="m,l,21600r21600,l21600,xe">
              <v:stroke joinstyle="miter"/>
              <v:path gradientshapeok="t" o:connecttype="rect"/>
            </v:shapetype>
            <v:shape id="Text Box 74" o:spid="_x0000_s1029" type="#_x0000_t202" alt="OFFICIAL" style="position:absolute;margin-left:0;margin-top:0;width:49pt;height:29.65pt;z-index:251666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584B0F5E" w14:textId="52997F9C"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2EBB" w14:textId="1E29B48C" w:rsidR="00577D45" w:rsidRDefault="007A49DE" w:rsidP="0024165A">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70532" behindDoc="0" locked="0" layoutInCell="1" allowOverlap="1" wp14:anchorId="410021EC" wp14:editId="3CB76361">
              <wp:simplePos x="635" y="635"/>
              <wp:positionH relativeFrom="page">
                <wp:align>center</wp:align>
              </wp:positionH>
              <wp:positionV relativeFrom="page">
                <wp:align>bottom</wp:align>
              </wp:positionV>
              <wp:extent cx="622300" cy="376555"/>
              <wp:effectExtent l="0" t="0" r="6350" b="0"/>
              <wp:wrapNone/>
              <wp:docPr id="1596884263"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AD4EDE4" w14:textId="15B70BE9"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021EC" id="_x0000_t202" coordsize="21600,21600" o:spt="202" path="m,l,21600r21600,l21600,xe">
              <v:stroke joinstyle="miter"/>
              <v:path gradientshapeok="t" o:connecttype="rect"/>
            </v:shapetype>
            <v:shape id="Text Box 78" o:spid="_x0000_s1030" type="#_x0000_t202" alt="OFFICIAL" style="position:absolute;margin-left:0;margin-top:0;width:49pt;height:29.65pt;z-index:2516705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3AD4EDE4" w14:textId="15B70BE9"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p>
  <w:sdt>
    <w:sdtPr>
      <w:rPr>
        <w:rStyle w:val="PageNumber"/>
      </w:rPr>
      <w:id w:val="1612015677"/>
      <w:docPartObj>
        <w:docPartGallery w:val="Page Numbers (Bottom of Page)"/>
        <w:docPartUnique/>
      </w:docPartObj>
    </w:sdtPr>
    <w:sdtEndPr>
      <w:rPr>
        <w:rStyle w:val="PageNumber"/>
      </w:rPr>
    </w:sdtEndPr>
    <w:sdtContent>
      <w:p w14:paraId="14B9E746" w14:textId="77777777" w:rsidR="00577D45" w:rsidRDefault="00577D45" w:rsidP="002416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0CAB0E" w14:textId="77777777" w:rsidR="00577D45" w:rsidRDefault="00577D45" w:rsidP="00033C5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3304" w14:textId="71DCB06A" w:rsidR="00573C53" w:rsidRPr="000348BD" w:rsidRDefault="007A49DE">
    <w:pPr>
      <w:pStyle w:val="Footer"/>
      <w:jc w:val="right"/>
      <w:rPr>
        <w:rFonts w:ascii="Calibri" w:hAnsi="Calibri" w:cs="Calibri"/>
        <w:i/>
        <w:iCs/>
        <w:sz w:val="18"/>
        <w:szCs w:val="18"/>
      </w:rPr>
    </w:pPr>
    <w:r>
      <w:rPr>
        <w:rFonts w:ascii="Calibri" w:hAnsi="Calibri" w:cs="Calibri"/>
        <w:noProof/>
        <w:sz w:val="18"/>
        <w:szCs w:val="18"/>
        <w14:ligatures w14:val="standardContextual"/>
      </w:rPr>
      <mc:AlternateContent>
        <mc:Choice Requires="wps">
          <w:drawing>
            <wp:anchor distT="0" distB="0" distL="0" distR="0" simplePos="0" relativeHeight="251671556" behindDoc="0" locked="0" layoutInCell="1" allowOverlap="1" wp14:anchorId="3A68D6FB" wp14:editId="37025522">
              <wp:simplePos x="635" y="635"/>
              <wp:positionH relativeFrom="page">
                <wp:align>center</wp:align>
              </wp:positionH>
              <wp:positionV relativeFrom="page">
                <wp:align>bottom</wp:align>
              </wp:positionV>
              <wp:extent cx="622300" cy="376555"/>
              <wp:effectExtent l="0" t="0" r="6350" b="0"/>
              <wp:wrapNone/>
              <wp:docPr id="177105783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ED764B6" w14:textId="383F8351"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8D6FB" id="_x0000_t202" coordsize="21600,21600" o:spt="202" path="m,l,21600r21600,l21600,xe">
              <v:stroke joinstyle="miter"/>
              <v:path gradientshapeok="t" o:connecttype="rect"/>
            </v:shapetype>
            <v:shape id="Text Box 79" o:spid="_x0000_s1031" type="#_x0000_t202" alt="OFFICIAL" style="position:absolute;left:0;text-align:left;margin-left:0;margin-top:0;width:49pt;height:29.65pt;z-index:2516715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4ED764B6" w14:textId="383F8351"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sdt>
      <w:sdtPr>
        <w:rPr>
          <w:rFonts w:ascii="Calibri" w:hAnsi="Calibri" w:cs="Calibri"/>
          <w:sz w:val="18"/>
          <w:szCs w:val="18"/>
        </w:rPr>
        <w:id w:val="1355844723"/>
        <w:docPartObj>
          <w:docPartGallery w:val="Page Numbers (Bottom of Page)"/>
          <w:docPartUnique/>
        </w:docPartObj>
      </w:sdtPr>
      <w:sdtEndPr>
        <w:rPr>
          <w:i/>
          <w:iCs/>
          <w:noProof/>
        </w:rPr>
      </w:sdtEndPr>
      <w:sdtContent>
        <w:r w:rsidR="00573C53" w:rsidRPr="000348BD">
          <w:rPr>
            <w:rFonts w:ascii="Calibri" w:hAnsi="Calibri" w:cs="Calibri"/>
            <w:i/>
            <w:iCs/>
            <w:sz w:val="18"/>
            <w:szCs w:val="18"/>
          </w:rPr>
          <w:fldChar w:fldCharType="begin"/>
        </w:r>
        <w:r w:rsidR="00573C53" w:rsidRPr="000348BD">
          <w:rPr>
            <w:rFonts w:ascii="Calibri" w:hAnsi="Calibri" w:cs="Calibri"/>
            <w:i/>
            <w:iCs/>
            <w:sz w:val="18"/>
            <w:szCs w:val="18"/>
          </w:rPr>
          <w:instrText xml:space="preserve"> PAGE  \* Arabic  \* MERGEFORMAT </w:instrText>
        </w:r>
        <w:r w:rsidR="00573C53" w:rsidRPr="000348BD">
          <w:rPr>
            <w:rFonts w:ascii="Calibri" w:hAnsi="Calibri" w:cs="Calibri"/>
            <w:i/>
            <w:iCs/>
            <w:sz w:val="18"/>
            <w:szCs w:val="18"/>
          </w:rPr>
          <w:fldChar w:fldCharType="separate"/>
        </w:r>
        <w:r w:rsidR="00573C53" w:rsidRPr="000348BD">
          <w:rPr>
            <w:rFonts w:ascii="Calibri" w:hAnsi="Calibri" w:cs="Calibri"/>
            <w:i/>
            <w:iCs/>
            <w:noProof/>
            <w:sz w:val="18"/>
            <w:szCs w:val="18"/>
          </w:rPr>
          <w:t>1</w:t>
        </w:r>
        <w:r w:rsidR="00573C53" w:rsidRPr="000348BD">
          <w:rPr>
            <w:rFonts w:ascii="Calibri" w:hAnsi="Calibri" w:cs="Calibri"/>
            <w:i/>
            <w:iCs/>
            <w:sz w:val="18"/>
            <w:szCs w:val="18"/>
          </w:rPr>
          <w:fldChar w:fldCharType="end"/>
        </w:r>
      </w:sdtContent>
    </w:sdt>
  </w:p>
  <w:p w14:paraId="76903BF1" w14:textId="147560CE" w:rsidR="00577D45" w:rsidRPr="00E376F2" w:rsidRDefault="00BF53F2" w:rsidP="00033C5D">
    <w:pPr>
      <w:pStyle w:val="Footer"/>
      <w:ind w:right="360"/>
      <w:rPr>
        <w:rFonts w:ascii="Calibri" w:hAnsi="Calibri" w:cs="Calibri"/>
        <w:i/>
        <w:iCs/>
        <w:sz w:val="20"/>
        <w:szCs w:val="20"/>
        <w:lang w:val="en-US"/>
      </w:rPr>
    </w:pPr>
    <w:r w:rsidRPr="00BB7FFD">
      <w:rPr>
        <w:rFonts w:ascii="Calibri" w:hAnsi="Calibri" w:cs="Calibri"/>
        <w:i/>
        <w:iCs/>
        <w:sz w:val="20"/>
        <w:szCs w:val="20"/>
        <w:lang w:val="en-US"/>
      </w:rPr>
      <w:t>Viet</w:t>
    </w:r>
    <w:r>
      <w:rPr>
        <w:rFonts w:ascii="Calibri" w:hAnsi="Calibri" w:cs="Calibri"/>
        <w:i/>
        <w:iCs/>
        <w:sz w:val="20"/>
        <w:szCs w:val="20"/>
        <w:lang w:val="en-US"/>
      </w:rPr>
      <w:t xml:space="preserve"> Nam Private Sector Development Program (VPSDP) Mid-Term Review – April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1819" w14:textId="1E1F2CDB" w:rsidR="00B5129F" w:rsidRDefault="007A49DE">
    <w:pPr>
      <w:pStyle w:val="Footer"/>
    </w:pPr>
    <w:r>
      <w:rPr>
        <w:noProof/>
        <w14:ligatures w14:val="standardContextual"/>
      </w:rPr>
      <mc:AlternateContent>
        <mc:Choice Requires="wps">
          <w:drawing>
            <wp:anchor distT="0" distB="0" distL="0" distR="0" simplePos="0" relativeHeight="251669508" behindDoc="0" locked="0" layoutInCell="1" allowOverlap="1" wp14:anchorId="2D088070" wp14:editId="3A58FA7B">
              <wp:simplePos x="635" y="635"/>
              <wp:positionH relativeFrom="page">
                <wp:align>center</wp:align>
              </wp:positionH>
              <wp:positionV relativeFrom="page">
                <wp:align>bottom</wp:align>
              </wp:positionV>
              <wp:extent cx="622300" cy="376555"/>
              <wp:effectExtent l="0" t="0" r="6350" b="0"/>
              <wp:wrapNone/>
              <wp:docPr id="2047965410"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82F4728" w14:textId="18C98B19"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88070" id="_x0000_t202" coordsize="21600,21600" o:spt="202" path="m,l,21600r21600,l21600,xe">
              <v:stroke joinstyle="miter"/>
              <v:path gradientshapeok="t" o:connecttype="rect"/>
            </v:shapetype>
            <v:shape id="Text Box 77" o:spid="_x0000_s1032" type="#_x0000_t202" alt="OFFICIAL" style="position:absolute;margin-left:0;margin-top:0;width:49pt;height:29.65pt;z-index:251669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082F4728" w14:textId="18C98B19" w:rsidR="007A49DE" w:rsidRPr="007A49DE" w:rsidRDefault="007A49DE" w:rsidP="007A49DE">
                    <w:pPr>
                      <w:rPr>
                        <w:rFonts w:ascii="Aptos" w:eastAsia="Aptos" w:hAnsi="Aptos" w:cs="Aptos"/>
                        <w:noProof/>
                        <w:color w:val="FF0000"/>
                      </w:rPr>
                    </w:pPr>
                    <w:r w:rsidRPr="007A49DE">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A0D73" w14:textId="77777777" w:rsidR="00987C77" w:rsidRDefault="00987C77" w:rsidP="006B0828">
      <w:r>
        <w:separator/>
      </w:r>
    </w:p>
  </w:footnote>
  <w:footnote w:type="continuationSeparator" w:id="0">
    <w:p w14:paraId="4746561B" w14:textId="77777777" w:rsidR="00987C77" w:rsidRDefault="00987C77" w:rsidP="006B0828">
      <w:r>
        <w:continuationSeparator/>
      </w:r>
    </w:p>
  </w:footnote>
  <w:footnote w:type="continuationNotice" w:id="1">
    <w:p w14:paraId="7F23F2CD" w14:textId="77777777" w:rsidR="00987C77" w:rsidRDefault="00987C77"/>
  </w:footnote>
  <w:footnote w:id="2">
    <w:p w14:paraId="6E700933" w14:textId="376EB45C" w:rsidR="00731802" w:rsidRPr="00185C40" w:rsidRDefault="00731802" w:rsidP="00731802">
      <w:pPr>
        <w:pStyle w:val="FootnoteText"/>
        <w:rPr>
          <w:rFonts w:ascii="Calibri" w:hAnsi="Calibri" w:cs="Calibri"/>
          <w:sz w:val="16"/>
          <w:szCs w:val="16"/>
          <w:lang w:val="en-US"/>
        </w:rPr>
      </w:pPr>
      <w:r w:rsidRPr="00185C40">
        <w:rPr>
          <w:rStyle w:val="FootnoteReference"/>
          <w:rFonts w:ascii="Calibri" w:hAnsi="Calibri" w:cs="Calibri"/>
          <w:sz w:val="16"/>
          <w:szCs w:val="16"/>
        </w:rPr>
        <w:footnoteRef/>
      </w:r>
      <w:r w:rsidRPr="00185C40">
        <w:rPr>
          <w:rFonts w:ascii="Calibri" w:hAnsi="Calibri" w:cs="Calibri"/>
          <w:sz w:val="16"/>
          <w:szCs w:val="16"/>
        </w:rPr>
        <w:t xml:space="preserve"> </w:t>
      </w:r>
      <w:r w:rsidRPr="00185C40">
        <w:rPr>
          <w:rFonts w:ascii="Calibri" w:hAnsi="Calibri" w:cs="Calibri"/>
          <w:sz w:val="16"/>
          <w:szCs w:val="16"/>
          <w:lang w:val="en-US"/>
        </w:rPr>
        <w:t xml:space="preserve">Specifically Standard 9 with the development of an approved Evaluation Plan and Standard 10 which relates </w:t>
      </w:r>
      <w:r w:rsidRPr="00AA442F">
        <w:rPr>
          <w:rFonts w:ascii="Calibri" w:hAnsi="Calibri" w:cs="Calibri"/>
          <w:sz w:val="16"/>
          <w:szCs w:val="16"/>
          <w:lang w:val="en-US"/>
        </w:rPr>
        <w:t xml:space="preserve">to this </w:t>
      </w:r>
      <w:r w:rsidR="00AA442F" w:rsidRPr="00AA442F">
        <w:rPr>
          <w:rFonts w:ascii="Calibri" w:hAnsi="Calibri" w:cs="Calibri"/>
          <w:sz w:val="16"/>
          <w:szCs w:val="16"/>
          <w:lang w:val="en-US"/>
        </w:rPr>
        <w:t xml:space="preserve">mid-term </w:t>
      </w:r>
      <w:r w:rsidRPr="00AA442F">
        <w:rPr>
          <w:rFonts w:ascii="Calibri" w:hAnsi="Calibri" w:cs="Calibri"/>
          <w:sz w:val="16"/>
          <w:szCs w:val="16"/>
          <w:lang w:val="en-US"/>
        </w:rPr>
        <w:t>evaluation report.</w:t>
      </w:r>
    </w:p>
  </w:footnote>
  <w:footnote w:id="3">
    <w:p w14:paraId="00163457" w14:textId="1DDDCEC8" w:rsidR="00AA2D23" w:rsidRPr="00152F0F" w:rsidRDefault="00AA2D23">
      <w:pPr>
        <w:pStyle w:val="FootnoteText"/>
        <w:rPr>
          <w:lang w:val="en-US"/>
        </w:rPr>
      </w:pPr>
      <w:r w:rsidRPr="00152F0F">
        <w:rPr>
          <w:rStyle w:val="FootnoteReference"/>
          <w:rFonts w:ascii="Calibri" w:hAnsi="Calibri" w:cs="Calibri"/>
          <w:sz w:val="16"/>
          <w:szCs w:val="16"/>
        </w:rPr>
        <w:footnoteRef/>
      </w:r>
      <w:r w:rsidRPr="00152F0F">
        <w:rPr>
          <w:rFonts w:ascii="Calibri" w:hAnsi="Calibri" w:cs="Calibri"/>
          <w:sz w:val="16"/>
          <w:szCs w:val="16"/>
        </w:rPr>
        <w:t xml:space="preserve"> </w:t>
      </w:r>
      <w:hyperlink r:id="rId1" w:history="1">
        <w:r w:rsidRPr="00152F0F">
          <w:rPr>
            <w:rFonts w:ascii="Calibri" w:eastAsiaTheme="minorHAnsi" w:hAnsi="Calibri" w:cs="Calibri"/>
            <w:color w:val="094FD1"/>
            <w:sz w:val="16"/>
            <w:szCs w:val="16"/>
            <w:u w:val="single" w:color="094FD1"/>
            <w:lang w:val="en-US"/>
            <w14:ligatures w14:val="standardContextual"/>
          </w:rPr>
          <w:t>https://www.ifc.org/content/dam/ifc/doc/mgrt/cpsd-vietnam-v2.pdf</w:t>
        </w:r>
      </w:hyperlink>
    </w:p>
  </w:footnote>
  <w:footnote w:id="4">
    <w:p w14:paraId="5B1DD0DA" w14:textId="77777777" w:rsidR="00731802" w:rsidRPr="00540E64" w:rsidRDefault="00731802" w:rsidP="00731802">
      <w:pPr>
        <w:pStyle w:val="FootnoteText"/>
        <w:jc w:val="both"/>
        <w:rPr>
          <w:rFonts w:ascii="Calibri" w:hAnsi="Calibri" w:cs="Calibri"/>
          <w:sz w:val="16"/>
          <w:szCs w:val="16"/>
        </w:rPr>
      </w:pPr>
      <w:r w:rsidRPr="009D736A">
        <w:rPr>
          <w:rStyle w:val="FootnoteReference"/>
          <w:rFonts w:ascii="Calibri" w:eastAsiaTheme="majorEastAsia" w:hAnsi="Calibri" w:cs="Calibri"/>
          <w:sz w:val="16"/>
          <w:szCs w:val="16"/>
        </w:rPr>
        <w:footnoteRef/>
      </w:r>
      <w:r w:rsidRPr="009D736A">
        <w:rPr>
          <w:rFonts w:ascii="Calibri" w:hAnsi="Calibri" w:cs="Calibri"/>
          <w:sz w:val="16"/>
          <w:szCs w:val="16"/>
        </w:rPr>
        <w:t xml:space="preserve"> </w:t>
      </w:r>
      <w:r w:rsidRPr="009D736A">
        <w:rPr>
          <w:rFonts w:ascii="Calibri" w:hAnsi="Calibri" w:cs="Calibri"/>
          <w:sz w:val="16"/>
          <w:szCs w:val="16"/>
          <w:lang w:val="en-US"/>
        </w:rPr>
        <w:t>A network of Results Measurement Specialists and Economists specialized in their respective sectors are utilized by IFC to i) Provide guidance on project design; ii) Set indicators and methodology; iii) Ensure consistency and compliancy; iv) Conduct data validation and verification; v) Collaborate with project team to conduct evaluations and studies; vi) Contribute to institutional learning and development strategy</w:t>
      </w:r>
    </w:p>
  </w:footnote>
  <w:footnote w:id="5">
    <w:p w14:paraId="56D4FF87" w14:textId="4C644D18" w:rsidR="00531EDA" w:rsidRPr="00531EDA" w:rsidRDefault="00531EDA">
      <w:pPr>
        <w:pStyle w:val="FootnoteText"/>
        <w:rPr>
          <w:rFonts w:ascii="Calibri" w:hAnsi="Calibri" w:cs="Calibri"/>
          <w:sz w:val="16"/>
          <w:szCs w:val="16"/>
          <w:lang w:val="en-US"/>
        </w:rPr>
      </w:pPr>
      <w:r w:rsidRPr="00531EDA">
        <w:rPr>
          <w:rStyle w:val="FootnoteReference"/>
          <w:rFonts w:ascii="Calibri" w:hAnsi="Calibri" w:cs="Calibri"/>
          <w:sz w:val="16"/>
          <w:szCs w:val="16"/>
        </w:rPr>
        <w:footnoteRef/>
      </w:r>
      <w:r w:rsidRPr="00531EDA">
        <w:rPr>
          <w:rFonts w:ascii="Calibri" w:hAnsi="Calibri" w:cs="Calibri"/>
          <w:sz w:val="16"/>
          <w:szCs w:val="16"/>
        </w:rPr>
        <w:t xml:space="preserve"> </w:t>
      </w:r>
      <w:r w:rsidRPr="00531EDA">
        <w:rPr>
          <w:rFonts w:ascii="Calibri" w:hAnsi="Calibri" w:cs="Calibri"/>
          <w:sz w:val="16"/>
          <w:szCs w:val="16"/>
          <w:lang w:val="en-US"/>
        </w:rPr>
        <w:t>This project cuts across Pillar 1 and Pillar 3</w:t>
      </w:r>
    </w:p>
  </w:footnote>
  <w:footnote w:id="6">
    <w:p w14:paraId="20136D5F" w14:textId="77777777" w:rsidR="00577D9F" w:rsidRPr="00126D14" w:rsidRDefault="00577D9F" w:rsidP="00577D9F">
      <w:pPr>
        <w:spacing w:after="120"/>
        <w:contextualSpacing/>
        <w:jc w:val="both"/>
        <w:rPr>
          <w:rFonts w:ascii="Calibri" w:hAnsi="Calibri" w:cs="Calibri"/>
          <w:sz w:val="16"/>
          <w:szCs w:val="16"/>
        </w:rPr>
      </w:pPr>
      <w:r w:rsidRPr="00355865">
        <w:rPr>
          <w:rStyle w:val="FootnoteReference"/>
          <w:rFonts w:ascii="Calibri" w:hAnsi="Calibri" w:cs="Calibri"/>
          <w:sz w:val="16"/>
          <w:szCs w:val="16"/>
        </w:rPr>
        <w:footnoteRef/>
      </w:r>
      <w:r w:rsidRPr="00355865">
        <w:rPr>
          <w:rFonts w:ascii="Calibri" w:hAnsi="Calibri" w:cs="Calibri"/>
          <w:sz w:val="16"/>
          <w:szCs w:val="16"/>
        </w:rPr>
        <w:t xml:space="preserve"> IFC is the largest global development institution focused exclusively on the private sector. As part of the World Bank Group, IFC works to improve people's lives in developing countries by investing in private sector growth. To achieve this goal, IFC finances private sector investments, mobilises capital in international financial markets, facilitates trade, helps clients improve social and environmental sustainability, and provides advisory services to businesses and governments. IFC is strongly focused on measuring development results to understand the impact of its projects on clients and countries.</w:t>
      </w:r>
    </w:p>
  </w:footnote>
  <w:footnote w:id="7">
    <w:p w14:paraId="2836CED3" w14:textId="54047D6E" w:rsidR="00355865" w:rsidRPr="00D972A1" w:rsidRDefault="00355865" w:rsidP="00D972A1">
      <w:pPr>
        <w:pStyle w:val="FootnoteText"/>
        <w:rPr>
          <w:rFonts w:ascii="Calibri" w:hAnsi="Calibri" w:cs="Calibri"/>
          <w:sz w:val="16"/>
          <w:szCs w:val="16"/>
          <w:lang w:val="en-US"/>
        </w:rPr>
      </w:pPr>
      <w:r w:rsidRPr="00D972A1">
        <w:rPr>
          <w:rStyle w:val="FootnoteReference"/>
          <w:rFonts w:ascii="Calibri" w:hAnsi="Calibri" w:cs="Calibri"/>
          <w:sz w:val="16"/>
          <w:szCs w:val="16"/>
        </w:rPr>
        <w:footnoteRef/>
      </w:r>
      <w:r w:rsidRPr="00D972A1">
        <w:rPr>
          <w:rFonts w:ascii="Calibri" w:hAnsi="Calibri" w:cs="Calibri"/>
          <w:sz w:val="16"/>
          <w:szCs w:val="16"/>
        </w:rPr>
        <w:t xml:space="preserve"> </w:t>
      </w:r>
      <w:r w:rsidRPr="00D972A1">
        <w:rPr>
          <w:rFonts w:ascii="Calibri" w:hAnsi="Calibri" w:cs="Calibri"/>
          <w:sz w:val="16"/>
          <w:szCs w:val="16"/>
          <w:lang w:val="en-US"/>
        </w:rPr>
        <w:t>Specifically Standard 9 with the development of an approved Evaluation Plan and Standard 10 which relates to this final evaluation report.</w:t>
      </w:r>
    </w:p>
  </w:footnote>
  <w:footnote w:id="8">
    <w:p w14:paraId="613E821C" w14:textId="77777777" w:rsidR="00C03508" w:rsidRPr="00D972A1" w:rsidRDefault="00C03508" w:rsidP="00C03508">
      <w:pPr>
        <w:rPr>
          <w:rFonts w:ascii="Calibri" w:hAnsi="Calibri" w:cs="Calibri"/>
          <w:color w:val="000000" w:themeColor="text1"/>
          <w:sz w:val="16"/>
          <w:szCs w:val="16"/>
        </w:rPr>
      </w:pPr>
      <w:r w:rsidRPr="00D972A1">
        <w:rPr>
          <w:rStyle w:val="FootnoteReference"/>
          <w:rFonts w:ascii="Calibri" w:hAnsi="Calibri" w:cs="Calibri"/>
          <w:sz w:val="16"/>
          <w:szCs w:val="16"/>
        </w:rPr>
        <w:footnoteRef/>
      </w:r>
      <w:r w:rsidRPr="00D972A1">
        <w:rPr>
          <w:rFonts w:ascii="Calibri" w:hAnsi="Calibri" w:cs="Calibri"/>
          <w:color w:val="000000" w:themeColor="text1"/>
          <w:sz w:val="16"/>
          <w:szCs w:val="16"/>
        </w:rPr>
        <w:t xml:space="preserve">Patton, Michael Quinn (2013): Utilization-Focused Evaluation (U-FE) Checklist, in: Patton (2012): Essentials of Utilization-Focused Evaluation, </w:t>
      </w:r>
      <w:r w:rsidRPr="00D972A1">
        <w:rPr>
          <w:rFonts w:ascii="Calibri" w:hAnsi="Calibri" w:cs="Calibri"/>
          <w:color w:val="0563C1"/>
          <w:sz w:val="16"/>
          <w:szCs w:val="16"/>
        </w:rPr>
        <w:t>Sage Publications</w:t>
      </w:r>
      <w:r w:rsidRPr="00D972A1">
        <w:rPr>
          <w:rFonts w:ascii="Calibri" w:hAnsi="Calibri" w:cs="Calibri"/>
          <w:color w:val="000000" w:themeColor="text1"/>
          <w:sz w:val="16"/>
          <w:szCs w:val="16"/>
        </w:rPr>
        <w:t xml:space="preserve">.  </w:t>
      </w:r>
    </w:p>
    <w:p w14:paraId="36124A82" w14:textId="77777777" w:rsidR="00C03508" w:rsidRDefault="00C03508" w:rsidP="00C03508">
      <w:pPr>
        <w:pStyle w:val="BodyText"/>
      </w:pPr>
    </w:p>
  </w:footnote>
  <w:footnote w:id="9">
    <w:p w14:paraId="590C2690" w14:textId="5E9EC950" w:rsidR="006F603B" w:rsidRPr="00A26E3C" w:rsidRDefault="006F603B">
      <w:pPr>
        <w:pStyle w:val="FootnoteText"/>
        <w:rPr>
          <w:rFonts w:ascii="Calibri" w:hAnsi="Calibri" w:cs="Calibri"/>
          <w:sz w:val="16"/>
          <w:szCs w:val="16"/>
          <w:lang w:val="en-US"/>
        </w:rPr>
      </w:pPr>
      <w:r w:rsidRPr="00A26E3C">
        <w:rPr>
          <w:rStyle w:val="FootnoteReference"/>
          <w:rFonts w:ascii="Calibri" w:hAnsi="Calibri" w:cs="Calibri"/>
          <w:sz w:val="16"/>
          <w:szCs w:val="16"/>
        </w:rPr>
        <w:footnoteRef/>
      </w:r>
      <w:r w:rsidRPr="00A26E3C">
        <w:rPr>
          <w:rFonts w:ascii="Calibri" w:hAnsi="Calibri" w:cs="Calibri"/>
          <w:sz w:val="16"/>
          <w:szCs w:val="16"/>
        </w:rPr>
        <w:t xml:space="preserve"> </w:t>
      </w:r>
      <w:r w:rsidRPr="00A26E3C">
        <w:rPr>
          <w:rFonts w:ascii="Calibri" w:hAnsi="Calibri" w:cs="Calibri"/>
          <w:color w:val="000000"/>
          <w:sz w:val="16"/>
          <w:szCs w:val="16"/>
        </w:rPr>
        <w:t>OECD-DAC evaluation dimension based on a four-point scale - highly satisfactory, satisfactory, partly unsatisfactory, unsatisfactory.</w:t>
      </w:r>
    </w:p>
  </w:footnote>
  <w:footnote w:id="10">
    <w:p w14:paraId="32492CDC" w14:textId="77777777" w:rsidR="00D972A1" w:rsidRPr="00F00F75" w:rsidRDefault="00D972A1" w:rsidP="00B61582">
      <w:pPr>
        <w:pStyle w:val="FootnoteText"/>
        <w:rPr>
          <w:rFonts w:ascii="Calibri" w:hAnsi="Calibri" w:cs="Calibri"/>
          <w:sz w:val="16"/>
          <w:szCs w:val="16"/>
        </w:rPr>
      </w:pPr>
      <w:r w:rsidRPr="00F00F75">
        <w:rPr>
          <w:rStyle w:val="FootnoteReference"/>
          <w:rFonts w:ascii="Calibri" w:eastAsiaTheme="majorEastAsia" w:hAnsi="Calibri" w:cs="Calibri"/>
          <w:sz w:val="16"/>
          <w:szCs w:val="16"/>
        </w:rPr>
        <w:footnoteRef/>
      </w:r>
      <w:r w:rsidRPr="00F00F75">
        <w:rPr>
          <w:rFonts w:ascii="Calibri" w:hAnsi="Calibri" w:cs="Calibri"/>
          <w:sz w:val="16"/>
          <w:szCs w:val="16"/>
        </w:rPr>
        <w:t xml:space="preserve"> </w:t>
      </w:r>
      <w:hyperlink r:id="rId2" w:anchor="relevance-block" w:history="1">
        <w:r w:rsidRPr="00F00F75">
          <w:rPr>
            <w:rStyle w:val="Hyperlink"/>
            <w:rFonts w:ascii="Calibri" w:eastAsiaTheme="majorEastAsia" w:hAnsi="Calibri" w:cs="Calibri"/>
            <w:color w:val="auto"/>
            <w:sz w:val="16"/>
            <w:szCs w:val="16"/>
            <w:u w:val="none"/>
          </w:rPr>
          <w:t>Evaluation Criteria - OECD</w:t>
        </w:r>
      </w:hyperlink>
    </w:p>
  </w:footnote>
  <w:footnote w:id="11">
    <w:p w14:paraId="198FC9EB" w14:textId="743F14A5" w:rsidR="00505839" w:rsidRPr="00F00F75" w:rsidRDefault="00505839" w:rsidP="00B61582">
      <w:pPr>
        <w:pStyle w:val="FootnoteText"/>
        <w:rPr>
          <w:rFonts w:ascii="Calibri" w:hAnsi="Calibri" w:cs="Calibri"/>
          <w:sz w:val="16"/>
          <w:szCs w:val="16"/>
          <w:lang w:val="en-US"/>
        </w:rPr>
      </w:pPr>
      <w:r w:rsidRPr="00F00F75">
        <w:rPr>
          <w:rStyle w:val="FootnoteReference"/>
          <w:rFonts w:ascii="Calibri" w:hAnsi="Calibri" w:cs="Calibri"/>
          <w:sz w:val="16"/>
          <w:szCs w:val="16"/>
        </w:rPr>
        <w:footnoteRef/>
      </w:r>
      <w:r w:rsidRPr="00F00F75">
        <w:rPr>
          <w:rFonts w:ascii="Calibri" w:hAnsi="Calibri" w:cs="Calibri"/>
          <w:sz w:val="16"/>
          <w:szCs w:val="16"/>
        </w:rPr>
        <w:t xml:space="preserve"> https://www.dfat.gov.au/southeastasiaeconomicstrategy</w:t>
      </w:r>
    </w:p>
  </w:footnote>
  <w:footnote w:id="12">
    <w:p w14:paraId="72D18DA4" w14:textId="536A1608" w:rsidR="003660CC" w:rsidRPr="00F00F75" w:rsidRDefault="003660CC" w:rsidP="00B61582">
      <w:pPr>
        <w:pStyle w:val="NormalWeb"/>
        <w:shd w:val="clear" w:color="auto" w:fill="FFFFFF"/>
        <w:spacing w:before="0" w:beforeAutospacing="0" w:after="0" w:afterAutospacing="0"/>
        <w:jc w:val="both"/>
        <w:rPr>
          <w:rFonts w:ascii="Calibri" w:hAnsi="Calibri" w:cs="Calibri"/>
          <w:color w:val="30383B"/>
          <w:sz w:val="16"/>
          <w:szCs w:val="16"/>
        </w:rPr>
      </w:pPr>
      <w:r w:rsidRPr="00F00F75">
        <w:rPr>
          <w:rStyle w:val="FootnoteReference"/>
          <w:rFonts w:ascii="Calibri" w:hAnsi="Calibri" w:cs="Calibri"/>
          <w:color w:val="000000" w:themeColor="text1"/>
          <w:sz w:val="16"/>
          <w:szCs w:val="16"/>
        </w:rPr>
        <w:footnoteRef/>
      </w:r>
      <w:r w:rsidRPr="00F00F75">
        <w:rPr>
          <w:rFonts w:ascii="Calibri" w:hAnsi="Calibri" w:cs="Calibri"/>
          <w:color w:val="000000" w:themeColor="text1"/>
          <w:sz w:val="16"/>
          <w:szCs w:val="16"/>
        </w:rPr>
        <w:t xml:space="preserve"> </w:t>
      </w:r>
      <w:r w:rsidR="00B61582" w:rsidRPr="00F00F75">
        <w:rPr>
          <w:rFonts w:ascii="Calibri" w:hAnsi="Calibri" w:cs="Calibri"/>
          <w:color w:val="000000" w:themeColor="text1"/>
          <w:sz w:val="16"/>
          <w:szCs w:val="16"/>
        </w:rPr>
        <w:t>Export Finance Australia (EFA) supports Australian exports and overseas infrastructure development with flexible finance solutions. EFA helps Australian small and medium-sized enterprises (SMEs) to large corporates, foreign governments and infrastructure projects. EFA provide a range of finance solutions, including loans, bonds, guarantees and, in limited circumstances, equity. https://www.exportfinance.gov.au/</w:t>
      </w:r>
    </w:p>
  </w:footnote>
  <w:footnote w:id="13">
    <w:p w14:paraId="0F856CCD" w14:textId="394CA7FA" w:rsidR="003660CC" w:rsidRPr="003660CC" w:rsidRDefault="003660CC" w:rsidP="00B61582">
      <w:pPr>
        <w:pStyle w:val="FootnoteText"/>
        <w:rPr>
          <w:lang w:val="en-US"/>
        </w:rPr>
      </w:pPr>
      <w:r w:rsidRPr="00F00F75">
        <w:rPr>
          <w:rStyle w:val="FootnoteReference"/>
          <w:rFonts w:ascii="Calibri" w:hAnsi="Calibri" w:cs="Calibri"/>
          <w:sz w:val="16"/>
          <w:szCs w:val="16"/>
        </w:rPr>
        <w:footnoteRef/>
      </w:r>
      <w:r w:rsidRPr="00F00F75">
        <w:rPr>
          <w:rFonts w:ascii="Calibri" w:hAnsi="Calibri" w:cs="Calibri"/>
          <w:sz w:val="16"/>
          <w:szCs w:val="16"/>
        </w:rPr>
        <w:t xml:space="preserve"> https://www.dfat.gov.au/australia-vietnam/eees/en/index.html</w:t>
      </w:r>
    </w:p>
  </w:footnote>
  <w:footnote w:id="14">
    <w:p w14:paraId="05F1337A" w14:textId="014BF11C" w:rsidR="000D0481" w:rsidRPr="00CE775A" w:rsidRDefault="000D0481">
      <w:pPr>
        <w:pStyle w:val="FootnoteText"/>
        <w:rPr>
          <w:rFonts w:ascii="Calibri" w:hAnsi="Calibri" w:cs="Calibri"/>
          <w:sz w:val="16"/>
          <w:szCs w:val="16"/>
          <w:lang w:val="en-US"/>
        </w:rPr>
      </w:pPr>
      <w:r w:rsidRPr="00CE775A">
        <w:rPr>
          <w:rStyle w:val="FootnoteReference"/>
          <w:rFonts w:ascii="Calibri" w:hAnsi="Calibri" w:cs="Calibri"/>
          <w:sz w:val="16"/>
          <w:szCs w:val="16"/>
        </w:rPr>
        <w:footnoteRef/>
      </w:r>
      <w:r w:rsidRPr="00CE775A">
        <w:rPr>
          <w:rFonts w:ascii="Calibri" w:hAnsi="Calibri" w:cs="Calibri"/>
          <w:sz w:val="16"/>
          <w:szCs w:val="16"/>
        </w:rPr>
        <w:t xml:space="preserve"> </w:t>
      </w:r>
      <w:r w:rsidRPr="00CE775A">
        <w:rPr>
          <w:rFonts w:ascii="Calibri" w:hAnsi="Calibri" w:cs="Calibri"/>
          <w:sz w:val="16"/>
          <w:szCs w:val="16"/>
          <w:lang w:val="en-US"/>
        </w:rPr>
        <w:t>VPSD Investment Design Summary</w:t>
      </w:r>
    </w:p>
  </w:footnote>
  <w:footnote w:id="15">
    <w:p w14:paraId="6C8BDE36" w14:textId="6566171A" w:rsidR="00E91421" w:rsidRPr="00CE775A" w:rsidRDefault="00E91421">
      <w:pPr>
        <w:pStyle w:val="FootnoteText"/>
        <w:rPr>
          <w:rFonts w:ascii="Calibri" w:hAnsi="Calibri" w:cs="Calibri"/>
          <w:color w:val="215E99" w:themeColor="text2" w:themeTint="BF"/>
          <w:sz w:val="16"/>
          <w:szCs w:val="16"/>
          <w:lang w:val="en-US"/>
        </w:rPr>
      </w:pPr>
      <w:r w:rsidRPr="00CE775A">
        <w:rPr>
          <w:rStyle w:val="FootnoteReference"/>
          <w:rFonts w:ascii="Calibri" w:hAnsi="Calibri" w:cs="Calibri"/>
          <w:sz w:val="16"/>
          <w:szCs w:val="16"/>
        </w:rPr>
        <w:footnoteRef/>
      </w:r>
      <w:r w:rsidRPr="00CE775A">
        <w:rPr>
          <w:rFonts w:ascii="Calibri" w:hAnsi="Calibri" w:cs="Calibri"/>
          <w:sz w:val="16"/>
          <w:szCs w:val="16"/>
        </w:rPr>
        <w:t xml:space="preserve"> </w:t>
      </w:r>
      <w:hyperlink r:id="rId3" w:history="1">
        <w:r w:rsidR="00E31841" w:rsidRPr="00CE775A">
          <w:rPr>
            <w:rStyle w:val="Hyperlink"/>
            <w:rFonts w:ascii="Calibri" w:hAnsi="Calibri" w:cs="Calibri"/>
            <w:color w:val="215E99" w:themeColor="text2" w:themeTint="BF"/>
            <w:sz w:val="16"/>
            <w:szCs w:val="16"/>
          </w:rPr>
          <w:t>https://www.vietnam-briefing.com/news/vietnams-special-investment-procedure-implementation-and-implications-for-foreign-investors.html/</w:t>
        </w:r>
      </w:hyperlink>
      <w:r w:rsidR="00E31841" w:rsidRPr="00CE775A">
        <w:rPr>
          <w:rFonts w:ascii="Calibri" w:hAnsi="Calibri" w:cs="Calibri"/>
          <w:color w:val="215E99" w:themeColor="text2" w:themeTint="BF"/>
          <w:sz w:val="16"/>
          <w:szCs w:val="16"/>
        </w:rPr>
        <w:t xml:space="preserve"> </w:t>
      </w:r>
    </w:p>
  </w:footnote>
  <w:footnote w:id="16">
    <w:p w14:paraId="6D3F8A04" w14:textId="77777777" w:rsidR="00AF5D5C" w:rsidRPr="00CE775A" w:rsidRDefault="00AF5D5C" w:rsidP="00AF5D5C">
      <w:pPr>
        <w:pStyle w:val="FootnoteText"/>
        <w:rPr>
          <w:rFonts w:ascii="Calibri" w:hAnsi="Calibri" w:cs="Calibri"/>
          <w:sz w:val="16"/>
          <w:szCs w:val="16"/>
          <w:lang w:val="en-US"/>
        </w:rPr>
      </w:pPr>
      <w:r w:rsidRPr="00CE775A">
        <w:rPr>
          <w:rStyle w:val="FootnoteReference"/>
          <w:rFonts w:ascii="Calibri" w:hAnsi="Calibri" w:cs="Calibri"/>
          <w:sz w:val="16"/>
          <w:szCs w:val="16"/>
        </w:rPr>
        <w:footnoteRef/>
      </w:r>
      <w:r w:rsidRPr="00CE775A">
        <w:rPr>
          <w:rFonts w:ascii="Calibri" w:hAnsi="Calibri" w:cs="Calibri"/>
          <w:sz w:val="16"/>
          <w:szCs w:val="16"/>
        </w:rPr>
        <w:t xml:space="preserve"> </w:t>
      </w:r>
      <w:hyperlink r:id="rId4" w:history="1">
        <w:r w:rsidRPr="00CE775A">
          <w:rPr>
            <w:rFonts w:ascii="Calibri" w:eastAsiaTheme="minorHAnsi" w:hAnsi="Calibri" w:cs="Calibri"/>
            <w:color w:val="094FD1"/>
            <w:sz w:val="16"/>
            <w:szCs w:val="16"/>
            <w:u w:val="single" w:color="094FD1"/>
            <w:lang w:val="en-US"/>
            <w14:ligatures w14:val="standardContextual"/>
          </w:rPr>
          <w:t>https://www.ifc.org/content/dam/ifc/doc/mgrt/cpsd-vietnam-v2.pdf</w:t>
        </w:r>
      </w:hyperlink>
    </w:p>
  </w:footnote>
  <w:footnote w:id="17">
    <w:p w14:paraId="4A88C34E" w14:textId="5DFCDC28" w:rsidR="008362E5" w:rsidRPr="00E03004" w:rsidRDefault="008362E5" w:rsidP="008362E5">
      <w:pPr>
        <w:pStyle w:val="FootnoteText"/>
        <w:jc w:val="both"/>
        <w:rPr>
          <w:rFonts w:ascii="Calibri" w:hAnsi="Calibri" w:cs="Calibri"/>
          <w:sz w:val="16"/>
          <w:szCs w:val="16"/>
          <w:lang w:val="en-US"/>
        </w:rPr>
      </w:pPr>
      <w:r w:rsidRPr="00E03004">
        <w:rPr>
          <w:rStyle w:val="FootnoteReference"/>
          <w:rFonts w:ascii="Calibri" w:hAnsi="Calibri" w:cs="Calibri"/>
          <w:sz w:val="16"/>
          <w:szCs w:val="16"/>
        </w:rPr>
        <w:footnoteRef/>
      </w:r>
      <w:r w:rsidRPr="00E03004">
        <w:rPr>
          <w:rFonts w:ascii="Calibri" w:hAnsi="Calibri" w:cs="Calibri"/>
          <w:sz w:val="16"/>
          <w:szCs w:val="16"/>
        </w:rPr>
        <w:t xml:space="preserve">  </w:t>
      </w:r>
      <w:hyperlink r:id="rId5" w:anchor="relevance-block" w:history="1">
        <w:r w:rsidRPr="00152F0F">
          <w:rPr>
            <w:rStyle w:val="Hyperlink"/>
            <w:rFonts w:ascii="Calibri" w:eastAsiaTheme="majorEastAsia" w:hAnsi="Calibri" w:cs="Calibri"/>
            <w:color w:val="auto"/>
            <w:sz w:val="16"/>
            <w:szCs w:val="16"/>
            <w:u w:val="none"/>
          </w:rPr>
          <w:t>Evaluation Criteria - OECD</w:t>
        </w:r>
      </w:hyperlink>
    </w:p>
  </w:footnote>
  <w:footnote w:id="18">
    <w:p w14:paraId="68AE41D4" w14:textId="77777777" w:rsidR="00F56D6A" w:rsidRPr="00A52E50" w:rsidRDefault="00F56D6A" w:rsidP="00F56D6A">
      <w:pPr>
        <w:pStyle w:val="FootnoteText"/>
        <w:jc w:val="both"/>
        <w:rPr>
          <w:rFonts w:ascii="Calibri" w:hAnsi="Calibri" w:cs="Calibri"/>
          <w:sz w:val="16"/>
          <w:szCs w:val="16"/>
          <w:lang w:val="en-US"/>
        </w:rPr>
      </w:pPr>
      <w:r w:rsidRPr="00E03004">
        <w:rPr>
          <w:rStyle w:val="FootnoteReference"/>
          <w:rFonts w:ascii="Calibri" w:hAnsi="Calibri" w:cs="Calibri"/>
          <w:sz w:val="16"/>
          <w:szCs w:val="16"/>
        </w:rPr>
        <w:footnoteRef/>
      </w:r>
      <w:r w:rsidRPr="00E03004">
        <w:rPr>
          <w:rFonts w:ascii="Calibri" w:hAnsi="Calibri" w:cs="Calibri"/>
          <w:sz w:val="16"/>
          <w:szCs w:val="16"/>
        </w:rPr>
        <w:t xml:space="preserve"> </w:t>
      </w:r>
      <w:r w:rsidRPr="00E03004">
        <w:rPr>
          <w:rFonts w:ascii="Calibri" w:hAnsi="Calibri" w:cs="Calibri"/>
          <w:sz w:val="16"/>
          <w:szCs w:val="16"/>
          <w:lang w:val="en-US"/>
        </w:rPr>
        <w:t>Firm level means at the organisational and institutional level rather than traditional government to government type approaches. Firm level also refers to the intended private sector focus of the program.</w:t>
      </w:r>
    </w:p>
  </w:footnote>
  <w:footnote w:id="19">
    <w:p w14:paraId="16038196" w14:textId="77777777" w:rsidR="000937DF" w:rsidRPr="00152F0F" w:rsidRDefault="000937DF" w:rsidP="000937DF">
      <w:pPr>
        <w:pStyle w:val="FootnoteText"/>
        <w:rPr>
          <w:rFonts w:ascii="Calibri" w:hAnsi="Calibri" w:cs="Calibri"/>
          <w:lang w:val="en-US"/>
        </w:rPr>
      </w:pPr>
      <w:r w:rsidRPr="00152F0F">
        <w:rPr>
          <w:rStyle w:val="FootnoteReference"/>
          <w:rFonts w:ascii="Calibri" w:eastAsiaTheme="majorEastAsia" w:hAnsi="Calibri" w:cs="Calibri"/>
          <w:sz w:val="16"/>
          <w:szCs w:val="16"/>
        </w:rPr>
        <w:footnoteRef/>
      </w:r>
      <w:r w:rsidRPr="00152F0F">
        <w:rPr>
          <w:rFonts w:ascii="Calibri" w:hAnsi="Calibri" w:cs="Calibri"/>
          <w:sz w:val="16"/>
          <w:szCs w:val="16"/>
        </w:rPr>
        <w:t xml:space="preserve"> Objectives here are referring to the outcomes </w:t>
      </w:r>
      <w:r w:rsidRPr="00152F0F">
        <w:rPr>
          <w:rFonts w:ascii="Calibri" w:hAnsi="Calibri" w:cs="Calibri"/>
          <w:sz w:val="16"/>
          <w:szCs w:val="16"/>
          <w:lang w:val="en-US"/>
        </w:rPr>
        <w:t>as per the Theory of Change in the VPSDP legal agreement.</w:t>
      </w:r>
    </w:p>
  </w:footnote>
  <w:footnote w:id="20">
    <w:p w14:paraId="7B51B658" w14:textId="0E32452F" w:rsidR="00962649" w:rsidRPr="009D736A" w:rsidRDefault="00962649" w:rsidP="00962649">
      <w:pPr>
        <w:pStyle w:val="FootnoteText"/>
        <w:jc w:val="both"/>
        <w:rPr>
          <w:rFonts w:ascii="Calibri" w:hAnsi="Calibri" w:cs="Calibri"/>
          <w:sz w:val="16"/>
          <w:szCs w:val="16"/>
        </w:rPr>
      </w:pPr>
      <w:r w:rsidRPr="00E03004">
        <w:rPr>
          <w:rStyle w:val="FootnoteReference"/>
          <w:rFonts w:ascii="Calibri" w:eastAsiaTheme="majorEastAsia" w:hAnsi="Calibri" w:cs="Calibri"/>
          <w:sz w:val="16"/>
          <w:szCs w:val="16"/>
        </w:rPr>
        <w:footnoteRef/>
      </w:r>
      <w:r w:rsidRPr="00E03004">
        <w:rPr>
          <w:rFonts w:ascii="Calibri" w:hAnsi="Calibri" w:cs="Calibri"/>
          <w:sz w:val="16"/>
          <w:szCs w:val="16"/>
        </w:rPr>
        <w:t xml:space="preserve"> This internal project logic derives from detailed project design and planning linked to in-country analysis, identification of IFC and World Bank feasible contribution to identified problems, and agreed activity with the </w:t>
      </w:r>
      <w:r w:rsidRPr="00735969">
        <w:rPr>
          <w:rFonts w:ascii="Calibri" w:hAnsi="Calibri" w:cs="Calibri"/>
          <w:sz w:val="16"/>
          <w:szCs w:val="16"/>
        </w:rPr>
        <w:t xml:space="preserve">Government of </w:t>
      </w:r>
      <w:r w:rsidR="00735969" w:rsidRPr="000348BD">
        <w:rPr>
          <w:rFonts w:ascii="Calibri" w:hAnsi="Calibri" w:cs="Calibri"/>
          <w:sz w:val="16"/>
          <w:szCs w:val="16"/>
        </w:rPr>
        <w:t>Viet Nam.</w:t>
      </w:r>
    </w:p>
  </w:footnote>
  <w:footnote w:id="21">
    <w:p w14:paraId="08CD5A77" w14:textId="2F167797" w:rsidR="00962649" w:rsidRPr="00E03004" w:rsidRDefault="00962649" w:rsidP="00962649">
      <w:pPr>
        <w:pStyle w:val="FootnoteText"/>
        <w:jc w:val="both"/>
        <w:rPr>
          <w:rFonts w:ascii="Calibri" w:hAnsi="Calibri" w:cs="Calibri"/>
          <w:sz w:val="16"/>
          <w:szCs w:val="16"/>
        </w:rPr>
      </w:pPr>
      <w:r w:rsidRPr="00E03004">
        <w:rPr>
          <w:rStyle w:val="FootnoteReference"/>
          <w:rFonts w:ascii="Calibri" w:eastAsiaTheme="majorEastAsia" w:hAnsi="Calibri" w:cs="Calibri"/>
          <w:sz w:val="16"/>
          <w:szCs w:val="16"/>
        </w:rPr>
        <w:footnoteRef/>
      </w:r>
      <w:r w:rsidRPr="00E03004">
        <w:rPr>
          <w:rFonts w:ascii="Calibri" w:hAnsi="Calibri" w:cs="Calibri"/>
          <w:sz w:val="16"/>
          <w:szCs w:val="16"/>
        </w:rPr>
        <w:t xml:space="preserve"> </w:t>
      </w:r>
      <w:r w:rsidRPr="00E03004">
        <w:rPr>
          <w:rFonts w:ascii="Calibri" w:hAnsi="Calibri" w:cs="Calibri"/>
          <w:sz w:val="16"/>
          <w:szCs w:val="16"/>
          <w:lang w:val="en-US"/>
        </w:rPr>
        <w:t>A network of Results Measurement Specialists and Economists speciali</w:t>
      </w:r>
      <w:r w:rsidR="00E03004">
        <w:rPr>
          <w:rFonts w:ascii="Calibri" w:hAnsi="Calibri" w:cs="Calibri"/>
          <w:sz w:val="16"/>
          <w:szCs w:val="16"/>
          <w:lang w:val="en-US"/>
        </w:rPr>
        <w:t>s</w:t>
      </w:r>
      <w:r w:rsidRPr="00E03004">
        <w:rPr>
          <w:rFonts w:ascii="Calibri" w:hAnsi="Calibri" w:cs="Calibri"/>
          <w:sz w:val="16"/>
          <w:szCs w:val="16"/>
          <w:lang w:val="en-US"/>
        </w:rPr>
        <w:t xml:space="preserve">ed in their respective sectors are utilized by IFC to i) </w:t>
      </w:r>
      <w:r w:rsidR="00E03004">
        <w:rPr>
          <w:rFonts w:ascii="Calibri" w:hAnsi="Calibri" w:cs="Calibri"/>
          <w:sz w:val="16"/>
          <w:szCs w:val="16"/>
          <w:lang w:val="en-US"/>
        </w:rPr>
        <w:t>p</w:t>
      </w:r>
      <w:r w:rsidRPr="00E03004">
        <w:rPr>
          <w:rFonts w:ascii="Calibri" w:hAnsi="Calibri" w:cs="Calibri"/>
          <w:sz w:val="16"/>
          <w:szCs w:val="16"/>
          <w:lang w:val="en-US"/>
        </w:rPr>
        <w:t xml:space="preserve">rovide guidance on project design; ii) </w:t>
      </w:r>
      <w:r w:rsidR="00E03004">
        <w:rPr>
          <w:rFonts w:ascii="Calibri" w:hAnsi="Calibri" w:cs="Calibri"/>
          <w:sz w:val="16"/>
          <w:szCs w:val="16"/>
          <w:lang w:val="en-US"/>
        </w:rPr>
        <w:t>s</w:t>
      </w:r>
      <w:r w:rsidRPr="00E03004">
        <w:rPr>
          <w:rFonts w:ascii="Calibri" w:hAnsi="Calibri" w:cs="Calibri"/>
          <w:sz w:val="16"/>
          <w:szCs w:val="16"/>
          <w:lang w:val="en-US"/>
        </w:rPr>
        <w:t xml:space="preserve">et indicators and methodology; iii) Ensure consistency and compliancy; iv) </w:t>
      </w:r>
      <w:r w:rsidR="00E03004">
        <w:rPr>
          <w:rFonts w:ascii="Calibri" w:hAnsi="Calibri" w:cs="Calibri"/>
          <w:sz w:val="16"/>
          <w:szCs w:val="16"/>
          <w:lang w:val="en-US"/>
        </w:rPr>
        <w:t>c</w:t>
      </w:r>
      <w:r w:rsidRPr="00E03004">
        <w:rPr>
          <w:rFonts w:ascii="Calibri" w:hAnsi="Calibri" w:cs="Calibri"/>
          <w:sz w:val="16"/>
          <w:szCs w:val="16"/>
          <w:lang w:val="en-US"/>
        </w:rPr>
        <w:t xml:space="preserve">onduct data validation and verification; v) Collaborate with project team to conduct evaluations and studies; </w:t>
      </w:r>
      <w:r w:rsidR="00E03004">
        <w:rPr>
          <w:rFonts w:ascii="Calibri" w:hAnsi="Calibri" w:cs="Calibri"/>
          <w:sz w:val="16"/>
          <w:szCs w:val="16"/>
          <w:lang w:val="en-US"/>
        </w:rPr>
        <w:t xml:space="preserve">and </w:t>
      </w:r>
      <w:r w:rsidRPr="00E03004">
        <w:rPr>
          <w:rFonts w:ascii="Calibri" w:hAnsi="Calibri" w:cs="Calibri"/>
          <w:sz w:val="16"/>
          <w:szCs w:val="16"/>
          <w:lang w:val="en-US"/>
        </w:rPr>
        <w:t xml:space="preserve">vi) </w:t>
      </w:r>
      <w:r w:rsidR="00E03004">
        <w:rPr>
          <w:rFonts w:ascii="Calibri" w:hAnsi="Calibri" w:cs="Calibri"/>
          <w:sz w:val="16"/>
          <w:szCs w:val="16"/>
          <w:lang w:val="en-US"/>
        </w:rPr>
        <w:t>c</w:t>
      </w:r>
      <w:r w:rsidRPr="00E03004">
        <w:rPr>
          <w:rFonts w:ascii="Calibri" w:hAnsi="Calibri" w:cs="Calibri"/>
          <w:sz w:val="16"/>
          <w:szCs w:val="16"/>
          <w:lang w:val="en-US"/>
        </w:rPr>
        <w:t>ontribute to institutional learning and development strategy</w:t>
      </w:r>
    </w:p>
  </w:footnote>
  <w:footnote w:id="22">
    <w:p w14:paraId="067FA46B" w14:textId="1BEA70D5" w:rsidR="00965C5A" w:rsidRPr="00152F0F" w:rsidRDefault="00965C5A" w:rsidP="00965C5A">
      <w:pPr>
        <w:pStyle w:val="FootnoteText"/>
        <w:rPr>
          <w:lang w:val="en-US"/>
        </w:rPr>
      </w:pPr>
      <w:r w:rsidRPr="00152F0F">
        <w:rPr>
          <w:rStyle w:val="FootnoteReference"/>
          <w:rFonts w:ascii="Calibri" w:hAnsi="Calibri" w:cs="Calibri"/>
          <w:sz w:val="16"/>
          <w:szCs w:val="16"/>
        </w:rPr>
        <w:footnoteRef/>
      </w:r>
      <w:r w:rsidRPr="00152F0F">
        <w:rPr>
          <w:rFonts w:ascii="Calibri" w:hAnsi="Calibri" w:cs="Calibri"/>
          <w:sz w:val="16"/>
          <w:szCs w:val="16"/>
        </w:rPr>
        <w:t xml:space="preserve"> </w:t>
      </w:r>
      <w:hyperlink r:id="rId6" w:history="1">
        <w:r w:rsidRPr="00152F0F">
          <w:rPr>
            <w:rFonts w:ascii="Calibri" w:eastAsiaTheme="minorHAnsi" w:hAnsi="Calibri" w:cs="Calibri"/>
            <w:color w:val="094FD1"/>
            <w:sz w:val="16"/>
            <w:szCs w:val="16"/>
            <w:u w:val="single" w:color="094FD1"/>
            <w:lang w:val="en-US"/>
            <w14:ligatures w14:val="standardContextual"/>
          </w:rPr>
          <w:t>https://www.ifc.org/content/dam/ifc/doc/2025/weaving-respect-into-workplace-culture-viet-nam-s-garment-sector.pdf</w:t>
        </w:r>
      </w:hyperlink>
      <w:r w:rsidRPr="00E03004">
        <w:rPr>
          <w:rFonts w:ascii="Calibri" w:eastAsiaTheme="minorHAnsi" w:hAnsi="Calibri" w:cs="Calibri"/>
          <w:sz w:val="16"/>
          <w:szCs w:val="16"/>
          <w:lang w:val="en-US"/>
          <w14:ligatures w14:val="standardContextual"/>
        </w:rPr>
        <w:t xml:space="preserve"> &amp;</w:t>
      </w:r>
      <w:r w:rsidRPr="00152F0F">
        <w:rPr>
          <w:rFonts w:ascii="Calibri" w:eastAsiaTheme="minorHAnsi" w:hAnsi="Calibri" w:cs="Calibri"/>
          <w:sz w:val="16"/>
          <w:szCs w:val="16"/>
          <w:lang w:val="en-US"/>
          <w14:ligatures w14:val="standardContextual"/>
        </w:rPr>
        <w:t xml:space="preserve"> </w:t>
      </w:r>
      <w:hyperlink r:id="rId7" w:history="1">
        <w:r w:rsidRPr="00152F0F">
          <w:rPr>
            <w:rFonts w:ascii="Calibri" w:eastAsiaTheme="minorHAnsi" w:hAnsi="Calibri" w:cs="Calibri"/>
            <w:color w:val="094FD1"/>
            <w:sz w:val="16"/>
            <w:szCs w:val="16"/>
            <w:u w:val="single" w:color="094FD1"/>
            <w:lang w:val="en-US"/>
            <w14:ligatures w14:val="standardContextual"/>
          </w:rPr>
          <w:t>https://www.ifc.org/en/stories/2025/behind-the-wheel-towards-a-sustainable-future</w:t>
        </w:r>
      </w:hyperlink>
    </w:p>
  </w:footnote>
  <w:footnote w:id="23">
    <w:p w14:paraId="4A5011F8" w14:textId="6FCB1517" w:rsidR="00194D9B" w:rsidRPr="00C61A13" w:rsidRDefault="00194D9B" w:rsidP="00194D9B">
      <w:pPr>
        <w:pStyle w:val="FootnoteText"/>
        <w:rPr>
          <w:rFonts w:ascii="Calibri" w:hAnsi="Calibri" w:cs="Calibri"/>
          <w:sz w:val="16"/>
          <w:szCs w:val="16"/>
        </w:rPr>
      </w:pPr>
      <w:r w:rsidRPr="00C61A13">
        <w:rPr>
          <w:rStyle w:val="FootnoteReference"/>
          <w:rFonts w:ascii="Calibri" w:eastAsiaTheme="majorEastAsia" w:hAnsi="Calibri" w:cs="Calibri"/>
          <w:sz w:val="16"/>
          <w:szCs w:val="16"/>
        </w:rPr>
        <w:footnoteRef/>
      </w:r>
      <w:r w:rsidRPr="00C61A13">
        <w:rPr>
          <w:rFonts w:ascii="Calibri" w:hAnsi="Calibri" w:cs="Calibri"/>
          <w:sz w:val="16"/>
          <w:szCs w:val="16"/>
        </w:rPr>
        <w:t xml:space="preserve"> See: DFAT Investment Monitoring Report Guidance</w:t>
      </w:r>
      <w:r w:rsidR="00E03004">
        <w:rPr>
          <w:rFonts w:ascii="Calibri" w:hAnsi="Calibri" w:cs="Calibri"/>
          <w:sz w:val="16"/>
          <w:szCs w:val="16"/>
        </w:rPr>
        <w:t>.</w:t>
      </w:r>
    </w:p>
  </w:footnote>
  <w:footnote w:id="24">
    <w:p w14:paraId="75384D76" w14:textId="77777777" w:rsidR="00C9020E" w:rsidRDefault="00C9020E" w:rsidP="00C9020E">
      <w:pPr>
        <w:pStyle w:val="FootnoteText"/>
        <w:rPr>
          <w:rFonts w:ascii="Calibri" w:hAnsi="Calibri" w:cs="Calibri"/>
          <w:sz w:val="16"/>
          <w:szCs w:val="16"/>
          <w:lang w:val="en-US"/>
        </w:rPr>
      </w:pPr>
      <w:r>
        <w:rPr>
          <w:rStyle w:val="FootnoteReference"/>
          <w:rFonts w:ascii="Calibri" w:hAnsi="Calibri" w:cs="Calibri"/>
          <w:sz w:val="16"/>
          <w:szCs w:val="16"/>
        </w:rPr>
        <w:footnoteRef/>
      </w:r>
      <w:r>
        <w:rPr>
          <w:rFonts w:ascii="Calibri" w:hAnsi="Calibri" w:cs="Calibri"/>
          <w:sz w:val="16"/>
          <w:szCs w:val="16"/>
        </w:rPr>
        <w:t xml:space="preserve"> </w:t>
      </w:r>
      <w:hyperlink r:id="rId8" w:history="1">
        <w:r>
          <w:rPr>
            <w:rStyle w:val="Hyperlink"/>
            <w:rFonts w:ascii="Calibri" w:eastAsiaTheme="minorHAnsi" w:hAnsi="Calibri" w:cs="Calibri"/>
            <w:color w:val="094FD1"/>
            <w:sz w:val="16"/>
            <w:szCs w:val="16"/>
            <w:lang w:val="en-US"/>
          </w:rPr>
          <w:t>VPBank together with SMBC, BII, EFA, FINDEV CANADA and JICA, jointly announce landmark USD 350 million partnership to advance sustainable development in Vietnam</w:t>
        </w:r>
      </w:hyperlink>
    </w:p>
  </w:footnote>
  <w:footnote w:id="25">
    <w:p w14:paraId="348C10F7" w14:textId="77777777" w:rsidR="00752C0B" w:rsidRPr="000348BD" w:rsidRDefault="00752C0B" w:rsidP="00752C0B">
      <w:pPr>
        <w:pStyle w:val="FootnoteText"/>
        <w:rPr>
          <w:rFonts w:ascii="Calibri" w:hAnsi="Calibri" w:cs="Calibri"/>
          <w:sz w:val="16"/>
          <w:szCs w:val="16"/>
        </w:rPr>
      </w:pPr>
      <w:r w:rsidRPr="000348BD">
        <w:rPr>
          <w:rStyle w:val="FootnoteReference"/>
          <w:rFonts w:ascii="Calibri" w:hAnsi="Calibri" w:cs="Calibri"/>
          <w:sz w:val="16"/>
          <w:szCs w:val="16"/>
        </w:rPr>
        <w:footnoteRef/>
      </w:r>
      <w:r w:rsidRPr="000348BD">
        <w:rPr>
          <w:rFonts w:ascii="Calibri" w:hAnsi="Calibri" w:cs="Calibri"/>
          <w:sz w:val="16"/>
          <w:szCs w:val="16"/>
        </w:rPr>
        <w:t xml:space="preserve"> The indicator covers Cambodia, Lao PDR, and Viet Nam. DFAT funding supported the preparation of the report for Viet Nam.</w:t>
      </w:r>
    </w:p>
  </w:footnote>
  <w:footnote w:id="26">
    <w:p w14:paraId="7F7C3FEF" w14:textId="1C0C6EAD" w:rsidR="00535F4D" w:rsidRPr="00B835E4" w:rsidRDefault="00535F4D" w:rsidP="00535F4D">
      <w:pPr>
        <w:pStyle w:val="FootnoteText"/>
        <w:rPr>
          <w:rFonts w:ascii="Calibri" w:hAnsi="Calibri" w:cs="Calibri"/>
          <w:sz w:val="16"/>
          <w:szCs w:val="16"/>
        </w:rPr>
      </w:pPr>
      <w:r w:rsidRPr="00B835E4">
        <w:rPr>
          <w:rStyle w:val="FootnoteReference"/>
          <w:rFonts w:ascii="Calibri" w:eastAsiaTheme="majorEastAsia" w:hAnsi="Calibri" w:cs="Calibri"/>
          <w:sz w:val="16"/>
          <w:szCs w:val="16"/>
        </w:rPr>
        <w:footnoteRef/>
      </w:r>
      <w:r w:rsidRPr="00B835E4">
        <w:rPr>
          <w:rFonts w:ascii="Calibri" w:hAnsi="Calibri" w:cs="Calibri"/>
          <w:sz w:val="16"/>
          <w:szCs w:val="16"/>
        </w:rPr>
        <w:t xml:space="preserve"> </w:t>
      </w:r>
      <w:hyperlink r:id="rId9" w:anchor="section-d1e3790" w:history="1">
        <w:r w:rsidRPr="00152F0F">
          <w:rPr>
            <w:rStyle w:val="Hyperlink"/>
            <w:rFonts w:ascii="Calibri" w:eastAsiaTheme="majorEastAsia" w:hAnsi="Calibri" w:cs="Calibri"/>
            <w:color w:val="auto"/>
            <w:sz w:val="16"/>
            <w:szCs w:val="16"/>
            <w:u w:val="none"/>
          </w:rPr>
          <w:t xml:space="preserve">Understanding the six criteria: Definitions, elements for analysis and key challenges | Applying Evaluation Criteria Thoughtfully | OECD </w:t>
        </w:r>
        <w:r w:rsidR="00E024D3" w:rsidRPr="00152F0F">
          <w:rPr>
            <w:rStyle w:val="Hyperlink"/>
            <w:rFonts w:ascii="Calibri" w:eastAsiaTheme="majorEastAsia" w:hAnsi="Calibri" w:cs="Calibri"/>
            <w:color w:val="auto"/>
            <w:sz w:val="16"/>
            <w:szCs w:val="16"/>
            <w:u w:val="none"/>
          </w:rPr>
          <w:t>library</w:t>
        </w:r>
        <w:r w:rsidRPr="00152F0F">
          <w:rPr>
            <w:rStyle w:val="Hyperlink"/>
            <w:rFonts w:ascii="Calibri" w:eastAsiaTheme="majorEastAsia" w:hAnsi="Calibri" w:cs="Calibri"/>
            <w:color w:val="auto"/>
            <w:sz w:val="16"/>
            <w:szCs w:val="16"/>
            <w:u w:val="none"/>
          </w:rPr>
          <w:t xml:space="preserve"> (oecd-ilibrary.org)</w:t>
        </w:r>
      </w:hyperlink>
    </w:p>
  </w:footnote>
  <w:footnote w:id="27">
    <w:p w14:paraId="56AF0B0B" w14:textId="77777777" w:rsidR="00DC1F89" w:rsidRPr="00380CB6" w:rsidRDefault="00DC1F89" w:rsidP="00DC1F89">
      <w:pPr>
        <w:pStyle w:val="FootnoteText"/>
        <w:rPr>
          <w:rFonts w:asciiTheme="minorHAnsi" w:hAnsiTheme="minorHAnsi"/>
          <w:sz w:val="16"/>
          <w:szCs w:val="16"/>
          <w:lang w:val="en-US"/>
        </w:rPr>
      </w:pPr>
      <w:r w:rsidRPr="00380CB6">
        <w:rPr>
          <w:rStyle w:val="FootnoteReference"/>
          <w:rFonts w:asciiTheme="minorHAnsi" w:hAnsiTheme="minorHAnsi"/>
          <w:sz w:val="16"/>
          <w:szCs w:val="16"/>
        </w:rPr>
        <w:footnoteRef/>
      </w:r>
      <w:r w:rsidRPr="00380CB6">
        <w:rPr>
          <w:rFonts w:asciiTheme="minorHAnsi" w:hAnsiTheme="minorHAnsi"/>
          <w:sz w:val="16"/>
          <w:szCs w:val="16"/>
        </w:rPr>
        <w:t xml:space="preserve"> </w:t>
      </w:r>
      <w:r w:rsidRPr="00380CB6">
        <w:rPr>
          <w:rFonts w:asciiTheme="minorHAnsi" w:hAnsiTheme="minorHAnsi"/>
          <w:sz w:val="16"/>
          <w:szCs w:val="16"/>
          <w:lang w:val="en-US"/>
        </w:rPr>
        <w:t>Contributing Project(s): Investment Policy and Promotion and JCAP.</w:t>
      </w:r>
    </w:p>
  </w:footnote>
  <w:footnote w:id="28">
    <w:p w14:paraId="144777CB" w14:textId="77777777" w:rsidR="00DC1F89" w:rsidRPr="00380CB6" w:rsidRDefault="00DC1F89" w:rsidP="00DC1F89">
      <w:pPr>
        <w:pStyle w:val="FootnoteText"/>
        <w:rPr>
          <w:rFonts w:asciiTheme="minorHAnsi" w:hAnsiTheme="minorHAnsi"/>
          <w:sz w:val="16"/>
          <w:szCs w:val="16"/>
          <w:lang w:val="en-US"/>
        </w:rPr>
      </w:pPr>
      <w:r w:rsidRPr="00380CB6">
        <w:rPr>
          <w:rStyle w:val="FootnoteReference"/>
          <w:rFonts w:asciiTheme="minorHAnsi" w:hAnsiTheme="minorHAnsi"/>
          <w:sz w:val="16"/>
          <w:szCs w:val="16"/>
        </w:rPr>
        <w:footnoteRef/>
      </w:r>
      <w:r w:rsidRPr="00380CB6">
        <w:rPr>
          <w:rFonts w:asciiTheme="minorHAnsi" w:hAnsiTheme="minorHAnsi"/>
          <w:sz w:val="16"/>
          <w:szCs w:val="16"/>
        </w:rPr>
        <w:t xml:space="preserve"> Increased by US$57,682,784 to US$632,682,684. This investment was delivered under the Food Safety and Food Loss Project.</w:t>
      </w:r>
    </w:p>
  </w:footnote>
  <w:footnote w:id="29">
    <w:p w14:paraId="14CB7593" w14:textId="77777777" w:rsidR="00DC1F89" w:rsidRPr="00380CB6" w:rsidRDefault="00DC1F89" w:rsidP="00DC1F89">
      <w:pPr>
        <w:pStyle w:val="FootnoteText"/>
        <w:rPr>
          <w:rFonts w:asciiTheme="minorHAnsi" w:hAnsiTheme="minorHAnsi"/>
          <w:sz w:val="16"/>
          <w:szCs w:val="16"/>
          <w:lang w:val="en-US"/>
        </w:rPr>
      </w:pPr>
      <w:r w:rsidRPr="00380CB6">
        <w:rPr>
          <w:rStyle w:val="FootnoteReference"/>
          <w:rFonts w:asciiTheme="minorHAnsi" w:hAnsiTheme="minorHAnsi"/>
          <w:sz w:val="16"/>
          <w:szCs w:val="16"/>
        </w:rPr>
        <w:footnoteRef/>
      </w:r>
      <w:r w:rsidRPr="00380CB6">
        <w:rPr>
          <w:rFonts w:asciiTheme="minorHAnsi" w:hAnsiTheme="minorHAnsi"/>
          <w:sz w:val="16"/>
          <w:szCs w:val="16"/>
        </w:rPr>
        <w:t xml:space="preserve"> </w:t>
      </w:r>
      <w:r w:rsidRPr="00380CB6">
        <w:rPr>
          <w:rFonts w:asciiTheme="minorHAnsi" w:hAnsiTheme="minorHAnsi"/>
          <w:sz w:val="16"/>
          <w:szCs w:val="16"/>
          <w:lang w:val="en-US"/>
        </w:rPr>
        <w:t>Investment facilitated: US$446m – Green Finance; US$10m – Food Safety and Food Loss; Non-Climate: US$50m – NBFI.</w:t>
      </w:r>
    </w:p>
  </w:footnote>
  <w:footnote w:id="30">
    <w:p w14:paraId="711B3363" w14:textId="77777777" w:rsidR="00EE1F33" w:rsidRPr="00380CB6" w:rsidRDefault="00EE1F33" w:rsidP="00EE1F33">
      <w:pPr>
        <w:pStyle w:val="pf0"/>
        <w:spacing w:before="0" w:beforeAutospacing="0" w:after="0" w:afterAutospacing="0"/>
        <w:rPr>
          <w:rFonts w:asciiTheme="minorHAnsi" w:hAnsiTheme="minorHAnsi" w:cstheme="minorHAnsi"/>
          <w:sz w:val="16"/>
          <w:szCs w:val="16"/>
        </w:rPr>
      </w:pPr>
      <w:r w:rsidRPr="00380CB6">
        <w:rPr>
          <w:rStyle w:val="FootnoteReference"/>
          <w:rFonts w:asciiTheme="minorHAnsi" w:eastAsiaTheme="majorEastAsia" w:hAnsiTheme="minorHAnsi" w:cstheme="minorHAnsi"/>
          <w:sz w:val="16"/>
          <w:szCs w:val="16"/>
        </w:rPr>
        <w:footnoteRef/>
      </w:r>
      <w:r w:rsidRPr="00380CB6">
        <w:rPr>
          <w:rFonts w:asciiTheme="minorHAnsi" w:hAnsiTheme="minorHAnsi" w:cstheme="minorHAnsi"/>
          <w:sz w:val="16"/>
          <w:szCs w:val="16"/>
        </w:rPr>
        <w:t xml:space="preserve"> </w:t>
      </w:r>
      <w:r w:rsidRPr="00380CB6">
        <w:rPr>
          <w:rStyle w:val="cf01"/>
          <w:rFonts w:asciiTheme="minorHAnsi" w:hAnsiTheme="minorHAnsi" w:cstheme="minorHAnsi"/>
          <w:sz w:val="16"/>
          <w:szCs w:val="16"/>
        </w:rPr>
        <w:t xml:space="preserve">Aggregating results from projects under Pillar 1. </w:t>
      </w:r>
    </w:p>
  </w:footnote>
  <w:footnote w:id="31">
    <w:p w14:paraId="3B8F559A" w14:textId="77777777" w:rsidR="00EE1F33" w:rsidRPr="006440E2" w:rsidRDefault="00EE1F33" w:rsidP="00EE1F33">
      <w:pPr>
        <w:pStyle w:val="FootnoteText"/>
        <w:rPr>
          <w:sz w:val="16"/>
          <w:szCs w:val="16"/>
          <w:lang w:val="en-US"/>
        </w:rPr>
      </w:pPr>
      <w:r w:rsidRPr="006440E2">
        <w:rPr>
          <w:rStyle w:val="FootnoteReference"/>
          <w:rFonts w:eastAsiaTheme="majorEastAsia"/>
          <w:sz w:val="16"/>
          <w:szCs w:val="16"/>
        </w:rPr>
        <w:footnoteRef/>
      </w:r>
      <w:r w:rsidRPr="006440E2">
        <w:rPr>
          <w:sz w:val="16"/>
          <w:szCs w:val="16"/>
        </w:rPr>
        <w:t xml:space="preserve"> </w:t>
      </w:r>
      <w:r w:rsidRPr="006440E2">
        <w:rPr>
          <w:rFonts w:asciiTheme="minorHAnsi" w:hAnsiTheme="minorHAnsi" w:cstheme="minorHAnsi"/>
          <w:sz w:val="16"/>
          <w:szCs w:val="16"/>
        </w:rPr>
        <w:t>Aggregating results from projects under Pillar 2 &amp; 3 (real sector and Financial Institutions).</w:t>
      </w:r>
    </w:p>
  </w:footnote>
  <w:footnote w:id="32">
    <w:p w14:paraId="04D3B982" w14:textId="77777777" w:rsidR="00EE1F33" w:rsidRPr="006440E2" w:rsidRDefault="00EE1F33" w:rsidP="00EE1F33">
      <w:pPr>
        <w:pStyle w:val="FootnoteText"/>
        <w:rPr>
          <w:lang w:val="en-US"/>
        </w:rPr>
      </w:pPr>
      <w:r w:rsidRPr="006440E2">
        <w:rPr>
          <w:rStyle w:val="FootnoteReference"/>
          <w:rFonts w:eastAsiaTheme="majorEastAsia"/>
          <w:sz w:val="16"/>
          <w:szCs w:val="16"/>
        </w:rPr>
        <w:footnoteRef/>
      </w:r>
      <w:r w:rsidRPr="006440E2">
        <w:rPr>
          <w:sz w:val="16"/>
          <w:szCs w:val="16"/>
        </w:rPr>
        <w:t xml:space="preserve"> </w:t>
      </w:r>
      <w:r w:rsidRPr="006440E2">
        <w:rPr>
          <w:sz w:val="16"/>
          <w:szCs w:val="16"/>
          <w:lang w:val="en-US"/>
        </w:rPr>
        <w:t>Aggregating results from projects under Pillar 4.</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AEF" w14:textId="292F603F" w:rsidR="008A10FA" w:rsidRPr="00F4306E" w:rsidRDefault="008A10FA" w:rsidP="00F43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578D3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ABAD1C6"/>
    <w:lvl w:ilvl="0">
      <w:start w:val="1"/>
      <w:numFmt w:val="decimal"/>
      <w:pStyle w:val="ListNumber"/>
      <w:lvlText w:val="%1."/>
      <w:lvlJc w:val="left"/>
      <w:pPr>
        <w:tabs>
          <w:tab w:val="num" w:pos="360"/>
        </w:tabs>
        <w:ind w:left="360" w:hanging="360"/>
      </w:pPr>
      <w:rPr>
        <w:b/>
        <w:bCs/>
        <w:color w:val="F16969"/>
      </w:rPr>
    </w:lvl>
  </w:abstractNum>
  <w:abstractNum w:abstractNumId="2" w15:restartNumberingAfterBreak="0">
    <w:nsid w:val="FFFFFF89"/>
    <w:multiLevelType w:val="singleLevel"/>
    <w:tmpl w:val="A3A2151E"/>
    <w:lvl w:ilvl="0">
      <w:start w:val="1"/>
      <w:numFmt w:val="bullet"/>
      <w:pStyle w:val="ListBullet"/>
      <w:lvlText w:val=""/>
      <w:lvlJc w:val="left"/>
      <w:pPr>
        <w:tabs>
          <w:tab w:val="num" w:pos="360"/>
        </w:tabs>
        <w:ind w:left="360" w:hanging="360"/>
      </w:pPr>
      <w:rPr>
        <w:rFonts w:ascii="Symbol" w:hAnsi="Symbol" w:hint="default"/>
        <w:color w:val="FF4243"/>
      </w:rPr>
    </w:lvl>
  </w:abstractNum>
  <w:abstractNum w:abstractNumId="3" w15:restartNumberingAfterBreak="0">
    <w:nsid w:val="05C04A88"/>
    <w:multiLevelType w:val="hybridMultilevel"/>
    <w:tmpl w:val="70D4D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370F6"/>
    <w:multiLevelType w:val="hybridMultilevel"/>
    <w:tmpl w:val="8116C514"/>
    <w:lvl w:ilvl="0" w:tplc="12604086">
      <w:start w:val="1"/>
      <w:numFmt w:val="upperLetter"/>
      <w:lvlText w:val="%1."/>
      <w:lvlJc w:val="left"/>
      <w:pPr>
        <w:ind w:left="360" w:hanging="360"/>
      </w:pPr>
      <w:rPr>
        <w:rFonts w:ascii="Arial" w:hAnsi="Arial" w:cs="Arial" w:hint="default"/>
        <w:b/>
        <w:color w:val="002060"/>
        <w:sz w:val="23"/>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680D6A"/>
    <w:multiLevelType w:val="multilevel"/>
    <w:tmpl w:val="B33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E00869"/>
    <w:multiLevelType w:val="hybridMultilevel"/>
    <w:tmpl w:val="E8DE3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1152E"/>
    <w:multiLevelType w:val="multilevel"/>
    <w:tmpl w:val="86D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A32ECD"/>
    <w:multiLevelType w:val="hybridMultilevel"/>
    <w:tmpl w:val="3B86D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04BA1"/>
    <w:multiLevelType w:val="multilevel"/>
    <w:tmpl w:val="2DB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26A05"/>
    <w:multiLevelType w:val="hybridMultilevel"/>
    <w:tmpl w:val="36386932"/>
    <w:lvl w:ilvl="0" w:tplc="FFFFFFFF">
      <w:start w:val="1"/>
      <w:numFmt w:val="bullet"/>
      <w:lvlText w:val=""/>
      <w:lvlJc w:val="left"/>
      <w:pPr>
        <w:ind w:left="720" w:hanging="360"/>
      </w:pPr>
      <w:rPr>
        <w:rFonts w:ascii="Symbol" w:hAnsi="Symbol" w:hint="default"/>
      </w:rPr>
    </w:lvl>
    <w:lvl w:ilvl="1" w:tplc="5EE87EB4">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3F6B1D"/>
    <w:multiLevelType w:val="multilevel"/>
    <w:tmpl w:val="262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453092"/>
    <w:multiLevelType w:val="hybridMultilevel"/>
    <w:tmpl w:val="B82E5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C1C4F"/>
    <w:multiLevelType w:val="hybridMultilevel"/>
    <w:tmpl w:val="8ABCB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FDF42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1A463EF"/>
    <w:multiLevelType w:val="multilevel"/>
    <w:tmpl w:val="3F9A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81770D"/>
    <w:multiLevelType w:val="multilevel"/>
    <w:tmpl w:val="18AE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704145"/>
    <w:multiLevelType w:val="multilevel"/>
    <w:tmpl w:val="56D6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3F33B0"/>
    <w:multiLevelType w:val="hybridMultilevel"/>
    <w:tmpl w:val="1952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426437"/>
    <w:multiLevelType w:val="hybridMultilevel"/>
    <w:tmpl w:val="AF74A1DA"/>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5C4FC1"/>
    <w:multiLevelType w:val="hybridMultilevel"/>
    <w:tmpl w:val="BE985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9C66688"/>
    <w:multiLevelType w:val="hybridMultilevel"/>
    <w:tmpl w:val="5EEE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46333A"/>
    <w:multiLevelType w:val="hybridMultilevel"/>
    <w:tmpl w:val="1026F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BA7B8A"/>
    <w:multiLevelType w:val="multilevel"/>
    <w:tmpl w:val="6910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BD6E5B"/>
    <w:multiLevelType w:val="multilevel"/>
    <w:tmpl w:val="F18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FD395D"/>
    <w:multiLevelType w:val="hybridMultilevel"/>
    <w:tmpl w:val="CEB6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916BDD"/>
    <w:multiLevelType w:val="hybridMultilevel"/>
    <w:tmpl w:val="ABCE6E9C"/>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2173B9"/>
    <w:multiLevelType w:val="hybridMultilevel"/>
    <w:tmpl w:val="C1D4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A6E68E1"/>
    <w:multiLevelType w:val="hybridMultilevel"/>
    <w:tmpl w:val="755A6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B5761B2"/>
    <w:multiLevelType w:val="hybridMultilevel"/>
    <w:tmpl w:val="8F88F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107F90"/>
    <w:multiLevelType w:val="multilevel"/>
    <w:tmpl w:val="0A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320C23"/>
    <w:multiLevelType w:val="multilevel"/>
    <w:tmpl w:val="9FFA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6D6F54"/>
    <w:multiLevelType w:val="multilevel"/>
    <w:tmpl w:val="632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465362"/>
    <w:multiLevelType w:val="multilevel"/>
    <w:tmpl w:val="5112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6A4A39"/>
    <w:multiLevelType w:val="hybridMultilevel"/>
    <w:tmpl w:val="8158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12747D"/>
    <w:multiLevelType w:val="multilevel"/>
    <w:tmpl w:val="6D66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4D51CCF"/>
    <w:multiLevelType w:val="hybridMultilevel"/>
    <w:tmpl w:val="29FA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CC7482"/>
    <w:multiLevelType w:val="hybridMultilevel"/>
    <w:tmpl w:val="DDC0A9DA"/>
    <w:lvl w:ilvl="0" w:tplc="5EE87EB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97D2CFC"/>
    <w:multiLevelType w:val="multilevel"/>
    <w:tmpl w:val="EE3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AF91462"/>
    <w:multiLevelType w:val="hybridMultilevel"/>
    <w:tmpl w:val="6032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114910"/>
    <w:multiLevelType w:val="multilevel"/>
    <w:tmpl w:val="3FAE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F62951"/>
    <w:multiLevelType w:val="hybridMultilevel"/>
    <w:tmpl w:val="2EEC696E"/>
    <w:lvl w:ilvl="0" w:tplc="D278C432">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6E2ACB"/>
    <w:multiLevelType w:val="multilevel"/>
    <w:tmpl w:val="DD06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39D2EC8"/>
    <w:multiLevelType w:val="multilevel"/>
    <w:tmpl w:val="C06A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450EDA"/>
    <w:multiLevelType w:val="hybridMultilevel"/>
    <w:tmpl w:val="F356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9553A1"/>
    <w:multiLevelType w:val="multilevel"/>
    <w:tmpl w:val="222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C9357B5"/>
    <w:multiLevelType w:val="hybridMultilevel"/>
    <w:tmpl w:val="28521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EFE1BFA"/>
    <w:multiLevelType w:val="multilevel"/>
    <w:tmpl w:val="0F46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49603C"/>
    <w:multiLevelType w:val="multilevel"/>
    <w:tmpl w:val="5554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F8571A9"/>
    <w:multiLevelType w:val="hybridMultilevel"/>
    <w:tmpl w:val="675C9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574669"/>
    <w:multiLevelType w:val="hybridMultilevel"/>
    <w:tmpl w:val="C5E692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E7F4F"/>
    <w:multiLevelType w:val="multilevel"/>
    <w:tmpl w:val="A636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3720EE3"/>
    <w:multiLevelType w:val="multilevel"/>
    <w:tmpl w:val="9612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3DB2D9B"/>
    <w:multiLevelType w:val="hybridMultilevel"/>
    <w:tmpl w:val="15584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A4311E"/>
    <w:multiLevelType w:val="multilevel"/>
    <w:tmpl w:val="1AB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768726B"/>
    <w:multiLevelType w:val="multilevel"/>
    <w:tmpl w:val="6D5E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47572D"/>
    <w:multiLevelType w:val="multilevel"/>
    <w:tmpl w:val="3004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58679E"/>
    <w:multiLevelType w:val="hybridMultilevel"/>
    <w:tmpl w:val="B15C8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9D47486"/>
    <w:multiLevelType w:val="multilevel"/>
    <w:tmpl w:val="056A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DB7D23"/>
    <w:multiLevelType w:val="hybridMultilevel"/>
    <w:tmpl w:val="1324A75A"/>
    <w:lvl w:ilvl="0" w:tplc="5EE87E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6A4C21"/>
    <w:multiLevelType w:val="multilevel"/>
    <w:tmpl w:val="A9EA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36477A"/>
    <w:multiLevelType w:val="multilevel"/>
    <w:tmpl w:val="AEF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4D4F81"/>
    <w:multiLevelType w:val="multilevel"/>
    <w:tmpl w:val="AE8E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15700CE"/>
    <w:multiLevelType w:val="multilevel"/>
    <w:tmpl w:val="228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3546B84"/>
    <w:multiLevelType w:val="multilevel"/>
    <w:tmpl w:val="D980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3CD69BD"/>
    <w:multiLevelType w:val="hybridMultilevel"/>
    <w:tmpl w:val="2A685E30"/>
    <w:lvl w:ilvl="0" w:tplc="661E1764">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8A4014"/>
    <w:multiLevelType w:val="hybridMultilevel"/>
    <w:tmpl w:val="171E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900168"/>
    <w:multiLevelType w:val="hybridMultilevel"/>
    <w:tmpl w:val="3A0C5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7487255"/>
    <w:multiLevelType w:val="hybridMultilevel"/>
    <w:tmpl w:val="F42268C0"/>
    <w:lvl w:ilvl="0" w:tplc="5EE87E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455C4B"/>
    <w:multiLevelType w:val="hybridMultilevel"/>
    <w:tmpl w:val="FCD4D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8A12969"/>
    <w:multiLevelType w:val="multilevel"/>
    <w:tmpl w:val="9D10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B155DE4"/>
    <w:multiLevelType w:val="hybridMultilevel"/>
    <w:tmpl w:val="FB4AE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5512EA"/>
    <w:multiLevelType w:val="hybridMultilevel"/>
    <w:tmpl w:val="A810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C25442"/>
    <w:multiLevelType w:val="hybridMultilevel"/>
    <w:tmpl w:val="155EFC60"/>
    <w:lvl w:ilvl="0" w:tplc="5EE87E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6E1C9C"/>
    <w:multiLevelType w:val="hybridMultilevel"/>
    <w:tmpl w:val="8FB2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5ED66E7"/>
    <w:multiLevelType w:val="multilevel"/>
    <w:tmpl w:val="D9FA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783B1E"/>
    <w:multiLevelType w:val="hybridMultilevel"/>
    <w:tmpl w:val="58BCA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A9D2E95"/>
    <w:multiLevelType w:val="hybridMultilevel"/>
    <w:tmpl w:val="D8862AC6"/>
    <w:lvl w:ilvl="0" w:tplc="5EE87E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210638"/>
    <w:multiLevelType w:val="multilevel"/>
    <w:tmpl w:val="822C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CBC416D"/>
    <w:multiLevelType w:val="hybridMultilevel"/>
    <w:tmpl w:val="64381DE6"/>
    <w:lvl w:ilvl="0" w:tplc="6C82104C">
      <w:start w:val="1"/>
      <w:numFmt w:val="bullet"/>
      <w:lvlText w:val=""/>
      <w:lvlJc w:val="left"/>
      <w:pPr>
        <w:ind w:left="720" w:hanging="360"/>
      </w:pPr>
      <w:rPr>
        <w:rFonts w:ascii="Symbol" w:hAnsi="Symbol" w:hint="default"/>
      </w:rPr>
    </w:lvl>
    <w:lvl w:ilvl="1" w:tplc="AFF00B52">
      <w:start w:val="1"/>
      <w:numFmt w:val="bullet"/>
      <w:lvlText w:val="o"/>
      <w:lvlJc w:val="left"/>
      <w:pPr>
        <w:ind w:left="1440" w:hanging="360"/>
      </w:pPr>
      <w:rPr>
        <w:rFonts w:ascii="Courier New" w:hAnsi="Courier New" w:hint="default"/>
      </w:rPr>
    </w:lvl>
    <w:lvl w:ilvl="2" w:tplc="84E01CD8">
      <w:start w:val="1"/>
      <w:numFmt w:val="bullet"/>
      <w:lvlText w:val=""/>
      <w:lvlJc w:val="left"/>
      <w:pPr>
        <w:ind w:left="2160" w:hanging="360"/>
      </w:pPr>
      <w:rPr>
        <w:rFonts w:ascii="Wingdings" w:hAnsi="Wingdings" w:hint="default"/>
      </w:rPr>
    </w:lvl>
    <w:lvl w:ilvl="3" w:tplc="CEC4C86C">
      <w:start w:val="1"/>
      <w:numFmt w:val="bullet"/>
      <w:lvlText w:val=""/>
      <w:lvlJc w:val="left"/>
      <w:pPr>
        <w:ind w:left="2880" w:hanging="360"/>
      </w:pPr>
      <w:rPr>
        <w:rFonts w:ascii="Symbol" w:hAnsi="Symbol" w:hint="default"/>
      </w:rPr>
    </w:lvl>
    <w:lvl w:ilvl="4" w:tplc="5ACA527C">
      <w:start w:val="1"/>
      <w:numFmt w:val="bullet"/>
      <w:lvlText w:val="o"/>
      <w:lvlJc w:val="left"/>
      <w:pPr>
        <w:ind w:left="3600" w:hanging="360"/>
      </w:pPr>
      <w:rPr>
        <w:rFonts w:ascii="Courier New" w:hAnsi="Courier New" w:hint="default"/>
      </w:rPr>
    </w:lvl>
    <w:lvl w:ilvl="5" w:tplc="C614A5A6">
      <w:start w:val="1"/>
      <w:numFmt w:val="bullet"/>
      <w:lvlText w:val=""/>
      <w:lvlJc w:val="left"/>
      <w:pPr>
        <w:ind w:left="4320" w:hanging="360"/>
      </w:pPr>
      <w:rPr>
        <w:rFonts w:ascii="Wingdings" w:hAnsi="Wingdings" w:hint="default"/>
      </w:rPr>
    </w:lvl>
    <w:lvl w:ilvl="6" w:tplc="4C5497C2">
      <w:start w:val="1"/>
      <w:numFmt w:val="bullet"/>
      <w:lvlText w:val=""/>
      <w:lvlJc w:val="left"/>
      <w:pPr>
        <w:ind w:left="5040" w:hanging="360"/>
      </w:pPr>
      <w:rPr>
        <w:rFonts w:ascii="Symbol" w:hAnsi="Symbol" w:hint="default"/>
      </w:rPr>
    </w:lvl>
    <w:lvl w:ilvl="7" w:tplc="5906AB2E">
      <w:start w:val="1"/>
      <w:numFmt w:val="bullet"/>
      <w:lvlText w:val="o"/>
      <w:lvlJc w:val="left"/>
      <w:pPr>
        <w:ind w:left="5760" w:hanging="360"/>
      </w:pPr>
      <w:rPr>
        <w:rFonts w:ascii="Courier New" w:hAnsi="Courier New" w:hint="default"/>
      </w:rPr>
    </w:lvl>
    <w:lvl w:ilvl="8" w:tplc="A5509E62">
      <w:start w:val="1"/>
      <w:numFmt w:val="bullet"/>
      <w:lvlText w:val=""/>
      <w:lvlJc w:val="left"/>
      <w:pPr>
        <w:ind w:left="6480" w:hanging="360"/>
      </w:pPr>
      <w:rPr>
        <w:rFonts w:ascii="Wingdings" w:hAnsi="Wingdings" w:hint="default"/>
      </w:rPr>
    </w:lvl>
  </w:abstractNum>
  <w:abstractNum w:abstractNumId="80" w15:restartNumberingAfterBreak="0">
    <w:nsid w:val="7E4736A1"/>
    <w:multiLevelType w:val="multilevel"/>
    <w:tmpl w:val="0EEE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F704110"/>
    <w:multiLevelType w:val="hybridMultilevel"/>
    <w:tmpl w:val="9124A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3040650">
    <w:abstractNumId w:val="2"/>
  </w:num>
  <w:num w:numId="2" w16cid:durableId="1353067313">
    <w:abstractNumId w:val="0"/>
  </w:num>
  <w:num w:numId="3" w16cid:durableId="1434591263">
    <w:abstractNumId w:val="1"/>
  </w:num>
  <w:num w:numId="4" w16cid:durableId="211888048">
    <w:abstractNumId w:val="79"/>
  </w:num>
  <w:num w:numId="5" w16cid:durableId="1988825589">
    <w:abstractNumId w:val="18"/>
  </w:num>
  <w:num w:numId="6" w16cid:durableId="675109927">
    <w:abstractNumId w:val="25"/>
  </w:num>
  <w:num w:numId="7" w16cid:durableId="684720356">
    <w:abstractNumId w:val="21"/>
  </w:num>
  <w:num w:numId="8" w16cid:durableId="941260129">
    <w:abstractNumId w:val="39"/>
  </w:num>
  <w:num w:numId="9" w16cid:durableId="615720978">
    <w:abstractNumId w:val="66"/>
  </w:num>
  <w:num w:numId="10" w16cid:durableId="56051402">
    <w:abstractNumId w:val="37"/>
  </w:num>
  <w:num w:numId="11" w16cid:durableId="364603445">
    <w:abstractNumId w:val="77"/>
  </w:num>
  <w:num w:numId="12" w16cid:durableId="1540701240">
    <w:abstractNumId w:val="73"/>
  </w:num>
  <w:num w:numId="13" w16cid:durableId="1503861680">
    <w:abstractNumId w:val="68"/>
  </w:num>
  <w:num w:numId="14" w16cid:durableId="1202324316">
    <w:abstractNumId w:val="65"/>
  </w:num>
  <w:num w:numId="15" w16cid:durableId="933854982">
    <w:abstractNumId w:val="59"/>
  </w:num>
  <w:num w:numId="16" w16cid:durableId="231432732">
    <w:abstractNumId w:val="10"/>
  </w:num>
  <w:num w:numId="17" w16cid:durableId="1423841190">
    <w:abstractNumId w:val="4"/>
  </w:num>
  <w:num w:numId="18" w16cid:durableId="559829615">
    <w:abstractNumId w:val="26"/>
  </w:num>
  <w:num w:numId="19" w16cid:durableId="1288851433">
    <w:abstractNumId w:val="71"/>
  </w:num>
  <w:num w:numId="20" w16cid:durableId="2030598728">
    <w:abstractNumId w:val="74"/>
  </w:num>
  <w:num w:numId="21" w16cid:durableId="1173645459">
    <w:abstractNumId w:val="19"/>
  </w:num>
  <w:num w:numId="22" w16cid:durableId="1241214808">
    <w:abstractNumId w:val="12"/>
  </w:num>
  <w:num w:numId="23" w16cid:durableId="1966350800">
    <w:abstractNumId w:val="41"/>
  </w:num>
  <w:num w:numId="24" w16cid:durableId="1202667041">
    <w:abstractNumId w:val="34"/>
  </w:num>
  <w:num w:numId="25" w16cid:durableId="1681808281">
    <w:abstractNumId w:val="3"/>
  </w:num>
  <w:num w:numId="26" w16cid:durableId="1460800826">
    <w:abstractNumId w:val="29"/>
  </w:num>
  <w:num w:numId="27" w16cid:durableId="1357805363">
    <w:abstractNumId w:val="28"/>
  </w:num>
  <w:num w:numId="28" w16cid:durableId="1013263149">
    <w:abstractNumId w:val="27"/>
  </w:num>
  <w:num w:numId="29" w16cid:durableId="1333755617">
    <w:abstractNumId w:val="50"/>
  </w:num>
  <w:num w:numId="30" w16cid:durableId="722364419">
    <w:abstractNumId w:val="36"/>
  </w:num>
  <w:num w:numId="31" w16cid:durableId="832990534">
    <w:abstractNumId w:val="69"/>
  </w:num>
  <w:num w:numId="32" w16cid:durableId="2112896053">
    <w:abstractNumId w:val="6"/>
  </w:num>
  <w:num w:numId="33" w16cid:durableId="1847553968">
    <w:abstractNumId w:val="76"/>
  </w:num>
  <w:num w:numId="34" w16cid:durableId="2052263305">
    <w:abstractNumId w:val="81"/>
  </w:num>
  <w:num w:numId="35" w16cid:durableId="653753094">
    <w:abstractNumId w:val="57"/>
  </w:num>
  <w:num w:numId="36" w16cid:durableId="2129274906">
    <w:abstractNumId w:val="20"/>
  </w:num>
  <w:num w:numId="37" w16cid:durableId="250699735">
    <w:abstractNumId w:val="53"/>
  </w:num>
  <w:num w:numId="38" w16cid:durableId="171452962">
    <w:abstractNumId w:val="13"/>
  </w:num>
  <w:num w:numId="39" w16cid:durableId="513886715">
    <w:abstractNumId w:val="67"/>
  </w:num>
  <w:num w:numId="40" w16cid:durableId="471026256">
    <w:abstractNumId w:val="22"/>
  </w:num>
  <w:num w:numId="41" w16cid:durableId="1618564780">
    <w:abstractNumId w:val="46"/>
  </w:num>
  <w:num w:numId="42" w16cid:durableId="1351760465">
    <w:abstractNumId w:val="72"/>
  </w:num>
  <w:num w:numId="43" w16cid:durableId="658466210">
    <w:abstractNumId w:val="44"/>
  </w:num>
  <w:num w:numId="44" w16cid:durableId="1781141549">
    <w:abstractNumId w:val="49"/>
  </w:num>
  <w:num w:numId="45" w16cid:durableId="825517709">
    <w:abstractNumId w:val="24"/>
  </w:num>
  <w:num w:numId="46" w16cid:durableId="701707873">
    <w:abstractNumId w:val="80"/>
  </w:num>
  <w:num w:numId="47" w16cid:durableId="694845180">
    <w:abstractNumId w:val="61"/>
  </w:num>
  <w:num w:numId="48" w16cid:durableId="1691106604">
    <w:abstractNumId w:val="63"/>
  </w:num>
  <w:num w:numId="49" w16cid:durableId="1506479168">
    <w:abstractNumId w:val="11"/>
  </w:num>
  <w:num w:numId="50" w16cid:durableId="1512642990">
    <w:abstractNumId w:val="30"/>
  </w:num>
  <w:num w:numId="51" w16cid:durableId="635644930">
    <w:abstractNumId w:val="56"/>
  </w:num>
  <w:num w:numId="52" w16cid:durableId="1727680951">
    <w:abstractNumId w:val="5"/>
  </w:num>
  <w:num w:numId="53" w16cid:durableId="1374618848">
    <w:abstractNumId w:val="40"/>
  </w:num>
  <w:num w:numId="54" w16cid:durableId="916017264">
    <w:abstractNumId w:val="38"/>
  </w:num>
  <w:num w:numId="55" w16cid:durableId="487676168">
    <w:abstractNumId w:val="23"/>
  </w:num>
  <w:num w:numId="56" w16cid:durableId="1832401252">
    <w:abstractNumId w:val="55"/>
  </w:num>
  <w:num w:numId="57" w16cid:durableId="674575321">
    <w:abstractNumId w:val="62"/>
  </w:num>
  <w:num w:numId="58" w16cid:durableId="518391673">
    <w:abstractNumId w:val="48"/>
  </w:num>
  <w:num w:numId="59" w16cid:durableId="1899779850">
    <w:abstractNumId w:val="64"/>
  </w:num>
  <w:num w:numId="60" w16cid:durableId="549540357">
    <w:abstractNumId w:val="70"/>
  </w:num>
  <w:num w:numId="61" w16cid:durableId="594168046">
    <w:abstractNumId w:val="45"/>
  </w:num>
  <w:num w:numId="62" w16cid:durableId="711537322">
    <w:abstractNumId w:val="16"/>
  </w:num>
  <w:num w:numId="63" w16cid:durableId="1251352932">
    <w:abstractNumId w:val="52"/>
  </w:num>
  <w:num w:numId="64" w16cid:durableId="1687828869">
    <w:abstractNumId w:val="43"/>
  </w:num>
  <w:num w:numId="65" w16cid:durableId="289022367">
    <w:abstractNumId w:val="54"/>
  </w:num>
  <w:num w:numId="66" w16cid:durableId="988560666">
    <w:abstractNumId w:val="17"/>
  </w:num>
  <w:num w:numId="67" w16cid:durableId="1061563644">
    <w:abstractNumId w:val="51"/>
  </w:num>
  <w:num w:numId="68" w16cid:durableId="2145076489">
    <w:abstractNumId w:val="75"/>
  </w:num>
  <w:num w:numId="69" w16cid:durableId="1506166658">
    <w:abstractNumId w:val="35"/>
  </w:num>
  <w:num w:numId="70" w16cid:durableId="1367831399">
    <w:abstractNumId w:val="78"/>
  </w:num>
  <w:num w:numId="71" w16cid:durableId="2048019489">
    <w:abstractNumId w:val="15"/>
  </w:num>
  <w:num w:numId="72" w16cid:durableId="1497767095">
    <w:abstractNumId w:val="42"/>
  </w:num>
  <w:num w:numId="73" w16cid:durableId="317653261">
    <w:abstractNumId w:val="58"/>
  </w:num>
  <w:num w:numId="74" w16cid:durableId="1805923155">
    <w:abstractNumId w:val="9"/>
  </w:num>
  <w:num w:numId="75" w16cid:durableId="891310913">
    <w:abstractNumId w:val="33"/>
  </w:num>
  <w:num w:numId="76" w16cid:durableId="1473792657">
    <w:abstractNumId w:val="32"/>
  </w:num>
  <w:num w:numId="77" w16cid:durableId="2040618758">
    <w:abstractNumId w:val="47"/>
  </w:num>
  <w:num w:numId="78" w16cid:durableId="1234698946">
    <w:abstractNumId w:val="31"/>
  </w:num>
  <w:num w:numId="79" w16cid:durableId="152599896">
    <w:abstractNumId w:val="7"/>
  </w:num>
  <w:num w:numId="80" w16cid:durableId="1670405287">
    <w:abstractNumId w:val="60"/>
  </w:num>
  <w:num w:numId="81" w16cid:durableId="1279990992">
    <w:abstractNumId w:val="14"/>
  </w:num>
  <w:num w:numId="82" w16cid:durableId="215509823">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FA"/>
    <w:rsid w:val="00000F9E"/>
    <w:rsid w:val="00001776"/>
    <w:rsid w:val="0000232C"/>
    <w:rsid w:val="000040B4"/>
    <w:rsid w:val="00005408"/>
    <w:rsid w:val="00006988"/>
    <w:rsid w:val="00006BDF"/>
    <w:rsid w:val="0001222A"/>
    <w:rsid w:val="00012699"/>
    <w:rsid w:val="00015B04"/>
    <w:rsid w:val="00015B90"/>
    <w:rsid w:val="00015DD9"/>
    <w:rsid w:val="00021363"/>
    <w:rsid w:val="00021BA2"/>
    <w:rsid w:val="000264CB"/>
    <w:rsid w:val="00027C78"/>
    <w:rsid w:val="00027D0A"/>
    <w:rsid w:val="00031618"/>
    <w:rsid w:val="00032560"/>
    <w:rsid w:val="00033C5D"/>
    <w:rsid w:val="000348BD"/>
    <w:rsid w:val="00034B23"/>
    <w:rsid w:val="00041120"/>
    <w:rsid w:val="00044006"/>
    <w:rsid w:val="000446BA"/>
    <w:rsid w:val="000458F9"/>
    <w:rsid w:val="00047C6D"/>
    <w:rsid w:val="00050B18"/>
    <w:rsid w:val="00051E11"/>
    <w:rsid w:val="000520B6"/>
    <w:rsid w:val="000533AD"/>
    <w:rsid w:val="00054F9C"/>
    <w:rsid w:val="00055648"/>
    <w:rsid w:val="000565E6"/>
    <w:rsid w:val="00057130"/>
    <w:rsid w:val="0005721A"/>
    <w:rsid w:val="0005725E"/>
    <w:rsid w:val="00062D6F"/>
    <w:rsid w:val="00063168"/>
    <w:rsid w:val="00063286"/>
    <w:rsid w:val="00063D20"/>
    <w:rsid w:val="00065EC1"/>
    <w:rsid w:val="00067C41"/>
    <w:rsid w:val="000701A4"/>
    <w:rsid w:val="0007021D"/>
    <w:rsid w:val="00070392"/>
    <w:rsid w:val="000744AF"/>
    <w:rsid w:val="000744F8"/>
    <w:rsid w:val="000747D3"/>
    <w:rsid w:val="00074D35"/>
    <w:rsid w:val="00074D78"/>
    <w:rsid w:val="00074EC2"/>
    <w:rsid w:val="0007670B"/>
    <w:rsid w:val="00083521"/>
    <w:rsid w:val="00083B56"/>
    <w:rsid w:val="00084177"/>
    <w:rsid w:val="00085A33"/>
    <w:rsid w:val="00085C87"/>
    <w:rsid w:val="00086B4F"/>
    <w:rsid w:val="000900CA"/>
    <w:rsid w:val="00090B6E"/>
    <w:rsid w:val="00090D05"/>
    <w:rsid w:val="0009235D"/>
    <w:rsid w:val="00092CD0"/>
    <w:rsid w:val="00093286"/>
    <w:rsid w:val="00093493"/>
    <w:rsid w:val="000937DF"/>
    <w:rsid w:val="00094E38"/>
    <w:rsid w:val="000A0270"/>
    <w:rsid w:val="000A1B36"/>
    <w:rsid w:val="000A1D41"/>
    <w:rsid w:val="000A1DD3"/>
    <w:rsid w:val="000A272A"/>
    <w:rsid w:val="000A3B8F"/>
    <w:rsid w:val="000A7530"/>
    <w:rsid w:val="000B0489"/>
    <w:rsid w:val="000B156B"/>
    <w:rsid w:val="000B1F18"/>
    <w:rsid w:val="000B3081"/>
    <w:rsid w:val="000B50E7"/>
    <w:rsid w:val="000B572D"/>
    <w:rsid w:val="000B5917"/>
    <w:rsid w:val="000B6BBB"/>
    <w:rsid w:val="000B77D6"/>
    <w:rsid w:val="000C0F12"/>
    <w:rsid w:val="000C115B"/>
    <w:rsid w:val="000C30C8"/>
    <w:rsid w:val="000C364F"/>
    <w:rsid w:val="000C4336"/>
    <w:rsid w:val="000C4C9A"/>
    <w:rsid w:val="000C4E5D"/>
    <w:rsid w:val="000C6894"/>
    <w:rsid w:val="000C6DD2"/>
    <w:rsid w:val="000D00F9"/>
    <w:rsid w:val="000D0481"/>
    <w:rsid w:val="000D1DDF"/>
    <w:rsid w:val="000D71C3"/>
    <w:rsid w:val="000E0581"/>
    <w:rsid w:val="000E2D31"/>
    <w:rsid w:val="000E3398"/>
    <w:rsid w:val="000E3802"/>
    <w:rsid w:val="000E47A9"/>
    <w:rsid w:val="000E7AC4"/>
    <w:rsid w:val="000F1E83"/>
    <w:rsid w:val="000F2B5D"/>
    <w:rsid w:val="000F33BE"/>
    <w:rsid w:val="000F3735"/>
    <w:rsid w:val="000F4425"/>
    <w:rsid w:val="000F49E9"/>
    <w:rsid w:val="000F7732"/>
    <w:rsid w:val="0010305B"/>
    <w:rsid w:val="00103AAF"/>
    <w:rsid w:val="001040DD"/>
    <w:rsid w:val="0010604E"/>
    <w:rsid w:val="00106C2D"/>
    <w:rsid w:val="00110306"/>
    <w:rsid w:val="00116737"/>
    <w:rsid w:val="0012206E"/>
    <w:rsid w:val="0012207A"/>
    <w:rsid w:val="0012222B"/>
    <w:rsid w:val="00123C6F"/>
    <w:rsid w:val="0012492F"/>
    <w:rsid w:val="00124EB8"/>
    <w:rsid w:val="00126D14"/>
    <w:rsid w:val="0012758E"/>
    <w:rsid w:val="00127E9D"/>
    <w:rsid w:val="00130FBD"/>
    <w:rsid w:val="00131132"/>
    <w:rsid w:val="00131C61"/>
    <w:rsid w:val="001329D9"/>
    <w:rsid w:val="001340D3"/>
    <w:rsid w:val="001345AB"/>
    <w:rsid w:val="00135DC5"/>
    <w:rsid w:val="0013617E"/>
    <w:rsid w:val="0013618A"/>
    <w:rsid w:val="00137587"/>
    <w:rsid w:val="00137F63"/>
    <w:rsid w:val="00140818"/>
    <w:rsid w:val="00140B4F"/>
    <w:rsid w:val="00141148"/>
    <w:rsid w:val="00143B85"/>
    <w:rsid w:val="00146D37"/>
    <w:rsid w:val="001508BE"/>
    <w:rsid w:val="00150A98"/>
    <w:rsid w:val="00152F0F"/>
    <w:rsid w:val="0015478D"/>
    <w:rsid w:val="00157492"/>
    <w:rsid w:val="00157A24"/>
    <w:rsid w:val="00157A4E"/>
    <w:rsid w:val="001618B6"/>
    <w:rsid w:val="00162A25"/>
    <w:rsid w:val="00162E29"/>
    <w:rsid w:val="001632B2"/>
    <w:rsid w:val="00163E59"/>
    <w:rsid w:val="00165151"/>
    <w:rsid w:val="00165254"/>
    <w:rsid w:val="00165BAE"/>
    <w:rsid w:val="00166A66"/>
    <w:rsid w:val="00170CE8"/>
    <w:rsid w:val="0017509E"/>
    <w:rsid w:val="00177F63"/>
    <w:rsid w:val="00177F95"/>
    <w:rsid w:val="00180D94"/>
    <w:rsid w:val="001813E5"/>
    <w:rsid w:val="001814BE"/>
    <w:rsid w:val="001816B5"/>
    <w:rsid w:val="001830AE"/>
    <w:rsid w:val="00183420"/>
    <w:rsid w:val="001837CB"/>
    <w:rsid w:val="00183FF0"/>
    <w:rsid w:val="00184166"/>
    <w:rsid w:val="001848F6"/>
    <w:rsid w:val="0018560C"/>
    <w:rsid w:val="00185C40"/>
    <w:rsid w:val="00186D33"/>
    <w:rsid w:val="00190C0E"/>
    <w:rsid w:val="00191C15"/>
    <w:rsid w:val="00192C65"/>
    <w:rsid w:val="00194D9B"/>
    <w:rsid w:val="00197F23"/>
    <w:rsid w:val="001A0565"/>
    <w:rsid w:val="001A1A62"/>
    <w:rsid w:val="001A5541"/>
    <w:rsid w:val="001A5A69"/>
    <w:rsid w:val="001A6AAB"/>
    <w:rsid w:val="001A78FF"/>
    <w:rsid w:val="001A7E73"/>
    <w:rsid w:val="001B04D4"/>
    <w:rsid w:val="001B07A9"/>
    <w:rsid w:val="001B1436"/>
    <w:rsid w:val="001B1AA3"/>
    <w:rsid w:val="001B3053"/>
    <w:rsid w:val="001B3A38"/>
    <w:rsid w:val="001B4445"/>
    <w:rsid w:val="001B6340"/>
    <w:rsid w:val="001C1232"/>
    <w:rsid w:val="001C22AB"/>
    <w:rsid w:val="001C24DD"/>
    <w:rsid w:val="001C3C78"/>
    <w:rsid w:val="001C53EC"/>
    <w:rsid w:val="001C6137"/>
    <w:rsid w:val="001C670D"/>
    <w:rsid w:val="001C7112"/>
    <w:rsid w:val="001C72B6"/>
    <w:rsid w:val="001C78AE"/>
    <w:rsid w:val="001D2CF3"/>
    <w:rsid w:val="001D356B"/>
    <w:rsid w:val="001D682B"/>
    <w:rsid w:val="001D6B70"/>
    <w:rsid w:val="001D7478"/>
    <w:rsid w:val="001E1FE9"/>
    <w:rsid w:val="001E37C7"/>
    <w:rsid w:val="001E4E09"/>
    <w:rsid w:val="001E549A"/>
    <w:rsid w:val="001E5A0F"/>
    <w:rsid w:val="001F05EF"/>
    <w:rsid w:val="001F118D"/>
    <w:rsid w:val="001F17B9"/>
    <w:rsid w:val="001F3E23"/>
    <w:rsid w:val="001F3E28"/>
    <w:rsid w:val="001F4AB0"/>
    <w:rsid w:val="001F58C0"/>
    <w:rsid w:val="001F5BFD"/>
    <w:rsid w:val="001F70F8"/>
    <w:rsid w:val="001F7DED"/>
    <w:rsid w:val="00200BAA"/>
    <w:rsid w:val="00202488"/>
    <w:rsid w:val="002039C8"/>
    <w:rsid w:val="0020439F"/>
    <w:rsid w:val="002044D0"/>
    <w:rsid w:val="00205694"/>
    <w:rsid w:val="002072D1"/>
    <w:rsid w:val="0020758F"/>
    <w:rsid w:val="00207E1E"/>
    <w:rsid w:val="00210E37"/>
    <w:rsid w:val="00212698"/>
    <w:rsid w:val="0021307F"/>
    <w:rsid w:val="0021608C"/>
    <w:rsid w:val="00216D70"/>
    <w:rsid w:val="00217980"/>
    <w:rsid w:val="00221243"/>
    <w:rsid w:val="00222EBE"/>
    <w:rsid w:val="00225493"/>
    <w:rsid w:val="00225661"/>
    <w:rsid w:val="00225A2D"/>
    <w:rsid w:val="00227F13"/>
    <w:rsid w:val="00230DFC"/>
    <w:rsid w:val="00230F45"/>
    <w:rsid w:val="00231D6D"/>
    <w:rsid w:val="00233581"/>
    <w:rsid w:val="0023408D"/>
    <w:rsid w:val="002348E5"/>
    <w:rsid w:val="0024165A"/>
    <w:rsid w:val="002423CE"/>
    <w:rsid w:val="002429B6"/>
    <w:rsid w:val="002429C6"/>
    <w:rsid w:val="00246E20"/>
    <w:rsid w:val="00251454"/>
    <w:rsid w:val="00253905"/>
    <w:rsid w:val="00253B43"/>
    <w:rsid w:val="0025582C"/>
    <w:rsid w:val="00256220"/>
    <w:rsid w:val="002568FF"/>
    <w:rsid w:val="00260436"/>
    <w:rsid w:val="00260786"/>
    <w:rsid w:val="00262B57"/>
    <w:rsid w:val="00262D69"/>
    <w:rsid w:val="00262EF7"/>
    <w:rsid w:val="00263CC4"/>
    <w:rsid w:val="00263E4D"/>
    <w:rsid w:val="002649AD"/>
    <w:rsid w:val="00267C5F"/>
    <w:rsid w:val="002709C0"/>
    <w:rsid w:val="0027115B"/>
    <w:rsid w:val="00271484"/>
    <w:rsid w:val="002741EA"/>
    <w:rsid w:val="0027420B"/>
    <w:rsid w:val="002756F9"/>
    <w:rsid w:val="00276C55"/>
    <w:rsid w:val="0028012F"/>
    <w:rsid w:val="0028084C"/>
    <w:rsid w:val="002808DB"/>
    <w:rsid w:val="00280B2C"/>
    <w:rsid w:val="00280C14"/>
    <w:rsid w:val="00283CEC"/>
    <w:rsid w:val="00285704"/>
    <w:rsid w:val="00286341"/>
    <w:rsid w:val="00286654"/>
    <w:rsid w:val="00290694"/>
    <w:rsid w:val="002906EF"/>
    <w:rsid w:val="002945EB"/>
    <w:rsid w:val="00295D13"/>
    <w:rsid w:val="002A1C0B"/>
    <w:rsid w:val="002A21B3"/>
    <w:rsid w:val="002A246B"/>
    <w:rsid w:val="002A2A6E"/>
    <w:rsid w:val="002A2F72"/>
    <w:rsid w:val="002A35A9"/>
    <w:rsid w:val="002A3B92"/>
    <w:rsid w:val="002A4718"/>
    <w:rsid w:val="002A49F4"/>
    <w:rsid w:val="002A5789"/>
    <w:rsid w:val="002A78C7"/>
    <w:rsid w:val="002B23E2"/>
    <w:rsid w:val="002B2A40"/>
    <w:rsid w:val="002B3C2B"/>
    <w:rsid w:val="002B3E58"/>
    <w:rsid w:val="002B4FC9"/>
    <w:rsid w:val="002B59A2"/>
    <w:rsid w:val="002B688F"/>
    <w:rsid w:val="002B79CF"/>
    <w:rsid w:val="002C0EB5"/>
    <w:rsid w:val="002C0F16"/>
    <w:rsid w:val="002C2224"/>
    <w:rsid w:val="002C267C"/>
    <w:rsid w:val="002C2EE4"/>
    <w:rsid w:val="002C372C"/>
    <w:rsid w:val="002C6A7E"/>
    <w:rsid w:val="002D1AF1"/>
    <w:rsid w:val="002D23A9"/>
    <w:rsid w:val="002D27DA"/>
    <w:rsid w:val="002D60CA"/>
    <w:rsid w:val="002D71F5"/>
    <w:rsid w:val="002D7220"/>
    <w:rsid w:val="002D75DB"/>
    <w:rsid w:val="002E0843"/>
    <w:rsid w:val="002E119A"/>
    <w:rsid w:val="002E145E"/>
    <w:rsid w:val="002E172C"/>
    <w:rsid w:val="002E224E"/>
    <w:rsid w:val="002E39E8"/>
    <w:rsid w:val="002E44E6"/>
    <w:rsid w:val="002E4840"/>
    <w:rsid w:val="002E4FF0"/>
    <w:rsid w:val="002E5ED7"/>
    <w:rsid w:val="002E7FAF"/>
    <w:rsid w:val="002F032E"/>
    <w:rsid w:val="002F2379"/>
    <w:rsid w:val="002F3574"/>
    <w:rsid w:val="002F437D"/>
    <w:rsid w:val="002F7BD5"/>
    <w:rsid w:val="00300CAA"/>
    <w:rsid w:val="0030343D"/>
    <w:rsid w:val="003035D2"/>
    <w:rsid w:val="00305C1C"/>
    <w:rsid w:val="00305FD4"/>
    <w:rsid w:val="003075D1"/>
    <w:rsid w:val="00307A41"/>
    <w:rsid w:val="00307F0D"/>
    <w:rsid w:val="00310459"/>
    <w:rsid w:val="00313F80"/>
    <w:rsid w:val="003149D9"/>
    <w:rsid w:val="0031696F"/>
    <w:rsid w:val="003204E9"/>
    <w:rsid w:val="003221AD"/>
    <w:rsid w:val="0032265A"/>
    <w:rsid w:val="003233AD"/>
    <w:rsid w:val="00323CFE"/>
    <w:rsid w:val="0032599A"/>
    <w:rsid w:val="003270D4"/>
    <w:rsid w:val="0033034E"/>
    <w:rsid w:val="00330F95"/>
    <w:rsid w:val="003311F5"/>
    <w:rsid w:val="00331C65"/>
    <w:rsid w:val="00332E18"/>
    <w:rsid w:val="0033437A"/>
    <w:rsid w:val="00334500"/>
    <w:rsid w:val="00337073"/>
    <w:rsid w:val="00340484"/>
    <w:rsid w:val="0034354F"/>
    <w:rsid w:val="00345344"/>
    <w:rsid w:val="00345A18"/>
    <w:rsid w:val="00345A38"/>
    <w:rsid w:val="00345A66"/>
    <w:rsid w:val="00345AD6"/>
    <w:rsid w:val="00346563"/>
    <w:rsid w:val="0034708F"/>
    <w:rsid w:val="00347C76"/>
    <w:rsid w:val="00350C5F"/>
    <w:rsid w:val="00350F91"/>
    <w:rsid w:val="00351453"/>
    <w:rsid w:val="00351FBC"/>
    <w:rsid w:val="003523CF"/>
    <w:rsid w:val="00353118"/>
    <w:rsid w:val="00353383"/>
    <w:rsid w:val="00354CC3"/>
    <w:rsid w:val="00355865"/>
    <w:rsid w:val="00355C06"/>
    <w:rsid w:val="00357C0A"/>
    <w:rsid w:val="00357C75"/>
    <w:rsid w:val="003609F5"/>
    <w:rsid w:val="00361683"/>
    <w:rsid w:val="00362BE5"/>
    <w:rsid w:val="00363850"/>
    <w:rsid w:val="003642C5"/>
    <w:rsid w:val="0036596C"/>
    <w:rsid w:val="003660CC"/>
    <w:rsid w:val="00366920"/>
    <w:rsid w:val="00370AC9"/>
    <w:rsid w:val="00372319"/>
    <w:rsid w:val="00372576"/>
    <w:rsid w:val="00373AB1"/>
    <w:rsid w:val="00374B19"/>
    <w:rsid w:val="00374E71"/>
    <w:rsid w:val="00375F5A"/>
    <w:rsid w:val="00376488"/>
    <w:rsid w:val="0037699D"/>
    <w:rsid w:val="00376A5D"/>
    <w:rsid w:val="00377E22"/>
    <w:rsid w:val="003800A3"/>
    <w:rsid w:val="00380CB6"/>
    <w:rsid w:val="0038167F"/>
    <w:rsid w:val="00382664"/>
    <w:rsid w:val="00383287"/>
    <w:rsid w:val="00385865"/>
    <w:rsid w:val="0038620B"/>
    <w:rsid w:val="00386AC1"/>
    <w:rsid w:val="00386BD2"/>
    <w:rsid w:val="0038772F"/>
    <w:rsid w:val="0039330D"/>
    <w:rsid w:val="00393775"/>
    <w:rsid w:val="003941B4"/>
    <w:rsid w:val="003965D4"/>
    <w:rsid w:val="00397466"/>
    <w:rsid w:val="003978E4"/>
    <w:rsid w:val="00397DEF"/>
    <w:rsid w:val="003A2513"/>
    <w:rsid w:val="003A36D6"/>
    <w:rsid w:val="003A3913"/>
    <w:rsid w:val="003A3D86"/>
    <w:rsid w:val="003A47E1"/>
    <w:rsid w:val="003A6FAB"/>
    <w:rsid w:val="003B18D9"/>
    <w:rsid w:val="003B2955"/>
    <w:rsid w:val="003B32EF"/>
    <w:rsid w:val="003B3689"/>
    <w:rsid w:val="003B38B8"/>
    <w:rsid w:val="003B3B9A"/>
    <w:rsid w:val="003B3EB0"/>
    <w:rsid w:val="003C377A"/>
    <w:rsid w:val="003C4269"/>
    <w:rsid w:val="003C56F0"/>
    <w:rsid w:val="003C5855"/>
    <w:rsid w:val="003C7243"/>
    <w:rsid w:val="003C7CF5"/>
    <w:rsid w:val="003D06A1"/>
    <w:rsid w:val="003D1E11"/>
    <w:rsid w:val="003D2197"/>
    <w:rsid w:val="003D2F9D"/>
    <w:rsid w:val="003D3B9E"/>
    <w:rsid w:val="003D4D78"/>
    <w:rsid w:val="003D6A69"/>
    <w:rsid w:val="003D7069"/>
    <w:rsid w:val="003D750B"/>
    <w:rsid w:val="003E1E3C"/>
    <w:rsid w:val="003E2F3F"/>
    <w:rsid w:val="003E33AD"/>
    <w:rsid w:val="003E3DD3"/>
    <w:rsid w:val="003E4756"/>
    <w:rsid w:val="003E4A07"/>
    <w:rsid w:val="003E4D95"/>
    <w:rsid w:val="003E5585"/>
    <w:rsid w:val="003E67E1"/>
    <w:rsid w:val="003E698A"/>
    <w:rsid w:val="003E69DD"/>
    <w:rsid w:val="003E7336"/>
    <w:rsid w:val="003F3096"/>
    <w:rsid w:val="003F4B0E"/>
    <w:rsid w:val="00400C06"/>
    <w:rsid w:val="00402E57"/>
    <w:rsid w:val="004060F0"/>
    <w:rsid w:val="00407581"/>
    <w:rsid w:val="004076F7"/>
    <w:rsid w:val="004079F7"/>
    <w:rsid w:val="00410394"/>
    <w:rsid w:val="00410580"/>
    <w:rsid w:val="00411A49"/>
    <w:rsid w:val="004127AD"/>
    <w:rsid w:val="00412AAA"/>
    <w:rsid w:val="00415BA5"/>
    <w:rsid w:val="00415DAC"/>
    <w:rsid w:val="004162AF"/>
    <w:rsid w:val="00417786"/>
    <w:rsid w:val="00420A57"/>
    <w:rsid w:val="00421F6B"/>
    <w:rsid w:val="004238C8"/>
    <w:rsid w:val="00424295"/>
    <w:rsid w:val="00424C83"/>
    <w:rsid w:val="00425526"/>
    <w:rsid w:val="00427971"/>
    <w:rsid w:val="0043085F"/>
    <w:rsid w:val="00436D35"/>
    <w:rsid w:val="00440AFC"/>
    <w:rsid w:val="00442125"/>
    <w:rsid w:val="0044225D"/>
    <w:rsid w:val="00446626"/>
    <w:rsid w:val="00451492"/>
    <w:rsid w:val="00451AC1"/>
    <w:rsid w:val="00452B13"/>
    <w:rsid w:val="00452F47"/>
    <w:rsid w:val="0045451F"/>
    <w:rsid w:val="00454639"/>
    <w:rsid w:val="00454DE0"/>
    <w:rsid w:val="00454E7A"/>
    <w:rsid w:val="0045638A"/>
    <w:rsid w:val="004564DD"/>
    <w:rsid w:val="00461F3D"/>
    <w:rsid w:val="00461F9A"/>
    <w:rsid w:val="0046364E"/>
    <w:rsid w:val="00463B7E"/>
    <w:rsid w:val="00463BED"/>
    <w:rsid w:val="00466A66"/>
    <w:rsid w:val="00466BCD"/>
    <w:rsid w:val="004672F0"/>
    <w:rsid w:val="00467344"/>
    <w:rsid w:val="00467DFC"/>
    <w:rsid w:val="00467F1B"/>
    <w:rsid w:val="004701CE"/>
    <w:rsid w:val="0047162A"/>
    <w:rsid w:val="00473AF8"/>
    <w:rsid w:val="00473C48"/>
    <w:rsid w:val="00477C72"/>
    <w:rsid w:val="0048014C"/>
    <w:rsid w:val="00480BA1"/>
    <w:rsid w:val="00482528"/>
    <w:rsid w:val="00482836"/>
    <w:rsid w:val="00482E46"/>
    <w:rsid w:val="0048440D"/>
    <w:rsid w:val="00484A61"/>
    <w:rsid w:val="004876F0"/>
    <w:rsid w:val="00490235"/>
    <w:rsid w:val="00491C33"/>
    <w:rsid w:val="00491FFE"/>
    <w:rsid w:val="00492351"/>
    <w:rsid w:val="00492A02"/>
    <w:rsid w:val="00492BA7"/>
    <w:rsid w:val="004A1686"/>
    <w:rsid w:val="004A1A6C"/>
    <w:rsid w:val="004A1F8F"/>
    <w:rsid w:val="004A39E0"/>
    <w:rsid w:val="004A4CD8"/>
    <w:rsid w:val="004A6495"/>
    <w:rsid w:val="004B20EE"/>
    <w:rsid w:val="004B3A38"/>
    <w:rsid w:val="004B491B"/>
    <w:rsid w:val="004B6E1E"/>
    <w:rsid w:val="004C0602"/>
    <w:rsid w:val="004C07E7"/>
    <w:rsid w:val="004C1523"/>
    <w:rsid w:val="004C4EB9"/>
    <w:rsid w:val="004C5535"/>
    <w:rsid w:val="004C572D"/>
    <w:rsid w:val="004C6CDC"/>
    <w:rsid w:val="004C78E2"/>
    <w:rsid w:val="004D1564"/>
    <w:rsid w:val="004D56F1"/>
    <w:rsid w:val="004D662D"/>
    <w:rsid w:val="004D6B1A"/>
    <w:rsid w:val="004E01BF"/>
    <w:rsid w:val="004E266F"/>
    <w:rsid w:val="004E2B90"/>
    <w:rsid w:val="004E3B34"/>
    <w:rsid w:val="004F046C"/>
    <w:rsid w:val="004F052F"/>
    <w:rsid w:val="004F0DED"/>
    <w:rsid w:val="004F148E"/>
    <w:rsid w:val="004F1DD4"/>
    <w:rsid w:val="004F2B1B"/>
    <w:rsid w:val="004F2DA2"/>
    <w:rsid w:val="004F6A0E"/>
    <w:rsid w:val="004F707C"/>
    <w:rsid w:val="004F71D9"/>
    <w:rsid w:val="004F7724"/>
    <w:rsid w:val="004F7A7B"/>
    <w:rsid w:val="005003C2"/>
    <w:rsid w:val="00500ECA"/>
    <w:rsid w:val="00500F63"/>
    <w:rsid w:val="00501731"/>
    <w:rsid w:val="00501B8B"/>
    <w:rsid w:val="00501C9E"/>
    <w:rsid w:val="00504327"/>
    <w:rsid w:val="00505839"/>
    <w:rsid w:val="005071D1"/>
    <w:rsid w:val="00507549"/>
    <w:rsid w:val="00513341"/>
    <w:rsid w:val="005136D5"/>
    <w:rsid w:val="00514007"/>
    <w:rsid w:val="00514793"/>
    <w:rsid w:val="00516606"/>
    <w:rsid w:val="00521384"/>
    <w:rsid w:val="00521499"/>
    <w:rsid w:val="005214E0"/>
    <w:rsid w:val="00521576"/>
    <w:rsid w:val="005218F5"/>
    <w:rsid w:val="00521AF3"/>
    <w:rsid w:val="005226B4"/>
    <w:rsid w:val="005230BA"/>
    <w:rsid w:val="005233C7"/>
    <w:rsid w:val="00523679"/>
    <w:rsid w:val="005239A2"/>
    <w:rsid w:val="005244CB"/>
    <w:rsid w:val="0052676A"/>
    <w:rsid w:val="00531060"/>
    <w:rsid w:val="005319D8"/>
    <w:rsid w:val="00531EDA"/>
    <w:rsid w:val="00532D70"/>
    <w:rsid w:val="00535F4D"/>
    <w:rsid w:val="00535F81"/>
    <w:rsid w:val="005363FE"/>
    <w:rsid w:val="005376FF"/>
    <w:rsid w:val="005402F6"/>
    <w:rsid w:val="00540BB3"/>
    <w:rsid w:val="00540E64"/>
    <w:rsid w:val="005416B2"/>
    <w:rsid w:val="005436CA"/>
    <w:rsid w:val="0055012E"/>
    <w:rsid w:val="00552BF9"/>
    <w:rsid w:val="005531EA"/>
    <w:rsid w:val="00555605"/>
    <w:rsid w:val="00555715"/>
    <w:rsid w:val="00556E7C"/>
    <w:rsid w:val="00560C65"/>
    <w:rsid w:val="00560E2E"/>
    <w:rsid w:val="00560F6E"/>
    <w:rsid w:val="00562BD4"/>
    <w:rsid w:val="0056335F"/>
    <w:rsid w:val="00565252"/>
    <w:rsid w:val="005652EA"/>
    <w:rsid w:val="00566B1A"/>
    <w:rsid w:val="00567236"/>
    <w:rsid w:val="0057250F"/>
    <w:rsid w:val="00572F6A"/>
    <w:rsid w:val="00573C53"/>
    <w:rsid w:val="0057565E"/>
    <w:rsid w:val="00575F8C"/>
    <w:rsid w:val="00577D45"/>
    <w:rsid w:val="00577D9F"/>
    <w:rsid w:val="00582A26"/>
    <w:rsid w:val="0058314E"/>
    <w:rsid w:val="00584BB1"/>
    <w:rsid w:val="005960BA"/>
    <w:rsid w:val="00596B15"/>
    <w:rsid w:val="005A2DEC"/>
    <w:rsid w:val="005A3B51"/>
    <w:rsid w:val="005A5117"/>
    <w:rsid w:val="005A68F9"/>
    <w:rsid w:val="005A78A5"/>
    <w:rsid w:val="005B0790"/>
    <w:rsid w:val="005B0891"/>
    <w:rsid w:val="005B1BF1"/>
    <w:rsid w:val="005B1EE6"/>
    <w:rsid w:val="005B2DB1"/>
    <w:rsid w:val="005B306F"/>
    <w:rsid w:val="005B3926"/>
    <w:rsid w:val="005B42B4"/>
    <w:rsid w:val="005B573B"/>
    <w:rsid w:val="005C04FA"/>
    <w:rsid w:val="005C1085"/>
    <w:rsid w:val="005C1F1E"/>
    <w:rsid w:val="005C3248"/>
    <w:rsid w:val="005C4541"/>
    <w:rsid w:val="005C4C2B"/>
    <w:rsid w:val="005C529A"/>
    <w:rsid w:val="005C5325"/>
    <w:rsid w:val="005C7024"/>
    <w:rsid w:val="005C7A3B"/>
    <w:rsid w:val="005D2395"/>
    <w:rsid w:val="005D3C25"/>
    <w:rsid w:val="005D4005"/>
    <w:rsid w:val="005D6606"/>
    <w:rsid w:val="005D66CD"/>
    <w:rsid w:val="005D6B3B"/>
    <w:rsid w:val="005D7A7D"/>
    <w:rsid w:val="005E04D7"/>
    <w:rsid w:val="005E1FEF"/>
    <w:rsid w:val="005E24EB"/>
    <w:rsid w:val="005E3D21"/>
    <w:rsid w:val="005E5498"/>
    <w:rsid w:val="005F0604"/>
    <w:rsid w:val="005F0660"/>
    <w:rsid w:val="005F414F"/>
    <w:rsid w:val="005F4291"/>
    <w:rsid w:val="0060026E"/>
    <w:rsid w:val="0060164C"/>
    <w:rsid w:val="00601CB3"/>
    <w:rsid w:val="00602694"/>
    <w:rsid w:val="00602A8C"/>
    <w:rsid w:val="0060437A"/>
    <w:rsid w:val="00604850"/>
    <w:rsid w:val="00604F58"/>
    <w:rsid w:val="00606B9D"/>
    <w:rsid w:val="00611AC2"/>
    <w:rsid w:val="00611E78"/>
    <w:rsid w:val="00612BB1"/>
    <w:rsid w:val="00613A24"/>
    <w:rsid w:val="00613B90"/>
    <w:rsid w:val="00613D94"/>
    <w:rsid w:val="006159C3"/>
    <w:rsid w:val="00617338"/>
    <w:rsid w:val="00617DA5"/>
    <w:rsid w:val="00620356"/>
    <w:rsid w:val="006216CA"/>
    <w:rsid w:val="006232CB"/>
    <w:rsid w:val="006234C4"/>
    <w:rsid w:val="00626528"/>
    <w:rsid w:val="00627C79"/>
    <w:rsid w:val="0063279A"/>
    <w:rsid w:val="00632C42"/>
    <w:rsid w:val="00633438"/>
    <w:rsid w:val="00635E3A"/>
    <w:rsid w:val="00642357"/>
    <w:rsid w:val="00643089"/>
    <w:rsid w:val="0064335C"/>
    <w:rsid w:val="006436F4"/>
    <w:rsid w:val="00644376"/>
    <w:rsid w:val="00644BBF"/>
    <w:rsid w:val="00645CEC"/>
    <w:rsid w:val="00650596"/>
    <w:rsid w:val="0065106E"/>
    <w:rsid w:val="00652506"/>
    <w:rsid w:val="00652959"/>
    <w:rsid w:val="00654065"/>
    <w:rsid w:val="0065517E"/>
    <w:rsid w:val="00655E4F"/>
    <w:rsid w:val="00660009"/>
    <w:rsid w:val="0066078A"/>
    <w:rsid w:val="0066272C"/>
    <w:rsid w:val="006632C7"/>
    <w:rsid w:val="00663956"/>
    <w:rsid w:val="00665918"/>
    <w:rsid w:val="0066758A"/>
    <w:rsid w:val="00670974"/>
    <w:rsid w:val="00670A1B"/>
    <w:rsid w:val="006711CA"/>
    <w:rsid w:val="00672DE1"/>
    <w:rsid w:val="00673405"/>
    <w:rsid w:val="00673660"/>
    <w:rsid w:val="0067380D"/>
    <w:rsid w:val="0067448A"/>
    <w:rsid w:val="00674CCC"/>
    <w:rsid w:val="00674EB0"/>
    <w:rsid w:val="00675836"/>
    <w:rsid w:val="006759F6"/>
    <w:rsid w:val="00675A26"/>
    <w:rsid w:val="00676486"/>
    <w:rsid w:val="006767DF"/>
    <w:rsid w:val="006810C4"/>
    <w:rsid w:val="00681A00"/>
    <w:rsid w:val="00681D3B"/>
    <w:rsid w:val="00682357"/>
    <w:rsid w:val="006827A6"/>
    <w:rsid w:val="0068321E"/>
    <w:rsid w:val="00683407"/>
    <w:rsid w:val="006848CE"/>
    <w:rsid w:val="0068562A"/>
    <w:rsid w:val="00687E23"/>
    <w:rsid w:val="00687F46"/>
    <w:rsid w:val="0069122E"/>
    <w:rsid w:val="006928F0"/>
    <w:rsid w:val="006930C1"/>
    <w:rsid w:val="006951A5"/>
    <w:rsid w:val="006959DB"/>
    <w:rsid w:val="006A0C9F"/>
    <w:rsid w:val="006A0FAD"/>
    <w:rsid w:val="006A188A"/>
    <w:rsid w:val="006A341B"/>
    <w:rsid w:val="006A3D10"/>
    <w:rsid w:val="006A486E"/>
    <w:rsid w:val="006A629E"/>
    <w:rsid w:val="006A7D51"/>
    <w:rsid w:val="006B025B"/>
    <w:rsid w:val="006B0828"/>
    <w:rsid w:val="006B0CF4"/>
    <w:rsid w:val="006B12FB"/>
    <w:rsid w:val="006B16FC"/>
    <w:rsid w:val="006B24FF"/>
    <w:rsid w:val="006B3354"/>
    <w:rsid w:val="006B44C9"/>
    <w:rsid w:val="006B5334"/>
    <w:rsid w:val="006B5619"/>
    <w:rsid w:val="006B6176"/>
    <w:rsid w:val="006B6ABD"/>
    <w:rsid w:val="006C077C"/>
    <w:rsid w:val="006C170F"/>
    <w:rsid w:val="006C25C9"/>
    <w:rsid w:val="006C41A3"/>
    <w:rsid w:val="006C6428"/>
    <w:rsid w:val="006C6CC8"/>
    <w:rsid w:val="006C6D94"/>
    <w:rsid w:val="006C6EBB"/>
    <w:rsid w:val="006C79AA"/>
    <w:rsid w:val="006D0876"/>
    <w:rsid w:val="006D1054"/>
    <w:rsid w:val="006D16F8"/>
    <w:rsid w:val="006D246F"/>
    <w:rsid w:val="006D2E17"/>
    <w:rsid w:val="006D3336"/>
    <w:rsid w:val="006D5B77"/>
    <w:rsid w:val="006D5DEF"/>
    <w:rsid w:val="006D5FC4"/>
    <w:rsid w:val="006D66B5"/>
    <w:rsid w:val="006D6783"/>
    <w:rsid w:val="006D7B30"/>
    <w:rsid w:val="006E0171"/>
    <w:rsid w:val="006E0C5B"/>
    <w:rsid w:val="006E1CD8"/>
    <w:rsid w:val="006E2C48"/>
    <w:rsid w:val="006E2C8E"/>
    <w:rsid w:val="006E4685"/>
    <w:rsid w:val="006E5A1A"/>
    <w:rsid w:val="006E60F0"/>
    <w:rsid w:val="006E641D"/>
    <w:rsid w:val="006E6C6C"/>
    <w:rsid w:val="006E6E32"/>
    <w:rsid w:val="006E77C0"/>
    <w:rsid w:val="006F0063"/>
    <w:rsid w:val="006F010C"/>
    <w:rsid w:val="006F1530"/>
    <w:rsid w:val="006F1F73"/>
    <w:rsid w:val="006F471F"/>
    <w:rsid w:val="006F4C86"/>
    <w:rsid w:val="006F603B"/>
    <w:rsid w:val="007005C8"/>
    <w:rsid w:val="00701DF1"/>
    <w:rsid w:val="00702EB4"/>
    <w:rsid w:val="00702F2C"/>
    <w:rsid w:val="007030F5"/>
    <w:rsid w:val="00703318"/>
    <w:rsid w:val="007049FB"/>
    <w:rsid w:val="00704BF4"/>
    <w:rsid w:val="00705214"/>
    <w:rsid w:val="00705F55"/>
    <w:rsid w:val="00711655"/>
    <w:rsid w:val="00712BC2"/>
    <w:rsid w:val="007131BC"/>
    <w:rsid w:val="00714553"/>
    <w:rsid w:val="00715123"/>
    <w:rsid w:val="00717679"/>
    <w:rsid w:val="007209FF"/>
    <w:rsid w:val="00721402"/>
    <w:rsid w:val="007229BC"/>
    <w:rsid w:val="007251B6"/>
    <w:rsid w:val="00726C43"/>
    <w:rsid w:val="0073051F"/>
    <w:rsid w:val="00731194"/>
    <w:rsid w:val="00731670"/>
    <w:rsid w:val="00731802"/>
    <w:rsid w:val="007322CC"/>
    <w:rsid w:val="00733B5E"/>
    <w:rsid w:val="0073555D"/>
    <w:rsid w:val="00735969"/>
    <w:rsid w:val="00735CB5"/>
    <w:rsid w:val="00736849"/>
    <w:rsid w:val="00737AEC"/>
    <w:rsid w:val="00740B0F"/>
    <w:rsid w:val="0074210E"/>
    <w:rsid w:val="007427B9"/>
    <w:rsid w:val="007441BB"/>
    <w:rsid w:val="00744BE1"/>
    <w:rsid w:val="00746844"/>
    <w:rsid w:val="00746CA4"/>
    <w:rsid w:val="007519BD"/>
    <w:rsid w:val="00752C0B"/>
    <w:rsid w:val="007538F8"/>
    <w:rsid w:val="00753CEB"/>
    <w:rsid w:val="007556CB"/>
    <w:rsid w:val="00756281"/>
    <w:rsid w:val="00757485"/>
    <w:rsid w:val="00760542"/>
    <w:rsid w:val="00760EB8"/>
    <w:rsid w:val="007617EE"/>
    <w:rsid w:val="00761848"/>
    <w:rsid w:val="00762781"/>
    <w:rsid w:val="00764370"/>
    <w:rsid w:val="00764FE6"/>
    <w:rsid w:val="0076585E"/>
    <w:rsid w:val="00765B99"/>
    <w:rsid w:val="00765BEA"/>
    <w:rsid w:val="00767C40"/>
    <w:rsid w:val="00773238"/>
    <w:rsid w:val="0077387F"/>
    <w:rsid w:val="00774A32"/>
    <w:rsid w:val="00776732"/>
    <w:rsid w:val="00776BD5"/>
    <w:rsid w:val="007770A5"/>
    <w:rsid w:val="00777751"/>
    <w:rsid w:val="00777978"/>
    <w:rsid w:val="0078013A"/>
    <w:rsid w:val="007802BF"/>
    <w:rsid w:val="0078121C"/>
    <w:rsid w:val="00781386"/>
    <w:rsid w:val="00782805"/>
    <w:rsid w:val="007836E0"/>
    <w:rsid w:val="00783DEE"/>
    <w:rsid w:val="0078551A"/>
    <w:rsid w:val="007876B1"/>
    <w:rsid w:val="00791917"/>
    <w:rsid w:val="007931CF"/>
    <w:rsid w:val="007936C6"/>
    <w:rsid w:val="00793E05"/>
    <w:rsid w:val="007945F9"/>
    <w:rsid w:val="007951D8"/>
    <w:rsid w:val="00796099"/>
    <w:rsid w:val="00797535"/>
    <w:rsid w:val="007A079B"/>
    <w:rsid w:val="007A0BB8"/>
    <w:rsid w:val="007A1EC5"/>
    <w:rsid w:val="007A2904"/>
    <w:rsid w:val="007A36E5"/>
    <w:rsid w:val="007A3C99"/>
    <w:rsid w:val="007A3F2E"/>
    <w:rsid w:val="007A49DE"/>
    <w:rsid w:val="007A790F"/>
    <w:rsid w:val="007B1513"/>
    <w:rsid w:val="007B17C3"/>
    <w:rsid w:val="007B32B6"/>
    <w:rsid w:val="007B3597"/>
    <w:rsid w:val="007B4203"/>
    <w:rsid w:val="007B46AD"/>
    <w:rsid w:val="007B57B3"/>
    <w:rsid w:val="007B6840"/>
    <w:rsid w:val="007B7656"/>
    <w:rsid w:val="007C0133"/>
    <w:rsid w:val="007C0585"/>
    <w:rsid w:val="007C0C96"/>
    <w:rsid w:val="007C10CA"/>
    <w:rsid w:val="007C174B"/>
    <w:rsid w:val="007C1A6A"/>
    <w:rsid w:val="007C1AAB"/>
    <w:rsid w:val="007C2DA2"/>
    <w:rsid w:val="007C3395"/>
    <w:rsid w:val="007C4548"/>
    <w:rsid w:val="007C4A01"/>
    <w:rsid w:val="007C5B37"/>
    <w:rsid w:val="007C7B61"/>
    <w:rsid w:val="007D2280"/>
    <w:rsid w:val="007D259E"/>
    <w:rsid w:val="007D327C"/>
    <w:rsid w:val="007D3D2D"/>
    <w:rsid w:val="007D53CE"/>
    <w:rsid w:val="007D6B1E"/>
    <w:rsid w:val="007E069B"/>
    <w:rsid w:val="007E101F"/>
    <w:rsid w:val="007E1611"/>
    <w:rsid w:val="007E392E"/>
    <w:rsid w:val="007E4C96"/>
    <w:rsid w:val="007E5500"/>
    <w:rsid w:val="007E58F2"/>
    <w:rsid w:val="007E600B"/>
    <w:rsid w:val="007E6728"/>
    <w:rsid w:val="007E67D7"/>
    <w:rsid w:val="007E77CE"/>
    <w:rsid w:val="007E7CB8"/>
    <w:rsid w:val="007F1F3A"/>
    <w:rsid w:val="007F2262"/>
    <w:rsid w:val="007F348B"/>
    <w:rsid w:val="007F3808"/>
    <w:rsid w:val="007F466E"/>
    <w:rsid w:val="007F54B9"/>
    <w:rsid w:val="007F7847"/>
    <w:rsid w:val="008000A7"/>
    <w:rsid w:val="00800B94"/>
    <w:rsid w:val="0080381C"/>
    <w:rsid w:val="00804913"/>
    <w:rsid w:val="0080566A"/>
    <w:rsid w:val="00806083"/>
    <w:rsid w:val="00811D0D"/>
    <w:rsid w:val="00812EBE"/>
    <w:rsid w:val="0081454E"/>
    <w:rsid w:val="00816102"/>
    <w:rsid w:val="0082036A"/>
    <w:rsid w:val="0082062A"/>
    <w:rsid w:val="0082132D"/>
    <w:rsid w:val="0082185B"/>
    <w:rsid w:val="00821B20"/>
    <w:rsid w:val="008239FC"/>
    <w:rsid w:val="008240E0"/>
    <w:rsid w:val="008244A3"/>
    <w:rsid w:val="00825AE9"/>
    <w:rsid w:val="0083027A"/>
    <w:rsid w:val="00830809"/>
    <w:rsid w:val="0083124A"/>
    <w:rsid w:val="0083159F"/>
    <w:rsid w:val="0083172B"/>
    <w:rsid w:val="00831F16"/>
    <w:rsid w:val="008343EE"/>
    <w:rsid w:val="00835C54"/>
    <w:rsid w:val="008362E5"/>
    <w:rsid w:val="0083642D"/>
    <w:rsid w:val="00837165"/>
    <w:rsid w:val="00841486"/>
    <w:rsid w:val="00842315"/>
    <w:rsid w:val="008423DA"/>
    <w:rsid w:val="00842907"/>
    <w:rsid w:val="00842C4E"/>
    <w:rsid w:val="008431C3"/>
    <w:rsid w:val="008432C5"/>
    <w:rsid w:val="00843766"/>
    <w:rsid w:val="0084590E"/>
    <w:rsid w:val="00851C7B"/>
    <w:rsid w:val="00852AD4"/>
    <w:rsid w:val="00852B92"/>
    <w:rsid w:val="008533B2"/>
    <w:rsid w:val="008535AE"/>
    <w:rsid w:val="0085584C"/>
    <w:rsid w:val="0085782E"/>
    <w:rsid w:val="00857E65"/>
    <w:rsid w:val="00863D6B"/>
    <w:rsid w:val="00863FFD"/>
    <w:rsid w:val="00864CAA"/>
    <w:rsid w:val="00864EAA"/>
    <w:rsid w:val="008661C2"/>
    <w:rsid w:val="0087092B"/>
    <w:rsid w:val="00870D15"/>
    <w:rsid w:val="00871895"/>
    <w:rsid w:val="00872332"/>
    <w:rsid w:val="008733E5"/>
    <w:rsid w:val="00873C00"/>
    <w:rsid w:val="00874712"/>
    <w:rsid w:val="008767F5"/>
    <w:rsid w:val="00880464"/>
    <w:rsid w:val="00881CB0"/>
    <w:rsid w:val="00882F62"/>
    <w:rsid w:val="008854A7"/>
    <w:rsid w:val="008856FB"/>
    <w:rsid w:val="00886577"/>
    <w:rsid w:val="00886EC2"/>
    <w:rsid w:val="008902B6"/>
    <w:rsid w:val="008904F9"/>
    <w:rsid w:val="0089114D"/>
    <w:rsid w:val="00893EC8"/>
    <w:rsid w:val="008940F2"/>
    <w:rsid w:val="00895315"/>
    <w:rsid w:val="0089758E"/>
    <w:rsid w:val="008976F3"/>
    <w:rsid w:val="008A10FA"/>
    <w:rsid w:val="008A270E"/>
    <w:rsid w:val="008A5377"/>
    <w:rsid w:val="008A559D"/>
    <w:rsid w:val="008A6EC3"/>
    <w:rsid w:val="008B02C4"/>
    <w:rsid w:val="008B1927"/>
    <w:rsid w:val="008B19A4"/>
    <w:rsid w:val="008B20C1"/>
    <w:rsid w:val="008B2C28"/>
    <w:rsid w:val="008B3735"/>
    <w:rsid w:val="008B3766"/>
    <w:rsid w:val="008B393A"/>
    <w:rsid w:val="008B3B6F"/>
    <w:rsid w:val="008B4C07"/>
    <w:rsid w:val="008B6A01"/>
    <w:rsid w:val="008B7EBB"/>
    <w:rsid w:val="008C10E4"/>
    <w:rsid w:val="008C1C79"/>
    <w:rsid w:val="008C2C85"/>
    <w:rsid w:val="008C32D2"/>
    <w:rsid w:val="008C3A73"/>
    <w:rsid w:val="008C3B42"/>
    <w:rsid w:val="008C3C55"/>
    <w:rsid w:val="008C4273"/>
    <w:rsid w:val="008C502B"/>
    <w:rsid w:val="008C5A29"/>
    <w:rsid w:val="008C6359"/>
    <w:rsid w:val="008C6366"/>
    <w:rsid w:val="008C66C0"/>
    <w:rsid w:val="008C74DD"/>
    <w:rsid w:val="008D0DFE"/>
    <w:rsid w:val="008D0F9B"/>
    <w:rsid w:val="008D2F67"/>
    <w:rsid w:val="008D3D66"/>
    <w:rsid w:val="008D3EAB"/>
    <w:rsid w:val="008D445B"/>
    <w:rsid w:val="008D711B"/>
    <w:rsid w:val="008D7B1C"/>
    <w:rsid w:val="008E1806"/>
    <w:rsid w:val="008E3228"/>
    <w:rsid w:val="008E45DD"/>
    <w:rsid w:val="008E6C29"/>
    <w:rsid w:val="008F166D"/>
    <w:rsid w:val="008F17C6"/>
    <w:rsid w:val="008F19AD"/>
    <w:rsid w:val="008F33BD"/>
    <w:rsid w:val="008F4927"/>
    <w:rsid w:val="008F5D89"/>
    <w:rsid w:val="008F6E7C"/>
    <w:rsid w:val="00900FA6"/>
    <w:rsid w:val="009010B9"/>
    <w:rsid w:val="0090348F"/>
    <w:rsid w:val="00903AE1"/>
    <w:rsid w:val="00906827"/>
    <w:rsid w:val="00911671"/>
    <w:rsid w:val="00911A6C"/>
    <w:rsid w:val="0091270C"/>
    <w:rsid w:val="009169BB"/>
    <w:rsid w:val="009200B5"/>
    <w:rsid w:val="00925B45"/>
    <w:rsid w:val="00925F1F"/>
    <w:rsid w:val="009279E3"/>
    <w:rsid w:val="00927B94"/>
    <w:rsid w:val="0093161D"/>
    <w:rsid w:val="00931A38"/>
    <w:rsid w:val="00932630"/>
    <w:rsid w:val="00932D75"/>
    <w:rsid w:val="00932FCF"/>
    <w:rsid w:val="009359EF"/>
    <w:rsid w:val="00935D1B"/>
    <w:rsid w:val="00937866"/>
    <w:rsid w:val="009378B6"/>
    <w:rsid w:val="00937BB5"/>
    <w:rsid w:val="00937EB0"/>
    <w:rsid w:val="00940566"/>
    <w:rsid w:val="009411F1"/>
    <w:rsid w:val="00941FCB"/>
    <w:rsid w:val="00942A5B"/>
    <w:rsid w:val="009430B3"/>
    <w:rsid w:val="00943581"/>
    <w:rsid w:val="009449FE"/>
    <w:rsid w:val="0094618D"/>
    <w:rsid w:val="009466CF"/>
    <w:rsid w:val="00950EFE"/>
    <w:rsid w:val="00950F20"/>
    <w:rsid w:val="009517AF"/>
    <w:rsid w:val="00951E38"/>
    <w:rsid w:val="00952CFE"/>
    <w:rsid w:val="00953BD7"/>
    <w:rsid w:val="00955502"/>
    <w:rsid w:val="00960768"/>
    <w:rsid w:val="00960933"/>
    <w:rsid w:val="00961516"/>
    <w:rsid w:val="00961585"/>
    <w:rsid w:val="0096248F"/>
    <w:rsid w:val="00962649"/>
    <w:rsid w:val="0096353E"/>
    <w:rsid w:val="00964321"/>
    <w:rsid w:val="00965C5A"/>
    <w:rsid w:val="009665F1"/>
    <w:rsid w:val="00967864"/>
    <w:rsid w:val="00967AE7"/>
    <w:rsid w:val="00967BDE"/>
    <w:rsid w:val="00967E7D"/>
    <w:rsid w:val="0097104F"/>
    <w:rsid w:val="0097165D"/>
    <w:rsid w:val="00972071"/>
    <w:rsid w:val="009757CF"/>
    <w:rsid w:val="00976A54"/>
    <w:rsid w:val="00976C5E"/>
    <w:rsid w:val="00976EBD"/>
    <w:rsid w:val="00983C52"/>
    <w:rsid w:val="00984771"/>
    <w:rsid w:val="0098509C"/>
    <w:rsid w:val="00986439"/>
    <w:rsid w:val="00986FAC"/>
    <w:rsid w:val="00987B65"/>
    <w:rsid w:val="00987C77"/>
    <w:rsid w:val="00990FF9"/>
    <w:rsid w:val="009915B8"/>
    <w:rsid w:val="00991DB5"/>
    <w:rsid w:val="00992383"/>
    <w:rsid w:val="00995BF7"/>
    <w:rsid w:val="009A02AD"/>
    <w:rsid w:val="009A08BB"/>
    <w:rsid w:val="009A0EE7"/>
    <w:rsid w:val="009A1F69"/>
    <w:rsid w:val="009A28DB"/>
    <w:rsid w:val="009A4335"/>
    <w:rsid w:val="009A44B0"/>
    <w:rsid w:val="009A7642"/>
    <w:rsid w:val="009B014F"/>
    <w:rsid w:val="009B2A35"/>
    <w:rsid w:val="009B43EE"/>
    <w:rsid w:val="009B4AFB"/>
    <w:rsid w:val="009B4F0F"/>
    <w:rsid w:val="009B7FCF"/>
    <w:rsid w:val="009C00FB"/>
    <w:rsid w:val="009C03E2"/>
    <w:rsid w:val="009C0B77"/>
    <w:rsid w:val="009C34D4"/>
    <w:rsid w:val="009C35EC"/>
    <w:rsid w:val="009C36D2"/>
    <w:rsid w:val="009C3907"/>
    <w:rsid w:val="009C67B6"/>
    <w:rsid w:val="009C6DA6"/>
    <w:rsid w:val="009C735B"/>
    <w:rsid w:val="009C7CB8"/>
    <w:rsid w:val="009D050F"/>
    <w:rsid w:val="009D1F18"/>
    <w:rsid w:val="009D44F9"/>
    <w:rsid w:val="009D5188"/>
    <w:rsid w:val="009D736A"/>
    <w:rsid w:val="009E082A"/>
    <w:rsid w:val="009E1BEB"/>
    <w:rsid w:val="009E4AE9"/>
    <w:rsid w:val="009E518A"/>
    <w:rsid w:val="009E7CC3"/>
    <w:rsid w:val="009F0013"/>
    <w:rsid w:val="009F108A"/>
    <w:rsid w:val="009F130F"/>
    <w:rsid w:val="009F1BE6"/>
    <w:rsid w:val="009F248F"/>
    <w:rsid w:val="009F2921"/>
    <w:rsid w:val="009F2C0E"/>
    <w:rsid w:val="009F338F"/>
    <w:rsid w:val="009F3670"/>
    <w:rsid w:val="009F471E"/>
    <w:rsid w:val="009F5125"/>
    <w:rsid w:val="009F6232"/>
    <w:rsid w:val="00A047DB"/>
    <w:rsid w:val="00A049E7"/>
    <w:rsid w:val="00A04DBF"/>
    <w:rsid w:val="00A0648D"/>
    <w:rsid w:val="00A071D0"/>
    <w:rsid w:val="00A101CD"/>
    <w:rsid w:val="00A13B72"/>
    <w:rsid w:val="00A1465E"/>
    <w:rsid w:val="00A17620"/>
    <w:rsid w:val="00A21109"/>
    <w:rsid w:val="00A239EB"/>
    <w:rsid w:val="00A23F55"/>
    <w:rsid w:val="00A25135"/>
    <w:rsid w:val="00A2590B"/>
    <w:rsid w:val="00A26CD5"/>
    <w:rsid w:val="00A26E3C"/>
    <w:rsid w:val="00A32A65"/>
    <w:rsid w:val="00A3371F"/>
    <w:rsid w:val="00A34220"/>
    <w:rsid w:val="00A347B8"/>
    <w:rsid w:val="00A36DC4"/>
    <w:rsid w:val="00A37584"/>
    <w:rsid w:val="00A40FAD"/>
    <w:rsid w:val="00A41CF5"/>
    <w:rsid w:val="00A42C71"/>
    <w:rsid w:val="00A46373"/>
    <w:rsid w:val="00A47284"/>
    <w:rsid w:val="00A51F61"/>
    <w:rsid w:val="00A52E50"/>
    <w:rsid w:val="00A54825"/>
    <w:rsid w:val="00A6262E"/>
    <w:rsid w:val="00A62EFC"/>
    <w:rsid w:val="00A631F4"/>
    <w:rsid w:val="00A664DB"/>
    <w:rsid w:val="00A6734E"/>
    <w:rsid w:val="00A7032C"/>
    <w:rsid w:val="00A70800"/>
    <w:rsid w:val="00A712B5"/>
    <w:rsid w:val="00A71903"/>
    <w:rsid w:val="00A73D4A"/>
    <w:rsid w:val="00A75065"/>
    <w:rsid w:val="00A77C38"/>
    <w:rsid w:val="00A823CE"/>
    <w:rsid w:val="00A8242B"/>
    <w:rsid w:val="00A82AFB"/>
    <w:rsid w:val="00A869F5"/>
    <w:rsid w:val="00A86A2A"/>
    <w:rsid w:val="00A873CD"/>
    <w:rsid w:val="00A87860"/>
    <w:rsid w:val="00A87A53"/>
    <w:rsid w:val="00A916BE"/>
    <w:rsid w:val="00A91B45"/>
    <w:rsid w:val="00A91C36"/>
    <w:rsid w:val="00A92843"/>
    <w:rsid w:val="00A92A6B"/>
    <w:rsid w:val="00A92F1A"/>
    <w:rsid w:val="00A94191"/>
    <w:rsid w:val="00A95F8C"/>
    <w:rsid w:val="00AA0C8C"/>
    <w:rsid w:val="00AA11E7"/>
    <w:rsid w:val="00AA2D23"/>
    <w:rsid w:val="00AA380A"/>
    <w:rsid w:val="00AA38B3"/>
    <w:rsid w:val="00AA442F"/>
    <w:rsid w:val="00AA4490"/>
    <w:rsid w:val="00AA5B8E"/>
    <w:rsid w:val="00AA741B"/>
    <w:rsid w:val="00AA79F6"/>
    <w:rsid w:val="00AB058B"/>
    <w:rsid w:val="00AB1C59"/>
    <w:rsid w:val="00AB2810"/>
    <w:rsid w:val="00AB362B"/>
    <w:rsid w:val="00AB74F5"/>
    <w:rsid w:val="00AB7568"/>
    <w:rsid w:val="00AC0197"/>
    <w:rsid w:val="00AC0A29"/>
    <w:rsid w:val="00AC28D7"/>
    <w:rsid w:val="00AC3842"/>
    <w:rsid w:val="00AC410E"/>
    <w:rsid w:val="00AC649A"/>
    <w:rsid w:val="00AC6E73"/>
    <w:rsid w:val="00AC7280"/>
    <w:rsid w:val="00AC7DC6"/>
    <w:rsid w:val="00AD187F"/>
    <w:rsid w:val="00AD1B27"/>
    <w:rsid w:val="00AD24AF"/>
    <w:rsid w:val="00AD5A17"/>
    <w:rsid w:val="00AD6355"/>
    <w:rsid w:val="00AD6739"/>
    <w:rsid w:val="00AE1511"/>
    <w:rsid w:val="00AE4843"/>
    <w:rsid w:val="00AE540D"/>
    <w:rsid w:val="00AF00F6"/>
    <w:rsid w:val="00AF0EA5"/>
    <w:rsid w:val="00AF1B61"/>
    <w:rsid w:val="00AF1F0D"/>
    <w:rsid w:val="00AF2BB0"/>
    <w:rsid w:val="00AF3323"/>
    <w:rsid w:val="00AF3579"/>
    <w:rsid w:val="00AF59A3"/>
    <w:rsid w:val="00AF5D5C"/>
    <w:rsid w:val="00AF75B7"/>
    <w:rsid w:val="00B00ABB"/>
    <w:rsid w:val="00B015D1"/>
    <w:rsid w:val="00B01C68"/>
    <w:rsid w:val="00B03FAB"/>
    <w:rsid w:val="00B05D6A"/>
    <w:rsid w:val="00B11520"/>
    <w:rsid w:val="00B11679"/>
    <w:rsid w:val="00B12B7E"/>
    <w:rsid w:val="00B15E62"/>
    <w:rsid w:val="00B16CD6"/>
    <w:rsid w:val="00B177DE"/>
    <w:rsid w:val="00B17BC9"/>
    <w:rsid w:val="00B20CDE"/>
    <w:rsid w:val="00B217DC"/>
    <w:rsid w:val="00B2301D"/>
    <w:rsid w:val="00B231D5"/>
    <w:rsid w:val="00B23957"/>
    <w:rsid w:val="00B25BA4"/>
    <w:rsid w:val="00B2696E"/>
    <w:rsid w:val="00B31920"/>
    <w:rsid w:val="00B319CD"/>
    <w:rsid w:val="00B31F50"/>
    <w:rsid w:val="00B3432E"/>
    <w:rsid w:val="00B353B1"/>
    <w:rsid w:val="00B3642B"/>
    <w:rsid w:val="00B37E73"/>
    <w:rsid w:val="00B41175"/>
    <w:rsid w:val="00B4224D"/>
    <w:rsid w:val="00B4256B"/>
    <w:rsid w:val="00B4269F"/>
    <w:rsid w:val="00B4294F"/>
    <w:rsid w:val="00B43069"/>
    <w:rsid w:val="00B4311D"/>
    <w:rsid w:val="00B4323B"/>
    <w:rsid w:val="00B43610"/>
    <w:rsid w:val="00B43D72"/>
    <w:rsid w:val="00B448E6"/>
    <w:rsid w:val="00B44986"/>
    <w:rsid w:val="00B47E81"/>
    <w:rsid w:val="00B5129F"/>
    <w:rsid w:val="00B51A9E"/>
    <w:rsid w:val="00B52532"/>
    <w:rsid w:val="00B52D8C"/>
    <w:rsid w:val="00B54958"/>
    <w:rsid w:val="00B54F35"/>
    <w:rsid w:val="00B5648D"/>
    <w:rsid w:val="00B56612"/>
    <w:rsid w:val="00B567C1"/>
    <w:rsid w:val="00B6073C"/>
    <w:rsid w:val="00B60A0D"/>
    <w:rsid w:val="00B61582"/>
    <w:rsid w:val="00B61694"/>
    <w:rsid w:val="00B616F1"/>
    <w:rsid w:val="00B61700"/>
    <w:rsid w:val="00B64A59"/>
    <w:rsid w:val="00B67388"/>
    <w:rsid w:val="00B67C61"/>
    <w:rsid w:val="00B7217C"/>
    <w:rsid w:val="00B73859"/>
    <w:rsid w:val="00B7435F"/>
    <w:rsid w:val="00B750C2"/>
    <w:rsid w:val="00B754B7"/>
    <w:rsid w:val="00B758BB"/>
    <w:rsid w:val="00B75A45"/>
    <w:rsid w:val="00B7687D"/>
    <w:rsid w:val="00B768A3"/>
    <w:rsid w:val="00B77B67"/>
    <w:rsid w:val="00B80A5C"/>
    <w:rsid w:val="00B83196"/>
    <w:rsid w:val="00B835E4"/>
    <w:rsid w:val="00B84E02"/>
    <w:rsid w:val="00B8513B"/>
    <w:rsid w:val="00B85F7C"/>
    <w:rsid w:val="00B865C8"/>
    <w:rsid w:val="00B86F13"/>
    <w:rsid w:val="00B86F9D"/>
    <w:rsid w:val="00B8745C"/>
    <w:rsid w:val="00B90F80"/>
    <w:rsid w:val="00B9107B"/>
    <w:rsid w:val="00B94032"/>
    <w:rsid w:val="00B947B6"/>
    <w:rsid w:val="00B94898"/>
    <w:rsid w:val="00B94F61"/>
    <w:rsid w:val="00B95EA8"/>
    <w:rsid w:val="00B96845"/>
    <w:rsid w:val="00BA1781"/>
    <w:rsid w:val="00BA2314"/>
    <w:rsid w:val="00BA4C2A"/>
    <w:rsid w:val="00BA55C5"/>
    <w:rsid w:val="00BA61B5"/>
    <w:rsid w:val="00BA797C"/>
    <w:rsid w:val="00BB0097"/>
    <w:rsid w:val="00BB0DBB"/>
    <w:rsid w:val="00BB19F3"/>
    <w:rsid w:val="00BB1F7F"/>
    <w:rsid w:val="00BB2D3F"/>
    <w:rsid w:val="00BB3852"/>
    <w:rsid w:val="00BB6B80"/>
    <w:rsid w:val="00BB7FFD"/>
    <w:rsid w:val="00BC01AF"/>
    <w:rsid w:val="00BC03A7"/>
    <w:rsid w:val="00BC08CA"/>
    <w:rsid w:val="00BC1355"/>
    <w:rsid w:val="00BC163C"/>
    <w:rsid w:val="00BC4247"/>
    <w:rsid w:val="00BC4783"/>
    <w:rsid w:val="00BC6C89"/>
    <w:rsid w:val="00BC6E43"/>
    <w:rsid w:val="00BC771E"/>
    <w:rsid w:val="00BC79BD"/>
    <w:rsid w:val="00BD36FD"/>
    <w:rsid w:val="00BD3ED7"/>
    <w:rsid w:val="00BD4BE0"/>
    <w:rsid w:val="00BD4FE0"/>
    <w:rsid w:val="00BD609C"/>
    <w:rsid w:val="00BD6839"/>
    <w:rsid w:val="00BD6A33"/>
    <w:rsid w:val="00BD6F87"/>
    <w:rsid w:val="00BD7846"/>
    <w:rsid w:val="00BE1D15"/>
    <w:rsid w:val="00BE2266"/>
    <w:rsid w:val="00BE33E4"/>
    <w:rsid w:val="00BE3607"/>
    <w:rsid w:val="00BE5304"/>
    <w:rsid w:val="00BE593A"/>
    <w:rsid w:val="00BE6843"/>
    <w:rsid w:val="00BE7222"/>
    <w:rsid w:val="00BE7431"/>
    <w:rsid w:val="00BE7E14"/>
    <w:rsid w:val="00BF0216"/>
    <w:rsid w:val="00BF2B6A"/>
    <w:rsid w:val="00BF488C"/>
    <w:rsid w:val="00BF53F2"/>
    <w:rsid w:val="00BF545D"/>
    <w:rsid w:val="00C0274A"/>
    <w:rsid w:val="00C02D4F"/>
    <w:rsid w:val="00C03508"/>
    <w:rsid w:val="00C03606"/>
    <w:rsid w:val="00C04848"/>
    <w:rsid w:val="00C05888"/>
    <w:rsid w:val="00C05CBC"/>
    <w:rsid w:val="00C05F2F"/>
    <w:rsid w:val="00C1263D"/>
    <w:rsid w:val="00C153ED"/>
    <w:rsid w:val="00C155ED"/>
    <w:rsid w:val="00C17116"/>
    <w:rsid w:val="00C2055E"/>
    <w:rsid w:val="00C21789"/>
    <w:rsid w:val="00C21A8A"/>
    <w:rsid w:val="00C22D95"/>
    <w:rsid w:val="00C22DE2"/>
    <w:rsid w:val="00C23B1A"/>
    <w:rsid w:val="00C23C39"/>
    <w:rsid w:val="00C243D1"/>
    <w:rsid w:val="00C243F9"/>
    <w:rsid w:val="00C243FD"/>
    <w:rsid w:val="00C24A12"/>
    <w:rsid w:val="00C25591"/>
    <w:rsid w:val="00C276FD"/>
    <w:rsid w:val="00C27CAF"/>
    <w:rsid w:val="00C3034F"/>
    <w:rsid w:val="00C309A4"/>
    <w:rsid w:val="00C30DF1"/>
    <w:rsid w:val="00C32086"/>
    <w:rsid w:val="00C32120"/>
    <w:rsid w:val="00C32AFC"/>
    <w:rsid w:val="00C367F1"/>
    <w:rsid w:val="00C36C94"/>
    <w:rsid w:val="00C36E0D"/>
    <w:rsid w:val="00C37C84"/>
    <w:rsid w:val="00C4001A"/>
    <w:rsid w:val="00C41641"/>
    <w:rsid w:val="00C41CD7"/>
    <w:rsid w:val="00C45172"/>
    <w:rsid w:val="00C50631"/>
    <w:rsid w:val="00C50F16"/>
    <w:rsid w:val="00C5138B"/>
    <w:rsid w:val="00C51D28"/>
    <w:rsid w:val="00C533D0"/>
    <w:rsid w:val="00C54A06"/>
    <w:rsid w:val="00C56241"/>
    <w:rsid w:val="00C5682D"/>
    <w:rsid w:val="00C5721E"/>
    <w:rsid w:val="00C577A8"/>
    <w:rsid w:val="00C60999"/>
    <w:rsid w:val="00C61A13"/>
    <w:rsid w:val="00C61C6F"/>
    <w:rsid w:val="00C621CB"/>
    <w:rsid w:val="00C62870"/>
    <w:rsid w:val="00C628E5"/>
    <w:rsid w:val="00C6329D"/>
    <w:rsid w:val="00C64B51"/>
    <w:rsid w:val="00C65457"/>
    <w:rsid w:val="00C655E8"/>
    <w:rsid w:val="00C65EEB"/>
    <w:rsid w:val="00C67C64"/>
    <w:rsid w:val="00C71677"/>
    <w:rsid w:val="00C717DE"/>
    <w:rsid w:val="00C71871"/>
    <w:rsid w:val="00C723E0"/>
    <w:rsid w:val="00C72DEA"/>
    <w:rsid w:val="00C72DF2"/>
    <w:rsid w:val="00C75169"/>
    <w:rsid w:val="00C75F77"/>
    <w:rsid w:val="00C76E8D"/>
    <w:rsid w:val="00C82F79"/>
    <w:rsid w:val="00C83EBE"/>
    <w:rsid w:val="00C85EF6"/>
    <w:rsid w:val="00C863D2"/>
    <w:rsid w:val="00C86582"/>
    <w:rsid w:val="00C871B5"/>
    <w:rsid w:val="00C87457"/>
    <w:rsid w:val="00C90013"/>
    <w:rsid w:val="00C9009E"/>
    <w:rsid w:val="00C9020E"/>
    <w:rsid w:val="00C9354C"/>
    <w:rsid w:val="00C9404F"/>
    <w:rsid w:val="00C96E40"/>
    <w:rsid w:val="00C973D1"/>
    <w:rsid w:val="00C97552"/>
    <w:rsid w:val="00C97632"/>
    <w:rsid w:val="00C9777D"/>
    <w:rsid w:val="00C97A19"/>
    <w:rsid w:val="00CA1159"/>
    <w:rsid w:val="00CA1472"/>
    <w:rsid w:val="00CA1D0E"/>
    <w:rsid w:val="00CA3E54"/>
    <w:rsid w:val="00CA3F78"/>
    <w:rsid w:val="00CA5A8B"/>
    <w:rsid w:val="00CB0103"/>
    <w:rsid w:val="00CB1BD7"/>
    <w:rsid w:val="00CB2313"/>
    <w:rsid w:val="00CB5336"/>
    <w:rsid w:val="00CB6D7B"/>
    <w:rsid w:val="00CC123C"/>
    <w:rsid w:val="00CC125C"/>
    <w:rsid w:val="00CC1868"/>
    <w:rsid w:val="00CC1CC1"/>
    <w:rsid w:val="00CC28F9"/>
    <w:rsid w:val="00CC359E"/>
    <w:rsid w:val="00CC390E"/>
    <w:rsid w:val="00CC3EFB"/>
    <w:rsid w:val="00CC5636"/>
    <w:rsid w:val="00CD0625"/>
    <w:rsid w:val="00CD2381"/>
    <w:rsid w:val="00CD3573"/>
    <w:rsid w:val="00CD3698"/>
    <w:rsid w:val="00CD396B"/>
    <w:rsid w:val="00CD4D54"/>
    <w:rsid w:val="00CD6DF1"/>
    <w:rsid w:val="00CD7A38"/>
    <w:rsid w:val="00CE0866"/>
    <w:rsid w:val="00CE0D0E"/>
    <w:rsid w:val="00CE1A09"/>
    <w:rsid w:val="00CE3768"/>
    <w:rsid w:val="00CE58A8"/>
    <w:rsid w:val="00CE775A"/>
    <w:rsid w:val="00CF0907"/>
    <w:rsid w:val="00CF0EA7"/>
    <w:rsid w:val="00CF1B29"/>
    <w:rsid w:val="00CF2E7B"/>
    <w:rsid w:val="00CF318E"/>
    <w:rsid w:val="00CF4608"/>
    <w:rsid w:val="00CF49D3"/>
    <w:rsid w:val="00CF61CE"/>
    <w:rsid w:val="00CF6817"/>
    <w:rsid w:val="00CF6DA5"/>
    <w:rsid w:val="00CF73BE"/>
    <w:rsid w:val="00D003C0"/>
    <w:rsid w:val="00D0124B"/>
    <w:rsid w:val="00D03C63"/>
    <w:rsid w:val="00D04C92"/>
    <w:rsid w:val="00D04DDD"/>
    <w:rsid w:val="00D06155"/>
    <w:rsid w:val="00D10327"/>
    <w:rsid w:val="00D1136D"/>
    <w:rsid w:val="00D11942"/>
    <w:rsid w:val="00D123AB"/>
    <w:rsid w:val="00D137D8"/>
    <w:rsid w:val="00D1632B"/>
    <w:rsid w:val="00D16934"/>
    <w:rsid w:val="00D209D9"/>
    <w:rsid w:val="00D2119C"/>
    <w:rsid w:val="00D22015"/>
    <w:rsid w:val="00D23863"/>
    <w:rsid w:val="00D23A6C"/>
    <w:rsid w:val="00D24A64"/>
    <w:rsid w:val="00D250AD"/>
    <w:rsid w:val="00D25EB2"/>
    <w:rsid w:val="00D27972"/>
    <w:rsid w:val="00D31858"/>
    <w:rsid w:val="00D3345C"/>
    <w:rsid w:val="00D33BDA"/>
    <w:rsid w:val="00D34059"/>
    <w:rsid w:val="00D36269"/>
    <w:rsid w:val="00D40BBE"/>
    <w:rsid w:val="00D4152F"/>
    <w:rsid w:val="00D42925"/>
    <w:rsid w:val="00D4352C"/>
    <w:rsid w:val="00D43CA9"/>
    <w:rsid w:val="00D4686A"/>
    <w:rsid w:val="00D47DA6"/>
    <w:rsid w:val="00D521FC"/>
    <w:rsid w:val="00D52245"/>
    <w:rsid w:val="00D527C7"/>
    <w:rsid w:val="00D54EA7"/>
    <w:rsid w:val="00D579CF"/>
    <w:rsid w:val="00D61582"/>
    <w:rsid w:val="00D62BDC"/>
    <w:rsid w:val="00D62F56"/>
    <w:rsid w:val="00D6328D"/>
    <w:rsid w:val="00D63BA4"/>
    <w:rsid w:val="00D643FF"/>
    <w:rsid w:val="00D65CE4"/>
    <w:rsid w:val="00D66D6E"/>
    <w:rsid w:val="00D66DE7"/>
    <w:rsid w:val="00D66F09"/>
    <w:rsid w:val="00D67FB6"/>
    <w:rsid w:val="00D72B40"/>
    <w:rsid w:val="00D72C33"/>
    <w:rsid w:val="00D75259"/>
    <w:rsid w:val="00D7563E"/>
    <w:rsid w:val="00D76F4D"/>
    <w:rsid w:val="00D77455"/>
    <w:rsid w:val="00D84FB3"/>
    <w:rsid w:val="00D85FB8"/>
    <w:rsid w:val="00D86600"/>
    <w:rsid w:val="00D9211F"/>
    <w:rsid w:val="00D92182"/>
    <w:rsid w:val="00D94B6B"/>
    <w:rsid w:val="00D972A1"/>
    <w:rsid w:val="00D97CEA"/>
    <w:rsid w:val="00DA006F"/>
    <w:rsid w:val="00DA0215"/>
    <w:rsid w:val="00DA10CA"/>
    <w:rsid w:val="00DA1127"/>
    <w:rsid w:val="00DA177D"/>
    <w:rsid w:val="00DA20FF"/>
    <w:rsid w:val="00DA26A6"/>
    <w:rsid w:val="00DA389F"/>
    <w:rsid w:val="00DA4808"/>
    <w:rsid w:val="00DA633F"/>
    <w:rsid w:val="00DA7190"/>
    <w:rsid w:val="00DB0686"/>
    <w:rsid w:val="00DB1B61"/>
    <w:rsid w:val="00DB434F"/>
    <w:rsid w:val="00DB5AB3"/>
    <w:rsid w:val="00DB5E3D"/>
    <w:rsid w:val="00DB648D"/>
    <w:rsid w:val="00DB6F28"/>
    <w:rsid w:val="00DB76A5"/>
    <w:rsid w:val="00DC0A8D"/>
    <w:rsid w:val="00DC0DD4"/>
    <w:rsid w:val="00DC1F89"/>
    <w:rsid w:val="00DC2234"/>
    <w:rsid w:val="00DC4220"/>
    <w:rsid w:val="00DC429B"/>
    <w:rsid w:val="00DC5365"/>
    <w:rsid w:val="00DC5F72"/>
    <w:rsid w:val="00DC78E2"/>
    <w:rsid w:val="00DD204C"/>
    <w:rsid w:val="00DD3251"/>
    <w:rsid w:val="00DD4061"/>
    <w:rsid w:val="00DD53F8"/>
    <w:rsid w:val="00DD64F1"/>
    <w:rsid w:val="00DD696E"/>
    <w:rsid w:val="00DD77FB"/>
    <w:rsid w:val="00DE56FE"/>
    <w:rsid w:val="00DE58CB"/>
    <w:rsid w:val="00DE5C7A"/>
    <w:rsid w:val="00DE638E"/>
    <w:rsid w:val="00DF0A19"/>
    <w:rsid w:val="00DF2B2F"/>
    <w:rsid w:val="00DF317A"/>
    <w:rsid w:val="00DF5477"/>
    <w:rsid w:val="00DF5EE9"/>
    <w:rsid w:val="00DF6080"/>
    <w:rsid w:val="00DF63C3"/>
    <w:rsid w:val="00DF7FBA"/>
    <w:rsid w:val="00E0004F"/>
    <w:rsid w:val="00E00863"/>
    <w:rsid w:val="00E01149"/>
    <w:rsid w:val="00E024D3"/>
    <w:rsid w:val="00E03004"/>
    <w:rsid w:val="00E044AD"/>
    <w:rsid w:val="00E05777"/>
    <w:rsid w:val="00E059E5"/>
    <w:rsid w:val="00E066BA"/>
    <w:rsid w:val="00E07F43"/>
    <w:rsid w:val="00E10277"/>
    <w:rsid w:val="00E105C8"/>
    <w:rsid w:val="00E10719"/>
    <w:rsid w:val="00E10F4B"/>
    <w:rsid w:val="00E11E2F"/>
    <w:rsid w:val="00E12C84"/>
    <w:rsid w:val="00E12C9D"/>
    <w:rsid w:val="00E12D96"/>
    <w:rsid w:val="00E13B88"/>
    <w:rsid w:val="00E13BA9"/>
    <w:rsid w:val="00E13CF5"/>
    <w:rsid w:val="00E141DC"/>
    <w:rsid w:val="00E1483B"/>
    <w:rsid w:val="00E14CDE"/>
    <w:rsid w:val="00E14EA8"/>
    <w:rsid w:val="00E15FE1"/>
    <w:rsid w:val="00E17881"/>
    <w:rsid w:val="00E17C00"/>
    <w:rsid w:val="00E20DEB"/>
    <w:rsid w:val="00E2172D"/>
    <w:rsid w:val="00E22A70"/>
    <w:rsid w:val="00E25C97"/>
    <w:rsid w:val="00E26125"/>
    <w:rsid w:val="00E2746F"/>
    <w:rsid w:val="00E27CBD"/>
    <w:rsid w:val="00E315CD"/>
    <w:rsid w:val="00E31841"/>
    <w:rsid w:val="00E324CC"/>
    <w:rsid w:val="00E32C8B"/>
    <w:rsid w:val="00E3370D"/>
    <w:rsid w:val="00E348DC"/>
    <w:rsid w:val="00E3498B"/>
    <w:rsid w:val="00E35B23"/>
    <w:rsid w:val="00E3710B"/>
    <w:rsid w:val="00E37E0F"/>
    <w:rsid w:val="00E427FA"/>
    <w:rsid w:val="00E43041"/>
    <w:rsid w:val="00E43B9C"/>
    <w:rsid w:val="00E44D52"/>
    <w:rsid w:val="00E45465"/>
    <w:rsid w:val="00E45747"/>
    <w:rsid w:val="00E50413"/>
    <w:rsid w:val="00E550A9"/>
    <w:rsid w:val="00E5609A"/>
    <w:rsid w:val="00E5697D"/>
    <w:rsid w:val="00E60402"/>
    <w:rsid w:val="00E60BF4"/>
    <w:rsid w:val="00E629A9"/>
    <w:rsid w:val="00E631DC"/>
    <w:rsid w:val="00E658C4"/>
    <w:rsid w:val="00E658D2"/>
    <w:rsid w:val="00E67637"/>
    <w:rsid w:val="00E70AD9"/>
    <w:rsid w:val="00E70C8E"/>
    <w:rsid w:val="00E72F89"/>
    <w:rsid w:val="00E757BC"/>
    <w:rsid w:val="00E75CB8"/>
    <w:rsid w:val="00E77E33"/>
    <w:rsid w:val="00E828AA"/>
    <w:rsid w:val="00E828AE"/>
    <w:rsid w:val="00E8564E"/>
    <w:rsid w:val="00E85DC2"/>
    <w:rsid w:val="00E869A9"/>
    <w:rsid w:val="00E86FD8"/>
    <w:rsid w:val="00E87CD3"/>
    <w:rsid w:val="00E91421"/>
    <w:rsid w:val="00E931F4"/>
    <w:rsid w:val="00E9345F"/>
    <w:rsid w:val="00E93502"/>
    <w:rsid w:val="00E9525D"/>
    <w:rsid w:val="00E95293"/>
    <w:rsid w:val="00E95496"/>
    <w:rsid w:val="00E95E0C"/>
    <w:rsid w:val="00E960D8"/>
    <w:rsid w:val="00E96A22"/>
    <w:rsid w:val="00EA1B9C"/>
    <w:rsid w:val="00EA1BA9"/>
    <w:rsid w:val="00EA22D5"/>
    <w:rsid w:val="00EA24FF"/>
    <w:rsid w:val="00EA469F"/>
    <w:rsid w:val="00EA6102"/>
    <w:rsid w:val="00EA72CD"/>
    <w:rsid w:val="00EA7854"/>
    <w:rsid w:val="00EB120F"/>
    <w:rsid w:val="00EB2083"/>
    <w:rsid w:val="00EB2417"/>
    <w:rsid w:val="00EB3D1B"/>
    <w:rsid w:val="00EB46EC"/>
    <w:rsid w:val="00EB559B"/>
    <w:rsid w:val="00EB66D0"/>
    <w:rsid w:val="00EB672E"/>
    <w:rsid w:val="00EB6E61"/>
    <w:rsid w:val="00EC01CA"/>
    <w:rsid w:val="00EC04C6"/>
    <w:rsid w:val="00EC258A"/>
    <w:rsid w:val="00EC332A"/>
    <w:rsid w:val="00EC34D3"/>
    <w:rsid w:val="00EC49CE"/>
    <w:rsid w:val="00EC4E3D"/>
    <w:rsid w:val="00EC4EC5"/>
    <w:rsid w:val="00EC4F95"/>
    <w:rsid w:val="00EC574B"/>
    <w:rsid w:val="00EC5F87"/>
    <w:rsid w:val="00EC67B9"/>
    <w:rsid w:val="00EC75FD"/>
    <w:rsid w:val="00ED0092"/>
    <w:rsid w:val="00ED0FB2"/>
    <w:rsid w:val="00ED1B8A"/>
    <w:rsid w:val="00ED2A43"/>
    <w:rsid w:val="00ED5B1C"/>
    <w:rsid w:val="00EE0904"/>
    <w:rsid w:val="00EE1C47"/>
    <w:rsid w:val="00EE1F33"/>
    <w:rsid w:val="00EE2AB7"/>
    <w:rsid w:val="00EF0378"/>
    <w:rsid w:val="00EF0C80"/>
    <w:rsid w:val="00EF1244"/>
    <w:rsid w:val="00EF20F4"/>
    <w:rsid w:val="00EF2B10"/>
    <w:rsid w:val="00EF31FE"/>
    <w:rsid w:val="00EF3526"/>
    <w:rsid w:val="00EF560C"/>
    <w:rsid w:val="00EF5CCE"/>
    <w:rsid w:val="00EF5D25"/>
    <w:rsid w:val="00EF5EA7"/>
    <w:rsid w:val="00EF7A41"/>
    <w:rsid w:val="00F00F75"/>
    <w:rsid w:val="00F03150"/>
    <w:rsid w:val="00F031F1"/>
    <w:rsid w:val="00F0340B"/>
    <w:rsid w:val="00F03ACC"/>
    <w:rsid w:val="00F040CA"/>
    <w:rsid w:val="00F04C55"/>
    <w:rsid w:val="00F067B8"/>
    <w:rsid w:val="00F06D11"/>
    <w:rsid w:val="00F06EA4"/>
    <w:rsid w:val="00F1095D"/>
    <w:rsid w:val="00F10D19"/>
    <w:rsid w:val="00F1196E"/>
    <w:rsid w:val="00F1366A"/>
    <w:rsid w:val="00F13F6F"/>
    <w:rsid w:val="00F1536C"/>
    <w:rsid w:val="00F1748B"/>
    <w:rsid w:val="00F20030"/>
    <w:rsid w:val="00F20280"/>
    <w:rsid w:val="00F21D99"/>
    <w:rsid w:val="00F238D9"/>
    <w:rsid w:val="00F23AF4"/>
    <w:rsid w:val="00F25775"/>
    <w:rsid w:val="00F26A7E"/>
    <w:rsid w:val="00F273D5"/>
    <w:rsid w:val="00F27614"/>
    <w:rsid w:val="00F27802"/>
    <w:rsid w:val="00F31A3A"/>
    <w:rsid w:val="00F32608"/>
    <w:rsid w:val="00F32D53"/>
    <w:rsid w:val="00F3475D"/>
    <w:rsid w:val="00F348C4"/>
    <w:rsid w:val="00F34A2D"/>
    <w:rsid w:val="00F34A6D"/>
    <w:rsid w:val="00F35F38"/>
    <w:rsid w:val="00F36268"/>
    <w:rsid w:val="00F36984"/>
    <w:rsid w:val="00F41533"/>
    <w:rsid w:val="00F4306E"/>
    <w:rsid w:val="00F4308A"/>
    <w:rsid w:val="00F44ECD"/>
    <w:rsid w:val="00F4523C"/>
    <w:rsid w:val="00F46EC9"/>
    <w:rsid w:val="00F4710E"/>
    <w:rsid w:val="00F54038"/>
    <w:rsid w:val="00F548B7"/>
    <w:rsid w:val="00F55CBE"/>
    <w:rsid w:val="00F56D6A"/>
    <w:rsid w:val="00F5735D"/>
    <w:rsid w:val="00F57538"/>
    <w:rsid w:val="00F60036"/>
    <w:rsid w:val="00F600DC"/>
    <w:rsid w:val="00F60DDF"/>
    <w:rsid w:val="00F60DFF"/>
    <w:rsid w:val="00F6104D"/>
    <w:rsid w:val="00F62AF7"/>
    <w:rsid w:val="00F631CD"/>
    <w:rsid w:val="00F65653"/>
    <w:rsid w:val="00F6719D"/>
    <w:rsid w:val="00F67EB4"/>
    <w:rsid w:val="00F703D6"/>
    <w:rsid w:val="00F71EEE"/>
    <w:rsid w:val="00F7266C"/>
    <w:rsid w:val="00F72DB1"/>
    <w:rsid w:val="00F74619"/>
    <w:rsid w:val="00F74A6B"/>
    <w:rsid w:val="00F75945"/>
    <w:rsid w:val="00F75A1C"/>
    <w:rsid w:val="00F76090"/>
    <w:rsid w:val="00F765E6"/>
    <w:rsid w:val="00F76B69"/>
    <w:rsid w:val="00F806D3"/>
    <w:rsid w:val="00F8158B"/>
    <w:rsid w:val="00F82C22"/>
    <w:rsid w:val="00F8539C"/>
    <w:rsid w:val="00F85A11"/>
    <w:rsid w:val="00F8620B"/>
    <w:rsid w:val="00F868BF"/>
    <w:rsid w:val="00F9070C"/>
    <w:rsid w:val="00F909AC"/>
    <w:rsid w:val="00F90B31"/>
    <w:rsid w:val="00F90D0A"/>
    <w:rsid w:val="00F921AC"/>
    <w:rsid w:val="00F92CBA"/>
    <w:rsid w:val="00F94A32"/>
    <w:rsid w:val="00F95BE6"/>
    <w:rsid w:val="00F962B4"/>
    <w:rsid w:val="00F976AD"/>
    <w:rsid w:val="00F9776B"/>
    <w:rsid w:val="00F97D22"/>
    <w:rsid w:val="00FA180C"/>
    <w:rsid w:val="00FA2A13"/>
    <w:rsid w:val="00FA35BF"/>
    <w:rsid w:val="00FA3DF7"/>
    <w:rsid w:val="00FA658D"/>
    <w:rsid w:val="00FA7270"/>
    <w:rsid w:val="00FA7E73"/>
    <w:rsid w:val="00FB1363"/>
    <w:rsid w:val="00FB1DB5"/>
    <w:rsid w:val="00FB27FF"/>
    <w:rsid w:val="00FB2993"/>
    <w:rsid w:val="00FB2AAE"/>
    <w:rsid w:val="00FB3D6F"/>
    <w:rsid w:val="00FB43A0"/>
    <w:rsid w:val="00FB4C87"/>
    <w:rsid w:val="00FB5051"/>
    <w:rsid w:val="00FB5342"/>
    <w:rsid w:val="00FB537C"/>
    <w:rsid w:val="00FB54F9"/>
    <w:rsid w:val="00FB5E22"/>
    <w:rsid w:val="00FC0011"/>
    <w:rsid w:val="00FC0C76"/>
    <w:rsid w:val="00FC1B05"/>
    <w:rsid w:val="00FC20AE"/>
    <w:rsid w:val="00FC2BB2"/>
    <w:rsid w:val="00FC655A"/>
    <w:rsid w:val="00FC79AF"/>
    <w:rsid w:val="00FC7EBB"/>
    <w:rsid w:val="00FD3266"/>
    <w:rsid w:val="00FD4E8C"/>
    <w:rsid w:val="00FD597D"/>
    <w:rsid w:val="00FD5BAD"/>
    <w:rsid w:val="00FD5CDB"/>
    <w:rsid w:val="00FD6725"/>
    <w:rsid w:val="00FD6FEC"/>
    <w:rsid w:val="00FD7F61"/>
    <w:rsid w:val="00FE114F"/>
    <w:rsid w:val="00FE1253"/>
    <w:rsid w:val="00FE268B"/>
    <w:rsid w:val="00FE5DAF"/>
    <w:rsid w:val="00FE6346"/>
    <w:rsid w:val="00FE784B"/>
    <w:rsid w:val="00FE7EFD"/>
    <w:rsid w:val="00FF0016"/>
    <w:rsid w:val="00FF038B"/>
    <w:rsid w:val="00FF045B"/>
    <w:rsid w:val="00FF4357"/>
    <w:rsid w:val="00FF46BF"/>
    <w:rsid w:val="00FF5139"/>
    <w:rsid w:val="00FF79BF"/>
    <w:rsid w:val="02E3B83D"/>
    <w:rsid w:val="05314A9F"/>
    <w:rsid w:val="07CA3202"/>
    <w:rsid w:val="09539B1D"/>
    <w:rsid w:val="0DBC5DA3"/>
    <w:rsid w:val="14A1861D"/>
    <w:rsid w:val="21FDD20B"/>
    <w:rsid w:val="25A29E65"/>
    <w:rsid w:val="28FD9986"/>
    <w:rsid w:val="2CC64CC8"/>
    <w:rsid w:val="2E146EC2"/>
    <w:rsid w:val="2E840DA6"/>
    <w:rsid w:val="37ED81FF"/>
    <w:rsid w:val="385CBC54"/>
    <w:rsid w:val="3EFA3BDF"/>
    <w:rsid w:val="469EEE0F"/>
    <w:rsid w:val="46A79B1E"/>
    <w:rsid w:val="46C2EF0C"/>
    <w:rsid w:val="4776F878"/>
    <w:rsid w:val="4EF1951E"/>
    <w:rsid w:val="4F19A3FB"/>
    <w:rsid w:val="50242499"/>
    <w:rsid w:val="53EB84C9"/>
    <w:rsid w:val="545ABE6F"/>
    <w:rsid w:val="569C185A"/>
    <w:rsid w:val="5B5DAF36"/>
    <w:rsid w:val="5EF981C3"/>
    <w:rsid w:val="612E447D"/>
    <w:rsid w:val="7035F0E0"/>
    <w:rsid w:val="7050C311"/>
    <w:rsid w:val="7377B68A"/>
    <w:rsid w:val="783D9634"/>
    <w:rsid w:val="79D6FB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6CCA6"/>
  <w15:chartTrackingRefBased/>
  <w15:docId w15:val="{0B8FEDE3-3043-401A-A150-84686D9D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B45"/>
    <w:pPr>
      <w:spacing w:after="0" w:line="240" w:lineRule="auto"/>
    </w:pPr>
    <w:rPr>
      <w:rFonts w:ascii="Times New Roman" w:eastAsia="Times New Roman" w:hAnsi="Times New Roman" w:cs="Times New Roman"/>
      <w:kern w:val="0"/>
      <w:sz w:val="24"/>
      <w:szCs w:val="24"/>
      <w:lang w:val="en-ID"/>
      <w14:ligatures w14:val="none"/>
    </w:rPr>
  </w:style>
  <w:style w:type="paragraph" w:styleId="Heading1">
    <w:name w:val="heading 1"/>
    <w:basedOn w:val="Normal"/>
    <w:next w:val="BodyText"/>
    <w:link w:val="Heading1Char"/>
    <w:uiPriority w:val="9"/>
    <w:qFormat/>
    <w:rsid w:val="004F052F"/>
    <w:pPr>
      <w:keepNext/>
      <w:keepLines/>
      <w:spacing w:after="80"/>
      <w:outlineLvl w:val="0"/>
    </w:pPr>
    <w:rPr>
      <w:rFonts w:ascii="Calibri" w:eastAsiaTheme="majorEastAsia" w:hAnsi="Calibri" w:cstheme="majorBidi"/>
      <w:b/>
      <w:color w:val="156082" w:themeColor="accent1"/>
      <w:sz w:val="32"/>
      <w:szCs w:val="32"/>
      <w:lang w:val="en-US"/>
    </w:rPr>
  </w:style>
  <w:style w:type="paragraph" w:styleId="Heading2">
    <w:name w:val="heading 2"/>
    <w:basedOn w:val="Normal"/>
    <w:next w:val="BodyText2"/>
    <w:link w:val="Heading2Char"/>
    <w:uiPriority w:val="9"/>
    <w:unhideWhenUsed/>
    <w:qFormat/>
    <w:rsid w:val="00EB120F"/>
    <w:pPr>
      <w:keepNext/>
      <w:keepLines/>
      <w:spacing w:before="160" w:after="80"/>
      <w:outlineLvl w:val="1"/>
    </w:pPr>
    <w:rPr>
      <w:rFonts w:ascii="Calibri" w:eastAsiaTheme="majorEastAsia" w:hAnsi="Calibri"/>
      <w:b/>
      <w:i/>
      <w:color w:val="156082" w:themeColor="accent1"/>
      <w:sz w:val="28"/>
      <w:szCs w:val="28"/>
    </w:rPr>
  </w:style>
  <w:style w:type="paragraph" w:styleId="Heading3">
    <w:name w:val="heading 3"/>
    <w:basedOn w:val="Normal"/>
    <w:next w:val="BodyText"/>
    <w:link w:val="Heading3Char"/>
    <w:uiPriority w:val="9"/>
    <w:unhideWhenUsed/>
    <w:qFormat/>
    <w:rsid w:val="00EB120F"/>
    <w:pPr>
      <w:keepNext/>
      <w:keepLines/>
      <w:spacing w:before="160" w:after="80"/>
      <w:outlineLvl w:val="2"/>
    </w:pPr>
    <w:rPr>
      <w:rFonts w:ascii="Calibri Light" w:eastAsiaTheme="majorEastAsia" w:hAnsi="Calibri Light"/>
      <w:b/>
      <w:bCs/>
      <w:i/>
      <w:color w:val="000000" w:themeColor="text1"/>
    </w:rPr>
  </w:style>
  <w:style w:type="paragraph" w:styleId="Heading4">
    <w:name w:val="heading 4"/>
    <w:basedOn w:val="Normal"/>
    <w:next w:val="Normal"/>
    <w:link w:val="Heading4Char"/>
    <w:uiPriority w:val="9"/>
    <w:unhideWhenUsed/>
    <w:qFormat/>
    <w:rsid w:val="008A10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0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0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0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0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0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52F"/>
    <w:rPr>
      <w:rFonts w:ascii="Calibri" w:eastAsiaTheme="majorEastAsia" w:hAnsi="Calibri" w:cstheme="majorBidi"/>
      <w:b/>
      <w:color w:val="156082" w:themeColor="accent1"/>
      <w:kern w:val="0"/>
      <w:sz w:val="32"/>
      <w:szCs w:val="32"/>
      <w:lang w:val="en-US"/>
      <w14:ligatures w14:val="none"/>
    </w:rPr>
  </w:style>
  <w:style w:type="character" w:customStyle="1" w:styleId="Heading2Char">
    <w:name w:val="Heading 2 Char"/>
    <w:basedOn w:val="DefaultParagraphFont"/>
    <w:link w:val="Heading2"/>
    <w:uiPriority w:val="9"/>
    <w:rsid w:val="00EB120F"/>
    <w:rPr>
      <w:rFonts w:ascii="Calibri" w:eastAsiaTheme="majorEastAsia" w:hAnsi="Calibri" w:cs="Times New Roman"/>
      <w:b/>
      <w:i/>
      <w:color w:val="156082" w:themeColor="accent1"/>
      <w:kern w:val="0"/>
      <w:sz w:val="28"/>
      <w:szCs w:val="28"/>
      <w:lang w:val="en-ID"/>
      <w14:ligatures w14:val="none"/>
    </w:rPr>
  </w:style>
  <w:style w:type="character" w:customStyle="1" w:styleId="Heading3Char">
    <w:name w:val="Heading 3 Char"/>
    <w:basedOn w:val="DefaultParagraphFont"/>
    <w:link w:val="Heading3"/>
    <w:uiPriority w:val="9"/>
    <w:rsid w:val="00EB120F"/>
    <w:rPr>
      <w:rFonts w:ascii="Calibri Light" w:eastAsiaTheme="majorEastAsia" w:hAnsi="Calibri Light" w:cs="Times New Roman"/>
      <w:b/>
      <w:bCs/>
      <w:i/>
      <w:color w:val="000000" w:themeColor="text1"/>
      <w:kern w:val="0"/>
      <w:sz w:val="24"/>
      <w:szCs w:val="24"/>
      <w:lang w:val="en-ID"/>
      <w14:ligatures w14:val="none"/>
    </w:rPr>
  </w:style>
  <w:style w:type="character" w:customStyle="1" w:styleId="Heading4Char">
    <w:name w:val="Heading 4 Char"/>
    <w:basedOn w:val="DefaultParagraphFont"/>
    <w:link w:val="Heading4"/>
    <w:uiPriority w:val="9"/>
    <w:rsid w:val="008A10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0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0FA"/>
    <w:rPr>
      <w:rFonts w:eastAsiaTheme="majorEastAsia" w:cstheme="majorBidi"/>
      <w:color w:val="272727" w:themeColor="text1" w:themeTint="D8"/>
    </w:rPr>
  </w:style>
  <w:style w:type="paragraph" w:styleId="Title">
    <w:name w:val="Title"/>
    <w:basedOn w:val="Normal"/>
    <w:next w:val="Normal"/>
    <w:link w:val="TitleChar"/>
    <w:uiPriority w:val="10"/>
    <w:qFormat/>
    <w:rsid w:val="008A10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0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0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0FA"/>
    <w:pPr>
      <w:spacing w:before="160"/>
      <w:jc w:val="center"/>
    </w:pPr>
    <w:rPr>
      <w:i/>
      <w:iCs/>
      <w:color w:val="404040" w:themeColor="text1" w:themeTint="BF"/>
    </w:rPr>
  </w:style>
  <w:style w:type="character" w:customStyle="1" w:styleId="QuoteChar">
    <w:name w:val="Quote Char"/>
    <w:basedOn w:val="DefaultParagraphFont"/>
    <w:link w:val="Quote"/>
    <w:uiPriority w:val="29"/>
    <w:rsid w:val="008A10FA"/>
    <w:rPr>
      <w:i/>
      <w:iCs/>
      <w:color w:val="404040" w:themeColor="text1" w:themeTint="BF"/>
    </w:rPr>
  </w:style>
  <w:style w:type="paragraph" w:styleId="ListParagraph">
    <w:name w:val="List Paragraph"/>
    <w:aliases w:val="Bullet list,IFCL - List Paragraph,NUMBERED PARAGRAPH,List Paragraph 1,References,ReferencesCxSpLast,lp1,List Paragraph (numbered (a)),Use Case List Paragraph,Heading 41,Resume Title,Citation List,Indent Paragraph,heading 4,List Paragraph1"/>
    <w:basedOn w:val="Normal"/>
    <w:link w:val="ListParagraphChar"/>
    <w:uiPriority w:val="34"/>
    <w:qFormat/>
    <w:rsid w:val="008A10FA"/>
    <w:pPr>
      <w:ind w:left="720"/>
      <w:contextualSpacing/>
    </w:pPr>
  </w:style>
  <w:style w:type="paragraph" w:styleId="TableofFigures">
    <w:name w:val="table of figures"/>
    <w:basedOn w:val="Normal"/>
    <w:next w:val="Normal"/>
    <w:uiPriority w:val="99"/>
    <w:unhideWhenUsed/>
    <w:rsid w:val="00AF0EA5"/>
    <w:pPr>
      <w:tabs>
        <w:tab w:val="right" w:leader="dot" w:pos="9016"/>
      </w:tabs>
    </w:pPr>
    <w:rPr>
      <w:b/>
      <w:bCs/>
      <w:noProof/>
    </w:rPr>
  </w:style>
  <w:style w:type="paragraph" w:styleId="IntenseQuote">
    <w:name w:val="Intense Quote"/>
    <w:basedOn w:val="Normal"/>
    <w:next w:val="Normal"/>
    <w:link w:val="IntenseQuoteChar"/>
    <w:uiPriority w:val="30"/>
    <w:qFormat/>
    <w:rsid w:val="008A10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0FA"/>
    <w:rPr>
      <w:i/>
      <w:iCs/>
      <w:color w:val="0F4761" w:themeColor="accent1" w:themeShade="BF"/>
    </w:rPr>
  </w:style>
  <w:style w:type="character" w:styleId="IntenseReference">
    <w:name w:val="Intense Reference"/>
    <w:basedOn w:val="DefaultParagraphFont"/>
    <w:uiPriority w:val="32"/>
    <w:qFormat/>
    <w:rsid w:val="008A10FA"/>
    <w:rPr>
      <w:b/>
      <w:bCs/>
      <w:smallCaps/>
      <w:color w:val="0F4761" w:themeColor="accent1" w:themeShade="BF"/>
      <w:spacing w:val="5"/>
    </w:rPr>
  </w:style>
  <w:style w:type="paragraph" w:styleId="Header">
    <w:name w:val="header"/>
    <w:basedOn w:val="Normal"/>
    <w:link w:val="HeaderChar"/>
    <w:uiPriority w:val="99"/>
    <w:unhideWhenUsed/>
    <w:rsid w:val="008A10FA"/>
    <w:pPr>
      <w:tabs>
        <w:tab w:val="center" w:pos="4513"/>
        <w:tab w:val="right" w:pos="9026"/>
      </w:tabs>
    </w:pPr>
  </w:style>
  <w:style w:type="character" w:customStyle="1" w:styleId="HeaderChar">
    <w:name w:val="Header Char"/>
    <w:basedOn w:val="DefaultParagraphFont"/>
    <w:link w:val="Header"/>
    <w:uiPriority w:val="99"/>
    <w:rsid w:val="008A10FA"/>
  </w:style>
  <w:style w:type="paragraph" w:styleId="Footer">
    <w:name w:val="footer"/>
    <w:basedOn w:val="Normal"/>
    <w:link w:val="FooterChar"/>
    <w:uiPriority w:val="99"/>
    <w:unhideWhenUsed/>
    <w:rsid w:val="008A10FA"/>
    <w:pPr>
      <w:tabs>
        <w:tab w:val="center" w:pos="4513"/>
        <w:tab w:val="right" w:pos="9026"/>
      </w:tabs>
    </w:pPr>
    <w:rPr>
      <w:sz w:val="16"/>
      <w:szCs w:val="16"/>
    </w:rPr>
  </w:style>
  <w:style w:type="character" w:customStyle="1" w:styleId="FooterChar">
    <w:name w:val="Footer Char"/>
    <w:basedOn w:val="DefaultParagraphFont"/>
    <w:link w:val="Footer"/>
    <w:uiPriority w:val="99"/>
    <w:rsid w:val="008A10FA"/>
    <w:rPr>
      <w:rFonts w:ascii="Arial" w:hAnsi="Arial" w:cs="Arial"/>
      <w:sz w:val="16"/>
      <w:szCs w:val="16"/>
    </w:rPr>
  </w:style>
  <w:style w:type="character" w:styleId="PlaceholderText">
    <w:name w:val="Placeholder Text"/>
    <w:basedOn w:val="DefaultParagraphFont"/>
    <w:uiPriority w:val="99"/>
    <w:semiHidden/>
    <w:rsid w:val="008A10FA"/>
    <w:rPr>
      <w:color w:val="666666"/>
    </w:rPr>
  </w:style>
  <w:style w:type="paragraph" w:styleId="TOCHeading">
    <w:name w:val="TOC Heading"/>
    <w:next w:val="Normal"/>
    <w:uiPriority w:val="39"/>
    <w:qFormat/>
    <w:rsid w:val="005B0891"/>
    <w:pPr>
      <w:spacing w:before="240"/>
    </w:pPr>
    <w:rPr>
      <w:rFonts w:ascii="Arial" w:eastAsiaTheme="majorEastAsia" w:hAnsi="Arial" w:cs="Arial"/>
      <w:color w:val="FF4243"/>
      <w:sz w:val="32"/>
      <w:szCs w:val="32"/>
      <w:lang w:val="en-US"/>
    </w:rPr>
  </w:style>
  <w:style w:type="character" w:styleId="Hyperlink">
    <w:name w:val="Hyperlink"/>
    <w:basedOn w:val="DefaultParagraphFont"/>
    <w:uiPriority w:val="99"/>
    <w:unhideWhenUsed/>
    <w:rsid w:val="006B0828"/>
    <w:rPr>
      <w:color w:val="F16969"/>
      <w:u w:val="single"/>
    </w:rPr>
  </w:style>
  <w:style w:type="character" w:styleId="UnresolvedMention">
    <w:name w:val="Unresolved Mention"/>
    <w:basedOn w:val="DefaultParagraphFont"/>
    <w:uiPriority w:val="99"/>
    <w:semiHidden/>
    <w:unhideWhenUsed/>
    <w:rsid w:val="006B0828"/>
    <w:rPr>
      <w:color w:val="605E5C"/>
      <w:shd w:val="clear" w:color="auto" w:fill="E1DFDD"/>
    </w:rPr>
  </w:style>
  <w:style w:type="table" w:styleId="TableGrid">
    <w:name w:val="Table Grid"/>
    <w:basedOn w:val="TableNormal"/>
    <w:uiPriority w:val="39"/>
    <w:rsid w:val="0083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005C8"/>
    <w:rPr>
      <w:b/>
      <w:bCs/>
      <w:sz w:val="16"/>
      <w:szCs w:val="16"/>
      <w:lang w:val="en-US"/>
    </w:rPr>
  </w:style>
  <w:style w:type="paragraph" w:customStyle="1" w:styleId="TableText">
    <w:name w:val="Table Text"/>
    <w:basedOn w:val="Normal"/>
    <w:uiPriority w:val="9"/>
    <w:qFormat/>
    <w:rsid w:val="00831F16"/>
    <w:rPr>
      <w:sz w:val="16"/>
      <w:szCs w:val="16"/>
      <w:lang w:val="en-US"/>
    </w:rPr>
  </w:style>
  <w:style w:type="character" w:styleId="FollowedHyperlink">
    <w:name w:val="FollowedHyperlink"/>
    <w:basedOn w:val="DefaultParagraphFont"/>
    <w:uiPriority w:val="99"/>
    <w:semiHidden/>
    <w:unhideWhenUsed/>
    <w:rsid w:val="00831F16"/>
    <w:rPr>
      <w:color w:val="96607D" w:themeColor="followedHyperlink"/>
      <w:u w:val="single"/>
    </w:rPr>
  </w:style>
  <w:style w:type="paragraph" w:styleId="TOC1">
    <w:name w:val="toc 1"/>
    <w:basedOn w:val="Normal"/>
    <w:next w:val="Normal"/>
    <w:autoRedefine/>
    <w:uiPriority w:val="39"/>
    <w:unhideWhenUsed/>
    <w:rsid w:val="00165254"/>
    <w:pPr>
      <w:tabs>
        <w:tab w:val="right" w:leader="dot" w:pos="9016"/>
      </w:tabs>
      <w:spacing w:before="240" w:after="120"/>
    </w:pPr>
    <w:rPr>
      <w:rFonts w:ascii="Calibri" w:hAnsi="Calibri" w:cs="Calibri"/>
      <w:b/>
      <w:bCs/>
      <w:noProof/>
      <w:szCs w:val="20"/>
    </w:rPr>
  </w:style>
  <w:style w:type="paragraph" w:styleId="TOC2">
    <w:name w:val="toc 2"/>
    <w:basedOn w:val="Normal"/>
    <w:next w:val="Normal"/>
    <w:autoRedefine/>
    <w:uiPriority w:val="39"/>
    <w:unhideWhenUsed/>
    <w:rsid w:val="00B7687D"/>
    <w:pPr>
      <w:tabs>
        <w:tab w:val="right" w:leader="dot" w:pos="9016"/>
      </w:tabs>
      <w:spacing w:after="120"/>
      <w:ind w:left="142"/>
    </w:pPr>
    <w:rPr>
      <w:rFonts w:ascii="Calibri" w:hAnsi="Calibri"/>
      <w:noProof/>
    </w:rPr>
  </w:style>
  <w:style w:type="paragraph" w:styleId="TOC3">
    <w:name w:val="toc 3"/>
    <w:basedOn w:val="Normal"/>
    <w:next w:val="Normal"/>
    <w:autoRedefine/>
    <w:uiPriority w:val="39"/>
    <w:unhideWhenUsed/>
    <w:rsid w:val="005B0891"/>
    <w:pPr>
      <w:ind w:left="400"/>
    </w:pPr>
    <w:rPr>
      <w:rFonts w:asciiTheme="minorHAnsi" w:hAnsiTheme="minorHAnsi"/>
    </w:rPr>
  </w:style>
  <w:style w:type="paragraph" w:styleId="TOC4">
    <w:name w:val="toc 4"/>
    <w:basedOn w:val="Normal"/>
    <w:next w:val="Normal"/>
    <w:autoRedefine/>
    <w:uiPriority w:val="39"/>
    <w:unhideWhenUsed/>
    <w:rsid w:val="005B0891"/>
    <w:pPr>
      <w:ind w:left="600"/>
    </w:pPr>
    <w:rPr>
      <w:rFonts w:asciiTheme="minorHAnsi" w:hAnsiTheme="minorHAnsi"/>
    </w:rPr>
  </w:style>
  <w:style w:type="paragraph" w:styleId="TOC5">
    <w:name w:val="toc 5"/>
    <w:basedOn w:val="Normal"/>
    <w:next w:val="Normal"/>
    <w:autoRedefine/>
    <w:uiPriority w:val="39"/>
    <w:unhideWhenUsed/>
    <w:rsid w:val="005B0891"/>
    <w:pPr>
      <w:ind w:left="800"/>
    </w:pPr>
    <w:rPr>
      <w:rFonts w:asciiTheme="minorHAnsi" w:hAnsiTheme="minorHAnsi"/>
    </w:rPr>
  </w:style>
  <w:style w:type="paragraph" w:styleId="TOC6">
    <w:name w:val="toc 6"/>
    <w:basedOn w:val="Normal"/>
    <w:next w:val="Normal"/>
    <w:autoRedefine/>
    <w:uiPriority w:val="39"/>
    <w:unhideWhenUsed/>
    <w:rsid w:val="005B0891"/>
    <w:pPr>
      <w:ind w:left="1000"/>
    </w:pPr>
    <w:rPr>
      <w:rFonts w:asciiTheme="minorHAnsi" w:hAnsiTheme="minorHAnsi"/>
    </w:rPr>
  </w:style>
  <w:style w:type="paragraph" w:styleId="TOC7">
    <w:name w:val="toc 7"/>
    <w:basedOn w:val="Normal"/>
    <w:next w:val="Normal"/>
    <w:autoRedefine/>
    <w:uiPriority w:val="39"/>
    <w:unhideWhenUsed/>
    <w:rsid w:val="005B0891"/>
    <w:pPr>
      <w:ind w:left="1200"/>
    </w:pPr>
    <w:rPr>
      <w:rFonts w:asciiTheme="minorHAnsi" w:hAnsiTheme="minorHAnsi"/>
    </w:rPr>
  </w:style>
  <w:style w:type="paragraph" w:styleId="TOC8">
    <w:name w:val="toc 8"/>
    <w:basedOn w:val="Normal"/>
    <w:next w:val="Normal"/>
    <w:autoRedefine/>
    <w:uiPriority w:val="39"/>
    <w:unhideWhenUsed/>
    <w:rsid w:val="005B0891"/>
    <w:pPr>
      <w:ind w:left="1400"/>
    </w:pPr>
    <w:rPr>
      <w:rFonts w:asciiTheme="minorHAnsi" w:hAnsiTheme="minorHAnsi"/>
    </w:rPr>
  </w:style>
  <w:style w:type="paragraph" w:styleId="TOC9">
    <w:name w:val="toc 9"/>
    <w:basedOn w:val="Normal"/>
    <w:next w:val="Normal"/>
    <w:autoRedefine/>
    <w:uiPriority w:val="39"/>
    <w:unhideWhenUsed/>
    <w:rsid w:val="005B0891"/>
    <w:pPr>
      <w:ind w:left="1600"/>
    </w:pPr>
    <w:rPr>
      <w:rFonts w:asciiTheme="minorHAnsi" w:hAnsiTheme="minorHAnsi"/>
    </w:rPr>
  </w:style>
  <w:style w:type="paragraph" w:styleId="BodyText">
    <w:name w:val="Body Text"/>
    <w:basedOn w:val="Normal"/>
    <w:link w:val="BodyTextChar"/>
    <w:qFormat/>
    <w:rsid w:val="003A36D6"/>
    <w:pPr>
      <w:spacing w:after="120"/>
    </w:pPr>
    <w:rPr>
      <w:rFonts w:ascii="Calibri" w:hAnsi="Calibri"/>
      <w:sz w:val="22"/>
    </w:rPr>
  </w:style>
  <w:style w:type="character" w:customStyle="1" w:styleId="BodyTextChar">
    <w:name w:val="Body Text Char"/>
    <w:basedOn w:val="DefaultParagraphFont"/>
    <w:link w:val="BodyText"/>
    <w:rsid w:val="003A36D6"/>
    <w:rPr>
      <w:rFonts w:ascii="Calibri" w:eastAsia="Times New Roman" w:hAnsi="Calibri" w:cs="Times New Roman"/>
      <w:kern w:val="0"/>
      <w:szCs w:val="24"/>
      <w:lang w:val="en-ID"/>
      <w14:ligatures w14:val="none"/>
    </w:rPr>
  </w:style>
  <w:style w:type="paragraph" w:styleId="ListBullet">
    <w:name w:val="List Bullet"/>
    <w:basedOn w:val="Normal"/>
    <w:uiPriority w:val="99"/>
    <w:rsid w:val="00251454"/>
    <w:pPr>
      <w:numPr>
        <w:numId w:val="1"/>
      </w:numPr>
      <w:contextualSpacing/>
    </w:pPr>
    <w:rPr>
      <w:lang w:val="en-US"/>
    </w:rPr>
  </w:style>
  <w:style w:type="paragraph" w:styleId="ListBullet2">
    <w:name w:val="List Bullet 2"/>
    <w:basedOn w:val="Normal"/>
    <w:uiPriority w:val="99"/>
    <w:rsid w:val="00251454"/>
    <w:pPr>
      <w:numPr>
        <w:numId w:val="2"/>
      </w:numPr>
      <w:contextualSpacing/>
    </w:pPr>
  </w:style>
  <w:style w:type="paragraph" w:styleId="BodyText2">
    <w:name w:val="Body Text 2"/>
    <w:basedOn w:val="Normal"/>
    <w:link w:val="BodyText2Char"/>
    <w:uiPriority w:val="99"/>
    <w:semiHidden/>
    <w:unhideWhenUsed/>
    <w:rsid w:val="00251454"/>
    <w:pPr>
      <w:spacing w:after="120" w:line="480" w:lineRule="auto"/>
    </w:pPr>
  </w:style>
  <w:style w:type="character" w:customStyle="1" w:styleId="BodyText2Char">
    <w:name w:val="Body Text 2 Char"/>
    <w:basedOn w:val="DefaultParagraphFont"/>
    <w:link w:val="BodyText2"/>
    <w:uiPriority w:val="99"/>
    <w:semiHidden/>
    <w:rsid w:val="00251454"/>
    <w:rPr>
      <w:rFonts w:ascii="Arial" w:hAnsi="Arial" w:cs="Arial"/>
      <w:sz w:val="20"/>
      <w:szCs w:val="20"/>
    </w:rPr>
  </w:style>
  <w:style w:type="paragraph" w:customStyle="1" w:styleId="Crossheading">
    <w:name w:val="Crossheading"/>
    <w:basedOn w:val="BodyText"/>
    <w:qFormat/>
    <w:rsid w:val="00BB2D3F"/>
    <w:rPr>
      <w:b/>
      <w:bCs/>
      <w:color w:val="808080" w:themeColor="background1" w:themeShade="80"/>
    </w:rPr>
  </w:style>
  <w:style w:type="paragraph" w:styleId="Caption">
    <w:name w:val="caption"/>
    <w:basedOn w:val="Normal"/>
    <w:next w:val="Normal"/>
    <w:uiPriority w:val="8"/>
    <w:qFormat/>
    <w:rsid w:val="00AF0EA5"/>
    <w:pPr>
      <w:keepNext/>
      <w:spacing w:after="200"/>
    </w:pPr>
    <w:rPr>
      <w:b/>
      <w:bCs/>
      <w:sz w:val="18"/>
      <w:szCs w:val="18"/>
    </w:rPr>
  </w:style>
  <w:style w:type="paragraph" w:styleId="ListNumber">
    <w:name w:val="List Number"/>
    <w:basedOn w:val="Normal"/>
    <w:uiPriority w:val="99"/>
    <w:rsid w:val="00C21789"/>
    <w:pPr>
      <w:numPr>
        <w:numId w:val="3"/>
      </w:numPr>
      <w:contextualSpacing/>
    </w:p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5_G,single space,fn,FOOTNOTES,ft"/>
    <w:basedOn w:val="Normal"/>
    <w:link w:val="FootnoteTextChar"/>
    <w:uiPriority w:val="99"/>
    <w:unhideWhenUsed/>
    <w:qFormat/>
    <w:rsid w:val="00851C7B"/>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5_G Char,single space Char,fn Char"/>
    <w:basedOn w:val="DefaultParagraphFont"/>
    <w:link w:val="FootnoteText"/>
    <w:uiPriority w:val="99"/>
    <w:rsid w:val="00851C7B"/>
    <w:rPr>
      <w:rFonts w:ascii="Arial" w:hAnsi="Arial" w:cs="Arial"/>
      <w:sz w:val="20"/>
      <w:szCs w:val="20"/>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f"/>
    <w:basedOn w:val="DefaultParagraphFont"/>
    <w:link w:val="referencianotaalpieChar"/>
    <w:uiPriority w:val="99"/>
    <w:unhideWhenUsed/>
    <w:qFormat/>
    <w:rsid w:val="00851C7B"/>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355865"/>
    <w:pPr>
      <w:pBdr>
        <w:bottom w:val="single" w:sz="4" w:space="1" w:color="FFFFFF" w:themeColor="background1"/>
      </w:pBdr>
      <w:spacing w:before="120" w:after="120" w:line="240" w:lineRule="exact"/>
      <w:jc w:val="both"/>
    </w:pPr>
    <w:rPr>
      <w:rFonts w:asciiTheme="minorHAnsi" w:hAnsiTheme="minorHAnsi" w:cstheme="minorBidi"/>
      <w:sz w:val="22"/>
      <w:szCs w:val="22"/>
      <w:vertAlign w:val="superscript"/>
    </w:rPr>
  </w:style>
  <w:style w:type="paragraph" w:styleId="NoSpacing">
    <w:name w:val="No Spacing"/>
    <w:link w:val="NoSpacingChar"/>
    <w:uiPriority w:val="1"/>
    <w:qFormat/>
    <w:rsid w:val="00355865"/>
    <w:pPr>
      <w:spacing w:after="0" w:line="240" w:lineRule="auto"/>
    </w:pPr>
    <w:rPr>
      <w:kern w:val="0"/>
      <w14:ligatures w14:val="none"/>
    </w:rPr>
  </w:style>
  <w:style w:type="character" w:customStyle="1" w:styleId="NoSpacingChar">
    <w:name w:val="No Spacing Char"/>
    <w:basedOn w:val="DefaultParagraphFont"/>
    <w:link w:val="NoSpacing"/>
    <w:uiPriority w:val="1"/>
    <w:rsid w:val="00355865"/>
    <w:rPr>
      <w:kern w:val="0"/>
      <w14:ligatures w14:val="none"/>
    </w:rPr>
  </w:style>
  <w:style w:type="paragraph" w:customStyle="1" w:styleId="p1">
    <w:name w:val="p1"/>
    <w:basedOn w:val="Normal"/>
    <w:rsid w:val="00355865"/>
    <w:rPr>
      <w:rFonts w:ascii="Helvetica" w:eastAsiaTheme="minorEastAsia" w:hAnsi="Helvetica"/>
      <w:sz w:val="14"/>
      <w:szCs w:val="14"/>
      <w:lang w:val="en-GB" w:eastAsia="en-GB"/>
    </w:rPr>
  </w:style>
  <w:style w:type="character" w:customStyle="1" w:styleId="ListParagraphChar">
    <w:name w:val="List Paragraph Char"/>
    <w:aliases w:val="Bullet list Char,IFCL - List Paragraph Char,NUMBERED PARAGRAPH Char,List Paragraph 1 Char,References Char,ReferencesCxSpLast Char,lp1 Char,List Paragraph (numbered (a)) Char,Use Case List Paragraph Char,Heading 41 Char,heading 4 Char"/>
    <w:link w:val="ListParagraph"/>
    <w:uiPriority w:val="34"/>
    <w:qFormat/>
    <w:locked/>
    <w:rsid w:val="00C61A13"/>
    <w:rPr>
      <w:rFonts w:ascii="Arial" w:hAnsi="Arial" w:cs="Arial"/>
      <w:sz w:val="20"/>
      <w:szCs w:val="20"/>
    </w:rPr>
  </w:style>
  <w:style w:type="character" w:customStyle="1" w:styleId="apple-converted-space">
    <w:name w:val="apple-converted-space"/>
    <w:basedOn w:val="DefaultParagraphFont"/>
    <w:rsid w:val="00FB537C"/>
  </w:style>
  <w:style w:type="paragraph" w:customStyle="1" w:styleId="Default">
    <w:name w:val="Default"/>
    <w:rsid w:val="002D71F5"/>
    <w:pPr>
      <w:autoSpaceDE w:val="0"/>
      <w:autoSpaceDN w:val="0"/>
      <w:adjustRightInd w:val="0"/>
      <w:spacing w:after="0" w:line="240" w:lineRule="auto"/>
    </w:pPr>
    <w:rPr>
      <w:rFonts w:ascii="Calibri" w:hAnsi="Calibri" w:cs="Calibri"/>
      <w:color w:val="000000"/>
      <w:kern w:val="0"/>
      <w:sz w:val="24"/>
      <w:szCs w:val="24"/>
      <w:lang w:val="en-US"/>
    </w:rPr>
  </w:style>
  <w:style w:type="character" w:customStyle="1" w:styleId="font">
    <w:name w:val="font"/>
    <w:basedOn w:val="DefaultParagraphFont"/>
    <w:rsid w:val="000C4E5D"/>
  </w:style>
  <w:style w:type="character" w:customStyle="1" w:styleId="size">
    <w:name w:val="size"/>
    <w:basedOn w:val="DefaultParagraphFont"/>
    <w:rsid w:val="000C4E5D"/>
  </w:style>
  <w:style w:type="character" w:styleId="PageNumber">
    <w:name w:val="page number"/>
    <w:basedOn w:val="DefaultParagraphFont"/>
    <w:uiPriority w:val="99"/>
    <w:semiHidden/>
    <w:unhideWhenUsed/>
    <w:rsid w:val="009F1BE6"/>
  </w:style>
  <w:style w:type="character" w:styleId="CommentReference">
    <w:name w:val="annotation reference"/>
    <w:basedOn w:val="DefaultParagraphFont"/>
    <w:uiPriority w:val="99"/>
    <w:semiHidden/>
    <w:unhideWhenUsed/>
    <w:rsid w:val="00D06155"/>
    <w:rPr>
      <w:sz w:val="16"/>
      <w:szCs w:val="16"/>
    </w:rPr>
  </w:style>
  <w:style w:type="paragraph" w:styleId="CommentText">
    <w:name w:val="annotation text"/>
    <w:basedOn w:val="Normal"/>
    <w:link w:val="CommentTextChar"/>
    <w:uiPriority w:val="99"/>
    <w:unhideWhenUsed/>
    <w:rsid w:val="00D06155"/>
    <w:rPr>
      <w:sz w:val="20"/>
      <w:szCs w:val="20"/>
    </w:rPr>
  </w:style>
  <w:style w:type="character" w:customStyle="1" w:styleId="CommentTextChar">
    <w:name w:val="Comment Text Char"/>
    <w:basedOn w:val="DefaultParagraphFont"/>
    <w:link w:val="CommentText"/>
    <w:uiPriority w:val="99"/>
    <w:rsid w:val="00D06155"/>
    <w:rPr>
      <w:rFonts w:ascii="Times New Roman" w:eastAsia="Times New Roman" w:hAnsi="Times New Roman" w:cs="Times New Roman"/>
      <w:kern w:val="0"/>
      <w:sz w:val="20"/>
      <w:szCs w:val="20"/>
      <w:lang w:val="en-ID"/>
      <w14:ligatures w14:val="none"/>
    </w:rPr>
  </w:style>
  <w:style w:type="paragraph" w:styleId="CommentSubject">
    <w:name w:val="annotation subject"/>
    <w:basedOn w:val="CommentText"/>
    <w:next w:val="CommentText"/>
    <w:link w:val="CommentSubjectChar"/>
    <w:uiPriority w:val="99"/>
    <w:semiHidden/>
    <w:unhideWhenUsed/>
    <w:rsid w:val="00D06155"/>
    <w:rPr>
      <w:b/>
      <w:bCs/>
    </w:rPr>
  </w:style>
  <w:style w:type="character" w:customStyle="1" w:styleId="CommentSubjectChar">
    <w:name w:val="Comment Subject Char"/>
    <w:basedOn w:val="CommentTextChar"/>
    <w:link w:val="CommentSubject"/>
    <w:uiPriority w:val="99"/>
    <w:semiHidden/>
    <w:rsid w:val="00D06155"/>
    <w:rPr>
      <w:rFonts w:ascii="Times New Roman" w:eastAsia="Times New Roman" w:hAnsi="Times New Roman" w:cs="Times New Roman"/>
      <w:b/>
      <w:bCs/>
      <w:kern w:val="0"/>
      <w:sz w:val="20"/>
      <w:szCs w:val="20"/>
      <w:lang w:val="en-ID"/>
      <w14:ligatures w14:val="none"/>
    </w:rPr>
  </w:style>
  <w:style w:type="paragraph" w:styleId="Revision">
    <w:name w:val="Revision"/>
    <w:hidden/>
    <w:uiPriority w:val="99"/>
    <w:semiHidden/>
    <w:rsid w:val="00D06155"/>
    <w:pPr>
      <w:spacing w:after="0" w:line="240" w:lineRule="auto"/>
    </w:pPr>
    <w:rPr>
      <w:rFonts w:ascii="Times New Roman" w:eastAsia="Times New Roman" w:hAnsi="Times New Roman" w:cs="Times New Roman"/>
      <w:kern w:val="0"/>
      <w:sz w:val="24"/>
      <w:szCs w:val="24"/>
      <w:lang w:val="en-ID"/>
      <w14:ligatures w14:val="none"/>
    </w:rPr>
  </w:style>
  <w:style w:type="character" w:styleId="IntenseEmphasis">
    <w:name w:val="Intense Emphasis"/>
    <w:basedOn w:val="DefaultParagraphFont"/>
    <w:uiPriority w:val="21"/>
    <w:qFormat/>
    <w:rsid w:val="00577D45"/>
    <w:rPr>
      <w:i/>
      <w:iCs/>
      <w:color w:val="0F4761" w:themeColor="accent1" w:themeShade="BF"/>
    </w:rPr>
  </w:style>
  <w:style w:type="paragraph" w:customStyle="1" w:styleId="Footnotesrefss">
    <w:name w:val="Footnotes refss"/>
    <w:aliases w:val="Footnote Reference1, BVI fnr Car Car1 Car Car Char Car Char Car Char Char,BVI fnr Car Car1 Car Car Char Car Char Car Char Char"/>
    <w:basedOn w:val="Normal"/>
    <w:uiPriority w:val="99"/>
    <w:rsid w:val="00577D45"/>
    <w:pPr>
      <w:pBdr>
        <w:top w:val="none" w:sz="0" w:space="0" w:color="000000"/>
        <w:left w:val="none" w:sz="0" w:space="0" w:color="000000"/>
        <w:bottom w:val="none" w:sz="0" w:space="0" w:color="000000"/>
        <w:right w:val="none" w:sz="0" w:space="0" w:color="000000"/>
      </w:pBdr>
      <w:spacing w:before="120" w:after="160" w:line="240" w:lineRule="exact"/>
    </w:pPr>
    <w:rPr>
      <w:rFonts w:asciiTheme="minorHAnsi" w:eastAsiaTheme="minorEastAsia" w:hAnsiTheme="minorHAnsi" w:cstheme="minorBidi"/>
      <w:vertAlign w:val="superscript"/>
    </w:rPr>
  </w:style>
  <w:style w:type="paragraph" w:styleId="NormalWeb">
    <w:name w:val="Normal (Web)"/>
    <w:basedOn w:val="Normal"/>
    <w:uiPriority w:val="99"/>
    <w:unhideWhenUsed/>
    <w:rsid w:val="00577D45"/>
    <w:pPr>
      <w:spacing w:before="100" w:beforeAutospacing="1" w:after="100" w:afterAutospacing="1"/>
    </w:pPr>
  </w:style>
  <w:style w:type="paragraph" w:customStyle="1" w:styleId="TableBodyCopy">
    <w:name w:val="Table Body Copy"/>
    <w:basedOn w:val="Normal"/>
    <w:qFormat/>
    <w:rsid w:val="00842907"/>
    <w:pPr>
      <w:spacing w:before="120" w:after="40"/>
    </w:pPr>
    <w:rPr>
      <w:rFonts w:ascii="Calibri Light" w:eastAsia="Calibri" w:hAnsi="Calibri Light" w:cs="Calibri Light"/>
      <w:sz w:val="20"/>
      <w:szCs w:val="21"/>
      <w:lang w:val="en-AU"/>
    </w:rPr>
  </w:style>
  <w:style w:type="paragraph" w:customStyle="1" w:styleId="pf0">
    <w:name w:val="pf0"/>
    <w:basedOn w:val="Normal"/>
    <w:rsid w:val="006C077C"/>
    <w:pPr>
      <w:spacing w:before="100" w:beforeAutospacing="1" w:after="100" w:afterAutospacing="1"/>
    </w:pPr>
    <w:rPr>
      <w:lang w:val="en-US"/>
    </w:rPr>
  </w:style>
  <w:style w:type="character" w:customStyle="1" w:styleId="cf01">
    <w:name w:val="cf01"/>
    <w:basedOn w:val="DefaultParagraphFont"/>
    <w:rsid w:val="006C077C"/>
    <w:rPr>
      <w:rFonts w:ascii="Segoe UI" w:hAnsi="Segoe UI" w:cs="Segoe UI" w:hint="default"/>
      <w:sz w:val="18"/>
      <w:szCs w:val="18"/>
    </w:rPr>
  </w:style>
  <w:style w:type="character" w:styleId="Mention">
    <w:name w:val="Mention"/>
    <w:basedOn w:val="DefaultParagraphFont"/>
    <w:uiPriority w:val="99"/>
    <w:unhideWhenUsed/>
    <w:rsid w:val="00C72DEA"/>
    <w:rPr>
      <w:color w:val="2B579A"/>
      <w:shd w:val="clear" w:color="auto" w:fill="E1DFDD"/>
    </w:rPr>
  </w:style>
  <w:style w:type="paragraph" w:customStyle="1" w:styleId="paragraph">
    <w:name w:val="paragraph"/>
    <w:basedOn w:val="Normal"/>
    <w:rsid w:val="002E145E"/>
    <w:pPr>
      <w:spacing w:before="100" w:beforeAutospacing="1" w:after="100" w:afterAutospacing="1"/>
    </w:pPr>
    <w:rPr>
      <w:lang w:val="en-US"/>
    </w:rPr>
  </w:style>
  <w:style w:type="character" w:customStyle="1" w:styleId="normaltextrun">
    <w:name w:val="normaltextrun"/>
    <w:basedOn w:val="DefaultParagraphFont"/>
    <w:rsid w:val="002E145E"/>
  </w:style>
  <w:style w:type="character" w:customStyle="1" w:styleId="eop">
    <w:name w:val="eop"/>
    <w:basedOn w:val="DefaultParagraphFont"/>
    <w:rsid w:val="002E1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301655">
      <w:bodyDiv w:val="1"/>
      <w:marLeft w:val="0"/>
      <w:marRight w:val="0"/>
      <w:marTop w:val="0"/>
      <w:marBottom w:val="0"/>
      <w:divBdr>
        <w:top w:val="none" w:sz="0" w:space="0" w:color="auto"/>
        <w:left w:val="none" w:sz="0" w:space="0" w:color="auto"/>
        <w:bottom w:val="none" w:sz="0" w:space="0" w:color="auto"/>
        <w:right w:val="none" w:sz="0" w:space="0" w:color="auto"/>
      </w:divBdr>
    </w:div>
    <w:div w:id="558326429">
      <w:bodyDiv w:val="1"/>
      <w:marLeft w:val="0"/>
      <w:marRight w:val="0"/>
      <w:marTop w:val="0"/>
      <w:marBottom w:val="0"/>
      <w:divBdr>
        <w:top w:val="none" w:sz="0" w:space="0" w:color="auto"/>
        <w:left w:val="none" w:sz="0" w:space="0" w:color="auto"/>
        <w:bottom w:val="none" w:sz="0" w:space="0" w:color="auto"/>
        <w:right w:val="none" w:sz="0" w:space="0" w:color="auto"/>
      </w:divBdr>
    </w:div>
    <w:div w:id="1458376665">
      <w:bodyDiv w:val="1"/>
      <w:marLeft w:val="0"/>
      <w:marRight w:val="0"/>
      <w:marTop w:val="0"/>
      <w:marBottom w:val="0"/>
      <w:divBdr>
        <w:top w:val="none" w:sz="0" w:space="0" w:color="auto"/>
        <w:left w:val="none" w:sz="0" w:space="0" w:color="auto"/>
        <w:bottom w:val="none" w:sz="0" w:space="0" w:color="auto"/>
        <w:right w:val="none" w:sz="0" w:space="0" w:color="auto"/>
      </w:divBdr>
    </w:div>
    <w:div w:id="1681086180">
      <w:bodyDiv w:val="1"/>
      <w:marLeft w:val="0"/>
      <w:marRight w:val="0"/>
      <w:marTop w:val="0"/>
      <w:marBottom w:val="0"/>
      <w:divBdr>
        <w:top w:val="none" w:sz="0" w:space="0" w:color="auto"/>
        <w:left w:val="none" w:sz="0" w:space="0" w:color="auto"/>
        <w:bottom w:val="none" w:sz="0" w:space="0" w:color="auto"/>
        <w:right w:val="none" w:sz="0" w:space="0" w:color="auto"/>
      </w:divBdr>
      <w:divsChild>
        <w:div w:id="31610594">
          <w:marLeft w:val="0"/>
          <w:marRight w:val="0"/>
          <w:marTop w:val="0"/>
          <w:marBottom w:val="0"/>
          <w:divBdr>
            <w:top w:val="none" w:sz="0" w:space="0" w:color="auto"/>
            <w:left w:val="none" w:sz="0" w:space="0" w:color="auto"/>
            <w:bottom w:val="none" w:sz="0" w:space="0" w:color="auto"/>
            <w:right w:val="none" w:sz="0" w:space="0" w:color="auto"/>
          </w:divBdr>
        </w:div>
        <w:div w:id="84232173">
          <w:marLeft w:val="0"/>
          <w:marRight w:val="0"/>
          <w:marTop w:val="0"/>
          <w:marBottom w:val="0"/>
          <w:divBdr>
            <w:top w:val="none" w:sz="0" w:space="0" w:color="auto"/>
            <w:left w:val="none" w:sz="0" w:space="0" w:color="auto"/>
            <w:bottom w:val="none" w:sz="0" w:space="0" w:color="auto"/>
            <w:right w:val="none" w:sz="0" w:space="0" w:color="auto"/>
          </w:divBdr>
        </w:div>
        <w:div w:id="177892463">
          <w:marLeft w:val="0"/>
          <w:marRight w:val="0"/>
          <w:marTop w:val="0"/>
          <w:marBottom w:val="0"/>
          <w:divBdr>
            <w:top w:val="none" w:sz="0" w:space="0" w:color="auto"/>
            <w:left w:val="none" w:sz="0" w:space="0" w:color="auto"/>
            <w:bottom w:val="none" w:sz="0" w:space="0" w:color="auto"/>
            <w:right w:val="none" w:sz="0" w:space="0" w:color="auto"/>
          </w:divBdr>
        </w:div>
        <w:div w:id="425883863">
          <w:marLeft w:val="0"/>
          <w:marRight w:val="0"/>
          <w:marTop w:val="0"/>
          <w:marBottom w:val="0"/>
          <w:divBdr>
            <w:top w:val="none" w:sz="0" w:space="0" w:color="auto"/>
            <w:left w:val="none" w:sz="0" w:space="0" w:color="auto"/>
            <w:bottom w:val="none" w:sz="0" w:space="0" w:color="auto"/>
            <w:right w:val="none" w:sz="0" w:space="0" w:color="auto"/>
          </w:divBdr>
        </w:div>
        <w:div w:id="536894895">
          <w:marLeft w:val="0"/>
          <w:marRight w:val="0"/>
          <w:marTop w:val="0"/>
          <w:marBottom w:val="0"/>
          <w:divBdr>
            <w:top w:val="none" w:sz="0" w:space="0" w:color="auto"/>
            <w:left w:val="none" w:sz="0" w:space="0" w:color="auto"/>
            <w:bottom w:val="none" w:sz="0" w:space="0" w:color="auto"/>
            <w:right w:val="none" w:sz="0" w:space="0" w:color="auto"/>
          </w:divBdr>
        </w:div>
        <w:div w:id="731583368">
          <w:marLeft w:val="0"/>
          <w:marRight w:val="0"/>
          <w:marTop w:val="0"/>
          <w:marBottom w:val="0"/>
          <w:divBdr>
            <w:top w:val="none" w:sz="0" w:space="0" w:color="auto"/>
            <w:left w:val="none" w:sz="0" w:space="0" w:color="auto"/>
            <w:bottom w:val="none" w:sz="0" w:space="0" w:color="auto"/>
            <w:right w:val="none" w:sz="0" w:space="0" w:color="auto"/>
          </w:divBdr>
        </w:div>
        <w:div w:id="945120298">
          <w:marLeft w:val="0"/>
          <w:marRight w:val="0"/>
          <w:marTop w:val="0"/>
          <w:marBottom w:val="0"/>
          <w:divBdr>
            <w:top w:val="none" w:sz="0" w:space="0" w:color="auto"/>
            <w:left w:val="none" w:sz="0" w:space="0" w:color="auto"/>
            <w:bottom w:val="none" w:sz="0" w:space="0" w:color="auto"/>
            <w:right w:val="none" w:sz="0" w:space="0" w:color="auto"/>
          </w:divBdr>
        </w:div>
        <w:div w:id="997883055">
          <w:marLeft w:val="0"/>
          <w:marRight w:val="0"/>
          <w:marTop w:val="0"/>
          <w:marBottom w:val="0"/>
          <w:divBdr>
            <w:top w:val="none" w:sz="0" w:space="0" w:color="auto"/>
            <w:left w:val="none" w:sz="0" w:space="0" w:color="auto"/>
            <w:bottom w:val="none" w:sz="0" w:space="0" w:color="auto"/>
            <w:right w:val="none" w:sz="0" w:space="0" w:color="auto"/>
          </w:divBdr>
        </w:div>
        <w:div w:id="1122378534">
          <w:marLeft w:val="0"/>
          <w:marRight w:val="0"/>
          <w:marTop w:val="0"/>
          <w:marBottom w:val="0"/>
          <w:divBdr>
            <w:top w:val="none" w:sz="0" w:space="0" w:color="auto"/>
            <w:left w:val="none" w:sz="0" w:space="0" w:color="auto"/>
            <w:bottom w:val="none" w:sz="0" w:space="0" w:color="auto"/>
            <w:right w:val="none" w:sz="0" w:space="0" w:color="auto"/>
          </w:divBdr>
        </w:div>
        <w:div w:id="1143890402">
          <w:marLeft w:val="0"/>
          <w:marRight w:val="0"/>
          <w:marTop w:val="0"/>
          <w:marBottom w:val="0"/>
          <w:divBdr>
            <w:top w:val="none" w:sz="0" w:space="0" w:color="auto"/>
            <w:left w:val="none" w:sz="0" w:space="0" w:color="auto"/>
            <w:bottom w:val="none" w:sz="0" w:space="0" w:color="auto"/>
            <w:right w:val="none" w:sz="0" w:space="0" w:color="auto"/>
          </w:divBdr>
        </w:div>
        <w:div w:id="1305820182">
          <w:marLeft w:val="0"/>
          <w:marRight w:val="0"/>
          <w:marTop w:val="0"/>
          <w:marBottom w:val="0"/>
          <w:divBdr>
            <w:top w:val="none" w:sz="0" w:space="0" w:color="auto"/>
            <w:left w:val="none" w:sz="0" w:space="0" w:color="auto"/>
            <w:bottom w:val="none" w:sz="0" w:space="0" w:color="auto"/>
            <w:right w:val="none" w:sz="0" w:space="0" w:color="auto"/>
          </w:divBdr>
        </w:div>
        <w:div w:id="1562331041">
          <w:marLeft w:val="0"/>
          <w:marRight w:val="0"/>
          <w:marTop w:val="0"/>
          <w:marBottom w:val="0"/>
          <w:divBdr>
            <w:top w:val="none" w:sz="0" w:space="0" w:color="auto"/>
            <w:left w:val="none" w:sz="0" w:space="0" w:color="auto"/>
            <w:bottom w:val="none" w:sz="0" w:space="0" w:color="auto"/>
            <w:right w:val="none" w:sz="0" w:space="0" w:color="auto"/>
          </w:divBdr>
        </w:div>
        <w:div w:id="1965502705">
          <w:marLeft w:val="0"/>
          <w:marRight w:val="0"/>
          <w:marTop w:val="0"/>
          <w:marBottom w:val="0"/>
          <w:divBdr>
            <w:top w:val="none" w:sz="0" w:space="0" w:color="auto"/>
            <w:left w:val="none" w:sz="0" w:space="0" w:color="auto"/>
            <w:bottom w:val="none" w:sz="0" w:space="0" w:color="auto"/>
            <w:right w:val="none" w:sz="0" w:space="0" w:color="auto"/>
          </w:divBdr>
        </w:div>
      </w:divsChild>
    </w:div>
    <w:div w:id="20948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www.w3.org/TR/WCAG20/" TargetMode="External"/><Relationship Id="rId3" Type="http://schemas.openxmlformats.org/officeDocument/2006/relationships/customXml" Target="../customXml/item3.xml"/><Relationship Id="rId21" Type="http://schemas.openxmlformats.org/officeDocument/2006/relationships/hyperlink" Target="https://www.ifc.org/en/stories/2025/behind-the-wheel-towards-a-sustainable-future" TargetMode="External"/><Relationship Id="rId34" Type="http://schemas.microsoft.com/office/2019/05/relationships/documenttasks" Target="documenttasks/documenttasks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fc.org/en/pressroom/2025/ifc-supports-vpbank-s-landmark-sustainability-bond-paving-the-way-for-green-and-in"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emf"/><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ifc.org/content/dam/ifc/doc/2025/weaving-respect-into-workplace-culture-viet-nam-s-garment-sector.pdf" TargetMode="Externa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orrissey@iimetro.com.au" TargetMode="External"/><Relationship Id="rId22" Type="http://schemas.openxmlformats.org/officeDocument/2006/relationships/hyperlink" Target="https://www.ifc.org/content/dam/ifc/doc/2025/women-s-employment-leadership-for-sustainable-business-in-viet-nam.pdf" TargetMode="External"/><Relationship Id="rId27" Type="http://schemas.openxmlformats.org/officeDocument/2006/relationships/footer" Target="footer4.xml"/><Relationship Id="rId30" Type="http://schemas.openxmlformats.org/officeDocument/2006/relationships/image" Target="media/image5.png"/><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vpbank.com.vn/en/tin-tuc/thong-cao-bao-chi/2025/vpbank-cung-smbc-bii-efa-findev-canada-va-jica-cong-bo-khoan-vay-hop-von-tri-gia-350-trieu-usd-nham-thuc-day-phat-trien-ben-vung-tai-viet-nam" TargetMode="External"/><Relationship Id="rId3" Type="http://schemas.openxmlformats.org/officeDocument/2006/relationships/hyperlink" Target="https://www.vietnam-briefing.com/news/vietnams-special-investment-procedure-implementation-and-implications-for-foreign-investors.html/" TargetMode="External"/><Relationship Id="rId7" Type="http://schemas.openxmlformats.org/officeDocument/2006/relationships/hyperlink" Target="https://www.ifc.org/en/stories/2025/behind-the-wheel-towards-a-sustainable-future" TargetMode="External"/><Relationship Id="rId2" Type="http://schemas.openxmlformats.org/officeDocument/2006/relationships/hyperlink" Target="https://www.oecd.org/dac/evaluation/daccriteriaforevaluatingdevelopmentassistance.htm" TargetMode="External"/><Relationship Id="rId1" Type="http://schemas.openxmlformats.org/officeDocument/2006/relationships/hyperlink" Target="https://www.ifc.org/content/dam/ifc/doc/mgrt/cpsd-vietnam-v2.pdf" TargetMode="External"/><Relationship Id="rId6" Type="http://schemas.openxmlformats.org/officeDocument/2006/relationships/hyperlink" Target="https://www.ifc.org/content/dam/ifc/doc/2025/weaving-respect-into-workplace-culture-viet-nam-s-garment-sector.pdf" TargetMode="External"/><Relationship Id="rId5" Type="http://schemas.openxmlformats.org/officeDocument/2006/relationships/hyperlink" Target="https://www.oecd.org/dac/evaluation/daccriteriaforevaluatingdevelopmentassistance.htm" TargetMode="External"/><Relationship Id="rId4" Type="http://schemas.openxmlformats.org/officeDocument/2006/relationships/hyperlink" Target="https://www.ifc.org/content/dam/ifc/doc/mgrt/cpsd-vietnam-v2.pdf" TargetMode="External"/><Relationship Id="rId9" Type="http://schemas.openxmlformats.org/officeDocument/2006/relationships/hyperlink" Target="https://www.oecd-ilibrary.org/sites/543e84ed-en/1/3/4/index.html?itemId=/content/publication/543e84ed-en&amp;_csp_=535d2f2a848b7727d35502d7f36e4885&amp;itemIGO=oecd&amp;itemContentType=book" TargetMode="External"/></Relationships>
</file>

<file path=word/documenttasks/documenttasks1.xml><?xml version="1.0" encoding="utf-8"?>
<t:Tasks xmlns:t="http://schemas.microsoft.com/office/tasks/2019/documenttasks" xmlns:oel="http://schemas.microsoft.com/office/2019/extlst">
  <t:Task id="{336A3E52-BA4B-4D3D-B0EA-CF15DA81F758}">
    <t:Anchor>
      <t:Comment id="2105920013"/>
    </t:Anchor>
    <t:History>
      <t:Event id="{278AF56A-42AB-484C-9D96-953494C657B8}" time="2026-03-16T03:41:48.021Z">
        <t:Attribution userId="S::tuuyen.nguyen@dfat.gov.au::7e7dda7e-30ed-42b8-9e9d-eb11736cc412" userProvider="AD" userName="Tu-Uyen Nguyen"/>
        <t:Anchor>
          <t:Comment id="263911722"/>
        </t:Anchor>
        <t:Create/>
      </t:Event>
      <t:Event id="{5D8DA54F-015E-47A0-98B7-4ECCFAA1A9A5}" time="2026-03-16T03:41:48.021Z">
        <t:Attribution userId="S::tuuyen.nguyen@dfat.gov.au::7e7dda7e-30ed-42b8-9e9d-eb11736cc412" userProvider="AD" userName="Tu-Uyen Nguyen"/>
        <t:Anchor>
          <t:Comment id="263911722"/>
        </t:Anchor>
        <t:Assign userId="S::thuy.doan@dfat.gov.au::03b98551-4afd-416e-8b28-6363c4007041" userProvider="AD" userName="Thuy Doan"/>
      </t:Event>
      <t:Event id="{FF7D21AB-A0B2-4136-8F88-08F74F8AFE1F}" time="2026-03-16T03:41:48.021Z">
        <t:Attribution userId="S::tuuyen.nguyen@dfat.gov.au::7e7dda7e-30ed-42b8-9e9d-eb11736cc412" userProvider="AD" userName="Tu-Uyen Nguyen"/>
        <t:Anchor>
          <t:Comment id="263911722"/>
        </t:Anchor>
        <t:SetTitle title="@Thuy Doan, can you elaborate your comment pleas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04D3BB471D4F69B0575873685A0FF3"/>
        <w:category>
          <w:name w:val="General"/>
          <w:gallery w:val="placeholder"/>
        </w:category>
        <w:types>
          <w:type w:val="bbPlcHdr"/>
        </w:types>
        <w:behaviors>
          <w:behavior w:val="content"/>
        </w:behaviors>
        <w:guid w:val="{67D1A1BE-831F-493B-98AC-338C4FB8F3CF}"/>
      </w:docPartPr>
      <w:docPartBody>
        <w:p w:rsidR="005F04E1" w:rsidRDefault="00BC4247">
          <w:r w:rsidRPr="00AB469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47"/>
    <w:rsid w:val="00000F9E"/>
    <w:rsid w:val="00006FC9"/>
    <w:rsid w:val="00094AB9"/>
    <w:rsid w:val="000B077C"/>
    <w:rsid w:val="000E1C5A"/>
    <w:rsid w:val="000F5108"/>
    <w:rsid w:val="00104166"/>
    <w:rsid w:val="00114DB5"/>
    <w:rsid w:val="001353DB"/>
    <w:rsid w:val="00141148"/>
    <w:rsid w:val="00151601"/>
    <w:rsid w:val="00183FF0"/>
    <w:rsid w:val="00190C0E"/>
    <w:rsid w:val="001B1AA3"/>
    <w:rsid w:val="001B1CEF"/>
    <w:rsid w:val="001E2389"/>
    <w:rsid w:val="001E7461"/>
    <w:rsid w:val="00204E12"/>
    <w:rsid w:val="00243B6D"/>
    <w:rsid w:val="00260226"/>
    <w:rsid w:val="00286341"/>
    <w:rsid w:val="002B397E"/>
    <w:rsid w:val="002B544A"/>
    <w:rsid w:val="002C2224"/>
    <w:rsid w:val="002F082C"/>
    <w:rsid w:val="00307A41"/>
    <w:rsid w:val="0031068B"/>
    <w:rsid w:val="00323CFE"/>
    <w:rsid w:val="00357107"/>
    <w:rsid w:val="00375A19"/>
    <w:rsid w:val="00375F5A"/>
    <w:rsid w:val="003B0F4E"/>
    <w:rsid w:val="003C377A"/>
    <w:rsid w:val="003C6D8C"/>
    <w:rsid w:val="003E69DD"/>
    <w:rsid w:val="003F4B0E"/>
    <w:rsid w:val="004372CA"/>
    <w:rsid w:val="0047228C"/>
    <w:rsid w:val="004828D8"/>
    <w:rsid w:val="00491F24"/>
    <w:rsid w:val="004B6E1E"/>
    <w:rsid w:val="004C572D"/>
    <w:rsid w:val="004D5302"/>
    <w:rsid w:val="004F1A83"/>
    <w:rsid w:val="004F71D9"/>
    <w:rsid w:val="00512784"/>
    <w:rsid w:val="00525E0D"/>
    <w:rsid w:val="00531060"/>
    <w:rsid w:val="005533BA"/>
    <w:rsid w:val="0058703B"/>
    <w:rsid w:val="005B306F"/>
    <w:rsid w:val="005C337D"/>
    <w:rsid w:val="005D66CD"/>
    <w:rsid w:val="005E5498"/>
    <w:rsid w:val="005F04E1"/>
    <w:rsid w:val="00650596"/>
    <w:rsid w:val="00652ACA"/>
    <w:rsid w:val="0066078A"/>
    <w:rsid w:val="0066213C"/>
    <w:rsid w:val="00670A11"/>
    <w:rsid w:val="006878E9"/>
    <w:rsid w:val="006A341B"/>
    <w:rsid w:val="006D3336"/>
    <w:rsid w:val="00703318"/>
    <w:rsid w:val="00721F53"/>
    <w:rsid w:val="00756281"/>
    <w:rsid w:val="00760542"/>
    <w:rsid w:val="00765114"/>
    <w:rsid w:val="007763EF"/>
    <w:rsid w:val="007908DB"/>
    <w:rsid w:val="007A25ED"/>
    <w:rsid w:val="007A6CE8"/>
    <w:rsid w:val="007A7EA7"/>
    <w:rsid w:val="007B6840"/>
    <w:rsid w:val="007C1A6A"/>
    <w:rsid w:val="007D0558"/>
    <w:rsid w:val="00833C72"/>
    <w:rsid w:val="00842315"/>
    <w:rsid w:val="008B030E"/>
    <w:rsid w:val="008F08A4"/>
    <w:rsid w:val="00957FEA"/>
    <w:rsid w:val="00960768"/>
    <w:rsid w:val="0097322D"/>
    <w:rsid w:val="00976A54"/>
    <w:rsid w:val="00982C3E"/>
    <w:rsid w:val="00986FAC"/>
    <w:rsid w:val="009C3ED3"/>
    <w:rsid w:val="009C4188"/>
    <w:rsid w:val="009F776D"/>
    <w:rsid w:val="00A06FEF"/>
    <w:rsid w:val="00A076B6"/>
    <w:rsid w:val="00A712B5"/>
    <w:rsid w:val="00A813BB"/>
    <w:rsid w:val="00A82CB4"/>
    <w:rsid w:val="00A83C4A"/>
    <w:rsid w:val="00AA11E7"/>
    <w:rsid w:val="00AA5C59"/>
    <w:rsid w:val="00AB058B"/>
    <w:rsid w:val="00AB74F5"/>
    <w:rsid w:val="00AC0197"/>
    <w:rsid w:val="00AE500B"/>
    <w:rsid w:val="00B116FE"/>
    <w:rsid w:val="00B30560"/>
    <w:rsid w:val="00B64940"/>
    <w:rsid w:val="00B73859"/>
    <w:rsid w:val="00B92CF5"/>
    <w:rsid w:val="00B93806"/>
    <w:rsid w:val="00BB1F7F"/>
    <w:rsid w:val="00BC4247"/>
    <w:rsid w:val="00BF0216"/>
    <w:rsid w:val="00BF25FE"/>
    <w:rsid w:val="00BF2F75"/>
    <w:rsid w:val="00C41641"/>
    <w:rsid w:val="00CB44CE"/>
    <w:rsid w:val="00CB5336"/>
    <w:rsid w:val="00CD2DC7"/>
    <w:rsid w:val="00CD3573"/>
    <w:rsid w:val="00CE0866"/>
    <w:rsid w:val="00CF2E7B"/>
    <w:rsid w:val="00CF3F47"/>
    <w:rsid w:val="00CF5004"/>
    <w:rsid w:val="00CF70AB"/>
    <w:rsid w:val="00D075F6"/>
    <w:rsid w:val="00D52643"/>
    <w:rsid w:val="00D906A4"/>
    <w:rsid w:val="00D944C2"/>
    <w:rsid w:val="00DB6467"/>
    <w:rsid w:val="00DF2B2F"/>
    <w:rsid w:val="00E01149"/>
    <w:rsid w:val="00E07ECD"/>
    <w:rsid w:val="00E17939"/>
    <w:rsid w:val="00E264DF"/>
    <w:rsid w:val="00E32625"/>
    <w:rsid w:val="00E360F7"/>
    <w:rsid w:val="00E550A9"/>
    <w:rsid w:val="00E629A9"/>
    <w:rsid w:val="00E71D66"/>
    <w:rsid w:val="00E72F89"/>
    <w:rsid w:val="00E80BD4"/>
    <w:rsid w:val="00E83205"/>
    <w:rsid w:val="00EC01CA"/>
    <w:rsid w:val="00EC13FC"/>
    <w:rsid w:val="00EC1649"/>
    <w:rsid w:val="00EC34D3"/>
    <w:rsid w:val="00F273D5"/>
    <w:rsid w:val="00F40359"/>
    <w:rsid w:val="00F66451"/>
    <w:rsid w:val="00F752FD"/>
    <w:rsid w:val="00F82AD6"/>
    <w:rsid w:val="00FB0EB4"/>
    <w:rsid w:val="00FD62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24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6FE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IFCDocument" ma:contentTypeID="0x010100E5322611B3EDC84DA11FE54B39A09DF70100C6F7C94C8076114287B938E5F107D5E7" ma:contentTypeVersion="5" ma:contentTypeDescription="" ma:contentTypeScope="" ma:versionID="da9ad3b9ad2f41d08ef8f36782eb8281">
  <xsd:schema xmlns:xsd="http://www.w3.org/2001/XMLSchema" xmlns:xs="http://www.w3.org/2001/XMLSchema" xmlns:p="http://schemas.microsoft.com/office/2006/metadata/properties" xmlns:ns2="3e02667f-0271-471b-bd6e-11a2e16def1d" targetNamespace="http://schemas.microsoft.com/office/2006/metadata/properties" ma:root="true" ma:fieldsID="17f6dc81899aeb791423dcabefc78441" ns2:_="">
    <xsd:import namespace="3e02667f-0271-471b-bd6e-11a2e16def1d"/>
    <xsd:element name="properties">
      <xsd:complexType>
        <xsd:sequence>
          <xsd:element name="documentManagement">
            <xsd:complexType>
              <xsd:all>
                <xsd:element ref="ns2:ifc_author" minOccurs="0"/>
                <xsd:element ref="ns2:WBDocs_Document_Date" minOccurs="0"/>
                <xsd:element ref="ns2:ifc_informationclassification" minOccurs="0"/>
                <xsd:element ref="ns2:ifc_abstract" minOccurs="0"/>
                <xsd:element ref="ns2:_dlc_DocId" minOccurs="0"/>
                <xsd:element ref="ns2:_dlc_DocIdUrl" minOccurs="0"/>
                <xsd:element ref="ns2:_dlc_DocIdPersistId" minOccurs="0"/>
                <xsd:element ref="ns2:n190ff974a17438d91e6dfe77ffd38e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ifc_author" ma:index="2" nillable="true" ma:displayName="Author" ma:internalName="ifc_author">
      <xsd:simpleType>
        <xsd:restriction base="dms:Text"/>
      </xsd:simpleType>
    </xsd:element>
    <xsd:element name="WBDocs_Document_Date" ma:index="3" nillable="true" ma:displayName="Document Date" ma:default="[today]" ma:format="DateTime" ma:internalName="WBDocs_Document_Date" ma:readOnly="false">
      <xsd:simpleType>
        <xsd:restriction base="dms:DateTime"/>
      </xsd:simpleType>
    </xsd:element>
    <xsd:element name="ifc_informationclassification" ma:index="4" nillable="true" ma:displayName="Information Classification" ma:default="Official Use Only" ma:format="Dropdown" ma:internalName="ifc_informationclassification" ma:readOnly="false">
      <xsd:simpleType>
        <xsd:restriction base="dms:Choice">
          <xsd:enumeration value="Public"/>
          <xsd:enumeration value="Official Use Only"/>
          <xsd:enumeration value="Confidential"/>
          <xsd:enumeration value="Strictly Confidential"/>
        </xsd:restriction>
      </xsd:simpleType>
    </xsd:element>
    <xsd:element name="ifc_abstract" ma:index="6" nillable="true" ma:displayName="Abstract" ma:internalName="ifc_abstract">
      <xsd:simpleType>
        <xsd:restriction base="dms:Note">
          <xsd:maxLength value="255"/>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90ff974a17438d91e6dfe77ffd38e5" ma:index="14" nillable="true" ma:taxonomy="true" ma:internalName="n190ff974a17438d91e6dfe77ffd38e5" ma:taxonomyFieldName="ifc_business_unit" ma:displayName="Business Unit" ma:default="" ma:fieldId="{7190ff97-4a17-438d-91e6-dfe77ffd38e5}"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4e5c9ed1-70b0-4fc8-8335-db91f33f5dc4}" ma:internalName="TaxCatchAll" ma:showField="CatchAllData" ma:web="6fb51203-431a-41f3-97c4-f93bcfb59db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4e5c9ed1-70b0-4fc8-8335-db91f33f5dc4}" ma:internalName="TaxCatchAllLabel" ma:readOnly="true" ma:showField="CatchAllDataLabel" ma:web="6fb51203-431a-41f3-97c4-f93bcfb59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ifc_abstract xmlns="3e02667f-0271-471b-bd6e-11a2e16def1d" xsi:nil="true"/>
    <ifc_author xmlns="3e02667f-0271-471b-bd6e-11a2e16def1d" xsi:nil="true"/>
    <ifc_informationclassification xmlns="3e02667f-0271-471b-bd6e-11a2e16def1d">Official Use Only</ifc_informationclassification>
    <n190ff974a17438d91e6dfe77ffd38e5 xmlns="3e02667f-0271-471b-bd6e-11a2e16def1d">
      <Terms xmlns="http://schemas.microsoft.com/office/infopath/2007/PartnerControls"/>
    </n190ff974a17438d91e6dfe77ffd38e5>
    <WBDocs_Document_Date xmlns="3e02667f-0271-471b-bd6e-11a2e16def1d">2026-04-08T09:43:17+00:00</WBDocs_Document_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a6c10d7-b926-4fc0-945e-3cbf5049f6bd" ContentTypeId="0x010100E5322611B3EDC84DA11FE54B39A09DF701" PreviousValue="false" LastSyncTimeStamp="2022-08-23T22:53:20.47Z"/>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5FC2F8-1551-4B33-86E0-9FC78C67C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209C0-9D3E-4906-8378-2E126B2E5AA2}">
  <ds:schemaRefs>
    <ds:schemaRef ds:uri="http://schemas.microsoft.com/sharepoint/events"/>
  </ds:schemaRefs>
</ds:datastoreItem>
</file>

<file path=customXml/itemProps3.xml><?xml version="1.0" encoding="utf-8"?>
<ds:datastoreItem xmlns:ds="http://schemas.openxmlformats.org/officeDocument/2006/customXml" ds:itemID="{A154A72A-2A2E-479B-A526-DDDD8F095E7B}">
  <ds:schemaRefs>
    <ds:schemaRef ds:uri="http://schemas.microsoft.com/office/2006/metadata/properties"/>
    <ds:schemaRef ds:uri="http://schemas.microsoft.com/office/infopath/2007/PartnerControls"/>
    <ds:schemaRef ds:uri="3e02667f-0271-471b-bd6e-11a2e16def1d"/>
  </ds:schemaRefs>
</ds:datastoreItem>
</file>

<file path=customXml/itemProps4.xml><?xml version="1.0" encoding="utf-8"?>
<ds:datastoreItem xmlns:ds="http://schemas.openxmlformats.org/officeDocument/2006/customXml" ds:itemID="{BC50B704-4D65-43D9-8B3C-7A29F8A6351B}">
  <ds:schemaRefs>
    <ds:schemaRef ds:uri="http://schemas.openxmlformats.org/officeDocument/2006/bibliography"/>
  </ds:schemaRefs>
</ds:datastoreItem>
</file>

<file path=customXml/itemProps5.xml><?xml version="1.0" encoding="utf-8"?>
<ds:datastoreItem xmlns:ds="http://schemas.openxmlformats.org/officeDocument/2006/customXml" ds:itemID="{2FFC34ED-4FBC-4BD8-836C-764967745876}">
  <ds:schemaRefs>
    <ds:schemaRef ds:uri="Microsoft.SharePoint.Taxonomy.ContentTypeSync"/>
  </ds:schemaRefs>
</ds:datastoreItem>
</file>

<file path=customXml/itemProps6.xml><?xml version="1.0" encoding="utf-8"?>
<ds:datastoreItem xmlns:ds="http://schemas.openxmlformats.org/officeDocument/2006/customXml" ds:itemID="{6462F496-9BB3-4EC0-A8B4-CCA1571DC0F7}">
  <ds:schemaRefs>
    <ds:schemaRef ds:uri="http://schemas.microsoft.com/sharepoint/v3/contenttype/forms"/>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62</Pages>
  <Words>22929</Words>
  <Characters>135286</Characters>
  <Application>Microsoft Office Word</Application>
  <DocSecurity>4</DocSecurity>
  <Lines>3656</Lines>
  <Paragraphs>2511</Paragraphs>
  <ScaleCrop>false</ScaleCrop>
  <HeadingPairs>
    <vt:vector size="2" baseType="variant">
      <vt:variant>
        <vt:lpstr>Title</vt:lpstr>
      </vt:variant>
      <vt:variant>
        <vt:i4>1</vt:i4>
      </vt:variant>
    </vt:vector>
  </HeadingPairs>
  <TitlesOfParts>
    <vt:vector size="1" baseType="lpstr">
      <vt:lpstr>Mid-Term Review: Viet Nam Private Sector Development Partnership (VPSDP)</vt:lpstr>
    </vt:vector>
  </TitlesOfParts>
  <Company>jamesbroom.com</Company>
  <LinksUpToDate>false</LinksUpToDate>
  <CharactersWithSpaces>155704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Viet Nam Private Sector Development Partnership (VPSDP)</dc:title>
  <dc:subject/>
  <dc:creator>Emily Wilson</dc:creator>
  <cp:keywords>[SEC=OFFICIAL]</cp:keywords>
  <dc:description/>
  <cp:revision>2</cp:revision>
  <cp:lastPrinted>2026-06-30T06:52:00Z</cp:lastPrinted>
  <dcterms:created xsi:type="dcterms:W3CDTF">2026-07-13T04:45:00Z</dcterms:created>
  <dcterms:modified xsi:type="dcterms:W3CDTF">2026-07-13T04:45:00Z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be16eaccf4749f086104f7c67297f76">
    <vt:lpwstr>World Bank|bc205cc9-8a56-48a3-9f30-b099e7707c1b</vt:lpwstr>
  </property>
  <property fmtid="{D5CDD505-2E9C-101B-9397-08002B2CF9AE}" pid="3" name="TaxKeyword">
    <vt:lpwstr/>
  </property>
  <property fmtid="{D5CDD505-2E9C-101B-9397-08002B2CF9AE}" pid="4" name="hbe71f8dfd024405860d37e862f27a82">
    <vt:lpwstr/>
  </property>
  <property fmtid="{D5CDD505-2E9C-101B-9397-08002B2CF9AE}" pid="5" name="WBDocs_Country">
    <vt:lpwstr/>
  </property>
  <property fmtid="{D5CDD505-2E9C-101B-9397-08002B2CF9AE}" pid="6" name="WBDocs_Local_Document_Type">
    <vt:lpwstr/>
  </property>
  <property fmtid="{D5CDD505-2E9C-101B-9397-08002B2CF9AE}" pid="7" name="MediaServiceImageTags">
    <vt:lpwstr/>
  </property>
  <property fmtid="{D5CDD505-2E9C-101B-9397-08002B2CF9AE}" pid="8" name="m23003d518f743f49dcbc82909afe93a">
    <vt:lpwstr/>
  </property>
  <property fmtid="{D5CDD505-2E9C-101B-9397-08002B2CF9AE}" pid="9" name="d744a75525f04a8c9e54f4ed11bfe7c0">
    <vt:lpwstr/>
  </property>
  <property fmtid="{D5CDD505-2E9C-101B-9397-08002B2CF9AE}" pid="10" name="WBDocs_Topic">
    <vt:lpwstr/>
  </property>
  <property fmtid="{D5CDD505-2E9C-101B-9397-08002B2CF9AE}" pid="11" name="TaxKeywordTaxHTField">
    <vt:lpwstr/>
  </property>
  <property fmtid="{D5CDD505-2E9C-101B-9397-08002B2CF9AE}" pid="12" name="WBDocs_Category">
    <vt:lpwstr/>
  </property>
  <property fmtid="{D5CDD505-2E9C-101B-9397-08002B2CF9AE}" pid="13" name="WBDocs_Language">
    <vt:lpwstr/>
  </property>
  <property fmtid="{D5CDD505-2E9C-101B-9397-08002B2CF9AE}" pid="14" name="n51c50147e554be9a5479ee6e2785bf7">
    <vt:lpwstr/>
  </property>
  <property fmtid="{D5CDD505-2E9C-101B-9397-08002B2CF9AE}" pid="15" name="pf1bc08d06b541998378c6b8090400d8">
    <vt:lpwstr/>
  </property>
  <property fmtid="{D5CDD505-2E9C-101B-9397-08002B2CF9AE}" pid="16" name="WBDocs_Business_Function">
    <vt:lpwstr/>
  </property>
  <property fmtid="{D5CDD505-2E9C-101B-9397-08002B2CF9AE}" pid="17" name="lcf76f155ced4ddcb4097134ff3c332f">
    <vt:lpwstr/>
  </property>
  <property fmtid="{D5CDD505-2E9C-101B-9397-08002B2CF9AE}" pid="18" name="WBDocs_Originating_Unit">
    <vt:lpwstr/>
  </property>
  <property fmtid="{D5CDD505-2E9C-101B-9397-08002B2CF9AE}" pid="19" name="Organization">
    <vt:lpwstr>3;#World Bank|bc205cc9-8a56-48a3-9f30-b099e7707c1b</vt:lpwstr>
  </property>
  <property fmtid="{D5CDD505-2E9C-101B-9397-08002B2CF9AE}" pid="20" name="PM_Namespace">
    <vt:lpwstr>gov.au</vt:lpwstr>
  </property>
  <property fmtid="{D5CDD505-2E9C-101B-9397-08002B2CF9AE}" pid="21" name="PM_Caveats_Count">
    <vt:lpwstr>0</vt:lpwstr>
  </property>
  <property fmtid="{D5CDD505-2E9C-101B-9397-08002B2CF9AE}" pid="22" name="PM_Version">
    <vt:lpwstr>2018.4</vt:lpwstr>
  </property>
  <property fmtid="{D5CDD505-2E9C-101B-9397-08002B2CF9AE}" pid="23" name="PM_Note">
    <vt:lpwstr/>
  </property>
  <property fmtid="{D5CDD505-2E9C-101B-9397-08002B2CF9AE}" pid="24" name="PMHMAC">
    <vt:lpwstr>v=2022.1;a=SHA256;h=597844992011E845E2D0D5FEA5BD664CB46ADC075146A2874FF3340C92E71585</vt:lpwstr>
  </property>
  <property fmtid="{D5CDD505-2E9C-101B-9397-08002B2CF9AE}" pid="25" name="PM_Qualifier">
    <vt:lpwstr/>
  </property>
  <property fmtid="{D5CDD505-2E9C-101B-9397-08002B2CF9AE}" pid="26" name="PM_SecurityClassification">
    <vt:lpwstr>OFFICIAL</vt:lpwstr>
  </property>
  <property fmtid="{D5CDD505-2E9C-101B-9397-08002B2CF9AE}" pid="27" name="PM_ProtectiveMarkingValue_Header">
    <vt:lpwstr>OFFICIAL</vt:lpwstr>
  </property>
  <property fmtid="{D5CDD505-2E9C-101B-9397-08002B2CF9AE}" pid="28" name="PM_OriginationTimeStamp">
    <vt:lpwstr>2025-05-27T22:04:49Z</vt:lpwstr>
  </property>
  <property fmtid="{D5CDD505-2E9C-101B-9397-08002B2CF9AE}" pid="29" name="PM_Markers">
    <vt:lpwstr/>
  </property>
  <property fmtid="{D5CDD505-2E9C-101B-9397-08002B2CF9AE}" pid="30" name="PM_InsertionValue">
    <vt:lpwstr>OFFICIAL</vt:lpwstr>
  </property>
  <property fmtid="{D5CDD505-2E9C-101B-9397-08002B2CF9AE}" pid="31" name="PM_Originator_Hash_SHA1">
    <vt:lpwstr>6114F70D0489320B798291B2AF0188275F87CCAF</vt:lpwstr>
  </property>
  <property fmtid="{D5CDD505-2E9C-101B-9397-08002B2CF9AE}" pid="32" name="PM_DisplayValueSecClassificationWithQualifier">
    <vt:lpwstr>OFFICIAL</vt:lpwstr>
  </property>
  <property fmtid="{D5CDD505-2E9C-101B-9397-08002B2CF9AE}" pid="33" name="PM_Originating_FileId">
    <vt:lpwstr>E1587D1D796C477FA09BE0A9A8FA4A8F</vt:lpwstr>
  </property>
  <property fmtid="{D5CDD505-2E9C-101B-9397-08002B2CF9AE}" pid="34" name="PM_ProtectiveMarkingValue_Footer">
    <vt:lpwstr>OFFICIAL</vt:lpwstr>
  </property>
  <property fmtid="{D5CDD505-2E9C-101B-9397-08002B2CF9AE}" pid="35" name="PM_ProtectiveMarkingImage_Header">
    <vt:lpwstr>C:\Program Files\Common Files\janusNET Shared\janusSEAL\Images\DocumentSlashBlue.png</vt:lpwstr>
  </property>
  <property fmtid="{D5CDD505-2E9C-101B-9397-08002B2CF9AE}" pid="36" name="PM_ProtectiveMarkingImage_Footer">
    <vt:lpwstr>C:\Program Files\Common Files\janusNET Shared\janusSEAL\Images\DocumentSlashBlue.png</vt:lpwstr>
  </property>
  <property fmtid="{D5CDD505-2E9C-101B-9397-08002B2CF9AE}" pid="37" name="PM_Display">
    <vt:lpwstr>OFFICIAL</vt:lpwstr>
  </property>
  <property fmtid="{D5CDD505-2E9C-101B-9397-08002B2CF9AE}" pid="38" name="PM_OriginatorUserAccountName_SHA256">
    <vt:lpwstr>5B3971224FDCD74811E777ADE866F864DFB9977AF0420E46096DAD8739F3DB67</vt:lpwstr>
  </property>
  <property fmtid="{D5CDD505-2E9C-101B-9397-08002B2CF9AE}" pid="39" name="PM_OriginatorDomainName_SHA256">
    <vt:lpwstr>6F3591835F3B2A8A025B00B5BA6418010DA3A17C9C26EA9C049FFD28039489A2</vt:lpwstr>
  </property>
  <property fmtid="{D5CDD505-2E9C-101B-9397-08002B2CF9AE}" pid="40" name="PMUuid">
    <vt:lpwstr>v=2022.2;d=gov.au;g=46DD6D7C-8107-577B-BC6E-F348953B2E44</vt:lpwstr>
  </property>
  <property fmtid="{D5CDD505-2E9C-101B-9397-08002B2CF9AE}" pid="41" name="PM_Hash_Version">
    <vt:lpwstr>2022.1</vt:lpwstr>
  </property>
  <property fmtid="{D5CDD505-2E9C-101B-9397-08002B2CF9AE}" pid="42" name="PM_Hash_Salt_Prev">
    <vt:lpwstr>A453789046D3A7F5C4C9F1B378446B40</vt:lpwstr>
  </property>
  <property fmtid="{D5CDD505-2E9C-101B-9397-08002B2CF9AE}" pid="43" name="PM_Hash_Salt">
    <vt:lpwstr>8066C6BC0B6697AFA3A19A3FD9671C73</vt:lpwstr>
  </property>
  <property fmtid="{D5CDD505-2E9C-101B-9397-08002B2CF9AE}" pid="44" name="PM_Hash_SHA1">
    <vt:lpwstr>DE47C56DECCB3BBEE121586C07BBBE17137C0E27</vt:lpwstr>
  </property>
  <property fmtid="{D5CDD505-2E9C-101B-9397-08002B2CF9AE}" pid="45" name="PM_SecurityClassification_Prev">
    <vt:lpwstr>OFFICIAL</vt:lpwstr>
  </property>
  <property fmtid="{D5CDD505-2E9C-101B-9397-08002B2CF9AE}" pid="46" name="PM_Qualifier_Prev">
    <vt:lpwstr/>
  </property>
  <property fmtid="{D5CDD505-2E9C-101B-9397-08002B2CF9AE}" pid="47" name="ClassificationContentMarkingFooterShapeIds">
    <vt:lpwstr>4f9d7228,2029b420,52ac94c,47268ef1,5a6b5c00,22f4ed78,62aeba56,7128333e,5fe48ce3,8aaae06,7a1178e2,5f2e8527,699032af</vt:lpwstr>
  </property>
  <property fmtid="{D5CDD505-2E9C-101B-9397-08002B2CF9AE}" pid="48" name="ClassificationContentMarkingFooterFontProps">
    <vt:lpwstr>#ff0000,12,Aptos</vt:lpwstr>
  </property>
  <property fmtid="{D5CDD505-2E9C-101B-9397-08002B2CF9AE}" pid="49" name="ClassificationContentMarkingFooterText">
    <vt:lpwstr>OFFICIAL</vt:lpwstr>
  </property>
  <property fmtid="{D5CDD505-2E9C-101B-9397-08002B2CF9AE}" pid="50" name="MSIP_Label_f1bf45b6-5649-4236-82a3-f45024cd282e_Enabled">
    <vt:lpwstr>true</vt:lpwstr>
  </property>
  <property fmtid="{D5CDD505-2E9C-101B-9397-08002B2CF9AE}" pid="51" name="MSIP_Label_f1bf45b6-5649-4236-82a3-f45024cd282e_SetDate">
    <vt:lpwstr>2025-06-16T04:52:53Z</vt:lpwstr>
  </property>
  <property fmtid="{D5CDD505-2E9C-101B-9397-08002B2CF9AE}" pid="52" name="MSIP_Label_f1bf45b6-5649-4236-82a3-f45024cd282e_Method">
    <vt:lpwstr>Standard</vt:lpwstr>
  </property>
  <property fmtid="{D5CDD505-2E9C-101B-9397-08002B2CF9AE}" pid="53" name="MSIP_Label_f1bf45b6-5649-4236-82a3-f45024cd282e_Name">
    <vt:lpwstr>Official Use Only</vt:lpwstr>
  </property>
  <property fmtid="{D5CDD505-2E9C-101B-9397-08002B2CF9AE}" pid="54" name="MSIP_Label_f1bf45b6-5649-4236-82a3-f45024cd282e_SiteId">
    <vt:lpwstr>31a2fec0-266b-4c67-b56e-2796d8f59c36</vt:lpwstr>
  </property>
  <property fmtid="{D5CDD505-2E9C-101B-9397-08002B2CF9AE}" pid="55" name="MSIP_Label_f1bf45b6-5649-4236-82a3-f45024cd282e_ActionId">
    <vt:lpwstr>afa91006-3011-4c7b-a4d1-36aba1c609bb</vt:lpwstr>
  </property>
  <property fmtid="{D5CDD505-2E9C-101B-9397-08002B2CF9AE}" pid="56" name="MSIP_Label_f1bf45b6-5649-4236-82a3-f45024cd282e_ContentBits">
    <vt:lpwstr>2</vt:lpwstr>
  </property>
  <property fmtid="{D5CDD505-2E9C-101B-9397-08002B2CF9AE}" pid="57" name="MSIP_Label_f1bf45b6-5649-4236-82a3-f45024cd282e_Tag">
    <vt:lpwstr>10, 3, 0, 1</vt:lpwstr>
  </property>
  <property fmtid="{D5CDD505-2E9C-101B-9397-08002B2CF9AE}" pid="58" name="GrammarlyDocumentId">
    <vt:lpwstr>4fc9bf630c81c6e648d03223bdfaf32eb437dba4b9e5b61da76447aab9bc54bf</vt:lpwstr>
  </property>
  <property fmtid="{D5CDD505-2E9C-101B-9397-08002B2CF9AE}" pid="59" name="ContentTypeId">
    <vt:lpwstr>0x010100E5322611B3EDC84DA11FE54B39A09DF70100C6F7C94C8076114287B938E5F107D5E7</vt:lpwstr>
  </property>
  <property fmtid="{D5CDD505-2E9C-101B-9397-08002B2CF9AE}" pid="60" name="ifc_business_unit">
    <vt:lpwstr/>
  </property>
  <property fmtid="{D5CDD505-2E9C-101B-9397-08002B2CF9AE}" pid="61" name="docLang">
    <vt:lpwstr>en</vt:lpwstr>
  </property>
  <property fmtid="{D5CDD505-2E9C-101B-9397-08002B2CF9AE}" pid="62" name="ClassificationContentMarkingHeaderShapeIds">
    <vt:lpwstr>1fd42726,79577c79,59decf94,240cb77d</vt:lpwstr>
  </property>
  <property fmtid="{D5CDD505-2E9C-101B-9397-08002B2CF9AE}" pid="63" name="ClassificationContentMarkingHeaderFontProps">
    <vt:lpwstr>#ff0000,12,Aptos</vt:lpwstr>
  </property>
  <property fmtid="{D5CDD505-2E9C-101B-9397-08002B2CF9AE}" pid="64" name="ClassificationContentMarkingHeaderText">
    <vt:lpwstr>OFFICIAL</vt:lpwstr>
  </property>
</Properties>
</file>