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C979E" w14:textId="7CF9BC74" w:rsidR="00C657FB" w:rsidRDefault="00686447" w:rsidP="00C657FB">
      <w:pPr>
        <w:pStyle w:val="DocName"/>
        <w:pBdr>
          <w:top w:val="single" w:sz="4" w:space="12" w:color="FF9900"/>
          <w:bottom w:val="single" w:sz="4" w:space="5" w:color="FF9900"/>
        </w:pBdr>
        <w:shd w:val="clear" w:color="auto" w:fill="FFFFCC"/>
        <w:spacing w:line="360" w:lineRule="auto"/>
        <w:rPr>
          <w:sz w:val="24"/>
          <w:lang w:eastAsia="en-AU"/>
        </w:rPr>
      </w:pPr>
      <w:bookmarkStart w:id="0" w:name="_GoBack"/>
      <w:bookmarkEnd w:id="0"/>
      <w:r>
        <w:rPr>
          <w:sz w:val="24"/>
          <w:lang w:eastAsia="en-AU"/>
        </w:rPr>
        <w:t>Independent Evaluation of the Village Health Worker</w:t>
      </w:r>
      <w:r w:rsidR="00737562">
        <w:rPr>
          <w:sz w:val="24"/>
          <w:lang w:eastAsia="en-AU"/>
        </w:rPr>
        <w:t xml:space="preserve"> (VHW)</w:t>
      </w:r>
      <w:r>
        <w:rPr>
          <w:sz w:val="24"/>
          <w:lang w:eastAsia="en-AU"/>
        </w:rPr>
        <w:t xml:space="preserve"> Program, Vanuatu</w:t>
      </w:r>
    </w:p>
    <w:p w14:paraId="5DEC979F" w14:textId="77777777" w:rsidR="00C657FB" w:rsidRDefault="00F37B61" w:rsidP="00C657FB">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MANAGEMENT RESPONSE</w:t>
      </w:r>
    </w:p>
    <w:p w14:paraId="5DEC97A0" w14:textId="77777777" w:rsidR="00C657FB" w:rsidRDefault="000B520A" w:rsidP="00683EB4">
      <w:pPr>
        <w:pStyle w:val="Heading2"/>
      </w:pPr>
      <w:r>
        <w:t xml:space="preserve">Initiative </w:t>
      </w:r>
      <w:r w:rsidR="00C657FB">
        <w:t>Summary</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2693"/>
        <w:gridCol w:w="1843"/>
        <w:gridCol w:w="2693"/>
      </w:tblGrid>
      <w:tr w:rsidR="00C657FB" w:rsidRPr="00F43CEC" w14:paraId="5DEC97A3" w14:textId="77777777" w:rsidTr="00175FFC">
        <w:trPr>
          <w:cantSplit/>
          <w:tblHeader/>
        </w:trPr>
        <w:tc>
          <w:tcPr>
            <w:tcW w:w="2660" w:type="dxa"/>
            <w:shd w:val="clear" w:color="auto" w:fill="E0E0E0"/>
            <w:vAlign w:val="center"/>
          </w:tcPr>
          <w:p w14:paraId="5DEC97A1" w14:textId="77777777" w:rsidR="00C657FB" w:rsidRPr="00F43CEC" w:rsidRDefault="00EF02B3" w:rsidP="00175FFC">
            <w:pPr>
              <w:pStyle w:val="Table-normal-text"/>
              <w:spacing w:before="120" w:after="120"/>
              <w:rPr>
                <w:b/>
              </w:rPr>
            </w:pPr>
            <w:r>
              <w:rPr>
                <w:b/>
              </w:rPr>
              <w:t>Initiative</w:t>
            </w:r>
            <w:r w:rsidR="00C657FB" w:rsidRPr="00F43CEC">
              <w:rPr>
                <w:b/>
              </w:rPr>
              <w:t xml:space="preserve"> Name</w:t>
            </w:r>
          </w:p>
        </w:tc>
        <w:tc>
          <w:tcPr>
            <w:tcW w:w="7229" w:type="dxa"/>
            <w:gridSpan w:val="3"/>
            <w:shd w:val="clear" w:color="auto" w:fill="E0E0E0"/>
            <w:vAlign w:val="center"/>
          </w:tcPr>
          <w:p w14:paraId="5DEC97A2" w14:textId="76824A0A" w:rsidR="00C657FB" w:rsidRPr="00F43CEC" w:rsidRDefault="00CD0CA5" w:rsidP="00175FFC">
            <w:pPr>
              <w:pStyle w:val="Table-normal-text"/>
              <w:spacing w:before="120" w:after="120"/>
              <w:rPr>
                <w:b/>
              </w:rPr>
            </w:pPr>
            <w:r>
              <w:rPr>
                <w:b/>
              </w:rPr>
              <w:t xml:space="preserve">Vanuatu Health Sector </w:t>
            </w:r>
            <w:r w:rsidR="00B419D3">
              <w:rPr>
                <w:b/>
              </w:rPr>
              <w:t>2010-2014</w:t>
            </w:r>
          </w:p>
        </w:tc>
      </w:tr>
      <w:tr w:rsidR="00C657FB" w:rsidRPr="00F43CEC" w14:paraId="5DEC97A6" w14:textId="77777777" w:rsidTr="00175FFC">
        <w:trPr>
          <w:cantSplit/>
        </w:trPr>
        <w:tc>
          <w:tcPr>
            <w:tcW w:w="2660" w:type="dxa"/>
            <w:shd w:val="clear" w:color="auto" w:fill="auto"/>
          </w:tcPr>
          <w:p w14:paraId="5DEC97A4" w14:textId="77777777" w:rsidR="00C657FB" w:rsidRPr="00F2320B" w:rsidRDefault="00C657FB" w:rsidP="00175FFC">
            <w:pPr>
              <w:pStyle w:val="Table-normal-text"/>
            </w:pPr>
            <w:r w:rsidRPr="00F2320B">
              <w:t>AidWorks initiative number</w:t>
            </w:r>
          </w:p>
        </w:tc>
        <w:tc>
          <w:tcPr>
            <w:tcW w:w="7229" w:type="dxa"/>
            <w:gridSpan w:val="3"/>
            <w:shd w:val="clear" w:color="auto" w:fill="auto"/>
          </w:tcPr>
          <w:p w14:paraId="5DEC97A5" w14:textId="624EBED4" w:rsidR="00C657FB" w:rsidRPr="00F2320B" w:rsidRDefault="00686447" w:rsidP="00175FFC">
            <w:pPr>
              <w:pStyle w:val="Table-normal-text"/>
            </w:pPr>
            <w:r>
              <w:t>INJ438</w:t>
            </w:r>
          </w:p>
        </w:tc>
      </w:tr>
      <w:tr w:rsidR="00C657FB" w:rsidRPr="00F43CEC" w14:paraId="5DEC97AB" w14:textId="77777777" w:rsidTr="00175FFC">
        <w:trPr>
          <w:cantSplit/>
        </w:trPr>
        <w:tc>
          <w:tcPr>
            <w:tcW w:w="2660" w:type="dxa"/>
            <w:shd w:val="clear" w:color="auto" w:fill="auto"/>
          </w:tcPr>
          <w:p w14:paraId="5DEC97A7" w14:textId="77777777" w:rsidR="00C657FB" w:rsidRPr="00F2320B" w:rsidRDefault="00C657FB" w:rsidP="00175FFC">
            <w:pPr>
              <w:pStyle w:val="Table-normal-text"/>
            </w:pPr>
            <w:r w:rsidRPr="00F2320B">
              <w:t xml:space="preserve">Commencement </w:t>
            </w:r>
            <w:r>
              <w:t>d</w:t>
            </w:r>
            <w:r w:rsidRPr="00F2320B">
              <w:t>ate</w:t>
            </w:r>
          </w:p>
        </w:tc>
        <w:tc>
          <w:tcPr>
            <w:tcW w:w="2693" w:type="dxa"/>
            <w:shd w:val="clear" w:color="auto" w:fill="auto"/>
          </w:tcPr>
          <w:p w14:paraId="5DEC97A8" w14:textId="76188289" w:rsidR="00C657FB" w:rsidRPr="00F2320B" w:rsidRDefault="00CD0CA5" w:rsidP="00175FFC">
            <w:pPr>
              <w:pStyle w:val="Table-normal-text"/>
            </w:pPr>
            <w:r>
              <w:t xml:space="preserve">October </w:t>
            </w:r>
            <w:r w:rsidR="00066EC3">
              <w:t>2012</w:t>
            </w:r>
          </w:p>
        </w:tc>
        <w:tc>
          <w:tcPr>
            <w:tcW w:w="1843" w:type="dxa"/>
            <w:shd w:val="clear" w:color="auto" w:fill="auto"/>
          </w:tcPr>
          <w:p w14:paraId="5DEC97A9" w14:textId="77777777" w:rsidR="00C657FB" w:rsidRPr="00F2320B" w:rsidRDefault="00C657FB" w:rsidP="00175FFC">
            <w:pPr>
              <w:pStyle w:val="Table-normal-text"/>
            </w:pPr>
            <w:r w:rsidRPr="00F2320B">
              <w:t xml:space="preserve">Completion </w:t>
            </w:r>
            <w:r>
              <w:t>d</w:t>
            </w:r>
            <w:r w:rsidRPr="00F2320B">
              <w:t>ate</w:t>
            </w:r>
          </w:p>
        </w:tc>
        <w:tc>
          <w:tcPr>
            <w:tcW w:w="2693" w:type="dxa"/>
            <w:shd w:val="clear" w:color="auto" w:fill="auto"/>
          </w:tcPr>
          <w:p w14:paraId="5DEC97AA" w14:textId="2554BEAD" w:rsidR="00C657FB" w:rsidRPr="00F2320B" w:rsidRDefault="00066EC3" w:rsidP="00175FFC">
            <w:pPr>
              <w:pStyle w:val="Table-normal-text"/>
            </w:pPr>
            <w:r>
              <w:t>February 2013</w:t>
            </w:r>
          </w:p>
        </w:tc>
      </w:tr>
      <w:tr w:rsidR="00C657FB" w:rsidRPr="00F43CEC" w14:paraId="5DEC97AE" w14:textId="77777777" w:rsidTr="00175FFC">
        <w:trPr>
          <w:cantSplit/>
        </w:trPr>
        <w:tc>
          <w:tcPr>
            <w:tcW w:w="2660" w:type="dxa"/>
            <w:shd w:val="clear" w:color="auto" w:fill="auto"/>
          </w:tcPr>
          <w:p w14:paraId="5DEC97AC" w14:textId="77777777" w:rsidR="00C657FB" w:rsidRPr="00F2320B" w:rsidRDefault="00C657FB" w:rsidP="00175FFC">
            <w:pPr>
              <w:pStyle w:val="Table-normal-text"/>
            </w:pPr>
            <w:r>
              <w:t>Total Australian $</w:t>
            </w:r>
          </w:p>
        </w:tc>
        <w:tc>
          <w:tcPr>
            <w:tcW w:w="7229" w:type="dxa"/>
            <w:gridSpan w:val="3"/>
            <w:shd w:val="clear" w:color="auto" w:fill="auto"/>
          </w:tcPr>
          <w:p w14:paraId="5DEC97AD" w14:textId="5091BC02" w:rsidR="00C657FB" w:rsidRPr="00F2320B" w:rsidRDefault="00066EC3" w:rsidP="00175FFC">
            <w:pPr>
              <w:pStyle w:val="Table-normal-text"/>
            </w:pPr>
            <w:r>
              <w:t>3.7 Million</w:t>
            </w:r>
          </w:p>
        </w:tc>
      </w:tr>
      <w:tr w:rsidR="00C657FB" w:rsidRPr="00F43CEC" w14:paraId="5DEC97B1" w14:textId="77777777" w:rsidTr="00175FFC">
        <w:trPr>
          <w:cantSplit/>
        </w:trPr>
        <w:tc>
          <w:tcPr>
            <w:tcW w:w="2660" w:type="dxa"/>
            <w:shd w:val="clear" w:color="auto" w:fill="auto"/>
          </w:tcPr>
          <w:p w14:paraId="5DEC97AF" w14:textId="77777777" w:rsidR="00C657FB" w:rsidRPr="00F2320B" w:rsidRDefault="00C657FB" w:rsidP="00175FFC">
            <w:pPr>
              <w:pStyle w:val="Table-normal-text"/>
            </w:pPr>
            <w:r>
              <w:t>Total other $</w:t>
            </w:r>
          </w:p>
        </w:tc>
        <w:tc>
          <w:tcPr>
            <w:tcW w:w="7229" w:type="dxa"/>
            <w:gridSpan w:val="3"/>
            <w:shd w:val="clear" w:color="auto" w:fill="auto"/>
          </w:tcPr>
          <w:p w14:paraId="5DEC97B0" w14:textId="31C32E6F" w:rsidR="00C657FB" w:rsidRPr="00F2320B" w:rsidRDefault="00066EC3" w:rsidP="00175FFC">
            <w:pPr>
              <w:pStyle w:val="Table-normal-text"/>
            </w:pPr>
            <w:r>
              <w:t>N/A</w:t>
            </w:r>
          </w:p>
        </w:tc>
      </w:tr>
      <w:tr w:rsidR="00C657FB" w:rsidRPr="00F43CEC" w14:paraId="5DEC97B4" w14:textId="77777777" w:rsidTr="00175FFC">
        <w:trPr>
          <w:cantSplit/>
        </w:trPr>
        <w:tc>
          <w:tcPr>
            <w:tcW w:w="2660" w:type="dxa"/>
            <w:shd w:val="clear" w:color="auto" w:fill="auto"/>
          </w:tcPr>
          <w:p w14:paraId="5DEC97B2" w14:textId="77777777" w:rsidR="00C657FB" w:rsidRPr="00F2320B" w:rsidRDefault="00C657FB" w:rsidP="00175FFC">
            <w:pPr>
              <w:pStyle w:val="Table-normal-text"/>
            </w:pPr>
            <w:r w:rsidRPr="00F2320B">
              <w:t>Delivery organisation(s)</w:t>
            </w:r>
          </w:p>
        </w:tc>
        <w:tc>
          <w:tcPr>
            <w:tcW w:w="7229" w:type="dxa"/>
            <w:gridSpan w:val="3"/>
            <w:shd w:val="clear" w:color="auto" w:fill="auto"/>
          </w:tcPr>
          <w:p w14:paraId="5DEC97B3" w14:textId="01E685AD" w:rsidR="00C657FB" w:rsidRPr="00F2320B" w:rsidRDefault="00066EC3" w:rsidP="00175FFC">
            <w:pPr>
              <w:pStyle w:val="Table-normal-text"/>
            </w:pPr>
            <w:r>
              <w:t>Save the Children Australia (SCA)</w:t>
            </w:r>
          </w:p>
        </w:tc>
      </w:tr>
      <w:tr w:rsidR="00C657FB" w:rsidRPr="00F43CEC" w14:paraId="5DEC97B7" w14:textId="77777777" w:rsidTr="00175FFC">
        <w:trPr>
          <w:cantSplit/>
        </w:trPr>
        <w:tc>
          <w:tcPr>
            <w:tcW w:w="2660" w:type="dxa"/>
            <w:shd w:val="clear" w:color="auto" w:fill="auto"/>
          </w:tcPr>
          <w:p w14:paraId="5DEC97B5" w14:textId="77777777" w:rsidR="00C657FB" w:rsidRPr="00F2320B" w:rsidRDefault="00C657FB" w:rsidP="00845B17">
            <w:pPr>
              <w:pStyle w:val="Table-normal-text"/>
            </w:pPr>
            <w:r w:rsidRPr="00F2320B">
              <w:t xml:space="preserve">Implementing </w:t>
            </w:r>
            <w:r w:rsidR="00845B17">
              <w:t>p</w:t>
            </w:r>
            <w:r w:rsidR="00845B17" w:rsidRPr="00F2320B">
              <w:t>artner</w:t>
            </w:r>
            <w:r w:rsidRPr="00F2320B">
              <w:t>(s)</w:t>
            </w:r>
          </w:p>
        </w:tc>
        <w:tc>
          <w:tcPr>
            <w:tcW w:w="7229" w:type="dxa"/>
            <w:gridSpan w:val="3"/>
            <w:shd w:val="clear" w:color="auto" w:fill="auto"/>
          </w:tcPr>
          <w:p w14:paraId="5DEC97B6" w14:textId="27D925F4" w:rsidR="00C657FB" w:rsidRPr="00F2320B" w:rsidRDefault="00066EC3" w:rsidP="00175FFC">
            <w:pPr>
              <w:pStyle w:val="Table-normal-text"/>
            </w:pPr>
            <w:r>
              <w:t>Ministry of Health (MoH)</w:t>
            </w:r>
          </w:p>
        </w:tc>
      </w:tr>
      <w:tr w:rsidR="00C657FB" w:rsidRPr="00F43CEC" w14:paraId="5DEC97BA" w14:textId="77777777" w:rsidTr="00175FFC">
        <w:trPr>
          <w:cantSplit/>
        </w:trPr>
        <w:tc>
          <w:tcPr>
            <w:tcW w:w="2660" w:type="dxa"/>
            <w:shd w:val="clear" w:color="auto" w:fill="auto"/>
          </w:tcPr>
          <w:p w14:paraId="5DEC97B8" w14:textId="77777777" w:rsidR="00C657FB" w:rsidRPr="00F2320B" w:rsidRDefault="00C657FB" w:rsidP="00175FFC">
            <w:pPr>
              <w:pStyle w:val="Table-normal-text"/>
            </w:pPr>
            <w:r w:rsidRPr="00F2320B">
              <w:t>Country/Region</w:t>
            </w:r>
          </w:p>
        </w:tc>
        <w:tc>
          <w:tcPr>
            <w:tcW w:w="7229" w:type="dxa"/>
            <w:gridSpan w:val="3"/>
            <w:shd w:val="clear" w:color="auto" w:fill="auto"/>
          </w:tcPr>
          <w:p w14:paraId="5DEC97B9" w14:textId="03A2F560" w:rsidR="00C657FB" w:rsidRPr="00F2320B" w:rsidRDefault="00066EC3" w:rsidP="00175FFC">
            <w:pPr>
              <w:pStyle w:val="Table-normal-text"/>
            </w:pPr>
            <w:r>
              <w:t>Vanuatu</w:t>
            </w:r>
          </w:p>
        </w:tc>
      </w:tr>
      <w:tr w:rsidR="00C657FB" w:rsidRPr="00F43CEC" w14:paraId="5DEC97BD" w14:textId="77777777" w:rsidTr="00175FFC">
        <w:trPr>
          <w:cantSplit/>
        </w:trPr>
        <w:tc>
          <w:tcPr>
            <w:tcW w:w="2660" w:type="dxa"/>
            <w:shd w:val="clear" w:color="auto" w:fill="auto"/>
          </w:tcPr>
          <w:p w14:paraId="5DEC97BB" w14:textId="77777777" w:rsidR="00C657FB" w:rsidRPr="00F2320B" w:rsidRDefault="00C657FB" w:rsidP="00845B17">
            <w:pPr>
              <w:pStyle w:val="Table-normal-text"/>
            </w:pPr>
            <w:r w:rsidRPr="00F2320B">
              <w:t xml:space="preserve">Primary </w:t>
            </w:r>
            <w:r w:rsidR="00845B17">
              <w:t>s</w:t>
            </w:r>
            <w:r w:rsidR="00845B17" w:rsidRPr="00F2320B">
              <w:t>ector</w:t>
            </w:r>
          </w:p>
        </w:tc>
        <w:tc>
          <w:tcPr>
            <w:tcW w:w="7229" w:type="dxa"/>
            <w:gridSpan w:val="3"/>
            <w:shd w:val="clear" w:color="auto" w:fill="auto"/>
          </w:tcPr>
          <w:p w14:paraId="5DEC97BC" w14:textId="1DAC07D8" w:rsidR="00C657FB" w:rsidRPr="00F2320B" w:rsidRDefault="00066EC3" w:rsidP="00175FFC">
            <w:pPr>
              <w:pStyle w:val="Table-normal-text"/>
            </w:pPr>
            <w:r>
              <w:t>Health Sector</w:t>
            </w:r>
          </w:p>
        </w:tc>
      </w:tr>
      <w:tr w:rsidR="00C657FB" w:rsidRPr="00F43CEC" w14:paraId="5DEC97C0" w14:textId="77777777" w:rsidTr="00175FFC">
        <w:trPr>
          <w:cantSplit/>
        </w:trPr>
        <w:tc>
          <w:tcPr>
            <w:tcW w:w="2660" w:type="dxa"/>
            <w:shd w:val="clear" w:color="auto" w:fill="auto"/>
          </w:tcPr>
          <w:p w14:paraId="5DEC97BE" w14:textId="77777777" w:rsidR="00C657FB" w:rsidRPr="00444D45" w:rsidRDefault="00390A59" w:rsidP="00175FFC">
            <w:pPr>
              <w:pStyle w:val="Table-normal-text"/>
            </w:pPr>
            <w:r w:rsidRPr="00444D45">
              <w:lastRenderedPageBreak/>
              <w:t>Initiative</w:t>
            </w:r>
            <w:r w:rsidR="00C657FB" w:rsidRPr="00444D45">
              <w:t xml:space="preserve"> objective</w:t>
            </w:r>
            <w:r w:rsidR="00614E79" w:rsidRPr="00444D45">
              <w:t>/s</w:t>
            </w:r>
          </w:p>
        </w:tc>
        <w:tc>
          <w:tcPr>
            <w:tcW w:w="7229" w:type="dxa"/>
            <w:gridSpan w:val="3"/>
            <w:shd w:val="clear" w:color="auto" w:fill="auto"/>
          </w:tcPr>
          <w:p w14:paraId="1813DC06" w14:textId="77777777" w:rsidR="00CC4B04" w:rsidRPr="00CC4B04" w:rsidRDefault="00CC4B04" w:rsidP="00CC4B04">
            <w:pPr>
              <w:rPr>
                <w:rFonts w:cs="Arial"/>
                <w:szCs w:val="20"/>
              </w:rPr>
            </w:pPr>
            <w:r w:rsidRPr="00CC4B04">
              <w:rPr>
                <w:rFonts w:cs="Arial"/>
                <w:szCs w:val="20"/>
              </w:rPr>
              <w:t>The Vanuatu Health Delivery Strategy outlines shared outcomes with the Ministry of Health.  Progress towards these shared outcomes is feasible during the first four years of funding, but full achievement is expected to require a long-term engagement.  These shared outcomes are:</w:t>
            </w:r>
          </w:p>
          <w:p w14:paraId="4CEC8847" w14:textId="6211C52E" w:rsidR="00CC4B04" w:rsidRPr="00CC4B04" w:rsidRDefault="00CC4B04" w:rsidP="00CC4B04">
            <w:pPr>
              <w:pStyle w:val="dashpointparagraph"/>
              <w:keepLines/>
              <w:widowControl w:val="0"/>
              <w:numPr>
                <w:ilvl w:val="0"/>
                <w:numId w:val="44"/>
              </w:numPr>
              <w:spacing w:after="0"/>
              <w:rPr>
                <w:rFonts w:ascii="Arial" w:hAnsi="Arial" w:cs="Arial"/>
                <w:sz w:val="20"/>
                <w:szCs w:val="20"/>
              </w:rPr>
            </w:pPr>
            <w:r w:rsidRPr="00CC4B04">
              <w:rPr>
                <w:rFonts w:ascii="Arial" w:hAnsi="Arial" w:cs="Arial"/>
                <w:sz w:val="20"/>
                <w:szCs w:val="20"/>
              </w:rPr>
              <w:t>Reduce child mortality</w:t>
            </w:r>
            <w:r w:rsidR="00B419D3">
              <w:rPr>
                <w:rFonts w:ascii="Arial" w:hAnsi="Arial" w:cs="Arial"/>
                <w:sz w:val="20"/>
                <w:szCs w:val="20"/>
              </w:rPr>
              <w:t>;</w:t>
            </w:r>
          </w:p>
          <w:p w14:paraId="2934EB2E" w14:textId="5EC665CD" w:rsidR="00CC4B04" w:rsidRPr="00CC4B04" w:rsidRDefault="00CC4B04" w:rsidP="00CC4B04">
            <w:pPr>
              <w:pStyle w:val="dashpointparagraph"/>
              <w:keepLines/>
              <w:widowControl w:val="0"/>
              <w:numPr>
                <w:ilvl w:val="0"/>
                <w:numId w:val="44"/>
              </w:numPr>
              <w:spacing w:after="0"/>
              <w:rPr>
                <w:rFonts w:ascii="Arial" w:hAnsi="Arial" w:cs="Arial"/>
                <w:sz w:val="20"/>
                <w:szCs w:val="20"/>
              </w:rPr>
            </w:pPr>
            <w:r w:rsidRPr="00CC4B04">
              <w:rPr>
                <w:rFonts w:ascii="Arial" w:hAnsi="Arial" w:cs="Arial"/>
                <w:sz w:val="20"/>
                <w:szCs w:val="20"/>
              </w:rPr>
              <w:t>Improve maternal health</w:t>
            </w:r>
            <w:r w:rsidR="00B419D3">
              <w:rPr>
                <w:rFonts w:ascii="Arial" w:hAnsi="Arial" w:cs="Arial"/>
                <w:sz w:val="20"/>
                <w:szCs w:val="20"/>
              </w:rPr>
              <w:t>;</w:t>
            </w:r>
          </w:p>
          <w:p w14:paraId="6E2EFFF3" w14:textId="09274AF8" w:rsidR="00CC4B04" w:rsidRPr="00CC4B04" w:rsidRDefault="00CC4B04" w:rsidP="00CC4B04">
            <w:pPr>
              <w:pStyle w:val="dashpointparagraph"/>
              <w:keepLines/>
              <w:widowControl w:val="0"/>
              <w:numPr>
                <w:ilvl w:val="0"/>
                <w:numId w:val="44"/>
              </w:numPr>
              <w:spacing w:after="0"/>
              <w:rPr>
                <w:rFonts w:ascii="Arial" w:hAnsi="Arial" w:cs="Arial"/>
                <w:sz w:val="20"/>
                <w:szCs w:val="20"/>
              </w:rPr>
            </w:pPr>
            <w:r w:rsidRPr="00CC4B04">
              <w:rPr>
                <w:rFonts w:ascii="Arial" w:hAnsi="Arial" w:cs="Arial"/>
                <w:sz w:val="20"/>
                <w:szCs w:val="20"/>
              </w:rPr>
              <w:t>Combat HIV/AIDS, malaria and other diseases</w:t>
            </w:r>
            <w:r w:rsidR="00B419D3">
              <w:rPr>
                <w:rFonts w:ascii="Arial" w:hAnsi="Arial" w:cs="Arial"/>
                <w:sz w:val="20"/>
                <w:szCs w:val="20"/>
              </w:rPr>
              <w:t>;</w:t>
            </w:r>
          </w:p>
          <w:p w14:paraId="1C1E0EFB" w14:textId="4373B501" w:rsidR="00CC4B04" w:rsidRPr="00CC4B04" w:rsidRDefault="00CC4B04" w:rsidP="00CC4B04">
            <w:pPr>
              <w:pStyle w:val="dotpointparagraph"/>
              <w:widowControl w:val="0"/>
              <w:numPr>
                <w:ilvl w:val="0"/>
                <w:numId w:val="44"/>
              </w:numPr>
              <w:spacing w:after="0"/>
              <w:rPr>
                <w:rFonts w:ascii="Arial" w:hAnsi="Arial" w:cs="Arial"/>
                <w:sz w:val="20"/>
                <w:szCs w:val="20"/>
              </w:rPr>
            </w:pPr>
            <w:r w:rsidRPr="00CC4B04">
              <w:rPr>
                <w:rFonts w:ascii="Arial" w:hAnsi="Arial" w:cs="Arial"/>
                <w:sz w:val="20"/>
                <w:szCs w:val="20"/>
              </w:rPr>
              <w:t>Enhanced access to, and quality of, health care services, particularly for rural communities, including a strengthened health supply chain, strengthened community nursing, and upgraded facilities</w:t>
            </w:r>
            <w:r w:rsidR="00B419D3">
              <w:rPr>
                <w:rFonts w:ascii="Arial" w:hAnsi="Arial" w:cs="Arial"/>
                <w:sz w:val="20"/>
                <w:szCs w:val="20"/>
              </w:rPr>
              <w:t>;</w:t>
            </w:r>
          </w:p>
          <w:p w14:paraId="483176D8" w14:textId="48F3C7F2" w:rsidR="00CC4B04" w:rsidRPr="00CC4B04" w:rsidRDefault="00CC4B04" w:rsidP="00CC4B04">
            <w:pPr>
              <w:pStyle w:val="dotpointparagraph"/>
              <w:widowControl w:val="0"/>
              <w:numPr>
                <w:ilvl w:val="0"/>
                <w:numId w:val="44"/>
              </w:numPr>
              <w:spacing w:after="0"/>
              <w:rPr>
                <w:rFonts w:ascii="Arial" w:hAnsi="Arial" w:cs="Arial"/>
                <w:sz w:val="20"/>
                <w:szCs w:val="20"/>
              </w:rPr>
            </w:pPr>
            <w:r w:rsidRPr="00CC4B04">
              <w:rPr>
                <w:rFonts w:ascii="Arial" w:hAnsi="Arial" w:cs="Arial"/>
                <w:sz w:val="20"/>
                <w:szCs w:val="20"/>
              </w:rPr>
              <w:t>Controlling and progressively eliminating malaria</w:t>
            </w:r>
            <w:r w:rsidR="00B419D3">
              <w:rPr>
                <w:rFonts w:ascii="Arial" w:hAnsi="Arial" w:cs="Arial"/>
                <w:sz w:val="20"/>
                <w:szCs w:val="20"/>
              </w:rPr>
              <w:t>;</w:t>
            </w:r>
          </w:p>
          <w:p w14:paraId="2CA91722" w14:textId="4B4A6DEC" w:rsidR="00CC4B04" w:rsidRPr="00CC4B04" w:rsidRDefault="00CC4B04" w:rsidP="00CC4B04">
            <w:pPr>
              <w:pStyle w:val="dotpointparagraph"/>
              <w:widowControl w:val="0"/>
              <w:numPr>
                <w:ilvl w:val="0"/>
                <w:numId w:val="44"/>
              </w:numPr>
              <w:spacing w:after="0"/>
              <w:rPr>
                <w:rFonts w:ascii="Arial" w:hAnsi="Arial" w:cs="Arial"/>
                <w:sz w:val="20"/>
                <w:szCs w:val="20"/>
              </w:rPr>
            </w:pPr>
            <w:r w:rsidRPr="00CC4B04">
              <w:rPr>
                <w:rFonts w:ascii="Arial" w:hAnsi="Arial" w:cs="Arial"/>
                <w:sz w:val="20"/>
                <w:szCs w:val="20"/>
              </w:rPr>
              <w:t>Improved budgeting, financial and expenditure management</w:t>
            </w:r>
            <w:r w:rsidR="00B419D3">
              <w:rPr>
                <w:rFonts w:ascii="Arial" w:hAnsi="Arial" w:cs="Arial"/>
                <w:sz w:val="20"/>
                <w:szCs w:val="20"/>
              </w:rPr>
              <w:t>;</w:t>
            </w:r>
          </w:p>
          <w:p w14:paraId="6DE944F2" w14:textId="77777777" w:rsidR="00CC4B04" w:rsidRPr="00CC4B04" w:rsidRDefault="00CC4B04" w:rsidP="00CC4B04">
            <w:pPr>
              <w:pStyle w:val="dotpointparagraph"/>
              <w:widowControl w:val="0"/>
              <w:numPr>
                <w:ilvl w:val="0"/>
                <w:numId w:val="44"/>
              </w:numPr>
              <w:spacing w:after="0"/>
              <w:rPr>
                <w:rFonts w:ascii="Arial" w:hAnsi="Arial" w:cs="Arial"/>
                <w:sz w:val="20"/>
                <w:szCs w:val="20"/>
              </w:rPr>
            </w:pPr>
            <w:r w:rsidRPr="00CC4B04">
              <w:rPr>
                <w:rFonts w:ascii="Arial" w:hAnsi="Arial" w:cs="Arial"/>
                <w:sz w:val="20"/>
                <w:szCs w:val="20"/>
              </w:rPr>
              <w:t>Strengthened health information system to track MDG progress and support evidence-based decision-making.</w:t>
            </w:r>
          </w:p>
          <w:p w14:paraId="0A4CD561" w14:textId="07DA7045" w:rsidR="00CC4B04" w:rsidRPr="00CC4B04" w:rsidRDefault="00CC4B04" w:rsidP="00CC4B04">
            <w:pPr>
              <w:rPr>
                <w:rFonts w:cs="Arial"/>
                <w:szCs w:val="20"/>
              </w:rPr>
            </w:pPr>
            <w:r w:rsidRPr="00CC4B04">
              <w:rPr>
                <w:rFonts w:cs="Arial"/>
                <w:szCs w:val="20"/>
              </w:rPr>
              <w:t>Assistance in the sector is structured around these shared outcomes jointly agreed with the Government of Vanuatu through the Partnership for Development process, which will be revised in mid-201</w:t>
            </w:r>
            <w:r w:rsidR="00B419D3">
              <w:rPr>
                <w:rFonts w:cs="Arial"/>
                <w:szCs w:val="20"/>
              </w:rPr>
              <w:t>4</w:t>
            </w:r>
            <w:r w:rsidRPr="00CC4B04">
              <w:rPr>
                <w:rFonts w:cs="Arial"/>
                <w:szCs w:val="20"/>
              </w:rPr>
              <w:t>.  Revision of the Partnership will bring focus away from high-level MDG targets and onto government-led change in key areas of weakness which are essential for achieving :</w:t>
            </w:r>
          </w:p>
          <w:p w14:paraId="40A28F41" w14:textId="77777777" w:rsidR="00CC4B04" w:rsidRPr="00CC4B04" w:rsidRDefault="00CC4B04" w:rsidP="00CC4B04">
            <w:pPr>
              <w:pStyle w:val="dotpointparagraph"/>
              <w:widowControl w:val="0"/>
              <w:numPr>
                <w:ilvl w:val="0"/>
                <w:numId w:val="44"/>
              </w:numPr>
              <w:spacing w:after="0"/>
              <w:rPr>
                <w:rFonts w:ascii="Arial" w:hAnsi="Arial" w:cs="Arial"/>
                <w:sz w:val="20"/>
                <w:szCs w:val="20"/>
              </w:rPr>
            </w:pPr>
            <w:r w:rsidRPr="00CC4B04">
              <w:rPr>
                <w:rFonts w:ascii="Arial" w:hAnsi="Arial" w:cs="Arial"/>
                <w:sz w:val="20"/>
                <w:szCs w:val="20"/>
              </w:rPr>
              <w:t>Public Financial Management strengthening including procurement and assets management;</w:t>
            </w:r>
          </w:p>
          <w:p w14:paraId="375E801D" w14:textId="77777777" w:rsidR="00CC4B04" w:rsidRPr="00CC4B04" w:rsidRDefault="00CC4B04" w:rsidP="00CC4B04">
            <w:pPr>
              <w:pStyle w:val="dotpointparagraph"/>
              <w:widowControl w:val="0"/>
              <w:numPr>
                <w:ilvl w:val="0"/>
                <w:numId w:val="44"/>
              </w:numPr>
              <w:spacing w:after="0"/>
              <w:rPr>
                <w:rFonts w:ascii="Arial" w:hAnsi="Arial" w:cs="Arial"/>
                <w:sz w:val="20"/>
                <w:szCs w:val="20"/>
              </w:rPr>
            </w:pPr>
            <w:r w:rsidRPr="00CC4B04">
              <w:rPr>
                <w:rFonts w:ascii="Arial" w:hAnsi="Arial" w:cs="Arial"/>
                <w:sz w:val="20"/>
                <w:szCs w:val="20"/>
              </w:rPr>
              <w:t>Support for costed, evidence-based workforce planning and management; and</w:t>
            </w:r>
          </w:p>
          <w:p w14:paraId="3F65A7A9" w14:textId="77777777" w:rsidR="00CC4B04" w:rsidRPr="00CC4B04" w:rsidRDefault="00CC4B04" w:rsidP="00CC4B04">
            <w:pPr>
              <w:pStyle w:val="dotpointparagraph"/>
              <w:widowControl w:val="0"/>
              <w:numPr>
                <w:ilvl w:val="0"/>
                <w:numId w:val="44"/>
              </w:numPr>
              <w:spacing w:after="0"/>
              <w:rPr>
                <w:rFonts w:ascii="Arial" w:hAnsi="Arial" w:cs="Arial"/>
                <w:sz w:val="20"/>
                <w:szCs w:val="20"/>
              </w:rPr>
            </w:pPr>
            <w:r w:rsidRPr="00CC4B04">
              <w:rPr>
                <w:rFonts w:ascii="Arial" w:hAnsi="Arial" w:cs="Arial"/>
                <w:sz w:val="20"/>
                <w:szCs w:val="20"/>
              </w:rPr>
              <w:t>Assistance to strengthen provincial service delivery, effectively bolstering primary care provision.</w:t>
            </w:r>
          </w:p>
          <w:p w14:paraId="1C921581" w14:textId="371CAD5D" w:rsidR="00CC4B04" w:rsidRDefault="00CC4B04" w:rsidP="00CC4B04">
            <w:pPr>
              <w:pStyle w:val="Table-normal-text"/>
            </w:pPr>
            <w:r w:rsidRPr="00CC4B04">
              <w:rPr>
                <w:rFonts w:cs="Arial"/>
                <w:szCs w:val="20"/>
              </w:rPr>
              <w:t xml:space="preserve">The 2012 Delivery Strategy mid-term review advocates for a continued shift towards sector budget support, but with more consideration given to a fluid political environment and much stronger measures to protect against fiduciary risk.  To address fragmentation, </w:t>
            </w:r>
            <w:r w:rsidR="00B419D3">
              <w:rPr>
                <w:rFonts w:cs="Arial"/>
                <w:szCs w:val="20"/>
              </w:rPr>
              <w:t>DFAT</w:t>
            </w:r>
            <w:r w:rsidRPr="00CC4B04">
              <w:rPr>
                <w:rFonts w:cs="Arial"/>
                <w:szCs w:val="20"/>
              </w:rPr>
              <w:t xml:space="preserve"> will pull out of areas that contribute little to systems strengthening and will focus implementation strategies in three areas noted above.</w:t>
            </w:r>
            <w:r>
              <w:br/>
            </w:r>
          </w:p>
          <w:p w14:paraId="5DEC97BF" w14:textId="189B6583" w:rsidR="00CC4B04" w:rsidRPr="00F2320B" w:rsidRDefault="00CC4B04" w:rsidP="00175FFC">
            <w:pPr>
              <w:pStyle w:val="Table-normal-text"/>
            </w:pPr>
          </w:p>
        </w:tc>
      </w:tr>
    </w:tbl>
    <w:p w14:paraId="5DEC97C1" w14:textId="77777777" w:rsidR="00C657FB" w:rsidRDefault="00C657FB" w:rsidP="00C657FB">
      <w:pPr>
        <w:pStyle w:val="Heading2"/>
      </w:pPr>
      <w:r>
        <w:t>Evaluation Summary</w:t>
      </w:r>
    </w:p>
    <w:p w14:paraId="5DEC97C2" w14:textId="77777777" w:rsidR="00683EB4" w:rsidRDefault="00683EB4" w:rsidP="00C657FB">
      <w:pPr>
        <w:rPr>
          <w:b/>
        </w:rPr>
      </w:pPr>
    </w:p>
    <w:p w14:paraId="716779E8" w14:textId="15B36B33" w:rsidR="00737562" w:rsidRDefault="00C657FB" w:rsidP="00737562">
      <w:pPr>
        <w:rPr>
          <w:rFonts w:ascii="Arial Narrow" w:hAnsi="Arial Narrow" w:cs="Arial"/>
        </w:rPr>
      </w:pPr>
      <w:r w:rsidRPr="00123C3E">
        <w:rPr>
          <w:b/>
        </w:rPr>
        <w:t>Evaluation Objective:</w:t>
      </w:r>
      <w:r>
        <w:rPr>
          <w:b/>
        </w:rPr>
        <w:t xml:space="preserve"> </w:t>
      </w:r>
      <w:r w:rsidR="00737562" w:rsidRPr="00737562">
        <w:rPr>
          <w:rFonts w:cs="Arial"/>
          <w:szCs w:val="20"/>
        </w:rPr>
        <w:t xml:space="preserve">The primary purpose of the evaluation </w:t>
      </w:r>
      <w:r w:rsidR="00737562">
        <w:rPr>
          <w:rFonts w:cs="Arial"/>
          <w:szCs w:val="20"/>
        </w:rPr>
        <w:t>wa</w:t>
      </w:r>
      <w:r w:rsidR="00737562" w:rsidRPr="00737562">
        <w:rPr>
          <w:rFonts w:cs="Arial"/>
          <w:szCs w:val="20"/>
        </w:rPr>
        <w:t xml:space="preserve">s to provide recommendations on how the VHW Program can best focus its efforts to contribute to primary healthcare in Vanuatu and specifically MoH’s Healthy Islands Policy.  </w:t>
      </w:r>
      <w:r w:rsidR="00737562">
        <w:rPr>
          <w:rFonts w:cs="Arial"/>
          <w:szCs w:val="20"/>
        </w:rPr>
        <w:t>DFAT</w:t>
      </w:r>
      <w:r w:rsidR="00737562" w:rsidRPr="00737562">
        <w:rPr>
          <w:rFonts w:cs="Arial"/>
          <w:szCs w:val="20"/>
        </w:rPr>
        <w:t xml:space="preserve">, SCA and MoH </w:t>
      </w:r>
      <w:r w:rsidR="00737562">
        <w:rPr>
          <w:rFonts w:cs="Arial"/>
          <w:szCs w:val="20"/>
        </w:rPr>
        <w:t>has</w:t>
      </w:r>
      <w:r w:rsidR="00737562" w:rsidRPr="00737562">
        <w:rPr>
          <w:rFonts w:cs="Arial"/>
          <w:szCs w:val="20"/>
        </w:rPr>
        <w:t xml:space="preserve"> use</w:t>
      </w:r>
      <w:r w:rsidR="00737562">
        <w:rPr>
          <w:rFonts w:cs="Arial"/>
          <w:szCs w:val="20"/>
        </w:rPr>
        <w:t>d</w:t>
      </w:r>
      <w:r w:rsidR="00737562" w:rsidRPr="00737562">
        <w:rPr>
          <w:rFonts w:cs="Arial"/>
          <w:szCs w:val="20"/>
        </w:rPr>
        <w:t xml:space="preserve"> this information to make key management decisions including the definition of a renewed program focus, development of a monitoring and evaluation framework, an implementation schedule and appropriate funding levels.</w:t>
      </w:r>
    </w:p>
    <w:p w14:paraId="5DEC97C3" w14:textId="77777777" w:rsidR="00C657FB" w:rsidRPr="00123C3E" w:rsidRDefault="00C657FB" w:rsidP="00C657FB">
      <w:pPr>
        <w:rPr>
          <w:b/>
        </w:rPr>
      </w:pPr>
    </w:p>
    <w:p w14:paraId="5DEC97C4" w14:textId="4C226A3E" w:rsidR="00C657FB" w:rsidRPr="00394FD3" w:rsidRDefault="00C657FB" w:rsidP="00C657FB">
      <w:r w:rsidRPr="00123C3E">
        <w:rPr>
          <w:b/>
        </w:rPr>
        <w:t>Evaluation Completion Date:</w:t>
      </w:r>
      <w:r>
        <w:rPr>
          <w:b/>
        </w:rPr>
        <w:t xml:space="preserve"> </w:t>
      </w:r>
      <w:r w:rsidR="00737562" w:rsidRPr="00737562">
        <w:rPr>
          <w:rFonts w:cs="Arial"/>
          <w:szCs w:val="20"/>
        </w:rPr>
        <w:t>11 March 2013</w:t>
      </w:r>
    </w:p>
    <w:p w14:paraId="5DEC97C6" w14:textId="5362652D" w:rsidR="002824B7" w:rsidRDefault="00C657FB" w:rsidP="005F291F">
      <w:pPr>
        <w:rPr>
          <w:iCs/>
          <w:szCs w:val="20"/>
        </w:rPr>
      </w:pPr>
      <w:r w:rsidRPr="005F291F">
        <w:rPr>
          <w:rFonts w:cs="Arial"/>
          <w:b/>
          <w:szCs w:val="20"/>
        </w:rPr>
        <w:t xml:space="preserve">Evaluation Team: </w:t>
      </w:r>
      <w:r w:rsidR="005F291F">
        <w:rPr>
          <w:iCs/>
          <w:szCs w:val="20"/>
        </w:rPr>
        <w:t>Consultants – Glenn Laverack and Linda Westberg</w:t>
      </w:r>
    </w:p>
    <w:p w14:paraId="5786B002" w14:textId="127E1207" w:rsidR="005F291F" w:rsidRDefault="005F291F" w:rsidP="005F291F">
      <w:pPr>
        <w:rPr>
          <w:iCs/>
          <w:szCs w:val="20"/>
        </w:rPr>
      </w:pPr>
      <w:r>
        <w:rPr>
          <w:iCs/>
          <w:szCs w:val="20"/>
        </w:rPr>
        <w:t>DFAT representative – Kendra Derousseau</w:t>
      </w:r>
    </w:p>
    <w:p w14:paraId="00D05C13" w14:textId="4FB69186" w:rsidR="005F291F" w:rsidRDefault="005F291F" w:rsidP="005F291F">
      <w:pPr>
        <w:rPr>
          <w:iCs/>
          <w:szCs w:val="20"/>
        </w:rPr>
      </w:pPr>
      <w:r>
        <w:rPr>
          <w:iCs/>
          <w:szCs w:val="20"/>
        </w:rPr>
        <w:t>VHW representatives – Chris Hagarty and Caroline Hilton</w:t>
      </w:r>
    </w:p>
    <w:p w14:paraId="29E19FA7" w14:textId="74AE9786" w:rsidR="005F291F" w:rsidRDefault="005F291F" w:rsidP="005F291F">
      <w:pPr>
        <w:rPr>
          <w:iCs/>
          <w:szCs w:val="20"/>
        </w:rPr>
      </w:pPr>
      <w:r>
        <w:rPr>
          <w:iCs/>
          <w:szCs w:val="20"/>
        </w:rPr>
        <w:t>MoH representatives – Len Tarivonda</w:t>
      </w:r>
    </w:p>
    <w:p w14:paraId="07435431" w14:textId="77777777" w:rsidR="005F291F" w:rsidRPr="005F291F" w:rsidRDefault="005F291F" w:rsidP="005F291F">
      <w:pPr>
        <w:rPr>
          <w:rFonts w:cs="Arial"/>
          <w:b/>
          <w:szCs w:val="20"/>
        </w:rPr>
      </w:pPr>
    </w:p>
    <w:p w14:paraId="5DEC97C7" w14:textId="77777777" w:rsidR="00367DA3" w:rsidRDefault="00367DA3" w:rsidP="005E3939">
      <w:pPr>
        <w:rPr>
          <w:b/>
          <w:lang w:eastAsia="en-AU"/>
        </w:rPr>
      </w:pPr>
    </w:p>
    <w:p w14:paraId="5DEC97C8" w14:textId="709BC7C6" w:rsidR="005E3939" w:rsidRPr="008B3156" w:rsidRDefault="00593A96" w:rsidP="000D316D">
      <w:pPr>
        <w:rPr>
          <w:b/>
          <w:sz w:val="22"/>
          <w:szCs w:val="22"/>
          <w:lang w:eastAsia="en-AU"/>
        </w:rPr>
      </w:pPr>
      <w:r>
        <w:rPr>
          <w:b/>
          <w:sz w:val="22"/>
          <w:szCs w:val="22"/>
          <w:lang w:eastAsia="en-AU"/>
        </w:rPr>
        <w:t>DFAT’s</w:t>
      </w:r>
      <w:r w:rsidR="00367DA3" w:rsidRPr="008B3156">
        <w:rPr>
          <w:b/>
          <w:sz w:val="22"/>
          <w:szCs w:val="22"/>
          <w:lang w:eastAsia="en-AU"/>
        </w:rPr>
        <w:t xml:space="preserve"> response to the evaluation report</w:t>
      </w:r>
    </w:p>
    <w:p w14:paraId="5DEC97C9" w14:textId="344F38CA" w:rsidR="00A268C7" w:rsidRPr="004137F2" w:rsidRDefault="005F291F" w:rsidP="00A268C7">
      <w:pPr>
        <w:numPr>
          <w:ilvl w:val="0"/>
          <w:numId w:val="37"/>
        </w:numPr>
        <w:rPr>
          <w:rFonts w:cs="Arial"/>
        </w:rPr>
      </w:pPr>
      <w:r w:rsidRPr="004137F2">
        <w:rPr>
          <w:rFonts w:cs="Arial"/>
        </w:rPr>
        <w:t>Overall, all stakeholders were comfortable with the final report.</w:t>
      </w:r>
    </w:p>
    <w:p w14:paraId="5DEC97CA" w14:textId="05AE6CBC" w:rsidR="00C657FB" w:rsidRPr="004137F2" w:rsidRDefault="004137F2" w:rsidP="00C657FB">
      <w:pPr>
        <w:numPr>
          <w:ilvl w:val="0"/>
          <w:numId w:val="37"/>
        </w:numPr>
        <w:rPr>
          <w:rFonts w:cs="Arial"/>
        </w:rPr>
      </w:pPr>
      <w:r>
        <w:rPr>
          <w:rFonts w:cs="Arial"/>
        </w:rPr>
        <w:t xml:space="preserve">DFAT accepted that there was sound rationale for continuing the VHW program, provided the key weaknesses identified in the evaluation report were addressed. </w:t>
      </w:r>
      <w:r w:rsidR="00E33E4E" w:rsidRPr="004137F2">
        <w:rPr>
          <w:rFonts w:cs="Arial"/>
        </w:rPr>
        <w:t xml:space="preserve"> </w:t>
      </w:r>
    </w:p>
    <w:p w14:paraId="63544CAC" w14:textId="77777777" w:rsidR="007551BA" w:rsidRDefault="007551BA" w:rsidP="00C657FB">
      <w:pPr>
        <w:numPr>
          <w:ilvl w:val="0"/>
          <w:numId w:val="37"/>
        </w:numPr>
        <w:rPr>
          <w:rFonts w:cs="Arial"/>
        </w:rPr>
      </w:pPr>
      <w:r>
        <w:rPr>
          <w:rFonts w:cs="Arial"/>
        </w:rPr>
        <w:t>All recommendations were endorsed by DFAT (see below).  Central to the response to the report has been that MOH ran a tender for</w:t>
      </w:r>
      <w:r w:rsidR="004137F2">
        <w:rPr>
          <w:rFonts w:cs="Arial"/>
        </w:rPr>
        <w:t xml:space="preserve"> a </w:t>
      </w:r>
      <w:r>
        <w:rPr>
          <w:rFonts w:cs="Arial"/>
        </w:rPr>
        <w:t>new</w:t>
      </w:r>
      <w:r w:rsidR="004137F2">
        <w:rPr>
          <w:rFonts w:cs="Arial"/>
        </w:rPr>
        <w:t xml:space="preserve"> program</w:t>
      </w:r>
      <w:r>
        <w:rPr>
          <w:rFonts w:cs="Arial"/>
        </w:rPr>
        <w:t xml:space="preserve"> which adopts those recommendations. </w:t>
      </w:r>
    </w:p>
    <w:p w14:paraId="5DEC97CB" w14:textId="442AA40F" w:rsidR="00C657FB" w:rsidRPr="004137F2" w:rsidRDefault="004137F2" w:rsidP="00C657FB">
      <w:pPr>
        <w:numPr>
          <w:ilvl w:val="0"/>
          <w:numId w:val="37"/>
        </w:numPr>
        <w:rPr>
          <w:rFonts w:cs="Arial"/>
        </w:rPr>
      </w:pPr>
      <w:r>
        <w:rPr>
          <w:rFonts w:cs="Arial"/>
        </w:rPr>
        <w:t>SCA</w:t>
      </w:r>
      <w:r w:rsidR="007551BA">
        <w:rPr>
          <w:rFonts w:cs="Arial"/>
        </w:rPr>
        <w:t xml:space="preserve"> was the successful tenderer</w:t>
      </w:r>
      <w:r>
        <w:rPr>
          <w:rFonts w:cs="Arial"/>
        </w:rPr>
        <w:t xml:space="preserve"> for the new program. The new program </w:t>
      </w:r>
      <w:r w:rsidR="005266C1">
        <w:rPr>
          <w:rFonts w:cs="Arial"/>
        </w:rPr>
        <w:t xml:space="preserve">intends to be a more effective and efficient investment that delivers measureable results. </w:t>
      </w:r>
    </w:p>
    <w:p w14:paraId="5DEC97CD" w14:textId="77777777" w:rsidR="00C657FB" w:rsidRDefault="00C657FB" w:rsidP="00C657FB">
      <w:pPr>
        <w:rPr>
          <w:rFonts w:cs="Arial"/>
        </w:rPr>
      </w:pPr>
    </w:p>
    <w:p w14:paraId="5DEC97CE" w14:textId="77777777" w:rsidR="00367DA3" w:rsidRDefault="00367DA3" w:rsidP="00C657FB">
      <w:pPr>
        <w:rPr>
          <w:rFonts w:cs="Arial"/>
        </w:rPr>
      </w:pPr>
    </w:p>
    <w:p w14:paraId="5DEC97CF" w14:textId="51378511" w:rsidR="00C657FB" w:rsidRPr="008B3156" w:rsidRDefault="00593A96" w:rsidP="000D316D">
      <w:pPr>
        <w:rPr>
          <w:b/>
          <w:sz w:val="22"/>
          <w:szCs w:val="22"/>
          <w:lang w:eastAsia="en-AU"/>
        </w:rPr>
      </w:pPr>
      <w:r>
        <w:rPr>
          <w:b/>
          <w:sz w:val="22"/>
          <w:szCs w:val="22"/>
          <w:lang w:eastAsia="en-AU"/>
        </w:rPr>
        <w:t>DFAT’s</w:t>
      </w:r>
      <w:r w:rsidR="00F63B43" w:rsidRPr="008B3156">
        <w:rPr>
          <w:b/>
          <w:sz w:val="22"/>
          <w:szCs w:val="22"/>
          <w:lang w:eastAsia="en-AU"/>
        </w:rPr>
        <w:t xml:space="preserve"> r</w:t>
      </w:r>
      <w:r w:rsidR="00C657FB" w:rsidRPr="008B3156">
        <w:rPr>
          <w:b/>
          <w:sz w:val="22"/>
          <w:szCs w:val="22"/>
          <w:lang w:eastAsia="en-AU"/>
        </w:rPr>
        <w:t>esponse to the specific rec</w:t>
      </w:r>
      <w:r w:rsidR="00367DA3" w:rsidRPr="008B3156">
        <w:rPr>
          <w:b/>
          <w:sz w:val="22"/>
          <w:szCs w:val="22"/>
          <w:lang w:eastAsia="en-AU"/>
        </w:rPr>
        <w:t>ommendations made in the report</w:t>
      </w:r>
    </w:p>
    <w:p w14:paraId="5DEC97D0" w14:textId="77777777" w:rsidR="00C657FB" w:rsidRDefault="00C657FB" w:rsidP="00C657FB">
      <w:pPr>
        <w:rPr>
          <w:rFonts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2638"/>
        <w:gridCol w:w="2715"/>
        <w:gridCol w:w="2644"/>
        <w:gridCol w:w="1857"/>
      </w:tblGrid>
      <w:tr w:rsidR="00E6298A" w:rsidRPr="00E6298A" w14:paraId="5DEC97D5" w14:textId="77777777" w:rsidTr="00845B17">
        <w:trPr>
          <w:cantSplit/>
        </w:trPr>
        <w:tc>
          <w:tcPr>
            <w:tcW w:w="2638" w:type="dxa"/>
            <w:shd w:val="clear" w:color="auto" w:fill="FFEC9B"/>
            <w:vAlign w:val="center"/>
          </w:tcPr>
          <w:p w14:paraId="5DEC97D1" w14:textId="77777777" w:rsidR="00E6298A" w:rsidRPr="00E6298A" w:rsidRDefault="00E6298A" w:rsidP="001467C6">
            <w:pPr>
              <w:pStyle w:val="Heading2"/>
              <w:spacing w:before="120" w:after="120"/>
              <w:jc w:val="center"/>
              <w:rPr>
                <w:sz w:val="20"/>
                <w:szCs w:val="20"/>
              </w:rPr>
            </w:pPr>
            <w:r w:rsidRPr="00E6298A">
              <w:rPr>
                <w:sz w:val="20"/>
                <w:szCs w:val="20"/>
              </w:rPr>
              <w:t>Recommendation</w:t>
            </w:r>
          </w:p>
        </w:tc>
        <w:tc>
          <w:tcPr>
            <w:tcW w:w="2715" w:type="dxa"/>
            <w:tcBorders>
              <w:right w:val="single" w:sz="4" w:space="0" w:color="auto"/>
            </w:tcBorders>
            <w:shd w:val="clear" w:color="auto" w:fill="FFEC9B"/>
            <w:vAlign w:val="center"/>
          </w:tcPr>
          <w:p w14:paraId="5DEC97D2" w14:textId="77777777" w:rsidR="00E6298A" w:rsidRPr="00E6298A" w:rsidRDefault="00E6298A" w:rsidP="001467C6">
            <w:pPr>
              <w:spacing w:after="120"/>
              <w:jc w:val="center"/>
              <w:rPr>
                <w:rFonts w:cs="Arial"/>
                <w:b/>
                <w:szCs w:val="20"/>
              </w:rPr>
            </w:pPr>
            <w:r w:rsidRPr="00E6298A">
              <w:rPr>
                <w:rFonts w:cs="Arial"/>
                <w:b/>
                <w:szCs w:val="20"/>
              </w:rPr>
              <w:t>Response</w:t>
            </w:r>
          </w:p>
        </w:tc>
        <w:tc>
          <w:tcPr>
            <w:tcW w:w="2644" w:type="dxa"/>
            <w:tcBorders>
              <w:left w:val="single" w:sz="4" w:space="0" w:color="auto"/>
            </w:tcBorders>
            <w:shd w:val="clear" w:color="auto" w:fill="FFEC9B"/>
            <w:vAlign w:val="center"/>
          </w:tcPr>
          <w:p w14:paraId="5DEC97D3" w14:textId="77777777" w:rsidR="00E6298A" w:rsidRPr="00E6298A" w:rsidRDefault="00E6298A" w:rsidP="001467C6">
            <w:pPr>
              <w:spacing w:after="120"/>
              <w:jc w:val="center"/>
              <w:rPr>
                <w:rFonts w:cs="Arial"/>
                <w:b/>
                <w:szCs w:val="20"/>
              </w:rPr>
            </w:pPr>
            <w:r w:rsidRPr="00E6298A">
              <w:rPr>
                <w:rFonts w:cs="Arial"/>
                <w:b/>
                <w:szCs w:val="20"/>
              </w:rPr>
              <w:t>Actions</w:t>
            </w:r>
          </w:p>
        </w:tc>
        <w:tc>
          <w:tcPr>
            <w:tcW w:w="1857" w:type="dxa"/>
            <w:tcBorders>
              <w:left w:val="single" w:sz="4" w:space="0" w:color="auto"/>
            </w:tcBorders>
            <w:shd w:val="clear" w:color="auto" w:fill="FFEC9B"/>
            <w:vAlign w:val="center"/>
          </w:tcPr>
          <w:p w14:paraId="5DEC97D4" w14:textId="77777777" w:rsidR="00E6298A" w:rsidRPr="00E6298A" w:rsidRDefault="00E6298A" w:rsidP="001467C6">
            <w:pPr>
              <w:spacing w:after="120"/>
              <w:jc w:val="center"/>
              <w:rPr>
                <w:rFonts w:cs="Arial"/>
                <w:szCs w:val="20"/>
              </w:rPr>
            </w:pPr>
            <w:r w:rsidRPr="00E6298A">
              <w:rPr>
                <w:b/>
                <w:szCs w:val="20"/>
              </w:rPr>
              <w:t>Responsibility</w:t>
            </w:r>
          </w:p>
        </w:tc>
      </w:tr>
      <w:tr w:rsidR="00E6298A" w:rsidRPr="00F43CEC" w14:paraId="5DEC97DB" w14:textId="77777777" w:rsidTr="00F01177">
        <w:trPr>
          <w:cantSplit/>
          <w:trHeight w:val="885"/>
        </w:trPr>
        <w:tc>
          <w:tcPr>
            <w:tcW w:w="2638" w:type="dxa"/>
            <w:shd w:val="clear" w:color="auto" w:fill="auto"/>
          </w:tcPr>
          <w:p w14:paraId="5DEC97D6" w14:textId="7EE370DB" w:rsidR="00E6298A" w:rsidRPr="00632714" w:rsidRDefault="005266C1" w:rsidP="00783EFE">
            <w:pPr>
              <w:numPr>
                <w:ilvl w:val="0"/>
                <w:numId w:val="38"/>
              </w:numPr>
              <w:spacing w:after="120"/>
              <w:ind w:left="426" w:hanging="426"/>
              <w:rPr>
                <w:b/>
              </w:rPr>
            </w:pPr>
            <w:r w:rsidRPr="003D4C94">
              <w:rPr>
                <w:szCs w:val="20"/>
              </w:rPr>
              <w:t>Develop a phased, realistic transition plan, with clear steps and milestones towards integration of the program into MOH, while being aware of capacity constraints. Strategies for strengthening management systems and leadership of the program should be specified, with explicit milestones for gradual transition, for example the integration of key program management roles into the MOH after the first two years.</w:t>
            </w:r>
          </w:p>
        </w:tc>
        <w:tc>
          <w:tcPr>
            <w:tcW w:w="2715" w:type="dxa"/>
            <w:tcBorders>
              <w:right w:val="single" w:sz="4" w:space="0" w:color="auto"/>
            </w:tcBorders>
            <w:shd w:val="clear" w:color="auto" w:fill="auto"/>
          </w:tcPr>
          <w:p w14:paraId="5DEC97D8" w14:textId="2BBC8486" w:rsidR="00E6298A" w:rsidRPr="00F43CEC" w:rsidRDefault="005266C1" w:rsidP="00175FFC">
            <w:pPr>
              <w:spacing w:after="120"/>
              <w:rPr>
                <w:rFonts w:cs="Arial"/>
              </w:rPr>
            </w:pPr>
            <w:r>
              <w:rPr>
                <w:rFonts w:cs="Arial"/>
              </w:rPr>
              <w:t>Agree – to ensure that the new program is more effective, efficient, value for more, and delivers measurable results.</w:t>
            </w:r>
          </w:p>
        </w:tc>
        <w:tc>
          <w:tcPr>
            <w:tcW w:w="2644" w:type="dxa"/>
            <w:tcBorders>
              <w:left w:val="single" w:sz="4" w:space="0" w:color="auto"/>
            </w:tcBorders>
            <w:shd w:val="clear" w:color="auto" w:fill="auto"/>
          </w:tcPr>
          <w:p w14:paraId="5DEC97D9" w14:textId="1163075C" w:rsidR="00E6298A" w:rsidRPr="00F43CEC" w:rsidRDefault="005266C1" w:rsidP="005266C1">
            <w:pPr>
              <w:spacing w:after="120"/>
              <w:rPr>
                <w:rFonts w:cs="Arial"/>
              </w:rPr>
            </w:pPr>
            <w:r>
              <w:rPr>
                <w:rFonts w:cs="Arial"/>
              </w:rPr>
              <w:t>This has been addressed in the design of the new program. The new program has already been tendered and currently in inception phase.</w:t>
            </w:r>
          </w:p>
        </w:tc>
        <w:tc>
          <w:tcPr>
            <w:tcW w:w="1857" w:type="dxa"/>
            <w:tcBorders>
              <w:left w:val="single" w:sz="4" w:space="0" w:color="auto"/>
            </w:tcBorders>
            <w:shd w:val="clear" w:color="auto" w:fill="auto"/>
          </w:tcPr>
          <w:p w14:paraId="5DEC97DA" w14:textId="1C94CDA9" w:rsidR="00E6298A" w:rsidRPr="00F43CEC" w:rsidRDefault="005266C1" w:rsidP="00632714">
            <w:pPr>
              <w:spacing w:after="120"/>
              <w:rPr>
                <w:rFonts w:cs="Arial"/>
              </w:rPr>
            </w:pPr>
            <w:r>
              <w:rPr>
                <w:rFonts w:cs="Arial"/>
              </w:rPr>
              <w:t>DFAT/MoH/SCA</w:t>
            </w:r>
          </w:p>
        </w:tc>
      </w:tr>
      <w:tr w:rsidR="005266C1" w:rsidRPr="00F43CEC" w14:paraId="5DEC97E1" w14:textId="77777777" w:rsidTr="005266C1">
        <w:trPr>
          <w:cantSplit/>
          <w:trHeight w:val="2316"/>
        </w:trPr>
        <w:tc>
          <w:tcPr>
            <w:tcW w:w="2638" w:type="dxa"/>
            <w:tcBorders>
              <w:bottom w:val="single" w:sz="4" w:space="0" w:color="auto"/>
            </w:tcBorders>
            <w:shd w:val="clear" w:color="auto" w:fill="auto"/>
          </w:tcPr>
          <w:p w14:paraId="5DEC97DC" w14:textId="6DB36874" w:rsidR="005266C1" w:rsidRDefault="005266C1" w:rsidP="00783EFE">
            <w:pPr>
              <w:numPr>
                <w:ilvl w:val="0"/>
                <w:numId w:val="38"/>
              </w:numPr>
              <w:spacing w:after="120"/>
              <w:ind w:left="426" w:hanging="426"/>
              <w:rPr>
                <w:b/>
              </w:rPr>
            </w:pPr>
            <w:r w:rsidRPr="003D4C94">
              <w:rPr>
                <w:rFonts w:cs="Arial"/>
                <w:szCs w:val="20"/>
              </w:rPr>
              <w:t>Review the allocation of existing budget resources to increase the proportion allocated to Aid Posts, VHWs and HPOs to improve service delivery at the village and district levels.</w:t>
            </w:r>
          </w:p>
        </w:tc>
        <w:tc>
          <w:tcPr>
            <w:tcW w:w="2715" w:type="dxa"/>
            <w:tcBorders>
              <w:bottom w:val="single" w:sz="4" w:space="0" w:color="auto"/>
              <w:right w:val="single" w:sz="4" w:space="0" w:color="auto"/>
            </w:tcBorders>
            <w:shd w:val="clear" w:color="auto" w:fill="auto"/>
          </w:tcPr>
          <w:p w14:paraId="5DEC97DE" w14:textId="28F27C25"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left w:val="single" w:sz="4" w:space="0" w:color="auto"/>
              <w:bottom w:val="single" w:sz="4" w:space="0" w:color="auto"/>
            </w:tcBorders>
            <w:shd w:val="clear" w:color="auto" w:fill="auto"/>
          </w:tcPr>
          <w:p w14:paraId="5DEC97DF" w14:textId="036C3852"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left w:val="single" w:sz="4" w:space="0" w:color="auto"/>
              <w:bottom w:val="single" w:sz="4" w:space="0" w:color="auto"/>
            </w:tcBorders>
            <w:shd w:val="clear" w:color="auto" w:fill="auto"/>
          </w:tcPr>
          <w:p w14:paraId="5DEC97E0" w14:textId="69B95A0F" w:rsidR="005266C1" w:rsidRPr="00F43CEC" w:rsidRDefault="005266C1" w:rsidP="00632714">
            <w:pPr>
              <w:spacing w:after="120"/>
              <w:rPr>
                <w:rFonts w:cs="Arial"/>
              </w:rPr>
            </w:pPr>
            <w:r>
              <w:rPr>
                <w:rFonts w:cs="Arial"/>
              </w:rPr>
              <w:t>DFAT/MoH/SCA</w:t>
            </w:r>
          </w:p>
        </w:tc>
      </w:tr>
      <w:tr w:rsidR="005266C1" w:rsidRPr="00F43CEC" w14:paraId="3CB4A41A" w14:textId="77777777" w:rsidTr="005266C1">
        <w:trPr>
          <w:cantSplit/>
          <w:trHeight w:val="3493"/>
        </w:trPr>
        <w:tc>
          <w:tcPr>
            <w:tcW w:w="2638" w:type="dxa"/>
            <w:tcBorders>
              <w:top w:val="single" w:sz="4" w:space="0" w:color="auto"/>
              <w:bottom w:val="single" w:sz="4" w:space="0" w:color="auto"/>
            </w:tcBorders>
            <w:shd w:val="clear" w:color="auto" w:fill="auto"/>
          </w:tcPr>
          <w:p w14:paraId="37B73B24" w14:textId="469FFBEB" w:rsidR="005266C1" w:rsidRPr="003D4C94" w:rsidRDefault="005266C1" w:rsidP="005266C1">
            <w:pPr>
              <w:numPr>
                <w:ilvl w:val="0"/>
                <w:numId w:val="38"/>
              </w:numPr>
              <w:spacing w:after="120"/>
              <w:ind w:left="426" w:hanging="426"/>
              <w:rPr>
                <w:rFonts w:cs="Arial"/>
                <w:szCs w:val="20"/>
              </w:rPr>
            </w:pPr>
            <w:r>
              <w:rPr>
                <w:szCs w:val="20"/>
              </w:rPr>
              <w:lastRenderedPageBreak/>
              <w:t xml:space="preserve">Better align the program </w:t>
            </w:r>
            <w:r w:rsidRPr="003D4C94">
              <w:rPr>
                <w:szCs w:val="20"/>
              </w:rPr>
              <w:t>with the Healthy Islands Policy, increasing the attention paid to health education and promotion and community mobilisation and aligning program activities with those of the Revitalisation of Primary Health Care initiative.</w:t>
            </w:r>
          </w:p>
        </w:tc>
        <w:tc>
          <w:tcPr>
            <w:tcW w:w="2715" w:type="dxa"/>
            <w:tcBorders>
              <w:top w:val="single" w:sz="4" w:space="0" w:color="auto"/>
              <w:bottom w:val="single" w:sz="4" w:space="0" w:color="auto"/>
              <w:right w:val="single" w:sz="4" w:space="0" w:color="auto"/>
            </w:tcBorders>
            <w:shd w:val="clear" w:color="auto" w:fill="auto"/>
          </w:tcPr>
          <w:p w14:paraId="0B64A621" w14:textId="7991558E"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top w:val="single" w:sz="4" w:space="0" w:color="auto"/>
              <w:left w:val="single" w:sz="4" w:space="0" w:color="auto"/>
              <w:bottom w:val="single" w:sz="4" w:space="0" w:color="auto"/>
            </w:tcBorders>
            <w:shd w:val="clear" w:color="auto" w:fill="auto"/>
          </w:tcPr>
          <w:p w14:paraId="2F45EF7F" w14:textId="2A568F0C"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top w:val="single" w:sz="4" w:space="0" w:color="auto"/>
              <w:left w:val="single" w:sz="4" w:space="0" w:color="auto"/>
              <w:bottom w:val="single" w:sz="4" w:space="0" w:color="auto"/>
            </w:tcBorders>
            <w:shd w:val="clear" w:color="auto" w:fill="auto"/>
          </w:tcPr>
          <w:p w14:paraId="290194C2" w14:textId="55BA85A4" w:rsidR="005266C1" w:rsidRPr="00F43CEC" w:rsidRDefault="005266C1" w:rsidP="00632714">
            <w:pPr>
              <w:spacing w:after="120"/>
              <w:rPr>
                <w:rFonts w:cs="Arial"/>
              </w:rPr>
            </w:pPr>
            <w:r>
              <w:rPr>
                <w:rFonts w:cs="Arial"/>
              </w:rPr>
              <w:t>DFAT/MoH/SCA</w:t>
            </w:r>
          </w:p>
        </w:tc>
      </w:tr>
      <w:tr w:rsidR="005266C1" w:rsidRPr="00F43CEC" w14:paraId="306515BA" w14:textId="77777777" w:rsidTr="005266C1">
        <w:trPr>
          <w:cantSplit/>
          <w:trHeight w:val="5597"/>
        </w:trPr>
        <w:tc>
          <w:tcPr>
            <w:tcW w:w="2638" w:type="dxa"/>
            <w:tcBorders>
              <w:top w:val="single" w:sz="4" w:space="0" w:color="auto"/>
              <w:bottom w:val="single" w:sz="4" w:space="0" w:color="auto"/>
            </w:tcBorders>
            <w:shd w:val="clear" w:color="auto" w:fill="auto"/>
          </w:tcPr>
          <w:p w14:paraId="37A63483" w14:textId="51CF5289" w:rsidR="005266C1" w:rsidRDefault="005266C1" w:rsidP="005266C1">
            <w:pPr>
              <w:numPr>
                <w:ilvl w:val="0"/>
                <w:numId w:val="38"/>
              </w:numPr>
              <w:spacing w:after="120"/>
              <w:ind w:left="426" w:hanging="426"/>
              <w:rPr>
                <w:szCs w:val="20"/>
              </w:rPr>
            </w:pPr>
            <w:r w:rsidRPr="003D4C94">
              <w:rPr>
                <w:szCs w:val="20"/>
              </w:rPr>
              <w:t>Prepare and implement a systematic approach to monitoring progress (against annual MOH plans) and performance (towards GoV and program outcomes) using existing systems wherever possible. The monitoring system should collect, analyse, report and use information to support monthly management meetings where decisions are made and resource allocation to Aid Posts, VHWs and HPOs are reviewed.</w:t>
            </w:r>
          </w:p>
        </w:tc>
        <w:tc>
          <w:tcPr>
            <w:tcW w:w="2715" w:type="dxa"/>
            <w:tcBorders>
              <w:top w:val="single" w:sz="4" w:space="0" w:color="auto"/>
              <w:bottom w:val="single" w:sz="4" w:space="0" w:color="auto"/>
              <w:right w:val="single" w:sz="4" w:space="0" w:color="auto"/>
            </w:tcBorders>
            <w:shd w:val="clear" w:color="auto" w:fill="auto"/>
          </w:tcPr>
          <w:p w14:paraId="7E394C8B" w14:textId="578C18AD"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top w:val="single" w:sz="4" w:space="0" w:color="auto"/>
              <w:left w:val="single" w:sz="4" w:space="0" w:color="auto"/>
              <w:bottom w:val="single" w:sz="4" w:space="0" w:color="auto"/>
            </w:tcBorders>
            <w:shd w:val="clear" w:color="auto" w:fill="auto"/>
          </w:tcPr>
          <w:p w14:paraId="773A7138" w14:textId="070506A4"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top w:val="single" w:sz="4" w:space="0" w:color="auto"/>
              <w:left w:val="single" w:sz="4" w:space="0" w:color="auto"/>
              <w:bottom w:val="single" w:sz="4" w:space="0" w:color="auto"/>
            </w:tcBorders>
            <w:shd w:val="clear" w:color="auto" w:fill="auto"/>
          </w:tcPr>
          <w:p w14:paraId="181673CC" w14:textId="66DC85FC" w:rsidR="005266C1" w:rsidRPr="00F43CEC" w:rsidRDefault="005266C1" w:rsidP="00632714">
            <w:pPr>
              <w:spacing w:after="120"/>
              <w:rPr>
                <w:rFonts w:cs="Arial"/>
              </w:rPr>
            </w:pPr>
            <w:r>
              <w:rPr>
                <w:rFonts w:cs="Arial"/>
              </w:rPr>
              <w:t>DFAT/MoH/SCA</w:t>
            </w:r>
          </w:p>
        </w:tc>
      </w:tr>
      <w:tr w:rsidR="005266C1" w:rsidRPr="00F43CEC" w14:paraId="35A99715" w14:textId="77777777" w:rsidTr="005266C1">
        <w:trPr>
          <w:cantSplit/>
          <w:trHeight w:val="8602"/>
        </w:trPr>
        <w:tc>
          <w:tcPr>
            <w:tcW w:w="2638" w:type="dxa"/>
            <w:tcBorders>
              <w:top w:val="single" w:sz="4" w:space="0" w:color="auto"/>
              <w:bottom w:val="single" w:sz="4" w:space="0" w:color="auto"/>
            </w:tcBorders>
            <w:shd w:val="clear" w:color="auto" w:fill="auto"/>
          </w:tcPr>
          <w:p w14:paraId="0393B15D" w14:textId="468C4CE2" w:rsidR="005266C1" w:rsidRPr="005266C1" w:rsidRDefault="005266C1" w:rsidP="005266C1">
            <w:pPr>
              <w:numPr>
                <w:ilvl w:val="0"/>
                <w:numId w:val="38"/>
              </w:numPr>
              <w:spacing w:after="120"/>
              <w:ind w:left="426" w:hanging="426"/>
              <w:rPr>
                <w:rFonts w:cs="Arial"/>
                <w:szCs w:val="20"/>
              </w:rPr>
            </w:pPr>
            <w:r w:rsidRPr="003D4C94">
              <w:rPr>
                <w:szCs w:val="20"/>
              </w:rPr>
              <w:lastRenderedPageBreak/>
              <w:t>Increase focus on community mobilisation and community support for VHWs</w:t>
            </w:r>
            <w:r>
              <w:rPr>
                <w:szCs w:val="20"/>
              </w:rPr>
              <w:t xml:space="preserve">. </w:t>
            </w:r>
            <w:r w:rsidRPr="003D4C94">
              <w:rPr>
                <w:szCs w:val="20"/>
              </w:rPr>
              <w:t>Specifically:</w:t>
            </w:r>
          </w:p>
          <w:p w14:paraId="5407FF05" w14:textId="01F7BD41" w:rsidR="005266C1" w:rsidRPr="005266C1" w:rsidRDefault="005266C1" w:rsidP="005266C1">
            <w:pPr>
              <w:pStyle w:val="ListParagraph"/>
              <w:numPr>
                <w:ilvl w:val="0"/>
                <w:numId w:val="46"/>
              </w:numPr>
              <w:spacing w:after="120"/>
              <w:rPr>
                <w:rFonts w:cs="Arial"/>
                <w:szCs w:val="20"/>
              </w:rPr>
            </w:pPr>
            <w:r w:rsidRPr="005266C1">
              <w:rPr>
                <w:szCs w:val="20"/>
              </w:rPr>
              <w:t>Revitalise Aid Post Committees and broaden their remit to health education and promotion (Suggestions for revisions for the 2003 Health Committees Act, which forms the legal foundation for APCs, are outlined in Annex 9).</w:t>
            </w:r>
          </w:p>
          <w:p w14:paraId="4B829AB3" w14:textId="04C73766" w:rsidR="005266C1" w:rsidRPr="005266C1" w:rsidRDefault="005266C1" w:rsidP="005266C1">
            <w:pPr>
              <w:pStyle w:val="ListParagraph"/>
              <w:numPr>
                <w:ilvl w:val="0"/>
                <w:numId w:val="46"/>
              </w:numPr>
              <w:spacing w:after="120"/>
              <w:rPr>
                <w:rFonts w:cs="Arial"/>
                <w:szCs w:val="20"/>
              </w:rPr>
            </w:pPr>
            <w:r w:rsidRPr="003D4C94">
              <w:rPr>
                <w:szCs w:val="20"/>
              </w:rPr>
              <w:t>Explore options for making small grants available for community level activities.</w:t>
            </w:r>
          </w:p>
          <w:p w14:paraId="581814DC" w14:textId="10C81717" w:rsidR="005266C1" w:rsidRPr="003D4C94" w:rsidRDefault="005266C1" w:rsidP="005266C1">
            <w:pPr>
              <w:pStyle w:val="ListParagraph"/>
              <w:numPr>
                <w:ilvl w:val="0"/>
                <w:numId w:val="46"/>
              </w:numPr>
              <w:spacing w:after="120"/>
              <w:rPr>
                <w:szCs w:val="20"/>
              </w:rPr>
            </w:pPr>
            <w:r w:rsidRPr="003D4C94">
              <w:rPr>
                <w:szCs w:val="20"/>
              </w:rPr>
              <w:t>Explore the potential integration of more Aid Posts with strong existing organisations in communities, such as schools and churches, to encourage and mobilise further community support for VHWs.</w:t>
            </w:r>
          </w:p>
        </w:tc>
        <w:tc>
          <w:tcPr>
            <w:tcW w:w="2715" w:type="dxa"/>
            <w:tcBorders>
              <w:top w:val="single" w:sz="4" w:space="0" w:color="auto"/>
              <w:bottom w:val="single" w:sz="4" w:space="0" w:color="auto"/>
              <w:right w:val="single" w:sz="4" w:space="0" w:color="auto"/>
            </w:tcBorders>
            <w:shd w:val="clear" w:color="auto" w:fill="auto"/>
          </w:tcPr>
          <w:p w14:paraId="2EE51251" w14:textId="349B9ADC"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top w:val="single" w:sz="4" w:space="0" w:color="auto"/>
              <w:left w:val="single" w:sz="4" w:space="0" w:color="auto"/>
              <w:bottom w:val="single" w:sz="4" w:space="0" w:color="auto"/>
            </w:tcBorders>
            <w:shd w:val="clear" w:color="auto" w:fill="auto"/>
          </w:tcPr>
          <w:p w14:paraId="24FC7176" w14:textId="0535ABD3"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top w:val="single" w:sz="4" w:space="0" w:color="auto"/>
              <w:left w:val="single" w:sz="4" w:space="0" w:color="auto"/>
              <w:bottom w:val="single" w:sz="4" w:space="0" w:color="auto"/>
            </w:tcBorders>
            <w:shd w:val="clear" w:color="auto" w:fill="auto"/>
          </w:tcPr>
          <w:p w14:paraId="03999303" w14:textId="770D7984" w:rsidR="005266C1" w:rsidRPr="00F43CEC" w:rsidRDefault="005266C1" w:rsidP="00632714">
            <w:pPr>
              <w:spacing w:after="120"/>
              <w:rPr>
                <w:rFonts w:cs="Arial"/>
              </w:rPr>
            </w:pPr>
            <w:r>
              <w:rPr>
                <w:rFonts w:cs="Arial"/>
              </w:rPr>
              <w:t>DFAT/MoH/SCA</w:t>
            </w:r>
          </w:p>
        </w:tc>
      </w:tr>
      <w:tr w:rsidR="005266C1" w:rsidRPr="00F43CEC" w14:paraId="5DB12AB3" w14:textId="77777777" w:rsidTr="005266C1">
        <w:trPr>
          <w:cantSplit/>
          <w:trHeight w:val="5259"/>
        </w:trPr>
        <w:tc>
          <w:tcPr>
            <w:tcW w:w="2638" w:type="dxa"/>
            <w:tcBorders>
              <w:top w:val="single" w:sz="4" w:space="0" w:color="auto"/>
              <w:bottom w:val="single" w:sz="4" w:space="0" w:color="auto"/>
            </w:tcBorders>
            <w:shd w:val="clear" w:color="auto" w:fill="auto"/>
          </w:tcPr>
          <w:p w14:paraId="000F041A" w14:textId="3E8D9932" w:rsidR="005266C1" w:rsidRPr="003D4C94" w:rsidRDefault="005266C1" w:rsidP="005266C1">
            <w:pPr>
              <w:numPr>
                <w:ilvl w:val="0"/>
                <w:numId w:val="38"/>
              </w:numPr>
              <w:spacing w:after="120"/>
              <w:ind w:left="426" w:hanging="426"/>
              <w:rPr>
                <w:szCs w:val="20"/>
              </w:rPr>
            </w:pPr>
            <w:r w:rsidRPr="003D4C94">
              <w:rPr>
                <w:szCs w:val="20"/>
              </w:rPr>
              <w:lastRenderedPageBreak/>
              <w:t>Provide VHWs with quality assured and effective training and materials to enable them to effectively do their work, and explore options for developing more extensive training for VHWs working in remote Aid Posts. This will require expert review of existing curricula and training materials, as well as development and/or adaptation of more appropriate IEC materials, in coordination with the MOHs Health Promotion Unit.</w:t>
            </w:r>
          </w:p>
        </w:tc>
        <w:tc>
          <w:tcPr>
            <w:tcW w:w="2715" w:type="dxa"/>
            <w:tcBorders>
              <w:top w:val="single" w:sz="4" w:space="0" w:color="auto"/>
              <w:bottom w:val="single" w:sz="4" w:space="0" w:color="auto"/>
              <w:right w:val="single" w:sz="4" w:space="0" w:color="auto"/>
            </w:tcBorders>
            <w:shd w:val="clear" w:color="auto" w:fill="auto"/>
          </w:tcPr>
          <w:p w14:paraId="5B1CFD69" w14:textId="5090C6FB"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top w:val="single" w:sz="4" w:space="0" w:color="auto"/>
              <w:left w:val="single" w:sz="4" w:space="0" w:color="auto"/>
              <w:bottom w:val="single" w:sz="4" w:space="0" w:color="auto"/>
            </w:tcBorders>
            <w:shd w:val="clear" w:color="auto" w:fill="auto"/>
          </w:tcPr>
          <w:p w14:paraId="0232862F" w14:textId="660D3213"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top w:val="single" w:sz="4" w:space="0" w:color="auto"/>
              <w:left w:val="single" w:sz="4" w:space="0" w:color="auto"/>
              <w:bottom w:val="single" w:sz="4" w:space="0" w:color="auto"/>
            </w:tcBorders>
            <w:shd w:val="clear" w:color="auto" w:fill="auto"/>
          </w:tcPr>
          <w:p w14:paraId="67525C70" w14:textId="2346F5C5" w:rsidR="005266C1" w:rsidRPr="00F43CEC" w:rsidRDefault="005266C1" w:rsidP="00632714">
            <w:pPr>
              <w:spacing w:after="120"/>
              <w:rPr>
                <w:rFonts w:cs="Arial"/>
              </w:rPr>
            </w:pPr>
            <w:r>
              <w:rPr>
                <w:rFonts w:cs="Arial"/>
              </w:rPr>
              <w:t>DFAT/MoH/SCA</w:t>
            </w:r>
          </w:p>
        </w:tc>
      </w:tr>
      <w:tr w:rsidR="005266C1" w:rsidRPr="00F43CEC" w14:paraId="579CB359" w14:textId="77777777" w:rsidTr="005266C1">
        <w:trPr>
          <w:cantSplit/>
          <w:trHeight w:val="4608"/>
        </w:trPr>
        <w:tc>
          <w:tcPr>
            <w:tcW w:w="2638" w:type="dxa"/>
            <w:tcBorders>
              <w:top w:val="single" w:sz="4" w:space="0" w:color="auto"/>
              <w:bottom w:val="single" w:sz="4" w:space="0" w:color="auto"/>
            </w:tcBorders>
            <w:shd w:val="clear" w:color="auto" w:fill="auto"/>
          </w:tcPr>
          <w:p w14:paraId="6BAD569E" w14:textId="21DAA7E6" w:rsidR="005266C1" w:rsidRPr="003D4C94" w:rsidRDefault="005266C1" w:rsidP="005266C1">
            <w:pPr>
              <w:numPr>
                <w:ilvl w:val="0"/>
                <w:numId w:val="38"/>
              </w:numPr>
              <w:spacing w:after="120"/>
              <w:ind w:left="426" w:hanging="426"/>
              <w:rPr>
                <w:szCs w:val="20"/>
              </w:rPr>
            </w:pPr>
            <w:r w:rsidRPr="003D4C94">
              <w:rPr>
                <w:szCs w:val="20"/>
              </w:rPr>
              <w:t xml:space="preserve">Develop clear job descriptions defining the roles and responsibilities of VHWs and communicate these to VHWs and their communities. Consider </w:t>
            </w:r>
            <w:r>
              <w:rPr>
                <w:szCs w:val="20"/>
              </w:rPr>
              <w:t xml:space="preserve">differentiation of roles of VHWs to reflect the varying contexts and circumstances faced by different VHWs across Vanuatu. </w:t>
            </w:r>
            <w:r w:rsidRPr="003D4C94">
              <w:rPr>
                <w:szCs w:val="20"/>
              </w:rPr>
              <w:t>(Suggestions for roles and responsibilities can be found in Annex 8</w:t>
            </w:r>
            <w:r>
              <w:rPr>
                <w:szCs w:val="20"/>
              </w:rPr>
              <w:t xml:space="preserve"> of the report</w:t>
            </w:r>
            <w:r w:rsidRPr="003D4C94">
              <w:rPr>
                <w:szCs w:val="20"/>
              </w:rPr>
              <w:t>).</w:t>
            </w:r>
          </w:p>
        </w:tc>
        <w:tc>
          <w:tcPr>
            <w:tcW w:w="2715" w:type="dxa"/>
            <w:tcBorders>
              <w:top w:val="single" w:sz="4" w:space="0" w:color="auto"/>
              <w:bottom w:val="single" w:sz="4" w:space="0" w:color="auto"/>
              <w:right w:val="single" w:sz="4" w:space="0" w:color="auto"/>
            </w:tcBorders>
            <w:shd w:val="clear" w:color="auto" w:fill="auto"/>
          </w:tcPr>
          <w:p w14:paraId="73E0D56B" w14:textId="5D2E7BF3"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top w:val="single" w:sz="4" w:space="0" w:color="auto"/>
              <w:left w:val="single" w:sz="4" w:space="0" w:color="auto"/>
              <w:bottom w:val="single" w:sz="4" w:space="0" w:color="auto"/>
            </w:tcBorders>
            <w:shd w:val="clear" w:color="auto" w:fill="auto"/>
          </w:tcPr>
          <w:p w14:paraId="13686AFA" w14:textId="3AE78D8C"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top w:val="single" w:sz="4" w:space="0" w:color="auto"/>
              <w:left w:val="single" w:sz="4" w:space="0" w:color="auto"/>
              <w:bottom w:val="single" w:sz="4" w:space="0" w:color="auto"/>
            </w:tcBorders>
            <w:shd w:val="clear" w:color="auto" w:fill="auto"/>
          </w:tcPr>
          <w:p w14:paraId="27DCAB19" w14:textId="602DFA97" w:rsidR="005266C1" w:rsidRPr="00F43CEC" w:rsidRDefault="005266C1" w:rsidP="00632714">
            <w:pPr>
              <w:spacing w:after="120"/>
              <w:rPr>
                <w:rFonts w:cs="Arial"/>
              </w:rPr>
            </w:pPr>
            <w:r>
              <w:rPr>
                <w:rFonts w:cs="Arial"/>
              </w:rPr>
              <w:t>DFAT/MoH/SCA</w:t>
            </w:r>
          </w:p>
        </w:tc>
      </w:tr>
      <w:tr w:rsidR="005266C1" w:rsidRPr="00F43CEC" w14:paraId="69B646ED" w14:textId="77777777" w:rsidTr="005266C1">
        <w:trPr>
          <w:cantSplit/>
          <w:trHeight w:val="2216"/>
        </w:trPr>
        <w:tc>
          <w:tcPr>
            <w:tcW w:w="2638" w:type="dxa"/>
            <w:tcBorders>
              <w:top w:val="single" w:sz="4" w:space="0" w:color="auto"/>
              <w:bottom w:val="single" w:sz="4" w:space="0" w:color="auto"/>
            </w:tcBorders>
            <w:shd w:val="clear" w:color="auto" w:fill="auto"/>
          </w:tcPr>
          <w:p w14:paraId="79BE63F1" w14:textId="48C5889A" w:rsidR="005266C1" w:rsidRPr="005266C1" w:rsidRDefault="005266C1" w:rsidP="005266C1">
            <w:pPr>
              <w:numPr>
                <w:ilvl w:val="0"/>
                <w:numId w:val="38"/>
              </w:numPr>
              <w:spacing w:after="120"/>
              <w:ind w:left="426" w:hanging="426"/>
              <w:rPr>
                <w:szCs w:val="20"/>
              </w:rPr>
            </w:pPr>
            <w:r w:rsidRPr="003D4C94">
              <w:rPr>
                <w:szCs w:val="20"/>
              </w:rPr>
              <w:t>Develop a new model for good quality and regular supportive supervision as soon as feasible to strengthen support to VHWs, including peer support and learning exchange.</w:t>
            </w:r>
          </w:p>
        </w:tc>
        <w:tc>
          <w:tcPr>
            <w:tcW w:w="2715" w:type="dxa"/>
            <w:tcBorders>
              <w:top w:val="single" w:sz="4" w:space="0" w:color="auto"/>
              <w:bottom w:val="single" w:sz="4" w:space="0" w:color="auto"/>
              <w:right w:val="single" w:sz="4" w:space="0" w:color="auto"/>
            </w:tcBorders>
            <w:shd w:val="clear" w:color="auto" w:fill="auto"/>
          </w:tcPr>
          <w:p w14:paraId="180D1907" w14:textId="01A80372"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top w:val="single" w:sz="4" w:space="0" w:color="auto"/>
              <w:left w:val="single" w:sz="4" w:space="0" w:color="auto"/>
              <w:bottom w:val="single" w:sz="4" w:space="0" w:color="auto"/>
            </w:tcBorders>
            <w:shd w:val="clear" w:color="auto" w:fill="auto"/>
          </w:tcPr>
          <w:p w14:paraId="4985DA6A" w14:textId="5EDB7293"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top w:val="single" w:sz="4" w:space="0" w:color="auto"/>
              <w:left w:val="single" w:sz="4" w:space="0" w:color="auto"/>
              <w:bottom w:val="single" w:sz="4" w:space="0" w:color="auto"/>
            </w:tcBorders>
            <w:shd w:val="clear" w:color="auto" w:fill="auto"/>
          </w:tcPr>
          <w:p w14:paraId="2F18E92E" w14:textId="23C7676B" w:rsidR="005266C1" w:rsidRPr="00F43CEC" w:rsidRDefault="005266C1" w:rsidP="00632714">
            <w:pPr>
              <w:spacing w:after="120"/>
              <w:rPr>
                <w:rFonts w:cs="Arial"/>
              </w:rPr>
            </w:pPr>
            <w:r>
              <w:rPr>
                <w:rFonts w:cs="Arial"/>
              </w:rPr>
              <w:t>DFAT/MoH/SCA</w:t>
            </w:r>
          </w:p>
        </w:tc>
      </w:tr>
      <w:tr w:rsidR="005266C1" w:rsidRPr="00F43CEC" w14:paraId="1610D1C1" w14:textId="77777777" w:rsidTr="005266C1">
        <w:trPr>
          <w:cantSplit/>
          <w:trHeight w:val="2253"/>
        </w:trPr>
        <w:tc>
          <w:tcPr>
            <w:tcW w:w="2638" w:type="dxa"/>
            <w:tcBorders>
              <w:top w:val="single" w:sz="4" w:space="0" w:color="auto"/>
              <w:bottom w:val="single" w:sz="4" w:space="0" w:color="auto"/>
            </w:tcBorders>
            <w:shd w:val="clear" w:color="auto" w:fill="auto"/>
          </w:tcPr>
          <w:p w14:paraId="53402331" w14:textId="2CE0DAD9" w:rsidR="005266C1" w:rsidRPr="003D4C94" w:rsidRDefault="005266C1" w:rsidP="005266C1">
            <w:pPr>
              <w:numPr>
                <w:ilvl w:val="0"/>
                <w:numId w:val="38"/>
              </w:numPr>
              <w:spacing w:after="120"/>
              <w:ind w:left="426" w:hanging="426"/>
              <w:rPr>
                <w:szCs w:val="20"/>
              </w:rPr>
            </w:pPr>
            <w:r w:rsidRPr="003D4C94">
              <w:rPr>
                <w:szCs w:val="20"/>
              </w:rPr>
              <w:lastRenderedPageBreak/>
              <w:t>Conduct a baseline survey and mapping activity to take stock of the number and activities of VHWs and Aid Posts to allow for evidence-based support in the next phase.</w:t>
            </w:r>
          </w:p>
        </w:tc>
        <w:tc>
          <w:tcPr>
            <w:tcW w:w="2715" w:type="dxa"/>
            <w:tcBorders>
              <w:top w:val="single" w:sz="4" w:space="0" w:color="auto"/>
              <w:bottom w:val="single" w:sz="4" w:space="0" w:color="auto"/>
              <w:right w:val="single" w:sz="4" w:space="0" w:color="auto"/>
            </w:tcBorders>
            <w:shd w:val="clear" w:color="auto" w:fill="auto"/>
          </w:tcPr>
          <w:p w14:paraId="5E92ECAF" w14:textId="2598EB35"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top w:val="single" w:sz="4" w:space="0" w:color="auto"/>
              <w:left w:val="single" w:sz="4" w:space="0" w:color="auto"/>
              <w:bottom w:val="single" w:sz="4" w:space="0" w:color="auto"/>
            </w:tcBorders>
            <w:shd w:val="clear" w:color="auto" w:fill="auto"/>
          </w:tcPr>
          <w:p w14:paraId="458EE644" w14:textId="10746A3B"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top w:val="single" w:sz="4" w:space="0" w:color="auto"/>
              <w:left w:val="single" w:sz="4" w:space="0" w:color="auto"/>
              <w:bottom w:val="single" w:sz="4" w:space="0" w:color="auto"/>
            </w:tcBorders>
            <w:shd w:val="clear" w:color="auto" w:fill="auto"/>
          </w:tcPr>
          <w:p w14:paraId="16249FBD" w14:textId="5D1C0908" w:rsidR="005266C1" w:rsidRPr="00F43CEC" w:rsidRDefault="005266C1" w:rsidP="00632714">
            <w:pPr>
              <w:spacing w:after="120"/>
              <w:rPr>
                <w:rFonts w:cs="Arial"/>
              </w:rPr>
            </w:pPr>
            <w:r>
              <w:rPr>
                <w:rFonts w:cs="Arial"/>
              </w:rPr>
              <w:t>DFAT/MoH/SCA</w:t>
            </w:r>
          </w:p>
        </w:tc>
      </w:tr>
      <w:tr w:rsidR="005266C1" w:rsidRPr="00F43CEC" w14:paraId="299D893F" w14:textId="77777777" w:rsidTr="005266C1">
        <w:trPr>
          <w:cantSplit/>
          <w:trHeight w:val="501"/>
        </w:trPr>
        <w:tc>
          <w:tcPr>
            <w:tcW w:w="2638" w:type="dxa"/>
            <w:tcBorders>
              <w:top w:val="single" w:sz="4" w:space="0" w:color="auto"/>
            </w:tcBorders>
            <w:shd w:val="clear" w:color="auto" w:fill="auto"/>
          </w:tcPr>
          <w:p w14:paraId="794C0F60" w14:textId="37526373" w:rsidR="005266C1" w:rsidRPr="003D4C94" w:rsidRDefault="005266C1" w:rsidP="005266C1">
            <w:pPr>
              <w:numPr>
                <w:ilvl w:val="0"/>
                <w:numId w:val="38"/>
              </w:numPr>
              <w:spacing w:after="120"/>
              <w:ind w:left="426" w:hanging="426"/>
              <w:rPr>
                <w:szCs w:val="20"/>
              </w:rPr>
            </w:pPr>
            <w:r w:rsidRPr="003D4C94">
              <w:rPr>
                <w:szCs w:val="20"/>
              </w:rPr>
              <w:t>Carry out an independent assessment to investigate the motivation of VHWs and identify appropriate incentives.</w:t>
            </w:r>
          </w:p>
        </w:tc>
        <w:tc>
          <w:tcPr>
            <w:tcW w:w="2715" w:type="dxa"/>
            <w:tcBorders>
              <w:top w:val="single" w:sz="4" w:space="0" w:color="auto"/>
              <w:right w:val="single" w:sz="4" w:space="0" w:color="auto"/>
            </w:tcBorders>
            <w:shd w:val="clear" w:color="auto" w:fill="auto"/>
          </w:tcPr>
          <w:p w14:paraId="75F6DE04" w14:textId="76840BF8" w:rsidR="005266C1" w:rsidRPr="00F43CEC" w:rsidRDefault="005266C1" w:rsidP="00C263B2">
            <w:pPr>
              <w:spacing w:after="120"/>
              <w:rPr>
                <w:rFonts w:cs="Arial"/>
              </w:rPr>
            </w:pPr>
            <w:r>
              <w:rPr>
                <w:rFonts w:cs="Arial"/>
              </w:rPr>
              <w:t>Agree – to ensure that the new program is more effective, efficient, value for more, and delivers measurable results.</w:t>
            </w:r>
          </w:p>
        </w:tc>
        <w:tc>
          <w:tcPr>
            <w:tcW w:w="2644" w:type="dxa"/>
            <w:tcBorders>
              <w:top w:val="single" w:sz="4" w:space="0" w:color="auto"/>
              <w:left w:val="single" w:sz="4" w:space="0" w:color="auto"/>
            </w:tcBorders>
            <w:shd w:val="clear" w:color="auto" w:fill="auto"/>
          </w:tcPr>
          <w:p w14:paraId="1AB0414E" w14:textId="15ADEA41" w:rsidR="005266C1" w:rsidRPr="00F43CEC" w:rsidRDefault="005266C1" w:rsidP="00632714">
            <w:pPr>
              <w:spacing w:after="120"/>
              <w:rPr>
                <w:rFonts w:cs="Arial"/>
              </w:rPr>
            </w:pPr>
            <w:r>
              <w:rPr>
                <w:rFonts w:cs="Arial"/>
              </w:rPr>
              <w:t>This has been addressed in the design of the new program. The new program has already been tendered and currently in inception phase.</w:t>
            </w:r>
          </w:p>
        </w:tc>
        <w:tc>
          <w:tcPr>
            <w:tcW w:w="1857" w:type="dxa"/>
            <w:tcBorders>
              <w:top w:val="single" w:sz="4" w:space="0" w:color="auto"/>
              <w:left w:val="single" w:sz="4" w:space="0" w:color="auto"/>
            </w:tcBorders>
            <w:shd w:val="clear" w:color="auto" w:fill="auto"/>
          </w:tcPr>
          <w:p w14:paraId="76C61EEE" w14:textId="4C008D2A" w:rsidR="005266C1" w:rsidRPr="00F43CEC" w:rsidRDefault="005266C1" w:rsidP="00632714">
            <w:pPr>
              <w:spacing w:after="120"/>
              <w:rPr>
                <w:rFonts w:cs="Arial"/>
              </w:rPr>
            </w:pPr>
            <w:r>
              <w:rPr>
                <w:rFonts w:cs="Arial"/>
              </w:rPr>
              <w:t>DFAT/MoH/SCA</w:t>
            </w:r>
          </w:p>
        </w:tc>
      </w:tr>
    </w:tbl>
    <w:p w14:paraId="5DEC97E2" w14:textId="77777777" w:rsidR="00C657FB" w:rsidRDefault="00C657FB" w:rsidP="00C657FB">
      <w:pPr>
        <w:rPr>
          <w:rFonts w:cs="Arial"/>
        </w:rPr>
      </w:pPr>
    </w:p>
    <w:p w14:paraId="5DEC97E4" w14:textId="09F058BE" w:rsidR="00C657FB" w:rsidRDefault="00331007" w:rsidP="00C657FB">
      <w:pPr>
        <w:rPr>
          <w:rFonts w:cs="Arial"/>
        </w:rPr>
      </w:pPr>
      <w:r>
        <w:rPr>
          <w:rFonts w:cs="Arial"/>
        </w:rPr>
        <w:t>Prepared by:</w:t>
      </w:r>
    </w:p>
    <w:p w14:paraId="7D4CC887" w14:textId="77777777" w:rsidR="00331007" w:rsidRDefault="00331007" w:rsidP="00C657FB">
      <w:pPr>
        <w:rPr>
          <w:rFonts w:cs="Arial"/>
        </w:rPr>
      </w:pPr>
    </w:p>
    <w:p w14:paraId="05B5EF8A" w14:textId="77777777" w:rsidR="00331007" w:rsidRDefault="00331007" w:rsidP="00C657FB">
      <w:pPr>
        <w:rPr>
          <w:rFonts w:cs="Arial"/>
        </w:rPr>
      </w:pPr>
    </w:p>
    <w:p w14:paraId="2FB3246D" w14:textId="77777777" w:rsidR="00331007" w:rsidRDefault="00331007" w:rsidP="00C657FB">
      <w:pPr>
        <w:rPr>
          <w:rFonts w:cs="Arial"/>
        </w:rPr>
      </w:pPr>
    </w:p>
    <w:p w14:paraId="06893248" w14:textId="29F776DA" w:rsidR="00331007" w:rsidRDefault="00331007" w:rsidP="00C657FB">
      <w:pPr>
        <w:rPr>
          <w:rFonts w:cs="Arial"/>
        </w:rPr>
      </w:pPr>
      <w:r>
        <w:rPr>
          <w:rFonts w:cs="Arial"/>
        </w:rPr>
        <w:t>_________________________________</w:t>
      </w:r>
    </w:p>
    <w:p w14:paraId="585AAEF9" w14:textId="77777777" w:rsidR="00331007" w:rsidRDefault="00331007" w:rsidP="00C657FB">
      <w:pPr>
        <w:rPr>
          <w:rFonts w:cs="Arial"/>
        </w:rPr>
      </w:pPr>
    </w:p>
    <w:p w14:paraId="740549E2" w14:textId="64892B3E" w:rsidR="00331007" w:rsidRDefault="00331007" w:rsidP="00C657FB">
      <w:pPr>
        <w:rPr>
          <w:rFonts w:cs="Arial"/>
        </w:rPr>
      </w:pPr>
      <w:r>
        <w:rPr>
          <w:rFonts w:cs="Arial"/>
        </w:rPr>
        <w:t>Elena Haines, Program Manager, Health</w:t>
      </w:r>
    </w:p>
    <w:p w14:paraId="3A9BCA1E" w14:textId="77777777" w:rsidR="00331007" w:rsidRDefault="00331007" w:rsidP="00C657FB">
      <w:pPr>
        <w:rPr>
          <w:rFonts w:cs="Arial"/>
        </w:rPr>
      </w:pPr>
    </w:p>
    <w:p w14:paraId="121B1E2A" w14:textId="77777777" w:rsidR="00331007" w:rsidRDefault="00331007" w:rsidP="00C657FB">
      <w:pPr>
        <w:rPr>
          <w:rFonts w:cs="Arial"/>
        </w:rPr>
      </w:pPr>
    </w:p>
    <w:p w14:paraId="3560D97F" w14:textId="77777777" w:rsidR="00331007" w:rsidRDefault="00331007" w:rsidP="00C657FB">
      <w:pPr>
        <w:rPr>
          <w:rFonts w:cs="Arial"/>
        </w:rPr>
      </w:pPr>
    </w:p>
    <w:p w14:paraId="05A5BAD1" w14:textId="41FC9634" w:rsidR="00331007" w:rsidRDefault="00331007" w:rsidP="00C657FB">
      <w:pPr>
        <w:rPr>
          <w:rFonts w:cs="Arial"/>
        </w:rPr>
      </w:pPr>
      <w:r>
        <w:rPr>
          <w:rFonts w:cs="Arial"/>
        </w:rPr>
        <w:t>Approved by:</w:t>
      </w:r>
    </w:p>
    <w:p w14:paraId="23A8674F" w14:textId="77777777" w:rsidR="00331007" w:rsidRDefault="00331007" w:rsidP="00C657FB">
      <w:pPr>
        <w:rPr>
          <w:rFonts w:cs="Arial"/>
        </w:rPr>
      </w:pPr>
    </w:p>
    <w:p w14:paraId="0E900C42" w14:textId="77777777" w:rsidR="00331007" w:rsidRDefault="00331007" w:rsidP="00C657FB">
      <w:pPr>
        <w:rPr>
          <w:rFonts w:cs="Arial"/>
        </w:rPr>
      </w:pPr>
    </w:p>
    <w:p w14:paraId="4732E930" w14:textId="77777777" w:rsidR="00331007" w:rsidRDefault="00331007" w:rsidP="00C657FB">
      <w:pPr>
        <w:rPr>
          <w:rFonts w:cs="Arial"/>
        </w:rPr>
      </w:pPr>
    </w:p>
    <w:p w14:paraId="3E6FABEE" w14:textId="77777777" w:rsidR="00331007" w:rsidRDefault="00331007" w:rsidP="00331007">
      <w:pPr>
        <w:rPr>
          <w:rFonts w:cs="Arial"/>
        </w:rPr>
      </w:pPr>
      <w:r>
        <w:rPr>
          <w:rFonts w:cs="Arial"/>
        </w:rPr>
        <w:t>_________________________________</w:t>
      </w:r>
    </w:p>
    <w:p w14:paraId="0728AC89" w14:textId="5D23B116" w:rsidR="00331007" w:rsidRDefault="00331007" w:rsidP="00C657FB">
      <w:pPr>
        <w:rPr>
          <w:rFonts w:cs="Arial"/>
        </w:rPr>
      </w:pPr>
      <w:r>
        <w:rPr>
          <w:rFonts w:cs="Arial"/>
        </w:rPr>
        <w:t xml:space="preserve">Kevin Smith, First Secretary, Health and Infrastructure </w:t>
      </w:r>
    </w:p>
    <w:p w14:paraId="5F84A55E" w14:textId="77777777" w:rsidR="00331007" w:rsidRDefault="00331007" w:rsidP="00C657FB">
      <w:pPr>
        <w:rPr>
          <w:rFonts w:cs="Arial"/>
        </w:rPr>
      </w:pPr>
    </w:p>
    <w:p w14:paraId="7EC8E4E1" w14:textId="77777777" w:rsidR="00331007" w:rsidRDefault="00331007" w:rsidP="00C657FB">
      <w:pPr>
        <w:rPr>
          <w:rFonts w:cs="Arial"/>
        </w:rPr>
      </w:pPr>
    </w:p>
    <w:p w14:paraId="7C0194DB" w14:textId="77777777" w:rsidR="00331007" w:rsidRDefault="00331007" w:rsidP="00C657FB">
      <w:pPr>
        <w:rPr>
          <w:rFonts w:cs="Arial"/>
        </w:rPr>
      </w:pPr>
    </w:p>
    <w:p w14:paraId="63B87ED5" w14:textId="77777777" w:rsidR="00331007" w:rsidRDefault="00331007" w:rsidP="00C657FB">
      <w:pPr>
        <w:rPr>
          <w:rFonts w:cs="Arial"/>
        </w:rPr>
      </w:pPr>
    </w:p>
    <w:p w14:paraId="5DEC97E5" w14:textId="77777777" w:rsidR="00C657FB" w:rsidRDefault="001E3D24" w:rsidP="001E3D24">
      <w:pPr>
        <w:pStyle w:val="Heading2"/>
      </w:pPr>
      <w:r>
        <w:t xml:space="preserve"> </w:t>
      </w:r>
    </w:p>
    <w:p w14:paraId="5DEC97E6" w14:textId="77777777" w:rsidR="00913F5E" w:rsidRPr="00913F5E" w:rsidRDefault="00913F5E" w:rsidP="00C657FB">
      <w:pPr>
        <w:pStyle w:val="Heading2"/>
      </w:pPr>
    </w:p>
    <w:sectPr w:rsidR="00913F5E" w:rsidRPr="00913F5E" w:rsidSect="0005470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C97ED" w14:textId="77777777" w:rsidR="005266C1" w:rsidRDefault="005266C1">
      <w:pPr>
        <w:pStyle w:val="Table-list-number"/>
      </w:pPr>
      <w:r>
        <w:separator/>
      </w:r>
    </w:p>
  </w:endnote>
  <w:endnote w:type="continuationSeparator" w:id="0">
    <w:p w14:paraId="5DEC97EE" w14:textId="77777777" w:rsidR="005266C1" w:rsidRDefault="005266C1">
      <w:pPr>
        <w:pStyle w:val="Table-list-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A103" w14:textId="77777777" w:rsidR="0080418C" w:rsidRDefault="008041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C97F0" w14:textId="77777777" w:rsidR="005266C1" w:rsidRPr="00AE52D5" w:rsidRDefault="005266C1" w:rsidP="00AE52D5">
    <w:pPr>
      <w:pStyle w:val="Footer"/>
      <w:pBdr>
        <w:top w:val="single" w:sz="4" w:space="7" w:color="333333"/>
      </w:pBdr>
      <w:tabs>
        <w:tab w:val="clear" w:pos="4153"/>
        <w:tab w:val="clear" w:pos="8306"/>
        <w:tab w:val="right" w:pos="9639"/>
      </w:tabs>
      <w:rPr>
        <w:rStyle w:val="PageNumber"/>
      </w:rPr>
    </w:pPr>
    <w:r>
      <w:t>Tool: Management Response Template</w:t>
    </w:r>
    <w:r w:rsidRPr="00AE52D5">
      <w:t xml:space="preserve"> (registered # </w:t>
    </w:r>
    <w:r>
      <w:t>158</w:t>
    </w:r>
    <w:r w:rsidRPr="00AE52D5">
      <w:t>)</w:t>
    </w:r>
    <w:r w:rsidRPr="00AE52D5">
      <w:tab/>
      <w:t xml:space="preserve">page </w:t>
    </w:r>
    <w:r w:rsidRPr="00AE52D5">
      <w:rPr>
        <w:rStyle w:val="PageNumber"/>
      </w:rPr>
      <w:fldChar w:fldCharType="begin"/>
    </w:r>
    <w:r w:rsidRPr="00AE52D5">
      <w:rPr>
        <w:rStyle w:val="PageNumber"/>
      </w:rPr>
      <w:instrText xml:space="preserve"> PAGE </w:instrText>
    </w:r>
    <w:r w:rsidRPr="00AE52D5">
      <w:rPr>
        <w:rStyle w:val="PageNumber"/>
      </w:rPr>
      <w:fldChar w:fldCharType="separate"/>
    </w:r>
    <w:r w:rsidR="0080418C">
      <w:rPr>
        <w:rStyle w:val="PageNumber"/>
        <w:noProof/>
      </w:rPr>
      <w:t>1</w:t>
    </w:r>
    <w:r w:rsidRPr="00AE52D5">
      <w:rPr>
        <w:rStyle w:val="PageNumber"/>
      </w:rPr>
      <w:fldChar w:fldCharType="end"/>
    </w:r>
    <w:r w:rsidRPr="00AE52D5">
      <w:rPr>
        <w:rStyle w:val="PageNumber"/>
      </w:rPr>
      <w:t xml:space="preserve"> of </w:t>
    </w:r>
    <w:r w:rsidRPr="00AE52D5">
      <w:rPr>
        <w:rStyle w:val="PageNumber"/>
      </w:rPr>
      <w:fldChar w:fldCharType="begin"/>
    </w:r>
    <w:r w:rsidRPr="00AE52D5">
      <w:rPr>
        <w:rStyle w:val="PageNumber"/>
      </w:rPr>
      <w:instrText xml:space="preserve"> NUMPAGES </w:instrText>
    </w:r>
    <w:r w:rsidRPr="00AE52D5">
      <w:rPr>
        <w:rStyle w:val="PageNumber"/>
      </w:rPr>
      <w:fldChar w:fldCharType="separate"/>
    </w:r>
    <w:r w:rsidR="0080418C">
      <w:rPr>
        <w:rStyle w:val="PageNumber"/>
        <w:noProof/>
      </w:rPr>
      <w:t>7</w:t>
    </w:r>
    <w:r w:rsidRPr="00AE52D5">
      <w:rPr>
        <w:rStyle w:val="PageNumber"/>
      </w:rPr>
      <w:fldChar w:fldCharType="end"/>
    </w:r>
  </w:p>
  <w:p w14:paraId="5DEC97F1" w14:textId="77777777" w:rsidR="005266C1" w:rsidRPr="00AE52D5" w:rsidRDefault="005266C1" w:rsidP="00AE52D5">
    <w:pPr>
      <w:pStyle w:val="Footer"/>
      <w:pBdr>
        <w:top w:val="single" w:sz="4" w:space="7" w:color="333333"/>
      </w:pBdr>
      <w:tabs>
        <w:tab w:val="clear" w:pos="4153"/>
        <w:tab w:val="clear" w:pos="8306"/>
        <w:tab w:val="right" w:pos="9639"/>
      </w:tabs>
    </w:pPr>
    <w:r w:rsidRPr="00AE52D5">
      <w:t xml:space="preserve">Effective from </w:t>
    </w:r>
    <w:r>
      <w:t>December 2012</w:t>
    </w:r>
    <w:r w:rsidRPr="00AE52D5">
      <w:t xml:space="preserve"> to </w:t>
    </w:r>
    <w:r>
      <w:t>December 2013</w:t>
    </w:r>
    <w:r w:rsidRPr="00AE52D5">
      <w:tab/>
    </w:r>
    <w:r w:rsidRPr="00AE52D5">
      <w:rPr>
        <w:rStyle w:val="PageNumber"/>
      </w:rPr>
      <w:t>UNCLASSIFIED</w:t>
    </w:r>
  </w:p>
  <w:p w14:paraId="5DEC97F2" w14:textId="77777777" w:rsidR="005266C1" w:rsidRPr="000815FC" w:rsidRDefault="005266C1" w:rsidP="00887304">
    <w:pPr>
      <w:pStyle w:val="Footer"/>
      <w:pBdr>
        <w:top w:val="single" w:sz="4" w:space="8" w:color="999999"/>
      </w:pBdr>
      <w:tabs>
        <w:tab w:val="clear" w:pos="4153"/>
        <w:tab w:val="clear" w:pos="8306"/>
        <w:tab w:val="right" w:pos="9639"/>
      </w:tabs>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EED90" w14:textId="77777777" w:rsidR="0080418C" w:rsidRDefault="00804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C97EB" w14:textId="77777777" w:rsidR="005266C1" w:rsidRDefault="005266C1">
      <w:pPr>
        <w:pStyle w:val="Table-list-number"/>
      </w:pPr>
      <w:r>
        <w:separator/>
      </w:r>
    </w:p>
  </w:footnote>
  <w:footnote w:type="continuationSeparator" w:id="0">
    <w:p w14:paraId="5DEC97EC" w14:textId="77777777" w:rsidR="005266C1" w:rsidRDefault="005266C1">
      <w:pPr>
        <w:pStyle w:val="Table-list-numb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9E984" w14:textId="77777777" w:rsidR="0080418C" w:rsidRDefault="00804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C97EF" w14:textId="77777777" w:rsidR="005266C1" w:rsidRPr="00077243" w:rsidRDefault="005266C1" w:rsidP="00077243">
    <w:pPr>
      <w:pStyle w:val="Header"/>
      <w:jc w:val="center"/>
      <w:rPr>
        <w:caps/>
      </w:rPr>
    </w:pPr>
    <w:r w:rsidRPr="00077243">
      <w:rPr>
        <w:caps/>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5E3B4" w14:textId="77777777" w:rsidR="0080418C" w:rsidRDefault="008041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A10"/>
    <w:multiLevelType w:val="multilevel"/>
    <w:tmpl w:val="5EC8BC40"/>
    <w:lvl w:ilvl="0">
      <w:numFmt w:val="bullet"/>
      <w:lvlText w:val=""/>
      <w:lvlJc w:val="left"/>
      <w:pPr>
        <w:tabs>
          <w:tab w:val="num" w:pos="720"/>
        </w:tabs>
        <w:ind w:left="720" w:hanging="360"/>
      </w:pPr>
      <w:rPr>
        <w:rFonts w:ascii="Wingdings"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2929E6"/>
    <w:multiLevelType w:val="hybridMultilevel"/>
    <w:tmpl w:val="2BB08866"/>
    <w:lvl w:ilvl="0" w:tplc="AC2E0D00">
      <w:start w:val="1"/>
      <w:numFmt w:val="decimal"/>
      <w:pStyle w:val="Table-list-numb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44581"/>
    <w:multiLevelType w:val="multilevel"/>
    <w:tmpl w:val="A0A6AAD8"/>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375D85"/>
    <w:multiLevelType w:val="hybridMultilevel"/>
    <w:tmpl w:val="A0A6AAD8"/>
    <w:lvl w:ilvl="0" w:tplc="7F402E40">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233A0F"/>
    <w:multiLevelType w:val="hybridMultilevel"/>
    <w:tmpl w:val="0512F590"/>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856708"/>
    <w:multiLevelType w:val="hybridMultilevel"/>
    <w:tmpl w:val="BD005BE8"/>
    <w:lvl w:ilvl="0" w:tplc="03B0FA2A">
      <w:numFmt w:val="bullet"/>
      <w:lvlText w:val="-"/>
      <w:lvlJc w:val="left"/>
      <w:pPr>
        <w:tabs>
          <w:tab w:val="num" w:pos="397"/>
        </w:tabs>
        <w:ind w:left="39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DE6952"/>
    <w:multiLevelType w:val="hybridMultilevel"/>
    <w:tmpl w:val="5BD0A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0517EE7"/>
    <w:multiLevelType w:val="hybridMultilevel"/>
    <w:tmpl w:val="540851C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8">
    <w:nsid w:val="20BF696C"/>
    <w:multiLevelType w:val="hybridMultilevel"/>
    <w:tmpl w:val="44EA5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703D64"/>
    <w:multiLevelType w:val="hybridMultilevel"/>
    <w:tmpl w:val="B8AAF53A"/>
    <w:lvl w:ilvl="0" w:tplc="B2806932">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nsid w:val="2A8D1296"/>
    <w:multiLevelType w:val="hybridMultilevel"/>
    <w:tmpl w:val="5EC8BC40"/>
    <w:lvl w:ilvl="0" w:tplc="3F200F0E">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44006C"/>
    <w:multiLevelType w:val="multilevel"/>
    <w:tmpl w:val="A0A6AAD8"/>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D2345DD"/>
    <w:multiLevelType w:val="hybridMultilevel"/>
    <w:tmpl w:val="F06E71B4"/>
    <w:lvl w:ilvl="0" w:tplc="0C09000F">
      <w:start w:val="1"/>
      <w:numFmt w:val="decimal"/>
      <w:lvlText w:val="%1."/>
      <w:lvlJc w:val="left"/>
      <w:pPr>
        <w:tabs>
          <w:tab w:val="num" w:pos="2160"/>
        </w:tabs>
        <w:ind w:left="2160" w:hanging="360"/>
      </w:pPr>
    </w:lvl>
    <w:lvl w:ilvl="1" w:tplc="0C090019" w:tentative="1">
      <w:start w:val="1"/>
      <w:numFmt w:val="lowerLetter"/>
      <w:lvlText w:val="%2."/>
      <w:lvlJc w:val="left"/>
      <w:pPr>
        <w:tabs>
          <w:tab w:val="num" w:pos="2880"/>
        </w:tabs>
        <w:ind w:left="2880" w:hanging="360"/>
      </w:pPr>
    </w:lvl>
    <w:lvl w:ilvl="2" w:tplc="0C09001B" w:tentative="1">
      <w:start w:val="1"/>
      <w:numFmt w:val="lowerRoman"/>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14">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0C2392D"/>
    <w:multiLevelType w:val="hybridMultilevel"/>
    <w:tmpl w:val="5694FF50"/>
    <w:lvl w:ilvl="0" w:tplc="AF9A3AE6">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E57B58"/>
    <w:multiLevelType w:val="hybridMultilevel"/>
    <w:tmpl w:val="6B226158"/>
    <w:lvl w:ilvl="0" w:tplc="FB6C1462">
      <w:start w:val="1"/>
      <w:numFmt w:val="bullet"/>
      <w:lvlText w:val=""/>
      <w:lvlJc w:val="left"/>
      <w:pPr>
        <w:tabs>
          <w:tab w:val="num" w:pos="624"/>
        </w:tabs>
        <w:ind w:left="624" w:hanging="170"/>
      </w:pPr>
      <w:rPr>
        <w:rFonts w:ascii="Symbol" w:hAnsi="Symbol" w:hint="default"/>
        <w:color w:val="0000FF"/>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17">
    <w:nsid w:val="3795179E"/>
    <w:multiLevelType w:val="hybridMultilevel"/>
    <w:tmpl w:val="45F89E0E"/>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3C64032D"/>
    <w:multiLevelType w:val="hybridMultilevel"/>
    <w:tmpl w:val="FE4430FC"/>
    <w:lvl w:ilvl="0" w:tplc="EA8229C4">
      <w:numFmt w:val="bullet"/>
      <w:lvlText w:val=""/>
      <w:lvlJc w:val="left"/>
      <w:pPr>
        <w:tabs>
          <w:tab w:val="num" w:pos="720"/>
        </w:tabs>
        <w:ind w:left="720" w:hanging="360"/>
      </w:pPr>
      <w:rPr>
        <w:rFonts w:ascii="Wingdings" w:hAnsi="Wingdings" w:cs="Times New Roman" w:hint="default"/>
        <w:b w:val="0"/>
        <w:i w:val="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48837AF2"/>
    <w:multiLevelType w:val="hybridMultilevel"/>
    <w:tmpl w:val="D76E2FB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48C56684"/>
    <w:multiLevelType w:val="hybridMultilevel"/>
    <w:tmpl w:val="BC8A9B00"/>
    <w:lvl w:ilvl="0" w:tplc="0409000F">
      <w:start w:val="1"/>
      <w:numFmt w:val="decimal"/>
      <w:lvlText w:val="%1."/>
      <w:lvlJc w:val="left"/>
      <w:pPr>
        <w:tabs>
          <w:tab w:val="num" w:pos="720"/>
        </w:tabs>
        <w:ind w:left="720" w:hanging="360"/>
      </w:pPr>
    </w:lvl>
    <w:lvl w:ilvl="1" w:tplc="D3E0EC30">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CF4F7B"/>
    <w:multiLevelType w:val="multilevel"/>
    <w:tmpl w:val="FE4430FC"/>
    <w:lvl w:ilvl="0">
      <w:numFmt w:val="bullet"/>
      <w:lvlText w:val=""/>
      <w:lvlJc w:val="left"/>
      <w:pPr>
        <w:tabs>
          <w:tab w:val="num" w:pos="720"/>
        </w:tabs>
        <w:ind w:left="720" w:hanging="360"/>
      </w:pPr>
      <w:rPr>
        <w:rFonts w:ascii="Wingdings" w:hAnsi="Wingdings" w:cs="Times New Roman" w:hint="default"/>
        <w:b w:val="0"/>
        <w:i w:val="0"/>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B7E6638"/>
    <w:multiLevelType w:val="hybridMultilevel"/>
    <w:tmpl w:val="CC32436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4A16312"/>
    <w:multiLevelType w:val="hybridMultilevel"/>
    <w:tmpl w:val="0248FFAE"/>
    <w:lvl w:ilvl="0" w:tplc="3C888874">
      <w:numFmt w:val="bullet"/>
      <w:lvlText w:val=""/>
      <w:lvlJc w:val="left"/>
      <w:pPr>
        <w:tabs>
          <w:tab w:val="num" w:pos="717"/>
        </w:tabs>
        <w:ind w:left="717" w:hanging="360"/>
      </w:pPr>
      <w:rPr>
        <w:rFonts w:ascii="Wingdings" w:hAnsi="Wingdings" w:cs="Times New Roman"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990D16"/>
    <w:multiLevelType w:val="multilevel"/>
    <w:tmpl w:val="B8AAF53A"/>
    <w:lvl w:ilvl="0">
      <w:numFmt w:val="bullet"/>
      <w:lvlText w:val=""/>
      <w:lvlJc w:val="left"/>
      <w:pPr>
        <w:tabs>
          <w:tab w:val="num" w:pos="720"/>
        </w:tabs>
        <w:ind w:left="720" w:hanging="360"/>
      </w:pPr>
      <w:rPr>
        <w:rFonts w:ascii="Wingdings"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7E65D90"/>
    <w:multiLevelType w:val="hybridMultilevel"/>
    <w:tmpl w:val="56686C2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88247B9"/>
    <w:multiLevelType w:val="hybridMultilevel"/>
    <w:tmpl w:val="B4F22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B03AA5"/>
    <w:multiLevelType w:val="multilevel"/>
    <w:tmpl w:val="10A62DD4"/>
    <w:lvl w:ilvl="0">
      <w:start w:val="1"/>
      <w:numFmt w:val="bullet"/>
      <w:pStyle w:val="dotpointparagraph"/>
      <w:lvlText w:val=""/>
      <w:lvlJc w:val="left"/>
      <w:pPr>
        <w:ind w:left="3144" w:hanging="360"/>
      </w:pPr>
      <w:rPr>
        <w:rFonts w:ascii="Symbol" w:hAnsi="Symbol" w:hint="default"/>
      </w:rPr>
    </w:lvl>
    <w:lvl w:ilvl="1">
      <w:start w:val="1"/>
      <w:numFmt w:val="bullet"/>
      <w:pStyle w:val="dashpointparagraph"/>
      <w:lvlText w:val="–"/>
      <w:lvlJc w:val="left"/>
      <w:pPr>
        <w:ind w:left="3864" w:hanging="360"/>
      </w:pPr>
      <w:rPr>
        <w:rFonts w:ascii="Calibri" w:hAnsi="Calibri" w:hint="default"/>
      </w:rPr>
    </w:lvl>
    <w:lvl w:ilvl="2">
      <w:start w:val="1"/>
      <w:numFmt w:val="bullet"/>
      <w:lvlText w:val=""/>
      <w:lvlJc w:val="left"/>
      <w:pPr>
        <w:ind w:left="4584" w:hanging="360"/>
      </w:pPr>
      <w:rPr>
        <w:rFonts w:ascii="Wingdings" w:hAnsi="Wingdings" w:hint="default"/>
      </w:rPr>
    </w:lvl>
    <w:lvl w:ilvl="3">
      <w:start w:val="1"/>
      <w:numFmt w:val="bullet"/>
      <w:lvlText w:val=""/>
      <w:lvlJc w:val="left"/>
      <w:pPr>
        <w:ind w:left="5304" w:hanging="360"/>
      </w:pPr>
      <w:rPr>
        <w:rFonts w:ascii="Symbol" w:hAnsi="Symbol" w:hint="default"/>
      </w:rPr>
    </w:lvl>
    <w:lvl w:ilvl="4">
      <w:start w:val="1"/>
      <w:numFmt w:val="bullet"/>
      <w:lvlText w:val="o"/>
      <w:lvlJc w:val="left"/>
      <w:pPr>
        <w:ind w:left="6024" w:hanging="360"/>
      </w:pPr>
      <w:rPr>
        <w:rFonts w:ascii="Courier New" w:hAnsi="Courier New" w:cs="Calibri" w:hint="default"/>
      </w:rPr>
    </w:lvl>
    <w:lvl w:ilvl="5">
      <w:start w:val="1"/>
      <w:numFmt w:val="bullet"/>
      <w:lvlText w:val=""/>
      <w:lvlJc w:val="left"/>
      <w:pPr>
        <w:ind w:left="6744" w:hanging="360"/>
      </w:pPr>
      <w:rPr>
        <w:rFonts w:ascii="Wingdings" w:hAnsi="Wingdings" w:hint="default"/>
      </w:rPr>
    </w:lvl>
    <w:lvl w:ilvl="6">
      <w:start w:val="1"/>
      <w:numFmt w:val="bullet"/>
      <w:lvlText w:val=""/>
      <w:lvlJc w:val="left"/>
      <w:pPr>
        <w:ind w:left="7464" w:hanging="360"/>
      </w:pPr>
      <w:rPr>
        <w:rFonts w:ascii="Symbol" w:hAnsi="Symbol" w:hint="default"/>
      </w:rPr>
    </w:lvl>
    <w:lvl w:ilvl="7">
      <w:start w:val="1"/>
      <w:numFmt w:val="bullet"/>
      <w:lvlText w:val="o"/>
      <w:lvlJc w:val="left"/>
      <w:pPr>
        <w:ind w:left="8184" w:hanging="360"/>
      </w:pPr>
      <w:rPr>
        <w:rFonts w:ascii="Courier New" w:hAnsi="Courier New" w:cs="Calibri" w:hint="default"/>
      </w:rPr>
    </w:lvl>
    <w:lvl w:ilvl="8">
      <w:start w:val="1"/>
      <w:numFmt w:val="bullet"/>
      <w:lvlText w:val=""/>
      <w:lvlJc w:val="left"/>
      <w:pPr>
        <w:ind w:left="8904" w:hanging="360"/>
      </w:pPr>
      <w:rPr>
        <w:rFonts w:ascii="Wingdings" w:hAnsi="Wingdings" w:hint="default"/>
      </w:rPr>
    </w:lvl>
  </w:abstractNum>
  <w:abstractNum w:abstractNumId="29">
    <w:nsid w:val="641B3406"/>
    <w:multiLevelType w:val="hybridMultilevel"/>
    <w:tmpl w:val="F872C0E0"/>
    <w:lvl w:ilvl="0" w:tplc="007024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97D395E"/>
    <w:multiLevelType w:val="hybridMultilevel"/>
    <w:tmpl w:val="F0C69608"/>
    <w:lvl w:ilvl="0" w:tplc="234ECC50">
      <w:numFmt w:val="bullet"/>
      <w:lvlText w:val=""/>
      <w:lvlJc w:val="left"/>
      <w:pPr>
        <w:tabs>
          <w:tab w:val="num" w:pos="720"/>
        </w:tabs>
        <w:ind w:left="720" w:hanging="360"/>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CC66FC"/>
    <w:multiLevelType w:val="multilevel"/>
    <w:tmpl w:val="5694FF50"/>
    <w:lvl w:ilvl="0">
      <w:numFmt w:val="bullet"/>
      <w:lvlText w:val=""/>
      <w:lvlJc w:val="left"/>
      <w:pPr>
        <w:tabs>
          <w:tab w:val="num" w:pos="720"/>
        </w:tabs>
        <w:ind w:left="720" w:hanging="360"/>
      </w:pPr>
      <w:rPr>
        <w:rFonts w:ascii="Wingdings" w:eastAsia="Times New Roman" w:hAnsi="Wingdings"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286401F"/>
    <w:multiLevelType w:val="multilevel"/>
    <w:tmpl w:val="5F303A0A"/>
    <w:lvl w:ilvl="0">
      <w:start w:val="1"/>
      <w:numFmt w:val="decimal"/>
      <w:lvlText w:val="%1"/>
      <w:lvlJc w:val="left"/>
      <w:pPr>
        <w:tabs>
          <w:tab w:val="num" w:pos="357"/>
        </w:tabs>
        <w:ind w:left="357" w:hanging="357"/>
      </w:pPr>
      <w:rPr>
        <w:rFonts w:hint="default"/>
      </w:rPr>
    </w:lvl>
    <w:lvl w:ilvl="1">
      <w:start w:val="1"/>
      <w:numFmt w:val="decimal"/>
      <w:pStyle w:val="Heading2numbered"/>
      <w:lvlText w:val="%2."/>
      <w:lvlJc w:val="left"/>
      <w:pPr>
        <w:tabs>
          <w:tab w:val="num" w:pos="357"/>
        </w:tabs>
        <w:ind w:left="357" w:hanging="357"/>
      </w:pPr>
      <w:rPr>
        <w:rFonts w:hint="default"/>
      </w:rPr>
    </w:lvl>
    <w:lvl w:ilvl="2">
      <w:start w:val="1"/>
      <w:numFmt w:val="decimal"/>
      <w:pStyle w:val="Heading3numbered"/>
      <w:lvlText w:val="%2.%3"/>
      <w:lvlJc w:val="left"/>
      <w:pPr>
        <w:tabs>
          <w:tab w:val="num" w:pos="851"/>
        </w:tabs>
        <w:ind w:left="851" w:hanging="494"/>
      </w:pPr>
      <w:rPr>
        <w:rFonts w:ascii="Arial" w:hAnsi="Arial" w:hint="default"/>
        <w:b/>
        <w:i/>
        <w:sz w:val="22"/>
        <w:szCs w:val="18"/>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33">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471930"/>
    <w:multiLevelType w:val="hybridMultilevel"/>
    <w:tmpl w:val="D368F730"/>
    <w:lvl w:ilvl="0" w:tplc="CFB4EBF4">
      <w:numFmt w:val="bullet"/>
      <w:lvlText w:val=""/>
      <w:lvlJc w:val="left"/>
      <w:pPr>
        <w:tabs>
          <w:tab w:val="num" w:pos="284"/>
        </w:tabs>
        <w:ind w:left="284" w:hanging="284"/>
      </w:pPr>
      <w:rPr>
        <w:rFonts w:ascii="Symbol" w:hAnsi="Symbol" w:cs="Times New Roman"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CE4871"/>
    <w:multiLevelType w:val="hybridMultilevel"/>
    <w:tmpl w:val="C44E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19"/>
  </w:num>
  <w:num w:numId="4">
    <w:abstractNumId w:val="14"/>
  </w:num>
  <w:num w:numId="5">
    <w:abstractNumId w:val="32"/>
  </w:num>
  <w:num w:numId="6">
    <w:abstractNumId w:val="33"/>
  </w:num>
  <w:num w:numId="7">
    <w:abstractNumId w:val="1"/>
  </w:num>
  <w:num w:numId="8">
    <w:abstractNumId w:val="27"/>
  </w:num>
  <w:num w:numId="9">
    <w:abstractNumId w:val="3"/>
  </w:num>
  <w:num w:numId="10">
    <w:abstractNumId w:val="32"/>
  </w:num>
  <w:num w:numId="11">
    <w:abstractNumId w:val="32"/>
  </w:num>
  <w:num w:numId="12">
    <w:abstractNumId w:val="10"/>
  </w:num>
  <w:num w:numId="13">
    <w:abstractNumId w:val="19"/>
  </w:num>
  <w:num w:numId="14">
    <w:abstractNumId w:val="14"/>
  </w:num>
  <w:num w:numId="15">
    <w:abstractNumId w:val="14"/>
  </w:num>
  <w:num w:numId="16">
    <w:abstractNumId w:val="32"/>
  </w:num>
  <w:num w:numId="17">
    <w:abstractNumId w:val="33"/>
  </w:num>
  <w:num w:numId="18">
    <w:abstractNumId w:val="1"/>
  </w:num>
  <w:num w:numId="19">
    <w:abstractNumId w:val="2"/>
  </w:num>
  <w:num w:numId="20">
    <w:abstractNumId w:val="15"/>
  </w:num>
  <w:num w:numId="21">
    <w:abstractNumId w:val="31"/>
  </w:num>
  <w:num w:numId="22">
    <w:abstractNumId w:val="11"/>
  </w:num>
  <w:num w:numId="23">
    <w:abstractNumId w:val="0"/>
  </w:num>
  <w:num w:numId="24">
    <w:abstractNumId w:val="9"/>
  </w:num>
  <w:num w:numId="25">
    <w:abstractNumId w:val="25"/>
  </w:num>
  <w:num w:numId="26">
    <w:abstractNumId w:val="18"/>
  </w:num>
  <w:num w:numId="27">
    <w:abstractNumId w:val="12"/>
  </w:num>
  <w:num w:numId="28">
    <w:abstractNumId w:val="24"/>
  </w:num>
  <w:num w:numId="29">
    <w:abstractNumId w:val="22"/>
  </w:num>
  <w:num w:numId="30">
    <w:abstractNumId w:val="30"/>
  </w:num>
  <w:num w:numId="31">
    <w:abstractNumId w:val="26"/>
  </w:num>
  <w:num w:numId="32">
    <w:abstractNumId w:val="13"/>
  </w:num>
  <w:num w:numId="33">
    <w:abstractNumId w:val="23"/>
  </w:num>
  <w:num w:numId="34">
    <w:abstractNumId w:val="21"/>
  </w:num>
  <w:num w:numId="35">
    <w:abstractNumId w:val="16"/>
  </w:num>
  <w:num w:numId="36">
    <w:abstractNumId w:val="5"/>
  </w:num>
  <w:num w:numId="37">
    <w:abstractNumId w:val="35"/>
  </w:num>
  <w:num w:numId="38">
    <w:abstractNumId w:val="29"/>
  </w:num>
  <w:num w:numId="39">
    <w:abstractNumId w:val="6"/>
  </w:num>
  <w:num w:numId="40">
    <w:abstractNumId w:val="7"/>
  </w:num>
  <w:num w:numId="41">
    <w:abstractNumId w:val="8"/>
  </w:num>
  <w:num w:numId="42">
    <w:abstractNumId w:val="17"/>
  </w:num>
  <w:num w:numId="43">
    <w:abstractNumId w:val="28"/>
  </w:num>
  <w:num w:numId="44">
    <w:abstractNumId w:val="20"/>
  </w:num>
  <w:num w:numId="45">
    <w:abstractNumId w:val="28"/>
  </w:num>
  <w:num w:numId="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181"/>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35"/>
    <w:rsid w:val="00012070"/>
    <w:rsid w:val="00012E96"/>
    <w:rsid w:val="000135D5"/>
    <w:rsid w:val="00015371"/>
    <w:rsid w:val="000163BD"/>
    <w:rsid w:val="000272E0"/>
    <w:rsid w:val="00031779"/>
    <w:rsid w:val="000412DD"/>
    <w:rsid w:val="00052316"/>
    <w:rsid w:val="00054700"/>
    <w:rsid w:val="00066EC3"/>
    <w:rsid w:val="00067C95"/>
    <w:rsid w:val="0007162A"/>
    <w:rsid w:val="00071CEC"/>
    <w:rsid w:val="000728D3"/>
    <w:rsid w:val="000733A7"/>
    <w:rsid w:val="000765F5"/>
    <w:rsid w:val="00077243"/>
    <w:rsid w:val="000815FC"/>
    <w:rsid w:val="000869CE"/>
    <w:rsid w:val="00094CE2"/>
    <w:rsid w:val="000A77DB"/>
    <w:rsid w:val="000B520A"/>
    <w:rsid w:val="000B7AFD"/>
    <w:rsid w:val="000C4574"/>
    <w:rsid w:val="000D316D"/>
    <w:rsid w:val="000D38AE"/>
    <w:rsid w:val="000E1475"/>
    <w:rsid w:val="000E1958"/>
    <w:rsid w:val="000F51D5"/>
    <w:rsid w:val="000F5FF5"/>
    <w:rsid w:val="0010006D"/>
    <w:rsid w:val="00102362"/>
    <w:rsid w:val="00104963"/>
    <w:rsid w:val="001077BF"/>
    <w:rsid w:val="00113C84"/>
    <w:rsid w:val="00116D39"/>
    <w:rsid w:val="00121F43"/>
    <w:rsid w:val="001236CF"/>
    <w:rsid w:val="00123C3E"/>
    <w:rsid w:val="0012582F"/>
    <w:rsid w:val="00134B6C"/>
    <w:rsid w:val="001378B7"/>
    <w:rsid w:val="00140289"/>
    <w:rsid w:val="00144AF1"/>
    <w:rsid w:val="001461C8"/>
    <w:rsid w:val="001467C6"/>
    <w:rsid w:val="00151891"/>
    <w:rsid w:val="00153F2A"/>
    <w:rsid w:val="001614B0"/>
    <w:rsid w:val="0016457C"/>
    <w:rsid w:val="00173632"/>
    <w:rsid w:val="00175FFC"/>
    <w:rsid w:val="00177AC0"/>
    <w:rsid w:val="00184728"/>
    <w:rsid w:val="001874BC"/>
    <w:rsid w:val="001917F6"/>
    <w:rsid w:val="00194F87"/>
    <w:rsid w:val="001B1EE4"/>
    <w:rsid w:val="001B5DEE"/>
    <w:rsid w:val="001D7353"/>
    <w:rsid w:val="001E3D24"/>
    <w:rsid w:val="001E4372"/>
    <w:rsid w:val="001E4FCC"/>
    <w:rsid w:val="001F548E"/>
    <w:rsid w:val="00201759"/>
    <w:rsid w:val="00206132"/>
    <w:rsid w:val="00214F7F"/>
    <w:rsid w:val="00221D53"/>
    <w:rsid w:val="00223581"/>
    <w:rsid w:val="00232239"/>
    <w:rsid w:val="002425E0"/>
    <w:rsid w:val="00245265"/>
    <w:rsid w:val="00250414"/>
    <w:rsid w:val="00250CB9"/>
    <w:rsid w:val="002524DA"/>
    <w:rsid w:val="002546B7"/>
    <w:rsid w:val="00255DF0"/>
    <w:rsid w:val="00264366"/>
    <w:rsid w:val="00276F45"/>
    <w:rsid w:val="002824B7"/>
    <w:rsid w:val="002839B9"/>
    <w:rsid w:val="00284948"/>
    <w:rsid w:val="0029717D"/>
    <w:rsid w:val="002B2279"/>
    <w:rsid w:val="002B2BA6"/>
    <w:rsid w:val="002B5216"/>
    <w:rsid w:val="002D1173"/>
    <w:rsid w:val="002D4C96"/>
    <w:rsid w:val="002E0EA2"/>
    <w:rsid w:val="002E7065"/>
    <w:rsid w:val="002E7A09"/>
    <w:rsid w:val="002F001E"/>
    <w:rsid w:val="002F13CD"/>
    <w:rsid w:val="002F3803"/>
    <w:rsid w:val="0030264B"/>
    <w:rsid w:val="00310523"/>
    <w:rsid w:val="00310FA6"/>
    <w:rsid w:val="00326D2A"/>
    <w:rsid w:val="00331007"/>
    <w:rsid w:val="00334E51"/>
    <w:rsid w:val="00342870"/>
    <w:rsid w:val="00345F77"/>
    <w:rsid w:val="00350917"/>
    <w:rsid w:val="0035724B"/>
    <w:rsid w:val="00367DA3"/>
    <w:rsid w:val="003719DB"/>
    <w:rsid w:val="00371B8D"/>
    <w:rsid w:val="00373EB2"/>
    <w:rsid w:val="0037535E"/>
    <w:rsid w:val="0039002F"/>
    <w:rsid w:val="00390A59"/>
    <w:rsid w:val="00394C72"/>
    <w:rsid w:val="00397F85"/>
    <w:rsid w:val="003A09AD"/>
    <w:rsid w:val="003A273C"/>
    <w:rsid w:val="003A36D5"/>
    <w:rsid w:val="003A4D26"/>
    <w:rsid w:val="003B518A"/>
    <w:rsid w:val="003C0A67"/>
    <w:rsid w:val="003C24EC"/>
    <w:rsid w:val="003C25ED"/>
    <w:rsid w:val="003D0C24"/>
    <w:rsid w:val="003D236A"/>
    <w:rsid w:val="003D4CAC"/>
    <w:rsid w:val="003D548A"/>
    <w:rsid w:val="003D5CFC"/>
    <w:rsid w:val="003D6E0A"/>
    <w:rsid w:val="003D7317"/>
    <w:rsid w:val="003E0DFE"/>
    <w:rsid w:val="003E2603"/>
    <w:rsid w:val="003E3E3E"/>
    <w:rsid w:val="003E6561"/>
    <w:rsid w:val="003E7BC4"/>
    <w:rsid w:val="003F0F7E"/>
    <w:rsid w:val="003F2997"/>
    <w:rsid w:val="003F43CF"/>
    <w:rsid w:val="003F43F9"/>
    <w:rsid w:val="003F7C64"/>
    <w:rsid w:val="004032D0"/>
    <w:rsid w:val="00406563"/>
    <w:rsid w:val="00406867"/>
    <w:rsid w:val="00406CD2"/>
    <w:rsid w:val="00411862"/>
    <w:rsid w:val="004137F2"/>
    <w:rsid w:val="00416565"/>
    <w:rsid w:val="004221A5"/>
    <w:rsid w:val="00434134"/>
    <w:rsid w:val="00444D45"/>
    <w:rsid w:val="00454766"/>
    <w:rsid w:val="004555E2"/>
    <w:rsid w:val="00455F94"/>
    <w:rsid w:val="00456E9B"/>
    <w:rsid w:val="00461D80"/>
    <w:rsid w:val="00466CDA"/>
    <w:rsid w:val="004707CB"/>
    <w:rsid w:val="00473AA7"/>
    <w:rsid w:val="00476FDC"/>
    <w:rsid w:val="0047719C"/>
    <w:rsid w:val="00496DB3"/>
    <w:rsid w:val="004A100E"/>
    <w:rsid w:val="004A56A0"/>
    <w:rsid w:val="004C00C0"/>
    <w:rsid w:val="004C429D"/>
    <w:rsid w:val="004C675F"/>
    <w:rsid w:val="004D3454"/>
    <w:rsid w:val="004E0A16"/>
    <w:rsid w:val="004E150A"/>
    <w:rsid w:val="004E37BD"/>
    <w:rsid w:val="004F5F17"/>
    <w:rsid w:val="00504689"/>
    <w:rsid w:val="005077AB"/>
    <w:rsid w:val="005149FE"/>
    <w:rsid w:val="005154F9"/>
    <w:rsid w:val="0052010E"/>
    <w:rsid w:val="00522766"/>
    <w:rsid w:val="00523BBF"/>
    <w:rsid w:val="005266C1"/>
    <w:rsid w:val="00530283"/>
    <w:rsid w:val="005477B9"/>
    <w:rsid w:val="00550E26"/>
    <w:rsid w:val="005672CB"/>
    <w:rsid w:val="00576EED"/>
    <w:rsid w:val="005829CA"/>
    <w:rsid w:val="00586B72"/>
    <w:rsid w:val="0059065C"/>
    <w:rsid w:val="005928E6"/>
    <w:rsid w:val="00593A96"/>
    <w:rsid w:val="00593DB7"/>
    <w:rsid w:val="0059519C"/>
    <w:rsid w:val="00596949"/>
    <w:rsid w:val="005A4455"/>
    <w:rsid w:val="005A47C3"/>
    <w:rsid w:val="005A6B4A"/>
    <w:rsid w:val="005A7156"/>
    <w:rsid w:val="005A7776"/>
    <w:rsid w:val="005D008B"/>
    <w:rsid w:val="005D3F4B"/>
    <w:rsid w:val="005E0F91"/>
    <w:rsid w:val="005E3939"/>
    <w:rsid w:val="005F291F"/>
    <w:rsid w:val="00611E1D"/>
    <w:rsid w:val="0061231E"/>
    <w:rsid w:val="00614E79"/>
    <w:rsid w:val="00614EC8"/>
    <w:rsid w:val="006153BC"/>
    <w:rsid w:val="00630522"/>
    <w:rsid w:val="00632714"/>
    <w:rsid w:val="00636F15"/>
    <w:rsid w:val="00642F53"/>
    <w:rsid w:val="00654BC0"/>
    <w:rsid w:val="00656E2F"/>
    <w:rsid w:val="00670D9D"/>
    <w:rsid w:val="00677BF8"/>
    <w:rsid w:val="00681953"/>
    <w:rsid w:val="00681FC6"/>
    <w:rsid w:val="00683EB4"/>
    <w:rsid w:val="00686447"/>
    <w:rsid w:val="00691182"/>
    <w:rsid w:val="00696A03"/>
    <w:rsid w:val="006A069A"/>
    <w:rsid w:val="006A33F8"/>
    <w:rsid w:val="006A6864"/>
    <w:rsid w:val="006B0754"/>
    <w:rsid w:val="006B0F3C"/>
    <w:rsid w:val="006B204D"/>
    <w:rsid w:val="006B4A7A"/>
    <w:rsid w:val="006B5E30"/>
    <w:rsid w:val="006B7BFE"/>
    <w:rsid w:val="006C2142"/>
    <w:rsid w:val="006D31BA"/>
    <w:rsid w:val="006D7297"/>
    <w:rsid w:val="006E0843"/>
    <w:rsid w:val="006E08F6"/>
    <w:rsid w:val="006E7AD3"/>
    <w:rsid w:val="007104C5"/>
    <w:rsid w:val="0072064D"/>
    <w:rsid w:val="007336DD"/>
    <w:rsid w:val="00737562"/>
    <w:rsid w:val="00743FDA"/>
    <w:rsid w:val="00744139"/>
    <w:rsid w:val="007478C2"/>
    <w:rsid w:val="00747B90"/>
    <w:rsid w:val="007551BA"/>
    <w:rsid w:val="00755ECE"/>
    <w:rsid w:val="007617BD"/>
    <w:rsid w:val="00762F7B"/>
    <w:rsid w:val="00767EB4"/>
    <w:rsid w:val="007717B2"/>
    <w:rsid w:val="0077265D"/>
    <w:rsid w:val="0077790F"/>
    <w:rsid w:val="007820D0"/>
    <w:rsid w:val="00783EFE"/>
    <w:rsid w:val="00783F58"/>
    <w:rsid w:val="007B042E"/>
    <w:rsid w:val="007C0E48"/>
    <w:rsid w:val="007C5FAB"/>
    <w:rsid w:val="007D2631"/>
    <w:rsid w:val="007E37A6"/>
    <w:rsid w:val="007E4E22"/>
    <w:rsid w:val="007E4FE8"/>
    <w:rsid w:val="007E60A1"/>
    <w:rsid w:val="007E694D"/>
    <w:rsid w:val="007F3EE5"/>
    <w:rsid w:val="00800650"/>
    <w:rsid w:val="00802A54"/>
    <w:rsid w:val="0080418C"/>
    <w:rsid w:val="00804AEF"/>
    <w:rsid w:val="00804D49"/>
    <w:rsid w:val="00806888"/>
    <w:rsid w:val="00814D47"/>
    <w:rsid w:val="0081654C"/>
    <w:rsid w:val="00816584"/>
    <w:rsid w:val="00817570"/>
    <w:rsid w:val="00831FE2"/>
    <w:rsid w:val="00843412"/>
    <w:rsid w:val="00843D42"/>
    <w:rsid w:val="00845B17"/>
    <w:rsid w:val="00847FA2"/>
    <w:rsid w:val="00864A76"/>
    <w:rsid w:val="0087604D"/>
    <w:rsid w:val="00886689"/>
    <w:rsid w:val="00887304"/>
    <w:rsid w:val="00894472"/>
    <w:rsid w:val="008B3156"/>
    <w:rsid w:val="008B7666"/>
    <w:rsid w:val="008D105C"/>
    <w:rsid w:val="008D6B75"/>
    <w:rsid w:val="008D716B"/>
    <w:rsid w:val="008D7666"/>
    <w:rsid w:val="008E0C4C"/>
    <w:rsid w:val="008F36C7"/>
    <w:rsid w:val="0091135C"/>
    <w:rsid w:val="00913F5E"/>
    <w:rsid w:val="00921CBF"/>
    <w:rsid w:val="00923B0C"/>
    <w:rsid w:val="009247FD"/>
    <w:rsid w:val="00933765"/>
    <w:rsid w:val="00936948"/>
    <w:rsid w:val="00944BC2"/>
    <w:rsid w:val="009526A3"/>
    <w:rsid w:val="00953FAD"/>
    <w:rsid w:val="0095688C"/>
    <w:rsid w:val="00963C76"/>
    <w:rsid w:val="00963FE5"/>
    <w:rsid w:val="00975EFF"/>
    <w:rsid w:val="00982318"/>
    <w:rsid w:val="00983442"/>
    <w:rsid w:val="00993D41"/>
    <w:rsid w:val="009A4B0D"/>
    <w:rsid w:val="009B1EDE"/>
    <w:rsid w:val="009B4B2D"/>
    <w:rsid w:val="009B6244"/>
    <w:rsid w:val="009B6A20"/>
    <w:rsid w:val="009C235A"/>
    <w:rsid w:val="009C34DA"/>
    <w:rsid w:val="009C73C2"/>
    <w:rsid w:val="009D62FF"/>
    <w:rsid w:val="009D6DE1"/>
    <w:rsid w:val="009D7187"/>
    <w:rsid w:val="009E74C0"/>
    <w:rsid w:val="00A02130"/>
    <w:rsid w:val="00A04888"/>
    <w:rsid w:val="00A236A7"/>
    <w:rsid w:val="00A2540E"/>
    <w:rsid w:val="00A268C7"/>
    <w:rsid w:val="00A32596"/>
    <w:rsid w:val="00A33696"/>
    <w:rsid w:val="00A36EBD"/>
    <w:rsid w:val="00A435F6"/>
    <w:rsid w:val="00A44E49"/>
    <w:rsid w:val="00A5059C"/>
    <w:rsid w:val="00A519CC"/>
    <w:rsid w:val="00A5273A"/>
    <w:rsid w:val="00A53647"/>
    <w:rsid w:val="00A558C5"/>
    <w:rsid w:val="00A55C90"/>
    <w:rsid w:val="00A71362"/>
    <w:rsid w:val="00A75B48"/>
    <w:rsid w:val="00A85757"/>
    <w:rsid w:val="00A91D3A"/>
    <w:rsid w:val="00A94B71"/>
    <w:rsid w:val="00AA4991"/>
    <w:rsid w:val="00AB6960"/>
    <w:rsid w:val="00AC3332"/>
    <w:rsid w:val="00AD1B8A"/>
    <w:rsid w:val="00AE250D"/>
    <w:rsid w:val="00AE52D5"/>
    <w:rsid w:val="00AE5F85"/>
    <w:rsid w:val="00AE7561"/>
    <w:rsid w:val="00AF1433"/>
    <w:rsid w:val="00AF367C"/>
    <w:rsid w:val="00AF4FCA"/>
    <w:rsid w:val="00B008B4"/>
    <w:rsid w:val="00B04101"/>
    <w:rsid w:val="00B045C1"/>
    <w:rsid w:val="00B06A1E"/>
    <w:rsid w:val="00B07AD5"/>
    <w:rsid w:val="00B11A4D"/>
    <w:rsid w:val="00B2593F"/>
    <w:rsid w:val="00B35F23"/>
    <w:rsid w:val="00B362C7"/>
    <w:rsid w:val="00B369D1"/>
    <w:rsid w:val="00B419D3"/>
    <w:rsid w:val="00B41A17"/>
    <w:rsid w:val="00B432DE"/>
    <w:rsid w:val="00B4437C"/>
    <w:rsid w:val="00B57DC4"/>
    <w:rsid w:val="00B67F3E"/>
    <w:rsid w:val="00B75863"/>
    <w:rsid w:val="00B766F4"/>
    <w:rsid w:val="00B8200C"/>
    <w:rsid w:val="00B84249"/>
    <w:rsid w:val="00B86E2F"/>
    <w:rsid w:val="00B91940"/>
    <w:rsid w:val="00B93E67"/>
    <w:rsid w:val="00B9551F"/>
    <w:rsid w:val="00BA3C47"/>
    <w:rsid w:val="00BB53D4"/>
    <w:rsid w:val="00BC2C84"/>
    <w:rsid w:val="00BC5D5C"/>
    <w:rsid w:val="00BF3562"/>
    <w:rsid w:val="00BF3735"/>
    <w:rsid w:val="00C00100"/>
    <w:rsid w:val="00C01019"/>
    <w:rsid w:val="00C0509D"/>
    <w:rsid w:val="00C0520A"/>
    <w:rsid w:val="00C13229"/>
    <w:rsid w:val="00C16B9D"/>
    <w:rsid w:val="00C20446"/>
    <w:rsid w:val="00C263B2"/>
    <w:rsid w:val="00C42279"/>
    <w:rsid w:val="00C441FE"/>
    <w:rsid w:val="00C4776D"/>
    <w:rsid w:val="00C51434"/>
    <w:rsid w:val="00C53398"/>
    <w:rsid w:val="00C6299D"/>
    <w:rsid w:val="00C64683"/>
    <w:rsid w:val="00C64B11"/>
    <w:rsid w:val="00C65145"/>
    <w:rsid w:val="00C657FB"/>
    <w:rsid w:val="00C65A25"/>
    <w:rsid w:val="00C65DDC"/>
    <w:rsid w:val="00C66DAE"/>
    <w:rsid w:val="00C679C9"/>
    <w:rsid w:val="00C700FD"/>
    <w:rsid w:val="00C77C7A"/>
    <w:rsid w:val="00C8100B"/>
    <w:rsid w:val="00C8709B"/>
    <w:rsid w:val="00CA2397"/>
    <w:rsid w:val="00CA5F98"/>
    <w:rsid w:val="00CB0D9F"/>
    <w:rsid w:val="00CB13C6"/>
    <w:rsid w:val="00CB24A3"/>
    <w:rsid w:val="00CC30D7"/>
    <w:rsid w:val="00CC4B04"/>
    <w:rsid w:val="00CC5199"/>
    <w:rsid w:val="00CC7AE9"/>
    <w:rsid w:val="00CD0227"/>
    <w:rsid w:val="00CD0CA5"/>
    <w:rsid w:val="00CE0C47"/>
    <w:rsid w:val="00CF08F0"/>
    <w:rsid w:val="00D02F70"/>
    <w:rsid w:val="00D17961"/>
    <w:rsid w:val="00D273CD"/>
    <w:rsid w:val="00D34B08"/>
    <w:rsid w:val="00D35C20"/>
    <w:rsid w:val="00D4711F"/>
    <w:rsid w:val="00D66ACD"/>
    <w:rsid w:val="00D709F8"/>
    <w:rsid w:val="00D721A2"/>
    <w:rsid w:val="00D72611"/>
    <w:rsid w:val="00D81AE0"/>
    <w:rsid w:val="00D82FCE"/>
    <w:rsid w:val="00D91610"/>
    <w:rsid w:val="00D9527A"/>
    <w:rsid w:val="00D95EB1"/>
    <w:rsid w:val="00D97C41"/>
    <w:rsid w:val="00DB1297"/>
    <w:rsid w:val="00DB20B2"/>
    <w:rsid w:val="00DC06C0"/>
    <w:rsid w:val="00DC4205"/>
    <w:rsid w:val="00DC5878"/>
    <w:rsid w:val="00DC73A5"/>
    <w:rsid w:val="00DC7D35"/>
    <w:rsid w:val="00DE11AB"/>
    <w:rsid w:val="00DE2470"/>
    <w:rsid w:val="00DF62D0"/>
    <w:rsid w:val="00E10870"/>
    <w:rsid w:val="00E12A1C"/>
    <w:rsid w:val="00E12F7B"/>
    <w:rsid w:val="00E20030"/>
    <w:rsid w:val="00E245E4"/>
    <w:rsid w:val="00E27F4A"/>
    <w:rsid w:val="00E30F79"/>
    <w:rsid w:val="00E33E4E"/>
    <w:rsid w:val="00E36400"/>
    <w:rsid w:val="00E44075"/>
    <w:rsid w:val="00E50AA1"/>
    <w:rsid w:val="00E5268B"/>
    <w:rsid w:val="00E57B1B"/>
    <w:rsid w:val="00E605EE"/>
    <w:rsid w:val="00E6298A"/>
    <w:rsid w:val="00E67963"/>
    <w:rsid w:val="00E77EAF"/>
    <w:rsid w:val="00E854B4"/>
    <w:rsid w:val="00E86F3D"/>
    <w:rsid w:val="00E879FB"/>
    <w:rsid w:val="00E9095B"/>
    <w:rsid w:val="00E9260F"/>
    <w:rsid w:val="00E9448D"/>
    <w:rsid w:val="00EA1AA0"/>
    <w:rsid w:val="00EA5124"/>
    <w:rsid w:val="00EA6987"/>
    <w:rsid w:val="00EA6FCD"/>
    <w:rsid w:val="00EB3E0E"/>
    <w:rsid w:val="00EB3F2D"/>
    <w:rsid w:val="00EB74F2"/>
    <w:rsid w:val="00EC262F"/>
    <w:rsid w:val="00EC54C2"/>
    <w:rsid w:val="00EC6A26"/>
    <w:rsid w:val="00EF02B3"/>
    <w:rsid w:val="00EF116F"/>
    <w:rsid w:val="00EF51DB"/>
    <w:rsid w:val="00F00F21"/>
    <w:rsid w:val="00F01177"/>
    <w:rsid w:val="00F0610B"/>
    <w:rsid w:val="00F13AF9"/>
    <w:rsid w:val="00F22FFA"/>
    <w:rsid w:val="00F31F3B"/>
    <w:rsid w:val="00F36188"/>
    <w:rsid w:val="00F3700D"/>
    <w:rsid w:val="00F37B61"/>
    <w:rsid w:val="00F37DD4"/>
    <w:rsid w:val="00F4512D"/>
    <w:rsid w:val="00F52AAB"/>
    <w:rsid w:val="00F52EA1"/>
    <w:rsid w:val="00F570DB"/>
    <w:rsid w:val="00F63B43"/>
    <w:rsid w:val="00F67830"/>
    <w:rsid w:val="00F931EC"/>
    <w:rsid w:val="00FA2BD3"/>
    <w:rsid w:val="00FA5AC3"/>
    <w:rsid w:val="00FB3350"/>
    <w:rsid w:val="00FB4715"/>
    <w:rsid w:val="00FC2E73"/>
    <w:rsid w:val="00FC32FD"/>
    <w:rsid w:val="00FE16B3"/>
    <w:rsid w:val="00FE5571"/>
    <w:rsid w:val="00FF0910"/>
    <w:rsid w:val="00FF247F"/>
    <w:rsid w:val="00FF3066"/>
    <w:rsid w:val="00FF31DD"/>
    <w:rsid w:val="00FF5A97"/>
    <w:rsid w:val="00FF6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DEC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16"/>
      </w:numPr>
    </w:pPr>
  </w:style>
  <w:style w:type="paragraph" w:customStyle="1" w:styleId="Heading3numbered">
    <w:name w:val="Heading 3 numbered"/>
    <w:basedOn w:val="Heading3"/>
    <w:next w:val="Normal"/>
    <w:rsid w:val="002B2279"/>
    <w:pPr>
      <w:numPr>
        <w:ilvl w:val="2"/>
        <w:numId w:val="16"/>
      </w:numPr>
    </w:pPr>
  </w:style>
  <w:style w:type="paragraph" w:customStyle="1" w:styleId="List-bullet-2">
    <w:name w:val="List-bullet-2"/>
    <w:basedOn w:val="Normal"/>
    <w:rsid w:val="002B2279"/>
    <w:pPr>
      <w:numPr>
        <w:numId w:val="13"/>
      </w:numPr>
      <w:spacing w:before="80"/>
    </w:pPr>
    <w:rPr>
      <w:rFonts w:cs="Arial"/>
      <w:szCs w:val="22"/>
      <w:lang w:val="en-US"/>
    </w:rPr>
  </w:style>
  <w:style w:type="paragraph" w:customStyle="1" w:styleId="List-number-2">
    <w:name w:val="List-number-2"/>
    <w:basedOn w:val="Normal"/>
    <w:link w:val="List-number-2Char"/>
    <w:rsid w:val="002B2279"/>
    <w:pPr>
      <w:numPr>
        <w:ilvl w:val="1"/>
        <w:numId w:val="15"/>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17"/>
      </w:numPr>
    </w:pPr>
  </w:style>
  <w:style w:type="paragraph" w:customStyle="1" w:styleId="Table-list-number">
    <w:name w:val="Table-list-number"/>
    <w:basedOn w:val="Table-normal-text"/>
    <w:rsid w:val="002B2279"/>
    <w:pPr>
      <w:numPr>
        <w:numId w:val="18"/>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16"/>
      </w:numPr>
    </w:pPr>
  </w:style>
  <w:style w:type="paragraph" w:customStyle="1" w:styleId="List-bullet-1">
    <w:name w:val="List-bullet-1"/>
    <w:basedOn w:val="Normal"/>
    <w:rsid w:val="002B2279"/>
    <w:pPr>
      <w:numPr>
        <w:numId w:val="12"/>
      </w:numPr>
    </w:pPr>
    <w:rPr>
      <w:rFonts w:cs="Arial"/>
      <w:szCs w:val="22"/>
    </w:rPr>
  </w:style>
  <w:style w:type="paragraph" w:customStyle="1" w:styleId="List-number-1">
    <w:name w:val="List-number-1"/>
    <w:basedOn w:val="Normal"/>
    <w:link w:val="List-number-1Char"/>
    <w:rsid w:val="002B2279"/>
    <w:pPr>
      <w:numPr>
        <w:numId w:val="15"/>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val="en-AU" w:eastAsia="en-US" w:bidi="ar-SA"/>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character" w:customStyle="1" w:styleId="List-number-1Char">
    <w:name w:val="List-number-1 Char"/>
    <w:link w:val="List-number-1"/>
    <w:rsid w:val="00CC4B04"/>
    <w:rPr>
      <w:rFonts w:ascii="Arial" w:hAnsi="Arial"/>
      <w:szCs w:val="24"/>
      <w:lang w:eastAsia="en-US"/>
    </w:rPr>
  </w:style>
  <w:style w:type="paragraph" w:customStyle="1" w:styleId="dotpointparagraph">
    <w:name w:val="dot point paragraph"/>
    <w:basedOn w:val="Normal"/>
    <w:link w:val="dotpointparagraphChar"/>
    <w:qFormat/>
    <w:rsid w:val="00CC4B04"/>
    <w:pPr>
      <w:numPr>
        <w:numId w:val="43"/>
      </w:numPr>
      <w:spacing w:before="0" w:after="240"/>
    </w:pPr>
    <w:rPr>
      <w:rFonts w:ascii="Cambria" w:hAnsi="Cambria" w:cs="Symbol"/>
      <w:sz w:val="24"/>
      <w:szCs w:val="28"/>
      <w:lang w:val="en-US"/>
    </w:rPr>
  </w:style>
  <w:style w:type="paragraph" w:customStyle="1" w:styleId="dashpointparagraph">
    <w:name w:val="dash point paragraph"/>
    <w:basedOn w:val="dotpointparagraph"/>
    <w:qFormat/>
    <w:rsid w:val="00CC4B04"/>
    <w:pPr>
      <w:numPr>
        <w:ilvl w:val="1"/>
      </w:numPr>
      <w:tabs>
        <w:tab w:val="num" w:pos="720"/>
        <w:tab w:val="num" w:pos="1080"/>
      </w:tabs>
      <w:ind w:left="709" w:hanging="283"/>
    </w:pPr>
  </w:style>
  <w:style w:type="character" w:customStyle="1" w:styleId="dotpointparagraphChar">
    <w:name w:val="dot point paragraph Char"/>
    <w:basedOn w:val="DefaultParagraphFont"/>
    <w:link w:val="dotpointparagraph"/>
    <w:rsid w:val="00CC4B04"/>
    <w:rPr>
      <w:rFonts w:ascii="Cambria" w:hAnsi="Cambria" w:cs="Symbol"/>
      <w:sz w:val="24"/>
      <w:szCs w:val="28"/>
      <w:lang w:val="en-US" w:eastAsia="en-US"/>
    </w:rPr>
  </w:style>
  <w:style w:type="paragraph" w:styleId="ListParagraph">
    <w:name w:val="List Paragraph"/>
    <w:basedOn w:val="Normal"/>
    <w:uiPriority w:val="34"/>
    <w:qFormat/>
    <w:rsid w:val="005266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16"/>
      </w:numPr>
    </w:pPr>
  </w:style>
  <w:style w:type="paragraph" w:customStyle="1" w:styleId="Heading3numbered">
    <w:name w:val="Heading 3 numbered"/>
    <w:basedOn w:val="Heading3"/>
    <w:next w:val="Normal"/>
    <w:rsid w:val="002B2279"/>
    <w:pPr>
      <w:numPr>
        <w:ilvl w:val="2"/>
        <w:numId w:val="16"/>
      </w:numPr>
    </w:pPr>
  </w:style>
  <w:style w:type="paragraph" w:customStyle="1" w:styleId="List-bullet-2">
    <w:name w:val="List-bullet-2"/>
    <w:basedOn w:val="Normal"/>
    <w:rsid w:val="002B2279"/>
    <w:pPr>
      <w:numPr>
        <w:numId w:val="13"/>
      </w:numPr>
      <w:spacing w:before="80"/>
    </w:pPr>
    <w:rPr>
      <w:rFonts w:cs="Arial"/>
      <w:szCs w:val="22"/>
      <w:lang w:val="en-US"/>
    </w:rPr>
  </w:style>
  <w:style w:type="paragraph" w:customStyle="1" w:styleId="List-number-2">
    <w:name w:val="List-number-2"/>
    <w:basedOn w:val="Normal"/>
    <w:link w:val="List-number-2Char"/>
    <w:rsid w:val="002B2279"/>
    <w:pPr>
      <w:numPr>
        <w:ilvl w:val="1"/>
        <w:numId w:val="15"/>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17"/>
      </w:numPr>
    </w:pPr>
  </w:style>
  <w:style w:type="paragraph" w:customStyle="1" w:styleId="Table-list-number">
    <w:name w:val="Table-list-number"/>
    <w:basedOn w:val="Table-normal-text"/>
    <w:rsid w:val="002B2279"/>
    <w:pPr>
      <w:numPr>
        <w:numId w:val="18"/>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16"/>
      </w:numPr>
    </w:pPr>
  </w:style>
  <w:style w:type="paragraph" w:customStyle="1" w:styleId="List-bullet-1">
    <w:name w:val="List-bullet-1"/>
    <w:basedOn w:val="Normal"/>
    <w:rsid w:val="002B2279"/>
    <w:pPr>
      <w:numPr>
        <w:numId w:val="12"/>
      </w:numPr>
    </w:pPr>
    <w:rPr>
      <w:rFonts w:cs="Arial"/>
      <w:szCs w:val="22"/>
    </w:rPr>
  </w:style>
  <w:style w:type="paragraph" w:customStyle="1" w:styleId="List-number-1">
    <w:name w:val="List-number-1"/>
    <w:basedOn w:val="Normal"/>
    <w:link w:val="List-number-1Char"/>
    <w:rsid w:val="002B2279"/>
    <w:pPr>
      <w:numPr>
        <w:numId w:val="15"/>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val="en-AU" w:eastAsia="en-US" w:bidi="ar-SA"/>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character" w:customStyle="1" w:styleId="List-number-1Char">
    <w:name w:val="List-number-1 Char"/>
    <w:link w:val="List-number-1"/>
    <w:rsid w:val="00CC4B04"/>
    <w:rPr>
      <w:rFonts w:ascii="Arial" w:hAnsi="Arial"/>
      <w:szCs w:val="24"/>
      <w:lang w:eastAsia="en-US"/>
    </w:rPr>
  </w:style>
  <w:style w:type="paragraph" w:customStyle="1" w:styleId="dotpointparagraph">
    <w:name w:val="dot point paragraph"/>
    <w:basedOn w:val="Normal"/>
    <w:link w:val="dotpointparagraphChar"/>
    <w:qFormat/>
    <w:rsid w:val="00CC4B04"/>
    <w:pPr>
      <w:numPr>
        <w:numId w:val="43"/>
      </w:numPr>
      <w:spacing w:before="0" w:after="240"/>
    </w:pPr>
    <w:rPr>
      <w:rFonts w:ascii="Cambria" w:hAnsi="Cambria" w:cs="Symbol"/>
      <w:sz w:val="24"/>
      <w:szCs w:val="28"/>
      <w:lang w:val="en-US"/>
    </w:rPr>
  </w:style>
  <w:style w:type="paragraph" w:customStyle="1" w:styleId="dashpointparagraph">
    <w:name w:val="dash point paragraph"/>
    <w:basedOn w:val="dotpointparagraph"/>
    <w:qFormat/>
    <w:rsid w:val="00CC4B04"/>
    <w:pPr>
      <w:numPr>
        <w:ilvl w:val="1"/>
      </w:numPr>
      <w:tabs>
        <w:tab w:val="num" w:pos="720"/>
        <w:tab w:val="num" w:pos="1080"/>
      </w:tabs>
      <w:ind w:left="709" w:hanging="283"/>
    </w:pPr>
  </w:style>
  <w:style w:type="character" w:customStyle="1" w:styleId="dotpointparagraphChar">
    <w:name w:val="dot point paragraph Char"/>
    <w:basedOn w:val="DefaultParagraphFont"/>
    <w:link w:val="dotpointparagraph"/>
    <w:rsid w:val="00CC4B04"/>
    <w:rPr>
      <w:rFonts w:ascii="Cambria" w:hAnsi="Cambria" w:cs="Symbol"/>
      <w:sz w:val="24"/>
      <w:szCs w:val="28"/>
      <w:lang w:val="en-US" w:eastAsia="en-US"/>
    </w:rPr>
  </w:style>
  <w:style w:type="paragraph" w:styleId="ListParagraph">
    <w:name w:val="List Paragraph"/>
    <w:basedOn w:val="Normal"/>
    <w:uiPriority w:val="34"/>
    <w:qFormat/>
    <w:rsid w:val="00526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9C5508-4D98-4842-B47A-63E8ABDF99DC}"/>
</file>

<file path=customXml/itemProps2.xml><?xml version="1.0" encoding="utf-8"?>
<ds:datastoreItem xmlns:ds="http://schemas.openxmlformats.org/officeDocument/2006/customXml" ds:itemID="{6858CD06-2222-4620-95BC-B3586E8DF826}"/>
</file>

<file path=customXml/itemProps3.xml><?xml version="1.0" encoding="utf-8"?>
<ds:datastoreItem xmlns:ds="http://schemas.openxmlformats.org/officeDocument/2006/customXml" ds:itemID="{25605AC6-FFE4-4327-BC9D-4943ACBCBD88}"/>
</file>

<file path=docProps/app.xml><?xml version="1.0" encoding="utf-8"?>
<Properties xmlns="http://schemas.openxmlformats.org/officeDocument/2006/extended-properties" xmlns:vt="http://schemas.openxmlformats.org/officeDocument/2006/docPropsVTypes">
  <Template>CFFE44CA</Template>
  <TotalTime>0</TotalTime>
  <Pages>7</Pages>
  <Words>1413</Words>
  <Characters>8276</Characters>
  <Application>Microsoft Office Word</Application>
  <DocSecurity>0</DocSecurity>
  <Lines>201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2014-04-22T05:40:00Z</dcterms:created>
  <dcterms:modified xsi:type="dcterms:W3CDTF">2014-04-22T05:40:00Z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25900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