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9A840" w14:textId="77777777" w:rsidR="00944BC2" w:rsidRPr="0072064D" w:rsidRDefault="00944BC2" w:rsidP="007C172B">
      <w:pPr>
        <w:tabs>
          <w:tab w:val="left" w:pos="170"/>
        </w:tabs>
        <w:spacing w:before="100" w:beforeAutospacing="1"/>
        <w:rPr>
          <w:color w:val="666699"/>
          <w:sz w:val="18"/>
          <w:szCs w:val="18"/>
        </w:rPr>
      </w:pPr>
      <w:bookmarkStart w:id="0" w:name="_GoBack"/>
      <w:bookmarkEnd w:id="0"/>
    </w:p>
    <w:p w14:paraId="5FD9B74C" w14:textId="77777777" w:rsidR="00483DD0" w:rsidRDefault="00483DD0" w:rsidP="00C657FB">
      <w:pPr>
        <w:pStyle w:val="DocName"/>
        <w:pBdr>
          <w:top w:val="single" w:sz="4" w:space="12" w:color="FF9900"/>
          <w:bottom w:val="single" w:sz="4" w:space="5" w:color="FF9900"/>
        </w:pBdr>
        <w:shd w:val="clear" w:color="auto" w:fill="FFFFCC"/>
        <w:spacing w:line="360" w:lineRule="auto"/>
        <w:rPr>
          <w:i/>
          <w:color w:val="000000"/>
          <w:lang w:eastAsia="en-AU"/>
        </w:rPr>
      </w:pPr>
      <w:r w:rsidRPr="00B22942">
        <w:rPr>
          <w:i/>
          <w:color w:val="000000"/>
          <w:lang w:eastAsia="en-AU"/>
        </w:rPr>
        <w:t>Restructuring for a more Competitive Vietnam Program (RCV)</w:t>
      </w:r>
      <w:r>
        <w:rPr>
          <w:i/>
          <w:color w:val="000000"/>
          <w:lang w:eastAsia="en-AU"/>
        </w:rPr>
        <w:t xml:space="preserve"> </w:t>
      </w:r>
    </w:p>
    <w:p w14:paraId="08EBDC77" w14:textId="3E59BCF2" w:rsidR="00B6210E" w:rsidRDefault="00483DD0" w:rsidP="00C657FB">
      <w:pPr>
        <w:pStyle w:val="DocName"/>
        <w:pBdr>
          <w:top w:val="single" w:sz="4" w:space="12" w:color="FF9900"/>
          <w:bottom w:val="single" w:sz="4" w:space="5" w:color="FF9900"/>
        </w:pBdr>
        <w:shd w:val="clear" w:color="auto" w:fill="FFFFCC"/>
        <w:spacing w:line="360" w:lineRule="auto"/>
        <w:rPr>
          <w:sz w:val="24"/>
          <w:lang w:eastAsia="en-AU"/>
        </w:rPr>
      </w:pPr>
      <w:r w:rsidRPr="00483DD0">
        <w:rPr>
          <w:sz w:val="24"/>
          <w:lang w:eastAsia="en-AU"/>
        </w:rPr>
        <w:t xml:space="preserve">Mid-term Review </w:t>
      </w:r>
      <w:r w:rsidR="00A629FC">
        <w:rPr>
          <w:sz w:val="24"/>
          <w:lang w:eastAsia="en-AU"/>
        </w:rPr>
        <w:t>Report</w:t>
      </w:r>
    </w:p>
    <w:p w14:paraId="20C9A842" w14:textId="77777777"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14:paraId="20C9A843" w14:textId="77777777" w:rsidR="00C657FB" w:rsidRDefault="000B520A" w:rsidP="00683EB4">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14:paraId="20C9A846" w14:textId="77777777" w:rsidTr="00175FFC">
        <w:trPr>
          <w:cantSplit/>
          <w:tblHeader/>
        </w:trPr>
        <w:tc>
          <w:tcPr>
            <w:tcW w:w="2660" w:type="dxa"/>
            <w:shd w:val="clear" w:color="auto" w:fill="E0E0E0"/>
            <w:vAlign w:val="center"/>
          </w:tcPr>
          <w:p w14:paraId="20C9A844" w14:textId="77777777"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14:paraId="20C9A845" w14:textId="7DE49DEA" w:rsidR="00C657FB" w:rsidRPr="00F43CEC" w:rsidRDefault="00A67D8D" w:rsidP="00A629FC">
            <w:pPr>
              <w:autoSpaceDE w:val="0"/>
              <w:autoSpaceDN w:val="0"/>
              <w:adjustRightInd w:val="0"/>
              <w:spacing w:before="0"/>
              <w:rPr>
                <w:b/>
              </w:rPr>
            </w:pPr>
            <w:r w:rsidRPr="00A67D8D">
              <w:rPr>
                <w:b/>
              </w:rPr>
              <w:t>Restructuring for a More Competitive Vietnam (RCV)</w:t>
            </w:r>
          </w:p>
        </w:tc>
      </w:tr>
      <w:tr w:rsidR="00C657FB" w:rsidRPr="00F43CEC" w14:paraId="20C9A849" w14:textId="77777777" w:rsidTr="00175FFC">
        <w:trPr>
          <w:cantSplit/>
        </w:trPr>
        <w:tc>
          <w:tcPr>
            <w:tcW w:w="2660" w:type="dxa"/>
            <w:shd w:val="clear" w:color="auto" w:fill="auto"/>
          </w:tcPr>
          <w:p w14:paraId="20C9A847" w14:textId="77777777" w:rsidR="00C657FB" w:rsidRPr="00F2320B" w:rsidRDefault="00C657FB" w:rsidP="00175FFC">
            <w:pPr>
              <w:pStyle w:val="Table-normal-text"/>
            </w:pPr>
            <w:r w:rsidRPr="00F2320B">
              <w:t>AidWorks initiative number</w:t>
            </w:r>
          </w:p>
        </w:tc>
        <w:tc>
          <w:tcPr>
            <w:tcW w:w="7229" w:type="dxa"/>
            <w:gridSpan w:val="3"/>
            <w:shd w:val="clear" w:color="auto" w:fill="auto"/>
          </w:tcPr>
          <w:p w14:paraId="20C9A848" w14:textId="1354C134" w:rsidR="00C657FB" w:rsidRPr="00F2320B" w:rsidRDefault="00A67D8D" w:rsidP="00175FFC">
            <w:pPr>
              <w:pStyle w:val="Table-normal-text"/>
            </w:pPr>
            <w:r w:rsidRPr="00A67D8D">
              <w:t>INL354</w:t>
            </w:r>
          </w:p>
        </w:tc>
      </w:tr>
      <w:tr w:rsidR="00C657FB" w:rsidRPr="00F43CEC" w14:paraId="20C9A84E" w14:textId="77777777" w:rsidTr="00175FFC">
        <w:trPr>
          <w:cantSplit/>
        </w:trPr>
        <w:tc>
          <w:tcPr>
            <w:tcW w:w="2660" w:type="dxa"/>
            <w:shd w:val="clear" w:color="auto" w:fill="auto"/>
          </w:tcPr>
          <w:p w14:paraId="20C9A84A" w14:textId="77777777" w:rsidR="00C657FB" w:rsidRPr="00806D00" w:rsidRDefault="00C657FB" w:rsidP="00175FFC">
            <w:pPr>
              <w:pStyle w:val="Table-normal-text"/>
            </w:pPr>
            <w:r w:rsidRPr="00806D00">
              <w:t>Commencement date</w:t>
            </w:r>
          </w:p>
        </w:tc>
        <w:tc>
          <w:tcPr>
            <w:tcW w:w="2693" w:type="dxa"/>
            <w:shd w:val="clear" w:color="auto" w:fill="auto"/>
          </w:tcPr>
          <w:p w14:paraId="20C9A84B" w14:textId="3D4FB070" w:rsidR="00C657FB" w:rsidRPr="00806D00" w:rsidRDefault="00A629FC" w:rsidP="00A67D8D">
            <w:pPr>
              <w:pStyle w:val="Table-normal-text"/>
            </w:pPr>
            <w:r>
              <w:rPr>
                <w:rFonts w:cs="Arial"/>
                <w:iCs/>
              </w:rPr>
              <w:t>Ma</w:t>
            </w:r>
            <w:r w:rsidR="00A67D8D">
              <w:rPr>
                <w:rFonts w:cs="Arial"/>
                <w:iCs/>
              </w:rPr>
              <w:t>y</w:t>
            </w:r>
            <w:r>
              <w:rPr>
                <w:rFonts w:cs="Arial"/>
                <w:iCs/>
              </w:rPr>
              <w:t xml:space="preserve"> 201</w:t>
            </w:r>
            <w:r w:rsidR="00A67D8D">
              <w:rPr>
                <w:rFonts w:cs="Arial"/>
                <w:iCs/>
              </w:rPr>
              <w:t>4</w:t>
            </w:r>
          </w:p>
        </w:tc>
        <w:tc>
          <w:tcPr>
            <w:tcW w:w="1843" w:type="dxa"/>
            <w:shd w:val="clear" w:color="auto" w:fill="auto"/>
          </w:tcPr>
          <w:p w14:paraId="20C9A84C" w14:textId="77777777"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14:paraId="20C9A84D" w14:textId="06B5DFD6" w:rsidR="00C657FB" w:rsidRPr="00F2320B" w:rsidRDefault="00A67D8D" w:rsidP="00175FFC">
            <w:pPr>
              <w:pStyle w:val="Table-normal-text"/>
            </w:pPr>
            <w:r>
              <w:t xml:space="preserve">31 December </w:t>
            </w:r>
            <w:r w:rsidR="00A629FC">
              <w:t>2016</w:t>
            </w:r>
          </w:p>
        </w:tc>
      </w:tr>
      <w:tr w:rsidR="00C657FB" w:rsidRPr="00F43CEC" w14:paraId="20C9A851" w14:textId="77777777" w:rsidTr="00175FFC">
        <w:trPr>
          <w:cantSplit/>
        </w:trPr>
        <w:tc>
          <w:tcPr>
            <w:tcW w:w="2660" w:type="dxa"/>
            <w:shd w:val="clear" w:color="auto" w:fill="auto"/>
          </w:tcPr>
          <w:p w14:paraId="20C9A84F" w14:textId="77777777" w:rsidR="00C657FB" w:rsidRPr="00806D00" w:rsidRDefault="00C657FB" w:rsidP="00175FFC">
            <w:pPr>
              <w:pStyle w:val="Table-normal-text"/>
            </w:pPr>
            <w:r w:rsidRPr="00806D00">
              <w:t>Total Australian $</w:t>
            </w:r>
          </w:p>
        </w:tc>
        <w:tc>
          <w:tcPr>
            <w:tcW w:w="7229" w:type="dxa"/>
            <w:gridSpan w:val="3"/>
            <w:shd w:val="clear" w:color="auto" w:fill="auto"/>
          </w:tcPr>
          <w:p w14:paraId="20C9A850" w14:textId="133BE5BD" w:rsidR="00C657FB" w:rsidRPr="00806D00" w:rsidRDefault="00A629FC" w:rsidP="00A67D8D">
            <w:pPr>
              <w:pStyle w:val="Table-normal-text"/>
            </w:pPr>
            <w:r>
              <w:rPr>
                <w:rFonts w:cs="Arial"/>
                <w:iCs/>
              </w:rPr>
              <w:t>A$</w:t>
            </w:r>
            <w:r w:rsidR="00A67D8D">
              <w:rPr>
                <w:rFonts w:cs="Arial"/>
                <w:iCs/>
              </w:rPr>
              <w:t xml:space="preserve"> 3,100,000</w:t>
            </w:r>
          </w:p>
        </w:tc>
      </w:tr>
      <w:tr w:rsidR="00C657FB" w:rsidRPr="00F43CEC" w14:paraId="20C9A85A" w14:textId="77777777" w:rsidTr="00175FFC">
        <w:trPr>
          <w:cantSplit/>
        </w:trPr>
        <w:tc>
          <w:tcPr>
            <w:tcW w:w="2660" w:type="dxa"/>
            <w:shd w:val="clear" w:color="auto" w:fill="auto"/>
          </w:tcPr>
          <w:p w14:paraId="20C9A858" w14:textId="169F82EE" w:rsidR="00C657FB" w:rsidRPr="00F2320B" w:rsidRDefault="00A629FC" w:rsidP="00845B17">
            <w:pPr>
              <w:pStyle w:val="Table-normal-text"/>
            </w:pPr>
            <w:r>
              <w:t xml:space="preserve">Primary </w:t>
            </w:r>
            <w:r w:rsidR="00C657FB" w:rsidRPr="00F2320B">
              <w:t xml:space="preserve">Implementing </w:t>
            </w:r>
            <w:r w:rsidR="00845B17">
              <w:t>p</w:t>
            </w:r>
            <w:r w:rsidR="00845B17" w:rsidRPr="00F2320B">
              <w:t>artner</w:t>
            </w:r>
            <w:r w:rsidR="00C657FB" w:rsidRPr="00F2320B">
              <w:t>(s)</w:t>
            </w:r>
          </w:p>
        </w:tc>
        <w:tc>
          <w:tcPr>
            <w:tcW w:w="7229" w:type="dxa"/>
            <w:gridSpan w:val="3"/>
            <w:shd w:val="clear" w:color="auto" w:fill="auto"/>
          </w:tcPr>
          <w:p w14:paraId="20C9A859" w14:textId="76B8033B" w:rsidR="00C657FB" w:rsidRPr="00F2320B" w:rsidRDefault="00A67D8D" w:rsidP="00A67D8D">
            <w:pPr>
              <w:pStyle w:val="Table-normal-text"/>
            </w:pPr>
            <w:r>
              <w:t>Ministry of Planning and Investment</w:t>
            </w:r>
            <w:r w:rsidR="00035AA2">
              <w:t xml:space="preserve"> (MPI)</w:t>
            </w:r>
            <w:r>
              <w:t xml:space="preserve">, </w:t>
            </w:r>
            <w:r w:rsidR="00A629FC">
              <w:t>Ministry of Agriculture and Rural Development</w:t>
            </w:r>
            <w:r w:rsidR="00035AA2">
              <w:t xml:space="preserve"> (MARD)</w:t>
            </w:r>
            <w:r w:rsidR="002C612D">
              <w:t xml:space="preserve">, </w:t>
            </w:r>
            <w:r>
              <w:t>Ministry of Industry and Trade</w:t>
            </w:r>
            <w:r w:rsidR="00035AA2">
              <w:t xml:space="preserve"> (MOIT)</w:t>
            </w:r>
          </w:p>
        </w:tc>
      </w:tr>
      <w:tr w:rsidR="00C657FB" w:rsidRPr="00F43CEC" w14:paraId="20C9A85D" w14:textId="77777777" w:rsidTr="00175FFC">
        <w:trPr>
          <w:cantSplit/>
        </w:trPr>
        <w:tc>
          <w:tcPr>
            <w:tcW w:w="2660" w:type="dxa"/>
            <w:shd w:val="clear" w:color="auto" w:fill="auto"/>
          </w:tcPr>
          <w:p w14:paraId="20C9A85B" w14:textId="77777777" w:rsidR="00C657FB" w:rsidRPr="00F2320B" w:rsidRDefault="00C657FB" w:rsidP="00175FFC">
            <w:pPr>
              <w:pStyle w:val="Table-normal-text"/>
            </w:pPr>
            <w:r w:rsidRPr="00F2320B">
              <w:t>Country/Region</w:t>
            </w:r>
          </w:p>
        </w:tc>
        <w:tc>
          <w:tcPr>
            <w:tcW w:w="7229" w:type="dxa"/>
            <w:gridSpan w:val="3"/>
            <w:shd w:val="clear" w:color="auto" w:fill="auto"/>
          </w:tcPr>
          <w:p w14:paraId="20C9A85C" w14:textId="69FD73CD" w:rsidR="00C657FB" w:rsidRPr="00806D00" w:rsidRDefault="00806D00" w:rsidP="00A629FC">
            <w:pPr>
              <w:pStyle w:val="Table-normal-text"/>
            </w:pPr>
            <w:r w:rsidRPr="00806D00">
              <w:rPr>
                <w:bCs/>
                <w:iCs/>
              </w:rPr>
              <w:t>V</w:t>
            </w:r>
            <w:r w:rsidR="00A629FC">
              <w:rPr>
                <w:bCs/>
                <w:iCs/>
              </w:rPr>
              <w:t>ietnam</w:t>
            </w:r>
            <w:r w:rsidR="001E1546">
              <w:rPr>
                <w:bCs/>
                <w:iCs/>
              </w:rPr>
              <w:t xml:space="preserve"> </w:t>
            </w:r>
          </w:p>
        </w:tc>
      </w:tr>
      <w:tr w:rsidR="00C657FB" w:rsidRPr="00F43CEC" w14:paraId="20C9A860" w14:textId="77777777" w:rsidTr="00175FFC">
        <w:trPr>
          <w:cantSplit/>
        </w:trPr>
        <w:tc>
          <w:tcPr>
            <w:tcW w:w="2660" w:type="dxa"/>
            <w:shd w:val="clear" w:color="auto" w:fill="auto"/>
          </w:tcPr>
          <w:p w14:paraId="20C9A85E" w14:textId="77777777"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14:paraId="20C9A85F" w14:textId="1276B56F" w:rsidR="00C657FB" w:rsidRPr="00F2320B" w:rsidRDefault="008913A7" w:rsidP="002E2A63">
            <w:pPr>
              <w:pStyle w:val="Table-normal-text"/>
            </w:pPr>
            <w:r>
              <w:t>Economic</w:t>
            </w:r>
          </w:p>
        </w:tc>
      </w:tr>
      <w:tr w:rsidR="00C657FB" w:rsidRPr="00F43CEC" w14:paraId="20C9A863" w14:textId="77777777" w:rsidTr="00175FFC">
        <w:trPr>
          <w:cantSplit/>
        </w:trPr>
        <w:tc>
          <w:tcPr>
            <w:tcW w:w="2660" w:type="dxa"/>
            <w:shd w:val="clear" w:color="auto" w:fill="auto"/>
          </w:tcPr>
          <w:p w14:paraId="20C9A861" w14:textId="77777777" w:rsidR="00C657FB" w:rsidRPr="00444D45" w:rsidRDefault="00390A59" w:rsidP="00175FFC">
            <w:pPr>
              <w:pStyle w:val="Table-normal-text"/>
            </w:pPr>
            <w:r w:rsidRPr="00444D45">
              <w:t>Initiative</w:t>
            </w:r>
            <w:r w:rsidR="00C657FB" w:rsidRPr="00444D45">
              <w:t xml:space="preserve"> objective</w:t>
            </w:r>
            <w:r w:rsidR="00614E79" w:rsidRPr="00444D45">
              <w:t>/s</w:t>
            </w:r>
          </w:p>
        </w:tc>
        <w:tc>
          <w:tcPr>
            <w:tcW w:w="7229" w:type="dxa"/>
            <w:gridSpan w:val="3"/>
            <w:shd w:val="clear" w:color="auto" w:fill="auto"/>
          </w:tcPr>
          <w:p w14:paraId="20C9A862" w14:textId="35796B87" w:rsidR="00C657FB" w:rsidRPr="00F2320B" w:rsidRDefault="008913A7" w:rsidP="00580002">
            <w:pPr>
              <w:pStyle w:val="BodytextQAI"/>
            </w:pPr>
            <w:r w:rsidRPr="008913A7">
              <w:rPr>
                <w:rFonts w:cs="Arial"/>
                <w:sz w:val="20"/>
                <w:szCs w:val="20"/>
              </w:rPr>
              <w:t>The Restructuring for a Competitive Vietnam Project (RCV) will help relieve key constraints to healthy growth of the private sector (domestic and international), increasing Vietnam’s competitiveness and thus its regional and global trade. It will help strengthen the evidence-base to support economic restructuring in line with Vietnam’s emerging commitments under regional and international economic cooperation agreements.</w:t>
            </w:r>
          </w:p>
        </w:tc>
      </w:tr>
    </w:tbl>
    <w:p w14:paraId="20C9A865" w14:textId="4FF3263E" w:rsidR="00683EB4" w:rsidRPr="00707A06" w:rsidRDefault="005D16BE" w:rsidP="00707A06">
      <w:pPr>
        <w:pStyle w:val="Heading2"/>
      </w:pPr>
      <w:r>
        <w:t>Review</w:t>
      </w:r>
      <w:r w:rsidR="00C657FB">
        <w:t xml:space="preserve"> Summary</w:t>
      </w:r>
    </w:p>
    <w:p w14:paraId="38DA1EAE" w14:textId="5E664C1A" w:rsidR="00B22575" w:rsidRDefault="00B22575" w:rsidP="001E1546">
      <w:pPr>
        <w:jc w:val="both"/>
        <w:rPr>
          <w:b/>
        </w:rPr>
      </w:pPr>
      <w:r>
        <w:rPr>
          <w:b/>
        </w:rPr>
        <w:t>Objective</w:t>
      </w:r>
      <w:r w:rsidR="00C657FB">
        <w:rPr>
          <w:b/>
        </w:rPr>
        <w:t xml:space="preserve"> </w:t>
      </w:r>
      <w:r w:rsidR="005D16BE">
        <w:rPr>
          <w:b/>
        </w:rPr>
        <w:t>of the MTR</w:t>
      </w:r>
    </w:p>
    <w:p w14:paraId="52272536" w14:textId="2FD17A41" w:rsidR="005D16BE" w:rsidRDefault="005D16BE" w:rsidP="00C657FB">
      <w:pPr>
        <w:rPr>
          <w:szCs w:val="22"/>
        </w:rPr>
      </w:pPr>
      <w:r w:rsidRPr="0002173A">
        <w:rPr>
          <w:szCs w:val="22"/>
        </w:rPr>
        <w:t>The MTR team review</w:t>
      </w:r>
      <w:r>
        <w:rPr>
          <w:szCs w:val="22"/>
        </w:rPr>
        <w:t>ed</w:t>
      </w:r>
      <w:r w:rsidRPr="0002173A">
        <w:rPr>
          <w:szCs w:val="22"/>
        </w:rPr>
        <w:t xml:space="preserve"> progress made towards achieving agreed objectives</w:t>
      </w:r>
      <w:r w:rsidR="00532B48">
        <w:rPr>
          <w:szCs w:val="22"/>
        </w:rPr>
        <w:t xml:space="preserve"> and considered how the program could be improved in </w:t>
      </w:r>
      <w:r w:rsidR="00620AD8">
        <w:rPr>
          <w:szCs w:val="22"/>
        </w:rPr>
        <w:t>its next phase (RCV2)</w:t>
      </w:r>
      <w:r w:rsidRPr="0002173A">
        <w:rPr>
          <w:szCs w:val="22"/>
        </w:rPr>
        <w:t xml:space="preserve">. </w:t>
      </w:r>
    </w:p>
    <w:p w14:paraId="20C9A867" w14:textId="39655292" w:rsidR="00C657FB" w:rsidRDefault="005D16BE" w:rsidP="00C657FB">
      <w:r>
        <w:rPr>
          <w:b/>
        </w:rPr>
        <w:t xml:space="preserve">Review </w:t>
      </w:r>
      <w:r w:rsidR="00C657FB" w:rsidRPr="00123C3E">
        <w:rPr>
          <w:b/>
        </w:rPr>
        <w:t>Completion Date:</w:t>
      </w:r>
      <w:r w:rsidR="00C657FB">
        <w:rPr>
          <w:b/>
        </w:rPr>
        <w:t xml:space="preserve"> </w:t>
      </w:r>
      <w:r>
        <w:t>31 Jul</w:t>
      </w:r>
      <w:r w:rsidR="00580002">
        <w:t xml:space="preserve"> 2016</w:t>
      </w:r>
    </w:p>
    <w:p w14:paraId="27EBE84D" w14:textId="1A9D7CBB" w:rsidR="00B22575" w:rsidRDefault="005D16BE" w:rsidP="005E3939">
      <w:pPr>
        <w:rPr>
          <w:b/>
        </w:rPr>
      </w:pPr>
      <w:r>
        <w:rPr>
          <w:b/>
        </w:rPr>
        <w:t>Review</w:t>
      </w:r>
      <w:r w:rsidR="00F27DDE">
        <w:rPr>
          <w:b/>
        </w:rPr>
        <w:t xml:space="preserve"> Team</w:t>
      </w:r>
    </w:p>
    <w:p w14:paraId="779DD6EB" w14:textId="3A210651" w:rsidR="005D16BE" w:rsidRDefault="005D16BE" w:rsidP="005D16BE">
      <w:pPr>
        <w:numPr>
          <w:ilvl w:val="1"/>
          <w:numId w:val="21"/>
        </w:numPr>
        <w:tabs>
          <w:tab w:val="left" w:pos="2451"/>
        </w:tabs>
        <w:spacing w:before="240"/>
        <w:ind w:hanging="357"/>
      </w:pPr>
      <w:r>
        <w:t xml:space="preserve">Robert Warner - </w:t>
      </w:r>
      <w:r w:rsidR="00622D13">
        <w:t>Team Leader\</w:t>
      </w:r>
      <w:r w:rsidR="00991DC4" w:rsidRPr="00991DC4">
        <w:t>Economic Governance Specialist</w:t>
      </w:r>
      <w:r w:rsidR="00622D13">
        <w:t xml:space="preserve"> </w:t>
      </w:r>
    </w:p>
    <w:p w14:paraId="7D4AE769" w14:textId="0FC815E6" w:rsidR="005D16BE" w:rsidRDefault="005D16BE" w:rsidP="005D16BE">
      <w:pPr>
        <w:numPr>
          <w:ilvl w:val="1"/>
          <w:numId w:val="21"/>
        </w:numPr>
        <w:tabs>
          <w:tab w:val="left" w:pos="2451"/>
        </w:tabs>
        <w:spacing w:before="240"/>
        <w:ind w:hanging="357"/>
      </w:pPr>
      <w:r>
        <w:t xml:space="preserve">David Barber </w:t>
      </w:r>
      <w:r w:rsidR="00CE18FB">
        <w:t xml:space="preserve">- </w:t>
      </w:r>
      <w:r w:rsidR="00991DC4" w:rsidRPr="00991DC4">
        <w:t>Evaluation Specialist</w:t>
      </w:r>
      <w:r>
        <w:t xml:space="preserve">; </w:t>
      </w:r>
    </w:p>
    <w:p w14:paraId="3D9CA972" w14:textId="7AB513DE" w:rsidR="005D16BE" w:rsidRPr="00C50A80" w:rsidRDefault="005D16BE" w:rsidP="005D16BE">
      <w:pPr>
        <w:numPr>
          <w:ilvl w:val="1"/>
          <w:numId w:val="21"/>
        </w:numPr>
        <w:tabs>
          <w:tab w:val="left" w:pos="2451"/>
        </w:tabs>
        <w:spacing w:before="240"/>
        <w:ind w:hanging="357"/>
      </w:pPr>
      <w:r>
        <w:t xml:space="preserve">Dr Pham Lan Huong </w:t>
      </w:r>
      <w:r w:rsidR="00394B8E">
        <w:t xml:space="preserve">- </w:t>
      </w:r>
      <w:r w:rsidR="00394B8E" w:rsidRPr="00394B8E">
        <w:t>Gender Specialist</w:t>
      </w:r>
      <w:r w:rsidR="00CE18FB">
        <w:t xml:space="preserve"> </w:t>
      </w:r>
    </w:p>
    <w:p w14:paraId="6FC6AD7E" w14:textId="77777777" w:rsidR="00A0465D" w:rsidRDefault="00A0465D" w:rsidP="00035AFE">
      <w:pPr>
        <w:rPr>
          <w:b/>
          <w:sz w:val="22"/>
          <w:szCs w:val="22"/>
          <w:lang w:eastAsia="en-AU"/>
        </w:rPr>
      </w:pPr>
    </w:p>
    <w:p w14:paraId="7E3C1CE1" w14:textId="4C6565BF" w:rsidR="00035AFE" w:rsidRDefault="00580002" w:rsidP="00035AFE">
      <w:pPr>
        <w:rPr>
          <w:b/>
          <w:sz w:val="22"/>
          <w:szCs w:val="22"/>
          <w:lang w:eastAsia="en-AU"/>
        </w:rPr>
      </w:pPr>
      <w:r>
        <w:rPr>
          <w:b/>
          <w:sz w:val="22"/>
          <w:szCs w:val="22"/>
          <w:lang w:eastAsia="en-AU"/>
        </w:rPr>
        <w:t>D</w:t>
      </w:r>
      <w:r w:rsidR="00F30A85">
        <w:rPr>
          <w:b/>
          <w:sz w:val="22"/>
          <w:szCs w:val="22"/>
          <w:lang w:eastAsia="en-AU"/>
        </w:rPr>
        <w:t>FAT Management</w:t>
      </w:r>
      <w:r w:rsidR="00367DA3" w:rsidRPr="008B3156">
        <w:rPr>
          <w:b/>
          <w:sz w:val="22"/>
          <w:szCs w:val="22"/>
          <w:lang w:eastAsia="en-AU"/>
        </w:rPr>
        <w:t xml:space="preserve"> response to the evaluation report</w:t>
      </w:r>
    </w:p>
    <w:p w14:paraId="08182B01" w14:textId="7ECBDDE2" w:rsidR="004447CC" w:rsidRPr="00532B48" w:rsidRDefault="00532B48" w:rsidP="00A0465D">
      <w:pPr>
        <w:spacing w:line="276" w:lineRule="auto"/>
        <w:rPr>
          <w:b/>
          <w:sz w:val="22"/>
          <w:szCs w:val="22"/>
          <w:lang w:eastAsia="en-AU"/>
        </w:rPr>
      </w:pPr>
      <w:r>
        <w:rPr>
          <w:szCs w:val="20"/>
          <w:lang w:eastAsia="en-AU"/>
        </w:rPr>
        <w:t>T</w:t>
      </w:r>
      <w:r w:rsidR="009A4219" w:rsidRPr="002B4FE1">
        <w:rPr>
          <w:szCs w:val="20"/>
          <w:lang w:eastAsia="en-AU"/>
        </w:rPr>
        <w:t>he</w:t>
      </w:r>
      <w:r w:rsidR="00EB1AB2">
        <w:rPr>
          <w:szCs w:val="20"/>
          <w:lang w:eastAsia="en-AU"/>
        </w:rPr>
        <w:t xml:space="preserve"> </w:t>
      </w:r>
      <w:r w:rsidR="00077A27">
        <w:rPr>
          <w:szCs w:val="20"/>
          <w:lang w:eastAsia="en-AU"/>
        </w:rPr>
        <w:t>MTR is</w:t>
      </w:r>
      <w:r w:rsidR="00EB1AB2">
        <w:rPr>
          <w:szCs w:val="20"/>
          <w:lang w:eastAsia="en-AU"/>
        </w:rPr>
        <w:t xml:space="preserve"> </w:t>
      </w:r>
      <w:r w:rsidR="000E2503">
        <w:t>a thorough and</w:t>
      </w:r>
      <w:r w:rsidR="00EB1AB2">
        <w:t xml:space="preserve"> good </w:t>
      </w:r>
      <w:r w:rsidR="00507C56">
        <w:t xml:space="preserve">quality </w:t>
      </w:r>
      <w:r w:rsidR="008F0C0A">
        <w:t xml:space="preserve">review and </w:t>
      </w:r>
      <w:r w:rsidR="00507C56">
        <w:t>evaluation report</w:t>
      </w:r>
      <w:r>
        <w:t xml:space="preserve"> </w:t>
      </w:r>
      <w:r w:rsidR="00507C56">
        <w:rPr>
          <w:szCs w:val="20"/>
          <w:lang w:eastAsia="en-AU"/>
        </w:rPr>
        <w:t xml:space="preserve">supported sufficiently by evidence </w:t>
      </w:r>
      <w:r w:rsidR="000E2503">
        <w:rPr>
          <w:szCs w:val="20"/>
          <w:lang w:eastAsia="en-AU"/>
        </w:rPr>
        <w:t xml:space="preserve">from </w:t>
      </w:r>
      <w:r w:rsidR="008F0C0A">
        <w:rPr>
          <w:szCs w:val="20"/>
          <w:lang w:eastAsia="en-AU"/>
        </w:rPr>
        <w:t xml:space="preserve">both desk and </w:t>
      </w:r>
      <w:r w:rsidR="000E2503">
        <w:rPr>
          <w:szCs w:val="20"/>
          <w:lang w:eastAsia="en-AU"/>
        </w:rPr>
        <w:t xml:space="preserve">field </w:t>
      </w:r>
      <w:r w:rsidR="008F0C0A">
        <w:rPr>
          <w:szCs w:val="20"/>
          <w:lang w:eastAsia="en-AU"/>
        </w:rPr>
        <w:t>interviews.</w:t>
      </w:r>
      <w:r>
        <w:rPr>
          <w:szCs w:val="20"/>
          <w:lang w:eastAsia="en-AU"/>
        </w:rPr>
        <w:t xml:space="preserve"> </w:t>
      </w:r>
      <w:r w:rsidR="004447CC">
        <w:t xml:space="preserve">The </w:t>
      </w:r>
      <w:r w:rsidR="0016424C" w:rsidRPr="00532B48">
        <w:rPr>
          <w:szCs w:val="20"/>
          <w:lang w:eastAsia="en-AU"/>
        </w:rPr>
        <w:t>MTR</w:t>
      </w:r>
      <w:r w:rsidR="0016424C">
        <w:t xml:space="preserve"> </w:t>
      </w:r>
      <w:r w:rsidR="004447CC">
        <w:t>findings and analysis provide</w:t>
      </w:r>
      <w:r>
        <w:t>d</w:t>
      </w:r>
      <w:r w:rsidR="004447CC">
        <w:t xml:space="preserve"> a solid basis for guiding the design</w:t>
      </w:r>
      <w:r w:rsidR="00620AD8">
        <w:t xml:space="preserve"> </w:t>
      </w:r>
      <w:r w:rsidR="004447CC">
        <w:t xml:space="preserve">of </w:t>
      </w:r>
      <w:r w:rsidR="00620AD8">
        <w:t>RCV2</w:t>
      </w:r>
      <w:r w:rsidR="00E616DC">
        <w:t>, which is now almost complete</w:t>
      </w:r>
      <w:r w:rsidR="00C6226B">
        <w:t>.</w:t>
      </w:r>
    </w:p>
    <w:p w14:paraId="18054DEF" w14:textId="77777777" w:rsidR="004447CC" w:rsidRDefault="004447CC" w:rsidP="004447CC">
      <w:pPr>
        <w:rPr>
          <w:b/>
          <w:sz w:val="22"/>
          <w:szCs w:val="22"/>
          <w:lang w:eastAsia="en-AU"/>
        </w:rPr>
      </w:pPr>
    </w:p>
    <w:p w14:paraId="33055CD2" w14:textId="77777777" w:rsidR="00A0465D" w:rsidRDefault="00A0465D">
      <w:pPr>
        <w:spacing w:before="0"/>
        <w:rPr>
          <w:b/>
          <w:sz w:val="22"/>
          <w:szCs w:val="22"/>
          <w:lang w:eastAsia="en-AU"/>
        </w:rPr>
      </w:pPr>
      <w:r>
        <w:rPr>
          <w:b/>
          <w:sz w:val="22"/>
          <w:szCs w:val="22"/>
          <w:lang w:eastAsia="en-AU"/>
        </w:rPr>
        <w:br w:type="page"/>
      </w:r>
    </w:p>
    <w:p w14:paraId="1E8B8612" w14:textId="73FFAFBA" w:rsidR="004447CC" w:rsidRPr="008B3156" w:rsidRDefault="004447CC" w:rsidP="004447CC">
      <w:pPr>
        <w:rPr>
          <w:b/>
          <w:sz w:val="22"/>
          <w:szCs w:val="22"/>
          <w:lang w:eastAsia="en-AU"/>
        </w:rPr>
      </w:pPr>
      <w:r>
        <w:rPr>
          <w:b/>
          <w:sz w:val="22"/>
          <w:szCs w:val="22"/>
          <w:lang w:eastAsia="en-AU"/>
        </w:rPr>
        <w:lastRenderedPageBreak/>
        <w:t>DFAT management</w:t>
      </w:r>
      <w:r w:rsidRPr="008B3156">
        <w:rPr>
          <w:b/>
          <w:sz w:val="22"/>
          <w:szCs w:val="22"/>
          <w:lang w:eastAsia="en-AU"/>
        </w:rPr>
        <w:t xml:space="preserve"> response to the specific recommendations made in the report</w:t>
      </w:r>
    </w:p>
    <w:tbl>
      <w:tblPr>
        <w:tblpPr w:leftFromText="180" w:rightFromText="180" w:vertAnchor="text" w:horzAnchor="margin" w:tblpX="-176" w:tblpY="160"/>
        <w:tblW w:w="101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4503"/>
        <w:gridCol w:w="1842"/>
        <w:gridCol w:w="2126"/>
        <w:gridCol w:w="1701"/>
      </w:tblGrid>
      <w:tr w:rsidR="004447CC" w:rsidRPr="00EF3476" w14:paraId="62961557" w14:textId="77777777" w:rsidTr="00682007">
        <w:trPr>
          <w:cantSplit/>
        </w:trPr>
        <w:tc>
          <w:tcPr>
            <w:tcW w:w="4503" w:type="dxa"/>
            <w:shd w:val="clear" w:color="auto" w:fill="FFEC9B"/>
            <w:vAlign w:val="center"/>
          </w:tcPr>
          <w:p w14:paraId="69A31583" w14:textId="77777777" w:rsidR="004447CC" w:rsidRPr="00EF3476" w:rsidRDefault="004447CC" w:rsidP="00477A1C">
            <w:pPr>
              <w:pStyle w:val="Heading2"/>
              <w:spacing w:before="120" w:after="120"/>
              <w:jc w:val="center"/>
              <w:rPr>
                <w:sz w:val="20"/>
                <w:szCs w:val="20"/>
              </w:rPr>
            </w:pPr>
            <w:r w:rsidRPr="00EF3476">
              <w:rPr>
                <w:sz w:val="20"/>
                <w:szCs w:val="20"/>
              </w:rPr>
              <w:t>Recommendation</w:t>
            </w:r>
          </w:p>
        </w:tc>
        <w:tc>
          <w:tcPr>
            <w:tcW w:w="1842" w:type="dxa"/>
            <w:tcBorders>
              <w:right w:val="single" w:sz="4" w:space="0" w:color="auto"/>
            </w:tcBorders>
            <w:shd w:val="clear" w:color="auto" w:fill="FFEC9B"/>
            <w:vAlign w:val="center"/>
          </w:tcPr>
          <w:p w14:paraId="307D2C8A" w14:textId="77777777" w:rsidR="004447CC" w:rsidRPr="00EF3476" w:rsidRDefault="004447CC" w:rsidP="00477A1C">
            <w:pPr>
              <w:spacing w:after="120"/>
              <w:jc w:val="center"/>
              <w:rPr>
                <w:rFonts w:cs="Arial"/>
                <w:b/>
                <w:szCs w:val="20"/>
              </w:rPr>
            </w:pPr>
            <w:r w:rsidRPr="00EF3476">
              <w:rPr>
                <w:rFonts w:cs="Arial"/>
                <w:b/>
                <w:szCs w:val="20"/>
              </w:rPr>
              <w:t>Response</w:t>
            </w:r>
          </w:p>
        </w:tc>
        <w:tc>
          <w:tcPr>
            <w:tcW w:w="2126" w:type="dxa"/>
            <w:tcBorders>
              <w:left w:val="single" w:sz="4" w:space="0" w:color="auto"/>
            </w:tcBorders>
            <w:shd w:val="clear" w:color="auto" w:fill="FFEC9B"/>
            <w:vAlign w:val="center"/>
          </w:tcPr>
          <w:p w14:paraId="4D227DD4" w14:textId="77777777" w:rsidR="004447CC" w:rsidRPr="00EF3476" w:rsidRDefault="004447CC" w:rsidP="00477A1C">
            <w:pPr>
              <w:spacing w:after="120"/>
              <w:jc w:val="center"/>
              <w:rPr>
                <w:rFonts w:cs="Arial"/>
                <w:b/>
                <w:szCs w:val="20"/>
              </w:rPr>
            </w:pPr>
            <w:r w:rsidRPr="00EF3476">
              <w:rPr>
                <w:rFonts w:cs="Arial"/>
                <w:b/>
                <w:szCs w:val="20"/>
              </w:rPr>
              <w:t>Actions</w:t>
            </w:r>
          </w:p>
        </w:tc>
        <w:tc>
          <w:tcPr>
            <w:tcW w:w="1701" w:type="dxa"/>
            <w:tcBorders>
              <w:left w:val="single" w:sz="4" w:space="0" w:color="auto"/>
            </w:tcBorders>
            <w:shd w:val="clear" w:color="auto" w:fill="FFEC9B"/>
            <w:vAlign w:val="center"/>
          </w:tcPr>
          <w:p w14:paraId="3F4203BC" w14:textId="77777777" w:rsidR="004447CC" w:rsidRPr="00EF3476" w:rsidRDefault="004447CC" w:rsidP="00477A1C">
            <w:pPr>
              <w:spacing w:after="120"/>
              <w:jc w:val="center"/>
              <w:rPr>
                <w:rFonts w:cs="Arial"/>
                <w:szCs w:val="20"/>
              </w:rPr>
            </w:pPr>
            <w:r w:rsidRPr="00EF3476">
              <w:rPr>
                <w:rFonts w:cs="Arial"/>
                <w:b/>
                <w:szCs w:val="20"/>
              </w:rPr>
              <w:t>Responsibility</w:t>
            </w:r>
          </w:p>
        </w:tc>
      </w:tr>
      <w:tr w:rsidR="004447CC" w:rsidRPr="00EF3476" w14:paraId="30B63FBA" w14:textId="77777777" w:rsidTr="00682007">
        <w:trPr>
          <w:cantSplit/>
        </w:trPr>
        <w:tc>
          <w:tcPr>
            <w:tcW w:w="10172" w:type="dxa"/>
            <w:gridSpan w:val="4"/>
            <w:shd w:val="clear" w:color="auto" w:fill="BFBFBF" w:themeFill="background1" w:themeFillShade="BF"/>
            <w:vAlign w:val="center"/>
          </w:tcPr>
          <w:p w14:paraId="32BDA6D6" w14:textId="563284E1" w:rsidR="004447CC" w:rsidRPr="00EF3476" w:rsidRDefault="0049260B" w:rsidP="0049260B">
            <w:pPr>
              <w:pStyle w:val="Heading4"/>
              <w:rPr>
                <w:rFonts w:ascii="Arial" w:hAnsi="Arial" w:cs="Arial"/>
                <w:szCs w:val="20"/>
              </w:rPr>
            </w:pPr>
            <w:r w:rsidRPr="00EF3476">
              <w:rPr>
                <w:rFonts w:ascii="Arial" w:hAnsi="Arial" w:cs="Arial"/>
                <w:color w:val="auto"/>
                <w:szCs w:val="20"/>
              </w:rPr>
              <w:t>Phase I Completion/Extension</w:t>
            </w:r>
          </w:p>
        </w:tc>
      </w:tr>
      <w:tr w:rsidR="004447CC" w:rsidRPr="00EF3476" w14:paraId="472D4566" w14:textId="77777777" w:rsidTr="00682007">
        <w:trPr>
          <w:trHeight w:val="3988"/>
        </w:trPr>
        <w:tc>
          <w:tcPr>
            <w:tcW w:w="4503" w:type="dxa"/>
            <w:shd w:val="clear" w:color="auto" w:fill="auto"/>
          </w:tcPr>
          <w:p w14:paraId="7A6D6E62" w14:textId="0CACEA8E" w:rsidR="0049260B" w:rsidRPr="00EF3476" w:rsidRDefault="0049260B" w:rsidP="0049260B">
            <w:pPr>
              <w:pStyle w:val="ListNumber"/>
              <w:rPr>
                <w:rFonts w:ascii="Arial" w:hAnsi="Arial" w:cs="Arial"/>
                <w:sz w:val="20"/>
                <w:szCs w:val="20"/>
              </w:rPr>
            </w:pPr>
            <w:r w:rsidRPr="00EF3476">
              <w:rPr>
                <w:rFonts w:ascii="Arial" w:hAnsi="Arial" w:cs="Arial"/>
                <w:sz w:val="20"/>
                <w:szCs w:val="20"/>
              </w:rPr>
              <w:t>Extension phase funding should be allocated (as proposed) to the Flexible Fund.</w:t>
            </w:r>
          </w:p>
          <w:p w14:paraId="5AB79032" w14:textId="1944AB54" w:rsidR="004447CC" w:rsidRPr="00EF3476" w:rsidRDefault="004447CC" w:rsidP="00477A1C">
            <w:pPr>
              <w:pStyle w:val="Heading3"/>
              <w:rPr>
                <w:rFonts w:cs="Arial"/>
                <w:sz w:val="20"/>
                <w:szCs w:val="20"/>
                <w:lang w:eastAsia="en-AU"/>
              </w:rPr>
            </w:pPr>
          </w:p>
          <w:p w14:paraId="4F23AEE5" w14:textId="77777777" w:rsidR="004447CC" w:rsidRPr="00EF3476" w:rsidRDefault="004447CC" w:rsidP="00477A1C">
            <w:pPr>
              <w:rPr>
                <w:rFonts w:cs="Arial"/>
                <w:szCs w:val="20"/>
                <w:lang w:eastAsia="en-AU"/>
              </w:rPr>
            </w:pPr>
          </w:p>
        </w:tc>
        <w:tc>
          <w:tcPr>
            <w:tcW w:w="1842" w:type="dxa"/>
            <w:tcBorders>
              <w:right w:val="single" w:sz="4" w:space="0" w:color="auto"/>
            </w:tcBorders>
            <w:shd w:val="clear" w:color="auto" w:fill="auto"/>
          </w:tcPr>
          <w:p w14:paraId="26F97424" w14:textId="60AEFC16" w:rsidR="004447CC" w:rsidRPr="00EF3476" w:rsidRDefault="004447CC" w:rsidP="00477A1C">
            <w:pPr>
              <w:pStyle w:val="Heading3"/>
              <w:rPr>
                <w:rFonts w:cs="Arial"/>
                <w:i w:val="0"/>
                <w:sz w:val="20"/>
                <w:szCs w:val="20"/>
              </w:rPr>
            </w:pPr>
            <w:r w:rsidRPr="00EF3476">
              <w:rPr>
                <w:rFonts w:cs="Arial"/>
                <w:i w:val="0"/>
                <w:sz w:val="20"/>
                <w:szCs w:val="20"/>
              </w:rPr>
              <w:t xml:space="preserve">Agree </w:t>
            </w:r>
          </w:p>
          <w:p w14:paraId="4AE9409A" w14:textId="3409C22B" w:rsidR="004447CC" w:rsidRPr="00EF3476" w:rsidRDefault="004447CC" w:rsidP="00477A1C">
            <w:pPr>
              <w:pStyle w:val="Heading3"/>
              <w:rPr>
                <w:rFonts w:cs="Arial"/>
                <w:b w:val="0"/>
                <w:i w:val="0"/>
                <w:sz w:val="20"/>
                <w:szCs w:val="20"/>
              </w:rPr>
            </w:pPr>
          </w:p>
        </w:tc>
        <w:tc>
          <w:tcPr>
            <w:tcW w:w="2126" w:type="dxa"/>
            <w:tcBorders>
              <w:left w:val="single" w:sz="4" w:space="0" w:color="auto"/>
            </w:tcBorders>
            <w:shd w:val="clear" w:color="auto" w:fill="auto"/>
          </w:tcPr>
          <w:p w14:paraId="71601E46" w14:textId="6E0C1C96" w:rsidR="004447CC" w:rsidRPr="00EF3476" w:rsidRDefault="00532B48" w:rsidP="0049260B">
            <w:pPr>
              <w:pStyle w:val="Heading3"/>
              <w:rPr>
                <w:rFonts w:cs="Arial"/>
                <w:b w:val="0"/>
                <w:i w:val="0"/>
                <w:sz w:val="20"/>
                <w:szCs w:val="20"/>
              </w:rPr>
            </w:pPr>
            <w:r>
              <w:rPr>
                <w:rFonts w:cs="Arial"/>
                <w:b w:val="0"/>
                <w:i w:val="0"/>
                <w:sz w:val="20"/>
                <w:szCs w:val="20"/>
              </w:rPr>
              <w:t>Implement recommendation.</w:t>
            </w:r>
          </w:p>
        </w:tc>
        <w:tc>
          <w:tcPr>
            <w:tcW w:w="1701" w:type="dxa"/>
            <w:tcBorders>
              <w:left w:val="single" w:sz="4" w:space="0" w:color="auto"/>
            </w:tcBorders>
            <w:shd w:val="clear" w:color="auto" w:fill="auto"/>
          </w:tcPr>
          <w:p w14:paraId="0F764477" w14:textId="6549FB52" w:rsidR="004447CC" w:rsidRPr="00EF3476" w:rsidRDefault="0062211F" w:rsidP="00A0465D">
            <w:pPr>
              <w:pStyle w:val="Heading3"/>
              <w:rPr>
                <w:rFonts w:cs="Arial"/>
                <w:b w:val="0"/>
                <w:i w:val="0"/>
                <w:sz w:val="20"/>
                <w:szCs w:val="20"/>
              </w:rPr>
            </w:pPr>
            <w:r w:rsidRPr="00EF3476">
              <w:rPr>
                <w:rFonts w:cs="Arial"/>
                <w:b w:val="0"/>
                <w:i w:val="0"/>
                <w:sz w:val="20"/>
                <w:szCs w:val="20"/>
              </w:rPr>
              <w:t>DFAT</w:t>
            </w:r>
            <w:r>
              <w:rPr>
                <w:rFonts w:cs="Arial"/>
                <w:b w:val="0"/>
                <w:i w:val="0"/>
                <w:sz w:val="20"/>
                <w:szCs w:val="20"/>
              </w:rPr>
              <w:t xml:space="preserve">, </w:t>
            </w:r>
            <w:r w:rsidRPr="00A0465D">
              <w:rPr>
                <w:rFonts w:cs="Arial"/>
                <w:b w:val="0"/>
                <w:i w:val="0"/>
                <w:sz w:val="20"/>
                <w:szCs w:val="20"/>
              </w:rPr>
              <w:t>Program Support Unit (PSU)</w:t>
            </w:r>
            <w:r>
              <w:rPr>
                <w:rFonts w:cs="Arial"/>
                <w:szCs w:val="20"/>
              </w:rPr>
              <w:t xml:space="preserve"> </w:t>
            </w:r>
          </w:p>
        </w:tc>
      </w:tr>
      <w:tr w:rsidR="0049260B" w:rsidRPr="00EF3476" w14:paraId="00FC5E57" w14:textId="77777777" w:rsidTr="00682007">
        <w:trPr>
          <w:trHeight w:val="885"/>
        </w:trPr>
        <w:tc>
          <w:tcPr>
            <w:tcW w:w="4503" w:type="dxa"/>
            <w:shd w:val="clear" w:color="auto" w:fill="auto"/>
          </w:tcPr>
          <w:p w14:paraId="4D46883F" w14:textId="57AFA058" w:rsidR="0049260B" w:rsidRPr="00EF3476" w:rsidRDefault="0049260B" w:rsidP="0049260B">
            <w:pPr>
              <w:pStyle w:val="ListNumber"/>
              <w:rPr>
                <w:rFonts w:ascii="Arial" w:hAnsi="Arial" w:cs="Arial"/>
                <w:sz w:val="20"/>
                <w:szCs w:val="20"/>
              </w:rPr>
            </w:pPr>
            <w:r w:rsidRPr="00EF3476">
              <w:rPr>
                <w:rFonts w:ascii="Arial" w:hAnsi="Arial" w:cs="Arial"/>
                <w:sz w:val="20"/>
                <w:szCs w:val="20"/>
              </w:rPr>
              <w:t xml:space="preserve">Work plans should be agreed upon with existing implementing partners - the Central Institute for Economic Management (CIEM), the Vietnam Competition Authority (VCA) and the Institute of Policy and Strategy for Agriculture and Rural Development (IPSARD) - including existing proposals for Competition Policy and Rice Value Chain studies. </w:t>
            </w:r>
          </w:p>
          <w:p w14:paraId="2ECC2E6D" w14:textId="703F73B3" w:rsidR="0049260B" w:rsidRPr="00EF3476" w:rsidRDefault="0049260B" w:rsidP="0049260B">
            <w:pPr>
              <w:autoSpaceDE w:val="0"/>
              <w:autoSpaceDN w:val="0"/>
              <w:adjustRightInd w:val="0"/>
              <w:rPr>
                <w:rFonts w:cs="Arial"/>
                <w:bCs/>
                <w:szCs w:val="20"/>
                <w:lang w:eastAsia="en-AU"/>
              </w:rPr>
            </w:pPr>
          </w:p>
          <w:p w14:paraId="6A1DD34D" w14:textId="77777777" w:rsidR="0049260B" w:rsidRPr="00EF3476" w:rsidRDefault="0049260B" w:rsidP="0049260B">
            <w:pPr>
              <w:autoSpaceDE w:val="0"/>
              <w:autoSpaceDN w:val="0"/>
              <w:adjustRightInd w:val="0"/>
              <w:rPr>
                <w:rFonts w:cs="Arial"/>
                <w:bCs/>
                <w:i/>
                <w:szCs w:val="20"/>
                <w:lang w:eastAsia="en-AU"/>
              </w:rPr>
            </w:pPr>
          </w:p>
        </w:tc>
        <w:tc>
          <w:tcPr>
            <w:tcW w:w="1842" w:type="dxa"/>
            <w:tcBorders>
              <w:right w:val="single" w:sz="4" w:space="0" w:color="auto"/>
            </w:tcBorders>
            <w:shd w:val="clear" w:color="auto" w:fill="auto"/>
          </w:tcPr>
          <w:p w14:paraId="15402AA9" w14:textId="200635A1" w:rsidR="0049260B" w:rsidRPr="00EF3476" w:rsidRDefault="0049260B" w:rsidP="0049260B">
            <w:pPr>
              <w:pStyle w:val="Heading3"/>
              <w:rPr>
                <w:rFonts w:cs="Arial"/>
                <w:i w:val="0"/>
                <w:sz w:val="20"/>
                <w:szCs w:val="20"/>
              </w:rPr>
            </w:pPr>
            <w:r w:rsidRPr="00EF3476">
              <w:rPr>
                <w:rFonts w:cs="Arial"/>
                <w:i w:val="0"/>
                <w:sz w:val="20"/>
                <w:szCs w:val="20"/>
              </w:rPr>
              <w:t xml:space="preserve">Agree </w:t>
            </w:r>
          </w:p>
          <w:p w14:paraId="59B14845" w14:textId="07A72218" w:rsidR="0049260B" w:rsidRPr="00EF3476" w:rsidRDefault="0049260B" w:rsidP="0049260B">
            <w:pPr>
              <w:rPr>
                <w:rFonts w:cs="Arial"/>
                <w:szCs w:val="20"/>
              </w:rPr>
            </w:pPr>
          </w:p>
        </w:tc>
        <w:tc>
          <w:tcPr>
            <w:tcW w:w="2126" w:type="dxa"/>
            <w:tcBorders>
              <w:left w:val="single" w:sz="4" w:space="0" w:color="auto"/>
            </w:tcBorders>
            <w:shd w:val="clear" w:color="auto" w:fill="auto"/>
          </w:tcPr>
          <w:p w14:paraId="012E65B9" w14:textId="53ECA1BF" w:rsidR="0049260B" w:rsidRPr="00EF3476" w:rsidRDefault="0049260B" w:rsidP="00A0465D">
            <w:pPr>
              <w:spacing w:after="120"/>
              <w:rPr>
                <w:rFonts w:cs="Arial"/>
                <w:szCs w:val="20"/>
              </w:rPr>
            </w:pPr>
            <w:r w:rsidRPr="00EF3476">
              <w:rPr>
                <w:rFonts w:cs="Arial"/>
                <w:szCs w:val="20"/>
              </w:rPr>
              <w:t xml:space="preserve">The </w:t>
            </w:r>
            <w:r w:rsidR="00532B48">
              <w:rPr>
                <w:rFonts w:cs="Arial"/>
                <w:szCs w:val="20"/>
              </w:rPr>
              <w:t>N</w:t>
            </w:r>
            <w:r w:rsidR="008541B1">
              <w:rPr>
                <w:rFonts w:cs="Arial"/>
                <w:szCs w:val="20"/>
              </w:rPr>
              <w:t>ational Program Director (N</w:t>
            </w:r>
            <w:r w:rsidRPr="00EF3476">
              <w:rPr>
                <w:rFonts w:cs="Arial"/>
                <w:szCs w:val="20"/>
              </w:rPr>
              <w:t>PD</w:t>
            </w:r>
            <w:r w:rsidR="008541B1">
              <w:rPr>
                <w:rFonts w:cs="Arial"/>
                <w:szCs w:val="20"/>
              </w:rPr>
              <w:t>)</w:t>
            </w:r>
            <w:r w:rsidRPr="00EF3476">
              <w:rPr>
                <w:rFonts w:cs="Arial"/>
                <w:szCs w:val="20"/>
              </w:rPr>
              <w:t xml:space="preserve"> and P</w:t>
            </w:r>
            <w:r w:rsidR="008541B1">
              <w:rPr>
                <w:rFonts w:cs="Arial"/>
                <w:szCs w:val="20"/>
              </w:rPr>
              <w:t>S</w:t>
            </w:r>
            <w:r w:rsidRPr="00EF3476">
              <w:rPr>
                <w:rFonts w:cs="Arial"/>
                <w:szCs w:val="20"/>
              </w:rPr>
              <w:t>U</w:t>
            </w:r>
            <w:r w:rsidR="00532B48">
              <w:rPr>
                <w:rFonts w:cs="Arial"/>
                <w:szCs w:val="20"/>
              </w:rPr>
              <w:t xml:space="preserve"> </w:t>
            </w:r>
            <w:r w:rsidR="008541B1">
              <w:rPr>
                <w:rFonts w:cs="Arial"/>
                <w:szCs w:val="20"/>
              </w:rPr>
              <w:t>will</w:t>
            </w:r>
            <w:r w:rsidR="00532B48" w:rsidRPr="00EF3476">
              <w:rPr>
                <w:rFonts w:cs="Arial"/>
                <w:szCs w:val="20"/>
              </w:rPr>
              <w:t xml:space="preserve"> prepare </w:t>
            </w:r>
            <w:r w:rsidR="00532B48">
              <w:rPr>
                <w:rFonts w:cs="Arial"/>
                <w:szCs w:val="20"/>
              </w:rPr>
              <w:t xml:space="preserve">annual </w:t>
            </w:r>
            <w:r w:rsidR="00532B48" w:rsidRPr="00EF3476">
              <w:rPr>
                <w:rFonts w:cs="Arial"/>
                <w:szCs w:val="20"/>
              </w:rPr>
              <w:t>work plan</w:t>
            </w:r>
            <w:r w:rsidR="00532B48">
              <w:rPr>
                <w:rFonts w:cs="Arial"/>
                <w:szCs w:val="20"/>
              </w:rPr>
              <w:t>s</w:t>
            </w:r>
            <w:r w:rsidRPr="00EF3476">
              <w:rPr>
                <w:rFonts w:cs="Arial"/>
                <w:szCs w:val="20"/>
              </w:rPr>
              <w:t xml:space="preserve"> in col</w:t>
            </w:r>
            <w:r w:rsidR="00532B48">
              <w:rPr>
                <w:rFonts w:cs="Arial"/>
                <w:szCs w:val="20"/>
              </w:rPr>
              <w:t>l</w:t>
            </w:r>
            <w:r w:rsidRPr="00EF3476">
              <w:rPr>
                <w:rFonts w:cs="Arial"/>
                <w:szCs w:val="20"/>
              </w:rPr>
              <w:t xml:space="preserve">aboration with </w:t>
            </w:r>
            <w:r w:rsidR="00532B48">
              <w:rPr>
                <w:rFonts w:cs="Arial"/>
                <w:szCs w:val="20"/>
              </w:rPr>
              <w:t>implementing partner</w:t>
            </w:r>
            <w:r w:rsidR="00532B48" w:rsidRPr="00EF3476">
              <w:rPr>
                <w:rFonts w:cs="Arial"/>
                <w:szCs w:val="20"/>
              </w:rPr>
              <w:t xml:space="preserve"> </w:t>
            </w:r>
            <w:r w:rsidRPr="00EF3476">
              <w:rPr>
                <w:rFonts w:cs="Arial"/>
                <w:szCs w:val="20"/>
              </w:rPr>
              <w:t>agencies.</w:t>
            </w:r>
          </w:p>
        </w:tc>
        <w:tc>
          <w:tcPr>
            <w:tcW w:w="1701" w:type="dxa"/>
            <w:tcBorders>
              <w:left w:val="single" w:sz="4" w:space="0" w:color="auto"/>
            </w:tcBorders>
            <w:shd w:val="clear" w:color="auto" w:fill="auto"/>
          </w:tcPr>
          <w:p w14:paraId="6C0117D6" w14:textId="1FC8D2ED" w:rsidR="0049260B" w:rsidRPr="00EF3476" w:rsidRDefault="00DE618B" w:rsidP="00A0465D">
            <w:pPr>
              <w:spacing w:before="0"/>
              <w:rPr>
                <w:rFonts w:cs="Arial"/>
                <w:szCs w:val="20"/>
              </w:rPr>
            </w:pPr>
            <w:r>
              <w:rPr>
                <w:rFonts w:cs="Arial"/>
                <w:szCs w:val="20"/>
              </w:rPr>
              <w:t xml:space="preserve">NPD, </w:t>
            </w:r>
            <w:r w:rsidR="00620AD8">
              <w:rPr>
                <w:rFonts w:cs="Arial"/>
                <w:szCs w:val="20"/>
              </w:rPr>
              <w:t>PS</w:t>
            </w:r>
            <w:r>
              <w:rPr>
                <w:rFonts w:cs="Arial"/>
                <w:szCs w:val="20"/>
              </w:rPr>
              <w:t xml:space="preserve">U, </w:t>
            </w:r>
            <w:r w:rsidR="00532B48">
              <w:rPr>
                <w:rFonts w:cs="Arial"/>
                <w:szCs w:val="20"/>
              </w:rPr>
              <w:t>Implementing partner agencies</w:t>
            </w:r>
          </w:p>
        </w:tc>
      </w:tr>
      <w:tr w:rsidR="0049260B" w:rsidRPr="00EF3476" w14:paraId="361E0F73" w14:textId="77777777" w:rsidTr="00682007">
        <w:trPr>
          <w:trHeight w:val="885"/>
        </w:trPr>
        <w:tc>
          <w:tcPr>
            <w:tcW w:w="4503" w:type="dxa"/>
            <w:shd w:val="clear" w:color="auto" w:fill="auto"/>
          </w:tcPr>
          <w:p w14:paraId="5E6A1C8E" w14:textId="1D0BAD25" w:rsidR="0049260B" w:rsidRPr="00EF3476" w:rsidRDefault="0049260B" w:rsidP="0049260B">
            <w:pPr>
              <w:pStyle w:val="ListNumber"/>
              <w:rPr>
                <w:rFonts w:ascii="Arial" w:hAnsi="Arial" w:cs="Arial"/>
                <w:sz w:val="20"/>
                <w:szCs w:val="20"/>
              </w:rPr>
            </w:pPr>
            <w:r w:rsidRPr="00EF3476">
              <w:rPr>
                <w:rFonts w:ascii="Arial" w:hAnsi="Arial" w:cs="Arial"/>
                <w:sz w:val="20"/>
                <w:szCs w:val="20"/>
              </w:rPr>
              <w:t>Further support should be considered for the Vietnam Chamber of Commerce and Industry (VCCI), the Economic Committee of the National Assembly (ECNA) and the Economic Commission of the Communist Party of Vietnam (ECCPV), subject to available funds and proposals consistent with Program objectives (improving market competitiveness).</w:t>
            </w:r>
          </w:p>
          <w:p w14:paraId="6CBBD657" w14:textId="73F378B1" w:rsidR="0049260B" w:rsidRPr="00EF3476" w:rsidRDefault="0049260B" w:rsidP="0049260B">
            <w:pPr>
              <w:autoSpaceDE w:val="0"/>
              <w:autoSpaceDN w:val="0"/>
              <w:adjustRightInd w:val="0"/>
              <w:rPr>
                <w:rFonts w:cs="Arial"/>
                <w:b/>
                <w:bCs/>
                <w:iCs/>
                <w:szCs w:val="20"/>
                <w:lang w:eastAsia="en-AU"/>
              </w:rPr>
            </w:pPr>
          </w:p>
        </w:tc>
        <w:tc>
          <w:tcPr>
            <w:tcW w:w="1842" w:type="dxa"/>
            <w:tcBorders>
              <w:right w:val="single" w:sz="4" w:space="0" w:color="auto"/>
            </w:tcBorders>
            <w:shd w:val="clear" w:color="auto" w:fill="auto"/>
          </w:tcPr>
          <w:p w14:paraId="7D1AC449" w14:textId="77777777" w:rsidR="0049260B" w:rsidRPr="00EF3476" w:rsidRDefault="0049260B" w:rsidP="0049260B">
            <w:pPr>
              <w:pStyle w:val="Heading3"/>
              <w:rPr>
                <w:rFonts w:cs="Arial"/>
                <w:i w:val="0"/>
                <w:sz w:val="20"/>
                <w:szCs w:val="20"/>
              </w:rPr>
            </w:pPr>
            <w:r w:rsidRPr="00EF3476">
              <w:rPr>
                <w:rFonts w:cs="Arial"/>
                <w:i w:val="0"/>
                <w:sz w:val="20"/>
                <w:szCs w:val="20"/>
              </w:rPr>
              <w:t xml:space="preserve">Agree </w:t>
            </w:r>
          </w:p>
          <w:p w14:paraId="059CD679" w14:textId="63FE21BB" w:rsidR="0049260B" w:rsidRPr="00EF3476" w:rsidRDefault="0049260B" w:rsidP="0049260B">
            <w:pPr>
              <w:rPr>
                <w:rFonts w:cs="Arial"/>
                <w:szCs w:val="20"/>
              </w:rPr>
            </w:pPr>
            <w:r w:rsidRPr="00EF3476">
              <w:rPr>
                <w:rFonts w:cs="Arial"/>
                <w:szCs w:val="20"/>
              </w:rPr>
              <w:t xml:space="preserve"> </w:t>
            </w:r>
          </w:p>
        </w:tc>
        <w:tc>
          <w:tcPr>
            <w:tcW w:w="2126" w:type="dxa"/>
            <w:tcBorders>
              <w:left w:val="single" w:sz="4" w:space="0" w:color="auto"/>
            </w:tcBorders>
            <w:shd w:val="clear" w:color="auto" w:fill="auto"/>
          </w:tcPr>
          <w:p w14:paraId="2183AB70" w14:textId="77777777" w:rsidR="00532B48" w:rsidRDefault="00532B48" w:rsidP="0049260B">
            <w:pPr>
              <w:rPr>
                <w:rFonts w:cs="Arial"/>
                <w:szCs w:val="20"/>
              </w:rPr>
            </w:pPr>
            <w:r>
              <w:rPr>
                <w:rFonts w:cs="Arial"/>
                <w:szCs w:val="20"/>
              </w:rPr>
              <w:t xml:space="preserve">RCV2 will: </w:t>
            </w:r>
          </w:p>
          <w:p w14:paraId="3C36DD2E" w14:textId="747A5642" w:rsidR="00532B48" w:rsidRDefault="00532B48" w:rsidP="0049260B">
            <w:pPr>
              <w:rPr>
                <w:rFonts w:cs="Arial"/>
                <w:szCs w:val="20"/>
              </w:rPr>
            </w:pPr>
            <w:r>
              <w:rPr>
                <w:rFonts w:cs="Arial"/>
                <w:szCs w:val="20"/>
              </w:rPr>
              <w:t>- upgrade VCCI to a formal partner.</w:t>
            </w:r>
          </w:p>
          <w:p w14:paraId="333DA511" w14:textId="374B86E1" w:rsidR="00532B48" w:rsidRDefault="00532B48" w:rsidP="0049260B">
            <w:pPr>
              <w:rPr>
                <w:rFonts w:cs="Arial"/>
                <w:szCs w:val="20"/>
              </w:rPr>
            </w:pPr>
            <w:r>
              <w:rPr>
                <w:rFonts w:cs="Arial"/>
                <w:szCs w:val="20"/>
              </w:rPr>
              <w:t>- work closely with the ECCPV</w:t>
            </w:r>
            <w:r w:rsidR="00620AD8">
              <w:rPr>
                <w:rFonts w:cs="Arial"/>
                <w:szCs w:val="20"/>
              </w:rPr>
              <w:t>, including on implementing the Resolution on a New Growth Model and hosting annual economic forums.</w:t>
            </w:r>
          </w:p>
          <w:p w14:paraId="79C65A07" w14:textId="0C75F453" w:rsidR="0049260B" w:rsidRPr="00EF3476" w:rsidRDefault="00620AD8" w:rsidP="0049260B">
            <w:pPr>
              <w:rPr>
                <w:rFonts w:cs="Arial"/>
                <w:szCs w:val="20"/>
              </w:rPr>
            </w:pPr>
            <w:r>
              <w:rPr>
                <w:rFonts w:cs="Arial"/>
                <w:szCs w:val="20"/>
              </w:rPr>
              <w:t xml:space="preserve">- Continue to support ECNA activities through the Flexible Fund (subject to the conditions included in the MTR </w:t>
            </w:r>
            <w:r>
              <w:rPr>
                <w:rFonts w:cs="Arial"/>
                <w:szCs w:val="20"/>
              </w:rPr>
              <w:lastRenderedPageBreak/>
              <w:t>recommendation).</w:t>
            </w:r>
          </w:p>
        </w:tc>
        <w:tc>
          <w:tcPr>
            <w:tcW w:w="1701" w:type="dxa"/>
            <w:tcBorders>
              <w:left w:val="single" w:sz="4" w:space="0" w:color="auto"/>
            </w:tcBorders>
            <w:shd w:val="clear" w:color="auto" w:fill="auto"/>
          </w:tcPr>
          <w:p w14:paraId="4978B0A9" w14:textId="242AC5D5" w:rsidR="0049260B" w:rsidRPr="00EF3476" w:rsidRDefault="00620AD8" w:rsidP="0049260B">
            <w:pPr>
              <w:spacing w:before="0"/>
              <w:rPr>
                <w:rFonts w:cs="Arial"/>
                <w:szCs w:val="20"/>
              </w:rPr>
            </w:pPr>
            <w:r>
              <w:rPr>
                <w:rFonts w:cs="Arial"/>
                <w:szCs w:val="20"/>
              </w:rPr>
              <w:lastRenderedPageBreak/>
              <w:t>PSU</w:t>
            </w:r>
            <w:r w:rsidR="00DE618B">
              <w:rPr>
                <w:rFonts w:cs="Arial"/>
                <w:szCs w:val="20"/>
              </w:rPr>
              <w:t xml:space="preserve">, VCCI, ECCPV, </w:t>
            </w:r>
            <w:r>
              <w:rPr>
                <w:rFonts w:cs="Arial"/>
                <w:szCs w:val="20"/>
              </w:rPr>
              <w:t>ECNA.</w:t>
            </w:r>
          </w:p>
        </w:tc>
      </w:tr>
      <w:tr w:rsidR="0049260B" w:rsidRPr="00EF3476" w14:paraId="4A70375E" w14:textId="77777777" w:rsidTr="00682007">
        <w:trPr>
          <w:cantSplit/>
          <w:trHeight w:val="3083"/>
        </w:trPr>
        <w:tc>
          <w:tcPr>
            <w:tcW w:w="4503" w:type="dxa"/>
            <w:shd w:val="clear" w:color="auto" w:fill="auto"/>
          </w:tcPr>
          <w:p w14:paraId="371D36E4" w14:textId="3515EDBB" w:rsidR="0049260B" w:rsidRPr="00EF3476" w:rsidRDefault="0049260B" w:rsidP="0049260B">
            <w:pPr>
              <w:pStyle w:val="ListNumber"/>
              <w:rPr>
                <w:rFonts w:ascii="Arial" w:hAnsi="Arial" w:cs="Arial"/>
                <w:sz w:val="20"/>
                <w:szCs w:val="20"/>
              </w:rPr>
            </w:pPr>
            <w:r w:rsidRPr="00EF3476">
              <w:rPr>
                <w:rFonts w:ascii="Arial" w:hAnsi="Arial" w:cs="Arial"/>
                <w:sz w:val="20"/>
                <w:szCs w:val="20"/>
              </w:rPr>
              <w:lastRenderedPageBreak/>
              <w:t>The peer review network and the Senior Advisory Group (SAG) should be strengthened:</w:t>
            </w:r>
          </w:p>
          <w:p w14:paraId="76CF921B" w14:textId="77777777" w:rsidR="0049260B" w:rsidRPr="00EF3476" w:rsidRDefault="0049260B" w:rsidP="0049260B">
            <w:pPr>
              <w:pStyle w:val="ListBullet2"/>
              <w:tabs>
                <w:tab w:val="clear" w:pos="643"/>
                <w:tab w:val="num" w:pos="567"/>
              </w:tabs>
              <w:spacing w:before="80" w:line="300" w:lineRule="exact"/>
              <w:ind w:left="567" w:hanging="283"/>
              <w:contextualSpacing w:val="0"/>
              <w:rPr>
                <w:rFonts w:cs="Arial"/>
                <w:szCs w:val="20"/>
              </w:rPr>
            </w:pPr>
            <w:r w:rsidRPr="00EF3476">
              <w:rPr>
                <w:rFonts w:cs="Arial"/>
                <w:szCs w:val="20"/>
              </w:rPr>
              <w:t>thus retaining influential networks, but also seeking to engage with younger economists, and researchers from the south.</w:t>
            </w:r>
          </w:p>
          <w:p w14:paraId="3A437044" w14:textId="1910DDE4" w:rsidR="0049260B" w:rsidRPr="00EF3476" w:rsidRDefault="0049260B" w:rsidP="0049260B">
            <w:pPr>
              <w:pStyle w:val="ListParagraph"/>
              <w:spacing w:after="120"/>
              <w:ind w:left="0"/>
              <w:rPr>
                <w:rFonts w:cs="Arial"/>
                <w:bCs/>
                <w:iCs/>
                <w:szCs w:val="20"/>
                <w:lang w:eastAsia="en-AU"/>
              </w:rPr>
            </w:pPr>
          </w:p>
        </w:tc>
        <w:tc>
          <w:tcPr>
            <w:tcW w:w="1842" w:type="dxa"/>
            <w:tcBorders>
              <w:right w:val="single" w:sz="4" w:space="0" w:color="auto"/>
            </w:tcBorders>
            <w:shd w:val="clear" w:color="auto" w:fill="auto"/>
          </w:tcPr>
          <w:p w14:paraId="4836B11A" w14:textId="77777777" w:rsidR="0049260B" w:rsidRPr="00EF3476" w:rsidRDefault="0049260B" w:rsidP="0049260B">
            <w:pPr>
              <w:pStyle w:val="Heading3"/>
              <w:rPr>
                <w:rFonts w:cs="Arial"/>
                <w:i w:val="0"/>
                <w:sz w:val="20"/>
                <w:szCs w:val="20"/>
              </w:rPr>
            </w:pPr>
            <w:r w:rsidRPr="00EF3476">
              <w:rPr>
                <w:rFonts w:cs="Arial"/>
                <w:i w:val="0"/>
                <w:sz w:val="20"/>
                <w:szCs w:val="20"/>
              </w:rPr>
              <w:t xml:space="preserve">Agree </w:t>
            </w:r>
          </w:p>
          <w:p w14:paraId="75350876" w14:textId="77777777" w:rsidR="0049260B" w:rsidRPr="00EF3476" w:rsidRDefault="0049260B" w:rsidP="0049260B">
            <w:pPr>
              <w:autoSpaceDE w:val="0"/>
              <w:autoSpaceDN w:val="0"/>
              <w:adjustRightInd w:val="0"/>
              <w:spacing w:before="0"/>
              <w:rPr>
                <w:rFonts w:cs="Arial"/>
                <w:szCs w:val="20"/>
                <w:lang w:eastAsia="en-AU"/>
              </w:rPr>
            </w:pPr>
          </w:p>
          <w:p w14:paraId="0E9284CA" w14:textId="4FE0B06D" w:rsidR="0049260B" w:rsidRPr="00EF3476" w:rsidRDefault="0049260B" w:rsidP="0049260B">
            <w:pPr>
              <w:autoSpaceDE w:val="0"/>
              <w:autoSpaceDN w:val="0"/>
              <w:adjustRightInd w:val="0"/>
              <w:spacing w:before="0"/>
              <w:rPr>
                <w:rFonts w:cs="Arial"/>
                <w:szCs w:val="20"/>
                <w:lang w:eastAsia="en-AU"/>
              </w:rPr>
            </w:pPr>
          </w:p>
        </w:tc>
        <w:tc>
          <w:tcPr>
            <w:tcW w:w="2126" w:type="dxa"/>
            <w:tcBorders>
              <w:left w:val="single" w:sz="4" w:space="0" w:color="auto"/>
            </w:tcBorders>
            <w:shd w:val="clear" w:color="auto" w:fill="auto"/>
          </w:tcPr>
          <w:p w14:paraId="62AD8E3D" w14:textId="17F44044" w:rsidR="0049260B" w:rsidRDefault="00620AD8" w:rsidP="0049260B">
            <w:pPr>
              <w:spacing w:after="120"/>
              <w:rPr>
                <w:rFonts w:cs="Arial"/>
                <w:szCs w:val="20"/>
              </w:rPr>
            </w:pPr>
            <w:r>
              <w:rPr>
                <w:rFonts w:cs="Arial"/>
                <w:szCs w:val="20"/>
              </w:rPr>
              <w:t>RCV2 will:</w:t>
            </w:r>
          </w:p>
          <w:p w14:paraId="030B6F2F" w14:textId="77777777" w:rsidR="00620AD8" w:rsidRDefault="00620AD8" w:rsidP="00A0465D">
            <w:pPr>
              <w:spacing w:after="120"/>
              <w:rPr>
                <w:rFonts w:cs="Arial"/>
                <w:szCs w:val="20"/>
              </w:rPr>
            </w:pPr>
            <w:r>
              <w:rPr>
                <w:rFonts w:cs="Arial"/>
                <w:szCs w:val="20"/>
              </w:rPr>
              <w:t>- involve new SAG members, including more women and more representatives from outside Hanoi.</w:t>
            </w:r>
          </w:p>
          <w:p w14:paraId="25FCFED8" w14:textId="68B50436" w:rsidR="00620AD8" w:rsidRPr="00EF3476" w:rsidRDefault="00620AD8" w:rsidP="00A0465D">
            <w:pPr>
              <w:spacing w:after="120"/>
              <w:rPr>
                <w:rFonts w:cs="Arial"/>
                <w:szCs w:val="20"/>
              </w:rPr>
            </w:pPr>
            <w:r>
              <w:rPr>
                <w:rFonts w:cs="Arial"/>
                <w:szCs w:val="20"/>
              </w:rPr>
              <w:t>- reconsider how the program uses the SAG and how best to engage them.</w:t>
            </w:r>
          </w:p>
        </w:tc>
        <w:tc>
          <w:tcPr>
            <w:tcW w:w="1701" w:type="dxa"/>
            <w:tcBorders>
              <w:left w:val="single" w:sz="4" w:space="0" w:color="auto"/>
            </w:tcBorders>
            <w:shd w:val="clear" w:color="auto" w:fill="auto"/>
          </w:tcPr>
          <w:p w14:paraId="75C9668D" w14:textId="6EE65342" w:rsidR="0049260B" w:rsidRPr="00EF3476" w:rsidRDefault="0049260B" w:rsidP="0049260B">
            <w:pPr>
              <w:spacing w:after="120"/>
              <w:rPr>
                <w:rFonts w:cs="Arial"/>
                <w:szCs w:val="20"/>
              </w:rPr>
            </w:pPr>
            <w:r w:rsidRPr="00EF3476">
              <w:rPr>
                <w:rFonts w:cs="Arial"/>
                <w:szCs w:val="20"/>
              </w:rPr>
              <w:t>DFAT</w:t>
            </w:r>
            <w:r w:rsidR="00DE618B">
              <w:rPr>
                <w:rFonts w:cs="Arial"/>
                <w:szCs w:val="20"/>
              </w:rPr>
              <w:t xml:space="preserve">, </w:t>
            </w:r>
            <w:r w:rsidRPr="00EF3476">
              <w:rPr>
                <w:rFonts w:cs="Arial"/>
                <w:szCs w:val="20"/>
              </w:rPr>
              <w:t>MPI/CIEM</w:t>
            </w:r>
          </w:p>
        </w:tc>
      </w:tr>
      <w:tr w:rsidR="0049260B" w:rsidRPr="00EF3476" w14:paraId="55EF0D2B" w14:textId="77777777" w:rsidTr="00682007">
        <w:trPr>
          <w:cantSplit/>
          <w:trHeight w:val="885"/>
        </w:trPr>
        <w:tc>
          <w:tcPr>
            <w:tcW w:w="4503" w:type="dxa"/>
            <w:shd w:val="clear" w:color="auto" w:fill="auto"/>
          </w:tcPr>
          <w:p w14:paraId="312FA6D7" w14:textId="1CBEA0AD" w:rsidR="0049260B" w:rsidRPr="00EF3476" w:rsidRDefault="0049260B" w:rsidP="0049260B">
            <w:pPr>
              <w:pStyle w:val="ListNumber"/>
              <w:rPr>
                <w:rFonts w:ascii="Arial" w:hAnsi="Arial" w:cs="Arial"/>
                <w:sz w:val="20"/>
                <w:szCs w:val="20"/>
              </w:rPr>
            </w:pPr>
            <w:r w:rsidRPr="00EF3476">
              <w:rPr>
                <w:rFonts w:ascii="Arial" w:hAnsi="Arial" w:cs="Arial"/>
                <w:sz w:val="20"/>
                <w:szCs w:val="20"/>
              </w:rPr>
              <w:t>The Program Support Unit should continue to seek improvements/simplification to Flexible Fund approval processes and the Operations Manual for incorporation in Phase II.</w:t>
            </w:r>
          </w:p>
          <w:p w14:paraId="4E08ECA3" w14:textId="0D0FC61B" w:rsidR="0049260B" w:rsidRPr="00EF3476" w:rsidRDefault="0049260B" w:rsidP="0049260B">
            <w:pPr>
              <w:pStyle w:val="ListParagraph"/>
              <w:spacing w:after="120"/>
              <w:ind w:left="0"/>
              <w:rPr>
                <w:rFonts w:cs="Arial"/>
                <w:bCs/>
                <w:iCs/>
                <w:szCs w:val="20"/>
                <w:lang w:eastAsia="en-AU"/>
              </w:rPr>
            </w:pPr>
          </w:p>
        </w:tc>
        <w:tc>
          <w:tcPr>
            <w:tcW w:w="1842" w:type="dxa"/>
            <w:tcBorders>
              <w:right w:val="single" w:sz="4" w:space="0" w:color="auto"/>
            </w:tcBorders>
            <w:shd w:val="clear" w:color="auto" w:fill="auto"/>
          </w:tcPr>
          <w:p w14:paraId="476AFABD" w14:textId="77777777" w:rsidR="0049260B" w:rsidRPr="00EF3476" w:rsidRDefault="0049260B" w:rsidP="0049260B">
            <w:pPr>
              <w:pStyle w:val="Heading3"/>
              <w:rPr>
                <w:rFonts w:cs="Arial"/>
                <w:i w:val="0"/>
                <w:sz w:val="20"/>
                <w:szCs w:val="20"/>
              </w:rPr>
            </w:pPr>
            <w:r w:rsidRPr="00EF3476">
              <w:rPr>
                <w:rFonts w:cs="Arial"/>
                <w:i w:val="0"/>
                <w:sz w:val="20"/>
                <w:szCs w:val="20"/>
              </w:rPr>
              <w:t xml:space="preserve">Agree </w:t>
            </w:r>
          </w:p>
          <w:p w14:paraId="6E21F01C" w14:textId="103AB718" w:rsidR="0049260B" w:rsidRPr="00EF3476" w:rsidRDefault="0049260B" w:rsidP="0049260B">
            <w:pPr>
              <w:autoSpaceDE w:val="0"/>
              <w:autoSpaceDN w:val="0"/>
              <w:adjustRightInd w:val="0"/>
              <w:spacing w:before="0"/>
              <w:rPr>
                <w:rFonts w:cs="Arial"/>
                <w:szCs w:val="20"/>
                <w:lang w:eastAsia="en-AU"/>
              </w:rPr>
            </w:pPr>
          </w:p>
        </w:tc>
        <w:tc>
          <w:tcPr>
            <w:tcW w:w="2126" w:type="dxa"/>
            <w:tcBorders>
              <w:left w:val="single" w:sz="4" w:space="0" w:color="auto"/>
            </w:tcBorders>
            <w:shd w:val="clear" w:color="auto" w:fill="auto"/>
          </w:tcPr>
          <w:p w14:paraId="1F559870" w14:textId="15150676" w:rsidR="0049260B" w:rsidRPr="00EF3476" w:rsidRDefault="00620AD8" w:rsidP="0049260B">
            <w:pPr>
              <w:pStyle w:val="ListNumber"/>
              <w:numPr>
                <w:ilvl w:val="0"/>
                <w:numId w:val="0"/>
              </w:numPr>
              <w:rPr>
                <w:rFonts w:ascii="Arial" w:hAnsi="Arial" w:cs="Arial"/>
                <w:sz w:val="20"/>
                <w:szCs w:val="20"/>
              </w:rPr>
            </w:pPr>
            <w:r>
              <w:rPr>
                <w:rFonts w:ascii="Arial" w:hAnsi="Arial" w:cs="Arial"/>
                <w:sz w:val="20"/>
                <w:szCs w:val="20"/>
              </w:rPr>
              <w:t>RCV2 will simplify Flexible Fund approval processes and the Operations Manual.</w:t>
            </w:r>
          </w:p>
          <w:p w14:paraId="27055F01" w14:textId="7D6824B8" w:rsidR="0049260B" w:rsidRPr="00EF3476" w:rsidRDefault="0049260B" w:rsidP="0049260B">
            <w:pPr>
              <w:spacing w:after="120"/>
              <w:rPr>
                <w:rFonts w:cs="Arial"/>
                <w:szCs w:val="20"/>
              </w:rPr>
            </w:pPr>
          </w:p>
        </w:tc>
        <w:tc>
          <w:tcPr>
            <w:tcW w:w="1701" w:type="dxa"/>
            <w:tcBorders>
              <w:left w:val="single" w:sz="4" w:space="0" w:color="auto"/>
            </w:tcBorders>
            <w:shd w:val="clear" w:color="auto" w:fill="auto"/>
          </w:tcPr>
          <w:p w14:paraId="141A745F" w14:textId="06993AE2" w:rsidR="0049260B" w:rsidRPr="00EF3476" w:rsidRDefault="0049260B" w:rsidP="0049260B">
            <w:pPr>
              <w:spacing w:after="120"/>
              <w:rPr>
                <w:rFonts w:cs="Arial"/>
                <w:szCs w:val="20"/>
              </w:rPr>
            </w:pPr>
            <w:r w:rsidRPr="00EF3476">
              <w:rPr>
                <w:rFonts w:cs="Arial"/>
                <w:szCs w:val="20"/>
              </w:rPr>
              <w:t>P</w:t>
            </w:r>
            <w:r w:rsidR="00620AD8">
              <w:rPr>
                <w:rFonts w:cs="Arial"/>
                <w:szCs w:val="20"/>
              </w:rPr>
              <w:t>SU</w:t>
            </w:r>
          </w:p>
        </w:tc>
      </w:tr>
      <w:tr w:rsidR="0049260B" w:rsidRPr="00EF3476" w14:paraId="7438263F" w14:textId="77777777" w:rsidTr="00682007">
        <w:trPr>
          <w:cantSplit/>
          <w:trHeight w:val="885"/>
        </w:trPr>
        <w:tc>
          <w:tcPr>
            <w:tcW w:w="4503" w:type="dxa"/>
            <w:shd w:val="clear" w:color="auto" w:fill="auto"/>
          </w:tcPr>
          <w:p w14:paraId="599ED073" w14:textId="2B3701A0" w:rsidR="0049260B" w:rsidRPr="00EF3476" w:rsidRDefault="0049260B" w:rsidP="0049260B">
            <w:pPr>
              <w:pStyle w:val="ListNumber"/>
              <w:rPr>
                <w:rFonts w:ascii="Arial" w:hAnsi="Arial" w:cs="Arial"/>
                <w:sz w:val="20"/>
                <w:szCs w:val="20"/>
              </w:rPr>
            </w:pPr>
            <w:r w:rsidRPr="00EF3476">
              <w:rPr>
                <w:rFonts w:ascii="Arial" w:hAnsi="Arial" w:cs="Arial"/>
                <w:sz w:val="20"/>
                <w:szCs w:val="20"/>
              </w:rPr>
              <w:t>While there are weaknesses in the performance assessment framework, changes can wait until the Phase II design.</w:t>
            </w:r>
          </w:p>
          <w:p w14:paraId="4ED90E5A" w14:textId="283A24B4" w:rsidR="0049260B" w:rsidRPr="00EF3476" w:rsidRDefault="0049260B" w:rsidP="0049260B">
            <w:pPr>
              <w:pStyle w:val="ListParagraph"/>
              <w:spacing w:after="120"/>
              <w:ind w:left="0"/>
              <w:rPr>
                <w:rFonts w:cs="Arial"/>
                <w:b/>
                <w:bCs/>
                <w:iCs/>
                <w:szCs w:val="20"/>
                <w:lang w:eastAsia="en-AU"/>
              </w:rPr>
            </w:pPr>
          </w:p>
        </w:tc>
        <w:tc>
          <w:tcPr>
            <w:tcW w:w="1842" w:type="dxa"/>
            <w:tcBorders>
              <w:right w:val="single" w:sz="4" w:space="0" w:color="auto"/>
            </w:tcBorders>
            <w:shd w:val="clear" w:color="auto" w:fill="auto"/>
          </w:tcPr>
          <w:p w14:paraId="78086377" w14:textId="77777777" w:rsidR="0049260B" w:rsidRPr="00EF3476" w:rsidRDefault="0049260B" w:rsidP="0049260B">
            <w:pPr>
              <w:spacing w:after="120"/>
              <w:rPr>
                <w:rFonts w:cs="Arial"/>
                <w:b/>
                <w:szCs w:val="20"/>
              </w:rPr>
            </w:pPr>
            <w:r w:rsidRPr="00EF3476">
              <w:rPr>
                <w:rFonts w:cs="Arial"/>
                <w:b/>
                <w:szCs w:val="20"/>
              </w:rPr>
              <w:t>Agree</w:t>
            </w:r>
          </w:p>
          <w:p w14:paraId="74DCC516" w14:textId="784615FD" w:rsidR="0049260B" w:rsidRPr="00EF3476" w:rsidRDefault="0049260B" w:rsidP="0049260B">
            <w:pPr>
              <w:spacing w:after="120"/>
              <w:rPr>
                <w:rFonts w:cs="Arial"/>
                <w:szCs w:val="20"/>
              </w:rPr>
            </w:pPr>
          </w:p>
        </w:tc>
        <w:tc>
          <w:tcPr>
            <w:tcW w:w="2126" w:type="dxa"/>
            <w:tcBorders>
              <w:left w:val="single" w:sz="4" w:space="0" w:color="auto"/>
            </w:tcBorders>
            <w:shd w:val="clear" w:color="auto" w:fill="auto"/>
          </w:tcPr>
          <w:p w14:paraId="5481DCBE" w14:textId="792CF101" w:rsidR="0049260B" w:rsidRPr="00EF3476" w:rsidRDefault="00620AD8" w:rsidP="0049260B">
            <w:pPr>
              <w:spacing w:after="120"/>
              <w:rPr>
                <w:rFonts w:cs="Arial"/>
                <w:szCs w:val="20"/>
              </w:rPr>
            </w:pPr>
            <w:r>
              <w:rPr>
                <w:rFonts w:cs="Arial"/>
                <w:szCs w:val="20"/>
              </w:rPr>
              <w:t>RCV2 will have an improved M &amp; E framework.</w:t>
            </w:r>
          </w:p>
        </w:tc>
        <w:tc>
          <w:tcPr>
            <w:tcW w:w="1701" w:type="dxa"/>
            <w:tcBorders>
              <w:left w:val="single" w:sz="4" w:space="0" w:color="auto"/>
            </w:tcBorders>
            <w:shd w:val="clear" w:color="auto" w:fill="auto"/>
          </w:tcPr>
          <w:p w14:paraId="14FE59B1" w14:textId="00C13616" w:rsidR="0049260B" w:rsidRPr="00EF3476" w:rsidRDefault="0049260B" w:rsidP="0049260B">
            <w:pPr>
              <w:spacing w:after="120"/>
              <w:rPr>
                <w:rFonts w:cs="Arial"/>
                <w:szCs w:val="20"/>
              </w:rPr>
            </w:pPr>
            <w:r w:rsidRPr="00EF3476">
              <w:rPr>
                <w:rFonts w:cs="Arial"/>
                <w:szCs w:val="20"/>
              </w:rPr>
              <w:t>DFAT</w:t>
            </w:r>
            <w:r w:rsidR="00DE618B">
              <w:rPr>
                <w:rFonts w:cs="Arial"/>
                <w:szCs w:val="20"/>
              </w:rPr>
              <w:t xml:space="preserve">, </w:t>
            </w:r>
            <w:r w:rsidR="00620AD8">
              <w:rPr>
                <w:rFonts w:cs="Arial"/>
                <w:szCs w:val="20"/>
              </w:rPr>
              <w:t>PSU</w:t>
            </w:r>
          </w:p>
          <w:p w14:paraId="7CC387A8" w14:textId="77777777" w:rsidR="0049260B" w:rsidRPr="00EF3476" w:rsidRDefault="0049260B" w:rsidP="0049260B">
            <w:pPr>
              <w:spacing w:before="0"/>
              <w:rPr>
                <w:rFonts w:cs="Arial"/>
                <w:szCs w:val="20"/>
              </w:rPr>
            </w:pPr>
          </w:p>
        </w:tc>
      </w:tr>
      <w:tr w:rsidR="0049260B" w:rsidRPr="00EF3476" w14:paraId="63CED546" w14:textId="77777777" w:rsidTr="00682007">
        <w:trPr>
          <w:cantSplit/>
          <w:trHeight w:val="482"/>
        </w:trPr>
        <w:tc>
          <w:tcPr>
            <w:tcW w:w="10172" w:type="dxa"/>
            <w:gridSpan w:val="4"/>
            <w:shd w:val="clear" w:color="auto" w:fill="BFBFBF" w:themeFill="background1" w:themeFillShade="BF"/>
          </w:tcPr>
          <w:p w14:paraId="6982C406" w14:textId="77777777" w:rsidR="0049260B" w:rsidRPr="00EF3476" w:rsidRDefault="0049260B" w:rsidP="0049260B">
            <w:pPr>
              <w:pStyle w:val="Heading4"/>
              <w:rPr>
                <w:rFonts w:ascii="Arial" w:hAnsi="Arial" w:cs="Arial"/>
                <w:color w:val="auto"/>
                <w:szCs w:val="20"/>
              </w:rPr>
            </w:pPr>
            <w:r w:rsidRPr="00EF3476">
              <w:rPr>
                <w:rFonts w:ascii="Arial" w:hAnsi="Arial" w:cs="Arial"/>
                <w:color w:val="auto"/>
                <w:szCs w:val="20"/>
              </w:rPr>
              <w:t>Phase II Design</w:t>
            </w:r>
          </w:p>
          <w:p w14:paraId="1C1B711B" w14:textId="77BEB06A" w:rsidR="0049260B" w:rsidRPr="00EF3476" w:rsidRDefault="0049260B" w:rsidP="0049260B">
            <w:pPr>
              <w:spacing w:before="0"/>
              <w:rPr>
                <w:rFonts w:cs="Arial"/>
                <w:szCs w:val="20"/>
              </w:rPr>
            </w:pPr>
          </w:p>
        </w:tc>
      </w:tr>
      <w:tr w:rsidR="0049260B" w:rsidRPr="00EF3476" w14:paraId="70A75DE8" w14:textId="77777777" w:rsidTr="00682007">
        <w:trPr>
          <w:cantSplit/>
          <w:trHeight w:val="885"/>
        </w:trPr>
        <w:tc>
          <w:tcPr>
            <w:tcW w:w="4503" w:type="dxa"/>
            <w:shd w:val="clear" w:color="auto" w:fill="auto"/>
          </w:tcPr>
          <w:p w14:paraId="7D7AD73C" w14:textId="26AAB826" w:rsidR="007006C7" w:rsidRPr="00EF3476" w:rsidRDefault="0049260B" w:rsidP="007006C7">
            <w:pPr>
              <w:pStyle w:val="BodyText"/>
              <w:rPr>
                <w:rFonts w:cs="Arial"/>
                <w:szCs w:val="20"/>
              </w:rPr>
            </w:pPr>
            <w:r w:rsidRPr="00EF3476">
              <w:rPr>
                <w:rFonts w:cs="Arial"/>
                <w:b/>
                <w:bCs/>
                <w:szCs w:val="20"/>
                <w:lang w:eastAsia="en-AU"/>
              </w:rPr>
              <w:t xml:space="preserve">9. </w:t>
            </w:r>
            <w:r w:rsidR="007006C7" w:rsidRPr="00EF3476">
              <w:rPr>
                <w:rFonts w:cs="Arial"/>
                <w:szCs w:val="20"/>
              </w:rPr>
              <w:t xml:space="preserve"> Phase II design should take account of lessons learned and utilise the successful elements of Phase I, adopting, in particular:</w:t>
            </w:r>
          </w:p>
          <w:p w14:paraId="6CA01CF8" w14:textId="77777777" w:rsidR="007006C7" w:rsidRPr="00EF3476" w:rsidRDefault="007006C7" w:rsidP="007006C7">
            <w:pPr>
              <w:pStyle w:val="ListBullet"/>
              <w:numPr>
                <w:ilvl w:val="0"/>
                <w:numId w:val="28"/>
              </w:numPr>
              <w:spacing w:before="80" w:line="300" w:lineRule="exact"/>
              <w:contextualSpacing w:val="0"/>
              <w:rPr>
                <w:rFonts w:cs="Arial"/>
                <w:szCs w:val="20"/>
              </w:rPr>
            </w:pPr>
            <w:r w:rsidRPr="00EF3476">
              <w:rPr>
                <w:rFonts w:cs="Arial"/>
                <w:szCs w:val="20"/>
              </w:rPr>
              <w:t xml:space="preserve">a delivery model involving national execution under CIEM leadership; </w:t>
            </w:r>
          </w:p>
          <w:p w14:paraId="55843FD1" w14:textId="77777777" w:rsidR="007006C7" w:rsidRPr="00EF3476" w:rsidRDefault="007006C7" w:rsidP="007006C7">
            <w:pPr>
              <w:pStyle w:val="ListBullet"/>
              <w:numPr>
                <w:ilvl w:val="0"/>
                <w:numId w:val="28"/>
              </w:numPr>
              <w:spacing w:before="80" w:line="300" w:lineRule="exact"/>
              <w:contextualSpacing w:val="0"/>
              <w:rPr>
                <w:rFonts w:cs="Arial"/>
                <w:szCs w:val="20"/>
              </w:rPr>
            </w:pPr>
            <w:r w:rsidRPr="00EF3476">
              <w:rPr>
                <w:rFonts w:cs="Arial"/>
                <w:szCs w:val="20"/>
              </w:rPr>
              <w:t xml:space="preserve">a flexible and adaptable design; </w:t>
            </w:r>
          </w:p>
          <w:p w14:paraId="4D911A27" w14:textId="77777777" w:rsidR="007006C7" w:rsidRPr="00EF3476" w:rsidRDefault="007006C7" w:rsidP="007006C7">
            <w:pPr>
              <w:pStyle w:val="ListBullet"/>
              <w:numPr>
                <w:ilvl w:val="0"/>
                <w:numId w:val="28"/>
              </w:numPr>
              <w:spacing w:before="80" w:line="300" w:lineRule="exact"/>
              <w:contextualSpacing w:val="0"/>
              <w:rPr>
                <w:rFonts w:cs="Arial"/>
                <w:szCs w:val="20"/>
              </w:rPr>
            </w:pPr>
            <w:r w:rsidRPr="00EF3476">
              <w:rPr>
                <w:rFonts w:cs="Arial"/>
                <w:szCs w:val="20"/>
              </w:rPr>
              <w:t>peer review including accessing relevant international expertise; and</w:t>
            </w:r>
          </w:p>
          <w:p w14:paraId="10D8CEAD" w14:textId="52A53337" w:rsidR="0049260B" w:rsidRPr="00EF3476" w:rsidRDefault="007006C7" w:rsidP="007006C7">
            <w:pPr>
              <w:pStyle w:val="ListParagraph"/>
              <w:numPr>
                <w:ilvl w:val="0"/>
                <w:numId w:val="28"/>
              </w:numPr>
              <w:spacing w:after="120"/>
              <w:rPr>
                <w:rFonts w:cs="Arial"/>
                <w:b/>
                <w:bCs/>
                <w:szCs w:val="20"/>
                <w:lang w:eastAsia="en-AU"/>
              </w:rPr>
            </w:pPr>
            <w:r w:rsidRPr="00EF3476">
              <w:rPr>
                <w:rFonts w:cs="Arial"/>
                <w:szCs w:val="20"/>
              </w:rPr>
              <w:t>quality research and dissemination to build coalitions for reform.</w:t>
            </w:r>
          </w:p>
        </w:tc>
        <w:tc>
          <w:tcPr>
            <w:tcW w:w="1842" w:type="dxa"/>
            <w:tcBorders>
              <w:right w:val="single" w:sz="4" w:space="0" w:color="auto"/>
            </w:tcBorders>
            <w:shd w:val="clear" w:color="auto" w:fill="auto"/>
          </w:tcPr>
          <w:p w14:paraId="687D7A11" w14:textId="0401C62D" w:rsidR="0049260B" w:rsidRPr="00EF3476" w:rsidRDefault="0049260B" w:rsidP="0049260B">
            <w:pPr>
              <w:pStyle w:val="Heading3"/>
              <w:rPr>
                <w:rFonts w:cs="Arial"/>
                <w:i w:val="0"/>
                <w:sz w:val="20"/>
                <w:szCs w:val="20"/>
              </w:rPr>
            </w:pPr>
            <w:r w:rsidRPr="00EF3476">
              <w:rPr>
                <w:rFonts w:cs="Arial"/>
                <w:i w:val="0"/>
                <w:sz w:val="20"/>
                <w:szCs w:val="20"/>
              </w:rPr>
              <w:t xml:space="preserve">Agree </w:t>
            </w:r>
          </w:p>
          <w:p w14:paraId="30C0D95C" w14:textId="79D88F63" w:rsidR="0049260B" w:rsidRPr="00EF3476" w:rsidRDefault="0049260B" w:rsidP="0049260B">
            <w:pPr>
              <w:spacing w:after="120"/>
              <w:rPr>
                <w:rFonts w:cs="Arial"/>
                <w:szCs w:val="20"/>
              </w:rPr>
            </w:pPr>
          </w:p>
        </w:tc>
        <w:tc>
          <w:tcPr>
            <w:tcW w:w="2126" w:type="dxa"/>
            <w:tcBorders>
              <w:left w:val="single" w:sz="4" w:space="0" w:color="auto"/>
            </w:tcBorders>
            <w:shd w:val="clear" w:color="auto" w:fill="auto"/>
          </w:tcPr>
          <w:p w14:paraId="715F6993" w14:textId="561D78FB" w:rsidR="0049260B" w:rsidRPr="00EF3476" w:rsidRDefault="00620AD8" w:rsidP="00A0465D">
            <w:pPr>
              <w:spacing w:after="120"/>
              <w:rPr>
                <w:rFonts w:cs="Arial"/>
                <w:szCs w:val="20"/>
              </w:rPr>
            </w:pPr>
            <w:r>
              <w:rPr>
                <w:rFonts w:cs="Arial"/>
                <w:szCs w:val="20"/>
              </w:rPr>
              <w:t xml:space="preserve">RCV2 will retain all these core elements. </w:t>
            </w:r>
          </w:p>
        </w:tc>
        <w:tc>
          <w:tcPr>
            <w:tcW w:w="1701" w:type="dxa"/>
            <w:tcBorders>
              <w:left w:val="single" w:sz="4" w:space="0" w:color="auto"/>
            </w:tcBorders>
            <w:shd w:val="clear" w:color="auto" w:fill="auto"/>
          </w:tcPr>
          <w:p w14:paraId="74620D5B" w14:textId="71BC6911" w:rsidR="0049260B" w:rsidRPr="00EF3476" w:rsidRDefault="0049260B" w:rsidP="00A0465D">
            <w:pPr>
              <w:spacing w:after="120"/>
              <w:rPr>
                <w:rFonts w:cs="Arial"/>
                <w:b/>
                <w:szCs w:val="20"/>
              </w:rPr>
            </w:pPr>
            <w:r w:rsidRPr="00EF3476">
              <w:rPr>
                <w:rFonts w:cs="Arial"/>
                <w:szCs w:val="20"/>
              </w:rPr>
              <w:t>DFAT,</w:t>
            </w:r>
            <w:r w:rsidR="00DE618B">
              <w:rPr>
                <w:rFonts w:cs="Arial"/>
                <w:szCs w:val="20"/>
              </w:rPr>
              <w:t xml:space="preserve"> </w:t>
            </w:r>
            <w:r w:rsidR="00620AD8">
              <w:rPr>
                <w:rFonts w:cs="Arial"/>
                <w:szCs w:val="20"/>
              </w:rPr>
              <w:t>P</w:t>
            </w:r>
            <w:r w:rsidR="00DE618B">
              <w:rPr>
                <w:rFonts w:cs="Arial"/>
                <w:szCs w:val="20"/>
              </w:rPr>
              <w:t>S</w:t>
            </w:r>
            <w:r w:rsidR="00620AD8">
              <w:rPr>
                <w:rFonts w:cs="Arial"/>
                <w:szCs w:val="20"/>
              </w:rPr>
              <w:t>U</w:t>
            </w:r>
          </w:p>
        </w:tc>
      </w:tr>
      <w:tr w:rsidR="0049260B" w:rsidRPr="00EF3476" w14:paraId="50774B45" w14:textId="77777777" w:rsidTr="00682007">
        <w:trPr>
          <w:cantSplit/>
          <w:trHeight w:val="885"/>
        </w:trPr>
        <w:tc>
          <w:tcPr>
            <w:tcW w:w="4503" w:type="dxa"/>
            <w:shd w:val="clear" w:color="auto" w:fill="auto"/>
          </w:tcPr>
          <w:p w14:paraId="78E922B1" w14:textId="425CD597" w:rsidR="005756E9" w:rsidRPr="00EF3476" w:rsidRDefault="005756E9" w:rsidP="005756E9">
            <w:pPr>
              <w:pStyle w:val="ListNumber"/>
              <w:numPr>
                <w:ilvl w:val="0"/>
                <w:numId w:val="30"/>
              </w:numPr>
              <w:rPr>
                <w:rFonts w:ascii="Arial" w:hAnsi="Arial" w:cs="Arial"/>
                <w:sz w:val="20"/>
                <w:szCs w:val="20"/>
              </w:rPr>
            </w:pPr>
            <w:r w:rsidRPr="00EF3476">
              <w:rPr>
                <w:rFonts w:ascii="Arial" w:hAnsi="Arial" w:cs="Arial"/>
                <w:sz w:val="20"/>
                <w:szCs w:val="20"/>
              </w:rPr>
              <w:lastRenderedPageBreak/>
              <w:t>Commence the design process at the earliest opportunity to ensure completion before the end of 2016 and to allow sufficient time for Government of Vietnam and Government of Australia appraisal and approvals prior to completion of Phase I.</w:t>
            </w:r>
          </w:p>
          <w:p w14:paraId="5FCA853D" w14:textId="60C822BA" w:rsidR="0049260B" w:rsidRPr="00EF3476" w:rsidRDefault="0049260B" w:rsidP="0049260B">
            <w:pPr>
              <w:pStyle w:val="ListParagraph"/>
              <w:spacing w:after="120"/>
              <w:ind w:left="0"/>
              <w:rPr>
                <w:rFonts w:cs="Arial"/>
                <w:b/>
                <w:bCs/>
                <w:szCs w:val="20"/>
                <w:lang w:eastAsia="en-AU"/>
              </w:rPr>
            </w:pPr>
          </w:p>
        </w:tc>
        <w:tc>
          <w:tcPr>
            <w:tcW w:w="1842" w:type="dxa"/>
            <w:tcBorders>
              <w:right w:val="single" w:sz="4" w:space="0" w:color="auto"/>
            </w:tcBorders>
            <w:shd w:val="clear" w:color="auto" w:fill="auto"/>
          </w:tcPr>
          <w:p w14:paraId="77666E04" w14:textId="77777777" w:rsidR="0049260B" w:rsidRPr="00EF3476" w:rsidRDefault="0049260B" w:rsidP="0049260B">
            <w:pPr>
              <w:spacing w:after="120"/>
              <w:rPr>
                <w:rFonts w:cs="Arial"/>
                <w:b/>
                <w:szCs w:val="20"/>
              </w:rPr>
            </w:pPr>
            <w:r w:rsidRPr="00EF3476">
              <w:rPr>
                <w:rFonts w:cs="Arial"/>
                <w:b/>
                <w:szCs w:val="20"/>
              </w:rPr>
              <w:t>Agree</w:t>
            </w:r>
          </w:p>
          <w:p w14:paraId="2F978F22" w14:textId="6A91ADB3" w:rsidR="0049260B" w:rsidRPr="00EF3476" w:rsidRDefault="0049260B" w:rsidP="0049260B">
            <w:pPr>
              <w:spacing w:after="120"/>
              <w:rPr>
                <w:rFonts w:cs="Arial"/>
                <w:szCs w:val="20"/>
              </w:rPr>
            </w:pPr>
          </w:p>
        </w:tc>
        <w:tc>
          <w:tcPr>
            <w:tcW w:w="2126" w:type="dxa"/>
            <w:tcBorders>
              <w:left w:val="single" w:sz="4" w:space="0" w:color="auto"/>
            </w:tcBorders>
            <w:shd w:val="clear" w:color="auto" w:fill="auto"/>
          </w:tcPr>
          <w:p w14:paraId="645AD29B" w14:textId="6417AC22" w:rsidR="0049260B" w:rsidRPr="00EF3476" w:rsidRDefault="00620AD8" w:rsidP="0049260B">
            <w:pPr>
              <w:spacing w:after="120"/>
              <w:rPr>
                <w:rFonts w:cs="Arial"/>
                <w:szCs w:val="20"/>
              </w:rPr>
            </w:pPr>
            <w:r>
              <w:rPr>
                <w:rFonts w:cs="Arial"/>
                <w:szCs w:val="20"/>
              </w:rPr>
              <w:t>Design was commenced early in the second half of 2016</w:t>
            </w:r>
            <w:r w:rsidR="00DE618B">
              <w:rPr>
                <w:rFonts w:cs="Arial"/>
                <w:szCs w:val="20"/>
              </w:rPr>
              <w:t xml:space="preserve"> and the design process is almost complete.</w:t>
            </w:r>
          </w:p>
        </w:tc>
        <w:tc>
          <w:tcPr>
            <w:tcW w:w="1701" w:type="dxa"/>
            <w:tcBorders>
              <w:left w:val="single" w:sz="4" w:space="0" w:color="auto"/>
            </w:tcBorders>
            <w:shd w:val="clear" w:color="auto" w:fill="auto"/>
          </w:tcPr>
          <w:p w14:paraId="0B4E7A8D" w14:textId="756ED882" w:rsidR="0049260B" w:rsidRPr="00EF3476" w:rsidRDefault="005756E9" w:rsidP="0049260B">
            <w:pPr>
              <w:spacing w:after="120"/>
              <w:rPr>
                <w:rFonts w:cs="Arial"/>
                <w:szCs w:val="20"/>
              </w:rPr>
            </w:pPr>
            <w:r w:rsidRPr="00EF3476">
              <w:rPr>
                <w:rFonts w:cs="Arial"/>
                <w:szCs w:val="20"/>
              </w:rPr>
              <w:t>DFAT</w:t>
            </w:r>
            <w:r w:rsidR="00DE618B">
              <w:rPr>
                <w:rFonts w:cs="Arial"/>
                <w:szCs w:val="20"/>
              </w:rPr>
              <w:t>, PSU</w:t>
            </w:r>
          </w:p>
          <w:p w14:paraId="5CC01876" w14:textId="77777777" w:rsidR="0049260B" w:rsidRPr="00EF3476" w:rsidRDefault="0049260B" w:rsidP="0049260B">
            <w:pPr>
              <w:spacing w:before="0"/>
              <w:rPr>
                <w:rFonts w:cs="Arial"/>
                <w:b/>
                <w:szCs w:val="20"/>
              </w:rPr>
            </w:pPr>
          </w:p>
        </w:tc>
      </w:tr>
      <w:tr w:rsidR="0049260B" w:rsidRPr="00EF3476" w14:paraId="10823FB4" w14:textId="77777777" w:rsidTr="00682007">
        <w:trPr>
          <w:cantSplit/>
          <w:trHeight w:val="885"/>
        </w:trPr>
        <w:tc>
          <w:tcPr>
            <w:tcW w:w="4503" w:type="dxa"/>
            <w:shd w:val="clear" w:color="auto" w:fill="auto"/>
          </w:tcPr>
          <w:p w14:paraId="7F3235BF" w14:textId="6DAB2766" w:rsidR="005756E9" w:rsidRPr="00EF3476" w:rsidRDefault="005756E9" w:rsidP="005756E9">
            <w:pPr>
              <w:pStyle w:val="ListNumber"/>
              <w:rPr>
                <w:rFonts w:ascii="Arial" w:hAnsi="Arial" w:cs="Arial"/>
                <w:sz w:val="20"/>
                <w:szCs w:val="20"/>
              </w:rPr>
            </w:pPr>
            <w:r w:rsidRPr="00EF3476">
              <w:rPr>
                <w:rFonts w:ascii="Arial" w:hAnsi="Arial" w:cs="Arial"/>
                <w:sz w:val="20"/>
                <w:szCs w:val="20"/>
              </w:rPr>
              <w:t>Do not extend the number of components (and Component Management Units),  - but use the Flexible Fund to:</w:t>
            </w:r>
          </w:p>
          <w:p w14:paraId="4444DB6B" w14:textId="77777777" w:rsidR="005756E9" w:rsidRPr="00EF3476" w:rsidRDefault="005756E9" w:rsidP="005756E9">
            <w:pPr>
              <w:pStyle w:val="ListBullet2"/>
              <w:numPr>
                <w:ilvl w:val="0"/>
                <w:numId w:val="31"/>
              </w:numPr>
              <w:spacing w:before="80" w:line="300" w:lineRule="exact"/>
              <w:contextualSpacing w:val="0"/>
              <w:rPr>
                <w:rFonts w:cs="Arial"/>
                <w:szCs w:val="20"/>
              </w:rPr>
            </w:pPr>
            <w:r w:rsidRPr="00EF3476">
              <w:rPr>
                <w:rFonts w:cs="Arial"/>
                <w:szCs w:val="20"/>
              </w:rPr>
              <w:t>continue to build and strengthen relationships with additional important stakeholders particularly, the ECNA and ECCPV. Both have a strong interest in enhancing their capacity for economic analysis and provide a conduit to higher authorities through preparation of economic documents for input to the Standing Committee of the National Assembly, and Party Committees and Congresses;</w:t>
            </w:r>
          </w:p>
          <w:p w14:paraId="20A27B74" w14:textId="77777777" w:rsidR="005756E9" w:rsidRPr="00EF3476" w:rsidRDefault="005756E9" w:rsidP="005756E9">
            <w:pPr>
              <w:pStyle w:val="ListBullet2"/>
              <w:numPr>
                <w:ilvl w:val="0"/>
                <w:numId w:val="31"/>
              </w:numPr>
              <w:spacing w:before="80" w:line="300" w:lineRule="exact"/>
              <w:contextualSpacing w:val="0"/>
              <w:rPr>
                <w:rFonts w:cs="Arial"/>
                <w:szCs w:val="20"/>
              </w:rPr>
            </w:pPr>
            <w:r w:rsidRPr="00EF3476">
              <w:rPr>
                <w:rFonts w:cs="Arial"/>
                <w:szCs w:val="20"/>
              </w:rPr>
              <w:t xml:space="preserve">expand stakeholder engagement with the private sector – including through VCCI and its regional offices, other business associations and selected companies through consultations, workshops, and engagement in monitoring implementation; </w:t>
            </w:r>
          </w:p>
          <w:p w14:paraId="1466D3FB" w14:textId="77777777" w:rsidR="005756E9" w:rsidRPr="00EF3476" w:rsidRDefault="005756E9" w:rsidP="005756E9">
            <w:pPr>
              <w:pStyle w:val="ListBullet2"/>
              <w:numPr>
                <w:ilvl w:val="0"/>
                <w:numId w:val="31"/>
              </w:numPr>
              <w:spacing w:before="80" w:line="300" w:lineRule="exact"/>
              <w:contextualSpacing w:val="0"/>
              <w:rPr>
                <w:rFonts w:cs="Arial"/>
                <w:szCs w:val="20"/>
              </w:rPr>
            </w:pPr>
            <w:r w:rsidRPr="00EF3476">
              <w:rPr>
                <w:rFonts w:cs="Arial"/>
                <w:szCs w:val="20"/>
              </w:rPr>
              <w:t>provide options for ECNA, ECCPV and VCCI to develop annual work plans (with clearly defined outputs and activities) to facilitate certainty of support and to limit future ad hoc requests for support from the Flexible Fund; and</w:t>
            </w:r>
          </w:p>
          <w:p w14:paraId="0B8F7F32" w14:textId="47DEF88F" w:rsidR="0049260B" w:rsidRPr="00EF3476" w:rsidRDefault="005756E9" w:rsidP="005756E9">
            <w:pPr>
              <w:pStyle w:val="ListBullet2"/>
              <w:numPr>
                <w:ilvl w:val="0"/>
                <w:numId w:val="31"/>
              </w:numPr>
              <w:spacing w:before="80" w:line="300" w:lineRule="exact"/>
              <w:contextualSpacing w:val="0"/>
              <w:rPr>
                <w:rFonts w:cs="Arial"/>
                <w:b/>
                <w:bCs/>
                <w:szCs w:val="20"/>
                <w:lang w:eastAsia="en-AU"/>
              </w:rPr>
            </w:pPr>
            <w:r w:rsidRPr="00EF3476">
              <w:rPr>
                <w:rFonts w:cs="Arial"/>
                <w:szCs w:val="20"/>
              </w:rPr>
              <w:t xml:space="preserve"> provide additional resources to the PSU (to manage finances/reporting) and to the STA (to support peer review of stakeholder work plans and outputs)</w:t>
            </w:r>
          </w:p>
        </w:tc>
        <w:tc>
          <w:tcPr>
            <w:tcW w:w="1842" w:type="dxa"/>
            <w:tcBorders>
              <w:right w:val="single" w:sz="4" w:space="0" w:color="auto"/>
            </w:tcBorders>
            <w:shd w:val="clear" w:color="auto" w:fill="auto"/>
          </w:tcPr>
          <w:p w14:paraId="1B0F4E93" w14:textId="053A0ABA" w:rsidR="0049260B" w:rsidRPr="00EF3476" w:rsidRDefault="00A0465D" w:rsidP="0049260B">
            <w:pPr>
              <w:spacing w:after="120"/>
              <w:rPr>
                <w:rFonts w:cs="Arial"/>
                <w:b/>
                <w:szCs w:val="20"/>
              </w:rPr>
            </w:pPr>
            <w:r>
              <w:rPr>
                <w:rFonts w:cs="Arial"/>
                <w:b/>
                <w:szCs w:val="20"/>
              </w:rPr>
              <w:t>Mostly a</w:t>
            </w:r>
            <w:r w:rsidR="0049260B" w:rsidRPr="00EF3476">
              <w:rPr>
                <w:rFonts w:cs="Arial"/>
                <w:b/>
                <w:szCs w:val="20"/>
              </w:rPr>
              <w:t>gree</w:t>
            </w:r>
          </w:p>
          <w:p w14:paraId="354613BA" w14:textId="51C9B358" w:rsidR="0049260B" w:rsidRPr="00EF3476" w:rsidRDefault="0049260B" w:rsidP="0049260B">
            <w:pPr>
              <w:spacing w:after="120"/>
              <w:rPr>
                <w:rFonts w:cs="Arial"/>
                <w:szCs w:val="20"/>
              </w:rPr>
            </w:pPr>
          </w:p>
        </w:tc>
        <w:tc>
          <w:tcPr>
            <w:tcW w:w="2126" w:type="dxa"/>
            <w:tcBorders>
              <w:left w:val="single" w:sz="4" w:space="0" w:color="auto"/>
            </w:tcBorders>
            <w:shd w:val="clear" w:color="auto" w:fill="auto"/>
          </w:tcPr>
          <w:p w14:paraId="3C5EE6BB" w14:textId="07FB9257" w:rsidR="00DE618B" w:rsidRDefault="00DE618B" w:rsidP="005756E9">
            <w:pPr>
              <w:spacing w:after="120"/>
              <w:rPr>
                <w:rFonts w:cs="Arial"/>
                <w:szCs w:val="20"/>
              </w:rPr>
            </w:pPr>
            <w:r>
              <w:rPr>
                <w:rFonts w:cs="Arial"/>
                <w:szCs w:val="20"/>
              </w:rPr>
              <w:t>RCV2 will:</w:t>
            </w:r>
          </w:p>
          <w:p w14:paraId="402024FD" w14:textId="4E6F62F4" w:rsidR="00DE618B" w:rsidRDefault="00DE618B" w:rsidP="005756E9">
            <w:pPr>
              <w:spacing w:after="120"/>
              <w:rPr>
                <w:rFonts w:cs="Arial"/>
                <w:szCs w:val="20"/>
              </w:rPr>
            </w:pPr>
            <w:r>
              <w:rPr>
                <w:rFonts w:cs="Arial"/>
                <w:szCs w:val="20"/>
              </w:rPr>
              <w:t>- Extend the number of components to include a dedicated component working with VCCI</w:t>
            </w:r>
            <w:r w:rsidR="00A0465D">
              <w:rPr>
                <w:rFonts w:cs="Arial"/>
                <w:szCs w:val="20"/>
              </w:rPr>
              <w:t xml:space="preserve"> on private sector development and women’s economic empowerment, two of Australia’s key priorities in Vietnam.  </w:t>
            </w:r>
          </w:p>
          <w:p w14:paraId="5C6F947F" w14:textId="74BBB9A9" w:rsidR="0049260B" w:rsidRPr="00EF3476" w:rsidRDefault="00DE618B" w:rsidP="005756E9">
            <w:pPr>
              <w:spacing w:after="120"/>
              <w:rPr>
                <w:rFonts w:cs="Arial"/>
                <w:szCs w:val="20"/>
              </w:rPr>
            </w:pPr>
            <w:r>
              <w:rPr>
                <w:rFonts w:cs="Arial"/>
                <w:szCs w:val="20"/>
              </w:rPr>
              <w:t xml:space="preserve">- As per response to recommendation 3 above, will engage closely with ECCPV and ECNA, including to assist them to develop annual work plans and proposals.  </w:t>
            </w:r>
          </w:p>
        </w:tc>
        <w:tc>
          <w:tcPr>
            <w:tcW w:w="1701" w:type="dxa"/>
            <w:tcBorders>
              <w:left w:val="single" w:sz="4" w:space="0" w:color="auto"/>
            </w:tcBorders>
            <w:shd w:val="clear" w:color="auto" w:fill="auto"/>
          </w:tcPr>
          <w:p w14:paraId="3FA0A261" w14:textId="1136711B" w:rsidR="0049260B" w:rsidRPr="00EF3476" w:rsidRDefault="0049260B" w:rsidP="00A0465D">
            <w:pPr>
              <w:spacing w:after="120"/>
              <w:rPr>
                <w:rFonts w:cs="Arial"/>
                <w:b/>
                <w:szCs w:val="20"/>
              </w:rPr>
            </w:pPr>
            <w:r w:rsidRPr="00EF3476">
              <w:rPr>
                <w:rFonts w:cs="Arial"/>
                <w:szCs w:val="20"/>
              </w:rPr>
              <w:t>DFAT,</w:t>
            </w:r>
            <w:r w:rsidR="00DE618B">
              <w:rPr>
                <w:rFonts w:cs="Arial"/>
                <w:szCs w:val="20"/>
              </w:rPr>
              <w:t xml:space="preserve"> PSU</w:t>
            </w:r>
          </w:p>
        </w:tc>
      </w:tr>
      <w:tr w:rsidR="0049260B" w:rsidRPr="00EF3476" w14:paraId="24493EFD" w14:textId="77777777" w:rsidTr="00682007">
        <w:trPr>
          <w:cantSplit/>
          <w:trHeight w:val="885"/>
        </w:trPr>
        <w:tc>
          <w:tcPr>
            <w:tcW w:w="4503" w:type="dxa"/>
            <w:shd w:val="clear" w:color="auto" w:fill="auto"/>
          </w:tcPr>
          <w:p w14:paraId="6FD29569" w14:textId="7C144650" w:rsidR="0049260B" w:rsidRPr="00EF3476" w:rsidRDefault="00682007" w:rsidP="00682007">
            <w:pPr>
              <w:pStyle w:val="ListNumber"/>
              <w:numPr>
                <w:ilvl w:val="0"/>
                <w:numId w:val="0"/>
              </w:numPr>
              <w:ind w:left="284" w:hanging="284"/>
              <w:rPr>
                <w:rFonts w:ascii="Arial" w:hAnsi="Arial" w:cs="Arial"/>
                <w:b/>
                <w:bCs/>
                <w:sz w:val="20"/>
                <w:szCs w:val="20"/>
                <w:lang w:eastAsia="en-AU"/>
              </w:rPr>
            </w:pPr>
            <w:r w:rsidRPr="00EF3476">
              <w:rPr>
                <w:rFonts w:ascii="Arial" w:hAnsi="Arial" w:cs="Arial"/>
                <w:sz w:val="20"/>
                <w:szCs w:val="20"/>
              </w:rPr>
              <w:t>12. Maintain, and broaden where scope exists, institutional linkages between Vietnamese and Australian institutions, researchers and academics</w:t>
            </w:r>
          </w:p>
        </w:tc>
        <w:tc>
          <w:tcPr>
            <w:tcW w:w="1842" w:type="dxa"/>
            <w:tcBorders>
              <w:right w:val="single" w:sz="4" w:space="0" w:color="auto"/>
            </w:tcBorders>
            <w:shd w:val="clear" w:color="auto" w:fill="auto"/>
          </w:tcPr>
          <w:p w14:paraId="7CBABFBF" w14:textId="77777777" w:rsidR="0049260B" w:rsidRPr="00EF3476" w:rsidRDefault="0049260B" w:rsidP="0049260B">
            <w:pPr>
              <w:spacing w:after="120"/>
              <w:rPr>
                <w:rFonts w:cs="Arial"/>
                <w:b/>
                <w:szCs w:val="20"/>
              </w:rPr>
            </w:pPr>
            <w:r w:rsidRPr="00EF3476">
              <w:rPr>
                <w:rFonts w:cs="Arial"/>
                <w:b/>
                <w:szCs w:val="20"/>
              </w:rPr>
              <w:t>Agree</w:t>
            </w:r>
          </w:p>
          <w:p w14:paraId="485F361E" w14:textId="77777777" w:rsidR="0049260B" w:rsidRPr="00EF3476" w:rsidRDefault="0049260B" w:rsidP="0049260B">
            <w:pPr>
              <w:spacing w:after="120"/>
              <w:rPr>
                <w:rFonts w:cs="Arial"/>
                <w:szCs w:val="20"/>
              </w:rPr>
            </w:pPr>
          </w:p>
          <w:p w14:paraId="07ABEE80" w14:textId="77777777" w:rsidR="0049260B" w:rsidRPr="00EF3476" w:rsidRDefault="0049260B" w:rsidP="0049260B">
            <w:pPr>
              <w:spacing w:after="120"/>
              <w:rPr>
                <w:rFonts w:cs="Arial"/>
                <w:szCs w:val="20"/>
              </w:rPr>
            </w:pPr>
          </w:p>
        </w:tc>
        <w:tc>
          <w:tcPr>
            <w:tcW w:w="2126" w:type="dxa"/>
            <w:tcBorders>
              <w:left w:val="single" w:sz="4" w:space="0" w:color="auto"/>
            </w:tcBorders>
            <w:shd w:val="clear" w:color="auto" w:fill="auto"/>
          </w:tcPr>
          <w:p w14:paraId="69E9508E" w14:textId="7295C876" w:rsidR="0049260B" w:rsidRPr="00EF3476" w:rsidRDefault="008541B1" w:rsidP="00682007">
            <w:pPr>
              <w:spacing w:after="120"/>
              <w:rPr>
                <w:rFonts w:cs="Arial"/>
                <w:szCs w:val="20"/>
              </w:rPr>
            </w:pPr>
            <w:r>
              <w:rPr>
                <w:rFonts w:cs="Arial"/>
                <w:szCs w:val="20"/>
              </w:rPr>
              <w:t>These linkages are a core feature of RCV and will be retained.</w:t>
            </w:r>
          </w:p>
        </w:tc>
        <w:tc>
          <w:tcPr>
            <w:tcW w:w="1701" w:type="dxa"/>
            <w:tcBorders>
              <w:left w:val="single" w:sz="4" w:space="0" w:color="auto"/>
            </w:tcBorders>
            <w:shd w:val="clear" w:color="auto" w:fill="auto"/>
          </w:tcPr>
          <w:p w14:paraId="36C4504C" w14:textId="6D89AB3B" w:rsidR="0049260B" w:rsidRPr="00EF3476" w:rsidRDefault="0049260B" w:rsidP="00A0465D">
            <w:pPr>
              <w:spacing w:after="120"/>
              <w:rPr>
                <w:rFonts w:cs="Arial"/>
                <w:szCs w:val="20"/>
              </w:rPr>
            </w:pPr>
            <w:r w:rsidRPr="00EF3476">
              <w:rPr>
                <w:rFonts w:cs="Arial"/>
                <w:szCs w:val="20"/>
              </w:rPr>
              <w:t>DFAT</w:t>
            </w:r>
            <w:r w:rsidR="008541B1">
              <w:rPr>
                <w:rFonts w:cs="Arial"/>
                <w:szCs w:val="20"/>
              </w:rPr>
              <w:t>, PSU</w:t>
            </w:r>
          </w:p>
        </w:tc>
      </w:tr>
      <w:tr w:rsidR="0049260B" w:rsidRPr="00EF3476" w14:paraId="7D6B00B0" w14:textId="77777777" w:rsidTr="00682007">
        <w:trPr>
          <w:cantSplit/>
          <w:trHeight w:val="885"/>
        </w:trPr>
        <w:tc>
          <w:tcPr>
            <w:tcW w:w="4503" w:type="dxa"/>
            <w:shd w:val="clear" w:color="auto" w:fill="auto"/>
          </w:tcPr>
          <w:p w14:paraId="327998EB" w14:textId="089871FA" w:rsidR="00682007" w:rsidRPr="00EF3476" w:rsidRDefault="00682007" w:rsidP="00682007">
            <w:pPr>
              <w:pStyle w:val="ListNumber"/>
              <w:numPr>
                <w:ilvl w:val="0"/>
                <w:numId w:val="34"/>
              </w:numPr>
              <w:rPr>
                <w:rFonts w:ascii="Arial" w:hAnsi="Arial" w:cs="Arial"/>
                <w:sz w:val="20"/>
                <w:szCs w:val="20"/>
              </w:rPr>
            </w:pPr>
            <w:r w:rsidRPr="00EF3476">
              <w:rPr>
                <w:rFonts w:ascii="Arial" w:hAnsi="Arial" w:cs="Arial"/>
                <w:sz w:val="20"/>
                <w:szCs w:val="20"/>
              </w:rPr>
              <w:lastRenderedPageBreak/>
              <w:t>Continue to foster agency coordination, disseminate information and build stakeholder alliances by:</w:t>
            </w:r>
          </w:p>
          <w:p w14:paraId="7DEC34FA" w14:textId="77777777" w:rsidR="00682007" w:rsidRPr="00EF3476" w:rsidRDefault="00682007" w:rsidP="00682007">
            <w:pPr>
              <w:pStyle w:val="ListBullet2"/>
              <w:numPr>
                <w:ilvl w:val="0"/>
                <w:numId w:val="31"/>
              </w:numPr>
              <w:spacing w:before="80" w:line="300" w:lineRule="exact"/>
              <w:contextualSpacing w:val="0"/>
              <w:rPr>
                <w:rFonts w:cs="Arial"/>
                <w:szCs w:val="20"/>
              </w:rPr>
            </w:pPr>
            <w:r w:rsidRPr="00EF3476">
              <w:rPr>
                <w:rFonts w:cs="Arial"/>
                <w:szCs w:val="20"/>
              </w:rPr>
              <w:t>strengthening engagement with the private sector (particularly in the south), civil society, media (including social media –such as Facebook); and target messages and delivery appropriately to different audiences.</w:t>
            </w:r>
          </w:p>
          <w:p w14:paraId="0D5E1FB7" w14:textId="6FEEAD41" w:rsidR="0049260B" w:rsidRPr="00EF3476" w:rsidRDefault="0049260B" w:rsidP="0049260B">
            <w:pPr>
              <w:pStyle w:val="ListParagraph"/>
              <w:spacing w:after="120"/>
              <w:ind w:left="0"/>
              <w:rPr>
                <w:rFonts w:cs="Arial"/>
                <w:b/>
                <w:bCs/>
                <w:szCs w:val="20"/>
                <w:lang w:eastAsia="en-AU"/>
              </w:rPr>
            </w:pPr>
          </w:p>
        </w:tc>
        <w:tc>
          <w:tcPr>
            <w:tcW w:w="1842" w:type="dxa"/>
            <w:tcBorders>
              <w:right w:val="single" w:sz="4" w:space="0" w:color="auto"/>
            </w:tcBorders>
            <w:shd w:val="clear" w:color="auto" w:fill="auto"/>
          </w:tcPr>
          <w:p w14:paraId="6EF3705E" w14:textId="77777777" w:rsidR="0049260B" w:rsidRPr="00EF3476" w:rsidRDefault="0049260B" w:rsidP="0049260B">
            <w:pPr>
              <w:spacing w:after="120"/>
              <w:rPr>
                <w:rFonts w:cs="Arial"/>
                <w:b/>
                <w:szCs w:val="20"/>
              </w:rPr>
            </w:pPr>
            <w:r w:rsidRPr="00EF3476">
              <w:rPr>
                <w:rFonts w:cs="Arial"/>
                <w:b/>
                <w:szCs w:val="20"/>
              </w:rPr>
              <w:t>Agree</w:t>
            </w:r>
          </w:p>
          <w:p w14:paraId="008B868E" w14:textId="7159C67D" w:rsidR="0049260B" w:rsidRPr="00EF3476" w:rsidRDefault="0049260B" w:rsidP="0049260B">
            <w:pPr>
              <w:spacing w:after="120"/>
              <w:rPr>
                <w:rFonts w:cs="Arial"/>
                <w:szCs w:val="20"/>
              </w:rPr>
            </w:pPr>
          </w:p>
        </w:tc>
        <w:tc>
          <w:tcPr>
            <w:tcW w:w="2126" w:type="dxa"/>
            <w:tcBorders>
              <w:left w:val="single" w:sz="4" w:space="0" w:color="auto"/>
            </w:tcBorders>
            <w:shd w:val="clear" w:color="auto" w:fill="auto"/>
          </w:tcPr>
          <w:p w14:paraId="26CD7AD1" w14:textId="77777777" w:rsidR="008541B1" w:rsidRDefault="008541B1" w:rsidP="00682007">
            <w:pPr>
              <w:spacing w:after="120"/>
              <w:rPr>
                <w:rFonts w:cs="Arial"/>
                <w:szCs w:val="20"/>
              </w:rPr>
            </w:pPr>
            <w:r>
              <w:rPr>
                <w:rFonts w:cs="Arial"/>
                <w:szCs w:val="20"/>
              </w:rPr>
              <w:t>RCV2 will:</w:t>
            </w:r>
          </w:p>
          <w:p w14:paraId="5451683B" w14:textId="557AE2A1" w:rsidR="0049260B" w:rsidRDefault="008541B1" w:rsidP="00682007">
            <w:pPr>
              <w:spacing w:after="120"/>
              <w:rPr>
                <w:rFonts w:cs="Arial"/>
                <w:szCs w:val="20"/>
              </w:rPr>
            </w:pPr>
            <w:r>
              <w:rPr>
                <w:rFonts w:cs="Arial"/>
                <w:szCs w:val="20"/>
              </w:rPr>
              <w:t>- have a greater focus on building coalitions under each program component.</w:t>
            </w:r>
          </w:p>
          <w:p w14:paraId="0CFBB27E" w14:textId="77777777" w:rsidR="008541B1" w:rsidRDefault="008541B1" w:rsidP="00682007">
            <w:pPr>
              <w:spacing w:after="120"/>
              <w:rPr>
                <w:rFonts w:cs="Arial"/>
                <w:szCs w:val="20"/>
              </w:rPr>
            </w:pPr>
            <w:r>
              <w:rPr>
                <w:rFonts w:cs="Arial"/>
                <w:szCs w:val="20"/>
              </w:rPr>
              <w:t>- include greater subnational engagement, especially in the south of Vietnam on rural restructuring.</w:t>
            </w:r>
          </w:p>
          <w:p w14:paraId="03B5ACAA" w14:textId="343D8D1F" w:rsidR="008541B1" w:rsidRPr="00EF3476" w:rsidRDefault="008541B1" w:rsidP="00682007">
            <w:pPr>
              <w:spacing w:after="120"/>
              <w:rPr>
                <w:rFonts w:cs="Arial"/>
                <w:szCs w:val="20"/>
              </w:rPr>
            </w:pPr>
            <w:r>
              <w:rPr>
                <w:rFonts w:cs="Arial"/>
                <w:szCs w:val="20"/>
              </w:rPr>
              <w:t>- include a stronger focus on communications and advocacy, potentially with resources for a dedicated communications officer to sit in the PSU.</w:t>
            </w:r>
          </w:p>
        </w:tc>
        <w:tc>
          <w:tcPr>
            <w:tcW w:w="1701" w:type="dxa"/>
            <w:tcBorders>
              <w:left w:val="single" w:sz="4" w:space="0" w:color="auto"/>
            </w:tcBorders>
            <w:shd w:val="clear" w:color="auto" w:fill="auto"/>
          </w:tcPr>
          <w:p w14:paraId="6BAD9647" w14:textId="66551F6A" w:rsidR="0049260B" w:rsidRPr="00EF3476" w:rsidRDefault="00682007" w:rsidP="00A0465D">
            <w:pPr>
              <w:spacing w:after="120"/>
              <w:rPr>
                <w:rFonts w:cs="Arial"/>
                <w:szCs w:val="20"/>
              </w:rPr>
            </w:pPr>
            <w:r w:rsidRPr="00EF3476">
              <w:rPr>
                <w:rFonts w:cs="Arial"/>
                <w:szCs w:val="20"/>
              </w:rPr>
              <w:t xml:space="preserve">DFAT, </w:t>
            </w:r>
            <w:r w:rsidR="008541B1">
              <w:rPr>
                <w:rFonts w:cs="Arial"/>
                <w:szCs w:val="20"/>
              </w:rPr>
              <w:t>PSU</w:t>
            </w:r>
          </w:p>
        </w:tc>
      </w:tr>
      <w:tr w:rsidR="00682007" w:rsidRPr="00EF3476" w14:paraId="269E1F64" w14:textId="77777777" w:rsidTr="00682007">
        <w:trPr>
          <w:cantSplit/>
          <w:trHeight w:val="885"/>
        </w:trPr>
        <w:tc>
          <w:tcPr>
            <w:tcW w:w="4503" w:type="dxa"/>
            <w:shd w:val="clear" w:color="auto" w:fill="auto"/>
          </w:tcPr>
          <w:p w14:paraId="63BFF552" w14:textId="33ED6A22" w:rsidR="00682007" w:rsidRPr="00EF3476" w:rsidRDefault="00682007" w:rsidP="00682007">
            <w:pPr>
              <w:pStyle w:val="ListNumber"/>
              <w:rPr>
                <w:rFonts w:ascii="Arial" w:hAnsi="Arial" w:cs="Arial"/>
                <w:sz w:val="20"/>
                <w:szCs w:val="20"/>
              </w:rPr>
            </w:pPr>
            <w:r w:rsidRPr="00EF3476">
              <w:rPr>
                <w:rFonts w:ascii="Arial" w:hAnsi="Arial" w:cs="Arial"/>
                <w:sz w:val="20"/>
                <w:szCs w:val="20"/>
              </w:rPr>
              <w:t xml:space="preserve"> Explore potential for provincial case studies and/or pilot implementation of reforms</w:t>
            </w:r>
          </w:p>
          <w:p w14:paraId="2FE8E2DF" w14:textId="77777777" w:rsidR="00682007" w:rsidRPr="00EF3476" w:rsidRDefault="00682007" w:rsidP="00682007">
            <w:pPr>
              <w:pStyle w:val="ListNumber"/>
              <w:numPr>
                <w:ilvl w:val="0"/>
                <w:numId w:val="0"/>
              </w:numPr>
              <w:ind w:left="284"/>
              <w:rPr>
                <w:rFonts w:ascii="Arial" w:hAnsi="Arial" w:cs="Arial"/>
                <w:sz w:val="20"/>
                <w:szCs w:val="20"/>
              </w:rPr>
            </w:pPr>
          </w:p>
        </w:tc>
        <w:tc>
          <w:tcPr>
            <w:tcW w:w="1842" w:type="dxa"/>
            <w:tcBorders>
              <w:right w:val="single" w:sz="4" w:space="0" w:color="auto"/>
            </w:tcBorders>
            <w:shd w:val="clear" w:color="auto" w:fill="auto"/>
          </w:tcPr>
          <w:p w14:paraId="5C85F042" w14:textId="77777777" w:rsidR="00682007" w:rsidRPr="00EF3476" w:rsidRDefault="00682007" w:rsidP="00682007">
            <w:pPr>
              <w:spacing w:after="120"/>
              <w:rPr>
                <w:rFonts w:cs="Arial"/>
                <w:b/>
                <w:szCs w:val="20"/>
              </w:rPr>
            </w:pPr>
            <w:r w:rsidRPr="00EF3476">
              <w:rPr>
                <w:rFonts w:cs="Arial"/>
                <w:b/>
                <w:szCs w:val="20"/>
              </w:rPr>
              <w:t>Agree</w:t>
            </w:r>
          </w:p>
          <w:p w14:paraId="14546260" w14:textId="77777777" w:rsidR="00682007" w:rsidRPr="00EF3476" w:rsidRDefault="00682007" w:rsidP="0049260B">
            <w:pPr>
              <w:spacing w:after="120"/>
              <w:rPr>
                <w:rFonts w:cs="Arial"/>
                <w:b/>
                <w:szCs w:val="20"/>
              </w:rPr>
            </w:pPr>
          </w:p>
        </w:tc>
        <w:tc>
          <w:tcPr>
            <w:tcW w:w="2126" w:type="dxa"/>
            <w:tcBorders>
              <w:left w:val="single" w:sz="4" w:space="0" w:color="auto"/>
            </w:tcBorders>
            <w:shd w:val="clear" w:color="auto" w:fill="auto"/>
          </w:tcPr>
          <w:p w14:paraId="1EAE5E5C" w14:textId="6D30393C" w:rsidR="008541B1" w:rsidRDefault="008541B1" w:rsidP="008541B1">
            <w:pPr>
              <w:spacing w:after="120"/>
              <w:rPr>
                <w:rFonts w:cs="Arial"/>
                <w:szCs w:val="20"/>
              </w:rPr>
            </w:pPr>
            <w:r>
              <w:rPr>
                <w:rFonts w:cs="Arial"/>
                <w:szCs w:val="20"/>
              </w:rPr>
              <w:t>RCV2 will include greater subnational engagement, especially with Ho Chi Minh City and provinces in the Mekong Delta on rural restructuring.</w:t>
            </w:r>
          </w:p>
          <w:p w14:paraId="044EBCCB" w14:textId="6AA3190C" w:rsidR="00682007" w:rsidRPr="00EF3476" w:rsidRDefault="00682007" w:rsidP="00682007">
            <w:pPr>
              <w:spacing w:after="120"/>
              <w:rPr>
                <w:rFonts w:cs="Arial"/>
                <w:szCs w:val="20"/>
              </w:rPr>
            </w:pPr>
          </w:p>
        </w:tc>
        <w:tc>
          <w:tcPr>
            <w:tcW w:w="1701" w:type="dxa"/>
            <w:tcBorders>
              <w:left w:val="single" w:sz="4" w:space="0" w:color="auto"/>
            </w:tcBorders>
            <w:shd w:val="clear" w:color="auto" w:fill="auto"/>
          </w:tcPr>
          <w:p w14:paraId="5BAD68E6" w14:textId="0E04BEA6" w:rsidR="00682007" w:rsidRPr="00EF3476" w:rsidRDefault="00682007" w:rsidP="00A0465D">
            <w:pPr>
              <w:spacing w:after="120"/>
              <w:rPr>
                <w:rFonts w:cs="Arial"/>
                <w:szCs w:val="20"/>
              </w:rPr>
            </w:pPr>
            <w:r w:rsidRPr="00EF3476">
              <w:rPr>
                <w:rFonts w:cs="Arial"/>
                <w:szCs w:val="20"/>
              </w:rPr>
              <w:t xml:space="preserve">DFAT, </w:t>
            </w:r>
            <w:r w:rsidR="008541B1">
              <w:rPr>
                <w:rFonts w:cs="Arial"/>
                <w:szCs w:val="20"/>
              </w:rPr>
              <w:t>PSU</w:t>
            </w:r>
          </w:p>
        </w:tc>
      </w:tr>
      <w:tr w:rsidR="00682007" w:rsidRPr="00EF3476" w14:paraId="01B5B4EB" w14:textId="77777777" w:rsidTr="00682007">
        <w:trPr>
          <w:cantSplit/>
          <w:trHeight w:val="885"/>
        </w:trPr>
        <w:tc>
          <w:tcPr>
            <w:tcW w:w="4503" w:type="dxa"/>
            <w:shd w:val="clear" w:color="auto" w:fill="auto"/>
          </w:tcPr>
          <w:p w14:paraId="178190B3" w14:textId="326AE4A7" w:rsidR="00682007" w:rsidRPr="00EF3476" w:rsidRDefault="00682007" w:rsidP="00682007">
            <w:pPr>
              <w:pStyle w:val="ListNumber"/>
              <w:rPr>
                <w:rFonts w:ascii="Arial" w:hAnsi="Arial" w:cs="Arial"/>
                <w:sz w:val="20"/>
                <w:szCs w:val="20"/>
              </w:rPr>
            </w:pPr>
            <w:r w:rsidRPr="00EF3476">
              <w:rPr>
                <w:rFonts w:ascii="Arial" w:hAnsi="Arial" w:cs="Arial"/>
                <w:sz w:val="20"/>
                <w:szCs w:val="20"/>
              </w:rPr>
              <w:t xml:space="preserve"> Strengthen engagement on promoting women’s economic empowerment and consider specific case studies</w:t>
            </w:r>
          </w:p>
        </w:tc>
        <w:tc>
          <w:tcPr>
            <w:tcW w:w="1842" w:type="dxa"/>
            <w:tcBorders>
              <w:right w:val="single" w:sz="4" w:space="0" w:color="auto"/>
            </w:tcBorders>
            <w:shd w:val="clear" w:color="auto" w:fill="auto"/>
          </w:tcPr>
          <w:p w14:paraId="01491F44" w14:textId="77777777" w:rsidR="00682007" w:rsidRPr="00EF3476" w:rsidRDefault="00682007" w:rsidP="00682007">
            <w:pPr>
              <w:spacing w:after="120"/>
              <w:rPr>
                <w:rFonts w:cs="Arial"/>
                <w:b/>
                <w:szCs w:val="20"/>
              </w:rPr>
            </w:pPr>
            <w:r w:rsidRPr="00EF3476">
              <w:rPr>
                <w:rFonts w:cs="Arial"/>
                <w:b/>
                <w:szCs w:val="20"/>
              </w:rPr>
              <w:t>Agree</w:t>
            </w:r>
          </w:p>
          <w:p w14:paraId="6098D0E2" w14:textId="77777777" w:rsidR="00682007" w:rsidRPr="00EF3476" w:rsidRDefault="00682007" w:rsidP="0049260B">
            <w:pPr>
              <w:spacing w:after="120"/>
              <w:rPr>
                <w:rFonts w:cs="Arial"/>
                <w:b/>
                <w:szCs w:val="20"/>
              </w:rPr>
            </w:pPr>
          </w:p>
        </w:tc>
        <w:tc>
          <w:tcPr>
            <w:tcW w:w="2126" w:type="dxa"/>
            <w:tcBorders>
              <w:left w:val="single" w:sz="4" w:space="0" w:color="auto"/>
            </w:tcBorders>
            <w:shd w:val="clear" w:color="auto" w:fill="auto"/>
          </w:tcPr>
          <w:p w14:paraId="61924E3C" w14:textId="67129F40" w:rsidR="00682007" w:rsidRPr="00EF3476" w:rsidRDefault="008541B1" w:rsidP="00A0465D">
            <w:pPr>
              <w:spacing w:after="120"/>
              <w:rPr>
                <w:rFonts w:cs="Arial"/>
                <w:szCs w:val="20"/>
              </w:rPr>
            </w:pPr>
            <w:r>
              <w:rPr>
                <w:rFonts w:cs="Arial"/>
                <w:szCs w:val="20"/>
              </w:rPr>
              <w:t>RCV2 will include a stronger focus on women’s economic empowerment, informed by a gender analysis by an experienced expert as part of the design process.</w:t>
            </w:r>
          </w:p>
        </w:tc>
        <w:tc>
          <w:tcPr>
            <w:tcW w:w="1701" w:type="dxa"/>
            <w:tcBorders>
              <w:left w:val="single" w:sz="4" w:space="0" w:color="auto"/>
            </w:tcBorders>
            <w:shd w:val="clear" w:color="auto" w:fill="auto"/>
          </w:tcPr>
          <w:p w14:paraId="44D02F5C" w14:textId="154424ED" w:rsidR="00682007" w:rsidRPr="00EF3476" w:rsidRDefault="00682007" w:rsidP="00A0465D">
            <w:pPr>
              <w:spacing w:after="120"/>
              <w:rPr>
                <w:rFonts w:cs="Arial"/>
                <w:szCs w:val="20"/>
              </w:rPr>
            </w:pPr>
            <w:r w:rsidRPr="00EF3476">
              <w:rPr>
                <w:rFonts w:cs="Arial"/>
                <w:szCs w:val="20"/>
              </w:rPr>
              <w:t>DFAT</w:t>
            </w:r>
            <w:r w:rsidR="008541B1">
              <w:rPr>
                <w:rFonts w:cs="Arial"/>
                <w:szCs w:val="20"/>
              </w:rPr>
              <w:t>, PSU</w:t>
            </w:r>
          </w:p>
        </w:tc>
      </w:tr>
      <w:tr w:rsidR="00682007" w:rsidRPr="00EF3476" w14:paraId="03E77FAE" w14:textId="77777777" w:rsidTr="00682007">
        <w:trPr>
          <w:cantSplit/>
          <w:trHeight w:val="885"/>
        </w:trPr>
        <w:tc>
          <w:tcPr>
            <w:tcW w:w="4503" w:type="dxa"/>
            <w:shd w:val="clear" w:color="auto" w:fill="auto"/>
          </w:tcPr>
          <w:p w14:paraId="134C25D6" w14:textId="6B5441AE" w:rsidR="00682007" w:rsidRPr="00EF3476" w:rsidRDefault="00682007" w:rsidP="00682007">
            <w:pPr>
              <w:pStyle w:val="ListNumber"/>
              <w:rPr>
                <w:rFonts w:ascii="Arial" w:hAnsi="Arial" w:cs="Arial"/>
                <w:sz w:val="20"/>
                <w:szCs w:val="20"/>
              </w:rPr>
            </w:pPr>
            <w:r w:rsidRPr="00EF3476">
              <w:rPr>
                <w:rFonts w:ascii="Arial" w:hAnsi="Arial" w:cs="Arial"/>
                <w:sz w:val="20"/>
                <w:szCs w:val="20"/>
              </w:rPr>
              <w:t xml:space="preserve"> Continue to strengthen and broaden the peer review network and the SAG, as suggested for the remainder of Phase I.</w:t>
            </w:r>
          </w:p>
          <w:p w14:paraId="480ED705" w14:textId="77777777" w:rsidR="00682007" w:rsidRPr="00EF3476" w:rsidRDefault="00682007" w:rsidP="00682007">
            <w:pPr>
              <w:pStyle w:val="ListNumber"/>
              <w:numPr>
                <w:ilvl w:val="0"/>
                <w:numId w:val="0"/>
              </w:numPr>
              <w:ind w:left="284"/>
              <w:rPr>
                <w:rFonts w:ascii="Arial" w:hAnsi="Arial" w:cs="Arial"/>
                <w:sz w:val="20"/>
                <w:szCs w:val="20"/>
              </w:rPr>
            </w:pPr>
          </w:p>
        </w:tc>
        <w:tc>
          <w:tcPr>
            <w:tcW w:w="1842" w:type="dxa"/>
            <w:tcBorders>
              <w:right w:val="single" w:sz="4" w:space="0" w:color="auto"/>
            </w:tcBorders>
            <w:shd w:val="clear" w:color="auto" w:fill="auto"/>
          </w:tcPr>
          <w:p w14:paraId="18A5CADA" w14:textId="77777777" w:rsidR="00BA5CB3" w:rsidRPr="00EF3476" w:rsidRDefault="00BA5CB3" w:rsidP="00BA5CB3">
            <w:pPr>
              <w:spacing w:after="120"/>
              <w:rPr>
                <w:rFonts w:cs="Arial"/>
                <w:b/>
                <w:szCs w:val="20"/>
              </w:rPr>
            </w:pPr>
            <w:r w:rsidRPr="00EF3476">
              <w:rPr>
                <w:rFonts w:cs="Arial"/>
                <w:b/>
                <w:szCs w:val="20"/>
              </w:rPr>
              <w:t>Agree</w:t>
            </w:r>
          </w:p>
          <w:p w14:paraId="7C5BBF4B" w14:textId="77777777" w:rsidR="00682007" w:rsidRPr="00EF3476" w:rsidRDefault="00682007" w:rsidP="00682007">
            <w:pPr>
              <w:spacing w:after="120"/>
              <w:rPr>
                <w:rFonts w:cs="Arial"/>
                <w:b/>
                <w:szCs w:val="20"/>
              </w:rPr>
            </w:pPr>
          </w:p>
        </w:tc>
        <w:tc>
          <w:tcPr>
            <w:tcW w:w="2126" w:type="dxa"/>
            <w:tcBorders>
              <w:left w:val="single" w:sz="4" w:space="0" w:color="auto"/>
            </w:tcBorders>
            <w:shd w:val="clear" w:color="auto" w:fill="auto"/>
          </w:tcPr>
          <w:p w14:paraId="66C69056" w14:textId="72495B4E" w:rsidR="00682007" w:rsidRPr="00EF3476" w:rsidRDefault="008541B1" w:rsidP="00682007">
            <w:pPr>
              <w:spacing w:after="120"/>
              <w:rPr>
                <w:rFonts w:cs="Arial"/>
                <w:szCs w:val="20"/>
              </w:rPr>
            </w:pPr>
            <w:r>
              <w:rPr>
                <w:rFonts w:cs="Arial"/>
                <w:szCs w:val="20"/>
              </w:rPr>
              <w:t>As per response to recommendation 4 above.</w:t>
            </w:r>
          </w:p>
        </w:tc>
        <w:tc>
          <w:tcPr>
            <w:tcW w:w="1701" w:type="dxa"/>
            <w:tcBorders>
              <w:left w:val="single" w:sz="4" w:space="0" w:color="auto"/>
            </w:tcBorders>
            <w:shd w:val="clear" w:color="auto" w:fill="auto"/>
          </w:tcPr>
          <w:p w14:paraId="6A9C2941" w14:textId="0340BCEB" w:rsidR="00682007" w:rsidRPr="00EF3476" w:rsidRDefault="00AF6E1C" w:rsidP="00A0465D">
            <w:pPr>
              <w:spacing w:after="120"/>
              <w:rPr>
                <w:rFonts w:cs="Arial"/>
                <w:szCs w:val="20"/>
              </w:rPr>
            </w:pPr>
            <w:r w:rsidRPr="00EF3476">
              <w:rPr>
                <w:rFonts w:cs="Arial"/>
                <w:szCs w:val="20"/>
              </w:rPr>
              <w:t xml:space="preserve">DFAT, </w:t>
            </w:r>
            <w:r w:rsidR="008541B1">
              <w:rPr>
                <w:rFonts w:cs="Arial"/>
                <w:szCs w:val="20"/>
              </w:rPr>
              <w:t>PSU</w:t>
            </w:r>
          </w:p>
        </w:tc>
      </w:tr>
      <w:tr w:rsidR="00317F9B" w:rsidRPr="00EF3476" w14:paraId="3AC9FDCD" w14:textId="77777777" w:rsidTr="00682007">
        <w:trPr>
          <w:cantSplit/>
          <w:trHeight w:val="885"/>
        </w:trPr>
        <w:tc>
          <w:tcPr>
            <w:tcW w:w="4503" w:type="dxa"/>
            <w:shd w:val="clear" w:color="auto" w:fill="auto"/>
          </w:tcPr>
          <w:p w14:paraId="5FC165A1" w14:textId="1964B61F" w:rsidR="00317F9B" w:rsidRPr="00EF3476" w:rsidRDefault="00317F9B" w:rsidP="00317F9B">
            <w:pPr>
              <w:pStyle w:val="ListNumber"/>
              <w:rPr>
                <w:rFonts w:ascii="Arial" w:hAnsi="Arial" w:cs="Arial"/>
                <w:sz w:val="20"/>
                <w:szCs w:val="20"/>
              </w:rPr>
            </w:pPr>
            <w:r w:rsidRPr="00EF3476">
              <w:rPr>
                <w:rFonts w:ascii="Arial" w:hAnsi="Arial" w:cs="Arial"/>
                <w:sz w:val="20"/>
                <w:szCs w:val="20"/>
              </w:rPr>
              <w:lastRenderedPageBreak/>
              <w:t xml:space="preserve"> Continue with current management and governance arrangements, including retention of the STA, who plays a key role in supporting the Program Director and all Component activities. The governance arrangements could also include continuing the ‘no-objection’ role that DFAT has with respect to Flexible Fund activities and component work plans, recognising that this should be designed to provide an opportunity for discussion and enhancement.</w:t>
            </w:r>
          </w:p>
          <w:p w14:paraId="6C9D93BD" w14:textId="77777777" w:rsidR="00317F9B" w:rsidRPr="00EF3476" w:rsidRDefault="00317F9B" w:rsidP="00317F9B">
            <w:pPr>
              <w:pStyle w:val="ListNumber"/>
              <w:numPr>
                <w:ilvl w:val="0"/>
                <w:numId w:val="0"/>
              </w:numPr>
              <w:ind w:left="284"/>
              <w:rPr>
                <w:rFonts w:ascii="Arial" w:hAnsi="Arial" w:cs="Arial"/>
                <w:sz w:val="20"/>
                <w:szCs w:val="20"/>
              </w:rPr>
            </w:pPr>
          </w:p>
        </w:tc>
        <w:tc>
          <w:tcPr>
            <w:tcW w:w="1842" w:type="dxa"/>
            <w:tcBorders>
              <w:right w:val="single" w:sz="4" w:space="0" w:color="auto"/>
            </w:tcBorders>
            <w:shd w:val="clear" w:color="auto" w:fill="auto"/>
          </w:tcPr>
          <w:p w14:paraId="2FB351F5" w14:textId="77777777" w:rsidR="00317F9B" w:rsidRPr="00EF3476" w:rsidRDefault="00317F9B" w:rsidP="00317F9B">
            <w:pPr>
              <w:spacing w:after="120"/>
              <w:rPr>
                <w:rFonts w:cs="Arial"/>
                <w:b/>
                <w:szCs w:val="20"/>
              </w:rPr>
            </w:pPr>
            <w:r w:rsidRPr="00EF3476">
              <w:rPr>
                <w:rFonts w:cs="Arial"/>
                <w:b/>
                <w:szCs w:val="20"/>
              </w:rPr>
              <w:t>Agree</w:t>
            </w:r>
          </w:p>
          <w:p w14:paraId="743999B7" w14:textId="77777777" w:rsidR="00317F9B" w:rsidRPr="00EF3476" w:rsidRDefault="00317F9B" w:rsidP="00317F9B">
            <w:pPr>
              <w:spacing w:after="120"/>
              <w:rPr>
                <w:rFonts w:cs="Arial"/>
                <w:b/>
                <w:szCs w:val="20"/>
              </w:rPr>
            </w:pPr>
          </w:p>
        </w:tc>
        <w:tc>
          <w:tcPr>
            <w:tcW w:w="2126" w:type="dxa"/>
            <w:tcBorders>
              <w:left w:val="single" w:sz="4" w:space="0" w:color="auto"/>
            </w:tcBorders>
            <w:shd w:val="clear" w:color="auto" w:fill="auto"/>
          </w:tcPr>
          <w:p w14:paraId="60CAFC70" w14:textId="3769580E" w:rsidR="00317F9B" w:rsidRPr="00EF3476" w:rsidRDefault="008541B1" w:rsidP="00317F9B">
            <w:pPr>
              <w:spacing w:after="120"/>
              <w:rPr>
                <w:rFonts w:cs="Arial"/>
                <w:szCs w:val="20"/>
              </w:rPr>
            </w:pPr>
            <w:r>
              <w:rPr>
                <w:rFonts w:cs="Arial"/>
                <w:szCs w:val="20"/>
              </w:rPr>
              <w:t>RCV2 will retain the main management and governance features</w:t>
            </w:r>
            <w:r w:rsidR="00E616DC">
              <w:rPr>
                <w:rFonts w:cs="Arial"/>
                <w:szCs w:val="20"/>
              </w:rPr>
              <w:t xml:space="preserve"> of the first phase</w:t>
            </w:r>
            <w:r>
              <w:rPr>
                <w:rFonts w:cs="Arial"/>
                <w:szCs w:val="20"/>
              </w:rPr>
              <w:t>.</w:t>
            </w:r>
          </w:p>
        </w:tc>
        <w:tc>
          <w:tcPr>
            <w:tcW w:w="1701" w:type="dxa"/>
            <w:tcBorders>
              <w:left w:val="single" w:sz="4" w:space="0" w:color="auto"/>
            </w:tcBorders>
            <w:shd w:val="clear" w:color="auto" w:fill="auto"/>
          </w:tcPr>
          <w:p w14:paraId="6643315F" w14:textId="5F63E933" w:rsidR="00317F9B" w:rsidRPr="00EF3476" w:rsidRDefault="00317F9B" w:rsidP="00A0465D">
            <w:pPr>
              <w:spacing w:after="120"/>
              <w:rPr>
                <w:rFonts w:cs="Arial"/>
                <w:szCs w:val="20"/>
              </w:rPr>
            </w:pPr>
            <w:r w:rsidRPr="00EF3476">
              <w:rPr>
                <w:rFonts w:cs="Arial"/>
                <w:szCs w:val="20"/>
              </w:rPr>
              <w:t xml:space="preserve">DFAT, </w:t>
            </w:r>
            <w:r w:rsidR="00E616DC">
              <w:rPr>
                <w:rFonts w:cs="Arial"/>
                <w:szCs w:val="20"/>
              </w:rPr>
              <w:t>PSU</w:t>
            </w:r>
          </w:p>
        </w:tc>
      </w:tr>
      <w:tr w:rsidR="00317F9B" w:rsidRPr="00EF3476" w14:paraId="1BDFB886" w14:textId="77777777" w:rsidTr="00682007">
        <w:trPr>
          <w:cantSplit/>
          <w:trHeight w:val="885"/>
        </w:trPr>
        <w:tc>
          <w:tcPr>
            <w:tcW w:w="4503" w:type="dxa"/>
            <w:shd w:val="clear" w:color="auto" w:fill="auto"/>
          </w:tcPr>
          <w:p w14:paraId="7BE7E654" w14:textId="3DCC783E" w:rsidR="00317F9B" w:rsidRPr="00EF3476" w:rsidRDefault="00317F9B" w:rsidP="00317F9B">
            <w:pPr>
              <w:pStyle w:val="ListNumber"/>
              <w:rPr>
                <w:rFonts w:ascii="Arial" w:hAnsi="Arial" w:cs="Arial"/>
                <w:sz w:val="20"/>
                <w:szCs w:val="20"/>
              </w:rPr>
            </w:pPr>
            <w:r w:rsidRPr="00EF3476">
              <w:rPr>
                <w:rFonts w:ascii="Arial" w:hAnsi="Arial" w:cs="Arial"/>
                <w:sz w:val="20"/>
                <w:szCs w:val="20"/>
              </w:rPr>
              <w:t xml:space="preserve"> Revise the performance assessment framework – simplify, ensure clarity of outputs/results, use consistent terminology and numbering system to enable comparison of planned versus actual performance, and:</w:t>
            </w:r>
          </w:p>
          <w:p w14:paraId="0A7C2013" w14:textId="77777777" w:rsidR="00317F9B" w:rsidRPr="00EF3476" w:rsidRDefault="00317F9B" w:rsidP="00317F9B">
            <w:pPr>
              <w:pStyle w:val="ListBullet2"/>
              <w:numPr>
                <w:ilvl w:val="0"/>
                <w:numId w:val="31"/>
              </w:numPr>
              <w:spacing w:before="80" w:line="300" w:lineRule="exact"/>
              <w:contextualSpacing w:val="0"/>
              <w:rPr>
                <w:rFonts w:cs="Arial"/>
                <w:szCs w:val="20"/>
              </w:rPr>
            </w:pPr>
            <w:r w:rsidRPr="00EF3476">
              <w:rPr>
                <w:rFonts w:cs="Arial"/>
                <w:szCs w:val="20"/>
              </w:rPr>
              <w:t>use the Government of Vietnam’s monitoring of MPER to validate progress on the reform agenda (higher level program objectives).</w:t>
            </w:r>
          </w:p>
          <w:p w14:paraId="4DFDE45F" w14:textId="77777777" w:rsidR="00317F9B" w:rsidRPr="00EF3476" w:rsidRDefault="00317F9B" w:rsidP="00317F9B">
            <w:pPr>
              <w:pStyle w:val="ListNumber"/>
              <w:numPr>
                <w:ilvl w:val="0"/>
                <w:numId w:val="0"/>
              </w:numPr>
              <w:ind w:left="284"/>
              <w:rPr>
                <w:rFonts w:ascii="Arial" w:hAnsi="Arial" w:cs="Arial"/>
                <w:sz w:val="20"/>
                <w:szCs w:val="20"/>
              </w:rPr>
            </w:pPr>
          </w:p>
        </w:tc>
        <w:tc>
          <w:tcPr>
            <w:tcW w:w="1842" w:type="dxa"/>
            <w:tcBorders>
              <w:right w:val="single" w:sz="4" w:space="0" w:color="auto"/>
            </w:tcBorders>
            <w:shd w:val="clear" w:color="auto" w:fill="auto"/>
          </w:tcPr>
          <w:p w14:paraId="170E9B88" w14:textId="77777777" w:rsidR="00317F9B" w:rsidRPr="00EF3476" w:rsidRDefault="00317F9B" w:rsidP="00317F9B">
            <w:pPr>
              <w:spacing w:after="120"/>
              <w:rPr>
                <w:rFonts w:cs="Arial"/>
                <w:b/>
                <w:szCs w:val="20"/>
              </w:rPr>
            </w:pPr>
            <w:r w:rsidRPr="00EF3476">
              <w:rPr>
                <w:rFonts w:cs="Arial"/>
                <w:b/>
                <w:szCs w:val="20"/>
              </w:rPr>
              <w:t>Agree</w:t>
            </w:r>
          </w:p>
          <w:p w14:paraId="202EF990" w14:textId="77777777" w:rsidR="00317F9B" w:rsidRPr="00EF3476" w:rsidRDefault="00317F9B" w:rsidP="00317F9B">
            <w:pPr>
              <w:spacing w:after="120"/>
              <w:rPr>
                <w:rFonts w:cs="Arial"/>
                <w:b/>
                <w:szCs w:val="20"/>
              </w:rPr>
            </w:pPr>
          </w:p>
        </w:tc>
        <w:tc>
          <w:tcPr>
            <w:tcW w:w="2126" w:type="dxa"/>
            <w:tcBorders>
              <w:left w:val="single" w:sz="4" w:space="0" w:color="auto"/>
            </w:tcBorders>
            <w:shd w:val="clear" w:color="auto" w:fill="auto"/>
          </w:tcPr>
          <w:p w14:paraId="4528D61D" w14:textId="22E95296" w:rsidR="00317F9B" w:rsidRPr="00EF3476" w:rsidRDefault="00E616DC" w:rsidP="00317F9B">
            <w:pPr>
              <w:spacing w:after="120"/>
              <w:rPr>
                <w:rFonts w:cs="Arial"/>
                <w:szCs w:val="20"/>
              </w:rPr>
            </w:pPr>
            <w:r>
              <w:rPr>
                <w:rFonts w:cs="Arial"/>
                <w:szCs w:val="20"/>
              </w:rPr>
              <w:t xml:space="preserve">As per response to recommendation 6 above, RCV2 </w:t>
            </w:r>
            <w:r w:rsidR="0062211F">
              <w:rPr>
                <w:rFonts w:cs="Arial"/>
                <w:szCs w:val="20"/>
              </w:rPr>
              <w:t>will have</w:t>
            </w:r>
            <w:r>
              <w:rPr>
                <w:rFonts w:cs="Arial"/>
                <w:szCs w:val="20"/>
              </w:rPr>
              <w:t xml:space="preserve"> an improved M &amp; E framework and will link with the GoV’s own M &amp; E processes.</w:t>
            </w:r>
          </w:p>
        </w:tc>
        <w:tc>
          <w:tcPr>
            <w:tcW w:w="1701" w:type="dxa"/>
            <w:tcBorders>
              <w:left w:val="single" w:sz="4" w:space="0" w:color="auto"/>
            </w:tcBorders>
            <w:shd w:val="clear" w:color="auto" w:fill="auto"/>
          </w:tcPr>
          <w:p w14:paraId="4AAAF758" w14:textId="7F387678" w:rsidR="00317F9B" w:rsidRPr="00EF3476" w:rsidRDefault="00317F9B" w:rsidP="00A0465D">
            <w:pPr>
              <w:spacing w:after="120"/>
              <w:rPr>
                <w:rFonts w:cs="Arial"/>
                <w:szCs w:val="20"/>
              </w:rPr>
            </w:pPr>
            <w:r w:rsidRPr="00EF3476">
              <w:rPr>
                <w:rFonts w:cs="Arial"/>
                <w:szCs w:val="20"/>
              </w:rPr>
              <w:t xml:space="preserve">DFAT, </w:t>
            </w:r>
            <w:r w:rsidR="00E616DC">
              <w:rPr>
                <w:rFonts w:cs="Arial"/>
                <w:szCs w:val="20"/>
              </w:rPr>
              <w:t>PSU</w:t>
            </w:r>
          </w:p>
        </w:tc>
      </w:tr>
      <w:tr w:rsidR="00317F9B" w:rsidRPr="00EF3476" w14:paraId="420C6402" w14:textId="77777777" w:rsidTr="00682007">
        <w:trPr>
          <w:cantSplit/>
          <w:trHeight w:val="885"/>
        </w:trPr>
        <w:tc>
          <w:tcPr>
            <w:tcW w:w="4503" w:type="dxa"/>
            <w:shd w:val="clear" w:color="auto" w:fill="auto"/>
          </w:tcPr>
          <w:p w14:paraId="0CBCB084" w14:textId="2BD63E0A" w:rsidR="00317F9B" w:rsidRPr="00EF3476" w:rsidRDefault="00317F9B" w:rsidP="00317F9B">
            <w:pPr>
              <w:pStyle w:val="ListNumber"/>
              <w:rPr>
                <w:rFonts w:ascii="Arial" w:hAnsi="Arial" w:cs="Arial"/>
                <w:sz w:val="20"/>
                <w:szCs w:val="20"/>
              </w:rPr>
            </w:pPr>
            <w:r w:rsidRPr="00EF3476">
              <w:rPr>
                <w:rFonts w:ascii="Arial" w:hAnsi="Arial" w:cs="Arial"/>
                <w:sz w:val="20"/>
                <w:szCs w:val="20"/>
              </w:rPr>
              <w:t xml:space="preserve"> Utilise opportunities offered by RCV to enhance DFAT economic diplomacy and aid objectives, and adopt a considered approach to accommodating Australian interests – recognising that these may evolve over the life of a second phase, and that in some areas, such as the Australia’s concern to engage the Government of Vietnam on the Trans-Pacific Partnership, RCV</w:t>
            </w:r>
            <w:r w:rsidR="00E616DC">
              <w:rPr>
                <w:rFonts w:ascii="Arial" w:hAnsi="Arial" w:cs="Arial"/>
                <w:sz w:val="20"/>
                <w:szCs w:val="20"/>
              </w:rPr>
              <w:t xml:space="preserve"> </w:t>
            </w:r>
            <w:r w:rsidRPr="00EF3476">
              <w:rPr>
                <w:rFonts w:ascii="Arial" w:hAnsi="Arial" w:cs="Arial"/>
                <w:sz w:val="20"/>
                <w:szCs w:val="20"/>
              </w:rPr>
              <w:t>is already working in key areas covered by chapters of the agreement, including competition policy, regulatory coherence and SOEs.</w:t>
            </w:r>
          </w:p>
          <w:p w14:paraId="6082B9E0" w14:textId="77777777" w:rsidR="00317F9B" w:rsidRPr="00EF3476" w:rsidRDefault="00317F9B" w:rsidP="00317F9B">
            <w:pPr>
              <w:pStyle w:val="ListNumber"/>
              <w:numPr>
                <w:ilvl w:val="0"/>
                <w:numId w:val="0"/>
              </w:numPr>
              <w:ind w:left="284"/>
              <w:rPr>
                <w:rFonts w:ascii="Arial" w:hAnsi="Arial" w:cs="Arial"/>
                <w:sz w:val="20"/>
                <w:szCs w:val="20"/>
              </w:rPr>
            </w:pPr>
          </w:p>
        </w:tc>
        <w:tc>
          <w:tcPr>
            <w:tcW w:w="1842" w:type="dxa"/>
            <w:tcBorders>
              <w:right w:val="single" w:sz="4" w:space="0" w:color="auto"/>
            </w:tcBorders>
            <w:shd w:val="clear" w:color="auto" w:fill="auto"/>
          </w:tcPr>
          <w:p w14:paraId="56339045" w14:textId="77777777" w:rsidR="00317F9B" w:rsidRPr="00EF3476" w:rsidRDefault="00317F9B" w:rsidP="00317F9B">
            <w:pPr>
              <w:spacing w:after="120"/>
              <w:rPr>
                <w:rFonts w:cs="Arial"/>
                <w:b/>
                <w:szCs w:val="20"/>
              </w:rPr>
            </w:pPr>
            <w:r w:rsidRPr="00EF3476">
              <w:rPr>
                <w:rFonts w:cs="Arial"/>
                <w:b/>
                <w:szCs w:val="20"/>
              </w:rPr>
              <w:t>Agree</w:t>
            </w:r>
          </w:p>
          <w:p w14:paraId="1221B2D6" w14:textId="77777777" w:rsidR="00317F9B" w:rsidRPr="00EF3476" w:rsidRDefault="00317F9B" w:rsidP="00317F9B">
            <w:pPr>
              <w:spacing w:after="120"/>
              <w:rPr>
                <w:rFonts w:cs="Arial"/>
                <w:b/>
                <w:szCs w:val="20"/>
              </w:rPr>
            </w:pPr>
          </w:p>
        </w:tc>
        <w:tc>
          <w:tcPr>
            <w:tcW w:w="2126" w:type="dxa"/>
            <w:tcBorders>
              <w:left w:val="single" w:sz="4" w:space="0" w:color="auto"/>
            </w:tcBorders>
            <w:shd w:val="clear" w:color="auto" w:fill="auto"/>
          </w:tcPr>
          <w:p w14:paraId="31D67F8E" w14:textId="28191BC7" w:rsidR="00317F9B" w:rsidRPr="00EF3476" w:rsidRDefault="00E616DC" w:rsidP="00A0465D">
            <w:pPr>
              <w:spacing w:after="120"/>
              <w:rPr>
                <w:rFonts w:cs="Arial"/>
                <w:szCs w:val="20"/>
              </w:rPr>
            </w:pPr>
            <w:r>
              <w:rPr>
                <w:rFonts w:cs="Arial"/>
                <w:szCs w:val="20"/>
              </w:rPr>
              <w:t>RCV2 will continue to take into account Australia’s broader agenda in Vietnam, especially the APEC agenda as Vietnam hosts APEC in 2017. Recent developments with the TPP have made it less directly relevant but RCV2 will still champion high quality standards, including on competition policy, regulatory coherence, and SOEs.</w:t>
            </w:r>
          </w:p>
        </w:tc>
        <w:tc>
          <w:tcPr>
            <w:tcW w:w="1701" w:type="dxa"/>
            <w:tcBorders>
              <w:left w:val="single" w:sz="4" w:space="0" w:color="auto"/>
            </w:tcBorders>
            <w:shd w:val="clear" w:color="auto" w:fill="auto"/>
          </w:tcPr>
          <w:p w14:paraId="0CE82CD3" w14:textId="664B5B6F" w:rsidR="00317F9B" w:rsidRPr="00EF3476" w:rsidRDefault="00317F9B" w:rsidP="00A0465D">
            <w:pPr>
              <w:spacing w:after="120"/>
              <w:rPr>
                <w:rFonts w:cs="Arial"/>
                <w:szCs w:val="20"/>
              </w:rPr>
            </w:pPr>
            <w:r w:rsidRPr="00EF3476">
              <w:rPr>
                <w:rFonts w:cs="Arial"/>
                <w:szCs w:val="20"/>
              </w:rPr>
              <w:t xml:space="preserve">DFAT, </w:t>
            </w:r>
            <w:r w:rsidR="00E616DC">
              <w:rPr>
                <w:rFonts w:cs="Arial"/>
                <w:szCs w:val="20"/>
              </w:rPr>
              <w:t>PSU</w:t>
            </w:r>
          </w:p>
        </w:tc>
      </w:tr>
    </w:tbl>
    <w:p w14:paraId="0D064EC3" w14:textId="77777777" w:rsidR="004447CC" w:rsidRPr="00EF3476" w:rsidRDefault="004447CC" w:rsidP="004447CC">
      <w:pPr>
        <w:rPr>
          <w:rFonts w:cs="Arial"/>
          <w:szCs w:val="20"/>
        </w:rPr>
      </w:pPr>
    </w:p>
    <w:p w14:paraId="460834D4" w14:textId="77777777" w:rsidR="004447CC" w:rsidRPr="00913F5E" w:rsidRDefault="004447CC" w:rsidP="004447CC">
      <w:pPr>
        <w:pStyle w:val="Heading2"/>
      </w:pPr>
    </w:p>
    <w:p w14:paraId="20C9A889" w14:textId="77777777" w:rsidR="00913F5E" w:rsidRPr="00913F5E" w:rsidRDefault="00913F5E" w:rsidP="004447CC">
      <w:pPr>
        <w:pStyle w:val="ListParagraph"/>
        <w:spacing w:line="276" w:lineRule="auto"/>
      </w:pPr>
    </w:p>
    <w:sectPr w:rsidR="00913F5E" w:rsidRPr="00913F5E" w:rsidSect="00054700">
      <w:headerReference w:type="default" r:id="rId12"/>
      <w:footerReference w:type="default" r:id="rId13"/>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08C38" w14:textId="77777777" w:rsidR="00F337BE" w:rsidRDefault="00F337BE">
      <w:pPr>
        <w:pStyle w:val="Table-list-number"/>
      </w:pPr>
      <w:r>
        <w:separator/>
      </w:r>
    </w:p>
  </w:endnote>
  <w:endnote w:type="continuationSeparator" w:id="0">
    <w:p w14:paraId="0D287719" w14:textId="77777777" w:rsidR="00F337BE" w:rsidRDefault="00F337BE">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9A893" w14:textId="76866DD2" w:rsidR="0080628B" w:rsidRPr="00AE52D5" w:rsidRDefault="0080628B" w:rsidP="00AE52D5">
    <w:pPr>
      <w:pStyle w:val="Footer"/>
      <w:pBdr>
        <w:top w:val="single" w:sz="4" w:space="7" w:color="333333"/>
      </w:pBdr>
      <w:tabs>
        <w:tab w:val="clear" w:pos="4153"/>
        <w:tab w:val="clear" w:pos="8306"/>
        <w:tab w:val="right" w:pos="9639"/>
      </w:tabs>
      <w:rPr>
        <w:rStyle w:val="PageNumber"/>
      </w:rPr>
    </w:pPr>
    <w:r>
      <w:t xml:space="preserve">EDRMS File: </w:t>
    </w:r>
    <w:bookmarkStart w:id="1" w:name="FileNumber"/>
    <w:r w:rsidR="00C11378">
      <w:t>HN1</w:t>
    </w:r>
    <w:bookmarkEnd w:id="1"/>
    <w:r w:rsidR="00C11378">
      <w:t>6/225</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0F0C0B">
      <w:rPr>
        <w:rStyle w:val="PageNumber"/>
        <w:noProof/>
      </w:rPr>
      <w:t>6</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0F0C0B">
      <w:rPr>
        <w:rStyle w:val="PageNumber"/>
        <w:noProof/>
      </w:rPr>
      <w:t>6</w:t>
    </w:r>
    <w:r w:rsidRPr="00AE52D5">
      <w:rPr>
        <w:rStyle w:val="PageNumber"/>
      </w:rPr>
      <w:fldChar w:fldCharType="end"/>
    </w:r>
  </w:p>
  <w:p w14:paraId="20C9A894" w14:textId="0A40CF18" w:rsidR="0080628B" w:rsidRPr="00AE52D5" w:rsidRDefault="0080628B" w:rsidP="00AE52D5">
    <w:pPr>
      <w:pStyle w:val="Footer"/>
      <w:pBdr>
        <w:top w:val="single" w:sz="4" w:space="7" w:color="333333"/>
      </w:pBdr>
      <w:tabs>
        <w:tab w:val="clear" w:pos="4153"/>
        <w:tab w:val="clear" w:pos="8306"/>
        <w:tab w:val="right" w:pos="9639"/>
      </w:tabs>
    </w:pPr>
    <w:r w:rsidRPr="00AE52D5">
      <w:tab/>
    </w:r>
    <w:r w:rsidRPr="00AE52D5">
      <w:rPr>
        <w:rStyle w:val="PageNumber"/>
      </w:rPr>
      <w:t>UNCLASSIFIED</w:t>
    </w:r>
  </w:p>
  <w:p w14:paraId="20C9A895" w14:textId="77777777" w:rsidR="0080628B" w:rsidRPr="000815FC" w:rsidRDefault="0080628B" w:rsidP="00887304">
    <w:pPr>
      <w:pStyle w:val="Footer"/>
      <w:pBdr>
        <w:top w:val="single" w:sz="4" w:space="8" w:color="999999"/>
      </w:pBdr>
      <w:tabs>
        <w:tab w:val="clear" w:pos="4153"/>
        <w:tab w:val="clear" w:pos="8306"/>
        <w:tab w:val="right" w:pos="9639"/>
      </w:tabs>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D88D1" w14:textId="77777777" w:rsidR="00F337BE" w:rsidRDefault="00F337BE">
      <w:pPr>
        <w:pStyle w:val="Table-list-number"/>
      </w:pPr>
      <w:r>
        <w:separator/>
      </w:r>
    </w:p>
  </w:footnote>
  <w:footnote w:type="continuationSeparator" w:id="0">
    <w:p w14:paraId="15F30F15" w14:textId="77777777" w:rsidR="00F337BE" w:rsidRDefault="00F337BE">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9A892" w14:textId="77777777" w:rsidR="0080628B" w:rsidRPr="00077243" w:rsidRDefault="0080628B" w:rsidP="00077243">
    <w:pPr>
      <w:pStyle w:val="Header"/>
      <w:jc w:val="center"/>
      <w:rPr>
        <w:caps/>
      </w:rPr>
    </w:pPr>
    <w:r w:rsidRPr="00077243">
      <w:rPr>
        <w:caps/>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AC6252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29E0F5D2"/>
    <w:lvl w:ilvl="0">
      <w:start w:val="1"/>
      <w:numFmt w:val="decimal"/>
      <w:pStyle w:val="ListNumber"/>
      <w:lvlText w:val="%1."/>
      <w:lvlJc w:val="left"/>
      <w:pPr>
        <w:tabs>
          <w:tab w:val="num" w:pos="284"/>
        </w:tabs>
        <w:ind w:left="284" w:hanging="284"/>
      </w:pPr>
      <w:rPr>
        <w:rFonts w:hint="default"/>
      </w:rPr>
    </w:lvl>
  </w:abstractNum>
  <w:abstractNum w:abstractNumId="2">
    <w:nsid w:val="0000000C"/>
    <w:multiLevelType w:val="singleLevel"/>
    <w:tmpl w:val="0000000C"/>
    <w:name w:val="WW8Num16"/>
    <w:lvl w:ilvl="0">
      <w:numFmt w:val="bullet"/>
      <w:lvlText w:val=""/>
      <w:lvlJc w:val="left"/>
      <w:pPr>
        <w:tabs>
          <w:tab w:val="num" w:pos="1080"/>
        </w:tabs>
        <w:ind w:left="1080" w:hanging="360"/>
      </w:pPr>
      <w:rPr>
        <w:rFonts w:ascii="Symbol" w:hAnsi="Symbol" w:cs="Angsana New"/>
      </w:rPr>
    </w:lvl>
  </w:abstractNum>
  <w:abstractNum w:abstractNumId="3">
    <w:nsid w:val="042F2612"/>
    <w:multiLevelType w:val="hybridMultilevel"/>
    <w:tmpl w:val="50309DF2"/>
    <w:lvl w:ilvl="0" w:tplc="DB04AA92">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2D761C"/>
    <w:multiLevelType w:val="hybridMultilevel"/>
    <w:tmpl w:val="C542260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F46DB5"/>
    <w:multiLevelType w:val="hybridMultilevel"/>
    <w:tmpl w:val="0114A6B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03A12D2"/>
    <w:multiLevelType w:val="hybridMultilevel"/>
    <w:tmpl w:val="878681C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9B02A7"/>
    <w:multiLevelType w:val="singleLevel"/>
    <w:tmpl w:val="366C4342"/>
    <w:lvl w:ilvl="0">
      <w:start w:val="1"/>
      <w:numFmt w:val="bullet"/>
      <w:lvlText w:val="–"/>
      <w:lvlJc w:val="left"/>
      <w:pPr>
        <w:tabs>
          <w:tab w:val="num" w:pos="567"/>
        </w:tabs>
        <w:ind w:left="567" w:hanging="283"/>
      </w:pPr>
      <w:rPr>
        <w:rFonts w:ascii="Book Antiqua" w:hAnsi="Book Antiqua" w:hint="default"/>
        <w:sz w:val="22"/>
      </w:rPr>
    </w:lvl>
  </w:abstractNum>
  <w:abstractNum w:abstractNumId="9">
    <w:nsid w:val="22363982"/>
    <w:multiLevelType w:val="hybridMultilevel"/>
    <w:tmpl w:val="EEA6FA2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nsid w:val="2F0E5CBE"/>
    <w:multiLevelType w:val="hybridMultilevel"/>
    <w:tmpl w:val="3F3A0A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FC27032"/>
    <w:multiLevelType w:val="hybridMultilevel"/>
    <w:tmpl w:val="E3CC929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A40746B"/>
    <w:multiLevelType w:val="hybridMultilevel"/>
    <w:tmpl w:val="F9E80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DE1609"/>
    <w:multiLevelType w:val="multilevel"/>
    <w:tmpl w:val="5C8488E2"/>
    <w:lvl w:ilvl="0">
      <w:start w:val="1"/>
      <w:numFmt w:val="decimal"/>
      <w:pStyle w:val="ListBullet"/>
      <w:lvlText w:val="%1"/>
      <w:lvlJc w:val="left"/>
      <w:pPr>
        <w:tabs>
          <w:tab w:val="num" w:pos="567"/>
        </w:tabs>
        <w:ind w:left="567" w:hanging="567"/>
      </w:pPr>
      <w:rPr>
        <w:rFonts w:ascii="Book Antiqua" w:hAnsi="Book Antiqua" w:hint="default"/>
        <w:b/>
        <w:i/>
        <w:color w:val="auto"/>
        <w:spacing w:val="0"/>
        <w:w w:val="100"/>
        <w:position w:val="0"/>
        <w:sz w:val="40"/>
        <w:szCs w:val="4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Text w:val=""/>
      <w:lvlJc w:val="left"/>
      <w:pPr>
        <w:tabs>
          <w:tab w:val="num" w:pos="2826"/>
        </w:tabs>
        <w:ind w:left="1602" w:hanging="936"/>
      </w:pPr>
      <w:rPr>
        <w:rFonts w:hint="default"/>
      </w:rPr>
    </w:lvl>
    <w:lvl w:ilvl="6">
      <w:start w:val="1"/>
      <w:numFmt w:val="none"/>
      <w:lvlText w:val=""/>
      <w:lvlJc w:val="left"/>
      <w:pPr>
        <w:tabs>
          <w:tab w:val="num" w:pos="3546"/>
        </w:tabs>
        <w:ind w:left="2106" w:hanging="1080"/>
      </w:pPr>
      <w:rPr>
        <w:rFonts w:hint="default"/>
      </w:rPr>
    </w:lvl>
    <w:lvl w:ilvl="7">
      <w:start w:val="1"/>
      <w:numFmt w:val="none"/>
      <w:lvlText w:val=""/>
      <w:lvlJc w:val="left"/>
      <w:pPr>
        <w:tabs>
          <w:tab w:val="num" w:pos="4266"/>
        </w:tabs>
        <w:ind w:left="2610" w:hanging="1224"/>
      </w:pPr>
      <w:rPr>
        <w:rFonts w:hint="default"/>
      </w:rPr>
    </w:lvl>
    <w:lvl w:ilvl="8">
      <w:start w:val="1"/>
      <w:numFmt w:val="upperLetter"/>
      <w:lvlRestart w:val="0"/>
      <w:lvlText w:val="%9"/>
      <w:lvlJc w:val="left"/>
      <w:pPr>
        <w:tabs>
          <w:tab w:val="num" w:pos="567"/>
        </w:tabs>
        <w:ind w:left="567" w:hanging="567"/>
      </w:pPr>
      <w:rPr>
        <w:rFonts w:ascii="Book Antiqua" w:hAnsi="Book Antiqua" w:hint="default"/>
        <w:b/>
        <w:i/>
        <w:color w:val="auto"/>
        <w:spacing w:val="0"/>
        <w:w w:val="100"/>
        <w:position w:val="0"/>
        <w:sz w:val="40"/>
        <w:szCs w:val="40"/>
      </w:rPr>
    </w:lvl>
  </w:abstractNum>
  <w:abstractNum w:abstractNumId="16">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nsid w:val="48511D82"/>
    <w:multiLevelType w:val="hybridMultilevel"/>
    <w:tmpl w:val="8496150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nsid w:val="585D2E04"/>
    <w:multiLevelType w:val="hybridMultilevel"/>
    <w:tmpl w:val="F9861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A891010"/>
    <w:multiLevelType w:val="hybridMultilevel"/>
    <w:tmpl w:val="006443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3C83C18"/>
    <w:multiLevelType w:val="hybridMultilevel"/>
    <w:tmpl w:val="5CBE42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51B1028"/>
    <w:multiLevelType w:val="hybridMultilevel"/>
    <w:tmpl w:val="12745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D937DB7"/>
    <w:multiLevelType w:val="hybridMultilevel"/>
    <w:tmpl w:val="68DAF6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1C8593A"/>
    <w:multiLevelType w:val="hybridMultilevel"/>
    <w:tmpl w:val="34063D6E"/>
    <w:lvl w:ilvl="0" w:tplc="74181EF6">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25">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5F7DD4"/>
    <w:multiLevelType w:val="hybridMultilevel"/>
    <w:tmpl w:val="FE86F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CCE4871"/>
    <w:multiLevelType w:val="hybridMultilevel"/>
    <w:tmpl w:val="95161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E665AB1"/>
    <w:multiLevelType w:val="hybridMultilevel"/>
    <w:tmpl w:val="FADA1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2"/>
  </w:num>
  <w:num w:numId="4">
    <w:abstractNumId w:val="24"/>
  </w:num>
  <w:num w:numId="5">
    <w:abstractNumId w:val="25"/>
  </w:num>
  <w:num w:numId="6">
    <w:abstractNumId w:val="4"/>
  </w:num>
  <w:num w:numId="7">
    <w:abstractNumId w:val="17"/>
  </w:num>
  <w:num w:numId="8">
    <w:abstractNumId w:val="14"/>
  </w:num>
  <w:num w:numId="9">
    <w:abstractNumId w:val="21"/>
  </w:num>
  <w:num w:numId="10">
    <w:abstractNumId w:val="18"/>
  </w:num>
  <w:num w:numId="11">
    <w:abstractNumId w:val="27"/>
  </w:num>
  <w:num w:numId="12">
    <w:abstractNumId w:val="7"/>
  </w:num>
  <w:num w:numId="13">
    <w:abstractNumId w:val="5"/>
  </w:num>
  <w:num w:numId="14">
    <w:abstractNumId w:val="6"/>
  </w:num>
  <w:num w:numId="15">
    <w:abstractNumId w:val="9"/>
  </w:num>
  <w:num w:numId="16">
    <w:abstractNumId w:val="20"/>
  </w:num>
  <w:num w:numId="17">
    <w:abstractNumId w:val="19"/>
  </w:num>
  <w:num w:numId="18">
    <w:abstractNumId w:val="13"/>
  </w:num>
  <w:num w:numId="19">
    <w:abstractNumId w:val="22"/>
  </w:num>
  <w:num w:numId="20">
    <w:abstractNumId w:val="26"/>
  </w:num>
  <w:num w:numId="21">
    <w:abstractNumId w:val="11"/>
  </w:num>
  <w:num w:numId="22">
    <w:abstractNumId w:val="23"/>
  </w:num>
  <w:num w:numId="23">
    <w:abstractNumId w:val="3"/>
  </w:num>
  <w:num w:numId="24">
    <w:abstractNumId w:val="1"/>
  </w:num>
  <w:num w:numId="25">
    <w:abstractNumId w:val="15"/>
  </w:num>
  <w:num w:numId="26">
    <w:abstractNumId w:val="1"/>
  </w:num>
  <w:num w:numId="27">
    <w:abstractNumId w:val="0"/>
  </w:num>
  <w:num w:numId="28">
    <w:abstractNumId w:val="28"/>
  </w:num>
  <w:num w:numId="29">
    <w:abstractNumId w:val="1"/>
    <w:lvlOverride w:ilvl="0">
      <w:startOverride w:val="1"/>
    </w:lvlOverride>
  </w:num>
  <w:num w:numId="30">
    <w:abstractNumId w:val="1"/>
    <w:lvlOverride w:ilvl="0">
      <w:startOverride w:val="10"/>
    </w:lvlOverride>
  </w:num>
  <w:num w:numId="31">
    <w:abstractNumId w:val="8"/>
  </w:num>
  <w:num w:numId="32">
    <w:abstractNumId w:val="0"/>
  </w:num>
  <w:num w:numId="33">
    <w:abstractNumId w:val="1"/>
  </w:num>
  <w:num w:numId="34">
    <w:abstractNumId w:val="1"/>
    <w:lvlOverride w:ilvl="0">
      <w:startOverride w:val="13"/>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049F2"/>
    <w:rsid w:val="00005268"/>
    <w:rsid w:val="00012070"/>
    <w:rsid w:val="00012E96"/>
    <w:rsid w:val="000135D5"/>
    <w:rsid w:val="00015371"/>
    <w:rsid w:val="00015D42"/>
    <w:rsid w:val="000163BD"/>
    <w:rsid w:val="00017B81"/>
    <w:rsid w:val="00017C2E"/>
    <w:rsid w:val="000272E0"/>
    <w:rsid w:val="00031779"/>
    <w:rsid w:val="00035AA2"/>
    <w:rsid w:val="00035AFE"/>
    <w:rsid w:val="00036056"/>
    <w:rsid w:val="000412DD"/>
    <w:rsid w:val="00042B6F"/>
    <w:rsid w:val="00043894"/>
    <w:rsid w:val="00051BF4"/>
    <w:rsid w:val="00052316"/>
    <w:rsid w:val="00054700"/>
    <w:rsid w:val="000674D1"/>
    <w:rsid w:val="00067C95"/>
    <w:rsid w:val="0007162A"/>
    <w:rsid w:val="00071CEC"/>
    <w:rsid w:val="000728D3"/>
    <w:rsid w:val="000733A7"/>
    <w:rsid w:val="000765F5"/>
    <w:rsid w:val="00077243"/>
    <w:rsid w:val="00077A27"/>
    <w:rsid w:val="0008038E"/>
    <w:rsid w:val="000815FC"/>
    <w:rsid w:val="00083D48"/>
    <w:rsid w:val="0008442A"/>
    <w:rsid w:val="0008459A"/>
    <w:rsid w:val="000869CE"/>
    <w:rsid w:val="00094CE2"/>
    <w:rsid w:val="00095489"/>
    <w:rsid w:val="000A322C"/>
    <w:rsid w:val="000A77DB"/>
    <w:rsid w:val="000B520A"/>
    <w:rsid w:val="000B7AFD"/>
    <w:rsid w:val="000C4574"/>
    <w:rsid w:val="000C7333"/>
    <w:rsid w:val="000D316D"/>
    <w:rsid w:val="000D38AE"/>
    <w:rsid w:val="000D530C"/>
    <w:rsid w:val="000D7FEA"/>
    <w:rsid w:val="000E1475"/>
    <w:rsid w:val="000E1958"/>
    <w:rsid w:val="000E2503"/>
    <w:rsid w:val="000E4994"/>
    <w:rsid w:val="000E4AC2"/>
    <w:rsid w:val="000E4B35"/>
    <w:rsid w:val="000E75FF"/>
    <w:rsid w:val="000F0A4A"/>
    <w:rsid w:val="000F0C0B"/>
    <w:rsid w:val="000F4710"/>
    <w:rsid w:val="000F51D5"/>
    <w:rsid w:val="000F5FF5"/>
    <w:rsid w:val="0010006D"/>
    <w:rsid w:val="00102362"/>
    <w:rsid w:val="00104963"/>
    <w:rsid w:val="0010651D"/>
    <w:rsid w:val="001077BF"/>
    <w:rsid w:val="00107ED6"/>
    <w:rsid w:val="00113C84"/>
    <w:rsid w:val="00116D39"/>
    <w:rsid w:val="00121F43"/>
    <w:rsid w:val="0012351D"/>
    <w:rsid w:val="001236C4"/>
    <w:rsid w:val="001236CF"/>
    <w:rsid w:val="00123851"/>
    <w:rsid w:val="00123C3E"/>
    <w:rsid w:val="0012582F"/>
    <w:rsid w:val="00130913"/>
    <w:rsid w:val="00134B6C"/>
    <w:rsid w:val="001378B7"/>
    <w:rsid w:val="00140289"/>
    <w:rsid w:val="00144156"/>
    <w:rsid w:val="00144AF1"/>
    <w:rsid w:val="001461C8"/>
    <w:rsid w:val="001467C6"/>
    <w:rsid w:val="00151891"/>
    <w:rsid w:val="0015388F"/>
    <w:rsid w:val="00153F2A"/>
    <w:rsid w:val="001614B0"/>
    <w:rsid w:val="0016424C"/>
    <w:rsid w:val="0016457C"/>
    <w:rsid w:val="001713BA"/>
    <w:rsid w:val="00173632"/>
    <w:rsid w:val="00175FFC"/>
    <w:rsid w:val="00177AC0"/>
    <w:rsid w:val="00184728"/>
    <w:rsid w:val="001859F0"/>
    <w:rsid w:val="00185E86"/>
    <w:rsid w:val="001874BC"/>
    <w:rsid w:val="001917F6"/>
    <w:rsid w:val="001929C6"/>
    <w:rsid w:val="001939CC"/>
    <w:rsid w:val="00195E3D"/>
    <w:rsid w:val="001B074D"/>
    <w:rsid w:val="001B1EE4"/>
    <w:rsid w:val="001B5DEE"/>
    <w:rsid w:val="001D19F0"/>
    <w:rsid w:val="001D2C42"/>
    <w:rsid w:val="001D7353"/>
    <w:rsid w:val="001E1546"/>
    <w:rsid w:val="001E3D24"/>
    <w:rsid w:val="001E4372"/>
    <w:rsid w:val="001E4FCC"/>
    <w:rsid w:val="001F35CD"/>
    <w:rsid w:val="001F548E"/>
    <w:rsid w:val="001F5C59"/>
    <w:rsid w:val="00201759"/>
    <w:rsid w:val="00203B26"/>
    <w:rsid w:val="00205BA9"/>
    <w:rsid w:val="00206132"/>
    <w:rsid w:val="00214F7F"/>
    <w:rsid w:val="00217795"/>
    <w:rsid w:val="0022099A"/>
    <w:rsid w:val="00221D53"/>
    <w:rsid w:val="00223581"/>
    <w:rsid w:val="00223DFA"/>
    <w:rsid w:val="00224834"/>
    <w:rsid w:val="00232239"/>
    <w:rsid w:val="002425E0"/>
    <w:rsid w:val="00245265"/>
    <w:rsid w:val="00250414"/>
    <w:rsid w:val="00250CB9"/>
    <w:rsid w:val="002524DA"/>
    <w:rsid w:val="002546B7"/>
    <w:rsid w:val="00255DF0"/>
    <w:rsid w:val="00264366"/>
    <w:rsid w:val="00276F45"/>
    <w:rsid w:val="002824B7"/>
    <w:rsid w:val="002839B9"/>
    <w:rsid w:val="00287EBF"/>
    <w:rsid w:val="00291C8A"/>
    <w:rsid w:val="0029717D"/>
    <w:rsid w:val="002A1D99"/>
    <w:rsid w:val="002B16FF"/>
    <w:rsid w:val="002B2279"/>
    <w:rsid w:val="002B23D7"/>
    <w:rsid w:val="002B2BA6"/>
    <w:rsid w:val="002B4FE1"/>
    <w:rsid w:val="002B5216"/>
    <w:rsid w:val="002C51AD"/>
    <w:rsid w:val="002C612D"/>
    <w:rsid w:val="002D1173"/>
    <w:rsid w:val="002D4C96"/>
    <w:rsid w:val="002E0EA2"/>
    <w:rsid w:val="002E2A63"/>
    <w:rsid w:val="002E7065"/>
    <w:rsid w:val="002E7A09"/>
    <w:rsid w:val="002F001E"/>
    <w:rsid w:val="002F13CD"/>
    <w:rsid w:val="002F1C38"/>
    <w:rsid w:val="002F30C2"/>
    <w:rsid w:val="002F3803"/>
    <w:rsid w:val="002F501F"/>
    <w:rsid w:val="003012E6"/>
    <w:rsid w:val="00302229"/>
    <w:rsid w:val="0030264B"/>
    <w:rsid w:val="003063C8"/>
    <w:rsid w:val="00307E1F"/>
    <w:rsid w:val="00310523"/>
    <w:rsid w:val="00310FA6"/>
    <w:rsid w:val="00314E1C"/>
    <w:rsid w:val="00317F9B"/>
    <w:rsid w:val="00326D2A"/>
    <w:rsid w:val="00327EDE"/>
    <w:rsid w:val="00330078"/>
    <w:rsid w:val="00334E51"/>
    <w:rsid w:val="003352F6"/>
    <w:rsid w:val="00342870"/>
    <w:rsid w:val="00345F77"/>
    <w:rsid w:val="00350917"/>
    <w:rsid w:val="0035724B"/>
    <w:rsid w:val="00367DA3"/>
    <w:rsid w:val="003719DB"/>
    <w:rsid w:val="00371B8D"/>
    <w:rsid w:val="00373EB2"/>
    <w:rsid w:val="0037535E"/>
    <w:rsid w:val="0039002F"/>
    <w:rsid w:val="00390A59"/>
    <w:rsid w:val="00394B8E"/>
    <w:rsid w:val="00394C72"/>
    <w:rsid w:val="00397F85"/>
    <w:rsid w:val="003A09AD"/>
    <w:rsid w:val="003A273C"/>
    <w:rsid w:val="003A36D5"/>
    <w:rsid w:val="003A3D8A"/>
    <w:rsid w:val="003A3DE5"/>
    <w:rsid w:val="003A4D26"/>
    <w:rsid w:val="003A642E"/>
    <w:rsid w:val="003B0BB3"/>
    <w:rsid w:val="003B518A"/>
    <w:rsid w:val="003B6DC1"/>
    <w:rsid w:val="003B7455"/>
    <w:rsid w:val="003C0A67"/>
    <w:rsid w:val="003C24EC"/>
    <w:rsid w:val="003C25ED"/>
    <w:rsid w:val="003C2F63"/>
    <w:rsid w:val="003D0C24"/>
    <w:rsid w:val="003D236A"/>
    <w:rsid w:val="003D4821"/>
    <w:rsid w:val="003D4CAC"/>
    <w:rsid w:val="003D548A"/>
    <w:rsid w:val="003D5CFC"/>
    <w:rsid w:val="003D6E0A"/>
    <w:rsid w:val="003D7317"/>
    <w:rsid w:val="003E0DFE"/>
    <w:rsid w:val="003E2603"/>
    <w:rsid w:val="003E3E3E"/>
    <w:rsid w:val="003E45B2"/>
    <w:rsid w:val="003E6462"/>
    <w:rsid w:val="003E6561"/>
    <w:rsid w:val="003E7BC4"/>
    <w:rsid w:val="003F0F7E"/>
    <w:rsid w:val="003F2997"/>
    <w:rsid w:val="003F43CF"/>
    <w:rsid w:val="003F43F9"/>
    <w:rsid w:val="003F7733"/>
    <w:rsid w:val="003F7C64"/>
    <w:rsid w:val="004032D0"/>
    <w:rsid w:val="00404E5B"/>
    <w:rsid w:val="00406563"/>
    <w:rsid w:val="00406867"/>
    <w:rsid w:val="00406CD2"/>
    <w:rsid w:val="00411862"/>
    <w:rsid w:val="00416565"/>
    <w:rsid w:val="0041725E"/>
    <w:rsid w:val="00417DB8"/>
    <w:rsid w:val="004221A5"/>
    <w:rsid w:val="00427F43"/>
    <w:rsid w:val="00434134"/>
    <w:rsid w:val="00444128"/>
    <w:rsid w:val="004447CC"/>
    <w:rsid w:val="004449B6"/>
    <w:rsid w:val="00444D45"/>
    <w:rsid w:val="00454766"/>
    <w:rsid w:val="004555E2"/>
    <w:rsid w:val="00455F94"/>
    <w:rsid w:val="004563D4"/>
    <w:rsid w:val="00456E9B"/>
    <w:rsid w:val="00461D80"/>
    <w:rsid w:val="00466CDA"/>
    <w:rsid w:val="004707CB"/>
    <w:rsid w:val="00472CDE"/>
    <w:rsid w:val="00473AA7"/>
    <w:rsid w:val="00476FDC"/>
    <w:rsid w:val="0047719C"/>
    <w:rsid w:val="00483DD0"/>
    <w:rsid w:val="0048680E"/>
    <w:rsid w:val="0049260B"/>
    <w:rsid w:val="00496DB3"/>
    <w:rsid w:val="004A100E"/>
    <w:rsid w:val="004A56A0"/>
    <w:rsid w:val="004A78D6"/>
    <w:rsid w:val="004C00C0"/>
    <w:rsid w:val="004C14A7"/>
    <w:rsid w:val="004C429D"/>
    <w:rsid w:val="004C675F"/>
    <w:rsid w:val="004D043E"/>
    <w:rsid w:val="004D3454"/>
    <w:rsid w:val="004E0A16"/>
    <w:rsid w:val="004E150A"/>
    <w:rsid w:val="004E3358"/>
    <w:rsid w:val="004E37BD"/>
    <w:rsid w:val="004F479B"/>
    <w:rsid w:val="004F5F17"/>
    <w:rsid w:val="004F7698"/>
    <w:rsid w:val="004F78C4"/>
    <w:rsid w:val="00504689"/>
    <w:rsid w:val="005077AB"/>
    <w:rsid w:val="00507C56"/>
    <w:rsid w:val="00510728"/>
    <w:rsid w:val="00513809"/>
    <w:rsid w:val="005149FE"/>
    <w:rsid w:val="005152C8"/>
    <w:rsid w:val="005154F9"/>
    <w:rsid w:val="0052010E"/>
    <w:rsid w:val="00522766"/>
    <w:rsid w:val="00523BBF"/>
    <w:rsid w:val="00530283"/>
    <w:rsid w:val="00532B48"/>
    <w:rsid w:val="005477B9"/>
    <w:rsid w:val="00550E26"/>
    <w:rsid w:val="00557173"/>
    <w:rsid w:val="00562E5D"/>
    <w:rsid w:val="005672CB"/>
    <w:rsid w:val="005756E9"/>
    <w:rsid w:val="00576EED"/>
    <w:rsid w:val="00580002"/>
    <w:rsid w:val="005829CA"/>
    <w:rsid w:val="00585B02"/>
    <w:rsid w:val="00586B72"/>
    <w:rsid w:val="0059065C"/>
    <w:rsid w:val="0059073A"/>
    <w:rsid w:val="005928E6"/>
    <w:rsid w:val="00592F64"/>
    <w:rsid w:val="00593DB7"/>
    <w:rsid w:val="0059519C"/>
    <w:rsid w:val="005959B3"/>
    <w:rsid w:val="00596949"/>
    <w:rsid w:val="005A4455"/>
    <w:rsid w:val="005A47C3"/>
    <w:rsid w:val="005A6B4A"/>
    <w:rsid w:val="005A7156"/>
    <w:rsid w:val="005A7776"/>
    <w:rsid w:val="005D008B"/>
    <w:rsid w:val="005D16BE"/>
    <w:rsid w:val="005D3F4B"/>
    <w:rsid w:val="005D6CC5"/>
    <w:rsid w:val="005E0F91"/>
    <w:rsid w:val="005E35F3"/>
    <w:rsid w:val="005E3939"/>
    <w:rsid w:val="005F1227"/>
    <w:rsid w:val="005F33D5"/>
    <w:rsid w:val="005F3966"/>
    <w:rsid w:val="005F533E"/>
    <w:rsid w:val="00604D44"/>
    <w:rsid w:val="0060786C"/>
    <w:rsid w:val="00611E1D"/>
    <w:rsid w:val="0061231E"/>
    <w:rsid w:val="00614E79"/>
    <w:rsid w:val="00614EC8"/>
    <w:rsid w:val="006153BC"/>
    <w:rsid w:val="00620AD8"/>
    <w:rsid w:val="0062211F"/>
    <w:rsid w:val="00622D13"/>
    <w:rsid w:val="006267D7"/>
    <w:rsid w:val="006269FF"/>
    <w:rsid w:val="00630522"/>
    <w:rsid w:val="00632714"/>
    <w:rsid w:val="0063540A"/>
    <w:rsid w:val="00636F15"/>
    <w:rsid w:val="00642F53"/>
    <w:rsid w:val="0064630B"/>
    <w:rsid w:val="006534DE"/>
    <w:rsid w:val="00654BC0"/>
    <w:rsid w:val="00656E2F"/>
    <w:rsid w:val="00670866"/>
    <w:rsid w:val="00670D9D"/>
    <w:rsid w:val="00675733"/>
    <w:rsid w:val="00677BF8"/>
    <w:rsid w:val="00681953"/>
    <w:rsid w:val="00681D39"/>
    <w:rsid w:val="00681FC6"/>
    <w:rsid w:val="00682007"/>
    <w:rsid w:val="00683EB4"/>
    <w:rsid w:val="00691182"/>
    <w:rsid w:val="00694540"/>
    <w:rsid w:val="00696A03"/>
    <w:rsid w:val="006A069A"/>
    <w:rsid w:val="006A22E5"/>
    <w:rsid w:val="006A33F8"/>
    <w:rsid w:val="006A6864"/>
    <w:rsid w:val="006A6A84"/>
    <w:rsid w:val="006B0754"/>
    <w:rsid w:val="006B07A2"/>
    <w:rsid w:val="006B0F3C"/>
    <w:rsid w:val="006B204D"/>
    <w:rsid w:val="006B4A7A"/>
    <w:rsid w:val="006B5E30"/>
    <w:rsid w:val="006B7BFE"/>
    <w:rsid w:val="006C2142"/>
    <w:rsid w:val="006C2296"/>
    <w:rsid w:val="006C314A"/>
    <w:rsid w:val="006D31BA"/>
    <w:rsid w:val="006D7297"/>
    <w:rsid w:val="006E0843"/>
    <w:rsid w:val="006E08F6"/>
    <w:rsid w:val="006E2287"/>
    <w:rsid w:val="006F2640"/>
    <w:rsid w:val="007006C7"/>
    <w:rsid w:val="00707A06"/>
    <w:rsid w:val="007104C5"/>
    <w:rsid w:val="00710578"/>
    <w:rsid w:val="0072064D"/>
    <w:rsid w:val="007259C0"/>
    <w:rsid w:val="00726DC3"/>
    <w:rsid w:val="007336DD"/>
    <w:rsid w:val="00743FDA"/>
    <w:rsid w:val="00744139"/>
    <w:rsid w:val="007444F9"/>
    <w:rsid w:val="007478C2"/>
    <w:rsid w:val="00747B90"/>
    <w:rsid w:val="00752C78"/>
    <w:rsid w:val="00752DB3"/>
    <w:rsid w:val="00755ECE"/>
    <w:rsid w:val="00760645"/>
    <w:rsid w:val="007617BD"/>
    <w:rsid w:val="00762F7B"/>
    <w:rsid w:val="00767EB4"/>
    <w:rsid w:val="007717B2"/>
    <w:rsid w:val="0077265D"/>
    <w:rsid w:val="0077790F"/>
    <w:rsid w:val="007820D0"/>
    <w:rsid w:val="00783D21"/>
    <w:rsid w:val="00783EFE"/>
    <w:rsid w:val="00783F58"/>
    <w:rsid w:val="007A5BB7"/>
    <w:rsid w:val="007B042E"/>
    <w:rsid w:val="007C0E48"/>
    <w:rsid w:val="007C172B"/>
    <w:rsid w:val="007C5FAB"/>
    <w:rsid w:val="007D2631"/>
    <w:rsid w:val="007E37A6"/>
    <w:rsid w:val="007E4E22"/>
    <w:rsid w:val="007E4FE8"/>
    <w:rsid w:val="007E51EF"/>
    <w:rsid w:val="007E60A1"/>
    <w:rsid w:val="007E694D"/>
    <w:rsid w:val="007F3EE5"/>
    <w:rsid w:val="007F4D87"/>
    <w:rsid w:val="007F7FFD"/>
    <w:rsid w:val="00800650"/>
    <w:rsid w:val="00800D1B"/>
    <w:rsid w:val="00802A54"/>
    <w:rsid w:val="00803067"/>
    <w:rsid w:val="00804AEF"/>
    <w:rsid w:val="00804D49"/>
    <w:rsid w:val="0080628B"/>
    <w:rsid w:val="00806378"/>
    <w:rsid w:val="00806888"/>
    <w:rsid w:val="00806D00"/>
    <w:rsid w:val="00810D47"/>
    <w:rsid w:val="00814D47"/>
    <w:rsid w:val="0081654C"/>
    <w:rsid w:val="00816584"/>
    <w:rsid w:val="00817570"/>
    <w:rsid w:val="00823462"/>
    <w:rsid w:val="00831DB9"/>
    <w:rsid w:val="00831FE2"/>
    <w:rsid w:val="00843412"/>
    <w:rsid w:val="00843D42"/>
    <w:rsid w:val="00845B17"/>
    <w:rsid w:val="00847FA2"/>
    <w:rsid w:val="0085259F"/>
    <w:rsid w:val="008541B1"/>
    <w:rsid w:val="008570D5"/>
    <w:rsid w:val="00864A76"/>
    <w:rsid w:val="008707F3"/>
    <w:rsid w:val="00870FBD"/>
    <w:rsid w:val="0087419E"/>
    <w:rsid w:val="0087604D"/>
    <w:rsid w:val="00881FA9"/>
    <w:rsid w:val="00886689"/>
    <w:rsid w:val="00887304"/>
    <w:rsid w:val="008913A7"/>
    <w:rsid w:val="00894472"/>
    <w:rsid w:val="008A19DC"/>
    <w:rsid w:val="008B3156"/>
    <w:rsid w:val="008B7666"/>
    <w:rsid w:val="008D105C"/>
    <w:rsid w:val="008D18A9"/>
    <w:rsid w:val="008D3A26"/>
    <w:rsid w:val="008D6886"/>
    <w:rsid w:val="008D6B75"/>
    <w:rsid w:val="008D716B"/>
    <w:rsid w:val="008D7666"/>
    <w:rsid w:val="008D790F"/>
    <w:rsid w:val="008E0C4C"/>
    <w:rsid w:val="008F0C0A"/>
    <w:rsid w:val="008F36C7"/>
    <w:rsid w:val="008F5304"/>
    <w:rsid w:val="008F6362"/>
    <w:rsid w:val="00906ECD"/>
    <w:rsid w:val="0091135C"/>
    <w:rsid w:val="00913F5E"/>
    <w:rsid w:val="00921CBF"/>
    <w:rsid w:val="00923B0C"/>
    <w:rsid w:val="009247FD"/>
    <w:rsid w:val="009309AB"/>
    <w:rsid w:val="00933765"/>
    <w:rsid w:val="00936582"/>
    <w:rsid w:val="00936948"/>
    <w:rsid w:val="0094491B"/>
    <w:rsid w:val="00944BC2"/>
    <w:rsid w:val="009526A3"/>
    <w:rsid w:val="009536ED"/>
    <w:rsid w:val="00953FAD"/>
    <w:rsid w:val="00954A5E"/>
    <w:rsid w:val="0095688C"/>
    <w:rsid w:val="00963C76"/>
    <w:rsid w:val="00963FE5"/>
    <w:rsid w:val="00975EFF"/>
    <w:rsid w:val="009812BB"/>
    <w:rsid w:val="00982318"/>
    <w:rsid w:val="00983442"/>
    <w:rsid w:val="00991DC4"/>
    <w:rsid w:val="00993D41"/>
    <w:rsid w:val="0099479E"/>
    <w:rsid w:val="009A4219"/>
    <w:rsid w:val="009A4B0D"/>
    <w:rsid w:val="009A572C"/>
    <w:rsid w:val="009A66D0"/>
    <w:rsid w:val="009B1EDE"/>
    <w:rsid w:val="009B3A01"/>
    <w:rsid w:val="009B4B2D"/>
    <w:rsid w:val="009B6244"/>
    <w:rsid w:val="009B6A20"/>
    <w:rsid w:val="009C235A"/>
    <w:rsid w:val="009C34DA"/>
    <w:rsid w:val="009C73C2"/>
    <w:rsid w:val="009D0F88"/>
    <w:rsid w:val="009D62FF"/>
    <w:rsid w:val="009D6DE1"/>
    <w:rsid w:val="009D7187"/>
    <w:rsid w:val="009E36F3"/>
    <w:rsid w:val="009E74C0"/>
    <w:rsid w:val="00A02130"/>
    <w:rsid w:val="00A03B51"/>
    <w:rsid w:val="00A0465D"/>
    <w:rsid w:val="00A04888"/>
    <w:rsid w:val="00A05C42"/>
    <w:rsid w:val="00A236A7"/>
    <w:rsid w:val="00A23E74"/>
    <w:rsid w:val="00A2540E"/>
    <w:rsid w:val="00A268C7"/>
    <w:rsid w:val="00A26F8A"/>
    <w:rsid w:val="00A32596"/>
    <w:rsid w:val="00A33696"/>
    <w:rsid w:val="00A36EBD"/>
    <w:rsid w:val="00A37AD7"/>
    <w:rsid w:val="00A40AC3"/>
    <w:rsid w:val="00A435F6"/>
    <w:rsid w:val="00A44E49"/>
    <w:rsid w:val="00A45ABC"/>
    <w:rsid w:val="00A47681"/>
    <w:rsid w:val="00A5059C"/>
    <w:rsid w:val="00A519CC"/>
    <w:rsid w:val="00A5273A"/>
    <w:rsid w:val="00A53647"/>
    <w:rsid w:val="00A54814"/>
    <w:rsid w:val="00A558C5"/>
    <w:rsid w:val="00A55C90"/>
    <w:rsid w:val="00A629FC"/>
    <w:rsid w:val="00A67D8D"/>
    <w:rsid w:val="00A70303"/>
    <w:rsid w:val="00A71078"/>
    <w:rsid w:val="00A71362"/>
    <w:rsid w:val="00A75B48"/>
    <w:rsid w:val="00A85757"/>
    <w:rsid w:val="00A858D5"/>
    <w:rsid w:val="00A91D3A"/>
    <w:rsid w:val="00A941AE"/>
    <w:rsid w:val="00A94B71"/>
    <w:rsid w:val="00AA4991"/>
    <w:rsid w:val="00AB1006"/>
    <w:rsid w:val="00AB4E64"/>
    <w:rsid w:val="00AB6960"/>
    <w:rsid w:val="00AC3134"/>
    <w:rsid w:val="00AC3332"/>
    <w:rsid w:val="00AD1B8A"/>
    <w:rsid w:val="00AD42D1"/>
    <w:rsid w:val="00AE250D"/>
    <w:rsid w:val="00AE52D5"/>
    <w:rsid w:val="00AE5F85"/>
    <w:rsid w:val="00AE7561"/>
    <w:rsid w:val="00AF1433"/>
    <w:rsid w:val="00AF367C"/>
    <w:rsid w:val="00AF4FCA"/>
    <w:rsid w:val="00AF6E1C"/>
    <w:rsid w:val="00B008B4"/>
    <w:rsid w:val="00B04101"/>
    <w:rsid w:val="00B045C1"/>
    <w:rsid w:val="00B06A1E"/>
    <w:rsid w:val="00B0789F"/>
    <w:rsid w:val="00B07AD5"/>
    <w:rsid w:val="00B11A4D"/>
    <w:rsid w:val="00B11F93"/>
    <w:rsid w:val="00B168C1"/>
    <w:rsid w:val="00B17360"/>
    <w:rsid w:val="00B22575"/>
    <w:rsid w:val="00B2593F"/>
    <w:rsid w:val="00B32E43"/>
    <w:rsid w:val="00B35F23"/>
    <w:rsid w:val="00B362C7"/>
    <w:rsid w:val="00B368B1"/>
    <w:rsid w:val="00B369D1"/>
    <w:rsid w:val="00B36DD4"/>
    <w:rsid w:val="00B41A17"/>
    <w:rsid w:val="00B4257C"/>
    <w:rsid w:val="00B432DE"/>
    <w:rsid w:val="00B4437C"/>
    <w:rsid w:val="00B45095"/>
    <w:rsid w:val="00B45D09"/>
    <w:rsid w:val="00B52C94"/>
    <w:rsid w:val="00B54FE5"/>
    <w:rsid w:val="00B6210E"/>
    <w:rsid w:val="00B63271"/>
    <w:rsid w:val="00B67F3E"/>
    <w:rsid w:val="00B75863"/>
    <w:rsid w:val="00B766F4"/>
    <w:rsid w:val="00B8200C"/>
    <w:rsid w:val="00B83B2C"/>
    <w:rsid w:val="00B84249"/>
    <w:rsid w:val="00B86E2F"/>
    <w:rsid w:val="00B90A4B"/>
    <w:rsid w:val="00B91940"/>
    <w:rsid w:val="00B91C0E"/>
    <w:rsid w:val="00B93E67"/>
    <w:rsid w:val="00B9551F"/>
    <w:rsid w:val="00BA1834"/>
    <w:rsid w:val="00BA1F4B"/>
    <w:rsid w:val="00BA3C47"/>
    <w:rsid w:val="00BA5CB3"/>
    <w:rsid w:val="00BB3569"/>
    <w:rsid w:val="00BB53D4"/>
    <w:rsid w:val="00BC2C84"/>
    <w:rsid w:val="00BC5D5C"/>
    <w:rsid w:val="00BD28B1"/>
    <w:rsid w:val="00BD734A"/>
    <w:rsid w:val="00BE51B9"/>
    <w:rsid w:val="00BF3562"/>
    <w:rsid w:val="00BF3735"/>
    <w:rsid w:val="00BF4215"/>
    <w:rsid w:val="00C00100"/>
    <w:rsid w:val="00C01019"/>
    <w:rsid w:val="00C0509D"/>
    <w:rsid w:val="00C0520A"/>
    <w:rsid w:val="00C062A4"/>
    <w:rsid w:val="00C10D78"/>
    <w:rsid w:val="00C11378"/>
    <w:rsid w:val="00C13229"/>
    <w:rsid w:val="00C14BB6"/>
    <w:rsid w:val="00C15D65"/>
    <w:rsid w:val="00C16B9D"/>
    <w:rsid w:val="00C20446"/>
    <w:rsid w:val="00C25755"/>
    <w:rsid w:val="00C263B2"/>
    <w:rsid w:val="00C27B20"/>
    <w:rsid w:val="00C34D08"/>
    <w:rsid w:val="00C35AFF"/>
    <w:rsid w:val="00C42279"/>
    <w:rsid w:val="00C441FE"/>
    <w:rsid w:val="00C444CE"/>
    <w:rsid w:val="00C46CDA"/>
    <w:rsid w:val="00C4776D"/>
    <w:rsid w:val="00C501A7"/>
    <w:rsid w:val="00C51434"/>
    <w:rsid w:val="00C52068"/>
    <w:rsid w:val="00C53398"/>
    <w:rsid w:val="00C6226B"/>
    <w:rsid w:val="00C6299D"/>
    <w:rsid w:val="00C64683"/>
    <w:rsid w:val="00C64B11"/>
    <w:rsid w:val="00C65145"/>
    <w:rsid w:val="00C657FB"/>
    <w:rsid w:val="00C65A25"/>
    <w:rsid w:val="00C65DDC"/>
    <w:rsid w:val="00C66DAE"/>
    <w:rsid w:val="00C679C9"/>
    <w:rsid w:val="00C700FD"/>
    <w:rsid w:val="00C75702"/>
    <w:rsid w:val="00C77C7A"/>
    <w:rsid w:val="00C8100B"/>
    <w:rsid w:val="00C8709B"/>
    <w:rsid w:val="00C96023"/>
    <w:rsid w:val="00CA2397"/>
    <w:rsid w:val="00CA5F98"/>
    <w:rsid w:val="00CB099A"/>
    <w:rsid w:val="00CB0D9F"/>
    <w:rsid w:val="00CB13C6"/>
    <w:rsid w:val="00CB24A3"/>
    <w:rsid w:val="00CC1BEE"/>
    <w:rsid w:val="00CC30D7"/>
    <w:rsid w:val="00CC5199"/>
    <w:rsid w:val="00CC7AE9"/>
    <w:rsid w:val="00CD0227"/>
    <w:rsid w:val="00CD3FFE"/>
    <w:rsid w:val="00CD7CDB"/>
    <w:rsid w:val="00CE0C47"/>
    <w:rsid w:val="00CE18FB"/>
    <w:rsid w:val="00CE1E91"/>
    <w:rsid w:val="00CF08F0"/>
    <w:rsid w:val="00CF0AE2"/>
    <w:rsid w:val="00CF4BD6"/>
    <w:rsid w:val="00D02F70"/>
    <w:rsid w:val="00D06DAD"/>
    <w:rsid w:val="00D1068F"/>
    <w:rsid w:val="00D154F2"/>
    <w:rsid w:val="00D17961"/>
    <w:rsid w:val="00D235DF"/>
    <w:rsid w:val="00D2525C"/>
    <w:rsid w:val="00D273CD"/>
    <w:rsid w:val="00D34B08"/>
    <w:rsid w:val="00D35C20"/>
    <w:rsid w:val="00D4711F"/>
    <w:rsid w:val="00D53E8A"/>
    <w:rsid w:val="00D5518A"/>
    <w:rsid w:val="00D5730B"/>
    <w:rsid w:val="00D646FF"/>
    <w:rsid w:val="00D66ACD"/>
    <w:rsid w:val="00D709F8"/>
    <w:rsid w:val="00D721A2"/>
    <w:rsid w:val="00D72611"/>
    <w:rsid w:val="00D81AE0"/>
    <w:rsid w:val="00D82FCE"/>
    <w:rsid w:val="00D86D7A"/>
    <w:rsid w:val="00D9019B"/>
    <w:rsid w:val="00D91610"/>
    <w:rsid w:val="00D9527A"/>
    <w:rsid w:val="00D95EB1"/>
    <w:rsid w:val="00D97C41"/>
    <w:rsid w:val="00DB0514"/>
    <w:rsid w:val="00DB1297"/>
    <w:rsid w:val="00DB20B2"/>
    <w:rsid w:val="00DB63E0"/>
    <w:rsid w:val="00DB6B28"/>
    <w:rsid w:val="00DB7284"/>
    <w:rsid w:val="00DC016F"/>
    <w:rsid w:val="00DC06C0"/>
    <w:rsid w:val="00DC1DAD"/>
    <w:rsid w:val="00DC4205"/>
    <w:rsid w:val="00DC48D0"/>
    <w:rsid w:val="00DC5878"/>
    <w:rsid w:val="00DC73A5"/>
    <w:rsid w:val="00DC7D35"/>
    <w:rsid w:val="00DE11AB"/>
    <w:rsid w:val="00DE2470"/>
    <w:rsid w:val="00DE274C"/>
    <w:rsid w:val="00DE618B"/>
    <w:rsid w:val="00DF62D0"/>
    <w:rsid w:val="00DF7C24"/>
    <w:rsid w:val="00E0727B"/>
    <w:rsid w:val="00E10870"/>
    <w:rsid w:val="00E12A1C"/>
    <w:rsid w:val="00E12C9C"/>
    <w:rsid w:val="00E12F7B"/>
    <w:rsid w:val="00E20030"/>
    <w:rsid w:val="00E245E4"/>
    <w:rsid w:val="00E25FF5"/>
    <w:rsid w:val="00E27F4A"/>
    <w:rsid w:val="00E30F79"/>
    <w:rsid w:val="00E3251A"/>
    <w:rsid w:val="00E33E4E"/>
    <w:rsid w:val="00E36400"/>
    <w:rsid w:val="00E41BC8"/>
    <w:rsid w:val="00E44075"/>
    <w:rsid w:val="00E4518F"/>
    <w:rsid w:val="00E50AA1"/>
    <w:rsid w:val="00E5268B"/>
    <w:rsid w:val="00E548E8"/>
    <w:rsid w:val="00E57B1B"/>
    <w:rsid w:val="00E605EE"/>
    <w:rsid w:val="00E611B6"/>
    <w:rsid w:val="00E616DC"/>
    <w:rsid w:val="00E622A6"/>
    <w:rsid w:val="00E6298A"/>
    <w:rsid w:val="00E65FCD"/>
    <w:rsid w:val="00E67963"/>
    <w:rsid w:val="00E746D8"/>
    <w:rsid w:val="00E77C5B"/>
    <w:rsid w:val="00E77EAF"/>
    <w:rsid w:val="00E854B4"/>
    <w:rsid w:val="00E86F3D"/>
    <w:rsid w:val="00E879FB"/>
    <w:rsid w:val="00E9095B"/>
    <w:rsid w:val="00E91521"/>
    <w:rsid w:val="00E9260F"/>
    <w:rsid w:val="00E9448D"/>
    <w:rsid w:val="00E95833"/>
    <w:rsid w:val="00EA1AA0"/>
    <w:rsid w:val="00EA5124"/>
    <w:rsid w:val="00EA5B1B"/>
    <w:rsid w:val="00EA6987"/>
    <w:rsid w:val="00EA6FCD"/>
    <w:rsid w:val="00EB1AB2"/>
    <w:rsid w:val="00EB3E0E"/>
    <w:rsid w:val="00EB3F2D"/>
    <w:rsid w:val="00EB4A7B"/>
    <w:rsid w:val="00EB612B"/>
    <w:rsid w:val="00EB74F2"/>
    <w:rsid w:val="00EC262F"/>
    <w:rsid w:val="00EC54C2"/>
    <w:rsid w:val="00EC6A26"/>
    <w:rsid w:val="00ED716E"/>
    <w:rsid w:val="00EE3EA3"/>
    <w:rsid w:val="00EE4A84"/>
    <w:rsid w:val="00EF02B3"/>
    <w:rsid w:val="00EF116F"/>
    <w:rsid w:val="00EF3476"/>
    <w:rsid w:val="00EF3784"/>
    <w:rsid w:val="00EF51DB"/>
    <w:rsid w:val="00F00F21"/>
    <w:rsid w:val="00F01177"/>
    <w:rsid w:val="00F0610B"/>
    <w:rsid w:val="00F13AF9"/>
    <w:rsid w:val="00F1536E"/>
    <w:rsid w:val="00F16075"/>
    <w:rsid w:val="00F1653A"/>
    <w:rsid w:val="00F21AA5"/>
    <w:rsid w:val="00F22FFA"/>
    <w:rsid w:val="00F27DDE"/>
    <w:rsid w:val="00F30A85"/>
    <w:rsid w:val="00F31F3B"/>
    <w:rsid w:val="00F337BE"/>
    <w:rsid w:val="00F36188"/>
    <w:rsid w:val="00F3700D"/>
    <w:rsid w:val="00F37B61"/>
    <w:rsid w:val="00F37DD4"/>
    <w:rsid w:val="00F412D2"/>
    <w:rsid w:val="00F4512D"/>
    <w:rsid w:val="00F50A74"/>
    <w:rsid w:val="00F52AAB"/>
    <w:rsid w:val="00F52EA1"/>
    <w:rsid w:val="00F570DB"/>
    <w:rsid w:val="00F5744A"/>
    <w:rsid w:val="00F6394B"/>
    <w:rsid w:val="00F63B43"/>
    <w:rsid w:val="00F67830"/>
    <w:rsid w:val="00F76996"/>
    <w:rsid w:val="00F81431"/>
    <w:rsid w:val="00F86AE3"/>
    <w:rsid w:val="00F931EC"/>
    <w:rsid w:val="00FA2BD3"/>
    <w:rsid w:val="00FA4040"/>
    <w:rsid w:val="00FA5394"/>
    <w:rsid w:val="00FA5AC3"/>
    <w:rsid w:val="00FA6A2E"/>
    <w:rsid w:val="00FB422C"/>
    <w:rsid w:val="00FB4715"/>
    <w:rsid w:val="00FC2E73"/>
    <w:rsid w:val="00FC32FD"/>
    <w:rsid w:val="00FE16B3"/>
    <w:rsid w:val="00FE5571"/>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C9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Document Map"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paragraph" w:styleId="Heading4">
    <w:name w:val="heading 4"/>
    <w:basedOn w:val="Normal"/>
    <w:next w:val="Normal"/>
    <w:link w:val="Heading4Char"/>
    <w:unhideWhenUsed/>
    <w:qFormat/>
    <w:rsid w:val="0049260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49260B"/>
    <w:pPr>
      <w:keepLines w:val="0"/>
      <w:spacing w:before="360" w:line="260" w:lineRule="exact"/>
      <w:ind w:right="1701"/>
      <w:outlineLvl w:val="4"/>
    </w:pPr>
    <w:rPr>
      <w:rFonts w:ascii="Book Antiqua" w:eastAsia="Times New Roman" w:hAnsi="Book Antiqua" w:cs="Times New Roman"/>
      <w:bCs w:val="0"/>
      <w:i w:val="0"/>
      <w:iCs w:val="0"/>
      <w:color w:val="6F665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DocumentMap">
    <w:name w:val="Document Map"/>
    <w:basedOn w:val="Normal"/>
    <w:link w:val="DocumentMapChar"/>
    <w:uiPriority w:val="99"/>
    <w:rsid w:val="00806D00"/>
    <w:pPr>
      <w:shd w:val="clear" w:color="auto" w:fill="000080"/>
      <w:spacing w:before="0"/>
    </w:pPr>
    <w:rPr>
      <w:rFonts w:ascii="Tahoma" w:hAnsi="Tahoma" w:cs="Tahoma"/>
      <w:szCs w:val="20"/>
    </w:rPr>
  </w:style>
  <w:style w:type="character" w:customStyle="1" w:styleId="DocumentMapChar">
    <w:name w:val="Document Map Char"/>
    <w:basedOn w:val="DefaultParagraphFont"/>
    <w:link w:val="DocumentMap"/>
    <w:uiPriority w:val="99"/>
    <w:rsid w:val="00806D00"/>
    <w:rPr>
      <w:rFonts w:ascii="Tahoma" w:hAnsi="Tahoma" w:cs="Tahoma"/>
      <w:shd w:val="clear" w:color="auto" w:fill="000080"/>
      <w:lang w:eastAsia="en-US"/>
    </w:rPr>
  </w:style>
  <w:style w:type="paragraph" w:customStyle="1" w:styleId="BodytextQAI">
    <w:name w:val="Body text QAI"/>
    <w:basedOn w:val="Normal"/>
    <w:uiPriority w:val="99"/>
    <w:rsid w:val="00806D00"/>
    <w:pPr>
      <w:spacing w:before="60" w:after="120"/>
      <w:jc w:val="both"/>
    </w:pPr>
    <w:rPr>
      <w:sz w:val="16"/>
      <w:szCs w:val="16"/>
    </w:rPr>
  </w:style>
  <w:style w:type="paragraph" w:styleId="ListParagraph">
    <w:name w:val="List Paragraph"/>
    <w:basedOn w:val="Normal"/>
    <w:uiPriority w:val="34"/>
    <w:qFormat/>
    <w:rsid w:val="000E4B35"/>
    <w:pPr>
      <w:ind w:left="720"/>
      <w:contextualSpacing/>
    </w:pPr>
  </w:style>
  <w:style w:type="paragraph" w:styleId="Revision">
    <w:name w:val="Revision"/>
    <w:hidden/>
    <w:uiPriority w:val="99"/>
    <w:semiHidden/>
    <w:rsid w:val="00D5730B"/>
    <w:rPr>
      <w:rFonts w:ascii="Arial" w:hAnsi="Arial"/>
      <w:szCs w:val="24"/>
      <w:lang w:eastAsia="en-US"/>
    </w:rPr>
  </w:style>
  <w:style w:type="paragraph" w:styleId="FootnoteText">
    <w:name w:val="footnote text"/>
    <w:basedOn w:val="Normal"/>
    <w:link w:val="FootnoteTextChar"/>
    <w:rsid w:val="004447CC"/>
    <w:pPr>
      <w:spacing w:before="0"/>
    </w:pPr>
    <w:rPr>
      <w:szCs w:val="20"/>
    </w:rPr>
  </w:style>
  <w:style w:type="character" w:customStyle="1" w:styleId="FootnoteTextChar">
    <w:name w:val="Footnote Text Char"/>
    <w:basedOn w:val="DefaultParagraphFont"/>
    <w:link w:val="FootnoteText"/>
    <w:rsid w:val="004447CC"/>
    <w:rPr>
      <w:rFonts w:ascii="Arial" w:hAnsi="Arial"/>
      <w:lang w:eastAsia="en-US"/>
    </w:rPr>
  </w:style>
  <w:style w:type="character" w:styleId="FootnoteReference">
    <w:name w:val="footnote reference"/>
    <w:basedOn w:val="DefaultParagraphFont"/>
    <w:rsid w:val="004447CC"/>
    <w:rPr>
      <w:vertAlign w:val="superscript"/>
    </w:rPr>
  </w:style>
  <w:style w:type="character" w:customStyle="1" w:styleId="Heading4Char">
    <w:name w:val="Heading 4 Char"/>
    <w:basedOn w:val="DefaultParagraphFont"/>
    <w:link w:val="Heading4"/>
    <w:rsid w:val="0049260B"/>
    <w:rPr>
      <w:rFonts w:asciiTheme="majorHAnsi" w:eastAsiaTheme="majorEastAsia" w:hAnsiTheme="majorHAnsi" w:cstheme="majorBidi"/>
      <w:b/>
      <w:bCs/>
      <w:i/>
      <w:iCs/>
      <w:color w:val="4F81BD" w:themeColor="accent1"/>
      <w:szCs w:val="24"/>
      <w:lang w:eastAsia="en-US"/>
    </w:rPr>
  </w:style>
  <w:style w:type="paragraph" w:styleId="ListNumber">
    <w:name w:val="List Number"/>
    <w:basedOn w:val="ListBullet"/>
    <w:rsid w:val="0049260B"/>
    <w:pPr>
      <w:numPr>
        <w:numId w:val="24"/>
      </w:numPr>
      <w:spacing w:before="80" w:line="300" w:lineRule="exact"/>
      <w:contextualSpacing w:val="0"/>
    </w:pPr>
    <w:rPr>
      <w:rFonts w:ascii="Book Antiqua" w:hAnsi="Book Antiqua"/>
      <w:sz w:val="21"/>
      <w:szCs w:val="21"/>
    </w:rPr>
  </w:style>
  <w:style w:type="paragraph" w:styleId="ListBullet">
    <w:name w:val="List Bullet"/>
    <w:basedOn w:val="Normal"/>
    <w:rsid w:val="0049260B"/>
    <w:pPr>
      <w:numPr>
        <w:numId w:val="25"/>
      </w:numPr>
      <w:contextualSpacing/>
    </w:pPr>
  </w:style>
  <w:style w:type="character" w:customStyle="1" w:styleId="Heading5Char">
    <w:name w:val="Heading 5 Char"/>
    <w:basedOn w:val="DefaultParagraphFont"/>
    <w:link w:val="Heading5"/>
    <w:rsid w:val="0049260B"/>
    <w:rPr>
      <w:rFonts w:ascii="Book Antiqua" w:hAnsi="Book Antiqua"/>
      <w:b/>
      <w:color w:val="6F6652"/>
      <w:sz w:val="21"/>
      <w:szCs w:val="21"/>
      <w:lang w:eastAsia="en-US"/>
    </w:rPr>
  </w:style>
  <w:style w:type="paragraph" w:styleId="BodyText">
    <w:name w:val="Body Text"/>
    <w:basedOn w:val="Normal"/>
    <w:link w:val="BodyTextChar"/>
    <w:rsid w:val="0049260B"/>
    <w:pPr>
      <w:spacing w:after="120"/>
    </w:pPr>
  </w:style>
  <w:style w:type="character" w:customStyle="1" w:styleId="BodyTextChar">
    <w:name w:val="Body Text Char"/>
    <w:basedOn w:val="DefaultParagraphFont"/>
    <w:link w:val="BodyText"/>
    <w:rsid w:val="0049260B"/>
    <w:rPr>
      <w:rFonts w:ascii="Arial" w:hAnsi="Arial"/>
      <w:szCs w:val="24"/>
      <w:lang w:eastAsia="en-US"/>
    </w:rPr>
  </w:style>
  <w:style w:type="paragraph" w:styleId="ListBullet2">
    <w:name w:val="List Bullet 2"/>
    <w:basedOn w:val="Normal"/>
    <w:rsid w:val="0049260B"/>
    <w:pPr>
      <w:numPr>
        <w:numId w:val="27"/>
      </w:numPr>
      <w:contextualSpacing/>
    </w:pPr>
  </w:style>
  <w:style w:type="paragraph" w:customStyle="1" w:styleId="TableDataEntries">
    <w:name w:val="Table Data Entries"/>
    <w:basedOn w:val="BodyText"/>
    <w:rsid w:val="007006C7"/>
    <w:pPr>
      <w:spacing w:before="0" w:after="40" w:line="200" w:lineRule="exact"/>
      <w:jc w:val="right"/>
    </w:pPr>
    <w:rPr>
      <w:sz w:val="16"/>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Document Map"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paragraph" w:styleId="Heading4">
    <w:name w:val="heading 4"/>
    <w:basedOn w:val="Normal"/>
    <w:next w:val="Normal"/>
    <w:link w:val="Heading4Char"/>
    <w:unhideWhenUsed/>
    <w:qFormat/>
    <w:rsid w:val="0049260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49260B"/>
    <w:pPr>
      <w:keepLines w:val="0"/>
      <w:spacing w:before="360" w:line="260" w:lineRule="exact"/>
      <w:ind w:right="1701"/>
      <w:outlineLvl w:val="4"/>
    </w:pPr>
    <w:rPr>
      <w:rFonts w:ascii="Book Antiqua" w:eastAsia="Times New Roman" w:hAnsi="Book Antiqua" w:cs="Times New Roman"/>
      <w:bCs w:val="0"/>
      <w:i w:val="0"/>
      <w:iCs w:val="0"/>
      <w:color w:val="6F665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DocumentMap">
    <w:name w:val="Document Map"/>
    <w:basedOn w:val="Normal"/>
    <w:link w:val="DocumentMapChar"/>
    <w:uiPriority w:val="99"/>
    <w:rsid w:val="00806D00"/>
    <w:pPr>
      <w:shd w:val="clear" w:color="auto" w:fill="000080"/>
      <w:spacing w:before="0"/>
    </w:pPr>
    <w:rPr>
      <w:rFonts w:ascii="Tahoma" w:hAnsi="Tahoma" w:cs="Tahoma"/>
      <w:szCs w:val="20"/>
    </w:rPr>
  </w:style>
  <w:style w:type="character" w:customStyle="1" w:styleId="DocumentMapChar">
    <w:name w:val="Document Map Char"/>
    <w:basedOn w:val="DefaultParagraphFont"/>
    <w:link w:val="DocumentMap"/>
    <w:uiPriority w:val="99"/>
    <w:rsid w:val="00806D00"/>
    <w:rPr>
      <w:rFonts w:ascii="Tahoma" w:hAnsi="Tahoma" w:cs="Tahoma"/>
      <w:shd w:val="clear" w:color="auto" w:fill="000080"/>
      <w:lang w:eastAsia="en-US"/>
    </w:rPr>
  </w:style>
  <w:style w:type="paragraph" w:customStyle="1" w:styleId="BodytextQAI">
    <w:name w:val="Body text QAI"/>
    <w:basedOn w:val="Normal"/>
    <w:uiPriority w:val="99"/>
    <w:rsid w:val="00806D00"/>
    <w:pPr>
      <w:spacing w:before="60" w:after="120"/>
      <w:jc w:val="both"/>
    </w:pPr>
    <w:rPr>
      <w:sz w:val="16"/>
      <w:szCs w:val="16"/>
    </w:rPr>
  </w:style>
  <w:style w:type="paragraph" w:styleId="ListParagraph">
    <w:name w:val="List Paragraph"/>
    <w:basedOn w:val="Normal"/>
    <w:uiPriority w:val="34"/>
    <w:qFormat/>
    <w:rsid w:val="000E4B35"/>
    <w:pPr>
      <w:ind w:left="720"/>
      <w:contextualSpacing/>
    </w:pPr>
  </w:style>
  <w:style w:type="paragraph" w:styleId="Revision">
    <w:name w:val="Revision"/>
    <w:hidden/>
    <w:uiPriority w:val="99"/>
    <w:semiHidden/>
    <w:rsid w:val="00D5730B"/>
    <w:rPr>
      <w:rFonts w:ascii="Arial" w:hAnsi="Arial"/>
      <w:szCs w:val="24"/>
      <w:lang w:eastAsia="en-US"/>
    </w:rPr>
  </w:style>
  <w:style w:type="paragraph" w:styleId="FootnoteText">
    <w:name w:val="footnote text"/>
    <w:basedOn w:val="Normal"/>
    <w:link w:val="FootnoteTextChar"/>
    <w:rsid w:val="004447CC"/>
    <w:pPr>
      <w:spacing w:before="0"/>
    </w:pPr>
    <w:rPr>
      <w:szCs w:val="20"/>
    </w:rPr>
  </w:style>
  <w:style w:type="character" w:customStyle="1" w:styleId="FootnoteTextChar">
    <w:name w:val="Footnote Text Char"/>
    <w:basedOn w:val="DefaultParagraphFont"/>
    <w:link w:val="FootnoteText"/>
    <w:rsid w:val="004447CC"/>
    <w:rPr>
      <w:rFonts w:ascii="Arial" w:hAnsi="Arial"/>
      <w:lang w:eastAsia="en-US"/>
    </w:rPr>
  </w:style>
  <w:style w:type="character" w:styleId="FootnoteReference">
    <w:name w:val="footnote reference"/>
    <w:basedOn w:val="DefaultParagraphFont"/>
    <w:rsid w:val="004447CC"/>
    <w:rPr>
      <w:vertAlign w:val="superscript"/>
    </w:rPr>
  </w:style>
  <w:style w:type="character" w:customStyle="1" w:styleId="Heading4Char">
    <w:name w:val="Heading 4 Char"/>
    <w:basedOn w:val="DefaultParagraphFont"/>
    <w:link w:val="Heading4"/>
    <w:rsid w:val="0049260B"/>
    <w:rPr>
      <w:rFonts w:asciiTheme="majorHAnsi" w:eastAsiaTheme="majorEastAsia" w:hAnsiTheme="majorHAnsi" w:cstheme="majorBidi"/>
      <w:b/>
      <w:bCs/>
      <w:i/>
      <w:iCs/>
      <w:color w:val="4F81BD" w:themeColor="accent1"/>
      <w:szCs w:val="24"/>
      <w:lang w:eastAsia="en-US"/>
    </w:rPr>
  </w:style>
  <w:style w:type="paragraph" w:styleId="ListNumber">
    <w:name w:val="List Number"/>
    <w:basedOn w:val="ListBullet"/>
    <w:rsid w:val="0049260B"/>
    <w:pPr>
      <w:numPr>
        <w:numId w:val="24"/>
      </w:numPr>
      <w:spacing w:before="80" w:line="300" w:lineRule="exact"/>
      <w:contextualSpacing w:val="0"/>
    </w:pPr>
    <w:rPr>
      <w:rFonts w:ascii="Book Antiqua" w:hAnsi="Book Antiqua"/>
      <w:sz w:val="21"/>
      <w:szCs w:val="21"/>
    </w:rPr>
  </w:style>
  <w:style w:type="paragraph" w:styleId="ListBullet">
    <w:name w:val="List Bullet"/>
    <w:basedOn w:val="Normal"/>
    <w:rsid w:val="0049260B"/>
    <w:pPr>
      <w:numPr>
        <w:numId w:val="25"/>
      </w:numPr>
      <w:contextualSpacing/>
    </w:pPr>
  </w:style>
  <w:style w:type="character" w:customStyle="1" w:styleId="Heading5Char">
    <w:name w:val="Heading 5 Char"/>
    <w:basedOn w:val="DefaultParagraphFont"/>
    <w:link w:val="Heading5"/>
    <w:rsid w:val="0049260B"/>
    <w:rPr>
      <w:rFonts w:ascii="Book Antiqua" w:hAnsi="Book Antiqua"/>
      <w:b/>
      <w:color w:val="6F6652"/>
      <w:sz w:val="21"/>
      <w:szCs w:val="21"/>
      <w:lang w:eastAsia="en-US"/>
    </w:rPr>
  </w:style>
  <w:style w:type="paragraph" w:styleId="BodyText">
    <w:name w:val="Body Text"/>
    <w:basedOn w:val="Normal"/>
    <w:link w:val="BodyTextChar"/>
    <w:rsid w:val="0049260B"/>
    <w:pPr>
      <w:spacing w:after="120"/>
    </w:pPr>
  </w:style>
  <w:style w:type="character" w:customStyle="1" w:styleId="BodyTextChar">
    <w:name w:val="Body Text Char"/>
    <w:basedOn w:val="DefaultParagraphFont"/>
    <w:link w:val="BodyText"/>
    <w:rsid w:val="0049260B"/>
    <w:rPr>
      <w:rFonts w:ascii="Arial" w:hAnsi="Arial"/>
      <w:szCs w:val="24"/>
      <w:lang w:eastAsia="en-US"/>
    </w:rPr>
  </w:style>
  <w:style w:type="paragraph" w:styleId="ListBullet2">
    <w:name w:val="List Bullet 2"/>
    <w:basedOn w:val="Normal"/>
    <w:rsid w:val="0049260B"/>
    <w:pPr>
      <w:numPr>
        <w:numId w:val="27"/>
      </w:numPr>
      <w:contextualSpacing/>
    </w:pPr>
  </w:style>
  <w:style w:type="paragraph" w:customStyle="1" w:styleId="TableDataEntries">
    <w:name w:val="Table Data Entries"/>
    <w:basedOn w:val="BodyText"/>
    <w:rsid w:val="007006C7"/>
    <w:pPr>
      <w:spacing w:before="0" w:after="40" w:line="200" w:lineRule="exact"/>
      <w:jc w:val="right"/>
    </w:pPr>
    <w:rPr>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6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2D7E3-3C50-48E9-AF4C-A7D9C276E88B}"/>
</file>

<file path=customXml/itemProps2.xml><?xml version="1.0" encoding="utf-8"?>
<ds:datastoreItem xmlns:ds="http://schemas.openxmlformats.org/officeDocument/2006/customXml" ds:itemID="{B704AB32-C515-4A14-90EC-5BE9E82027D3}"/>
</file>

<file path=customXml/itemProps3.xml><?xml version="1.0" encoding="utf-8"?>
<ds:datastoreItem xmlns:ds="http://schemas.openxmlformats.org/officeDocument/2006/customXml" ds:itemID="{285AEE76-1192-4206-9050-2B5ECF03859F}"/>
</file>

<file path=customXml/itemProps4.xml><?xml version="1.0" encoding="utf-8"?>
<ds:datastoreItem xmlns:ds="http://schemas.openxmlformats.org/officeDocument/2006/customXml" ds:itemID="{1EFB544A-8569-41D3-89A8-AFDC83616CE7}"/>
</file>

<file path=docProps/app.xml><?xml version="1.0" encoding="utf-8"?>
<Properties xmlns="http://schemas.openxmlformats.org/officeDocument/2006/extended-properties" xmlns:vt="http://schemas.openxmlformats.org/officeDocument/2006/docPropsVTypes">
  <Template>EEE3D810</Template>
  <TotalTime>0</TotalTime>
  <Pages>6</Pages>
  <Words>1441</Words>
  <Characters>8283</Characters>
  <Application>Microsoft Office Word</Application>
  <DocSecurity>4</DocSecurity>
  <Lines>418</Lines>
  <Paragraphs>128</Paragraphs>
  <ScaleCrop>false</ScaleCrop>
  <HeadingPairs>
    <vt:vector size="2" baseType="variant">
      <vt:variant>
        <vt:lpstr>Title</vt:lpstr>
      </vt:variant>
      <vt:variant>
        <vt:i4>1</vt:i4>
      </vt:variant>
    </vt:vector>
  </HeadingPairs>
  <TitlesOfParts>
    <vt:vector size="1" baseType="lpstr">
      <vt:lpstr>TOOL</vt:lpstr>
    </vt:vector>
  </TitlesOfParts>
  <Company>Indigo Spark</Company>
  <LinksUpToDate>false</LinksUpToDate>
  <CharactersWithSpaces>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dc:title>
  <dc:subject/>
  <dc:creator>Ann Phillis</dc:creator>
  <cp:keywords/>
  <dc:description/>
  <cp:lastModifiedBy>Nguyen, Hoang-Ha</cp:lastModifiedBy>
  <cp:revision>2</cp:revision>
  <cp:lastPrinted>2013-05-17T10:07:00Z</cp:lastPrinted>
  <dcterms:created xsi:type="dcterms:W3CDTF">2016-12-28T02:34:00Z</dcterms:created>
  <dcterms:modified xsi:type="dcterms:W3CDTF">2016-12-28T02:34:00Z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Salvatore Carluccio</vt:lpwstr>
  </property>
  <property fmtid="{D5CDD505-2E9C-101B-9397-08002B2CF9AE}" pid="3" name="display_urn:schemas-microsoft-com:office:office#Author">
    <vt:lpwstr>Alex Knox</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ContentTypeId">
    <vt:lpwstr>0x01010050F19AC2165D2E47A5E6B7F563E4CF00</vt:lpwstr>
  </property>
  <property fmtid="{D5CDD505-2E9C-101B-9397-08002B2CF9AE}" pid="8" name="ContentType">
    <vt:lpwstr>Document</vt:lpwstr>
  </property>
  <property fmtid="{D5CDD505-2E9C-101B-9397-08002B2CF9AE}" pid="9" name="Subject">
    <vt:lpwstr/>
  </property>
  <property fmtid="{D5CDD505-2E9C-101B-9397-08002B2CF9AE}" pid="10" name="Keywords">
    <vt:lpwstr/>
  </property>
  <property fmtid="{D5CDD505-2E9C-101B-9397-08002B2CF9AE}" pid="11" name="_Author">
    <vt:lpwstr>Ann Phillis</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TempID">
    <vt:lpwstr>48</vt:lpwstr>
  </property>
  <property fmtid="{D5CDD505-2E9C-101B-9397-08002B2CF9AE}" pid="18" name="Order">
    <vt:r8>2900</vt:r8>
  </property>
  <property fmtid="{D5CDD505-2E9C-101B-9397-08002B2CF9AE}" pid="19" name="TitusGUID">
    <vt:lpwstr>fa23c6f6-9d31-489a-a783-8d6a66dd7472</vt:lpwstr>
  </property>
  <property fmtid="{D5CDD505-2E9C-101B-9397-08002B2CF9AE}" pid="20" name="SEC">
    <vt:lpwstr>UNCLASSIFIED</vt:lpwstr>
  </property>
  <property fmtid="{D5CDD505-2E9C-101B-9397-08002B2CF9AE}" pid="21" name="DLM">
    <vt:lpwstr>No DLM</vt:lpwstr>
  </property>
  <property fmtid="{D5CDD505-2E9C-101B-9397-08002B2CF9AE}" pid="22" name="display_urn">
    <vt:lpwstr>Alex Knox</vt:lpwstr>
  </property>
  <property fmtid="{D5CDD505-2E9C-101B-9397-08002B2CF9AE}" pid="23" name="_SourceUrl">
    <vt:lpwstr/>
  </property>
  <property fmtid="{D5CDD505-2E9C-101B-9397-08002B2CF9AE}" pid="24" name="_SharedFileIndex">
    <vt:lpwstr/>
  </property>
</Properties>
</file>